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24" w:sz="0" w:val="none"/>
          <w:bottom w:color="auto" w:space="0" w:sz="0" w:val="none"/>
          <w:right w:color="auto" w:space="24" w:sz="0" w:val="none"/>
          <w:between w:color="auto" w:space="0" w:sz="0" w:val="none"/>
        </w:pBdr>
        <w:shd w:fill="164080" w:val="clear"/>
        <w:spacing w:after="0" w:before="0" w:line="276" w:lineRule="auto"/>
        <w:ind w:left="-480" w:right="-480" w:firstLine="0"/>
        <w:rPr>
          <w:b w:val="1"/>
          <w:color w:val="ffffff"/>
          <w:sz w:val="60"/>
          <w:szCs w:val="60"/>
        </w:rPr>
      </w:pPr>
      <w:bookmarkStart w:colFirst="0" w:colLast="0" w:name="_oxjheojd32rx" w:id="0"/>
      <w:bookmarkEnd w:id="0"/>
      <w:r w:rsidDel="00000000" w:rsidR="00000000" w:rsidRPr="00000000">
        <w:rPr>
          <w:b w:val="1"/>
          <w:color w:val="ffffff"/>
          <w:sz w:val="60"/>
          <w:szCs w:val="60"/>
          <w:rtl w:val="0"/>
        </w:rPr>
        <w:t xml:space="preserve">Relocation - voluntary moves: policy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720" w:hanging="360"/>
        <w:jc w:val="center"/>
        <w:rPr>
          <w:color w:val="0b0c0c"/>
        </w:rPr>
      </w:pPr>
      <w:r w:rsidDel="00000000" w:rsidR="00000000" w:rsidRPr="00000000">
        <w:fldChar w:fldCharType="begin"/>
        <w:instrText xml:space="preserve"> HYPERLINK "https://intranet.cabinetoffice.gov.uk/information-for-employees/mobility/" </w:instrText>
        <w:fldChar w:fldCharType="separate"/>
      </w:r>
      <w:r w:rsidDel="00000000" w:rsidR="00000000" w:rsidRPr="00000000">
        <w:rPr>
          <w:shd w:fill="e8ecf2" w:val="clear"/>
          <w:rtl w:val="0"/>
        </w:rPr>
        <w:t xml:space="preserve">Mobility and relocation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720" w:hanging="360"/>
        <w:jc w:val="center"/>
        <w:rPr>
          <w:color w:val="0b0c0c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"https://intranet.cabinetoffice.gov.uk/information-for-employees/mobility/policy-9/" </w:instrText>
        <w:fldChar w:fldCharType="separate"/>
      </w:r>
      <w:r w:rsidDel="00000000" w:rsidR="00000000" w:rsidRPr="00000000">
        <w:rPr>
          <w:shd w:fill="e8ecf2" w:val="clear"/>
          <w:rtl w:val="0"/>
        </w:rPr>
        <w:t xml:space="preserve">Mobility: policy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720" w:hanging="360"/>
        <w:jc w:val="center"/>
        <w:rPr>
          <w:color w:val="0b0c0c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"https://intranet.cabinetoffice.gov.uk/information-for-employees/mobility/mog-changes-policy/" </w:instrText>
        <w:fldChar w:fldCharType="separate"/>
      </w:r>
      <w:r w:rsidDel="00000000" w:rsidR="00000000" w:rsidRPr="00000000">
        <w:rPr>
          <w:shd w:fill="e8ecf2" w:val="clear"/>
          <w:rtl w:val="0"/>
        </w:rPr>
        <w:t xml:space="preserve">Mobility: procedure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720" w:hanging="360"/>
        <w:jc w:val="center"/>
        <w:rPr>
          <w:color w:val="0b0c0c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"https://intranet.cabinetoffice.gov.uk/information-for-employees/mobility/relocation-compulsory-moves-policy/" </w:instrText>
        <w:fldChar w:fldCharType="separate"/>
      </w:r>
      <w:r w:rsidDel="00000000" w:rsidR="00000000" w:rsidRPr="00000000">
        <w:rPr>
          <w:shd w:fill="e8ecf2" w:val="clear"/>
          <w:rtl w:val="0"/>
        </w:rPr>
        <w:t xml:space="preserve">Relocation - compulsory moves: policy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76" w:lineRule="auto"/>
        <w:ind w:left="720" w:hanging="360"/>
        <w:jc w:val="center"/>
        <w:rPr>
          <w:color w:val="0b0c0c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Relocation - voluntary moves: policy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276" w:lineRule="auto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This policy covers: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0b0c0c"/>
        </w:rPr>
      </w:pPr>
      <w:hyperlink r:id="rId6">
        <w:r w:rsidDel="00000000" w:rsidR="00000000" w:rsidRPr="00000000">
          <w:rPr>
            <w:color w:val="164080"/>
            <w:u w:val="single"/>
            <w:rtl w:val="0"/>
          </w:rPr>
          <w:t xml:space="preserve">scope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0b0c0c"/>
        </w:rPr>
      </w:pPr>
      <w:hyperlink r:id="rId7">
        <w:r w:rsidDel="00000000" w:rsidR="00000000" w:rsidRPr="00000000">
          <w:rPr>
            <w:color w:val="164080"/>
            <w:u w:val="single"/>
            <w:rtl w:val="0"/>
          </w:rPr>
          <w:t xml:space="preserve">definitions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0b0c0c"/>
        </w:rPr>
      </w:pPr>
      <w:hyperlink r:id="rId8">
        <w:r w:rsidDel="00000000" w:rsidR="00000000" w:rsidRPr="00000000">
          <w:rPr>
            <w:color w:val="164080"/>
            <w:u w:val="single"/>
            <w:rtl w:val="0"/>
          </w:rPr>
          <w:t xml:space="preserve">responsibilities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color w:val="0b0c0c"/>
        </w:rPr>
      </w:pPr>
      <w:hyperlink r:id="rId9">
        <w:r w:rsidDel="00000000" w:rsidR="00000000" w:rsidRPr="00000000">
          <w:rPr>
            <w:color w:val="164080"/>
            <w:u w:val="single"/>
            <w:rtl w:val="0"/>
          </w:rPr>
          <w:t xml:space="preserve">pay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sxkxy901eph" w:id="1"/>
      <w:bookmarkEnd w:id="1"/>
      <w:r w:rsidDel="00000000" w:rsidR="00000000" w:rsidRPr="00000000">
        <w:rPr>
          <w:b w:val="1"/>
          <w:color w:val="164080"/>
          <w:sz w:val="36"/>
          <w:szCs w:val="36"/>
          <w:rtl w:val="0"/>
        </w:rPr>
        <w:t xml:space="preserve">Scope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The policy applies to: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permanent employees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fixed-term employees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spacing w:line="276" w:lineRule="auto"/>
        <w:ind w:left="720" w:hanging="360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employees on loan from another government Department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194wqlqr1pq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aeoj4vykv6wm" w:id="3"/>
      <w:bookmarkEnd w:id="3"/>
      <w:r w:rsidDel="00000000" w:rsidR="00000000" w:rsidRPr="00000000">
        <w:rPr>
          <w:b w:val="1"/>
          <w:color w:val="164080"/>
          <w:sz w:val="36"/>
          <w:szCs w:val="36"/>
          <w:rtl w:val="0"/>
        </w:rPr>
        <w:t xml:space="preserve">Definitions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line="276" w:lineRule="auto"/>
        <w:ind w:left="720" w:hanging="360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voluntary relocation is a move with no element of compulsion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line="276" w:lineRule="auto"/>
        <w:ind w:left="720" w:hanging="360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most result from an advertised recruitment campaign or the offer of a permanent move to Cabinet Office from another government Department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6jq505qyznj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mi4ld1d9lcd9" w:id="5"/>
      <w:bookmarkEnd w:id="5"/>
      <w:r w:rsidDel="00000000" w:rsidR="00000000" w:rsidRPr="00000000">
        <w:rPr>
          <w:b w:val="1"/>
          <w:color w:val="164080"/>
          <w:sz w:val="36"/>
          <w:szCs w:val="36"/>
          <w:rtl w:val="0"/>
        </w:rPr>
        <w:t xml:space="preserve">Responsibilities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hd w:fill="ffffff" w:val="clear"/>
        <w:spacing w:after="0" w:before="0" w:line="276" w:lineRule="auto"/>
        <w:rPr>
          <w:color w:val="164080"/>
          <w:sz w:val="30"/>
          <w:szCs w:val="30"/>
        </w:rPr>
      </w:pPr>
      <w:bookmarkStart w:colFirst="0" w:colLast="0" w:name="_thftubjze60s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hd w:fill="ffffff" w:val="clear"/>
        <w:spacing w:after="0" w:before="0" w:line="276" w:lineRule="auto"/>
        <w:rPr>
          <w:color w:val="164080"/>
          <w:sz w:val="30"/>
          <w:szCs w:val="30"/>
        </w:rPr>
      </w:pPr>
      <w:bookmarkStart w:colFirst="0" w:colLast="0" w:name="_h9ua23b0oij3" w:id="7"/>
      <w:bookmarkEnd w:id="7"/>
      <w:r w:rsidDel="00000000" w:rsidR="00000000" w:rsidRPr="00000000">
        <w:rPr>
          <w:color w:val="164080"/>
          <w:sz w:val="30"/>
          <w:szCs w:val="30"/>
          <w:rtl w:val="0"/>
        </w:rPr>
        <w:t xml:space="preserve">Employees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Employees who move voluntarily: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line="276" w:lineRule="auto"/>
        <w:ind w:left="720" w:hanging="360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are responsible for any expenses they incur through accepting an appointment and are not entitled to receive excess costs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hdtdcocx0dj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hd w:fill="ffffff" w:val="clear"/>
        <w:spacing w:after="0" w:before="0" w:line="276" w:lineRule="auto"/>
        <w:rPr>
          <w:b w:val="1"/>
          <w:color w:val="164080"/>
          <w:sz w:val="36"/>
          <w:szCs w:val="36"/>
        </w:rPr>
      </w:pPr>
      <w:bookmarkStart w:colFirst="0" w:colLast="0" w:name="_ojf0ehrptqk" w:id="9"/>
      <w:bookmarkEnd w:id="9"/>
      <w:r w:rsidDel="00000000" w:rsidR="00000000" w:rsidRPr="00000000">
        <w:rPr>
          <w:b w:val="1"/>
          <w:color w:val="164080"/>
          <w:sz w:val="36"/>
          <w:szCs w:val="36"/>
          <w:rtl w:val="0"/>
        </w:rPr>
        <w:t xml:space="preserve">Pay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The Department does not operate London weighting. Cabinet Office has a national pay scale and a London payscale. If an employee moves between a London and National location, their current substantive pay will transfer across to the equivalent point on the Cabinet Office pay range for the new location.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6" w:lineRule="auto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If an employee moves location following a successful recruitment campaign, any changes in pay due will be applied before any promotion increase is applied.  </w:t>
      </w:r>
    </w:p>
    <w:p w:rsidR="00000000" w:rsidDel="00000000" w:rsidP="00000000" w:rsidRDefault="00000000" w:rsidRPr="00000000" w14:paraId="0000001F">
      <w:pPr>
        <w:shd w:fill="ffffff" w:val="clear"/>
        <w:spacing w:after="240" w:before="240" w:line="276" w:lineRule="auto"/>
        <w:rPr>
          <w:color w:val="0b0c0c"/>
        </w:rPr>
      </w:pPr>
      <w:r w:rsidDel="00000000" w:rsidR="00000000" w:rsidRPr="00000000">
        <w:rPr>
          <w:color w:val="0b0c0c"/>
          <w:rtl w:val="0"/>
        </w:rPr>
        <w:t xml:space="preserve">The full pay policy for grades AO - G6 is </w:t>
      </w:r>
      <w:hyperlink r:id="rId10">
        <w:r w:rsidDel="00000000" w:rsidR="00000000" w:rsidRPr="00000000">
          <w:rPr>
            <w:color w:val="164080"/>
            <w:u w:val="single"/>
            <w:rtl w:val="0"/>
          </w:rPr>
          <w:t xml:space="preserve">here</w:t>
        </w:r>
      </w:hyperlink>
      <w:r w:rsidDel="00000000" w:rsidR="00000000" w:rsidRPr="00000000">
        <w:rPr>
          <w:color w:val="0b0c0c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intranet.cabinetoffice.gov.uk/information-for-employees/pay-and-reward/ao-g6-pay-and-reward/starting-pay/" TargetMode="External"/><Relationship Id="rId9" Type="http://schemas.openxmlformats.org/officeDocument/2006/relationships/hyperlink" Target="https://intranet.cabinetoffice.gov.uk/information-for-employees/mobility/relocation-voluntary-moves-policy/#pay" TargetMode="External"/><Relationship Id="rId5" Type="http://schemas.openxmlformats.org/officeDocument/2006/relationships/styles" Target="styles.xml"/><Relationship Id="rId6" Type="http://schemas.openxmlformats.org/officeDocument/2006/relationships/hyperlink" Target="https://intranet.cabinetoffice.gov.uk/information-for-employees/mobility/relocation-voluntary-moves-policy/#scope" TargetMode="External"/><Relationship Id="rId7" Type="http://schemas.openxmlformats.org/officeDocument/2006/relationships/hyperlink" Target="https://intranet.cabinetoffice.gov.uk/information-for-employees/mobility/relocation-voluntary-moves-policy/#definitions" TargetMode="External"/><Relationship Id="rId8" Type="http://schemas.openxmlformats.org/officeDocument/2006/relationships/hyperlink" Target="https://intranet.cabinetoffice.gov.uk/information-for-employees/mobility/relocation-voluntary-moves-policy/#responsi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