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0FAA" w14:textId="1BEE8DD6" w:rsidR="4E5F13F5" w:rsidRDefault="4E5F13F5" w:rsidP="475782D0">
      <w:pPr>
        <w:rPr>
          <w:rFonts w:eastAsiaTheme="minorEastAsia"/>
          <w:b/>
          <w:bCs/>
          <w:sz w:val="24"/>
          <w:szCs w:val="24"/>
        </w:rPr>
      </w:pPr>
      <w:r w:rsidRPr="475782D0">
        <w:rPr>
          <w:rFonts w:eastAsiaTheme="minorEastAsia"/>
          <w:b/>
          <w:bCs/>
          <w:sz w:val="24"/>
          <w:szCs w:val="24"/>
        </w:rPr>
        <w:t>DIRECTIONS UNDER SECTION 15(5) AND (6) OF THE LOCAL GOVERNMENT ACT 1999</w:t>
      </w:r>
    </w:p>
    <w:p w14:paraId="1FB85173" w14:textId="6D06E2AC" w:rsidR="00FB002C" w:rsidRDefault="00CD3B7C" w:rsidP="00BC5EF5">
      <w:pPr>
        <w:pStyle w:val="ListParagraph"/>
        <w:numPr>
          <w:ilvl w:val="0"/>
          <w:numId w:val="2"/>
        </w:numPr>
        <w:spacing w:before="240"/>
        <w:jc w:val="both"/>
        <w:rPr>
          <w:rFonts w:ascii="Aptos" w:eastAsia="Aptos" w:hAnsi="Aptos" w:cs="Aptos"/>
          <w:color w:val="000000" w:themeColor="text1"/>
          <w:sz w:val="24"/>
          <w:szCs w:val="24"/>
        </w:rPr>
      </w:pPr>
      <w:r w:rsidRPr="1F33925F">
        <w:rPr>
          <w:rFonts w:eastAsiaTheme="minorEastAsia"/>
          <w:color w:val="000000" w:themeColor="text1"/>
          <w:sz w:val="24"/>
          <w:szCs w:val="24"/>
        </w:rPr>
        <w:t>It was announced on 17 July 2025 that t</w:t>
      </w:r>
      <w:r w:rsidR="6223BBED" w:rsidRPr="1F33925F">
        <w:rPr>
          <w:rFonts w:eastAsiaTheme="minorEastAsia"/>
          <w:color w:val="000000" w:themeColor="text1"/>
          <w:sz w:val="24"/>
          <w:szCs w:val="24"/>
        </w:rPr>
        <w:t>he Secretary of State for Housing, Communities and Local Government (“the Secretary of State</w:t>
      </w:r>
      <w:r w:rsidR="00C74720" w:rsidRPr="1F33925F">
        <w:rPr>
          <w:rFonts w:eastAsiaTheme="minorEastAsia"/>
          <w:color w:val="000000" w:themeColor="text1"/>
          <w:sz w:val="24"/>
          <w:szCs w:val="24"/>
        </w:rPr>
        <w:t>”</w:t>
      </w:r>
      <w:r w:rsidR="6223BBED" w:rsidRPr="1F33925F">
        <w:rPr>
          <w:rFonts w:eastAsiaTheme="minorEastAsia"/>
          <w:color w:val="000000" w:themeColor="text1"/>
          <w:sz w:val="24"/>
          <w:szCs w:val="24"/>
        </w:rPr>
        <w:t>)</w:t>
      </w:r>
      <w:r w:rsidR="00D62257" w:rsidRPr="1F33925F">
        <w:rPr>
          <w:rFonts w:eastAsiaTheme="minorEastAsia"/>
          <w:color w:val="000000" w:themeColor="text1"/>
          <w:sz w:val="24"/>
          <w:szCs w:val="24"/>
        </w:rPr>
        <w:t xml:space="preserve">, after due consideration, is satisfied that Thurrock Council (“the Authority”) </w:t>
      </w:r>
      <w:r w:rsidR="00FB002C" w:rsidRPr="1F33925F">
        <w:rPr>
          <w:rFonts w:eastAsiaTheme="minorEastAsia"/>
          <w:color w:val="000000" w:themeColor="text1"/>
          <w:sz w:val="24"/>
          <w:szCs w:val="24"/>
        </w:rPr>
        <w:t xml:space="preserve">is failing to comply with the requirements of Part I of the Local Government Act 1999 (“the 1999 Act”) and that she </w:t>
      </w:r>
      <w:r w:rsidR="00D41556" w:rsidRPr="1F33925F">
        <w:rPr>
          <w:rFonts w:eastAsiaTheme="minorEastAsia"/>
          <w:color w:val="000000" w:themeColor="text1"/>
          <w:sz w:val="24"/>
          <w:szCs w:val="24"/>
        </w:rPr>
        <w:t>was using powers under the 1999 Act to intervene at the Authority</w:t>
      </w:r>
      <w:r w:rsidR="00FB002C" w:rsidRPr="1F33925F">
        <w:rPr>
          <w:rFonts w:eastAsiaTheme="minorEastAsia"/>
          <w:color w:val="000000" w:themeColor="text1"/>
          <w:sz w:val="24"/>
          <w:szCs w:val="24"/>
        </w:rPr>
        <w:t xml:space="preserve">. </w:t>
      </w:r>
    </w:p>
    <w:p w14:paraId="40B8C418" w14:textId="2F73B6DF" w:rsidR="6223BBED" w:rsidRDefault="00D41556" w:rsidP="00BC5EF5">
      <w:pPr>
        <w:pStyle w:val="ListParagraph"/>
        <w:numPr>
          <w:ilvl w:val="0"/>
          <w:numId w:val="2"/>
        </w:numPr>
        <w:spacing w:before="240"/>
        <w:rPr>
          <w:rFonts w:ascii="Aptos" w:eastAsia="Aptos" w:hAnsi="Aptos" w:cs="Aptos"/>
          <w:color w:val="000000" w:themeColor="text1"/>
          <w:sz w:val="24"/>
          <w:szCs w:val="24"/>
        </w:rPr>
      </w:pPr>
      <w:r w:rsidRPr="1F33925F">
        <w:rPr>
          <w:rFonts w:eastAsiaTheme="minorEastAsia"/>
          <w:color w:val="000000" w:themeColor="text1"/>
          <w:sz w:val="24"/>
          <w:szCs w:val="24"/>
        </w:rPr>
        <w:t>The Secretary of State has revie</w:t>
      </w:r>
      <w:r w:rsidR="00C026D7" w:rsidRPr="1F33925F">
        <w:rPr>
          <w:rFonts w:eastAsiaTheme="minorEastAsia"/>
          <w:color w:val="000000" w:themeColor="text1"/>
          <w:sz w:val="24"/>
          <w:szCs w:val="24"/>
        </w:rPr>
        <w:t>we</w:t>
      </w:r>
      <w:r w:rsidRPr="1F33925F">
        <w:rPr>
          <w:rFonts w:eastAsiaTheme="minorEastAsia"/>
          <w:color w:val="000000" w:themeColor="text1"/>
          <w:sz w:val="24"/>
          <w:szCs w:val="24"/>
        </w:rPr>
        <w:t xml:space="preserve">d the </w:t>
      </w:r>
      <w:r w:rsidR="00EB299B" w:rsidRPr="1F33925F">
        <w:rPr>
          <w:rFonts w:eastAsiaTheme="minorEastAsia"/>
          <w:color w:val="000000" w:themeColor="text1"/>
          <w:sz w:val="24"/>
          <w:szCs w:val="24"/>
        </w:rPr>
        <w:t xml:space="preserve">progress of the intervention so far and </w:t>
      </w:r>
      <w:r w:rsidR="6223BBED" w:rsidRPr="1F33925F">
        <w:rPr>
          <w:rFonts w:eastAsiaTheme="minorEastAsia"/>
          <w:color w:val="000000" w:themeColor="text1"/>
          <w:sz w:val="24"/>
          <w:szCs w:val="24"/>
        </w:rPr>
        <w:t xml:space="preserve">considered the following: </w:t>
      </w:r>
    </w:p>
    <w:p w14:paraId="1A81F339" w14:textId="210AB094" w:rsidR="6223BBED" w:rsidRDefault="6223BBED" w:rsidP="7CFD5517">
      <w:pPr>
        <w:pStyle w:val="ListParagraph"/>
        <w:numPr>
          <w:ilvl w:val="1"/>
          <w:numId w:val="2"/>
        </w:numPr>
        <w:rPr>
          <w:rFonts w:eastAsiaTheme="minorEastAsia"/>
          <w:color w:val="000000" w:themeColor="text1"/>
          <w:sz w:val="24"/>
          <w:szCs w:val="24"/>
        </w:rPr>
      </w:pPr>
      <w:r w:rsidRPr="7CFD5517">
        <w:rPr>
          <w:rFonts w:eastAsiaTheme="minorEastAsia"/>
          <w:color w:val="000000" w:themeColor="text1"/>
          <w:sz w:val="24"/>
          <w:szCs w:val="24"/>
        </w:rPr>
        <w:t xml:space="preserve">The fifth report from Commissioners, dated </w:t>
      </w:r>
      <w:r w:rsidR="3403B72D" w:rsidRPr="7CFD5517">
        <w:rPr>
          <w:rFonts w:eastAsiaTheme="minorEastAsia"/>
          <w:color w:val="000000" w:themeColor="text1"/>
          <w:sz w:val="24"/>
          <w:szCs w:val="24"/>
        </w:rPr>
        <w:t xml:space="preserve">1 </w:t>
      </w:r>
      <w:r w:rsidR="4E26EDF4" w:rsidRPr="7CFD5517">
        <w:rPr>
          <w:rFonts w:eastAsiaTheme="minorEastAsia"/>
          <w:color w:val="000000" w:themeColor="text1"/>
          <w:sz w:val="24"/>
          <w:szCs w:val="24"/>
        </w:rPr>
        <w:t>May</w:t>
      </w:r>
      <w:r w:rsidRPr="7CFD5517">
        <w:rPr>
          <w:rFonts w:eastAsiaTheme="minorEastAsia"/>
          <w:color w:val="000000" w:themeColor="text1"/>
          <w:sz w:val="24"/>
          <w:szCs w:val="24"/>
        </w:rPr>
        <w:t xml:space="preserve"> 202</w:t>
      </w:r>
      <w:r w:rsidR="366EEB4B" w:rsidRPr="7CFD5517">
        <w:rPr>
          <w:rFonts w:eastAsiaTheme="minorEastAsia"/>
          <w:color w:val="000000" w:themeColor="text1"/>
          <w:sz w:val="24"/>
          <w:szCs w:val="24"/>
        </w:rPr>
        <w:t>5</w:t>
      </w:r>
      <w:r w:rsidRPr="7CFD5517">
        <w:rPr>
          <w:rFonts w:eastAsiaTheme="minorEastAsia"/>
          <w:color w:val="000000" w:themeColor="text1"/>
          <w:sz w:val="24"/>
          <w:szCs w:val="24"/>
        </w:rPr>
        <w:t xml:space="preserve"> and published on </w:t>
      </w:r>
      <w:r w:rsidR="6FAE63E6" w:rsidRPr="7CFD5517">
        <w:rPr>
          <w:rFonts w:eastAsiaTheme="minorEastAsia"/>
          <w:color w:val="000000" w:themeColor="text1"/>
          <w:sz w:val="24"/>
          <w:szCs w:val="24"/>
        </w:rPr>
        <w:t>19</w:t>
      </w:r>
      <w:r w:rsidRPr="7CFD5517">
        <w:rPr>
          <w:rFonts w:eastAsiaTheme="minorEastAsia"/>
          <w:color w:val="000000" w:themeColor="text1"/>
          <w:sz w:val="24"/>
          <w:szCs w:val="24"/>
        </w:rPr>
        <w:t xml:space="preserve"> </w:t>
      </w:r>
      <w:r w:rsidR="6FAE63E6" w:rsidRPr="7CFD5517">
        <w:rPr>
          <w:rFonts w:eastAsiaTheme="minorEastAsia"/>
          <w:color w:val="000000" w:themeColor="text1"/>
          <w:sz w:val="24"/>
          <w:szCs w:val="24"/>
        </w:rPr>
        <w:t>June 2025</w:t>
      </w:r>
      <w:r w:rsidRPr="7CFD5517">
        <w:rPr>
          <w:rFonts w:eastAsiaTheme="minorEastAsia"/>
          <w:color w:val="000000" w:themeColor="text1"/>
          <w:sz w:val="24"/>
          <w:szCs w:val="24"/>
        </w:rPr>
        <w:t xml:space="preserve">. </w:t>
      </w:r>
    </w:p>
    <w:p w14:paraId="1BE4E3D2" w14:textId="0998123C" w:rsidR="6223BBED" w:rsidRDefault="670A8839" w:rsidP="7CFD5517">
      <w:pPr>
        <w:pStyle w:val="ListParagraph"/>
        <w:numPr>
          <w:ilvl w:val="1"/>
          <w:numId w:val="2"/>
        </w:numPr>
        <w:rPr>
          <w:rFonts w:eastAsiaTheme="minorEastAsia"/>
          <w:color w:val="000000" w:themeColor="text1"/>
          <w:sz w:val="24"/>
          <w:szCs w:val="24"/>
        </w:rPr>
      </w:pPr>
      <w:r w:rsidRPr="7CFD5517">
        <w:rPr>
          <w:rFonts w:eastAsiaTheme="minorEastAsia"/>
          <w:color w:val="000000" w:themeColor="text1"/>
          <w:sz w:val="24"/>
          <w:szCs w:val="24"/>
        </w:rPr>
        <w:t>2 September 2022 Directions and updated Directions 16 March 2023</w:t>
      </w:r>
      <w:r w:rsidR="4AF177AE" w:rsidRPr="7CFD5517">
        <w:rPr>
          <w:rFonts w:eastAsiaTheme="minorEastAsia"/>
          <w:color w:val="000000" w:themeColor="text1"/>
          <w:sz w:val="24"/>
          <w:szCs w:val="24"/>
        </w:rPr>
        <w:t>.</w:t>
      </w:r>
    </w:p>
    <w:p w14:paraId="31558248" w14:textId="3EC6306A" w:rsidR="6223BBED" w:rsidRDefault="6223BBED" w:rsidP="475782D0">
      <w:pPr>
        <w:pStyle w:val="ListParagraph"/>
        <w:numPr>
          <w:ilvl w:val="1"/>
          <w:numId w:val="2"/>
        </w:numPr>
        <w:rPr>
          <w:rFonts w:eastAsiaTheme="minorEastAsia"/>
          <w:color w:val="000000" w:themeColor="text1"/>
          <w:sz w:val="24"/>
          <w:szCs w:val="24"/>
        </w:rPr>
      </w:pPr>
      <w:r w:rsidRPr="475782D0">
        <w:rPr>
          <w:rFonts w:eastAsiaTheme="minorEastAsia"/>
          <w:color w:val="000000" w:themeColor="text1"/>
          <w:sz w:val="24"/>
          <w:szCs w:val="24"/>
        </w:rPr>
        <w:t xml:space="preserve">The representation made on 1 </w:t>
      </w:r>
      <w:r w:rsidR="208C9D27" w:rsidRPr="475782D0">
        <w:rPr>
          <w:rFonts w:eastAsiaTheme="minorEastAsia"/>
          <w:color w:val="000000" w:themeColor="text1"/>
          <w:sz w:val="24"/>
          <w:szCs w:val="24"/>
        </w:rPr>
        <w:t xml:space="preserve">July </w:t>
      </w:r>
      <w:r w:rsidRPr="475782D0">
        <w:rPr>
          <w:rFonts w:eastAsiaTheme="minorEastAsia"/>
          <w:color w:val="000000" w:themeColor="text1"/>
          <w:sz w:val="24"/>
          <w:szCs w:val="24"/>
        </w:rPr>
        <w:t>202</w:t>
      </w:r>
      <w:r w:rsidR="4439FD02" w:rsidRPr="475782D0">
        <w:rPr>
          <w:rFonts w:eastAsiaTheme="minorEastAsia"/>
          <w:color w:val="000000" w:themeColor="text1"/>
          <w:sz w:val="24"/>
          <w:szCs w:val="24"/>
        </w:rPr>
        <w:t xml:space="preserve">5 </w:t>
      </w:r>
      <w:r w:rsidRPr="475782D0">
        <w:rPr>
          <w:rFonts w:eastAsiaTheme="minorEastAsia"/>
          <w:color w:val="000000" w:themeColor="text1"/>
          <w:sz w:val="24"/>
          <w:szCs w:val="24"/>
        </w:rPr>
        <w:t xml:space="preserve">by the Authority on the proposed Directions. </w:t>
      </w:r>
    </w:p>
    <w:p w14:paraId="3882CFE0" w14:textId="0F9C81C7" w:rsidR="7E6CD449" w:rsidRDefault="004C6DF6" w:rsidP="00F62742">
      <w:pPr>
        <w:pStyle w:val="ListParagraph"/>
        <w:numPr>
          <w:ilvl w:val="1"/>
          <w:numId w:val="2"/>
        </w:numPr>
        <w:spacing w:after="120"/>
        <w:ind w:hanging="357"/>
        <w:contextualSpacing w:val="0"/>
        <w:rPr>
          <w:rFonts w:eastAsiaTheme="minorEastAsia"/>
          <w:color w:val="000000" w:themeColor="text1"/>
          <w:sz w:val="24"/>
          <w:szCs w:val="24"/>
        </w:rPr>
      </w:pPr>
      <w:r w:rsidRPr="1F33925F">
        <w:rPr>
          <w:rFonts w:eastAsiaTheme="minorEastAsia"/>
          <w:color w:val="000000" w:themeColor="text1"/>
          <w:sz w:val="24"/>
          <w:szCs w:val="24"/>
        </w:rPr>
        <w:t xml:space="preserve">Two further </w:t>
      </w:r>
      <w:r w:rsidR="6223BBED" w:rsidRPr="1F33925F">
        <w:rPr>
          <w:rFonts w:eastAsiaTheme="minorEastAsia"/>
          <w:color w:val="000000" w:themeColor="text1"/>
          <w:sz w:val="24"/>
          <w:szCs w:val="24"/>
        </w:rPr>
        <w:t>representation</w:t>
      </w:r>
      <w:r w:rsidRPr="1F33925F">
        <w:rPr>
          <w:rFonts w:eastAsiaTheme="minorEastAsia"/>
          <w:color w:val="000000" w:themeColor="text1"/>
          <w:sz w:val="24"/>
          <w:szCs w:val="24"/>
        </w:rPr>
        <w:t>s</w:t>
      </w:r>
      <w:r w:rsidR="6223BBED" w:rsidRPr="1F33925F">
        <w:rPr>
          <w:rFonts w:eastAsiaTheme="minorEastAsia"/>
          <w:color w:val="000000" w:themeColor="text1"/>
          <w:sz w:val="24"/>
          <w:szCs w:val="24"/>
        </w:rPr>
        <w:t xml:space="preserve"> </w:t>
      </w:r>
      <w:r w:rsidRPr="1F33925F">
        <w:rPr>
          <w:rFonts w:eastAsiaTheme="minorEastAsia"/>
          <w:color w:val="000000" w:themeColor="text1"/>
          <w:sz w:val="24"/>
          <w:szCs w:val="24"/>
        </w:rPr>
        <w:t>made on the proposed Dire</w:t>
      </w:r>
      <w:r w:rsidR="00DE523B" w:rsidRPr="1F33925F">
        <w:rPr>
          <w:rFonts w:eastAsiaTheme="minorEastAsia"/>
          <w:color w:val="000000" w:themeColor="text1"/>
          <w:sz w:val="24"/>
          <w:szCs w:val="24"/>
        </w:rPr>
        <w:t>ctions</w:t>
      </w:r>
      <w:r w:rsidR="37E3C46F" w:rsidRPr="1F33925F">
        <w:rPr>
          <w:rFonts w:eastAsiaTheme="minorEastAsia"/>
          <w:color w:val="000000" w:themeColor="text1"/>
          <w:sz w:val="24"/>
          <w:szCs w:val="24"/>
        </w:rPr>
        <w:t>.</w:t>
      </w:r>
    </w:p>
    <w:p w14:paraId="7190646D" w14:textId="03DF9C5F" w:rsidR="677CDC76" w:rsidRDefault="677CDC76" w:rsidP="00340B09">
      <w:pPr>
        <w:pStyle w:val="ListParagraph"/>
        <w:numPr>
          <w:ilvl w:val="0"/>
          <w:numId w:val="2"/>
        </w:numPr>
        <w:spacing w:after="0"/>
        <w:ind w:hanging="357"/>
        <w:contextualSpacing w:val="0"/>
        <w:jc w:val="both"/>
        <w:rPr>
          <w:rFonts w:eastAsiaTheme="minorEastAsia"/>
          <w:color w:val="000000" w:themeColor="text1"/>
        </w:rPr>
      </w:pPr>
      <w:r w:rsidRPr="475782D0">
        <w:rPr>
          <w:rFonts w:eastAsiaTheme="minorEastAsia"/>
          <w:color w:val="000000" w:themeColor="text1"/>
          <w:sz w:val="24"/>
          <w:szCs w:val="24"/>
        </w:rPr>
        <w:t xml:space="preserve">The Secretary of State, having considered the representations made by the Authority as required by section 15(9) of the 1999 Act, and </w:t>
      </w:r>
      <w:r w:rsidR="4EE42B60" w:rsidRPr="1F33925F">
        <w:rPr>
          <w:rFonts w:eastAsiaTheme="minorEastAsia"/>
          <w:color w:val="000000" w:themeColor="text1"/>
          <w:sz w:val="24"/>
          <w:szCs w:val="24"/>
        </w:rPr>
        <w:t>all other representations received</w:t>
      </w:r>
      <w:r w:rsidRPr="475782D0">
        <w:rPr>
          <w:rFonts w:eastAsiaTheme="minorEastAsia"/>
          <w:color w:val="000000" w:themeColor="text1"/>
          <w:sz w:val="24"/>
          <w:szCs w:val="24"/>
        </w:rPr>
        <w:t xml:space="preserve">, considers it necessary and expedient, in accordance with powers under section 15(5) and (6) of the 1999 Act, to </w:t>
      </w:r>
      <w:r w:rsidR="004A090D" w:rsidRPr="1F33925F">
        <w:rPr>
          <w:rFonts w:eastAsiaTheme="minorEastAsia"/>
          <w:color w:val="000000" w:themeColor="text1"/>
          <w:sz w:val="24"/>
          <w:szCs w:val="24"/>
        </w:rPr>
        <w:t>issue a new set of Directions to the Authority</w:t>
      </w:r>
      <w:r w:rsidR="00787794" w:rsidRPr="1F33925F">
        <w:rPr>
          <w:rFonts w:eastAsiaTheme="minorEastAsia"/>
          <w:color w:val="000000" w:themeColor="text1"/>
          <w:sz w:val="24"/>
          <w:szCs w:val="24"/>
        </w:rPr>
        <w:t xml:space="preserve">. These </w:t>
      </w:r>
      <w:r w:rsidRPr="475782D0">
        <w:rPr>
          <w:rFonts w:eastAsiaTheme="minorEastAsia"/>
          <w:color w:val="000000" w:themeColor="text1"/>
          <w:sz w:val="24"/>
          <w:szCs w:val="24"/>
        </w:rPr>
        <w:t xml:space="preserve">direct the Authority as set out below </w:t>
      </w:r>
      <w:bookmarkStart w:id="0" w:name="_Int_j4KsCJya"/>
      <w:r w:rsidRPr="475782D0">
        <w:rPr>
          <w:rFonts w:eastAsiaTheme="minorEastAsia"/>
          <w:color w:val="000000" w:themeColor="text1"/>
          <w:sz w:val="24"/>
          <w:szCs w:val="24"/>
        </w:rPr>
        <w:t>in order to</w:t>
      </w:r>
      <w:bookmarkEnd w:id="0"/>
      <w:r w:rsidRPr="475782D0">
        <w:rPr>
          <w:rFonts w:eastAsiaTheme="minorEastAsia"/>
          <w:color w:val="000000" w:themeColor="text1"/>
          <w:sz w:val="24"/>
          <w:szCs w:val="24"/>
        </w:rPr>
        <w:t xml:space="preserve"> secure the Authority’s compliance with the requirements of Part I of the 1999 Act, in particular</w:t>
      </w:r>
      <w:r w:rsidR="307325B1" w:rsidRPr="475782D0">
        <w:rPr>
          <w:rFonts w:eastAsiaTheme="minorEastAsia"/>
          <w:color w:val="000000" w:themeColor="text1"/>
          <w:sz w:val="24"/>
          <w:szCs w:val="24"/>
        </w:rPr>
        <w:t xml:space="preserve"> to</w:t>
      </w:r>
      <w:r w:rsidRPr="475782D0">
        <w:rPr>
          <w:rFonts w:eastAsiaTheme="minorEastAsia"/>
          <w:color w:val="000000" w:themeColor="text1"/>
          <w:sz w:val="24"/>
          <w:szCs w:val="24"/>
        </w:rPr>
        <w:t>:</w:t>
      </w:r>
    </w:p>
    <w:p w14:paraId="5C1A1E15" w14:textId="508E91EB" w:rsidR="2A2DF554" w:rsidRDefault="2A2DF554" w:rsidP="00340B09">
      <w:pPr>
        <w:pStyle w:val="ListParagraph"/>
        <w:numPr>
          <w:ilvl w:val="1"/>
          <w:numId w:val="2"/>
        </w:numPr>
        <w:spacing w:after="0"/>
        <w:jc w:val="both"/>
        <w:rPr>
          <w:rFonts w:eastAsiaTheme="minorEastAsia"/>
          <w:color w:val="000000" w:themeColor="text1"/>
          <w:sz w:val="24"/>
          <w:szCs w:val="24"/>
        </w:rPr>
      </w:pPr>
      <w:r w:rsidRPr="475782D0">
        <w:rPr>
          <w:rFonts w:eastAsiaTheme="minorEastAsia"/>
          <w:color w:val="000000" w:themeColor="text1"/>
          <w:sz w:val="24"/>
          <w:szCs w:val="24"/>
        </w:rPr>
        <w:t>Continue to implement and report on plans for the Authority’s improvement and recovery, to the satisfaction of the Commissioners.</w:t>
      </w:r>
    </w:p>
    <w:p w14:paraId="6BFEB0EC" w14:textId="15DCCEE3" w:rsidR="2A2DF554" w:rsidRDefault="2A2DF554" w:rsidP="475782D0">
      <w:pPr>
        <w:pStyle w:val="ListParagraph"/>
        <w:numPr>
          <w:ilvl w:val="1"/>
          <w:numId w:val="2"/>
        </w:numPr>
        <w:rPr>
          <w:rFonts w:eastAsiaTheme="minorEastAsia"/>
          <w:color w:val="000000" w:themeColor="text1"/>
          <w:sz w:val="24"/>
          <w:szCs w:val="24"/>
        </w:rPr>
      </w:pPr>
      <w:r w:rsidRPr="475782D0">
        <w:rPr>
          <w:rFonts w:eastAsiaTheme="minorEastAsia"/>
          <w:color w:val="000000" w:themeColor="text1"/>
          <w:sz w:val="24"/>
          <w:szCs w:val="24"/>
        </w:rPr>
        <w:t>Develop and maintain a revised Corporate Plan which includes the necessary work to ensure the Authority’s compliance with the Best Value Duty</w:t>
      </w:r>
    </w:p>
    <w:p w14:paraId="52F873F8" w14:textId="70CD327B" w:rsidR="2A2DF554" w:rsidRDefault="2A2DF554" w:rsidP="475782D0">
      <w:pPr>
        <w:pStyle w:val="ListParagraph"/>
        <w:numPr>
          <w:ilvl w:val="1"/>
          <w:numId w:val="2"/>
        </w:numPr>
        <w:rPr>
          <w:rFonts w:eastAsiaTheme="minorEastAsia"/>
          <w:color w:val="000000" w:themeColor="text1"/>
          <w:sz w:val="24"/>
          <w:szCs w:val="24"/>
        </w:rPr>
      </w:pPr>
      <w:r w:rsidRPr="475782D0">
        <w:rPr>
          <w:rFonts w:eastAsiaTheme="minorEastAsia"/>
          <w:color w:val="000000" w:themeColor="text1"/>
          <w:sz w:val="24"/>
          <w:szCs w:val="24"/>
        </w:rPr>
        <w:t>Ensure that the Authority has personnel with sufficient capability and capacity including access to appropriate specialist expertise where required</w:t>
      </w:r>
    </w:p>
    <w:p w14:paraId="47A3C4E4" w14:textId="79697C9D" w:rsidR="2A2DF554" w:rsidRDefault="00944FD6" w:rsidP="00340B09">
      <w:pPr>
        <w:pStyle w:val="ListParagraph"/>
        <w:numPr>
          <w:ilvl w:val="1"/>
          <w:numId w:val="2"/>
        </w:numPr>
        <w:spacing w:after="0"/>
        <w:ind w:left="1077"/>
        <w:contextualSpacing w:val="0"/>
        <w:rPr>
          <w:rFonts w:eastAsiaTheme="minorEastAsia"/>
          <w:color w:val="000000" w:themeColor="text1"/>
          <w:sz w:val="24"/>
          <w:szCs w:val="24"/>
        </w:rPr>
      </w:pPr>
      <w:r>
        <w:rPr>
          <w:rFonts w:eastAsiaTheme="minorEastAsia"/>
          <w:color w:val="000000" w:themeColor="text1"/>
          <w:sz w:val="24"/>
          <w:szCs w:val="24"/>
        </w:rPr>
        <w:t>W</w:t>
      </w:r>
      <w:r w:rsidR="2A2DF554" w:rsidRPr="3A80C76D">
        <w:rPr>
          <w:rFonts w:eastAsiaTheme="minorEastAsia"/>
          <w:color w:val="000000" w:themeColor="text1"/>
          <w:sz w:val="24"/>
          <w:szCs w:val="24"/>
        </w:rPr>
        <w:t>ork</w:t>
      </w:r>
      <w:r w:rsidR="2A2DF554" w:rsidRPr="475782D0">
        <w:rPr>
          <w:rFonts w:eastAsiaTheme="minorEastAsia"/>
          <w:color w:val="000000" w:themeColor="text1"/>
          <w:sz w:val="24"/>
          <w:szCs w:val="24"/>
        </w:rPr>
        <w:t xml:space="preserve"> with Commissioners on the work with other councils in the Greater Essex area for unitary local government and the Devolution Priority Programme on implementing any such proposals later agreed upon.  </w:t>
      </w:r>
    </w:p>
    <w:p w14:paraId="078A8714" w14:textId="1132B5A9" w:rsidR="00787794" w:rsidRPr="00AA1165" w:rsidRDefault="2A2DF554" w:rsidP="00340B09">
      <w:pPr>
        <w:pStyle w:val="ListParagraph"/>
        <w:numPr>
          <w:ilvl w:val="1"/>
          <w:numId w:val="2"/>
        </w:numPr>
        <w:spacing w:after="0"/>
        <w:ind w:left="1077" w:hanging="357"/>
        <w:contextualSpacing w:val="0"/>
        <w:rPr>
          <w:rFonts w:eastAsiaTheme="minorEastAsia"/>
          <w:color w:val="000000" w:themeColor="text1"/>
          <w:sz w:val="24"/>
          <w:szCs w:val="24"/>
        </w:rPr>
      </w:pPr>
      <w:r w:rsidRPr="475782D0">
        <w:rPr>
          <w:rFonts w:eastAsiaTheme="minorEastAsia"/>
          <w:color w:val="000000" w:themeColor="text1"/>
          <w:sz w:val="24"/>
          <w:szCs w:val="24"/>
        </w:rPr>
        <w:t>Fully co-operate with the Commissioners and take any reasonable action within the Authority’s functions to prevent further failure, as reasonably determined by the Commissioners</w:t>
      </w:r>
      <w:r w:rsidR="2E1E1180" w:rsidRPr="1F33925F">
        <w:rPr>
          <w:rFonts w:eastAsiaTheme="minorEastAsia"/>
          <w:color w:val="000000" w:themeColor="text1"/>
          <w:sz w:val="24"/>
          <w:szCs w:val="24"/>
        </w:rPr>
        <w:t>.</w:t>
      </w:r>
    </w:p>
    <w:p w14:paraId="43000CE3" w14:textId="0DFB94DC" w:rsidR="677CDC76" w:rsidRDefault="677CDC76" w:rsidP="00340B09">
      <w:pPr>
        <w:pStyle w:val="ListParagraph"/>
        <w:numPr>
          <w:ilvl w:val="0"/>
          <w:numId w:val="2"/>
        </w:numPr>
        <w:spacing w:before="240" w:after="120"/>
        <w:ind w:hanging="357"/>
        <w:contextualSpacing w:val="0"/>
        <w:rPr>
          <w:rFonts w:ascii="Aptos" w:eastAsia="Aptos" w:hAnsi="Aptos" w:cs="Aptos"/>
          <w:color w:val="000000" w:themeColor="text1"/>
          <w:sz w:val="24"/>
          <w:szCs w:val="24"/>
        </w:rPr>
      </w:pPr>
      <w:r w:rsidRPr="475782D0">
        <w:rPr>
          <w:rFonts w:eastAsiaTheme="minorEastAsia"/>
          <w:color w:val="000000" w:themeColor="text1"/>
          <w:sz w:val="24"/>
          <w:szCs w:val="24"/>
        </w:rPr>
        <w:t>Pursuant to powers under section 15(5) and (6) of the 1999 Act, the Secretary of State directs:  </w:t>
      </w:r>
    </w:p>
    <w:p w14:paraId="58177949" w14:textId="40AF7CD9" w:rsidR="677CDC76" w:rsidRDefault="677CDC76" w:rsidP="475782D0">
      <w:pPr>
        <w:pStyle w:val="ListParagraph"/>
        <w:numPr>
          <w:ilvl w:val="0"/>
          <w:numId w:val="1"/>
        </w:numPr>
        <w:rPr>
          <w:rFonts w:ascii="Aptos" w:eastAsia="Aptos" w:hAnsi="Aptos" w:cs="Aptos"/>
          <w:color w:val="000000" w:themeColor="text1"/>
          <w:sz w:val="24"/>
          <w:szCs w:val="24"/>
        </w:rPr>
      </w:pPr>
      <w:r w:rsidRPr="475782D0">
        <w:rPr>
          <w:rFonts w:eastAsiaTheme="minorEastAsia"/>
          <w:color w:val="000000" w:themeColor="text1"/>
          <w:sz w:val="24"/>
          <w:szCs w:val="24"/>
        </w:rPr>
        <w:t xml:space="preserve">The Authority to take the actions set out in Annex A to these Directions.    </w:t>
      </w:r>
    </w:p>
    <w:p w14:paraId="13E0E5C4" w14:textId="57D33AE5" w:rsidR="677CDC76" w:rsidRDefault="677CDC76" w:rsidP="475782D0">
      <w:pPr>
        <w:pStyle w:val="ListParagraph"/>
        <w:numPr>
          <w:ilvl w:val="0"/>
          <w:numId w:val="1"/>
        </w:numPr>
        <w:rPr>
          <w:rFonts w:ascii="Aptos" w:eastAsia="Aptos" w:hAnsi="Aptos" w:cs="Aptos"/>
          <w:color w:val="000000" w:themeColor="text1"/>
          <w:sz w:val="24"/>
          <w:szCs w:val="24"/>
        </w:rPr>
      </w:pPr>
      <w:r w:rsidRPr="475782D0">
        <w:rPr>
          <w:rFonts w:eastAsiaTheme="minorEastAsia"/>
          <w:color w:val="000000" w:themeColor="text1"/>
          <w:sz w:val="24"/>
          <w:szCs w:val="24"/>
        </w:rPr>
        <w:t xml:space="preserve">That the functions of the Authority specified in Annex B to these Directions shall be exercised from the date of these Directions by the Commissioners acting jointly or severally; the Commissioners being persons nominated by the Secretary of State for the purposes of these Directions as long as those nominations are in force. </w:t>
      </w:r>
    </w:p>
    <w:p w14:paraId="14230762" w14:textId="37D962D0" w:rsidR="677CDC76" w:rsidRDefault="677CDC76" w:rsidP="00340B09">
      <w:pPr>
        <w:pStyle w:val="ListParagraph"/>
        <w:numPr>
          <w:ilvl w:val="0"/>
          <w:numId w:val="1"/>
        </w:numPr>
        <w:spacing w:after="120"/>
        <w:ind w:hanging="357"/>
        <w:contextualSpacing w:val="0"/>
        <w:rPr>
          <w:rFonts w:ascii="Aptos" w:eastAsia="Aptos" w:hAnsi="Aptos" w:cs="Aptos"/>
          <w:color w:val="000000" w:themeColor="text1"/>
          <w:sz w:val="24"/>
          <w:szCs w:val="24"/>
        </w:rPr>
      </w:pPr>
      <w:r w:rsidRPr="475782D0">
        <w:rPr>
          <w:rFonts w:eastAsiaTheme="minorEastAsia"/>
          <w:color w:val="000000" w:themeColor="text1"/>
          <w:sz w:val="24"/>
          <w:szCs w:val="24"/>
        </w:rPr>
        <w:lastRenderedPageBreak/>
        <w:t>That, from the date of these Directions, the Authority shall comply with any instructions of the Commissioners in relation to the exercise of the functions specified in Annex B, and shall provide such information and assistance as the Commissioners may require for the purpose of exercising the functions specified in Annex B.  </w:t>
      </w:r>
    </w:p>
    <w:p w14:paraId="5670704E" w14:textId="36215934" w:rsidR="2F51A363" w:rsidRDefault="2F51A363" w:rsidP="00340B09">
      <w:pPr>
        <w:pStyle w:val="ListParagraph"/>
        <w:numPr>
          <w:ilvl w:val="0"/>
          <w:numId w:val="2"/>
        </w:numPr>
        <w:spacing w:after="120"/>
        <w:ind w:hanging="357"/>
        <w:contextualSpacing w:val="0"/>
        <w:rPr>
          <w:rFonts w:eastAsiaTheme="minorEastAsia"/>
          <w:color w:val="000000" w:themeColor="text1"/>
          <w:sz w:val="24"/>
          <w:szCs w:val="24"/>
        </w:rPr>
      </w:pPr>
      <w:r w:rsidRPr="475782D0">
        <w:rPr>
          <w:rFonts w:eastAsiaTheme="minorEastAsia"/>
          <w:color w:val="000000" w:themeColor="text1"/>
          <w:sz w:val="24"/>
          <w:szCs w:val="24"/>
        </w:rPr>
        <w:t xml:space="preserve">These Directions replace the Directions issued on </w:t>
      </w:r>
      <w:r w:rsidR="0CB913B2" w:rsidRPr="475782D0">
        <w:rPr>
          <w:rFonts w:eastAsiaTheme="minorEastAsia"/>
          <w:color w:val="000000" w:themeColor="text1"/>
          <w:sz w:val="24"/>
          <w:szCs w:val="24"/>
        </w:rPr>
        <w:t xml:space="preserve">2 September 2022 (and updated on 23 March 2023) </w:t>
      </w:r>
      <w:r w:rsidRPr="475782D0">
        <w:rPr>
          <w:rFonts w:eastAsiaTheme="minorEastAsia"/>
          <w:color w:val="000000" w:themeColor="text1"/>
          <w:sz w:val="24"/>
          <w:szCs w:val="24"/>
        </w:rPr>
        <w:t xml:space="preserve">with immediate effect. They shall remain in force until 30 </w:t>
      </w:r>
      <w:r w:rsidR="5D8D6EE1" w:rsidRPr="475782D0">
        <w:rPr>
          <w:rFonts w:eastAsiaTheme="minorEastAsia"/>
          <w:color w:val="000000" w:themeColor="text1"/>
          <w:sz w:val="24"/>
          <w:szCs w:val="24"/>
        </w:rPr>
        <w:t xml:space="preserve">April </w:t>
      </w:r>
      <w:r w:rsidRPr="475782D0">
        <w:rPr>
          <w:rFonts w:eastAsiaTheme="minorEastAsia"/>
          <w:color w:val="000000" w:themeColor="text1"/>
          <w:sz w:val="24"/>
          <w:szCs w:val="24"/>
        </w:rPr>
        <w:t>202</w:t>
      </w:r>
      <w:r w:rsidR="191781C6" w:rsidRPr="475782D0">
        <w:rPr>
          <w:rFonts w:eastAsiaTheme="minorEastAsia"/>
          <w:color w:val="000000" w:themeColor="text1"/>
          <w:sz w:val="24"/>
          <w:szCs w:val="24"/>
        </w:rPr>
        <w:t>8</w:t>
      </w:r>
      <w:r w:rsidRPr="475782D0">
        <w:rPr>
          <w:rFonts w:eastAsiaTheme="minorEastAsia"/>
          <w:color w:val="000000" w:themeColor="text1"/>
          <w:sz w:val="24"/>
          <w:szCs w:val="24"/>
        </w:rPr>
        <w:t xml:space="preserve"> unless the Secretary of State considers it appropriate to amend or revoke them at an earlier date.</w:t>
      </w:r>
    </w:p>
    <w:p w14:paraId="3E1DD2B1" w14:textId="459F23D4" w:rsidR="220B09A5" w:rsidRDefault="220B09A5" w:rsidP="475782D0">
      <w:pPr>
        <w:rPr>
          <w:rFonts w:eastAsiaTheme="minorEastAsia"/>
          <w:color w:val="000000" w:themeColor="text1"/>
          <w:sz w:val="24"/>
          <w:szCs w:val="24"/>
        </w:rPr>
      </w:pPr>
      <w:r w:rsidRPr="475782D0">
        <w:rPr>
          <w:rFonts w:eastAsiaTheme="minorEastAsia"/>
          <w:color w:val="000000" w:themeColor="text1"/>
          <w:sz w:val="24"/>
          <w:szCs w:val="24"/>
        </w:rPr>
        <w:t xml:space="preserve">Signed on behalf of the Secretary of State for Housing, Communities and Local Government.     </w:t>
      </w:r>
    </w:p>
    <w:p w14:paraId="0EF4EA80" w14:textId="11E4CB84" w:rsidR="220B09A5" w:rsidRDefault="220B09A5" w:rsidP="475782D0">
      <w:pPr>
        <w:rPr>
          <w:rFonts w:eastAsiaTheme="minorEastAsia"/>
          <w:color w:val="000000" w:themeColor="text1"/>
          <w:sz w:val="24"/>
          <w:szCs w:val="24"/>
        </w:rPr>
      </w:pPr>
      <w:r w:rsidRPr="475782D0">
        <w:rPr>
          <w:rFonts w:eastAsiaTheme="minorEastAsia"/>
          <w:color w:val="000000" w:themeColor="text1"/>
          <w:sz w:val="24"/>
          <w:szCs w:val="24"/>
        </w:rPr>
        <w:t>James Blythe</w:t>
      </w:r>
    </w:p>
    <w:p w14:paraId="5887659A" w14:textId="5053C356" w:rsidR="220B09A5" w:rsidRDefault="220B09A5" w:rsidP="475782D0">
      <w:pPr>
        <w:rPr>
          <w:rFonts w:eastAsiaTheme="minorEastAsia"/>
          <w:color w:val="000000" w:themeColor="text1"/>
          <w:sz w:val="24"/>
          <w:szCs w:val="24"/>
        </w:rPr>
      </w:pPr>
      <w:r w:rsidRPr="475782D0">
        <w:rPr>
          <w:rFonts w:eastAsiaTheme="minorEastAsia"/>
          <w:color w:val="000000" w:themeColor="text1"/>
          <w:sz w:val="24"/>
          <w:szCs w:val="24"/>
        </w:rPr>
        <w:t>Senior Civil Servant in the Ministry for Housing, Communities and Local Government Date: 17 July 2025</w:t>
      </w:r>
    </w:p>
    <w:p w14:paraId="3DBD1ACE" w14:textId="6B361717" w:rsidR="475782D0" w:rsidRDefault="475782D0" w:rsidP="475782D0">
      <w:pPr>
        <w:rPr>
          <w:sz w:val="24"/>
          <w:szCs w:val="24"/>
        </w:rPr>
      </w:pPr>
      <w:r w:rsidRPr="475782D0">
        <w:rPr>
          <w:sz w:val="24"/>
          <w:szCs w:val="24"/>
        </w:rPr>
        <w:br w:type="page"/>
      </w:r>
    </w:p>
    <w:p w14:paraId="29006706" w14:textId="3CFD2114" w:rsidR="4EE5E90C" w:rsidRDefault="4EE5E90C" w:rsidP="475782D0">
      <w:pPr>
        <w:jc w:val="right"/>
        <w:rPr>
          <w:rFonts w:ascii="Aptos" w:eastAsia="Aptos" w:hAnsi="Aptos" w:cs="Aptos"/>
          <w:b/>
          <w:bCs/>
          <w:sz w:val="24"/>
          <w:szCs w:val="24"/>
        </w:rPr>
      </w:pPr>
      <w:r w:rsidRPr="475782D0">
        <w:rPr>
          <w:rFonts w:eastAsiaTheme="minorEastAsia"/>
          <w:b/>
          <w:bCs/>
          <w:sz w:val="24"/>
          <w:szCs w:val="24"/>
        </w:rPr>
        <w:lastRenderedPageBreak/>
        <w:t>ANNEX A</w:t>
      </w:r>
    </w:p>
    <w:p w14:paraId="27876B7D" w14:textId="3018BAAE" w:rsidR="4EE5E90C" w:rsidRDefault="4EE5E90C" w:rsidP="05A9094C">
      <w:pPr>
        <w:spacing w:before="120" w:after="120" w:line="240" w:lineRule="auto"/>
        <w:jc w:val="both"/>
        <w:rPr>
          <w:rFonts w:ascii="Aptos" w:eastAsia="Aptos" w:hAnsi="Aptos" w:cs="Aptos"/>
          <w:b/>
          <w:bCs/>
          <w:color w:val="000000" w:themeColor="text1"/>
          <w:sz w:val="24"/>
          <w:szCs w:val="24"/>
        </w:rPr>
      </w:pPr>
      <w:r w:rsidRPr="475782D0">
        <w:rPr>
          <w:rFonts w:ascii="Aptos" w:eastAsia="Aptos" w:hAnsi="Aptos" w:cs="Aptos"/>
          <w:b/>
          <w:bCs/>
          <w:color w:val="000000" w:themeColor="text1"/>
          <w:sz w:val="24"/>
          <w:szCs w:val="24"/>
        </w:rPr>
        <w:t>ACTION THE AUTHORITY IS REQUIRED TO TAKE</w:t>
      </w:r>
    </w:p>
    <w:p w14:paraId="0EBA2109" w14:textId="4AA2B204" w:rsidR="00CC4CCB" w:rsidRDefault="00CC4CCB" w:rsidP="00CC4CCB">
      <w:pPr>
        <w:spacing w:before="120" w:after="120" w:line="240" w:lineRule="auto"/>
        <w:jc w:val="both"/>
        <w:rPr>
          <w:rFonts w:ascii="Aptos" w:eastAsia="Aptos" w:hAnsi="Aptos" w:cs="Aptos"/>
          <w:sz w:val="24"/>
          <w:szCs w:val="24"/>
        </w:rPr>
      </w:pPr>
      <w:r w:rsidRPr="05A9094C">
        <w:rPr>
          <w:rFonts w:ascii="Aptos" w:eastAsia="Aptos" w:hAnsi="Aptos" w:cs="Aptos"/>
          <w:sz w:val="24"/>
          <w:szCs w:val="24"/>
        </w:rPr>
        <w:t xml:space="preserve">In this Annex, the following expressions have the following meanings – </w:t>
      </w:r>
    </w:p>
    <w:p w14:paraId="647D227E" w14:textId="724F0271" w:rsidR="24B792C2" w:rsidRDefault="24B792C2" w:rsidP="3A80C76D">
      <w:pPr>
        <w:spacing w:before="120" w:after="120" w:line="240" w:lineRule="auto"/>
        <w:jc w:val="both"/>
        <w:rPr>
          <w:rFonts w:ascii="Aptos" w:eastAsia="Aptos" w:hAnsi="Aptos" w:cs="Aptos"/>
          <w:color w:val="000000" w:themeColor="text1"/>
          <w:sz w:val="24"/>
          <w:szCs w:val="24"/>
        </w:rPr>
      </w:pPr>
      <w:r w:rsidRPr="3A80C76D">
        <w:rPr>
          <w:rFonts w:ascii="Aptos" w:eastAsia="Aptos" w:hAnsi="Aptos" w:cs="Aptos"/>
          <w:color w:val="000000" w:themeColor="text1"/>
          <w:sz w:val="24"/>
          <w:szCs w:val="24"/>
        </w:rPr>
        <w:t>“The Authority” includes the Leader, the Cabinet, members of the Cabinet, any committee or subcommittee of the executive, any committee or subcommittee of the Council, any officer of the Council or any other person who has responsibility for exercising the function or other decision making in relation to the matter in question.</w:t>
      </w:r>
    </w:p>
    <w:p w14:paraId="17B6A5DD" w14:textId="0E743C45" w:rsidR="00DD3E3E" w:rsidRPr="00AA1165" w:rsidRDefault="00DD3E3E" w:rsidP="686ECEEE">
      <w:pPr>
        <w:spacing w:before="120" w:after="120" w:line="240" w:lineRule="auto"/>
        <w:jc w:val="both"/>
        <w:rPr>
          <w:rFonts w:ascii="Aptos" w:eastAsia="Aptos" w:hAnsi="Aptos" w:cs="Aptos"/>
          <w:i/>
          <w:iCs/>
          <w:color w:val="000000" w:themeColor="text1"/>
          <w:sz w:val="24"/>
          <w:szCs w:val="24"/>
        </w:rPr>
      </w:pPr>
      <w:r w:rsidRPr="686ECEEE">
        <w:rPr>
          <w:rFonts w:ascii="Aptos" w:eastAsia="Aptos" w:hAnsi="Aptos" w:cs="Aptos"/>
          <w:i/>
          <w:iCs/>
          <w:color w:val="000000" w:themeColor="text1"/>
          <w:sz w:val="24"/>
          <w:szCs w:val="24"/>
        </w:rPr>
        <w:t>Directions to the Authority</w:t>
      </w:r>
    </w:p>
    <w:p w14:paraId="0F81E96D" w14:textId="455365C7" w:rsidR="00CC4CCB" w:rsidRDefault="266665A9" w:rsidP="3A80C76D">
      <w:pPr>
        <w:spacing w:before="120" w:after="120" w:line="240" w:lineRule="auto"/>
        <w:jc w:val="both"/>
        <w:rPr>
          <w:rFonts w:ascii="Aptos" w:eastAsia="Aptos" w:hAnsi="Aptos" w:cs="Aptos"/>
          <w:color w:val="000000" w:themeColor="text1"/>
          <w:sz w:val="24"/>
          <w:szCs w:val="24"/>
        </w:rPr>
      </w:pPr>
      <w:r w:rsidRPr="7CFD5517">
        <w:rPr>
          <w:rFonts w:ascii="Aptos" w:eastAsia="Aptos" w:hAnsi="Aptos" w:cs="Aptos"/>
          <w:color w:val="000000" w:themeColor="text1"/>
          <w:sz w:val="24"/>
          <w:szCs w:val="24"/>
        </w:rPr>
        <w:t>The Directions set out actions which the Authority must undertake to effect the changes needed as well as supporting and facilitating the work of the Commissioners.</w:t>
      </w:r>
    </w:p>
    <w:p w14:paraId="1ECED316" w14:textId="63ED0A72" w:rsidR="00CC4CCB" w:rsidRDefault="00CC4CCB" w:rsidP="00CC4CCB">
      <w:pPr>
        <w:spacing w:before="120" w:after="120" w:line="240" w:lineRule="auto"/>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The actions to be taken by the Authority are:</w:t>
      </w:r>
    </w:p>
    <w:p w14:paraId="7F84BA52" w14:textId="3C46CC66" w:rsidR="00CC4CCB" w:rsidRDefault="00CC4CCB" w:rsidP="0094381B">
      <w:pPr>
        <w:pStyle w:val="ListParagraph"/>
        <w:numPr>
          <w:ilvl w:val="0"/>
          <w:numId w:val="21"/>
        </w:numPr>
        <w:spacing w:before="120" w:after="120" w:line="240" w:lineRule="auto"/>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To continue to implement and report on plans for the Authority’s continuous improvement and recovery, to ensure all required actions and changes are fully implemented to the satisfaction of the Commissioners, with resource allocated accordingly to drive, embed, and sustain improvements across governance, culture, partnership, use of resources and service delivery. This is needed in order to secure as soon as practicable that all the Authority’s functions are exercised in conformity with the Best Value Duty, thereby delivering improvements in services and outcomes for the people of Thurrock.  This should include as a minimum, actions to:</w:t>
      </w:r>
    </w:p>
    <w:p w14:paraId="21ECD8FF" w14:textId="1BE43BDB" w:rsidR="00CC4CCB" w:rsidRDefault="00CC4CCB" w:rsidP="00CC4CCB">
      <w:pPr>
        <w:spacing w:before="120" w:after="120" w:line="240" w:lineRule="auto"/>
        <w:ind w:left="720"/>
        <w:jc w:val="both"/>
        <w:rPr>
          <w:rFonts w:ascii="Aptos" w:eastAsia="Aptos" w:hAnsi="Aptos" w:cs="Aptos"/>
          <w:color w:val="000000" w:themeColor="text1"/>
          <w:sz w:val="24"/>
          <w:szCs w:val="24"/>
        </w:rPr>
      </w:pPr>
      <w:r w:rsidRPr="65E4CE21">
        <w:rPr>
          <w:rFonts w:ascii="Aptos" w:eastAsia="Aptos" w:hAnsi="Aptos" w:cs="Aptos"/>
          <w:color w:val="000000" w:themeColor="text1"/>
          <w:sz w:val="24"/>
          <w:szCs w:val="24"/>
        </w:rPr>
        <w:t xml:space="preserve">a. Ensure compliance with all relevant rules, guidelines and codes relating </w:t>
      </w:r>
      <w:r w:rsidR="6D38434C" w:rsidRPr="65E4CE21">
        <w:rPr>
          <w:rFonts w:ascii="Aptos" w:eastAsia="Aptos" w:hAnsi="Aptos" w:cs="Aptos"/>
          <w:color w:val="000000" w:themeColor="text1"/>
          <w:sz w:val="24"/>
          <w:szCs w:val="24"/>
        </w:rPr>
        <w:t xml:space="preserve">to </w:t>
      </w:r>
      <w:r w:rsidRPr="65E4CE21">
        <w:rPr>
          <w:rFonts w:ascii="Aptos" w:eastAsia="Aptos" w:hAnsi="Aptos" w:cs="Aptos"/>
          <w:color w:val="000000" w:themeColor="text1"/>
          <w:sz w:val="24"/>
          <w:szCs w:val="24"/>
        </w:rPr>
        <w:t xml:space="preserve">the financial management of the Authority. </w:t>
      </w:r>
    </w:p>
    <w:p w14:paraId="164D7632" w14:textId="0F50AD8B" w:rsidR="00CC4CCB" w:rsidRDefault="00CC4CCB" w:rsidP="00CC4CCB">
      <w:pPr>
        <w:spacing w:before="120" w:after="120" w:line="240" w:lineRule="auto"/>
        <w:ind w:left="72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b. Strengthen the Authority’s system of internal controls, notably risk management and internal audit, and embed governance and culture improvements across the organisation. </w:t>
      </w:r>
    </w:p>
    <w:p w14:paraId="34BC218C" w14:textId="77777777" w:rsidR="00CC4CCB" w:rsidRDefault="00CC4CCB" w:rsidP="00CC4CCB">
      <w:pPr>
        <w:spacing w:before="120" w:after="120" w:line="240" w:lineRule="auto"/>
        <w:ind w:left="72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 xml:space="preserve">c. Ensure that the Authority has personnel with sufficient capability and capacity including access to appropriate specialist expertise where required, enabled by a strengthened corporate culture, a robust officer structure and an effective framework for performance management across the Authority. </w:t>
      </w:r>
    </w:p>
    <w:p w14:paraId="305FD958" w14:textId="77777777" w:rsidR="00CC4CCB" w:rsidRDefault="00CC4CCB" w:rsidP="002E0995">
      <w:pPr>
        <w:spacing w:line="240" w:lineRule="auto"/>
        <w:ind w:left="72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d. Define and implement the Authority’s proposed operating model. This should be backed by a fully resourced and strategic transformation plan, in line with the council’s MTFS, Treasury Management Strategy, and Capital Strategy. The Transformation Plan must incorporate a robust multi-year savings plan, that enables financial sustainability and resilience, debt reduction and the delivery of core services and priorities.</w:t>
      </w:r>
    </w:p>
    <w:p w14:paraId="4090A49C" w14:textId="36B7863D" w:rsidR="0094381B" w:rsidRPr="00BC5EF5" w:rsidRDefault="00CC4CCB" w:rsidP="00F62742">
      <w:pPr>
        <w:pStyle w:val="ListParagraph"/>
        <w:numPr>
          <w:ilvl w:val="0"/>
          <w:numId w:val="21"/>
        </w:numPr>
        <w:spacing w:line="240" w:lineRule="auto"/>
        <w:ind w:left="357" w:hanging="357"/>
        <w:contextualSpacing w:val="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 xml:space="preserve">To develop and maintain a revised Corporate Plan which incorporates and builds upon the enhanced Improvement and Recovery Plan and reflects the necessary work remaining to ensure the Authority’s compliance with the Best Value Duty. </w:t>
      </w:r>
    </w:p>
    <w:p w14:paraId="727C8A43" w14:textId="59BCF1AF" w:rsidR="00CC4CCB" w:rsidRPr="00AA1165" w:rsidRDefault="33B37013" w:rsidP="00F62742">
      <w:pPr>
        <w:pStyle w:val="ListParagraph"/>
        <w:numPr>
          <w:ilvl w:val="0"/>
          <w:numId w:val="21"/>
        </w:numPr>
        <w:spacing w:line="240" w:lineRule="auto"/>
        <w:ind w:left="357" w:hanging="357"/>
        <w:contextualSpacing w:val="0"/>
        <w:jc w:val="both"/>
        <w:rPr>
          <w:rFonts w:ascii="Aptos" w:eastAsia="Aptos" w:hAnsi="Aptos" w:cs="Aptos"/>
          <w:color w:val="000000" w:themeColor="text1"/>
          <w:sz w:val="24"/>
          <w:szCs w:val="24"/>
        </w:rPr>
      </w:pPr>
      <w:r w:rsidRPr="428EE884">
        <w:rPr>
          <w:rFonts w:ascii="Aptos" w:eastAsia="Aptos" w:hAnsi="Aptos" w:cs="Aptos"/>
          <w:color w:val="000000" w:themeColor="text1"/>
          <w:sz w:val="24"/>
          <w:szCs w:val="24"/>
        </w:rPr>
        <w:t xml:space="preserve">To take steps to ensure that the role of Accountable Body to the Thames Freeport is exercised to the satisfaction of the Commissioners. </w:t>
      </w:r>
    </w:p>
    <w:p w14:paraId="2C6107E7" w14:textId="3092596F" w:rsidR="0094381B" w:rsidRPr="00BC5EF5"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To actively work with Commissioners on the work with other councils in the Greater Essex area for unitary local government and the Devolution Priority Programme on implementing any such proposals later agreed upon. </w:t>
      </w:r>
    </w:p>
    <w:p w14:paraId="37E7BB1E" w14:textId="0EF38E17" w:rsidR="0094381B" w:rsidRPr="00BC5EF5"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To report to the Commissioners on the delivery of all plans at intervals as Commissioners may direct. </w:t>
      </w:r>
    </w:p>
    <w:p w14:paraId="02D1ABF9" w14:textId="347F630A" w:rsidR="0094381B" w:rsidRPr="00BC5EF5"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To undertake in the exercise of any of its functions any action that the Commissioners may reasonably require to avoid so far as practicable incidents of poor governance, poor financial governance or financial mismanagement that would, in the reasonable opinion of the Commissioners, give rise to the risk of further failures by the Authority to comply with the Best Value Duty.</w:t>
      </w:r>
    </w:p>
    <w:p w14:paraId="3C605643" w14:textId="500249AF" w:rsidR="00CC4CCB"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To allow the Commissioners at all reasonable times, such access as appears to the Commissioners to be necessary: </w:t>
      </w:r>
    </w:p>
    <w:p w14:paraId="56DA24A7" w14:textId="77777777" w:rsidR="00CC4CCB" w:rsidRDefault="00CC4CCB" w:rsidP="00F62742">
      <w:pPr>
        <w:spacing w:before="120" w:after="0" w:line="240" w:lineRule="auto"/>
        <w:ind w:firstLine="72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a. to any premises of the Authority; </w:t>
      </w:r>
    </w:p>
    <w:p w14:paraId="09BCEC1E" w14:textId="77777777" w:rsidR="00CC4CCB" w:rsidRDefault="00CC4CCB" w:rsidP="00F62742">
      <w:pPr>
        <w:spacing w:after="0" w:line="240" w:lineRule="auto"/>
        <w:ind w:firstLine="72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b. to any document relating to the Authority; and </w:t>
      </w:r>
    </w:p>
    <w:p w14:paraId="2FBAFF62" w14:textId="77777777" w:rsidR="00CC4CCB" w:rsidRDefault="00CC4CCB" w:rsidP="00F62742">
      <w:pPr>
        <w:spacing w:after="120" w:line="240" w:lineRule="auto"/>
        <w:ind w:firstLine="720"/>
        <w:jc w:val="both"/>
        <w:rPr>
          <w:rFonts w:ascii="Aptos" w:eastAsia="Aptos" w:hAnsi="Aptos" w:cs="Aptos"/>
          <w:color w:val="000000" w:themeColor="text1"/>
          <w:sz w:val="24"/>
          <w:szCs w:val="24"/>
        </w:rPr>
      </w:pPr>
      <w:r w:rsidRPr="39CEA0F7">
        <w:rPr>
          <w:rFonts w:ascii="Aptos" w:eastAsia="Aptos" w:hAnsi="Aptos" w:cs="Aptos"/>
          <w:color w:val="000000" w:themeColor="text1"/>
          <w:sz w:val="24"/>
          <w:szCs w:val="24"/>
        </w:rPr>
        <w:t xml:space="preserve">c. to any employee or member of the Authority. </w:t>
      </w:r>
    </w:p>
    <w:p w14:paraId="00CB6F92" w14:textId="2A5D2E7B" w:rsidR="0094381B" w:rsidRPr="00BC5EF5" w:rsidRDefault="00CC4CCB" w:rsidP="00F62742">
      <w:pPr>
        <w:pStyle w:val="ListParagraph"/>
        <w:numPr>
          <w:ilvl w:val="0"/>
          <w:numId w:val="21"/>
        </w:numPr>
        <w:spacing w:after="120" w:line="240" w:lineRule="auto"/>
        <w:contextualSpacing w:val="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 xml:space="preserve">To provide the Commissioners, at the expense of the Authority, with such reasonable amenities and services and administrative support as the Commissioners may reasonably require from time to time to carry out their functions and responsibilities under these Directions. </w:t>
      </w:r>
    </w:p>
    <w:p w14:paraId="39726ED8" w14:textId="289CC267" w:rsidR="0094381B" w:rsidRPr="00BC5EF5"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 xml:space="preserve">To pay the Commissioners reasonable expenses, and such fees as the Secretary of State determines are to be paid to them. </w:t>
      </w:r>
    </w:p>
    <w:p w14:paraId="57985D45" w14:textId="2916A7CC" w:rsidR="0094381B" w:rsidRPr="00BC5EF5"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 xml:space="preserve">To provide the Commissioners with such assistance and information, including any views of the Authority on any matter, as the Commissioners may reasonably request. </w:t>
      </w:r>
    </w:p>
    <w:p w14:paraId="2A7883D6" w14:textId="761325A7" w:rsidR="00CC4CCB" w:rsidRDefault="00CC4CCB" w:rsidP="00F62742">
      <w:pPr>
        <w:pStyle w:val="ListParagraph"/>
        <w:numPr>
          <w:ilvl w:val="0"/>
          <w:numId w:val="21"/>
        </w:numPr>
        <w:spacing w:line="240" w:lineRule="auto"/>
        <w:contextualSpacing w:val="0"/>
        <w:jc w:val="both"/>
        <w:rPr>
          <w:rFonts w:ascii="Aptos" w:eastAsia="Aptos" w:hAnsi="Aptos" w:cs="Aptos"/>
          <w:color w:val="000000" w:themeColor="text1"/>
          <w:sz w:val="24"/>
          <w:szCs w:val="24"/>
        </w:rPr>
      </w:pPr>
      <w:r w:rsidRPr="475782D0">
        <w:rPr>
          <w:rFonts w:ascii="Aptos" w:eastAsia="Aptos" w:hAnsi="Aptos" w:cs="Aptos"/>
          <w:color w:val="000000" w:themeColor="text1"/>
          <w:sz w:val="24"/>
          <w:szCs w:val="24"/>
        </w:rPr>
        <w:t>To co-operate with the Secretary of State for Housing, Communities and Local Government in relation to implementing the terms of these Directions.</w:t>
      </w:r>
    </w:p>
    <w:p w14:paraId="717081C1" w14:textId="01185ED0" w:rsidR="475782D0" w:rsidRDefault="475782D0" w:rsidP="00F62742">
      <w:pPr>
        <w:rPr>
          <w:sz w:val="24"/>
          <w:szCs w:val="24"/>
        </w:rPr>
      </w:pPr>
      <w:r w:rsidRPr="475782D0">
        <w:rPr>
          <w:sz w:val="24"/>
          <w:szCs w:val="24"/>
        </w:rPr>
        <w:br w:type="page"/>
      </w:r>
    </w:p>
    <w:p w14:paraId="6C6677A4" w14:textId="77777777" w:rsidR="00CC4CCB" w:rsidRPr="00DE513C" w:rsidRDefault="00CC4CCB" w:rsidP="475782D0">
      <w:pPr>
        <w:jc w:val="right"/>
        <w:rPr>
          <w:b/>
          <w:bCs/>
          <w:sz w:val="24"/>
          <w:szCs w:val="24"/>
        </w:rPr>
      </w:pPr>
      <w:r w:rsidRPr="475782D0">
        <w:rPr>
          <w:rFonts w:eastAsiaTheme="minorEastAsia"/>
          <w:b/>
          <w:bCs/>
          <w:sz w:val="24"/>
          <w:szCs w:val="24"/>
        </w:rPr>
        <w:t>Annex B </w:t>
      </w:r>
    </w:p>
    <w:p w14:paraId="0B972439" w14:textId="6C35F2EF" w:rsidR="78345EE0" w:rsidRDefault="78345EE0" w:rsidP="475782D0">
      <w:pPr>
        <w:rPr>
          <w:b/>
          <w:bCs/>
          <w:sz w:val="24"/>
          <w:szCs w:val="24"/>
        </w:rPr>
      </w:pPr>
      <w:r w:rsidRPr="475782D0">
        <w:rPr>
          <w:b/>
          <w:bCs/>
          <w:sz w:val="24"/>
          <w:szCs w:val="24"/>
        </w:rPr>
        <w:t>FUNCTIONS OF THE AUTHORITY TO BE EXERCISED BY THE COMMISSIONERS</w:t>
      </w:r>
    </w:p>
    <w:p w14:paraId="3208B2AF" w14:textId="77777777" w:rsidR="00CC4CCB" w:rsidRPr="00DE513C" w:rsidRDefault="00CC4CCB" w:rsidP="00CC4CCB">
      <w:pPr>
        <w:jc w:val="both"/>
        <w:rPr>
          <w:sz w:val="24"/>
          <w:szCs w:val="24"/>
        </w:rPr>
      </w:pPr>
      <w:r w:rsidRPr="00DE513C">
        <w:rPr>
          <w:sz w:val="24"/>
          <w:szCs w:val="24"/>
        </w:rPr>
        <w:t>In this Annex, the following expressions have the following meanings – </w:t>
      </w:r>
    </w:p>
    <w:p w14:paraId="12BBB0D4" w14:textId="77777777" w:rsidR="00CC4CCB" w:rsidRPr="00DE513C" w:rsidRDefault="00CC4CCB" w:rsidP="00CC4CCB">
      <w:pPr>
        <w:jc w:val="both"/>
        <w:rPr>
          <w:sz w:val="24"/>
          <w:szCs w:val="24"/>
        </w:rPr>
      </w:pPr>
      <w:r w:rsidRPr="475782D0">
        <w:rPr>
          <w:sz w:val="24"/>
          <w:szCs w:val="24"/>
        </w:rPr>
        <w:t xml:space="preserve">“The Authority” includes the Leader, the Cabinet, members of the Cabinet, any committee or subcommittee of the executive, any committee or subcommittee of the Council, any officer of the Council or any other person who has responsibility for exercising the function or other decision making in relation to the matter in question.  </w:t>
      </w:r>
    </w:p>
    <w:p w14:paraId="457B72E8" w14:textId="77777777" w:rsidR="00CC4CCB" w:rsidRPr="00DE513C" w:rsidRDefault="00CC4CCB" w:rsidP="00CC4CCB">
      <w:pPr>
        <w:jc w:val="both"/>
        <w:rPr>
          <w:sz w:val="24"/>
          <w:szCs w:val="24"/>
        </w:rPr>
      </w:pPr>
      <w:r w:rsidRPr="00DE513C">
        <w:rPr>
          <w:sz w:val="24"/>
          <w:szCs w:val="24"/>
        </w:rPr>
        <w:t>“Statutory Officer” means any of: the Head of Paid Service designated under section 4(1) of the Local Government and Housing Act 1989; the Chief Financial Officer designated as having responsibility for the administration of the Authority’s financial affairs under section 151 of the Local Government Act 1972; the Monitoring Officer designated under section 5(1) of the Local Government and Housing Act 1989; and the Scrutiny Officer designated under section 9FB of the Local Government Act 2000 (and the expressions “statutory officer” and “statutory office” are to be construed accordingly). </w:t>
      </w:r>
    </w:p>
    <w:p w14:paraId="2BF40978" w14:textId="77777777" w:rsidR="00CC4CCB" w:rsidRPr="00DE513C" w:rsidRDefault="00CC4CCB" w:rsidP="00CC4CCB">
      <w:pPr>
        <w:jc w:val="both"/>
        <w:rPr>
          <w:sz w:val="24"/>
          <w:szCs w:val="24"/>
        </w:rPr>
      </w:pPr>
      <w:r w:rsidRPr="00DE513C">
        <w:rPr>
          <w:sz w:val="24"/>
          <w:szCs w:val="24"/>
        </w:rPr>
        <w:t>“Senior positions” are defined as the Chief Executive, direct reports to the Chief Executive and their direct reports, and their Group Managers – tiers one, two and three. </w:t>
      </w:r>
    </w:p>
    <w:p w14:paraId="4C1C1C9B" w14:textId="77777777" w:rsidR="00CC4CCB" w:rsidRPr="00DE513C" w:rsidRDefault="00CC4CCB" w:rsidP="00CC4CCB">
      <w:pPr>
        <w:jc w:val="both"/>
        <w:rPr>
          <w:sz w:val="24"/>
          <w:szCs w:val="24"/>
        </w:rPr>
      </w:pPr>
      <w:r w:rsidRPr="00DE513C">
        <w:rPr>
          <w:sz w:val="24"/>
          <w:szCs w:val="24"/>
        </w:rPr>
        <w:t>The Commissioners shall exercise:  </w:t>
      </w:r>
    </w:p>
    <w:p w14:paraId="6D82423E" w14:textId="77777777" w:rsidR="00CC4CCB" w:rsidRPr="00DE513C" w:rsidRDefault="00CC4CCB" w:rsidP="00CC4CCB">
      <w:pPr>
        <w:numPr>
          <w:ilvl w:val="0"/>
          <w:numId w:val="3"/>
        </w:numPr>
        <w:jc w:val="both"/>
        <w:rPr>
          <w:sz w:val="24"/>
          <w:szCs w:val="24"/>
        </w:rPr>
      </w:pPr>
      <w:r w:rsidRPr="00DE513C">
        <w:rPr>
          <w:sz w:val="24"/>
          <w:szCs w:val="24"/>
        </w:rPr>
        <w:t>All functions associated with the governance, scrutiny and transparency of strategic decision making by the Authority. </w:t>
      </w:r>
    </w:p>
    <w:p w14:paraId="39343FDB" w14:textId="77777777" w:rsidR="00CC4CCB" w:rsidRPr="00DE513C" w:rsidRDefault="00CC4CCB" w:rsidP="00CC4CCB">
      <w:pPr>
        <w:numPr>
          <w:ilvl w:val="0"/>
          <w:numId w:val="4"/>
        </w:numPr>
        <w:jc w:val="both"/>
        <w:rPr>
          <w:sz w:val="24"/>
          <w:szCs w:val="24"/>
        </w:rPr>
      </w:pPr>
      <w:r w:rsidRPr="00DE513C">
        <w:rPr>
          <w:sz w:val="24"/>
          <w:szCs w:val="24"/>
        </w:rPr>
        <w:t>All functions associated with the financial governance and scrutiny of strategic financial decision making by the Authority. </w:t>
      </w:r>
    </w:p>
    <w:p w14:paraId="24828DCD" w14:textId="77777777" w:rsidR="00CC4CCB" w:rsidRPr="00DE513C" w:rsidRDefault="00CC4CCB" w:rsidP="00CC4CCB">
      <w:pPr>
        <w:numPr>
          <w:ilvl w:val="0"/>
          <w:numId w:val="5"/>
        </w:numPr>
        <w:jc w:val="both"/>
        <w:rPr>
          <w:sz w:val="24"/>
          <w:szCs w:val="24"/>
        </w:rPr>
      </w:pPr>
      <w:r w:rsidRPr="475782D0">
        <w:rPr>
          <w:sz w:val="24"/>
          <w:szCs w:val="24"/>
        </w:rPr>
        <w:t>The requirement from section 151 of the Local Government Act 1972 to make arrangements for the proper administration of the Authority’s financial affairs, and all functions associated with the strategic financial management of the Authority, to include; </w:t>
      </w:r>
    </w:p>
    <w:p w14:paraId="3F86B1C3" w14:textId="77777777" w:rsidR="00CC4CCB" w:rsidRPr="00DE513C" w:rsidRDefault="00CC4CCB" w:rsidP="00CC4CCB">
      <w:pPr>
        <w:numPr>
          <w:ilvl w:val="0"/>
          <w:numId w:val="6"/>
        </w:numPr>
        <w:jc w:val="both"/>
        <w:rPr>
          <w:sz w:val="24"/>
          <w:szCs w:val="24"/>
        </w:rPr>
      </w:pPr>
      <w:r w:rsidRPr="475782D0">
        <w:rPr>
          <w:sz w:val="24"/>
          <w:szCs w:val="24"/>
        </w:rPr>
        <w:t>providing advice and challenge to the Authority on the preparation and implementation of a detailed action plan to achieve financial sustainability and to close any short and long-term budget gaps identified by the Authority across the period of its medium-term financial strategy (MTFS), including a robust multi-year savings plan;  </w:t>
      </w:r>
    </w:p>
    <w:p w14:paraId="2D5E59D6" w14:textId="77777777" w:rsidR="00CC4CCB" w:rsidRPr="00DE513C" w:rsidRDefault="00CC4CCB" w:rsidP="00CC4CCB">
      <w:pPr>
        <w:numPr>
          <w:ilvl w:val="0"/>
          <w:numId w:val="7"/>
        </w:numPr>
        <w:jc w:val="both"/>
        <w:rPr>
          <w:sz w:val="24"/>
          <w:szCs w:val="24"/>
        </w:rPr>
      </w:pPr>
      <w:r w:rsidRPr="475782D0">
        <w:rPr>
          <w:sz w:val="24"/>
          <w:szCs w:val="24"/>
        </w:rPr>
        <w:t>providing advice and challenge to the Authority in the setting of annual budgets and a robust medium term financial strategy (MTFS) for the Authority, strictly limiting future borrowing and capital spending;  </w:t>
      </w:r>
    </w:p>
    <w:p w14:paraId="17A931F9" w14:textId="77777777" w:rsidR="00CC4CCB" w:rsidRPr="00DE513C" w:rsidRDefault="00CC4CCB" w:rsidP="00CC4CCB">
      <w:pPr>
        <w:numPr>
          <w:ilvl w:val="0"/>
          <w:numId w:val="8"/>
        </w:numPr>
        <w:jc w:val="both"/>
        <w:rPr>
          <w:sz w:val="24"/>
          <w:szCs w:val="24"/>
        </w:rPr>
      </w:pPr>
      <w:r w:rsidRPr="00DE513C">
        <w:rPr>
          <w:sz w:val="24"/>
          <w:szCs w:val="24"/>
        </w:rPr>
        <w:t>scrutiny of all in-year amendments to annual budgets;  </w:t>
      </w:r>
    </w:p>
    <w:p w14:paraId="50EEDF05" w14:textId="77777777" w:rsidR="00CC4CCB" w:rsidRPr="00DE513C" w:rsidRDefault="00CC4CCB" w:rsidP="6294283E">
      <w:pPr>
        <w:numPr>
          <w:ilvl w:val="0"/>
          <w:numId w:val="9"/>
        </w:numPr>
        <w:ind w:left="1080"/>
        <w:jc w:val="both"/>
        <w:rPr>
          <w:sz w:val="24"/>
          <w:szCs w:val="24"/>
        </w:rPr>
      </w:pPr>
      <w:r w:rsidRPr="475782D0">
        <w:rPr>
          <w:sz w:val="24"/>
          <w:szCs w:val="24"/>
        </w:rPr>
        <w:t>the power to amend budgets where Commissioners consider that those budgets constitute a risk to the Authority’s ability to fulfil its Best Value Duty;  </w:t>
      </w:r>
    </w:p>
    <w:p w14:paraId="76EE9A2E" w14:textId="77777777" w:rsidR="00CC4CCB" w:rsidRPr="00DE513C" w:rsidRDefault="00CC4CCB" w:rsidP="6294283E">
      <w:pPr>
        <w:numPr>
          <w:ilvl w:val="0"/>
          <w:numId w:val="10"/>
        </w:numPr>
        <w:ind w:left="1080"/>
        <w:jc w:val="both"/>
        <w:rPr>
          <w:sz w:val="24"/>
          <w:szCs w:val="24"/>
        </w:rPr>
      </w:pPr>
      <w:r w:rsidRPr="475782D0">
        <w:rPr>
          <w:sz w:val="24"/>
          <w:szCs w:val="24"/>
        </w:rPr>
        <w:t>providing advice and challenge to the Authority on the preparation of sustainable and affordable capital, investment and treasury management strategies; a strict debt reduction plan; and a revised minimum revenue provision (MRP) policy;  </w:t>
      </w:r>
    </w:p>
    <w:p w14:paraId="3A9DCEF9" w14:textId="77777777" w:rsidR="00CC4CCB" w:rsidRPr="00DE513C" w:rsidRDefault="00CC4CCB" w:rsidP="6294283E">
      <w:pPr>
        <w:numPr>
          <w:ilvl w:val="0"/>
          <w:numId w:val="11"/>
        </w:numPr>
        <w:ind w:left="1080"/>
        <w:jc w:val="both"/>
        <w:rPr>
          <w:sz w:val="24"/>
          <w:szCs w:val="24"/>
        </w:rPr>
      </w:pPr>
      <w:r w:rsidRPr="00DE513C">
        <w:rPr>
          <w:sz w:val="24"/>
          <w:szCs w:val="24"/>
        </w:rPr>
        <w:t>providing advice and challenge to the Authority on a suitable scheme of delegations for financial decision-making; and </w:t>
      </w:r>
    </w:p>
    <w:p w14:paraId="5319EE76" w14:textId="77777777" w:rsidR="00CC4CCB" w:rsidRPr="00DE513C" w:rsidRDefault="00CC4CCB" w:rsidP="6294283E">
      <w:pPr>
        <w:numPr>
          <w:ilvl w:val="0"/>
          <w:numId w:val="12"/>
        </w:numPr>
        <w:ind w:left="1080"/>
        <w:jc w:val="both"/>
        <w:rPr>
          <w:sz w:val="24"/>
          <w:szCs w:val="24"/>
        </w:rPr>
      </w:pPr>
      <w:r w:rsidRPr="475782D0">
        <w:rPr>
          <w:sz w:val="24"/>
          <w:szCs w:val="24"/>
        </w:rPr>
        <w:t>ensuring compliance with all relevant rules and guidelines relating to the financial management of the Authority. </w:t>
      </w:r>
    </w:p>
    <w:p w14:paraId="24DE1410" w14:textId="77777777" w:rsidR="00CC4CCB" w:rsidRPr="00DE513C" w:rsidRDefault="00CC4CCB" w:rsidP="00CC4CCB">
      <w:pPr>
        <w:numPr>
          <w:ilvl w:val="0"/>
          <w:numId w:val="13"/>
        </w:numPr>
        <w:jc w:val="both"/>
        <w:rPr>
          <w:sz w:val="24"/>
          <w:szCs w:val="24"/>
        </w:rPr>
      </w:pPr>
      <w:r w:rsidRPr="00DE513C">
        <w:rPr>
          <w:sz w:val="24"/>
          <w:szCs w:val="24"/>
        </w:rPr>
        <w:t> All functions associated with the Authority’s operating model and redesign of services to achieve value for money and financial sustainability. </w:t>
      </w:r>
    </w:p>
    <w:p w14:paraId="76B47291" w14:textId="77777777" w:rsidR="00CC4CCB" w:rsidRPr="00DE513C" w:rsidRDefault="00CC4CCB" w:rsidP="00CC4CCB">
      <w:pPr>
        <w:numPr>
          <w:ilvl w:val="0"/>
          <w:numId w:val="14"/>
        </w:numPr>
        <w:jc w:val="both"/>
        <w:rPr>
          <w:sz w:val="24"/>
          <w:szCs w:val="24"/>
        </w:rPr>
      </w:pPr>
      <w:r w:rsidRPr="475782D0">
        <w:rPr>
          <w:sz w:val="24"/>
          <w:szCs w:val="24"/>
        </w:rPr>
        <w:t>All functions relating to the appointment and dismissal of persons to positions the holders of which are to be designated as statutory officers, and the designation of those persons as statutory officers, to include: </w:t>
      </w:r>
    </w:p>
    <w:p w14:paraId="039C0CD5" w14:textId="77777777" w:rsidR="00CC4CCB" w:rsidRPr="00DE513C" w:rsidRDefault="00CC4CCB" w:rsidP="5DAB7538">
      <w:pPr>
        <w:numPr>
          <w:ilvl w:val="0"/>
          <w:numId w:val="15"/>
        </w:numPr>
        <w:ind w:left="1080"/>
        <w:jc w:val="both"/>
        <w:rPr>
          <w:sz w:val="24"/>
          <w:szCs w:val="24"/>
        </w:rPr>
      </w:pPr>
      <w:r w:rsidRPr="475782D0">
        <w:rPr>
          <w:sz w:val="24"/>
          <w:szCs w:val="24"/>
        </w:rPr>
        <w:t>the functions of designating a person as a statutory officer and removing a person from a statutory office; and </w:t>
      </w:r>
    </w:p>
    <w:p w14:paraId="14A4E714" w14:textId="77777777" w:rsidR="00CC4CCB" w:rsidRPr="00DE513C" w:rsidRDefault="00CC4CCB" w:rsidP="5DAB7538">
      <w:pPr>
        <w:numPr>
          <w:ilvl w:val="0"/>
          <w:numId w:val="16"/>
        </w:numPr>
        <w:ind w:left="1080"/>
        <w:jc w:val="both"/>
        <w:rPr>
          <w:sz w:val="24"/>
          <w:szCs w:val="24"/>
        </w:rPr>
      </w:pPr>
      <w:r w:rsidRPr="00DE513C">
        <w:rPr>
          <w:sz w:val="24"/>
          <w:szCs w:val="24"/>
        </w:rPr>
        <w:t>the functions under section 112 of the Local Government Act 1972 of: </w:t>
      </w:r>
    </w:p>
    <w:p w14:paraId="15419760" w14:textId="5FB565FA" w:rsidR="00CC4CCB" w:rsidRPr="00DE513C" w:rsidRDefault="00CC4CCB" w:rsidP="00F62742">
      <w:pPr>
        <w:numPr>
          <w:ilvl w:val="0"/>
          <w:numId w:val="17"/>
        </w:numPr>
        <w:tabs>
          <w:tab w:val="clear" w:pos="720"/>
          <w:tab w:val="num" w:pos="1440"/>
        </w:tabs>
        <w:spacing w:after="0"/>
        <w:jc w:val="both"/>
        <w:rPr>
          <w:sz w:val="24"/>
          <w:szCs w:val="24"/>
        </w:rPr>
      </w:pPr>
      <w:r w:rsidRPr="475782D0">
        <w:rPr>
          <w:sz w:val="24"/>
          <w:szCs w:val="24"/>
        </w:rPr>
        <w:t>appointing and determining the terms and conditions of employment of an officer of the Authority, insofar as those functions are exercised for the purpose of appointing a person as an officer of the Authority principally in order for that person to be designated as a statutory officer; and </w:t>
      </w:r>
    </w:p>
    <w:p w14:paraId="1058FEB1" w14:textId="77777777" w:rsidR="00CC4CCB" w:rsidRPr="00DE513C" w:rsidRDefault="00CC4CCB" w:rsidP="00F62742">
      <w:pPr>
        <w:numPr>
          <w:ilvl w:val="0"/>
          <w:numId w:val="18"/>
        </w:numPr>
        <w:tabs>
          <w:tab w:val="clear" w:pos="720"/>
          <w:tab w:val="num" w:pos="1440"/>
        </w:tabs>
        <w:jc w:val="both"/>
        <w:rPr>
          <w:sz w:val="24"/>
          <w:szCs w:val="24"/>
        </w:rPr>
      </w:pPr>
      <w:r w:rsidRPr="475782D0">
        <w:rPr>
          <w:sz w:val="24"/>
          <w:szCs w:val="24"/>
        </w:rPr>
        <w:t>dismissing any person who has been designated as a statutory officer from his or her position as an officer of the Authority. </w:t>
      </w:r>
    </w:p>
    <w:p w14:paraId="412F8459" w14:textId="77777777" w:rsidR="00CC4CCB" w:rsidRPr="00DE513C" w:rsidRDefault="00CC4CCB" w:rsidP="00F62742">
      <w:pPr>
        <w:numPr>
          <w:ilvl w:val="0"/>
          <w:numId w:val="19"/>
        </w:numPr>
        <w:jc w:val="both"/>
        <w:rPr>
          <w:sz w:val="24"/>
          <w:szCs w:val="24"/>
        </w:rPr>
      </w:pPr>
      <w:r w:rsidRPr="475782D0">
        <w:rPr>
          <w:sz w:val="24"/>
          <w:szCs w:val="24"/>
        </w:rPr>
        <w:t>All functions to define the officer structure for the senior positions at the Authority, to determine the recruitment processes and then to recruit the relevant staff to those positions. </w:t>
      </w:r>
    </w:p>
    <w:p w14:paraId="56F51F13" w14:textId="77777777" w:rsidR="00CC4CCB" w:rsidRPr="00DE513C" w:rsidRDefault="00CC4CCB" w:rsidP="00CC4CCB">
      <w:pPr>
        <w:numPr>
          <w:ilvl w:val="0"/>
          <w:numId w:val="20"/>
        </w:numPr>
        <w:jc w:val="both"/>
        <w:rPr>
          <w:sz w:val="24"/>
          <w:szCs w:val="24"/>
        </w:rPr>
      </w:pPr>
      <w:r w:rsidRPr="475782D0">
        <w:rPr>
          <w:sz w:val="24"/>
          <w:szCs w:val="24"/>
        </w:rPr>
        <w:t>All functions pertaining to the development, oversight and operation of an enhanced performance management framework for officers holding senior positions. </w:t>
      </w:r>
    </w:p>
    <w:p w14:paraId="6B126202" w14:textId="77777777" w:rsidR="003D418A" w:rsidRDefault="003D418A"/>
    <w:sectPr w:rsidR="003D41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2238" w14:textId="77777777" w:rsidR="006A5337" w:rsidRDefault="006A5337" w:rsidP="00366446">
      <w:pPr>
        <w:spacing w:after="0" w:line="240" w:lineRule="auto"/>
      </w:pPr>
      <w:r>
        <w:separator/>
      </w:r>
    </w:p>
  </w:endnote>
  <w:endnote w:type="continuationSeparator" w:id="0">
    <w:p w14:paraId="5D6F3700" w14:textId="77777777" w:rsidR="006A5337" w:rsidRDefault="006A5337" w:rsidP="0036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3946" w14:textId="1E8F6A43" w:rsidR="00366446" w:rsidRDefault="00366446">
    <w:pPr>
      <w:pStyle w:val="Footer"/>
    </w:pPr>
    <w:r>
      <w:rPr>
        <w:noProof/>
        <w14:ligatures w14:val="standardContextual"/>
      </w:rPr>
      <mc:AlternateContent>
        <mc:Choice Requires="wps">
          <w:drawing>
            <wp:anchor distT="0" distB="0" distL="0" distR="0" simplePos="0" relativeHeight="251658243" behindDoc="0" locked="0" layoutInCell="1" allowOverlap="1" wp14:anchorId="7EEC5325" wp14:editId="78F48E24">
              <wp:simplePos x="635" y="635"/>
              <wp:positionH relativeFrom="page">
                <wp:align>center</wp:align>
              </wp:positionH>
              <wp:positionV relativeFrom="page">
                <wp:align>bottom</wp:align>
              </wp:positionV>
              <wp:extent cx="459740" cy="357505"/>
              <wp:effectExtent l="0" t="0" r="16510" b="0"/>
              <wp:wrapNone/>
              <wp:docPr id="9554229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AD19700" w14:textId="759A8C86" w:rsidR="00366446" w:rsidRPr="00366446" w:rsidRDefault="00366446" w:rsidP="00366446">
                          <w:pPr>
                            <w:spacing w:after="0"/>
                            <w:rPr>
                              <w:rFonts w:ascii="Calibri" w:eastAsia="Calibri" w:hAnsi="Calibri" w:cs="Calibri"/>
                              <w:noProof/>
                              <w:color w:val="000000"/>
                              <w:sz w:val="20"/>
                              <w:szCs w:val="20"/>
                            </w:rPr>
                          </w:pPr>
                          <w:r w:rsidRPr="0036644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7EEC5325">
              <v:stroke joinstyle="miter"/>
              <v:path gradientshapeok="t" o:connecttype="rect"/>
            </v:shapetype>
            <v:shape id="Text Box 5"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v:textbox style="mso-fit-shape-to-text:t" inset="0,0,0,15pt">
                <w:txbxContent>
                  <w:p w:rsidRPr="00366446" w:rsidR="00366446" w:rsidP="00366446" w:rsidRDefault="00366446" w14:paraId="1AD19700" w14:textId="759A8C86">
                    <w:pPr>
                      <w:spacing w:after="0"/>
                      <w:rPr>
                        <w:rFonts w:ascii="Calibri" w:hAnsi="Calibri" w:eastAsia="Calibri" w:cs="Calibri"/>
                        <w:noProof/>
                        <w:color w:val="000000"/>
                        <w:sz w:val="20"/>
                        <w:szCs w:val="20"/>
                      </w:rPr>
                    </w:pPr>
                    <w:r w:rsidRPr="00366446">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2EC0" w14:textId="216FF88F" w:rsidR="00366446" w:rsidRDefault="00366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1B50" w14:textId="54B5A36B" w:rsidR="00366446" w:rsidRDefault="00366446">
    <w:pPr>
      <w:pStyle w:val="Footer"/>
    </w:pPr>
    <w:r>
      <w:rPr>
        <w:noProof/>
        <w14:ligatures w14:val="standardContextual"/>
      </w:rPr>
      <mc:AlternateContent>
        <mc:Choice Requires="wps">
          <w:drawing>
            <wp:anchor distT="0" distB="0" distL="0" distR="0" simplePos="0" relativeHeight="251658242" behindDoc="0" locked="0" layoutInCell="1" allowOverlap="1" wp14:anchorId="574B1AE8" wp14:editId="0E94A59C">
              <wp:simplePos x="635" y="635"/>
              <wp:positionH relativeFrom="page">
                <wp:align>center</wp:align>
              </wp:positionH>
              <wp:positionV relativeFrom="page">
                <wp:align>bottom</wp:align>
              </wp:positionV>
              <wp:extent cx="459740" cy="357505"/>
              <wp:effectExtent l="0" t="0" r="16510" b="0"/>
              <wp:wrapNone/>
              <wp:docPr id="5058792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81EF7A" w14:textId="27CCDC23" w:rsidR="00366446" w:rsidRPr="00366446" w:rsidRDefault="00366446" w:rsidP="00366446">
                          <w:pPr>
                            <w:spacing w:after="0"/>
                            <w:rPr>
                              <w:rFonts w:ascii="Calibri" w:eastAsia="Calibri" w:hAnsi="Calibri" w:cs="Calibri"/>
                              <w:noProof/>
                              <w:color w:val="000000"/>
                              <w:sz w:val="20"/>
                              <w:szCs w:val="20"/>
                            </w:rPr>
                          </w:pPr>
                          <w:r w:rsidRPr="0036644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574B1AE8">
              <v:stroke joinstyle="miter"/>
              <v:path gradientshapeok="t" o:connecttype="rect"/>
            </v:shapetype>
            <v:shape id="Text Box 4" style="position:absolute;margin-left:0;margin-top:0;width:36.2pt;height:28.1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v:textbox style="mso-fit-shape-to-text:t" inset="0,0,0,15pt">
                <w:txbxContent>
                  <w:p w:rsidRPr="00366446" w:rsidR="00366446" w:rsidP="00366446" w:rsidRDefault="00366446" w14:paraId="2481EF7A" w14:textId="27CCDC23">
                    <w:pPr>
                      <w:spacing w:after="0"/>
                      <w:rPr>
                        <w:rFonts w:ascii="Calibri" w:hAnsi="Calibri" w:eastAsia="Calibri" w:cs="Calibri"/>
                        <w:noProof/>
                        <w:color w:val="000000"/>
                        <w:sz w:val="20"/>
                        <w:szCs w:val="20"/>
                      </w:rPr>
                    </w:pPr>
                    <w:r w:rsidRPr="00366446">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A6D8" w14:textId="77777777" w:rsidR="006A5337" w:rsidRDefault="006A5337" w:rsidP="00366446">
      <w:pPr>
        <w:spacing w:after="0" w:line="240" w:lineRule="auto"/>
      </w:pPr>
      <w:r>
        <w:separator/>
      </w:r>
    </w:p>
  </w:footnote>
  <w:footnote w:type="continuationSeparator" w:id="0">
    <w:p w14:paraId="2CB47569" w14:textId="77777777" w:rsidR="006A5337" w:rsidRDefault="006A5337" w:rsidP="0036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EAB0" w14:textId="7909A347" w:rsidR="00366446" w:rsidRDefault="00366446">
    <w:pPr>
      <w:pStyle w:val="Header"/>
    </w:pPr>
    <w:r>
      <w:rPr>
        <w:noProof/>
        <w14:ligatures w14:val="standardContextual"/>
      </w:rPr>
      <mc:AlternateContent>
        <mc:Choice Requires="wps">
          <w:drawing>
            <wp:anchor distT="0" distB="0" distL="0" distR="0" simplePos="0" relativeHeight="251658241" behindDoc="0" locked="0" layoutInCell="1" allowOverlap="1" wp14:anchorId="01C9CFC3" wp14:editId="0FD50328">
              <wp:simplePos x="635" y="635"/>
              <wp:positionH relativeFrom="page">
                <wp:align>center</wp:align>
              </wp:positionH>
              <wp:positionV relativeFrom="page">
                <wp:align>top</wp:align>
              </wp:positionV>
              <wp:extent cx="459740" cy="357505"/>
              <wp:effectExtent l="0" t="0" r="16510" b="4445"/>
              <wp:wrapNone/>
              <wp:docPr id="11362961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5F23D10" w14:textId="391D4908" w:rsidR="00366446" w:rsidRPr="00366446" w:rsidRDefault="00366446" w:rsidP="00366446">
                          <w:pPr>
                            <w:spacing w:after="0"/>
                            <w:rPr>
                              <w:rFonts w:ascii="Calibri" w:eastAsia="Calibri" w:hAnsi="Calibri" w:cs="Calibri"/>
                              <w:noProof/>
                              <w:color w:val="000000"/>
                              <w:sz w:val="20"/>
                              <w:szCs w:val="20"/>
                            </w:rPr>
                          </w:pPr>
                          <w:r w:rsidRPr="0036644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01C9CFC3">
              <v:stroke joinstyle="miter"/>
              <v:path gradientshapeok="t" o:connecttype="rect"/>
            </v:shapetype>
            <v:shape id="Text Box 2"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v:textbox style="mso-fit-shape-to-text:t" inset="0,15pt,0,0">
                <w:txbxContent>
                  <w:p w:rsidRPr="00366446" w:rsidR="00366446" w:rsidP="00366446" w:rsidRDefault="00366446" w14:paraId="05F23D10" w14:textId="391D4908">
                    <w:pPr>
                      <w:spacing w:after="0"/>
                      <w:rPr>
                        <w:rFonts w:ascii="Calibri" w:hAnsi="Calibri" w:eastAsia="Calibri" w:cs="Calibri"/>
                        <w:noProof/>
                        <w:color w:val="000000"/>
                        <w:sz w:val="20"/>
                        <w:szCs w:val="20"/>
                      </w:rPr>
                    </w:pPr>
                    <w:r w:rsidRPr="00366446">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B6A9" w14:textId="29045D82" w:rsidR="00366446" w:rsidRDefault="00366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F80" w14:textId="62E1CF19" w:rsidR="00366446" w:rsidRDefault="00366446">
    <w:pPr>
      <w:pStyle w:val="Header"/>
    </w:pPr>
    <w:r>
      <w:rPr>
        <w:noProof/>
        <w14:ligatures w14:val="standardContextual"/>
      </w:rPr>
      <mc:AlternateContent>
        <mc:Choice Requires="wps">
          <w:drawing>
            <wp:anchor distT="0" distB="0" distL="0" distR="0" simplePos="0" relativeHeight="251658240" behindDoc="0" locked="0" layoutInCell="1" allowOverlap="1" wp14:anchorId="0BD2EE77" wp14:editId="2D413A77">
              <wp:simplePos x="635" y="635"/>
              <wp:positionH relativeFrom="page">
                <wp:align>center</wp:align>
              </wp:positionH>
              <wp:positionV relativeFrom="page">
                <wp:align>top</wp:align>
              </wp:positionV>
              <wp:extent cx="459740" cy="357505"/>
              <wp:effectExtent l="0" t="0" r="16510" b="4445"/>
              <wp:wrapNone/>
              <wp:docPr id="12031441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48C04AF" w14:textId="1A9C937B" w:rsidR="00366446" w:rsidRPr="00366446" w:rsidRDefault="00366446" w:rsidP="00366446">
                          <w:pPr>
                            <w:spacing w:after="0"/>
                            <w:rPr>
                              <w:rFonts w:ascii="Calibri" w:eastAsia="Calibri" w:hAnsi="Calibri" w:cs="Calibri"/>
                              <w:noProof/>
                              <w:color w:val="000000"/>
                              <w:sz w:val="20"/>
                              <w:szCs w:val="20"/>
                            </w:rPr>
                          </w:pPr>
                          <w:r w:rsidRPr="0036644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0BD2EE77">
              <v:stroke joinstyle="miter"/>
              <v:path gradientshapeok="t" o:connecttype="rect"/>
            </v:shapetype>
            <v:shape id="Text Box 1"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v:textbox style="mso-fit-shape-to-text:t" inset="0,15pt,0,0">
                <w:txbxContent>
                  <w:p w:rsidRPr="00366446" w:rsidR="00366446" w:rsidP="00366446" w:rsidRDefault="00366446" w14:paraId="548C04AF" w14:textId="1A9C937B">
                    <w:pPr>
                      <w:spacing w:after="0"/>
                      <w:rPr>
                        <w:rFonts w:ascii="Calibri" w:hAnsi="Calibri" w:eastAsia="Calibri" w:cs="Calibri"/>
                        <w:noProof/>
                        <w:color w:val="000000"/>
                        <w:sz w:val="20"/>
                        <w:szCs w:val="20"/>
                      </w:rPr>
                    </w:pPr>
                    <w:r w:rsidRPr="00366446">
                      <w:rPr>
                        <w:rFonts w:ascii="Calibri" w:hAnsi="Calibri" w:eastAsia="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j4KsCJya" int2:invalidationBookmarkName="" int2:hashCode="e0dMsLOcF3PXGS" int2:id="7WIfRZmw">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0FB"/>
    <w:multiLevelType w:val="multilevel"/>
    <w:tmpl w:val="21D2E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118E1"/>
    <w:multiLevelType w:val="multilevel"/>
    <w:tmpl w:val="5D0066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761DCB"/>
    <w:multiLevelType w:val="hybridMultilevel"/>
    <w:tmpl w:val="52F61CE2"/>
    <w:lvl w:ilvl="0" w:tplc="47DADE26">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355D82"/>
    <w:multiLevelType w:val="multilevel"/>
    <w:tmpl w:val="1D9C465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696C41"/>
    <w:multiLevelType w:val="multilevel"/>
    <w:tmpl w:val="6BF2AAA0"/>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5" w15:restartNumberingAfterBreak="0">
    <w:nsid w:val="183A2574"/>
    <w:multiLevelType w:val="hybridMultilevel"/>
    <w:tmpl w:val="0A7A6FA8"/>
    <w:lvl w:ilvl="0" w:tplc="3822D638">
      <w:start w:val="1"/>
      <w:numFmt w:val="lowerLetter"/>
      <w:lvlText w:val="%1."/>
      <w:lvlJc w:val="left"/>
      <w:pPr>
        <w:tabs>
          <w:tab w:val="num" w:pos="720"/>
        </w:tabs>
        <w:ind w:left="720" w:hanging="360"/>
      </w:pPr>
    </w:lvl>
    <w:lvl w:ilvl="1" w:tplc="C3C875FA">
      <w:start w:val="1"/>
      <w:numFmt w:val="lowerLetter"/>
      <w:lvlText w:val="%2."/>
      <w:lvlJc w:val="left"/>
      <w:pPr>
        <w:tabs>
          <w:tab w:val="num" w:pos="1440"/>
        </w:tabs>
        <w:ind w:left="1440" w:hanging="360"/>
      </w:pPr>
    </w:lvl>
    <w:lvl w:ilvl="2" w:tplc="8EEA1570">
      <w:start w:val="1"/>
      <w:numFmt w:val="lowerLetter"/>
      <w:lvlText w:val="%3."/>
      <w:lvlJc w:val="left"/>
      <w:pPr>
        <w:tabs>
          <w:tab w:val="num" w:pos="2160"/>
        </w:tabs>
        <w:ind w:left="2160" w:hanging="360"/>
      </w:pPr>
    </w:lvl>
    <w:lvl w:ilvl="3" w:tplc="B21C60DC">
      <w:start w:val="1"/>
      <w:numFmt w:val="lowerLetter"/>
      <w:lvlText w:val="%4."/>
      <w:lvlJc w:val="left"/>
      <w:pPr>
        <w:tabs>
          <w:tab w:val="num" w:pos="2880"/>
        </w:tabs>
        <w:ind w:left="2880" w:hanging="360"/>
      </w:pPr>
    </w:lvl>
    <w:lvl w:ilvl="4" w:tplc="6EC2706E">
      <w:start w:val="1"/>
      <w:numFmt w:val="lowerLetter"/>
      <w:lvlText w:val="%5."/>
      <w:lvlJc w:val="left"/>
      <w:pPr>
        <w:tabs>
          <w:tab w:val="num" w:pos="3600"/>
        </w:tabs>
        <w:ind w:left="3600" w:hanging="360"/>
      </w:pPr>
    </w:lvl>
    <w:lvl w:ilvl="5" w:tplc="A2AE8994">
      <w:start w:val="1"/>
      <w:numFmt w:val="lowerLetter"/>
      <w:lvlText w:val="%6."/>
      <w:lvlJc w:val="left"/>
      <w:pPr>
        <w:tabs>
          <w:tab w:val="num" w:pos="4320"/>
        </w:tabs>
        <w:ind w:left="4320" w:hanging="360"/>
      </w:pPr>
    </w:lvl>
    <w:lvl w:ilvl="6" w:tplc="740C7E24">
      <w:start w:val="1"/>
      <w:numFmt w:val="lowerLetter"/>
      <w:lvlText w:val="%7."/>
      <w:lvlJc w:val="left"/>
      <w:pPr>
        <w:tabs>
          <w:tab w:val="num" w:pos="5040"/>
        </w:tabs>
        <w:ind w:left="5040" w:hanging="360"/>
      </w:pPr>
    </w:lvl>
    <w:lvl w:ilvl="7" w:tplc="887ED6CA">
      <w:start w:val="1"/>
      <w:numFmt w:val="lowerLetter"/>
      <w:lvlText w:val="%8."/>
      <w:lvlJc w:val="left"/>
      <w:pPr>
        <w:tabs>
          <w:tab w:val="num" w:pos="5760"/>
        </w:tabs>
        <w:ind w:left="5760" w:hanging="360"/>
      </w:pPr>
    </w:lvl>
    <w:lvl w:ilvl="8" w:tplc="9F12DBF2">
      <w:start w:val="1"/>
      <w:numFmt w:val="lowerLetter"/>
      <w:lvlText w:val="%9."/>
      <w:lvlJc w:val="left"/>
      <w:pPr>
        <w:tabs>
          <w:tab w:val="num" w:pos="6480"/>
        </w:tabs>
        <w:ind w:left="6480" w:hanging="360"/>
      </w:pPr>
    </w:lvl>
  </w:abstractNum>
  <w:abstractNum w:abstractNumId="6" w15:restartNumberingAfterBreak="0">
    <w:nsid w:val="1EC771C4"/>
    <w:multiLevelType w:val="hybridMultilevel"/>
    <w:tmpl w:val="5AD05E10"/>
    <w:lvl w:ilvl="0" w:tplc="DD1AA82C">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D66C9"/>
    <w:multiLevelType w:val="hybridMultilevel"/>
    <w:tmpl w:val="0E5C6272"/>
    <w:lvl w:ilvl="0" w:tplc="6130DBE0">
      <w:start w:val="1"/>
      <w:numFmt w:val="lowerLetter"/>
      <w:lvlText w:val="%1."/>
      <w:lvlJc w:val="left"/>
      <w:pPr>
        <w:tabs>
          <w:tab w:val="num" w:pos="720"/>
        </w:tabs>
        <w:ind w:left="720" w:hanging="360"/>
      </w:pPr>
    </w:lvl>
    <w:lvl w:ilvl="1" w:tplc="D18A3A4E">
      <w:start w:val="1"/>
      <w:numFmt w:val="lowerLetter"/>
      <w:lvlText w:val="%2."/>
      <w:lvlJc w:val="left"/>
      <w:pPr>
        <w:tabs>
          <w:tab w:val="num" w:pos="1440"/>
        </w:tabs>
        <w:ind w:left="1440" w:hanging="360"/>
      </w:pPr>
    </w:lvl>
    <w:lvl w:ilvl="2" w:tplc="31AAC302">
      <w:start w:val="1"/>
      <w:numFmt w:val="lowerLetter"/>
      <w:lvlText w:val="%3."/>
      <w:lvlJc w:val="left"/>
      <w:pPr>
        <w:tabs>
          <w:tab w:val="num" w:pos="2160"/>
        </w:tabs>
        <w:ind w:left="2160" w:hanging="360"/>
      </w:pPr>
    </w:lvl>
    <w:lvl w:ilvl="3" w:tplc="B944E8D2">
      <w:start w:val="1"/>
      <w:numFmt w:val="lowerLetter"/>
      <w:lvlText w:val="%4."/>
      <w:lvlJc w:val="left"/>
      <w:pPr>
        <w:tabs>
          <w:tab w:val="num" w:pos="2880"/>
        </w:tabs>
        <w:ind w:left="2880" w:hanging="360"/>
      </w:pPr>
    </w:lvl>
    <w:lvl w:ilvl="4" w:tplc="42D690F6">
      <w:start w:val="1"/>
      <w:numFmt w:val="lowerLetter"/>
      <w:lvlText w:val="%5."/>
      <w:lvlJc w:val="left"/>
      <w:pPr>
        <w:tabs>
          <w:tab w:val="num" w:pos="3600"/>
        </w:tabs>
        <w:ind w:left="3600" w:hanging="360"/>
      </w:pPr>
    </w:lvl>
    <w:lvl w:ilvl="5" w:tplc="9112DD2A">
      <w:start w:val="1"/>
      <w:numFmt w:val="lowerLetter"/>
      <w:lvlText w:val="%6."/>
      <w:lvlJc w:val="left"/>
      <w:pPr>
        <w:tabs>
          <w:tab w:val="num" w:pos="4320"/>
        </w:tabs>
        <w:ind w:left="4320" w:hanging="360"/>
      </w:pPr>
    </w:lvl>
    <w:lvl w:ilvl="6" w:tplc="3CFC02CE">
      <w:start w:val="1"/>
      <w:numFmt w:val="lowerLetter"/>
      <w:lvlText w:val="%7."/>
      <w:lvlJc w:val="left"/>
      <w:pPr>
        <w:tabs>
          <w:tab w:val="num" w:pos="5040"/>
        </w:tabs>
        <w:ind w:left="5040" w:hanging="360"/>
      </w:pPr>
    </w:lvl>
    <w:lvl w:ilvl="7" w:tplc="E6A00A12">
      <w:start w:val="1"/>
      <w:numFmt w:val="lowerLetter"/>
      <w:lvlText w:val="%8."/>
      <w:lvlJc w:val="left"/>
      <w:pPr>
        <w:tabs>
          <w:tab w:val="num" w:pos="5760"/>
        </w:tabs>
        <w:ind w:left="5760" w:hanging="360"/>
      </w:pPr>
    </w:lvl>
    <w:lvl w:ilvl="8" w:tplc="A2B8E84A">
      <w:start w:val="1"/>
      <w:numFmt w:val="lowerLetter"/>
      <w:lvlText w:val="%9."/>
      <w:lvlJc w:val="left"/>
      <w:pPr>
        <w:tabs>
          <w:tab w:val="num" w:pos="6480"/>
        </w:tabs>
        <w:ind w:left="6480" w:hanging="360"/>
      </w:pPr>
    </w:lvl>
  </w:abstractNum>
  <w:abstractNum w:abstractNumId="8" w15:restartNumberingAfterBreak="0">
    <w:nsid w:val="2B261DF2"/>
    <w:multiLevelType w:val="multilevel"/>
    <w:tmpl w:val="0E8C5B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815918"/>
    <w:multiLevelType w:val="multilevel"/>
    <w:tmpl w:val="60B6A06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0" w15:restartNumberingAfterBreak="0">
    <w:nsid w:val="42586614"/>
    <w:multiLevelType w:val="hybridMultilevel"/>
    <w:tmpl w:val="D5BE97EA"/>
    <w:lvl w:ilvl="0" w:tplc="89B2F934">
      <w:start w:val="1"/>
      <w:numFmt w:val="lowerLetter"/>
      <w:lvlText w:val="%1."/>
      <w:lvlJc w:val="left"/>
      <w:pPr>
        <w:tabs>
          <w:tab w:val="num" w:pos="720"/>
        </w:tabs>
        <w:ind w:left="720" w:hanging="360"/>
      </w:pPr>
    </w:lvl>
    <w:lvl w:ilvl="1" w:tplc="DA84829E">
      <w:start w:val="1"/>
      <w:numFmt w:val="lowerLetter"/>
      <w:lvlText w:val="%2."/>
      <w:lvlJc w:val="left"/>
      <w:pPr>
        <w:tabs>
          <w:tab w:val="num" w:pos="1440"/>
        </w:tabs>
        <w:ind w:left="1440" w:hanging="360"/>
      </w:pPr>
    </w:lvl>
    <w:lvl w:ilvl="2" w:tplc="9086D106">
      <w:start w:val="1"/>
      <w:numFmt w:val="lowerLetter"/>
      <w:lvlText w:val="%3."/>
      <w:lvlJc w:val="left"/>
      <w:pPr>
        <w:tabs>
          <w:tab w:val="num" w:pos="2160"/>
        </w:tabs>
        <w:ind w:left="2160" w:hanging="360"/>
      </w:pPr>
    </w:lvl>
    <w:lvl w:ilvl="3" w:tplc="5ADE91C8">
      <w:start w:val="1"/>
      <w:numFmt w:val="lowerLetter"/>
      <w:lvlText w:val="%4."/>
      <w:lvlJc w:val="left"/>
      <w:pPr>
        <w:tabs>
          <w:tab w:val="num" w:pos="2880"/>
        </w:tabs>
        <w:ind w:left="2880" w:hanging="360"/>
      </w:pPr>
    </w:lvl>
    <w:lvl w:ilvl="4" w:tplc="2A14CFEE">
      <w:start w:val="1"/>
      <w:numFmt w:val="lowerLetter"/>
      <w:lvlText w:val="%5."/>
      <w:lvlJc w:val="left"/>
      <w:pPr>
        <w:tabs>
          <w:tab w:val="num" w:pos="3600"/>
        </w:tabs>
        <w:ind w:left="3600" w:hanging="360"/>
      </w:pPr>
    </w:lvl>
    <w:lvl w:ilvl="5" w:tplc="87FAF064">
      <w:start w:val="1"/>
      <w:numFmt w:val="lowerLetter"/>
      <w:lvlText w:val="%6."/>
      <w:lvlJc w:val="left"/>
      <w:pPr>
        <w:tabs>
          <w:tab w:val="num" w:pos="4320"/>
        </w:tabs>
        <w:ind w:left="4320" w:hanging="360"/>
      </w:pPr>
    </w:lvl>
    <w:lvl w:ilvl="6" w:tplc="B1EE63AA">
      <w:start w:val="1"/>
      <w:numFmt w:val="lowerLetter"/>
      <w:lvlText w:val="%7."/>
      <w:lvlJc w:val="left"/>
      <w:pPr>
        <w:tabs>
          <w:tab w:val="num" w:pos="5040"/>
        </w:tabs>
        <w:ind w:left="5040" w:hanging="360"/>
      </w:pPr>
    </w:lvl>
    <w:lvl w:ilvl="7" w:tplc="007251A6">
      <w:start w:val="1"/>
      <w:numFmt w:val="lowerLetter"/>
      <w:lvlText w:val="%8."/>
      <w:lvlJc w:val="left"/>
      <w:pPr>
        <w:tabs>
          <w:tab w:val="num" w:pos="5760"/>
        </w:tabs>
        <w:ind w:left="5760" w:hanging="360"/>
      </w:pPr>
    </w:lvl>
    <w:lvl w:ilvl="8" w:tplc="D8ACEA98">
      <w:start w:val="1"/>
      <w:numFmt w:val="lowerLetter"/>
      <w:lvlText w:val="%9."/>
      <w:lvlJc w:val="left"/>
      <w:pPr>
        <w:tabs>
          <w:tab w:val="num" w:pos="6480"/>
        </w:tabs>
        <w:ind w:left="6480" w:hanging="360"/>
      </w:pPr>
    </w:lvl>
  </w:abstractNum>
  <w:abstractNum w:abstractNumId="11" w15:restartNumberingAfterBreak="0">
    <w:nsid w:val="4BE43347"/>
    <w:multiLevelType w:val="hybridMultilevel"/>
    <w:tmpl w:val="BE2E6BF6"/>
    <w:lvl w:ilvl="0" w:tplc="AD74D2C4">
      <w:start w:val="1"/>
      <w:numFmt w:val="lowerLetter"/>
      <w:lvlText w:val="%1."/>
      <w:lvlJc w:val="left"/>
      <w:pPr>
        <w:tabs>
          <w:tab w:val="num" w:pos="720"/>
        </w:tabs>
        <w:ind w:left="720" w:hanging="360"/>
      </w:pPr>
    </w:lvl>
    <w:lvl w:ilvl="1" w:tplc="2D081972">
      <w:start w:val="1"/>
      <w:numFmt w:val="lowerLetter"/>
      <w:lvlText w:val="%2."/>
      <w:lvlJc w:val="left"/>
      <w:pPr>
        <w:tabs>
          <w:tab w:val="num" w:pos="1440"/>
        </w:tabs>
        <w:ind w:left="1440" w:hanging="360"/>
      </w:pPr>
    </w:lvl>
    <w:lvl w:ilvl="2" w:tplc="97A28A74">
      <w:start w:val="1"/>
      <w:numFmt w:val="lowerLetter"/>
      <w:lvlText w:val="%3."/>
      <w:lvlJc w:val="left"/>
      <w:pPr>
        <w:tabs>
          <w:tab w:val="num" w:pos="2160"/>
        </w:tabs>
        <w:ind w:left="2160" w:hanging="360"/>
      </w:pPr>
    </w:lvl>
    <w:lvl w:ilvl="3" w:tplc="2042FBFC">
      <w:start w:val="1"/>
      <w:numFmt w:val="lowerLetter"/>
      <w:lvlText w:val="%4."/>
      <w:lvlJc w:val="left"/>
      <w:pPr>
        <w:tabs>
          <w:tab w:val="num" w:pos="2880"/>
        </w:tabs>
        <w:ind w:left="2880" w:hanging="360"/>
      </w:pPr>
    </w:lvl>
    <w:lvl w:ilvl="4" w:tplc="A21CB608">
      <w:start w:val="1"/>
      <w:numFmt w:val="lowerLetter"/>
      <w:lvlText w:val="%5."/>
      <w:lvlJc w:val="left"/>
      <w:pPr>
        <w:tabs>
          <w:tab w:val="num" w:pos="3600"/>
        </w:tabs>
        <w:ind w:left="3600" w:hanging="360"/>
      </w:pPr>
    </w:lvl>
    <w:lvl w:ilvl="5" w:tplc="E3D281A0">
      <w:start w:val="1"/>
      <w:numFmt w:val="lowerLetter"/>
      <w:lvlText w:val="%6."/>
      <w:lvlJc w:val="left"/>
      <w:pPr>
        <w:tabs>
          <w:tab w:val="num" w:pos="4320"/>
        </w:tabs>
        <w:ind w:left="4320" w:hanging="360"/>
      </w:pPr>
    </w:lvl>
    <w:lvl w:ilvl="6" w:tplc="60BC9960">
      <w:start w:val="1"/>
      <w:numFmt w:val="lowerLetter"/>
      <w:lvlText w:val="%7."/>
      <w:lvlJc w:val="left"/>
      <w:pPr>
        <w:tabs>
          <w:tab w:val="num" w:pos="5040"/>
        </w:tabs>
        <w:ind w:left="5040" w:hanging="360"/>
      </w:pPr>
    </w:lvl>
    <w:lvl w:ilvl="7" w:tplc="A07410FC">
      <w:start w:val="1"/>
      <w:numFmt w:val="lowerLetter"/>
      <w:lvlText w:val="%8."/>
      <w:lvlJc w:val="left"/>
      <w:pPr>
        <w:tabs>
          <w:tab w:val="num" w:pos="5760"/>
        </w:tabs>
        <w:ind w:left="5760" w:hanging="360"/>
      </w:pPr>
    </w:lvl>
    <w:lvl w:ilvl="8" w:tplc="E50A701E">
      <w:start w:val="1"/>
      <w:numFmt w:val="lowerLetter"/>
      <w:lvlText w:val="%9."/>
      <w:lvlJc w:val="left"/>
      <w:pPr>
        <w:tabs>
          <w:tab w:val="num" w:pos="6480"/>
        </w:tabs>
        <w:ind w:left="6480" w:hanging="360"/>
      </w:pPr>
    </w:lvl>
  </w:abstractNum>
  <w:abstractNum w:abstractNumId="12" w15:restartNumberingAfterBreak="0">
    <w:nsid w:val="4CED58C2"/>
    <w:multiLevelType w:val="multilevel"/>
    <w:tmpl w:val="C220CE5A"/>
    <w:lvl w:ilvl="0">
      <w:start w:val="2"/>
      <w:numFmt w:val="lowerRoman"/>
      <w:lvlText w:val="%1."/>
      <w:lvlJc w:val="right"/>
      <w:pPr>
        <w:tabs>
          <w:tab w:val="num" w:pos="720"/>
        </w:tabs>
        <w:ind w:left="1440" w:hanging="360"/>
      </w:pPr>
    </w:lvl>
    <w:lvl w:ilvl="1">
      <w:start w:val="1"/>
      <w:numFmt w:val="lowerRoman"/>
      <w:lvlText w:val="%2."/>
      <w:lvlJc w:val="right"/>
      <w:pPr>
        <w:tabs>
          <w:tab w:val="num" w:pos="1440"/>
        </w:tabs>
        <w:ind w:left="2160" w:hanging="360"/>
      </w:pPr>
    </w:lvl>
    <w:lvl w:ilvl="2">
      <w:start w:val="1"/>
      <w:numFmt w:val="lowerRoman"/>
      <w:lvlText w:val="%3."/>
      <w:lvlJc w:val="right"/>
      <w:pPr>
        <w:tabs>
          <w:tab w:val="num" w:pos="2160"/>
        </w:tabs>
        <w:ind w:left="2880" w:hanging="360"/>
      </w:pPr>
    </w:lvl>
    <w:lvl w:ilvl="3">
      <w:start w:val="1"/>
      <w:numFmt w:val="lowerRoman"/>
      <w:lvlText w:val="%4."/>
      <w:lvlJc w:val="right"/>
      <w:pPr>
        <w:tabs>
          <w:tab w:val="num" w:pos="2880"/>
        </w:tabs>
        <w:ind w:left="3600" w:hanging="360"/>
      </w:pPr>
    </w:lvl>
    <w:lvl w:ilvl="4">
      <w:start w:val="1"/>
      <w:numFmt w:val="lowerRoman"/>
      <w:lvlText w:val="%5."/>
      <w:lvlJc w:val="right"/>
      <w:pPr>
        <w:tabs>
          <w:tab w:val="num" w:pos="3600"/>
        </w:tabs>
        <w:ind w:left="4320" w:hanging="360"/>
      </w:pPr>
    </w:lvl>
    <w:lvl w:ilvl="5">
      <w:start w:val="1"/>
      <w:numFmt w:val="lowerRoman"/>
      <w:lvlText w:val="%6."/>
      <w:lvlJc w:val="right"/>
      <w:pPr>
        <w:tabs>
          <w:tab w:val="num" w:pos="4320"/>
        </w:tabs>
        <w:ind w:left="5040" w:hanging="360"/>
      </w:pPr>
    </w:lvl>
    <w:lvl w:ilvl="6">
      <w:start w:val="1"/>
      <w:numFmt w:val="lowerRoman"/>
      <w:lvlText w:val="%7."/>
      <w:lvlJc w:val="right"/>
      <w:pPr>
        <w:tabs>
          <w:tab w:val="num" w:pos="5040"/>
        </w:tabs>
        <w:ind w:left="5760" w:hanging="360"/>
      </w:pPr>
    </w:lvl>
    <w:lvl w:ilvl="7">
      <w:start w:val="1"/>
      <w:numFmt w:val="lowerRoman"/>
      <w:lvlText w:val="%8."/>
      <w:lvlJc w:val="right"/>
      <w:pPr>
        <w:tabs>
          <w:tab w:val="num" w:pos="5760"/>
        </w:tabs>
        <w:ind w:left="6480" w:hanging="360"/>
      </w:pPr>
    </w:lvl>
    <w:lvl w:ilvl="8">
      <w:start w:val="1"/>
      <w:numFmt w:val="lowerRoman"/>
      <w:lvlText w:val="%9."/>
      <w:lvlJc w:val="right"/>
      <w:pPr>
        <w:tabs>
          <w:tab w:val="num" w:pos="6480"/>
        </w:tabs>
        <w:ind w:left="7200" w:hanging="360"/>
      </w:pPr>
    </w:lvl>
  </w:abstractNum>
  <w:abstractNum w:abstractNumId="13" w15:restartNumberingAfterBreak="0">
    <w:nsid w:val="4DD47E29"/>
    <w:multiLevelType w:val="multilevel"/>
    <w:tmpl w:val="81425A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970B1A"/>
    <w:multiLevelType w:val="hybridMultilevel"/>
    <w:tmpl w:val="3ADA3894"/>
    <w:lvl w:ilvl="0" w:tplc="F0569A5A">
      <w:start w:val="1"/>
      <w:numFmt w:val="lowerRoman"/>
      <w:lvlText w:val="%1."/>
      <w:lvlJc w:val="right"/>
      <w:pPr>
        <w:ind w:left="1080" w:hanging="360"/>
      </w:pPr>
    </w:lvl>
    <w:lvl w:ilvl="1" w:tplc="0EBCBC40">
      <w:start w:val="1"/>
      <w:numFmt w:val="lowerLetter"/>
      <w:lvlText w:val="%2."/>
      <w:lvlJc w:val="left"/>
      <w:pPr>
        <w:ind w:left="1800" w:hanging="360"/>
      </w:pPr>
    </w:lvl>
    <w:lvl w:ilvl="2" w:tplc="935244D8">
      <w:start w:val="1"/>
      <w:numFmt w:val="lowerRoman"/>
      <w:lvlText w:val="%3."/>
      <w:lvlJc w:val="right"/>
      <w:pPr>
        <w:ind w:left="2520" w:hanging="180"/>
      </w:pPr>
    </w:lvl>
    <w:lvl w:ilvl="3" w:tplc="961420A6">
      <w:start w:val="1"/>
      <w:numFmt w:val="decimal"/>
      <w:lvlText w:val="%4."/>
      <w:lvlJc w:val="left"/>
      <w:pPr>
        <w:ind w:left="3240" w:hanging="360"/>
      </w:pPr>
    </w:lvl>
    <w:lvl w:ilvl="4" w:tplc="0756D9A4">
      <w:start w:val="1"/>
      <w:numFmt w:val="lowerLetter"/>
      <w:lvlText w:val="%5."/>
      <w:lvlJc w:val="left"/>
      <w:pPr>
        <w:ind w:left="3960" w:hanging="360"/>
      </w:pPr>
    </w:lvl>
    <w:lvl w:ilvl="5" w:tplc="F1669CE8">
      <w:start w:val="1"/>
      <w:numFmt w:val="lowerRoman"/>
      <w:lvlText w:val="%6."/>
      <w:lvlJc w:val="right"/>
      <w:pPr>
        <w:ind w:left="4680" w:hanging="180"/>
      </w:pPr>
    </w:lvl>
    <w:lvl w:ilvl="6" w:tplc="1AE04CC2">
      <w:start w:val="1"/>
      <w:numFmt w:val="decimal"/>
      <w:lvlText w:val="%7."/>
      <w:lvlJc w:val="left"/>
      <w:pPr>
        <w:ind w:left="5400" w:hanging="360"/>
      </w:pPr>
    </w:lvl>
    <w:lvl w:ilvl="7" w:tplc="26C6FC26">
      <w:start w:val="1"/>
      <w:numFmt w:val="lowerLetter"/>
      <w:lvlText w:val="%8."/>
      <w:lvlJc w:val="left"/>
      <w:pPr>
        <w:ind w:left="6120" w:hanging="360"/>
      </w:pPr>
    </w:lvl>
    <w:lvl w:ilvl="8" w:tplc="D708EE4C">
      <w:start w:val="1"/>
      <w:numFmt w:val="lowerRoman"/>
      <w:lvlText w:val="%9."/>
      <w:lvlJc w:val="right"/>
      <w:pPr>
        <w:ind w:left="6840" w:hanging="180"/>
      </w:pPr>
    </w:lvl>
  </w:abstractNum>
  <w:abstractNum w:abstractNumId="15" w15:restartNumberingAfterBreak="0">
    <w:nsid w:val="52CB6B06"/>
    <w:multiLevelType w:val="hybridMultilevel"/>
    <w:tmpl w:val="1F289FE8"/>
    <w:lvl w:ilvl="0" w:tplc="7312EE96">
      <w:start w:val="1"/>
      <w:numFmt w:val="lowerLetter"/>
      <w:lvlText w:val="%1."/>
      <w:lvlJc w:val="left"/>
      <w:pPr>
        <w:tabs>
          <w:tab w:val="num" w:pos="720"/>
        </w:tabs>
        <w:ind w:left="720" w:hanging="360"/>
      </w:pPr>
    </w:lvl>
    <w:lvl w:ilvl="1" w:tplc="9DEAA34C">
      <w:start w:val="1"/>
      <w:numFmt w:val="lowerLetter"/>
      <w:lvlText w:val="%2."/>
      <w:lvlJc w:val="left"/>
      <w:pPr>
        <w:tabs>
          <w:tab w:val="num" w:pos="1440"/>
        </w:tabs>
        <w:ind w:left="1440" w:hanging="360"/>
      </w:pPr>
    </w:lvl>
    <w:lvl w:ilvl="2" w:tplc="0986D7A2">
      <w:start w:val="1"/>
      <w:numFmt w:val="lowerLetter"/>
      <w:lvlText w:val="%3."/>
      <w:lvlJc w:val="left"/>
      <w:pPr>
        <w:tabs>
          <w:tab w:val="num" w:pos="2160"/>
        </w:tabs>
        <w:ind w:left="2160" w:hanging="360"/>
      </w:pPr>
    </w:lvl>
    <w:lvl w:ilvl="3" w:tplc="F2BE000A">
      <w:start w:val="1"/>
      <w:numFmt w:val="lowerLetter"/>
      <w:lvlText w:val="%4."/>
      <w:lvlJc w:val="left"/>
      <w:pPr>
        <w:tabs>
          <w:tab w:val="num" w:pos="2880"/>
        </w:tabs>
        <w:ind w:left="2880" w:hanging="360"/>
      </w:pPr>
    </w:lvl>
    <w:lvl w:ilvl="4" w:tplc="F95492A4">
      <w:start w:val="1"/>
      <w:numFmt w:val="lowerLetter"/>
      <w:lvlText w:val="%5."/>
      <w:lvlJc w:val="left"/>
      <w:pPr>
        <w:tabs>
          <w:tab w:val="num" w:pos="3600"/>
        </w:tabs>
        <w:ind w:left="3600" w:hanging="360"/>
      </w:pPr>
    </w:lvl>
    <w:lvl w:ilvl="5" w:tplc="451EE7FA">
      <w:start w:val="1"/>
      <w:numFmt w:val="lowerLetter"/>
      <w:lvlText w:val="%6."/>
      <w:lvlJc w:val="left"/>
      <w:pPr>
        <w:tabs>
          <w:tab w:val="num" w:pos="4320"/>
        </w:tabs>
        <w:ind w:left="4320" w:hanging="360"/>
      </w:pPr>
    </w:lvl>
    <w:lvl w:ilvl="6" w:tplc="29680626">
      <w:start w:val="1"/>
      <w:numFmt w:val="lowerLetter"/>
      <w:lvlText w:val="%7."/>
      <w:lvlJc w:val="left"/>
      <w:pPr>
        <w:tabs>
          <w:tab w:val="num" w:pos="5040"/>
        </w:tabs>
        <w:ind w:left="5040" w:hanging="360"/>
      </w:pPr>
    </w:lvl>
    <w:lvl w:ilvl="7" w:tplc="393653B6">
      <w:start w:val="1"/>
      <w:numFmt w:val="lowerLetter"/>
      <w:lvlText w:val="%8."/>
      <w:lvlJc w:val="left"/>
      <w:pPr>
        <w:tabs>
          <w:tab w:val="num" w:pos="5760"/>
        </w:tabs>
        <w:ind w:left="5760" w:hanging="360"/>
      </w:pPr>
    </w:lvl>
    <w:lvl w:ilvl="8" w:tplc="C15EC004">
      <w:start w:val="1"/>
      <w:numFmt w:val="lowerLetter"/>
      <w:lvlText w:val="%9."/>
      <w:lvlJc w:val="left"/>
      <w:pPr>
        <w:tabs>
          <w:tab w:val="num" w:pos="6480"/>
        </w:tabs>
        <w:ind w:left="6480" w:hanging="360"/>
      </w:pPr>
    </w:lvl>
  </w:abstractNum>
  <w:abstractNum w:abstractNumId="16" w15:restartNumberingAfterBreak="0">
    <w:nsid w:val="572020F7"/>
    <w:multiLevelType w:val="multilevel"/>
    <w:tmpl w:val="9F26EEC6"/>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7" w15:restartNumberingAfterBreak="0">
    <w:nsid w:val="5C4D3CD1"/>
    <w:multiLevelType w:val="multilevel"/>
    <w:tmpl w:val="B164C690"/>
    <w:lvl w:ilvl="0">
      <w:start w:val="1"/>
      <w:numFmt w:val="lowerRoman"/>
      <w:lvlText w:val="%1."/>
      <w:lvlJc w:val="right"/>
      <w:pPr>
        <w:tabs>
          <w:tab w:val="num" w:pos="720"/>
        </w:tabs>
        <w:ind w:left="1440" w:hanging="360"/>
      </w:pPr>
    </w:lvl>
    <w:lvl w:ilvl="1">
      <w:start w:val="1"/>
      <w:numFmt w:val="lowerRoman"/>
      <w:lvlText w:val="%2."/>
      <w:lvlJc w:val="right"/>
      <w:pPr>
        <w:tabs>
          <w:tab w:val="num" w:pos="1440"/>
        </w:tabs>
        <w:ind w:left="2160" w:hanging="360"/>
      </w:pPr>
    </w:lvl>
    <w:lvl w:ilvl="2">
      <w:start w:val="1"/>
      <w:numFmt w:val="lowerRoman"/>
      <w:lvlText w:val="%3."/>
      <w:lvlJc w:val="right"/>
      <w:pPr>
        <w:tabs>
          <w:tab w:val="num" w:pos="2160"/>
        </w:tabs>
        <w:ind w:left="2880" w:hanging="360"/>
      </w:pPr>
    </w:lvl>
    <w:lvl w:ilvl="3">
      <w:start w:val="1"/>
      <w:numFmt w:val="lowerRoman"/>
      <w:lvlText w:val="%4."/>
      <w:lvlJc w:val="right"/>
      <w:pPr>
        <w:tabs>
          <w:tab w:val="num" w:pos="2880"/>
        </w:tabs>
        <w:ind w:left="3600" w:hanging="360"/>
      </w:pPr>
    </w:lvl>
    <w:lvl w:ilvl="4">
      <w:start w:val="1"/>
      <w:numFmt w:val="lowerRoman"/>
      <w:lvlText w:val="%5."/>
      <w:lvlJc w:val="right"/>
      <w:pPr>
        <w:tabs>
          <w:tab w:val="num" w:pos="3600"/>
        </w:tabs>
        <w:ind w:left="4320" w:hanging="360"/>
      </w:pPr>
    </w:lvl>
    <w:lvl w:ilvl="5">
      <w:start w:val="1"/>
      <w:numFmt w:val="lowerRoman"/>
      <w:lvlText w:val="%6."/>
      <w:lvlJc w:val="right"/>
      <w:pPr>
        <w:tabs>
          <w:tab w:val="num" w:pos="4320"/>
        </w:tabs>
        <w:ind w:left="5040" w:hanging="360"/>
      </w:pPr>
    </w:lvl>
    <w:lvl w:ilvl="6">
      <w:start w:val="1"/>
      <w:numFmt w:val="lowerRoman"/>
      <w:lvlText w:val="%7."/>
      <w:lvlJc w:val="right"/>
      <w:pPr>
        <w:tabs>
          <w:tab w:val="num" w:pos="5040"/>
        </w:tabs>
        <w:ind w:left="5760" w:hanging="360"/>
      </w:pPr>
    </w:lvl>
    <w:lvl w:ilvl="7">
      <w:start w:val="1"/>
      <w:numFmt w:val="lowerRoman"/>
      <w:lvlText w:val="%8."/>
      <w:lvlJc w:val="right"/>
      <w:pPr>
        <w:tabs>
          <w:tab w:val="num" w:pos="5760"/>
        </w:tabs>
        <w:ind w:left="6480" w:hanging="360"/>
      </w:pPr>
    </w:lvl>
    <w:lvl w:ilvl="8">
      <w:start w:val="1"/>
      <w:numFmt w:val="lowerRoman"/>
      <w:lvlText w:val="%9."/>
      <w:lvlJc w:val="right"/>
      <w:pPr>
        <w:tabs>
          <w:tab w:val="num" w:pos="6480"/>
        </w:tabs>
        <w:ind w:left="7200" w:hanging="360"/>
      </w:pPr>
    </w:lvl>
  </w:abstractNum>
  <w:abstractNum w:abstractNumId="18" w15:restartNumberingAfterBreak="0">
    <w:nsid w:val="61401768"/>
    <w:multiLevelType w:val="multilevel"/>
    <w:tmpl w:val="3FE6CD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F56A93"/>
    <w:multiLevelType w:val="multilevel"/>
    <w:tmpl w:val="A7C82E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ED702C"/>
    <w:multiLevelType w:val="hybridMultilevel"/>
    <w:tmpl w:val="2DF45402"/>
    <w:lvl w:ilvl="0" w:tplc="2CB2F9CA">
      <w:start w:val="1"/>
      <w:numFmt w:val="decimal"/>
      <w:lvlText w:val="%1."/>
      <w:lvlJc w:val="left"/>
      <w:pPr>
        <w:ind w:left="360" w:hanging="360"/>
      </w:pPr>
    </w:lvl>
    <w:lvl w:ilvl="1" w:tplc="4EE4DEEA">
      <w:start w:val="1"/>
      <w:numFmt w:val="lowerRoman"/>
      <w:lvlText w:val="%2."/>
      <w:lvlJc w:val="right"/>
      <w:pPr>
        <w:ind w:left="1080" w:hanging="360"/>
      </w:pPr>
    </w:lvl>
    <w:lvl w:ilvl="2" w:tplc="6C86DB5C">
      <w:start w:val="1"/>
      <w:numFmt w:val="lowerRoman"/>
      <w:lvlText w:val="%3."/>
      <w:lvlJc w:val="right"/>
      <w:pPr>
        <w:ind w:left="1800" w:hanging="180"/>
      </w:pPr>
    </w:lvl>
    <w:lvl w:ilvl="3" w:tplc="E13A20FE">
      <w:start w:val="1"/>
      <w:numFmt w:val="decimal"/>
      <w:lvlText w:val="%4."/>
      <w:lvlJc w:val="left"/>
      <w:pPr>
        <w:ind w:left="2520" w:hanging="360"/>
      </w:pPr>
    </w:lvl>
    <w:lvl w:ilvl="4" w:tplc="101EA748">
      <w:start w:val="1"/>
      <w:numFmt w:val="lowerLetter"/>
      <w:lvlText w:val="%5."/>
      <w:lvlJc w:val="left"/>
      <w:pPr>
        <w:ind w:left="3240" w:hanging="360"/>
      </w:pPr>
    </w:lvl>
    <w:lvl w:ilvl="5" w:tplc="12B88BF0">
      <w:start w:val="1"/>
      <w:numFmt w:val="lowerRoman"/>
      <w:lvlText w:val="%6."/>
      <w:lvlJc w:val="right"/>
      <w:pPr>
        <w:ind w:left="3960" w:hanging="180"/>
      </w:pPr>
    </w:lvl>
    <w:lvl w:ilvl="6" w:tplc="0A4081A2">
      <w:start w:val="1"/>
      <w:numFmt w:val="decimal"/>
      <w:lvlText w:val="%7."/>
      <w:lvlJc w:val="left"/>
      <w:pPr>
        <w:ind w:left="4680" w:hanging="360"/>
      </w:pPr>
    </w:lvl>
    <w:lvl w:ilvl="7" w:tplc="8C44A4C4">
      <w:start w:val="1"/>
      <w:numFmt w:val="lowerLetter"/>
      <w:lvlText w:val="%8."/>
      <w:lvlJc w:val="left"/>
      <w:pPr>
        <w:ind w:left="5400" w:hanging="360"/>
      </w:pPr>
    </w:lvl>
    <w:lvl w:ilvl="8" w:tplc="62CA3732">
      <w:start w:val="1"/>
      <w:numFmt w:val="lowerRoman"/>
      <w:lvlText w:val="%9."/>
      <w:lvlJc w:val="right"/>
      <w:pPr>
        <w:ind w:left="6120" w:hanging="180"/>
      </w:pPr>
    </w:lvl>
  </w:abstractNum>
  <w:abstractNum w:abstractNumId="21" w15:restartNumberingAfterBreak="0">
    <w:nsid w:val="7F982BDB"/>
    <w:multiLevelType w:val="hybridMultilevel"/>
    <w:tmpl w:val="7DAC997E"/>
    <w:lvl w:ilvl="0" w:tplc="A72E238E">
      <w:start w:val="1"/>
      <w:numFmt w:val="lowerLetter"/>
      <w:lvlText w:val="%1."/>
      <w:lvlJc w:val="left"/>
      <w:pPr>
        <w:tabs>
          <w:tab w:val="num" w:pos="720"/>
        </w:tabs>
        <w:ind w:left="720" w:hanging="360"/>
      </w:pPr>
    </w:lvl>
    <w:lvl w:ilvl="1" w:tplc="5B227C88">
      <w:start w:val="1"/>
      <w:numFmt w:val="lowerLetter"/>
      <w:lvlText w:val="%2."/>
      <w:lvlJc w:val="left"/>
      <w:pPr>
        <w:tabs>
          <w:tab w:val="num" w:pos="1440"/>
        </w:tabs>
        <w:ind w:left="1440" w:hanging="360"/>
      </w:pPr>
    </w:lvl>
    <w:lvl w:ilvl="2" w:tplc="0686C592">
      <w:start w:val="1"/>
      <w:numFmt w:val="lowerLetter"/>
      <w:lvlText w:val="%3."/>
      <w:lvlJc w:val="left"/>
      <w:pPr>
        <w:tabs>
          <w:tab w:val="num" w:pos="2160"/>
        </w:tabs>
        <w:ind w:left="2160" w:hanging="360"/>
      </w:pPr>
    </w:lvl>
    <w:lvl w:ilvl="3" w:tplc="114C052E">
      <w:start w:val="1"/>
      <w:numFmt w:val="lowerLetter"/>
      <w:lvlText w:val="%4."/>
      <w:lvlJc w:val="left"/>
      <w:pPr>
        <w:tabs>
          <w:tab w:val="num" w:pos="2880"/>
        </w:tabs>
        <w:ind w:left="2880" w:hanging="360"/>
      </w:pPr>
    </w:lvl>
    <w:lvl w:ilvl="4" w:tplc="30E40A7E">
      <w:start w:val="1"/>
      <w:numFmt w:val="lowerLetter"/>
      <w:lvlText w:val="%5."/>
      <w:lvlJc w:val="left"/>
      <w:pPr>
        <w:tabs>
          <w:tab w:val="num" w:pos="3600"/>
        </w:tabs>
        <w:ind w:left="3600" w:hanging="360"/>
      </w:pPr>
    </w:lvl>
    <w:lvl w:ilvl="5" w:tplc="DBCE0820">
      <w:start w:val="1"/>
      <w:numFmt w:val="lowerLetter"/>
      <w:lvlText w:val="%6."/>
      <w:lvlJc w:val="left"/>
      <w:pPr>
        <w:tabs>
          <w:tab w:val="num" w:pos="4320"/>
        </w:tabs>
        <w:ind w:left="4320" w:hanging="360"/>
      </w:pPr>
    </w:lvl>
    <w:lvl w:ilvl="6" w:tplc="F244CDFA">
      <w:start w:val="1"/>
      <w:numFmt w:val="lowerLetter"/>
      <w:lvlText w:val="%7."/>
      <w:lvlJc w:val="left"/>
      <w:pPr>
        <w:tabs>
          <w:tab w:val="num" w:pos="5040"/>
        </w:tabs>
        <w:ind w:left="5040" w:hanging="360"/>
      </w:pPr>
    </w:lvl>
    <w:lvl w:ilvl="7" w:tplc="AECAEBFA">
      <w:start w:val="1"/>
      <w:numFmt w:val="lowerLetter"/>
      <w:lvlText w:val="%8."/>
      <w:lvlJc w:val="left"/>
      <w:pPr>
        <w:tabs>
          <w:tab w:val="num" w:pos="5760"/>
        </w:tabs>
        <w:ind w:left="5760" w:hanging="360"/>
      </w:pPr>
    </w:lvl>
    <w:lvl w:ilvl="8" w:tplc="858499E4">
      <w:start w:val="1"/>
      <w:numFmt w:val="lowerLetter"/>
      <w:lvlText w:val="%9."/>
      <w:lvlJc w:val="left"/>
      <w:pPr>
        <w:tabs>
          <w:tab w:val="num" w:pos="6480"/>
        </w:tabs>
        <w:ind w:left="6480" w:hanging="360"/>
      </w:pPr>
    </w:lvl>
  </w:abstractNum>
  <w:num w:numId="1" w16cid:durableId="989598798">
    <w:abstractNumId w:val="14"/>
  </w:num>
  <w:num w:numId="2" w16cid:durableId="1038898463">
    <w:abstractNumId w:val="20"/>
  </w:num>
  <w:num w:numId="3" w16cid:durableId="488206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75401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71867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873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03500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807847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162475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1659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53440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96289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19410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5818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5893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94793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958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454325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073772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59190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639814">
    <w:abstractNumId w:val="2"/>
  </w:num>
  <w:num w:numId="22" w16cid:durableId="1904021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CB"/>
    <w:rsid w:val="00001EAF"/>
    <w:rsid w:val="00030C62"/>
    <w:rsid w:val="00033B91"/>
    <w:rsid w:val="00037A9E"/>
    <w:rsid w:val="0005255C"/>
    <w:rsid w:val="000557B9"/>
    <w:rsid w:val="00060987"/>
    <w:rsid w:val="000869B6"/>
    <w:rsid w:val="000877DC"/>
    <w:rsid w:val="00096524"/>
    <w:rsid w:val="000A5134"/>
    <w:rsid w:val="000C16BF"/>
    <w:rsid w:val="000D0073"/>
    <w:rsid w:val="000E5EEA"/>
    <w:rsid w:val="000F0E20"/>
    <w:rsid w:val="00104AAA"/>
    <w:rsid w:val="001133CB"/>
    <w:rsid w:val="001255C4"/>
    <w:rsid w:val="00145746"/>
    <w:rsid w:val="00164718"/>
    <w:rsid w:val="001745B1"/>
    <w:rsid w:val="00174EB2"/>
    <w:rsid w:val="00187C8B"/>
    <w:rsid w:val="001A29D9"/>
    <w:rsid w:val="001B7DCB"/>
    <w:rsid w:val="001C1519"/>
    <w:rsid w:val="001E7C33"/>
    <w:rsid w:val="001F220E"/>
    <w:rsid w:val="00203D64"/>
    <w:rsid w:val="00236E2C"/>
    <w:rsid w:val="00237959"/>
    <w:rsid w:val="00251EC4"/>
    <w:rsid w:val="00254940"/>
    <w:rsid w:val="0027114E"/>
    <w:rsid w:val="002728CE"/>
    <w:rsid w:val="00275469"/>
    <w:rsid w:val="0028391A"/>
    <w:rsid w:val="0028690A"/>
    <w:rsid w:val="002E0995"/>
    <w:rsid w:val="002E0BF1"/>
    <w:rsid w:val="00301D4E"/>
    <w:rsid w:val="00304A93"/>
    <w:rsid w:val="00322DF9"/>
    <w:rsid w:val="00327AAA"/>
    <w:rsid w:val="00331392"/>
    <w:rsid w:val="00340B09"/>
    <w:rsid w:val="003553D7"/>
    <w:rsid w:val="00366446"/>
    <w:rsid w:val="003922FC"/>
    <w:rsid w:val="003A1082"/>
    <w:rsid w:val="003A6F5A"/>
    <w:rsid w:val="003B74E9"/>
    <w:rsid w:val="003D418A"/>
    <w:rsid w:val="003E00C2"/>
    <w:rsid w:val="00435A71"/>
    <w:rsid w:val="00456BA3"/>
    <w:rsid w:val="0046011A"/>
    <w:rsid w:val="00472C11"/>
    <w:rsid w:val="004814FA"/>
    <w:rsid w:val="004821BB"/>
    <w:rsid w:val="004951E0"/>
    <w:rsid w:val="004975A0"/>
    <w:rsid w:val="004A090D"/>
    <w:rsid w:val="004A7978"/>
    <w:rsid w:val="004C6DF6"/>
    <w:rsid w:val="004E581A"/>
    <w:rsid w:val="004F1FC8"/>
    <w:rsid w:val="00554EA8"/>
    <w:rsid w:val="00566ED6"/>
    <w:rsid w:val="00581EC2"/>
    <w:rsid w:val="00584798"/>
    <w:rsid w:val="00586ED7"/>
    <w:rsid w:val="005877EB"/>
    <w:rsid w:val="005942BB"/>
    <w:rsid w:val="00597AE0"/>
    <w:rsid w:val="005A7491"/>
    <w:rsid w:val="005B60AE"/>
    <w:rsid w:val="005C3903"/>
    <w:rsid w:val="005C4E99"/>
    <w:rsid w:val="005E3353"/>
    <w:rsid w:val="00601ED5"/>
    <w:rsid w:val="00603A4D"/>
    <w:rsid w:val="00610D87"/>
    <w:rsid w:val="006131C7"/>
    <w:rsid w:val="00632F6E"/>
    <w:rsid w:val="00635370"/>
    <w:rsid w:val="006532ED"/>
    <w:rsid w:val="006622E8"/>
    <w:rsid w:val="00681609"/>
    <w:rsid w:val="006834E2"/>
    <w:rsid w:val="006842F9"/>
    <w:rsid w:val="006901F3"/>
    <w:rsid w:val="00691E8F"/>
    <w:rsid w:val="006930CF"/>
    <w:rsid w:val="006A5337"/>
    <w:rsid w:val="006B4D8F"/>
    <w:rsid w:val="006C34CC"/>
    <w:rsid w:val="006E5CA7"/>
    <w:rsid w:val="006F7302"/>
    <w:rsid w:val="006F797C"/>
    <w:rsid w:val="007305BA"/>
    <w:rsid w:val="0073314C"/>
    <w:rsid w:val="007460D5"/>
    <w:rsid w:val="0076667B"/>
    <w:rsid w:val="00787794"/>
    <w:rsid w:val="007A45F9"/>
    <w:rsid w:val="007C28FA"/>
    <w:rsid w:val="007D1ACB"/>
    <w:rsid w:val="007D58AF"/>
    <w:rsid w:val="007E2B8D"/>
    <w:rsid w:val="007E4866"/>
    <w:rsid w:val="007E6B4C"/>
    <w:rsid w:val="00803BA1"/>
    <w:rsid w:val="008339DA"/>
    <w:rsid w:val="0085467B"/>
    <w:rsid w:val="008605F0"/>
    <w:rsid w:val="00860EC8"/>
    <w:rsid w:val="00865DB2"/>
    <w:rsid w:val="00866265"/>
    <w:rsid w:val="008A4F56"/>
    <w:rsid w:val="008C4F19"/>
    <w:rsid w:val="00910B2E"/>
    <w:rsid w:val="009131B9"/>
    <w:rsid w:val="009426C4"/>
    <w:rsid w:val="0094381B"/>
    <w:rsid w:val="00944FD6"/>
    <w:rsid w:val="00945C1D"/>
    <w:rsid w:val="009520C2"/>
    <w:rsid w:val="00964F07"/>
    <w:rsid w:val="00965224"/>
    <w:rsid w:val="009B230E"/>
    <w:rsid w:val="009C1347"/>
    <w:rsid w:val="009C76C7"/>
    <w:rsid w:val="00A20C91"/>
    <w:rsid w:val="00A211F9"/>
    <w:rsid w:val="00A4024E"/>
    <w:rsid w:val="00A57502"/>
    <w:rsid w:val="00A57F99"/>
    <w:rsid w:val="00A72937"/>
    <w:rsid w:val="00A7FB59"/>
    <w:rsid w:val="00A908CF"/>
    <w:rsid w:val="00AA1165"/>
    <w:rsid w:val="00AB30E9"/>
    <w:rsid w:val="00AE6760"/>
    <w:rsid w:val="00AF5F99"/>
    <w:rsid w:val="00B270C7"/>
    <w:rsid w:val="00B4035E"/>
    <w:rsid w:val="00B508F4"/>
    <w:rsid w:val="00B649AA"/>
    <w:rsid w:val="00B929D0"/>
    <w:rsid w:val="00BC5EF5"/>
    <w:rsid w:val="00BD0024"/>
    <w:rsid w:val="00BE0BDA"/>
    <w:rsid w:val="00BE69A8"/>
    <w:rsid w:val="00C026D7"/>
    <w:rsid w:val="00C0789D"/>
    <w:rsid w:val="00C25003"/>
    <w:rsid w:val="00C54665"/>
    <w:rsid w:val="00C607C7"/>
    <w:rsid w:val="00C74720"/>
    <w:rsid w:val="00CA30FD"/>
    <w:rsid w:val="00CA5D57"/>
    <w:rsid w:val="00CB0E86"/>
    <w:rsid w:val="00CC4CCB"/>
    <w:rsid w:val="00CC7CF0"/>
    <w:rsid w:val="00CD3B7C"/>
    <w:rsid w:val="00CE44A6"/>
    <w:rsid w:val="00D061D2"/>
    <w:rsid w:val="00D10313"/>
    <w:rsid w:val="00D15C89"/>
    <w:rsid w:val="00D2608A"/>
    <w:rsid w:val="00D2743F"/>
    <w:rsid w:val="00D30FFF"/>
    <w:rsid w:val="00D36BFC"/>
    <w:rsid w:val="00D41021"/>
    <w:rsid w:val="00D41556"/>
    <w:rsid w:val="00D463FF"/>
    <w:rsid w:val="00D62257"/>
    <w:rsid w:val="00D63340"/>
    <w:rsid w:val="00D64E5F"/>
    <w:rsid w:val="00DA4D05"/>
    <w:rsid w:val="00DC6BAD"/>
    <w:rsid w:val="00DD2AF0"/>
    <w:rsid w:val="00DD3E3E"/>
    <w:rsid w:val="00DD4ED2"/>
    <w:rsid w:val="00DD68E1"/>
    <w:rsid w:val="00DE32C1"/>
    <w:rsid w:val="00DE523B"/>
    <w:rsid w:val="00DF1780"/>
    <w:rsid w:val="00E10EE9"/>
    <w:rsid w:val="00E10F34"/>
    <w:rsid w:val="00E12116"/>
    <w:rsid w:val="00E3465E"/>
    <w:rsid w:val="00E37D03"/>
    <w:rsid w:val="00E76C7B"/>
    <w:rsid w:val="00E82E00"/>
    <w:rsid w:val="00E86F84"/>
    <w:rsid w:val="00E940E5"/>
    <w:rsid w:val="00EB299B"/>
    <w:rsid w:val="00ED2F9A"/>
    <w:rsid w:val="00EF7C0F"/>
    <w:rsid w:val="00F01CB2"/>
    <w:rsid w:val="00F04711"/>
    <w:rsid w:val="00F12CBB"/>
    <w:rsid w:val="00F1768B"/>
    <w:rsid w:val="00F23587"/>
    <w:rsid w:val="00F267FE"/>
    <w:rsid w:val="00F62742"/>
    <w:rsid w:val="00F954FE"/>
    <w:rsid w:val="00FA2159"/>
    <w:rsid w:val="00FA2641"/>
    <w:rsid w:val="00FB002C"/>
    <w:rsid w:val="00FB3C70"/>
    <w:rsid w:val="00FC0587"/>
    <w:rsid w:val="00FC2F17"/>
    <w:rsid w:val="00FC4E0A"/>
    <w:rsid w:val="00FD52A6"/>
    <w:rsid w:val="00FE7907"/>
    <w:rsid w:val="02EBF833"/>
    <w:rsid w:val="03BA1E37"/>
    <w:rsid w:val="05A9094C"/>
    <w:rsid w:val="0A5A5D4E"/>
    <w:rsid w:val="0B47C03F"/>
    <w:rsid w:val="0CB913B2"/>
    <w:rsid w:val="0F6823CA"/>
    <w:rsid w:val="119F78F4"/>
    <w:rsid w:val="11C38318"/>
    <w:rsid w:val="1228C352"/>
    <w:rsid w:val="12AE91C7"/>
    <w:rsid w:val="13360A65"/>
    <w:rsid w:val="14AC7B97"/>
    <w:rsid w:val="16ED6A81"/>
    <w:rsid w:val="191781C6"/>
    <w:rsid w:val="19C739AB"/>
    <w:rsid w:val="1A4BD8C3"/>
    <w:rsid w:val="1AE0442E"/>
    <w:rsid w:val="1AF88731"/>
    <w:rsid w:val="1B062189"/>
    <w:rsid w:val="1CBF9E88"/>
    <w:rsid w:val="1CBFF360"/>
    <w:rsid w:val="1DF9E63C"/>
    <w:rsid w:val="1F33925F"/>
    <w:rsid w:val="208C9D27"/>
    <w:rsid w:val="220B09A5"/>
    <w:rsid w:val="2248A340"/>
    <w:rsid w:val="230B3431"/>
    <w:rsid w:val="24B792C2"/>
    <w:rsid w:val="266665A9"/>
    <w:rsid w:val="26BE823A"/>
    <w:rsid w:val="27C261F5"/>
    <w:rsid w:val="2A2DF554"/>
    <w:rsid w:val="2C6DA23F"/>
    <w:rsid w:val="2C76B5BB"/>
    <w:rsid w:val="2E1E1180"/>
    <w:rsid w:val="2F05D817"/>
    <w:rsid w:val="2F51A363"/>
    <w:rsid w:val="2FCD0836"/>
    <w:rsid w:val="30159473"/>
    <w:rsid w:val="307325B1"/>
    <w:rsid w:val="30B02451"/>
    <w:rsid w:val="30DF55ED"/>
    <w:rsid w:val="31F8440E"/>
    <w:rsid w:val="33B37013"/>
    <w:rsid w:val="3403B72D"/>
    <w:rsid w:val="343829FB"/>
    <w:rsid w:val="35119AA2"/>
    <w:rsid w:val="366EEB4B"/>
    <w:rsid w:val="37E3C46F"/>
    <w:rsid w:val="38EF0186"/>
    <w:rsid w:val="396BB0A1"/>
    <w:rsid w:val="39BE39D2"/>
    <w:rsid w:val="3A80C76D"/>
    <w:rsid w:val="3DB37867"/>
    <w:rsid w:val="3FDFA86C"/>
    <w:rsid w:val="428EE884"/>
    <w:rsid w:val="43B0771F"/>
    <w:rsid w:val="4439FD02"/>
    <w:rsid w:val="457C9923"/>
    <w:rsid w:val="475782D0"/>
    <w:rsid w:val="49CB9464"/>
    <w:rsid w:val="49E0D8FC"/>
    <w:rsid w:val="4A0431EA"/>
    <w:rsid w:val="4AF177AE"/>
    <w:rsid w:val="4CF71183"/>
    <w:rsid w:val="4DCD8DDC"/>
    <w:rsid w:val="4E26EDF4"/>
    <w:rsid w:val="4E5F13F5"/>
    <w:rsid w:val="4EE42B60"/>
    <w:rsid w:val="4EE5E90C"/>
    <w:rsid w:val="50F0CFFF"/>
    <w:rsid w:val="53248B83"/>
    <w:rsid w:val="537AB739"/>
    <w:rsid w:val="53A20EE3"/>
    <w:rsid w:val="53D7C1D7"/>
    <w:rsid w:val="54127C35"/>
    <w:rsid w:val="576C92A4"/>
    <w:rsid w:val="58743795"/>
    <w:rsid w:val="58E8B63F"/>
    <w:rsid w:val="599671C9"/>
    <w:rsid w:val="59E8A242"/>
    <w:rsid w:val="5AE5F6A5"/>
    <w:rsid w:val="5C50785A"/>
    <w:rsid w:val="5C7BBBED"/>
    <w:rsid w:val="5CDB5443"/>
    <w:rsid w:val="5CFC5363"/>
    <w:rsid w:val="5D8D6EE1"/>
    <w:rsid w:val="5DAB7538"/>
    <w:rsid w:val="5FCCCA48"/>
    <w:rsid w:val="6037A722"/>
    <w:rsid w:val="6223BBED"/>
    <w:rsid w:val="628E51A7"/>
    <w:rsid w:val="6294283E"/>
    <w:rsid w:val="62F9B9CE"/>
    <w:rsid w:val="62FA0140"/>
    <w:rsid w:val="63304601"/>
    <w:rsid w:val="63432463"/>
    <w:rsid w:val="63B7CB6B"/>
    <w:rsid w:val="6432D6C8"/>
    <w:rsid w:val="65E4CE21"/>
    <w:rsid w:val="670A8839"/>
    <w:rsid w:val="677CDC76"/>
    <w:rsid w:val="686ECEEE"/>
    <w:rsid w:val="696A28A4"/>
    <w:rsid w:val="6B6A24E4"/>
    <w:rsid w:val="6D38434C"/>
    <w:rsid w:val="6D799EE0"/>
    <w:rsid w:val="6E00AD70"/>
    <w:rsid w:val="6EA6DAED"/>
    <w:rsid w:val="6FAE63E6"/>
    <w:rsid w:val="700383C1"/>
    <w:rsid w:val="7028EA70"/>
    <w:rsid w:val="71143395"/>
    <w:rsid w:val="71BC71FB"/>
    <w:rsid w:val="73296F6D"/>
    <w:rsid w:val="756D0764"/>
    <w:rsid w:val="75A834C6"/>
    <w:rsid w:val="76C82DF3"/>
    <w:rsid w:val="78345EE0"/>
    <w:rsid w:val="7A9D00E0"/>
    <w:rsid w:val="7B394B42"/>
    <w:rsid w:val="7C5CA49F"/>
    <w:rsid w:val="7C70070B"/>
    <w:rsid w:val="7CD8CE00"/>
    <w:rsid w:val="7CFD5517"/>
    <w:rsid w:val="7E6CD449"/>
    <w:rsid w:val="7F7FD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3582"/>
  <w15:chartTrackingRefBased/>
  <w15:docId w15:val="{EE92E3B1-5F58-438D-BC3F-305C086A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CB"/>
    <w:rPr>
      <w:kern w:val="0"/>
      <w14:ligatures w14:val="none"/>
    </w:rPr>
  </w:style>
  <w:style w:type="paragraph" w:styleId="Heading1">
    <w:name w:val="heading 1"/>
    <w:basedOn w:val="Normal"/>
    <w:next w:val="Normal"/>
    <w:link w:val="Heading1Char"/>
    <w:uiPriority w:val="9"/>
    <w:qFormat/>
    <w:rsid w:val="00CC4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CCB"/>
    <w:rPr>
      <w:rFonts w:eastAsiaTheme="majorEastAsia" w:cstheme="majorBidi"/>
      <w:color w:val="272727" w:themeColor="text1" w:themeTint="D8"/>
    </w:rPr>
  </w:style>
  <w:style w:type="paragraph" w:styleId="Title">
    <w:name w:val="Title"/>
    <w:basedOn w:val="Normal"/>
    <w:next w:val="Normal"/>
    <w:link w:val="TitleChar"/>
    <w:uiPriority w:val="10"/>
    <w:qFormat/>
    <w:rsid w:val="00CC4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CCB"/>
    <w:pPr>
      <w:spacing w:before="160"/>
      <w:jc w:val="center"/>
    </w:pPr>
    <w:rPr>
      <w:i/>
      <w:iCs/>
      <w:color w:val="404040" w:themeColor="text1" w:themeTint="BF"/>
    </w:rPr>
  </w:style>
  <w:style w:type="character" w:customStyle="1" w:styleId="QuoteChar">
    <w:name w:val="Quote Char"/>
    <w:basedOn w:val="DefaultParagraphFont"/>
    <w:link w:val="Quote"/>
    <w:uiPriority w:val="29"/>
    <w:rsid w:val="00CC4CCB"/>
    <w:rPr>
      <w:i/>
      <w:iCs/>
      <w:color w:val="404040" w:themeColor="text1" w:themeTint="BF"/>
    </w:rPr>
  </w:style>
  <w:style w:type="paragraph" w:styleId="ListParagraph">
    <w:name w:val="List Paragraph"/>
    <w:basedOn w:val="Normal"/>
    <w:uiPriority w:val="34"/>
    <w:qFormat/>
    <w:rsid w:val="00CC4CCB"/>
    <w:pPr>
      <w:ind w:left="720"/>
      <w:contextualSpacing/>
    </w:pPr>
  </w:style>
  <w:style w:type="character" w:styleId="IntenseEmphasis">
    <w:name w:val="Intense Emphasis"/>
    <w:basedOn w:val="DefaultParagraphFont"/>
    <w:uiPriority w:val="21"/>
    <w:qFormat/>
    <w:rsid w:val="00CC4CCB"/>
    <w:rPr>
      <w:i/>
      <w:iCs/>
      <w:color w:val="0F4761" w:themeColor="accent1" w:themeShade="BF"/>
    </w:rPr>
  </w:style>
  <w:style w:type="paragraph" w:styleId="IntenseQuote">
    <w:name w:val="Intense Quote"/>
    <w:basedOn w:val="Normal"/>
    <w:next w:val="Normal"/>
    <w:link w:val="IntenseQuoteChar"/>
    <w:uiPriority w:val="30"/>
    <w:qFormat/>
    <w:rsid w:val="00CC4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CCB"/>
    <w:rPr>
      <w:i/>
      <w:iCs/>
      <w:color w:val="0F4761" w:themeColor="accent1" w:themeShade="BF"/>
    </w:rPr>
  </w:style>
  <w:style w:type="character" w:styleId="IntenseReference">
    <w:name w:val="Intense Reference"/>
    <w:basedOn w:val="DefaultParagraphFont"/>
    <w:uiPriority w:val="32"/>
    <w:qFormat/>
    <w:rsid w:val="00CC4CCB"/>
    <w:rPr>
      <w:b/>
      <w:bCs/>
      <w:smallCaps/>
      <w:color w:val="0F4761" w:themeColor="accent1" w:themeShade="BF"/>
      <w:spacing w:val="5"/>
    </w:rPr>
  </w:style>
  <w:style w:type="paragraph" w:styleId="Header">
    <w:name w:val="header"/>
    <w:basedOn w:val="Normal"/>
    <w:link w:val="HeaderChar"/>
    <w:uiPriority w:val="99"/>
    <w:unhideWhenUsed/>
    <w:rsid w:val="0036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46"/>
    <w:rPr>
      <w:kern w:val="0"/>
      <w14:ligatures w14:val="none"/>
    </w:rPr>
  </w:style>
  <w:style w:type="paragraph" w:styleId="Footer">
    <w:name w:val="footer"/>
    <w:basedOn w:val="Normal"/>
    <w:link w:val="FooterChar"/>
    <w:uiPriority w:val="99"/>
    <w:unhideWhenUsed/>
    <w:rsid w:val="0036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46"/>
    <w:rPr>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C28FA"/>
    <w:rPr>
      <w:b/>
      <w:bCs/>
    </w:rPr>
  </w:style>
  <w:style w:type="character" w:customStyle="1" w:styleId="CommentSubjectChar">
    <w:name w:val="Comment Subject Char"/>
    <w:basedOn w:val="CommentTextChar"/>
    <w:link w:val="CommentSubject"/>
    <w:uiPriority w:val="99"/>
    <w:semiHidden/>
    <w:rsid w:val="007C28FA"/>
    <w:rPr>
      <w:b/>
      <w:bCs/>
      <w:kern w:val="0"/>
      <w:sz w:val="20"/>
      <w:szCs w:val="20"/>
      <w14:ligatures w14:val="none"/>
    </w:rPr>
  </w:style>
  <w:style w:type="character" w:styleId="Mention">
    <w:name w:val="Mention"/>
    <w:basedOn w:val="DefaultParagraphFont"/>
    <w:uiPriority w:val="99"/>
    <w:unhideWhenUsed/>
    <w:rsid w:val="007C28FA"/>
    <w:rPr>
      <w:color w:val="2B579A"/>
      <w:shd w:val="clear" w:color="auto" w:fill="E1DFDD"/>
    </w:rPr>
  </w:style>
  <w:style w:type="paragraph" w:styleId="Revision">
    <w:name w:val="Revision"/>
    <w:hidden/>
    <w:uiPriority w:val="99"/>
    <w:semiHidden/>
    <w:rsid w:val="00DE32C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52907788-3c74-4840-b653-af3aea5e5f4b">false</Archiv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4" ma:contentTypeDescription="Create a new document." ma:contentTypeScope="" ma:versionID="42252de3640273001aee87ef0380b82b">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2cb17bb3c0f9c449ffbe7c8222215445"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89005-C349-42CE-9F63-8F3E5F91366B}">
  <ds:schemaRefs>
    <ds:schemaRef ds:uri="http://schemas.microsoft.com/sharepoint/v3/contenttype/forms"/>
  </ds:schemaRefs>
</ds:datastoreItem>
</file>

<file path=customXml/itemProps2.xml><?xml version="1.0" encoding="utf-8"?>
<ds:datastoreItem xmlns:ds="http://schemas.openxmlformats.org/officeDocument/2006/customXml" ds:itemID="{60EA027E-DDA6-401E-AE04-79BEA4F0EA82}">
  <ds:schemaRefs>
    <ds:schemaRef ds:uri="http://schemas.microsoft.com/office/2006/metadata/properties"/>
    <ds:schemaRef ds:uri="http://schemas.microsoft.com/office/infopath/2007/PartnerControls"/>
    <ds:schemaRef ds:uri="http://schemas.microsoft.com/sharepoint/v3"/>
    <ds:schemaRef ds:uri="52907788-3c74-4840-b653-af3aea5e5f4b"/>
    <ds:schemaRef ds:uri="83a87e31-bf32-46ab-8e70-9fa18461fa4d"/>
  </ds:schemaRefs>
</ds:datastoreItem>
</file>

<file path=customXml/itemProps3.xml><?xml version="1.0" encoding="utf-8"?>
<ds:datastoreItem xmlns:ds="http://schemas.openxmlformats.org/officeDocument/2006/customXml" ds:itemID="{75AD64E5-DDA9-4EF5-AADD-F3E9F70D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10366</Characters>
  <Application>Microsoft Office Word</Application>
  <DocSecurity>4</DocSecurity>
  <Lines>86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BALDWIN, Callum</cp:lastModifiedBy>
  <cp:revision>2</cp:revision>
  <dcterms:created xsi:type="dcterms:W3CDTF">2025-07-18T13:22:00Z</dcterms:created>
  <dcterms:modified xsi:type="dcterms:W3CDTF">2025-07-18T13:22:00Z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47b685b2,43ba80ef,763c7f4e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1e271ac6,38f298d4,2cd81cc6</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0x0101008EFBF9F0EEF9024B851798905602A73B</vt:lpwstr>
  </property>
  <property fmtid="{D5CDD505-2E9C-101B-9397-08002B2CF9AE}" pid="9" name="MediaServiceImageTags">
    <vt:lpwstr/>
  </property>
</Properties>
</file>