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5"/>
        <w:gridCol w:w="2975"/>
      </w:tblGrid>
      <w:tr w:rsidR="000F36D0" w:rsidRPr="000F36D0" w14:paraId="2621886E" w14:textId="77777777" w:rsidTr="009C40AD">
        <w:trPr>
          <w:trHeight w:val="80"/>
        </w:trPr>
        <w:tc>
          <w:tcPr>
            <w:tcW w:w="7230" w:type="dxa"/>
            <w:vMerge w:val="restart"/>
            <w:hideMark/>
          </w:tcPr>
          <w:p w14:paraId="4FBC3056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52720">
              <w:rPr>
                <w:rFonts w:ascii="Arial" w:eastAsia="Times New Roman" w:hAnsi="Arial" w:cs="Arial"/>
                <w:noProof/>
                <w:kern w:val="0"/>
                <w:lang w:eastAsia="en-GB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BA1748F" wp14:editId="43C8A8C6">
                  <wp:simplePos x="0" y="0"/>
                  <wp:positionH relativeFrom="column">
                    <wp:posOffset>552</wp:posOffset>
                  </wp:positionH>
                  <wp:positionV relativeFrom="paragraph">
                    <wp:posOffset>-331</wp:posOffset>
                  </wp:positionV>
                  <wp:extent cx="946150" cy="763270"/>
                  <wp:effectExtent l="0" t="0" r="6350" b="0"/>
                  <wp:wrapSquare wrapText="bothSides"/>
                  <wp:docPr id="7" name="Picture 1" descr="A logo with a coat of arms and a crow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A logo with a coat of arms and a crow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6" t="23450" r="19794" b="21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019724C5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F36D0" w:rsidRPr="000F36D0" w14:paraId="6825B3AA" w14:textId="77777777" w:rsidTr="009C40AD">
        <w:trPr>
          <w:trHeight w:val="1247"/>
        </w:trPr>
        <w:tc>
          <w:tcPr>
            <w:tcW w:w="7230" w:type="dxa"/>
            <w:vMerge/>
            <w:vAlign w:val="center"/>
            <w:hideMark/>
          </w:tcPr>
          <w:p w14:paraId="6CF2897F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hideMark/>
          </w:tcPr>
          <w:p w14:paraId="2F91CA02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F36D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Lord Timpson</w:t>
            </w:r>
          </w:p>
          <w:p w14:paraId="06FF6A26" w14:textId="77777777" w:rsidR="009C40AD" w:rsidRPr="000F36D0" w:rsidRDefault="009C40AD" w:rsidP="00B52720">
            <w:pPr>
              <w:spacing w:after="0" w:line="280" w:lineRule="exact"/>
              <w:ind w:left="561" w:hanging="565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F36D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Minister of State for Justice</w:t>
            </w:r>
          </w:p>
        </w:tc>
      </w:tr>
      <w:tr w:rsidR="000F36D0" w:rsidRPr="000F36D0" w14:paraId="07FF651E" w14:textId="77777777" w:rsidTr="009C40AD">
        <w:trPr>
          <w:trHeight w:val="2268"/>
        </w:trPr>
        <w:tc>
          <w:tcPr>
            <w:tcW w:w="7230" w:type="dxa"/>
          </w:tcPr>
          <w:p w14:paraId="51CCE41D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3C57FC1C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66F9444" w14:textId="3D30A3A6" w:rsidR="009C40AD" w:rsidRPr="000F36D0" w:rsidRDefault="00351DEB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Peers</w:t>
            </w:r>
          </w:p>
          <w:p w14:paraId="560E8DB2" w14:textId="1E943F91" w:rsidR="00EF00E1" w:rsidRPr="000F36D0" w:rsidRDefault="00EF00E1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</w:tcPr>
          <w:p w14:paraId="075ED277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BBCC8D0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470CC7E" w14:textId="77777777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9506673" w14:textId="29F00427" w:rsidR="009C40AD" w:rsidRPr="000F36D0" w:rsidRDefault="009C40AD" w:rsidP="00B52720">
            <w:pPr>
              <w:spacing w:before="480" w:after="0" w:line="280" w:lineRule="exac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</w:p>
          <w:p w14:paraId="64B430D7" w14:textId="77777777" w:rsidR="00351DEB" w:rsidRDefault="00351DEB" w:rsidP="00E05243">
            <w:pPr>
              <w:spacing w:after="0" w:line="280" w:lineRule="exact"/>
              <w:rPr>
                <w:rFonts w:ascii="Arial" w:eastAsia="Times New Roman" w:hAnsi="Arial" w:cs="Arial"/>
                <w:b/>
                <w:kern w:val="0"/>
                <w:lang w:eastAsia="en-GB"/>
                <w14:ligatures w14:val="none"/>
              </w:rPr>
            </w:pPr>
          </w:p>
          <w:p w14:paraId="3B79DCD0" w14:textId="3A237BB8" w:rsidR="009C40AD" w:rsidRPr="000F36D0" w:rsidRDefault="009C40AD" w:rsidP="00B52720">
            <w:pPr>
              <w:spacing w:after="0" w:line="280" w:lineRule="exac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F36D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   </w:t>
            </w:r>
            <w:r w:rsidR="0001076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13 </w:t>
            </w:r>
            <w:r w:rsidRPr="000F36D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May 2025</w:t>
            </w:r>
          </w:p>
        </w:tc>
      </w:tr>
    </w:tbl>
    <w:p w14:paraId="4F7EFEC6" w14:textId="77777777" w:rsidR="009C40AD" w:rsidRPr="009C40AD" w:rsidRDefault="009C40AD" w:rsidP="009C40AD">
      <w:pPr>
        <w:spacing w:after="0" w:line="280" w:lineRule="exact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600C5D9" w14:textId="77777777" w:rsidR="009C40AD" w:rsidRPr="009C40AD" w:rsidRDefault="009C40AD" w:rsidP="009C40AD">
      <w:pPr>
        <w:spacing w:after="0" w:line="280" w:lineRule="exact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6B30074" w14:textId="77777777" w:rsidR="009C40AD" w:rsidRPr="009C40AD" w:rsidRDefault="009C40AD" w:rsidP="009C40AD">
      <w:pPr>
        <w:spacing w:after="0" w:line="280" w:lineRule="exact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F1B40D1" w14:textId="77777777" w:rsidR="00903780" w:rsidRPr="000F36D0" w:rsidRDefault="00903780" w:rsidP="00E05243">
      <w:pPr>
        <w:spacing w:after="0" w:line="280" w:lineRule="exact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C254E30" w14:textId="1BF6C13A" w:rsidR="009C40AD" w:rsidRPr="009C40AD" w:rsidRDefault="009C40AD" w:rsidP="009C40AD">
      <w:pPr>
        <w:spacing w:after="0" w:line="280" w:lineRule="exact"/>
        <w:jc w:val="center"/>
        <w:rPr>
          <w:rFonts w:ascii="Arial" w:eastAsia="Times New Roman" w:hAnsi="Arial" w:cs="Arial"/>
          <w:b/>
          <w:kern w:val="0"/>
          <w:lang w:eastAsia="en-GB"/>
          <w14:ligatures w14:val="none"/>
        </w:rPr>
      </w:pPr>
      <w:r w:rsidRPr="000F36D0">
        <w:rPr>
          <w:rFonts w:ascii="Arial" w:eastAsia="Times New Roman" w:hAnsi="Arial" w:cs="Arial"/>
          <w:b/>
          <w:kern w:val="0"/>
          <w:lang w:eastAsia="en-GB"/>
          <w14:ligatures w14:val="none"/>
        </w:rPr>
        <w:t>SENTE</w:t>
      </w:r>
      <w:r w:rsidR="00CD2D70" w:rsidRPr="000F36D0">
        <w:rPr>
          <w:rFonts w:ascii="Arial" w:eastAsia="Times New Roman" w:hAnsi="Arial" w:cs="Arial"/>
          <w:b/>
          <w:kern w:val="0"/>
          <w:lang w:eastAsia="en-GB"/>
          <w14:ligatures w14:val="none"/>
        </w:rPr>
        <w:t>NCING GUIDELINES (PRE-SENTENCE REPORTS) BILL</w:t>
      </w:r>
      <w:r w:rsidR="00E555D5">
        <w:rPr>
          <w:rFonts w:ascii="Arial" w:eastAsia="Times New Roman" w:hAnsi="Arial" w:cs="Arial"/>
          <w:b/>
          <w:kern w:val="0"/>
          <w:lang w:eastAsia="en-GB"/>
          <w14:ligatures w14:val="none"/>
        </w:rPr>
        <w:t xml:space="preserve"> – SECOND READING FOLLOW UP</w:t>
      </w:r>
    </w:p>
    <w:p w14:paraId="4E355E94" w14:textId="77777777" w:rsidR="009C40AD" w:rsidRPr="009C40AD" w:rsidRDefault="009C40AD" w:rsidP="009C40AD">
      <w:pPr>
        <w:spacing w:after="0" w:line="280" w:lineRule="exact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07A371E" w14:textId="4D1D85BB" w:rsidR="009C40AD" w:rsidRPr="009C40AD" w:rsidRDefault="009C40AD" w:rsidP="009C40AD">
      <w:pPr>
        <w:spacing w:after="0" w:line="280" w:lineRule="exact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FD42BAB" w14:textId="733827DC" w:rsidR="009C40AD" w:rsidRPr="00B52720" w:rsidRDefault="00A05E22" w:rsidP="00E05243">
      <w:pPr>
        <w:spacing w:after="0" w:line="280" w:lineRule="exact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During my closing speech at Second Reading of the </w:t>
      </w:r>
      <w:r w:rsidR="00DD0B62">
        <w:rPr>
          <w:rFonts w:ascii="Arial" w:eastAsia="Times New Roman" w:hAnsi="Arial" w:cs="Arial"/>
          <w:kern w:val="0"/>
          <w:lang w:eastAsia="en-GB"/>
          <w14:ligatures w14:val="none"/>
        </w:rPr>
        <w:t>Sentencing Guidelines (Pre-Sentence Reports)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Bill, I committed to write to you all ahead of Committee Stage to set out further information on the Government’s view that ‘personal characteristics’ is the</w:t>
      </w:r>
      <w:r w:rsidR="00220CF7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8B4D15">
        <w:rPr>
          <w:rFonts w:ascii="Arial" w:eastAsia="Times New Roman" w:hAnsi="Arial" w:cs="Arial"/>
          <w:kern w:val="0"/>
          <w:lang w:eastAsia="en-GB"/>
          <w14:ligatures w14:val="none"/>
        </w:rPr>
        <w:t>most appropriate term to use in the Bill</w:t>
      </w:r>
      <w:r w:rsidR="00B7441C">
        <w:rPr>
          <w:rFonts w:ascii="Arial" w:eastAsia="Times New Roman" w:hAnsi="Arial" w:cs="Arial"/>
          <w:kern w:val="0"/>
          <w:lang w:eastAsia="en-GB"/>
          <w14:ligatures w14:val="none"/>
        </w:rPr>
        <w:t>, and on the other contexts in which the term has been used</w:t>
      </w:r>
      <w:r w:rsidR="008B4D15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738D82A" w14:textId="38576588" w:rsidR="03434492" w:rsidRDefault="00B7441C" w:rsidP="00E05243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As I set out in my speech, t</w:t>
      </w:r>
      <w:r w:rsidR="1F3B21C2" w:rsidRPr="00B52720">
        <w:rPr>
          <w:rFonts w:ascii="Arial" w:hAnsi="Arial" w:cs="Arial"/>
        </w:rPr>
        <w:t xml:space="preserve">he Government’s concern with the </w:t>
      </w:r>
      <w:r w:rsidR="1F3B21C2" w:rsidRPr="00B52720">
        <w:rPr>
          <w:rFonts w:ascii="Arial" w:hAnsi="Arial" w:cs="Arial"/>
          <w:i/>
        </w:rPr>
        <w:t>Imposition</w:t>
      </w:r>
      <w:r w:rsidR="1F3B21C2" w:rsidRPr="00B52720">
        <w:rPr>
          <w:rFonts w:ascii="Arial" w:hAnsi="Arial" w:cs="Arial"/>
        </w:rPr>
        <w:t xml:space="preserve"> </w:t>
      </w:r>
      <w:r w:rsidR="00266D91">
        <w:rPr>
          <w:rFonts w:ascii="Arial" w:hAnsi="Arial" w:cs="Arial"/>
        </w:rPr>
        <w:t>g</w:t>
      </w:r>
      <w:r w:rsidR="1F3B21C2" w:rsidRPr="00B52720">
        <w:rPr>
          <w:rFonts w:ascii="Arial" w:hAnsi="Arial" w:cs="Arial"/>
        </w:rPr>
        <w:t xml:space="preserve">uideline due to be introduced by the Sentencing Council was that it risked </w:t>
      </w:r>
      <w:r w:rsidR="6E8EFDC0" w:rsidRPr="00B52720">
        <w:rPr>
          <w:rFonts w:ascii="Arial" w:hAnsi="Arial" w:cs="Arial"/>
        </w:rPr>
        <w:t>offenders receiving differential treatment, in terms of access to pre-sentence reports</w:t>
      </w:r>
      <w:r w:rsidR="0A3861BF" w:rsidRPr="00B52720">
        <w:rPr>
          <w:rFonts w:ascii="Arial" w:hAnsi="Arial" w:cs="Arial"/>
        </w:rPr>
        <w:t>.</w:t>
      </w:r>
      <w:r w:rsidR="30D8E163" w:rsidRPr="00B52720">
        <w:rPr>
          <w:rFonts w:ascii="Arial" w:hAnsi="Arial" w:cs="Arial"/>
        </w:rPr>
        <w:t xml:space="preserve"> T</w:t>
      </w:r>
      <w:r w:rsidR="68D765A0" w:rsidRPr="00B52720">
        <w:rPr>
          <w:rFonts w:ascii="Arial" w:hAnsi="Arial" w:cs="Arial"/>
        </w:rPr>
        <w:t>he Government’s policy in bringing forward this Bill was therefore to ensure that the Sentencing Coun</w:t>
      </w:r>
      <w:r w:rsidR="06E94524" w:rsidRPr="00B52720">
        <w:rPr>
          <w:rFonts w:ascii="Arial" w:hAnsi="Arial" w:cs="Arial"/>
        </w:rPr>
        <w:t xml:space="preserve">cil did not use guidelines on pre-sentence reports to </w:t>
      </w:r>
      <w:r w:rsidR="2721C778" w:rsidRPr="00B52720">
        <w:rPr>
          <w:rFonts w:ascii="Arial" w:hAnsi="Arial" w:cs="Arial"/>
        </w:rPr>
        <w:t>prioritise</w:t>
      </w:r>
      <w:r w:rsidR="06E94524" w:rsidRPr="00B52720">
        <w:rPr>
          <w:rFonts w:ascii="Arial" w:hAnsi="Arial" w:cs="Arial"/>
        </w:rPr>
        <w:t xml:space="preserve"> </w:t>
      </w:r>
      <w:r w:rsidR="4A16516A" w:rsidRPr="00B52720">
        <w:rPr>
          <w:rFonts w:ascii="Arial" w:hAnsi="Arial" w:cs="Arial"/>
        </w:rPr>
        <w:t>certain groups</w:t>
      </w:r>
      <w:r w:rsidR="68D765A0" w:rsidRPr="00B52720">
        <w:rPr>
          <w:rFonts w:ascii="Arial" w:hAnsi="Arial" w:cs="Arial"/>
        </w:rPr>
        <w:t xml:space="preserve"> over others based on their </w:t>
      </w:r>
      <w:r w:rsidR="00503D87" w:rsidRPr="00B52720">
        <w:rPr>
          <w:rFonts w:ascii="Arial" w:hAnsi="Arial" w:cs="Arial"/>
        </w:rPr>
        <w:t>personal</w:t>
      </w:r>
      <w:r w:rsidR="50DFD500" w:rsidRPr="00B52720">
        <w:rPr>
          <w:rFonts w:ascii="Arial" w:hAnsi="Arial" w:cs="Arial"/>
        </w:rPr>
        <w:t xml:space="preserve"> </w:t>
      </w:r>
      <w:r w:rsidR="68D765A0" w:rsidRPr="00B52720">
        <w:rPr>
          <w:rFonts w:ascii="Arial" w:hAnsi="Arial" w:cs="Arial"/>
        </w:rPr>
        <w:t>characteristics</w:t>
      </w:r>
      <w:r w:rsidR="6CD5F08E" w:rsidRPr="00B52720">
        <w:rPr>
          <w:rFonts w:ascii="Arial" w:hAnsi="Arial" w:cs="Arial"/>
        </w:rPr>
        <w:t>.</w:t>
      </w:r>
    </w:p>
    <w:p w14:paraId="033691C2" w14:textId="48578F4B" w:rsidR="00700ADF" w:rsidRPr="00700ADF" w:rsidRDefault="00700ADF" w:rsidP="00E05243">
      <w:pPr>
        <w:spacing w:line="280" w:lineRule="exact"/>
        <w:rPr>
          <w:rFonts w:ascii="Arial" w:hAnsi="Arial" w:cs="Arial"/>
          <w:b/>
          <w:bCs/>
        </w:rPr>
      </w:pPr>
      <w:r w:rsidRPr="00700ADF">
        <w:rPr>
          <w:rFonts w:ascii="Arial" w:hAnsi="Arial" w:cs="Arial"/>
          <w:b/>
          <w:bCs/>
        </w:rPr>
        <w:t>Protected characteristics</w:t>
      </w:r>
    </w:p>
    <w:p w14:paraId="4A250AF1" w14:textId="461318CF" w:rsidR="00BE3E31" w:rsidRDefault="000D06F0" w:rsidP="00E05243">
      <w:pPr>
        <w:spacing w:line="280" w:lineRule="exact"/>
        <w:rPr>
          <w:rFonts w:ascii="Arial" w:hAnsi="Arial" w:cs="Arial"/>
        </w:rPr>
      </w:pPr>
      <w:r w:rsidRPr="003E7EC0">
        <w:rPr>
          <w:rFonts w:ascii="Arial" w:hAnsi="Arial" w:cs="Arial"/>
        </w:rPr>
        <w:t xml:space="preserve">The </w:t>
      </w:r>
      <w:r w:rsidR="005D2EDE" w:rsidRPr="003E7EC0">
        <w:rPr>
          <w:rFonts w:ascii="Arial" w:hAnsi="Arial" w:cs="Arial"/>
        </w:rPr>
        <w:t>Equality Act</w:t>
      </w:r>
      <w:r w:rsidR="00162277" w:rsidRPr="003E7EC0">
        <w:rPr>
          <w:rFonts w:ascii="Arial" w:hAnsi="Arial" w:cs="Arial"/>
        </w:rPr>
        <w:t xml:space="preserve"> 2010</w:t>
      </w:r>
      <w:r w:rsidR="3B8E21CC" w:rsidRPr="003E7EC0">
        <w:rPr>
          <w:rFonts w:ascii="Arial" w:hAnsi="Arial" w:cs="Arial"/>
        </w:rPr>
        <w:t xml:space="preserve"> uses the term “protected characteristics”</w:t>
      </w:r>
      <w:r w:rsidR="005D2EDE" w:rsidRPr="003E7EC0">
        <w:rPr>
          <w:rFonts w:ascii="Arial" w:hAnsi="Arial" w:cs="Arial"/>
        </w:rPr>
        <w:t>.</w:t>
      </w:r>
      <w:r w:rsidR="00C36E9E" w:rsidRPr="003E7EC0">
        <w:rPr>
          <w:rFonts w:ascii="Arial" w:hAnsi="Arial" w:cs="Arial"/>
        </w:rPr>
        <w:t xml:space="preserve"> That term </w:t>
      </w:r>
      <w:r w:rsidR="000575BD" w:rsidRPr="003E7EC0">
        <w:rPr>
          <w:rFonts w:ascii="Arial" w:hAnsi="Arial" w:cs="Arial"/>
        </w:rPr>
        <w:t>has a closed definition</w:t>
      </w:r>
      <w:r w:rsidR="005D2EDE" w:rsidRPr="003E7EC0">
        <w:rPr>
          <w:rFonts w:ascii="Arial" w:hAnsi="Arial" w:cs="Arial"/>
        </w:rPr>
        <w:t xml:space="preserve"> and refers to </w:t>
      </w:r>
      <w:r w:rsidR="00BC0270" w:rsidRPr="003E7EC0">
        <w:rPr>
          <w:rFonts w:ascii="Arial" w:hAnsi="Arial" w:cs="Arial"/>
        </w:rPr>
        <w:t xml:space="preserve">age, disability, gender reassignment, marriage and civil partnership, pregnancy and maternity, </w:t>
      </w:r>
      <w:r w:rsidR="001432D4" w:rsidRPr="003E7EC0">
        <w:rPr>
          <w:rFonts w:ascii="Arial" w:hAnsi="Arial" w:cs="Arial"/>
        </w:rPr>
        <w:t>race, religion or belief, sex, and sexual orientation.</w:t>
      </w:r>
      <w:r w:rsidR="00E96C0E" w:rsidRPr="003E7EC0">
        <w:rPr>
          <w:rFonts w:ascii="Arial" w:hAnsi="Arial" w:cs="Arial"/>
        </w:rPr>
        <w:t xml:space="preserve"> </w:t>
      </w:r>
      <w:r w:rsidR="66927DF9" w:rsidRPr="003E7EC0">
        <w:rPr>
          <w:rFonts w:ascii="Arial" w:hAnsi="Arial" w:cs="Arial"/>
        </w:rPr>
        <w:t xml:space="preserve"> As noted above</w:t>
      </w:r>
      <w:r w:rsidR="00DC7C4C" w:rsidRPr="003E7EC0">
        <w:rPr>
          <w:rFonts w:ascii="Arial" w:hAnsi="Arial" w:cs="Arial"/>
        </w:rPr>
        <w:t>,</w:t>
      </w:r>
      <w:r w:rsidR="66927DF9" w:rsidRPr="003E7EC0">
        <w:rPr>
          <w:rFonts w:ascii="Arial" w:hAnsi="Arial" w:cs="Arial"/>
        </w:rPr>
        <w:t xml:space="preserve"> however</w:t>
      </w:r>
      <w:r w:rsidR="00DC7C4C" w:rsidRPr="003E7EC0">
        <w:rPr>
          <w:rFonts w:ascii="Arial" w:hAnsi="Arial" w:cs="Arial"/>
        </w:rPr>
        <w:t>,</w:t>
      </w:r>
      <w:r w:rsidR="55246C9F" w:rsidRPr="003E7EC0">
        <w:rPr>
          <w:rFonts w:ascii="Arial" w:hAnsi="Arial" w:cs="Arial"/>
        </w:rPr>
        <w:t xml:space="preserve"> the Government’s policy is</w:t>
      </w:r>
      <w:r w:rsidR="66927DF9" w:rsidRPr="003E7EC0">
        <w:rPr>
          <w:rFonts w:ascii="Arial" w:hAnsi="Arial" w:cs="Arial"/>
        </w:rPr>
        <w:t xml:space="preserve"> not limited to particular personal characteristics (such as the specifically listed protected characteristics under the Equality Act</w:t>
      </w:r>
      <w:r w:rsidR="66927DF9" w:rsidRPr="00E05243">
        <w:rPr>
          <w:rFonts w:ascii="Arial" w:hAnsi="Arial" w:cs="Arial"/>
        </w:rPr>
        <w:t>)</w:t>
      </w:r>
      <w:r w:rsidR="5A35CF35" w:rsidRPr="00E05243">
        <w:rPr>
          <w:rFonts w:ascii="Arial" w:hAnsi="Arial" w:cs="Arial"/>
        </w:rPr>
        <w:t>.</w:t>
      </w:r>
      <w:r w:rsidR="5A35CF35" w:rsidRPr="003E7EC0">
        <w:rPr>
          <w:rFonts w:ascii="Arial" w:hAnsi="Arial" w:cs="Arial"/>
        </w:rPr>
        <w:t xml:space="preserve"> </w:t>
      </w:r>
      <w:r w:rsidR="0C15D5CA" w:rsidRPr="003E7EC0">
        <w:rPr>
          <w:rFonts w:ascii="Arial" w:hAnsi="Arial" w:cs="Arial"/>
        </w:rPr>
        <w:t xml:space="preserve"> Use of the term “protected characteristic” would </w:t>
      </w:r>
      <w:r w:rsidR="00A835E0" w:rsidRPr="003E7EC0">
        <w:rPr>
          <w:rFonts w:ascii="Arial" w:hAnsi="Arial" w:cs="Arial"/>
        </w:rPr>
        <w:t xml:space="preserve">therefore </w:t>
      </w:r>
      <w:r w:rsidR="0C15D5CA" w:rsidRPr="003E7EC0">
        <w:rPr>
          <w:rFonts w:ascii="Arial" w:hAnsi="Arial" w:cs="Arial"/>
        </w:rPr>
        <w:t xml:space="preserve">not have met the Government’s policy intent. </w:t>
      </w:r>
      <w:r w:rsidR="07B999A0" w:rsidRPr="003E7EC0">
        <w:rPr>
          <w:rFonts w:ascii="Arial" w:hAnsi="Arial" w:cs="Arial"/>
        </w:rPr>
        <w:t xml:space="preserve">For example, </w:t>
      </w:r>
      <w:r w:rsidR="101A4931" w:rsidRPr="003E7EC0">
        <w:rPr>
          <w:rFonts w:ascii="Arial" w:hAnsi="Arial" w:cs="Arial"/>
        </w:rPr>
        <w:t>i</w:t>
      </w:r>
      <w:r w:rsidR="0C15D5CA" w:rsidRPr="003E7EC0">
        <w:rPr>
          <w:rFonts w:ascii="Arial" w:hAnsi="Arial" w:cs="Arial"/>
        </w:rPr>
        <w:t xml:space="preserve">t would not have addressed the issue that </w:t>
      </w:r>
      <w:r w:rsidR="16475C8D" w:rsidRPr="003E7EC0">
        <w:rPr>
          <w:rFonts w:ascii="Arial" w:hAnsi="Arial" w:cs="Arial"/>
        </w:rPr>
        <w:t>t</w:t>
      </w:r>
      <w:r w:rsidR="00E96C0E" w:rsidRPr="003E7EC0">
        <w:rPr>
          <w:rFonts w:ascii="Arial" w:hAnsi="Arial" w:cs="Arial"/>
        </w:rPr>
        <w:t xml:space="preserve">he </w:t>
      </w:r>
      <w:r w:rsidR="2FA7C50C" w:rsidRPr="003E7EC0">
        <w:rPr>
          <w:rFonts w:ascii="Arial" w:hAnsi="Arial" w:cs="Arial"/>
          <w:i/>
        </w:rPr>
        <w:t>Imposition</w:t>
      </w:r>
      <w:r w:rsidR="2FA7C50C" w:rsidRPr="003E7EC0">
        <w:rPr>
          <w:rFonts w:ascii="Arial" w:hAnsi="Arial" w:cs="Arial"/>
        </w:rPr>
        <w:t xml:space="preserve"> </w:t>
      </w:r>
      <w:r w:rsidR="00AA7334" w:rsidRPr="003E7EC0">
        <w:rPr>
          <w:rFonts w:ascii="Arial" w:hAnsi="Arial" w:cs="Arial"/>
        </w:rPr>
        <w:t>g</w:t>
      </w:r>
      <w:r w:rsidR="00E96C0E" w:rsidRPr="003E7EC0">
        <w:rPr>
          <w:rFonts w:ascii="Arial" w:hAnsi="Arial" w:cs="Arial"/>
        </w:rPr>
        <w:t>uideline</w:t>
      </w:r>
      <w:r w:rsidR="003C55C7" w:rsidRPr="003E7EC0">
        <w:rPr>
          <w:rFonts w:ascii="Arial" w:hAnsi="Arial" w:cs="Arial"/>
        </w:rPr>
        <w:t xml:space="preserve"> </w:t>
      </w:r>
      <w:r w:rsidR="00E96C0E" w:rsidRPr="003E7EC0">
        <w:rPr>
          <w:rFonts w:ascii="Arial" w:hAnsi="Arial" w:cs="Arial"/>
        </w:rPr>
        <w:t xml:space="preserve">refers to members of a “cultural minority” within its list of cohorts for whom a pre-sentencing report would “normally be considered necessary”. </w:t>
      </w:r>
      <w:r w:rsidR="33874867" w:rsidRPr="003E7EC0">
        <w:rPr>
          <w:rFonts w:ascii="Arial" w:hAnsi="Arial" w:cs="Arial"/>
        </w:rPr>
        <w:t xml:space="preserve">Instead, the Government has adopted the broader term “personal characteristics” to </w:t>
      </w:r>
      <w:r w:rsidR="793F5444" w:rsidRPr="003E7EC0">
        <w:rPr>
          <w:rFonts w:ascii="Arial" w:hAnsi="Arial" w:cs="Arial"/>
        </w:rPr>
        <w:t xml:space="preserve">ensure </w:t>
      </w:r>
      <w:r w:rsidR="33874867" w:rsidRPr="003E7EC0">
        <w:rPr>
          <w:rFonts w:ascii="Arial" w:hAnsi="Arial" w:cs="Arial"/>
        </w:rPr>
        <w:t xml:space="preserve">its policy intent </w:t>
      </w:r>
      <w:r w:rsidR="69A2065A" w:rsidRPr="003E7EC0">
        <w:rPr>
          <w:rFonts w:ascii="Arial" w:hAnsi="Arial" w:cs="Arial"/>
        </w:rPr>
        <w:t xml:space="preserve">is met </w:t>
      </w:r>
      <w:r w:rsidR="33874867" w:rsidRPr="003E7EC0">
        <w:rPr>
          <w:rFonts w:ascii="Arial" w:hAnsi="Arial" w:cs="Arial"/>
        </w:rPr>
        <w:t xml:space="preserve">and </w:t>
      </w:r>
      <w:r w:rsidR="4A0A0DC6" w:rsidRPr="003E7EC0">
        <w:rPr>
          <w:rFonts w:ascii="Arial" w:hAnsi="Arial" w:cs="Arial"/>
        </w:rPr>
        <w:t xml:space="preserve">that </w:t>
      </w:r>
      <w:r w:rsidR="33874867" w:rsidRPr="003E7EC0">
        <w:rPr>
          <w:rFonts w:ascii="Arial" w:hAnsi="Arial" w:cs="Arial"/>
        </w:rPr>
        <w:t>all the issues raised by the guideline were appropriately addressed.</w:t>
      </w:r>
    </w:p>
    <w:p w14:paraId="2A7569AE" w14:textId="409FC02B" w:rsidR="00700ADF" w:rsidRPr="00D528EF" w:rsidRDefault="00016A83" w:rsidP="00E05243">
      <w:pPr>
        <w:spacing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Definition of ‘personal characteristics’</w:t>
      </w:r>
    </w:p>
    <w:p w14:paraId="1E096FB6" w14:textId="226BAFE2" w:rsidR="0017520F" w:rsidRPr="00D528EF" w:rsidRDefault="00992FBC" w:rsidP="00D528EF">
      <w:pPr>
        <w:spacing w:line="280" w:lineRule="exact"/>
        <w:rPr>
          <w:rFonts w:ascii="Arial" w:hAnsi="Arial" w:cs="Arial"/>
        </w:rPr>
      </w:pPr>
      <w:r w:rsidRPr="00B52720">
        <w:rPr>
          <w:rFonts w:ascii="Arial" w:hAnsi="Arial" w:cs="Arial"/>
        </w:rPr>
        <w:t xml:space="preserve">The concept of “personal characteristics” has been extensively discussed </w:t>
      </w:r>
      <w:r w:rsidR="00640103" w:rsidRPr="00B52720">
        <w:rPr>
          <w:rFonts w:ascii="Arial" w:hAnsi="Arial" w:cs="Arial"/>
        </w:rPr>
        <w:t>in case law on</w:t>
      </w:r>
      <w:r w:rsidR="006D5746" w:rsidRPr="00B52720">
        <w:rPr>
          <w:rFonts w:ascii="Arial" w:hAnsi="Arial" w:cs="Arial"/>
        </w:rPr>
        <w:t xml:space="preserve"> what amounts to “other status” for the purposes of</w:t>
      </w:r>
      <w:r w:rsidR="00640103" w:rsidRPr="00B52720">
        <w:rPr>
          <w:rFonts w:ascii="Arial" w:hAnsi="Arial" w:cs="Arial"/>
        </w:rPr>
        <w:t xml:space="preserve"> Article 14</w:t>
      </w:r>
      <w:r w:rsidR="00ED044B" w:rsidRPr="00B52720">
        <w:rPr>
          <w:rFonts w:ascii="Arial" w:hAnsi="Arial" w:cs="Arial"/>
        </w:rPr>
        <w:t xml:space="preserve"> of the </w:t>
      </w:r>
      <w:r w:rsidR="007760CB" w:rsidRPr="00B52720">
        <w:rPr>
          <w:rFonts w:ascii="Arial" w:hAnsi="Arial" w:cs="Arial"/>
        </w:rPr>
        <w:t>European Convention on Human Rights</w:t>
      </w:r>
      <w:r w:rsidR="00482A8F" w:rsidRPr="00B52720">
        <w:rPr>
          <w:rFonts w:ascii="Arial" w:hAnsi="Arial" w:cs="Arial"/>
        </w:rPr>
        <w:t xml:space="preserve"> (prohibition on discrimination).</w:t>
      </w:r>
      <w:r w:rsidR="00BE3E31" w:rsidRPr="00B52720">
        <w:rPr>
          <w:rFonts w:ascii="Arial" w:hAnsi="Arial" w:cs="Arial"/>
        </w:rPr>
        <w:t xml:space="preserve"> </w:t>
      </w:r>
      <w:r w:rsidR="00172DA8" w:rsidRPr="00B52720">
        <w:rPr>
          <w:rFonts w:ascii="Arial" w:hAnsi="Arial" w:cs="Arial"/>
        </w:rPr>
        <w:t>In</w:t>
      </w:r>
      <w:r w:rsidR="002F098F" w:rsidRPr="00B52720">
        <w:rPr>
          <w:rFonts w:ascii="Arial" w:hAnsi="Arial" w:cs="Arial"/>
        </w:rPr>
        <w:t xml:space="preserve"> </w:t>
      </w:r>
      <w:r w:rsidR="002F098F" w:rsidRPr="00B52720">
        <w:rPr>
          <w:rFonts w:ascii="Arial" w:hAnsi="Arial" w:cs="Arial"/>
          <w:i/>
        </w:rPr>
        <w:t>Kjeldsen, Busk Madsen and Pedersen v Denmark</w:t>
      </w:r>
      <w:r w:rsidR="009108F5" w:rsidRPr="00B52720">
        <w:rPr>
          <w:rFonts w:ascii="Arial" w:hAnsi="Arial" w:cs="Arial"/>
          <w:i/>
        </w:rPr>
        <w:t xml:space="preserve"> </w:t>
      </w:r>
      <w:r w:rsidR="009108F5" w:rsidRPr="00B52720">
        <w:rPr>
          <w:rFonts w:ascii="Arial" w:hAnsi="Arial" w:cs="Arial"/>
        </w:rPr>
        <w:t>(1976) 1 EHRR 711</w:t>
      </w:r>
      <w:r w:rsidR="002F098F" w:rsidRPr="00B52720">
        <w:rPr>
          <w:rFonts w:ascii="Arial" w:hAnsi="Arial" w:cs="Arial"/>
        </w:rPr>
        <w:t>, the European Court of Human Rights referred</w:t>
      </w:r>
      <w:r w:rsidR="009108F5" w:rsidRPr="00B52720">
        <w:rPr>
          <w:rFonts w:ascii="Arial" w:hAnsi="Arial" w:cs="Arial"/>
        </w:rPr>
        <w:t xml:space="preserve"> to </w:t>
      </w:r>
      <w:r w:rsidR="009D74A8" w:rsidRPr="00B52720">
        <w:rPr>
          <w:rFonts w:ascii="Arial" w:hAnsi="Arial" w:cs="Arial"/>
        </w:rPr>
        <w:t>“</w:t>
      </w:r>
      <w:r w:rsidR="009D74A8" w:rsidRPr="00B52720">
        <w:rPr>
          <w:rFonts w:ascii="Arial" w:hAnsi="Arial" w:cs="Arial"/>
          <w:i/>
        </w:rPr>
        <w:t xml:space="preserve">a personal </w:t>
      </w:r>
      <w:r w:rsidR="009D74A8" w:rsidRPr="00B52720">
        <w:rPr>
          <w:rFonts w:ascii="Arial" w:hAnsi="Arial" w:cs="Arial"/>
          <w:i/>
        </w:rPr>
        <w:lastRenderedPageBreak/>
        <w:t>characteristic… by which persons or groups of persons are distinguishable from each other</w:t>
      </w:r>
      <w:r w:rsidR="009D74A8" w:rsidRPr="00B52720">
        <w:rPr>
          <w:rFonts w:ascii="Arial" w:hAnsi="Arial" w:cs="Arial"/>
        </w:rPr>
        <w:t>”</w:t>
      </w:r>
      <w:r w:rsidR="005D0194" w:rsidRPr="00B52720">
        <w:rPr>
          <w:rFonts w:ascii="Arial" w:hAnsi="Arial" w:cs="Arial"/>
        </w:rPr>
        <w:t>.</w:t>
      </w:r>
      <w:r w:rsidR="00CF342C" w:rsidRPr="00B52720">
        <w:rPr>
          <w:rFonts w:ascii="Arial" w:hAnsi="Arial" w:cs="Arial"/>
        </w:rPr>
        <w:t xml:space="preserve"> </w:t>
      </w:r>
      <w:r w:rsidR="0017520F" w:rsidRPr="00B52720">
        <w:rPr>
          <w:rFonts w:ascii="Arial" w:hAnsi="Arial" w:cs="Arial"/>
        </w:rPr>
        <w:t xml:space="preserve">The concept is a broad and flexible one and it is not possible </w:t>
      </w:r>
      <w:r w:rsidR="24C93DEE" w:rsidRPr="00B52720">
        <w:rPr>
          <w:rFonts w:ascii="Arial" w:hAnsi="Arial" w:cs="Arial"/>
        </w:rPr>
        <w:t xml:space="preserve">(or consistent with the Government’s policy intent) </w:t>
      </w:r>
      <w:r w:rsidR="0017520F" w:rsidRPr="00B52720">
        <w:rPr>
          <w:rFonts w:ascii="Arial" w:hAnsi="Arial" w:cs="Arial"/>
        </w:rPr>
        <w:t xml:space="preserve">to set out an exhaustive definition or list of all qualities that amount to a “personal </w:t>
      </w:r>
      <w:r w:rsidR="00506BFE" w:rsidRPr="00B52720">
        <w:rPr>
          <w:rFonts w:ascii="Arial" w:hAnsi="Arial" w:cs="Arial"/>
        </w:rPr>
        <w:t>characteristic</w:t>
      </w:r>
      <w:r w:rsidR="008244E7" w:rsidRPr="00B52720">
        <w:rPr>
          <w:rFonts w:ascii="Arial" w:hAnsi="Arial" w:cs="Arial"/>
        </w:rPr>
        <w:t>”</w:t>
      </w:r>
      <w:r w:rsidR="0017520F" w:rsidRPr="00B52720">
        <w:rPr>
          <w:rFonts w:ascii="Arial" w:hAnsi="Arial" w:cs="Arial"/>
        </w:rPr>
        <w:t xml:space="preserve">. </w:t>
      </w:r>
    </w:p>
    <w:p w14:paraId="58DDB007" w14:textId="4A1F06F6" w:rsidR="00BE5E94" w:rsidRPr="00B52720" w:rsidRDefault="36C39DDB" w:rsidP="00E05243">
      <w:pPr>
        <w:spacing w:line="280" w:lineRule="exact"/>
        <w:rPr>
          <w:rFonts w:ascii="Arial" w:hAnsi="Arial" w:cs="Arial"/>
        </w:rPr>
      </w:pPr>
      <w:r w:rsidRPr="00B52720">
        <w:rPr>
          <w:rFonts w:ascii="Arial" w:hAnsi="Arial" w:cs="Arial"/>
        </w:rPr>
        <w:t>T</w:t>
      </w:r>
      <w:r w:rsidR="00F3116B" w:rsidRPr="00B52720">
        <w:rPr>
          <w:rFonts w:ascii="Arial" w:hAnsi="Arial" w:cs="Arial"/>
        </w:rPr>
        <w:t xml:space="preserve">he Government considers that the essence of the concept was articulated clearly by Lord Neuberger in </w:t>
      </w:r>
      <w:r w:rsidR="00F3116B" w:rsidRPr="00B52720">
        <w:rPr>
          <w:rFonts w:ascii="Arial" w:hAnsi="Arial" w:cs="Arial"/>
          <w:i/>
        </w:rPr>
        <w:t xml:space="preserve">R (RJM) v Work and Pensions </w:t>
      </w:r>
      <w:r w:rsidR="00F3116B" w:rsidRPr="00B52720">
        <w:rPr>
          <w:rFonts w:ascii="Arial" w:hAnsi="Arial" w:cs="Arial"/>
        </w:rPr>
        <w:t>[2008] UKHL 63 at 35, where he said: “</w:t>
      </w:r>
      <w:r w:rsidR="00961E42" w:rsidRPr="00B52720">
        <w:rPr>
          <w:rFonts w:ascii="Arial" w:hAnsi="Arial" w:cs="Arial"/>
          <w:i/>
        </w:rPr>
        <w:t>the concept of “</w:t>
      </w:r>
      <w:r w:rsidR="00961E42" w:rsidRPr="00703109">
        <w:rPr>
          <w:rFonts w:ascii="Arial" w:hAnsi="Arial" w:cs="Arial"/>
          <w:i/>
          <w:u w:val="single"/>
        </w:rPr>
        <w:t>personal</w:t>
      </w:r>
      <w:r w:rsidR="00961E42" w:rsidRPr="00B52720">
        <w:rPr>
          <w:rFonts w:ascii="Arial" w:hAnsi="Arial" w:cs="Arial"/>
          <w:i/>
        </w:rPr>
        <w:t xml:space="preserve"> </w:t>
      </w:r>
      <w:r w:rsidR="00573FEA" w:rsidRPr="00B52720">
        <w:rPr>
          <w:rFonts w:ascii="Arial" w:hAnsi="Arial" w:cs="Arial"/>
          <w:i/>
        </w:rPr>
        <w:t xml:space="preserve">characteristic” </w:t>
      </w:r>
      <w:r w:rsidR="00721894" w:rsidRPr="00B52720">
        <w:rPr>
          <w:rFonts w:ascii="Arial" w:hAnsi="Arial" w:cs="Arial"/>
          <w:i/>
        </w:rPr>
        <w:t>…</w:t>
      </w:r>
      <w:r w:rsidR="00D51917" w:rsidRPr="00B52720">
        <w:rPr>
          <w:rFonts w:ascii="Arial" w:hAnsi="Arial" w:cs="Arial"/>
          <w:i/>
        </w:rPr>
        <w:t xml:space="preserve"> </w:t>
      </w:r>
      <w:r w:rsidR="00961E42" w:rsidRPr="00B52720">
        <w:rPr>
          <w:rFonts w:ascii="Arial" w:hAnsi="Arial" w:cs="Arial"/>
          <w:i/>
        </w:rPr>
        <w:t>generally requires one to concentrate on what somebody is, rather than what he is doing or what is being done to him</w:t>
      </w:r>
      <w:r w:rsidR="00026C24">
        <w:rPr>
          <w:rFonts w:ascii="Arial" w:hAnsi="Arial" w:cs="Arial"/>
        </w:rPr>
        <w:t xml:space="preserve">” (original emphasis). </w:t>
      </w:r>
      <w:r w:rsidR="00C24FC2" w:rsidRPr="00B52720">
        <w:rPr>
          <w:rFonts w:ascii="Arial" w:hAnsi="Arial" w:cs="Arial"/>
        </w:rPr>
        <w:t xml:space="preserve">Similarly, in </w:t>
      </w:r>
      <w:r w:rsidR="00C24FC2" w:rsidRPr="00B52720">
        <w:rPr>
          <w:rFonts w:ascii="Arial" w:hAnsi="Arial" w:cs="Arial"/>
          <w:i/>
        </w:rPr>
        <w:t xml:space="preserve">R (AL) v Serbia </w:t>
      </w:r>
      <w:r w:rsidR="00C24FC2" w:rsidRPr="00B52720">
        <w:rPr>
          <w:rFonts w:ascii="Arial" w:hAnsi="Arial" w:cs="Arial"/>
        </w:rPr>
        <w:t>[2008] UKHL 42 at 26, Baroness Hale spoke of “</w:t>
      </w:r>
      <w:r w:rsidR="00C24FC2" w:rsidRPr="00B52720">
        <w:rPr>
          <w:rFonts w:ascii="Arial" w:hAnsi="Arial" w:cs="Arial"/>
          <w:i/>
        </w:rPr>
        <w:t>personal characteristics which the complainant did not choose and either cannot or should not be expected to change</w:t>
      </w:r>
      <w:r w:rsidR="00C24FC2" w:rsidRPr="00B52720">
        <w:rPr>
          <w:rFonts w:ascii="Arial" w:hAnsi="Arial" w:cs="Arial"/>
        </w:rPr>
        <w:t>”.</w:t>
      </w:r>
      <w:r w:rsidR="00F9423B" w:rsidRPr="00B52720">
        <w:rPr>
          <w:rFonts w:ascii="Arial" w:hAnsi="Arial" w:cs="Arial"/>
        </w:rPr>
        <w:t xml:space="preserve"> </w:t>
      </w:r>
      <w:r w:rsidR="00803B66" w:rsidRPr="00B52720">
        <w:rPr>
          <w:rFonts w:ascii="Arial" w:hAnsi="Arial" w:cs="Arial"/>
        </w:rPr>
        <w:t>C</w:t>
      </w:r>
      <w:r w:rsidR="00F9423B" w:rsidRPr="00B52720">
        <w:rPr>
          <w:rFonts w:ascii="Arial" w:hAnsi="Arial" w:cs="Arial"/>
        </w:rPr>
        <w:t xml:space="preserve">ase law </w:t>
      </w:r>
      <w:r w:rsidR="00803B66" w:rsidRPr="00B52720">
        <w:rPr>
          <w:rFonts w:ascii="Arial" w:hAnsi="Arial" w:cs="Arial"/>
        </w:rPr>
        <w:t xml:space="preserve">has </w:t>
      </w:r>
      <w:r w:rsidR="00F9423B" w:rsidRPr="00B52720">
        <w:rPr>
          <w:rFonts w:ascii="Arial" w:hAnsi="Arial" w:cs="Arial"/>
        </w:rPr>
        <w:t>also distinguished between “</w:t>
      </w:r>
      <w:r w:rsidR="00F9423B" w:rsidRPr="00B52720">
        <w:rPr>
          <w:rFonts w:ascii="Arial" w:hAnsi="Arial" w:cs="Arial"/>
          <w:i/>
        </w:rPr>
        <w:t>personal characteristics</w:t>
      </w:r>
      <w:r w:rsidR="00F9423B" w:rsidRPr="00B52720">
        <w:rPr>
          <w:rFonts w:ascii="Arial" w:hAnsi="Arial" w:cs="Arial"/>
        </w:rPr>
        <w:t>” and</w:t>
      </w:r>
      <w:r w:rsidR="00D43BF9" w:rsidRPr="00B52720">
        <w:rPr>
          <w:rFonts w:ascii="Arial" w:hAnsi="Arial" w:cs="Arial"/>
        </w:rPr>
        <w:t xml:space="preserve"> historical facts (see </w:t>
      </w:r>
      <w:r w:rsidR="00D43BF9" w:rsidRPr="00B52720">
        <w:rPr>
          <w:rFonts w:ascii="Arial" w:hAnsi="Arial" w:cs="Arial"/>
          <w:i/>
        </w:rPr>
        <w:t xml:space="preserve">R (on the application of S) v Chief Constable of South Yorkshire </w:t>
      </w:r>
      <w:r w:rsidR="00D43BF9" w:rsidRPr="00B52720">
        <w:rPr>
          <w:rFonts w:ascii="Arial" w:hAnsi="Arial" w:cs="Arial"/>
        </w:rPr>
        <w:t xml:space="preserve">[2004] UKHL 39 at 50 per Lord Steyn and </w:t>
      </w:r>
      <w:r w:rsidR="00D43BF9" w:rsidRPr="00B52720">
        <w:rPr>
          <w:rFonts w:ascii="Arial" w:hAnsi="Arial" w:cs="Arial"/>
          <w:i/>
        </w:rPr>
        <w:t xml:space="preserve">R (Clift) v Home Secretary </w:t>
      </w:r>
      <w:r w:rsidR="00D43BF9" w:rsidRPr="00B52720">
        <w:rPr>
          <w:rFonts w:ascii="Arial" w:hAnsi="Arial" w:cs="Arial"/>
        </w:rPr>
        <w:t>[20</w:t>
      </w:r>
      <w:r w:rsidR="00F11D6A" w:rsidRPr="00B52720">
        <w:rPr>
          <w:rFonts w:ascii="Arial" w:hAnsi="Arial" w:cs="Arial"/>
        </w:rPr>
        <w:t>06]</w:t>
      </w:r>
      <w:r w:rsidR="00D43BF9" w:rsidRPr="00B52720">
        <w:rPr>
          <w:rFonts w:ascii="Arial" w:hAnsi="Arial" w:cs="Arial"/>
        </w:rPr>
        <w:t xml:space="preserve"> </w:t>
      </w:r>
      <w:r w:rsidR="00F11D6A" w:rsidRPr="00B52720">
        <w:rPr>
          <w:rFonts w:ascii="Arial" w:hAnsi="Arial" w:cs="Arial"/>
        </w:rPr>
        <w:t>UKHL 54</w:t>
      </w:r>
      <w:r w:rsidR="00D43BF9" w:rsidRPr="00B52720">
        <w:rPr>
          <w:rFonts w:ascii="Arial" w:hAnsi="Arial" w:cs="Arial"/>
        </w:rPr>
        <w:t xml:space="preserve"> at [62] per Baroness Hale</w:t>
      </w:r>
      <w:r w:rsidR="006B5BA4">
        <w:rPr>
          <w:rFonts w:ascii="Arial" w:hAnsi="Arial" w:cs="Arial"/>
        </w:rPr>
        <w:t>)</w:t>
      </w:r>
      <w:r w:rsidR="00953A75" w:rsidRPr="00B52720">
        <w:rPr>
          <w:rFonts w:ascii="Arial" w:hAnsi="Arial" w:cs="Arial"/>
        </w:rPr>
        <w:t>.</w:t>
      </w:r>
      <w:r w:rsidR="007A39DE">
        <w:rPr>
          <w:rFonts w:ascii="Arial" w:hAnsi="Arial" w:cs="Arial"/>
        </w:rPr>
        <w:t xml:space="preserve"> </w:t>
      </w:r>
      <w:r w:rsidR="007A39DE" w:rsidRPr="00006BBE">
        <w:rPr>
          <w:rFonts w:ascii="Arial" w:hAnsi="Arial" w:cs="Arial"/>
        </w:rPr>
        <w:t xml:space="preserve">Clause 1(3) of the Bill provides a non-exhaustive list of </w:t>
      </w:r>
      <w:r w:rsidR="003C10B0" w:rsidRPr="00006BBE">
        <w:rPr>
          <w:rFonts w:ascii="Arial" w:hAnsi="Arial" w:cs="Arial"/>
        </w:rPr>
        <w:t xml:space="preserve">personal characteristics </w:t>
      </w:r>
      <w:r w:rsidR="00E043EF" w:rsidRPr="00006BBE">
        <w:rPr>
          <w:rFonts w:ascii="Arial" w:hAnsi="Arial" w:cs="Arial"/>
        </w:rPr>
        <w:t>–</w:t>
      </w:r>
      <w:r w:rsidR="003C10B0" w:rsidRPr="00006BBE">
        <w:rPr>
          <w:rFonts w:ascii="Arial" w:hAnsi="Arial" w:cs="Arial"/>
        </w:rPr>
        <w:t xml:space="preserve"> </w:t>
      </w:r>
      <w:r w:rsidR="00966166" w:rsidRPr="00006BBE">
        <w:rPr>
          <w:rFonts w:ascii="Arial" w:hAnsi="Arial" w:cs="Arial"/>
        </w:rPr>
        <w:t xml:space="preserve">examples of </w:t>
      </w:r>
      <w:r w:rsidR="002E217B" w:rsidRPr="00006BBE">
        <w:rPr>
          <w:rFonts w:ascii="Arial" w:hAnsi="Arial" w:cs="Arial"/>
        </w:rPr>
        <w:t>attributes</w:t>
      </w:r>
      <w:r w:rsidR="00966166" w:rsidRPr="00006BBE">
        <w:rPr>
          <w:rFonts w:ascii="Arial" w:hAnsi="Arial" w:cs="Arial"/>
        </w:rPr>
        <w:t xml:space="preserve"> that describe</w:t>
      </w:r>
      <w:r w:rsidR="004F55E7" w:rsidRPr="00006BBE">
        <w:rPr>
          <w:rFonts w:ascii="Arial" w:hAnsi="Arial" w:cs="Arial"/>
        </w:rPr>
        <w:t xml:space="preserve"> “what somebody is, rather than what he is doing or has been done to him”.</w:t>
      </w:r>
    </w:p>
    <w:p w14:paraId="1BDDD21E" w14:textId="14997549" w:rsidR="008B646F" w:rsidRPr="00B52720" w:rsidRDefault="006153FD" w:rsidP="00E05243">
      <w:pPr>
        <w:spacing w:line="280" w:lineRule="exact"/>
        <w:rPr>
          <w:rFonts w:ascii="Arial" w:hAnsi="Arial" w:cs="Arial"/>
        </w:rPr>
      </w:pPr>
      <w:r w:rsidRPr="00B52720">
        <w:rPr>
          <w:rFonts w:ascii="Arial" w:hAnsi="Arial" w:cs="Arial"/>
        </w:rPr>
        <w:t xml:space="preserve">The Government recognises that </w:t>
      </w:r>
      <w:r w:rsidR="006F7648" w:rsidRPr="00B52720">
        <w:rPr>
          <w:rFonts w:ascii="Arial" w:hAnsi="Arial" w:cs="Arial"/>
        </w:rPr>
        <w:t xml:space="preserve">more </w:t>
      </w:r>
      <w:r w:rsidRPr="00B52720">
        <w:rPr>
          <w:rFonts w:ascii="Arial" w:hAnsi="Arial" w:cs="Arial"/>
        </w:rPr>
        <w:t xml:space="preserve">recent Article 14 case law has taken a very broad approach to the meaning of “personal characteristics” for the purposes of establishing </w:t>
      </w:r>
      <w:r w:rsidR="646BDF59" w:rsidRPr="00B52720">
        <w:rPr>
          <w:rFonts w:ascii="Arial" w:hAnsi="Arial" w:cs="Arial"/>
        </w:rPr>
        <w:t>“</w:t>
      </w:r>
      <w:r w:rsidRPr="00B52720">
        <w:rPr>
          <w:rFonts w:ascii="Arial" w:hAnsi="Arial" w:cs="Arial"/>
        </w:rPr>
        <w:t>other status</w:t>
      </w:r>
      <w:r w:rsidR="00D66FF3" w:rsidRPr="00B52720">
        <w:rPr>
          <w:rFonts w:ascii="Arial" w:hAnsi="Arial" w:cs="Arial"/>
        </w:rPr>
        <w:t>”</w:t>
      </w:r>
      <w:r w:rsidRPr="00B52720">
        <w:rPr>
          <w:rFonts w:ascii="Arial" w:hAnsi="Arial" w:cs="Arial"/>
        </w:rPr>
        <w:t>.</w:t>
      </w:r>
      <w:r w:rsidR="00D77610" w:rsidRPr="00B52720">
        <w:rPr>
          <w:rFonts w:ascii="Arial" w:hAnsi="Arial" w:cs="Arial"/>
        </w:rPr>
        <w:t xml:space="preserve"> </w:t>
      </w:r>
      <w:r w:rsidR="00A75E75" w:rsidRPr="00B52720">
        <w:rPr>
          <w:rFonts w:ascii="Arial" w:hAnsi="Arial" w:cs="Arial"/>
        </w:rPr>
        <w:t>Th</w:t>
      </w:r>
      <w:r w:rsidR="000C101C" w:rsidRPr="00B52720">
        <w:rPr>
          <w:rFonts w:ascii="Arial" w:hAnsi="Arial" w:cs="Arial"/>
        </w:rPr>
        <w:t>is has elided the distinction between an offender’s personal characteristics</w:t>
      </w:r>
      <w:r w:rsidR="00787D55">
        <w:rPr>
          <w:rFonts w:ascii="Arial" w:hAnsi="Arial" w:cs="Arial"/>
        </w:rPr>
        <w:t xml:space="preserve"> (</w:t>
      </w:r>
      <w:r w:rsidR="003D1C6B">
        <w:rPr>
          <w:rFonts w:ascii="Arial" w:hAnsi="Arial" w:cs="Arial"/>
        </w:rPr>
        <w:t>which relate, fundamentally, to who or what someone is)</w:t>
      </w:r>
      <w:r w:rsidR="007B019E" w:rsidRPr="00B52720">
        <w:rPr>
          <w:rFonts w:ascii="Arial" w:hAnsi="Arial" w:cs="Arial"/>
        </w:rPr>
        <w:t xml:space="preserve"> and what might more intuitively be thought of as their personal circumstances</w:t>
      </w:r>
      <w:r w:rsidR="003D1C6B">
        <w:rPr>
          <w:rFonts w:ascii="Arial" w:hAnsi="Arial" w:cs="Arial"/>
        </w:rPr>
        <w:t xml:space="preserve"> (which implies a more </w:t>
      </w:r>
      <w:r w:rsidR="00B81C66">
        <w:rPr>
          <w:rFonts w:ascii="Arial" w:hAnsi="Arial" w:cs="Arial"/>
        </w:rPr>
        <w:t xml:space="preserve">temporary, or </w:t>
      </w:r>
      <w:r w:rsidR="003D1C6B">
        <w:rPr>
          <w:rFonts w:ascii="Arial" w:hAnsi="Arial" w:cs="Arial"/>
        </w:rPr>
        <w:t>contingent</w:t>
      </w:r>
      <w:r w:rsidR="00B81C66">
        <w:rPr>
          <w:rFonts w:ascii="Arial" w:hAnsi="Arial" w:cs="Arial"/>
        </w:rPr>
        <w:t xml:space="preserve">, </w:t>
      </w:r>
      <w:r w:rsidR="000D4C5A">
        <w:rPr>
          <w:rFonts w:ascii="Arial" w:hAnsi="Arial" w:cs="Arial"/>
        </w:rPr>
        <w:t>situation</w:t>
      </w:r>
      <w:r w:rsidR="00645F69">
        <w:rPr>
          <w:rFonts w:ascii="Arial" w:hAnsi="Arial" w:cs="Arial"/>
        </w:rPr>
        <w:t xml:space="preserve"> and is </w:t>
      </w:r>
      <w:r w:rsidR="003D1C6B">
        <w:rPr>
          <w:rFonts w:ascii="Arial" w:hAnsi="Arial" w:cs="Arial"/>
        </w:rPr>
        <w:t xml:space="preserve">more about what someone </w:t>
      </w:r>
      <w:r w:rsidR="003C443F">
        <w:rPr>
          <w:rFonts w:ascii="Arial" w:hAnsi="Arial" w:cs="Arial"/>
        </w:rPr>
        <w:t xml:space="preserve">is </w:t>
      </w:r>
      <w:r w:rsidR="005F75CA">
        <w:rPr>
          <w:rFonts w:ascii="Arial" w:hAnsi="Arial" w:cs="Arial"/>
        </w:rPr>
        <w:t>doing or</w:t>
      </w:r>
      <w:r w:rsidR="009F7424">
        <w:rPr>
          <w:rFonts w:ascii="Arial" w:hAnsi="Arial" w:cs="Arial"/>
        </w:rPr>
        <w:t xml:space="preserve"> has been done to them</w:t>
      </w:r>
      <w:r w:rsidR="00571F72">
        <w:rPr>
          <w:rFonts w:ascii="Arial" w:hAnsi="Arial" w:cs="Arial"/>
        </w:rPr>
        <w:t>)</w:t>
      </w:r>
      <w:r w:rsidR="000C101C" w:rsidRPr="00B52720">
        <w:rPr>
          <w:rFonts w:ascii="Arial" w:hAnsi="Arial" w:cs="Arial"/>
        </w:rPr>
        <w:t xml:space="preserve">. </w:t>
      </w:r>
      <w:r w:rsidR="00B31D14" w:rsidRPr="00B52720">
        <w:rPr>
          <w:rFonts w:ascii="Arial" w:hAnsi="Arial" w:cs="Arial"/>
        </w:rPr>
        <w:t>This reflects</w:t>
      </w:r>
      <w:r w:rsidR="004C4A04" w:rsidRPr="00B52720">
        <w:rPr>
          <w:rFonts w:ascii="Arial" w:hAnsi="Arial" w:cs="Arial"/>
        </w:rPr>
        <w:t xml:space="preserve"> the </w:t>
      </w:r>
      <w:r w:rsidR="007F2A87" w:rsidRPr="00B52720">
        <w:rPr>
          <w:rFonts w:ascii="Arial" w:hAnsi="Arial" w:cs="Arial"/>
        </w:rPr>
        <w:t>different</w:t>
      </w:r>
      <w:r w:rsidR="004C4A04" w:rsidRPr="00B52720">
        <w:rPr>
          <w:rFonts w:ascii="Arial" w:hAnsi="Arial" w:cs="Arial"/>
        </w:rPr>
        <w:t xml:space="preserve"> context of Article 14</w:t>
      </w:r>
      <w:r w:rsidR="00F3156C" w:rsidRPr="00B52720">
        <w:rPr>
          <w:rFonts w:ascii="Arial" w:hAnsi="Arial" w:cs="Arial"/>
        </w:rPr>
        <w:t xml:space="preserve"> </w:t>
      </w:r>
      <w:r w:rsidR="004C4A04" w:rsidRPr="00B52720">
        <w:rPr>
          <w:rFonts w:ascii="Arial" w:hAnsi="Arial" w:cs="Arial"/>
        </w:rPr>
        <w:t xml:space="preserve">where, since </w:t>
      </w:r>
      <w:r w:rsidR="004C4A04" w:rsidRPr="00B52720">
        <w:rPr>
          <w:rFonts w:ascii="Arial" w:hAnsi="Arial" w:cs="Arial"/>
          <w:i/>
        </w:rPr>
        <w:t>Clift v UK</w:t>
      </w:r>
      <w:r w:rsidR="004C4A04" w:rsidRPr="00B52720">
        <w:rPr>
          <w:rFonts w:ascii="Arial" w:hAnsi="Arial" w:cs="Arial"/>
        </w:rPr>
        <w:t xml:space="preserve"> </w:t>
      </w:r>
      <w:r w:rsidR="00727AB9" w:rsidRPr="00B52720">
        <w:rPr>
          <w:rFonts w:ascii="Arial" w:hAnsi="Arial" w:cs="Arial"/>
        </w:rPr>
        <w:t>(7205/07), there has been increased focus on justification rather that the question of “personal characteristics” or status.</w:t>
      </w:r>
      <w:r w:rsidR="00B31D14" w:rsidRPr="00B52720">
        <w:rPr>
          <w:rFonts w:ascii="Arial" w:hAnsi="Arial" w:cs="Arial"/>
        </w:rPr>
        <w:t xml:space="preserve"> </w:t>
      </w:r>
      <w:r w:rsidR="00E252AE" w:rsidRPr="00B52720">
        <w:rPr>
          <w:rFonts w:ascii="Arial" w:hAnsi="Arial" w:cs="Arial"/>
        </w:rPr>
        <w:t>The Government considers that</w:t>
      </w:r>
      <w:r w:rsidR="00FD037B" w:rsidRPr="00B52720">
        <w:rPr>
          <w:rFonts w:ascii="Arial" w:hAnsi="Arial" w:cs="Arial"/>
        </w:rPr>
        <w:t xml:space="preserve">, in the context of the Bill, </w:t>
      </w:r>
      <w:r w:rsidR="004C3B7D" w:rsidRPr="00B52720">
        <w:rPr>
          <w:rFonts w:ascii="Arial" w:hAnsi="Arial" w:cs="Arial"/>
        </w:rPr>
        <w:t xml:space="preserve">the </w:t>
      </w:r>
      <w:r w:rsidR="00D925E9" w:rsidRPr="00B52720">
        <w:rPr>
          <w:rFonts w:ascii="Arial" w:hAnsi="Arial" w:cs="Arial"/>
        </w:rPr>
        <w:t>interpretation of</w:t>
      </w:r>
      <w:r w:rsidR="008B646F" w:rsidRPr="00B52720">
        <w:rPr>
          <w:rFonts w:ascii="Arial" w:hAnsi="Arial" w:cs="Arial"/>
        </w:rPr>
        <w:t xml:space="preserve">fered by Lord Neuberger </w:t>
      </w:r>
      <w:r w:rsidR="001577CE" w:rsidRPr="00B52720">
        <w:rPr>
          <w:rFonts w:ascii="Arial" w:hAnsi="Arial" w:cs="Arial"/>
        </w:rPr>
        <w:t xml:space="preserve">in </w:t>
      </w:r>
      <w:r w:rsidR="001577CE" w:rsidRPr="00B52720">
        <w:rPr>
          <w:rFonts w:ascii="Arial" w:hAnsi="Arial" w:cs="Arial"/>
          <w:i/>
        </w:rPr>
        <w:t>RJM</w:t>
      </w:r>
      <w:r w:rsidR="001577CE" w:rsidRPr="00B52720">
        <w:rPr>
          <w:rFonts w:ascii="Arial" w:hAnsi="Arial" w:cs="Arial"/>
        </w:rPr>
        <w:t xml:space="preserve"> is of greater </w:t>
      </w:r>
      <w:r w:rsidR="005157E3" w:rsidRPr="00B52720">
        <w:rPr>
          <w:rFonts w:ascii="Arial" w:hAnsi="Arial" w:cs="Arial"/>
        </w:rPr>
        <w:t>assistance.</w:t>
      </w:r>
    </w:p>
    <w:p w14:paraId="0C5FED2C" w14:textId="16E60F8F" w:rsidR="00A60B34" w:rsidRPr="00B52720" w:rsidRDefault="00B5608F" w:rsidP="00E05243">
      <w:pPr>
        <w:spacing w:line="280" w:lineRule="exact"/>
        <w:rPr>
          <w:rFonts w:ascii="Arial" w:hAnsi="Arial" w:cs="Arial"/>
        </w:rPr>
      </w:pPr>
      <w:r w:rsidRPr="00B52720">
        <w:rPr>
          <w:rFonts w:ascii="Arial" w:hAnsi="Arial" w:cs="Arial"/>
        </w:rPr>
        <w:t>For clarity</w:t>
      </w:r>
      <w:r w:rsidR="00425152" w:rsidRPr="00B52720">
        <w:rPr>
          <w:rFonts w:ascii="Arial" w:hAnsi="Arial" w:cs="Arial"/>
        </w:rPr>
        <w:t>, the Government</w:t>
      </w:r>
      <w:r w:rsidR="008E67F1" w:rsidRPr="00B52720">
        <w:rPr>
          <w:rFonts w:ascii="Arial" w:hAnsi="Arial" w:cs="Arial"/>
        </w:rPr>
        <w:t xml:space="preserve">’s view is that </w:t>
      </w:r>
      <w:r w:rsidRPr="00B52720">
        <w:rPr>
          <w:rFonts w:ascii="Arial" w:hAnsi="Arial" w:cs="Arial"/>
        </w:rPr>
        <w:t>the</w:t>
      </w:r>
      <w:r w:rsidR="00425152" w:rsidRPr="00B52720">
        <w:rPr>
          <w:rFonts w:ascii="Arial" w:hAnsi="Arial" w:cs="Arial"/>
        </w:rPr>
        <w:t xml:space="preserve"> following cohorts </w:t>
      </w:r>
      <w:r w:rsidR="001C38D9" w:rsidRPr="00B52720">
        <w:rPr>
          <w:rFonts w:ascii="Arial" w:hAnsi="Arial" w:cs="Arial"/>
        </w:rPr>
        <w:t xml:space="preserve">listed in the </w:t>
      </w:r>
      <w:r w:rsidR="001C38D9" w:rsidRPr="00B52720">
        <w:rPr>
          <w:rFonts w:ascii="Arial" w:hAnsi="Arial" w:cs="Arial"/>
          <w:i/>
        </w:rPr>
        <w:t>Imposition</w:t>
      </w:r>
      <w:r w:rsidR="001C38D9" w:rsidRPr="00B52720">
        <w:rPr>
          <w:rFonts w:ascii="Arial" w:hAnsi="Arial" w:cs="Arial"/>
        </w:rPr>
        <w:t xml:space="preserve"> </w:t>
      </w:r>
      <w:r w:rsidR="0078779D">
        <w:rPr>
          <w:rFonts w:ascii="Arial" w:hAnsi="Arial" w:cs="Arial"/>
        </w:rPr>
        <w:t>g</w:t>
      </w:r>
      <w:r w:rsidR="001C38D9" w:rsidRPr="00B52720">
        <w:rPr>
          <w:rFonts w:ascii="Arial" w:hAnsi="Arial" w:cs="Arial"/>
        </w:rPr>
        <w:t xml:space="preserve">uideline </w:t>
      </w:r>
      <w:r w:rsidR="00425152" w:rsidRPr="00B52720">
        <w:rPr>
          <w:rFonts w:ascii="Arial" w:hAnsi="Arial" w:cs="Arial"/>
        </w:rPr>
        <w:t xml:space="preserve">would </w:t>
      </w:r>
      <w:r w:rsidR="00425152" w:rsidRPr="00B52720">
        <w:rPr>
          <w:rFonts w:ascii="Arial" w:hAnsi="Arial" w:cs="Arial"/>
          <w:u w:val="single"/>
        </w:rPr>
        <w:t>not</w:t>
      </w:r>
      <w:r w:rsidR="00425152" w:rsidRPr="00B52720">
        <w:rPr>
          <w:rFonts w:ascii="Arial" w:hAnsi="Arial" w:cs="Arial"/>
        </w:rPr>
        <w:t xml:space="preserve"> comprise a “personal characteristic” </w:t>
      </w:r>
      <w:r w:rsidR="001C38D9" w:rsidRPr="00B52720">
        <w:rPr>
          <w:rFonts w:ascii="Arial" w:hAnsi="Arial" w:cs="Arial"/>
        </w:rPr>
        <w:t>under</w:t>
      </w:r>
      <w:r w:rsidR="00425152" w:rsidRPr="00B52720">
        <w:rPr>
          <w:rFonts w:ascii="Arial" w:hAnsi="Arial" w:cs="Arial"/>
        </w:rPr>
        <w:t xml:space="preserve"> the Bill:</w:t>
      </w:r>
    </w:p>
    <w:p w14:paraId="4369A32A" w14:textId="4AAB36DA" w:rsidR="009B45B4" w:rsidRPr="00B52720" w:rsidRDefault="00976C32" w:rsidP="00E05243">
      <w:pPr>
        <w:pStyle w:val="ListParagraph"/>
        <w:numPr>
          <w:ilvl w:val="1"/>
          <w:numId w:val="1"/>
        </w:numPr>
        <w:spacing w:line="280" w:lineRule="exact"/>
        <w:contextualSpacing w:val="0"/>
        <w:rPr>
          <w:rFonts w:ascii="Arial" w:hAnsi="Arial" w:cs="Arial"/>
        </w:rPr>
      </w:pPr>
      <w:r w:rsidRPr="00B52720">
        <w:rPr>
          <w:rFonts w:ascii="Arial" w:hAnsi="Arial" w:cs="Arial"/>
        </w:rPr>
        <w:t>b</w:t>
      </w:r>
      <w:r w:rsidR="009B45B4" w:rsidRPr="00B52720">
        <w:rPr>
          <w:rFonts w:ascii="Arial" w:hAnsi="Arial" w:cs="Arial"/>
        </w:rPr>
        <w:t xml:space="preserve">eing </w:t>
      </w:r>
      <w:r w:rsidR="000F48B7" w:rsidRPr="00B52720">
        <w:rPr>
          <w:rFonts w:ascii="Arial" w:hAnsi="Arial" w:cs="Arial"/>
        </w:rPr>
        <w:t>“</w:t>
      </w:r>
      <w:r w:rsidR="009B45B4" w:rsidRPr="00B52720">
        <w:rPr>
          <w:rFonts w:ascii="Arial" w:hAnsi="Arial" w:cs="Arial"/>
        </w:rPr>
        <w:t>at risk of first custodial sentence and/or at risk of a custodial sentence of 2 years or less</w:t>
      </w:r>
      <w:r w:rsidR="000F48B7" w:rsidRPr="00B52720">
        <w:rPr>
          <w:rFonts w:ascii="Arial" w:hAnsi="Arial" w:cs="Arial"/>
        </w:rPr>
        <w:t>”</w:t>
      </w:r>
      <w:r w:rsidR="007D4428">
        <w:rPr>
          <w:rFonts w:ascii="Arial" w:hAnsi="Arial" w:cs="Arial"/>
        </w:rPr>
        <w:t>;</w:t>
      </w:r>
    </w:p>
    <w:p w14:paraId="68E69E29" w14:textId="0C816EE1" w:rsidR="0037247C" w:rsidRPr="00B52720" w:rsidRDefault="00976C32" w:rsidP="00E05243">
      <w:pPr>
        <w:pStyle w:val="ListParagraph"/>
        <w:numPr>
          <w:ilvl w:val="1"/>
          <w:numId w:val="1"/>
        </w:numPr>
        <w:spacing w:line="280" w:lineRule="exact"/>
        <w:contextualSpacing w:val="0"/>
        <w:rPr>
          <w:rFonts w:ascii="Arial" w:hAnsi="Arial" w:cs="Arial"/>
        </w:rPr>
      </w:pPr>
      <w:r w:rsidRPr="00B52720">
        <w:rPr>
          <w:rFonts w:ascii="Arial" w:hAnsi="Arial" w:cs="Arial"/>
        </w:rPr>
        <w:t>b</w:t>
      </w:r>
      <w:r w:rsidR="00512BC5" w:rsidRPr="00B52720">
        <w:rPr>
          <w:rFonts w:ascii="Arial" w:hAnsi="Arial" w:cs="Arial"/>
        </w:rPr>
        <w:t xml:space="preserve">eing </w:t>
      </w:r>
      <w:r w:rsidR="000F48B7" w:rsidRPr="00B52720">
        <w:rPr>
          <w:rFonts w:ascii="Arial" w:hAnsi="Arial" w:cs="Arial"/>
        </w:rPr>
        <w:t>“</w:t>
      </w:r>
      <w:r w:rsidR="0037247C" w:rsidRPr="00B52720">
        <w:rPr>
          <w:rFonts w:ascii="Arial" w:hAnsi="Arial" w:cs="Arial"/>
        </w:rPr>
        <w:t>the sole or primary carer for dependent rel</w:t>
      </w:r>
      <w:r w:rsidR="000257E9" w:rsidRPr="00B52720">
        <w:rPr>
          <w:rFonts w:ascii="Arial" w:hAnsi="Arial" w:cs="Arial"/>
        </w:rPr>
        <w:t>atives</w:t>
      </w:r>
      <w:r w:rsidR="000F48B7" w:rsidRPr="00B52720">
        <w:rPr>
          <w:rFonts w:ascii="Arial" w:hAnsi="Arial" w:cs="Arial"/>
        </w:rPr>
        <w:t>”</w:t>
      </w:r>
      <w:r w:rsidR="007D4428">
        <w:rPr>
          <w:rFonts w:ascii="Arial" w:hAnsi="Arial" w:cs="Arial"/>
        </w:rPr>
        <w:t>;</w:t>
      </w:r>
    </w:p>
    <w:p w14:paraId="70B4642E" w14:textId="2BEEAD18" w:rsidR="00E87AEA" w:rsidRPr="00B52720" w:rsidRDefault="00976C32" w:rsidP="00E05243">
      <w:pPr>
        <w:pStyle w:val="ListParagraph"/>
        <w:numPr>
          <w:ilvl w:val="1"/>
          <w:numId w:val="1"/>
        </w:numPr>
        <w:spacing w:line="280" w:lineRule="exact"/>
        <w:contextualSpacing w:val="0"/>
        <w:rPr>
          <w:rFonts w:ascii="Arial" w:hAnsi="Arial" w:cs="Arial"/>
        </w:rPr>
      </w:pPr>
      <w:r w:rsidRPr="00B52720">
        <w:rPr>
          <w:rFonts w:ascii="Arial" w:hAnsi="Arial" w:cs="Arial"/>
        </w:rPr>
        <w:t>w</w:t>
      </w:r>
      <w:r w:rsidR="000F48B7" w:rsidRPr="00B52720">
        <w:rPr>
          <w:rFonts w:ascii="Arial" w:hAnsi="Arial" w:cs="Arial"/>
        </w:rPr>
        <w:t>here “</w:t>
      </w:r>
      <w:r w:rsidR="00E87AEA" w:rsidRPr="00B52720">
        <w:rPr>
          <w:rFonts w:ascii="Arial" w:hAnsi="Arial" w:cs="Arial"/>
        </w:rPr>
        <w:t>the offender is, or there is a risk that they may have been, a victim of:</w:t>
      </w:r>
      <w:r w:rsidR="000F48B7" w:rsidRPr="00B52720">
        <w:rPr>
          <w:rFonts w:ascii="Arial" w:hAnsi="Arial" w:cs="Arial"/>
        </w:rPr>
        <w:t xml:space="preserve"> </w:t>
      </w:r>
      <w:r w:rsidR="00E87AEA" w:rsidRPr="00B52720">
        <w:rPr>
          <w:rFonts w:ascii="Arial" w:hAnsi="Arial" w:cs="Arial"/>
        </w:rPr>
        <w:t>domestic abuse, physical or sexual abuse, violent or threatening behaviour, coercive or controlling behaviour, economic, psychological, emotional or any other abuse</w:t>
      </w:r>
      <w:r w:rsidR="000F48B7" w:rsidRPr="00B52720">
        <w:rPr>
          <w:rFonts w:ascii="Arial" w:hAnsi="Arial" w:cs="Arial"/>
        </w:rPr>
        <w:t xml:space="preserve">; </w:t>
      </w:r>
      <w:r w:rsidR="00E87AEA" w:rsidRPr="00B52720">
        <w:rPr>
          <w:rFonts w:ascii="Arial" w:hAnsi="Arial" w:cs="Arial"/>
        </w:rPr>
        <w:t>modern slavery or trafficking, or</w:t>
      </w:r>
      <w:r w:rsidR="000F48B7" w:rsidRPr="00B52720">
        <w:rPr>
          <w:rFonts w:ascii="Arial" w:hAnsi="Arial" w:cs="Arial"/>
        </w:rPr>
        <w:t xml:space="preserve"> </w:t>
      </w:r>
      <w:r w:rsidR="00E87AEA" w:rsidRPr="00B52720">
        <w:rPr>
          <w:rFonts w:ascii="Arial" w:hAnsi="Arial" w:cs="Arial"/>
        </w:rPr>
        <w:t>coercion, grooming, intimidation or exploitation</w:t>
      </w:r>
      <w:r w:rsidR="000F48B7" w:rsidRPr="00B52720">
        <w:rPr>
          <w:rFonts w:ascii="Arial" w:hAnsi="Arial" w:cs="Arial"/>
        </w:rPr>
        <w:t>”</w:t>
      </w:r>
      <w:r w:rsidR="00970E11" w:rsidRPr="00B52720">
        <w:rPr>
          <w:rFonts w:ascii="Arial" w:hAnsi="Arial" w:cs="Arial"/>
        </w:rPr>
        <w:t>.</w:t>
      </w:r>
    </w:p>
    <w:p w14:paraId="0A751FB5" w14:textId="4CEB4003" w:rsidR="00014FBC" w:rsidRDefault="00D1580B" w:rsidP="00E05243">
      <w:pPr>
        <w:spacing w:line="280" w:lineRule="exact"/>
        <w:rPr>
          <w:rFonts w:ascii="Arial" w:hAnsi="Arial" w:cs="Arial"/>
        </w:rPr>
      </w:pPr>
      <w:r w:rsidRPr="00B52720">
        <w:rPr>
          <w:rFonts w:ascii="Arial" w:hAnsi="Arial" w:cs="Arial"/>
        </w:rPr>
        <w:t>The Government considers that</w:t>
      </w:r>
      <w:r w:rsidR="00E512B3" w:rsidRPr="00B52720">
        <w:rPr>
          <w:rFonts w:ascii="Arial" w:hAnsi="Arial" w:cs="Arial"/>
        </w:rPr>
        <w:t xml:space="preserve"> the</w:t>
      </w:r>
      <w:r w:rsidRPr="00B52720">
        <w:rPr>
          <w:rFonts w:ascii="Arial" w:hAnsi="Arial" w:cs="Arial"/>
        </w:rPr>
        <w:t xml:space="preserve"> </w:t>
      </w:r>
      <w:r w:rsidR="00BE5E94" w:rsidRPr="00B52720">
        <w:rPr>
          <w:rFonts w:ascii="Arial" w:hAnsi="Arial" w:cs="Arial"/>
        </w:rPr>
        <w:t xml:space="preserve">judicial </w:t>
      </w:r>
      <w:r w:rsidR="0028535B" w:rsidRPr="00B52720">
        <w:rPr>
          <w:rFonts w:ascii="Arial" w:hAnsi="Arial" w:cs="Arial"/>
        </w:rPr>
        <w:t xml:space="preserve">discussion </w:t>
      </w:r>
      <w:r w:rsidR="00BE5E94" w:rsidRPr="00B52720">
        <w:rPr>
          <w:rFonts w:ascii="Arial" w:hAnsi="Arial" w:cs="Arial"/>
        </w:rPr>
        <w:t xml:space="preserve">of the term, albeit in a different context, together with the broader background of the Equality Act, ought to </w:t>
      </w:r>
      <w:r w:rsidR="00623CCE" w:rsidRPr="00B52720">
        <w:rPr>
          <w:rFonts w:ascii="Arial" w:hAnsi="Arial" w:cs="Arial"/>
        </w:rPr>
        <w:t>be of assistance to the Sentencing Council when reviewing its guidance following passage of the Bill</w:t>
      </w:r>
      <w:r w:rsidR="00CE030A" w:rsidRPr="00B52720">
        <w:rPr>
          <w:rFonts w:ascii="Arial" w:hAnsi="Arial" w:cs="Arial"/>
        </w:rPr>
        <w:t xml:space="preserve"> and t</w:t>
      </w:r>
      <w:r w:rsidR="007D6E77" w:rsidRPr="00B52720">
        <w:rPr>
          <w:rFonts w:ascii="Arial" w:hAnsi="Arial" w:cs="Arial"/>
        </w:rPr>
        <w:t>he Government will continue to work closely with the Council on implementation.</w:t>
      </w:r>
    </w:p>
    <w:p w14:paraId="7D2AA9BC" w14:textId="1D592DFC" w:rsidR="00D528EF" w:rsidRPr="00D528EF" w:rsidRDefault="00D528EF" w:rsidP="00E05243">
      <w:pPr>
        <w:spacing w:line="280" w:lineRule="exact"/>
        <w:rPr>
          <w:rFonts w:ascii="Arial" w:hAnsi="Arial" w:cs="Arial"/>
          <w:b/>
          <w:bCs/>
        </w:rPr>
      </w:pPr>
      <w:r w:rsidRPr="00D528EF">
        <w:rPr>
          <w:rFonts w:ascii="Arial" w:hAnsi="Arial" w:cs="Arial"/>
          <w:b/>
          <w:bCs/>
        </w:rPr>
        <w:t>Demographic cohort</w:t>
      </w:r>
    </w:p>
    <w:p w14:paraId="3EAFF57E" w14:textId="4A128CFF" w:rsidR="00BC4B40" w:rsidRDefault="00182570" w:rsidP="00E05243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 would also like to take this opportunity to expand on the Government’s view that </w:t>
      </w:r>
      <w:r w:rsidR="00A1294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membership of a </w:t>
      </w:r>
      <w:r w:rsidR="00FF6D26">
        <w:rPr>
          <w:rFonts w:ascii="Arial" w:hAnsi="Arial" w:cs="Arial"/>
        </w:rPr>
        <w:t xml:space="preserve">particular </w:t>
      </w:r>
      <w:r w:rsidR="00E61F37" w:rsidRPr="00227405">
        <w:rPr>
          <w:rFonts w:ascii="Arial" w:hAnsi="Arial" w:cs="Arial"/>
        </w:rPr>
        <w:t xml:space="preserve">demographic </w:t>
      </w:r>
      <w:r w:rsidR="00FF6D26">
        <w:rPr>
          <w:rFonts w:ascii="Arial" w:hAnsi="Arial" w:cs="Arial"/>
        </w:rPr>
        <w:t>cohort</w:t>
      </w:r>
      <w:r w:rsidR="00A1294E">
        <w:rPr>
          <w:rFonts w:ascii="Arial" w:hAnsi="Arial" w:cs="Arial"/>
        </w:rPr>
        <w:t>”</w:t>
      </w:r>
      <w:r w:rsidR="00F316F6" w:rsidRPr="00227405">
        <w:rPr>
          <w:rFonts w:ascii="Arial" w:hAnsi="Arial" w:cs="Arial"/>
        </w:rPr>
        <w:t xml:space="preserve"> is not</w:t>
      </w:r>
      <w:r w:rsidR="00E61F37" w:rsidRPr="00227405">
        <w:rPr>
          <w:rFonts w:ascii="Arial" w:hAnsi="Arial" w:cs="Arial"/>
        </w:rPr>
        <w:t xml:space="preserve"> a preferable </w:t>
      </w:r>
      <w:r w:rsidR="00936874" w:rsidRPr="00227405">
        <w:rPr>
          <w:rFonts w:ascii="Arial" w:hAnsi="Arial" w:cs="Arial"/>
        </w:rPr>
        <w:t>term to “personal characteristics”.</w:t>
      </w:r>
      <w:r w:rsidR="00D0428D" w:rsidRPr="00227405">
        <w:rPr>
          <w:rFonts w:ascii="Arial" w:hAnsi="Arial" w:cs="Arial"/>
        </w:rPr>
        <w:t xml:space="preserve"> </w:t>
      </w:r>
      <w:r w:rsidR="00BE36A6">
        <w:rPr>
          <w:rFonts w:ascii="Arial" w:hAnsi="Arial" w:cs="Arial"/>
        </w:rPr>
        <w:t xml:space="preserve">The term was used in the explanatory notes </w:t>
      </w:r>
      <w:r w:rsidR="00103DB2">
        <w:rPr>
          <w:rFonts w:ascii="Arial" w:hAnsi="Arial" w:cs="Arial"/>
        </w:rPr>
        <w:t>to provide additional context to the Bill</w:t>
      </w:r>
      <w:r w:rsidR="008435A7">
        <w:rPr>
          <w:rFonts w:ascii="Arial" w:hAnsi="Arial" w:cs="Arial"/>
        </w:rPr>
        <w:t xml:space="preserve">’s intent but was not intended to narrow the concept of “personal characteristics”. </w:t>
      </w:r>
      <w:r w:rsidR="000F5CF2">
        <w:rPr>
          <w:rFonts w:ascii="Arial" w:hAnsi="Arial" w:cs="Arial"/>
        </w:rPr>
        <w:t>The Government</w:t>
      </w:r>
      <w:r w:rsidR="000F5CF2" w:rsidRPr="7D2BE596">
        <w:rPr>
          <w:rFonts w:ascii="Arial" w:hAnsi="Arial" w:cs="Arial"/>
        </w:rPr>
        <w:t xml:space="preserve"> </w:t>
      </w:r>
      <w:r w:rsidR="3E912CB0" w:rsidRPr="7D2BE596">
        <w:rPr>
          <w:rFonts w:ascii="Arial" w:hAnsi="Arial" w:cs="Arial"/>
        </w:rPr>
        <w:t>does not</w:t>
      </w:r>
      <w:r w:rsidR="000F5CF2">
        <w:rPr>
          <w:rFonts w:ascii="Arial" w:hAnsi="Arial" w:cs="Arial"/>
        </w:rPr>
        <w:t xml:space="preserve"> consider that using the term “demographic cohort” in the Bill would </w:t>
      </w:r>
      <w:r w:rsidR="529418B6" w:rsidRPr="6DB5D4F0">
        <w:rPr>
          <w:rFonts w:ascii="Arial" w:hAnsi="Arial" w:cs="Arial"/>
        </w:rPr>
        <w:t xml:space="preserve">provide </w:t>
      </w:r>
      <w:r w:rsidR="529418B6" w:rsidRPr="58ED7B19">
        <w:rPr>
          <w:rFonts w:ascii="Arial" w:hAnsi="Arial" w:cs="Arial"/>
        </w:rPr>
        <w:t>clarity.</w:t>
      </w:r>
      <w:r w:rsidR="529418B6" w:rsidRPr="687A765F">
        <w:rPr>
          <w:rFonts w:ascii="Arial" w:hAnsi="Arial" w:cs="Arial"/>
        </w:rPr>
        <w:t xml:space="preserve"> </w:t>
      </w:r>
      <w:r w:rsidR="462C5A13" w:rsidRPr="197B0806">
        <w:rPr>
          <w:rFonts w:ascii="Arial" w:hAnsi="Arial" w:cs="Arial"/>
        </w:rPr>
        <w:t>Instead</w:t>
      </w:r>
      <w:r w:rsidR="65963C0B" w:rsidRPr="4D9E2D85">
        <w:rPr>
          <w:rFonts w:ascii="Arial" w:hAnsi="Arial" w:cs="Arial"/>
        </w:rPr>
        <w:t>,</w:t>
      </w:r>
      <w:r w:rsidR="462C5A13" w:rsidRPr="197B0806">
        <w:rPr>
          <w:rFonts w:ascii="Arial" w:hAnsi="Arial" w:cs="Arial"/>
        </w:rPr>
        <w:t xml:space="preserve"> it </w:t>
      </w:r>
      <w:r w:rsidR="462C5A13" w:rsidRPr="1B7CB066">
        <w:rPr>
          <w:rFonts w:ascii="Arial" w:hAnsi="Arial" w:cs="Arial"/>
        </w:rPr>
        <w:lastRenderedPageBreak/>
        <w:t xml:space="preserve">would </w:t>
      </w:r>
      <w:r w:rsidR="000F5CF2" w:rsidRPr="1B7CB066">
        <w:rPr>
          <w:rFonts w:ascii="Arial" w:hAnsi="Arial" w:cs="Arial"/>
        </w:rPr>
        <w:t>create</w:t>
      </w:r>
      <w:r w:rsidR="000F5CF2">
        <w:rPr>
          <w:rFonts w:ascii="Arial" w:hAnsi="Arial" w:cs="Arial"/>
        </w:rPr>
        <w:t xml:space="preserve"> uncertainty </w:t>
      </w:r>
      <w:r w:rsidR="00033FA1">
        <w:rPr>
          <w:rFonts w:ascii="Arial" w:hAnsi="Arial" w:cs="Arial"/>
        </w:rPr>
        <w:t>regarding who or what amounts to a demographic cohort</w:t>
      </w:r>
      <w:r w:rsidR="0072232E">
        <w:rPr>
          <w:rFonts w:ascii="Arial" w:hAnsi="Arial" w:cs="Arial"/>
        </w:rPr>
        <w:t xml:space="preserve"> and it is difficult to see how such groups could be defined other than with reference to individuals who share</w:t>
      </w:r>
      <w:r w:rsidR="004516F6">
        <w:rPr>
          <w:rFonts w:ascii="Arial" w:hAnsi="Arial" w:cs="Arial"/>
        </w:rPr>
        <w:t xml:space="preserve"> certain</w:t>
      </w:r>
      <w:r w:rsidR="0072232E">
        <w:rPr>
          <w:rFonts w:ascii="Arial" w:hAnsi="Arial" w:cs="Arial"/>
        </w:rPr>
        <w:t xml:space="preserve"> personal characteristics. </w:t>
      </w:r>
      <w:r w:rsidR="42B33DBC" w:rsidRPr="50489D34">
        <w:rPr>
          <w:rFonts w:ascii="Arial" w:hAnsi="Arial" w:cs="Arial"/>
        </w:rPr>
        <w:t xml:space="preserve">The </w:t>
      </w:r>
      <w:r w:rsidR="004B068F" w:rsidRPr="50489D34">
        <w:rPr>
          <w:rFonts w:ascii="Arial" w:hAnsi="Arial" w:cs="Arial"/>
        </w:rPr>
        <w:t xml:space="preserve">Government </w:t>
      </w:r>
      <w:r w:rsidR="004B068F" w:rsidRPr="7B28A2B1" w:rsidDel="0072232E">
        <w:rPr>
          <w:rFonts w:ascii="Arial" w:hAnsi="Arial" w:cs="Arial"/>
        </w:rPr>
        <w:t>therefore</w:t>
      </w:r>
      <w:r w:rsidR="0072232E">
        <w:rPr>
          <w:rFonts w:ascii="Arial" w:hAnsi="Arial" w:cs="Arial"/>
        </w:rPr>
        <w:t xml:space="preserve"> </w:t>
      </w:r>
      <w:r w:rsidR="6B375856" w:rsidRPr="4AAFA3BA">
        <w:rPr>
          <w:rFonts w:ascii="Arial" w:hAnsi="Arial" w:cs="Arial"/>
        </w:rPr>
        <w:t>remains of the view that it</w:t>
      </w:r>
      <w:r w:rsidR="6B375856" w:rsidRPr="2CD9461B">
        <w:rPr>
          <w:rFonts w:ascii="Arial" w:hAnsi="Arial" w:cs="Arial"/>
        </w:rPr>
        <w:t xml:space="preserve"> is</w:t>
      </w:r>
      <w:r w:rsidR="6B375856" w:rsidRPr="4AAFA3BA">
        <w:rPr>
          <w:rFonts w:ascii="Arial" w:hAnsi="Arial" w:cs="Arial"/>
        </w:rPr>
        <w:t xml:space="preserve"> </w:t>
      </w:r>
      <w:r w:rsidR="0072232E" w:rsidRPr="4AAFA3BA">
        <w:rPr>
          <w:rFonts w:ascii="Arial" w:hAnsi="Arial" w:cs="Arial"/>
        </w:rPr>
        <w:t>preferable</w:t>
      </w:r>
      <w:r w:rsidR="0072232E">
        <w:rPr>
          <w:rFonts w:ascii="Arial" w:hAnsi="Arial" w:cs="Arial"/>
        </w:rPr>
        <w:t xml:space="preserve"> simply to refer directly to the concept of personal characteristics.</w:t>
      </w:r>
      <w:r w:rsidR="00BE7508">
        <w:rPr>
          <w:rFonts w:ascii="Arial" w:hAnsi="Arial" w:cs="Arial"/>
        </w:rPr>
        <w:t xml:space="preserve"> </w:t>
      </w:r>
    </w:p>
    <w:p w14:paraId="629BB4D4" w14:textId="06F80DC2" w:rsidR="00014FBC" w:rsidRPr="00B52720" w:rsidRDefault="00CA7A36" w:rsidP="00B52720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I hope this letter answers many of your concerns regarding the detail of the Bill, and I look forward to working closely with you all in the upcoming Bill stages.</w:t>
      </w:r>
      <w:r w:rsidR="00F17A33">
        <w:rPr>
          <w:rFonts w:ascii="Arial" w:hAnsi="Arial" w:cs="Arial"/>
        </w:rPr>
        <w:t xml:space="preserve"> Should you wish to discuss the Bill ahead of Committee stage, I am hosting a drop-in session at 16:30-17:00 on Tuesday 13 May, in Room 6. If you plan on attending, I would be grateful if you could inform my office on PS.JamesTimpson@justice.gov.uk.</w:t>
      </w:r>
    </w:p>
    <w:p w14:paraId="2129D169" w14:textId="1D18AC4A" w:rsidR="00BF310F" w:rsidRPr="000F36D0" w:rsidRDefault="00E056F7" w:rsidP="00B52720">
      <w:pPr>
        <w:spacing w:line="280" w:lineRule="exact"/>
        <w:rPr>
          <w:rFonts w:ascii="Arial" w:hAnsi="Arial" w:cs="Arial"/>
        </w:rPr>
      </w:pPr>
      <w:r w:rsidRPr="000F36D0">
        <w:rPr>
          <w:rFonts w:ascii="Arial" w:hAnsi="Arial" w:cs="Arial"/>
        </w:rPr>
        <w:t>Yours sincerely,</w:t>
      </w:r>
    </w:p>
    <w:p w14:paraId="7778A108" w14:textId="77777777" w:rsidR="007B7B14" w:rsidRPr="000F36D0" w:rsidRDefault="00E056F7" w:rsidP="000F36D0">
      <w:pPr>
        <w:spacing w:line="280" w:lineRule="exact"/>
        <w:rPr>
          <w:rFonts w:ascii="Arial" w:hAnsi="Arial" w:cs="Arial"/>
        </w:rPr>
      </w:pPr>
      <w:r w:rsidRPr="000F36D0">
        <w:rPr>
          <w:rFonts w:ascii="Arial" w:hAnsi="Arial" w:cs="Arial"/>
        </w:rPr>
        <w:tab/>
      </w:r>
    </w:p>
    <w:p w14:paraId="6FB660D6" w14:textId="77777777" w:rsidR="007B7B14" w:rsidRPr="000F36D0" w:rsidRDefault="007B7B14" w:rsidP="000F36D0">
      <w:pPr>
        <w:spacing w:line="280" w:lineRule="exact"/>
        <w:rPr>
          <w:rFonts w:ascii="Arial" w:hAnsi="Arial" w:cs="Arial"/>
        </w:rPr>
      </w:pPr>
    </w:p>
    <w:p w14:paraId="5DA40B65" w14:textId="1C4DCCCC" w:rsidR="007B7B14" w:rsidRPr="000F36D0" w:rsidRDefault="007B7B14" w:rsidP="00B52720">
      <w:pPr>
        <w:spacing w:line="280" w:lineRule="exact"/>
        <w:jc w:val="center"/>
        <w:rPr>
          <w:rFonts w:ascii="Arial" w:hAnsi="Arial" w:cs="Arial"/>
          <w:b/>
        </w:rPr>
      </w:pPr>
      <w:r w:rsidRPr="000F36D0">
        <w:rPr>
          <w:rFonts w:ascii="Arial" w:hAnsi="Arial" w:cs="Arial"/>
          <w:b/>
        </w:rPr>
        <w:t>Lord Timpson</w:t>
      </w:r>
    </w:p>
    <w:p w14:paraId="795609C3" w14:textId="77777777" w:rsidR="007B7B14" w:rsidRPr="000F36D0" w:rsidRDefault="007B7B14" w:rsidP="00B52720">
      <w:pPr>
        <w:spacing w:line="280" w:lineRule="exact"/>
        <w:jc w:val="center"/>
        <w:rPr>
          <w:rFonts w:ascii="Arial" w:hAnsi="Arial" w:cs="Arial"/>
          <w:b/>
        </w:rPr>
      </w:pPr>
      <w:r w:rsidRPr="000F36D0">
        <w:rPr>
          <w:rFonts w:ascii="Arial" w:hAnsi="Arial" w:cs="Arial"/>
          <w:b/>
        </w:rPr>
        <w:t>Minister for Prisons, Probation and Reducing Reoffending</w:t>
      </w:r>
    </w:p>
    <w:p w14:paraId="4F9E52F6" w14:textId="74C18981" w:rsidR="00BF310F" w:rsidRPr="00ED6F21" w:rsidRDefault="00BF310F" w:rsidP="00B52720">
      <w:pPr>
        <w:spacing w:line="280" w:lineRule="exact"/>
        <w:rPr>
          <w:rFonts w:ascii="Arial" w:hAnsi="Arial" w:cs="Arial"/>
        </w:rPr>
      </w:pPr>
    </w:p>
    <w:sectPr w:rsidR="00BF310F" w:rsidRPr="00ED6F21" w:rsidSect="00B527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80" w:right="794" w:bottom="170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DC8B" w14:textId="77777777" w:rsidR="009F7A20" w:rsidRDefault="009F7A20" w:rsidP="003752A0">
      <w:pPr>
        <w:spacing w:after="0" w:line="240" w:lineRule="auto"/>
      </w:pPr>
      <w:r>
        <w:separator/>
      </w:r>
    </w:p>
  </w:endnote>
  <w:endnote w:type="continuationSeparator" w:id="0">
    <w:p w14:paraId="37116CEC" w14:textId="77777777" w:rsidR="009F7A20" w:rsidRDefault="009F7A20" w:rsidP="003752A0">
      <w:pPr>
        <w:spacing w:after="0" w:line="240" w:lineRule="auto"/>
      </w:pPr>
      <w:r>
        <w:continuationSeparator/>
      </w:r>
    </w:p>
  </w:endnote>
  <w:endnote w:type="continuationNotice" w:id="1">
    <w:p w14:paraId="4DC26809" w14:textId="77777777" w:rsidR="009F7A20" w:rsidRDefault="009F7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tblBorders>
        <w:top w:val="single" w:sz="4" w:space="0" w:color="auto"/>
        <w:insideH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401"/>
      <w:gridCol w:w="5667"/>
      <w:gridCol w:w="1417"/>
    </w:tblGrid>
    <w:tr w:rsidR="008B0E4E" w:rsidRPr="00E30EEA" w14:paraId="517C5374" w14:textId="77777777" w:rsidTr="008B0E4E"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8610BA7" w14:textId="7C3C7C99" w:rsidR="008B0E4E" w:rsidRPr="00B52720" w:rsidRDefault="008B0E4E" w:rsidP="008B0E4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52720"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456DE894" wp14:editId="687C1B9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9535" cy="368300"/>
                    <wp:effectExtent l="0" t="0" r="5715" b="0"/>
                    <wp:wrapNone/>
                    <wp:docPr id="1176337082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535" cy="36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804844" w14:textId="77777777" w:rsidR="008B0E4E" w:rsidRDefault="008B0E4E" w:rsidP="008B0E4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clip" horzOverflow="clip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456DE8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alt="OFFICIAL" style="position:absolute;margin-left:0;margin-top:0;width:7.05pt;height:29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" filled="f" stroked="f">
                    <v:textbox style="mso-fit-shape-to-text:t" inset="0,0,0,15pt">
                      <w:txbxContent>
                        <w:p w14:paraId="24804844" w14:textId="77777777" w:rsidR="008B0E4E" w:rsidRDefault="008B0E4E" w:rsidP="008B0E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B52720">
            <w:rPr>
              <w:rFonts w:ascii="Arial" w:hAnsi="Arial" w:cs="Arial"/>
              <w:b/>
              <w:sz w:val="16"/>
              <w:szCs w:val="16"/>
            </w:rPr>
            <w:t>T</w:t>
          </w:r>
          <w:r w:rsidRPr="00B52720">
            <w:rPr>
              <w:rFonts w:ascii="Arial" w:hAnsi="Arial" w:cs="Arial"/>
              <w:sz w:val="16"/>
              <w:szCs w:val="16"/>
            </w:rPr>
            <w:t xml:space="preserve"> +4420 3334 3555</w:t>
          </w:r>
        </w:p>
        <w:p w14:paraId="6E08F349" w14:textId="77777777" w:rsidR="008B0E4E" w:rsidRPr="00B52720" w:rsidRDefault="008B0E4E" w:rsidP="008B0E4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52720">
            <w:rPr>
              <w:rFonts w:ascii="Arial" w:hAnsi="Arial" w:cs="Arial"/>
              <w:b/>
              <w:sz w:val="16"/>
              <w:szCs w:val="16"/>
            </w:rPr>
            <w:t>F</w:t>
          </w:r>
          <w:r w:rsidRPr="00B52720">
            <w:rPr>
              <w:rFonts w:ascii="Arial" w:hAnsi="Arial" w:cs="Arial"/>
              <w:sz w:val="16"/>
              <w:szCs w:val="16"/>
            </w:rPr>
            <w:t xml:space="preserve"> +44870 761 7753</w:t>
          </w:r>
        </w:p>
      </w:tc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86A2DC1" w14:textId="77777777" w:rsidR="008B0E4E" w:rsidRPr="00B52720" w:rsidRDefault="008B0E4E" w:rsidP="008B0E4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52720">
            <w:rPr>
              <w:rFonts w:ascii="Arial" w:hAnsi="Arial" w:cs="Arial"/>
              <w:b/>
              <w:sz w:val="16"/>
              <w:szCs w:val="16"/>
            </w:rPr>
            <w:t>E</w:t>
          </w:r>
          <w:r w:rsidRPr="00B52720">
            <w:rPr>
              <w:rFonts w:ascii="Arial" w:hAnsi="Arial" w:cs="Arial"/>
              <w:sz w:val="16"/>
              <w:szCs w:val="16"/>
            </w:rPr>
            <w:t xml:space="preserve"> </w:t>
          </w:r>
          <w:hyperlink r:id="rId1" w:history="1">
            <w:r w:rsidRPr="00B52720">
              <w:rPr>
                <w:rStyle w:val="Hyperlink"/>
                <w:rFonts w:ascii="Arial" w:hAnsi="Arial" w:cs="Arial"/>
                <w:sz w:val="16"/>
                <w:szCs w:val="16"/>
              </w:rPr>
              <w:t>https://contact-moj.service.justice.gov.uk/</w:t>
            </w:r>
          </w:hyperlink>
        </w:p>
        <w:p w14:paraId="4C6A373B" w14:textId="77777777" w:rsidR="008B0E4E" w:rsidRPr="00B52720" w:rsidRDefault="008B0E4E" w:rsidP="008B0E4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52720">
            <w:rPr>
              <w:rFonts w:ascii="Arial" w:hAnsi="Arial" w:cs="Arial"/>
              <w:sz w:val="16"/>
              <w:szCs w:val="16"/>
            </w:rPr>
            <w:t>www.gov.uk/moj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1D59E6A" w14:textId="77777777" w:rsidR="008B0E4E" w:rsidRPr="00B52720" w:rsidRDefault="008B0E4E" w:rsidP="008B0E4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52720">
            <w:rPr>
              <w:rFonts w:ascii="Arial" w:hAnsi="Arial" w:cs="Arial"/>
              <w:sz w:val="16"/>
              <w:szCs w:val="16"/>
            </w:rPr>
            <w:t>102 Petty France</w:t>
          </w:r>
        </w:p>
        <w:p w14:paraId="1B2B0308" w14:textId="77777777" w:rsidR="008B0E4E" w:rsidRPr="00B52720" w:rsidRDefault="008B0E4E" w:rsidP="008B0E4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52720">
            <w:rPr>
              <w:rFonts w:ascii="Arial" w:hAnsi="Arial" w:cs="Arial"/>
              <w:sz w:val="16"/>
              <w:szCs w:val="16"/>
            </w:rPr>
            <w:t>London</w:t>
          </w:r>
        </w:p>
        <w:p w14:paraId="5C1FF810" w14:textId="77777777" w:rsidR="008B0E4E" w:rsidRPr="00B52720" w:rsidRDefault="008B0E4E" w:rsidP="008B0E4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52720">
            <w:rPr>
              <w:rFonts w:ascii="Arial" w:hAnsi="Arial" w:cs="Arial"/>
              <w:sz w:val="16"/>
              <w:szCs w:val="16"/>
            </w:rPr>
            <w:t>SW1H 9AJ</w:t>
          </w:r>
        </w:p>
      </w:tc>
    </w:tr>
  </w:tbl>
  <w:p w14:paraId="299A7A95" w14:textId="77777777" w:rsidR="008B0E4E" w:rsidRPr="00B52720" w:rsidRDefault="008B0E4E" w:rsidP="008B0E4E">
    <w:pPr>
      <w:pStyle w:val="Footer"/>
      <w:rPr>
        <w:rFonts w:ascii="Arial" w:hAnsi="Arial" w:cs="Arial"/>
        <w:sz w:val="16"/>
        <w:szCs w:val="16"/>
      </w:rPr>
    </w:pPr>
  </w:p>
  <w:p w14:paraId="30AE8232" w14:textId="77777777" w:rsidR="003752A0" w:rsidRPr="00B52720" w:rsidRDefault="003752A0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B5F" w14:textId="630D66CF" w:rsidR="003752A0" w:rsidRDefault="0037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C7ED" w14:textId="77777777" w:rsidR="009F7A20" w:rsidRDefault="009F7A20" w:rsidP="003752A0">
      <w:pPr>
        <w:spacing w:after="0" w:line="240" w:lineRule="auto"/>
      </w:pPr>
      <w:r>
        <w:separator/>
      </w:r>
    </w:p>
  </w:footnote>
  <w:footnote w:type="continuationSeparator" w:id="0">
    <w:p w14:paraId="7F751CAF" w14:textId="77777777" w:rsidR="009F7A20" w:rsidRDefault="009F7A20" w:rsidP="003752A0">
      <w:pPr>
        <w:spacing w:after="0" w:line="240" w:lineRule="auto"/>
      </w:pPr>
      <w:r>
        <w:continuationSeparator/>
      </w:r>
    </w:p>
  </w:footnote>
  <w:footnote w:type="continuationNotice" w:id="1">
    <w:p w14:paraId="362F043F" w14:textId="77777777" w:rsidR="009F7A20" w:rsidRDefault="009F7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6B47" w14:textId="77777777" w:rsidR="003B45D7" w:rsidRPr="003B45D7" w:rsidRDefault="003B45D7" w:rsidP="00B52720">
    <w:pPr>
      <w:pStyle w:val="Header"/>
      <w:jc w:val="center"/>
    </w:pPr>
    <w:r w:rsidRPr="003B45D7">
      <w:t>OFFICIAL</w:t>
    </w:r>
  </w:p>
  <w:p w14:paraId="08BC27E0" w14:textId="60E149BA" w:rsidR="003752A0" w:rsidRDefault="00375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4DAE" w14:textId="3DD6587C" w:rsidR="003752A0" w:rsidRDefault="00375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49D"/>
    <w:multiLevelType w:val="multilevel"/>
    <w:tmpl w:val="D5A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F3974"/>
    <w:multiLevelType w:val="hybridMultilevel"/>
    <w:tmpl w:val="D0EA56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365978">
    <w:abstractNumId w:val="1"/>
  </w:num>
  <w:num w:numId="2" w16cid:durableId="374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93"/>
    <w:rsid w:val="00006BBE"/>
    <w:rsid w:val="00006D71"/>
    <w:rsid w:val="00007501"/>
    <w:rsid w:val="0001076C"/>
    <w:rsid w:val="00014FBC"/>
    <w:rsid w:val="00016A83"/>
    <w:rsid w:val="000179A4"/>
    <w:rsid w:val="0002551A"/>
    <w:rsid w:val="000257E9"/>
    <w:rsid w:val="00026280"/>
    <w:rsid w:val="00026C24"/>
    <w:rsid w:val="0003180F"/>
    <w:rsid w:val="00033FA1"/>
    <w:rsid w:val="000531E8"/>
    <w:rsid w:val="000541EA"/>
    <w:rsid w:val="00054CA2"/>
    <w:rsid w:val="000559E8"/>
    <w:rsid w:val="000575BD"/>
    <w:rsid w:val="00061D52"/>
    <w:rsid w:val="00067B73"/>
    <w:rsid w:val="00071FE9"/>
    <w:rsid w:val="000802B2"/>
    <w:rsid w:val="00080D4C"/>
    <w:rsid w:val="0008110A"/>
    <w:rsid w:val="000831FD"/>
    <w:rsid w:val="000B2B23"/>
    <w:rsid w:val="000B30F0"/>
    <w:rsid w:val="000B33F6"/>
    <w:rsid w:val="000B47FD"/>
    <w:rsid w:val="000B5E60"/>
    <w:rsid w:val="000B616E"/>
    <w:rsid w:val="000C101C"/>
    <w:rsid w:val="000D06F0"/>
    <w:rsid w:val="000D4C5A"/>
    <w:rsid w:val="000E40FE"/>
    <w:rsid w:val="000E4DDE"/>
    <w:rsid w:val="000E704B"/>
    <w:rsid w:val="000F1107"/>
    <w:rsid w:val="000F36D0"/>
    <w:rsid w:val="000F48B7"/>
    <w:rsid w:val="000F5CF2"/>
    <w:rsid w:val="00103DB2"/>
    <w:rsid w:val="0010728D"/>
    <w:rsid w:val="00114489"/>
    <w:rsid w:val="001229AC"/>
    <w:rsid w:val="00133727"/>
    <w:rsid w:val="00141215"/>
    <w:rsid w:val="001432D4"/>
    <w:rsid w:val="00143EF3"/>
    <w:rsid w:val="001440DA"/>
    <w:rsid w:val="001458C6"/>
    <w:rsid w:val="001577CE"/>
    <w:rsid w:val="00162277"/>
    <w:rsid w:val="00163409"/>
    <w:rsid w:val="001677EC"/>
    <w:rsid w:val="00172DA8"/>
    <w:rsid w:val="001742E4"/>
    <w:rsid w:val="0017520F"/>
    <w:rsid w:val="00176084"/>
    <w:rsid w:val="00176615"/>
    <w:rsid w:val="001776C3"/>
    <w:rsid w:val="001805C0"/>
    <w:rsid w:val="00182570"/>
    <w:rsid w:val="00183C89"/>
    <w:rsid w:val="001863C2"/>
    <w:rsid w:val="00186B97"/>
    <w:rsid w:val="001905CB"/>
    <w:rsid w:val="00193347"/>
    <w:rsid w:val="00194242"/>
    <w:rsid w:val="001A02F4"/>
    <w:rsid w:val="001A1817"/>
    <w:rsid w:val="001A3A8A"/>
    <w:rsid w:val="001B1218"/>
    <w:rsid w:val="001C067F"/>
    <w:rsid w:val="001C38D9"/>
    <w:rsid w:val="001C462D"/>
    <w:rsid w:val="001D382A"/>
    <w:rsid w:val="001D4353"/>
    <w:rsid w:val="001E01BC"/>
    <w:rsid w:val="001E57F0"/>
    <w:rsid w:val="001E7D0C"/>
    <w:rsid w:val="001F2D8E"/>
    <w:rsid w:val="001F3FB6"/>
    <w:rsid w:val="001F6B1D"/>
    <w:rsid w:val="00200FB5"/>
    <w:rsid w:val="00203631"/>
    <w:rsid w:val="00204134"/>
    <w:rsid w:val="00211718"/>
    <w:rsid w:val="00213AEB"/>
    <w:rsid w:val="00220CF7"/>
    <w:rsid w:val="00222CAB"/>
    <w:rsid w:val="0022476B"/>
    <w:rsid w:val="00224DBE"/>
    <w:rsid w:val="00227405"/>
    <w:rsid w:val="002330B3"/>
    <w:rsid w:val="00236BE0"/>
    <w:rsid w:val="002378F4"/>
    <w:rsid w:val="002408D3"/>
    <w:rsid w:val="002435DD"/>
    <w:rsid w:val="00252B6C"/>
    <w:rsid w:val="002542F2"/>
    <w:rsid w:val="0026038A"/>
    <w:rsid w:val="00261380"/>
    <w:rsid w:val="00261419"/>
    <w:rsid w:val="00264400"/>
    <w:rsid w:val="00266D91"/>
    <w:rsid w:val="00270860"/>
    <w:rsid w:val="002743FF"/>
    <w:rsid w:val="00284FD8"/>
    <w:rsid w:val="0028535B"/>
    <w:rsid w:val="00291E21"/>
    <w:rsid w:val="00292FE9"/>
    <w:rsid w:val="0029371B"/>
    <w:rsid w:val="00293D77"/>
    <w:rsid w:val="0029515B"/>
    <w:rsid w:val="002968AC"/>
    <w:rsid w:val="002A12AE"/>
    <w:rsid w:val="002A5685"/>
    <w:rsid w:val="002A6A7C"/>
    <w:rsid w:val="002A74BF"/>
    <w:rsid w:val="002B4D16"/>
    <w:rsid w:val="002B6668"/>
    <w:rsid w:val="002B79D2"/>
    <w:rsid w:val="002C000C"/>
    <w:rsid w:val="002C4BCC"/>
    <w:rsid w:val="002C4CEA"/>
    <w:rsid w:val="002C574C"/>
    <w:rsid w:val="002D2987"/>
    <w:rsid w:val="002D3272"/>
    <w:rsid w:val="002D69C9"/>
    <w:rsid w:val="002E0A2E"/>
    <w:rsid w:val="002E217B"/>
    <w:rsid w:val="002E41B2"/>
    <w:rsid w:val="002F098F"/>
    <w:rsid w:val="002F251E"/>
    <w:rsid w:val="002F2A60"/>
    <w:rsid w:val="00303A31"/>
    <w:rsid w:val="00303FCE"/>
    <w:rsid w:val="0031212A"/>
    <w:rsid w:val="00321584"/>
    <w:rsid w:val="003365C1"/>
    <w:rsid w:val="00341A49"/>
    <w:rsid w:val="003448F4"/>
    <w:rsid w:val="00345E06"/>
    <w:rsid w:val="00345E3A"/>
    <w:rsid w:val="00347689"/>
    <w:rsid w:val="00351DEB"/>
    <w:rsid w:val="003657EC"/>
    <w:rsid w:val="003679F7"/>
    <w:rsid w:val="0037247C"/>
    <w:rsid w:val="003749F2"/>
    <w:rsid w:val="003752A0"/>
    <w:rsid w:val="00390DDB"/>
    <w:rsid w:val="003938CE"/>
    <w:rsid w:val="003A1C2A"/>
    <w:rsid w:val="003A1DCB"/>
    <w:rsid w:val="003A686B"/>
    <w:rsid w:val="003A7AA8"/>
    <w:rsid w:val="003B0D64"/>
    <w:rsid w:val="003B45D7"/>
    <w:rsid w:val="003B74F8"/>
    <w:rsid w:val="003C10B0"/>
    <w:rsid w:val="003C3239"/>
    <w:rsid w:val="003C443F"/>
    <w:rsid w:val="003C55C7"/>
    <w:rsid w:val="003C61CE"/>
    <w:rsid w:val="003D1C6B"/>
    <w:rsid w:val="003D2F4C"/>
    <w:rsid w:val="003D418A"/>
    <w:rsid w:val="003D5972"/>
    <w:rsid w:val="003D5C7E"/>
    <w:rsid w:val="003E3B67"/>
    <w:rsid w:val="003E498B"/>
    <w:rsid w:val="003E6FE0"/>
    <w:rsid w:val="003E756D"/>
    <w:rsid w:val="003E7EC0"/>
    <w:rsid w:val="003F397B"/>
    <w:rsid w:val="003F5CEB"/>
    <w:rsid w:val="003F7B24"/>
    <w:rsid w:val="004033B5"/>
    <w:rsid w:val="004033DB"/>
    <w:rsid w:val="00405F56"/>
    <w:rsid w:val="00416330"/>
    <w:rsid w:val="0041791F"/>
    <w:rsid w:val="00421003"/>
    <w:rsid w:val="00422699"/>
    <w:rsid w:val="00422D58"/>
    <w:rsid w:val="00425152"/>
    <w:rsid w:val="004260BF"/>
    <w:rsid w:val="00427075"/>
    <w:rsid w:val="004277D8"/>
    <w:rsid w:val="00430AFE"/>
    <w:rsid w:val="004310AC"/>
    <w:rsid w:val="004364FF"/>
    <w:rsid w:val="004516F6"/>
    <w:rsid w:val="004543F9"/>
    <w:rsid w:val="00454D8D"/>
    <w:rsid w:val="004633FD"/>
    <w:rsid w:val="00466E48"/>
    <w:rsid w:val="00470038"/>
    <w:rsid w:val="00472C46"/>
    <w:rsid w:val="00482A8F"/>
    <w:rsid w:val="00486D80"/>
    <w:rsid w:val="00490249"/>
    <w:rsid w:val="004905E7"/>
    <w:rsid w:val="00490F83"/>
    <w:rsid w:val="004A59FD"/>
    <w:rsid w:val="004B068F"/>
    <w:rsid w:val="004C0639"/>
    <w:rsid w:val="004C17B9"/>
    <w:rsid w:val="004C22DA"/>
    <w:rsid w:val="004C3B7D"/>
    <w:rsid w:val="004C4A04"/>
    <w:rsid w:val="004C6268"/>
    <w:rsid w:val="004C6968"/>
    <w:rsid w:val="004C7E69"/>
    <w:rsid w:val="004E4C36"/>
    <w:rsid w:val="004E7256"/>
    <w:rsid w:val="004F4276"/>
    <w:rsid w:val="004F55E7"/>
    <w:rsid w:val="004F6571"/>
    <w:rsid w:val="004F6A0E"/>
    <w:rsid w:val="00500D1C"/>
    <w:rsid w:val="0050119B"/>
    <w:rsid w:val="00503D87"/>
    <w:rsid w:val="00503DE8"/>
    <w:rsid w:val="005062C4"/>
    <w:rsid w:val="00506421"/>
    <w:rsid w:val="00506BFE"/>
    <w:rsid w:val="00512BC5"/>
    <w:rsid w:val="005157E3"/>
    <w:rsid w:val="00524BE2"/>
    <w:rsid w:val="005369EE"/>
    <w:rsid w:val="0054098A"/>
    <w:rsid w:val="005416E1"/>
    <w:rsid w:val="00541AFF"/>
    <w:rsid w:val="00544551"/>
    <w:rsid w:val="00545883"/>
    <w:rsid w:val="005509D8"/>
    <w:rsid w:val="00550EB4"/>
    <w:rsid w:val="00562423"/>
    <w:rsid w:val="00571F72"/>
    <w:rsid w:val="00572485"/>
    <w:rsid w:val="005726D6"/>
    <w:rsid w:val="00572F3D"/>
    <w:rsid w:val="00573FEA"/>
    <w:rsid w:val="00574775"/>
    <w:rsid w:val="005779A0"/>
    <w:rsid w:val="005811B0"/>
    <w:rsid w:val="00584DA0"/>
    <w:rsid w:val="00586724"/>
    <w:rsid w:val="0059348E"/>
    <w:rsid w:val="00596E1F"/>
    <w:rsid w:val="00597F2A"/>
    <w:rsid w:val="005A12D6"/>
    <w:rsid w:val="005A73E5"/>
    <w:rsid w:val="005A7F32"/>
    <w:rsid w:val="005B021E"/>
    <w:rsid w:val="005B1D77"/>
    <w:rsid w:val="005B3129"/>
    <w:rsid w:val="005C2E3B"/>
    <w:rsid w:val="005C6B26"/>
    <w:rsid w:val="005D0194"/>
    <w:rsid w:val="005D2EDE"/>
    <w:rsid w:val="005D3B24"/>
    <w:rsid w:val="005E1B3E"/>
    <w:rsid w:val="005E5AD1"/>
    <w:rsid w:val="005E68B5"/>
    <w:rsid w:val="005E68C9"/>
    <w:rsid w:val="005F027D"/>
    <w:rsid w:val="005F10AA"/>
    <w:rsid w:val="005F1DE5"/>
    <w:rsid w:val="005F2762"/>
    <w:rsid w:val="005F55C7"/>
    <w:rsid w:val="005F5B78"/>
    <w:rsid w:val="005F75CA"/>
    <w:rsid w:val="00600EB9"/>
    <w:rsid w:val="00604B0E"/>
    <w:rsid w:val="00605D96"/>
    <w:rsid w:val="006135AD"/>
    <w:rsid w:val="006153FD"/>
    <w:rsid w:val="006204A4"/>
    <w:rsid w:val="00620F88"/>
    <w:rsid w:val="00622D16"/>
    <w:rsid w:val="00623CCE"/>
    <w:rsid w:val="00626936"/>
    <w:rsid w:val="00633228"/>
    <w:rsid w:val="00636E24"/>
    <w:rsid w:val="00637DD9"/>
    <w:rsid w:val="00640103"/>
    <w:rsid w:val="00641F38"/>
    <w:rsid w:val="0064208E"/>
    <w:rsid w:val="00642B78"/>
    <w:rsid w:val="006438EA"/>
    <w:rsid w:val="006440AD"/>
    <w:rsid w:val="00645F69"/>
    <w:rsid w:val="00663D8B"/>
    <w:rsid w:val="0066445A"/>
    <w:rsid w:val="00675272"/>
    <w:rsid w:val="00677F9B"/>
    <w:rsid w:val="006869DF"/>
    <w:rsid w:val="006870DE"/>
    <w:rsid w:val="00694A5C"/>
    <w:rsid w:val="006B0A4E"/>
    <w:rsid w:val="006B106A"/>
    <w:rsid w:val="006B5BA4"/>
    <w:rsid w:val="006B7042"/>
    <w:rsid w:val="006B773B"/>
    <w:rsid w:val="006C0CCF"/>
    <w:rsid w:val="006C25ED"/>
    <w:rsid w:val="006C2E7D"/>
    <w:rsid w:val="006C3321"/>
    <w:rsid w:val="006C4638"/>
    <w:rsid w:val="006C4B62"/>
    <w:rsid w:val="006C61A0"/>
    <w:rsid w:val="006C7E16"/>
    <w:rsid w:val="006D5746"/>
    <w:rsid w:val="006E00BA"/>
    <w:rsid w:val="006E1ABF"/>
    <w:rsid w:val="006F1BDD"/>
    <w:rsid w:val="006F2897"/>
    <w:rsid w:val="006F4155"/>
    <w:rsid w:val="006F7648"/>
    <w:rsid w:val="00700ADF"/>
    <w:rsid w:val="00703109"/>
    <w:rsid w:val="00712B75"/>
    <w:rsid w:val="007170A5"/>
    <w:rsid w:val="00717671"/>
    <w:rsid w:val="007211E9"/>
    <w:rsid w:val="00721894"/>
    <w:rsid w:val="0072232E"/>
    <w:rsid w:val="00722340"/>
    <w:rsid w:val="00727AB9"/>
    <w:rsid w:val="00731030"/>
    <w:rsid w:val="0074203D"/>
    <w:rsid w:val="00756579"/>
    <w:rsid w:val="007610DE"/>
    <w:rsid w:val="0076149E"/>
    <w:rsid w:val="0076397F"/>
    <w:rsid w:val="00766A9C"/>
    <w:rsid w:val="007736C7"/>
    <w:rsid w:val="007760CB"/>
    <w:rsid w:val="00777D04"/>
    <w:rsid w:val="00786C1B"/>
    <w:rsid w:val="0078714C"/>
    <w:rsid w:val="0078779D"/>
    <w:rsid w:val="00787C0B"/>
    <w:rsid w:val="00787D55"/>
    <w:rsid w:val="00793BBE"/>
    <w:rsid w:val="007A0080"/>
    <w:rsid w:val="007A0184"/>
    <w:rsid w:val="007A39DE"/>
    <w:rsid w:val="007B019E"/>
    <w:rsid w:val="007B1853"/>
    <w:rsid w:val="007B5AD4"/>
    <w:rsid w:val="007B7B14"/>
    <w:rsid w:val="007C571C"/>
    <w:rsid w:val="007D28D8"/>
    <w:rsid w:val="007D4428"/>
    <w:rsid w:val="007D6E77"/>
    <w:rsid w:val="007D71B7"/>
    <w:rsid w:val="007E1BD5"/>
    <w:rsid w:val="007E2F86"/>
    <w:rsid w:val="007F06B1"/>
    <w:rsid w:val="007F2A87"/>
    <w:rsid w:val="007F2C83"/>
    <w:rsid w:val="007F5E75"/>
    <w:rsid w:val="00800307"/>
    <w:rsid w:val="00803B66"/>
    <w:rsid w:val="00804C59"/>
    <w:rsid w:val="0080667B"/>
    <w:rsid w:val="00811D85"/>
    <w:rsid w:val="00815EE5"/>
    <w:rsid w:val="008201A5"/>
    <w:rsid w:val="008244E7"/>
    <w:rsid w:val="008268D3"/>
    <w:rsid w:val="008333D7"/>
    <w:rsid w:val="00837072"/>
    <w:rsid w:val="00840317"/>
    <w:rsid w:val="00841A81"/>
    <w:rsid w:val="00842D05"/>
    <w:rsid w:val="008435A7"/>
    <w:rsid w:val="00844579"/>
    <w:rsid w:val="0085042D"/>
    <w:rsid w:val="008522F3"/>
    <w:rsid w:val="00855583"/>
    <w:rsid w:val="00861E32"/>
    <w:rsid w:val="00863C93"/>
    <w:rsid w:val="008772CE"/>
    <w:rsid w:val="00881131"/>
    <w:rsid w:val="00881608"/>
    <w:rsid w:val="00882448"/>
    <w:rsid w:val="00887F6E"/>
    <w:rsid w:val="00891449"/>
    <w:rsid w:val="00892CCE"/>
    <w:rsid w:val="0089485B"/>
    <w:rsid w:val="0089522E"/>
    <w:rsid w:val="00896F06"/>
    <w:rsid w:val="008A0030"/>
    <w:rsid w:val="008A6334"/>
    <w:rsid w:val="008B0E4E"/>
    <w:rsid w:val="008B18FE"/>
    <w:rsid w:val="008B4D15"/>
    <w:rsid w:val="008B646F"/>
    <w:rsid w:val="008C20E8"/>
    <w:rsid w:val="008D0991"/>
    <w:rsid w:val="008D5FF9"/>
    <w:rsid w:val="008E213A"/>
    <w:rsid w:val="008E67F1"/>
    <w:rsid w:val="008F174F"/>
    <w:rsid w:val="008F1E63"/>
    <w:rsid w:val="008F3AB4"/>
    <w:rsid w:val="008F5DBC"/>
    <w:rsid w:val="008F6FB8"/>
    <w:rsid w:val="00903780"/>
    <w:rsid w:val="0090640C"/>
    <w:rsid w:val="00907808"/>
    <w:rsid w:val="009108F5"/>
    <w:rsid w:val="009217C7"/>
    <w:rsid w:val="0092745C"/>
    <w:rsid w:val="00927BFD"/>
    <w:rsid w:val="00936874"/>
    <w:rsid w:val="00942932"/>
    <w:rsid w:val="0094306E"/>
    <w:rsid w:val="009452C2"/>
    <w:rsid w:val="0095060C"/>
    <w:rsid w:val="00952CFC"/>
    <w:rsid w:val="009536E5"/>
    <w:rsid w:val="00953A75"/>
    <w:rsid w:val="00956405"/>
    <w:rsid w:val="00961E42"/>
    <w:rsid w:val="00966166"/>
    <w:rsid w:val="00966AB8"/>
    <w:rsid w:val="00970E11"/>
    <w:rsid w:val="00972407"/>
    <w:rsid w:val="00976C32"/>
    <w:rsid w:val="00986AD9"/>
    <w:rsid w:val="00991440"/>
    <w:rsid w:val="00992FBC"/>
    <w:rsid w:val="009975CE"/>
    <w:rsid w:val="009B1E83"/>
    <w:rsid w:val="009B45B4"/>
    <w:rsid w:val="009B460C"/>
    <w:rsid w:val="009C012B"/>
    <w:rsid w:val="009C2427"/>
    <w:rsid w:val="009C40AD"/>
    <w:rsid w:val="009C48DB"/>
    <w:rsid w:val="009C62E3"/>
    <w:rsid w:val="009D0C74"/>
    <w:rsid w:val="009D0D4E"/>
    <w:rsid w:val="009D1FC5"/>
    <w:rsid w:val="009D74A8"/>
    <w:rsid w:val="009E0F93"/>
    <w:rsid w:val="009E2211"/>
    <w:rsid w:val="009E4D3B"/>
    <w:rsid w:val="009E591F"/>
    <w:rsid w:val="009F7424"/>
    <w:rsid w:val="009F7A20"/>
    <w:rsid w:val="00A0424C"/>
    <w:rsid w:val="00A05E22"/>
    <w:rsid w:val="00A0640D"/>
    <w:rsid w:val="00A10642"/>
    <w:rsid w:val="00A1294E"/>
    <w:rsid w:val="00A150B7"/>
    <w:rsid w:val="00A242AC"/>
    <w:rsid w:val="00A26F2F"/>
    <w:rsid w:val="00A301AA"/>
    <w:rsid w:val="00A349EF"/>
    <w:rsid w:val="00A34F38"/>
    <w:rsid w:val="00A3588F"/>
    <w:rsid w:val="00A36B36"/>
    <w:rsid w:val="00A4221F"/>
    <w:rsid w:val="00A51E0E"/>
    <w:rsid w:val="00A57BED"/>
    <w:rsid w:val="00A60B34"/>
    <w:rsid w:val="00A643AB"/>
    <w:rsid w:val="00A646A8"/>
    <w:rsid w:val="00A75E75"/>
    <w:rsid w:val="00A7677D"/>
    <w:rsid w:val="00A81864"/>
    <w:rsid w:val="00A835E0"/>
    <w:rsid w:val="00A836DD"/>
    <w:rsid w:val="00A90D47"/>
    <w:rsid w:val="00A93831"/>
    <w:rsid w:val="00A95A04"/>
    <w:rsid w:val="00AA0186"/>
    <w:rsid w:val="00AA7334"/>
    <w:rsid w:val="00AB04ED"/>
    <w:rsid w:val="00AB46A0"/>
    <w:rsid w:val="00AB4FDD"/>
    <w:rsid w:val="00AB59F5"/>
    <w:rsid w:val="00AC4597"/>
    <w:rsid w:val="00AC58D6"/>
    <w:rsid w:val="00AD0074"/>
    <w:rsid w:val="00AE0580"/>
    <w:rsid w:val="00AE4E53"/>
    <w:rsid w:val="00AE5606"/>
    <w:rsid w:val="00AF6771"/>
    <w:rsid w:val="00AF7B8D"/>
    <w:rsid w:val="00B065C3"/>
    <w:rsid w:val="00B07B3B"/>
    <w:rsid w:val="00B11D4F"/>
    <w:rsid w:val="00B16610"/>
    <w:rsid w:val="00B22807"/>
    <w:rsid w:val="00B23D62"/>
    <w:rsid w:val="00B31D14"/>
    <w:rsid w:val="00B32DD1"/>
    <w:rsid w:val="00B37EBA"/>
    <w:rsid w:val="00B4364E"/>
    <w:rsid w:val="00B440AE"/>
    <w:rsid w:val="00B52720"/>
    <w:rsid w:val="00B53AA3"/>
    <w:rsid w:val="00B547B3"/>
    <w:rsid w:val="00B5608F"/>
    <w:rsid w:val="00B61C30"/>
    <w:rsid w:val="00B623C2"/>
    <w:rsid w:val="00B7064E"/>
    <w:rsid w:val="00B72B27"/>
    <w:rsid w:val="00B7441C"/>
    <w:rsid w:val="00B7711B"/>
    <w:rsid w:val="00B80FD1"/>
    <w:rsid w:val="00B81C66"/>
    <w:rsid w:val="00B8343D"/>
    <w:rsid w:val="00B8772E"/>
    <w:rsid w:val="00B87DAA"/>
    <w:rsid w:val="00B908FE"/>
    <w:rsid w:val="00B92E0F"/>
    <w:rsid w:val="00B95478"/>
    <w:rsid w:val="00B97FE8"/>
    <w:rsid w:val="00BA0171"/>
    <w:rsid w:val="00BB6077"/>
    <w:rsid w:val="00BC0270"/>
    <w:rsid w:val="00BC4B40"/>
    <w:rsid w:val="00BD5285"/>
    <w:rsid w:val="00BD77A7"/>
    <w:rsid w:val="00BE06D5"/>
    <w:rsid w:val="00BE3175"/>
    <w:rsid w:val="00BE36A6"/>
    <w:rsid w:val="00BE3E31"/>
    <w:rsid w:val="00BE486E"/>
    <w:rsid w:val="00BE5678"/>
    <w:rsid w:val="00BE5BF7"/>
    <w:rsid w:val="00BE5E94"/>
    <w:rsid w:val="00BE6EC2"/>
    <w:rsid w:val="00BE7508"/>
    <w:rsid w:val="00BF0EFF"/>
    <w:rsid w:val="00BF310F"/>
    <w:rsid w:val="00BF50C5"/>
    <w:rsid w:val="00BF594B"/>
    <w:rsid w:val="00BF6DD0"/>
    <w:rsid w:val="00C02421"/>
    <w:rsid w:val="00C07CF8"/>
    <w:rsid w:val="00C07DB6"/>
    <w:rsid w:val="00C10901"/>
    <w:rsid w:val="00C119C8"/>
    <w:rsid w:val="00C144ED"/>
    <w:rsid w:val="00C21104"/>
    <w:rsid w:val="00C235E4"/>
    <w:rsid w:val="00C24FC2"/>
    <w:rsid w:val="00C264CE"/>
    <w:rsid w:val="00C326D8"/>
    <w:rsid w:val="00C36DB0"/>
    <w:rsid w:val="00C36E9E"/>
    <w:rsid w:val="00C378DA"/>
    <w:rsid w:val="00C37BF8"/>
    <w:rsid w:val="00C41FC2"/>
    <w:rsid w:val="00C454B5"/>
    <w:rsid w:val="00C47249"/>
    <w:rsid w:val="00C51316"/>
    <w:rsid w:val="00C55023"/>
    <w:rsid w:val="00C55E2D"/>
    <w:rsid w:val="00C57FD8"/>
    <w:rsid w:val="00C62939"/>
    <w:rsid w:val="00C64D34"/>
    <w:rsid w:val="00C65B30"/>
    <w:rsid w:val="00C66F0A"/>
    <w:rsid w:val="00C72B84"/>
    <w:rsid w:val="00C73784"/>
    <w:rsid w:val="00C7547E"/>
    <w:rsid w:val="00C769FC"/>
    <w:rsid w:val="00C80EA7"/>
    <w:rsid w:val="00C8160F"/>
    <w:rsid w:val="00C842E3"/>
    <w:rsid w:val="00C86B91"/>
    <w:rsid w:val="00C928CD"/>
    <w:rsid w:val="00C960FB"/>
    <w:rsid w:val="00CA7A36"/>
    <w:rsid w:val="00CB0849"/>
    <w:rsid w:val="00CB770A"/>
    <w:rsid w:val="00CC110D"/>
    <w:rsid w:val="00CD0733"/>
    <w:rsid w:val="00CD2D70"/>
    <w:rsid w:val="00CD57AE"/>
    <w:rsid w:val="00CD7C4D"/>
    <w:rsid w:val="00CE030A"/>
    <w:rsid w:val="00CE2565"/>
    <w:rsid w:val="00CE2A26"/>
    <w:rsid w:val="00CE2DB8"/>
    <w:rsid w:val="00CF0DDE"/>
    <w:rsid w:val="00CF342C"/>
    <w:rsid w:val="00D025F3"/>
    <w:rsid w:val="00D0428D"/>
    <w:rsid w:val="00D119F5"/>
    <w:rsid w:val="00D14A96"/>
    <w:rsid w:val="00D1580B"/>
    <w:rsid w:val="00D15E6D"/>
    <w:rsid w:val="00D2405E"/>
    <w:rsid w:val="00D2629D"/>
    <w:rsid w:val="00D265D9"/>
    <w:rsid w:val="00D3379F"/>
    <w:rsid w:val="00D4151E"/>
    <w:rsid w:val="00D43BF9"/>
    <w:rsid w:val="00D46603"/>
    <w:rsid w:val="00D47EF2"/>
    <w:rsid w:val="00D51917"/>
    <w:rsid w:val="00D528EF"/>
    <w:rsid w:val="00D557E2"/>
    <w:rsid w:val="00D55C15"/>
    <w:rsid w:val="00D66FF3"/>
    <w:rsid w:val="00D77610"/>
    <w:rsid w:val="00D84E02"/>
    <w:rsid w:val="00D85242"/>
    <w:rsid w:val="00D8657F"/>
    <w:rsid w:val="00D90AD7"/>
    <w:rsid w:val="00D91C74"/>
    <w:rsid w:val="00D925E9"/>
    <w:rsid w:val="00DA27E2"/>
    <w:rsid w:val="00DA5A9E"/>
    <w:rsid w:val="00DA7D30"/>
    <w:rsid w:val="00DB4EF9"/>
    <w:rsid w:val="00DB76A2"/>
    <w:rsid w:val="00DC1CDD"/>
    <w:rsid w:val="00DC7C4C"/>
    <w:rsid w:val="00DD0B62"/>
    <w:rsid w:val="00DD47A5"/>
    <w:rsid w:val="00DD7117"/>
    <w:rsid w:val="00DE18D7"/>
    <w:rsid w:val="00DE3D91"/>
    <w:rsid w:val="00DF4DA3"/>
    <w:rsid w:val="00E043EF"/>
    <w:rsid w:val="00E05243"/>
    <w:rsid w:val="00E056F7"/>
    <w:rsid w:val="00E058A4"/>
    <w:rsid w:val="00E1486A"/>
    <w:rsid w:val="00E252AE"/>
    <w:rsid w:val="00E274DF"/>
    <w:rsid w:val="00E30349"/>
    <w:rsid w:val="00E30976"/>
    <w:rsid w:val="00E30EEA"/>
    <w:rsid w:val="00E31B4A"/>
    <w:rsid w:val="00E3544C"/>
    <w:rsid w:val="00E47861"/>
    <w:rsid w:val="00E502D0"/>
    <w:rsid w:val="00E512B3"/>
    <w:rsid w:val="00E555D5"/>
    <w:rsid w:val="00E61F37"/>
    <w:rsid w:val="00E6255E"/>
    <w:rsid w:val="00E634DB"/>
    <w:rsid w:val="00E64CDE"/>
    <w:rsid w:val="00E76179"/>
    <w:rsid w:val="00E76AD5"/>
    <w:rsid w:val="00E800C4"/>
    <w:rsid w:val="00E8017F"/>
    <w:rsid w:val="00E81544"/>
    <w:rsid w:val="00E83338"/>
    <w:rsid w:val="00E87AEA"/>
    <w:rsid w:val="00E90B65"/>
    <w:rsid w:val="00E91306"/>
    <w:rsid w:val="00E96C0E"/>
    <w:rsid w:val="00EA250F"/>
    <w:rsid w:val="00EA3048"/>
    <w:rsid w:val="00EA4A7F"/>
    <w:rsid w:val="00EA6701"/>
    <w:rsid w:val="00EB2FD5"/>
    <w:rsid w:val="00EB4BAD"/>
    <w:rsid w:val="00EB6B52"/>
    <w:rsid w:val="00EC2796"/>
    <w:rsid w:val="00EC3AFB"/>
    <w:rsid w:val="00EC4A55"/>
    <w:rsid w:val="00EC60AE"/>
    <w:rsid w:val="00ED044B"/>
    <w:rsid w:val="00ED13A5"/>
    <w:rsid w:val="00ED2170"/>
    <w:rsid w:val="00ED3103"/>
    <w:rsid w:val="00ED6F21"/>
    <w:rsid w:val="00ED7315"/>
    <w:rsid w:val="00EE3332"/>
    <w:rsid w:val="00EE3BCB"/>
    <w:rsid w:val="00EE67D6"/>
    <w:rsid w:val="00EE73D2"/>
    <w:rsid w:val="00EF00E1"/>
    <w:rsid w:val="00EF3071"/>
    <w:rsid w:val="00EF740D"/>
    <w:rsid w:val="00F007CD"/>
    <w:rsid w:val="00F11A0B"/>
    <w:rsid w:val="00F11D6A"/>
    <w:rsid w:val="00F17A33"/>
    <w:rsid w:val="00F21E7D"/>
    <w:rsid w:val="00F30B1A"/>
    <w:rsid w:val="00F3116B"/>
    <w:rsid w:val="00F3156C"/>
    <w:rsid w:val="00F316F6"/>
    <w:rsid w:val="00F31CC6"/>
    <w:rsid w:val="00F33325"/>
    <w:rsid w:val="00F41272"/>
    <w:rsid w:val="00F4709E"/>
    <w:rsid w:val="00F5069C"/>
    <w:rsid w:val="00F5743E"/>
    <w:rsid w:val="00F60D81"/>
    <w:rsid w:val="00F63F93"/>
    <w:rsid w:val="00F654FE"/>
    <w:rsid w:val="00F65B22"/>
    <w:rsid w:val="00F762DA"/>
    <w:rsid w:val="00F7743A"/>
    <w:rsid w:val="00F803F3"/>
    <w:rsid w:val="00F84146"/>
    <w:rsid w:val="00F86271"/>
    <w:rsid w:val="00F86657"/>
    <w:rsid w:val="00F905F1"/>
    <w:rsid w:val="00F90DA8"/>
    <w:rsid w:val="00F928EF"/>
    <w:rsid w:val="00F9347B"/>
    <w:rsid w:val="00F9423B"/>
    <w:rsid w:val="00F95DAF"/>
    <w:rsid w:val="00F968B5"/>
    <w:rsid w:val="00FA0231"/>
    <w:rsid w:val="00FB2E10"/>
    <w:rsid w:val="00FB504F"/>
    <w:rsid w:val="00FD037B"/>
    <w:rsid w:val="00FE3D3B"/>
    <w:rsid w:val="00FF5881"/>
    <w:rsid w:val="00FF6D26"/>
    <w:rsid w:val="01E6BEAF"/>
    <w:rsid w:val="03434492"/>
    <w:rsid w:val="0362EAF3"/>
    <w:rsid w:val="06E94524"/>
    <w:rsid w:val="071F0CCF"/>
    <w:rsid w:val="0723B90E"/>
    <w:rsid w:val="07B999A0"/>
    <w:rsid w:val="08061B11"/>
    <w:rsid w:val="0917E0B6"/>
    <w:rsid w:val="09280CE1"/>
    <w:rsid w:val="09284A44"/>
    <w:rsid w:val="0A3861BF"/>
    <w:rsid w:val="0A3942FF"/>
    <w:rsid w:val="0ADC3322"/>
    <w:rsid w:val="0C07658E"/>
    <w:rsid w:val="0C13CFAA"/>
    <w:rsid w:val="0C15D5CA"/>
    <w:rsid w:val="0E2C6FB5"/>
    <w:rsid w:val="101A4931"/>
    <w:rsid w:val="10267B7C"/>
    <w:rsid w:val="10CAC639"/>
    <w:rsid w:val="11A39C74"/>
    <w:rsid w:val="11F4C370"/>
    <w:rsid w:val="12446779"/>
    <w:rsid w:val="1505C20F"/>
    <w:rsid w:val="15754A66"/>
    <w:rsid w:val="15B7BD06"/>
    <w:rsid w:val="15FF2572"/>
    <w:rsid w:val="16475C8D"/>
    <w:rsid w:val="16683BA7"/>
    <w:rsid w:val="17033B20"/>
    <w:rsid w:val="197B0806"/>
    <w:rsid w:val="198B5C55"/>
    <w:rsid w:val="19A338AB"/>
    <w:rsid w:val="1A376B7F"/>
    <w:rsid w:val="1A5D84EF"/>
    <w:rsid w:val="1AE6D7A3"/>
    <w:rsid w:val="1B7CB066"/>
    <w:rsid w:val="1C6AFB63"/>
    <w:rsid w:val="1D2D2062"/>
    <w:rsid w:val="1F34135B"/>
    <w:rsid w:val="1F3B21C2"/>
    <w:rsid w:val="204397DC"/>
    <w:rsid w:val="217FF9A9"/>
    <w:rsid w:val="225DC0B2"/>
    <w:rsid w:val="232BB049"/>
    <w:rsid w:val="2477E996"/>
    <w:rsid w:val="24C93DEE"/>
    <w:rsid w:val="25DAB483"/>
    <w:rsid w:val="25E3DEDB"/>
    <w:rsid w:val="2721C778"/>
    <w:rsid w:val="2862AA32"/>
    <w:rsid w:val="28F5B965"/>
    <w:rsid w:val="297D2D2C"/>
    <w:rsid w:val="2C139AAF"/>
    <w:rsid w:val="2CD9461B"/>
    <w:rsid w:val="2CFFD560"/>
    <w:rsid w:val="2E9B0AF3"/>
    <w:rsid w:val="2FA7C50C"/>
    <w:rsid w:val="30503264"/>
    <w:rsid w:val="30D8E163"/>
    <w:rsid w:val="337BC61A"/>
    <w:rsid w:val="33874867"/>
    <w:rsid w:val="357A7D00"/>
    <w:rsid w:val="3592C5BB"/>
    <w:rsid w:val="36ACEBE1"/>
    <w:rsid w:val="36C39DDB"/>
    <w:rsid w:val="38E982EB"/>
    <w:rsid w:val="39D6B356"/>
    <w:rsid w:val="39EB13B9"/>
    <w:rsid w:val="3A6FF15C"/>
    <w:rsid w:val="3B797B42"/>
    <w:rsid w:val="3B8E21CC"/>
    <w:rsid w:val="3C5E9DD2"/>
    <w:rsid w:val="3C87E8C1"/>
    <w:rsid w:val="3CEF468A"/>
    <w:rsid w:val="3E912CB0"/>
    <w:rsid w:val="3F54A551"/>
    <w:rsid w:val="3FAEFB90"/>
    <w:rsid w:val="405CA785"/>
    <w:rsid w:val="40E91C36"/>
    <w:rsid w:val="41638AB9"/>
    <w:rsid w:val="420E52F5"/>
    <w:rsid w:val="42B33DBC"/>
    <w:rsid w:val="4530A4B4"/>
    <w:rsid w:val="462C5A13"/>
    <w:rsid w:val="4650B7D8"/>
    <w:rsid w:val="46964C46"/>
    <w:rsid w:val="46FC0ABB"/>
    <w:rsid w:val="475D8F8A"/>
    <w:rsid w:val="4841F704"/>
    <w:rsid w:val="48BFBC66"/>
    <w:rsid w:val="494567C9"/>
    <w:rsid w:val="498D3CCD"/>
    <w:rsid w:val="49FDE2A6"/>
    <w:rsid w:val="4A0A0DC6"/>
    <w:rsid w:val="4A16516A"/>
    <w:rsid w:val="4A552AB6"/>
    <w:rsid w:val="4AAFA3BA"/>
    <w:rsid w:val="4BE04C74"/>
    <w:rsid w:val="4C1BA28F"/>
    <w:rsid w:val="4CF4EB2A"/>
    <w:rsid w:val="4CF6977A"/>
    <w:rsid w:val="4D9E2D85"/>
    <w:rsid w:val="4DC99761"/>
    <w:rsid w:val="4DCFDCB3"/>
    <w:rsid w:val="4E47C900"/>
    <w:rsid w:val="4F87BF9A"/>
    <w:rsid w:val="50489D34"/>
    <w:rsid w:val="50DFD500"/>
    <w:rsid w:val="51898D60"/>
    <w:rsid w:val="51B86A4F"/>
    <w:rsid w:val="529418B6"/>
    <w:rsid w:val="52CCB847"/>
    <w:rsid w:val="53983C7E"/>
    <w:rsid w:val="54B96818"/>
    <w:rsid w:val="55246C9F"/>
    <w:rsid w:val="58ED7B19"/>
    <w:rsid w:val="59C5901A"/>
    <w:rsid w:val="59F310EB"/>
    <w:rsid w:val="5A35CF35"/>
    <w:rsid w:val="5AD7C9F9"/>
    <w:rsid w:val="5C14984F"/>
    <w:rsid w:val="5FBB4673"/>
    <w:rsid w:val="60605660"/>
    <w:rsid w:val="612F7FC3"/>
    <w:rsid w:val="61ACA700"/>
    <w:rsid w:val="62339C42"/>
    <w:rsid w:val="62AB4A37"/>
    <w:rsid w:val="63631813"/>
    <w:rsid w:val="646BDF59"/>
    <w:rsid w:val="65963C0B"/>
    <w:rsid w:val="65A88F22"/>
    <w:rsid w:val="6660323D"/>
    <w:rsid w:val="66927DF9"/>
    <w:rsid w:val="67C00C2D"/>
    <w:rsid w:val="6870B672"/>
    <w:rsid w:val="687A765F"/>
    <w:rsid w:val="68AC8EB3"/>
    <w:rsid w:val="68D765A0"/>
    <w:rsid w:val="68DA6004"/>
    <w:rsid w:val="69A2065A"/>
    <w:rsid w:val="6A6932FE"/>
    <w:rsid w:val="6A767507"/>
    <w:rsid w:val="6A9296E6"/>
    <w:rsid w:val="6B375856"/>
    <w:rsid w:val="6BC8486D"/>
    <w:rsid w:val="6C3261A7"/>
    <w:rsid w:val="6CD5F08E"/>
    <w:rsid w:val="6DB5D4F0"/>
    <w:rsid w:val="6E2B7786"/>
    <w:rsid w:val="6E8EFDC0"/>
    <w:rsid w:val="6F741FEF"/>
    <w:rsid w:val="6F743834"/>
    <w:rsid w:val="70624112"/>
    <w:rsid w:val="71E18819"/>
    <w:rsid w:val="7225A1AE"/>
    <w:rsid w:val="722DDC7A"/>
    <w:rsid w:val="72453570"/>
    <w:rsid w:val="739D3B7D"/>
    <w:rsid w:val="757F4326"/>
    <w:rsid w:val="759796EB"/>
    <w:rsid w:val="766B01E8"/>
    <w:rsid w:val="76FDF51F"/>
    <w:rsid w:val="772B2CD1"/>
    <w:rsid w:val="77DEB298"/>
    <w:rsid w:val="77F59DCD"/>
    <w:rsid w:val="793F5444"/>
    <w:rsid w:val="7AC8F365"/>
    <w:rsid w:val="7B28A2B1"/>
    <w:rsid w:val="7CFFC7B2"/>
    <w:rsid w:val="7D2BE596"/>
    <w:rsid w:val="7DD4CC2A"/>
    <w:rsid w:val="7DF36975"/>
    <w:rsid w:val="7E2E0572"/>
    <w:rsid w:val="7E5EE7CE"/>
    <w:rsid w:val="7F0E2429"/>
    <w:rsid w:val="7F16A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4C8C"/>
  <w15:chartTrackingRefBased/>
  <w15:docId w15:val="{61C4B898-AEEE-44E2-B964-400B78D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F9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03D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21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41215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A0"/>
  </w:style>
  <w:style w:type="paragraph" w:styleId="Footer">
    <w:name w:val="footer"/>
    <w:basedOn w:val="Normal"/>
    <w:link w:val="FooterChar"/>
    <w:uiPriority w:val="99"/>
    <w:unhideWhenUsed/>
    <w:rsid w:val="003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A0"/>
  </w:style>
  <w:style w:type="character" w:styleId="Hyperlink">
    <w:name w:val="Hyperlink"/>
    <w:basedOn w:val="DefaultParagraphFont"/>
    <w:uiPriority w:val="99"/>
    <w:unhideWhenUsed/>
    <w:rsid w:val="00ED6F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act-moj.service.just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7F15087F0164AB7FF61927510F613" ma:contentTypeVersion="8" ma:contentTypeDescription="Create a new document." ma:contentTypeScope="" ma:versionID="de915dacf4feaa5706930069889ad3d1">
  <xsd:schema xmlns:xsd="http://www.w3.org/2001/XMLSchema" xmlns:xs="http://www.w3.org/2001/XMLSchema" xmlns:p="http://schemas.microsoft.com/office/2006/metadata/properties" xmlns:ns2="b660381e-8291-4501-8a56-e6eed263382c" xmlns:ns3="6ff14ade-84c5-4d26-a593-14d04a40d748" targetNamespace="http://schemas.microsoft.com/office/2006/metadata/properties" ma:root="true" ma:fieldsID="0fb27348b919ad6a5fc016442754ad81" ns2:_="" ns3:_="">
    <xsd:import namespace="b660381e-8291-4501-8a56-e6eed263382c"/>
    <xsd:import namespace="6ff14ade-84c5-4d26-a593-14d04a40d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0381e-8291-4501-8a56-e6eed2633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4ade-84c5-4d26-a593-14d04a40d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A09FD-22C5-4592-9C61-80683356A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56721-0732-4817-94E2-E32FE9558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969F3-8A00-4CE3-A9EE-000D5DF12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0381e-8291-4501-8a56-e6eed263382c"/>
    <ds:schemaRef ds:uri="6ff14ade-84c5-4d26-a593-14d04a40d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8f77787-5df4-43b6-a2a8-8d8b678a318b}" enabled="1" method="Standard" siteId="{1ce6dd9e-b337-4088-be5e-8dbbec04b3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5909</Characters>
  <Application>Microsoft Office Word</Application>
  <DocSecurity>4</DocSecurity>
  <Lines>49</Lines>
  <Paragraphs>13</Paragraphs>
  <ScaleCrop>false</ScaleCrop>
  <Company>Ministry of Justice</Company>
  <LinksUpToDate>false</LinksUpToDate>
  <CharactersWithSpaces>6932</CharactersWithSpaces>
  <SharedDoc>false</SharedDoc>
  <HLinks>
    <vt:vector size="6" baseType="variant"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https://contact-moj.service.justice.gov.uk/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Metter, James</dc:creator>
  <cp:keywords/>
  <dc:description/>
  <cp:lastModifiedBy>BALDWIN, Callum</cp:lastModifiedBy>
  <cp:revision>2</cp:revision>
  <dcterms:created xsi:type="dcterms:W3CDTF">2025-06-20T09:59:00Z</dcterms:created>
  <dcterms:modified xsi:type="dcterms:W3CDTF">2025-06-20T09:59:00Z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0x01010042E7F15087F0164AB7FF61927510F613</vt:lpwstr>
  </property>
</Properties>
</file>