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5685" w14:textId="63DA88FF" w:rsidR="00A34025" w:rsidRDefault="00A34025" w:rsidP="00A34025">
      <w:pPr>
        <w:pStyle w:val="Heading2"/>
        <w:rPr>
          <w:rFonts w:ascii="Arial" w:hAnsi="Arial" w:cs="Arial"/>
          <w:b/>
          <w:bCs/>
          <w:sz w:val="28"/>
          <w:szCs w:val="28"/>
          <w:lang w:val="en"/>
        </w:rPr>
      </w:pPr>
      <w:r w:rsidRPr="001063B0">
        <w:rPr>
          <w:rFonts w:ascii="Arial" w:hAnsi="Arial" w:cs="Arial"/>
          <w:b/>
          <w:bCs/>
          <w:sz w:val="28"/>
          <w:szCs w:val="28"/>
          <w:lang w:val="en"/>
        </w:rPr>
        <w:t>Introduction</w:t>
      </w:r>
    </w:p>
    <w:p w14:paraId="059CB9F0" w14:textId="456E46E2" w:rsidR="00360343" w:rsidRDefault="00195358" w:rsidP="00AC5B57">
      <w:pPr>
        <w:spacing w:before="240"/>
        <w:rPr>
          <w:rFonts w:ascii="Arial" w:hAnsi="Arial" w:cs="Arial"/>
        </w:rPr>
      </w:pPr>
      <w:r>
        <w:rPr>
          <w:rFonts w:ascii="Arial" w:hAnsi="Arial" w:cs="Arial"/>
        </w:rPr>
        <w:t>Part 2 of the Civil Liability Act 2018</w:t>
      </w:r>
      <w:r w:rsidR="00AC5B57">
        <w:rPr>
          <w:rFonts w:ascii="Arial" w:hAnsi="Arial" w:cs="Arial"/>
        </w:rPr>
        <w:t xml:space="preserve"> (“the CLA”) </w:t>
      </w:r>
      <w:r>
        <w:rPr>
          <w:rFonts w:ascii="Arial" w:hAnsi="Arial" w:cs="Arial"/>
        </w:rPr>
        <w:t>amended t</w:t>
      </w:r>
      <w:r w:rsidR="006C6C67" w:rsidRPr="004B23A8">
        <w:rPr>
          <w:rFonts w:ascii="Arial" w:hAnsi="Arial" w:cs="Arial"/>
        </w:rPr>
        <w:t xml:space="preserve">he </w:t>
      </w:r>
      <w:r w:rsidR="009A1CAB">
        <w:rPr>
          <w:rFonts w:ascii="Arial" w:hAnsi="Arial" w:cs="Arial"/>
        </w:rPr>
        <w:t>Damages Act 1996</w:t>
      </w:r>
      <w:r w:rsidR="00AC5B57">
        <w:rPr>
          <w:rFonts w:ascii="Arial" w:hAnsi="Arial" w:cs="Arial"/>
        </w:rPr>
        <w:t xml:space="preserve"> (“the Damages Act”)</w:t>
      </w:r>
      <w:r w:rsidR="009929CA" w:rsidRPr="004B23A8">
        <w:rPr>
          <w:rFonts w:ascii="Arial" w:hAnsi="Arial" w:cs="Arial"/>
        </w:rPr>
        <w:t xml:space="preserve"> </w:t>
      </w:r>
      <w:r>
        <w:rPr>
          <w:rFonts w:ascii="Arial" w:hAnsi="Arial" w:cs="Arial"/>
        </w:rPr>
        <w:t>to specify a new methodology for the setting of the Personal Injury Discount Rate</w:t>
      </w:r>
      <w:r w:rsidR="0059622F">
        <w:rPr>
          <w:rFonts w:ascii="Arial" w:hAnsi="Arial" w:cs="Arial"/>
        </w:rPr>
        <w:t xml:space="preserve"> (PIDR)</w:t>
      </w:r>
      <w:r w:rsidR="00F02E64">
        <w:rPr>
          <w:rFonts w:ascii="Arial" w:hAnsi="Arial" w:cs="Arial"/>
        </w:rPr>
        <w:t xml:space="preserve">. The CLA specifies </w:t>
      </w:r>
      <w:r w:rsidR="006E09D4">
        <w:rPr>
          <w:rFonts w:ascii="Arial" w:hAnsi="Arial" w:cs="Arial"/>
        </w:rPr>
        <w:t xml:space="preserve">that the </w:t>
      </w:r>
      <w:r w:rsidR="00360343" w:rsidRPr="00360343">
        <w:rPr>
          <w:rFonts w:ascii="Arial" w:hAnsi="Arial" w:cs="Arial"/>
        </w:rPr>
        <w:t xml:space="preserve">Lord Chancellor </w:t>
      </w:r>
      <w:r w:rsidR="00360343">
        <w:rPr>
          <w:rFonts w:ascii="Arial" w:hAnsi="Arial" w:cs="Arial"/>
        </w:rPr>
        <w:t>must</w:t>
      </w:r>
      <w:r w:rsidR="00360343" w:rsidRPr="00360343">
        <w:rPr>
          <w:rFonts w:ascii="Arial" w:hAnsi="Arial" w:cs="Arial"/>
        </w:rPr>
        <w:t xml:space="preserve"> </w:t>
      </w:r>
      <w:r w:rsidR="00143035">
        <w:rPr>
          <w:rFonts w:ascii="Arial" w:hAnsi="Arial" w:cs="Arial"/>
        </w:rPr>
        <w:t>review the rate</w:t>
      </w:r>
      <w:r w:rsidR="00F02E64" w:rsidRPr="00F02E64">
        <w:t xml:space="preserve"> </w:t>
      </w:r>
      <w:r w:rsidR="00F02E64" w:rsidRPr="00F02E64">
        <w:rPr>
          <w:rFonts w:ascii="Arial" w:hAnsi="Arial" w:cs="Arial"/>
        </w:rPr>
        <w:t xml:space="preserve">within the </w:t>
      </w:r>
      <w:r w:rsidR="0059622F">
        <w:rPr>
          <w:rFonts w:ascii="Arial" w:hAnsi="Arial" w:cs="Arial"/>
        </w:rPr>
        <w:t>five</w:t>
      </w:r>
      <w:r w:rsidR="0059622F" w:rsidRPr="00F02E64">
        <w:rPr>
          <w:rFonts w:ascii="Arial" w:hAnsi="Arial" w:cs="Arial"/>
        </w:rPr>
        <w:t>-year</w:t>
      </w:r>
      <w:r w:rsidR="00F02E64" w:rsidRPr="00F02E64">
        <w:rPr>
          <w:rFonts w:ascii="Arial" w:hAnsi="Arial" w:cs="Arial"/>
        </w:rPr>
        <w:t xml:space="preserve"> period following the last review</w:t>
      </w:r>
      <w:r w:rsidR="00F02E64">
        <w:rPr>
          <w:rFonts w:ascii="Arial" w:hAnsi="Arial" w:cs="Arial"/>
        </w:rPr>
        <w:t xml:space="preserve"> (</w:t>
      </w:r>
      <w:r w:rsidR="00F02E64" w:rsidRPr="00F02E64">
        <w:rPr>
          <w:rFonts w:ascii="Arial" w:hAnsi="Arial" w:cs="Arial"/>
        </w:rPr>
        <w:t>beginning with the day on which the last review is concluded)</w:t>
      </w:r>
      <w:r w:rsidR="00143035">
        <w:rPr>
          <w:rFonts w:ascii="Arial" w:hAnsi="Arial" w:cs="Arial"/>
        </w:rPr>
        <w:t xml:space="preserve"> and </w:t>
      </w:r>
      <w:r w:rsidR="00360343" w:rsidRPr="00360343">
        <w:rPr>
          <w:rFonts w:ascii="Arial" w:hAnsi="Arial" w:cs="Arial"/>
        </w:rPr>
        <w:t>determine</w:t>
      </w:r>
      <w:r w:rsidR="00360343">
        <w:rPr>
          <w:rFonts w:ascii="Arial" w:hAnsi="Arial" w:cs="Arial"/>
        </w:rPr>
        <w:t xml:space="preserve"> </w:t>
      </w:r>
      <w:r w:rsidR="00360343" w:rsidRPr="00360343">
        <w:rPr>
          <w:rFonts w:ascii="Arial" w:hAnsi="Arial" w:cs="Arial"/>
        </w:rPr>
        <w:t xml:space="preserve">whether </w:t>
      </w:r>
      <w:r w:rsidR="00143035">
        <w:rPr>
          <w:rFonts w:ascii="Arial" w:hAnsi="Arial" w:cs="Arial"/>
        </w:rPr>
        <w:t>it</w:t>
      </w:r>
      <w:r w:rsidR="00360343">
        <w:rPr>
          <w:rFonts w:ascii="Arial" w:hAnsi="Arial" w:cs="Arial"/>
        </w:rPr>
        <w:t xml:space="preserve"> should be </w:t>
      </w:r>
      <w:r w:rsidR="00360343" w:rsidRPr="00360343">
        <w:rPr>
          <w:rFonts w:ascii="Arial" w:hAnsi="Arial" w:cs="Arial"/>
        </w:rPr>
        <w:t>(a) changed to a different rate, or</w:t>
      </w:r>
      <w:r w:rsidR="00360343">
        <w:rPr>
          <w:rFonts w:ascii="Arial" w:hAnsi="Arial" w:cs="Arial"/>
        </w:rPr>
        <w:t xml:space="preserve"> </w:t>
      </w:r>
      <w:r w:rsidR="00360343" w:rsidRPr="00360343">
        <w:rPr>
          <w:rFonts w:ascii="Arial" w:hAnsi="Arial" w:cs="Arial"/>
        </w:rPr>
        <w:t>(b) kept unchanged.</w:t>
      </w:r>
      <w:r w:rsidR="00696139">
        <w:rPr>
          <w:rFonts w:ascii="Arial" w:hAnsi="Arial" w:cs="Arial"/>
        </w:rPr>
        <w:t xml:space="preserve"> </w:t>
      </w:r>
      <w:r w:rsidR="00696139" w:rsidRPr="00696139">
        <w:rPr>
          <w:rFonts w:ascii="Arial" w:hAnsi="Arial" w:cs="Arial"/>
        </w:rPr>
        <w:t xml:space="preserve">The Lord Chancellor must conduct that review and make that determination within the </w:t>
      </w:r>
      <w:r w:rsidR="0059622F" w:rsidRPr="00696139">
        <w:rPr>
          <w:rFonts w:ascii="Arial" w:hAnsi="Arial" w:cs="Arial"/>
        </w:rPr>
        <w:t>180-day</w:t>
      </w:r>
      <w:r w:rsidR="00696139" w:rsidRPr="00696139">
        <w:rPr>
          <w:rFonts w:ascii="Arial" w:hAnsi="Arial" w:cs="Arial"/>
        </w:rPr>
        <w:t xml:space="preserve"> review period</w:t>
      </w:r>
      <w:r w:rsidR="00696139">
        <w:rPr>
          <w:rFonts w:ascii="Arial" w:hAnsi="Arial" w:cs="Arial"/>
        </w:rPr>
        <w:t>.</w:t>
      </w:r>
    </w:p>
    <w:p w14:paraId="30A0CD52" w14:textId="326B15EE" w:rsidR="00696139" w:rsidRDefault="00F908C7" w:rsidP="001C1689">
      <w:pPr>
        <w:rPr>
          <w:rFonts w:ascii="Arial" w:hAnsi="Arial" w:cs="Arial"/>
        </w:rPr>
      </w:pPr>
      <w:r>
        <w:rPr>
          <w:rFonts w:ascii="Arial" w:hAnsi="Arial" w:cs="Arial"/>
        </w:rPr>
        <w:t>The Act requires the</w:t>
      </w:r>
      <w:r w:rsidR="00A34025" w:rsidRPr="004B23A8">
        <w:rPr>
          <w:rFonts w:ascii="Arial" w:hAnsi="Arial" w:cs="Arial"/>
        </w:rPr>
        <w:t xml:space="preserve"> Lord Chancellor</w:t>
      </w:r>
      <w:r w:rsidR="00195358">
        <w:rPr>
          <w:rFonts w:ascii="Arial" w:hAnsi="Arial" w:cs="Arial"/>
        </w:rPr>
        <w:t>,</w:t>
      </w:r>
      <w:r w:rsidR="00A34025" w:rsidRPr="004B23A8">
        <w:rPr>
          <w:rFonts w:ascii="Arial" w:hAnsi="Arial" w:cs="Arial"/>
        </w:rPr>
        <w:t xml:space="preserve"> </w:t>
      </w:r>
      <w:r w:rsidR="00A51D9F">
        <w:rPr>
          <w:rFonts w:ascii="Arial" w:hAnsi="Arial" w:cs="Arial"/>
        </w:rPr>
        <w:t>in conducting the review</w:t>
      </w:r>
      <w:r w:rsidR="00195358">
        <w:rPr>
          <w:rFonts w:ascii="Arial" w:hAnsi="Arial" w:cs="Arial"/>
        </w:rPr>
        <w:t>,</w:t>
      </w:r>
      <w:r w:rsidR="00A51D9F">
        <w:rPr>
          <w:rFonts w:ascii="Arial" w:hAnsi="Arial" w:cs="Arial"/>
        </w:rPr>
        <w:t xml:space="preserve"> </w:t>
      </w:r>
      <w:r w:rsidR="00696139">
        <w:rPr>
          <w:rFonts w:ascii="Arial" w:hAnsi="Arial" w:cs="Arial"/>
        </w:rPr>
        <w:t xml:space="preserve">to consult the </w:t>
      </w:r>
      <w:r w:rsidR="00195358">
        <w:rPr>
          <w:rFonts w:ascii="Arial" w:hAnsi="Arial" w:cs="Arial"/>
        </w:rPr>
        <w:t xml:space="preserve">Expert Panel </w:t>
      </w:r>
      <w:r w:rsidR="00696139">
        <w:rPr>
          <w:rFonts w:ascii="Arial" w:hAnsi="Arial" w:cs="Arial"/>
        </w:rPr>
        <w:t xml:space="preserve">established for the review </w:t>
      </w:r>
      <w:r w:rsidR="008251D5" w:rsidRPr="004B23A8">
        <w:rPr>
          <w:rFonts w:ascii="Arial" w:hAnsi="Arial" w:cs="Arial"/>
        </w:rPr>
        <w:t xml:space="preserve">and </w:t>
      </w:r>
      <w:r w:rsidR="00495C12">
        <w:rPr>
          <w:rFonts w:ascii="Arial" w:hAnsi="Arial" w:cs="Arial"/>
        </w:rPr>
        <w:t>the</w:t>
      </w:r>
      <w:r w:rsidR="00495C12" w:rsidRPr="004B23A8">
        <w:rPr>
          <w:rFonts w:ascii="Arial" w:hAnsi="Arial" w:cs="Arial"/>
        </w:rPr>
        <w:t xml:space="preserve"> </w:t>
      </w:r>
      <w:r w:rsidR="008251D5" w:rsidRPr="004B23A8">
        <w:rPr>
          <w:rFonts w:ascii="Arial" w:hAnsi="Arial" w:cs="Arial"/>
        </w:rPr>
        <w:t xml:space="preserve">Treasury. </w:t>
      </w:r>
    </w:p>
    <w:p w14:paraId="13097F0A" w14:textId="54C80B77" w:rsidR="0007586C" w:rsidRDefault="00617E67" w:rsidP="00324448">
      <w:pPr>
        <w:rPr>
          <w:rFonts w:ascii="Arial" w:hAnsi="Arial" w:cs="Arial"/>
        </w:rPr>
      </w:pPr>
      <w:r>
        <w:rPr>
          <w:rFonts w:ascii="Arial" w:hAnsi="Arial" w:cs="Arial"/>
        </w:rPr>
        <w:t>This</w:t>
      </w:r>
      <w:r w:rsidR="00E8305F">
        <w:rPr>
          <w:rFonts w:ascii="Arial" w:hAnsi="Arial" w:cs="Arial"/>
        </w:rPr>
        <w:t xml:space="preserve"> document</w:t>
      </w:r>
      <w:r>
        <w:rPr>
          <w:rFonts w:ascii="Arial" w:hAnsi="Arial" w:cs="Arial"/>
        </w:rPr>
        <w:t xml:space="preserve"> sets out the </w:t>
      </w:r>
      <w:r w:rsidR="00871F2F">
        <w:rPr>
          <w:rFonts w:ascii="Arial" w:hAnsi="Arial" w:cs="Arial"/>
        </w:rPr>
        <w:t xml:space="preserve">terms </w:t>
      </w:r>
      <w:r w:rsidR="00486705">
        <w:rPr>
          <w:rFonts w:ascii="Arial" w:hAnsi="Arial" w:cs="Arial"/>
        </w:rPr>
        <w:t>of</w:t>
      </w:r>
      <w:r>
        <w:rPr>
          <w:rFonts w:ascii="Arial" w:hAnsi="Arial" w:cs="Arial"/>
        </w:rPr>
        <w:t xml:space="preserve"> the Lord Chancellor’s statutory consultation with the </w:t>
      </w:r>
      <w:r w:rsidR="004F6F5F">
        <w:rPr>
          <w:rFonts w:ascii="Arial" w:hAnsi="Arial" w:cs="Arial"/>
        </w:rPr>
        <w:t>Treasury</w:t>
      </w:r>
      <w:r>
        <w:rPr>
          <w:rFonts w:ascii="Arial" w:hAnsi="Arial" w:cs="Arial"/>
        </w:rPr>
        <w:t>.</w:t>
      </w:r>
    </w:p>
    <w:p w14:paraId="196CB5B7" w14:textId="77777777" w:rsidR="00AC5B57" w:rsidRDefault="00AC5B57" w:rsidP="00324448">
      <w:pPr>
        <w:rPr>
          <w:rFonts w:ascii="Arial" w:hAnsi="Arial" w:cs="Arial"/>
        </w:rPr>
      </w:pPr>
    </w:p>
    <w:p w14:paraId="55711424" w14:textId="4A9A9D5B" w:rsidR="00617E67" w:rsidRDefault="00617E67" w:rsidP="00CD50BD">
      <w:pPr>
        <w:pStyle w:val="Heading2"/>
        <w:rPr>
          <w:rFonts w:ascii="Arial" w:hAnsi="Arial" w:cs="Arial"/>
          <w:b/>
          <w:bCs/>
          <w:sz w:val="28"/>
          <w:szCs w:val="28"/>
          <w:lang w:val="en"/>
        </w:rPr>
      </w:pPr>
      <w:r w:rsidRPr="001063B0">
        <w:rPr>
          <w:rFonts w:ascii="Arial" w:hAnsi="Arial" w:cs="Arial"/>
          <w:b/>
          <w:bCs/>
          <w:sz w:val="28"/>
          <w:szCs w:val="28"/>
          <w:lang w:val="en"/>
        </w:rPr>
        <w:t xml:space="preserve">Background </w:t>
      </w:r>
    </w:p>
    <w:p w14:paraId="5C62FEAB" w14:textId="32110D12" w:rsidR="00245463" w:rsidRDefault="002E7EC8" w:rsidP="00AC5B57">
      <w:pPr>
        <w:spacing w:before="240"/>
        <w:rPr>
          <w:rFonts w:ascii="Arial" w:hAnsi="Arial" w:cs="Arial"/>
        </w:rPr>
      </w:pPr>
      <w:r>
        <w:rPr>
          <w:rFonts w:ascii="Arial" w:hAnsi="Arial" w:cs="Arial"/>
        </w:rPr>
        <w:t>The</w:t>
      </w:r>
      <w:r w:rsidR="0059622F">
        <w:rPr>
          <w:rFonts w:ascii="Arial" w:hAnsi="Arial" w:cs="Arial"/>
        </w:rPr>
        <w:t xml:space="preserve"> PIDR</w:t>
      </w:r>
      <w:r>
        <w:rPr>
          <w:rFonts w:ascii="Arial" w:hAnsi="Arial" w:cs="Arial"/>
        </w:rPr>
        <w:t xml:space="preserve"> is </w:t>
      </w:r>
      <w:r w:rsidR="0059622F">
        <w:rPr>
          <w:rFonts w:ascii="Arial" w:hAnsi="Arial" w:cs="Arial"/>
        </w:rPr>
        <w:t xml:space="preserve">a statutory method for the way lump sum compensation for future financial loss is calculated in serious personal injury cases (i.e., those whose impacts are expected to last for a period of years). In such cases, some or all of the compensation is received in the form of a lump sum payment which claimants often invest. The purpose of the PIDR is to reflect the return that a claimant could reasonably be expected to receive from investing the lump sum element of damages which, along with the nature of the injury and its expected duration, will determine the </w:t>
      </w:r>
      <w:r w:rsidR="00D03CEE">
        <w:rPr>
          <w:rFonts w:ascii="Arial" w:hAnsi="Arial" w:cs="Arial"/>
        </w:rPr>
        <w:t xml:space="preserve">final </w:t>
      </w:r>
      <w:r w:rsidR="0059622F">
        <w:rPr>
          <w:rFonts w:ascii="Arial" w:hAnsi="Arial" w:cs="Arial"/>
        </w:rPr>
        <w:t xml:space="preserve">size of the lump sum. </w:t>
      </w:r>
    </w:p>
    <w:p w14:paraId="4CFC47DF" w14:textId="0639AB6D" w:rsidR="009F096D" w:rsidRPr="009F096D" w:rsidRDefault="009F096D" w:rsidP="009F096D">
      <w:pPr>
        <w:rPr>
          <w:rFonts w:ascii="Arial" w:hAnsi="Arial" w:cs="Arial"/>
        </w:rPr>
      </w:pPr>
      <w:r>
        <w:rPr>
          <w:rFonts w:ascii="Arial" w:hAnsi="Arial" w:cs="Arial"/>
        </w:rPr>
        <w:t>The Lord Chancellor</w:t>
      </w:r>
      <w:r w:rsidR="00535200">
        <w:rPr>
          <w:rFonts w:ascii="Arial" w:hAnsi="Arial" w:cs="Arial"/>
        </w:rPr>
        <w:t xml:space="preserve"> must make the </w:t>
      </w:r>
      <w:r w:rsidR="00402267">
        <w:rPr>
          <w:rFonts w:ascii="Arial" w:hAnsi="Arial" w:cs="Arial"/>
        </w:rPr>
        <w:t>PIDR</w:t>
      </w:r>
      <w:r w:rsidR="00535200">
        <w:rPr>
          <w:rFonts w:ascii="Arial" w:hAnsi="Arial" w:cs="Arial"/>
        </w:rPr>
        <w:t xml:space="preserve"> determination on the basis </w:t>
      </w:r>
      <w:r w:rsidR="00402267">
        <w:rPr>
          <w:rFonts w:ascii="Arial" w:hAnsi="Arial" w:cs="Arial"/>
        </w:rPr>
        <w:t>of</w:t>
      </w:r>
      <w:r w:rsidR="00535200">
        <w:rPr>
          <w:rFonts w:ascii="Arial" w:hAnsi="Arial" w:cs="Arial"/>
        </w:rPr>
        <w:t xml:space="preserve"> the rate of return that, in the opinion of the</w:t>
      </w:r>
      <w:r>
        <w:rPr>
          <w:rFonts w:ascii="Arial" w:hAnsi="Arial" w:cs="Arial"/>
        </w:rPr>
        <w:t xml:space="preserve"> Lord Chancellor</w:t>
      </w:r>
      <w:r w:rsidR="00535200">
        <w:rPr>
          <w:rFonts w:ascii="Arial" w:hAnsi="Arial" w:cs="Arial"/>
        </w:rPr>
        <w:t xml:space="preserve">, </w:t>
      </w:r>
      <w:r w:rsidRPr="009F096D">
        <w:rPr>
          <w:rFonts w:ascii="Arial" w:hAnsi="Arial" w:cs="Arial"/>
        </w:rPr>
        <w:t>a recipient of relevant damages could reasonably</w:t>
      </w:r>
      <w:r>
        <w:rPr>
          <w:rFonts w:ascii="Arial" w:hAnsi="Arial" w:cs="Arial"/>
        </w:rPr>
        <w:t xml:space="preserve"> </w:t>
      </w:r>
      <w:r w:rsidRPr="009F096D">
        <w:rPr>
          <w:rFonts w:ascii="Arial" w:hAnsi="Arial" w:cs="Arial"/>
        </w:rPr>
        <w:t xml:space="preserve">be expected to achieve if </w:t>
      </w:r>
      <w:r w:rsidR="00402267">
        <w:rPr>
          <w:rFonts w:ascii="Arial" w:hAnsi="Arial" w:cs="Arial"/>
        </w:rPr>
        <w:t>they</w:t>
      </w:r>
      <w:r w:rsidRPr="009F096D">
        <w:rPr>
          <w:rFonts w:ascii="Arial" w:hAnsi="Arial" w:cs="Arial"/>
        </w:rPr>
        <w:t xml:space="preserve"> invested the relevant damages</w:t>
      </w:r>
      <w:r>
        <w:rPr>
          <w:rFonts w:ascii="Arial" w:hAnsi="Arial" w:cs="Arial"/>
        </w:rPr>
        <w:t xml:space="preserve"> </w:t>
      </w:r>
      <w:r w:rsidRPr="009F096D">
        <w:rPr>
          <w:rFonts w:ascii="Arial" w:hAnsi="Arial" w:cs="Arial"/>
        </w:rPr>
        <w:t>for the purpose of securing that</w:t>
      </w:r>
      <w:r w:rsidR="00402267">
        <w:rPr>
          <w:rFonts w:ascii="Arial" w:hAnsi="Arial" w:cs="Arial"/>
        </w:rPr>
        <w:t xml:space="preserve"> </w:t>
      </w:r>
      <w:r w:rsidRPr="009F096D">
        <w:rPr>
          <w:rFonts w:ascii="Arial" w:hAnsi="Arial" w:cs="Arial"/>
        </w:rPr>
        <w:t>—</w:t>
      </w:r>
    </w:p>
    <w:p w14:paraId="068CD91C" w14:textId="58320060" w:rsidR="009F096D" w:rsidRPr="001063B0" w:rsidRDefault="009F096D" w:rsidP="001063B0">
      <w:pPr>
        <w:pStyle w:val="ListParagraph"/>
        <w:numPr>
          <w:ilvl w:val="0"/>
          <w:numId w:val="26"/>
        </w:numPr>
        <w:spacing w:after="120"/>
        <w:ind w:left="714" w:hanging="357"/>
        <w:contextualSpacing w:val="0"/>
        <w:rPr>
          <w:rFonts w:ascii="Arial" w:hAnsi="Arial" w:cs="Arial"/>
        </w:rPr>
      </w:pPr>
      <w:r w:rsidRPr="001063B0">
        <w:rPr>
          <w:rFonts w:ascii="Arial" w:hAnsi="Arial" w:cs="Arial"/>
        </w:rPr>
        <w:t>the relevant damages would meet the losses and costs for which they are awarded;</w:t>
      </w:r>
    </w:p>
    <w:p w14:paraId="4154069E" w14:textId="6FE2B086" w:rsidR="009F096D" w:rsidRPr="001063B0" w:rsidRDefault="009F096D" w:rsidP="001063B0">
      <w:pPr>
        <w:pStyle w:val="ListParagraph"/>
        <w:numPr>
          <w:ilvl w:val="0"/>
          <w:numId w:val="26"/>
        </w:numPr>
        <w:spacing w:after="120"/>
        <w:ind w:left="714" w:hanging="357"/>
        <w:contextualSpacing w:val="0"/>
        <w:rPr>
          <w:rFonts w:ascii="Arial" w:hAnsi="Arial" w:cs="Arial"/>
        </w:rPr>
      </w:pPr>
      <w:r w:rsidRPr="001063B0">
        <w:rPr>
          <w:rFonts w:ascii="Arial" w:hAnsi="Arial" w:cs="Arial"/>
        </w:rPr>
        <w:t>the relevant damages would meet those losses and costs at the time or times when they fall to be met by the relevant damages; and</w:t>
      </w:r>
    </w:p>
    <w:p w14:paraId="3408099F" w14:textId="51A9CA6A" w:rsidR="009F096D" w:rsidRPr="001063B0" w:rsidRDefault="009F096D" w:rsidP="001063B0">
      <w:pPr>
        <w:pStyle w:val="ListParagraph"/>
        <w:numPr>
          <w:ilvl w:val="0"/>
          <w:numId w:val="26"/>
        </w:numPr>
        <w:spacing w:after="120"/>
        <w:ind w:left="714" w:hanging="357"/>
        <w:contextualSpacing w:val="0"/>
        <w:rPr>
          <w:rFonts w:ascii="Arial" w:hAnsi="Arial" w:cs="Arial"/>
        </w:rPr>
      </w:pPr>
      <w:r w:rsidRPr="001063B0">
        <w:rPr>
          <w:rFonts w:ascii="Arial" w:hAnsi="Arial" w:cs="Arial"/>
        </w:rPr>
        <w:t>the relevant damages would be exhausted at the end of the period for which they are awarded</w:t>
      </w:r>
      <w:r w:rsidR="00535200" w:rsidRPr="001063B0">
        <w:rPr>
          <w:rFonts w:ascii="Arial" w:hAnsi="Arial" w:cs="Arial"/>
        </w:rPr>
        <w:t>.</w:t>
      </w:r>
    </w:p>
    <w:p w14:paraId="43CC14A6" w14:textId="7120D94B" w:rsidR="00535200" w:rsidRDefault="00245463" w:rsidP="00245463">
      <w:pPr>
        <w:rPr>
          <w:rFonts w:ascii="Arial" w:hAnsi="Arial" w:cs="Arial"/>
        </w:rPr>
      </w:pPr>
      <w:r w:rsidRPr="00245463">
        <w:rPr>
          <w:rFonts w:ascii="Arial" w:hAnsi="Arial" w:cs="Arial"/>
        </w:rPr>
        <w:t xml:space="preserve">In determining the rate, the Lord Chancellor must </w:t>
      </w:r>
      <w:r w:rsidR="00535200">
        <w:rPr>
          <w:rFonts w:ascii="Arial" w:hAnsi="Arial" w:cs="Arial"/>
        </w:rPr>
        <w:t xml:space="preserve">make </w:t>
      </w:r>
      <w:r w:rsidR="000A7430">
        <w:rPr>
          <w:rFonts w:ascii="Arial" w:hAnsi="Arial" w:cs="Arial"/>
        </w:rPr>
        <w:t xml:space="preserve">(but is not limited to) </w:t>
      </w:r>
      <w:r w:rsidR="00535200">
        <w:rPr>
          <w:rFonts w:ascii="Arial" w:hAnsi="Arial" w:cs="Arial"/>
        </w:rPr>
        <w:t xml:space="preserve">the following assumptions – </w:t>
      </w:r>
    </w:p>
    <w:p w14:paraId="1C606EAF" w14:textId="6D723AF4" w:rsidR="00535200" w:rsidRDefault="00535200" w:rsidP="001063B0">
      <w:pPr>
        <w:pStyle w:val="ListParagraph"/>
        <w:numPr>
          <w:ilvl w:val="0"/>
          <w:numId w:val="26"/>
        </w:numPr>
        <w:spacing w:after="120"/>
        <w:ind w:left="714" w:hanging="357"/>
        <w:rPr>
          <w:rFonts w:ascii="Arial" w:hAnsi="Arial" w:cs="Arial"/>
        </w:rPr>
      </w:pPr>
      <w:r w:rsidRPr="00535200">
        <w:rPr>
          <w:rFonts w:ascii="Arial" w:hAnsi="Arial" w:cs="Arial"/>
        </w:rPr>
        <w:t>that the relevant damages are payable in a lump sum (rather than under an order for periodical payments);</w:t>
      </w:r>
    </w:p>
    <w:p w14:paraId="13435FC6" w14:textId="6B817867" w:rsidR="00535200" w:rsidRDefault="00535200" w:rsidP="001063B0">
      <w:pPr>
        <w:pStyle w:val="ListParagraph"/>
        <w:numPr>
          <w:ilvl w:val="0"/>
          <w:numId w:val="26"/>
        </w:numPr>
        <w:spacing w:after="120"/>
        <w:ind w:left="714" w:hanging="357"/>
        <w:rPr>
          <w:rFonts w:ascii="Arial" w:hAnsi="Arial" w:cs="Arial"/>
        </w:rPr>
      </w:pPr>
      <w:r w:rsidRPr="00535200">
        <w:rPr>
          <w:rFonts w:ascii="Arial" w:hAnsi="Arial" w:cs="Arial"/>
        </w:rPr>
        <w:t xml:space="preserve">that the recipient of the relevant damages is properly advised on the investment of </w:t>
      </w:r>
      <w:r w:rsidR="00AC5B57">
        <w:rPr>
          <w:rFonts w:ascii="Arial" w:hAnsi="Arial" w:cs="Arial"/>
        </w:rPr>
        <w:t>them</w:t>
      </w:r>
      <w:r w:rsidRPr="00535200">
        <w:rPr>
          <w:rFonts w:ascii="Arial" w:hAnsi="Arial" w:cs="Arial"/>
        </w:rPr>
        <w:t>;</w:t>
      </w:r>
    </w:p>
    <w:p w14:paraId="1F703258" w14:textId="53848ECF" w:rsidR="00535200" w:rsidRDefault="00535200" w:rsidP="001063B0">
      <w:pPr>
        <w:pStyle w:val="ListParagraph"/>
        <w:numPr>
          <w:ilvl w:val="0"/>
          <w:numId w:val="26"/>
        </w:numPr>
        <w:spacing w:after="120"/>
        <w:ind w:left="714" w:hanging="357"/>
        <w:rPr>
          <w:rFonts w:ascii="Arial" w:hAnsi="Arial" w:cs="Arial"/>
        </w:rPr>
      </w:pPr>
      <w:r w:rsidRPr="00535200">
        <w:rPr>
          <w:rFonts w:ascii="Arial" w:hAnsi="Arial" w:cs="Arial"/>
        </w:rPr>
        <w:t xml:space="preserve">that the recipient of the relevant damages invests </w:t>
      </w:r>
      <w:r w:rsidR="00402267">
        <w:rPr>
          <w:rFonts w:ascii="Arial" w:hAnsi="Arial" w:cs="Arial"/>
        </w:rPr>
        <w:t>them</w:t>
      </w:r>
      <w:r w:rsidRPr="00535200">
        <w:rPr>
          <w:rFonts w:ascii="Arial" w:hAnsi="Arial" w:cs="Arial"/>
        </w:rPr>
        <w:t xml:space="preserve"> in a diversified portfolio of investments;</w:t>
      </w:r>
    </w:p>
    <w:p w14:paraId="24C7137C" w14:textId="1F677FFB" w:rsidR="00535200" w:rsidRDefault="00535200" w:rsidP="00535200">
      <w:pPr>
        <w:pStyle w:val="ListParagraph"/>
        <w:numPr>
          <w:ilvl w:val="0"/>
          <w:numId w:val="26"/>
        </w:numPr>
        <w:rPr>
          <w:rFonts w:ascii="Arial" w:hAnsi="Arial" w:cs="Arial"/>
        </w:rPr>
      </w:pPr>
      <w:r w:rsidRPr="00535200">
        <w:rPr>
          <w:rFonts w:ascii="Arial" w:hAnsi="Arial" w:cs="Arial"/>
        </w:rPr>
        <w:t>that the relevant damages are invested using an approach that involves—</w:t>
      </w:r>
    </w:p>
    <w:p w14:paraId="34B96D25" w14:textId="77777777" w:rsidR="00535200" w:rsidRDefault="00535200" w:rsidP="00535200">
      <w:pPr>
        <w:pStyle w:val="ListParagraph"/>
        <w:numPr>
          <w:ilvl w:val="1"/>
          <w:numId w:val="26"/>
        </w:numPr>
        <w:rPr>
          <w:rFonts w:ascii="Arial" w:hAnsi="Arial" w:cs="Arial"/>
        </w:rPr>
      </w:pPr>
      <w:r w:rsidRPr="00535200">
        <w:rPr>
          <w:rFonts w:ascii="Arial" w:hAnsi="Arial" w:cs="Arial"/>
        </w:rPr>
        <w:t>more risk than a very low level of risk, but</w:t>
      </w:r>
    </w:p>
    <w:p w14:paraId="18AFF878" w14:textId="6F55415D" w:rsidR="00535200" w:rsidRPr="00535200" w:rsidRDefault="00535200" w:rsidP="00535200">
      <w:pPr>
        <w:pStyle w:val="ListParagraph"/>
        <w:numPr>
          <w:ilvl w:val="1"/>
          <w:numId w:val="26"/>
        </w:numPr>
        <w:rPr>
          <w:rFonts w:ascii="Arial" w:hAnsi="Arial" w:cs="Arial"/>
        </w:rPr>
      </w:pPr>
      <w:r w:rsidRPr="00535200">
        <w:rPr>
          <w:rFonts w:ascii="Arial" w:hAnsi="Arial" w:cs="Arial"/>
        </w:rPr>
        <w:t>less risk than would ordinarily be accepted by a prudent and properly advised individual investor who has different financial aims.</w:t>
      </w:r>
    </w:p>
    <w:p w14:paraId="49D2971E" w14:textId="77777777" w:rsidR="00535200" w:rsidRDefault="00535200" w:rsidP="00245463">
      <w:pPr>
        <w:rPr>
          <w:rFonts w:ascii="Arial" w:hAnsi="Arial" w:cs="Arial"/>
        </w:rPr>
      </w:pPr>
    </w:p>
    <w:p w14:paraId="5C0FA413" w14:textId="4B34CF9A" w:rsidR="00245463" w:rsidRDefault="0010060C" w:rsidP="00245463">
      <w:pPr>
        <w:rPr>
          <w:rFonts w:ascii="Arial" w:hAnsi="Arial" w:cs="Arial"/>
        </w:rPr>
      </w:pPr>
      <w:r>
        <w:rPr>
          <w:rFonts w:ascii="Arial" w:hAnsi="Arial" w:cs="Arial"/>
        </w:rPr>
        <w:t xml:space="preserve">The Lord Chancellor must also </w:t>
      </w:r>
      <w:r w:rsidR="00245463" w:rsidRPr="00245463">
        <w:rPr>
          <w:rFonts w:ascii="Arial" w:hAnsi="Arial" w:cs="Arial"/>
        </w:rPr>
        <w:t>have regard to the actual returns available to</w:t>
      </w:r>
      <w:r w:rsidR="00402267">
        <w:rPr>
          <w:rFonts w:ascii="Arial" w:hAnsi="Arial" w:cs="Arial"/>
        </w:rPr>
        <w:t>, and</w:t>
      </w:r>
      <w:r w:rsidR="00245463" w:rsidRPr="00245463">
        <w:rPr>
          <w:rFonts w:ascii="Arial" w:hAnsi="Arial" w:cs="Arial"/>
        </w:rPr>
        <w:t xml:space="preserve"> </w:t>
      </w:r>
      <w:r w:rsidR="00402267" w:rsidRPr="00245463">
        <w:rPr>
          <w:rFonts w:ascii="Arial" w:hAnsi="Arial" w:cs="Arial"/>
        </w:rPr>
        <w:t>actual investments made by</w:t>
      </w:r>
      <w:r w:rsidR="00402267">
        <w:rPr>
          <w:rFonts w:ascii="Arial" w:hAnsi="Arial" w:cs="Arial"/>
        </w:rPr>
        <w:t>,</w:t>
      </w:r>
      <w:r w:rsidR="00402267" w:rsidRPr="00245463">
        <w:rPr>
          <w:rFonts w:ascii="Arial" w:hAnsi="Arial" w:cs="Arial"/>
        </w:rPr>
        <w:t xml:space="preserve"> </w:t>
      </w:r>
      <w:r w:rsidR="00245463" w:rsidRPr="00245463">
        <w:rPr>
          <w:rFonts w:ascii="Arial" w:hAnsi="Arial" w:cs="Arial"/>
        </w:rPr>
        <w:t>investors</w:t>
      </w:r>
      <w:r w:rsidR="00402267" w:rsidRPr="00402267">
        <w:rPr>
          <w:rFonts w:ascii="Arial" w:hAnsi="Arial" w:cs="Arial"/>
        </w:rPr>
        <w:t xml:space="preserve"> </w:t>
      </w:r>
      <w:r w:rsidR="00402267" w:rsidRPr="00245463">
        <w:rPr>
          <w:rFonts w:ascii="Arial" w:hAnsi="Arial" w:cs="Arial"/>
        </w:rPr>
        <w:t>of relevant damages</w:t>
      </w:r>
      <w:r>
        <w:rPr>
          <w:rFonts w:ascii="Arial" w:hAnsi="Arial" w:cs="Arial"/>
        </w:rPr>
        <w:t>,</w:t>
      </w:r>
      <w:r w:rsidR="00245463" w:rsidRPr="00245463">
        <w:rPr>
          <w:rFonts w:ascii="Arial" w:hAnsi="Arial" w:cs="Arial"/>
        </w:rPr>
        <w:t xml:space="preserve"> </w:t>
      </w:r>
      <w:r>
        <w:rPr>
          <w:rFonts w:ascii="Arial" w:hAnsi="Arial" w:cs="Arial"/>
        </w:rPr>
        <w:t xml:space="preserve">and </w:t>
      </w:r>
      <w:r w:rsidRPr="0010060C">
        <w:rPr>
          <w:rFonts w:ascii="Arial" w:hAnsi="Arial" w:cs="Arial"/>
        </w:rPr>
        <w:t>make such allowances for taxation, inflation and investment management costs as the Lord Chancellor thinks appropriate</w:t>
      </w:r>
      <w:r w:rsidR="00245463" w:rsidRPr="00245463">
        <w:rPr>
          <w:rFonts w:ascii="Arial" w:hAnsi="Arial" w:cs="Arial"/>
        </w:rPr>
        <w:t>.</w:t>
      </w:r>
    </w:p>
    <w:p w14:paraId="58CDB1AE" w14:textId="473E8187" w:rsidR="000A1C39" w:rsidRDefault="009C4CED" w:rsidP="00443626">
      <w:pPr>
        <w:rPr>
          <w:rFonts w:ascii="Arial" w:hAnsi="Arial" w:cs="Arial"/>
        </w:rPr>
      </w:pPr>
      <w:r>
        <w:rPr>
          <w:rFonts w:ascii="Arial" w:hAnsi="Arial" w:cs="Arial"/>
        </w:rPr>
        <w:t xml:space="preserve">The practice to date has been to set a single rate for all cases, but </w:t>
      </w:r>
      <w:r w:rsidR="008F1C02">
        <w:rPr>
          <w:rFonts w:ascii="Arial" w:hAnsi="Arial" w:cs="Arial"/>
        </w:rPr>
        <w:t>it has always been</w:t>
      </w:r>
      <w:r w:rsidR="00AC5B57">
        <w:rPr>
          <w:rFonts w:ascii="Arial" w:hAnsi="Arial" w:cs="Arial"/>
        </w:rPr>
        <w:t>, and continues to be,</w:t>
      </w:r>
      <w:r w:rsidR="008F1C02">
        <w:rPr>
          <w:rFonts w:ascii="Arial" w:hAnsi="Arial" w:cs="Arial"/>
        </w:rPr>
        <w:t xml:space="preserve"> within </w:t>
      </w:r>
      <w:r>
        <w:rPr>
          <w:rFonts w:ascii="Arial" w:hAnsi="Arial" w:cs="Arial"/>
        </w:rPr>
        <w:t xml:space="preserve">the Lord Chancellor’s </w:t>
      </w:r>
      <w:r w:rsidR="008F1C02">
        <w:rPr>
          <w:rFonts w:ascii="Arial" w:hAnsi="Arial" w:cs="Arial"/>
        </w:rPr>
        <w:t xml:space="preserve">gift, under the </w:t>
      </w:r>
      <w:r w:rsidR="00AC5B57">
        <w:rPr>
          <w:rFonts w:ascii="Arial" w:hAnsi="Arial" w:cs="Arial"/>
        </w:rPr>
        <w:t>Damages Act</w:t>
      </w:r>
      <w:r w:rsidR="008F1C02">
        <w:rPr>
          <w:rFonts w:ascii="Arial" w:hAnsi="Arial" w:cs="Arial"/>
        </w:rPr>
        <w:t xml:space="preserve">, to </w:t>
      </w:r>
      <w:r w:rsidRPr="009C4CED">
        <w:rPr>
          <w:rFonts w:ascii="Arial" w:hAnsi="Arial" w:cs="Arial"/>
        </w:rPr>
        <w:t>prescribe different rates of return</w:t>
      </w:r>
      <w:r>
        <w:rPr>
          <w:rFonts w:ascii="Arial" w:hAnsi="Arial" w:cs="Arial"/>
        </w:rPr>
        <w:t xml:space="preserve"> </w:t>
      </w:r>
      <w:r w:rsidRPr="009C4CED">
        <w:rPr>
          <w:rFonts w:ascii="Arial" w:hAnsi="Arial" w:cs="Arial"/>
        </w:rPr>
        <w:t>for different classes of case</w:t>
      </w:r>
      <w:r>
        <w:rPr>
          <w:rFonts w:ascii="Arial" w:hAnsi="Arial" w:cs="Arial"/>
        </w:rPr>
        <w:t>.</w:t>
      </w:r>
      <w:r w:rsidR="008F1C02" w:rsidRPr="008F1C02">
        <w:rPr>
          <w:rFonts w:ascii="Arial" w:hAnsi="Arial" w:cs="Arial"/>
        </w:rPr>
        <w:t xml:space="preserve"> </w:t>
      </w:r>
      <w:r w:rsidR="008F1C02">
        <w:rPr>
          <w:rFonts w:ascii="Arial" w:hAnsi="Arial" w:cs="Arial"/>
        </w:rPr>
        <w:t>In 2019, on receipt of the Government Actuary’s advice, the then Lord Chancellor committed to launching a Call for Evidence (CfE) to explore the option of a dual or multiple discount rate in greater dept</w:t>
      </w:r>
      <w:r w:rsidR="00CF3AE2">
        <w:rPr>
          <w:rFonts w:ascii="Arial" w:hAnsi="Arial" w:cs="Arial"/>
        </w:rPr>
        <w:t>h</w:t>
      </w:r>
      <w:r w:rsidR="008F1C02">
        <w:rPr>
          <w:rFonts w:ascii="Arial" w:hAnsi="Arial" w:cs="Arial"/>
        </w:rPr>
        <w:t xml:space="preserve"> and “inform the next discount</w:t>
      </w:r>
      <w:r w:rsidR="00CF3AE2">
        <w:rPr>
          <w:rFonts w:ascii="Arial" w:hAnsi="Arial" w:cs="Arial"/>
        </w:rPr>
        <w:t xml:space="preserve"> rate</w:t>
      </w:r>
      <w:r w:rsidR="008F1C02">
        <w:rPr>
          <w:rFonts w:ascii="Arial" w:hAnsi="Arial" w:cs="Arial"/>
        </w:rPr>
        <w:t xml:space="preserve"> review”. The Expert Panel and the Treasury should consider the responses to the CfE in providing their respective advice to the Lord Chancellor. </w:t>
      </w:r>
    </w:p>
    <w:p w14:paraId="43FBE871" w14:textId="77777777" w:rsidR="00AC5B57" w:rsidRDefault="00AC5B57" w:rsidP="00443626">
      <w:pPr>
        <w:rPr>
          <w:rFonts w:ascii="Arial" w:hAnsi="Arial" w:cs="Arial"/>
          <w:sz w:val="28"/>
          <w:szCs w:val="28"/>
        </w:rPr>
      </w:pPr>
    </w:p>
    <w:p w14:paraId="13DE5D48" w14:textId="400E6882" w:rsidR="006D0E27" w:rsidRDefault="001E2153" w:rsidP="001C1689">
      <w:pPr>
        <w:pStyle w:val="Heading2"/>
        <w:rPr>
          <w:rFonts w:ascii="Arial" w:hAnsi="Arial" w:cs="Arial"/>
          <w:b/>
          <w:bCs/>
          <w:sz w:val="28"/>
          <w:szCs w:val="28"/>
        </w:rPr>
      </w:pPr>
      <w:r w:rsidRPr="001063B0">
        <w:rPr>
          <w:rFonts w:ascii="Arial" w:hAnsi="Arial" w:cs="Arial"/>
          <w:b/>
          <w:bCs/>
          <w:sz w:val="28"/>
          <w:szCs w:val="28"/>
        </w:rPr>
        <w:t>T</w:t>
      </w:r>
      <w:r w:rsidR="00324448" w:rsidRPr="001063B0">
        <w:rPr>
          <w:rFonts w:ascii="Arial" w:hAnsi="Arial" w:cs="Arial"/>
          <w:b/>
          <w:bCs/>
          <w:sz w:val="28"/>
          <w:szCs w:val="28"/>
        </w:rPr>
        <w:t xml:space="preserve">he </w:t>
      </w:r>
      <w:r w:rsidR="004F6F5F" w:rsidRPr="001063B0">
        <w:rPr>
          <w:rFonts w:ascii="Arial" w:hAnsi="Arial" w:cs="Arial"/>
          <w:b/>
          <w:bCs/>
          <w:sz w:val="28"/>
          <w:szCs w:val="28"/>
        </w:rPr>
        <w:t>Treasury</w:t>
      </w:r>
      <w:r w:rsidR="00385520" w:rsidRPr="001063B0">
        <w:rPr>
          <w:rFonts w:ascii="Arial" w:hAnsi="Arial" w:cs="Arial"/>
          <w:b/>
          <w:bCs/>
          <w:sz w:val="28"/>
          <w:szCs w:val="28"/>
        </w:rPr>
        <w:t>’s role</w:t>
      </w:r>
      <w:r w:rsidR="00324448" w:rsidRPr="001063B0">
        <w:rPr>
          <w:rFonts w:ascii="Arial" w:hAnsi="Arial" w:cs="Arial"/>
          <w:b/>
          <w:bCs/>
          <w:sz w:val="28"/>
          <w:szCs w:val="28"/>
        </w:rPr>
        <w:t xml:space="preserve"> </w:t>
      </w:r>
    </w:p>
    <w:p w14:paraId="27565D20" w14:textId="796D3751" w:rsidR="00BC19E1" w:rsidRDefault="00BC19E1" w:rsidP="00AC5B57">
      <w:pPr>
        <w:spacing w:before="240"/>
        <w:rPr>
          <w:rFonts w:ascii="Arial" w:hAnsi="Arial" w:cs="Arial"/>
        </w:rPr>
      </w:pPr>
      <w:bookmarkStart w:id="0" w:name="_Hlk511661196"/>
      <w:r w:rsidRPr="00BC19E1">
        <w:rPr>
          <w:rFonts w:ascii="Arial" w:hAnsi="Arial" w:cs="Arial"/>
        </w:rPr>
        <w:t xml:space="preserve">The purpose of the </w:t>
      </w:r>
      <w:r w:rsidR="004F6F5F">
        <w:rPr>
          <w:rFonts w:ascii="Arial" w:hAnsi="Arial" w:cs="Arial"/>
        </w:rPr>
        <w:t>Treasury</w:t>
      </w:r>
      <w:r w:rsidRPr="00BC19E1">
        <w:rPr>
          <w:rFonts w:ascii="Arial" w:hAnsi="Arial" w:cs="Arial"/>
        </w:rPr>
        <w:t xml:space="preserve">’s response to the Lord Chancellor’s consultation is to provide advice to the Lord Chancellor </w:t>
      </w:r>
      <w:r>
        <w:rPr>
          <w:rFonts w:ascii="Arial" w:hAnsi="Arial" w:cs="Arial"/>
        </w:rPr>
        <w:t>on</w:t>
      </w:r>
      <w:r w:rsidRPr="00BC19E1">
        <w:rPr>
          <w:rFonts w:ascii="Arial" w:hAnsi="Arial" w:cs="Arial"/>
        </w:rPr>
        <w:t xml:space="preserve"> </w:t>
      </w:r>
      <w:r>
        <w:rPr>
          <w:rFonts w:ascii="Arial" w:hAnsi="Arial" w:cs="Arial"/>
        </w:rPr>
        <w:t xml:space="preserve">matters relevant to the </w:t>
      </w:r>
      <w:r w:rsidRPr="00BC19E1">
        <w:rPr>
          <w:rFonts w:ascii="Arial" w:hAnsi="Arial" w:cs="Arial"/>
        </w:rPr>
        <w:t>setting of the rate.</w:t>
      </w:r>
      <w:r w:rsidR="003F6C9E">
        <w:rPr>
          <w:rFonts w:ascii="Arial" w:hAnsi="Arial" w:cs="Arial"/>
        </w:rPr>
        <w:t xml:space="preserve"> When deciding what response to give to the Lord Chancellor the Treasury must take into account the duties imposed on the Lord Chancellor by the CLA and may want to also consider:</w:t>
      </w:r>
      <w:r w:rsidR="00140F1F">
        <w:rPr>
          <w:rFonts w:ascii="Arial" w:hAnsi="Arial" w:cs="Arial"/>
        </w:rPr>
        <w:t xml:space="preserve"> </w:t>
      </w:r>
    </w:p>
    <w:p w14:paraId="39B63AA6" w14:textId="6DF01EB3" w:rsidR="003F6C9E" w:rsidRPr="000A1C39" w:rsidRDefault="003F6C9E" w:rsidP="001063B0">
      <w:pPr>
        <w:pStyle w:val="CommentText"/>
        <w:numPr>
          <w:ilvl w:val="0"/>
          <w:numId w:val="29"/>
        </w:numPr>
        <w:rPr>
          <w:rFonts w:ascii="Arial" w:hAnsi="Arial" w:cs="Arial"/>
          <w:sz w:val="22"/>
          <w:szCs w:val="22"/>
        </w:rPr>
      </w:pPr>
      <w:r>
        <w:rPr>
          <w:rFonts w:ascii="Arial" w:hAnsi="Arial" w:cs="Arial"/>
          <w:sz w:val="22"/>
          <w:szCs w:val="22"/>
        </w:rPr>
        <w:t>T</w:t>
      </w:r>
      <w:r w:rsidRPr="000A1C39">
        <w:rPr>
          <w:rFonts w:ascii="Arial" w:hAnsi="Arial" w:cs="Arial"/>
          <w:sz w:val="22"/>
          <w:szCs w:val="22"/>
        </w:rPr>
        <w:t xml:space="preserve">he </w:t>
      </w:r>
      <w:r>
        <w:rPr>
          <w:rFonts w:ascii="Arial" w:hAnsi="Arial" w:cs="Arial"/>
          <w:sz w:val="22"/>
          <w:szCs w:val="22"/>
        </w:rPr>
        <w:t xml:space="preserve">portfolios for consideration </w:t>
      </w:r>
      <w:r w:rsidRPr="000A1C39">
        <w:rPr>
          <w:rFonts w:ascii="Arial" w:hAnsi="Arial" w:cs="Arial"/>
          <w:sz w:val="22"/>
          <w:szCs w:val="22"/>
        </w:rPr>
        <w:t>in the setting of the rate</w:t>
      </w:r>
      <w:r w:rsidR="00300585">
        <w:rPr>
          <w:rFonts w:ascii="Arial" w:hAnsi="Arial" w:cs="Arial"/>
          <w:sz w:val="22"/>
          <w:szCs w:val="22"/>
        </w:rPr>
        <w:t>;</w:t>
      </w:r>
      <w:r w:rsidRPr="000A1C39">
        <w:rPr>
          <w:rFonts w:ascii="Arial" w:hAnsi="Arial" w:cs="Arial"/>
          <w:sz w:val="22"/>
          <w:szCs w:val="22"/>
        </w:rPr>
        <w:t xml:space="preserve"> </w:t>
      </w:r>
    </w:p>
    <w:p w14:paraId="1EF4C9E6" w14:textId="2FD6B808" w:rsidR="003F6C9E" w:rsidRPr="001063B0" w:rsidRDefault="003F6C9E" w:rsidP="001063B0">
      <w:pPr>
        <w:pStyle w:val="ListParagraph"/>
        <w:numPr>
          <w:ilvl w:val="0"/>
          <w:numId w:val="29"/>
        </w:numPr>
        <w:rPr>
          <w:rFonts w:ascii="Arial" w:hAnsi="Arial" w:cs="Arial"/>
        </w:rPr>
      </w:pPr>
      <w:r w:rsidRPr="001063B0">
        <w:rPr>
          <w:rFonts w:ascii="Arial" w:hAnsi="Arial" w:cs="Arial"/>
        </w:rPr>
        <w:t>The relevant economic and financial forecasts for the UK economy as a whole over the short, medium and long term</w:t>
      </w:r>
      <w:r w:rsidR="00300585" w:rsidRPr="001063B0">
        <w:rPr>
          <w:rFonts w:ascii="Arial" w:hAnsi="Arial" w:cs="Arial"/>
        </w:rPr>
        <w:t>;</w:t>
      </w:r>
    </w:p>
    <w:p w14:paraId="62133BFB" w14:textId="5B5EE040" w:rsidR="003F6C9E" w:rsidRPr="001063B0" w:rsidRDefault="003F6C9E" w:rsidP="001063B0">
      <w:pPr>
        <w:pStyle w:val="ListParagraph"/>
        <w:numPr>
          <w:ilvl w:val="0"/>
          <w:numId w:val="29"/>
        </w:numPr>
        <w:rPr>
          <w:rFonts w:ascii="Arial" w:hAnsi="Arial" w:cs="Arial"/>
        </w:rPr>
      </w:pPr>
      <w:r w:rsidRPr="001063B0">
        <w:rPr>
          <w:rFonts w:ascii="Arial" w:hAnsi="Arial" w:cs="Arial"/>
        </w:rPr>
        <w:t xml:space="preserve">The rates of inflation that, in the opinion of the Treasury, are to be expected in the short, medium and long terms for (i) prices and earnings generally; </w:t>
      </w:r>
      <w:r w:rsidRPr="005B6611">
        <w:rPr>
          <w:rFonts w:ascii="Arial" w:hAnsi="Arial" w:cs="Arial"/>
        </w:rPr>
        <w:t>and (ii) on the cost of care and treatment</w:t>
      </w:r>
      <w:r w:rsidR="00300585" w:rsidRPr="001063B0">
        <w:rPr>
          <w:rFonts w:ascii="Arial" w:hAnsi="Arial" w:cs="Arial"/>
        </w:rPr>
        <w:t>;</w:t>
      </w:r>
    </w:p>
    <w:p w14:paraId="7B1ABE34" w14:textId="0FFCCF66" w:rsidR="003F6C9E" w:rsidRPr="001063B0" w:rsidRDefault="003F6C9E" w:rsidP="001063B0">
      <w:pPr>
        <w:pStyle w:val="ListParagraph"/>
        <w:numPr>
          <w:ilvl w:val="0"/>
          <w:numId w:val="29"/>
        </w:numPr>
        <w:rPr>
          <w:rFonts w:ascii="Arial" w:hAnsi="Arial" w:cs="Arial"/>
        </w:rPr>
      </w:pPr>
      <w:r w:rsidRPr="001063B0">
        <w:rPr>
          <w:rFonts w:ascii="Arial" w:hAnsi="Arial" w:cs="Arial"/>
        </w:rPr>
        <w:t>Whether, in the opinion of the Treasury, there is reason to change from a single rate to multiple rates, by reference to the duration of the award</w:t>
      </w:r>
      <w:r w:rsidR="005B6611">
        <w:rPr>
          <w:rFonts w:ascii="Arial" w:hAnsi="Arial" w:cs="Arial"/>
        </w:rPr>
        <w:t xml:space="preserve"> or heads of loss</w:t>
      </w:r>
      <w:r w:rsidR="00300585" w:rsidRPr="001063B0">
        <w:rPr>
          <w:rFonts w:ascii="Arial" w:hAnsi="Arial" w:cs="Arial"/>
        </w:rPr>
        <w:t>; and</w:t>
      </w:r>
    </w:p>
    <w:p w14:paraId="5D6AE3C2" w14:textId="5646E465" w:rsidR="003F6C9E" w:rsidRPr="00AC5B57" w:rsidRDefault="003F6C9E" w:rsidP="00BC19E1">
      <w:pPr>
        <w:pStyle w:val="ListParagraph"/>
        <w:numPr>
          <w:ilvl w:val="0"/>
          <w:numId w:val="29"/>
        </w:numPr>
        <w:rPr>
          <w:rFonts w:ascii="Arial" w:hAnsi="Arial" w:cs="Arial"/>
        </w:rPr>
      </w:pPr>
      <w:r w:rsidRPr="001063B0">
        <w:rPr>
          <w:rFonts w:ascii="Arial" w:hAnsi="Arial" w:cs="Arial"/>
        </w:rPr>
        <w:t>Any other matters that the Treasury considers relevant to the setting of the rate.</w:t>
      </w:r>
    </w:p>
    <w:p w14:paraId="1E32643C" w14:textId="2F375866" w:rsidR="001E2153" w:rsidRPr="00AC5B57" w:rsidRDefault="002624DE" w:rsidP="001C1689">
      <w:pPr>
        <w:rPr>
          <w:rFonts w:ascii="Arial" w:hAnsi="Arial" w:cs="Arial"/>
        </w:rPr>
      </w:pPr>
      <w:r w:rsidRPr="00AC5B57">
        <w:rPr>
          <w:rFonts w:ascii="Arial" w:hAnsi="Arial" w:cs="Arial"/>
        </w:rPr>
        <w:t xml:space="preserve">The </w:t>
      </w:r>
      <w:r w:rsidR="00521E9B" w:rsidRPr="00AC5B57">
        <w:rPr>
          <w:rFonts w:ascii="Arial" w:hAnsi="Arial" w:cs="Arial"/>
        </w:rPr>
        <w:t>Treasury</w:t>
      </w:r>
      <w:r w:rsidRPr="00AC5B57">
        <w:rPr>
          <w:rFonts w:ascii="Arial" w:hAnsi="Arial" w:cs="Arial"/>
        </w:rPr>
        <w:t xml:space="preserve"> </w:t>
      </w:r>
      <w:r w:rsidR="00566BE1" w:rsidRPr="00AC5B57">
        <w:rPr>
          <w:rFonts w:ascii="Arial" w:hAnsi="Arial" w:cs="Arial"/>
        </w:rPr>
        <w:t xml:space="preserve">will </w:t>
      </w:r>
      <w:r w:rsidR="005103DD" w:rsidRPr="00AC5B57">
        <w:rPr>
          <w:rFonts w:ascii="Arial" w:hAnsi="Arial" w:cs="Arial"/>
        </w:rPr>
        <w:t>consider</w:t>
      </w:r>
      <w:r w:rsidR="00566BE1" w:rsidRPr="00AC5B57">
        <w:rPr>
          <w:rFonts w:ascii="Arial" w:hAnsi="Arial" w:cs="Arial"/>
        </w:rPr>
        <w:t xml:space="preserve"> the responses to the Call for Evidence and the further research and analysis carried out by </w:t>
      </w:r>
      <w:r w:rsidR="003F6C9E" w:rsidRPr="00AC5B57">
        <w:rPr>
          <w:rFonts w:ascii="Arial" w:hAnsi="Arial" w:cs="Arial"/>
        </w:rPr>
        <w:t>the Expert Panel</w:t>
      </w:r>
      <w:r w:rsidR="00566BE1" w:rsidRPr="00AC5B57">
        <w:rPr>
          <w:rFonts w:ascii="Arial" w:hAnsi="Arial" w:cs="Arial"/>
        </w:rPr>
        <w:t xml:space="preserve"> in considering the Lord Chancellor’s request</w:t>
      </w:r>
      <w:r w:rsidR="00BC19E1" w:rsidRPr="00AC5B57">
        <w:rPr>
          <w:rFonts w:ascii="Arial" w:hAnsi="Arial" w:cs="Arial"/>
        </w:rPr>
        <w:t xml:space="preserve">, but </w:t>
      </w:r>
      <w:r w:rsidR="00486705" w:rsidRPr="00AC5B57">
        <w:rPr>
          <w:rFonts w:ascii="Arial" w:hAnsi="Arial" w:cs="Arial"/>
        </w:rPr>
        <w:t>is entitl</w:t>
      </w:r>
      <w:r w:rsidR="001E2153" w:rsidRPr="00AC5B57">
        <w:rPr>
          <w:rFonts w:ascii="Arial" w:hAnsi="Arial" w:cs="Arial"/>
        </w:rPr>
        <w:t xml:space="preserve">ed to decide what </w:t>
      </w:r>
      <w:r w:rsidR="00BC19E1" w:rsidRPr="00AC5B57">
        <w:rPr>
          <w:rFonts w:ascii="Arial" w:hAnsi="Arial" w:cs="Arial"/>
        </w:rPr>
        <w:t xml:space="preserve">other </w:t>
      </w:r>
      <w:r w:rsidR="001E2153" w:rsidRPr="00AC5B57">
        <w:rPr>
          <w:rFonts w:ascii="Arial" w:hAnsi="Arial" w:cs="Arial"/>
        </w:rPr>
        <w:t>evidence</w:t>
      </w:r>
      <w:r w:rsidR="00B54152" w:rsidRPr="00AC5B57">
        <w:rPr>
          <w:rFonts w:ascii="Arial" w:hAnsi="Arial" w:cs="Arial"/>
        </w:rPr>
        <w:t>, including oral evidence,</w:t>
      </w:r>
      <w:r w:rsidR="001E2153" w:rsidRPr="00AC5B57">
        <w:rPr>
          <w:rFonts w:ascii="Arial" w:hAnsi="Arial" w:cs="Arial"/>
        </w:rPr>
        <w:t xml:space="preserve"> to consider </w:t>
      </w:r>
      <w:r w:rsidR="005103DD" w:rsidRPr="00AC5B57">
        <w:rPr>
          <w:rFonts w:ascii="Arial" w:hAnsi="Arial" w:cs="Arial"/>
        </w:rPr>
        <w:t>while</w:t>
      </w:r>
      <w:r w:rsidR="001E2153" w:rsidRPr="00AC5B57">
        <w:rPr>
          <w:rFonts w:ascii="Arial" w:hAnsi="Arial" w:cs="Arial"/>
        </w:rPr>
        <w:t xml:space="preserve"> preparing </w:t>
      </w:r>
      <w:r w:rsidR="00521E9B" w:rsidRPr="00AC5B57">
        <w:rPr>
          <w:rFonts w:ascii="Arial" w:hAnsi="Arial" w:cs="Arial"/>
        </w:rPr>
        <w:t xml:space="preserve">its </w:t>
      </w:r>
      <w:r w:rsidR="001E2153" w:rsidRPr="00AC5B57">
        <w:rPr>
          <w:rFonts w:ascii="Arial" w:hAnsi="Arial" w:cs="Arial"/>
        </w:rPr>
        <w:t>response to the Lord Chancellor’s consultation</w:t>
      </w:r>
      <w:r w:rsidRPr="00AC5B57">
        <w:rPr>
          <w:rFonts w:ascii="Arial" w:hAnsi="Arial" w:cs="Arial"/>
        </w:rPr>
        <w:t xml:space="preserve"> and what weight to give to </w:t>
      </w:r>
      <w:r w:rsidR="00BC19E1" w:rsidRPr="00AC5B57">
        <w:rPr>
          <w:rFonts w:ascii="Arial" w:hAnsi="Arial" w:cs="Arial"/>
        </w:rPr>
        <w:t xml:space="preserve">the </w:t>
      </w:r>
      <w:r w:rsidRPr="00AC5B57">
        <w:rPr>
          <w:rFonts w:ascii="Arial" w:hAnsi="Arial" w:cs="Arial"/>
        </w:rPr>
        <w:t>evidence</w:t>
      </w:r>
      <w:r w:rsidR="00BC19E1" w:rsidRPr="00AC5B57">
        <w:rPr>
          <w:rFonts w:ascii="Arial" w:hAnsi="Arial" w:cs="Arial"/>
        </w:rPr>
        <w:t xml:space="preserve"> that </w:t>
      </w:r>
      <w:r w:rsidR="00521E9B" w:rsidRPr="00AC5B57">
        <w:rPr>
          <w:rFonts w:ascii="Arial" w:hAnsi="Arial" w:cs="Arial"/>
        </w:rPr>
        <w:t xml:space="preserve">it </w:t>
      </w:r>
      <w:r w:rsidR="00BC19E1" w:rsidRPr="00AC5B57">
        <w:rPr>
          <w:rFonts w:ascii="Arial" w:hAnsi="Arial" w:cs="Arial"/>
        </w:rPr>
        <w:t>considers</w:t>
      </w:r>
      <w:r w:rsidR="001E2153" w:rsidRPr="00AC5B57">
        <w:rPr>
          <w:rFonts w:ascii="Arial" w:hAnsi="Arial" w:cs="Arial"/>
        </w:rPr>
        <w:t>.</w:t>
      </w:r>
      <w:r w:rsidRPr="00AC5B57">
        <w:rPr>
          <w:rFonts w:ascii="Arial" w:hAnsi="Arial" w:cs="Arial"/>
        </w:rPr>
        <w:t xml:space="preserve"> </w:t>
      </w:r>
      <w:r w:rsidR="00521E9B" w:rsidRPr="00AC5B57">
        <w:rPr>
          <w:rFonts w:ascii="Arial" w:hAnsi="Arial" w:cs="Arial"/>
        </w:rPr>
        <w:t xml:space="preserve">It </w:t>
      </w:r>
      <w:r w:rsidRPr="00AC5B57">
        <w:rPr>
          <w:rFonts w:ascii="Arial" w:hAnsi="Arial" w:cs="Arial"/>
        </w:rPr>
        <w:t xml:space="preserve">may also draw conclusions from </w:t>
      </w:r>
      <w:r w:rsidR="00521E9B" w:rsidRPr="00AC5B57">
        <w:rPr>
          <w:rFonts w:ascii="Arial" w:hAnsi="Arial" w:cs="Arial"/>
        </w:rPr>
        <w:t xml:space="preserve">its </w:t>
      </w:r>
      <w:r w:rsidRPr="00AC5B57">
        <w:rPr>
          <w:rFonts w:ascii="Arial" w:hAnsi="Arial" w:cs="Arial"/>
        </w:rPr>
        <w:t>own experience.</w:t>
      </w:r>
      <w:r w:rsidR="00B54152" w:rsidRPr="00AC5B57">
        <w:rPr>
          <w:rFonts w:ascii="Arial" w:hAnsi="Arial" w:cs="Arial"/>
        </w:rPr>
        <w:t xml:space="preserve"> </w:t>
      </w:r>
    </w:p>
    <w:p w14:paraId="1E9E0C28" w14:textId="77777777" w:rsidR="003F6C9E" w:rsidRDefault="00360343" w:rsidP="001C1689">
      <w:pPr>
        <w:rPr>
          <w:rFonts w:ascii="Arial" w:hAnsi="Arial" w:cs="Arial"/>
        </w:rPr>
      </w:pPr>
      <w:r w:rsidRPr="00AC5B57">
        <w:rPr>
          <w:rFonts w:ascii="Arial" w:hAnsi="Arial" w:cs="Arial"/>
        </w:rPr>
        <w:t xml:space="preserve">Acting as a statutory consultee will not restrict or inhibit the ability of the </w:t>
      </w:r>
      <w:r w:rsidR="00696BB6" w:rsidRPr="00AC5B57">
        <w:rPr>
          <w:rFonts w:ascii="Arial" w:hAnsi="Arial" w:cs="Arial"/>
        </w:rPr>
        <w:t>Treasury</w:t>
      </w:r>
      <w:r w:rsidRPr="00AC5B57">
        <w:rPr>
          <w:rFonts w:ascii="Arial" w:hAnsi="Arial" w:cs="Arial"/>
        </w:rPr>
        <w:t xml:space="preserve"> to provide advice to the Lord Chancellor and his department outside the scope of the statutory consultation at any time, including during the statutory consultation period.</w:t>
      </w:r>
    </w:p>
    <w:p w14:paraId="7E538EED" w14:textId="582343AC" w:rsidR="002624DE" w:rsidRPr="004B23A8" w:rsidRDefault="003F6C9E" w:rsidP="001C1689">
      <w:pPr>
        <w:rPr>
          <w:rFonts w:ascii="Arial" w:hAnsi="Arial" w:cs="Arial"/>
        </w:rPr>
      </w:pPr>
      <w:r>
        <w:rPr>
          <w:rFonts w:ascii="Arial" w:hAnsi="Arial" w:cs="Arial"/>
        </w:rPr>
        <w:t>It is expected that some of the Treasury’s advice to the Lord Chancellor will be made public</w:t>
      </w:r>
      <w:r w:rsidR="000031C6">
        <w:rPr>
          <w:rFonts w:ascii="Arial" w:hAnsi="Arial" w:cs="Arial"/>
        </w:rPr>
        <w:t xml:space="preserve"> when the Lord Chancellor announces the outcome of the review.  </w:t>
      </w:r>
      <w:r w:rsidR="00360343">
        <w:rPr>
          <w:rFonts w:ascii="Arial" w:hAnsi="Arial" w:cs="Arial"/>
        </w:rPr>
        <w:t xml:space="preserve"> </w:t>
      </w:r>
    </w:p>
    <w:bookmarkEnd w:id="0"/>
    <w:p w14:paraId="2525D270" w14:textId="5AF58FE4" w:rsidR="00EF2832" w:rsidRDefault="001063B0" w:rsidP="14B24C48">
      <w:pPr>
        <w:rPr>
          <w:rFonts w:ascii="Arial" w:hAnsi="Arial" w:cs="Arial"/>
          <w:lang w:val="en-US"/>
        </w:rPr>
      </w:pPr>
      <w:r w:rsidRPr="14B24C48">
        <w:rPr>
          <w:rFonts w:ascii="Arial" w:hAnsi="Arial" w:cs="Arial"/>
          <w:lang w:val="en-US"/>
        </w:rPr>
        <w:t xml:space="preserve">Upon announcing the start of the review, the Lord Chancellor must make a determination within 180 days. In doing so, as per the CLA, the Lord Chancellor must consult HM Treasury and the Expert Panel. </w:t>
      </w:r>
      <w:r w:rsidR="00EF2832" w:rsidRPr="14B24C48">
        <w:rPr>
          <w:rFonts w:ascii="Arial" w:hAnsi="Arial" w:cs="Arial"/>
          <w:lang w:val="en-US"/>
        </w:rPr>
        <w:t xml:space="preserve">The Expert Panel must respond to the Lord Chancellor’s request for consultation within 90 days, beginning with the day on which its response is requested, and HM Treasury should respond to the Lord Chancellor at the same time as the Expert Panel. </w:t>
      </w:r>
    </w:p>
    <w:p w14:paraId="4FDAA703" w14:textId="199E0DC6" w:rsidR="00245463" w:rsidRPr="00443626" w:rsidRDefault="00EF2832" w:rsidP="14B24C48">
      <w:pPr>
        <w:rPr>
          <w:rFonts w:ascii="Arial" w:hAnsi="Arial" w:cs="Arial"/>
          <w:lang w:val="en-US"/>
        </w:rPr>
      </w:pPr>
      <w:r w:rsidRPr="14B24C48">
        <w:rPr>
          <w:rFonts w:ascii="Arial" w:hAnsi="Arial" w:cs="Arial"/>
          <w:lang w:val="en-US"/>
        </w:rPr>
        <w:lastRenderedPageBreak/>
        <w:t xml:space="preserve">In line with the sharing of information and analysis, HM Treasury should have sight of the Expert Panel’s final advice in advance of submitting their own advice. </w:t>
      </w:r>
      <w:r w:rsidR="00BC6816" w:rsidRPr="14B24C48">
        <w:rPr>
          <w:rFonts w:ascii="Arial" w:hAnsi="Arial" w:cs="Arial"/>
          <w:lang w:val="en-US"/>
        </w:rPr>
        <w:t xml:space="preserve">The </w:t>
      </w:r>
      <w:r w:rsidR="00804CFA" w:rsidRPr="14B24C48">
        <w:rPr>
          <w:rFonts w:ascii="Arial" w:hAnsi="Arial" w:cs="Arial"/>
          <w:lang w:val="en-US"/>
        </w:rPr>
        <w:t xml:space="preserve">response </w:t>
      </w:r>
      <w:r w:rsidR="00BC6816" w:rsidRPr="14B24C48">
        <w:rPr>
          <w:rFonts w:ascii="Arial" w:hAnsi="Arial" w:cs="Arial"/>
          <w:lang w:val="en-US"/>
        </w:rPr>
        <w:t xml:space="preserve">must contain a reasonable explanation of the advice provided. </w:t>
      </w:r>
      <w:r w:rsidR="00245463" w:rsidRPr="14B24C48">
        <w:rPr>
          <w:rFonts w:ascii="Arial" w:hAnsi="Arial" w:cs="Arial"/>
          <w:lang w:val="en-US"/>
        </w:rPr>
        <w:t>All conclusions set out in the response must be presented in such a way as to make clear the reasoning and evidence on which they are based.</w:t>
      </w:r>
    </w:p>
    <w:p w14:paraId="218887A2" w14:textId="07BFCAFA" w:rsidR="00A34025" w:rsidRPr="00A34025" w:rsidRDefault="00B437BC" w:rsidP="00A34025">
      <w:r w:rsidRPr="00443626">
        <w:rPr>
          <w:rFonts w:ascii="Arial" w:hAnsi="Arial" w:cs="Arial"/>
          <w:lang w:val="en"/>
        </w:rPr>
        <w:t>The format of the re</w:t>
      </w:r>
      <w:r w:rsidR="00804CFA" w:rsidRPr="00443626">
        <w:rPr>
          <w:rFonts w:ascii="Arial" w:hAnsi="Arial" w:cs="Arial"/>
          <w:lang w:val="en"/>
        </w:rPr>
        <w:t>sponse</w:t>
      </w:r>
      <w:r w:rsidRPr="00443626">
        <w:rPr>
          <w:rFonts w:ascii="Arial" w:hAnsi="Arial" w:cs="Arial"/>
          <w:lang w:val="en"/>
        </w:rPr>
        <w:t xml:space="preserve"> is</w:t>
      </w:r>
      <w:r w:rsidR="00694E75" w:rsidRPr="00443626">
        <w:rPr>
          <w:rFonts w:ascii="Arial" w:hAnsi="Arial" w:cs="Arial"/>
          <w:lang w:val="en"/>
        </w:rPr>
        <w:t xml:space="preserve"> to be agreed between the </w:t>
      </w:r>
      <w:r w:rsidR="00696BB6" w:rsidRPr="00443626">
        <w:rPr>
          <w:rFonts w:ascii="Arial" w:hAnsi="Arial" w:cs="Arial"/>
          <w:lang w:val="en"/>
        </w:rPr>
        <w:t>Treasury</w:t>
      </w:r>
      <w:r w:rsidR="00694E75" w:rsidRPr="00443626">
        <w:rPr>
          <w:rFonts w:ascii="Arial" w:hAnsi="Arial" w:cs="Arial"/>
          <w:lang w:val="en"/>
        </w:rPr>
        <w:t xml:space="preserve"> </w:t>
      </w:r>
      <w:r w:rsidRPr="00443626">
        <w:rPr>
          <w:rFonts w:ascii="Arial" w:hAnsi="Arial" w:cs="Arial"/>
          <w:lang w:val="en"/>
        </w:rPr>
        <w:t xml:space="preserve">and the </w:t>
      </w:r>
      <w:r w:rsidR="00E8305F" w:rsidRPr="00443626">
        <w:rPr>
          <w:rFonts w:ascii="Arial" w:hAnsi="Arial" w:cs="Arial"/>
          <w:lang w:val="en"/>
        </w:rPr>
        <w:t xml:space="preserve">Ministry of Justice </w:t>
      </w:r>
      <w:r w:rsidR="00235F9A" w:rsidRPr="00443626">
        <w:rPr>
          <w:rFonts w:ascii="Arial" w:hAnsi="Arial" w:cs="Arial"/>
          <w:lang w:val="en"/>
        </w:rPr>
        <w:t>prior to completion</w:t>
      </w:r>
      <w:r w:rsidRPr="00443626">
        <w:rPr>
          <w:rFonts w:ascii="Arial" w:hAnsi="Arial" w:cs="Arial"/>
          <w:lang w:val="en"/>
        </w:rPr>
        <w:t>.</w:t>
      </w:r>
    </w:p>
    <w:sectPr w:rsidR="00A34025" w:rsidRPr="00A34025">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F116" w14:textId="77777777" w:rsidR="00DB6C50" w:rsidRDefault="00DB6C50" w:rsidP="001162B7">
      <w:pPr>
        <w:spacing w:after="0" w:line="240" w:lineRule="auto"/>
      </w:pPr>
      <w:r>
        <w:separator/>
      </w:r>
    </w:p>
  </w:endnote>
  <w:endnote w:type="continuationSeparator" w:id="0">
    <w:p w14:paraId="659ADD2A" w14:textId="77777777" w:rsidR="00DB6C50" w:rsidRDefault="00DB6C50" w:rsidP="001162B7">
      <w:pPr>
        <w:spacing w:after="0" w:line="240" w:lineRule="auto"/>
      </w:pPr>
      <w:r>
        <w:continuationSeparator/>
      </w:r>
    </w:p>
  </w:endnote>
  <w:endnote w:type="continuationNotice" w:id="1">
    <w:p w14:paraId="49518F16" w14:textId="77777777" w:rsidR="00DB6C50" w:rsidRDefault="00DB6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783335"/>
      <w:docPartObj>
        <w:docPartGallery w:val="Page Numbers (Bottom of Page)"/>
        <w:docPartUnique/>
      </w:docPartObj>
    </w:sdtPr>
    <w:sdtEndPr>
      <w:rPr>
        <w:noProof/>
      </w:rPr>
    </w:sdtEndPr>
    <w:sdtContent>
      <w:p w14:paraId="3433A7B9" w14:textId="76CD29B6" w:rsidR="002E12BC" w:rsidRDefault="002E12BC">
        <w:pPr>
          <w:pStyle w:val="Footer"/>
          <w:jc w:val="center"/>
        </w:pPr>
        <w:r>
          <w:fldChar w:fldCharType="begin"/>
        </w:r>
        <w:r>
          <w:instrText xml:space="preserve"> PAGE   \* MERGEFORMAT </w:instrText>
        </w:r>
        <w:r>
          <w:fldChar w:fldCharType="separate"/>
        </w:r>
        <w:r w:rsidR="0051583B">
          <w:rPr>
            <w:noProof/>
          </w:rPr>
          <w:t>3</w:t>
        </w:r>
        <w:r>
          <w:rPr>
            <w:noProof/>
          </w:rPr>
          <w:fldChar w:fldCharType="end"/>
        </w:r>
      </w:p>
    </w:sdtContent>
  </w:sdt>
  <w:p w14:paraId="157B85B9" w14:textId="1EAB7EFE" w:rsidR="002E12BC" w:rsidRPr="007E3CA7" w:rsidRDefault="002E12BC" w:rsidP="007E3CA7">
    <w:pPr>
      <w:pStyle w:val="Footer"/>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085A" w14:textId="77777777" w:rsidR="00DB6C50" w:rsidRDefault="00DB6C50" w:rsidP="001162B7">
      <w:pPr>
        <w:spacing w:after="0" w:line="240" w:lineRule="auto"/>
      </w:pPr>
      <w:r>
        <w:separator/>
      </w:r>
    </w:p>
  </w:footnote>
  <w:footnote w:type="continuationSeparator" w:id="0">
    <w:p w14:paraId="6FBC9D4D" w14:textId="77777777" w:rsidR="00DB6C50" w:rsidRDefault="00DB6C50" w:rsidP="001162B7">
      <w:pPr>
        <w:spacing w:after="0" w:line="240" w:lineRule="auto"/>
      </w:pPr>
      <w:r>
        <w:continuationSeparator/>
      </w:r>
    </w:p>
  </w:footnote>
  <w:footnote w:type="continuationNotice" w:id="1">
    <w:p w14:paraId="30B44E22" w14:textId="77777777" w:rsidR="00DB6C50" w:rsidRDefault="00DB6C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0D7A" w14:textId="48F006B3" w:rsidR="00443626" w:rsidRDefault="0044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342E" w14:textId="3B3DD672" w:rsidR="002E12BC" w:rsidRPr="00443626" w:rsidRDefault="002E12BC" w:rsidP="00443626">
    <w:pPr>
      <w:pStyle w:val="Header"/>
      <w:jc w:val="center"/>
      <w:rPr>
        <w:rFonts w:ascii="Arial" w:hAnsi="Arial" w:cs="Arial"/>
      </w:rPr>
    </w:pPr>
    <w:r w:rsidRPr="004B23A8">
      <w:rPr>
        <w:rFonts w:ascii="Arial" w:hAnsi="Arial" w:cs="Arial"/>
      </w:rPr>
      <w:t>Terms of Reference</w:t>
    </w:r>
    <w:r w:rsidR="00AC5B57">
      <w:rPr>
        <w:rFonts w:ascii="Arial" w:hAnsi="Arial" w:cs="Arial"/>
      </w:rPr>
      <w:t xml:space="preserve"> </w:t>
    </w:r>
    <w:r w:rsidRPr="004B23A8">
      <w:rPr>
        <w:rFonts w:ascii="Arial" w:hAnsi="Arial" w:cs="Arial"/>
      </w:rPr>
      <w:t>- PIDR review</w:t>
    </w:r>
    <w:r w:rsidR="00AC5B57">
      <w:rPr>
        <w:rFonts w:ascii="Arial" w:hAnsi="Arial" w:cs="Arial"/>
      </w:rPr>
      <w:t xml:space="preserve"> 2024</w:t>
    </w:r>
    <w:r w:rsidRPr="004B23A8">
      <w:rPr>
        <w:rFonts w:ascii="Arial" w:hAnsi="Arial" w:cs="Arial"/>
      </w:rPr>
      <w:t xml:space="preserve"> </w:t>
    </w:r>
    <w:r w:rsidR="00AC5B57">
      <w:rPr>
        <w:rFonts w:ascii="Arial" w:hAnsi="Arial" w:cs="Arial"/>
      </w:rPr>
      <w:t>–</w:t>
    </w:r>
    <w:r w:rsidR="00E8305F">
      <w:rPr>
        <w:rFonts w:ascii="Arial" w:hAnsi="Arial" w:cs="Arial"/>
      </w:rPr>
      <w:t xml:space="preserve"> </w:t>
    </w:r>
    <w:r w:rsidR="00AC5B57">
      <w:rPr>
        <w:rFonts w:ascii="Arial" w:hAnsi="Arial" w:cs="Arial"/>
      </w:rPr>
      <w:t xml:space="preserve">HM </w:t>
    </w:r>
    <w:r>
      <w:rPr>
        <w:rFonts w:ascii="Arial" w:hAnsi="Arial" w:cs="Arial"/>
      </w:rPr>
      <w:t>Treasury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5D1C" w14:textId="27B0E939" w:rsidR="00443626" w:rsidRDefault="00443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A67"/>
    <w:multiLevelType w:val="hybridMultilevel"/>
    <w:tmpl w:val="8DA4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4649"/>
    <w:multiLevelType w:val="hybridMultilevel"/>
    <w:tmpl w:val="1F44F5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B3FE2"/>
    <w:multiLevelType w:val="hybridMultilevel"/>
    <w:tmpl w:val="1BE44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C6B1D"/>
    <w:multiLevelType w:val="hybridMultilevel"/>
    <w:tmpl w:val="2CA0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F5819"/>
    <w:multiLevelType w:val="hybridMultilevel"/>
    <w:tmpl w:val="0D0E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20EE8"/>
    <w:multiLevelType w:val="multilevel"/>
    <w:tmpl w:val="3EAE17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C28E1"/>
    <w:multiLevelType w:val="hybridMultilevel"/>
    <w:tmpl w:val="744C19F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52956"/>
    <w:multiLevelType w:val="hybridMultilevel"/>
    <w:tmpl w:val="20303DF2"/>
    <w:lvl w:ilvl="0" w:tplc="8CF86C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15636A"/>
    <w:multiLevelType w:val="hybridMultilevel"/>
    <w:tmpl w:val="6EDED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92EC5"/>
    <w:multiLevelType w:val="hybridMultilevel"/>
    <w:tmpl w:val="FA88C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315F50"/>
    <w:multiLevelType w:val="hybridMultilevel"/>
    <w:tmpl w:val="71FC4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9E3305A"/>
    <w:multiLevelType w:val="hybridMultilevel"/>
    <w:tmpl w:val="65AAB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BD6FB7"/>
    <w:multiLevelType w:val="hybridMultilevel"/>
    <w:tmpl w:val="CE564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96D27"/>
    <w:multiLevelType w:val="hybridMultilevel"/>
    <w:tmpl w:val="73A6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718C5"/>
    <w:multiLevelType w:val="hybridMultilevel"/>
    <w:tmpl w:val="C828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C514D"/>
    <w:multiLevelType w:val="hybridMultilevel"/>
    <w:tmpl w:val="73D2C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596B79"/>
    <w:multiLevelType w:val="hybridMultilevel"/>
    <w:tmpl w:val="959C2A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B5760E"/>
    <w:multiLevelType w:val="hybridMultilevel"/>
    <w:tmpl w:val="76C4AF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1D0A23"/>
    <w:multiLevelType w:val="hybridMultilevel"/>
    <w:tmpl w:val="2E8E7C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35E8B"/>
    <w:multiLevelType w:val="hybridMultilevel"/>
    <w:tmpl w:val="AEE4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D47FB"/>
    <w:multiLevelType w:val="hybridMultilevel"/>
    <w:tmpl w:val="B6D8E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0D10D2"/>
    <w:multiLevelType w:val="hybridMultilevel"/>
    <w:tmpl w:val="D38AD4B0"/>
    <w:lvl w:ilvl="0" w:tplc="2ECA670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602491"/>
    <w:multiLevelType w:val="hybridMultilevel"/>
    <w:tmpl w:val="0E8E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55987"/>
    <w:multiLevelType w:val="hybridMultilevel"/>
    <w:tmpl w:val="CA64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204DD"/>
    <w:multiLevelType w:val="multilevel"/>
    <w:tmpl w:val="60CE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C121D6"/>
    <w:multiLevelType w:val="hybridMultilevel"/>
    <w:tmpl w:val="AC0E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A31789"/>
    <w:multiLevelType w:val="hybridMultilevel"/>
    <w:tmpl w:val="4C9098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B9604BA"/>
    <w:multiLevelType w:val="hybridMultilevel"/>
    <w:tmpl w:val="67C42D22"/>
    <w:lvl w:ilvl="0" w:tplc="D67A8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C1758B"/>
    <w:multiLevelType w:val="hybridMultilevel"/>
    <w:tmpl w:val="3BD6D9F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481368">
    <w:abstractNumId w:val="11"/>
  </w:num>
  <w:num w:numId="2" w16cid:durableId="1719167184">
    <w:abstractNumId w:val="24"/>
  </w:num>
  <w:num w:numId="3" w16cid:durableId="1754472415">
    <w:abstractNumId w:val="3"/>
  </w:num>
  <w:num w:numId="4" w16cid:durableId="691339636">
    <w:abstractNumId w:val="5"/>
  </w:num>
  <w:num w:numId="5" w16cid:durableId="1675499329">
    <w:abstractNumId w:val="9"/>
  </w:num>
  <w:num w:numId="6" w16cid:durableId="228346975">
    <w:abstractNumId w:val="17"/>
  </w:num>
  <w:num w:numId="7" w16cid:durableId="13271330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7682040">
    <w:abstractNumId w:val="14"/>
  </w:num>
  <w:num w:numId="9" w16cid:durableId="135882167">
    <w:abstractNumId w:val="23"/>
  </w:num>
  <w:num w:numId="10" w16cid:durableId="1805544370">
    <w:abstractNumId w:val="13"/>
  </w:num>
  <w:num w:numId="11" w16cid:durableId="1110466224">
    <w:abstractNumId w:val="18"/>
  </w:num>
  <w:num w:numId="12" w16cid:durableId="542595008">
    <w:abstractNumId w:val="15"/>
  </w:num>
  <w:num w:numId="13" w16cid:durableId="1351032897">
    <w:abstractNumId w:val="1"/>
  </w:num>
  <w:num w:numId="14" w16cid:durableId="1249851110">
    <w:abstractNumId w:val="4"/>
  </w:num>
  <w:num w:numId="15" w16cid:durableId="2001418510">
    <w:abstractNumId w:val="28"/>
  </w:num>
  <w:num w:numId="16" w16cid:durableId="475954890">
    <w:abstractNumId w:val="12"/>
  </w:num>
  <w:num w:numId="17" w16cid:durableId="886991134">
    <w:abstractNumId w:val="22"/>
  </w:num>
  <w:num w:numId="18" w16cid:durableId="2112889873">
    <w:abstractNumId w:val="21"/>
  </w:num>
  <w:num w:numId="19" w16cid:durableId="306013433">
    <w:abstractNumId w:val="20"/>
  </w:num>
  <w:num w:numId="20" w16cid:durableId="957836980">
    <w:abstractNumId w:val="19"/>
  </w:num>
  <w:num w:numId="21" w16cid:durableId="94986728">
    <w:abstractNumId w:val="2"/>
  </w:num>
  <w:num w:numId="22" w16cid:durableId="755637058">
    <w:abstractNumId w:val="26"/>
  </w:num>
  <w:num w:numId="23" w16cid:durableId="1946424197">
    <w:abstractNumId w:val="8"/>
  </w:num>
  <w:num w:numId="24" w16cid:durableId="876117347">
    <w:abstractNumId w:val="27"/>
  </w:num>
  <w:num w:numId="25" w16cid:durableId="109669660">
    <w:abstractNumId w:val="25"/>
  </w:num>
  <w:num w:numId="26" w16cid:durableId="2057116038">
    <w:abstractNumId w:val="6"/>
  </w:num>
  <w:num w:numId="27" w16cid:durableId="2136289017">
    <w:abstractNumId w:val="16"/>
  </w:num>
  <w:num w:numId="28" w16cid:durableId="234512681">
    <w:abstractNumId w:val="7"/>
  </w:num>
  <w:num w:numId="29" w16cid:durableId="90298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55"/>
    <w:rsid w:val="000031C6"/>
    <w:rsid w:val="0001357A"/>
    <w:rsid w:val="00021C57"/>
    <w:rsid w:val="00023B2A"/>
    <w:rsid w:val="00025D49"/>
    <w:rsid w:val="00046105"/>
    <w:rsid w:val="0005149C"/>
    <w:rsid w:val="00052FB2"/>
    <w:rsid w:val="00072CFB"/>
    <w:rsid w:val="0007586C"/>
    <w:rsid w:val="00076776"/>
    <w:rsid w:val="000774E1"/>
    <w:rsid w:val="000830BE"/>
    <w:rsid w:val="0008384E"/>
    <w:rsid w:val="00086100"/>
    <w:rsid w:val="00091C0A"/>
    <w:rsid w:val="0009422E"/>
    <w:rsid w:val="00094DB4"/>
    <w:rsid w:val="00096E9A"/>
    <w:rsid w:val="0009723C"/>
    <w:rsid w:val="000A1C39"/>
    <w:rsid w:val="000A255B"/>
    <w:rsid w:val="000A2925"/>
    <w:rsid w:val="000A341A"/>
    <w:rsid w:val="000A7430"/>
    <w:rsid w:val="000C7EDF"/>
    <w:rsid w:val="000D03DF"/>
    <w:rsid w:val="000D04D8"/>
    <w:rsid w:val="000F72AD"/>
    <w:rsid w:val="0010060C"/>
    <w:rsid w:val="001026E3"/>
    <w:rsid w:val="00104699"/>
    <w:rsid w:val="001063B0"/>
    <w:rsid w:val="001101B7"/>
    <w:rsid w:val="001103EC"/>
    <w:rsid w:val="001162B7"/>
    <w:rsid w:val="00116705"/>
    <w:rsid w:val="0013302F"/>
    <w:rsid w:val="00140F1F"/>
    <w:rsid w:val="00143035"/>
    <w:rsid w:val="001469B8"/>
    <w:rsid w:val="00153E41"/>
    <w:rsid w:val="00160AC4"/>
    <w:rsid w:val="00175BBE"/>
    <w:rsid w:val="00181232"/>
    <w:rsid w:val="00190442"/>
    <w:rsid w:val="001918BF"/>
    <w:rsid w:val="00195358"/>
    <w:rsid w:val="001B25E6"/>
    <w:rsid w:val="001B501C"/>
    <w:rsid w:val="001C1689"/>
    <w:rsid w:val="001C205A"/>
    <w:rsid w:val="001D2478"/>
    <w:rsid w:val="001D5540"/>
    <w:rsid w:val="001E2153"/>
    <w:rsid w:val="001F08A0"/>
    <w:rsid w:val="001F29A9"/>
    <w:rsid w:val="00222B47"/>
    <w:rsid w:val="00235F9A"/>
    <w:rsid w:val="00242E66"/>
    <w:rsid w:val="00245463"/>
    <w:rsid w:val="00260610"/>
    <w:rsid w:val="002624DE"/>
    <w:rsid w:val="0026299C"/>
    <w:rsid w:val="00265126"/>
    <w:rsid w:val="002655BA"/>
    <w:rsid w:val="00274411"/>
    <w:rsid w:val="0028111E"/>
    <w:rsid w:val="00283365"/>
    <w:rsid w:val="00291B0D"/>
    <w:rsid w:val="0029276C"/>
    <w:rsid w:val="002A081C"/>
    <w:rsid w:val="002A37E7"/>
    <w:rsid w:val="002A5713"/>
    <w:rsid w:val="002B7977"/>
    <w:rsid w:val="002C2744"/>
    <w:rsid w:val="002C4E57"/>
    <w:rsid w:val="002E12BC"/>
    <w:rsid w:val="002E7EC8"/>
    <w:rsid w:val="00300585"/>
    <w:rsid w:val="00302A27"/>
    <w:rsid w:val="003046E6"/>
    <w:rsid w:val="00305C8A"/>
    <w:rsid w:val="00324448"/>
    <w:rsid w:val="00335903"/>
    <w:rsid w:val="00340835"/>
    <w:rsid w:val="00350FF0"/>
    <w:rsid w:val="0035592C"/>
    <w:rsid w:val="00360343"/>
    <w:rsid w:val="0036193C"/>
    <w:rsid w:val="00372CFE"/>
    <w:rsid w:val="003763EC"/>
    <w:rsid w:val="0038027C"/>
    <w:rsid w:val="003829ED"/>
    <w:rsid w:val="00385520"/>
    <w:rsid w:val="00387E20"/>
    <w:rsid w:val="00395C9B"/>
    <w:rsid w:val="003A4193"/>
    <w:rsid w:val="003A475A"/>
    <w:rsid w:val="003A4A76"/>
    <w:rsid w:val="003A684A"/>
    <w:rsid w:val="003C6578"/>
    <w:rsid w:val="003F6C9E"/>
    <w:rsid w:val="00400D13"/>
    <w:rsid w:val="00402267"/>
    <w:rsid w:val="00403E55"/>
    <w:rsid w:val="00404761"/>
    <w:rsid w:val="00407A0C"/>
    <w:rsid w:val="004107A3"/>
    <w:rsid w:val="00420496"/>
    <w:rsid w:val="00431A8D"/>
    <w:rsid w:val="004338A3"/>
    <w:rsid w:val="00437ADD"/>
    <w:rsid w:val="0044284C"/>
    <w:rsid w:val="00443626"/>
    <w:rsid w:val="004451D4"/>
    <w:rsid w:val="00467127"/>
    <w:rsid w:val="00474C2F"/>
    <w:rsid w:val="00486705"/>
    <w:rsid w:val="00495C12"/>
    <w:rsid w:val="004B23A8"/>
    <w:rsid w:val="004E121B"/>
    <w:rsid w:val="004E4AE9"/>
    <w:rsid w:val="004E67F9"/>
    <w:rsid w:val="004F5B30"/>
    <w:rsid w:val="004F6F5F"/>
    <w:rsid w:val="005103DD"/>
    <w:rsid w:val="0051270D"/>
    <w:rsid w:val="0051583B"/>
    <w:rsid w:val="00521E9B"/>
    <w:rsid w:val="00526203"/>
    <w:rsid w:val="00535200"/>
    <w:rsid w:val="005371EA"/>
    <w:rsid w:val="00552CD2"/>
    <w:rsid w:val="00552F74"/>
    <w:rsid w:val="005577F4"/>
    <w:rsid w:val="00566BE1"/>
    <w:rsid w:val="00572AAF"/>
    <w:rsid w:val="00575E04"/>
    <w:rsid w:val="00584981"/>
    <w:rsid w:val="0059622F"/>
    <w:rsid w:val="005A0B0D"/>
    <w:rsid w:val="005A5B02"/>
    <w:rsid w:val="005B6611"/>
    <w:rsid w:val="005C0209"/>
    <w:rsid w:val="005C1D8F"/>
    <w:rsid w:val="005E5159"/>
    <w:rsid w:val="005E5F4C"/>
    <w:rsid w:val="00614A7B"/>
    <w:rsid w:val="00617E67"/>
    <w:rsid w:val="00624BFB"/>
    <w:rsid w:val="006346A3"/>
    <w:rsid w:val="00635159"/>
    <w:rsid w:val="006426AB"/>
    <w:rsid w:val="00643F84"/>
    <w:rsid w:val="00646C5C"/>
    <w:rsid w:val="00646DE4"/>
    <w:rsid w:val="00661802"/>
    <w:rsid w:val="006640AF"/>
    <w:rsid w:val="00694E75"/>
    <w:rsid w:val="00696139"/>
    <w:rsid w:val="00696BB6"/>
    <w:rsid w:val="006A0169"/>
    <w:rsid w:val="006A4566"/>
    <w:rsid w:val="006B0192"/>
    <w:rsid w:val="006B4B43"/>
    <w:rsid w:val="006C53BA"/>
    <w:rsid w:val="006C6C67"/>
    <w:rsid w:val="006D0E27"/>
    <w:rsid w:val="006D6A7E"/>
    <w:rsid w:val="006D703D"/>
    <w:rsid w:val="006E09D4"/>
    <w:rsid w:val="006E33D3"/>
    <w:rsid w:val="006E3B77"/>
    <w:rsid w:val="006F1539"/>
    <w:rsid w:val="006F3E89"/>
    <w:rsid w:val="006F65F1"/>
    <w:rsid w:val="00710D0F"/>
    <w:rsid w:val="007207E1"/>
    <w:rsid w:val="00723407"/>
    <w:rsid w:val="00733C7E"/>
    <w:rsid w:val="007341E7"/>
    <w:rsid w:val="007374DD"/>
    <w:rsid w:val="0077030A"/>
    <w:rsid w:val="00775A54"/>
    <w:rsid w:val="0078311B"/>
    <w:rsid w:val="00784DD1"/>
    <w:rsid w:val="007928A9"/>
    <w:rsid w:val="00793522"/>
    <w:rsid w:val="007B2978"/>
    <w:rsid w:val="007B61FD"/>
    <w:rsid w:val="007C6866"/>
    <w:rsid w:val="007D0298"/>
    <w:rsid w:val="007D0FEF"/>
    <w:rsid w:val="007D410F"/>
    <w:rsid w:val="007E3CA7"/>
    <w:rsid w:val="0080270C"/>
    <w:rsid w:val="008027FC"/>
    <w:rsid w:val="00802901"/>
    <w:rsid w:val="00804CFA"/>
    <w:rsid w:val="00811786"/>
    <w:rsid w:val="00823A3A"/>
    <w:rsid w:val="008251D5"/>
    <w:rsid w:val="0083171F"/>
    <w:rsid w:val="00835EB8"/>
    <w:rsid w:val="0083624D"/>
    <w:rsid w:val="008370F1"/>
    <w:rsid w:val="008463F6"/>
    <w:rsid w:val="0086504B"/>
    <w:rsid w:val="0086654D"/>
    <w:rsid w:val="00871F2F"/>
    <w:rsid w:val="0088723E"/>
    <w:rsid w:val="00896E9D"/>
    <w:rsid w:val="008B6B61"/>
    <w:rsid w:val="008C04D9"/>
    <w:rsid w:val="008C0869"/>
    <w:rsid w:val="008F1C02"/>
    <w:rsid w:val="008F51E5"/>
    <w:rsid w:val="00905726"/>
    <w:rsid w:val="0091098A"/>
    <w:rsid w:val="00922C81"/>
    <w:rsid w:val="00923E5E"/>
    <w:rsid w:val="00974E1E"/>
    <w:rsid w:val="0097554A"/>
    <w:rsid w:val="0098115B"/>
    <w:rsid w:val="00983162"/>
    <w:rsid w:val="009877F5"/>
    <w:rsid w:val="00987E2A"/>
    <w:rsid w:val="00990B0F"/>
    <w:rsid w:val="009929CA"/>
    <w:rsid w:val="009A1CAB"/>
    <w:rsid w:val="009A49AC"/>
    <w:rsid w:val="009A7621"/>
    <w:rsid w:val="009C4CED"/>
    <w:rsid w:val="009E5173"/>
    <w:rsid w:val="009F096D"/>
    <w:rsid w:val="00A0387A"/>
    <w:rsid w:val="00A34025"/>
    <w:rsid w:val="00A36207"/>
    <w:rsid w:val="00A374F8"/>
    <w:rsid w:val="00A40702"/>
    <w:rsid w:val="00A40A90"/>
    <w:rsid w:val="00A51D9F"/>
    <w:rsid w:val="00A57448"/>
    <w:rsid w:val="00A66BD3"/>
    <w:rsid w:val="00A979E4"/>
    <w:rsid w:val="00AA5DA7"/>
    <w:rsid w:val="00AB0834"/>
    <w:rsid w:val="00AB755A"/>
    <w:rsid w:val="00AC5B57"/>
    <w:rsid w:val="00AC6168"/>
    <w:rsid w:val="00AD2527"/>
    <w:rsid w:val="00AD3855"/>
    <w:rsid w:val="00AD5199"/>
    <w:rsid w:val="00AE2377"/>
    <w:rsid w:val="00AE373D"/>
    <w:rsid w:val="00B00274"/>
    <w:rsid w:val="00B1093C"/>
    <w:rsid w:val="00B2095B"/>
    <w:rsid w:val="00B228E1"/>
    <w:rsid w:val="00B2653D"/>
    <w:rsid w:val="00B437BC"/>
    <w:rsid w:val="00B54152"/>
    <w:rsid w:val="00B637B7"/>
    <w:rsid w:val="00B70943"/>
    <w:rsid w:val="00B938B1"/>
    <w:rsid w:val="00B94EBE"/>
    <w:rsid w:val="00B979F2"/>
    <w:rsid w:val="00BB0F53"/>
    <w:rsid w:val="00BB3496"/>
    <w:rsid w:val="00BB7151"/>
    <w:rsid w:val="00BC042F"/>
    <w:rsid w:val="00BC19E1"/>
    <w:rsid w:val="00BC6102"/>
    <w:rsid w:val="00BC6816"/>
    <w:rsid w:val="00BD3DE5"/>
    <w:rsid w:val="00BE5341"/>
    <w:rsid w:val="00C02AB2"/>
    <w:rsid w:val="00C10155"/>
    <w:rsid w:val="00C16226"/>
    <w:rsid w:val="00C402CD"/>
    <w:rsid w:val="00C414AB"/>
    <w:rsid w:val="00C452E1"/>
    <w:rsid w:val="00C55DCA"/>
    <w:rsid w:val="00C84E63"/>
    <w:rsid w:val="00C931CD"/>
    <w:rsid w:val="00CA7092"/>
    <w:rsid w:val="00CB0CD3"/>
    <w:rsid w:val="00CD0BC3"/>
    <w:rsid w:val="00CD50BD"/>
    <w:rsid w:val="00CE08CB"/>
    <w:rsid w:val="00CE2BE8"/>
    <w:rsid w:val="00CF0435"/>
    <w:rsid w:val="00CF3AE2"/>
    <w:rsid w:val="00CF6E3C"/>
    <w:rsid w:val="00D03CEE"/>
    <w:rsid w:val="00D11C66"/>
    <w:rsid w:val="00D12ACB"/>
    <w:rsid w:val="00D17882"/>
    <w:rsid w:val="00D2396B"/>
    <w:rsid w:val="00D23A88"/>
    <w:rsid w:val="00D44B41"/>
    <w:rsid w:val="00D5429E"/>
    <w:rsid w:val="00D646F2"/>
    <w:rsid w:val="00D75A0F"/>
    <w:rsid w:val="00D769B4"/>
    <w:rsid w:val="00D8061D"/>
    <w:rsid w:val="00D85173"/>
    <w:rsid w:val="00D903BA"/>
    <w:rsid w:val="00D9236C"/>
    <w:rsid w:val="00D94410"/>
    <w:rsid w:val="00D94E7F"/>
    <w:rsid w:val="00D957F9"/>
    <w:rsid w:val="00DB3625"/>
    <w:rsid w:val="00DB4442"/>
    <w:rsid w:val="00DB6C50"/>
    <w:rsid w:val="00DC2FBA"/>
    <w:rsid w:val="00DD04F3"/>
    <w:rsid w:val="00DE4B6B"/>
    <w:rsid w:val="00DE5981"/>
    <w:rsid w:val="00DF1B9F"/>
    <w:rsid w:val="00DF3730"/>
    <w:rsid w:val="00DF5831"/>
    <w:rsid w:val="00E01A42"/>
    <w:rsid w:val="00E1341D"/>
    <w:rsid w:val="00E32710"/>
    <w:rsid w:val="00E40A3B"/>
    <w:rsid w:val="00E5002C"/>
    <w:rsid w:val="00E64153"/>
    <w:rsid w:val="00E717B6"/>
    <w:rsid w:val="00E82979"/>
    <w:rsid w:val="00E8305F"/>
    <w:rsid w:val="00E90629"/>
    <w:rsid w:val="00E92340"/>
    <w:rsid w:val="00E96233"/>
    <w:rsid w:val="00EA1179"/>
    <w:rsid w:val="00EA75BF"/>
    <w:rsid w:val="00EB0CF0"/>
    <w:rsid w:val="00EB6932"/>
    <w:rsid w:val="00EC06F9"/>
    <w:rsid w:val="00ED1F76"/>
    <w:rsid w:val="00EF0B01"/>
    <w:rsid w:val="00EF2832"/>
    <w:rsid w:val="00EF4527"/>
    <w:rsid w:val="00F02E64"/>
    <w:rsid w:val="00F13582"/>
    <w:rsid w:val="00F272B7"/>
    <w:rsid w:val="00F363DB"/>
    <w:rsid w:val="00F366E7"/>
    <w:rsid w:val="00F40C68"/>
    <w:rsid w:val="00F43497"/>
    <w:rsid w:val="00F56BF5"/>
    <w:rsid w:val="00F605B4"/>
    <w:rsid w:val="00F606FB"/>
    <w:rsid w:val="00F72D58"/>
    <w:rsid w:val="00F84DDA"/>
    <w:rsid w:val="00F84E88"/>
    <w:rsid w:val="00F8636F"/>
    <w:rsid w:val="00F86EF4"/>
    <w:rsid w:val="00F908C7"/>
    <w:rsid w:val="00FD7C52"/>
    <w:rsid w:val="00FE0BF9"/>
    <w:rsid w:val="00FE1AD2"/>
    <w:rsid w:val="00FF3ECF"/>
    <w:rsid w:val="00FF7001"/>
    <w:rsid w:val="14B24C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A6271"/>
  <w15:chartTrackingRefBased/>
  <w15:docId w15:val="{58072CB3-F75D-41AA-ACC4-D6A06472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3DF"/>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403E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3E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3DF"/>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403E5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3E5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03E55"/>
    <w:pPr>
      <w:ind w:left="720"/>
      <w:contextualSpacing/>
    </w:pPr>
  </w:style>
  <w:style w:type="character" w:styleId="Hyperlink">
    <w:name w:val="Hyperlink"/>
    <w:basedOn w:val="DefaultParagraphFont"/>
    <w:uiPriority w:val="99"/>
    <w:unhideWhenUsed/>
    <w:rsid w:val="00403E55"/>
    <w:rPr>
      <w:color w:val="0000FF"/>
      <w:u w:val="single"/>
    </w:rPr>
  </w:style>
  <w:style w:type="character" w:styleId="CommentReference">
    <w:name w:val="annotation reference"/>
    <w:basedOn w:val="DefaultParagraphFont"/>
    <w:uiPriority w:val="99"/>
    <w:semiHidden/>
    <w:unhideWhenUsed/>
    <w:rsid w:val="00A34025"/>
    <w:rPr>
      <w:sz w:val="16"/>
      <w:szCs w:val="16"/>
    </w:rPr>
  </w:style>
  <w:style w:type="paragraph" w:styleId="CommentText">
    <w:name w:val="annotation text"/>
    <w:basedOn w:val="Normal"/>
    <w:link w:val="CommentTextChar"/>
    <w:uiPriority w:val="99"/>
    <w:semiHidden/>
    <w:unhideWhenUsed/>
    <w:rsid w:val="00A34025"/>
    <w:pPr>
      <w:spacing w:line="240" w:lineRule="auto"/>
    </w:pPr>
    <w:rPr>
      <w:sz w:val="20"/>
      <w:szCs w:val="20"/>
    </w:rPr>
  </w:style>
  <w:style w:type="character" w:customStyle="1" w:styleId="CommentTextChar">
    <w:name w:val="Comment Text Char"/>
    <w:basedOn w:val="DefaultParagraphFont"/>
    <w:link w:val="CommentText"/>
    <w:uiPriority w:val="99"/>
    <w:semiHidden/>
    <w:rsid w:val="00A34025"/>
    <w:rPr>
      <w:sz w:val="20"/>
      <w:szCs w:val="20"/>
    </w:rPr>
  </w:style>
  <w:style w:type="paragraph" w:styleId="CommentSubject">
    <w:name w:val="annotation subject"/>
    <w:basedOn w:val="CommentText"/>
    <w:next w:val="CommentText"/>
    <w:link w:val="CommentSubjectChar"/>
    <w:uiPriority w:val="99"/>
    <w:semiHidden/>
    <w:unhideWhenUsed/>
    <w:rsid w:val="00A34025"/>
    <w:rPr>
      <w:b/>
      <w:bCs/>
    </w:rPr>
  </w:style>
  <w:style w:type="character" w:customStyle="1" w:styleId="CommentSubjectChar">
    <w:name w:val="Comment Subject Char"/>
    <w:basedOn w:val="CommentTextChar"/>
    <w:link w:val="CommentSubject"/>
    <w:uiPriority w:val="99"/>
    <w:semiHidden/>
    <w:rsid w:val="00A34025"/>
    <w:rPr>
      <w:b/>
      <w:bCs/>
      <w:sz w:val="20"/>
      <w:szCs w:val="20"/>
    </w:rPr>
  </w:style>
  <w:style w:type="paragraph" w:styleId="BalloonText">
    <w:name w:val="Balloon Text"/>
    <w:basedOn w:val="Normal"/>
    <w:link w:val="BalloonTextChar"/>
    <w:uiPriority w:val="99"/>
    <w:semiHidden/>
    <w:unhideWhenUsed/>
    <w:rsid w:val="00A34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025"/>
    <w:rPr>
      <w:rFonts w:ascii="Segoe UI" w:hAnsi="Segoe UI" w:cs="Segoe UI"/>
      <w:sz w:val="18"/>
      <w:szCs w:val="18"/>
    </w:rPr>
  </w:style>
  <w:style w:type="table" w:styleId="TableGrid">
    <w:name w:val="Table Grid"/>
    <w:basedOn w:val="TableNormal"/>
    <w:uiPriority w:val="39"/>
    <w:rsid w:val="00A3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C1689"/>
    <w:pPr>
      <w:spacing w:after="0" w:line="240" w:lineRule="auto"/>
    </w:pPr>
  </w:style>
  <w:style w:type="character" w:styleId="FollowedHyperlink">
    <w:name w:val="FollowedHyperlink"/>
    <w:basedOn w:val="DefaultParagraphFont"/>
    <w:uiPriority w:val="99"/>
    <w:semiHidden/>
    <w:unhideWhenUsed/>
    <w:rsid w:val="008463F6"/>
    <w:rPr>
      <w:color w:val="954F72" w:themeColor="followedHyperlink"/>
      <w:u w:val="single"/>
    </w:rPr>
  </w:style>
  <w:style w:type="paragraph" w:styleId="Header">
    <w:name w:val="header"/>
    <w:basedOn w:val="Normal"/>
    <w:link w:val="HeaderChar"/>
    <w:uiPriority w:val="99"/>
    <w:unhideWhenUsed/>
    <w:rsid w:val="001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2B7"/>
  </w:style>
  <w:style w:type="paragraph" w:styleId="Footer">
    <w:name w:val="footer"/>
    <w:basedOn w:val="Normal"/>
    <w:link w:val="FooterChar"/>
    <w:uiPriority w:val="99"/>
    <w:unhideWhenUsed/>
    <w:rsid w:val="001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2B7"/>
  </w:style>
  <w:style w:type="paragraph" w:styleId="Revision">
    <w:name w:val="Revision"/>
    <w:hidden/>
    <w:uiPriority w:val="99"/>
    <w:semiHidden/>
    <w:rsid w:val="00FE1AD2"/>
    <w:pPr>
      <w:spacing w:after="0" w:line="240" w:lineRule="auto"/>
    </w:pPr>
  </w:style>
  <w:style w:type="paragraph" w:customStyle="1" w:styleId="Default">
    <w:name w:val="Default"/>
    <w:rsid w:val="00A374F8"/>
    <w:pPr>
      <w:autoSpaceDE w:val="0"/>
      <w:autoSpaceDN w:val="0"/>
      <w:adjustRightInd w:val="0"/>
      <w:spacing w:after="0" w:line="240" w:lineRule="auto"/>
    </w:pPr>
    <w:rPr>
      <w:rFonts w:ascii="Arial" w:hAnsi="Arial" w:cs="Arial"/>
      <w:color w:val="000000"/>
      <w:sz w:val="24"/>
      <w:szCs w:val="24"/>
    </w:rPr>
  </w:style>
  <w:style w:type="character" w:customStyle="1" w:styleId="legds2">
    <w:name w:val="legds2"/>
    <w:basedOn w:val="DefaultParagraphFont"/>
    <w:rsid w:val="00D44B41"/>
    <w:rPr>
      <w:vanish w:val="0"/>
      <w:webHidden w:val="0"/>
      <w:specVanish w:val="0"/>
    </w:rPr>
  </w:style>
  <w:style w:type="paragraph" w:styleId="FootnoteText">
    <w:name w:val="footnote text"/>
    <w:basedOn w:val="Normal"/>
    <w:link w:val="FootnoteTextChar"/>
    <w:uiPriority w:val="99"/>
    <w:semiHidden/>
    <w:unhideWhenUsed/>
    <w:rsid w:val="00091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C0A"/>
    <w:rPr>
      <w:sz w:val="20"/>
      <w:szCs w:val="20"/>
    </w:rPr>
  </w:style>
  <w:style w:type="character" w:styleId="FootnoteReference">
    <w:name w:val="footnote reference"/>
    <w:basedOn w:val="DefaultParagraphFont"/>
    <w:uiPriority w:val="99"/>
    <w:semiHidden/>
    <w:unhideWhenUsed/>
    <w:rsid w:val="00091C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621">
      <w:bodyDiv w:val="1"/>
      <w:marLeft w:val="0"/>
      <w:marRight w:val="0"/>
      <w:marTop w:val="0"/>
      <w:marBottom w:val="0"/>
      <w:divBdr>
        <w:top w:val="none" w:sz="0" w:space="0" w:color="auto"/>
        <w:left w:val="none" w:sz="0" w:space="0" w:color="auto"/>
        <w:bottom w:val="none" w:sz="0" w:space="0" w:color="auto"/>
        <w:right w:val="none" w:sz="0" w:space="0" w:color="auto"/>
      </w:divBdr>
    </w:div>
    <w:div w:id="1493595580">
      <w:bodyDiv w:val="1"/>
      <w:marLeft w:val="0"/>
      <w:marRight w:val="0"/>
      <w:marTop w:val="0"/>
      <w:marBottom w:val="0"/>
      <w:divBdr>
        <w:top w:val="none" w:sz="0" w:space="0" w:color="auto"/>
        <w:left w:val="none" w:sz="0" w:space="0" w:color="auto"/>
        <w:bottom w:val="none" w:sz="0" w:space="0" w:color="auto"/>
        <w:right w:val="none" w:sz="0" w:space="0" w:color="auto"/>
      </w:divBdr>
      <w:divsChild>
        <w:div w:id="171384313">
          <w:marLeft w:val="0"/>
          <w:marRight w:val="0"/>
          <w:marTop w:val="0"/>
          <w:marBottom w:val="0"/>
          <w:divBdr>
            <w:top w:val="none" w:sz="0" w:space="0" w:color="auto"/>
            <w:left w:val="none" w:sz="0" w:space="0" w:color="auto"/>
            <w:bottom w:val="none" w:sz="0" w:space="0" w:color="auto"/>
            <w:right w:val="none" w:sz="0" w:space="0" w:color="auto"/>
          </w:divBdr>
          <w:divsChild>
            <w:div w:id="1708724005">
              <w:marLeft w:val="0"/>
              <w:marRight w:val="0"/>
              <w:marTop w:val="0"/>
              <w:marBottom w:val="0"/>
              <w:divBdr>
                <w:top w:val="none" w:sz="0" w:space="0" w:color="auto"/>
                <w:left w:val="none" w:sz="0" w:space="0" w:color="auto"/>
                <w:bottom w:val="none" w:sz="0" w:space="0" w:color="auto"/>
                <w:right w:val="none" w:sz="0" w:space="0" w:color="auto"/>
              </w:divBdr>
              <w:divsChild>
                <w:div w:id="340205186">
                  <w:marLeft w:val="0"/>
                  <w:marRight w:val="0"/>
                  <w:marTop w:val="0"/>
                  <w:marBottom w:val="0"/>
                  <w:divBdr>
                    <w:top w:val="none" w:sz="0" w:space="0" w:color="auto"/>
                    <w:left w:val="none" w:sz="0" w:space="0" w:color="auto"/>
                    <w:bottom w:val="none" w:sz="0" w:space="0" w:color="auto"/>
                    <w:right w:val="none" w:sz="0" w:space="0" w:color="auto"/>
                  </w:divBdr>
                  <w:divsChild>
                    <w:div w:id="35132344">
                      <w:marLeft w:val="0"/>
                      <w:marRight w:val="0"/>
                      <w:marTop w:val="0"/>
                      <w:marBottom w:val="0"/>
                      <w:divBdr>
                        <w:top w:val="none" w:sz="0" w:space="0" w:color="auto"/>
                        <w:left w:val="none" w:sz="0" w:space="0" w:color="auto"/>
                        <w:bottom w:val="none" w:sz="0" w:space="0" w:color="auto"/>
                        <w:right w:val="none" w:sz="0" w:space="0" w:color="auto"/>
                      </w:divBdr>
                      <w:divsChild>
                        <w:div w:id="2877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907472">
      <w:bodyDiv w:val="1"/>
      <w:marLeft w:val="0"/>
      <w:marRight w:val="0"/>
      <w:marTop w:val="0"/>
      <w:marBottom w:val="0"/>
      <w:divBdr>
        <w:top w:val="none" w:sz="0" w:space="0" w:color="auto"/>
        <w:left w:val="none" w:sz="0" w:space="0" w:color="auto"/>
        <w:bottom w:val="none" w:sz="0" w:space="0" w:color="auto"/>
        <w:right w:val="none" w:sz="0" w:space="0" w:color="auto"/>
      </w:divBdr>
    </w:div>
    <w:div w:id="18526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5B028ADB44545BF5DFB3BEDBE30D4" ma:contentTypeVersion="17" ma:contentTypeDescription="Create a new document." ma:contentTypeScope="" ma:versionID="2944403ce32a5d553044e89b9d47e5fc">
  <xsd:schema xmlns:xsd="http://www.w3.org/2001/XMLSchema" xmlns:xs="http://www.w3.org/2001/XMLSchema" xmlns:p="http://schemas.microsoft.com/office/2006/metadata/properties" xmlns:ns2="4178b40b-44d7-44a6-a312-a3441d6b74fb" xmlns:ns3="6bac5329-d69b-49d2-b396-4846cbc18f1d" targetNamespace="http://schemas.microsoft.com/office/2006/metadata/properties" ma:root="true" ma:fieldsID="ecd23018120596eba28562de2e2e8d8e" ns2:_="" ns3:_="">
    <xsd:import namespace="4178b40b-44d7-44a6-a312-a3441d6b74fb"/>
    <xsd:import namespace="6bac5329-d69b-49d2-b396-4846cbc18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_Flow_SignoffStatu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b40b-44d7-44a6-a312-a3441d6b7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c5329-d69b-49d2-b396-4846cbc18f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6ae79d-7b9d-472e-a249-f3c40cc9b690}" ma:internalName="TaxCatchAll" ma:showField="CatchAllData" ma:web="6bac5329-d69b-49d2-b396-4846cbc18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bac5329-d69b-49d2-b396-4846cbc18f1d">
      <UserInfo>
        <DisplayName>Tandon, Anjali - HMT</DisplayName>
        <AccountId>9800</AccountId>
        <AccountType/>
      </UserInfo>
      <UserInfo>
        <DisplayName>Challoner, Joel - HMT</DisplayName>
        <AccountId>4498</AccountId>
        <AccountType/>
      </UserInfo>
      <UserInfo>
        <DisplayName>Gudka, Reena - HMT</DisplayName>
        <AccountId>9082</AccountId>
        <AccountType/>
      </UserInfo>
      <UserInfo>
        <DisplayName>Cochrane, Shannon - HMT</DisplayName>
        <AccountId>111</AccountId>
        <AccountType/>
      </UserInfo>
    </SharedWithUsers>
    <_Flow_SignoffStatus xmlns="4178b40b-44d7-44a6-a312-a3441d6b74fb" xsi:nil="true"/>
    <lcf76f155ced4ddcb4097134ff3c332f xmlns="4178b40b-44d7-44a6-a312-a3441d6b74fb">
      <Terms xmlns="http://schemas.microsoft.com/office/infopath/2007/PartnerControls"/>
    </lcf76f155ced4ddcb4097134ff3c332f>
    <TaxCatchAll xmlns="6bac5329-d69b-49d2-b396-4846cbc18f1d" xsi:nil="true"/>
  </documentManagement>
</p:properties>
</file>

<file path=customXml/itemProps1.xml><?xml version="1.0" encoding="utf-8"?>
<ds:datastoreItem xmlns:ds="http://schemas.openxmlformats.org/officeDocument/2006/customXml" ds:itemID="{3EEDBB5A-0E28-4D30-970F-A8EC8E65F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8b40b-44d7-44a6-a312-a3441d6b74fb"/>
    <ds:schemaRef ds:uri="6bac5329-d69b-49d2-b396-4846cbc18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56D3D-09E4-4772-A282-B0D615B1F82A}">
  <ds:schemaRefs>
    <ds:schemaRef ds:uri="http://schemas.microsoft.com/sharepoint/v3/contenttype/forms"/>
  </ds:schemaRefs>
</ds:datastoreItem>
</file>

<file path=customXml/itemProps3.xml><?xml version="1.0" encoding="utf-8"?>
<ds:datastoreItem xmlns:ds="http://schemas.openxmlformats.org/officeDocument/2006/customXml" ds:itemID="{68539BDF-FC7F-42A9-A33D-BFB3583A24F9}">
  <ds:schemaRefs>
    <ds:schemaRef ds:uri="http://schemas.openxmlformats.org/officeDocument/2006/bibliography"/>
  </ds:schemaRefs>
</ds:datastoreItem>
</file>

<file path=customXml/itemProps4.xml><?xml version="1.0" encoding="utf-8"?>
<ds:datastoreItem xmlns:ds="http://schemas.openxmlformats.org/officeDocument/2006/customXml" ds:itemID="{11F3A8E0-A134-44B8-8682-91022C68B1D8}">
  <ds:schemaRefs>
    <ds:schemaRef ds:uri="http://schemas.microsoft.com/office/2006/metadata/properties"/>
    <ds:schemaRef ds:uri="http://schemas.microsoft.com/office/infopath/2007/PartnerControls"/>
    <ds:schemaRef ds:uri="http://schemas.microsoft.com/sharepoint/v3"/>
    <ds:schemaRef ds:uri="8485635d-cf54-460b-8438-0e2015e08040"/>
    <ds:schemaRef ds:uri="6bac5329-d69b-49d2-b396-4846cbc18f1d"/>
    <ds:schemaRef ds:uri="4178b40b-44d7-44a6-a312-a3441d6b74f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5415</Characters>
  <Application>Microsoft Office Word</Application>
  <DocSecurity>4</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 ToR_draft v2.docx</dc:title>
  <dc:subject/>
  <dc:creator>Ranford, Claudia</dc:creator>
  <cp:keywords/>
  <dc:description/>
  <cp:lastModifiedBy>BALDWIN, Callum</cp:lastModifiedBy>
  <cp:revision>2</cp:revision>
  <cp:lastPrinted>2019-03-01T10:11:00Z</cp:lastPrinted>
  <dcterms:created xsi:type="dcterms:W3CDTF">2024-07-30T09:49:00Z</dcterms:created>
  <dcterms:modified xsi:type="dcterms:W3CDTF">2024-07-30T09:49:00Z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0x010100C7D5B028ADB44545BF5DFB3BEDBE30D4</vt:lpwstr>
  </property>
  <property fmtid="{D5CDD505-2E9C-101B-9397-08002B2CF9AE}" pid="3" name="HMT_Group">
    <vt:lpwstr>1;#Financial Services|59fac2e4-0e4d-445e-9d2b-b7e636b82ddc</vt:lpwstr>
  </property>
  <property fmtid="{D5CDD505-2E9C-101B-9397-08002B2CF9AE}" pid="4" name="HMT_Classification">
    <vt:lpwstr>4;#Official|0c3401bb-744b-4660-997f-fc50d910db48</vt:lpwstr>
  </property>
  <property fmtid="{D5CDD505-2E9C-101B-9397-08002B2CF9AE}" pid="5" name="HMT_SubTeam">
    <vt:lpwstr/>
  </property>
  <property fmtid="{D5CDD505-2E9C-101B-9397-08002B2CF9AE}" pid="6" name="HMT_Review">
    <vt:bool>false</vt:bool>
  </property>
  <property fmtid="{D5CDD505-2E9C-101B-9397-08002B2CF9AE}" pid="7" name="HMT_DocumentType">
    <vt:lpwstr>13;#Other|c235b5c2-f697-427b-a70a-43d69599f998</vt:lpwstr>
  </property>
  <property fmtid="{D5CDD505-2E9C-101B-9397-08002B2CF9AE}" pid="8" name="HMT_Team">
    <vt:lpwstr>46;#Insurance, Pensions and Markets|73cfb7a2-8170-4844-a6aa-383bd0629c5d</vt:lpwstr>
  </property>
  <property fmtid="{D5CDD505-2E9C-101B-9397-08002B2CF9AE}" pid="9" name="HMT_Category">
    <vt:lpwstr>9;#Policy Document Types|bd4325a7-7f6a-48f9-b0dc-cc3aef626e65</vt:lpwstr>
  </property>
  <property fmtid="{D5CDD505-2E9C-101B-9397-08002B2CF9AE}" pid="10" name="_dlc_DocIdItemGuid">
    <vt:lpwstr>22d15fd1-ad03-4d5e-aecc-97fc15450bf1</vt:lpwstr>
  </property>
  <property fmtid="{D5CDD505-2E9C-101B-9397-08002B2CF9AE}" pid="11" name="MediaServiceImageTags">
    <vt:lpwstr/>
  </property>
  <property fmtid="{D5CDD505-2E9C-101B-9397-08002B2CF9AE}" pid="12" name="MSIP_Label_a8f77787-5df4-43b6-a2a8-8d8b678a318b_Enabled">
    <vt:lpwstr>true</vt:lpwstr>
  </property>
  <property fmtid="{D5CDD505-2E9C-101B-9397-08002B2CF9AE}" pid="13" name="MSIP_Label_a8f77787-5df4-43b6-a2a8-8d8b678a318b_SetDate">
    <vt:lpwstr>2024-07-30T09:49:18Z</vt:lpwstr>
  </property>
  <property fmtid="{D5CDD505-2E9C-101B-9397-08002B2CF9AE}" pid="14" name="MSIP_Label_a8f77787-5df4-43b6-a2a8-8d8b678a318b_Method">
    <vt:lpwstr>Standard</vt:lpwstr>
  </property>
  <property fmtid="{D5CDD505-2E9C-101B-9397-08002B2CF9AE}" pid="15" name="MSIP_Label_a8f77787-5df4-43b6-a2a8-8d8b678a318b_Name">
    <vt:lpwstr>a8f77787-5df4-43b6-a2a8-8d8b678a318b</vt:lpwstr>
  </property>
  <property fmtid="{D5CDD505-2E9C-101B-9397-08002B2CF9AE}" pid="16" name="MSIP_Label_a8f77787-5df4-43b6-a2a8-8d8b678a318b_SiteId">
    <vt:lpwstr>1ce6dd9e-b337-4088-be5e-8dbbec04b34a</vt:lpwstr>
  </property>
  <property fmtid="{D5CDD505-2E9C-101B-9397-08002B2CF9AE}" pid="17" name="MSIP_Label_a8f77787-5df4-43b6-a2a8-8d8b678a318b_ActionId">
    <vt:lpwstr>733a385d-478e-4f47-93ba-382d9d1f7967</vt:lpwstr>
  </property>
  <property fmtid="{D5CDD505-2E9C-101B-9397-08002B2CF9AE}" pid="18" name="MSIP_Label_a8f77787-5df4-43b6-a2a8-8d8b678a318b_ContentBits">
    <vt:lpwstr>0</vt:lpwstr>
  </property>
</Properties>
</file>