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A59C" w14:textId="1AD2C1A6" w:rsidR="00BC7A1F" w:rsidRDefault="00F0165D" w:rsidP="00EB3BE0">
      <w:pPr>
        <w:pStyle w:val="Title"/>
        <w:rPr>
          <w:sz w:val="56"/>
          <w:szCs w:val="52"/>
        </w:rPr>
      </w:pPr>
      <w:r>
        <w:rPr>
          <w:noProof/>
          <w:color w:val="2B579A"/>
          <w:sz w:val="18"/>
          <w:szCs w:val="18"/>
          <w:shd w:val="clear" w:color="auto" w:fill="E6E6E6"/>
          <w:lang w:eastAsia="en-GB"/>
        </w:rPr>
        <mc:AlternateContent>
          <mc:Choice Requires="wpg">
            <w:drawing>
              <wp:anchor distT="0" distB="0" distL="114300" distR="114300" simplePos="0" relativeHeight="251658241" behindDoc="1" locked="0" layoutInCell="1" allowOverlap="1" wp14:anchorId="2899469D" wp14:editId="401091F7">
                <wp:simplePos x="0" y="0"/>
                <wp:positionH relativeFrom="column">
                  <wp:posOffset>-981075</wp:posOffset>
                </wp:positionH>
                <wp:positionV relativeFrom="paragraph">
                  <wp:posOffset>-1521460</wp:posOffset>
                </wp:positionV>
                <wp:extent cx="7549200" cy="1735200"/>
                <wp:effectExtent l="0" t="0" r="0" b="0"/>
                <wp:wrapNone/>
                <wp:docPr id="7" name="Group 7"/>
                <wp:cNvGraphicFramePr/>
                <a:graphic xmlns:a="http://schemas.openxmlformats.org/drawingml/2006/main">
                  <a:graphicData uri="http://schemas.microsoft.com/office/word/2010/wordprocessingGroup">
                    <wpg:wgp>
                      <wpg:cNvGrpSpPr/>
                      <wpg:grpSpPr>
                        <a:xfrm>
                          <a:off x="0" y="0"/>
                          <a:ext cx="7549200" cy="1735200"/>
                          <a:chOff x="0" y="0"/>
                          <a:chExt cx="7549200" cy="1735040"/>
                        </a:xfrm>
                      </wpg:grpSpPr>
                      <wps:wsp>
                        <wps:cNvPr id="10" name="Rectangle 10"/>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Graphic 12"/>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624690" y="190123"/>
                            <a:ext cx="2089150" cy="450850"/>
                          </a:xfrm>
                          <a:prstGeom prst="rect">
                            <a:avLst/>
                          </a:prstGeom>
                        </pic:spPr>
                      </pic:pic>
                      <pic:pic xmlns:pic="http://schemas.openxmlformats.org/drawingml/2006/picture">
                        <pic:nvPicPr>
                          <pic:cNvPr id="13" name="Graphic 13"/>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5730844" y="1032095"/>
                            <a:ext cx="1538605" cy="702945"/>
                          </a:xfrm>
                          <a:prstGeom prst="rect">
                            <a:avLst/>
                          </a:prstGeom>
                        </pic:spPr>
                      </pic:pic>
                      <wps:wsp>
                        <wps:cNvPr id="14"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2B3E4F" id="Group 7" o:spid="_x0000_s1026" style="position:absolute;margin-left:-77.25pt;margin-top:-119.8pt;width:594.45pt;height:136.65pt;z-index:-251658239;mso-width-relative:margin;mso-height-relative:margin" coordsize="75492,1735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">
                <v:rect id="Rectangle 10" o:spid="_x0000_s1027" style="position:absolute;width:75492;height:1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2" o:spid="_x0000_s1028" type="#_x0000_t75" style="position:absolute;left:6246;top:1901;width:20892;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">
                  <v:imagedata r:id="rId15" o:title=""/>
                </v:shape>
                <v:shape id="Graphic 13" o:spid="_x0000_s1029" type="#_x0000_t75" style="position:absolute;left:57308;top:10320;width:15386;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">
                  <v:imagedata r:id="rId16" o:title=""/>
                </v:shape>
                <v:shape id="Graphic 7" o:spid="_x0000_s1030" style="position:absolute;left:42641;width:26172;height:8100;visibility:visible;mso-wrap-style:square;v-text-anchor:middle" coordsize="1651683,5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" path="m1455017,l,,196667,510069r1455017,l1455017,xe" fillcolor="#eeeded" stroked="f" strokeweight=".22189mm">
                  <v:stroke joinstyle="miter"/>
                  <v:path arrowok="t" o:connecttype="custom" o:connectlocs="2305570,0;0,0;311632,810000;2617202,810000" o:connectangles="0,0,0,0"/>
                </v:shape>
              </v:group>
            </w:pict>
          </mc:Fallback>
        </mc:AlternateContent>
      </w:r>
    </w:p>
    <w:p w14:paraId="1822EB7A" w14:textId="77777777" w:rsidR="00E65882" w:rsidRDefault="00E65882" w:rsidP="00797407">
      <w:pPr>
        <w:rPr>
          <w:rFonts w:asciiTheme="majorHAnsi" w:eastAsia="Times New Roman" w:hAnsiTheme="majorHAnsi" w:cstheme="majorBidi"/>
          <w:color w:val="5A4B9A" w:themeColor="accent1"/>
          <w:sz w:val="56"/>
          <w:szCs w:val="56"/>
          <w:lang w:eastAsia="en-GB"/>
        </w:rPr>
      </w:pPr>
    </w:p>
    <w:p w14:paraId="1DFCDCC4" w14:textId="77777777" w:rsidR="00E65882" w:rsidRDefault="00E65882" w:rsidP="00797407">
      <w:pPr>
        <w:rPr>
          <w:rFonts w:asciiTheme="majorHAnsi" w:eastAsia="Times New Roman" w:hAnsiTheme="majorHAnsi" w:cstheme="majorBidi"/>
          <w:color w:val="5A4B9A" w:themeColor="accent1"/>
          <w:sz w:val="56"/>
          <w:szCs w:val="56"/>
          <w:lang w:eastAsia="en-GB"/>
        </w:rPr>
      </w:pPr>
    </w:p>
    <w:p w14:paraId="145486A1" w14:textId="08AE1CF4" w:rsidR="00797407" w:rsidRPr="00ED513A" w:rsidRDefault="00522FD9" w:rsidP="00797407">
      <w:pPr>
        <w:rPr>
          <w:rFonts w:asciiTheme="majorHAnsi" w:eastAsiaTheme="majorEastAsia" w:hAnsiTheme="majorHAnsi" w:cstheme="majorBidi"/>
          <w:color w:val="312C62" w:themeColor="text2"/>
          <w:sz w:val="44"/>
          <w:szCs w:val="44"/>
          <w:shd w:val="clear" w:color="auto" w:fill="FFFFFF"/>
        </w:rPr>
      </w:pPr>
      <w:r>
        <w:rPr>
          <w:rFonts w:asciiTheme="majorHAnsi" w:eastAsia="Times New Roman" w:hAnsiTheme="majorHAnsi" w:cstheme="majorBidi"/>
          <w:color w:val="5A4B9A" w:themeColor="accent1"/>
          <w:sz w:val="56"/>
          <w:szCs w:val="56"/>
          <w:lang w:eastAsia="en-GB"/>
        </w:rPr>
        <w:t>Spelthorne</w:t>
      </w:r>
      <w:r w:rsidR="00C5358C">
        <w:rPr>
          <w:rFonts w:asciiTheme="majorHAnsi" w:eastAsia="Times New Roman" w:hAnsiTheme="majorHAnsi" w:cstheme="majorBidi"/>
          <w:color w:val="5A4B9A" w:themeColor="accent1"/>
          <w:sz w:val="56"/>
          <w:szCs w:val="56"/>
          <w:lang w:eastAsia="en-GB"/>
        </w:rPr>
        <w:t xml:space="preserve"> Borough </w:t>
      </w:r>
      <w:r w:rsidR="00AA3E38">
        <w:rPr>
          <w:rFonts w:asciiTheme="majorHAnsi" w:eastAsia="Times New Roman" w:hAnsiTheme="majorHAnsi" w:cstheme="majorBidi"/>
          <w:color w:val="5A4B9A" w:themeColor="accent1"/>
          <w:sz w:val="56"/>
          <w:szCs w:val="56"/>
          <w:lang w:eastAsia="en-GB"/>
        </w:rPr>
        <w:t>Council</w:t>
      </w:r>
    </w:p>
    <w:p w14:paraId="09BD7AC6" w14:textId="5CF5679A" w:rsidR="00797407" w:rsidRDefault="003D0916" w:rsidP="00797407">
      <w:pPr>
        <w:rPr>
          <w:rFonts w:asciiTheme="majorHAnsi" w:eastAsiaTheme="majorEastAsia" w:hAnsiTheme="majorHAnsi" w:cstheme="majorBidi"/>
          <w:color w:val="312C62" w:themeColor="text2"/>
          <w:sz w:val="48"/>
          <w:szCs w:val="48"/>
          <w:shd w:val="clear" w:color="auto" w:fill="FFFFFF"/>
        </w:rPr>
      </w:pPr>
      <w:r>
        <w:rPr>
          <w:rFonts w:asciiTheme="majorHAnsi" w:eastAsiaTheme="majorEastAsia" w:hAnsiTheme="majorHAnsi" w:cstheme="majorBidi"/>
          <w:color w:val="312C62" w:themeColor="text2"/>
          <w:sz w:val="48"/>
          <w:szCs w:val="48"/>
          <w:shd w:val="clear" w:color="auto" w:fill="FFFFFF"/>
        </w:rPr>
        <w:t>Review</w:t>
      </w:r>
      <w:r w:rsidR="00C5358C">
        <w:rPr>
          <w:rFonts w:asciiTheme="majorHAnsi" w:eastAsiaTheme="majorEastAsia" w:hAnsiTheme="majorHAnsi" w:cstheme="majorBidi"/>
          <w:color w:val="312C62" w:themeColor="text2"/>
          <w:sz w:val="48"/>
          <w:szCs w:val="48"/>
          <w:shd w:val="clear" w:color="auto" w:fill="FFFFFF"/>
        </w:rPr>
        <w:t xml:space="preserve"> of </w:t>
      </w:r>
      <w:r w:rsidR="00F07016">
        <w:rPr>
          <w:rFonts w:asciiTheme="majorHAnsi" w:eastAsiaTheme="majorEastAsia" w:hAnsiTheme="majorHAnsi" w:cstheme="majorBidi"/>
          <w:color w:val="312C62" w:themeColor="text2"/>
          <w:sz w:val="48"/>
          <w:szCs w:val="48"/>
          <w:shd w:val="clear" w:color="auto" w:fill="FFFFFF"/>
        </w:rPr>
        <w:t>d</w:t>
      </w:r>
      <w:r>
        <w:rPr>
          <w:rFonts w:asciiTheme="majorHAnsi" w:eastAsiaTheme="majorEastAsia" w:hAnsiTheme="majorHAnsi" w:cstheme="majorBidi"/>
          <w:color w:val="312C62" w:themeColor="text2"/>
          <w:sz w:val="48"/>
          <w:szCs w:val="48"/>
          <w:shd w:val="clear" w:color="auto" w:fill="FFFFFF"/>
        </w:rPr>
        <w:t>ebt/investment risk profile</w:t>
      </w:r>
    </w:p>
    <w:p w14:paraId="458E196F" w14:textId="123D14A0" w:rsidR="006C68F5" w:rsidRDefault="006C68F5" w:rsidP="00797407">
      <w:pPr>
        <w:rPr>
          <w:rFonts w:asciiTheme="majorHAnsi" w:eastAsiaTheme="majorEastAsia" w:hAnsiTheme="majorHAnsi" w:cstheme="majorBidi"/>
          <w:color w:val="312C62" w:themeColor="text2"/>
          <w:sz w:val="48"/>
          <w:szCs w:val="48"/>
          <w:shd w:val="clear" w:color="auto" w:fill="FFFFFF"/>
        </w:rPr>
      </w:pPr>
      <w:r>
        <w:rPr>
          <w:rFonts w:asciiTheme="majorHAnsi" w:eastAsiaTheme="majorEastAsia" w:hAnsiTheme="majorHAnsi" w:cstheme="majorBidi"/>
          <w:color w:val="312C62" w:themeColor="text2"/>
          <w:sz w:val="48"/>
          <w:szCs w:val="48"/>
          <w:shd w:val="clear" w:color="auto" w:fill="FFFFFF"/>
        </w:rPr>
        <w:t>July 2023</w:t>
      </w:r>
    </w:p>
    <w:p w14:paraId="06363721" w14:textId="77777777" w:rsidR="00797407" w:rsidRPr="00CD59FB" w:rsidRDefault="00797407" w:rsidP="00797407"/>
    <w:p w14:paraId="68ED9C0B" w14:textId="77777777" w:rsidR="00797407" w:rsidRPr="00CD59FB" w:rsidRDefault="00797407" w:rsidP="00797407"/>
    <w:p w14:paraId="371E1A4B" w14:textId="77777777" w:rsidR="00E65882" w:rsidRDefault="00E65882" w:rsidP="00797407"/>
    <w:p w14:paraId="6B8AA89C" w14:textId="77777777" w:rsidR="00E65882" w:rsidRDefault="00E65882" w:rsidP="00797407"/>
    <w:p w14:paraId="496DFDC2" w14:textId="18E385A4" w:rsidR="00797407" w:rsidRPr="00CD59FB" w:rsidRDefault="00797407" w:rsidP="00797407">
      <w:r w:rsidRPr="00CD59FB">
        <w:t>A Report by:</w:t>
      </w:r>
    </w:p>
    <w:p w14:paraId="1BACDA1D" w14:textId="61AA0536" w:rsidR="00797407" w:rsidRPr="00CD59FB" w:rsidRDefault="00797407" w:rsidP="00797407">
      <w:r w:rsidRPr="00CD59FB">
        <w:t xml:space="preserve">The Chartered Institute of Public Finance and Accountancy </w:t>
      </w:r>
    </w:p>
    <w:p w14:paraId="5296DFC1" w14:textId="3FBCC15B" w:rsidR="00C470E8" w:rsidRPr="00CD59FB" w:rsidRDefault="00515B13" w:rsidP="00797407">
      <w:r>
        <w:t>July</w:t>
      </w:r>
      <w:r w:rsidR="00AA3E38" w:rsidRPr="00CD59FB">
        <w:t xml:space="preserve"> 2023</w:t>
      </w:r>
    </w:p>
    <w:p w14:paraId="0BB859B5" w14:textId="73790913" w:rsidR="004D4150" w:rsidRDefault="004D4150">
      <w:pPr>
        <w:rPr>
          <w:rFonts w:asciiTheme="majorHAnsi" w:eastAsiaTheme="majorEastAsia" w:hAnsiTheme="majorHAnsi" w:cstheme="majorBidi"/>
          <w:spacing w:val="-15"/>
          <w:sz w:val="96"/>
          <w:szCs w:val="72"/>
        </w:rPr>
      </w:pPr>
      <w:r>
        <w:rPr>
          <w:rFonts w:asciiTheme="majorHAnsi" w:eastAsiaTheme="majorEastAsia" w:hAnsiTheme="majorHAnsi" w:cstheme="majorBidi"/>
          <w:spacing w:val="-15"/>
          <w:sz w:val="96"/>
          <w:szCs w:val="72"/>
        </w:rPr>
        <w:br w:type="page"/>
      </w:r>
    </w:p>
    <w:tbl>
      <w:tblPr>
        <w:tblW w:w="0" w:type="auto"/>
        <w:tblBorders>
          <w:top w:val="single" w:sz="4" w:space="0" w:color="auto"/>
          <w:left w:val="single" w:sz="4" w:space="0" w:color="auto"/>
          <w:bottom w:val="single" w:sz="4" w:space="0" w:color="auto"/>
          <w:right w:val="single" w:sz="4" w:space="0" w:color="auto"/>
        </w:tblBorders>
        <w:tblCellMar>
          <w:top w:w="284" w:type="dxa"/>
          <w:left w:w="284" w:type="dxa"/>
          <w:bottom w:w="284" w:type="dxa"/>
          <w:right w:w="0" w:type="dxa"/>
        </w:tblCellMar>
        <w:tblLook w:val="0000" w:firstRow="0" w:lastRow="0" w:firstColumn="0" w:lastColumn="0" w:noHBand="0" w:noVBand="0"/>
      </w:tblPr>
      <w:tblGrid>
        <w:gridCol w:w="9016"/>
      </w:tblGrid>
      <w:tr w:rsidR="005515BA" w:rsidRPr="002A5667" w14:paraId="3D603082" w14:textId="77777777">
        <w:tc>
          <w:tcPr>
            <w:tcW w:w="9016" w:type="dxa"/>
          </w:tcPr>
          <w:p w14:paraId="5C4E27F8" w14:textId="77777777" w:rsidR="005515BA" w:rsidRPr="007F401F" w:rsidRDefault="005515BA">
            <w:pPr>
              <w:rPr>
                <w:spacing w:val="-4"/>
              </w:rPr>
            </w:pPr>
            <w:r w:rsidRPr="007F401F">
              <w:rPr>
                <w:b/>
                <w:bCs/>
                <w:spacing w:val="-4"/>
              </w:rPr>
              <w:lastRenderedPageBreak/>
              <w:t>CIPFA, the Chartered Institute of Public Finance and Accountancy</w:t>
            </w:r>
            <w:r w:rsidRPr="007F401F">
              <w:rPr>
                <w:spacing w:val="-4"/>
              </w:rPr>
              <w:t>, is the professional body for people in public finance. CIPFA shows the way in public finance globally, standing up for sound public financial management and good governance around the world as the leading commentator on managing and accounting for public money.</w:t>
            </w:r>
          </w:p>
        </w:tc>
      </w:tr>
    </w:tbl>
    <w:p w14:paraId="2E31B5C8" w14:textId="77777777" w:rsidR="005515BA" w:rsidRPr="002A5667" w:rsidRDefault="005515BA" w:rsidP="005515BA">
      <w:r w:rsidRPr="002A5667">
        <w:t> </w:t>
      </w:r>
    </w:p>
    <w:p w14:paraId="4417893B" w14:textId="77777777" w:rsidR="005515BA" w:rsidRPr="00CD59FB" w:rsidRDefault="005515BA" w:rsidP="005515BA">
      <w:r w:rsidRPr="00CD59FB">
        <w:t xml:space="preserve">Further information about CIPFA can be obtained at </w:t>
      </w:r>
      <w:hyperlink r:id="rId17" w:history="1">
        <w:r w:rsidRPr="00772FA4">
          <w:rPr>
            <w:rStyle w:val="Hyperlink"/>
            <w:color w:val="auto"/>
          </w:rPr>
          <w:t>www.cipfa.org</w:t>
        </w:r>
      </w:hyperlink>
      <w:r w:rsidRPr="00772FA4">
        <w:rPr>
          <w:rStyle w:val="Hyperlink"/>
          <w:color w:val="auto"/>
        </w:rPr>
        <w:t xml:space="preserve"> </w:t>
      </w:r>
    </w:p>
    <w:p w14:paraId="55F87286" w14:textId="77777777" w:rsidR="005515BA" w:rsidRPr="00CD59FB" w:rsidRDefault="005515BA" w:rsidP="005515BA"/>
    <w:p w14:paraId="57B4694D" w14:textId="0B1DE1CC" w:rsidR="005515BA" w:rsidRPr="00CD59FB" w:rsidRDefault="005515BA" w:rsidP="005515BA">
      <w:r w:rsidRPr="00CD59FB">
        <w:t>Any questions arising from this submission should be directed to: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459"/>
      </w:tblGrid>
      <w:tr w:rsidR="00CD59FB" w:rsidRPr="00CD59FB" w14:paraId="3E36A03F" w14:textId="77777777">
        <w:tc>
          <w:tcPr>
            <w:tcW w:w="4567" w:type="dxa"/>
          </w:tcPr>
          <w:p w14:paraId="7818F765" w14:textId="359AFC8D" w:rsidR="005515BA" w:rsidRPr="00CD59FB" w:rsidRDefault="000B49B3">
            <w:pPr>
              <w:rPr>
                <w:rFonts w:asciiTheme="minorHAnsi" w:hAnsiTheme="minorHAnsi" w:cstheme="minorHAnsi"/>
                <w:sz w:val="22"/>
                <w:szCs w:val="22"/>
              </w:rPr>
            </w:pPr>
            <w:r w:rsidRPr="00CD59FB">
              <w:rPr>
                <w:rFonts w:asciiTheme="minorHAnsi" w:hAnsiTheme="minorHAnsi" w:cstheme="minorHAnsi"/>
                <w:sz w:val="22"/>
                <w:szCs w:val="22"/>
              </w:rPr>
              <w:t>John O’Halloran</w:t>
            </w:r>
            <w:r w:rsidR="005515BA" w:rsidRPr="00CD59FB">
              <w:rPr>
                <w:rFonts w:asciiTheme="minorHAnsi" w:hAnsiTheme="minorHAnsi" w:cstheme="minorHAnsi"/>
                <w:sz w:val="22"/>
                <w:szCs w:val="22"/>
              </w:rPr>
              <w:t xml:space="preserve"> </w:t>
            </w:r>
          </w:p>
          <w:p w14:paraId="70D7CA7C" w14:textId="77777777" w:rsidR="005515BA" w:rsidRPr="00CD59FB" w:rsidRDefault="005515BA">
            <w:pPr>
              <w:rPr>
                <w:rFonts w:asciiTheme="minorHAnsi" w:hAnsiTheme="minorHAnsi" w:cstheme="minorHAnsi"/>
                <w:sz w:val="22"/>
                <w:szCs w:val="22"/>
              </w:rPr>
            </w:pPr>
            <w:r w:rsidRPr="00CD59FB">
              <w:rPr>
                <w:rFonts w:asciiTheme="minorHAnsi" w:hAnsiTheme="minorHAnsi" w:cstheme="minorHAnsi"/>
                <w:sz w:val="22"/>
                <w:szCs w:val="22"/>
              </w:rPr>
              <w:t xml:space="preserve">CIPFA </w:t>
            </w:r>
          </w:p>
          <w:p w14:paraId="217FED5C" w14:textId="77777777" w:rsidR="005515BA" w:rsidRPr="00CD59FB" w:rsidRDefault="005515BA">
            <w:pPr>
              <w:rPr>
                <w:rFonts w:asciiTheme="minorHAnsi" w:hAnsiTheme="minorHAnsi" w:cstheme="minorHAnsi"/>
                <w:sz w:val="22"/>
                <w:szCs w:val="22"/>
              </w:rPr>
            </w:pPr>
            <w:r w:rsidRPr="00CD59FB">
              <w:rPr>
                <w:rFonts w:asciiTheme="minorHAnsi" w:hAnsiTheme="minorHAnsi" w:cstheme="minorHAnsi"/>
                <w:sz w:val="22"/>
                <w:szCs w:val="22"/>
              </w:rPr>
              <w:t>77 Mansell Street</w:t>
            </w:r>
          </w:p>
          <w:p w14:paraId="43C1B511" w14:textId="77777777" w:rsidR="005515BA" w:rsidRPr="00CD59FB" w:rsidRDefault="005515BA">
            <w:pPr>
              <w:rPr>
                <w:rFonts w:asciiTheme="minorHAnsi" w:hAnsiTheme="minorHAnsi" w:cstheme="minorHAnsi"/>
                <w:sz w:val="22"/>
                <w:szCs w:val="22"/>
              </w:rPr>
            </w:pPr>
            <w:r w:rsidRPr="00CD59FB">
              <w:rPr>
                <w:rFonts w:asciiTheme="minorHAnsi" w:hAnsiTheme="minorHAnsi" w:cstheme="minorHAnsi"/>
                <w:sz w:val="22"/>
                <w:szCs w:val="22"/>
              </w:rPr>
              <w:t>London</w:t>
            </w:r>
          </w:p>
          <w:p w14:paraId="794C346C" w14:textId="77777777" w:rsidR="005515BA" w:rsidRPr="00CD59FB" w:rsidRDefault="005515BA">
            <w:pPr>
              <w:rPr>
                <w:rFonts w:asciiTheme="minorHAnsi" w:hAnsiTheme="minorHAnsi" w:cstheme="minorHAnsi"/>
                <w:sz w:val="22"/>
                <w:szCs w:val="22"/>
              </w:rPr>
            </w:pPr>
            <w:r w:rsidRPr="00CD59FB">
              <w:rPr>
                <w:rFonts w:asciiTheme="minorHAnsi" w:hAnsiTheme="minorHAnsi" w:cstheme="minorHAnsi"/>
                <w:sz w:val="22"/>
                <w:szCs w:val="22"/>
              </w:rPr>
              <w:t>E1 8AN</w:t>
            </w:r>
          </w:p>
          <w:p w14:paraId="7B841EF9" w14:textId="77777777" w:rsidR="005515BA" w:rsidRPr="00CD59FB" w:rsidRDefault="005515BA">
            <w:pPr>
              <w:rPr>
                <w:rFonts w:asciiTheme="minorHAnsi" w:hAnsiTheme="minorHAnsi" w:cstheme="minorHAnsi"/>
                <w:sz w:val="22"/>
                <w:szCs w:val="22"/>
              </w:rPr>
            </w:pPr>
          </w:p>
          <w:p w14:paraId="16A52D85" w14:textId="77777777" w:rsidR="005515BA" w:rsidRPr="00CD59FB" w:rsidRDefault="005515BA">
            <w:pPr>
              <w:rPr>
                <w:rFonts w:asciiTheme="minorHAnsi" w:hAnsiTheme="minorHAnsi" w:cstheme="minorHAnsi"/>
                <w:sz w:val="22"/>
                <w:szCs w:val="22"/>
              </w:rPr>
            </w:pPr>
            <w:r w:rsidRPr="00CD59FB">
              <w:rPr>
                <w:rFonts w:asciiTheme="minorHAnsi" w:hAnsiTheme="minorHAnsi" w:cstheme="minorHAnsi"/>
                <w:sz w:val="22"/>
                <w:szCs w:val="22"/>
              </w:rPr>
              <w:t>Tel: +44 (0)20 7543 5600</w:t>
            </w:r>
          </w:p>
          <w:p w14:paraId="2F4E860E" w14:textId="6BA3F228" w:rsidR="005515BA" w:rsidRPr="00CD59FB" w:rsidRDefault="005515BA">
            <w:pPr>
              <w:rPr>
                <w:rFonts w:asciiTheme="minorHAnsi" w:hAnsiTheme="minorHAnsi" w:cstheme="minorHAnsi"/>
              </w:rPr>
            </w:pPr>
            <w:r w:rsidRPr="00CD59FB">
              <w:rPr>
                <w:rFonts w:asciiTheme="minorHAnsi" w:hAnsiTheme="minorHAnsi" w:cstheme="minorHAnsi"/>
                <w:sz w:val="22"/>
                <w:szCs w:val="22"/>
              </w:rPr>
              <w:t>Email</w:t>
            </w:r>
            <w:r w:rsidRPr="00CD59FB">
              <w:rPr>
                <w:rFonts w:asciiTheme="minorHAnsi" w:hAnsiTheme="minorHAnsi" w:cstheme="minorHAnsi"/>
              </w:rPr>
              <w:t xml:space="preserve">: </w:t>
            </w:r>
            <w:r w:rsidR="005076A0" w:rsidRPr="00CD59FB">
              <w:rPr>
                <w:rFonts w:asciiTheme="minorHAnsi" w:hAnsiTheme="minorHAnsi" w:cstheme="minorHAnsi"/>
                <w:sz w:val="22"/>
                <w:szCs w:val="22"/>
              </w:rPr>
              <w:t>john</w:t>
            </w:r>
            <w:r w:rsidR="00C33D89" w:rsidRPr="00CD59FB">
              <w:rPr>
                <w:rFonts w:asciiTheme="minorHAnsi" w:hAnsiTheme="minorHAnsi" w:cstheme="minorHAnsi"/>
                <w:sz w:val="22"/>
                <w:szCs w:val="22"/>
              </w:rPr>
              <w:t>.</w:t>
            </w:r>
            <w:r w:rsidR="005076A0" w:rsidRPr="00CD59FB">
              <w:rPr>
                <w:rFonts w:asciiTheme="minorHAnsi" w:hAnsiTheme="minorHAnsi" w:cstheme="minorHAnsi"/>
                <w:sz w:val="22"/>
                <w:szCs w:val="22"/>
              </w:rPr>
              <w:t>o’halloran@cipfa.org</w:t>
            </w:r>
            <w:r w:rsidR="00C33D89" w:rsidRPr="00CD59FB">
              <w:rPr>
                <w:rFonts w:asciiTheme="minorHAnsi" w:hAnsiTheme="minorHAnsi" w:cstheme="minorHAnsi"/>
                <w:sz w:val="22"/>
                <w:szCs w:val="22"/>
              </w:rPr>
              <w:t xml:space="preserve"> </w:t>
            </w:r>
          </w:p>
        </w:tc>
        <w:tc>
          <w:tcPr>
            <w:tcW w:w="4459" w:type="dxa"/>
          </w:tcPr>
          <w:p w14:paraId="72799ADA" w14:textId="77777777" w:rsidR="005515BA" w:rsidRPr="00CD59FB" w:rsidRDefault="005515BA"/>
        </w:tc>
      </w:tr>
    </w:tbl>
    <w:p w14:paraId="0D0EB2BB" w14:textId="53AC761F" w:rsidR="001E7CB1" w:rsidRDefault="001E7CB1" w:rsidP="00B27D74">
      <w:pPr>
        <w:pStyle w:val="Title"/>
        <w:rPr>
          <w:color w:val="auto"/>
          <w:sz w:val="56"/>
          <w:szCs w:val="52"/>
        </w:rPr>
      </w:pPr>
    </w:p>
    <w:tbl>
      <w:tblPr>
        <w:tblStyle w:val="TableGrid"/>
        <w:tblW w:w="0" w:type="auto"/>
        <w:tblLook w:val="04A0" w:firstRow="1" w:lastRow="0" w:firstColumn="1" w:lastColumn="0" w:noHBand="0" w:noVBand="1"/>
      </w:tblPr>
      <w:tblGrid>
        <w:gridCol w:w="9016"/>
      </w:tblGrid>
      <w:tr w:rsidR="001E1442" w14:paraId="1F278360" w14:textId="77777777">
        <w:tc>
          <w:tcPr>
            <w:tcW w:w="9016" w:type="dxa"/>
          </w:tcPr>
          <w:p w14:paraId="44030A77" w14:textId="3086727E" w:rsidR="001E1442" w:rsidRDefault="001E1442">
            <w:pPr>
              <w:jc w:val="both"/>
              <w:rPr>
                <w:rFonts w:ascii="Arial" w:eastAsia="Arial" w:hAnsi="Arial" w:cs="Arial"/>
              </w:rPr>
            </w:pPr>
            <w:r>
              <w:rPr>
                <w:rFonts w:ascii="Arial" w:eastAsia="Arial" w:hAnsi="Arial" w:cs="Arial"/>
              </w:rPr>
              <w:t>This review was undertaken in March 2023, and all of the information gathered</w:t>
            </w:r>
            <w:r w:rsidR="004377DC">
              <w:rPr>
                <w:rFonts w:ascii="Arial" w:eastAsia="Arial" w:hAnsi="Arial" w:cs="Arial"/>
              </w:rPr>
              <w:t>,</w:t>
            </w:r>
            <w:r>
              <w:rPr>
                <w:rFonts w:ascii="Arial" w:eastAsia="Arial" w:hAnsi="Arial" w:cs="Arial"/>
              </w:rPr>
              <w:t xml:space="preserve"> and the data analysed by CIPFA was correct at the time of writing this report.  The data provided in this report has been reproduced with the permission of the council and is derived from various council reports.</w:t>
            </w:r>
          </w:p>
          <w:p w14:paraId="43B55916" w14:textId="77777777" w:rsidR="001E1442" w:rsidRPr="000C5A20" w:rsidRDefault="001E1442">
            <w:pPr>
              <w:jc w:val="both"/>
              <w:rPr>
                <w:rFonts w:ascii="Arial" w:eastAsia="Arial" w:hAnsi="Arial" w:cs="Arial"/>
              </w:rPr>
            </w:pPr>
          </w:p>
        </w:tc>
      </w:tr>
    </w:tbl>
    <w:p w14:paraId="49E7C04F" w14:textId="2C74037E" w:rsidR="001E1442" w:rsidRDefault="001E1442" w:rsidP="001E1442">
      <w:pPr>
        <w:pStyle w:val="Paragraph"/>
        <w:rPr>
          <w:b/>
          <w:color w:val="FFFFFF" w:themeColor="background1"/>
        </w:rPr>
      </w:pPr>
    </w:p>
    <w:p w14:paraId="0FB879E0" w14:textId="77777777" w:rsidR="001E1442" w:rsidRPr="00772FA4" w:rsidRDefault="001E1442" w:rsidP="00772FA4"/>
    <w:p w14:paraId="399BA978" w14:textId="4E3490B5" w:rsidR="0078007E" w:rsidRPr="00763AF2" w:rsidRDefault="0078007E" w:rsidP="00EB3BE0">
      <w:pPr>
        <w:pStyle w:val="Paragraph"/>
        <w:rPr>
          <w:b/>
          <w:color w:val="FFFFFF" w:themeColor="background1"/>
          <w:sz w:val="24"/>
          <w:szCs w:val="24"/>
        </w:rPr>
        <w:sectPr w:rsidR="0078007E" w:rsidRPr="00763AF2" w:rsidSect="005515BA">
          <w:headerReference w:type="even" r:id="rId18"/>
          <w:headerReference w:type="default" r:id="rId19"/>
          <w:footerReference w:type="even" r:id="rId20"/>
          <w:footerReference w:type="default" r:id="rId21"/>
          <w:headerReference w:type="first" r:id="rId22"/>
          <w:footerReference w:type="first" r:id="rId23"/>
          <w:pgSz w:w="11906" w:h="16838"/>
          <w:pgMar w:top="3261" w:right="1440" w:bottom="1440" w:left="1440" w:header="708" w:footer="708" w:gutter="0"/>
          <w:cols w:space="708"/>
          <w:docGrid w:linePitch="360"/>
        </w:sectPr>
      </w:pPr>
    </w:p>
    <w:sdt>
      <w:sdtPr>
        <w:rPr>
          <w:rFonts w:asciiTheme="minorHAnsi" w:eastAsiaTheme="minorEastAsia" w:hAnsiTheme="minorHAnsi" w:cstheme="minorBidi"/>
          <w:color w:val="auto"/>
          <w:sz w:val="22"/>
          <w:szCs w:val="22"/>
          <w:shd w:val="clear" w:color="auto" w:fill="E6E6E6"/>
        </w:rPr>
        <w:id w:val="181327287"/>
        <w:docPartObj>
          <w:docPartGallery w:val="Table of Contents"/>
          <w:docPartUnique/>
        </w:docPartObj>
      </w:sdtPr>
      <w:sdtEndPr>
        <w:rPr>
          <w:b/>
          <w:bCs/>
          <w:noProof/>
        </w:rPr>
      </w:sdtEndPr>
      <w:sdtContent>
        <w:p w14:paraId="23C12275" w14:textId="4F7CE71A" w:rsidR="004F525B" w:rsidRPr="00970D42" w:rsidRDefault="00970D42">
          <w:pPr>
            <w:pStyle w:val="TOCHeading"/>
            <w:rPr>
              <w:b/>
              <w:bCs/>
            </w:rPr>
          </w:pPr>
          <w:r w:rsidRPr="00970D42">
            <w:rPr>
              <w:b/>
              <w:bCs/>
            </w:rPr>
            <w:t>C</w:t>
          </w:r>
          <w:r w:rsidR="004F525B" w:rsidRPr="00970D42">
            <w:rPr>
              <w:b/>
              <w:bCs/>
            </w:rPr>
            <w:t>ontents</w:t>
          </w:r>
        </w:p>
        <w:p w14:paraId="4353AF61" w14:textId="77777777" w:rsidR="00541B6E" w:rsidRPr="00541B6E" w:rsidRDefault="00541B6E" w:rsidP="00541B6E"/>
        <w:p w14:paraId="3DBB0F53" w14:textId="237F2768" w:rsidR="00970D42" w:rsidRPr="00B22A77" w:rsidRDefault="004F525B">
          <w:pPr>
            <w:pStyle w:val="TOC1"/>
            <w:tabs>
              <w:tab w:val="right" w:leader="dot" w:pos="8779"/>
            </w:tabs>
            <w:rPr>
              <w:rFonts w:asciiTheme="majorHAnsi" w:hAnsiTheme="majorHAnsi"/>
              <w:b/>
              <w:bCs/>
              <w:noProof/>
              <w:lang w:eastAsia="en-GB"/>
            </w:rPr>
          </w:pPr>
          <w:r w:rsidRPr="00B22A77">
            <w:rPr>
              <w:b/>
              <w:bCs/>
              <w:color w:val="2B579A"/>
              <w:shd w:val="clear" w:color="auto" w:fill="E6E6E6"/>
            </w:rPr>
            <w:fldChar w:fldCharType="begin"/>
          </w:r>
          <w:r w:rsidRPr="00B22A77">
            <w:rPr>
              <w:b/>
              <w:bCs/>
            </w:rPr>
            <w:instrText xml:space="preserve"> TOC \o "1-3" \h \z \u </w:instrText>
          </w:r>
          <w:r w:rsidRPr="00B22A77">
            <w:rPr>
              <w:b/>
              <w:bCs/>
              <w:color w:val="2B579A"/>
              <w:shd w:val="clear" w:color="auto" w:fill="E6E6E6"/>
            </w:rPr>
            <w:fldChar w:fldCharType="separate"/>
          </w:r>
          <w:hyperlink w:anchor="_Toc150862399" w:history="1">
            <w:r w:rsidR="00970D42" w:rsidRPr="00B22A77">
              <w:rPr>
                <w:rStyle w:val="Hyperlink"/>
                <w:rFonts w:asciiTheme="majorHAnsi" w:hAnsiTheme="majorHAnsi"/>
                <w:b/>
                <w:bCs/>
                <w:noProof/>
              </w:rPr>
              <w:t>1 Executive summary</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_Toc150862399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4</w:t>
            </w:r>
            <w:r w:rsidR="00970D42" w:rsidRPr="00B22A77">
              <w:rPr>
                <w:rFonts w:asciiTheme="majorHAnsi" w:hAnsiTheme="majorHAnsi"/>
                <w:b/>
                <w:bCs/>
                <w:noProof/>
                <w:webHidden/>
              </w:rPr>
              <w:fldChar w:fldCharType="end"/>
            </w:r>
          </w:hyperlink>
        </w:p>
        <w:p w14:paraId="4C47C156" w14:textId="32FB03FD" w:rsidR="00970D42" w:rsidRPr="00B22A77" w:rsidRDefault="00AD23C3">
          <w:pPr>
            <w:pStyle w:val="TOC1"/>
            <w:tabs>
              <w:tab w:val="left" w:pos="440"/>
              <w:tab w:val="right" w:leader="dot" w:pos="8779"/>
            </w:tabs>
            <w:rPr>
              <w:rFonts w:asciiTheme="majorHAnsi" w:hAnsiTheme="majorHAnsi"/>
              <w:b/>
              <w:bCs/>
              <w:noProof/>
              <w:lang w:eastAsia="en-GB"/>
            </w:rPr>
          </w:pPr>
          <w:hyperlink w:anchor="_Toc150862400" w:history="1">
            <w:r w:rsidR="00970D42" w:rsidRPr="00B22A77">
              <w:rPr>
                <w:rStyle w:val="Hyperlink"/>
                <w:rFonts w:asciiTheme="majorHAnsi" w:hAnsiTheme="majorHAnsi"/>
                <w:b/>
                <w:bCs/>
                <w:noProof/>
              </w:rPr>
              <w:t>2</w:t>
            </w:r>
            <w:r w:rsidR="00970D42" w:rsidRPr="00B22A77">
              <w:rPr>
                <w:rFonts w:asciiTheme="majorHAnsi" w:hAnsiTheme="majorHAnsi"/>
                <w:b/>
                <w:bCs/>
                <w:noProof/>
                <w:lang w:eastAsia="en-GB"/>
              </w:rPr>
              <w:t xml:space="preserve"> </w:t>
            </w:r>
            <w:r w:rsidR="00970D42" w:rsidRPr="00B22A77">
              <w:rPr>
                <w:rStyle w:val="Hyperlink"/>
                <w:rFonts w:asciiTheme="majorHAnsi" w:hAnsiTheme="majorHAnsi"/>
                <w:b/>
                <w:bCs/>
                <w:noProof/>
              </w:rPr>
              <w:t>Introduction</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_Toc150862400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5</w:t>
            </w:r>
            <w:r w:rsidR="00970D42" w:rsidRPr="00B22A77">
              <w:rPr>
                <w:rFonts w:asciiTheme="majorHAnsi" w:hAnsiTheme="majorHAnsi"/>
                <w:b/>
                <w:bCs/>
                <w:noProof/>
                <w:webHidden/>
              </w:rPr>
              <w:fldChar w:fldCharType="end"/>
            </w:r>
          </w:hyperlink>
        </w:p>
        <w:p w14:paraId="77D0E671" w14:textId="19B226AE" w:rsidR="00970D42" w:rsidRPr="00B22A77" w:rsidRDefault="00AD23C3" w:rsidP="00E2315B">
          <w:pPr>
            <w:pStyle w:val="TOC1"/>
            <w:tabs>
              <w:tab w:val="left" w:pos="660"/>
              <w:tab w:val="right" w:leader="dot" w:pos="8779"/>
            </w:tabs>
            <w:ind w:left="658"/>
            <w:rPr>
              <w:rFonts w:asciiTheme="majorHAnsi" w:hAnsiTheme="majorHAnsi"/>
              <w:b/>
              <w:bCs/>
              <w:noProof/>
              <w:lang w:eastAsia="en-GB"/>
            </w:rPr>
          </w:pPr>
          <w:hyperlink w:anchor="_Toc150862401" w:history="1">
            <w:r w:rsidR="00970D42" w:rsidRPr="00B22A77">
              <w:rPr>
                <w:rStyle w:val="Hyperlink"/>
                <w:rFonts w:asciiTheme="majorHAnsi" w:hAnsiTheme="majorHAnsi"/>
                <w:b/>
                <w:bCs/>
                <w:noProof/>
              </w:rPr>
              <w:t>2.1</w:t>
            </w:r>
            <w:r w:rsidR="00E2315B" w:rsidRPr="00B22A77">
              <w:rPr>
                <w:rFonts w:asciiTheme="majorHAnsi" w:hAnsiTheme="majorHAnsi"/>
                <w:b/>
                <w:bCs/>
                <w:noProof/>
                <w:lang w:eastAsia="en-GB"/>
              </w:rPr>
              <w:t xml:space="preserve"> </w:t>
            </w:r>
            <w:r w:rsidR="00970D42" w:rsidRPr="00B22A77">
              <w:rPr>
                <w:rStyle w:val="Hyperlink"/>
                <w:rFonts w:asciiTheme="majorHAnsi" w:hAnsiTheme="majorHAnsi"/>
                <w:b/>
                <w:bCs/>
                <w:noProof/>
              </w:rPr>
              <w:t>Background</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_Toc150862401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5</w:t>
            </w:r>
            <w:r w:rsidR="00970D42" w:rsidRPr="00B22A77">
              <w:rPr>
                <w:rFonts w:asciiTheme="majorHAnsi" w:hAnsiTheme="majorHAnsi"/>
                <w:b/>
                <w:bCs/>
                <w:noProof/>
                <w:webHidden/>
              </w:rPr>
              <w:fldChar w:fldCharType="end"/>
            </w:r>
          </w:hyperlink>
        </w:p>
        <w:p w14:paraId="242573F7" w14:textId="496BF4A2" w:rsidR="00970D42" w:rsidRPr="00B22A77" w:rsidRDefault="00AD23C3" w:rsidP="00E2315B">
          <w:pPr>
            <w:pStyle w:val="TOC1"/>
            <w:tabs>
              <w:tab w:val="left" w:pos="660"/>
              <w:tab w:val="right" w:leader="dot" w:pos="8779"/>
            </w:tabs>
            <w:ind w:left="658"/>
            <w:rPr>
              <w:rFonts w:asciiTheme="majorHAnsi" w:hAnsiTheme="majorHAnsi"/>
              <w:b/>
              <w:bCs/>
              <w:noProof/>
              <w:lang w:eastAsia="en-GB"/>
            </w:rPr>
          </w:pPr>
          <w:hyperlink w:anchor="_Toc150862402" w:history="1">
            <w:r w:rsidR="00970D42" w:rsidRPr="00B22A77">
              <w:rPr>
                <w:rStyle w:val="Hyperlink"/>
                <w:rFonts w:asciiTheme="majorHAnsi" w:hAnsiTheme="majorHAnsi"/>
                <w:b/>
                <w:bCs/>
                <w:noProof/>
              </w:rPr>
              <w:t>2.2</w:t>
            </w:r>
            <w:r w:rsidR="00E2315B" w:rsidRPr="00B22A77">
              <w:rPr>
                <w:rFonts w:asciiTheme="majorHAnsi" w:hAnsiTheme="majorHAnsi"/>
                <w:b/>
                <w:bCs/>
                <w:noProof/>
                <w:lang w:eastAsia="en-GB"/>
              </w:rPr>
              <w:t xml:space="preserve"> </w:t>
            </w:r>
            <w:r w:rsidR="00970D42" w:rsidRPr="00B22A77">
              <w:rPr>
                <w:rStyle w:val="Hyperlink"/>
                <w:rFonts w:asciiTheme="majorHAnsi" w:hAnsiTheme="majorHAnsi"/>
                <w:b/>
                <w:bCs/>
                <w:noProof/>
              </w:rPr>
              <w:t>Requirement</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_Toc150862402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5</w:t>
            </w:r>
            <w:r w:rsidR="00970D42" w:rsidRPr="00B22A77">
              <w:rPr>
                <w:rFonts w:asciiTheme="majorHAnsi" w:hAnsiTheme="majorHAnsi"/>
                <w:b/>
                <w:bCs/>
                <w:noProof/>
                <w:webHidden/>
              </w:rPr>
              <w:fldChar w:fldCharType="end"/>
            </w:r>
          </w:hyperlink>
        </w:p>
        <w:p w14:paraId="4BDE8865" w14:textId="5CF786BE" w:rsidR="00970D42" w:rsidRPr="00B22A77" w:rsidRDefault="00AD23C3" w:rsidP="00E2315B">
          <w:pPr>
            <w:pStyle w:val="TOC1"/>
            <w:tabs>
              <w:tab w:val="left" w:pos="660"/>
              <w:tab w:val="right" w:leader="dot" w:pos="8779"/>
            </w:tabs>
            <w:ind w:left="658"/>
            <w:rPr>
              <w:rFonts w:asciiTheme="majorHAnsi" w:hAnsiTheme="majorHAnsi"/>
              <w:b/>
              <w:bCs/>
              <w:noProof/>
              <w:lang w:eastAsia="en-GB"/>
            </w:rPr>
          </w:pPr>
          <w:hyperlink w:anchor="_Toc150862403" w:history="1">
            <w:r w:rsidR="00970D42" w:rsidRPr="00B22A77">
              <w:rPr>
                <w:rStyle w:val="Hyperlink"/>
                <w:rFonts w:asciiTheme="majorHAnsi" w:hAnsiTheme="majorHAnsi"/>
                <w:b/>
                <w:bCs/>
                <w:noProof/>
              </w:rPr>
              <w:t>2.3</w:t>
            </w:r>
            <w:r w:rsidR="00E2315B" w:rsidRPr="00B22A77">
              <w:rPr>
                <w:rFonts w:asciiTheme="majorHAnsi" w:hAnsiTheme="majorHAnsi"/>
                <w:b/>
                <w:bCs/>
                <w:noProof/>
                <w:lang w:eastAsia="en-GB"/>
              </w:rPr>
              <w:t xml:space="preserve"> </w:t>
            </w:r>
            <w:r w:rsidR="00970D42" w:rsidRPr="00B22A77">
              <w:rPr>
                <w:rStyle w:val="Hyperlink"/>
                <w:rFonts w:asciiTheme="majorHAnsi" w:hAnsiTheme="majorHAnsi"/>
                <w:b/>
                <w:bCs/>
                <w:noProof/>
              </w:rPr>
              <w:t>Methodology</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_Toc150862403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6</w:t>
            </w:r>
            <w:r w:rsidR="00970D42" w:rsidRPr="00B22A77">
              <w:rPr>
                <w:rFonts w:asciiTheme="majorHAnsi" w:hAnsiTheme="majorHAnsi"/>
                <w:b/>
                <w:bCs/>
                <w:noProof/>
                <w:webHidden/>
              </w:rPr>
              <w:fldChar w:fldCharType="end"/>
            </w:r>
          </w:hyperlink>
        </w:p>
        <w:p w14:paraId="33237757" w14:textId="52ED8115" w:rsidR="00970D42" w:rsidRPr="00B22A77" w:rsidRDefault="00AD23C3">
          <w:pPr>
            <w:pStyle w:val="TOC1"/>
            <w:tabs>
              <w:tab w:val="right" w:leader="dot" w:pos="8779"/>
            </w:tabs>
            <w:rPr>
              <w:rFonts w:asciiTheme="majorHAnsi" w:hAnsiTheme="majorHAnsi"/>
              <w:b/>
              <w:bCs/>
              <w:noProof/>
              <w:lang w:eastAsia="en-GB"/>
            </w:rPr>
          </w:pPr>
          <w:hyperlink w:anchor="_Toc150862404" w:history="1">
            <w:r w:rsidR="00970D42" w:rsidRPr="00B22A77">
              <w:rPr>
                <w:rStyle w:val="Hyperlink"/>
                <w:rFonts w:asciiTheme="majorHAnsi" w:hAnsiTheme="majorHAnsi"/>
                <w:b/>
                <w:bCs/>
                <w:noProof/>
                <w:lang w:eastAsia="en-GB"/>
              </w:rPr>
              <w:t>3 Current and future financial risk profile</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_Toc150862404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8</w:t>
            </w:r>
            <w:r w:rsidR="00970D42" w:rsidRPr="00B22A77">
              <w:rPr>
                <w:rFonts w:asciiTheme="majorHAnsi" w:hAnsiTheme="majorHAnsi"/>
                <w:b/>
                <w:bCs/>
                <w:noProof/>
                <w:webHidden/>
              </w:rPr>
              <w:fldChar w:fldCharType="end"/>
            </w:r>
          </w:hyperlink>
        </w:p>
        <w:p w14:paraId="72A6069D" w14:textId="0725EF3D" w:rsidR="00970D42" w:rsidRPr="00B22A77" w:rsidRDefault="00AD23C3" w:rsidP="00E2315B">
          <w:pPr>
            <w:pStyle w:val="TOC2"/>
            <w:ind w:left="658"/>
            <w:rPr>
              <w:rFonts w:asciiTheme="majorHAnsi" w:hAnsiTheme="majorHAnsi"/>
              <w:b/>
              <w:bCs/>
              <w:noProof/>
              <w:lang w:eastAsia="en-GB"/>
            </w:rPr>
          </w:pPr>
          <w:hyperlink w:anchor="_Toc150862405" w:history="1">
            <w:r w:rsidR="00970D42" w:rsidRPr="00B22A77">
              <w:rPr>
                <w:rStyle w:val="Hyperlink"/>
                <w:rFonts w:asciiTheme="majorHAnsi" w:eastAsia="Times New Roman" w:hAnsiTheme="majorHAnsi"/>
                <w:b/>
                <w:bCs/>
                <w:noProof/>
              </w:rPr>
              <w:t>3.1 Analysis summary</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_Toc150862405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8</w:t>
            </w:r>
            <w:r w:rsidR="00970D42" w:rsidRPr="00B22A77">
              <w:rPr>
                <w:rFonts w:asciiTheme="majorHAnsi" w:hAnsiTheme="majorHAnsi"/>
                <w:b/>
                <w:bCs/>
                <w:noProof/>
                <w:webHidden/>
              </w:rPr>
              <w:fldChar w:fldCharType="end"/>
            </w:r>
          </w:hyperlink>
        </w:p>
        <w:p w14:paraId="6658B636" w14:textId="1FACFBB7" w:rsidR="00970D42" w:rsidRPr="00B22A77" w:rsidRDefault="00AD23C3" w:rsidP="00E2315B">
          <w:pPr>
            <w:pStyle w:val="TOC2"/>
            <w:ind w:left="658"/>
            <w:rPr>
              <w:rFonts w:asciiTheme="majorHAnsi" w:hAnsiTheme="majorHAnsi"/>
              <w:b/>
              <w:bCs/>
              <w:noProof/>
              <w:lang w:eastAsia="en-GB"/>
            </w:rPr>
          </w:pPr>
          <w:hyperlink w:anchor="_Toc150862406" w:history="1">
            <w:r w:rsidR="00970D42" w:rsidRPr="00B22A77">
              <w:rPr>
                <w:rStyle w:val="Hyperlink"/>
                <w:rFonts w:asciiTheme="majorHAnsi" w:hAnsiTheme="majorHAnsi"/>
                <w:b/>
                <w:bCs/>
                <w:noProof/>
              </w:rPr>
              <w:t>2.2 Income projections</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_Toc150862406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23</w:t>
            </w:r>
            <w:r w:rsidR="00970D42" w:rsidRPr="00B22A77">
              <w:rPr>
                <w:rFonts w:asciiTheme="majorHAnsi" w:hAnsiTheme="majorHAnsi"/>
                <w:b/>
                <w:bCs/>
                <w:noProof/>
                <w:webHidden/>
              </w:rPr>
              <w:fldChar w:fldCharType="end"/>
            </w:r>
          </w:hyperlink>
        </w:p>
        <w:p w14:paraId="74531526" w14:textId="4A7870E5" w:rsidR="00970D42" w:rsidRPr="00B22A77" w:rsidRDefault="00AD23C3" w:rsidP="00E2315B">
          <w:pPr>
            <w:pStyle w:val="TOC2"/>
            <w:ind w:left="658"/>
            <w:rPr>
              <w:rFonts w:asciiTheme="majorHAnsi" w:hAnsiTheme="majorHAnsi"/>
              <w:b/>
              <w:bCs/>
              <w:noProof/>
              <w:lang w:eastAsia="en-GB"/>
            </w:rPr>
          </w:pPr>
          <w:hyperlink w:anchor="_Toc150862407" w:history="1">
            <w:r w:rsidR="00970D42" w:rsidRPr="00B22A77">
              <w:rPr>
                <w:rStyle w:val="Hyperlink"/>
                <w:rFonts w:asciiTheme="majorHAnsi" w:hAnsiTheme="majorHAnsi"/>
                <w:b/>
                <w:bCs/>
                <w:noProof/>
              </w:rPr>
              <w:t>2.3 Conclusions</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_Toc150862407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25</w:t>
            </w:r>
            <w:r w:rsidR="00970D42" w:rsidRPr="00B22A77">
              <w:rPr>
                <w:rFonts w:asciiTheme="majorHAnsi" w:hAnsiTheme="majorHAnsi"/>
                <w:b/>
                <w:bCs/>
                <w:noProof/>
                <w:webHidden/>
              </w:rPr>
              <w:fldChar w:fldCharType="end"/>
            </w:r>
          </w:hyperlink>
        </w:p>
        <w:p w14:paraId="325F4359" w14:textId="6E991629" w:rsidR="00970D42" w:rsidRPr="00B22A77" w:rsidRDefault="00AD23C3">
          <w:pPr>
            <w:pStyle w:val="TOC1"/>
            <w:tabs>
              <w:tab w:val="right" w:leader="dot" w:pos="8779"/>
            </w:tabs>
            <w:rPr>
              <w:rFonts w:asciiTheme="majorHAnsi" w:hAnsiTheme="majorHAnsi"/>
              <w:b/>
              <w:bCs/>
              <w:noProof/>
              <w:lang w:eastAsia="en-GB"/>
            </w:rPr>
          </w:pPr>
          <w:hyperlink w:anchor="_Toc150862408" w:history="1">
            <w:r w:rsidR="00970D42" w:rsidRPr="00B22A77">
              <w:rPr>
                <w:rStyle w:val="Hyperlink"/>
                <w:rFonts w:asciiTheme="majorHAnsi" w:hAnsiTheme="majorHAnsi"/>
                <w:b/>
                <w:bCs/>
                <w:noProof/>
              </w:rPr>
              <w:t>4 Capability, capacity, governance</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_Toc150862408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26</w:t>
            </w:r>
            <w:r w:rsidR="00970D42" w:rsidRPr="00B22A77">
              <w:rPr>
                <w:rFonts w:asciiTheme="majorHAnsi" w:hAnsiTheme="majorHAnsi"/>
                <w:b/>
                <w:bCs/>
                <w:noProof/>
                <w:webHidden/>
              </w:rPr>
              <w:fldChar w:fldCharType="end"/>
            </w:r>
          </w:hyperlink>
        </w:p>
        <w:p w14:paraId="0BA78095" w14:textId="0EBC7EC8" w:rsidR="00970D42" w:rsidRPr="00B22A77" w:rsidRDefault="00AD23C3" w:rsidP="00E2315B">
          <w:pPr>
            <w:pStyle w:val="TOC2"/>
            <w:ind w:left="658"/>
            <w:rPr>
              <w:rFonts w:asciiTheme="majorHAnsi" w:hAnsiTheme="majorHAnsi"/>
              <w:b/>
              <w:bCs/>
              <w:noProof/>
              <w:lang w:eastAsia="en-GB"/>
            </w:rPr>
          </w:pPr>
          <w:hyperlink w:anchor="_Toc150862409" w:history="1">
            <w:r w:rsidR="00970D42" w:rsidRPr="00B22A77">
              <w:rPr>
                <w:rStyle w:val="Hyperlink"/>
                <w:rFonts w:asciiTheme="majorHAnsi" w:hAnsiTheme="majorHAnsi"/>
                <w:b/>
                <w:bCs/>
                <w:noProof/>
                <w:lang w:eastAsia="en-GB"/>
              </w:rPr>
              <w:t>4.1 Corporate and financial capacity and expertise</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_Toc150862409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26</w:t>
            </w:r>
            <w:r w:rsidR="00970D42" w:rsidRPr="00B22A77">
              <w:rPr>
                <w:rFonts w:asciiTheme="majorHAnsi" w:hAnsiTheme="majorHAnsi"/>
                <w:b/>
                <w:bCs/>
                <w:noProof/>
                <w:webHidden/>
              </w:rPr>
              <w:fldChar w:fldCharType="end"/>
            </w:r>
          </w:hyperlink>
        </w:p>
        <w:p w14:paraId="33FC800A" w14:textId="0A1CE22E" w:rsidR="00970D42" w:rsidRPr="00B22A77" w:rsidRDefault="00AD23C3" w:rsidP="00E2315B">
          <w:pPr>
            <w:pStyle w:val="TOC2"/>
            <w:ind w:left="658"/>
            <w:rPr>
              <w:rFonts w:asciiTheme="majorHAnsi" w:hAnsiTheme="majorHAnsi"/>
              <w:b/>
              <w:bCs/>
              <w:noProof/>
              <w:lang w:eastAsia="en-GB"/>
            </w:rPr>
          </w:pPr>
          <w:hyperlink w:anchor="_Toc150862410" w:history="1">
            <w:r w:rsidR="00970D42" w:rsidRPr="00B22A77">
              <w:rPr>
                <w:rStyle w:val="Hyperlink"/>
                <w:rFonts w:asciiTheme="majorHAnsi" w:hAnsiTheme="majorHAnsi"/>
                <w:b/>
                <w:bCs/>
                <w:noProof/>
                <w:lang w:eastAsia="en-GB"/>
              </w:rPr>
              <w:t>4.2 Decision-making, oversight and governance</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_Toc150862410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28</w:t>
            </w:r>
            <w:r w:rsidR="00970D42" w:rsidRPr="00B22A77">
              <w:rPr>
                <w:rFonts w:asciiTheme="majorHAnsi" w:hAnsiTheme="majorHAnsi"/>
                <w:b/>
                <w:bCs/>
                <w:noProof/>
                <w:webHidden/>
              </w:rPr>
              <w:fldChar w:fldCharType="end"/>
            </w:r>
          </w:hyperlink>
        </w:p>
        <w:p w14:paraId="78C8C40A" w14:textId="3B32AE25" w:rsidR="00970D42" w:rsidRPr="00B22A77" w:rsidRDefault="00AD23C3" w:rsidP="00E2315B">
          <w:pPr>
            <w:pStyle w:val="TOC2"/>
            <w:ind w:left="658"/>
            <w:rPr>
              <w:rFonts w:asciiTheme="majorHAnsi" w:hAnsiTheme="majorHAnsi"/>
              <w:b/>
              <w:bCs/>
              <w:noProof/>
              <w:lang w:eastAsia="en-GB"/>
            </w:rPr>
          </w:pPr>
          <w:hyperlink w:anchor="_Toc150862411" w:history="1">
            <w:r w:rsidR="00970D42" w:rsidRPr="00B22A77">
              <w:rPr>
                <w:rStyle w:val="Hyperlink"/>
                <w:rFonts w:asciiTheme="majorHAnsi" w:hAnsiTheme="majorHAnsi"/>
                <w:b/>
                <w:bCs/>
                <w:noProof/>
                <w:lang w:eastAsia="en-GB"/>
              </w:rPr>
              <w:t>4.3 Summary</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_Toc150862411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33</w:t>
            </w:r>
            <w:r w:rsidR="00970D42" w:rsidRPr="00B22A77">
              <w:rPr>
                <w:rFonts w:asciiTheme="majorHAnsi" w:hAnsiTheme="majorHAnsi"/>
                <w:b/>
                <w:bCs/>
                <w:noProof/>
                <w:webHidden/>
              </w:rPr>
              <w:fldChar w:fldCharType="end"/>
            </w:r>
          </w:hyperlink>
        </w:p>
        <w:p w14:paraId="4915AD9E" w14:textId="5279DAB6" w:rsidR="00970D42" w:rsidRPr="00B22A77" w:rsidRDefault="00AD23C3">
          <w:pPr>
            <w:pStyle w:val="TOC1"/>
            <w:tabs>
              <w:tab w:val="right" w:leader="dot" w:pos="8779"/>
            </w:tabs>
            <w:rPr>
              <w:rFonts w:asciiTheme="majorHAnsi" w:hAnsiTheme="majorHAnsi"/>
              <w:b/>
              <w:bCs/>
              <w:noProof/>
              <w:lang w:eastAsia="en-GB"/>
            </w:rPr>
          </w:pPr>
          <w:hyperlink w:anchor="_Toc150862412" w:history="1">
            <w:r w:rsidR="00970D42" w:rsidRPr="00B22A77">
              <w:rPr>
                <w:rStyle w:val="Hyperlink"/>
                <w:rFonts w:asciiTheme="majorHAnsi" w:hAnsiTheme="majorHAnsi"/>
                <w:b/>
                <w:bCs/>
                <w:noProof/>
                <w:lang w:eastAsia="en-GB"/>
              </w:rPr>
              <w:t xml:space="preserve">5 </w:t>
            </w:r>
            <w:r w:rsidR="001648DA">
              <w:rPr>
                <w:rStyle w:val="Hyperlink"/>
                <w:rFonts w:asciiTheme="majorHAnsi" w:hAnsiTheme="majorHAnsi"/>
                <w:b/>
                <w:bCs/>
                <w:noProof/>
                <w:lang w:eastAsia="en-GB"/>
              </w:rPr>
              <w:t>R</w:t>
            </w:r>
            <w:r w:rsidR="00970D42" w:rsidRPr="00B22A77">
              <w:rPr>
                <w:rStyle w:val="Hyperlink"/>
                <w:rFonts w:asciiTheme="majorHAnsi" w:hAnsiTheme="majorHAnsi"/>
                <w:b/>
                <w:bCs/>
                <w:noProof/>
                <w:lang w:eastAsia="en-GB"/>
              </w:rPr>
              <w:t>ecommendations</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_Toc150862412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34</w:t>
            </w:r>
            <w:r w:rsidR="00970D42" w:rsidRPr="00B22A77">
              <w:rPr>
                <w:rFonts w:asciiTheme="majorHAnsi" w:hAnsiTheme="majorHAnsi"/>
                <w:b/>
                <w:bCs/>
                <w:noProof/>
                <w:webHidden/>
              </w:rPr>
              <w:fldChar w:fldCharType="end"/>
            </w:r>
          </w:hyperlink>
        </w:p>
        <w:p w14:paraId="5FB25525" w14:textId="0E231432" w:rsidR="00970D42" w:rsidRPr="00B22A77" w:rsidRDefault="00AD23C3" w:rsidP="00E2315B">
          <w:pPr>
            <w:pStyle w:val="TOC2"/>
            <w:ind w:left="658"/>
            <w:rPr>
              <w:rFonts w:asciiTheme="majorHAnsi" w:hAnsiTheme="majorHAnsi"/>
              <w:b/>
              <w:bCs/>
              <w:noProof/>
              <w:lang w:eastAsia="en-GB"/>
            </w:rPr>
          </w:pPr>
          <w:hyperlink w:anchor="_Toc150862413" w:history="1">
            <w:r w:rsidR="00970D42" w:rsidRPr="00B22A77">
              <w:rPr>
                <w:rStyle w:val="Hyperlink"/>
                <w:rFonts w:asciiTheme="majorHAnsi" w:hAnsiTheme="majorHAnsi"/>
                <w:b/>
                <w:bCs/>
                <w:noProof/>
                <w:lang w:eastAsia="en-GB"/>
              </w:rPr>
              <w:t>5.1 General: an independent financial advisory resource</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_Toc150862413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34</w:t>
            </w:r>
            <w:r w:rsidR="00970D42" w:rsidRPr="00B22A77">
              <w:rPr>
                <w:rFonts w:asciiTheme="majorHAnsi" w:hAnsiTheme="majorHAnsi"/>
                <w:b/>
                <w:bCs/>
                <w:noProof/>
                <w:webHidden/>
              </w:rPr>
              <w:fldChar w:fldCharType="end"/>
            </w:r>
          </w:hyperlink>
        </w:p>
        <w:p w14:paraId="577968F9" w14:textId="5ADF33F5" w:rsidR="00970D42" w:rsidRPr="00B22A77" w:rsidRDefault="00AD23C3" w:rsidP="00E2315B">
          <w:pPr>
            <w:pStyle w:val="TOC2"/>
            <w:ind w:left="658"/>
            <w:rPr>
              <w:rFonts w:asciiTheme="majorHAnsi" w:hAnsiTheme="majorHAnsi"/>
              <w:b/>
              <w:bCs/>
              <w:noProof/>
              <w:lang w:eastAsia="en-GB"/>
            </w:rPr>
          </w:pPr>
          <w:hyperlink w:anchor="_Toc150862414" w:history="1">
            <w:r w:rsidR="00970D42" w:rsidRPr="00B22A77">
              <w:rPr>
                <w:rStyle w:val="Hyperlink"/>
                <w:rFonts w:asciiTheme="majorHAnsi" w:hAnsiTheme="majorHAnsi"/>
                <w:b/>
                <w:bCs/>
                <w:noProof/>
                <w:lang w:eastAsia="en-GB"/>
              </w:rPr>
              <w:t>5.2 Recommendations</w:t>
            </w:r>
            <w:r w:rsidR="00970D42" w:rsidRPr="00B22A77">
              <w:rPr>
                <w:rFonts w:asciiTheme="majorHAnsi" w:hAnsiTheme="majorHAnsi"/>
                <w:b/>
                <w:bCs/>
                <w:noProof/>
                <w:webHidden/>
              </w:rPr>
              <w:tab/>
            </w:r>
            <w:r w:rsidR="00970D42" w:rsidRPr="00B22A77">
              <w:rPr>
                <w:rFonts w:asciiTheme="majorHAnsi" w:hAnsiTheme="majorHAnsi"/>
                <w:b/>
                <w:bCs/>
                <w:noProof/>
                <w:webHidden/>
              </w:rPr>
              <w:fldChar w:fldCharType="begin"/>
            </w:r>
            <w:r w:rsidR="00970D42" w:rsidRPr="00B22A77">
              <w:rPr>
                <w:rFonts w:asciiTheme="majorHAnsi" w:hAnsiTheme="majorHAnsi"/>
                <w:b/>
                <w:bCs/>
                <w:noProof/>
                <w:webHidden/>
              </w:rPr>
              <w:instrText xml:space="preserve"> PAGEREF _Toc150862414 \h </w:instrText>
            </w:r>
            <w:r w:rsidR="00970D42" w:rsidRPr="00B22A77">
              <w:rPr>
                <w:rFonts w:asciiTheme="majorHAnsi" w:hAnsiTheme="majorHAnsi"/>
                <w:b/>
                <w:bCs/>
                <w:noProof/>
                <w:webHidden/>
              </w:rPr>
            </w:r>
            <w:r w:rsidR="00970D42" w:rsidRPr="00B22A77">
              <w:rPr>
                <w:rFonts w:asciiTheme="majorHAnsi" w:hAnsiTheme="majorHAnsi"/>
                <w:b/>
                <w:bCs/>
                <w:noProof/>
                <w:webHidden/>
              </w:rPr>
              <w:fldChar w:fldCharType="separate"/>
            </w:r>
            <w:r w:rsidR="009B344B" w:rsidRPr="00B22A77">
              <w:rPr>
                <w:rFonts w:asciiTheme="majorHAnsi" w:hAnsiTheme="majorHAnsi"/>
                <w:b/>
                <w:bCs/>
                <w:noProof/>
                <w:webHidden/>
              </w:rPr>
              <w:t>34</w:t>
            </w:r>
            <w:r w:rsidR="00970D42" w:rsidRPr="00B22A77">
              <w:rPr>
                <w:rFonts w:asciiTheme="majorHAnsi" w:hAnsiTheme="majorHAnsi"/>
                <w:b/>
                <w:bCs/>
                <w:noProof/>
                <w:webHidden/>
              </w:rPr>
              <w:fldChar w:fldCharType="end"/>
            </w:r>
          </w:hyperlink>
        </w:p>
        <w:p w14:paraId="3412FA8C" w14:textId="67BCEDF3" w:rsidR="004F525B" w:rsidRDefault="004F525B">
          <w:r w:rsidRPr="00B22A77">
            <w:rPr>
              <w:b/>
              <w:bCs/>
              <w:noProof/>
              <w:color w:val="2B579A"/>
              <w:shd w:val="clear" w:color="auto" w:fill="E6E6E6"/>
            </w:rPr>
            <w:fldChar w:fldCharType="end"/>
          </w:r>
        </w:p>
      </w:sdtContent>
    </w:sdt>
    <w:p w14:paraId="57228E32" w14:textId="77777777" w:rsidR="00C51617" w:rsidRDefault="00C51617"/>
    <w:p w14:paraId="63B5FCFD" w14:textId="77777777" w:rsidR="00C51617" w:rsidRDefault="00C51617"/>
    <w:p w14:paraId="57B7542B" w14:textId="77777777" w:rsidR="00C51617" w:rsidRDefault="00D75A50" w:rsidP="00D75A50">
      <w:pPr>
        <w:tabs>
          <w:tab w:val="left" w:pos="2993"/>
        </w:tabs>
      </w:pPr>
      <w:r>
        <w:tab/>
      </w:r>
    </w:p>
    <w:p w14:paraId="5AAE99E7" w14:textId="77777777" w:rsidR="008D2B3F" w:rsidRDefault="008D2B3F">
      <w:pPr>
        <w:rPr>
          <w:rFonts w:asciiTheme="majorHAnsi" w:eastAsiaTheme="majorEastAsia" w:hAnsiTheme="majorHAnsi" w:cstheme="majorBidi"/>
          <w:b/>
          <w:bCs/>
          <w:color w:val="5A4B9A" w:themeColor="accent1"/>
          <w:sz w:val="36"/>
          <w:szCs w:val="36"/>
        </w:rPr>
      </w:pPr>
      <w:r>
        <w:rPr>
          <w:b/>
          <w:bCs/>
        </w:rPr>
        <w:br w:type="page"/>
      </w:r>
    </w:p>
    <w:p w14:paraId="3D3043BE" w14:textId="67FDA357" w:rsidR="00784EC0" w:rsidRDefault="00970D42" w:rsidP="008D2B3F">
      <w:pPr>
        <w:pStyle w:val="Heading1"/>
        <w:spacing w:after="0"/>
        <w:jc w:val="both"/>
        <w:rPr>
          <w:b/>
          <w:bCs/>
        </w:rPr>
      </w:pPr>
      <w:bookmarkStart w:id="0" w:name="_Toc150862399"/>
      <w:r>
        <w:rPr>
          <w:b/>
          <w:bCs/>
        </w:rPr>
        <w:t xml:space="preserve">1 </w:t>
      </w:r>
      <w:r w:rsidR="00A9514D">
        <w:rPr>
          <w:b/>
          <w:bCs/>
        </w:rPr>
        <w:t xml:space="preserve">Executive </w:t>
      </w:r>
      <w:r w:rsidR="00F308B1">
        <w:rPr>
          <w:b/>
          <w:bCs/>
        </w:rPr>
        <w:t>summary</w:t>
      </w:r>
      <w:bookmarkEnd w:id="0"/>
    </w:p>
    <w:p w14:paraId="38F90EBE" w14:textId="77777777" w:rsidR="008D2B3F" w:rsidRDefault="008D2B3F" w:rsidP="008D2B3F">
      <w:pPr>
        <w:spacing w:after="0"/>
        <w:jc w:val="both"/>
      </w:pPr>
    </w:p>
    <w:p w14:paraId="5472CE43" w14:textId="1EF1AFFC" w:rsidR="00693E13" w:rsidRDefault="0060599C" w:rsidP="008D2B3F">
      <w:pPr>
        <w:spacing w:after="0"/>
        <w:jc w:val="both"/>
      </w:pPr>
      <w:r>
        <w:t>Th</w:t>
      </w:r>
      <w:r w:rsidR="00532DE8">
        <w:t>is</w:t>
      </w:r>
      <w:r>
        <w:t xml:space="preserve"> </w:t>
      </w:r>
      <w:r w:rsidR="00FF33F7">
        <w:t>re</w:t>
      </w:r>
      <w:r w:rsidR="00DC42BE">
        <w:t>port</w:t>
      </w:r>
      <w:r w:rsidR="00FF33F7">
        <w:t xml:space="preserve"> </w:t>
      </w:r>
      <w:r w:rsidR="002847C9">
        <w:t xml:space="preserve">for the Department </w:t>
      </w:r>
      <w:r w:rsidR="005D7428">
        <w:t xml:space="preserve">for </w:t>
      </w:r>
      <w:r w:rsidR="002847C9">
        <w:t xml:space="preserve">Levelling Up, Housing and </w:t>
      </w:r>
      <w:r w:rsidR="00D90269">
        <w:t>Communities</w:t>
      </w:r>
      <w:r w:rsidR="005D7428">
        <w:t xml:space="preserve"> (DLUHC)</w:t>
      </w:r>
      <w:r w:rsidR="00D90269">
        <w:t xml:space="preserve">, </w:t>
      </w:r>
      <w:r w:rsidR="00FF33F7">
        <w:t>examines</w:t>
      </w:r>
      <w:r w:rsidR="00BD06F2">
        <w:t xml:space="preserve"> Spelthorne Borough Council</w:t>
      </w:r>
      <w:r w:rsidR="00A77D13">
        <w:t>’s</w:t>
      </w:r>
      <w:r w:rsidR="005D7428">
        <w:t xml:space="preserve"> (SBC)</w:t>
      </w:r>
      <w:r w:rsidR="00A77D13">
        <w:t xml:space="preserve"> indebtedness</w:t>
      </w:r>
      <w:r w:rsidR="00E53896">
        <w:t>. We have looked at the overall position,</w:t>
      </w:r>
      <w:r w:rsidR="00BD06F2">
        <w:t xml:space="preserve"> the </w:t>
      </w:r>
      <w:r w:rsidR="00E53896">
        <w:t xml:space="preserve">associated </w:t>
      </w:r>
      <w:r w:rsidR="006A19D3">
        <w:t>challenges</w:t>
      </w:r>
      <w:r w:rsidR="00BD06F2">
        <w:t xml:space="preserve">, and the </w:t>
      </w:r>
      <w:r w:rsidR="00B801D7">
        <w:t>c</w:t>
      </w:r>
      <w:r w:rsidR="00BD06F2">
        <w:t xml:space="preserve">ouncil’s capacity to manage </w:t>
      </w:r>
      <w:r w:rsidR="00EA69C4">
        <w:t>the</w:t>
      </w:r>
      <w:r w:rsidR="006A19D3">
        <w:t>m</w:t>
      </w:r>
      <w:r w:rsidR="00EA69C4">
        <w:t xml:space="preserve">. </w:t>
      </w:r>
      <w:r w:rsidR="002847C9">
        <w:t xml:space="preserve">The background, </w:t>
      </w:r>
      <w:r w:rsidR="00D90269">
        <w:t xml:space="preserve">DLUHC’s requirement and our approach are set out in section 1. </w:t>
      </w:r>
      <w:r w:rsidR="00EA69C4">
        <w:t xml:space="preserve">Our work </w:t>
      </w:r>
      <w:r w:rsidR="00E455E8">
        <w:t xml:space="preserve">has identified </w:t>
      </w:r>
      <w:r w:rsidR="00495F36">
        <w:t>several</w:t>
      </w:r>
      <w:r w:rsidR="00E455E8">
        <w:t xml:space="preserve"> areas of concern.</w:t>
      </w:r>
    </w:p>
    <w:p w14:paraId="1E2043F7" w14:textId="77777777" w:rsidR="008D2B3F" w:rsidRDefault="008D2B3F" w:rsidP="008D2B3F">
      <w:pPr>
        <w:spacing w:after="0"/>
        <w:jc w:val="both"/>
      </w:pPr>
    </w:p>
    <w:p w14:paraId="1A46BC41" w14:textId="261887BD" w:rsidR="00BE15FC" w:rsidRDefault="0044426E" w:rsidP="00BD06F2">
      <w:pPr>
        <w:jc w:val="both"/>
      </w:pPr>
      <w:r>
        <w:t xml:space="preserve">In section 2, we examine </w:t>
      </w:r>
      <w:r w:rsidR="00503A51">
        <w:t>SBC’s</w:t>
      </w:r>
      <w:r>
        <w:t xml:space="preserve"> indebtedness position and the associated risks in detail.</w:t>
      </w:r>
      <w:r w:rsidR="00503A51">
        <w:t xml:space="preserve"> </w:t>
      </w:r>
      <w:r w:rsidR="000666A0">
        <w:t xml:space="preserve">The </w:t>
      </w:r>
      <w:r w:rsidR="00B801D7">
        <w:t>c</w:t>
      </w:r>
      <w:r w:rsidR="000666A0">
        <w:t xml:space="preserve">ouncil’s </w:t>
      </w:r>
      <w:r w:rsidR="00503A51">
        <w:t>c.£1</w:t>
      </w:r>
      <w:r w:rsidR="008C6BA1">
        <w:t xml:space="preserve"> </w:t>
      </w:r>
      <w:r w:rsidR="00503A51">
        <w:t>b</w:t>
      </w:r>
      <w:r w:rsidR="008C6BA1">
        <w:t>illio</w:t>
      </w:r>
      <w:r w:rsidR="00503A51">
        <w:t xml:space="preserve">n </w:t>
      </w:r>
      <w:r w:rsidR="00897C06">
        <w:t xml:space="preserve">commercial property portfolio is </w:t>
      </w:r>
      <w:r w:rsidR="00650249">
        <w:t xml:space="preserve">managed in a </w:t>
      </w:r>
      <w:r w:rsidR="004E35A1">
        <w:t xml:space="preserve">reasonably </w:t>
      </w:r>
      <w:r w:rsidR="001D041D">
        <w:t>professional and proactive</w:t>
      </w:r>
      <w:r w:rsidR="00650249">
        <w:t xml:space="preserve"> manner</w:t>
      </w:r>
      <w:r w:rsidR="001D041D">
        <w:t xml:space="preserve">. However, </w:t>
      </w:r>
      <w:r w:rsidR="00141650">
        <w:t xml:space="preserve">the portfolio has an anticipated 50-year lifespan. </w:t>
      </w:r>
      <w:r w:rsidR="00B87482">
        <w:t>It would benefit from</w:t>
      </w:r>
      <w:r w:rsidR="001D041D">
        <w:t xml:space="preserve"> </w:t>
      </w:r>
      <w:r w:rsidR="00B22A6D">
        <w:t xml:space="preserve">a more </w:t>
      </w:r>
      <w:r w:rsidR="007055DD">
        <w:t xml:space="preserve">long-term </w:t>
      </w:r>
      <w:r w:rsidR="00C17C49">
        <w:t xml:space="preserve">management </w:t>
      </w:r>
      <w:r w:rsidR="007055DD">
        <w:t>approach</w:t>
      </w:r>
      <w:r w:rsidR="008652BE">
        <w:t xml:space="preserve">. </w:t>
      </w:r>
      <w:r w:rsidR="00EF0D3D">
        <w:t>This</w:t>
      </w:r>
      <w:r w:rsidR="008652BE">
        <w:t xml:space="preserve"> should be</w:t>
      </w:r>
      <w:r w:rsidR="00CC7B0E">
        <w:t xml:space="preserve"> characterised by </w:t>
      </w:r>
      <w:r w:rsidR="008652BE">
        <w:t xml:space="preserve">clear </w:t>
      </w:r>
      <w:r w:rsidR="00CC7B0E">
        <w:t xml:space="preserve">strategic principles </w:t>
      </w:r>
      <w:r w:rsidR="008652BE">
        <w:t>and</w:t>
      </w:r>
      <w:r w:rsidR="001F091B">
        <w:t xml:space="preserve"> underpinned</w:t>
      </w:r>
      <w:r w:rsidR="00035C74">
        <w:t xml:space="preserve"> by</w:t>
      </w:r>
      <w:r w:rsidR="00B73D4B">
        <w:t xml:space="preserve"> assessments of </w:t>
      </w:r>
      <w:r w:rsidR="006C20B1">
        <w:t>the interplay of net</w:t>
      </w:r>
      <w:r w:rsidR="00B73D4B">
        <w:t xml:space="preserve"> income</w:t>
      </w:r>
      <w:r w:rsidR="00C53B7C">
        <w:t>, building specification</w:t>
      </w:r>
      <w:r w:rsidR="00454110">
        <w:t xml:space="preserve">, </w:t>
      </w:r>
      <w:r w:rsidR="00B73D4B">
        <w:t>maintenance</w:t>
      </w:r>
      <w:r w:rsidR="00454110">
        <w:t>, and prudential saving</w:t>
      </w:r>
      <w:r w:rsidR="001F091B">
        <w:t xml:space="preserve">. </w:t>
      </w:r>
      <w:r w:rsidR="00454110">
        <w:t>It</w:t>
      </w:r>
      <w:r w:rsidR="001F091B">
        <w:t xml:space="preserve"> should </w:t>
      </w:r>
      <w:r w:rsidR="00454110">
        <w:t xml:space="preserve">also </w:t>
      </w:r>
      <w:r w:rsidR="001F091B">
        <w:t>feature</w:t>
      </w:r>
      <w:r w:rsidR="00BE15FC">
        <w:t xml:space="preserve"> a sensibly managed approach to disposals.</w:t>
      </w:r>
    </w:p>
    <w:p w14:paraId="06E2F09E" w14:textId="161C3481" w:rsidR="006A4AE1" w:rsidRDefault="00E148F7" w:rsidP="00BD06F2">
      <w:pPr>
        <w:jc w:val="both"/>
      </w:pPr>
      <w:r>
        <w:t xml:space="preserve">Alongside the portfolio, </w:t>
      </w:r>
      <w:r w:rsidR="008F7A0D">
        <w:t>SBC</w:t>
      </w:r>
      <w:r>
        <w:t xml:space="preserve"> has ambitious affordable housing plans</w:t>
      </w:r>
      <w:r w:rsidR="007B4F02">
        <w:t>. The</w:t>
      </w:r>
      <w:r w:rsidR="00731AE1">
        <w:t>se</w:t>
      </w:r>
      <w:r w:rsidR="001E2521">
        <w:t xml:space="preserve"> plans</w:t>
      </w:r>
      <w:r w:rsidR="007B4F02">
        <w:t xml:space="preserve"> represent </w:t>
      </w:r>
      <w:r w:rsidR="001E2521">
        <w:t>£325.2</w:t>
      </w:r>
      <w:r w:rsidR="008C6BA1">
        <w:t xml:space="preserve"> </w:t>
      </w:r>
      <w:r w:rsidR="001E2521">
        <w:t>m</w:t>
      </w:r>
      <w:r w:rsidR="008C6BA1">
        <w:t>illion</w:t>
      </w:r>
      <w:r w:rsidR="001E2521">
        <w:t xml:space="preserve"> </w:t>
      </w:r>
      <w:r w:rsidR="00F15388">
        <w:t xml:space="preserve">of </w:t>
      </w:r>
      <w:r w:rsidR="001E2521">
        <w:t xml:space="preserve">borrowing over the next </w:t>
      </w:r>
      <w:r w:rsidR="00CD7F3A">
        <w:t>four years</w:t>
      </w:r>
      <w:r>
        <w:t xml:space="preserve">. </w:t>
      </w:r>
      <w:r w:rsidR="00B9414E">
        <w:t>The</w:t>
      </w:r>
      <w:r w:rsidR="00CD7F3A">
        <w:t xml:space="preserve"> </w:t>
      </w:r>
      <w:r w:rsidR="001206A2">
        <w:t>c</w:t>
      </w:r>
      <w:r w:rsidR="00CD7F3A">
        <w:t>ouncil’s approach</w:t>
      </w:r>
      <w:r>
        <w:t xml:space="preserve"> </w:t>
      </w:r>
      <w:r w:rsidR="00F15388">
        <w:t xml:space="preserve">is </w:t>
      </w:r>
      <w:r w:rsidR="00801A2E">
        <w:t>problematic</w:t>
      </w:r>
      <w:r w:rsidR="0000141E">
        <w:t xml:space="preserve">. SBC’s position </w:t>
      </w:r>
      <w:r w:rsidR="005027B6">
        <w:t xml:space="preserve">is such that it will </w:t>
      </w:r>
      <w:r w:rsidR="00BC7CEA">
        <w:t xml:space="preserve">seemingly </w:t>
      </w:r>
      <w:r w:rsidR="005027B6">
        <w:t xml:space="preserve">face exacting </w:t>
      </w:r>
      <w:r w:rsidR="00F15388">
        <w:t>challenges</w:t>
      </w:r>
      <w:r w:rsidR="005027B6">
        <w:t xml:space="preserve"> and serious costs whether it proceeds with these </w:t>
      </w:r>
      <w:r w:rsidR="00BC7CEA">
        <w:t xml:space="preserve">housing </w:t>
      </w:r>
      <w:r w:rsidR="005027B6">
        <w:t xml:space="preserve">plans or discontinues </w:t>
      </w:r>
      <w:r w:rsidR="000F5448">
        <w:t xml:space="preserve">them altogether. </w:t>
      </w:r>
      <w:r w:rsidR="00801A2E">
        <w:t>The</w:t>
      </w:r>
      <w:r w:rsidR="00D972B3">
        <w:t xml:space="preserve"> plans</w:t>
      </w:r>
      <w:r w:rsidR="008F7A0D">
        <w:t xml:space="preserve"> require</w:t>
      </w:r>
      <w:r w:rsidR="00D972B3">
        <w:t xml:space="preserve"> an immediate and detailed review</w:t>
      </w:r>
      <w:r w:rsidR="00F3795B">
        <w:t xml:space="preserve">. </w:t>
      </w:r>
    </w:p>
    <w:p w14:paraId="175FF16C" w14:textId="53170058" w:rsidR="00DC42BE" w:rsidRDefault="00C74449" w:rsidP="00BD06F2">
      <w:pPr>
        <w:jc w:val="both"/>
      </w:pPr>
      <w:r>
        <w:t xml:space="preserve">The expansion of SBC’s risk profile </w:t>
      </w:r>
      <w:r w:rsidR="0029657F">
        <w:t xml:space="preserve">represented by the affordable housing programme cannot be divorced from the fact that the </w:t>
      </w:r>
      <w:r w:rsidR="001206A2">
        <w:t>c</w:t>
      </w:r>
      <w:r w:rsidR="00D745C5">
        <w:t>ouncil</w:t>
      </w:r>
      <w:r w:rsidR="00791E80">
        <w:t xml:space="preserve"> already has </w:t>
      </w:r>
      <w:r w:rsidR="00675178">
        <w:t xml:space="preserve">high indebtedness </w:t>
      </w:r>
      <w:r w:rsidR="005D72F2">
        <w:t>owing</w:t>
      </w:r>
      <w:r w:rsidR="00675178">
        <w:t xml:space="preserve"> to the commercial portfolio. </w:t>
      </w:r>
      <w:r w:rsidR="0069258F">
        <w:t xml:space="preserve">These factors in turn have </w:t>
      </w:r>
      <w:r w:rsidR="009E6EBA">
        <w:t xml:space="preserve">implications for the management of the revenue budget, the sinking fund, reserves and the overall </w:t>
      </w:r>
      <w:r w:rsidR="00CD4527">
        <w:t>Medium Term Financial Plan (</w:t>
      </w:r>
      <w:r w:rsidR="009E6EBA">
        <w:t>MTFP</w:t>
      </w:r>
      <w:r w:rsidR="00CD4527">
        <w:t>)</w:t>
      </w:r>
      <w:r w:rsidR="00117E33">
        <w:t xml:space="preserve"> position</w:t>
      </w:r>
      <w:r w:rsidR="00D745C5">
        <w:t xml:space="preserve">. </w:t>
      </w:r>
    </w:p>
    <w:p w14:paraId="55A80869" w14:textId="0AA9C8FE" w:rsidR="0005231E" w:rsidRDefault="008D119F" w:rsidP="00BD06F2">
      <w:pPr>
        <w:jc w:val="both"/>
      </w:pPr>
      <w:r>
        <w:t>There are also concerns</w:t>
      </w:r>
      <w:r w:rsidR="00DC42BE">
        <w:t xml:space="preserve"> about the </w:t>
      </w:r>
      <w:r w:rsidR="00D45DF2">
        <w:t>c</w:t>
      </w:r>
      <w:r w:rsidR="00DC42BE">
        <w:t>ouncil’s capacity to manage this array of challenges</w:t>
      </w:r>
      <w:r w:rsidR="00B80818">
        <w:t>, examined in detail in section 3</w:t>
      </w:r>
      <w:r w:rsidR="00271B31">
        <w:t xml:space="preserve">. </w:t>
      </w:r>
      <w:r w:rsidR="00FC5EA6">
        <w:t xml:space="preserve">Finance is shorthanded, internal audit arguably so. There are potential long-term sustainability challenges even in the management resources for commercial property. We have noted issues in the recent decisions around the affordable housing scheme, specifically </w:t>
      </w:r>
      <w:r w:rsidR="00684302">
        <w:t>around</w:t>
      </w:r>
      <w:r w:rsidR="00FC5EA6">
        <w:t xml:space="preserve"> process and oversight, as well as the timeliness of the financial information and its integration with wider budget reporting. </w:t>
      </w:r>
      <w:r w:rsidR="00B80818">
        <w:t>In any case, t</w:t>
      </w:r>
      <w:r w:rsidR="007C5764">
        <w:t xml:space="preserve">he history of </w:t>
      </w:r>
      <w:r w:rsidR="00E236DC">
        <w:t>SBC’s approach to</w:t>
      </w:r>
      <w:r w:rsidR="000C1BD7">
        <w:t xml:space="preserve"> affordable housing is not encouraging in terms of </w:t>
      </w:r>
      <w:r w:rsidR="00E236DC">
        <w:t>the current programme’s</w:t>
      </w:r>
      <w:r w:rsidR="000C1BD7">
        <w:t xml:space="preserve"> prospects for delive</w:t>
      </w:r>
      <w:r w:rsidR="00011840">
        <w:t>ry</w:t>
      </w:r>
      <w:r w:rsidR="000C1BD7">
        <w:t xml:space="preserve">. </w:t>
      </w:r>
      <w:r w:rsidR="008B7C51">
        <w:t>There are governance</w:t>
      </w:r>
      <w:r w:rsidR="008E5F9F">
        <w:t xml:space="preserve"> issues in SBC affecting the quality</w:t>
      </w:r>
      <w:r w:rsidR="00ED6966">
        <w:t>, transparency and consistency</w:t>
      </w:r>
      <w:r w:rsidR="008E5F9F">
        <w:t xml:space="preserve"> of decision-making, not aided by</w:t>
      </w:r>
      <w:r w:rsidR="00673EF3">
        <w:t xml:space="preserve"> </w:t>
      </w:r>
      <w:r w:rsidR="00852841">
        <w:t xml:space="preserve">the </w:t>
      </w:r>
      <w:r w:rsidR="007A4C9A">
        <w:t>c</w:t>
      </w:r>
      <w:r w:rsidR="00852841">
        <w:t>ouncil’s</w:t>
      </w:r>
      <w:r w:rsidR="00673EF3">
        <w:t xml:space="preserve"> precarious political composition</w:t>
      </w:r>
      <w:r w:rsidR="00852841">
        <w:t xml:space="preserve">. There are </w:t>
      </w:r>
      <w:r w:rsidR="00673EF3">
        <w:t xml:space="preserve">conflicts </w:t>
      </w:r>
      <w:r w:rsidR="003E3ED2">
        <w:t>of interest, which</w:t>
      </w:r>
      <w:r w:rsidR="008E5F9F">
        <w:t xml:space="preserve"> </w:t>
      </w:r>
      <w:r w:rsidR="003E3ED2">
        <w:t xml:space="preserve">although transparent and </w:t>
      </w:r>
      <w:r w:rsidR="0005231E">
        <w:t xml:space="preserve">declared may impair effective decision-making. </w:t>
      </w:r>
    </w:p>
    <w:p w14:paraId="1A30D254" w14:textId="2E907770" w:rsidR="00E455E8" w:rsidRDefault="00333CFE" w:rsidP="00BD06F2">
      <w:pPr>
        <w:jc w:val="both"/>
      </w:pPr>
      <w:r>
        <w:t xml:space="preserve">Given these factors, we </w:t>
      </w:r>
      <w:r w:rsidR="00AE1641">
        <w:t xml:space="preserve">have set out a series of recommendations in section 4. We </w:t>
      </w:r>
      <w:r>
        <w:t xml:space="preserve">believe that SBC </w:t>
      </w:r>
      <w:r w:rsidR="00304BD4">
        <w:t>needs</w:t>
      </w:r>
      <w:r>
        <w:t xml:space="preserve"> additional resources to move forward effectively. </w:t>
      </w:r>
      <w:r w:rsidR="0060371A" w:rsidRPr="00E053DE">
        <w:rPr>
          <w:b/>
          <w:bCs/>
        </w:rPr>
        <w:t xml:space="preserve">We recommend that </w:t>
      </w:r>
      <w:r w:rsidR="00E053DE" w:rsidRPr="00E053DE">
        <w:rPr>
          <w:b/>
          <w:bCs/>
        </w:rPr>
        <w:t>DLUHC should deplo</w:t>
      </w:r>
      <w:r w:rsidR="00E053DE">
        <w:rPr>
          <w:b/>
          <w:bCs/>
        </w:rPr>
        <w:t>y</w:t>
      </w:r>
      <w:r w:rsidR="00304BD4">
        <w:rPr>
          <w:b/>
          <w:bCs/>
        </w:rPr>
        <w:t xml:space="preserve"> expert</w:t>
      </w:r>
      <w:r w:rsidR="00E053DE">
        <w:rPr>
          <w:b/>
          <w:bCs/>
        </w:rPr>
        <w:t xml:space="preserve"> independent support into </w:t>
      </w:r>
      <w:r w:rsidR="00F06CB6">
        <w:rPr>
          <w:b/>
          <w:bCs/>
        </w:rPr>
        <w:t xml:space="preserve">SBC to assist the </w:t>
      </w:r>
      <w:r w:rsidR="007A4C9A">
        <w:rPr>
          <w:b/>
          <w:bCs/>
        </w:rPr>
        <w:t xml:space="preserve">council </w:t>
      </w:r>
      <w:r w:rsidR="00EE49F8">
        <w:rPr>
          <w:b/>
          <w:bCs/>
        </w:rPr>
        <w:t xml:space="preserve">with its immediate and ongoing financial challenges. </w:t>
      </w:r>
      <w:r w:rsidR="00EE49F8">
        <w:t>The</w:t>
      </w:r>
      <w:r w:rsidR="009444F3">
        <w:t xml:space="preserve">se experts would establish a </w:t>
      </w:r>
      <w:r w:rsidR="009444F3" w:rsidRPr="009444F3">
        <w:rPr>
          <w:b/>
          <w:bCs/>
        </w:rPr>
        <w:t>programme team</w:t>
      </w:r>
      <w:r w:rsidR="009444F3">
        <w:t xml:space="preserve"> to </w:t>
      </w:r>
      <w:r w:rsidR="00302C44">
        <w:t>put in place a seri</w:t>
      </w:r>
      <w:r w:rsidR="00A20932">
        <w:t>e</w:t>
      </w:r>
      <w:r w:rsidR="00302C44">
        <w:t xml:space="preserve">s of </w:t>
      </w:r>
      <w:r w:rsidR="00302C44">
        <w:rPr>
          <w:b/>
          <w:bCs/>
        </w:rPr>
        <w:t>risk mitigations</w:t>
      </w:r>
      <w:r w:rsidR="00302C44">
        <w:t xml:space="preserve">. </w:t>
      </w:r>
      <w:r w:rsidR="00300B0C">
        <w:t>We have suggested eight areas of mitigation</w:t>
      </w:r>
      <w:r w:rsidR="00534C10">
        <w:t xml:space="preserve">, including </w:t>
      </w:r>
      <w:r w:rsidR="00457C14">
        <w:t xml:space="preserve">an immediate review of the affordable housing plans, the </w:t>
      </w:r>
      <w:r w:rsidR="00777F6F">
        <w:t>agreement</w:t>
      </w:r>
      <w:r w:rsidR="00457C14">
        <w:t xml:space="preserve"> of strict </w:t>
      </w:r>
      <w:r w:rsidR="00046920">
        <w:t xml:space="preserve">borrowing limits, a fundamental assessment of the </w:t>
      </w:r>
      <w:r w:rsidR="00572CD5">
        <w:t xml:space="preserve">management of the </w:t>
      </w:r>
      <w:r w:rsidR="00046920">
        <w:t xml:space="preserve">commercial portfolio and </w:t>
      </w:r>
      <w:r w:rsidR="00901C4F">
        <w:t>a</w:t>
      </w:r>
      <w:r w:rsidR="00572CD5">
        <w:t xml:space="preserve"> thorough </w:t>
      </w:r>
      <w:r w:rsidR="00901C4F">
        <w:t>examination of the Council’s governance and decision-making culture</w:t>
      </w:r>
      <w:r w:rsidR="0037668A">
        <w:t>.</w:t>
      </w:r>
    </w:p>
    <w:p w14:paraId="135BD60D" w14:textId="5079C6C1" w:rsidR="00F308B1" w:rsidRPr="00F308B1" w:rsidRDefault="00F308B1" w:rsidP="00BD06F2">
      <w:pPr>
        <w:jc w:val="both"/>
      </w:pPr>
      <w:r>
        <w:br w:type="page"/>
      </w:r>
    </w:p>
    <w:p w14:paraId="09F133CE" w14:textId="4FEA11B4" w:rsidR="001E1A6C" w:rsidRPr="006B7EC3" w:rsidRDefault="001E1A6C" w:rsidP="00F34C2F">
      <w:pPr>
        <w:pStyle w:val="Heading1"/>
        <w:numPr>
          <w:ilvl w:val="0"/>
          <w:numId w:val="26"/>
        </w:numPr>
        <w:jc w:val="both"/>
        <w:rPr>
          <w:b/>
          <w:bCs/>
        </w:rPr>
      </w:pPr>
      <w:bookmarkStart w:id="1" w:name="_Toc150862400"/>
      <w:r w:rsidRPr="006B7EC3">
        <w:rPr>
          <w:b/>
          <w:bCs/>
        </w:rPr>
        <w:t>Introduction</w:t>
      </w:r>
      <w:bookmarkEnd w:id="1"/>
    </w:p>
    <w:p w14:paraId="4FF3CF48" w14:textId="7B185A19" w:rsidR="00153977" w:rsidRPr="005867FC" w:rsidRDefault="00552E49" w:rsidP="00F34C2F">
      <w:pPr>
        <w:pStyle w:val="Heading1"/>
        <w:numPr>
          <w:ilvl w:val="1"/>
          <w:numId w:val="26"/>
        </w:numPr>
        <w:jc w:val="both"/>
        <w:rPr>
          <w:rStyle w:val="Heading2Char"/>
        </w:rPr>
      </w:pPr>
      <w:bookmarkStart w:id="2" w:name="_Toc150862401"/>
      <w:bookmarkStart w:id="3" w:name="_Hlk92178599"/>
      <w:r w:rsidRPr="005867FC">
        <w:rPr>
          <w:rStyle w:val="Heading2Char"/>
        </w:rPr>
        <w:t>Background</w:t>
      </w:r>
      <w:bookmarkEnd w:id="2"/>
      <w:r w:rsidRPr="005867FC">
        <w:rPr>
          <w:rStyle w:val="Heading2Char"/>
        </w:rPr>
        <w:t xml:space="preserve"> </w:t>
      </w:r>
    </w:p>
    <w:p w14:paraId="2DE8130A" w14:textId="3B2F3FCC" w:rsidR="00153977" w:rsidRDefault="00153977" w:rsidP="000127D7">
      <w:pPr>
        <w:jc w:val="both"/>
      </w:pPr>
    </w:p>
    <w:p w14:paraId="7C4403AD" w14:textId="64EE360E" w:rsidR="00DD7FD6" w:rsidRDefault="002375FD" w:rsidP="000127D7">
      <w:pPr>
        <w:jc w:val="both"/>
      </w:pPr>
      <w:r>
        <w:t xml:space="preserve">Since </w:t>
      </w:r>
      <w:r w:rsidR="00A9514D">
        <w:t xml:space="preserve">May </w:t>
      </w:r>
      <w:r w:rsidR="00CB6257">
        <w:t xml:space="preserve">2022, </w:t>
      </w:r>
      <w:r w:rsidR="007640B4">
        <w:t xml:space="preserve">DLUHC has </w:t>
      </w:r>
      <w:r w:rsidR="00F15610">
        <w:t xml:space="preserve">been </w:t>
      </w:r>
      <w:r w:rsidR="009D7F6C">
        <w:t xml:space="preserve">working with and </w:t>
      </w:r>
      <w:r w:rsidR="00F15610">
        <w:t xml:space="preserve">monitoring </w:t>
      </w:r>
      <w:r w:rsidR="009D7F6C">
        <w:t xml:space="preserve">several </w:t>
      </w:r>
      <w:r w:rsidR="00F5783B">
        <w:t>councils</w:t>
      </w:r>
      <w:r w:rsidR="00591447">
        <w:t xml:space="preserve"> with high levels of indebtedness relative to their revenue budgets, </w:t>
      </w:r>
      <w:r w:rsidR="00DD7FD6">
        <w:t xml:space="preserve">reserves or Council Tax base. Spelthorne Borough Council </w:t>
      </w:r>
      <w:r w:rsidR="00B4206A">
        <w:t xml:space="preserve">(SBC) </w:t>
      </w:r>
      <w:r w:rsidR="00DD7FD6">
        <w:t xml:space="preserve">is one </w:t>
      </w:r>
      <w:r w:rsidR="00F15610">
        <w:t>such</w:t>
      </w:r>
      <w:r w:rsidR="00936A00">
        <w:t xml:space="preserve"> council</w:t>
      </w:r>
      <w:r w:rsidR="00DD7FD6">
        <w:t xml:space="preserve">. </w:t>
      </w:r>
    </w:p>
    <w:p w14:paraId="1EAF54CC" w14:textId="435B25A8" w:rsidR="00153977" w:rsidRPr="00153977" w:rsidRDefault="00930B91" w:rsidP="000127D7">
      <w:pPr>
        <w:jc w:val="both"/>
      </w:pPr>
      <w:r>
        <w:t xml:space="preserve">Working with partners, </w:t>
      </w:r>
      <w:r w:rsidR="00AE4759">
        <w:t>CIPFA is leading</w:t>
      </w:r>
      <w:r w:rsidR="00DD7FD6">
        <w:t xml:space="preserve"> </w:t>
      </w:r>
      <w:r w:rsidR="00AE4759">
        <w:t xml:space="preserve">a </w:t>
      </w:r>
      <w:r w:rsidR="00905A81">
        <w:t xml:space="preserve">programme </w:t>
      </w:r>
      <w:r w:rsidR="00AE4759">
        <w:t xml:space="preserve">of </w:t>
      </w:r>
      <w:r>
        <w:t xml:space="preserve">DLUHC-commissioned </w:t>
      </w:r>
      <w:r w:rsidR="00AE4759">
        <w:t xml:space="preserve">reviews </w:t>
      </w:r>
      <w:r w:rsidR="00CF408F">
        <w:t xml:space="preserve">to examine the financial management and sustainability </w:t>
      </w:r>
      <w:r w:rsidR="00CC5DF2">
        <w:t xml:space="preserve">of selected </w:t>
      </w:r>
      <w:r w:rsidR="00AE07FC">
        <w:t>council</w:t>
      </w:r>
      <w:r w:rsidR="00CC5DF2">
        <w:t xml:space="preserve">s. </w:t>
      </w:r>
      <w:r w:rsidR="00CE15DB">
        <w:t xml:space="preserve">As part of this programme, </w:t>
      </w:r>
      <w:r w:rsidR="005A722C">
        <w:t xml:space="preserve">in early 2023, </w:t>
      </w:r>
      <w:r w:rsidR="00CE15DB">
        <w:t>the Department asked CIPFA</w:t>
      </w:r>
      <w:r w:rsidR="00AA7E31">
        <w:t xml:space="preserve"> </w:t>
      </w:r>
      <w:r w:rsidR="00CE15DB">
        <w:t xml:space="preserve">to review </w:t>
      </w:r>
      <w:r w:rsidR="00122538">
        <w:t xml:space="preserve">the </w:t>
      </w:r>
      <w:r w:rsidR="00DC6EC2">
        <w:t xml:space="preserve">debt </w:t>
      </w:r>
      <w:r w:rsidR="00122538">
        <w:t>condition</w:t>
      </w:r>
      <w:r w:rsidR="000A44C1">
        <w:t>s</w:t>
      </w:r>
      <w:r w:rsidR="00122538">
        <w:t xml:space="preserve"> and </w:t>
      </w:r>
      <w:r w:rsidR="00DC6EC2">
        <w:t xml:space="preserve">management </w:t>
      </w:r>
      <w:r w:rsidR="00122538">
        <w:t>arrangements in S</w:t>
      </w:r>
      <w:r w:rsidR="00AA7E31">
        <w:t>BC</w:t>
      </w:r>
      <w:r w:rsidR="00122538">
        <w:t xml:space="preserve">. </w:t>
      </w:r>
    </w:p>
    <w:p w14:paraId="055D2814" w14:textId="7103194E" w:rsidR="001E1A6C" w:rsidRPr="005867FC" w:rsidRDefault="00552E49" w:rsidP="00F34C2F">
      <w:pPr>
        <w:pStyle w:val="Heading1"/>
        <w:numPr>
          <w:ilvl w:val="1"/>
          <w:numId w:val="26"/>
        </w:numPr>
        <w:jc w:val="both"/>
        <w:rPr>
          <w:rStyle w:val="Heading2Char"/>
        </w:rPr>
      </w:pPr>
      <w:bookmarkStart w:id="4" w:name="_Toc150862402"/>
      <w:r w:rsidRPr="005867FC">
        <w:rPr>
          <w:rStyle w:val="Heading2Char"/>
        </w:rPr>
        <w:t>Requirement</w:t>
      </w:r>
      <w:bookmarkEnd w:id="4"/>
    </w:p>
    <w:p w14:paraId="61D72A41" w14:textId="77777777" w:rsidR="001E1A6C" w:rsidRDefault="001E1A6C" w:rsidP="000127D7">
      <w:pPr>
        <w:jc w:val="both"/>
      </w:pPr>
    </w:p>
    <w:p w14:paraId="1D290A6A" w14:textId="21377B88" w:rsidR="00A77D8C" w:rsidRDefault="004E1870" w:rsidP="000127D7">
      <w:pPr>
        <w:jc w:val="both"/>
      </w:pPr>
      <w:r>
        <w:t xml:space="preserve">Following </w:t>
      </w:r>
      <w:r w:rsidR="001A76AB">
        <w:t xml:space="preserve">an initial 2-day ‘triage’ assessment of </w:t>
      </w:r>
      <w:r w:rsidR="00887FB8">
        <w:t>each of the affected authorities</w:t>
      </w:r>
      <w:r w:rsidR="00BC545A">
        <w:t>,</w:t>
      </w:r>
      <w:r w:rsidR="005A722C">
        <w:t xml:space="preserve"> conducted in January</w:t>
      </w:r>
      <w:r w:rsidR="00132679">
        <w:t>/February</w:t>
      </w:r>
      <w:r w:rsidR="00887FB8">
        <w:t xml:space="preserve">, </w:t>
      </w:r>
      <w:r w:rsidR="00132679">
        <w:t xml:space="preserve">CIPFA and the </w:t>
      </w:r>
      <w:r w:rsidR="00EA50E3">
        <w:t>D</w:t>
      </w:r>
      <w:r w:rsidR="00132679">
        <w:t>epartment</w:t>
      </w:r>
      <w:r w:rsidR="00887FB8">
        <w:t xml:space="preserve"> concluded</w:t>
      </w:r>
      <w:r w:rsidR="00132679">
        <w:t xml:space="preserve"> that each </w:t>
      </w:r>
      <w:r w:rsidR="00AF0BC3">
        <w:t xml:space="preserve">council </w:t>
      </w:r>
      <w:r w:rsidR="00132679">
        <w:t>required a substantial review</w:t>
      </w:r>
      <w:r w:rsidR="004B76E0">
        <w:t>. A further 29</w:t>
      </w:r>
      <w:r w:rsidR="00BC545A">
        <w:t>-</w:t>
      </w:r>
      <w:r w:rsidR="004B76E0">
        <w:t xml:space="preserve">day investigation was allocated to each </w:t>
      </w:r>
      <w:r w:rsidR="00AF0BC3">
        <w:t>council</w:t>
      </w:r>
      <w:r w:rsidR="00EA50E3">
        <w:t>. W</w:t>
      </w:r>
      <w:r w:rsidR="00130410">
        <w:t xml:space="preserve">ork </w:t>
      </w:r>
      <w:r w:rsidR="00EA50E3">
        <w:t xml:space="preserve">was </w:t>
      </w:r>
      <w:r w:rsidR="00130410">
        <w:t xml:space="preserve">to be undertaken in February and March 2023, </w:t>
      </w:r>
      <w:r w:rsidR="00257C64">
        <w:t>and</w:t>
      </w:r>
      <w:r w:rsidR="00130410">
        <w:t xml:space="preserve"> </w:t>
      </w:r>
      <w:r w:rsidR="00895917">
        <w:t xml:space="preserve">draft investigations and findings presented to the Department, subject to </w:t>
      </w:r>
      <w:r w:rsidR="00BA4EFA">
        <w:t xml:space="preserve">any </w:t>
      </w:r>
      <w:r w:rsidR="00257C64">
        <w:t>unavoidable</w:t>
      </w:r>
      <w:r w:rsidR="00BA4EFA">
        <w:t xml:space="preserve"> constraints, by </w:t>
      </w:r>
      <w:r w:rsidR="00E4771E">
        <w:t>the end of the week beginning 20</w:t>
      </w:r>
      <w:r w:rsidR="00A77D8C">
        <w:t xml:space="preserve"> March 2023.</w:t>
      </w:r>
    </w:p>
    <w:p w14:paraId="7784D254" w14:textId="1377EDB5" w:rsidR="006150F2" w:rsidRDefault="00553791" w:rsidP="000127D7">
      <w:pPr>
        <w:jc w:val="both"/>
      </w:pPr>
      <w:r>
        <w:t>Emailing</w:t>
      </w:r>
      <w:r w:rsidR="004509BC">
        <w:t xml:space="preserve"> the authorities </w:t>
      </w:r>
      <w:r>
        <w:t xml:space="preserve">to advise them </w:t>
      </w:r>
      <w:r w:rsidR="004509BC">
        <w:t xml:space="preserve">of </w:t>
      </w:r>
      <w:r w:rsidR="00C7278A">
        <w:t>project</w:t>
      </w:r>
      <w:r w:rsidR="004509BC">
        <w:t xml:space="preserve"> commencemen</w:t>
      </w:r>
      <w:r w:rsidR="00F3188C">
        <w:t>t</w:t>
      </w:r>
      <w:r w:rsidR="00A17677">
        <w:t xml:space="preserve">, DLUHC summarised the </w:t>
      </w:r>
      <w:r>
        <w:t>review</w:t>
      </w:r>
      <w:r w:rsidR="00361339">
        <w:t xml:space="preserve"> work</w:t>
      </w:r>
      <w:r w:rsidR="00A17677">
        <w:t xml:space="preserve"> as follows:</w:t>
      </w:r>
    </w:p>
    <w:p w14:paraId="578AD238" w14:textId="670C47E6" w:rsidR="00C306C3" w:rsidRPr="00E2315B" w:rsidRDefault="00C306C3" w:rsidP="000127D7">
      <w:pPr>
        <w:jc w:val="both"/>
        <w:rPr>
          <w:b/>
          <w:bCs/>
          <w:i/>
          <w:iCs/>
          <w:sz w:val="24"/>
          <w:szCs w:val="24"/>
        </w:rPr>
      </w:pPr>
      <w:r w:rsidRPr="00E2315B">
        <w:rPr>
          <w:b/>
          <w:bCs/>
          <w:i/>
          <w:iCs/>
          <w:sz w:val="24"/>
          <w:szCs w:val="24"/>
        </w:rPr>
        <w:t>Objectives</w:t>
      </w:r>
    </w:p>
    <w:p w14:paraId="024CEAA0" w14:textId="3DB08468" w:rsidR="00C306C3" w:rsidRPr="00C306C3" w:rsidRDefault="00C306C3" w:rsidP="000127D7">
      <w:pPr>
        <w:jc w:val="both"/>
      </w:pPr>
      <w:r w:rsidRPr="00C306C3">
        <w:t>First, to assess the level of risk that the council is exposed to due to its current debt and investment profile and future capital plans. In assessing this, the review should consider both the inherent risk and the council’s arrangements to manage risk. The review must consider the forward position of the council and the level of risk to financial stability due to sensitivity to changes in future assumptions.</w:t>
      </w:r>
    </w:p>
    <w:p w14:paraId="17F3E57B" w14:textId="688AD38A" w:rsidR="00C306C3" w:rsidRPr="00C306C3" w:rsidRDefault="00C306C3" w:rsidP="000127D7">
      <w:pPr>
        <w:jc w:val="both"/>
      </w:pPr>
      <w:r w:rsidRPr="00C306C3">
        <w:t xml:space="preserve">Secondly, to include as part of the considerations of the review whether it is appropriate and necessary for the council to take actions to reduce its risk (for example, by reducing debt), and the options by which the council may do this and the viability of such options. The report should provide recommendations that can reasonably inform the government’s and council’s consideration of further actions. </w:t>
      </w:r>
    </w:p>
    <w:p w14:paraId="51F4CFEA" w14:textId="2B3A0F58" w:rsidR="00C306C3" w:rsidRPr="00C306C3" w:rsidRDefault="00C306C3" w:rsidP="000127D7">
      <w:pPr>
        <w:jc w:val="both"/>
      </w:pPr>
      <w:r w:rsidRPr="00C306C3">
        <w:t>The focus of the review is intended to be on the financial risks arising due to the council’s investment and debt profile; we expect the review to consider other elements of the council’s finances so far as they are relevant.</w:t>
      </w:r>
      <w:r w:rsidRPr="00C306C3">
        <w:rPr>
          <w:i/>
          <w:iCs/>
        </w:rPr>
        <w:t> </w:t>
      </w:r>
    </w:p>
    <w:p w14:paraId="37D92079" w14:textId="77777777" w:rsidR="00C306C3" w:rsidRPr="00E2315B" w:rsidRDefault="00C306C3" w:rsidP="000127D7">
      <w:pPr>
        <w:jc w:val="both"/>
        <w:rPr>
          <w:b/>
          <w:bCs/>
          <w:i/>
          <w:iCs/>
          <w:sz w:val="24"/>
          <w:szCs w:val="24"/>
        </w:rPr>
      </w:pPr>
      <w:r w:rsidRPr="00E2315B">
        <w:rPr>
          <w:b/>
          <w:bCs/>
          <w:i/>
          <w:iCs/>
          <w:sz w:val="24"/>
          <w:szCs w:val="24"/>
        </w:rPr>
        <w:t>Review areas</w:t>
      </w:r>
    </w:p>
    <w:p w14:paraId="135023BA" w14:textId="7553D895" w:rsidR="00C306C3" w:rsidRPr="00C306C3" w:rsidRDefault="00C306C3" w:rsidP="000127D7">
      <w:pPr>
        <w:jc w:val="both"/>
      </w:pPr>
      <w:r w:rsidRPr="00C306C3">
        <w:t>The review will cover, but is not limited to, the following main areas in pursuit of the above objectives:</w:t>
      </w:r>
    </w:p>
    <w:p w14:paraId="6FB99C05" w14:textId="469E5CE5" w:rsidR="00C306C3" w:rsidRPr="00C306C3" w:rsidRDefault="00C306C3" w:rsidP="00F34C2F">
      <w:pPr>
        <w:numPr>
          <w:ilvl w:val="0"/>
          <w:numId w:val="15"/>
        </w:numPr>
        <w:ind w:left="360"/>
        <w:jc w:val="both"/>
      </w:pPr>
      <w:r w:rsidRPr="00C306C3">
        <w:t>An assessment of the council’s financial risk due to its profile of investments and debt (current and planned). Investments includes both financial and non-financial investments (property) that generate commercial income. This is not limited to investments purely or primarily for profit. The review is expected to take a risk-based approach and identify and focus on those investments which present the highest potential financial risk (by value, complexity or sensitivity).</w:t>
      </w:r>
    </w:p>
    <w:p w14:paraId="1C7CC41F" w14:textId="022DF555" w:rsidR="00C306C3" w:rsidRPr="00C306C3" w:rsidRDefault="00C306C3" w:rsidP="00F34C2F">
      <w:pPr>
        <w:numPr>
          <w:ilvl w:val="0"/>
          <w:numId w:val="15"/>
        </w:numPr>
        <w:ind w:left="360"/>
        <w:jc w:val="both"/>
      </w:pPr>
      <w:r w:rsidRPr="00C306C3">
        <w:t>An assessment of the council’s capacity, capability and arrangements for managing its investment and debt risks, and whether these are sufficient and appropriate for the council’s activity. Review Area 1 sets out a review of the council’s inherent risk exposure, the intent of Review Area 2 is to assess the council’s arrangements to manage and mitigate its risk position.</w:t>
      </w:r>
    </w:p>
    <w:p w14:paraId="797CAAEE" w14:textId="77777777" w:rsidR="00C306C3" w:rsidRPr="00C306C3" w:rsidRDefault="00C306C3" w:rsidP="00F34C2F">
      <w:pPr>
        <w:numPr>
          <w:ilvl w:val="0"/>
          <w:numId w:val="15"/>
        </w:numPr>
        <w:ind w:left="360"/>
        <w:jc w:val="both"/>
      </w:pPr>
      <w:r w:rsidRPr="00C306C3">
        <w:t>An assessment of actions the council can reasonably take to reduce its debt and commercial exposure, or other actions it can take, with respect to reducing its overall level of risk over the short, medium and long-term. The government has set out that any actions to reduce capital risk should seek to avoid unintended consequences or risks to value for money. The review should consider options and consider their viability.</w:t>
      </w:r>
    </w:p>
    <w:p w14:paraId="0061C282" w14:textId="54D67A42" w:rsidR="55A69097" w:rsidRDefault="00C306C3" w:rsidP="000127D7">
      <w:pPr>
        <w:jc w:val="both"/>
      </w:pPr>
      <w:r w:rsidRPr="00C306C3">
        <w:t>During the course of their work, the reviewers may request information, data and interviews they deem appropriate to meet the objectives and cover the review areas. The Department for Levelling Up, Housing and Communities appreciates the co</w:t>
      </w:r>
      <w:r w:rsidR="001648F6">
        <w:t>-</w:t>
      </w:r>
      <w:r w:rsidRPr="00C306C3">
        <w:t>operation of the council with this review.</w:t>
      </w:r>
    </w:p>
    <w:p w14:paraId="6ABF3E0B" w14:textId="77777777" w:rsidR="001E1A6C" w:rsidRPr="005867FC" w:rsidRDefault="001E1A6C" w:rsidP="00F34C2F">
      <w:pPr>
        <w:pStyle w:val="Heading1"/>
        <w:numPr>
          <w:ilvl w:val="1"/>
          <w:numId w:val="26"/>
        </w:numPr>
        <w:jc w:val="both"/>
        <w:rPr>
          <w:rStyle w:val="Heading2Char"/>
        </w:rPr>
      </w:pPr>
      <w:bookmarkStart w:id="5" w:name="_Toc150862403"/>
      <w:r w:rsidRPr="005867FC">
        <w:rPr>
          <w:rStyle w:val="Heading2Char"/>
        </w:rPr>
        <w:t>Methodology</w:t>
      </w:r>
      <w:bookmarkEnd w:id="5"/>
    </w:p>
    <w:p w14:paraId="571CDC2B" w14:textId="50E7B376" w:rsidR="1DEA76A8" w:rsidRDefault="1DEA76A8" w:rsidP="000127D7">
      <w:pPr>
        <w:jc w:val="both"/>
      </w:pPr>
    </w:p>
    <w:p w14:paraId="72674AFF" w14:textId="30E24BBF" w:rsidR="005F2475" w:rsidRDefault="00B06975" w:rsidP="000127D7">
      <w:pPr>
        <w:jc w:val="both"/>
      </w:pPr>
      <w:r>
        <w:t xml:space="preserve">To address DLUHC’s </w:t>
      </w:r>
      <w:r w:rsidR="001648F6">
        <w:t>3</w:t>
      </w:r>
      <w:r>
        <w:t xml:space="preserve"> questions, t</w:t>
      </w:r>
      <w:r w:rsidR="005F2475">
        <w:t>he broad approach was as follows:</w:t>
      </w:r>
    </w:p>
    <w:p w14:paraId="11866BA4" w14:textId="17A098BD" w:rsidR="005F2475" w:rsidRPr="00E2315B" w:rsidRDefault="005F2475" w:rsidP="000127D7">
      <w:pPr>
        <w:jc w:val="both"/>
        <w:rPr>
          <w:i/>
          <w:iCs/>
        </w:rPr>
      </w:pPr>
      <w:r w:rsidRPr="00E2315B">
        <w:rPr>
          <w:i/>
          <w:iCs/>
        </w:rPr>
        <w:t>Desktop analysis</w:t>
      </w:r>
    </w:p>
    <w:p w14:paraId="17D5D7BD" w14:textId="067F1965" w:rsidR="005F2475" w:rsidRDefault="002063B9" w:rsidP="000127D7">
      <w:pPr>
        <w:jc w:val="both"/>
      </w:pPr>
      <w:r>
        <w:t xml:space="preserve">DLUHC provided an extensive </w:t>
      </w:r>
      <w:r w:rsidR="009D5AAF">
        <w:t xml:space="preserve">document </w:t>
      </w:r>
      <w:r>
        <w:t>library</w:t>
      </w:r>
      <w:r w:rsidR="000127D7">
        <w:t>. This</w:t>
      </w:r>
      <w:r>
        <w:t xml:space="preserve"> in turn </w:t>
      </w:r>
      <w:r w:rsidR="000127D7">
        <w:t xml:space="preserve">had largely </w:t>
      </w:r>
      <w:r>
        <w:t xml:space="preserve">been supplied to them </w:t>
      </w:r>
      <w:r w:rsidR="00066206">
        <w:t xml:space="preserve">by the affected </w:t>
      </w:r>
      <w:r w:rsidR="001648F6">
        <w:t>councils</w:t>
      </w:r>
      <w:r w:rsidR="00066206">
        <w:t xml:space="preserve">. </w:t>
      </w:r>
      <w:r w:rsidR="00AB74DC">
        <w:t xml:space="preserve">We reviewed the </w:t>
      </w:r>
      <w:r w:rsidR="000E5EEA">
        <w:t>SBC</w:t>
      </w:r>
      <w:r w:rsidR="00DF3C1B">
        <w:t xml:space="preserve"> material</w:t>
      </w:r>
      <w:r w:rsidR="00AB74DC">
        <w:t xml:space="preserve"> and made supplementary document requests to </w:t>
      </w:r>
      <w:r w:rsidR="00DF3C1B">
        <w:t xml:space="preserve">the </w:t>
      </w:r>
      <w:r w:rsidR="00B07D2E">
        <w:t>c</w:t>
      </w:r>
      <w:r w:rsidR="00DF3C1B">
        <w:t xml:space="preserve">ouncil and also examined other relevant materials </w:t>
      </w:r>
      <w:r w:rsidR="007D62E8">
        <w:t>for purposes of comparison.</w:t>
      </w:r>
      <w:r w:rsidR="0009262D">
        <w:t xml:space="preserve"> We </w:t>
      </w:r>
      <w:r w:rsidR="00C274E9">
        <w:t>would like to record our gratitude to S</w:t>
      </w:r>
      <w:r w:rsidR="00291DAB">
        <w:t>BC</w:t>
      </w:r>
      <w:r w:rsidR="00C274E9">
        <w:t xml:space="preserve"> officers for their ready compliance with </w:t>
      </w:r>
      <w:r w:rsidR="007A44D1">
        <w:t>our requests for reports and data.</w:t>
      </w:r>
    </w:p>
    <w:p w14:paraId="2D683ABC" w14:textId="04595B7F" w:rsidR="007D62E8" w:rsidRPr="00E2315B" w:rsidRDefault="007D62E8" w:rsidP="000127D7">
      <w:pPr>
        <w:jc w:val="both"/>
        <w:rPr>
          <w:i/>
          <w:iCs/>
        </w:rPr>
      </w:pPr>
      <w:r w:rsidRPr="00E2315B">
        <w:rPr>
          <w:i/>
          <w:iCs/>
        </w:rPr>
        <w:t>Specialised inputs</w:t>
      </w:r>
    </w:p>
    <w:p w14:paraId="7306D7BB" w14:textId="2EC8C48D" w:rsidR="007D62E8" w:rsidRDefault="005533B8" w:rsidP="000127D7">
      <w:pPr>
        <w:jc w:val="both"/>
      </w:pPr>
      <w:r>
        <w:t xml:space="preserve">Some comparative data analyses were conducted on </w:t>
      </w:r>
      <w:r w:rsidR="00F52333">
        <w:t>issues such as commercial property, revenue spend</w:t>
      </w:r>
      <w:r w:rsidR="005E5298">
        <w:t xml:space="preserve">, and indebtedness. Where relevant they have been </w:t>
      </w:r>
      <w:r w:rsidR="00834D86">
        <w:t xml:space="preserve">used in the body of the report. The Good Governance Institute conducted a separate light-touch assessment of </w:t>
      </w:r>
      <w:r w:rsidR="00EE72BD">
        <w:t xml:space="preserve">governance and decision-making in </w:t>
      </w:r>
      <w:r w:rsidR="00834D86">
        <w:t xml:space="preserve">each affected </w:t>
      </w:r>
      <w:r w:rsidR="00FA7C17">
        <w:t>council</w:t>
      </w:r>
      <w:r w:rsidR="00834D86">
        <w:t>. Following this, it was decided in S</w:t>
      </w:r>
      <w:r w:rsidR="00EE72BD">
        <w:t>BC’s</w:t>
      </w:r>
      <w:r w:rsidR="00834D86">
        <w:t xml:space="preserve"> case to </w:t>
      </w:r>
      <w:r w:rsidR="00E86288">
        <w:t>conduct a further investigation</w:t>
      </w:r>
      <w:r w:rsidR="00EE72BD">
        <w:t>. Its</w:t>
      </w:r>
      <w:r w:rsidR="00E86288">
        <w:t xml:space="preserve"> findings are woven into this narrative.</w:t>
      </w:r>
    </w:p>
    <w:p w14:paraId="6328F816" w14:textId="669B67C0" w:rsidR="00E86288" w:rsidRPr="00E2315B" w:rsidRDefault="00E86288" w:rsidP="000127D7">
      <w:pPr>
        <w:jc w:val="both"/>
        <w:rPr>
          <w:i/>
          <w:iCs/>
        </w:rPr>
      </w:pPr>
      <w:r w:rsidRPr="00E2315B">
        <w:rPr>
          <w:i/>
          <w:iCs/>
        </w:rPr>
        <w:t>Interviews</w:t>
      </w:r>
    </w:p>
    <w:p w14:paraId="5C2D596C" w14:textId="76F531DC" w:rsidR="00E16032" w:rsidRDefault="00B6752F" w:rsidP="000127D7">
      <w:pPr>
        <w:jc w:val="both"/>
      </w:pPr>
      <w:r>
        <w:t xml:space="preserve">The bulk of the fieldwork comprised </w:t>
      </w:r>
      <w:r w:rsidR="0009262D">
        <w:t>interviews</w:t>
      </w:r>
      <w:r w:rsidR="00E85FDC">
        <w:t>. These provided the invaluable ‘triangulation’ of our analysis</w:t>
      </w:r>
      <w:r w:rsidR="0009262D">
        <w:t xml:space="preserve">. </w:t>
      </w:r>
      <w:r w:rsidR="00180110">
        <w:t>C</w:t>
      </w:r>
      <w:r w:rsidR="0009262D">
        <w:t>ouncil officers, members, auditors and other experts</w:t>
      </w:r>
      <w:r w:rsidR="00180110">
        <w:t xml:space="preserve"> were invited to give views</w:t>
      </w:r>
      <w:r w:rsidR="00C847B0">
        <w:t xml:space="preserve"> and </w:t>
      </w:r>
      <w:r w:rsidR="00E85FDC">
        <w:t xml:space="preserve">respond to queries </w:t>
      </w:r>
      <w:r w:rsidR="009477CF">
        <w:t>provoked by</w:t>
      </w:r>
      <w:r w:rsidR="00C847B0">
        <w:t xml:space="preserve"> document</w:t>
      </w:r>
      <w:r w:rsidR="00D9326A">
        <w:t>ary</w:t>
      </w:r>
      <w:r w:rsidR="00C847B0">
        <w:t xml:space="preserve"> evidence</w:t>
      </w:r>
      <w:r w:rsidR="007A44D1">
        <w:t xml:space="preserve">. We would like to thank everyone </w:t>
      </w:r>
      <w:r w:rsidR="00180110">
        <w:t xml:space="preserve">involved for their courtesy and constructiveness. </w:t>
      </w:r>
    </w:p>
    <w:p w14:paraId="2200552E" w14:textId="7DC03B6C" w:rsidR="00C847B0" w:rsidRPr="00E2315B" w:rsidRDefault="00C847B0" w:rsidP="000127D7">
      <w:pPr>
        <w:jc w:val="both"/>
        <w:rPr>
          <w:i/>
          <w:iCs/>
        </w:rPr>
      </w:pPr>
      <w:r w:rsidRPr="00E2315B">
        <w:rPr>
          <w:i/>
          <w:iCs/>
        </w:rPr>
        <w:t>Report drafting, feedback and fact-checking</w:t>
      </w:r>
    </w:p>
    <w:p w14:paraId="6A173619" w14:textId="42674CA9" w:rsidR="0097050D" w:rsidRDefault="00254700" w:rsidP="000127D7">
      <w:pPr>
        <w:jc w:val="both"/>
      </w:pPr>
      <w:r>
        <w:t>T</w:t>
      </w:r>
      <w:r w:rsidR="00FA63D2">
        <w:t xml:space="preserve">he </w:t>
      </w:r>
      <w:r>
        <w:t>above inputs</w:t>
      </w:r>
      <w:r w:rsidR="00FA63D2">
        <w:t xml:space="preserve"> were then</w:t>
      </w:r>
      <w:r>
        <w:t xml:space="preserve"> </w:t>
      </w:r>
      <w:r w:rsidR="00697272">
        <w:t>analysed</w:t>
      </w:r>
      <w:r w:rsidR="00C155B4">
        <w:t xml:space="preserve"> </w:t>
      </w:r>
      <w:r w:rsidR="00D149B1">
        <w:t xml:space="preserve">and </w:t>
      </w:r>
      <w:r w:rsidR="00697272">
        <w:t xml:space="preserve">subjected to </w:t>
      </w:r>
      <w:r w:rsidR="0097050D">
        <w:t>our</w:t>
      </w:r>
      <w:r w:rsidR="00697272">
        <w:t xml:space="preserve"> </w:t>
      </w:r>
      <w:r w:rsidR="00D149B1">
        <w:t xml:space="preserve">professional and expert judgement. </w:t>
      </w:r>
      <w:r w:rsidR="00556C3E">
        <w:t xml:space="preserve">The result is this report. </w:t>
      </w:r>
    </w:p>
    <w:p w14:paraId="7673FD54" w14:textId="6729137C" w:rsidR="00C847B0" w:rsidRDefault="003068AD" w:rsidP="000127D7">
      <w:pPr>
        <w:jc w:val="both"/>
      </w:pPr>
      <w:r>
        <w:t>The</w:t>
      </w:r>
      <w:r w:rsidR="00D149B1">
        <w:t xml:space="preserve"> reports belong to</w:t>
      </w:r>
      <w:r w:rsidR="00F37E95">
        <w:t xml:space="preserve"> DLUHC and are thus submitted ‘sight unseen’ from the </w:t>
      </w:r>
      <w:r w:rsidR="0097050D">
        <w:t>view</w:t>
      </w:r>
      <w:r w:rsidR="00DC77F2">
        <w:t xml:space="preserve">point of the affected </w:t>
      </w:r>
      <w:r w:rsidR="00C93155">
        <w:t>c</w:t>
      </w:r>
      <w:r w:rsidR="00DC77F2">
        <w:t>ouncils</w:t>
      </w:r>
      <w:r>
        <w:t>. Nevertheless</w:t>
      </w:r>
      <w:r w:rsidR="00DC77F2">
        <w:t>, we have kept</w:t>
      </w:r>
      <w:r w:rsidR="00274B6D">
        <w:t xml:space="preserve"> </w:t>
      </w:r>
      <w:r w:rsidR="006F694D">
        <w:t>SBC</w:t>
      </w:r>
      <w:r w:rsidR="00DC77F2">
        <w:t xml:space="preserve"> abreast of our </w:t>
      </w:r>
      <w:r>
        <w:t>work</w:t>
      </w:r>
      <w:r w:rsidR="00DC77F2">
        <w:t xml:space="preserve">. Specifically, we have made them aware of what to expect from our conclusions, </w:t>
      </w:r>
      <w:r w:rsidR="006B4C40">
        <w:t>in particular</w:t>
      </w:r>
      <w:r w:rsidR="00DC77F2">
        <w:t xml:space="preserve"> those set out in Section 4 of this report, to minimise ‘surprises’.</w:t>
      </w:r>
    </w:p>
    <w:p w14:paraId="54CEA73B" w14:textId="5E52F098" w:rsidR="00DC77F2" w:rsidRDefault="00DC77F2" w:rsidP="000127D7">
      <w:pPr>
        <w:jc w:val="both"/>
      </w:pPr>
      <w:r>
        <w:t>We have also endeavoured</w:t>
      </w:r>
      <w:r w:rsidR="0014004E">
        <w:t xml:space="preserve"> to fact</w:t>
      </w:r>
      <w:r w:rsidR="006B4C40">
        <w:t>-</w:t>
      </w:r>
      <w:r w:rsidR="0014004E">
        <w:t xml:space="preserve">check figures and their implications with the affected authorities. It is worth sharing, however, </w:t>
      </w:r>
      <w:r w:rsidR="00BB0AA2">
        <w:t xml:space="preserve">several </w:t>
      </w:r>
      <w:r w:rsidR="00B86850">
        <w:t>limitations on this checking.</w:t>
      </w:r>
    </w:p>
    <w:p w14:paraId="0499C62F" w14:textId="0C4213E1" w:rsidR="006C60A1" w:rsidRDefault="00B100D3" w:rsidP="000127D7">
      <w:pPr>
        <w:jc w:val="both"/>
      </w:pPr>
      <w:r>
        <w:t xml:space="preserve">In </w:t>
      </w:r>
      <w:r w:rsidR="00BB0AA2">
        <w:t>SBC’s case</w:t>
      </w:r>
      <w:r>
        <w:t xml:space="preserve">, the lead investigator has iteratively checked data and </w:t>
      </w:r>
      <w:r w:rsidR="00D56A99">
        <w:t xml:space="preserve">any </w:t>
      </w:r>
      <w:r>
        <w:t xml:space="preserve">extrapolations based upon it. Council finance officers have done their utmost to respond. </w:t>
      </w:r>
      <w:r w:rsidR="00E237DC">
        <w:t>However, th</w:t>
      </w:r>
      <w:r w:rsidR="00D56A99">
        <w:t>e</w:t>
      </w:r>
      <w:r w:rsidR="00E237DC">
        <w:t xml:space="preserve"> data </w:t>
      </w:r>
      <w:r w:rsidR="00D56A99">
        <w:t>and associated analysis are</w:t>
      </w:r>
      <w:r w:rsidR="00E237DC">
        <w:t xml:space="preserve"> inevitably somewhat volatile. </w:t>
      </w:r>
    </w:p>
    <w:p w14:paraId="5A208F39" w14:textId="2CC92DBA" w:rsidR="005905FA" w:rsidRDefault="00DD7D08" w:rsidP="000127D7">
      <w:pPr>
        <w:jc w:val="both"/>
      </w:pPr>
      <w:r>
        <w:t>A</w:t>
      </w:r>
      <w:r w:rsidR="00E237DC">
        <w:t xml:space="preserve"> </w:t>
      </w:r>
      <w:r w:rsidR="00DB6F70">
        <w:t>conventional</w:t>
      </w:r>
      <w:r w:rsidR="00E237DC">
        <w:t xml:space="preserve"> finance review might examine revenue allocations </w:t>
      </w:r>
      <w:r w:rsidR="00BC4325">
        <w:t xml:space="preserve">and outturns </w:t>
      </w:r>
      <w:r w:rsidR="00E237DC">
        <w:t xml:space="preserve">for a service </w:t>
      </w:r>
      <w:r w:rsidR="007907C6">
        <w:t>with some certainty</w:t>
      </w:r>
      <w:r>
        <w:t>. Councils</w:t>
      </w:r>
      <w:r w:rsidR="007907C6">
        <w:t xml:space="preserve"> might </w:t>
      </w:r>
      <w:r>
        <w:t>even be able to provide information on capital spending</w:t>
      </w:r>
      <w:r w:rsidR="000F63CA">
        <w:t xml:space="preserve"> with some assurance, notwithstanding the </w:t>
      </w:r>
      <w:r w:rsidR="00BC4325">
        <w:t>unpredictability of</w:t>
      </w:r>
      <w:r w:rsidR="000F63CA">
        <w:t xml:space="preserve"> the construction market, especially where contracts </w:t>
      </w:r>
      <w:r w:rsidR="0092409C">
        <w:t xml:space="preserve">have </w:t>
      </w:r>
      <w:r w:rsidR="007E2D5B">
        <w:t xml:space="preserve">placed constraints on expenditure. But debt-funded investments are affected by many variables, some </w:t>
      </w:r>
      <w:r w:rsidR="00F004C1">
        <w:t xml:space="preserve">changing </w:t>
      </w:r>
      <w:r w:rsidR="007E2D5B">
        <w:t>in real time</w:t>
      </w:r>
      <w:r w:rsidR="0092409C">
        <w:t xml:space="preserve">. This limits the </w:t>
      </w:r>
      <w:r w:rsidR="005905FA">
        <w:t xml:space="preserve">accuracy </w:t>
      </w:r>
      <w:r w:rsidR="00D11C02">
        <w:t xml:space="preserve">of any statements </w:t>
      </w:r>
      <w:r w:rsidR="005905FA">
        <w:t>concerning</w:t>
      </w:r>
      <w:r w:rsidR="00D11C02">
        <w:t xml:space="preserve"> them almost from the moment they are set down. </w:t>
      </w:r>
    </w:p>
    <w:p w14:paraId="5147004C" w14:textId="7A9167F7" w:rsidR="00FC1402" w:rsidRDefault="00D11C02" w:rsidP="000127D7">
      <w:pPr>
        <w:jc w:val="both"/>
      </w:pPr>
      <w:r>
        <w:t xml:space="preserve">Further, </w:t>
      </w:r>
      <w:r w:rsidR="005905FA">
        <w:t>we have encountered</w:t>
      </w:r>
      <w:r>
        <w:t xml:space="preserve"> </w:t>
      </w:r>
      <w:r w:rsidR="00A5181F">
        <w:t xml:space="preserve">challenges </w:t>
      </w:r>
      <w:r w:rsidR="005905FA">
        <w:t>relating to</w:t>
      </w:r>
      <w:r w:rsidR="00AD3E97">
        <w:t xml:space="preserve"> complexity. </w:t>
      </w:r>
      <w:r w:rsidR="008405E2">
        <w:t>On the one hand, m</w:t>
      </w:r>
      <w:r w:rsidR="00AD3E97">
        <w:t xml:space="preserve">anaging </w:t>
      </w:r>
      <w:r w:rsidR="00A5181F">
        <w:t xml:space="preserve">large portfolios, comprising </w:t>
      </w:r>
      <w:r w:rsidR="00561DC4">
        <w:t xml:space="preserve">perhaps </w:t>
      </w:r>
      <w:r w:rsidR="00A5181F">
        <w:t xml:space="preserve">commercial property, regeneration interventions, housing programmes, support for </w:t>
      </w:r>
      <w:r w:rsidR="00C93155">
        <w:t>c</w:t>
      </w:r>
      <w:r w:rsidR="00A5181F">
        <w:t xml:space="preserve">ouncil companies, </w:t>
      </w:r>
      <w:r w:rsidR="006175A8">
        <w:t>and even</w:t>
      </w:r>
      <w:r w:rsidR="00A5181F">
        <w:t xml:space="preserve"> loans </w:t>
      </w:r>
      <w:r w:rsidR="006175A8">
        <w:t>to or shares in local enterprise</w:t>
      </w:r>
      <w:r w:rsidR="00BC3F28">
        <w:t>, is a skilled, time-consuming and exacting business</w:t>
      </w:r>
      <w:r w:rsidR="006175A8">
        <w:t xml:space="preserve">. </w:t>
      </w:r>
      <w:r w:rsidR="008405E2">
        <w:t>On the other hand, t</w:t>
      </w:r>
      <w:r w:rsidR="00AA2C16">
        <w:t>he logistical, delivery and investment problems</w:t>
      </w:r>
      <w:r w:rsidR="006175A8">
        <w:t xml:space="preserve"> in one </w:t>
      </w:r>
      <w:r w:rsidR="00AA2C16">
        <w:t xml:space="preserve">large </w:t>
      </w:r>
      <w:r w:rsidR="006175A8">
        <w:t>programme</w:t>
      </w:r>
      <w:r w:rsidR="00250D13">
        <w:t xml:space="preserve"> could have knock on effects for other </w:t>
      </w:r>
      <w:r w:rsidR="00333B88">
        <w:t>aspects of council business</w:t>
      </w:r>
      <w:r w:rsidR="006C60A1">
        <w:t xml:space="preserve">. Either case may </w:t>
      </w:r>
      <w:r w:rsidR="007D7639">
        <w:t>create difficulties f</w:t>
      </w:r>
      <w:r w:rsidR="001356F0">
        <w:t xml:space="preserve">or </w:t>
      </w:r>
      <w:r w:rsidR="00C93155">
        <w:t xml:space="preserve">council </w:t>
      </w:r>
      <w:r w:rsidR="001356F0">
        <w:t xml:space="preserve">officers in responding to queries. </w:t>
      </w:r>
      <w:r w:rsidR="00DF32F9">
        <w:t>These</w:t>
      </w:r>
      <w:r w:rsidR="00E17D16">
        <w:t xml:space="preserve"> difficulties have </w:t>
      </w:r>
      <w:r w:rsidR="00F62475">
        <w:t>call</w:t>
      </w:r>
      <w:r w:rsidR="00E17D16">
        <w:t>ed</w:t>
      </w:r>
      <w:r w:rsidR="00F62475">
        <w:t xml:space="preserve"> into question the suitability o</w:t>
      </w:r>
      <w:r w:rsidR="00854664">
        <w:t>f</w:t>
      </w:r>
      <w:r w:rsidR="00F62475">
        <w:t xml:space="preserve"> </w:t>
      </w:r>
      <w:r w:rsidR="00DB6F70">
        <w:t xml:space="preserve">‘traditional’ </w:t>
      </w:r>
      <w:r w:rsidR="00C93155">
        <w:t xml:space="preserve">council </w:t>
      </w:r>
      <w:r w:rsidR="00854664">
        <w:t xml:space="preserve">finance professionals, whatever their abilities, </w:t>
      </w:r>
      <w:r w:rsidR="001C6EF3">
        <w:t xml:space="preserve">as custodians of complex portfolios or multifaceted </w:t>
      </w:r>
      <w:r w:rsidR="006179C4">
        <w:t xml:space="preserve">and far-reaching </w:t>
      </w:r>
      <w:r w:rsidR="001C6EF3">
        <w:t xml:space="preserve">investment </w:t>
      </w:r>
      <w:r w:rsidR="006179C4">
        <w:t>initiatives</w:t>
      </w:r>
      <w:r w:rsidR="00DF32F9">
        <w:t xml:space="preserve"> without extensive expert support.</w:t>
      </w:r>
    </w:p>
    <w:p w14:paraId="35BDDA99" w14:textId="4680A5BD" w:rsidR="001E461A" w:rsidRDefault="00205D63" w:rsidP="001E461A">
      <w:pPr>
        <w:jc w:val="both"/>
      </w:pPr>
      <w:r>
        <w:t xml:space="preserve">Fact-checking in SBC’s case has been </w:t>
      </w:r>
      <w:r w:rsidR="00461B69">
        <w:t>somewhat constrained by emerging complexities associated with a new approach to its affordable housing programme.</w:t>
      </w:r>
      <w:r w:rsidR="001E461A" w:rsidRPr="001E461A">
        <w:t xml:space="preserve"> </w:t>
      </w:r>
      <w:r w:rsidR="001E461A">
        <w:t xml:space="preserve">Nevertheless, the review team is confident that only the most fundamental shifts to the figures cited here would have any material bearing on our recommendations. </w:t>
      </w:r>
    </w:p>
    <w:p w14:paraId="316E521C" w14:textId="7DDD93D3" w:rsidR="002002F3" w:rsidRDefault="002002F3" w:rsidP="000127D7">
      <w:pPr>
        <w:jc w:val="both"/>
      </w:pPr>
    </w:p>
    <w:p w14:paraId="2460E6CB" w14:textId="5794C553" w:rsidR="008D2B3F" w:rsidRDefault="008D2B3F" w:rsidP="000127D7">
      <w:pPr>
        <w:jc w:val="both"/>
      </w:pPr>
      <w:r>
        <w:br w:type="page"/>
      </w:r>
    </w:p>
    <w:p w14:paraId="76E3CA57" w14:textId="1E9B8CC2" w:rsidR="00391A73" w:rsidRPr="00E544A2" w:rsidRDefault="00970D42" w:rsidP="00E544A2">
      <w:pPr>
        <w:pStyle w:val="Heading1"/>
        <w:rPr>
          <w:b/>
          <w:bCs/>
          <w:lang w:eastAsia="en-GB"/>
        </w:rPr>
      </w:pPr>
      <w:bookmarkStart w:id="6" w:name="_Toc150862404"/>
      <w:bookmarkEnd w:id="3"/>
      <w:r>
        <w:rPr>
          <w:b/>
          <w:bCs/>
          <w:lang w:eastAsia="en-GB"/>
        </w:rPr>
        <w:t>3</w:t>
      </w:r>
      <w:r w:rsidR="001E1A6C" w:rsidRPr="1DEA76A8">
        <w:rPr>
          <w:b/>
          <w:bCs/>
          <w:lang w:eastAsia="en-GB"/>
        </w:rPr>
        <w:t xml:space="preserve"> </w:t>
      </w:r>
      <w:r w:rsidR="6EF1B80D" w:rsidRPr="1DEA76A8">
        <w:rPr>
          <w:b/>
          <w:bCs/>
          <w:lang w:eastAsia="en-GB"/>
        </w:rPr>
        <w:t>Current and future financial risk profile</w:t>
      </w:r>
      <w:bookmarkEnd w:id="6"/>
    </w:p>
    <w:p w14:paraId="2DC618AB" w14:textId="23AD241A" w:rsidR="000A5F33" w:rsidRDefault="000A5F33" w:rsidP="00ED29B2">
      <w:pPr>
        <w:spacing w:after="0" w:line="240" w:lineRule="auto"/>
        <w:rPr>
          <w:rFonts w:eastAsia="Times New Roman"/>
          <w:i/>
          <w:iCs/>
        </w:rPr>
      </w:pPr>
    </w:p>
    <w:p w14:paraId="444EB3F7" w14:textId="0A0F7DC9" w:rsidR="000A5F33" w:rsidRDefault="00970D42" w:rsidP="000A5F33">
      <w:pPr>
        <w:pStyle w:val="Heading2"/>
        <w:rPr>
          <w:rFonts w:eastAsia="Times New Roman"/>
        </w:rPr>
      </w:pPr>
      <w:bookmarkStart w:id="7" w:name="_Toc150862405"/>
      <w:r>
        <w:rPr>
          <w:rFonts w:eastAsia="Times New Roman"/>
        </w:rPr>
        <w:t>3.1</w:t>
      </w:r>
      <w:r w:rsidR="000A5F33" w:rsidRPr="1DEA76A8">
        <w:rPr>
          <w:rFonts w:eastAsia="Times New Roman"/>
        </w:rPr>
        <w:t xml:space="preserve"> Analysis</w:t>
      </w:r>
      <w:r w:rsidR="000C47D1" w:rsidRPr="1DEA76A8">
        <w:rPr>
          <w:rFonts w:eastAsia="Times New Roman"/>
        </w:rPr>
        <w:t xml:space="preserve"> summary</w:t>
      </w:r>
      <w:bookmarkEnd w:id="7"/>
    </w:p>
    <w:p w14:paraId="4B99DF8C" w14:textId="433F4077" w:rsidR="1DEA76A8" w:rsidRDefault="1DEA76A8" w:rsidP="1DEA76A8"/>
    <w:p w14:paraId="4045EFE3" w14:textId="2B83129E" w:rsidR="00DA4193" w:rsidRPr="00E2315B" w:rsidRDefault="00CF4060" w:rsidP="00817C64">
      <w:pPr>
        <w:jc w:val="both"/>
        <w:rPr>
          <w:b/>
          <w:bCs/>
          <w:i/>
          <w:iCs/>
          <w:sz w:val="24"/>
          <w:szCs w:val="24"/>
        </w:rPr>
      </w:pPr>
      <w:r w:rsidRPr="00E2315B">
        <w:rPr>
          <w:b/>
          <w:bCs/>
          <w:i/>
          <w:iCs/>
          <w:sz w:val="24"/>
          <w:szCs w:val="24"/>
        </w:rPr>
        <w:t>Context</w:t>
      </w:r>
    </w:p>
    <w:p w14:paraId="16BA704C" w14:textId="7A9835C0" w:rsidR="00D55D18" w:rsidRDefault="00E2141E" w:rsidP="00932038">
      <w:pPr>
        <w:jc w:val="both"/>
      </w:pPr>
      <w:r>
        <w:t xml:space="preserve">Between December 2016 and August 2018, </w:t>
      </w:r>
      <w:r w:rsidR="00D55D18">
        <w:t>Spelthorne Borough Council</w:t>
      </w:r>
      <w:r w:rsidR="00F124CD">
        <w:t xml:space="preserve"> (SBC)</w:t>
      </w:r>
      <w:r w:rsidR="00DA0BC6">
        <w:t xml:space="preserve"> purchased 8 investment properties </w:t>
      </w:r>
      <w:r w:rsidR="00C12E53">
        <w:t>at a</w:t>
      </w:r>
      <w:r w:rsidR="00DA0BC6">
        <w:t xml:space="preserve"> total </w:t>
      </w:r>
      <w:r w:rsidR="00C12E53">
        <w:t xml:space="preserve">cost of </w:t>
      </w:r>
      <w:r w:rsidR="00151E44">
        <w:t>around</w:t>
      </w:r>
      <w:r w:rsidR="004D5119">
        <w:t xml:space="preserve"> £1</w:t>
      </w:r>
      <w:r w:rsidR="000F6849">
        <w:t xml:space="preserve"> </w:t>
      </w:r>
      <w:r w:rsidR="004D5119">
        <w:t>b</w:t>
      </w:r>
      <w:r w:rsidR="000F6849">
        <w:t>illio</w:t>
      </w:r>
      <w:r w:rsidR="004D5119">
        <w:t xml:space="preserve">n. </w:t>
      </w:r>
      <w:r w:rsidR="004B521A">
        <w:t xml:space="preserve">These properties were an investment </w:t>
      </w:r>
      <w:r w:rsidR="000E0A6C">
        <w:t xml:space="preserve">to enable </w:t>
      </w:r>
      <w:r w:rsidR="0038514A">
        <w:t>SBC</w:t>
      </w:r>
      <w:r w:rsidR="000E0A6C">
        <w:t xml:space="preserve"> to generate income </w:t>
      </w:r>
      <w:r w:rsidR="00C5066B">
        <w:t>to support</w:t>
      </w:r>
      <w:r w:rsidR="00796FFB">
        <w:t xml:space="preserve"> </w:t>
      </w:r>
      <w:r w:rsidR="0038514A">
        <w:t xml:space="preserve">its </w:t>
      </w:r>
      <w:r w:rsidR="00796FFB">
        <w:t xml:space="preserve">revenue budget and </w:t>
      </w:r>
      <w:r w:rsidR="0038514A">
        <w:t>thus</w:t>
      </w:r>
      <w:r w:rsidR="00796FFB">
        <w:t xml:space="preserve"> maintain a wide range of discretionary services.  At the time</w:t>
      </w:r>
      <w:r w:rsidR="002848EC">
        <w:t>,</w:t>
      </w:r>
      <w:r w:rsidR="00796FFB">
        <w:t xml:space="preserve"> </w:t>
      </w:r>
      <w:r w:rsidR="00DE0A83">
        <w:t xml:space="preserve">this commercial and entrepreneurial approach </w:t>
      </w:r>
      <w:r w:rsidR="00035C4C">
        <w:t xml:space="preserve">was justified </w:t>
      </w:r>
      <w:r w:rsidR="008137AB">
        <w:t xml:space="preserve">as </w:t>
      </w:r>
      <w:r w:rsidR="002848EC">
        <w:t xml:space="preserve">being </w:t>
      </w:r>
      <w:r w:rsidR="00BE1DE1">
        <w:t>consistent</w:t>
      </w:r>
      <w:r w:rsidR="00DE0A83">
        <w:t xml:space="preserve"> with </w:t>
      </w:r>
      <w:r w:rsidR="00BE1DE1">
        <w:t>g</w:t>
      </w:r>
      <w:r w:rsidR="001706AA">
        <w:t xml:space="preserve">overnment </w:t>
      </w:r>
      <w:r w:rsidR="00BE1DE1">
        <w:t>p</w:t>
      </w:r>
      <w:r w:rsidR="001706AA">
        <w:t>olicy.</w:t>
      </w:r>
    </w:p>
    <w:p w14:paraId="177F88BA" w14:textId="48CB87A4" w:rsidR="00B84C4F" w:rsidRDefault="008D5EBB" w:rsidP="00932038">
      <w:pPr>
        <w:jc w:val="both"/>
      </w:pPr>
      <w:r>
        <w:t xml:space="preserve">Total </w:t>
      </w:r>
      <w:r w:rsidR="002848EC">
        <w:t>SBC</w:t>
      </w:r>
      <w:r>
        <w:t xml:space="preserve"> </w:t>
      </w:r>
      <w:r w:rsidR="007B123C">
        <w:t>b</w:t>
      </w:r>
      <w:r>
        <w:t>orrowing</w:t>
      </w:r>
      <w:r w:rsidR="00AF65C6">
        <w:t xml:space="preserve"> at </w:t>
      </w:r>
      <w:r w:rsidR="000F6849">
        <w:t>31 December 2022</w:t>
      </w:r>
      <w:r w:rsidR="00AF65C6">
        <w:t xml:space="preserve"> st</w:t>
      </w:r>
      <w:r w:rsidR="007B123C">
        <w:t>ood</w:t>
      </w:r>
      <w:r w:rsidR="00AF65C6">
        <w:t xml:space="preserve"> at </w:t>
      </w:r>
      <w:r w:rsidR="00544F57">
        <w:t xml:space="preserve">some </w:t>
      </w:r>
      <w:r w:rsidR="00AF65C6">
        <w:t>£1,0</w:t>
      </w:r>
      <w:r w:rsidR="00384C82">
        <w:t>96.5</w:t>
      </w:r>
      <w:r w:rsidR="002B3F94">
        <w:t xml:space="preserve"> </w:t>
      </w:r>
      <w:r w:rsidR="00AF65C6">
        <w:t>m</w:t>
      </w:r>
      <w:r w:rsidR="002B3F94">
        <w:t>illion</w:t>
      </w:r>
      <w:r w:rsidR="00AF65C6">
        <w:t xml:space="preserve"> of which</w:t>
      </w:r>
      <w:r w:rsidR="00384C82">
        <w:t xml:space="preserve"> </w:t>
      </w:r>
      <w:r w:rsidR="00544F57">
        <w:t xml:space="preserve">some </w:t>
      </w:r>
      <w:r w:rsidR="00384C82">
        <w:t>£1,084</w:t>
      </w:r>
      <w:r w:rsidR="002B3F94">
        <w:t xml:space="preserve"> </w:t>
      </w:r>
      <w:r w:rsidR="00384C82">
        <w:t>m</w:t>
      </w:r>
      <w:r w:rsidR="002B3F94">
        <w:t>illion</w:t>
      </w:r>
      <w:r w:rsidR="00384C82">
        <w:t xml:space="preserve"> is from the Public Works Loans Board</w:t>
      </w:r>
      <w:r w:rsidR="002B3F94">
        <w:t xml:space="preserve"> (PWLB)</w:t>
      </w:r>
      <w:r w:rsidR="00384C82">
        <w:t>.</w:t>
      </w:r>
      <w:r w:rsidR="00FD2423">
        <w:t xml:space="preserve"> </w:t>
      </w:r>
      <w:r w:rsidR="00384C82">
        <w:t xml:space="preserve">This borrowing is offset by </w:t>
      </w:r>
      <w:r w:rsidR="00C26A6E">
        <w:t>SBC</w:t>
      </w:r>
      <w:r w:rsidR="00384C82">
        <w:t xml:space="preserve"> </w:t>
      </w:r>
      <w:r w:rsidR="00C64A93">
        <w:t>cash investments of some £127.7</w:t>
      </w:r>
      <w:r w:rsidR="002B3F94">
        <w:t xml:space="preserve"> </w:t>
      </w:r>
      <w:r w:rsidR="00C64A93">
        <w:t>m</w:t>
      </w:r>
      <w:r w:rsidR="002B3F94">
        <w:t>illion</w:t>
      </w:r>
      <w:r w:rsidR="00C64A93">
        <w:t xml:space="preserve">, </w:t>
      </w:r>
      <w:r w:rsidR="007456E6">
        <w:t>leaving</w:t>
      </w:r>
      <w:r w:rsidR="00C64A93">
        <w:t xml:space="preserve"> </w:t>
      </w:r>
      <w:r w:rsidR="00C26A6E">
        <w:t xml:space="preserve">initial </w:t>
      </w:r>
      <w:r w:rsidR="00C64A93">
        <w:t>net borrowing of £</w:t>
      </w:r>
      <w:r w:rsidR="000978E6">
        <w:t>968</w:t>
      </w:r>
      <w:r w:rsidR="00950E49">
        <w:t>.8</w:t>
      </w:r>
      <w:r w:rsidR="002B3F94">
        <w:t xml:space="preserve"> </w:t>
      </w:r>
      <w:r w:rsidR="000978E6">
        <w:t>m</w:t>
      </w:r>
      <w:r w:rsidR="002B3F94">
        <w:t>illion</w:t>
      </w:r>
      <w:r w:rsidR="000978E6">
        <w:t xml:space="preserve">. </w:t>
      </w:r>
      <w:r w:rsidR="00950E49">
        <w:t xml:space="preserve">The </w:t>
      </w:r>
      <w:r w:rsidR="0095548F">
        <w:t>c</w:t>
      </w:r>
      <w:r w:rsidR="00950E49">
        <w:t xml:space="preserve">ouncil’s investment property portfolio </w:t>
      </w:r>
      <w:r w:rsidR="00151E44">
        <w:t>was</w:t>
      </w:r>
      <w:r w:rsidR="00950E49">
        <w:t xml:space="preserve"> valued at </w:t>
      </w:r>
      <w:r w:rsidR="00151E44">
        <w:t>31</w:t>
      </w:r>
      <w:r w:rsidR="0095548F">
        <w:t xml:space="preserve"> </w:t>
      </w:r>
      <w:r w:rsidR="00151E44">
        <w:t xml:space="preserve">March 2022 at </w:t>
      </w:r>
      <w:r w:rsidR="00842C7B">
        <w:t>£916.4</w:t>
      </w:r>
      <w:r w:rsidR="002B3F94">
        <w:t xml:space="preserve"> </w:t>
      </w:r>
      <w:r w:rsidR="00842C7B">
        <w:t>m</w:t>
      </w:r>
      <w:r w:rsidR="002B3F94">
        <w:t>illion</w:t>
      </w:r>
      <w:r w:rsidR="00151E44">
        <w:t xml:space="preserve">. This </w:t>
      </w:r>
      <w:r w:rsidR="00842C7B">
        <w:t xml:space="preserve">leaves the </w:t>
      </w:r>
      <w:r w:rsidR="0095548F">
        <w:t>c</w:t>
      </w:r>
      <w:r w:rsidR="00842C7B">
        <w:t xml:space="preserve">ouncil with </w:t>
      </w:r>
      <w:r w:rsidR="00C26A6E">
        <w:t xml:space="preserve">final </w:t>
      </w:r>
      <w:r w:rsidR="00842C7B">
        <w:t>net borrowing of £</w:t>
      </w:r>
      <w:r w:rsidR="00B84C4F">
        <w:t>52.4</w:t>
      </w:r>
      <w:r w:rsidR="002B3F94">
        <w:t xml:space="preserve"> </w:t>
      </w:r>
      <w:r w:rsidR="00B84C4F">
        <w:t>m</w:t>
      </w:r>
      <w:r w:rsidR="002B3F94">
        <w:t>illion</w:t>
      </w:r>
      <w:r w:rsidR="00B84C4F">
        <w:t>.</w:t>
      </w:r>
    </w:p>
    <w:p w14:paraId="72F3B4EF" w14:textId="431F8109" w:rsidR="001706AA" w:rsidRDefault="009375A1" w:rsidP="00932038">
      <w:pPr>
        <w:jc w:val="both"/>
      </w:pPr>
      <w:r>
        <w:t>In</w:t>
      </w:r>
      <w:r w:rsidR="00B32944">
        <w:t xml:space="preserve"> 2023/24 the </w:t>
      </w:r>
      <w:r w:rsidR="008D11BF">
        <w:t>c</w:t>
      </w:r>
      <w:r w:rsidR="00B32944">
        <w:t xml:space="preserve">ouncil </w:t>
      </w:r>
      <w:r w:rsidR="007F7392">
        <w:t>will spend some £60.345</w:t>
      </w:r>
      <w:r w:rsidR="002B3F94">
        <w:t xml:space="preserve"> </w:t>
      </w:r>
      <w:r w:rsidR="007F7392">
        <w:t>m</w:t>
      </w:r>
      <w:r w:rsidR="002B3F94">
        <w:t>illion</w:t>
      </w:r>
      <w:r w:rsidR="007F7392">
        <w:t xml:space="preserve"> gross</w:t>
      </w:r>
      <w:r w:rsidR="000557AF">
        <w:t>, with a net budget of some £2</w:t>
      </w:r>
      <w:r w:rsidR="000616DA">
        <w:t>5.170</w:t>
      </w:r>
      <w:r w:rsidR="002B3F94">
        <w:t xml:space="preserve"> </w:t>
      </w:r>
      <w:r w:rsidR="000616DA">
        <w:t>m</w:t>
      </w:r>
      <w:r w:rsidR="002B3F94">
        <w:t>illion</w:t>
      </w:r>
      <w:r w:rsidR="000616DA">
        <w:t xml:space="preserve"> before taking into account investment income.  </w:t>
      </w:r>
      <w:r w:rsidR="00DF62D0">
        <w:t xml:space="preserve"> </w:t>
      </w:r>
      <w:r w:rsidR="00892530">
        <w:t>I</w:t>
      </w:r>
      <w:r w:rsidR="00DF62D0">
        <w:t>nvestment income of some £10.832</w:t>
      </w:r>
      <w:r w:rsidR="002B3F94">
        <w:t xml:space="preserve"> </w:t>
      </w:r>
      <w:r w:rsidR="00DF62D0">
        <w:t>m</w:t>
      </w:r>
      <w:r w:rsidR="002B3F94">
        <w:t>illion</w:t>
      </w:r>
      <w:r w:rsidR="00DF62D0">
        <w:t xml:space="preserve"> </w:t>
      </w:r>
      <w:r w:rsidR="005E24D3">
        <w:t>contributes towards</w:t>
      </w:r>
      <w:r w:rsidR="00892530">
        <w:t xml:space="preserve"> </w:t>
      </w:r>
      <w:r w:rsidR="009D0989">
        <w:t xml:space="preserve">43% of </w:t>
      </w:r>
      <w:r w:rsidR="005E24D3">
        <w:t>this net spending</w:t>
      </w:r>
      <w:r w:rsidR="004A05A2">
        <w:t>. Together</w:t>
      </w:r>
      <w:r w:rsidR="00093769">
        <w:t xml:space="preserve"> with other income sources and adjustment</w:t>
      </w:r>
      <w:r w:rsidR="00A92B13">
        <w:t>s that</w:t>
      </w:r>
      <w:r w:rsidR="00093769">
        <w:t xml:space="preserve"> leaves some £</w:t>
      </w:r>
      <w:r w:rsidR="00752836">
        <w:t>8.764</w:t>
      </w:r>
      <w:r w:rsidR="002B3F94">
        <w:t xml:space="preserve"> </w:t>
      </w:r>
      <w:r w:rsidR="00752836">
        <w:t>m</w:t>
      </w:r>
      <w:r w:rsidR="002B3F94">
        <w:t>illion</w:t>
      </w:r>
      <w:r w:rsidR="00752836">
        <w:t xml:space="preserve"> to be met by local taxpayers.</w:t>
      </w:r>
      <w:r w:rsidR="005E24D3">
        <w:t xml:space="preserve"> </w:t>
      </w:r>
      <w:r w:rsidR="007F1916">
        <w:t xml:space="preserve"> </w:t>
      </w:r>
      <w:r w:rsidR="000978E6">
        <w:t xml:space="preserve"> </w:t>
      </w:r>
      <w:r w:rsidR="00AF65C6">
        <w:t xml:space="preserve"> </w:t>
      </w:r>
    </w:p>
    <w:p w14:paraId="671570A8" w14:textId="1A972CBE" w:rsidR="0007761B" w:rsidRPr="00CF4060" w:rsidRDefault="0007761B" w:rsidP="00932038">
      <w:pPr>
        <w:jc w:val="both"/>
      </w:pPr>
      <w:r>
        <w:t xml:space="preserve">The </w:t>
      </w:r>
      <w:r w:rsidR="008D11BF">
        <w:t>c</w:t>
      </w:r>
      <w:r>
        <w:t>ouncil</w:t>
      </w:r>
      <w:r w:rsidR="00FE2D46">
        <w:t xml:space="preserve">’s </w:t>
      </w:r>
      <w:r w:rsidR="00A92B13">
        <w:t>c</w:t>
      </w:r>
      <w:r w:rsidR="00FE2D46">
        <w:t xml:space="preserve">apital </w:t>
      </w:r>
      <w:r w:rsidR="00A92B13">
        <w:t>s</w:t>
      </w:r>
      <w:r w:rsidR="00FE2D46">
        <w:t xml:space="preserve">pending </w:t>
      </w:r>
      <w:r w:rsidR="00A92B13">
        <w:t>p</w:t>
      </w:r>
      <w:r w:rsidR="00FE2D46">
        <w:t>lans</w:t>
      </w:r>
      <w:r w:rsidR="008B0CAD">
        <w:t xml:space="preserve"> for the years 2023</w:t>
      </w:r>
      <w:r w:rsidR="00B7546E">
        <w:t xml:space="preserve"> to 20</w:t>
      </w:r>
      <w:r w:rsidR="008B0CAD">
        <w:t>27</w:t>
      </w:r>
      <w:r w:rsidR="00FE2D46">
        <w:t xml:space="preserve"> </w:t>
      </w:r>
      <w:r w:rsidR="008B0CAD">
        <w:t>a</w:t>
      </w:r>
      <w:r w:rsidR="00FE2D46">
        <w:t>mount to some £446.407</w:t>
      </w:r>
      <w:r w:rsidR="00345866">
        <w:t xml:space="preserve"> </w:t>
      </w:r>
      <w:r w:rsidR="00FE2D46">
        <w:t>m</w:t>
      </w:r>
      <w:r w:rsidR="00345866">
        <w:t>illion</w:t>
      </w:r>
      <w:r w:rsidR="0070630A">
        <w:t xml:space="preserve"> towards</w:t>
      </w:r>
      <w:r w:rsidR="008B0CAD">
        <w:t xml:space="preserve"> which it intends to borrow </w:t>
      </w:r>
      <w:r w:rsidR="005A1336">
        <w:t>a further £332.</w:t>
      </w:r>
      <w:r w:rsidR="00947BED">
        <w:t>214</w:t>
      </w:r>
      <w:r w:rsidR="00345866">
        <w:t xml:space="preserve"> </w:t>
      </w:r>
      <w:r w:rsidR="005A1336">
        <w:t>m</w:t>
      </w:r>
      <w:r w:rsidR="00345866">
        <w:t>illion</w:t>
      </w:r>
      <w:r w:rsidR="005A1336">
        <w:t>.  £</w:t>
      </w:r>
      <w:r w:rsidR="0091261E">
        <w:t>272.704</w:t>
      </w:r>
      <w:r w:rsidR="00345866">
        <w:t xml:space="preserve"> </w:t>
      </w:r>
      <w:r w:rsidR="0091261E">
        <w:t>m</w:t>
      </w:r>
      <w:r w:rsidR="00345866">
        <w:t>illion</w:t>
      </w:r>
      <w:r w:rsidR="00BA272C">
        <w:t xml:space="preserve"> of this borrowing</w:t>
      </w:r>
      <w:r w:rsidR="0091261E">
        <w:t xml:space="preserve"> </w:t>
      </w:r>
      <w:r w:rsidR="00432A54">
        <w:t>is scheduled for the financial year</w:t>
      </w:r>
      <w:r w:rsidR="009974FF">
        <w:t>s</w:t>
      </w:r>
      <w:r w:rsidR="00432A54">
        <w:t xml:space="preserve"> 2024/2</w:t>
      </w:r>
      <w:r w:rsidR="001E461A">
        <w:t>5</w:t>
      </w:r>
      <w:r w:rsidR="009974FF">
        <w:t xml:space="preserve"> and 2025/26</w:t>
      </w:r>
      <w:r w:rsidR="00432A54">
        <w:t>.</w:t>
      </w:r>
      <w:r w:rsidR="00134008">
        <w:t xml:space="preserve">  The </w:t>
      </w:r>
      <w:r w:rsidR="00B6002A">
        <w:t>c</w:t>
      </w:r>
      <w:r w:rsidR="00134008">
        <w:t xml:space="preserve">ouncil </w:t>
      </w:r>
      <w:r w:rsidR="00BE0863">
        <w:t xml:space="preserve">has set its Authorised Limit </w:t>
      </w:r>
      <w:r w:rsidR="0070630A">
        <w:t>(</w:t>
      </w:r>
      <w:r w:rsidR="00BE0863">
        <w:t xml:space="preserve">the maximum amount of borrowing it can </w:t>
      </w:r>
      <w:r w:rsidR="00B21473">
        <w:t>incur</w:t>
      </w:r>
      <w:r w:rsidR="0070630A">
        <w:t>)</w:t>
      </w:r>
      <w:r w:rsidR="00BE0863">
        <w:t xml:space="preserve"> at </w:t>
      </w:r>
      <w:r w:rsidR="00763DFE">
        <w:t>£1.45</w:t>
      </w:r>
      <w:r w:rsidR="00345866">
        <w:t xml:space="preserve"> </w:t>
      </w:r>
      <w:r w:rsidR="00763DFE">
        <w:t>b</w:t>
      </w:r>
      <w:r w:rsidR="00345866">
        <w:t>illio</w:t>
      </w:r>
      <w:r w:rsidR="00763DFE">
        <w:t xml:space="preserve">n for the </w:t>
      </w:r>
      <w:r w:rsidR="00345866">
        <w:t xml:space="preserve">4 </w:t>
      </w:r>
      <w:r w:rsidR="00763DFE">
        <w:t>years.  It has projected debt financing costs of some £39.</w:t>
      </w:r>
      <w:r w:rsidR="004A01B9">
        <w:t>7</w:t>
      </w:r>
      <w:r w:rsidR="00345866">
        <w:t xml:space="preserve"> </w:t>
      </w:r>
      <w:r w:rsidR="004A01B9">
        <w:t>m</w:t>
      </w:r>
      <w:r w:rsidR="00345866">
        <w:t>illion</w:t>
      </w:r>
      <w:r w:rsidR="008312ED">
        <w:t xml:space="preserve">. This </w:t>
      </w:r>
      <w:r w:rsidR="004A01B9">
        <w:t xml:space="preserve">equates to 3.2 times </w:t>
      </w:r>
      <w:r w:rsidR="00556A5E">
        <w:t>its</w:t>
      </w:r>
      <w:r w:rsidR="004A01B9">
        <w:t xml:space="preserve"> net revenue stream</w:t>
      </w:r>
      <w:r w:rsidR="007B780B">
        <w:t>, a key prudential indicator.</w:t>
      </w:r>
    </w:p>
    <w:p w14:paraId="5B7FB736" w14:textId="27622915" w:rsidR="00DA4193" w:rsidRPr="00E2315B" w:rsidRDefault="00394B17" w:rsidP="00932038">
      <w:pPr>
        <w:jc w:val="both"/>
        <w:rPr>
          <w:b/>
          <w:bCs/>
          <w:i/>
          <w:iCs/>
          <w:sz w:val="24"/>
          <w:szCs w:val="24"/>
        </w:rPr>
      </w:pPr>
      <w:r w:rsidRPr="00E2315B">
        <w:rPr>
          <w:b/>
          <w:bCs/>
          <w:i/>
          <w:iCs/>
          <w:sz w:val="24"/>
          <w:szCs w:val="24"/>
        </w:rPr>
        <w:t xml:space="preserve">What is the level of </w:t>
      </w:r>
      <w:r w:rsidR="008312ED" w:rsidRPr="00E2315B">
        <w:rPr>
          <w:b/>
          <w:bCs/>
          <w:i/>
          <w:iCs/>
          <w:sz w:val="24"/>
          <w:szCs w:val="24"/>
        </w:rPr>
        <w:t>r</w:t>
      </w:r>
      <w:r w:rsidRPr="00E2315B">
        <w:rPr>
          <w:b/>
          <w:bCs/>
          <w:i/>
          <w:iCs/>
          <w:sz w:val="24"/>
          <w:szCs w:val="24"/>
        </w:rPr>
        <w:t>isk?</w:t>
      </w:r>
    </w:p>
    <w:p w14:paraId="2D3DA7EC" w14:textId="682A22FE" w:rsidR="00B60CC6" w:rsidRDefault="00412271" w:rsidP="00932038">
      <w:pPr>
        <w:jc w:val="both"/>
      </w:pPr>
      <w:r>
        <w:t>SBC</w:t>
      </w:r>
      <w:r w:rsidR="004D6258">
        <w:t xml:space="preserve"> considers </w:t>
      </w:r>
      <w:r w:rsidR="002903D0">
        <w:t>its</w:t>
      </w:r>
      <w:r w:rsidR="004D6258">
        <w:t xml:space="preserve"> </w:t>
      </w:r>
      <w:r w:rsidR="002903D0">
        <w:t>c</w:t>
      </w:r>
      <w:r w:rsidR="004D6258">
        <w:t xml:space="preserve">ommercial </w:t>
      </w:r>
      <w:r w:rsidR="002903D0">
        <w:t>p</w:t>
      </w:r>
      <w:r w:rsidR="004D6258">
        <w:t>ropert</w:t>
      </w:r>
      <w:r w:rsidR="002903D0">
        <w:t>y investments</w:t>
      </w:r>
      <w:r w:rsidR="004D6258">
        <w:t xml:space="preserve"> relatively low risk </w:t>
      </w:r>
      <w:r w:rsidR="002903D0">
        <w:t>because:</w:t>
      </w:r>
    </w:p>
    <w:p w14:paraId="3929476F" w14:textId="7EC5951E" w:rsidR="00DA4193" w:rsidRDefault="00376F77" w:rsidP="00F34C2F">
      <w:pPr>
        <w:pStyle w:val="ListParagraph"/>
        <w:numPr>
          <w:ilvl w:val="0"/>
          <w:numId w:val="20"/>
        </w:numPr>
        <w:jc w:val="both"/>
      </w:pPr>
      <w:r>
        <w:t>h</w:t>
      </w:r>
      <w:r w:rsidR="004D6258">
        <w:t xml:space="preserve">istorically asset values </w:t>
      </w:r>
      <w:r w:rsidR="00B60CC6">
        <w:t>have</w:t>
      </w:r>
      <w:r w:rsidR="004D6258">
        <w:t xml:space="preserve"> increase</w:t>
      </w:r>
      <w:r w:rsidR="00B60CC6">
        <w:t>d</w:t>
      </w:r>
      <w:r w:rsidR="004D6258">
        <w:t xml:space="preserve"> over time</w:t>
      </w:r>
      <w:r w:rsidR="00D05ACA">
        <w:t xml:space="preserve">. </w:t>
      </w:r>
      <w:r>
        <w:t>c</w:t>
      </w:r>
      <w:r w:rsidR="00186652">
        <w:t xml:space="preserve">ouncil officers have quoted a figure of 3% </w:t>
      </w:r>
      <w:r w:rsidR="00BF7753">
        <w:t xml:space="preserve">appreciation </w:t>
      </w:r>
      <w:r w:rsidR="00186652">
        <w:t>per annum</w:t>
      </w:r>
    </w:p>
    <w:p w14:paraId="252A0617" w14:textId="7CF6A2DF" w:rsidR="00595EED" w:rsidRDefault="00376F77" w:rsidP="00F34C2F">
      <w:pPr>
        <w:pStyle w:val="ListParagraph"/>
        <w:numPr>
          <w:ilvl w:val="0"/>
          <w:numId w:val="20"/>
        </w:numPr>
        <w:jc w:val="both"/>
      </w:pPr>
      <w:r>
        <w:t>t</w:t>
      </w:r>
      <w:r w:rsidR="00595EED">
        <w:t xml:space="preserve">here is inherent </w:t>
      </w:r>
      <w:r w:rsidR="00E15487">
        <w:t>land value in the sites</w:t>
      </w:r>
      <w:r w:rsidR="00256134">
        <w:t>,</w:t>
      </w:r>
      <w:r w:rsidR="00E15487">
        <w:t xml:space="preserve"> which provides options for </w:t>
      </w:r>
      <w:r w:rsidR="00412271">
        <w:t>them</w:t>
      </w:r>
      <w:r w:rsidR="00E15487">
        <w:t xml:space="preserve"> to be converted for other industrial or residential uses</w:t>
      </w:r>
    </w:p>
    <w:p w14:paraId="218C7051" w14:textId="39EB0B9D" w:rsidR="00E15487" w:rsidRDefault="006B69EE" w:rsidP="00F34C2F">
      <w:pPr>
        <w:pStyle w:val="ListParagraph"/>
        <w:numPr>
          <w:ilvl w:val="0"/>
          <w:numId w:val="20"/>
        </w:numPr>
        <w:jc w:val="both"/>
      </w:pPr>
      <w:r>
        <w:t>SBC</w:t>
      </w:r>
      <w:r w:rsidR="008E411D">
        <w:t xml:space="preserve"> has purchased top grade assets that will always </w:t>
      </w:r>
      <w:r>
        <w:t xml:space="preserve">attract </w:t>
      </w:r>
      <w:r w:rsidR="008E411D">
        <w:t>prospective tenants</w:t>
      </w:r>
    </w:p>
    <w:p w14:paraId="4D6F7F8F" w14:textId="1CD33256" w:rsidR="008E411D" w:rsidRDefault="00376F77" w:rsidP="00F34C2F">
      <w:pPr>
        <w:pStyle w:val="ListParagraph"/>
        <w:numPr>
          <w:ilvl w:val="0"/>
          <w:numId w:val="20"/>
        </w:numPr>
        <w:jc w:val="both"/>
      </w:pPr>
      <w:r>
        <w:t>t</w:t>
      </w:r>
      <w:r w:rsidR="006B69EE">
        <w:t xml:space="preserve">he </w:t>
      </w:r>
      <w:r w:rsidR="001B2188">
        <w:t>properties are located in areas with a high demand for office space</w:t>
      </w:r>
      <w:r w:rsidR="00800400">
        <w:t>.</w:t>
      </w:r>
    </w:p>
    <w:p w14:paraId="5441C9A0" w14:textId="5DACE8CA" w:rsidR="00117BA9" w:rsidRDefault="00EF19FC" w:rsidP="00932038">
      <w:pPr>
        <w:jc w:val="both"/>
      </w:pPr>
      <w:r>
        <w:t>In addition to the 8 properties in the investment portfolio</w:t>
      </w:r>
      <w:r w:rsidR="00EE6851">
        <w:t xml:space="preserve">, </w:t>
      </w:r>
      <w:r w:rsidR="00D65E7E">
        <w:t>SBC</w:t>
      </w:r>
      <w:r w:rsidR="00EE6851">
        <w:t xml:space="preserve"> </w:t>
      </w:r>
      <w:r>
        <w:t>has purchased 3 further properties for regeneration purposes</w:t>
      </w:r>
      <w:r w:rsidR="00117BA9">
        <w:t>. These</w:t>
      </w:r>
      <w:r>
        <w:t xml:space="preserve"> also produce rental income in the short to medium term.  </w:t>
      </w:r>
    </w:p>
    <w:p w14:paraId="5D2082F2" w14:textId="6DFD3B06" w:rsidR="00EF0C3C" w:rsidRDefault="005C55AC" w:rsidP="00932038">
      <w:pPr>
        <w:jc w:val="both"/>
      </w:pPr>
      <w:r>
        <w:t>Deloitte noted in 2020 that these projects increased the risk and complexity of managing the investment portfolio</w:t>
      </w:r>
      <w:r w:rsidR="00117BA9">
        <w:t xml:space="preserve">. They </w:t>
      </w:r>
      <w:r>
        <w:t>commented</w:t>
      </w:r>
      <w:r w:rsidR="00117BA9">
        <w:t xml:space="preserve"> that:</w:t>
      </w:r>
    </w:p>
    <w:p w14:paraId="43548E70" w14:textId="77777777" w:rsidR="00932038" w:rsidRDefault="00021DE1" w:rsidP="00932038">
      <w:pPr>
        <w:jc w:val="both"/>
        <w:rPr>
          <w:i/>
          <w:iCs/>
        </w:rPr>
      </w:pPr>
      <w:r>
        <w:rPr>
          <w:i/>
          <w:iCs/>
        </w:rPr>
        <w:t xml:space="preserve">Property level risks </w:t>
      </w:r>
      <w:r w:rsidR="005B006B">
        <w:rPr>
          <w:i/>
          <w:iCs/>
        </w:rPr>
        <w:t xml:space="preserve">have increased as SBC have acquired more complex, higher risk properties over time. The first </w:t>
      </w:r>
      <w:r w:rsidR="00EE61F0">
        <w:rPr>
          <w:i/>
          <w:iCs/>
        </w:rPr>
        <w:t xml:space="preserve">assets purchased were single-let properties requiring less asset management attention. </w:t>
      </w:r>
      <w:r w:rsidR="00176B72">
        <w:rPr>
          <w:i/>
          <w:iCs/>
        </w:rPr>
        <w:t xml:space="preserve">The next tranche of acquisitions were multi-let properties, requiring </w:t>
      </w:r>
      <w:r w:rsidR="00FE3589">
        <w:rPr>
          <w:i/>
          <w:iCs/>
        </w:rPr>
        <w:t>more management focus. Then three regeneration projects were bought, two development propositions and a shopping centre investment</w:t>
      </w:r>
      <w:r w:rsidR="0070516D">
        <w:rPr>
          <w:i/>
          <w:iCs/>
        </w:rPr>
        <w:t>, requiring much higher levels of asset management attention</w:t>
      </w:r>
      <w:r w:rsidR="00857F39">
        <w:rPr>
          <w:i/>
          <w:iCs/>
        </w:rPr>
        <w:t>.</w:t>
      </w:r>
    </w:p>
    <w:p w14:paraId="48A51ADE" w14:textId="0974079C" w:rsidR="00EF0C3C" w:rsidRPr="00932038" w:rsidRDefault="0070516D" w:rsidP="00932038">
      <w:pPr>
        <w:jc w:val="both"/>
        <w:rPr>
          <w:i/>
          <w:iCs/>
        </w:rPr>
      </w:pPr>
      <w:r>
        <w:rPr>
          <w:sz w:val="18"/>
          <w:szCs w:val="18"/>
        </w:rPr>
        <w:t>Deloitte Report</w:t>
      </w:r>
      <w:r w:rsidR="00240D0A">
        <w:rPr>
          <w:sz w:val="18"/>
          <w:szCs w:val="18"/>
        </w:rPr>
        <w:t>: Property Portfolio Review – July 2020.</w:t>
      </w:r>
    </w:p>
    <w:p w14:paraId="1A8ED54F" w14:textId="6D3EC151" w:rsidR="00325CB2" w:rsidRDefault="004848C5" w:rsidP="00932038">
      <w:pPr>
        <w:jc w:val="both"/>
      </w:pPr>
      <w:r>
        <w:t xml:space="preserve">In 2020 </w:t>
      </w:r>
      <w:r w:rsidR="008C06D4">
        <w:t xml:space="preserve">the pandemic posed unprecedented </w:t>
      </w:r>
      <w:r w:rsidR="00254B22">
        <w:t>challenges</w:t>
      </w:r>
      <w:r w:rsidR="008C06D4">
        <w:t xml:space="preserve"> to </w:t>
      </w:r>
      <w:r w:rsidR="0018230C">
        <w:t xml:space="preserve">all </w:t>
      </w:r>
      <w:r w:rsidR="008C06D4">
        <w:t>property portfolios</w:t>
      </w:r>
      <w:r w:rsidR="0018230C">
        <w:t>.</w:t>
      </w:r>
      <w:r w:rsidR="008C06D4">
        <w:t xml:space="preserve"> </w:t>
      </w:r>
      <w:r w:rsidR="0018230C">
        <w:t>I</w:t>
      </w:r>
      <w:r w:rsidR="008C06D4">
        <w:t xml:space="preserve">t is to the </w:t>
      </w:r>
      <w:r w:rsidR="00181EE6">
        <w:t>c</w:t>
      </w:r>
      <w:r w:rsidR="008C06D4">
        <w:t xml:space="preserve">ouncil’s credit that they </w:t>
      </w:r>
      <w:r w:rsidR="00423653">
        <w:t>managed</w:t>
      </w:r>
      <w:r w:rsidR="008C06D4">
        <w:t xml:space="preserve"> </w:t>
      </w:r>
      <w:r w:rsidR="00A47CB6">
        <w:t>these</w:t>
      </w:r>
      <w:r w:rsidR="008C06D4">
        <w:t xml:space="preserve"> effectively</w:t>
      </w:r>
      <w:r w:rsidR="00C04425">
        <w:t xml:space="preserve">, </w:t>
      </w:r>
      <w:r w:rsidR="00A61221">
        <w:t>me</w:t>
      </w:r>
      <w:r w:rsidR="00C04425">
        <w:t>eting</w:t>
      </w:r>
      <w:r w:rsidR="00A61221">
        <w:t xml:space="preserve"> all their obligations</w:t>
      </w:r>
      <w:r w:rsidR="00080DC2">
        <w:t xml:space="preserve"> and ensuring contributions were made</w:t>
      </w:r>
      <w:r w:rsidR="00A61221">
        <w:t xml:space="preserve"> to </w:t>
      </w:r>
      <w:r w:rsidR="0018230C">
        <w:t>council services</w:t>
      </w:r>
      <w:r w:rsidR="00080DC2">
        <w:t>, while</w:t>
      </w:r>
      <w:r w:rsidR="0018230C">
        <w:t xml:space="preserve"> paying money into a sinking fund to help </w:t>
      </w:r>
      <w:r w:rsidR="00080DC2">
        <w:t xml:space="preserve">offset </w:t>
      </w:r>
      <w:r w:rsidR="0018230C">
        <w:t>future risks.</w:t>
      </w:r>
    </w:p>
    <w:p w14:paraId="40F2D21F" w14:textId="7F443AE4" w:rsidR="00325CB2" w:rsidRPr="00E2315B" w:rsidRDefault="00325CB2" w:rsidP="00932038">
      <w:pPr>
        <w:jc w:val="both"/>
        <w:rPr>
          <w:i/>
          <w:iCs/>
        </w:rPr>
      </w:pPr>
      <w:r w:rsidRPr="00E2315B">
        <w:rPr>
          <w:i/>
          <w:iCs/>
        </w:rPr>
        <w:t>Income Risk</w:t>
      </w:r>
    </w:p>
    <w:p w14:paraId="7F343023" w14:textId="43EF0F0C" w:rsidR="00DA0BAC" w:rsidRDefault="00A47CB6" w:rsidP="00932038">
      <w:pPr>
        <w:jc w:val="both"/>
      </w:pPr>
      <w:r>
        <w:t>P</w:t>
      </w:r>
      <w:r w:rsidR="00904F9F">
        <w:t xml:space="preserve">roperty portfolios are </w:t>
      </w:r>
      <w:r w:rsidR="001B0EB4">
        <w:t>n</w:t>
      </w:r>
      <w:r>
        <w:t>ever</w:t>
      </w:r>
      <w:r w:rsidR="00904F9F">
        <w:t xml:space="preserve"> risk</w:t>
      </w:r>
      <w:r>
        <w:t>-free</w:t>
      </w:r>
      <w:r w:rsidR="00895DF8">
        <w:t xml:space="preserve">. As physical, comparatively illiquid assets, they </w:t>
      </w:r>
      <w:r w:rsidR="00B06301">
        <w:t xml:space="preserve">are </w:t>
      </w:r>
      <w:r w:rsidR="00895DF8">
        <w:t>suboptimal in responsiven</w:t>
      </w:r>
      <w:r w:rsidR="00033427">
        <w:t>e</w:t>
      </w:r>
      <w:r w:rsidR="00895DF8">
        <w:t>ss</w:t>
      </w:r>
      <w:r w:rsidR="00B06301">
        <w:t xml:space="preserve"> </w:t>
      </w:r>
      <w:r w:rsidR="00C75780">
        <w:t xml:space="preserve">to market conditions.  </w:t>
      </w:r>
    </w:p>
    <w:p w14:paraId="2D403123" w14:textId="4F8A0031" w:rsidR="00C75780" w:rsidRDefault="00DA0BAC" w:rsidP="00932038">
      <w:pPr>
        <w:jc w:val="both"/>
      </w:pPr>
      <w:r>
        <w:t>M</w:t>
      </w:r>
      <w:r w:rsidR="00C75780">
        <w:t xml:space="preserve">ore specific risks related to </w:t>
      </w:r>
      <w:r w:rsidR="00033427">
        <w:t>SBC’s portfolio</w:t>
      </w:r>
      <w:r w:rsidR="00C75780">
        <w:t xml:space="preserve"> include:</w:t>
      </w:r>
      <w:r w:rsidR="00EE4997">
        <w:t xml:space="preserve"> </w:t>
      </w:r>
    </w:p>
    <w:p w14:paraId="5A8432AD" w14:textId="1B8B237C" w:rsidR="00265E12" w:rsidRDefault="00C954CC" w:rsidP="00F34C2F">
      <w:pPr>
        <w:pStyle w:val="ListParagraph"/>
        <w:numPr>
          <w:ilvl w:val="0"/>
          <w:numId w:val="4"/>
        </w:numPr>
        <w:ind w:left="357" w:firstLine="0"/>
        <w:jc w:val="both"/>
      </w:pPr>
      <w:r>
        <w:t>l</w:t>
      </w:r>
      <w:r w:rsidR="0021292C">
        <w:t>imited diversification</w:t>
      </w:r>
      <w:r w:rsidR="00F437FE">
        <w:t>, in that</w:t>
      </w:r>
      <w:r w:rsidR="00423653">
        <w:t>:</w:t>
      </w:r>
    </w:p>
    <w:p w14:paraId="71DF53E2" w14:textId="60D15882" w:rsidR="0021292C" w:rsidRDefault="0021292C" w:rsidP="00932038">
      <w:pPr>
        <w:pStyle w:val="ListParagraph"/>
        <w:ind w:left="360"/>
        <w:jc w:val="both"/>
      </w:pPr>
    </w:p>
    <w:p w14:paraId="1FA20A7A" w14:textId="43DD049E" w:rsidR="0021292C" w:rsidRDefault="0021292C" w:rsidP="00F34C2F">
      <w:pPr>
        <w:pStyle w:val="ListParagraph"/>
        <w:numPr>
          <w:ilvl w:val="1"/>
          <w:numId w:val="4"/>
        </w:numPr>
        <w:jc w:val="both"/>
      </w:pPr>
      <w:r>
        <w:t xml:space="preserve">95% </w:t>
      </w:r>
      <w:r w:rsidR="00265E12">
        <w:t xml:space="preserve">of </w:t>
      </w:r>
      <w:r>
        <w:t xml:space="preserve">properties </w:t>
      </w:r>
      <w:r w:rsidR="00F9529A">
        <w:t xml:space="preserve">managed by the </w:t>
      </w:r>
      <w:r w:rsidR="00C954CC">
        <w:t>c</w:t>
      </w:r>
      <w:r w:rsidR="00F9529A">
        <w:t xml:space="preserve">ouncil </w:t>
      </w:r>
      <w:r>
        <w:t>are office buildings</w:t>
      </w:r>
    </w:p>
    <w:p w14:paraId="2678AA16" w14:textId="11070090" w:rsidR="0021292C" w:rsidRDefault="0021292C" w:rsidP="00F34C2F">
      <w:pPr>
        <w:pStyle w:val="ListParagraph"/>
        <w:numPr>
          <w:ilvl w:val="1"/>
          <w:numId w:val="4"/>
        </w:numPr>
        <w:jc w:val="both"/>
      </w:pPr>
      <w:r>
        <w:t xml:space="preserve">10 tenants account for 75% </w:t>
      </w:r>
      <w:r w:rsidR="004024C7">
        <w:t xml:space="preserve">of </w:t>
      </w:r>
      <w:r>
        <w:t>lettings income</w:t>
      </w:r>
    </w:p>
    <w:p w14:paraId="7E21D791" w14:textId="54AD3BA6" w:rsidR="0021292C" w:rsidRDefault="00C954CC" w:rsidP="00F34C2F">
      <w:pPr>
        <w:pStyle w:val="ListParagraph"/>
        <w:numPr>
          <w:ilvl w:val="1"/>
          <w:numId w:val="4"/>
        </w:numPr>
        <w:jc w:val="both"/>
      </w:pPr>
      <w:r>
        <w:t>t</w:t>
      </w:r>
      <w:r w:rsidR="004024C7">
        <w:t>he t</w:t>
      </w:r>
      <w:r w:rsidR="0021292C">
        <w:t>op 5 account for 62%</w:t>
      </w:r>
      <w:r w:rsidR="004024C7">
        <w:t xml:space="preserve"> of</w:t>
      </w:r>
      <w:r w:rsidR="0021292C">
        <w:t xml:space="preserve"> income</w:t>
      </w:r>
    </w:p>
    <w:p w14:paraId="7357E41D" w14:textId="5233A666" w:rsidR="0021292C" w:rsidRDefault="0021292C" w:rsidP="00F34C2F">
      <w:pPr>
        <w:pStyle w:val="ListParagraph"/>
        <w:numPr>
          <w:ilvl w:val="1"/>
          <w:numId w:val="4"/>
        </w:numPr>
        <w:jc w:val="both"/>
      </w:pPr>
      <w:r>
        <w:t>buildings account for 67% of the entire portfolio (</w:t>
      </w:r>
      <w:r w:rsidR="008D0705">
        <w:t xml:space="preserve">source: </w:t>
      </w:r>
      <w:r>
        <w:t>A</w:t>
      </w:r>
      <w:r w:rsidR="001E461A">
        <w:t>sset</w:t>
      </w:r>
      <w:r w:rsidR="00A77630">
        <w:t xml:space="preserve"> </w:t>
      </w:r>
      <w:r>
        <w:t>M</w:t>
      </w:r>
      <w:r w:rsidR="001E461A">
        <w:t xml:space="preserve">anagement </w:t>
      </w:r>
      <w:r>
        <w:t>P</w:t>
      </w:r>
      <w:r w:rsidR="001E461A">
        <w:t>lan</w:t>
      </w:r>
      <w:r>
        <w:t xml:space="preserve"> </w:t>
      </w:r>
      <w:r w:rsidR="007F52B9">
        <w:t>2020/25</w:t>
      </w:r>
      <w:r>
        <w:t>)</w:t>
      </w:r>
    </w:p>
    <w:p w14:paraId="0DD711EB" w14:textId="14D63702" w:rsidR="0021292C" w:rsidRDefault="00C954CC" w:rsidP="00F34C2F">
      <w:pPr>
        <w:pStyle w:val="ListParagraph"/>
        <w:numPr>
          <w:ilvl w:val="1"/>
          <w:numId w:val="4"/>
        </w:numPr>
        <w:jc w:val="both"/>
      </w:pPr>
      <w:r>
        <w:t>m</w:t>
      </w:r>
      <w:r w:rsidR="0021292C">
        <w:t xml:space="preserve">ajority of properties </w:t>
      </w:r>
      <w:r w:rsidR="00010AF9">
        <w:t xml:space="preserve">are </w:t>
      </w:r>
      <w:r w:rsidR="0021292C">
        <w:t>in</w:t>
      </w:r>
      <w:r w:rsidR="00010AF9">
        <w:t xml:space="preserve"> the</w:t>
      </w:r>
      <w:r w:rsidR="0021292C">
        <w:t xml:space="preserve"> Heathrow area</w:t>
      </w:r>
    </w:p>
    <w:p w14:paraId="0ED70EB5" w14:textId="6AD8B1B2" w:rsidR="0021292C" w:rsidRDefault="00C954CC" w:rsidP="00F34C2F">
      <w:pPr>
        <w:pStyle w:val="ListParagraph"/>
        <w:numPr>
          <w:ilvl w:val="1"/>
          <w:numId w:val="4"/>
        </w:numPr>
        <w:ind w:left="1434" w:hanging="357"/>
        <w:jc w:val="both"/>
      </w:pPr>
      <w:r>
        <w:t>o</w:t>
      </w:r>
      <w:r w:rsidR="0021292C">
        <w:t xml:space="preserve">ne </w:t>
      </w:r>
      <w:r w:rsidR="00010AF9">
        <w:t>business,</w:t>
      </w:r>
      <w:r w:rsidR="0021292C">
        <w:t xml:space="preserve"> BP</w:t>
      </w:r>
      <w:r w:rsidR="00010AF9">
        <w:t>,</w:t>
      </w:r>
      <w:r w:rsidR="0021292C">
        <w:t xml:space="preserve"> provides over £18</w:t>
      </w:r>
      <w:r w:rsidR="004D2C81">
        <w:t xml:space="preserve"> </w:t>
      </w:r>
      <w:r w:rsidR="0021292C">
        <w:t>m</w:t>
      </w:r>
      <w:r w:rsidR="004D2C81">
        <w:t>illion</w:t>
      </w:r>
      <w:r w:rsidR="0021292C">
        <w:t xml:space="preserve"> of rental income</w:t>
      </w:r>
      <w:r w:rsidR="00FE7888">
        <w:t xml:space="preserve"> per annum</w:t>
      </w:r>
    </w:p>
    <w:p w14:paraId="465E067E" w14:textId="77777777" w:rsidR="000E7C5B" w:rsidRDefault="000E7C5B" w:rsidP="00932038">
      <w:pPr>
        <w:pStyle w:val="ListParagraph"/>
        <w:ind w:left="1080"/>
        <w:jc w:val="both"/>
      </w:pPr>
    </w:p>
    <w:p w14:paraId="6B5C0148" w14:textId="1625E6FD" w:rsidR="0021292C" w:rsidRDefault="00C954CC" w:rsidP="00F34C2F">
      <w:pPr>
        <w:pStyle w:val="ListParagraph"/>
        <w:numPr>
          <w:ilvl w:val="0"/>
          <w:numId w:val="4"/>
        </w:numPr>
        <w:ind w:left="357" w:firstLine="0"/>
        <w:jc w:val="both"/>
      </w:pPr>
      <w:r>
        <w:t>l</w:t>
      </w:r>
      <w:r w:rsidR="0021292C">
        <w:t>ease term</w:t>
      </w:r>
      <w:r w:rsidR="00E52B4E">
        <w:t>s</w:t>
      </w:r>
      <w:r w:rsidR="00542827">
        <w:t>, in that</w:t>
      </w:r>
      <w:r w:rsidR="005379E9">
        <w:t xml:space="preserve">: </w:t>
      </w:r>
    </w:p>
    <w:p w14:paraId="2B7EE753" w14:textId="77777777" w:rsidR="00010AF9" w:rsidRDefault="00010AF9" w:rsidP="00932038">
      <w:pPr>
        <w:pStyle w:val="ListParagraph"/>
        <w:ind w:left="360"/>
        <w:jc w:val="both"/>
      </w:pPr>
    </w:p>
    <w:p w14:paraId="43AA0498" w14:textId="11749490" w:rsidR="0021292C" w:rsidRDefault="0021292C" w:rsidP="00F34C2F">
      <w:pPr>
        <w:pStyle w:val="ListParagraph"/>
        <w:numPr>
          <w:ilvl w:val="0"/>
          <w:numId w:val="16"/>
        </w:numPr>
        <w:ind w:left="1434" w:hanging="357"/>
        <w:jc w:val="both"/>
      </w:pPr>
      <w:r>
        <w:t>47% of leases end within 10 years</w:t>
      </w:r>
    </w:p>
    <w:p w14:paraId="6C7F022C" w14:textId="471B2BFC" w:rsidR="0021292C" w:rsidRDefault="0021292C" w:rsidP="00F34C2F">
      <w:pPr>
        <w:pStyle w:val="ListParagraph"/>
        <w:numPr>
          <w:ilvl w:val="0"/>
          <w:numId w:val="16"/>
        </w:numPr>
        <w:ind w:left="1434" w:hanging="357"/>
        <w:jc w:val="both"/>
      </w:pPr>
      <w:r>
        <w:t>94% of leases end within 15 years</w:t>
      </w:r>
    </w:p>
    <w:p w14:paraId="7BBA455B" w14:textId="78734599" w:rsidR="009D2CFB" w:rsidRDefault="009D2CFB" w:rsidP="00932038">
      <w:pPr>
        <w:jc w:val="both"/>
      </w:pPr>
      <w:r>
        <w:t>The</w:t>
      </w:r>
      <w:r w:rsidR="00035821">
        <w:t xml:space="preserve"> </w:t>
      </w:r>
      <w:r w:rsidR="00C954CC">
        <w:t>c</w:t>
      </w:r>
      <w:r w:rsidR="00035821">
        <w:t xml:space="preserve">ouncil is aware of these risks and has </w:t>
      </w:r>
      <w:r w:rsidR="00C924DF">
        <w:t xml:space="preserve">tried to mitigate </w:t>
      </w:r>
      <w:r w:rsidR="005E552A">
        <w:t>them</w:t>
      </w:r>
      <w:r w:rsidR="00C924DF">
        <w:t xml:space="preserve"> </w:t>
      </w:r>
      <w:r w:rsidR="00312988">
        <w:t>through</w:t>
      </w:r>
      <w:r w:rsidR="00C924DF">
        <w:t xml:space="preserve">: </w:t>
      </w:r>
    </w:p>
    <w:p w14:paraId="4FC07188" w14:textId="794203BA" w:rsidR="001F68BA" w:rsidRDefault="00C954CC" w:rsidP="00F34C2F">
      <w:pPr>
        <w:pStyle w:val="ListParagraph"/>
        <w:numPr>
          <w:ilvl w:val="0"/>
          <w:numId w:val="4"/>
        </w:numPr>
        <w:ind w:left="357" w:firstLine="0"/>
        <w:jc w:val="both"/>
      </w:pPr>
      <w:r>
        <w:t>f</w:t>
      </w:r>
      <w:r w:rsidR="00DA636A">
        <w:t>ocusing on high</w:t>
      </w:r>
      <w:r w:rsidR="0028755B">
        <w:t xml:space="preserve"> quality tenants</w:t>
      </w:r>
      <w:r w:rsidR="00DA636A">
        <w:t>:</w:t>
      </w:r>
    </w:p>
    <w:p w14:paraId="5E4DDCE5" w14:textId="77777777" w:rsidR="0028755B" w:rsidRDefault="0028755B" w:rsidP="00932038">
      <w:pPr>
        <w:pStyle w:val="ListParagraph"/>
        <w:ind w:left="360"/>
        <w:jc w:val="both"/>
      </w:pPr>
    </w:p>
    <w:p w14:paraId="5F8352B6" w14:textId="5BAA456F" w:rsidR="0021292C" w:rsidRDefault="0021292C" w:rsidP="00F34C2F">
      <w:pPr>
        <w:pStyle w:val="ListParagraph"/>
        <w:numPr>
          <w:ilvl w:val="0"/>
          <w:numId w:val="5"/>
        </w:numPr>
        <w:ind w:left="1434" w:hanging="357"/>
        <w:jc w:val="both"/>
      </w:pPr>
      <w:r>
        <w:t xml:space="preserve">80% </w:t>
      </w:r>
      <w:r w:rsidR="00F750DF">
        <w:t xml:space="preserve">of tenants are considered </w:t>
      </w:r>
      <w:r>
        <w:t>low risk</w:t>
      </w:r>
      <w:r w:rsidR="001E461A">
        <w:t xml:space="preserve"> as they are commercial tenants on long-term leases</w:t>
      </w:r>
    </w:p>
    <w:p w14:paraId="7AE6DCC7" w14:textId="78704E10" w:rsidR="00F750DF" w:rsidRDefault="0020147A" w:rsidP="00F34C2F">
      <w:pPr>
        <w:pStyle w:val="ListParagraph"/>
        <w:numPr>
          <w:ilvl w:val="0"/>
          <w:numId w:val="5"/>
        </w:numPr>
        <w:ind w:left="1434" w:hanging="357"/>
        <w:jc w:val="both"/>
      </w:pPr>
      <w:r>
        <w:t>SBC</w:t>
      </w:r>
      <w:r w:rsidR="00F750DF">
        <w:t xml:space="preserve"> keeps the </w:t>
      </w:r>
      <w:r w:rsidR="00011BE8">
        <w:t>credit status of its tenants under regular review</w:t>
      </w:r>
    </w:p>
    <w:p w14:paraId="10DE1C48" w14:textId="7495EE3A" w:rsidR="00C924DF" w:rsidRDefault="00312988" w:rsidP="00F34C2F">
      <w:pPr>
        <w:pStyle w:val="ListParagraph"/>
        <w:numPr>
          <w:ilvl w:val="0"/>
          <w:numId w:val="5"/>
        </w:numPr>
        <w:ind w:left="1434" w:hanging="357"/>
        <w:jc w:val="both"/>
      </w:pPr>
      <w:r>
        <w:t>SBC</w:t>
      </w:r>
      <w:r w:rsidR="00011BE8">
        <w:t xml:space="preserve"> carries out </w:t>
      </w:r>
      <w:r w:rsidR="0028755B">
        <w:t>extensive</w:t>
      </w:r>
      <w:r w:rsidR="00011BE8">
        <w:t xml:space="preserve"> due diligence </w:t>
      </w:r>
      <w:r w:rsidR="0028755B">
        <w:t xml:space="preserve">work </w:t>
      </w:r>
      <w:r w:rsidR="00011BE8">
        <w:t>to establish the credit worthiness of prospective new tenants</w:t>
      </w:r>
    </w:p>
    <w:p w14:paraId="29255E27" w14:textId="77777777" w:rsidR="00011BE8" w:rsidRDefault="00011BE8" w:rsidP="00932038">
      <w:pPr>
        <w:pStyle w:val="ListParagraph"/>
        <w:ind w:left="1440"/>
        <w:jc w:val="both"/>
      </w:pPr>
    </w:p>
    <w:p w14:paraId="3ABBF0F1" w14:textId="36E12A6C" w:rsidR="00A84BF0" w:rsidRDefault="00C954CC" w:rsidP="00F34C2F">
      <w:pPr>
        <w:pStyle w:val="ListParagraph"/>
        <w:numPr>
          <w:ilvl w:val="0"/>
          <w:numId w:val="4"/>
        </w:numPr>
        <w:ind w:left="714" w:hanging="357"/>
        <w:jc w:val="both"/>
      </w:pPr>
      <w:r>
        <w:t>a</w:t>
      </w:r>
      <w:r w:rsidR="00A84BF0">
        <w:t xml:space="preserve"> strong track-record on rent collection:</w:t>
      </w:r>
    </w:p>
    <w:p w14:paraId="3C2EEB5A" w14:textId="77777777" w:rsidR="00011BE8" w:rsidRDefault="00011BE8" w:rsidP="00932038">
      <w:pPr>
        <w:pStyle w:val="ListParagraph"/>
        <w:jc w:val="both"/>
      </w:pPr>
    </w:p>
    <w:p w14:paraId="124B42CB" w14:textId="772534BE" w:rsidR="00011BE8" w:rsidRDefault="00312988" w:rsidP="00F34C2F">
      <w:pPr>
        <w:pStyle w:val="ListParagraph"/>
        <w:numPr>
          <w:ilvl w:val="0"/>
          <w:numId w:val="6"/>
        </w:numPr>
        <w:ind w:left="1434" w:hanging="357"/>
        <w:jc w:val="both"/>
      </w:pPr>
      <w:r>
        <w:t>SBC</w:t>
      </w:r>
      <w:r w:rsidR="00011BE8">
        <w:t xml:space="preserve"> collects </w:t>
      </w:r>
      <w:r w:rsidR="00DD5C84">
        <w:t>99% of all rents due</w:t>
      </w:r>
      <w:r w:rsidR="00BF7D1E">
        <w:t xml:space="preserve">, </w:t>
      </w:r>
      <w:r w:rsidR="00DD5C84">
        <w:t>above the industry norm</w:t>
      </w:r>
    </w:p>
    <w:p w14:paraId="566398E7" w14:textId="6965501C" w:rsidR="00DD5C84" w:rsidRDefault="00312988" w:rsidP="00F34C2F">
      <w:pPr>
        <w:pStyle w:val="ListParagraph"/>
        <w:numPr>
          <w:ilvl w:val="0"/>
          <w:numId w:val="6"/>
        </w:numPr>
        <w:ind w:left="1434" w:hanging="357"/>
        <w:jc w:val="both"/>
      </w:pPr>
      <w:r>
        <w:t>SBC</w:t>
      </w:r>
      <w:r w:rsidR="00DD5C84">
        <w:t xml:space="preserve"> is proactive in making arrangements with tenants to ensure rent is collected</w:t>
      </w:r>
    </w:p>
    <w:p w14:paraId="3A482F04" w14:textId="6EBF425F" w:rsidR="00093614" w:rsidRDefault="00DD5C84" w:rsidP="00932038">
      <w:pPr>
        <w:jc w:val="both"/>
      </w:pPr>
      <w:r>
        <w:t xml:space="preserve">Although </w:t>
      </w:r>
      <w:r w:rsidR="00203119">
        <w:t>SBC</w:t>
      </w:r>
      <w:r>
        <w:t xml:space="preserve"> has effective mitigation</w:t>
      </w:r>
      <w:r w:rsidR="00671403">
        <w:t>s</w:t>
      </w:r>
      <w:r>
        <w:t xml:space="preserve"> in place, this cannot provide complete protection</w:t>
      </w:r>
      <w:r w:rsidR="009E03E6">
        <w:t xml:space="preserve">. The loss </w:t>
      </w:r>
      <w:r w:rsidR="006312E3">
        <w:t xml:space="preserve">of a major tenant </w:t>
      </w:r>
      <w:r w:rsidR="009E03E6">
        <w:t xml:space="preserve">(as has already happened </w:t>
      </w:r>
      <w:r w:rsidR="00983A82">
        <w:t xml:space="preserve">because of </w:t>
      </w:r>
      <w:r w:rsidR="009E03E6">
        <w:t>the</w:t>
      </w:r>
      <w:r w:rsidR="006312E3">
        <w:t xml:space="preserve"> impact of </w:t>
      </w:r>
      <w:r w:rsidR="009E03E6">
        <w:t>Russia’s invasion of Ukraine</w:t>
      </w:r>
      <w:r w:rsidR="001E461A">
        <w:t xml:space="preserve">, which resulted in a </w:t>
      </w:r>
      <w:r w:rsidR="00F32329">
        <w:t>£4</w:t>
      </w:r>
      <w:r w:rsidR="001E461A">
        <w:t xml:space="preserve"> million loss, including £2.4 million from the loss of a Russian-owned tenant</w:t>
      </w:r>
      <w:r w:rsidR="009E03E6">
        <w:t>)</w:t>
      </w:r>
      <w:r w:rsidR="006312E3">
        <w:t xml:space="preserve"> can </w:t>
      </w:r>
      <w:r w:rsidR="00623240">
        <w:t>impair</w:t>
      </w:r>
      <w:r w:rsidR="006312E3">
        <w:t xml:space="preserve"> </w:t>
      </w:r>
      <w:r w:rsidR="002C32FA">
        <w:t>commercial income.</w:t>
      </w:r>
      <w:r w:rsidR="00093614">
        <w:t xml:space="preserve">  </w:t>
      </w:r>
      <w:r w:rsidR="002C32FA">
        <w:t xml:space="preserve">Over the next 2 years the </w:t>
      </w:r>
      <w:r w:rsidR="00FA2F04">
        <w:t>c</w:t>
      </w:r>
      <w:r w:rsidR="002C32FA">
        <w:t>ouncil faces a</w:t>
      </w:r>
      <w:r w:rsidR="00983A82">
        <w:t>n income</w:t>
      </w:r>
      <w:r w:rsidR="002C32FA">
        <w:t xml:space="preserve"> shortfall of some </w:t>
      </w:r>
      <w:r w:rsidR="00554595">
        <w:t>£10</w:t>
      </w:r>
      <w:r w:rsidR="004A1545">
        <w:t xml:space="preserve"> </w:t>
      </w:r>
      <w:r w:rsidR="00554595">
        <w:t>m</w:t>
      </w:r>
      <w:r w:rsidR="004A1545">
        <w:t>illion</w:t>
      </w:r>
      <w:r w:rsidR="00554595">
        <w:t xml:space="preserve"> </w:t>
      </w:r>
      <w:r w:rsidR="00983A82">
        <w:t xml:space="preserve">owing to </w:t>
      </w:r>
      <w:r w:rsidR="00554595">
        <w:t>the loss of</w:t>
      </w:r>
      <w:r w:rsidR="0025559E">
        <w:t xml:space="preserve"> </w:t>
      </w:r>
      <w:r w:rsidR="00554595">
        <w:t>key tenant</w:t>
      </w:r>
      <w:r w:rsidR="00E76DC4">
        <w:t>s</w:t>
      </w:r>
      <w:r w:rsidR="00093614">
        <w:t>.</w:t>
      </w:r>
    </w:p>
    <w:p w14:paraId="433530D0" w14:textId="1852EB0D" w:rsidR="00421B48" w:rsidRDefault="00143D9E" w:rsidP="00932038">
      <w:pPr>
        <w:jc w:val="both"/>
      </w:pPr>
      <w:r>
        <w:t xml:space="preserve">Section 2.2 </w:t>
      </w:r>
      <w:r w:rsidR="00421B48">
        <w:t>gives additional consideration to</w:t>
      </w:r>
      <w:r>
        <w:t xml:space="preserve"> income collection for the investment portfolio.</w:t>
      </w:r>
    </w:p>
    <w:p w14:paraId="422418C5" w14:textId="6EFB8BF5" w:rsidR="00325CB2" w:rsidRPr="00A77630" w:rsidRDefault="00325CB2" w:rsidP="00DD5C84">
      <w:pPr>
        <w:rPr>
          <w:i/>
          <w:iCs/>
        </w:rPr>
      </w:pPr>
      <w:r w:rsidRPr="00A77630">
        <w:rPr>
          <w:i/>
          <w:iCs/>
        </w:rPr>
        <w:t>Repair Risk</w:t>
      </w:r>
    </w:p>
    <w:p w14:paraId="06F1B849" w14:textId="3A622E8C" w:rsidR="00CB1DF3" w:rsidRDefault="002E66EC" w:rsidP="0085079F">
      <w:pPr>
        <w:jc w:val="both"/>
      </w:pPr>
      <w:r>
        <w:t>In the</w:t>
      </w:r>
      <w:r w:rsidR="00CB1DF3">
        <w:t xml:space="preserve"> mediu</w:t>
      </w:r>
      <w:r w:rsidR="00942FF6">
        <w:t>m to</w:t>
      </w:r>
      <w:r w:rsidR="00CB1DF3">
        <w:t xml:space="preserve"> long</w:t>
      </w:r>
      <w:r w:rsidR="00FA2F04">
        <w:t>-</w:t>
      </w:r>
      <w:r w:rsidR="00CB1DF3">
        <w:t xml:space="preserve">term </w:t>
      </w:r>
      <w:r w:rsidR="00942FF6">
        <w:t>there are</w:t>
      </w:r>
      <w:r w:rsidR="00CB1DF3">
        <w:t xml:space="preserve"> </w:t>
      </w:r>
      <w:r>
        <w:t xml:space="preserve">also </w:t>
      </w:r>
      <w:r w:rsidR="00CB1DF3">
        <w:t>risk</w:t>
      </w:r>
      <w:r w:rsidR="00A05DF0">
        <w:t>s related to repairs and maintenance.</w:t>
      </w:r>
    </w:p>
    <w:p w14:paraId="41DE3DE1" w14:textId="72271AE0" w:rsidR="00A05DF0" w:rsidRDefault="00C31C82" w:rsidP="0085079F">
      <w:pPr>
        <w:jc w:val="both"/>
      </w:pPr>
      <w:r>
        <w:t>Under the terms of their lease</w:t>
      </w:r>
      <w:r w:rsidR="00446BDE">
        <w:t>,</w:t>
      </w:r>
      <w:r>
        <w:t xml:space="preserve"> tenants pay a service charge</w:t>
      </w:r>
      <w:r w:rsidR="004A7BD0">
        <w:t>,</w:t>
      </w:r>
      <w:r>
        <w:t xml:space="preserve"> </w:t>
      </w:r>
      <w:r w:rsidR="005D524F">
        <w:t>covering</w:t>
      </w:r>
      <w:r>
        <w:t xml:space="preserve"> the cost of general repairs and maintenance</w:t>
      </w:r>
      <w:r w:rsidR="005D524F">
        <w:t>. T</w:t>
      </w:r>
      <w:r>
        <w:t>hey are also required to make good any alterations to their</w:t>
      </w:r>
      <w:r w:rsidR="00CB1D5C">
        <w:t xml:space="preserve"> building at the end of their tenancy.  Nevertheless</w:t>
      </w:r>
      <w:r w:rsidR="001E461A">
        <w:t>,</w:t>
      </w:r>
      <w:r w:rsidR="00CB1D5C">
        <w:t xml:space="preserve"> further risks still remain.</w:t>
      </w:r>
    </w:p>
    <w:p w14:paraId="0395B078" w14:textId="794770D2" w:rsidR="00CB1D5C" w:rsidRDefault="00EA4CAD" w:rsidP="00F34C2F">
      <w:pPr>
        <w:pStyle w:val="ListParagraph"/>
        <w:numPr>
          <w:ilvl w:val="0"/>
          <w:numId w:val="4"/>
        </w:numPr>
        <w:ind w:left="714" w:hanging="357"/>
        <w:jc w:val="both"/>
      </w:pPr>
      <w:r w:rsidRPr="00A77630">
        <w:rPr>
          <w:b/>
          <w:bCs/>
        </w:rPr>
        <w:t xml:space="preserve">Reconfiguration of </w:t>
      </w:r>
      <w:r w:rsidR="00D27CE7" w:rsidRPr="00A77630">
        <w:rPr>
          <w:b/>
          <w:bCs/>
        </w:rPr>
        <w:t>b</w:t>
      </w:r>
      <w:r w:rsidRPr="00A77630">
        <w:rPr>
          <w:b/>
          <w:bCs/>
        </w:rPr>
        <w:t>uildings</w:t>
      </w:r>
      <w:r w:rsidR="0079729B">
        <w:t>. W</w:t>
      </w:r>
      <w:r>
        <w:t xml:space="preserve">hen a tenancy ends it may be necessary to reconfigure a building to make it attractive to a new tenant or </w:t>
      </w:r>
      <w:r w:rsidR="0079729B">
        <w:t>even</w:t>
      </w:r>
      <w:r w:rsidR="00834750">
        <w:t xml:space="preserve"> to sub-divide the building to attract multiple tenants.  </w:t>
      </w:r>
      <w:r w:rsidR="00190446">
        <w:t>SBC</w:t>
      </w:r>
      <w:r w:rsidR="00834750">
        <w:t xml:space="preserve"> would need to </w:t>
      </w:r>
      <w:r w:rsidR="00190446">
        <w:t>meet these costs</w:t>
      </w:r>
      <w:r w:rsidR="00834750">
        <w:t>.</w:t>
      </w:r>
    </w:p>
    <w:p w14:paraId="79CD61A1" w14:textId="77777777" w:rsidR="00834750" w:rsidRDefault="00834750" w:rsidP="0063114C">
      <w:pPr>
        <w:pStyle w:val="ListParagraph"/>
        <w:ind w:left="360"/>
        <w:jc w:val="both"/>
      </w:pPr>
    </w:p>
    <w:p w14:paraId="3CC881B8" w14:textId="63A08A66" w:rsidR="00834750" w:rsidRDefault="0006263C" w:rsidP="00F34C2F">
      <w:pPr>
        <w:pStyle w:val="ListParagraph"/>
        <w:numPr>
          <w:ilvl w:val="0"/>
          <w:numId w:val="4"/>
        </w:numPr>
        <w:jc w:val="both"/>
      </w:pPr>
      <w:r w:rsidRPr="00A77630">
        <w:rPr>
          <w:b/>
          <w:bCs/>
        </w:rPr>
        <w:t xml:space="preserve">Top </w:t>
      </w:r>
      <w:r w:rsidR="00D27CE7" w:rsidRPr="00A77630">
        <w:rPr>
          <w:b/>
          <w:bCs/>
        </w:rPr>
        <w:t>q</w:t>
      </w:r>
      <w:r w:rsidRPr="00A77630">
        <w:rPr>
          <w:b/>
          <w:bCs/>
        </w:rPr>
        <w:t>uality</w:t>
      </w:r>
      <w:r w:rsidR="00834750" w:rsidRPr="00A77630">
        <w:rPr>
          <w:b/>
          <w:bCs/>
        </w:rPr>
        <w:t xml:space="preserve"> </w:t>
      </w:r>
      <w:r w:rsidR="00D27CE7" w:rsidRPr="00A77630">
        <w:rPr>
          <w:b/>
          <w:bCs/>
        </w:rPr>
        <w:t>o</w:t>
      </w:r>
      <w:r w:rsidR="00834750" w:rsidRPr="00A77630">
        <w:rPr>
          <w:b/>
          <w:bCs/>
        </w:rPr>
        <w:t xml:space="preserve">ffice </w:t>
      </w:r>
      <w:r w:rsidR="00D27CE7" w:rsidRPr="00A77630">
        <w:rPr>
          <w:b/>
          <w:bCs/>
        </w:rPr>
        <w:t>a</w:t>
      </w:r>
      <w:r w:rsidR="00834750" w:rsidRPr="00A77630">
        <w:rPr>
          <w:b/>
          <w:bCs/>
        </w:rPr>
        <w:t>ccommodation</w:t>
      </w:r>
      <w:r w:rsidR="0079729B">
        <w:t>. T</w:t>
      </w:r>
      <w:r w:rsidR="00834750">
        <w:t xml:space="preserve">he </w:t>
      </w:r>
      <w:r w:rsidR="00FA2F04">
        <w:t>c</w:t>
      </w:r>
      <w:r w:rsidR="00834750">
        <w:t>ouncil</w:t>
      </w:r>
      <w:r w:rsidR="00581EDF">
        <w:t>’s investment portfolio is focused on delivering top quality office space, which in turn attracts the highest rents and valuation</w:t>
      </w:r>
      <w:r w:rsidR="00D73727">
        <w:t xml:space="preserve">.  </w:t>
      </w:r>
      <w:r w:rsidR="00E63E24">
        <w:t xml:space="preserve">SBC intends </w:t>
      </w:r>
      <w:r w:rsidR="00D73727">
        <w:t>to hold its portfolio for 50 years</w:t>
      </w:r>
      <w:r w:rsidR="00E63E24">
        <w:t>. So</w:t>
      </w:r>
      <w:r w:rsidR="00D73727">
        <w:t xml:space="preserve"> considerable investment in </w:t>
      </w:r>
      <w:r w:rsidR="002C41A6">
        <w:t xml:space="preserve">the </w:t>
      </w:r>
      <w:r w:rsidR="00D73727">
        <w:t>building</w:t>
      </w:r>
      <w:r w:rsidR="00793E34">
        <w:t>s</w:t>
      </w:r>
      <w:r w:rsidR="00D73727">
        <w:t xml:space="preserve"> </w:t>
      </w:r>
      <w:r w:rsidR="002C41A6">
        <w:t xml:space="preserve">will be needed </w:t>
      </w:r>
      <w:r w:rsidR="00D73727">
        <w:t xml:space="preserve">over time to ensure they continue to meet </w:t>
      </w:r>
      <w:r w:rsidR="003347E6">
        <w:t xml:space="preserve">the grade, especially as </w:t>
      </w:r>
      <w:r w:rsidR="008C2DF8">
        <w:t>definitions</w:t>
      </w:r>
      <w:r w:rsidR="003347E6">
        <w:t xml:space="preserve"> </w:t>
      </w:r>
      <w:r w:rsidR="008C2DF8">
        <w:t>of</w:t>
      </w:r>
      <w:r w:rsidR="003347E6">
        <w:t xml:space="preserve"> the very best</w:t>
      </w:r>
      <w:r w:rsidR="008C2DF8">
        <w:t xml:space="preserve"> in</w:t>
      </w:r>
      <w:r w:rsidR="003347E6">
        <w:t xml:space="preserve"> office accommodation </w:t>
      </w:r>
      <w:r w:rsidR="008C2DF8">
        <w:t xml:space="preserve">will </w:t>
      </w:r>
      <w:r w:rsidR="003347E6">
        <w:t>change.</w:t>
      </w:r>
    </w:p>
    <w:p w14:paraId="5B19FB8E" w14:textId="77777777" w:rsidR="00502BF3" w:rsidRDefault="00502BF3" w:rsidP="0063114C">
      <w:pPr>
        <w:pStyle w:val="ListParagraph"/>
        <w:ind w:left="0"/>
        <w:jc w:val="both"/>
      </w:pPr>
    </w:p>
    <w:p w14:paraId="232ADCCB" w14:textId="18EBBE22" w:rsidR="001D41E7" w:rsidRPr="00D80887" w:rsidRDefault="00502BF3" w:rsidP="00F34C2F">
      <w:pPr>
        <w:pStyle w:val="ListParagraph"/>
        <w:numPr>
          <w:ilvl w:val="0"/>
          <w:numId w:val="4"/>
        </w:numPr>
        <w:jc w:val="both"/>
      </w:pPr>
      <w:r w:rsidRPr="00A77630">
        <w:rPr>
          <w:b/>
          <w:bCs/>
        </w:rPr>
        <w:t xml:space="preserve">Mechanical and </w:t>
      </w:r>
      <w:r w:rsidR="00D27CE7" w:rsidRPr="00A77630">
        <w:rPr>
          <w:b/>
          <w:bCs/>
        </w:rPr>
        <w:t>e</w:t>
      </w:r>
      <w:r w:rsidRPr="00A77630">
        <w:rPr>
          <w:b/>
          <w:bCs/>
        </w:rPr>
        <w:t xml:space="preserve">lectrical </w:t>
      </w:r>
      <w:r w:rsidR="00D27CE7" w:rsidRPr="00A77630">
        <w:rPr>
          <w:b/>
          <w:bCs/>
        </w:rPr>
        <w:t>i</w:t>
      </w:r>
      <w:r w:rsidRPr="00A77630">
        <w:rPr>
          <w:b/>
          <w:bCs/>
        </w:rPr>
        <w:t>nstallations</w:t>
      </w:r>
      <w:r w:rsidR="00CA6ABF">
        <w:t xml:space="preserve">. </w:t>
      </w:r>
      <w:r>
        <w:t xml:space="preserve">50 years is a very long time to hold </w:t>
      </w:r>
      <w:r w:rsidR="00CB6A24">
        <w:t>a building</w:t>
      </w:r>
      <w:r w:rsidR="00CA6ABF">
        <w:t>. D</w:t>
      </w:r>
      <w:r w:rsidR="00F71ACF">
        <w:t xml:space="preserve">uring that time key mechanical and electrical works may need to be replaced.  It is unlikely that </w:t>
      </w:r>
      <w:r w:rsidR="000F3540">
        <w:t xml:space="preserve">all of </w:t>
      </w:r>
      <w:r w:rsidR="00F71ACF">
        <w:t>this will be covered by a service charge for tenants</w:t>
      </w:r>
      <w:r w:rsidR="00D56315">
        <w:t>,</w:t>
      </w:r>
      <w:r w:rsidR="00F71ACF">
        <w:t xml:space="preserve"> </w:t>
      </w:r>
      <w:r w:rsidR="000F3540">
        <w:t>typically occupying</w:t>
      </w:r>
      <w:r w:rsidR="00F71ACF">
        <w:t xml:space="preserve"> the building for </w:t>
      </w:r>
      <w:r w:rsidR="00462AAF">
        <w:t xml:space="preserve">as little as 5 to </w:t>
      </w:r>
      <w:r w:rsidR="00AC51D0">
        <w:t>10 year</w:t>
      </w:r>
      <w:r w:rsidR="00462AAF">
        <w:t>s</w:t>
      </w:r>
      <w:r w:rsidR="00AC51D0">
        <w:t>.  This risk was highlighted in an early review undertake</w:t>
      </w:r>
      <w:r w:rsidR="00462AAF">
        <w:t>n</w:t>
      </w:r>
      <w:r w:rsidR="00AC51D0">
        <w:t xml:space="preserve"> by Deloitte</w:t>
      </w:r>
      <w:r w:rsidR="00462AAF">
        <w:t>,</w:t>
      </w:r>
      <w:r w:rsidR="00AC51D0">
        <w:t xml:space="preserve"> who stated</w:t>
      </w:r>
      <w:r w:rsidR="00D80887">
        <w:t xml:space="preserve"> that</w:t>
      </w:r>
      <w:r w:rsidR="00462AAF">
        <w:t>,</w:t>
      </w:r>
      <w:r w:rsidR="00D80887">
        <w:t xml:space="preserve"> </w:t>
      </w:r>
      <w:r w:rsidR="0063114C">
        <w:t>‘</w:t>
      </w:r>
      <w:r w:rsidR="001D41E7" w:rsidRPr="00A77630">
        <w:rPr>
          <w:i/>
          <w:iCs/>
        </w:rPr>
        <w:t>Offices are capital intensive buildings and the expected useful life of the mechanical and electrical plant, and potentially certain items of building structure, are less than the 50-year term of the acquisition loan; replacement of these items could not be expected through service charge recoveries</w:t>
      </w:r>
      <w:r w:rsidR="0063114C" w:rsidRPr="00A77630">
        <w:rPr>
          <w:i/>
          <w:iCs/>
        </w:rPr>
        <w:t>.’</w:t>
      </w:r>
      <w:r w:rsidR="001D41E7" w:rsidRPr="00A77630">
        <w:rPr>
          <w:i/>
          <w:iCs/>
        </w:rPr>
        <w:t xml:space="preserve"> (Deloitte report</w:t>
      </w:r>
      <w:r w:rsidR="00AA2098" w:rsidRPr="00A77630">
        <w:rPr>
          <w:i/>
          <w:iCs/>
        </w:rPr>
        <w:t xml:space="preserve"> 2019</w:t>
      </w:r>
      <w:r w:rsidR="00462AAF" w:rsidRPr="00A77630">
        <w:rPr>
          <w:i/>
          <w:iCs/>
        </w:rPr>
        <w:t>.</w:t>
      </w:r>
      <w:r w:rsidR="001D41E7" w:rsidRPr="00A77630">
        <w:rPr>
          <w:i/>
          <w:iCs/>
        </w:rPr>
        <w:t>)</w:t>
      </w:r>
    </w:p>
    <w:p w14:paraId="67D8CB43" w14:textId="77777777" w:rsidR="001D41E7" w:rsidRDefault="001D41E7" w:rsidP="0085079F">
      <w:pPr>
        <w:pStyle w:val="ListParagraph"/>
        <w:ind w:left="1080"/>
        <w:jc w:val="both"/>
        <w:rPr>
          <w:i/>
          <w:iCs/>
        </w:rPr>
      </w:pPr>
    </w:p>
    <w:p w14:paraId="1C07DFB2" w14:textId="20EA4738" w:rsidR="00AC51D0" w:rsidRDefault="00B7735A" w:rsidP="0085079F">
      <w:pPr>
        <w:pStyle w:val="ListParagraph"/>
        <w:ind w:left="0"/>
        <w:jc w:val="both"/>
      </w:pPr>
      <w:r>
        <w:t>The</w:t>
      </w:r>
      <w:r w:rsidR="00A268D0">
        <w:t xml:space="preserve"> above risk</w:t>
      </w:r>
      <w:r>
        <w:t xml:space="preserve">s, likely to </w:t>
      </w:r>
      <w:r w:rsidR="00345F75">
        <w:t>materialise</w:t>
      </w:r>
      <w:r>
        <w:t xml:space="preserve"> in the medium to longer term, are of course </w:t>
      </w:r>
      <w:r w:rsidR="00A268D0">
        <w:t xml:space="preserve">hard to quantify.  </w:t>
      </w:r>
      <w:r w:rsidR="00C408A1">
        <w:t>However,</w:t>
      </w:r>
      <w:r w:rsidR="00A268D0">
        <w:t xml:space="preserve"> it </w:t>
      </w:r>
      <w:r w:rsidR="00BA17D5">
        <w:t xml:space="preserve">does not appear that the </w:t>
      </w:r>
      <w:r w:rsidR="003C3A7F">
        <w:t>c</w:t>
      </w:r>
      <w:r w:rsidR="00BA17D5">
        <w:t xml:space="preserve">ouncil has </w:t>
      </w:r>
      <w:r w:rsidR="00C408A1">
        <w:t xml:space="preserve">assessed </w:t>
      </w:r>
      <w:r w:rsidR="00103FBF">
        <w:t>them as yet</w:t>
      </w:r>
      <w:r w:rsidR="00BA17D5">
        <w:t>.</w:t>
      </w:r>
    </w:p>
    <w:p w14:paraId="25146F8B" w14:textId="79D8AFCD" w:rsidR="00AC51D0" w:rsidRPr="00A77630" w:rsidRDefault="00BA17D5" w:rsidP="0085079F">
      <w:pPr>
        <w:jc w:val="both"/>
        <w:rPr>
          <w:i/>
          <w:iCs/>
        </w:rPr>
      </w:pPr>
      <w:r w:rsidRPr="00A77630">
        <w:rPr>
          <w:i/>
          <w:iCs/>
        </w:rPr>
        <w:t>Valuations</w:t>
      </w:r>
    </w:p>
    <w:p w14:paraId="1472FCB5" w14:textId="56BAF2DA" w:rsidR="0013399D" w:rsidRDefault="00BA17D5" w:rsidP="0085079F">
      <w:pPr>
        <w:jc w:val="both"/>
      </w:pPr>
      <w:r>
        <w:t xml:space="preserve">The </w:t>
      </w:r>
      <w:r w:rsidR="003C3A7F">
        <w:t>c</w:t>
      </w:r>
      <w:r>
        <w:t xml:space="preserve">ouncil has instructed </w:t>
      </w:r>
      <w:r w:rsidR="00103FBF">
        <w:t>experts</w:t>
      </w:r>
      <w:r>
        <w:t xml:space="preserve"> to value its </w:t>
      </w:r>
      <w:r w:rsidR="00103FBF">
        <w:t>c</w:t>
      </w:r>
      <w:r>
        <w:t xml:space="preserve">ommercial </w:t>
      </w:r>
      <w:r w:rsidR="00103FBF">
        <w:t>p</w:t>
      </w:r>
      <w:r>
        <w:t xml:space="preserve">roperty </w:t>
      </w:r>
      <w:r w:rsidR="00103FBF">
        <w:t>p</w:t>
      </w:r>
      <w:r>
        <w:t xml:space="preserve">ortfolio on an annual basis.  </w:t>
      </w:r>
      <w:r w:rsidR="0013399D">
        <w:t xml:space="preserve">Properties are </w:t>
      </w:r>
      <w:r w:rsidR="00525357">
        <w:t>assessed</w:t>
      </w:r>
      <w:r w:rsidR="0013399D">
        <w:t xml:space="preserve"> </w:t>
      </w:r>
      <w:r w:rsidR="00B56759">
        <w:t>in line with the</w:t>
      </w:r>
      <w:r w:rsidR="00C02F67">
        <w:t xml:space="preserve"> Fair Value definition below: </w:t>
      </w:r>
    </w:p>
    <w:p w14:paraId="758BC5CE" w14:textId="5D038849" w:rsidR="00C50255" w:rsidRPr="00B56759" w:rsidRDefault="00D20B36" w:rsidP="0085079F">
      <w:pPr>
        <w:jc w:val="both"/>
        <w:rPr>
          <w:i/>
          <w:iCs/>
        </w:rPr>
      </w:pPr>
      <w:r w:rsidRPr="00B56759">
        <w:rPr>
          <w:i/>
          <w:iCs/>
        </w:rPr>
        <w:t xml:space="preserve">The price that would be received to sell an asset or </w:t>
      </w:r>
      <w:r w:rsidR="00936241" w:rsidRPr="00B56759">
        <w:rPr>
          <w:i/>
          <w:iCs/>
        </w:rPr>
        <w:t xml:space="preserve">paid to transfer a liability in an orderly transaction between market participants </w:t>
      </w:r>
      <w:r w:rsidR="00A478D3" w:rsidRPr="00B56759">
        <w:rPr>
          <w:i/>
          <w:iCs/>
        </w:rPr>
        <w:t>at the measurement date</w:t>
      </w:r>
      <w:r w:rsidR="00B56759" w:rsidRPr="00B56759">
        <w:rPr>
          <w:i/>
          <w:iCs/>
        </w:rPr>
        <w:t>.</w:t>
      </w:r>
    </w:p>
    <w:p w14:paraId="3467F58D" w14:textId="0FEEEA2C" w:rsidR="009B5FA1" w:rsidRDefault="00F410E0" w:rsidP="003B79CF">
      <w:pPr>
        <w:jc w:val="both"/>
      </w:pPr>
      <w:r>
        <w:t>Table 1</w:t>
      </w:r>
      <w:r w:rsidR="00A478D3">
        <w:t xml:space="preserve"> shows valuations </w:t>
      </w:r>
      <w:r w:rsidR="009B2A13">
        <w:t>of</w:t>
      </w:r>
      <w:r w:rsidR="00A478D3">
        <w:t xml:space="preserve"> the</w:t>
      </w:r>
      <w:r w:rsidR="00B56759">
        <w:t xml:space="preserve"> </w:t>
      </w:r>
      <w:r w:rsidR="00A478D3">
        <w:t xml:space="preserve">investment </w:t>
      </w:r>
      <w:r w:rsidR="009B2A13">
        <w:t xml:space="preserve">and regeneration </w:t>
      </w:r>
      <w:r w:rsidR="00A478D3">
        <w:t>properties</w:t>
      </w:r>
      <w:r w:rsidR="009D0F2D">
        <w:t>.</w:t>
      </w:r>
    </w:p>
    <w:p w14:paraId="318AC92B" w14:textId="77777777" w:rsidR="003B79CF" w:rsidRDefault="003B79CF" w:rsidP="003B79CF">
      <w:pPr>
        <w:jc w:val="both"/>
      </w:pPr>
    </w:p>
    <w:p w14:paraId="20E4B8F3" w14:textId="77777777" w:rsidR="003B79CF" w:rsidRDefault="003B79CF" w:rsidP="003B79CF">
      <w:pPr>
        <w:jc w:val="both"/>
      </w:pPr>
    </w:p>
    <w:p w14:paraId="3D90A0BA" w14:textId="77777777" w:rsidR="003B79CF" w:rsidRDefault="003B79CF" w:rsidP="003B79CF">
      <w:pPr>
        <w:jc w:val="both"/>
      </w:pPr>
    </w:p>
    <w:p w14:paraId="7EBE28CA" w14:textId="77777777" w:rsidR="003B79CF" w:rsidRDefault="003B79CF" w:rsidP="003B79CF">
      <w:pPr>
        <w:jc w:val="both"/>
      </w:pPr>
    </w:p>
    <w:p w14:paraId="23CF522C" w14:textId="77777777" w:rsidR="003B79CF" w:rsidRDefault="003B79CF" w:rsidP="003B79CF">
      <w:pPr>
        <w:jc w:val="both"/>
      </w:pPr>
    </w:p>
    <w:p w14:paraId="2ED28525" w14:textId="77777777" w:rsidR="003B79CF" w:rsidRDefault="003B79CF" w:rsidP="003B79CF">
      <w:pPr>
        <w:jc w:val="both"/>
      </w:pPr>
    </w:p>
    <w:p w14:paraId="153A259A" w14:textId="77777777" w:rsidR="003B79CF" w:rsidRDefault="003B79CF" w:rsidP="003B79CF">
      <w:pPr>
        <w:jc w:val="both"/>
      </w:pPr>
    </w:p>
    <w:p w14:paraId="7842888D" w14:textId="77777777" w:rsidR="003B79CF" w:rsidRDefault="003B79CF" w:rsidP="003B79CF">
      <w:pPr>
        <w:jc w:val="both"/>
      </w:pPr>
    </w:p>
    <w:p w14:paraId="09FCAD20" w14:textId="77777777" w:rsidR="003B79CF" w:rsidRDefault="003B79CF" w:rsidP="003B79CF">
      <w:pPr>
        <w:jc w:val="both"/>
      </w:pPr>
    </w:p>
    <w:p w14:paraId="7E519B66" w14:textId="77777777" w:rsidR="003B79CF" w:rsidRDefault="003B79CF" w:rsidP="003B79CF">
      <w:pPr>
        <w:jc w:val="both"/>
      </w:pPr>
    </w:p>
    <w:p w14:paraId="3AD180FF" w14:textId="77777777" w:rsidR="003B79CF" w:rsidRDefault="003B79CF" w:rsidP="003B79CF">
      <w:pPr>
        <w:jc w:val="both"/>
      </w:pPr>
    </w:p>
    <w:p w14:paraId="69689CBE" w14:textId="77777777" w:rsidR="003B79CF" w:rsidRPr="003B79CF" w:rsidRDefault="003B79CF" w:rsidP="003B79CF">
      <w:pPr>
        <w:jc w:val="both"/>
      </w:pPr>
    </w:p>
    <w:p w14:paraId="1479718F" w14:textId="5C58868E" w:rsidR="005544F8" w:rsidRPr="00CA7A88" w:rsidRDefault="0027065F">
      <w:pPr>
        <w:rPr>
          <w:i/>
          <w:iCs/>
        </w:rPr>
      </w:pPr>
      <w:r w:rsidRPr="00CA7A88">
        <w:rPr>
          <w:i/>
          <w:iCs/>
        </w:rPr>
        <w:t xml:space="preserve">Table 1: </w:t>
      </w:r>
      <w:r w:rsidR="00624223" w:rsidRPr="00CA7A88">
        <w:rPr>
          <w:i/>
          <w:iCs/>
        </w:rPr>
        <w:t xml:space="preserve">Investment </w:t>
      </w:r>
      <w:r w:rsidR="009D0F2D" w:rsidRPr="00CA7A88">
        <w:rPr>
          <w:i/>
          <w:iCs/>
        </w:rPr>
        <w:t xml:space="preserve">and Regeneration </w:t>
      </w:r>
      <w:r w:rsidR="00624223" w:rsidRPr="00CA7A88">
        <w:rPr>
          <w:i/>
          <w:iCs/>
        </w:rPr>
        <w:t>Properties</w:t>
      </w:r>
    </w:p>
    <w:tbl>
      <w:tblPr>
        <w:tblStyle w:val="LightShading-Accent1"/>
        <w:tblW w:w="5000" w:type="pct"/>
        <w:tblLook w:val="0660" w:firstRow="1" w:lastRow="1" w:firstColumn="0" w:lastColumn="0" w:noHBand="1" w:noVBand="1"/>
      </w:tblPr>
      <w:tblGrid>
        <w:gridCol w:w="2522"/>
        <w:gridCol w:w="1012"/>
        <w:gridCol w:w="1471"/>
        <w:gridCol w:w="994"/>
        <w:gridCol w:w="1012"/>
        <w:gridCol w:w="889"/>
        <w:gridCol w:w="889"/>
      </w:tblGrid>
      <w:tr w:rsidR="007F711F" w:rsidRPr="007F711F" w14:paraId="31056F26" w14:textId="078C0223" w:rsidTr="003A7047">
        <w:trPr>
          <w:cnfStyle w:val="100000000000" w:firstRow="1" w:lastRow="0" w:firstColumn="0" w:lastColumn="0" w:oddVBand="0" w:evenVBand="0" w:oddHBand="0" w:evenHBand="0" w:firstRowFirstColumn="0" w:firstRowLastColumn="0" w:lastRowFirstColumn="0" w:lastRowLastColumn="0"/>
        </w:trPr>
        <w:tc>
          <w:tcPr>
            <w:tcW w:w="1452" w:type="pct"/>
            <w:noWrap/>
          </w:tcPr>
          <w:p w14:paraId="1206419C" w14:textId="47C60731" w:rsidR="00E847E6" w:rsidRPr="007F711F" w:rsidRDefault="00D62057">
            <w:pPr>
              <w:rPr>
                <w:color w:val="auto"/>
              </w:rPr>
            </w:pPr>
            <w:r w:rsidRPr="007F711F">
              <w:rPr>
                <w:color w:val="auto"/>
              </w:rPr>
              <w:t>Building</w:t>
            </w:r>
          </w:p>
        </w:tc>
        <w:tc>
          <w:tcPr>
            <w:tcW w:w="555" w:type="pct"/>
          </w:tcPr>
          <w:p w14:paraId="150FBC2A" w14:textId="650CE3D6" w:rsidR="00E847E6" w:rsidRPr="007F711F" w:rsidRDefault="002D6AB2">
            <w:pPr>
              <w:rPr>
                <w:color w:val="auto"/>
              </w:rPr>
            </w:pPr>
            <w:r w:rsidRPr="007F711F">
              <w:rPr>
                <w:color w:val="auto"/>
              </w:rPr>
              <w:t>Built</w:t>
            </w:r>
          </w:p>
        </w:tc>
        <w:tc>
          <w:tcPr>
            <w:tcW w:w="854" w:type="pct"/>
          </w:tcPr>
          <w:p w14:paraId="4F09F6FF" w14:textId="58FDADBF" w:rsidR="00E847E6" w:rsidRPr="007F711F" w:rsidRDefault="00D62057">
            <w:pPr>
              <w:rPr>
                <w:b w:val="0"/>
                <w:bCs w:val="0"/>
                <w:color w:val="auto"/>
              </w:rPr>
            </w:pPr>
            <w:r w:rsidRPr="007F711F">
              <w:rPr>
                <w:color w:val="auto"/>
              </w:rPr>
              <w:t>P</w:t>
            </w:r>
            <w:r w:rsidR="00915845" w:rsidRPr="007F711F">
              <w:rPr>
                <w:color w:val="auto"/>
              </w:rPr>
              <w:t>ur</w:t>
            </w:r>
            <w:r w:rsidRPr="007F711F">
              <w:rPr>
                <w:color w:val="auto"/>
              </w:rPr>
              <w:t>chase</w:t>
            </w:r>
          </w:p>
          <w:p w14:paraId="17B25D78" w14:textId="2F837073" w:rsidR="003A7047" w:rsidRPr="007F711F" w:rsidRDefault="003A7047">
            <w:pPr>
              <w:rPr>
                <w:color w:val="auto"/>
              </w:rPr>
            </w:pPr>
            <w:r w:rsidRPr="007F711F">
              <w:rPr>
                <w:color w:val="auto"/>
              </w:rPr>
              <w:t>Price</w:t>
            </w:r>
            <w:r w:rsidR="00E34E7A" w:rsidRPr="007F711F">
              <w:rPr>
                <w:color w:val="auto"/>
              </w:rPr>
              <w:t xml:space="preserve"> (£m)</w:t>
            </w:r>
          </w:p>
        </w:tc>
        <w:tc>
          <w:tcPr>
            <w:tcW w:w="582" w:type="pct"/>
          </w:tcPr>
          <w:p w14:paraId="30B87FA3" w14:textId="032DBE8D" w:rsidR="00E847E6" w:rsidRPr="007F711F" w:rsidRDefault="00796D33" w:rsidP="00B26530">
            <w:pPr>
              <w:jc w:val="right"/>
              <w:rPr>
                <w:color w:val="auto"/>
              </w:rPr>
            </w:pPr>
            <w:r w:rsidRPr="007F711F">
              <w:rPr>
                <w:color w:val="auto"/>
              </w:rPr>
              <w:t xml:space="preserve">Value (£m) </w:t>
            </w:r>
            <w:r w:rsidR="00D62057" w:rsidRPr="007F711F">
              <w:rPr>
                <w:color w:val="auto"/>
              </w:rPr>
              <w:t>2019</w:t>
            </w:r>
          </w:p>
        </w:tc>
        <w:tc>
          <w:tcPr>
            <w:tcW w:w="520" w:type="pct"/>
          </w:tcPr>
          <w:p w14:paraId="2C6C0CB6" w14:textId="77777777" w:rsidR="00796D33" w:rsidRPr="007F711F" w:rsidRDefault="00796D33" w:rsidP="00B26530">
            <w:pPr>
              <w:jc w:val="right"/>
              <w:rPr>
                <w:b w:val="0"/>
                <w:bCs w:val="0"/>
                <w:color w:val="auto"/>
              </w:rPr>
            </w:pPr>
            <w:r w:rsidRPr="007F711F">
              <w:rPr>
                <w:color w:val="auto"/>
              </w:rPr>
              <w:t>Value (£m)</w:t>
            </w:r>
          </w:p>
          <w:p w14:paraId="3031CA13" w14:textId="3743504B" w:rsidR="00E847E6" w:rsidRPr="007F711F" w:rsidRDefault="00D62057" w:rsidP="00B26530">
            <w:pPr>
              <w:jc w:val="right"/>
              <w:rPr>
                <w:color w:val="auto"/>
              </w:rPr>
            </w:pPr>
            <w:r w:rsidRPr="007F711F">
              <w:rPr>
                <w:color w:val="auto"/>
              </w:rPr>
              <w:t>2020</w:t>
            </w:r>
          </w:p>
        </w:tc>
        <w:tc>
          <w:tcPr>
            <w:tcW w:w="519" w:type="pct"/>
          </w:tcPr>
          <w:p w14:paraId="6088D7FE" w14:textId="77777777" w:rsidR="00796D33" w:rsidRPr="007F711F" w:rsidRDefault="00796D33" w:rsidP="00B26530">
            <w:pPr>
              <w:jc w:val="right"/>
              <w:rPr>
                <w:b w:val="0"/>
                <w:bCs w:val="0"/>
                <w:color w:val="auto"/>
              </w:rPr>
            </w:pPr>
            <w:r w:rsidRPr="007F711F">
              <w:rPr>
                <w:color w:val="auto"/>
              </w:rPr>
              <w:t>Value £m)</w:t>
            </w:r>
          </w:p>
          <w:p w14:paraId="0E282FDB" w14:textId="06936B52" w:rsidR="00E847E6" w:rsidRPr="007F711F" w:rsidRDefault="00D62057" w:rsidP="00B26530">
            <w:pPr>
              <w:jc w:val="right"/>
              <w:rPr>
                <w:color w:val="auto"/>
              </w:rPr>
            </w:pPr>
            <w:r w:rsidRPr="007F711F">
              <w:rPr>
                <w:color w:val="auto"/>
              </w:rPr>
              <w:t>2021</w:t>
            </w:r>
          </w:p>
        </w:tc>
        <w:tc>
          <w:tcPr>
            <w:tcW w:w="518" w:type="pct"/>
          </w:tcPr>
          <w:p w14:paraId="61960D84" w14:textId="77777777" w:rsidR="00796D33" w:rsidRPr="007F711F" w:rsidRDefault="00796D33" w:rsidP="00B26530">
            <w:pPr>
              <w:jc w:val="right"/>
              <w:rPr>
                <w:b w:val="0"/>
                <w:bCs w:val="0"/>
                <w:color w:val="auto"/>
              </w:rPr>
            </w:pPr>
            <w:r w:rsidRPr="007F711F">
              <w:rPr>
                <w:color w:val="auto"/>
              </w:rPr>
              <w:t>Value (£m)</w:t>
            </w:r>
          </w:p>
          <w:p w14:paraId="213AB33C" w14:textId="4ED1CC43" w:rsidR="00E847E6" w:rsidRPr="007F711F" w:rsidRDefault="00D62057" w:rsidP="00B26530">
            <w:pPr>
              <w:jc w:val="right"/>
              <w:rPr>
                <w:color w:val="auto"/>
              </w:rPr>
            </w:pPr>
            <w:r w:rsidRPr="007F711F">
              <w:rPr>
                <w:color w:val="auto"/>
              </w:rPr>
              <w:t>2022</w:t>
            </w:r>
          </w:p>
        </w:tc>
      </w:tr>
      <w:tr w:rsidR="007F711F" w:rsidRPr="007F711F" w14:paraId="17EF31AE" w14:textId="4141539E" w:rsidTr="003A7047">
        <w:tc>
          <w:tcPr>
            <w:tcW w:w="1452" w:type="pct"/>
            <w:noWrap/>
          </w:tcPr>
          <w:p w14:paraId="3885E3F7" w14:textId="77777777" w:rsidR="00E847E6" w:rsidRPr="007F711F" w:rsidRDefault="00E847E6">
            <w:pPr>
              <w:rPr>
                <w:color w:val="auto"/>
              </w:rPr>
            </w:pPr>
          </w:p>
        </w:tc>
        <w:tc>
          <w:tcPr>
            <w:tcW w:w="555" w:type="pct"/>
          </w:tcPr>
          <w:p w14:paraId="0387486F" w14:textId="747A4E1D" w:rsidR="00E847E6" w:rsidRPr="007F711F" w:rsidRDefault="00E847E6">
            <w:pPr>
              <w:rPr>
                <w:rStyle w:val="SubtleEmphasis"/>
                <w:color w:val="auto"/>
              </w:rPr>
            </w:pPr>
          </w:p>
        </w:tc>
        <w:tc>
          <w:tcPr>
            <w:tcW w:w="854" w:type="pct"/>
          </w:tcPr>
          <w:p w14:paraId="77F28BA9" w14:textId="77777777" w:rsidR="00E847E6" w:rsidRPr="007F711F" w:rsidRDefault="00E847E6">
            <w:pPr>
              <w:rPr>
                <w:color w:val="auto"/>
              </w:rPr>
            </w:pPr>
          </w:p>
        </w:tc>
        <w:tc>
          <w:tcPr>
            <w:tcW w:w="582" w:type="pct"/>
          </w:tcPr>
          <w:p w14:paraId="2EE4BB38" w14:textId="77777777" w:rsidR="00E847E6" w:rsidRPr="007F711F" w:rsidRDefault="00E847E6">
            <w:pPr>
              <w:rPr>
                <w:color w:val="auto"/>
              </w:rPr>
            </w:pPr>
          </w:p>
        </w:tc>
        <w:tc>
          <w:tcPr>
            <w:tcW w:w="520" w:type="pct"/>
          </w:tcPr>
          <w:p w14:paraId="10700008" w14:textId="77777777" w:rsidR="00E847E6" w:rsidRPr="007F711F" w:rsidRDefault="00E847E6">
            <w:pPr>
              <w:rPr>
                <w:color w:val="auto"/>
              </w:rPr>
            </w:pPr>
          </w:p>
        </w:tc>
        <w:tc>
          <w:tcPr>
            <w:tcW w:w="519" w:type="pct"/>
          </w:tcPr>
          <w:p w14:paraId="41B5FE36" w14:textId="77777777" w:rsidR="00E847E6" w:rsidRPr="007F711F" w:rsidRDefault="00E847E6">
            <w:pPr>
              <w:rPr>
                <w:color w:val="auto"/>
              </w:rPr>
            </w:pPr>
          </w:p>
        </w:tc>
        <w:tc>
          <w:tcPr>
            <w:tcW w:w="518" w:type="pct"/>
          </w:tcPr>
          <w:p w14:paraId="0231AE64" w14:textId="77777777" w:rsidR="00E847E6" w:rsidRPr="007F711F" w:rsidRDefault="00E847E6">
            <w:pPr>
              <w:rPr>
                <w:color w:val="auto"/>
              </w:rPr>
            </w:pPr>
          </w:p>
        </w:tc>
      </w:tr>
      <w:tr w:rsidR="007F711F" w:rsidRPr="007F711F" w14:paraId="47E0FBE7" w14:textId="30250234" w:rsidTr="003A7047">
        <w:tc>
          <w:tcPr>
            <w:tcW w:w="1452" w:type="pct"/>
            <w:noWrap/>
          </w:tcPr>
          <w:p w14:paraId="4E51ADFC" w14:textId="02433A38" w:rsidR="00E847E6" w:rsidRPr="007F711F" w:rsidRDefault="00C43F4A">
            <w:pPr>
              <w:rPr>
                <w:color w:val="auto"/>
              </w:rPr>
            </w:pPr>
            <w:r w:rsidRPr="007F711F">
              <w:rPr>
                <w:color w:val="auto"/>
              </w:rPr>
              <w:t>Elmbrook House</w:t>
            </w:r>
          </w:p>
        </w:tc>
        <w:tc>
          <w:tcPr>
            <w:tcW w:w="555" w:type="pct"/>
          </w:tcPr>
          <w:p w14:paraId="2E8C8B38" w14:textId="629DCAE8" w:rsidR="00E847E6" w:rsidRPr="007F711F" w:rsidRDefault="002D6AB2">
            <w:pPr>
              <w:pStyle w:val="DecimalAligned"/>
              <w:rPr>
                <w:color w:val="auto"/>
              </w:rPr>
            </w:pPr>
            <w:r w:rsidRPr="007F711F">
              <w:rPr>
                <w:color w:val="auto"/>
              </w:rPr>
              <w:t>1995</w:t>
            </w:r>
          </w:p>
        </w:tc>
        <w:tc>
          <w:tcPr>
            <w:tcW w:w="854" w:type="pct"/>
          </w:tcPr>
          <w:p w14:paraId="60C5A1AF" w14:textId="4743377D" w:rsidR="00E847E6" w:rsidRPr="007F711F" w:rsidRDefault="00A71063">
            <w:pPr>
              <w:pStyle w:val="DecimalAligned"/>
              <w:rPr>
                <w:color w:val="auto"/>
              </w:rPr>
            </w:pPr>
            <w:r w:rsidRPr="007F711F">
              <w:rPr>
                <w:color w:val="auto"/>
              </w:rPr>
              <w:t>7.16</w:t>
            </w:r>
          </w:p>
        </w:tc>
        <w:tc>
          <w:tcPr>
            <w:tcW w:w="582" w:type="pct"/>
          </w:tcPr>
          <w:p w14:paraId="18D89536" w14:textId="0728AF8F" w:rsidR="00E847E6" w:rsidRPr="007F711F" w:rsidRDefault="0031304E">
            <w:pPr>
              <w:pStyle w:val="DecimalAligned"/>
              <w:rPr>
                <w:color w:val="auto"/>
              </w:rPr>
            </w:pPr>
            <w:r w:rsidRPr="007F711F">
              <w:rPr>
                <w:color w:val="auto"/>
              </w:rPr>
              <w:t>7.46</w:t>
            </w:r>
          </w:p>
        </w:tc>
        <w:tc>
          <w:tcPr>
            <w:tcW w:w="520" w:type="pct"/>
          </w:tcPr>
          <w:p w14:paraId="7EF1B3AB" w14:textId="78B7F491" w:rsidR="00E847E6" w:rsidRPr="007F711F" w:rsidRDefault="0031304E">
            <w:pPr>
              <w:pStyle w:val="DecimalAligned"/>
              <w:rPr>
                <w:color w:val="auto"/>
              </w:rPr>
            </w:pPr>
            <w:r w:rsidRPr="007F711F">
              <w:rPr>
                <w:color w:val="auto"/>
              </w:rPr>
              <w:t>7.24</w:t>
            </w:r>
          </w:p>
        </w:tc>
        <w:tc>
          <w:tcPr>
            <w:tcW w:w="519" w:type="pct"/>
          </w:tcPr>
          <w:p w14:paraId="40E947F7" w14:textId="42563D88" w:rsidR="00E847E6" w:rsidRPr="007F711F" w:rsidRDefault="0031320C">
            <w:pPr>
              <w:pStyle w:val="DecimalAligned"/>
              <w:rPr>
                <w:color w:val="auto"/>
              </w:rPr>
            </w:pPr>
            <w:r w:rsidRPr="007F711F">
              <w:rPr>
                <w:color w:val="auto"/>
              </w:rPr>
              <w:t>7.23</w:t>
            </w:r>
          </w:p>
        </w:tc>
        <w:tc>
          <w:tcPr>
            <w:tcW w:w="518" w:type="pct"/>
          </w:tcPr>
          <w:p w14:paraId="16D24089" w14:textId="62057599" w:rsidR="00E847E6" w:rsidRPr="007F711F" w:rsidRDefault="00B26530">
            <w:pPr>
              <w:pStyle w:val="DecimalAligned"/>
              <w:rPr>
                <w:color w:val="auto"/>
              </w:rPr>
            </w:pPr>
            <w:r w:rsidRPr="007F711F">
              <w:rPr>
                <w:color w:val="auto"/>
              </w:rPr>
              <w:t>6.25</w:t>
            </w:r>
          </w:p>
        </w:tc>
      </w:tr>
      <w:tr w:rsidR="007F711F" w:rsidRPr="007F711F" w14:paraId="52914C7B" w14:textId="4949EB8A" w:rsidTr="003A7047">
        <w:tc>
          <w:tcPr>
            <w:tcW w:w="1452" w:type="pct"/>
            <w:noWrap/>
          </w:tcPr>
          <w:p w14:paraId="1284D4BE" w14:textId="77777777" w:rsidR="00157CA5" w:rsidRPr="007F711F" w:rsidRDefault="00157CA5" w:rsidP="006F78D6">
            <w:pPr>
              <w:rPr>
                <w:color w:val="auto"/>
              </w:rPr>
            </w:pPr>
            <w:r w:rsidRPr="007F711F">
              <w:rPr>
                <w:color w:val="auto"/>
              </w:rPr>
              <w:t>Roundwood Avenue</w:t>
            </w:r>
            <w:r w:rsidR="006F78D6" w:rsidRPr="007F711F">
              <w:rPr>
                <w:color w:val="auto"/>
              </w:rPr>
              <w:t>,</w:t>
            </w:r>
          </w:p>
          <w:p w14:paraId="1D2CAB1B" w14:textId="788DED55" w:rsidR="006F78D6" w:rsidRPr="007F711F" w:rsidRDefault="006F78D6" w:rsidP="006F78D6">
            <w:pPr>
              <w:rPr>
                <w:color w:val="auto"/>
              </w:rPr>
            </w:pPr>
          </w:p>
        </w:tc>
        <w:tc>
          <w:tcPr>
            <w:tcW w:w="555" w:type="pct"/>
          </w:tcPr>
          <w:p w14:paraId="55ACEAA6" w14:textId="6217C87B" w:rsidR="00E847E6" w:rsidRPr="007F711F" w:rsidRDefault="002D6AB2">
            <w:pPr>
              <w:pStyle w:val="DecimalAligned"/>
              <w:rPr>
                <w:color w:val="auto"/>
              </w:rPr>
            </w:pPr>
            <w:r w:rsidRPr="007F711F">
              <w:rPr>
                <w:color w:val="auto"/>
              </w:rPr>
              <w:t>1990</w:t>
            </w:r>
          </w:p>
        </w:tc>
        <w:tc>
          <w:tcPr>
            <w:tcW w:w="854" w:type="pct"/>
          </w:tcPr>
          <w:p w14:paraId="65B2B2DA" w14:textId="0839AA22" w:rsidR="00E847E6" w:rsidRPr="007F711F" w:rsidRDefault="00A71063">
            <w:pPr>
              <w:pStyle w:val="DecimalAligned"/>
              <w:rPr>
                <w:color w:val="auto"/>
              </w:rPr>
            </w:pPr>
            <w:r w:rsidRPr="007F711F">
              <w:rPr>
                <w:color w:val="auto"/>
              </w:rPr>
              <w:t>21.40</w:t>
            </w:r>
          </w:p>
        </w:tc>
        <w:tc>
          <w:tcPr>
            <w:tcW w:w="582" w:type="pct"/>
          </w:tcPr>
          <w:p w14:paraId="13843927" w14:textId="0C2EE668" w:rsidR="00E847E6" w:rsidRPr="007F711F" w:rsidRDefault="00B15903">
            <w:pPr>
              <w:pStyle w:val="DecimalAligned"/>
              <w:rPr>
                <w:color w:val="auto"/>
              </w:rPr>
            </w:pPr>
            <w:r w:rsidRPr="007F711F">
              <w:rPr>
                <w:color w:val="auto"/>
              </w:rPr>
              <w:t>20.55</w:t>
            </w:r>
          </w:p>
        </w:tc>
        <w:tc>
          <w:tcPr>
            <w:tcW w:w="520" w:type="pct"/>
          </w:tcPr>
          <w:p w14:paraId="37011695" w14:textId="27EA23DD" w:rsidR="00E847E6" w:rsidRPr="007F711F" w:rsidRDefault="00B15903">
            <w:pPr>
              <w:pStyle w:val="DecimalAligned"/>
              <w:rPr>
                <w:color w:val="auto"/>
              </w:rPr>
            </w:pPr>
            <w:r w:rsidRPr="007F711F">
              <w:rPr>
                <w:color w:val="auto"/>
              </w:rPr>
              <w:t>20.10</w:t>
            </w:r>
          </w:p>
        </w:tc>
        <w:tc>
          <w:tcPr>
            <w:tcW w:w="519" w:type="pct"/>
          </w:tcPr>
          <w:p w14:paraId="5E727C7F" w14:textId="4E03866C" w:rsidR="00E847E6" w:rsidRPr="007F711F" w:rsidRDefault="00B26530">
            <w:pPr>
              <w:pStyle w:val="DecimalAligned"/>
              <w:rPr>
                <w:color w:val="auto"/>
              </w:rPr>
            </w:pPr>
            <w:r w:rsidRPr="007F711F">
              <w:rPr>
                <w:color w:val="auto"/>
              </w:rPr>
              <w:t>18.34</w:t>
            </w:r>
          </w:p>
        </w:tc>
        <w:tc>
          <w:tcPr>
            <w:tcW w:w="518" w:type="pct"/>
          </w:tcPr>
          <w:p w14:paraId="33DDD8A9" w14:textId="15063CF9" w:rsidR="00E847E6" w:rsidRPr="007F711F" w:rsidRDefault="008F5738">
            <w:pPr>
              <w:pStyle w:val="DecimalAligned"/>
              <w:rPr>
                <w:color w:val="auto"/>
              </w:rPr>
            </w:pPr>
            <w:r w:rsidRPr="007F711F">
              <w:rPr>
                <w:color w:val="auto"/>
              </w:rPr>
              <w:t>18.40</w:t>
            </w:r>
          </w:p>
        </w:tc>
      </w:tr>
      <w:tr w:rsidR="007F711F" w:rsidRPr="007F711F" w14:paraId="7D91450C" w14:textId="4B406FBC" w:rsidTr="003A7047">
        <w:tc>
          <w:tcPr>
            <w:tcW w:w="1452" w:type="pct"/>
            <w:noWrap/>
          </w:tcPr>
          <w:p w14:paraId="2B2FF72E" w14:textId="7F694188" w:rsidR="00157CA5" w:rsidRPr="007F711F" w:rsidRDefault="00157CA5">
            <w:pPr>
              <w:rPr>
                <w:color w:val="auto"/>
              </w:rPr>
            </w:pPr>
            <w:r w:rsidRPr="007F711F">
              <w:rPr>
                <w:color w:val="auto"/>
              </w:rPr>
              <w:t>W</w:t>
            </w:r>
            <w:r w:rsidR="00BA12AF" w:rsidRPr="007F711F">
              <w:rPr>
                <w:color w:val="auto"/>
              </w:rPr>
              <w:t>BC 4</w:t>
            </w:r>
          </w:p>
        </w:tc>
        <w:tc>
          <w:tcPr>
            <w:tcW w:w="555" w:type="pct"/>
          </w:tcPr>
          <w:p w14:paraId="6A2A7A26" w14:textId="00EF4D43" w:rsidR="00E847E6" w:rsidRPr="007F711F" w:rsidRDefault="002D6AB2">
            <w:pPr>
              <w:pStyle w:val="DecimalAligned"/>
              <w:rPr>
                <w:color w:val="auto"/>
              </w:rPr>
            </w:pPr>
            <w:r w:rsidRPr="007F711F">
              <w:rPr>
                <w:color w:val="auto"/>
              </w:rPr>
              <w:t>2018</w:t>
            </w:r>
          </w:p>
        </w:tc>
        <w:tc>
          <w:tcPr>
            <w:tcW w:w="854" w:type="pct"/>
          </w:tcPr>
          <w:p w14:paraId="7A9CE6DB" w14:textId="0CF47F9B" w:rsidR="00E847E6" w:rsidRPr="007F711F" w:rsidRDefault="00352890">
            <w:pPr>
              <w:pStyle w:val="DecimalAligned"/>
              <w:rPr>
                <w:color w:val="auto"/>
              </w:rPr>
            </w:pPr>
            <w:r w:rsidRPr="007F711F">
              <w:rPr>
                <w:color w:val="auto"/>
              </w:rPr>
              <w:t>47.25</w:t>
            </w:r>
          </w:p>
        </w:tc>
        <w:tc>
          <w:tcPr>
            <w:tcW w:w="582" w:type="pct"/>
          </w:tcPr>
          <w:p w14:paraId="705164B4" w14:textId="73E3216C" w:rsidR="00E847E6" w:rsidRPr="007F711F" w:rsidRDefault="00B15903">
            <w:pPr>
              <w:pStyle w:val="DecimalAligned"/>
              <w:rPr>
                <w:color w:val="auto"/>
              </w:rPr>
            </w:pPr>
            <w:r w:rsidRPr="007F711F">
              <w:rPr>
                <w:color w:val="auto"/>
              </w:rPr>
              <w:t>47.00</w:t>
            </w:r>
          </w:p>
        </w:tc>
        <w:tc>
          <w:tcPr>
            <w:tcW w:w="520" w:type="pct"/>
          </w:tcPr>
          <w:p w14:paraId="71CABFE7" w14:textId="795D1EBF" w:rsidR="00E847E6" w:rsidRPr="007F711F" w:rsidRDefault="00B15903">
            <w:pPr>
              <w:pStyle w:val="DecimalAligned"/>
              <w:rPr>
                <w:color w:val="auto"/>
              </w:rPr>
            </w:pPr>
            <w:r w:rsidRPr="007F711F">
              <w:rPr>
                <w:color w:val="auto"/>
              </w:rPr>
              <w:t>45.80</w:t>
            </w:r>
          </w:p>
        </w:tc>
        <w:tc>
          <w:tcPr>
            <w:tcW w:w="519" w:type="pct"/>
          </w:tcPr>
          <w:p w14:paraId="712E9939" w14:textId="4BA9678B" w:rsidR="00E847E6" w:rsidRPr="007F711F" w:rsidRDefault="008F5738">
            <w:pPr>
              <w:pStyle w:val="DecimalAligned"/>
              <w:rPr>
                <w:color w:val="auto"/>
              </w:rPr>
            </w:pPr>
            <w:r w:rsidRPr="007F711F">
              <w:rPr>
                <w:color w:val="auto"/>
              </w:rPr>
              <w:t>46.00</w:t>
            </w:r>
          </w:p>
        </w:tc>
        <w:tc>
          <w:tcPr>
            <w:tcW w:w="518" w:type="pct"/>
          </w:tcPr>
          <w:p w14:paraId="020B5F82" w14:textId="6A24C0C9" w:rsidR="00E847E6" w:rsidRPr="007F711F" w:rsidRDefault="008F5738">
            <w:pPr>
              <w:pStyle w:val="DecimalAligned"/>
              <w:rPr>
                <w:color w:val="auto"/>
              </w:rPr>
            </w:pPr>
            <w:r w:rsidRPr="007F711F">
              <w:rPr>
                <w:color w:val="auto"/>
              </w:rPr>
              <w:t>45.10</w:t>
            </w:r>
          </w:p>
        </w:tc>
      </w:tr>
      <w:tr w:rsidR="007F711F" w:rsidRPr="007F711F" w14:paraId="738FC6F5" w14:textId="72390982" w:rsidTr="003A7047">
        <w:tc>
          <w:tcPr>
            <w:tcW w:w="1452" w:type="pct"/>
            <w:noWrap/>
          </w:tcPr>
          <w:p w14:paraId="4912E0B5" w14:textId="2094B25B" w:rsidR="00E847E6" w:rsidRPr="007F711F" w:rsidRDefault="00BA12AF">
            <w:pPr>
              <w:rPr>
                <w:color w:val="auto"/>
              </w:rPr>
            </w:pPr>
            <w:r w:rsidRPr="007F711F">
              <w:rPr>
                <w:color w:val="auto"/>
              </w:rPr>
              <w:t>Hammersmith Grove</w:t>
            </w:r>
          </w:p>
        </w:tc>
        <w:tc>
          <w:tcPr>
            <w:tcW w:w="555" w:type="pct"/>
          </w:tcPr>
          <w:p w14:paraId="744369A0" w14:textId="4586A4A4" w:rsidR="00E847E6" w:rsidRPr="007F711F" w:rsidRDefault="002D6AB2">
            <w:pPr>
              <w:pStyle w:val="DecimalAligned"/>
              <w:rPr>
                <w:color w:val="auto"/>
              </w:rPr>
            </w:pPr>
            <w:r w:rsidRPr="007F711F">
              <w:rPr>
                <w:color w:val="auto"/>
              </w:rPr>
              <w:t>2016</w:t>
            </w:r>
          </w:p>
        </w:tc>
        <w:tc>
          <w:tcPr>
            <w:tcW w:w="854" w:type="pct"/>
          </w:tcPr>
          <w:p w14:paraId="59381237" w14:textId="0A101B15" w:rsidR="00E847E6" w:rsidRPr="007F711F" w:rsidRDefault="00FB11F0">
            <w:pPr>
              <w:pStyle w:val="DecimalAligned"/>
              <w:rPr>
                <w:color w:val="auto"/>
              </w:rPr>
            </w:pPr>
            <w:r w:rsidRPr="007F711F">
              <w:rPr>
                <w:color w:val="auto"/>
              </w:rPr>
              <w:t>170.00</w:t>
            </w:r>
          </w:p>
        </w:tc>
        <w:tc>
          <w:tcPr>
            <w:tcW w:w="582" w:type="pct"/>
          </w:tcPr>
          <w:p w14:paraId="571FA1D2" w14:textId="22AAB5DB" w:rsidR="00E847E6" w:rsidRPr="007F711F" w:rsidRDefault="00E7716F">
            <w:pPr>
              <w:pStyle w:val="DecimalAligned"/>
              <w:rPr>
                <w:color w:val="auto"/>
              </w:rPr>
            </w:pPr>
            <w:r w:rsidRPr="007F711F">
              <w:rPr>
                <w:color w:val="auto"/>
              </w:rPr>
              <w:t>170.80</w:t>
            </w:r>
          </w:p>
        </w:tc>
        <w:tc>
          <w:tcPr>
            <w:tcW w:w="520" w:type="pct"/>
          </w:tcPr>
          <w:p w14:paraId="1E5098BF" w14:textId="6FDD4399" w:rsidR="00E847E6" w:rsidRPr="007F711F" w:rsidRDefault="00E7716F">
            <w:pPr>
              <w:pStyle w:val="DecimalAligned"/>
              <w:rPr>
                <w:color w:val="auto"/>
              </w:rPr>
            </w:pPr>
            <w:r w:rsidRPr="007F711F">
              <w:rPr>
                <w:color w:val="auto"/>
              </w:rPr>
              <w:t>165.90</w:t>
            </w:r>
          </w:p>
        </w:tc>
        <w:tc>
          <w:tcPr>
            <w:tcW w:w="519" w:type="pct"/>
          </w:tcPr>
          <w:p w14:paraId="7230A7BB" w14:textId="442F9F3C" w:rsidR="00E847E6" w:rsidRPr="007F711F" w:rsidRDefault="00FC442B">
            <w:pPr>
              <w:pStyle w:val="DecimalAligned"/>
              <w:rPr>
                <w:color w:val="auto"/>
              </w:rPr>
            </w:pPr>
            <w:r w:rsidRPr="007F711F">
              <w:rPr>
                <w:color w:val="auto"/>
              </w:rPr>
              <w:t>162.00</w:t>
            </w:r>
          </w:p>
        </w:tc>
        <w:tc>
          <w:tcPr>
            <w:tcW w:w="518" w:type="pct"/>
          </w:tcPr>
          <w:p w14:paraId="112EC7F6" w14:textId="2E398A43" w:rsidR="00E847E6" w:rsidRPr="007F711F" w:rsidRDefault="00FC442B">
            <w:pPr>
              <w:pStyle w:val="DecimalAligned"/>
              <w:rPr>
                <w:color w:val="auto"/>
              </w:rPr>
            </w:pPr>
            <w:r w:rsidRPr="007F711F">
              <w:rPr>
                <w:color w:val="auto"/>
              </w:rPr>
              <w:t>162.00</w:t>
            </w:r>
          </w:p>
        </w:tc>
      </w:tr>
      <w:tr w:rsidR="007F711F" w:rsidRPr="007F711F" w14:paraId="3D140FB8" w14:textId="37AF9F13" w:rsidTr="003A7047">
        <w:tc>
          <w:tcPr>
            <w:tcW w:w="1452" w:type="pct"/>
            <w:noWrap/>
          </w:tcPr>
          <w:p w14:paraId="6DD0A4C1" w14:textId="0228305D" w:rsidR="00E847E6" w:rsidRPr="007F711F" w:rsidRDefault="003B1B7B">
            <w:pPr>
              <w:rPr>
                <w:color w:val="auto"/>
              </w:rPr>
            </w:pPr>
            <w:r w:rsidRPr="007F711F">
              <w:rPr>
                <w:color w:val="auto"/>
              </w:rPr>
              <w:t>Charter Building</w:t>
            </w:r>
          </w:p>
        </w:tc>
        <w:tc>
          <w:tcPr>
            <w:tcW w:w="555" w:type="pct"/>
          </w:tcPr>
          <w:p w14:paraId="784D74C6" w14:textId="396519EB" w:rsidR="00E847E6" w:rsidRPr="007F711F" w:rsidRDefault="002D6AB2">
            <w:pPr>
              <w:pStyle w:val="DecimalAligned"/>
              <w:rPr>
                <w:color w:val="auto"/>
              </w:rPr>
            </w:pPr>
            <w:r w:rsidRPr="007F711F">
              <w:rPr>
                <w:color w:val="auto"/>
              </w:rPr>
              <w:t>2016</w:t>
            </w:r>
          </w:p>
        </w:tc>
        <w:tc>
          <w:tcPr>
            <w:tcW w:w="854" w:type="pct"/>
          </w:tcPr>
          <w:p w14:paraId="4E85C917" w14:textId="64B3F9BD" w:rsidR="00E847E6" w:rsidRPr="007F711F" w:rsidRDefault="00A03D05">
            <w:pPr>
              <w:pStyle w:val="DecimalAligned"/>
              <w:rPr>
                <w:color w:val="auto"/>
              </w:rPr>
            </w:pPr>
            <w:r w:rsidRPr="007F711F">
              <w:rPr>
                <w:color w:val="auto"/>
              </w:rPr>
              <w:t>135.98</w:t>
            </w:r>
          </w:p>
        </w:tc>
        <w:tc>
          <w:tcPr>
            <w:tcW w:w="582" w:type="pct"/>
          </w:tcPr>
          <w:p w14:paraId="7D804640" w14:textId="7C506908" w:rsidR="00E847E6" w:rsidRPr="007F711F" w:rsidRDefault="00E44755">
            <w:pPr>
              <w:pStyle w:val="DecimalAligned"/>
              <w:rPr>
                <w:color w:val="auto"/>
              </w:rPr>
            </w:pPr>
            <w:r w:rsidRPr="007F711F">
              <w:rPr>
                <w:color w:val="auto"/>
              </w:rPr>
              <w:t>135.40</w:t>
            </w:r>
          </w:p>
        </w:tc>
        <w:tc>
          <w:tcPr>
            <w:tcW w:w="520" w:type="pct"/>
          </w:tcPr>
          <w:p w14:paraId="6163E381" w14:textId="04773AE0" w:rsidR="00E847E6" w:rsidRPr="007F711F" w:rsidRDefault="00E7716F">
            <w:pPr>
              <w:pStyle w:val="DecimalAligned"/>
              <w:rPr>
                <w:color w:val="auto"/>
              </w:rPr>
            </w:pPr>
            <w:r w:rsidRPr="007F711F">
              <w:rPr>
                <w:color w:val="auto"/>
              </w:rPr>
              <w:t>131.20</w:t>
            </w:r>
          </w:p>
        </w:tc>
        <w:tc>
          <w:tcPr>
            <w:tcW w:w="519" w:type="pct"/>
          </w:tcPr>
          <w:p w14:paraId="364928D3" w14:textId="72314899" w:rsidR="00E847E6" w:rsidRPr="007F711F" w:rsidRDefault="00FC442B">
            <w:pPr>
              <w:pStyle w:val="DecimalAligned"/>
              <w:rPr>
                <w:color w:val="auto"/>
              </w:rPr>
            </w:pPr>
            <w:r w:rsidRPr="007F711F">
              <w:rPr>
                <w:color w:val="auto"/>
              </w:rPr>
              <w:t>105.00</w:t>
            </w:r>
          </w:p>
        </w:tc>
        <w:tc>
          <w:tcPr>
            <w:tcW w:w="518" w:type="pct"/>
          </w:tcPr>
          <w:p w14:paraId="67765F30" w14:textId="09A9923B" w:rsidR="00E847E6" w:rsidRPr="007F711F" w:rsidRDefault="00FC442B">
            <w:pPr>
              <w:pStyle w:val="DecimalAligned"/>
              <w:rPr>
                <w:color w:val="auto"/>
              </w:rPr>
            </w:pPr>
            <w:r w:rsidRPr="007F711F">
              <w:rPr>
                <w:color w:val="auto"/>
              </w:rPr>
              <w:t>99.00</w:t>
            </w:r>
          </w:p>
        </w:tc>
      </w:tr>
      <w:tr w:rsidR="007F711F" w:rsidRPr="007F711F" w14:paraId="047ADF74" w14:textId="7A59AB46" w:rsidTr="003A7047">
        <w:tc>
          <w:tcPr>
            <w:tcW w:w="1452" w:type="pct"/>
            <w:noWrap/>
          </w:tcPr>
          <w:p w14:paraId="187B5A2C" w14:textId="77777777" w:rsidR="00E847E6" w:rsidRPr="007F711F" w:rsidRDefault="003B1B7B">
            <w:pPr>
              <w:rPr>
                <w:color w:val="auto"/>
              </w:rPr>
            </w:pPr>
            <w:r w:rsidRPr="007F711F">
              <w:rPr>
                <w:color w:val="auto"/>
              </w:rPr>
              <w:t>Porter Building</w:t>
            </w:r>
          </w:p>
          <w:p w14:paraId="45ABD318" w14:textId="01BF06FA" w:rsidR="006E68A4" w:rsidRPr="007F711F" w:rsidRDefault="006E68A4">
            <w:pPr>
              <w:rPr>
                <w:color w:val="auto"/>
              </w:rPr>
            </w:pPr>
          </w:p>
        </w:tc>
        <w:tc>
          <w:tcPr>
            <w:tcW w:w="555" w:type="pct"/>
          </w:tcPr>
          <w:p w14:paraId="6BCE23F8" w14:textId="1DD48CC5" w:rsidR="00E847E6" w:rsidRPr="007F711F" w:rsidRDefault="00ED591D">
            <w:pPr>
              <w:rPr>
                <w:rStyle w:val="SubtleEmphasis"/>
                <w:i w:val="0"/>
                <w:iCs w:val="0"/>
                <w:color w:val="auto"/>
              </w:rPr>
            </w:pPr>
            <w:r w:rsidRPr="007F711F">
              <w:rPr>
                <w:rStyle w:val="SubtleEmphasis"/>
                <w:i w:val="0"/>
                <w:iCs w:val="0"/>
                <w:color w:val="auto"/>
              </w:rPr>
              <w:t>2017</w:t>
            </w:r>
          </w:p>
        </w:tc>
        <w:tc>
          <w:tcPr>
            <w:tcW w:w="854" w:type="pct"/>
          </w:tcPr>
          <w:p w14:paraId="5E46E2A5" w14:textId="23CD3843" w:rsidR="00E847E6" w:rsidRPr="007F711F" w:rsidRDefault="00824EA8">
            <w:pPr>
              <w:rPr>
                <w:color w:val="auto"/>
              </w:rPr>
            </w:pPr>
            <w:r w:rsidRPr="007F711F">
              <w:rPr>
                <w:color w:val="auto"/>
              </w:rPr>
              <w:t xml:space="preserve">  66.47</w:t>
            </w:r>
          </w:p>
        </w:tc>
        <w:tc>
          <w:tcPr>
            <w:tcW w:w="582" w:type="pct"/>
          </w:tcPr>
          <w:p w14:paraId="6071B007" w14:textId="3ECF3885" w:rsidR="00E847E6" w:rsidRPr="007F711F" w:rsidRDefault="00E44755">
            <w:pPr>
              <w:rPr>
                <w:color w:val="auto"/>
              </w:rPr>
            </w:pPr>
            <w:r w:rsidRPr="007F711F">
              <w:rPr>
                <w:color w:val="auto"/>
              </w:rPr>
              <w:t xml:space="preserve">  </w:t>
            </w:r>
            <w:r w:rsidR="00BE2FF0" w:rsidRPr="007F711F">
              <w:rPr>
                <w:color w:val="auto"/>
              </w:rPr>
              <w:t>71.4</w:t>
            </w:r>
            <w:r w:rsidRPr="007F711F">
              <w:rPr>
                <w:color w:val="auto"/>
              </w:rPr>
              <w:t>0</w:t>
            </w:r>
          </w:p>
        </w:tc>
        <w:tc>
          <w:tcPr>
            <w:tcW w:w="520" w:type="pct"/>
          </w:tcPr>
          <w:p w14:paraId="43E77B07" w14:textId="60406599" w:rsidR="00E847E6" w:rsidRPr="007F711F" w:rsidRDefault="00E44755">
            <w:pPr>
              <w:rPr>
                <w:color w:val="auto"/>
              </w:rPr>
            </w:pPr>
            <w:r w:rsidRPr="007F711F">
              <w:rPr>
                <w:color w:val="auto"/>
              </w:rPr>
              <w:t xml:space="preserve">  69.90</w:t>
            </w:r>
          </w:p>
        </w:tc>
        <w:tc>
          <w:tcPr>
            <w:tcW w:w="519" w:type="pct"/>
          </w:tcPr>
          <w:p w14:paraId="429111A8" w14:textId="6F97EBF7" w:rsidR="00E847E6" w:rsidRPr="007F711F" w:rsidRDefault="00B517D1">
            <w:pPr>
              <w:rPr>
                <w:color w:val="auto"/>
              </w:rPr>
            </w:pPr>
            <w:r w:rsidRPr="007F711F">
              <w:rPr>
                <w:color w:val="auto"/>
              </w:rPr>
              <w:t xml:space="preserve">  62.00</w:t>
            </w:r>
          </w:p>
        </w:tc>
        <w:tc>
          <w:tcPr>
            <w:tcW w:w="518" w:type="pct"/>
          </w:tcPr>
          <w:p w14:paraId="5D0CA6D2" w14:textId="6EE9A745" w:rsidR="00E847E6" w:rsidRPr="007F711F" w:rsidRDefault="00B517D1">
            <w:pPr>
              <w:rPr>
                <w:color w:val="auto"/>
              </w:rPr>
            </w:pPr>
            <w:r w:rsidRPr="007F711F">
              <w:rPr>
                <w:color w:val="auto"/>
              </w:rPr>
              <w:t xml:space="preserve">  57.35</w:t>
            </w:r>
          </w:p>
        </w:tc>
      </w:tr>
      <w:tr w:rsidR="007F711F" w:rsidRPr="007F711F" w14:paraId="4218AA9F" w14:textId="7EB7A263" w:rsidTr="003A7047">
        <w:tc>
          <w:tcPr>
            <w:tcW w:w="1452" w:type="pct"/>
            <w:noWrap/>
          </w:tcPr>
          <w:p w14:paraId="16530AEA" w14:textId="6077CAEC" w:rsidR="00E847E6" w:rsidRPr="007F711F" w:rsidRDefault="003B1B7B">
            <w:pPr>
              <w:rPr>
                <w:color w:val="auto"/>
              </w:rPr>
            </w:pPr>
            <w:r w:rsidRPr="007F711F">
              <w:rPr>
                <w:color w:val="auto"/>
              </w:rPr>
              <w:t>Sunbury Business Park</w:t>
            </w:r>
          </w:p>
        </w:tc>
        <w:tc>
          <w:tcPr>
            <w:tcW w:w="555" w:type="pct"/>
          </w:tcPr>
          <w:p w14:paraId="0AD66BE2" w14:textId="4DDB2F6F" w:rsidR="00E847E6" w:rsidRPr="007F711F" w:rsidRDefault="00845023">
            <w:pPr>
              <w:pStyle w:val="DecimalAligned"/>
              <w:rPr>
                <w:color w:val="auto"/>
              </w:rPr>
            </w:pPr>
            <w:r w:rsidRPr="007F711F">
              <w:rPr>
                <w:color w:val="auto"/>
              </w:rPr>
              <w:t>2000/14</w:t>
            </w:r>
          </w:p>
        </w:tc>
        <w:tc>
          <w:tcPr>
            <w:tcW w:w="854" w:type="pct"/>
          </w:tcPr>
          <w:p w14:paraId="5EF56B68" w14:textId="10852558" w:rsidR="00E847E6" w:rsidRPr="007F711F" w:rsidRDefault="00F06231">
            <w:pPr>
              <w:pStyle w:val="DecimalAligned"/>
              <w:rPr>
                <w:color w:val="auto"/>
              </w:rPr>
            </w:pPr>
            <w:r w:rsidRPr="007F711F">
              <w:rPr>
                <w:color w:val="auto"/>
              </w:rPr>
              <w:t>384.90</w:t>
            </w:r>
          </w:p>
        </w:tc>
        <w:tc>
          <w:tcPr>
            <w:tcW w:w="582" w:type="pct"/>
          </w:tcPr>
          <w:p w14:paraId="0826585D" w14:textId="5FCA75BC" w:rsidR="00E847E6" w:rsidRPr="007F711F" w:rsidRDefault="006710EE">
            <w:pPr>
              <w:pStyle w:val="DecimalAligned"/>
              <w:rPr>
                <w:color w:val="auto"/>
              </w:rPr>
            </w:pPr>
            <w:r w:rsidRPr="007F711F">
              <w:rPr>
                <w:color w:val="auto"/>
              </w:rPr>
              <w:t>389.08</w:t>
            </w:r>
          </w:p>
        </w:tc>
        <w:tc>
          <w:tcPr>
            <w:tcW w:w="520" w:type="pct"/>
          </w:tcPr>
          <w:p w14:paraId="7E4EF94F" w14:textId="42C68C78" w:rsidR="00E847E6" w:rsidRPr="007F711F" w:rsidRDefault="00B4670B">
            <w:pPr>
              <w:pStyle w:val="DecimalAligned"/>
              <w:rPr>
                <w:color w:val="auto"/>
              </w:rPr>
            </w:pPr>
            <w:r w:rsidRPr="007F711F">
              <w:rPr>
                <w:color w:val="auto"/>
              </w:rPr>
              <w:t>391.73</w:t>
            </w:r>
          </w:p>
        </w:tc>
        <w:tc>
          <w:tcPr>
            <w:tcW w:w="519" w:type="pct"/>
          </w:tcPr>
          <w:p w14:paraId="0DFD2616" w14:textId="7A2F8717" w:rsidR="00E847E6" w:rsidRPr="007F711F" w:rsidRDefault="00B517D1">
            <w:pPr>
              <w:pStyle w:val="DecimalAligned"/>
              <w:rPr>
                <w:color w:val="auto"/>
              </w:rPr>
            </w:pPr>
            <w:r w:rsidRPr="007F711F">
              <w:rPr>
                <w:color w:val="auto"/>
              </w:rPr>
              <w:t>393.00</w:t>
            </w:r>
          </w:p>
        </w:tc>
        <w:tc>
          <w:tcPr>
            <w:tcW w:w="518" w:type="pct"/>
          </w:tcPr>
          <w:p w14:paraId="65DDB7BC" w14:textId="68E7BA15" w:rsidR="00E847E6" w:rsidRPr="007F711F" w:rsidRDefault="003A740D">
            <w:pPr>
              <w:pStyle w:val="DecimalAligned"/>
              <w:rPr>
                <w:color w:val="auto"/>
              </w:rPr>
            </w:pPr>
            <w:r w:rsidRPr="007F711F">
              <w:rPr>
                <w:color w:val="auto"/>
              </w:rPr>
              <w:t>386.80</w:t>
            </w:r>
          </w:p>
        </w:tc>
      </w:tr>
      <w:tr w:rsidR="007F711F" w:rsidRPr="007F711F" w14:paraId="249679DB" w14:textId="09AFE8EC" w:rsidTr="007B67FF">
        <w:tc>
          <w:tcPr>
            <w:tcW w:w="1452" w:type="pct"/>
            <w:tcBorders>
              <w:bottom w:val="single" w:sz="4" w:space="0" w:color="auto"/>
            </w:tcBorders>
            <w:noWrap/>
          </w:tcPr>
          <w:p w14:paraId="47567080" w14:textId="312B3A6B" w:rsidR="00E847E6" w:rsidRPr="007F711F" w:rsidRDefault="006E68A4">
            <w:pPr>
              <w:rPr>
                <w:color w:val="auto"/>
              </w:rPr>
            </w:pPr>
            <w:r w:rsidRPr="007F711F">
              <w:rPr>
                <w:color w:val="auto"/>
              </w:rPr>
              <w:t>Thames Tower</w:t>
            </w:r>
          </w:p>
        </w:tc>
        <w:tc>
          <w:tcPr>
            <w:tcW w:w="555" w:type="pct"/>
            <w:tcBorders>
              <w:bottom w:val="single" w:sz="4" w:space="0" w:color="auto"/>
            </w:tcBorders>
          </w:tcPr>
          <w:p w14:paraId="5A26B710" w14:textId="59D664A9" w:rsidR="00E847E6" w:rsidRPr="007F711F" w:rsidRDefault="00624223">
            <w:pPr>
              <w:pStyle w:val="DecimalAligned"/>
              <w:rPr>
                <w:color w:val="auto"/>
              </w:rPr>
            </w:pPr>
            <w:r w:rsidRPr="007F711F">
              <w:rPr>
                <w:color w:val="auto"/>
              </w:rPr>
              <w:t>1970</w:t>
            </w:r>
          </w:p>
        </w:tc>
        <w:tc>
          <w:tcPr>
            <w:tcW w:w="854" w:type="pct"/>
            <w:tcBorders>
              <w:bottom w:val="single" w:sz="4" w:space="0" w:color="auto"/>
            </w:tcBorders>
          </w:tcPr>
          <w:p w14:paraId="1A49D57A" w14:textId="1ADCFD9C" w:rsidR="00E847E6" w:rsidRPr="007F711F" w:rsidRDefault="00A30042">
            <w:pPr>
              <w:pStyle w:val="DecimalAligned"/>
              <w:rPr>
                <w:color w:val="auto"/>
              </w:rPr>
            </w:pPr>
            <w:r w:rsidRPr="007F711F">
              <w:rPr>
                <w:color w:val="auto"/>
              </w:rPr>
              <w:t>119.32</w:t>
            </w:r>
          </w:p>
        </w:tc>
        <w:tc>
          <w:tcPr>
            <w:tcW w:w="582" w:type="pct"/>
            <w:tcBorders>
              <w:bottom w:val="single" w:sz="4" w:space="0" w:color="auto"/>
            </w:tcBorders>
          </w:tcPr>
          <w:p w14:paraId="1D8F7C0B" w14:textId="38F357C5" w:rsidR="00E847E6" w:rsidRPr="007F711F" w:rsidRDefault="00B4670B">
            <w:pPr>
              <w:pStyle w:val="DecimalAligned"/>
              <w:rPr>
                <w:color w:val="auto"/>
              </w:rPr>
            </w:pPr>
            <w:r w:rsidRPr="007F711F">
              <w:rPr>
                <w:color w:val="auto"/>
              </w:rPr>
              <w:t>127.2</w:t>
            </w:r>
            <w:r w:rsidR="00BE2FF0" w:rsidRPr="007F711F">
              <w:rPr>
                <w:color w:val="auto"/>
              </w:rPr>
              <w:t>0</w:t>
            </w:r>
          </w:p>
        </w:tc>
        <w:tc>
          <w:tcPr>
            <w:tcW w:w="520" w:type="pct"/>
            <w:tcBorders>
              <w:bottom w:val="single" w:sz="4" w:space="0" w:color="auto"/>
            </w:tcBorders>
          </w:tcPr>
          <w:p w14:paraId="4B30A2BC" w14:textId="378953A4" w:rsidR="00E847E6" w:rsidRPr="007F711F" w:rsidRDefault="00BE2FF0">
            <w:pPr>
              <w:pStyle w:val="DecimalAligned"/>
              <w:rPr>
                <w:color w:val="auto"/>
              </w:rPr>
            </w:pPr>
            <w:r w:rsidRPr="007F711F">
              <w:rPr>
                <w:color w:val="auto"/>
              </w:rPr>
              <w:t>126.80</w:t>
            </w:r>
          </w:p>
        </w:tc>
        <w:tc>
          <w:tcPr>
            <w:tcW w:w="519" w:type="pct"/>
            <w:tcBorders>
              <w:bottom w:val="single" w:sz="4" w:space="0" w:color="auto"/>
            </w:tcBorders>
          </w:tcPr>
          <w:p w14:paraId="69F19408" w14:textId="2A462BCC" w:rsidR="00E847E6" w:rsidRPr="007F711F" w:rsidRDefault="003A740D">
            <w:pPr>
              <w:pStyle w:val="DecimalAligned"/>
              <w:rPr>
                <w:color w:val="auto"/>
              </w:rPr>
            </w:pPr>
            <w:r w:rsidRPr="007F711F">
              <w:rPr>
                <w:color w:val="auto"/>
              </w:rPr>
              <w:t>113.80</w:t>
            </w:r>
          </w:p>
        </w:tc>
        <w:tc>
          <w:tcPr>
            <w:tcW w:w="518" w:type="pct"/>
            <w:tcBorders>
              <w:bottom w:val="single" w:sz="4" w:space="0" w:color="auto"/>
            </w:tcBorders>
          </w:tcPr>
          <w:p w14:paraId="3C876713" w14:textId="74C4BC32" w:rsidR="00E847E6" w:rsidRPr="007F711F" w:rsidRDefault="003A740D">
            <w:pPr>
              <w:pStyle w:val="DecimalAligned"/>
              <w:rPr>
                <w:color w:val="auto"/>
              </w:rPr>
            </w:pPr>
            <w:r w:rsidRPr="007F711F">
              <w:rPr>
                <w:color w:val="auto"/>
              </w:rPr>
              <w:t>109.84</w:t>
            </w:r>
          </w:p>
        </w:tc>
      </w:tr>
      <w:tr w:rsidR="007F711F" w:rsidRPr="007F711F" w14:paraId="68753AFC" w14:textId="0A020C97" w:rsidTr="007B67FF">
        <w:tc>
          <w:tcPr>
            <w:tcW w:w="1452" w:type="pct"/>
            <w:tcBorders>
              <w:top w:val="single" w:sz="4" w:space="0" w:color="auto"/>
              <w:bottom w:val="single" w:sz="4" w:space="0" w:color="auto"/>
            </w:tcBorders>
            <w:noWrap/>
          </w:tcPr>
          <w:p w14:paraId="4E81ACFD" w14:textId="77777777" w:rsidR="00E847E6" w:rsidRPr="007F711F" w:rsidRDefault="00E847E6">
            <w:pPr>
              <w:rPr>
                <w:color w:val="auto"/>
              </w:rPr>
            </w:pPr>
            <w:r w:rsidRPr="007F711F">
              <w:rPr>
                <w:color w:val="auto"/>
              </w:rPr>
              <w:t>Total</w:t>
            </w:r>
            <w:r w:rsidR="009D0F2D" w:rsidRPr="007F711F">
              <w:rPr>
                <w:color w:val="auto"/>
              </w:rPr>
              <w:t xml:space="preserve"> Investment</w:t>
            </w:r>
          </w:p>
          <w:p w14:paraId="7BF44F22" w14:textId="199F0D07" w:rsidR="009D0F2D" w:rsidRPr="007F711F" w:rsidRDefault="009D0F2D">
            <w:pPr>
              <w:rPr>
                <w:color w:val="auto"/>
              </w:rPr>
            </w:pPr>
            <w:r w:rsidRPr="007F711F">
              <w:rPr>
                <w:color w:val="auto"/>
              </w:rPr>
              <w:t>Properties</w:t>
            </w:r>
          </w:p>
        </w:tc>
        <w:tc>
          <w:tcPr>
            <w:tcW w:w="555" w:type="pct"/>
            <w:tcBorders>
              <w:top w:val="single" w:sz="4" w:space="0" w:color="auto"/>
              <w:bottom w:val="single" w:sz="4" w:space="0" w:color="auto"/>
            </w:tcBorders>
          </w:tcPr>
          <w:p w14:paraId="668CC40F" w14:textId="3B2F0F9F" w:rsidR="00E847E6" w:rsidRPr="007F711F" w:rsidRDefault="00E847E6">
            <w:pPr>
              <w:pStyle w:val="DecimalAligned"/>
              <w:rPr>
                <w:color w:val="auto"/>
              </w:rPr>
            </w:pPr>
          </w:p>
        </w:tc>
        <w:tc>
          <w:tcPr>
            <w:tcW w:w="854" w:type="pct"/>
            <w:tcBorders>
              <w:top w:val="single" w:sz="4" w:space="0" w:color="auto"/>
              <w:bottom w:val="single" w:sz="4" w:space="0" w:color="auto"/>
            </w:tcBorders>
          </w:tcPr>
          <w:p w14:paraId="414A6544" w14:textId="43E914F0" w:rsidR="00E847E6" w:rsidRPr="007F711F" w:rsidRDefault="0046539C">
            <w:pPr>
              <w:pStyle w:val="DecimalAligned"/>
              <w:rPr>
                <w:color w:val="auto"/>
              </w:rPr>
            </w:pPr>
            <w:r w:rsidRPr="007F711F">
              <w:rPr>
                <w:color w:val="auto"/>
              </w:rPr>
              <w:t>952.18</w:t>
            </w:r>
          </w:p>
        </w:tc>
        <w:tc>
          <w:tcPr>
            <w:tcW w:w="582" w:type="pct"/>
            <w:tcBorders>
              <w:top w:val="single" w:sz="4" w:space="0" w:color="auto"/>
              <w:bottom w:val="single" w:sz="4" w:space="0" w:color="auto"/>
            </w:tcBorders>
          </w:tcPr>
          <w:p w14:paraId="5E1BB82B" w14:textId="33E9BE74" w:rsidR="00E847E6" w:rsidRPr="007F711F" w:rsidRDefault="004C222C">
            <w:pPr>
              <w:pStyle w:val="DecimalAligned"/>
              <w:rPr>
                <w:color w:val="auto"/>
              </w:rPr>
            </w:pPr>
            <w:r w:rsidRPr="007F711F">
              <w:rPr>
                <w:color w:val="auto"/>
              </w:rPr>
              <w:t>968.89</w:t>
            </w:r>
          </w:p>
        </w:tc>
        <w:tc>
          <w:tcPr>
            <w:tcW w:w="520" w:type="pct"/>
            <w:tcBorders>
              <w:top w:val="single" w:sz="4" w:space="0" w:color="auto"/>
              <w:bottom w:val="single" w:sz="4" w:space="0" w:color="auto"/>
            </w:tcBorders>
          </w:tcPr>
          <w:p w14:paraId="4C904AF2" w14:textId="56BA04DD" w:rsidR="00E847E6" w:rsidRPr="007F711F" w:rsidRDefault="00FF4A27">
            <w:pPr>
              <w:pStyle w:val="DecimalAligned"/>
              <w:rPr>
                <w:color w:val="auto"/>
              </w:rPr>
            </w:pPr>
            <w:r w:rsidRPr="007F711F">
              <w:rPr>
                <w:color w:val="auto"/>
              </w:rPr>
              <w:t>958.67</w:t>
            </w:r>
          </w:p>
        </w:tc>
        <w:tc>
          <w:tcPr>
            <w:tcW w:w="519" w:type="pct"/>
            <w:tcBorders>
              <w:top w:val="single" w:sz="4" w:space="0" w:color="auto"/>
              <w:bottom w:val="single" w:sz="4" w:space="0" w:color="auto"/>
            </w:tcBorders>
          </w:tcPr>
          <w:p w14:paraId="54B25212" w14:textId="222593D3" w:rsidR="00E847E6" w:rsidRPr="007F711F" w:rsidRDefault="003A740D">
            <w:pPr>
              <w:pStyle w:val="DecimalAligned"/>
              <w:rPr>
                <w:color w:val="auto"/>
              </w:rPr>
            </w:pPr>
            <w:r w:rsidRPr="007F711F">
              <w:rPr>
                <w:color w:val="auto"/>
              </w:rPr>
              <w:t>907.47</w:t>
            </w:r>
          </w:p>
        </w:tc>
        <w:tc>
          <w:tcPr>
            <w:tcW w:w="518" w:type="pct"/>
            <w:tcBorders>
              <w:top w:val="single" w:sz="4" w:space="0" w:color="auto"/>
              <w:bottom w:val="single" w:sz="4" w:space="0" w:color="auto"/>
            </w:tcBorders>
          </w:tcPr>
          <w:p w14:paraId="0BA9C4A4" w14:textId="17C969EE" w:rsidR="00E847E6" w:rsidRPr="007F711F" w:rsidRDefault="006710EE">
            <w:pPr>
              <w:pStyle w:val="DecimalAligned"/>
              <w:rPr>
                <w:color w:val="auto"/>
              </w:rPr>
            </w:pPr>
            <w:r w:rsidRPr="007F711F">
              <w:rPr>
                <w:color w:val="auto"/>
              </w:rPr>
              <w:t>882.74</w:t>
            </w:r>
          </w:p>
        </w:tc>
      </w:tr>
      <w:tr w:rsidR="007F711F" w:rsidRPr="007F711F" w14:paraId="7D74629A" w14:textId="77777777" w:rsidTr="007B67FF">
        <w:tc>
          <w:tcPr>
            <w:tcW w:w="1452" w:type="pct"/>
            <w:tcBorders>
              <w:top w:val="single" w:sz="4" w:space="0" w:color="auto"/>
            </w:tcBorders>
            <w:noWrap/>
          </w:tcPr>
          <w:p w14:paraId="0FC71F03" w14:textId="77777777" w:rsidR="00FF4A27" w:rsidRPr="007F711F" w:rsidRDefault="00471DB6">
            <w:pPr>
              <w:rPr>
                <w:color w:val="auto"/>
              </w:rPr>
            </w:pPr>
            <w:r w:rsidRPr="007F711F">
              <w:rPr>
                <w:color w:val="auto"/>
              </w:rPr>
              <w:t>Regeneration</w:t>
            </w:r>
          </w:p>
          <w:p w14:paraId="59ECC1A8" w14:textId="0DDBEB7F" w:rsidR="00471DB6" w:rsidRPr="007F711F" w:rsidRDefault="00471DB6">
            <w:pPr>
              <w:rPr>
                <w:color w:val="auto"/>
              </w:rPr>
            </w:pPr>
            <w:r w:rsidRPr="007F711F">
              <w:rPr>
                <w:color w:val="auto"/>
              </w:rPr>
              <w:t>Properties</w:t>
            </w:r>
          </w:p>
        </w:tc>
        <w:tc>
          <w:tcPr>
            <w:tcW w:w="555" w:type="pct"/>
            <w:tcBorders>
              <w:top w:val="single" w:sz="4" w:space="0" w:color="auto"/>
            </w:tcBorders>
          </w:tcPr>
          <w:p w14:paraId="6ACE2E6F" w14:textId="77777777" w:rsidR="00FF4A27" w:rsidRPr="007F711F" w:rsidRDefault="00FF4A27">
            <w:pPr>
              <w:pStyle w:val="DecimalAligned"/>
              <w:rPr>
                <w:color w:val="auto"/>
              </w:rPr>
            </w:pPr>
          </w:p>
        </w:tc>
        <w:tc>
          <w:tcPr>
            <w:tcW w:w="854" w:type="pct"/>
            <w:tcBorders>
              <w:top w:val="single" w:sz="4" w:space="0" w:color="auto"/>
            </w:tcBorders>
          </w:tcPr>
          <w:p w14:paraId="02D84174" w14:textId="77777777" w:rsidR="00FF4A27" w:rsidRPr="007F711F" w:rsidRDefault="00FF4A27">
            <w:pPr>
              <w:pStyle w:val="DecimalAligned"/>
              <w:rPr>
                <w:color w:val="auto"/>
              </w:rPr>
            </w:pPr>
          </w:p>
        </w:tc>
        <w:tc>
          <w:tcPr>
            <w:tcW w:w="582" w:type="pct"/>
            <w:tcBorders>
              <w:top w:val="single" w:sz="4" w:space="0" w:color="auto"/>
            </w:tcBorders>
          </w:tcPr>
          <w:p w14:paraId="3D53AC9F" w14:textId="7379A32D" w:rsidR="00FF4A27" w:rsidRPr="007F711F" w:rsidRDefault="009218B0">
            <w:pPr>
              <w:pStyle w:val="DecimalAligned"/>
              <w:rPr>
                <w:color w:val="auto"/>
              </w:rPr>
            </w:pPr>
            <w:r w:rsidRPr="007F711F">
              <w:rPr>
                <w:color w:val="auto"/>
              </w:rPr>
              <w:t>15.40</w:t>
            </w:r>
          </w:p>
        </w:tc>
        <w:tc>
          <w:tcPr>
            <w:tcW w:w="520" w:type="pct"/>
            <w:tcBorders>
              <w:top w:val="single" w:sz="4" w:space="0" w:color="auto"/>
            </w:tcBorders>
          </w:tcPr>
          <w:p w14:paraId="4E12336B" w14:textId="09593B3E" w:rsidR="00FF4A27" w:rsidRPr="007F711F" w:rsidRDefault="003A76E1">
            <w:pPr>
              <w:pStyle w:val="DecimalAligned"/>
              <w:rPr>
                <w:color w:val="auto"/>
              </w:rPr>
            </w:pPr>
            <w:r w:rsidRPr="007F711F">
              <w:rPr>
                <w:color w:val="auto"/>
              </w:rPr>
              <w:t>67.33</w:t>
            </w:r>
          </w:p>
        </w:tc>
        <w:tc>
          <w:tcPr>
            <w:tcW w:w="519" w:type="pct"/>
            <w:tcBorders>
              <w:top w:val="single" w:sz="4" w:space="0" w:color="auto"/>
            </w:tcBorders>
          </w:tcPr>
          <w:p w14:paraId="2B4B70AE" w14:textId="4C4C30E6" w:rsidR="00FF4A27" w:rsidRPr="007F711F" w:rsidRDefault="00F70C3D">
            <w:pPr>
              <w:pStyle w:val="DecimalAligned"/>
              <w:rPr>
                <w:color w:val="auto"/>
              </w:rPr>
            </w:pPr>
            <w:r w:rsidRPr="007F711F">
              <w:rPr>
                <w:color w:val="auto"/>
              </w:rPr>
              <w:t>55.00</w:t>
            </w:r>
          </w:p>
        </w:tc>
        <w:tc>
          <w:tcPr>
            <w:tcW w:w="518" w:type="pct"/>
            <w:tcBorders>
              <w:top w:val="single" w:sz="4" w:space="0" w:color="auto"/>
            </w:tcBorders>
          </w:tcPr>
          <w:p w14:paraId="082E90C4" w14:textId="668DD12A" w:rsidR="00FF4A27" w:rsidRPr="007F711F" w:rsidRDefault="00F70C3D">
            <w:pPr>
              <w:pStyle w:val="DecimalAligned"/>
              <w:rPr>
                <w:color w:val="auto"/>
              </w:rPr>
            </w:pPr>
            <w:r w:rsidRPr="007F711F">
              <w:rPr>
                <w:color w:val="auto"/>
              </w:rPr>
              <w:t>56.55</w:t>
            </w:r>
          </w:p>
        </w:tc>
      </w:tr>
      <w:tr w:rsidR="007F711F" w:rsidRPr="007F711F" w14:paraId="42A143FC" w14:textId="77777777" w:rsidTr="003A7047">
        <w:trPr>
          <w:cnfStyle w:val="010000000000" w:firstRow="0" w:lastRow="1" w:firstColumn="0" w:lastColumn="0" w:oddVBand="0" w:evenVBand="0" w:oddHBand="0" w:evenHBand="0" w:firstRowFirstColumn="0" w:firstRowLastColumn="0" w:lastRowFirstColumn="0" w:lastRowLastColumn="0"/>
        </w:trPr>
        <w:tc>
          <w:tcPr>
            <w:tcW w:w="1452" w:type="pct"/>
            <w:noWrap/>
          </w:tcPr>
          <w:p w14:paraId="52AC14BA" w14:textId="38E0B102" w:rsidR="007B67FF" w:rsidRPr="007F711F" w:rsidRDefault="006D162C">
            <w:pPr>
              <w:rPr>
                <w:color w:val="auto"/>
              </w:rPr>
            </w:pPr>
            <w:r w:rsidRPr="007F711F">
              <w:rPr>
                <w:color w:val="auto"/>
              </w:rPr>
              <w:t xml:space="preserve">Total </w:t>
            </w:r>
            <w:r w:rsidR="00FD6D4A" w:rsidRPr="007F711F">
              <w:rPr>
                <w:color w:val="auto"/>
              </w:rPr>
              <w:t>Properties</w:t>
            </w:r>
          </w:p>
        </w:tc>
        <w:tc>
          <w:tcPr>
            <w:tcW w:w="555" w:type="pct"/>
          </w:tcPr>
          <w:p w14:paraId="2EA412FD" w14:textId="77777777" w:rsidR="007B67FF" w:rsidRPr="007F711F" w:rsidRDefault="007B67FF">
            <w:pPr>
              <w:pStyle w:val="DecimalAligned"/>
              <w:rPr>
                <w:color w:val="auto"/>
              </w:rPr>
            </w:pPr>
          </w:p>
        </w:tc>
        <w:tc>
          <w:tcPr>
            <w:tcW w:w="854" w:type="pct"/>
          </w:tcPr>
          <w:p w14:paraId="67795192" w14:textId="77777777" w:rsidR="007B67FF" w:rsidRPr="007F711F" w:rsidRDefault="007B67FF">
            <w:pPr>
              <w:pStyle w:val="DecimalAligned"/>
              <w:rPr>
                <w:color w:val="auto"/>
              </w:rPr>
            </w:pPr>
          </w:p>
        </w:tc>
        <w:tc>
          <w:tcPr>
            <w:tcW w:w="582" w:type="pct"/>
          </w:tcPr>
          <w:p w14:paraId="343B29D4" w14:textId="1FBE722D" w:rsidR="007B67FF" w:rsidRPr="007F711F" w:rsidRDefault="00FD6D4A">
            <w:pPr>
              <w:pStyle w:val="DecimalAligned"/>
              <w:rPr>
                <w:color w:val="auto"/>
              </w:rPr>
            </w:pPr>
            <w:r w:rsidRPr="007F711F">
              <w:rPr>
                <w:color w:val="auto"/>
              </w:rPr>
              <w:t>984.29</w:t>
            </w:r>
          </w:p>
        </w:tc>
        <w:tc>
          <w:tcPr>
            <w:tcW w:w="520" w:type="pct"/>
          </w:tcPr>
          <w:p w14:paraId="5CC0710C" w14:textId="5618539D" w:rsidR="007B67FF" w:rsidRPr="007F711F" w:rsidRDefault="009E5062">
            <w:pPr>
              <w:pStyle w:val="DecimalAligned"/>
              <w:rPr>
                <w:color w:val="auto"/>
              </w:rPr>
            </w:pPr>
            <w:r w:rsidRPr="007F711F">
              <w:rPr>
                <w:color w:val="auto"/>
              </w:rPr>
              <w:t>1026.00</w:t>
            </w:r>
          </w:p>
        </w:tc>
        <w:tc>
          <w:tcPr>
            <w:tcW w:w="519" w:type="pct"/>
          </w:tcPr>
          <w:p w14:paraId="5DBDBAB1" w14:textId="4AB24AE0" w:rsidR="007B67FF" w:rsidRPr="007F711F" w:rsidRDefault="001F6051">
            <w:pPr>
              <w:pStyle w:val="DecimalAligned"/>
              <w:rPr>
                <w:color w:val="auto"/>
              </w:rPr>
            </w:pPr>
            <w:r w:rsidRPr="007F711F">
              <w:rPr>
                <w:color w:val="auto"/>
              </w:rPr>
              <w:t>962.47</w:t>
            </w:r>
          </w:p>
        </w:tc>
        <w:tc>
          <w:tcPr>
            <w:tcW w:w="518" w:type="pct"/>
          </w:tcPr>
          <w:p w14:paraId="52AFF044" w14:textId="1AAEACDB" w:rsidR="007B67FF" w:rsidRPr="007F711F" w:rsidRDefault="001F6051">
            <w:pPr>
              <w:pStyle w:val="DecimalAligned"/>
              <w:rPr>
                <w:color w:val="auto"/>
              </w:rPr>
            </w:pPr>
            <w:r w:rsidRPr="007F711F">
              <w:rPr>
                <w:color w:val="auto"/>
              </w:rPr>
              <w:t>939.29</w:t>
            </w:r>
          </w:p>
        </w:tc>
      </w:tr>
    </w:tbl>
    <w:p w14:paraId="5D915032" w14:textId="291D6310" w:rsidR="0013399D" w:rsidRPr="007F711F" w:rsidRDefault="005544F8" w:rsidP="00256EEC">
      <w:pPr>
        <w:pStyle w:val="FootnoteText"/>
        <w:rPr>
          <w:i/>
          <w:iCs/>
          <w:sz w:val="18"/>
          <w:szCs w:val="18"/>
        </w:rPr>
      </w:pPr>
      <w:r w:rsidRPr="007F711F">
        <w:rPr>
          <w:rStyle w:val="SubtleEmphasis"/>
          <w:i w:val="0"/>
          <w:iCs w:val="0"/>
          <w:color w:val="auto"/>
          <w:sz w:val="18"/>
          <w:szCs w:val="18"/>
        </w:rPr>
        <w:t>Source:</w:t>
      </w:r>
      <w:r w:rsidRPr="007F711F">
        <w:rPr>
          <w:i/>
          <w:iCs/>
          <w:sz w:val="18"/>
          <w:szCs w:val="18"/>
        </w:rPr>
        <w:t xml:space="preserve"> </w:t>
      </w:r>
      <w:r w:rsidR="00E30F58" w:rsidRPr="007F711F">
        <w:rPr>
          <w:i/>
          <w:iCs/>
          <w:sz w:val="18"/>
          <w:szCs w:val="18"/>
        </w:rPr>
        <w:t>Property Annual Report</w:t>
      </w:r>
      <w:r w:rsidR="00126135" w:rsidRPr="007F711F">
        <w:rPr>
          <w:i/>
          <w:iCs/>
          <w:sz w:val="18"/>
          <w:szCs w:val="18"/>
        </w:rPr>
        <w:t>s</w:t>
      </w:r>
      <w:r w:rsidR="005227C1" w:rsidRPr="007F711F">
        <w:rPr>
          <w:i/>
          <w:iCs/>
          <w:sz w:val="18"/>
          <w:szCs w:val="18"/>
        </w:rPr>
        <w:t xml:space="preserve">. </w:t>
      </w:r>
      <w:r w:rsidR="00E30F58" w:rsidRPr="007F711F">
        <w:rPr>
          <w:b/>
          <w:bCs/>
          <w:i/>
          <w:iCs/>
          <w:sz w:val="18"/>
          <w:szCs w:val="18"/>
        </w:rPr>
        <w:t>Note</w:t>
      </w:r>
      <w:r w:rsidR="00256EEC" w:rsidRPr="007F711F">
        <w:rPr>
          <w:b/>
          <w:bCs/>
          <w:i/>
          <w:iCs/>
          <w:sz w:val="18"/>
          <w:szCs w:val="18"/>
        </w:rPr>
        <w:t xml:space="preserve">s: </w:t>
      </w:r>
      <w:r w:rsidR="00033D42" w:rsidRPr="007F711F">
        <w:rPr>
          <w:i/>
          <w:iCs/>
          <w:sz w:val="18"/>
          <w:szCs w:val="18"/>
        </w:rPr>
        <w:t>Thames Tower was refurbished</w:t>
      </w:r>
      <w:r w:rsidR="00A13314" w:rsidRPr="007F711F">
        <w:rPr>
          <w:i/>
          <w:iCs/>
          <w:sz w:val="18"/>
          <w:szCs w:val="18"/>
        </w:rPr>
        <w:t xml:space="preserve"> in 2017.</w:t>
      </w:r>
      <w:r w:rsidR="00256EEC" w:rsidRPr="007F711F">
        <w:rPr>
          <w:i/>
          <w:iCs/>
          <w:sz w:val="18"/>
          <w:szCs w:val="18"/>
        </w:rPr>
        <w:t xml:space="preserve"> </w:t>
      </w:r>
      <w:r w:rsidR="00033D42" w:rsidRPr="007F711F">
        <w:rPr>
          <w:i/>
          <w:iCs/>
          <w:sz w:val="18"/>
          <w:szCs w:val="18"/>
        </w:rPr>
        <w:t xml:space="preserve">Regeneration Properties comprise </w:t>
      </w:r>
      <w:r w:rsidR="000C4FB2" w:rsidRPr="007F711F">
        <w:rPr>
          <w:i/>
          <w:iCs/>
          <w:sz w:val="18"/>
          <w:szCs w:val="18"/>
        </w:rPr>
        <w:t xml:space="preserve">Communications House Staines </w:t>
      </w:r>
      <w:r w:rsidR="006F47C7" w:rsidRPr="007F711F">
        <w:rPr>
          <w:i/>
          <w:iCs/>
          <w:sz w:val="18"/>
          <w:szCs w:val="18"/>
        </w:rPr>
        <w:t>(Offices £14.7</w:t>
      </w:r>
      <w:r w:rsidR="000277D9" w:rsidRPr="007F711F">
        <w:rPr>
          <w:i/>
          <w:iCs/>
          <w:sz w:val="18"/>
          <w:szCs w:val="18"/>
        </w:rPr>
        <w:t xml:space="preserve"> </w:t>
      </w:r>
      <w:r w:rsidR="006F47C7" w:rsidRPr="007F711F">
        <w:rPr>
          <w:i/>
          <w:iCs/>
          <w:sz w:val="18"/>
          <w:szCs w:val="18"/>
        </w:rPr>
        <w:t>m</w:t>
      </w:r>
      <w:r w:rsidR="000277D9" w:rsidRPr="007F711F">
        <w:rPr>
          <w:i/>
          <w:iCs/>
          <w:sz w:val="18"/>
          <w:szCs w:val="18"/>
        </w:rPr>
        <w:t>illion</w:t>
      </w:r>
      <w:r w:rsidR="006F47C7" w:rsidRPr="007F711F">
        <w:rPr>
          <w:i/>
          <w:iCs/>
          <w:sz w:val="18"/>
          <w:szCs w:val="18"/>
        </w:rPr>
        <w:t xml:space="preserve">), </w:t>
      </w:r>
      <w:r w:rsidR="00546B5F" w:rsidRPr="007F711F">
        <w:rPr>
          <w:i/>
          <w:iCs/>
          <w:sz w:val="18"/>
          <w:szCs w:val="18"/>
        </w:rPr>
        <w:t>Elmsleigh Centre, Staines (Retail £27.85</w:t>
      </w:r>
      <w:r w:rsidR="000277D9" w:rsidRPr="007F711F">
        <w:rPr>
          <w:i/>
          <w:iCs/>
          <w:sz w:val="18"/>
          <w:szCs w:val="18"/>
        </w:rPr>
        <w:t xml:space="preserve"> </w:t>
      </w:r>
      <w:r w:rsidR="00546B5F" w:rsidRPr="007F711F">
        <w:rPr>
          <w:i/>
          <w:iCs/>
          <w:sz w:val="18"/>
          <w:szCs w:val="18"/>
        </w:rPr>
        <w:t>m</w:t>
      </w:r>
      <w:r w:rsidR="000277D9" w:rsidRPr="007F711F">
        <w:rPr>
          <w:i/>
          <w:iCs/>
          <w:sz w:val="18"/>
          <w:szCs w:val="18"/>
        </w:rPr>
        <w:t>illion</w:t>
      </w:r>
      <w:r w:rsidR="00546B5F" w:rsidRPr="007F711F">
        <w:rPr>
          <w:i/>
          <w:iCs/>
          <w:sz w:val="18"/>
          <w:szCs w:val="18"/>
        </w:rPr>
        <w:t xml:space="preserve">) and </w:t>
      </w:r>
      <w:r w:rsidR="007B69B8" w:rsidRPr="007F711F">
        <w:rPr>
          <w:i/>
          <w:iCs/>
          <w:sz w:val="18"/>
          <w:szCs w:val="18"/>
        </w:rPr>
        <w:t xml:space="preserve">The Summit Centre, Sunbury (Offices/Industrial </w:t>
      </w:r>
      <w:r w:rsidR="002D3331" w:rsidRPr="007F711F">
        <w:rPr>
          <w:i/>
          <w:iCs/>
          <w:sz w:val="18"/>
          <w:szCs w:val="18"/>
        </w:rPr>
        <w:t>£14</w:t>
      </w:r>
      <w:r w:rsidR="000277D9" w:rsidRPr="007F711F">
        <w:rPr>
          <w:i/>
          <w:iCs/>
          <w:sz w:val="18"/>
          <w:szCs w:val="18"/>
        </w:rPr>
        <w:t xml:space="preserve"> </w:t>
      </w:r>
      <w:r w:rsidR="002D3331" w:rsidRPr="007F711F">
        <w:rPr>
          <w:i/>
          <w:iCs/>
          <w:sz w:val="18"/>
          <w:szCs w:val="18"/>
        </w:rPr>
        <w:t>m</w:t>
      </w:r>
      <w:r w:rsidR="000277D9" w:rsidRPr="007F711F">
        <w:rPr>
          <w:i/>
          <w:iCs/>
          <w:sz w:val="18"/>
          <w:szCs w:val="18"/>
        </w:rPr>
        <w:t>illion</w:t>
      </w:r>
      <w:r w:rsidR="002D3331" w:rsidRPr="007F711F">
        <w:rPr>
          <w:i/>
          <w:iCs/>
          <w:sz w:val="18"/>
          <w:szCs w:val="18"/>
        </w:rPr>
        <w:t>).</w:t>
      </w:r>
    </w:p>
    <w:p w14:paraId="1C9150B0" w14:textId="77777777" w:rsidR="00256EEC" w:rsidRDefault="00256EEC" w:rsidP="00AC51D0"/>
    <w:p w14:paraId="256199A3" w14:textId="5A77A178" w:rsidR="005F7BF3" w:rsidRDefault="00477620" w:rsidP="00EB43FF">
      <w:pPr>
        <w:jc w:val="both"/>
      </w:pPr>
      <w:r>
        <w:t>The</w:t>
      </w:r>
      <w:r w:rsidR="00BA1031">
        <w:t xml:space="preserve"> investment portfolio</w:t>
      </w:r>
      <w:r>
        <w:t>’s value</w:t>
      </w:r>
      <w:r w:rsidR="00BA1031">
        <w:t xml:space="preserve"> has fallen by some </w:t>
      </w:r>
      <w:r w:rsidR="00305765">
        <w:t>£70</w:t>
      </w:r>
      <w:r w:rsidR="006E6A88">
        <w:t xml:space="preserve"> </w:t>
      </w:r>
      <w:r w:rsidR="00305765">
        <w:t>m</w:t>
      </w:r>
      <w:r w:rsidR="006E6A88">
        <w:t>illion</w:t>
      </w:r>
      <w:r w:rsidR="00305765">
        <w:t xml:space="preserve"> </w:t>
      </w:r>
      <w:r w:rsidR="00D55C70">
        <w:t xml:space="preserve">(7.3%) </w:t>
      </w:r>
      <w:r w:rsidR="00305765">
        <w:t>since</w:t>
      </w:r>
      <w:r w:rsidR="000F2488">
        <w:t xml:space="preserve"> </w:t>
      </w:r>
      <w:r w:rsidR="00305765">
        <w:t>initial purchase</w:t>
      </w:r>
      <w:r w:rsidR="00D55C70">
        <w:t>,</w:t>
      </w:r>
      <w:r w:rsidR="00B522E5">
        <w:t xml:space="preserve"> </w:t>
      </w:r>
      <w:r w:rsidR="00D55C70">
        <w:t xml:space="preserve">the </w:t>
      </w:r>
      <w:r w:rsidR="00D15D43">
        <w:t>regeneration portfolio by some £11</w:t>
      </w:r>
      <w:r w:rsidR="006E6A88">
        <w:t xml:space="preserve"> </w:t>
      </w:r>
      <w:r w:rsidR="00D15D43">
        <w:t>m</w:t>
      </w:r>
      <w:r w:rsidR="006E6A88">
        <w:t>illion</w:t>
      </w:r>
      <w:r w:rsidR="005F7BF3">
        <w:t xml:space="preserve">. This </w:t>
      </w:r>
      <w:r w:rsidR="005227C1">
        <w:t>should</w:t>
      </w:r>
      <w:r w:rsidR="005F7BF3">
        <w:t xml:space="preserve"> be viewed in the context of: </w:t>
      </w:r>
    </w:p>
    <w:p w14:paraId="655843A7" w14:textId="6B90325B" w:rsidR="0013399D" w:rsidRDefault="009A1DE0" w:rsidP="00F34C2F">
      <w:pPr>
        <w:pStyle w:val="ListParagraph"/>
        <w:numPr>
          <w:ilvl w:val="0"/>
          <w:numId w:val="12"/>
        </w:numPr>
        <w:ind w:left="714" w:hanging="357"/>
        <w:jc w:val="both"/>
      </w:pPr>
      <w:r>
        <w:t>s</w:t>
      </w:r>
      <w:r w:rsidR="003D3071">
        <w:t>hort-term m</w:t>
      </w:r>
      <w:r w:rsidR="00FF2C22">
        <w:t>arket disruption as a result of the pandemic and the war in Ukraine</w:t>
      </w:r>
    </w:p>
    <w:p w14:paraId="452A8E0F" w14:textId="15E8C519" w:rsidR="002A49DD" w:rsidRDefault="00B522E5" w:rsidP="00F34C2F">
      <w:pPr>
        <w:pStyle w:val="ListParagraph"/>
        <w:numPr>
          <w:ilvl w:val="0"/>
          <w:numId w:val="12"/>
        </w:numPr>
        <w:ind w:left="714" w:hanging="357"/>
        <w:jc w:val="both"/>
      </w:pPr>
      <w:r>
        <w:t xml:space="preserve">SBC’s </w:t>
      </w:r>
      <w:r w:rsidR="003D3071">
        <w:t>long-term (</w:t>
      </w:r>
      <w:r>
        <w:t>50-year</w:t>
      </w:r>
      <w:r w:rsidR="003D3071">
        <w:t>) ownership</w:t>
      </w:r>
      <w:r>
        <w:t xml:space="preserve"> </w:t>
      </w:r>
      <w:r w:rsidR="003D3071">
        <w:t>timescale</w:t>
      </w:r>
    </w:p>
    <w:p w14:paraId="4BE76722" w14:textId="7EFA9B93" w:rsidR="00BD754F" w:rsidRDefault="008402FC" w:rsidP="00EB43FF">
      <w:pPr>
        <w:jc w:val="both"/>
      </w:pPr>
      <w:r>
        <w:t>Most</w:t>
      </w:r>
      <w:r w:rsidR="00784ECF">
        <w:t xml:space="preserve"> buildings in the investment portfolio were constructed after </w:t>
      </w:r>
      <w:r w:rsidR="00BB53C8">
        <w:t>2000, with the exception of the Thames Tower</w:t>
      </w:r>
      <w:r w:rsidR="00747AEC">
        <w:t>,</w:t>
      </w:r>
      <w:r w:rsidR="00BB53C8">
        <w:t xml:space="preserve"> which was refurbished </w:t>
      </w:r>
      <w:r w:rsidR="00BA00A9">
        <w:t>recently. This provides good assurance around the medium</w:t>
      </w:r>
      <w:r w:rsidR="00C11F92">
        <w:t>-</w:t>
      </w:r>
      <w:r w:rsidR="00BA00A9">
        <w:t>term longevity of the buildings</w:t>
      </w:r>
      <w:r w:rsidR="00E325D2">
        <w:t>.</w:t>
      </w:r>
    </w:p>
    <w:p w14:paraId="502E0082" w14:textId="1DDE0343" w:rsidR="00E325D2" w:rsidRDefault="00504C38" w:rsidP="00EB43FF">
      <w:pPr>
        <w:jc w:val="both"/>
      </w:pPr>
      <w:r>
        <w:t>While the</w:t>
      </w:r>
      <w:r w:rsidR="003D7D3A">
        <w:t xml:space="preserve"> </w:t>
      </w:r>
      <w:r w:rsidR="00AE20E5">
        <w:t>F</w:t>
      </w:r>
      <w:r w:rsidR="003D7D3A">
        <w:t xml:space="preserve">air </w:t>
      </w:r>
      <w:r w:rsidR="00AE20E5">
        <w:t>V</w:t>
      </w:r>
      <w:r w:rsidR="003D7D3A">
        <w:t>alue basis of valuation is reasonable</w:t>
      </w:r>
      <w:r>
        <w:t xml:space="preserve">, </w:t>
      </w:r>
      <w:r w:rsidR="003D7D3A">
        <w:t xml:space="preserve">over time the </w:t>
      </w:r>
      <w:r w:rsidR="009A1DE0">
        <w:t>c</w:t>
      </w:r>
      <w:r w:rsidR="003D7D3A">
        <w:t xml:space="preserve">ouncil </w:t>
      </w:r>
      <w:r>
        <w:t>should</w:t>
      </w:r>
      <w:r w:rsidR="003D7D3A">
        <w:t xml:space="preserve"> consider </w:t>
      </w:r>
      <w:r w:rsidR="00125918">
        <w:t>valuing</w:t>
      </w:r>
      <w:r w:rsidR="00E34A91">
        <w:t xml:space="preserve"> the buildings </w:t>
      </w:r>
      <w:r w:rsidR="00AE20E5">
        <w:t>against</w:t>
      </w:r>
      <w:r w:rsidR="00E34A91">
        <w:t xml:space="preserve"> inherent land value. This could become more appropriate in the long term as </w:t>
      </w:r>
      <w:r w:rsidR="00DA3587">
        <w:t>SBC</w:t>
      </w:r>
      <w:r w:rsidR="00E34A91">
        <w:t xml:space="preserve"> may face considerable challenges </w:t>
      </w:r>
      <w:r w:rsidR="00125918">
        <w:t>in</w:t>
      </w:r>
      <w:r w:rsidR="00E34A91">
        <w:t>:</w:t>
      </w:r>
    </w:p>
    <w:p w14:paraId="38F737BA" w14:textId="692FD723" w:rsidR="00F745DC" w:rsidRDefault="009A1DE0" w:rsidP="00F34C2F">
      <w:pPr>
        <w:pStyle w:val="ListParagraph"/>
        <w:numPr>
          <w:ilvl w:val="0"/>
          <w:numId w:val="13"/>
        </w:numPr>
        <w:ind w:left="714" w:hanging="357"/>
        <w:jc w:val="both"/>
      </w:pPr>
      <w:r>
        <w:t>r</w:t>
      </w:r>
      <w:r w:rsidR="00F745DC">
        <w:t>e-let</w:t>
      </w:r>
      <w:r w:rsidR="00125918">
        <w:t>ting</w:t>
      </w:r>
      <w:r w:rsidR="00F745DC">
        <w:t xml:space="preserve"> </w:t>
      </w:r>
      <w:r w:rsidR="006B7B2C">
        <w:t>its largest buildings if the current lease terms are not extended</w:t>
      </w:r>
    </w:p>
    <w:p w14:paraId="4D49F7D6" w14:textId="6B5D4396" w:rsidR="00E34A91" w:rsidRDefault="009C2880" w:rsidP="00F34C2F">
      <w:pPr>
        <w:pStyle w:val="ListParagraph"/>
        <w:numPr>
          <w:ilvl w:val="0"/>
          <w:numId w:val="13"/>
        </w:numPr>
        <w:ind w:left="714" w:hanging="357"/>
        <w:jc w:val="both"/>
      </w:pPr>
      <w:r>
        <w:t>m</w:t>
      </w:r>
      <w:r w:rsidR="00E34A91">
        <w:t>aintain</w:t>
      </w:r>
      <w:r w:rsidR="00302947">
        <w:t>ing</w:t>
      </w:r>
      <w:r w:rsidR="00E34A91">
        <w:t xml:space="preserve"> buildings at the highest standard to </w:t>
      </w:r>
      <w:r w:rsidR="00302947">
        <w:t>uphold</w:t>
      </w:r>
      <w:r w:rsidR="00E34A91">
        <w:t xml:space="preserve"> current </w:t>
      </w:r>
      <w:r w:rsidR="00AE4B86">
        <w:t>rental levels</w:t>
      </w:r>
    </w:p>
    <w:p w14:paraId="1E0C7B5A" w14:textId="271B38D8" w:rsidR="00AC0184" w:rsidRPr="00BA17D5" w:rsidRDefault="009C2880" w:rsidP="00F34C2F">
      <w:pPr>
        <w:pStyle w:val="ListParagraph"/>
        <w:numPr>
          <w:ilvl w:val="0"/>
          <w:numId w:val="13"/>
        </w:numPr>
        <w:ind w:left="714" w:hanging="357"/>
        <w:jc w:val="both"/>
      </w:pPr>
      <w:r>
        <w:t>c</w:t>
      </w:r>
      <w:r w:rsidR="007F5A82">
        <w:t>ompeti</w:t>
      </w:r>
      <w:r w:rsidR="00F551CA">
        <w:t>tion</w:t>
      </w:r>
      <w:r w:rsidR="00AE4B86">
        <w:t xml:space="preserve"> </w:t>
      </w:r>
      <w:r w:rsidR="00302947">
        <w:t>as</w:t>
      </w:r>
      <w:r w:rsidR="00AE4B86">
        <w:t xml:space="preserve"> </w:t>
      </w:r>
      <w:r w:rsidR="00B51952">
        <w:t xml:space="preserve">alternative </w:t>
      </w:r>
      <w:r w:rsidR="00F551CA">
        <w:t>non-</w:t>
      </w:r>
      <w:r>
        <w:t>c</w:t>
      </w:r>
      <w:r w:rsidR="00F551CA">
        <w:t>ouncil office sites</w:t>
      </w:r>
      <w:r w:rsidR="00B51952">
        <w:t xml:space="preserve"> </w:t>
      </w:r>
      <w:r w:rsidR="00302947">
        <w:t>emerge</w:t>
      </w:r>
    </w:p>
    <w:p w14:paraId="2727A165" w14:textId="36271D6C" w:rsidR="00CB1D5C" w:rsidRDefault="00F551CA" w:rsidP="00EB43FF">
      <w:pPr>
        <w:jc w:val="both"/>
      </w:pPr>
      <w:r>
        <w:t>SBC</w:t>
      </w:r>
      <w:r w:rsidR="00386DFC">
        <w:t xml:space="preserve"> has used the same valuers since </w:t>
      </w:r>
      <w:r w:rsidR="000C57D2">
        <w:t>it purchased</w:t>
      </w:r>
      <w:r w:rsidR="00386DFC">
        <w:t xml:space="preserve"> its property portfolio.</w:t>
      </w:r>
      <w:r w:rsidR="009C54CC">
        <w:t xml:space="preserve"> </w:t>
      </w:r>
      <w:r w:rsidR="009C11F3">
        <w:t xml:space="preserve">Accordingly, the </w:t>
      </w:r>
      <w:r w:rsidR="00DA3EC1">
        <w:t xml:space="preserve">properties have been valued consistently </w:t>
      </w:r>
      <w:r w:rsidR="009C11F3">
        <w:t>since then</w:t>
      </w:r>
      <w:r w:rsidR="00DA3EC1">
        <w:t>.</w:t>
      </w:r>
      <w:r w:rsidR="00A758DF">
        <w:t xml:space="preserve"> However, </w:t>
      </w:r>
      <w:r w:rsidR="00DA3EC1">
        <w:t xml:space="preserve">there has not been </w:t>
      </w:r>
      <w:r w:rsidR="00107C58">
        <w:t xml:space="preserve">access to </w:t>
      </w:r>
      <w:r w:rsidR="00DA3EC1">
        <w:t xml:space="preserve">an alternative </w:t>
      </w:r>
      <w:r w:rsidR="00107C58">
        <w:t>opinion</w:t>
      </w:r>
      <w:r w:rsidR="001C5148">
        <w:t>.</w:t>
      </w:r>
      <w:r w:rsidR="00F81376">
        <w:t xml:space="preserve"> </w:t>
      </w:r>
      <w:r w:rsidR="000B51B8">
        <w:t xml:space="preserve">It may therefore be good practice to </w:t>
      </w:r>
      <w:r w:rsidR="00A758DF">
        <w:t>time-limit</w:t>
      </w:r>
      <w:r w:rsidR="00B757B4">
        <w:t xml:space="preserve"> valuer incumbency in line with</w:t>
      </w:r>
      <w:r w:rsidR="006D0B1A">
        <w:t xml:space="preserve"> procurement </w:t>
      </w:r>
      <w:r w:rsidR="00B757B4">
        <w:t xml:space="preserve">best </w:t>
      </w:r>
      <w:r w:rsidR="006D0B1A">
        <w:t>practice.</w:t>
      </w:r>
      <w:r w:rsidR="00B95F28">
        <w:t xml:space="preserve">  </w:t>
      </w:r>
    </w:p>
    <w:p w14:paraId="3001099F" w14:textId="73B05101" w:rsidR="00A05DF0" w:rsidRPr="00A77630" w:rsidRDefault="00EE2977" w:rsidP="00597A7F">
      <w:pPr>
        <w:jc w:val="both"/>
        <w:rPr>
          <w:i/>
          <w:iCs/>
        </w:rPr>
      </w:pPr>
      <w:r w:rsidRPr="00A77630">
        <w:rPr>
          <w:i/>
          <w:iCs/>
        </w:rPr>
        <w:t xml:space="preserve">Balancing </w:t>
      </w:r>
      <w:r w:rsidR="00496613" w:rsidRPr="00A77630">
        <w:rPr>
          <w:i/>
          <w:iCs/>
        </w:rPr>
        <w:t>r</w:t>
      </w:r>
      <w:r w:rsidRPr="00A77630">
        <w:rPr>
          <w:i/>
          <w:iCs/>
        </w:rPr>
        <w:t>isks</w:t>
      </w:r>
    </w:p>
    <w:p w14:paraId="48C38A0B" w14:textId="485F4AC3" w:rsidR="00EE2977" w:rsidRDefault="003E5F35" w:rsidP="00597A7F">
      <w:pPr>
        <w:jc w:val="both"/>
      </w:pPr>
      <w:r>
        <w:t>There is a</w:t>
      </w:r>
      <w:r w:rsidR="00D86EE3">
        <w:t>n</w:t>
      </w:r>
      <w:r>
        <w:t xml:space="preserve"> inter-relationship between the </w:t>
      </w:r>
      <w:r w:rsidR="004A2AA2">
        <w:t xml:space="preserve">income, repair and valuation </w:t>
      </w:r>
      <w:r>
        <w:t>risks</w:t>
      </w:r>
      <w:r w:rsidR="006A36EF">
        <w:t xml:space="preserve">.  </w:t>
      </w:r>
    </w:p>
    <w:p w14:paraId="6D0E096A" w14:textId="5A607076" w:rsidR="00C3616F" w:rsidRDefault="00C3616F" w:rsidP="00597A7F">
      <w:pPr>
        <w:jc w:val="both"/>
      </w:pPr>
      <w:r>
        <w:t>The sinking fund</w:t>
      </w:r>
      <w:r w:rsidR="00A5077B">
        <w:t>, put in place by SBC,</w:t>
      </w:r>
      <w:r>
        <w:t xml:space="preserve"> is </w:t>
      </w:r>
      <w:r w:rsidR="00A5077B">
        <w:t>intended to</w:t>
      </w:r>
      <w:r>
        <w:t xml:space="preserve"> manage</w:t>
      </w:r>
      <w:r w:rsidR="009E07CE">
        <w:t xml:space="preserve"> </w:t>
      </w:r>
      <w:r w:rsidR="00105E53">
        <w:t xml:space="preserve">income </w:t>
      </w:r>
      <w:r w:rsidR="009E07CE">
        <w:t>fluctuations</w:t>
      </w:r>
      <w:r w:rsidR="00BA7BEE">
        <w:t>. B</w:t>
      </w:r>
      <w:r w:rsidR="00B064A5">
        <w:t>ut</w:t>
      </w:r>
      <w:r w:rsidR="001D4699">
        <w:t xml:space="preserve"> as we shall se</w:t>
      </w:r>
      <w:r w:rsidR="00770BAF">
        <w:t>e</w:t>
      </w:r>
      <w:r w:rsidR="00B064A5">
        <w:t xml:space="preserve"> it </w:t>
      </w:r>
      <w:r w:rsidR="00DE4950">
        <w:t>must</w:t>
      </w:r>
      <w:r w:rsidR="00770BAF">
        <w:t xml:space="preserve"> be sufficient to cover both income and repair risks, so that its depletion in addressing one does not </w:t>
      </w:r>
      <w:r w:rsidR="000F086B">
        <w:t xml:space="preserve">eliminate </w:t>
      </w:r>
      <w:r w:rsidR="00C54106">
        <w:t>its</w:t>
      </w:r>
      <w:r w:rsidR="000F086B">
        <w:t xml:space="preserve"> scope to address the other. </w:t>
      </w:r>
      <w:r w:rsidR="00B064A5">
        <w:t xml:space="preserve"> </w:t>
      </w:r>
    </w:p>
    <w:p w14:paraId="394A95E5" w14:textId="5B945C5F" w:rsidR="00505766" w:rsidRPr="003E5F35" w:rsidRDefault="00426B08" w:rsidP="00597A7F">
      <w:pPr>
        <w:jc w:val="both"/>
      </w:pPr>
      <w:r>
        <w:t xml:space="preserve">Valuations may also play an important role in </w:t>
      </w:r>
      <w:r w:rsidR="000F086B">
        <w:t>risk</w:t>
      </w:r>
      <w:r w:rsidR="00C54106">
        <w:t xml:space="preserve"> management</w:t>
      </w:r>
      <w:r w:rsidR="000F086B">
        <w:t xml:space="preserve">. SBC may need to consider </w:t>
      </w:r>
      <w:r w:rsidR="001C06F9">
        <w:t xml:space="preserve">disposal as an option if it cannot </w:t>
      </w:r>
      <w:r w:rsidR="00566199">
        <w:t xml:space="preserve">viably </w:t>
      </w:r>
      <w:r w:rsidR="001C06F9">
        <w:t xml:space="preserve">maintain </w:t>
      </w:r>
      <w:r w:rsidR="00F079CD">
        <w:t>an</w:t>
      </w:r>
      <w:r w:rsidR="001C06F9">
        <w:t xml:space="preserve"> asset</w:t>
      </w:r>
      <w:r w:rsidR="00105E53">
        <w:t xml:space="preserve"> and p</w:t>
      </w:r>
      <w:r w:rsidR="00681869">
        <w:t>urchaser</w:t>
      </w:r>
      <w:r w:rsidR="00D210FF">
        <w:t>s may wish to put land to</w:t>
      </w:r>
      <w:r w:rsidR="006F68DB">
        <w:t xml:space="preserve"> alternative </w:t>
      </w:r>
      <w:r w:rsidR="00D210FF">
        <w:t xml:space="preserve">use. </w:t>
      </w:r>
      <w:r w:rsidR="00105E53">
        <w:t xml:space="preserve">Therefore, </w:t>
      </w:r>
      <w:r w:rsidR="00F079CD">
        <w:t>SBC will need</w:t>
      </w:r>
      <w:r w:rsidR="00D210FF">
        <w:t xml:space="preserve"> a</w:t>
      </w:r>
      <w:r w:rsidR="006F68DB">
        <w:t xml:space="preserve"> wid</w:t>
      </w:r>
      <w:r w:rsidR="00E32988">
        <w:t>e valuation perspective.</w:t>
      </w:r>
    </w:p>
    <w:p w14:paraId="27B91EFF" w14:textId="67B7DE2F" w:rsidR="00CB1DF3" w:rsidRPr="00A77630" w:rsidRDefault="00F079CD" w:rsidP="00597A7F">
      <w:pPr>
        <w:jc w:val="both"/>
        <w:rPr>
          <w:b/>
          <w:bCs/>
          <w:i/>
          <w:iCs/>
          <w:sz w:val="24"/>
          <w:szCs w:val="24"/>
        </w:rPr>
      </w:pPr>
      <w:r w:rsidRPr="00A77630">
        <w:rPr>
          <w:b/>
          <w:bCs/>
          <w:i/>
          <w:iCs/>
          <w:sz w:val="24"/>
          <w:szCs w:val="24"/>
        </w:rPr>
        <w:t>Financial resilience risk</w:t>
      </w:r>
    </w:p>
    <w:p w14:paraId="52C82624" w14:textId="1B43BB0B" w:rsidR="00414352" w:rsidRPr="00A77630" w:rsidRDefault="00F079CD" w:rsidP="00597A7F">
      <w:pPr>
        <w:jc w:val="both"/>
        <w:rPr>
          <w:i/>
          <w:iCs/>
        </w:rPr>
      </w:pPr>
      <w:r w:rsidRPr="00A77630">
        <w:rPr>
          <w:i/>
          <w:iCs/>
        </w:rPr>
        <w:t>C</w:t>
      </w:r>
      <w:r w:rsidR="006E433D" w:rsidRPr="00A77630">
        <w:rPr>
          <w:i/>
          <w:iCs/>
        </w:rPr>
        <w:t>ommercial</w:t>
      </w:r>
      <w:r w:rsidR="00141DD7" w:rsidRPr="00A77630">
        <w:rPr>
          <w:i/>
          <w:iCs/>
        </w:rPr>
        <w:t xml:space="preserve"> income</w:t>
      </w:r>
      <w:r w:rsidRPr="00A77630">
        <w:rPr>
          <w:i/>
          <w:iCs/>
        </w:rPr>
        <w:t xml:space="preserve"> dependency</w:t>
      </w:r>
    </w:p>
    <w:p w14:paraId="096575B0" w14:textId="58A9F19C" w:rsidR="009A2DFC" w:rsidRDefault="006E433D" w:rsidP="00597A7F">
      <w:pPr>
        <w:jc w:val="both"/>
      </w:pPr>
      <w:r>
        <w:t xml:space="preserve">Commercial </w:t>
      </w:r>
      <w:r w:rsidR="00141DD7">
        <w:t>i</w:t>
      </w:r>
      <w:r>
        <w:t xml:space="preserve">ncome represents a substantial </w:t>
      </w:r>
      <w:r w:rsidR="00064600">
        <w:t>revenue</w:t>
      </w:r>
      <w:r>
        <w:t xml:space="preserve"> source for </w:t>
      </w:r>
      <w:r w:rsidR="00C56700">
        <w:t>SBC</w:t>
      </w:r>
      <w:r>
        <w:t xml:space="preserve">. </w:t>
      </w:r>
      <w:r w:rsidR="00064600">
        <w:t>At</w:t>
      </w:r>
      <w:r w:rsidR="00062DA7">
        <w:t xml:space="preserve"> £10.832</w:t>
      </w:r>
      <w:r w:rsidR="005C43FD">
        <w:t xml:space="preserve"> </w:t>
      </w:r>
      <w:r w:rsidR="00062DA7">
        <w:t>m</w:t>
      </w:r>
      <w:r w:rsidR="005C43FD">
        <w:t>illion</w:t>
      </w:r>
      <w:r>
        <w:t xml:space="preserve"> </w:t>
      </w:r>
      <w:r w:rsidR="002579CB">
        <w:t xml:space="preserve">it </w:t>
      </w:r>
      <w:r w:rsidR="00CE5DCE">
        <w:t xml:space="preserve">offsets some 43% of net revenue spend. This exposes </w:t>
      </w:r>
      <w:r w:rsidR="002579CB">
        <w:t>SBC</w:t>
      </w:r>
      <w:r w:rsidR="00CE5DCE">
        <w:t xml:space="preserve"> to significant financial risks </w:t>
      </w:r>
      <w:r w:rsidR="00F11135">
        <w:t xml:space="preserve">should </w:t>
      </w:r>
      <w:r w:rsidR="00652146">
        <w:t xml:space="preserve">anticipated </w:t>
      </w:r>
      <w:r w:rsidR="00F11135">
        <w:t>income fail to emerge</w:t>
      </w:r>
      <w:r w:rsidR="00BA0118">
        <w:t>.</w:t>
      </w:r>
    </w:p>
    <w:p w14:paraId="0E570D04" w14:textId="6EC7C8DF" w:rsidR="002A3341" w:rsidRDefault="00F11135" w:rsidP="00597A7F">
      <w:pPr>
        <w:jc w:val="both"/>
      </w:pPr>
      <w:r>
        <w:t xml:space="preserve">Table 2 </w:t>
      </w:r>
      <w:r w:rsidR="00DE424C">
        <w:t xml:space="preserve">shows </w:t>
      </w:r>
      <w:r w:rsidR="00220233">
        <w:t xml:space="preserve">projected </w:t>
      </w:r>
      <w:r w:rsidR="00710DF0">
        <w:t>c</w:t>
      </w:r>
      <w:r w:rsidR="00220233">
        <w:t xml:space="preserve">ommercial </w:t>
      </w:r>
      <w:r w:rsidR="00710DF0">
        <w:t>i</w:t>
      </w:r>
      <w:r w:rsidR="00220233">
        <w:t xml:space="preserve">ncome net of </w:t>
      </w:r>
      <w:r w:rsidR="00414A70">
        <w:t>l</w:t>
      </w:r>
      <w:r w:rsidR="00220233">
        <w:t xml:space="preserve">andlord </w:t>
      </w:r>
      <w:r w:rsidR="00414A70">
        <w:t>c</w:t>
      </w:r>
      <w:r w:rsidR="00220233">
        <w:t xml:space="preserve">osts as set out in the Asset Management Plan </w:t>
      </w:r>
      <w:r w:rsidR="001B10BD">
        <w:t xml:space="preserve">2020/25, </w:t>
      </w:r>
      <w:r w:rsidR="00220233">
        <w:t>together with projected financing and other charges.</w:t>
      </w:r>
    </w:p>
    <w:p w14:paraId="7C4341D6" w14:textId="2B9546C2" w:rsidR="004168D1" w:rsidRPr="002B6366" w:rsidRDefault="00126135">
      <w:pPr>
        <w:rPr>
          <w:i/>
          <w:iCs/>
        </w:rPr>
      </w:pPr>
      <w:r w:rsidRPr="002B6366">
        <w:rPr>
          <w:i/>
          <w:iCs/>
        </w:rPr>
        <w:t xml:space="preserve">Table 2: </w:t>
      </w:r>
      <w:r w:rsidR="00832276" w:rsidRPr="002B6366">
        <w:rPr>
          <w:i/>
          <w:iCs/>
        </w:rPr>
        <w:t>Commercial Income</w:t>
      </w:r>
    </w:p>
    <w:tbl>
      <w:tblPr>
        <w:tblStyle w:val="LightShading-Accent1"/>
        <w:tblW w:w="3145" w:type="pct"/>
        <w:tblLook w:val="0660" w:firstRow="1" w:lastRow="1" w:firstColumn="0" w:lastColumn="0" w:noHBand="1" w:noVBand="1"/>
      </w:tblPr>
      <w:tblGrid>
        <w:gridCol w:w="3262"/>
        <w:gridCol w:w="1134"/>
        <w:gridCol w:w="1132"/>
      </w:tblGrid>
      <w:tr w:rsidR="007F711F" w:rsidRPr="007F711F" w14:paraId="3ABB6ED6" w14:textId="2531FD3E" w:rsidTr="003F5EEA">
        <w:trPr>
          <w:cnfStyle w:val="100000000000" w:firstRow="1" w:lastRow="0" w:firstColumn="0" w:lastColumn="0" w:oddVBand="0" w:evenVBand="0" w:oddHBand="0" w:evenHBand="0" w:firstRowFirstColumn="0" w:firstRowLastColumn="0" w:lastRowFirstColumn="0" w:lastRowLastColumn="0"/>
        </w:trPr>
        <w:tc>
          <w:tcPr>
            <w:tcW w:w="2950" w:type="pct"/>
            <w:noWrap/>
          </w:tcPr>
          <w:p w14:paraId="3B41AB59" w14:textId="65D57006" w:rsidR="003F5EEA" w:rsidRPr="007F711F" w:rsidRDefault="003F5EEA">
            <w:pPr>
              <w:rPr>
                <w:color w:val="auto"/>
              </w:rPr>
            </w:pPr>
          </w:p>
        </w:tc>
        <w:tc>
          <w:tcPr>
            <w:tcW w:w="1026" w:type="pct"/>
          </w:tcPr>
          <w:p w14:paraId="615751DE" w14:textId="0C194E52" w:rsidR="003F5EEA" w:rsidRPr="007F711F" w:rsidRDefault="003F5EEA" w:rsidP="002A26DF">
            <w:pPr>
              <w:jc w:val="right"/>
              <w:rPr>
                <w:color w:val="auto"/>
              </w:rPr>
            </w:pPr>
            <w:r w:rsidRPr="007F711F">
              <w:rPr>
                <w:color w:val="auto"/>
              </w:rPr>
              <w:t>£m</w:t>
            </w:r>
          </w:p>
        </w:tc>
        <w:tc>
          <w:tcPr>
            <w:tcW w:w="1025" w:type="pct"/>
          </w:tcPr>
          <w:p w14:paraId="09CD0460" w14:textId="77777777" w:rsidR="003F5EEA" w:rsidRPr="007F711F" w:rsidRDefault="003F5EEA" w:rsidP="002A26DF">
            <w:pPr>
              <w:jc w:val="right"/>
              <w:rPr>
                <w:color w:val="auto"/>
              </w:rPr>
            </w:pPr>
          </w:p>
        </w:tc>
      </w:tr>
      <w:tr w:rsidR="007F711F" w:rsidRPr="007F711F" w14:paraId="608342B9" w14:textId="0D808E17" w:rsidTr="003F5EEA">
        <w:tc>
          <w:tcPr>
            <w:tcW w:w="2950" w:type="pct"/>
            <w:noWrap/>
          </w:tcPr>
          <w:p w14:paraId="4397CEC6" w14:textId="77777777" w:rsidR="003F5EEA" w:rsidRPr="007F711F" w:rsidRDefault="003F5EEA">
            <w:pPr>
              <w:rPr>
                <w:color w:val="auto"/>
              </w:rPr>
            </w:pPr>
          </w:p>
        </w:tc>
        <w:tc>
          <w:tcPr>
            <w:tcW w:w="1026" w:type="pct"/>
          </w:tcPr>
          <w:p w14:paraId="31E46343" w14:textId="08663012" w:rsidR="003F5EEA" w:rsidRPr="007F711F" w:rsidRDefault="003F5EEA" w:rsidP="002A26DF">
            <w:pPr>
              <w:jc w:val="right"/>
              <w:rPr>
                <w:rStyle w:val="SubtleEmphasis"/>
                <w:color w:val="auto"/>
              </w:rPr>
            </w:pPr>
          </w:p>
        </w:tc>
        <w:tc>
          <w:tcPr>
            <w:tcW w:w="1025" w:type="pct"/>
          </w:tcPr>
          <w:p w14:paraId="17D7AE59" w14:textId="77777777" w:rsidR="003F5EEA" w:rsidRPr="007F711F" w:rsidRDefault="003F5EEA" w:rsidP="002A26DF">
            <w:pPr>
              <w:jc w:val="right"/>
              <w:rPr>
                <w:rStyle w:val="SubtleEmphasis"/>
                <w:color w:val="auto"/>
              </w:rPr>
            </w:pPr>
          </w:p>
        </w:tc>
      </w:tr>
      <w:tr w:rsidR="007F711F" w:rsidRPr="007F711F" w14:paraId="42E056F9" w14:textId="1179E6B3" w:rsidTr="003F5EEA">
        <w:tc>
          <w:tcPr>
            <w:tcW w:w="2950" w:type="pct"/>
            <w:noWrap/>
          </w:tcPr>
          <w:p w14:paraId="26A39E6E" w14:textId="4CF00ED1" w:rsidR="003F5EEA" w:rsidRPr="007F711F" w:rsidRDefault="003F5EEA">
            <w:pPr>
              <w:rPr>
                <w:color w:val="auto"/>
              </w:rPr>
            </w:pPr>
            <w:r w:rsidRPr="007F711F">
              <w:rPr>
                <w:color w:val="auto"/>
              </w:rPr>
              <w:t xml:space="preserve">Interest </w:t>
            </w:r>
          </w:p>
        </w:tc>
        <w:tc>
          <w:tcPr>
            <w:tcW w:w="1026" w:type="pct"/>
          </w:tcPr>
          <w:p w14:paraId="6E01B906" w14:textId="6F516985" w:rsidR="003F5EEA" w:rsidRPr="007F711F" w:rsidRDefault="003F5EEA" w:rsidP="002A26DF">
            <w:pPr>
              <w:pStyle w:val="DecimalAligned"/>
              <w:jc w:val="right"/>
              <w:rPr>
                <w:color w:val="auto"/>
              </w:rPr>
            </w:pPr>
            <w:r w:rsidRPr="007F711F">
              <w:rPr>
                <w:color w:val="auto"/>
              </w:rPr>
              <w:t>23.028</w:t>
            </w:r>
          </w:p>
        </w:tc>
        <w:tc>
          <w:tcPr>
            <w:tcW w:w="1025" w:type="pct"/>
          </w:tcPr>
          <w:p w14:paraId="0C941A6D" w14:textId="0A056C66" w:rsidR="003F5EEA" w:rsidRPr="007F711F" w:rsidRDefault="00832276" w:rsidP="002A26DF">
            <w:pPr>
              <w:pStyle w:val="DecimalAligned"/>
              <w:jc w:val="right"/>
              <w:rPr>
                <w:color w:val="auto"/>
              </w:rPr>
            </w:pPr>
            <w:r w:rsidRPr="007F711F">
              <w:rPr>
                <w:color w:val="auto"/>
              </w:rPr>
              <w:t>45%</w:t>
            </w:r>
          </w:p>
        </w:tc>
      </w:tr>
      <w:tr w:rsidR="007F711F" w:rsidRPr="007F711F" w14:paraId="268361FD" w14:textId="3BF62A24" w:rsidTr="003F5EEA">
        <w:tc>
          <w:tcPr>
            <w:tcW w:w="2950" w:type="pct"/>
            <w:noWrap/>
          </w:tcPr>
          <w:p w14:paraId="3375654D" w14:textId="0FDEA38A" w:rsidR="003F5EEA" w:rsidRPr="007F711F" w:rsidRDefault="003F5EEA">
            <w:pPr>
              <w:rPr>
                <w:color w:val="auto"/>
              </w:rPr>
            </w:pPr>
            <w:r w:rsidRPr="007F711F">
              <w:rPr>
                <w:color w:val="auto"/>
              </w:rPr>
              <w:t>Repayments</w:t>
            </w:r>
          </w:p>
        </w:tc>
        <w:tc>
          <w:tcPr>
            <w:tcW w:w="1026" w:type="pct"/>
          </w:tcPr>
          <w:p w14:paraId="39BC0274" w14:textId="6EF7332A" w:rsidR="003F5EEA" w:rsidRPr="007F711F" w:rsidRDefault="00BE765C" w:rsidP="002A26DF">
            <w:pPr>
              <w:pStyle w:val="DecimalAligned"/>
              <w:jc w:val="right"/>
              <w:rPr>
                <w:color w:val="auto"/>
              </w:rPr>
            </w:pPr>
            <w:r w:rsidRPr="007F711F">
              <w:rPr>
                <w:color w:val="auto"/>
              </w:rPr>
              <w:t>11.052</w:t>
            </w:r>
          </w:p>
        </w:tc>
        <w:tc>
          <w:tcPr>
            <w:tcW w:w="1025" w:type="pct"/>
          </w:tcPr>
          <w:p w14:paraId="6DBB692A" w14:textId="51A7C9A2" w:rsidR="003F5EEA" w:rsidRPr="007F711F" w:rsidRDefault="00832276" w:rsidP="002A26DF">
            <w:pPr>
              <w:pStyle w:val="DecimalAligned"/>
              <w:jc w:val="right"/>
              <w:rPr>
                <w:color w:val="auto"/>
              </w:rPr>
            </w:pPr>
            <w:r w:rsidRPr="007F711F">
              <w:rPr>
                <w:color w:val="auto"/>
              </w:rPr>
              <w:t>22%</w:t>
            </w:r>
          </w:p>
        </w:tc>
      </w:tr>
      <w:tr w:rsidR="007F711F" w:rsidRPr="007F711F" w14:paraId="0A4B6EC6" w14:textId="27C2E7C9" w:rsidTr="003F5EEA">
        <w:tc>
          <w:tcPr>
            <w:tcW w:w="2950" w:type="pct"/>
            <w:noWrap/>
          </w:tcPr>
          <w:p w14:paraId="1952DF1C" w14:textId="3C5484D2" w:rsidR="003F5EEA" w:rsidRPr="007F711F" w:rsidRDefault="003F5EEA">
            <w:pPr>
              <w:rPr>
                <w:color w:val="auto"/>
              </w:rPr>
            </w:pPr>
            <w:r w:rsidRPr="007F711F">
              <w:rPr>
                <w:color w:val="auto"/>
              </w:rPr>
              <w:t xml:space="preserve">Set Aside (management costs) </w:t>
            </w:r>
          </w:p>
        </w:tc>
        <w:tc>
          <w:tcPr>
            <w:tcW w:w="1026" w:type="pct"/>
          </w:tcPr>
          <w:p w14:paraId="1B45F17E" w14:textId="3BC68D7C" w:rsidR="003F5EEA" w:rsidRPr="007F711F" w:rsidRDefault="00BE765C" w:rsidP="002A26DF">
            <w:pPr>
              <w:pStyle w:val="DecimalAligned"/>
              <w:jc w:val="right"/>
              <w:rPr>
                <w:color w:val="auto"/>
              </w:rPr>
            </w:pPr>
            <w:r w:rsidRPr="007F711F">
              <w:rPr>
                <w:color w:val="auto"/>
              </w:rPr>
              <w:t>0.536</w:t>
            </w:r>
          </w:p>
        </w:tc>
        <w:tc>
          <w:tcPr>
            <w:tcW w:w="1025" w:type="pct"/>
          </w:tcPr>
          <w:p w14:paraId="7B42D578" w14:textId="44AE6206" w:rsidR="003F5EEA" w:rsidRPr="007F711F" w:rsidRDefault="00832276" w:rsidP="002A26DF">
            <w:pPr>
              <w:pStyle w:val="DecimalAligned"/>
              <w:jc w:val="right"/>
              <w:rPr>
                <w:color w:val="auto"/>
              </w:rPr>
            </w:pPr>
            <w:r w:rsidRPr="007F711F">
              <w:rPr>
                <w:color w:val="auto"/>
              </w:rPr>
              <w:t>1%</w:t>
            </w:r>
          </w:p>
        </w:tc>
      </w:tr>
      <w:tr w:rsidR="007F711F" w:rsidRPr="007F711F" w14:paraId="6BF1112C" w14:textId="259D27B6" w:rsidTr="003F5EEA">
        <w:tc>
          <w:tcPr>
            <w:tcW w:w="2950" w:type="pct"/>
            <w:noWrap/>
          </w:tcPr>
          <w:p w14:paraId="0AE54DC5" w14:textId="2CFB4F6E" w:rsidR="003F5EEA" w:rsidRPr="007F711F" w:rsidRDefault="003F5EEA">
            <w:pPr>
              <w:rPr>
                <w:color w:val="auto"/>
              </w:rPr>
            </w:pPr>
            <w:r w:rsidRPr="007F711F">
              <w:rPr>
                <w:color w:val="auto"/>
              </w:rPr>
              <w:t>Contribution to Sinking Fund</w:t>
            </w:r>
          </w:p>
        </w:tc>
        <w:tc>
          <w:tcPr>
            <w:tcW w:w="1026" w:type="pct"/>
          </w:tcPr>
          <w:p w14:paraId="19E52CA4" w14:textId="182D7457" w:rsidR="003F5EEA" w:rsidRPr="007F711F" w:rsidRDefault="00BE765C" w:rsidP="002A26DF">
            <w:pPr>
              <w:pStyle w:val="DecimalAligned"/>
              <w:jc w:val="right"/>
              <w:rPr>
                <w:color w:val="auto"/>
              </w:rPr>
            </w:pPr>
            <w:r w:rsidRPr="007F711F">
              <w:rPr>
                <w:color w:val="auto"/>
              </w:rPr>
              <w:t>6.405</w:t>
            </w:r>
          </w:p>
        </w:tc>
        <w:tc>
          <w:tcPr>
            <w:tcW w:w="1025" w:type="pct"/>
          </w:tcPr>
          <w:p w14:paraId="1909263E" w14:textId="5587B84F" w:rsidR="003F5EEA" w:rsidRPr="007F711F" w:rsidRDefault="00D3686F" w:rsidP="002A26DF">
            <w:pPr>
              <w:pStyle w:val="DecimalAligned"/>
              <w:jc w:val="right"/>
              <w:rPr>
                <w:color w:val="auto"/>
              </w:rPr>
            </w:pPr>
            <w:r w:rsidRPr="007F711F">
              <w:rPr>
                <w:color w:val="auto"/>
              </w:rPr>
              <w:t>13%</w:t>
            </w:r>
          </w:p>
        </w:tc>
      </w:tr>
      <w:tr w:rsidR="007F711F" w:rsidRPr="007F711F" w14:paraId="2D0A7F9A" w14:textId="09C89709" w:rsidTr="003F5EEA">
        <w:tc>
          <w:tcPr>
            <w:tcW w:w="2950" w:type="pct"/>
            <w:noWrap/>
          </w:tcPr>
          <w:p w14:paraId="1A2CB66E" w14:textId="6AF89141" w:rsidR="003F5EEA" w:rsidRPr="007F711F" w:rsidRDefault="003F5EEA">
            <w:pPr>
              <w:rPr>
                <w:color w:val="auto"/>
              </w:rPr>
            </w:pPr>
            <w:r w:rsidRPr="007F711F">
              <w:rPr>
                <w:color w:val="auto"/>
              </w:rPr>
              <w:t>Contribution to Council Budget</w:t>
            </w:r>
          </w:p>
        </w:tc>
        <w:tc>
          <w:tcPr>
            <w:tcW w:w="1026" w:type="pct"/>
          </w:tcPr>
          <w:p w14:paraId="405F4DBD" w14:textId="07336860" w:rsidR="003F5EEA" w:rsidRPr="007F711F" w:rsidRDefault="00BE765C" w:rsidP="002A26DF">
            <w:pPr>
              <w:pStyle w:val="DecimalAligned"/>
              <w:jc w:val="right"/>
              <w:rPr>
                <w:color w:val="auto"/>
              </w:rPr>
            </w:pPr>
            <w:r w:rsidRPr="007F711F">
              <w:rPr>
                <w:color w:val="auto"/>
              </w:rPr>
              <w:t>10.144</w:t>
            </w:r>
          </w:p>
        </w:tc>
        <w:tc>
          <w:tcPr>
            <w:tcW w:w="1025" w:type="pct"/>
          </w:tcPr>
          <w:p w14:paraId="6F56D90F" w14:textId="6172A457" w:rsidR="003F5EEA" w:rsidRPr="007F711F" w:rsidRDefault="00D3686F" w:rsidP="002A26DF">
            <w:pPr>
              <w:pStyle w:val="DecimalAligned"/>
              <w:jc w:val="right"/>
              <w:rPr>
                <w:color w:val="auto"/>
              </w:rPr>
            </w:pPr>
            <w:r w:rsidRPr="007F711F">
              <w:rPr>
                <w:color w:val="auto"/>
              </w:rPr>
              <w:t>20%</w:t>
            </w:r>
          </w:p>
        </w:tc>
      </w:tr>
      <w:tr w:rsidR="007F711F" w:rsidRPr="007F711F" w14:paraId="1319391F" w14:textId="4BA0AAD8" w:rsidTr="003F5EEA">
        <w:trPr>
          <w:cnfStyle w:val="010000000000" w:firstRow="0" w:lastRow="1" w:firstColumn="0" w:lastColumn="0" w:oddVBand="0" w:evenVBand="0" w:oddHBand="0" w:evenHBand="0" w:firstRowFirstColumn="0" w:firstRowLastColumn="0" w:lastRowFirstColumn="0" w:lastRowLastColumn="0"/>
        </w:trPr>
        <w:tc>
          <w:tcPr>
            <w:tcW w:w="2950" w:type="pct"/>
            <w:noWrap/>
          </w:tcPr>
          <w:p w14:paraId="4C1C9167" w14:textId="77777777" w:rsidR="003F5EEA" w:rsidRPr="007F711F" w:rsidRDefault="003F5EEA">
            <w:pPr>
              <w:rPr>
                <w:color w:val="auto"/>
              </w:rPr>
            </w:pPr>
            <w:r w:rsidRPr="007F711F">
              <w:rPr>
                <w:color w:val="auto"/>
              </w:rPr>
              <w:t>Total</w:t>
            </w:r>
          </w:p>
        </w:tc>
        <w:tc>
          <w:tcPr>
            <w:tcW w:w="1026" w:type="pct"/>
          </w:tcPr>
          <w:p w14:paraId="7F02EFBC" w14:textId="51477B6F" w:rsidR="003F5EEA" w:rsidRPr="007F711F" w:rsidRDefault="00832276" w:rsidP="002A26DF">
            <w:pPr>
              <w:pStyle w:val="DecimalAligned"/>
              <w:jc w:val="right"/>
              <w:rPr>
                <w:color w:val="auto"/>
              </w:rPr>
            </w:pPr>
            <w:r w:rsidRPr="007F711F">
              <w:rPr>
                <w:color w:val="auto"/>
              </w:rPr>
              <w:t>51.165</w:t>
            </w:r>
          </w:p>
        </w:tc>
        <w:tc>
          <w:tcPr>
            <w:tcW w:w="1025" w:type="pct"/>
          </w:tcPr>
          <w:p w14:paraId="6DC6F642" w14:textId="77777777" w:rsidR="003F5EEA" w:rsidRPr="007F711F" w:rsidRDefault="003F5EEA" w:rsidP="002A26DF">
            <w:pPr>
              <w:pStyle w:val="DecimalAligned"/>
              <w:jc w:val="right"/>
              <w:rPr>
                <w:color w:val="auto"/>
              </w:rPr>
            </w:pPr>
          </w:p>
        </w:tc>
      </w:tr>
    </w:tbl>
    <w:p w14:paraId="49B1215E" w14:textId="361AD9C5" w:rsidR="004168D1" w:rsidRPr="007F711F" w:rsidRDefault="004168D1">
      <w:pPr>
        <w:pStyle w:val="FootnoteText"/>
        <w:rPr>
          <w:i/>
          <w:iCs/>
          <w:sz w:val="18"/>
          <w:szCs w:val="18"/>
        </w:rPr>
      </w:pPr>
      <w:r w:rsidRPr="007F711F">
        <w:rPr>
          <w:rStyle w:val="SubtleEmphasis"/>
          <w:i w:val="0"/>
          <w:iCs w:val="0"/>
          <w:color w:val="auto"/>
          <w:sz w:val="18"/>
          <w:szCs w:val="18"/>
        </w:rPr>
        <w:t>Source:</w:t>
      </w:r>
      <w:r w:rsidRPr="007F711F">
        <w:rPr>
          <w:i/>
          <w:iCs/>
          <w:sz w:val="18"/>
          <w:szCs w:val="18"/>
        </w:rPr>
        <w:t xml:space="preserve"> </w:t>
      </w:r>
      <w:r w:rsidR="00832276" w:rsidRPr="007F711F">
        <w:rPr>
          <w:i/>
          <w:iCs/>
          <w:sz w:val="18"/>
          <w:szCs w:val="18"/>
        </w:rPr>
        <w:t>Asset Management Plan 2020</w:t>
      </w:r>
      <w:r w:rsidR="00EA3DAE" w:rsidRPr="007F711F">
        <w:rPr>
          <w:i/>
          <w:iCs/>
          <w:sz w:val="18"/>
          <w:szCs w:val="18"/>
        </w:rPr>
        <w:t>/25</w:t>
      </w:r>
    </w:p>
    <w:p w14:paraId="22C946ED" w14:textId="77777777" w:rsidR="002A3341" w:rsidRDefault="002A3341" w:rsidP="00B67E99"/>
    <w:p w14:paraId="07C589E4" w14:textId="51C5A6B4" w:rsidR="00220233" w:rsidRDefault="00D32D51" w:rsidP="00597A7F">
      <w:pPr>
        <w:jc w:val="both"/>
      </w:pPr>
      <w:r>
        <w:t>A</w:t>
      </w:r>
      <w:r w:rsidR="00D1469C">
        <w:t xml:space="preserve"> 20% fall in </w:t>
      </w:r>
      <w:r>
        <w:t>c</w:t>
      </w:r>
      <w:r w:rsidR="00D1469C">
        <w:t xml:space="preserve">ommercial </w:t>
      </w:r>
      <w:r>
        <w:t>i</w:t>
      </w:r>
      <w:r w:rsidR="00D1469C">
        <w:t xml:space="preserve">ncome would </w:t>
      </w:r>
      <w:r w:rsidR="008F2B7A">
        <w:t xml:space="preserve">mean the </w:t>
      </w:r>
      <w:r>
        <w:t>c</w:t>
      </w:r>
      <w:r w:rsidR="008F2B7A">
        <w:t xml:space="preserve">ommercial </w:t>
      </w:r>
      <w:r>
        <w:t>p</w:t>
      </w:r>
      <w:r w:rsidR="008F2B7A">
        <w:t xml:space="preserve">ortfolio </w:t>
      </w:r>
      <w:r>
        <w:t>would</w:t>
      </w:r>
      <w:r w:rsidR="008F2B7A">
        <w:t xml:space="preserve"> </w:t>
      </w:r>
      <w:r w:rsidR="009C213B">
        <w:t>contribute nothing</w:t>
      </w:r>
      <w:r w:rsidR="008F2B7A">
        <w:t xml:space="preserve"> to </w:t>
      </w:r>
      <w:r w:rsidR="009C213B">
        <w:t>revenue</w:t>
      </w:r>
      <w:r w:rsidR="008F2B7A">
        <w:t xml:space="preserve"> budgets</w:t>
      </w:r>
      <w:r w:rsidR="00452F4F">
        <w:t xml:space="preserve"> unless </w:t>
      </w:r>
      <w:r w:rsidR="0005665B">
        <w:t xml:space="preserve">the sinking fund </w:t>
      </w:r>
      <w:r w:rsidR="009C213B">
        <w:t xml:space="preserve">contribution </w:t>
      </w:r>
      <w:r w:rsidR="0005665B">
        <w:t xml:space="preserve">was </w:t>
      </w:r>
      <w:r w:rsidR="00452F4F">
        <w:t xml:space="preserve">scaled back.  Indeed a prolonged reduction of </w:t>
      </w:r>
      <w:r w:rsidR="00DB6C70">
        <w:t xml:space="preserve">10% in </w:t>
      </w:r>
      <w:r w:rsidR="003244AB">
        <w:t>c</w:t>
      </w:r>
      <w:r w:rsidR="00DB6C70">
        <w:t>ommercial income could result in a</w:t>
      </w:r>
      <w:r w:rsidR="00F952D4">
        <w:t>n ongoing loss of some £5</w:t>
      </w:r>
      <w:r w:rsidR="00F871C4">
        <w:t xml:space="preserve"> </w:t>
      </w:r>
      <w:r w:rsidR="00F952D4">
        <w:t>m</w:t>
      </w:r>
      <w:r w:rsidR="00F871C4">
        <w:t>illion</w:t>
      </w:r>
      <w:r w:rsidR="00F952D4">
        <w:t xml:space="preserve"> income </w:t>
      </w:r>
      <w:r w:rsidR="00467EDC">
        <w:t xml:space="preserve">for </w:t>
      </w:r>
      <w:r w:rsidR="00F952D4">
        <w:t>the revenue budget.</w:t>
      </w:r>
      <w:r w:rsidR="00AA0BAB">
        <w:t xml:space="preserve"> </w:t>
      </w:r>
      <w:r w:rsidR="00467EDC">
        <w:t>A</w:t>
      </w:r>
      <w:r w:rsidR="001B7391">
        <w:t xml:space="preserve"> </w:t>
      </w:r>
      <w:r w:rsidR="002038ED">
        <w:t xml:space="preserve">prolonged </w:t>
      </w:r>
      <w:r w:rsidR="001B7391">
        <w:t xml:space="preserve">drop in </w:t>
      </w:r>
      <w:r w:rsidR="007C223C">
        <w:t>income</w:t>
      </w:r>
      <w:r w:rsidR="001B7391">
        <w:t xml:space="preserve"> of </w:t>
      </w:r>
      <w:r w:rsidR="002038ED">
        <w:t xml:space="preserve">over 33% would mean </w:t>
      </w:r>
      <w:r w:rsidR="0080663B">
        <w:t>SBC</w:t>
      </w:r>
      <w:r w:rsidR="002038ED">
        <w:t xml:space="preserve"> would </w:t>
      </w:r>
      <w:r w:rsidR="0080663B">
        <w:t xml:space="preserve">also </w:t>
      </w:r>
      <w:r w:rsidR="00617A8C">
        <w:t>have to</w:t>
      </w:r>
      <w:r w:rsidR="00AA0BAB">
        <w:t xml:space="preserve"> contribute to debt costs from revenue budget</w:t>
      </w:r>
      <w:r w:rsidR="00617A8C">
        <w:t>s</w:t>
      </w:r>
      <w:r w:rsidR="00AA0BAB">
        <w:t>.</w:t>
      </w:r>
    </w:p>
    <w:p w14:paraId="46A5E211" w14:textId="2E1381D9" w:rsidR="00221766" w:rsidRDefault="0080663B" w:rsidP="00597A7F">
      <w:pPr>
        <w:jc w:val="both"/>
      </w:pPr>
      <w:r>
        <w:t>SBC’s</w:t>
      </w:r>
      <w:r w:rsidR="00353F95">
        <w:t xml:space="preserve"> </w:t>
      </w:r>
      <w:r w:rsidR="00007343">
        <w:t xml:space="preserve">net revenue budget for 2023/24 </w:t>
      </w:r>
      <w:r w:rsidR="00454CE9">
        <w:t>is £25.170</w:t>
      </w:r>
      <w:r w:rsidR="00F871C4">
        <w:t xml:space="preserve"> </w:t>
      </w:r>
      <w:r w:rsidR="00454CE9">
        <w:t>m</w:t>
      </w:r>
      <w:r w:rsidR="00F871C4">
        <w:t>illion</w:t>
      </w:r>
      <w:r w:rsidR="00454CE9">
        <w:t xml:space="preserve">, </w:t>
      </w:r>
      <w:r w:rsidR="00007343">
        <w:t xml:space="preserve">before taking into account </w:t>
      </w:r>
      <w:r w:rsidR="008E555F">
        <w:t>c</w:t>
      </w:r>
      <w:r w:rsidR="00F9701B">
        <w:t xml:space="preserve">ommercial </w:t>
      </w:r>
      <w:r w:rsidR="008E555F">
        <w:t>i</w:t>
      </w:r>
      <w:r w:rsidR="00F9701B">
        <w:t xml:space="preserve">ncome.  </w:t>
      </w:r>
      <w:r w:rsidR="00CD1BAB">
        <w:t>E</w:t>
      </w:r>
      <w:r w:rsidR="00F9701B">
        <w:t xml:space="preserve">very </w:t>
      </w:r>
      <w:r w:rsidR="009A60BF">
        <w:t xml:space="preserve">1% drop in </w:t>
      </w:r>
      <w:r w:rsidR="008E555F">
        <w:t>n</w:t>
      </w:r>
      <w:r w:rsidR="009A60BF">
        <w:t xml:space="preserve">et </w:t>
      </w:r>
      <w:r w:rsidR="008E555F">
        <w:t>c</w:t>
      </w:r>
      <w:r w:rsidR="009A60BF">
        <w:t xml:space="preserve">ommercial </w:t>
      </w:r>
      <w:r w:rsidR="008E555F">
        <w:t>i</w:t>
      </w:r>
      <w:r w:rsidR="009A60BF">
        <w:t xml:space="preserve">ncome (£500,000) </w:t>
      </w:r>
      <w:r w:rsidR="002849F9">
        <w:t xml:space="preserve">that is not mitigated by the sinking fund is equivalent to a </w:t>
      </w:r>
      <w:r w:rsidR="00BA1387">
        <w:t xml:space="preserve">2% </w:t>
      </w:r>
      <w:r w:rsidR="00C97F33">
        <w:t xml:space="preserve">net </w:t>
      </w:r>
      <w:r w:rsidR="00BA1387">
        <w:t>budget reduction.</w:t>
      </w:r>
      <w:r w:rsidR="000F7377">
        <w:t xml:space="preserve"> </w:t>
      </w:r>
    </w:p>
    <w:p w14:paraId="08C522D7" w14:textId="36150243" w:rsidR="008B59E7" w:rsidRDefault="00323269" w:rsidP="00597A7F">
      <w:pPr>
        <w:jc w:val="both"/>
      </w:pPr>
      <w:r>
        <w:t xml:space="preserve">The </w:t>
      </w:r>
      <w:r w:rsidR="00C7721E">
        <w:t>c</w:t>
      </w:r>
      <w:r>
        <w:t xml:space="preserve">ouncil does not allocate </w:t>
      </w:r>
      <w:r w:rsidR="00B61B5D">
        <w:t>c</w:t>
      </w:r>
      <w:r>
        <w:t xml:space="preserve">ommercial </w:t>
      </w:r>
      <w:r w:rsidR="00B61B5D">
        <w:t>i</w:t>
      </w:r>
      <w:r>
        <w:t>ncome to specific services</w:t>
      </w:r>
      <w:r w:rsidR="00BA1852">
        <w:t xml:space="preserve">, treating it rather as a </w:t>
      </w:r>
      <w:r w:rsidR="00602BA3">
        <w:t>‘</w:t>
      </w:r>
      <w:r>
        <w:t>below the line</w:t>
      </w:r>
      <w:r w:rsidR="00602BA3">
        <w:t>’</w:t>
      </w:r>
      <w:r>
        <w:t xml:space="preserve"> adjustment that effectively reduce</w:t>
      </w:r>
      <w:r w:rsidR="00EA5B30">
        <w:t>s</w:t>
      </w:r>
      <w:r>
        <w:t xml:space="preserve"> net </w:t>
      </w:r>
      <w:r w:rsidR="00EA5B30">
        <w:t xml:space="preserve">service </w:t>
      </w:r>
      <w:r>
        <w:t>cost</w:t>
      </w:r>
      <w:r w:rsidR="00EA5B30">
        <w:t>s</w:t>
      </w:r>
      <w:r>
        <w:t xml:space="preserve">. </w:t>
      </w:r>
      <w:r w:rsidR="002125B5">
        <w:t>SBC’s</w:t>
      </w:r>
      <w:r w:rsidR="005D1326">
        <w:t xml:space="preserve"> Asset Management Plan </w:t>
      </w:r>
      <w:r w:rsidR="00365152">
        <w:t xml:space="preserve">states that </w:t>
      </w:r>
      <w:r w:rsidR="0030758D">
        <w:t>c</w:t>
      </w:r>
      <w:r w:rsidR="00365152">
        <w:t xml:space="preserve">ommercial </w:t>
      </w:r>
      <w:r w:rsidR="0030758D">
        <w:t>i</w:t>
      </w:r>
      <w:r w:rsidR="00365152">
        <w:t xml:space="preserve">ncome </w:t>
      </w:r>
      <w:r w:rsidR="0030758D">
        <w:t>co</w:t>
      </w:r>
      <w:r w:rsidR="009974FF">
        <w:t>ntributes to</w:t>
      </w:r>
      <w:r w:rsidR="00365152">
        <w:t xml:space="preserve"> discretionary services</w:t>
      </w:r>
      <w:r w:rsidR="00430858">
        <w:t>.</w:t>
      </w:r>
    </w:p>
    <w:p w14:paraId="333B947B" w14:textId="56385BEE" w:rsidR="007C330D" w:rsidRDefault="008B59E7" w:rsidP="00597A7F">
      <w:pPr>
        <w:jc w:val="both"/>
        <w:rPr>
          <w:i/>
          <w:iCs/>
        </w:rPr>
      </w:pPr>
      <w:r w:rsidRPr="00E70D57">
        <w:rPr>
          <w:i/>
          <w:iCs/>
        </w:rPr>
        <w:t>Annually these contribute approximately £10</w:t>
      </w:r>
      <w:r w:rsidR="00F871C4">
        <w:rPr>
          <w:i/>
          <w:iCs/>
        </w:rPr>
        <w:t xml:space="preserve"> </w:t>
      </w:r>
      <w:r w:rsidRPr="00E70D57">
        <w:rPr>
          <w:i/>
          <w:iCs/>
        </w:rPr>
        <w:t>m</w:t>
      </w:r>
      <w:r w:rsidR="00F871C4">
        <w:rPr>
          <w:i/>
          <w:iCs/>
        </w:rPr>
        <w:t>illion</w:t>
      </w:r>
      <w:r w:rsidRPr="00E70D57">
        <w:rPr>
          <w:i/>
          <w:iCs/>
        </w:rPr>
        <w:t xml:space="preserve"> net to the </w:t>
      </w:r>
      <w:r w:rsidR="00602BA3">
        <w:rPr>
          <w:i/>
          <w:iCs/>
        </w:rPr>
        <w:t>c</w:t>
      </w:r>
      <w:r w:rsidRPr="00E70D57">
        <w:rPr>
          <w:i/>
          <w:iCs/>
        </w:rPr>
        <w:t xml:space="preserve">ouncil’s revenue budget, enabling the </w:t>
      </w:r>
      <w:r w:rsidR="00602BA3">
        <w:rPr>
          <w:i/>
          <w:iCs/>
        </w:rPr>
        <w:t>c</w:t>
      </w:r>
      <w:r w:rsidRPr="00E70D57">
        <w:rPr>
          <w:i/>
          <w:iCs/>
        </w:rPr>
        <w:t>ouncil to continue to deliver services that would otherwise have to be cut, including for example such valued services as Meals on Wheels or community centres</w:t>
      </w:r>
      <w:r w:rsidR="007C330D">
        <w:rPr>
          <w:i/>
          <w:iCs/>
        </w:rPr>
        <w:t>.</w:t>
      </w:r>
      <w:r w:rsidR="005D1326">
        <w:rPr>
          <w:i/>
          <w:iCs/>
        </w:rPr>
        <w:t xml:space="preserve"> </w:t>
      </w:r>
    </w:p>
    <w:p w14:paraId="79F8B172" w14:textId="38F1E71A" w:rsidR="001D3073" w:rsidRDefault="005D1326" w:rsidP="00597A7F">
      <w:pPr>
        <w:jc w:val="both"/>
      </w:pPr>
      <w:r w:rsidRPr="003B5D1F">
        <w:rPr>
          <w:i/>
          <w:iCs/>
          <w:sz w:val="18"/>
          <w:szCs w:val="18"/>
        </w:rPr>
        <w:t>(Asset Management Plan 2020</w:t>
      </w:r>
      <w:r w:rsidR="00041659" w:rsidRPr="003B5D1F">
        <w:rPr>
          <w:i/>
          <w:iCs/>
          <w:sz w:val="18"/>
          <w:szCs w:val="18"/>
        </w:rPr>
        <w:t>/25</w:t>
      </w:r>
      <w:r w:rsidRPr="003B5D1F">
        <w:rPr>
          <w:i/>
          <w:iCs/>
          <w:sz w:val="18"/>
          <w:szCs w:val="18"/>
        </w:rPr>
        <w:t>)</w:t>
      </w:r>
      <w:r w:rsidR="001D6D14" w:rsidRPr="003B5D1F">
        <w:rPr>
          <w:i/>
          <w:iCs/>
          <w:sz w:val="18"/>
          <w:szCs w:val="18"/>
        </w:rPr>
        <w:t>.</w:t>
      </w:r>
    </w:p>
    <w:p w14:paraId="564345A2" w14:textId="0551FEF6" w:rsidR="001D3073" w:rsidRDefault="001D3073" w:rsidP="00597A7F">
      <w:pPr>
        <w:jc w:val="both"/>
      </w:pPr>
      <w:r>
        <w:t xml:space="preserve">The Capital Strategy </w:t>
      </w:r>
      <w:r w:rsidR="00A05521">
        <w:t xml:space="preserve">sets out the purpose of the investment portfolio as follows: </w:t>
      </w:r>
    </w:p>
    <w:p w14:paraId="7B6070BA" w14:textId="32B23178" w:rsidR="001D3073" w:rsidRPr="00A05521" w:rsidRDefault="00A05521" w:rsidP="00597A7F">
      <w:pPr>
        <w:jc w:val="both"/>
        <w:rPr>
          <w:i/>
          <w:iCs/>
        </w:rPr>
      </w:pPr>
      <w:r w:rsidRPr="00A05521">
        <w:rPr>
          <w:i/>
          <w:iCs/>
        </w:rPr>
        <w:t>I</w:t>
      </w:r>
      <w:r w:rsidR="001D3073" w:rsidRPr="00A05521">
        <w:rPr>
          <w:i/>
          <w:iCs/>
        </w:rPr>
        <w:t xml:space="preserve">n 2016, the </w:t>
      </w:r>
      <w:r w:rsidR="00602BA3">
        <w:rPr>
          <w:i/>
          <w:iCs/>
        </w:rPr>
        <w:t>c</w:t>
      </w:r>
      <w:r w:rsidR="001D3073" w:rsidRPr="00A05521">
        <w:rPr>
          <w:i/>
          <w:iCs/>
        </w:rPr>
        <w:t>ouncil embarked on an ambitious capital programme with a plan to invest over £1</w:t>
      </w:r>
      <w:r w:rsidR="00F871C4">
        <w:rPr>
          <w:i/>
          <w:iCs/>
        </w:rPr>
        <w:t xml:space="preserve"> </w:t>
      </w:r>
      <w:r w:rsidR="001D3073" w:rsidRPr="00A05521">
        <w:rPr>
          <w:i/>
          <w:iCs/>
        </w:rPr>
        <w:t>b</w:t>
      </w:r>
      <w:r w:rsidR="00F871C4">
        <w:rPr>
          <w:i/>
          <w:iCs/>
        </w:rPr>
        <w:t>illio</w:t>
      </w:r>
      <w:r w:rsidR="001D3073" w:rsidRPr="00A05521">
        <w:rPr>
          <w:i/>
          <w:iCs/>
        </w:rPr>
        <w:t xml:space="preserve">n in investment properties, to generate sufficient funds to: (a) Support </w:t>
      </w:r>
      <w:r w:rsidR="00602BA3">
        <w:rPr>
          <w:i/>
          <w:iCs/>
        </w:rPr>
        <w:t>c</w:t>
      </w:r>
      <w:r w:rsidR="001D3073" w:rsidRPr="00A05521">
        <w:rPr>
          <w:i/>
          <w:iCs/>
        </w:rPr>
        <w:t xml:space="preserve">ouncil services (b) Support the regeneration and transformation of the </w:t>
      </w:r>
      <w:r w:rsidR="00602BA3">
        <w:rPr>
          <w:i/>
          <w:iCs/>
        </w:rPr>
        <w:t>b</w:t>
      </w:r>
      <w:r w:rsidR="001D3073" w:rsidRPr="00A05521">
        <w:rPr>
          <w:i/>
          <w:iCs/>
        </w:rPr>
        <w:t xml:space="preserve">orough (c) Deliver much needed affordable housing for our younger residents and families in the </w:t>
      </w:r>
      <w:r w:rsidR="00602BA3">
        <w:rPr>
          <w:i/>
          <w:iCs/>
        </w:rPr>
        <w:t>b</w:t>
      </w:r>
      <w:r w:rsidR="001D3073" w:rsidRPr="00A05521">
        <w:rPr>
          <w:i/>
          <w:iCs/>
        </w:rPr>
        <w:t>orough.</w:t>
      </w:r>
    </w:p>
    <w:p w14:paraId="68005B51" w14:textId="4A3D19FB" w:rsidR="00211F28" w:rsidRDefault="00211F28" w:rsidP="00597A7F">
      <w:pPr>
        <w:jc w:val="both"/>
      </w:pPr>
      <w:r>
        <w:t>The sinking fund</w:t>
      </w:r>
      <w:r w:rsidR="00EF556A">
        <w:t xml:space="preserve"> is</w:t>
      </w:r>
      <w:r w:rsidR="000568D9">
        <w:t xml:space="preserve"> i</w:t>
      </w:r>
      <w:r w:rsidR="008A4A13">
        <w:t xml:space="preserve">n part intended to </w:t>
      </w:r>
      <w:r w:rsidR="00F32329">
        <w:t xml:space="preserve">offset </w:t>
      </w:r>
      <w:r w:rsidR="008A4A13">
        <w:t xml:space="preserve">sudden reductions in </w:t>
      </w:r>
      <w:r w:rsidR="00EF556A">
        <w:t>c</w:t>
      </w:r>
      <w:r w:rsidR="008A4A13">
        <w:t>ommercial income.</w:t>
      </w:r>
      <w:r w:rsidR="005D3C46">
        <w:t xml:space="preserve"> </w:t>
      </w:r>
      <w:r>
        <w:t xml:space="preserve">The </w:t>
      </w:r>
      <w:r w:rsidR="006F0889">
        <w:t>c</w:t>
      </w:r>
      <w:r>
        <w:t>ouncil has contributed to th</w:t>
      </w:r>
      <w:r w:rsidR="00886375">
        <w:t>e</w:t>
      </w:r>
      <w:r>
        <w:t xml:space="preserve"> fund since it purchased investment properties</w:t>
      </w:r>
      <w:r w:rsidR="00B14135">
        <w:t>.</w:t>
      </w:r>
      <w:r>
        <w:t xml:space="preserve"> </w:t>
      </w:r>
      <w:r w:rsidR="00B14135">
        <w:t>It</w:t>
      </w:r>
      <w:r w:rsidR="006A1CCE">
        <w:t xml:space="preserve"> </w:t>
      </w:r>
      <w:r>
        <w:t>now stands at £</w:t>
      </w:r>
      <w:r w:rsidR="006A1CCE">
        <w:t>3</w:t>
      </w:r>
      <w:r w:rsidR="009974FF">
        <w:t>3.8</w:t>
      </w:r>
      <w:r w:rsidR="00815F16">
        <w:t xml:space="preserve"> </w:t>
      </w:r>
      <w:r w:rsidR="006A1CCE">
        <w:t>m</w:t>
      </w:r>
      <w:r w:rsidR="00815F16">
        <w:t>illion</w:t>
      </w:r>
      <w:r w:rsidR="006A1CCE">
        <w:t xml:space="preserve"> </w:t>
      </w:r>
      <w:r w:rsidR="00B14135">
        <w:t xml:space="preserve">for investment properties </w:t>
      </w:r>
      <w:r w:rsidR="006A1CCE">
        <w:t>with a further £5</w:t>
      </w:r>
      <w:r w:rsidR="00815F16">
        <w:t xml:space="preserve"> </w:t>
      </w:r>
      <w:r w:rsidR="006A1CCE">
        <w:t>m</w:t>
      </w:r>
      <w:r w:rsidR="00815F16">
        <w:t>illion</w:t>
      </w:r>
      <w:r w:rsidR="006A1CCE">
        <w:t xml:space="preserve"> set aside for regeneration properties</w:t>
      </w:r>
      <w:r>
        <w:t xml:space="preserve">. </w:t>
      </w:r>
      <w:r w:rsidR="007B6A05">
        <w:t>SBC</w:t>
      </w:r>
      <w:r>
        <w:t xml:space="preserve"> </w:t>
      </w:r>
      <w:r w:rsidR="006C7894">
        <w:t>plans</w:t>
      </w:r>
      <w:r>
        <w:t xml:space="preserve"> to </w:t>
      </w:r>
      <w:r w:rsidR="006C7894">
        <w:t>withdraw £10</w:t>
      </w:r>
      <w:r w:rsidR="00815F16">
        <w:t xml:space="preserve"> </w:t>
      </w:r>
      <w:r w:rsidR="006C7894">
        <w:t>m</w:t>
      </w:r>
      <w:r w:rsidR="00815F16">
        <w:t>illion</w:t>
      </w:r>
      <w:r>
        <w:t xml:space="preserve"> from th</w:t>
      </w:r>
      <w:r w:rsidR="00886375">
        <w:t>e</w:t>
      </w:r>
      <w:r>
        <w:t xml:space="preserve"> fund over the next 2 years to cover anticipated </w:t>
      </w:r>
      <w:r w:rsidR="006C7894">
        <w:t xml:space="preserve">income </w:t>
      </w:r>
      <w:r>
        <w:t>shortfalls.</w:t>
      </w:r>
      <w:r w:rsidR="005D3C46">
        <w:t xml:space="preserve"> </w:t>
      </w:r>
      <w:r w:rsidR="00746436">
        <w:t>(</w:t>
      </w:r>
      <w:r>
        <w:t>The sinking fund is covered in more detail below</w:t>
      </w:r>
      <w:r w:rsidR="00241C12">
        <w:t xml:space="preserve"> and in 2.1.4</w:t>
      </w:r>
      <w:r w:rsidR="00746436">
        <w:t>)</w:t>
      </w:r>
      <w:r w:rsidR="003E6886">
        <w:t>.</w:t>
      </w:r>
    </w:p>
    <w:p w14:paraId="7B4B0BA8" w14:textId="22AF1DAB" w:rsidR="006214F8" w:rsidRDefault="00D0734C" w:rsidP="00597A7F">
      <w:pPr>
        <w:jc w:val="both"/>
      </w:pPr>
      <w:r>
        <w:t>The Revenue Budget includes savings of some £435,000 with further growth of some £975,000</w:t>
      </w:r>
      <w:r w:rsidR="00364AC6">
        <w:t xml:space="preserve">, </w:t>
      </w:r>
      <w:r>
        <w:t>a net</w:t>
      </w:r>
      <w:r w:rsidR="00932A7D">
        <w:t xml:space="preserve"> service</w:t>
      </w:r>
      <w:r>
        <w:t xml:space="preserve"> investment of some £550,000.</w:t>
      </w:r>
      <w:r w:rsidR="00FA45AB">
        <w:t xml:space="preserve"> </w:t>
      </w:r>
      <w:r w:rsidR="00364AC6">
        <w:t>A</w:t>
      </w:r>
      <w:r w:rsidR="00822981">
        <w:t xml:space="preserve"> significant budget deficit of some </w:t>
      </w:r>
      <w:r w:rsidR="006A7FD6">
        <w:t>£9.306</w:t>
      </w:r>
      <w:r w:rsidR="00815F16">
        <w:t xml:space="preserve"> </w:t>
      </w:r>
      <w:r w:rsidR="006A7FD6">
        <w:t>m</w:t>
      </w:r>
      <w:r w:rsidR="00815F16">
        <w:t>illion</w:t>
      </w:r>
      <w:r w:rsidR="006A7FD6">
        <w:t xml:space="preserve"> </w:t>
      </w:r>
      <w:r w:rsidR="00364AC6">
        <w:t xml:space="preserve">is projected </w:t>
      </w:r>
      <w:r w:rsidR="006A7FD6">
        <w:t>over the next 3 financial years</w:t>
      </w:r>
      <w:r w:rsidR="00835F9C">
        <w:t>,</w:t>
      </w:r>
      <w:r w:rsidR="006A7FD6">
        <w:t xml:space="preserve"> as set out in </w:t>
      </w:r>
      <w:r w:rsidR="003E6886">
        <w:t>T</w:t>
      </w:r>
      <w:r w:rsidR="009D772F">
        <w:t>able 3</w:t>
      </w:r>
      <w:r w:rsidR="006A7FD6">
        <w:t>.</w:t>
      </w:r>
    </w:p>
    <w:p w14:paraId="23C5F3BB" w14:textId="1E9ED436" w:rsidR="00CE30A6" w:rsidRPr="002B6366" w:rsidRDefault="00126135">
      <w:pPr>
        <w:rPr>
          <w:i/>
          <w:iCs/>
        </w:rPr>
      </w:pPr>
      <w:r w:rsidRPr="002B6366">
        <w:rPr>
          <w:i/>
          <w:iCs/>
        </w:rPr>
        <w:t xml:space="preserve">Table 3: </w:t>
      </w:r>
      <w:r w:rsidR="00714C03" w:rsidRPr="002B6366">
        <w:rPr>
          <w:i/>
          <w:iCs/>
        </w:rPr>
        <w:t>Medium Term Financial Projections</w:t>
      </w:r>
    </w:p>
    <w:tbl>
      <w:tblPr>
        <w:tblStyle w:val="LightShading-Accent1"/>
        <w:tblW w:w="5000" w:type="pct"/>
        <w:tblLook w:val="0660" w:firstRow="1" w:lastRow="1" w:firstColumn="0" w:lastColumn="0" w:noHBand="1" w:noVBand="1"/>
      </w:tblPr>
      <w:tblGrid>
        <w:gridCol w:w="2379"/>
        <w:gridCol w:w="1601"/>
        <w:gridCol w:w="1603"/>
        <w:gridCol w:w="1603"/>
        <w:gridCol w:w="1603"/>
      </w:tblGrid>
      <w:tr w:rsidR="007F711F" w:rsidRPr="007F711F" w14:paraId="5CA51877" w14:textId="77777777" w:rsidTr="00626C47">
        <w:trPr>
          <w:cnfStyle w:val="100000000000" w:firstRow="1" w:lastRow="0" w:firstColumn="0" w:lastColumn="0" w:oddVBand="0" w:evenVBand="0" w:oddHBand="0" w:evenHBand="0" w:firstRowFirstColumn="0" w:firstRowLastColumn="0" w:lastRowFirstColumn="0" w:lastRowLastColumn="0"/>
        </w:trPr>
        <w:tc>
          <w:tcPr>
            <w:tcW w:w="1353" w:type="pct"/>
            <w:noWrap/>
          </w:tcPr>
          <w:p w14:paraId="7C240008" w14:textId="30568CD3" w:rsidR="00626C47" w:rsidRPr="007F711F" w:rsidRDefault="00626C47">
            <w:pPr>
              <w:rPr>
                <w:color w:val="auto"/>
              </w:rPr>
            </w:pPr>
          </w:p>
        </w:tc>
        <w:tc>
          <w:tcPr>
            <w:tcW w:w="911" w:type="pct"/>
          </w:tcPr>
          <w:p w14:paraId="0C222E77" w14:textId="692EC7C3" w:rsidR="00626C47" w:rsidRPr="007F711F" w:rsidRDefault="003F58B1" w:rsidP="00175945">
            <w:pPr>
              <w:jc w:val="right"/>
              <w:rPr>
                <w:color w:val="auto"/>
              </w:rPr>
            </w:pPr>
            <w:r w:rsidRPr="007F711F">
              <w:rPr>
                <w:color w:val="auto"/>
              </w:rPr>
              <w:t>2023/24</w:t>
            </w:r>
          </w:p>
        </w:tc>
        <w:tc>
          <w:tcPr>
            <w:tcW w:w="912" w:type="pct"/>
          </w:tcPr>
          <w:p w14:paraId="53E26C5B" w14:textId="77777777" w:rsidR="00BD03B0" w:rsidRPr="007F711F" w:rsidRDefault="00EF6850" w:rsidP="00175945">
            <w:pPr>
              <w:jc w:val="right"/>
              <w:rPr>
                <w:b w:val="0"/>
                <w:bCs w:val="0"/>
                <w:color w:val="auto"/>
              </w:rPr>
            </w:pPr>
            <w:r w:rsidRPr="007F711F">
              <w:rPr>
                <w:color w:val="auto"/>
              </w:rPr>
              <w:t>2024/25</w:t>
            </w:r>
          </w:p>
          <w:p w14:paraId="10638FBF" w14:textId="6BBFC1DA" w:rsidR="00626C47" w:rsidRPr="007F711F" w:rsidRDefault="00BD03B0" w:rsidP="00175945">
            <w:pPr>
              <w:jc w:val="right"/>
              <w:rPr>
                <w:color w:val="auto"/>
              </w:rPr>
            </w:pPr>
            <w:r w:rsidRPr="007F711F">
              <w:rPr>
                <w:color w:val="auto"/>
              </w:rPr>
              <w:t>(£m)</w:t>
            </w:r>
          </w:p>
        </w:tc>
        <w:tc>
          <w:tcPr>
            <w:tcW w:w="912" w:type="pct"/>
          </w:tcPr>
          <w:p w14:paraId="258018BF" w14:textId="77777777" w:rsidR="00626C47" w:rsidRPr="007F711F" w:rsidRDefault="00B90ACD" w:rsidP="00175945">
            <w:pPr>
              <w:jc w:val="right"/>
              <w:rPr>
                <w:b w:val="0"/>
                <w:bCs w:val="0"/>
                <w:color w:val="auto"/>
              </w:rPr>
            </w:pPr>
            <w:r w:rsidRPr="007F711F">
              <w:rPr>
                <w:color w:val="auto"/>
              </w:rPr>
              <w:t>2025/26</w:t>
            </w:r>
          </w:p>
          <w:p w14:paraId="165D52F1" w14:textId="28F0ACFA" w:rsidR="00BD03B0" w:rsidRPr="007F711F" w:rsidRDefault="00BD03B0" w:rsidP="00175945">
            <w:pPr>
              <w:jc w:val="right"/>
              <w:rPr>
                <w:color w:val="auto"/>
              </w:rPr>
            </w:pPr>
            <w:r w:rsidRPr="007F711F">
              <w:rPr>
                <w:color w:val="auto"/>
              </w:rPr>
              <w:t>(£m)</w:t>
            </w:r>
          </w:p>
        </w:tc>
        <w:tc>
          <w:tcPr>
            <w:tcW w:w="912" w:type="pct"/>
          </w:tcPr>
          <w:p w14:paraId="28B3DBCC" w14:textId="77777777" w:rsidR="00626C47" w:rsidRPr="007F711F" w:rsidRDefault="00B90ACD" w:rsidP="00175945">
            <w:pPr>
              <w:jc w:val="right"/>
              <w:rPr>
                <w:b w:val="0"/>
                <w:bCs w:val="0"/>
                <w:color w:val="auto"/>
              </w:rPr>
            </w:pPr>
            <w:r w:rsidRPr="007F711F">
              <w:rPr>
                <w:color w:val="auto"/>
              </w:rPr>
              <w:t>2026/27</w:t>
            </w:r>
          </w:p>
          <w:p w14:paraId="15439483" w14:textId="475A91A8" w:rsidR="00BD03B0" w:rsidRPr="007F711F" w:rsidRDefault="00BD03B0" w:rsidP="00175945">
            <w:pPr>
              <w:jc w:val="right"/>
              <w:rPr>
                <w:color w:val="auto"/>
              </w:rPr>
            </w:pPr>
            <w:r w:rsidRPr="007F711F">
              <w:rPr>
                <w:color w:val="auto"/>
              </w:rPr>
              <w:t>(£m)</w:t>
            </w:r>
          </w:p>
        </w:tc>
      </w:tr>
      <w:tr w:rsidR="007F711F" w:rsidRPr="007F711F" w14:paraId="5D93EE79" w14:textId="77777777" w:rsidTr="00626C47">
        <w:trPr>
          <w:cnfStyle w:val="010000000000" w:firstRow="0" w:lastRow="1" w:firstColumn="0" w:lastColumn="0" w:oddVBand="0" w:evenVBand="0" w:oddHBand="0" w:evenHBand="0" w:firstRowFirstColumn="0" w:firstRowLastColumn="0" w:lastRowFirstColumn="0" w:lastRowLastColumn="0"/>
        </w:trPr>
        <w:tc>
          <w:tcPr>
            <w:tcW w:w="1353" w:type="pct"/>
            <w:noWrap/>
          </w:tcPr>
          <w:p w14:paraId="10468BFA" w14:textId="308B40E6" w:rsidR="00175945" w:rsidRPr="007F711F" w:rsidRDefault="00175945" w:rsidP="00175945">
            <w:pPr>
              <w:rPr>
                <w:color w:val="auto"/>
              </w:rPr>
            </w:pPr>
            <w:r w:rsidRPr="007F711F">
              <w:rPr>
                <w:color w:val="auto"/>
              </w:rPr>
              <w:t>Projected Deficit</w:t>
            </w:r>
          </w:p>
        </w:tc>
        <w:tc>
          <w:tcPr>
            <w:tcW w:w="911" w:type="pct"/>
          </w:tcPr>
          <w:p w14:paraId="7D74BCB3" w14:textId="7989A7ED" w:rsidR="00175945" w:rsidRPr="007F711F" w:rsidRDefault="00175945" w:rsidP="00175945">
            <w:pPr>
              <w:pStyle w:val="DecimalAligned"/>
              <w:jc w:val="right"/>
              <w:rPr>
                <w:color w:val="auto"/>
              </w:rPr>
            </w:pPr>
            <w:r w:rsidRPr="007F711F">
              <w:rPr>
                <w:color w:val="auto"/>
              </w:rPr>
              <w:t>Nil</w:t>
            </w:r>
          </w:p>
        </w:tc>
        <w:tc>
          <w:tcPr>
            <w:tcW w:w="912" w:type="pct"/>
          </w:tcPr>
          <w:p w14:paraId="65FEB58F" w14:textId="54535130" w:rsidR="00175945" w:rsidRPr="007F711F" w:rsidRDefault="00175945" w:rsidP="00175945">
            <w:pPr>
              <w:pStyle w:val="DecimalAligned"/>
              <w:jc w:val="right"/>
              <w:rPr>
                <w:color w:val="auto"/>
              </w:rPr>
            </w:pPr>
            <w:r w:rsidRPr="007F711F">
              <w:rPr>
                <w:color w:val="auto"/>
              </w:rPr>
              <w:t>3.853</w:t>
            </w:r>
          </w:p>
        </w:tc>
        <w:tc>
          <w:tcPr>
            <w:tcW w:w="912" w:type="pct"/>
          </w:tcPr>
          <w:p w14:paraId="027818CA" w14:textId="10D1BDA2" w:rsidR="00175945" w:rsidRPr="007F711F" w:rsidRDefault="00175945" w:rsidP="00175945">
            <w:pPr>
              <w:pStyle w:val="DecimalAligned"/>
              <w:jc w:val="right"/>
              <w:rPr>
                <w:color w:val="auto"/>
              </w:rPr>
            </w:pPr>
            <w:r w:rsidRPr="007F711F">
              <w:rPr>
                <w:color w:val="auto"/>
              </w:rPr>
              <w:t>6.339</w:t>
            </w:r>
          </w:p>
        </w:tc>
        <w:tc>
          <w:tcPr>
            <w:tcW w:w="912" w:type="pct"/>
          </w:tcPr>
          <w:p w14:paraId="545BB74D" w14:textId="073EE3A5" w:rsidR="00175945" w:rsidRPr="007F711F" w:rsidRDefault="00175945" w:rsidP="00175945">
            <w:pPr>
              <w:pStyle w:val="DecimalAligned"/>
              <w:jc w:val="right"/>
              <w:rPr>
                <w:color w:val="auto"/>
              </w:rPr>
            </w:pPr>
            <w:r w:rsidRPr="007F711F">
              <w:rPr>
                <w:color w:val="auto"/>
              </w:rPr>
              <w:t>9.306</w:t>
            </w:r>
          </w:p>
        </w:tc>
      </w:tr>
    </w:tbl>
    <w:p w14:paraId="0F307F36" w14:textId="3BE672E3" w:rsidR="00CE30A6" w:rsidRPr="007F711F" w:rsidRDefault="00CE30A6">
      <w:pPr>
        <w:pStyle w:val="FootnoteText"/>
        <w:rPr>
          <w:i/>
          <w:iCs/>
          <w:sz w:val="18"/>
          <w:szCs w:val="18"/>
        </w:rPr>
      </w:pPr>
      <w:r w:rsidRPr="007F711F">
        <w:rPr>
          <w:rStyle w:val="SubtleEmphasis"/>
          <w:i w:val="0"/>
          <w:iCs w:val="0"/>
          <w:color w:val="auto"/>
          <w:sz w:val="18"/>
          <w:szCs w:val="18"/>
        </w:rPr>
        <w:t>Source:</w:t>
      </w:r>
      <w:r w:rsidRPr="007F711F">
        <w:rPr>
          <w:i/>
          <w:iCs/>
          <w:sz w:val="18"/>
          <w:szCs w:val="18"/>
        </w:rPr>
        <w:t xml:space="preserve"> </w:t>
      </w:r>
      <w:r w:rsidR="001D7E17" w:rsidRPr="007F711F">
        <w:rPr>
          <w:i/>
          <w:iCs/>
          <w:sz w:val="18"/>
          <w:szCs w:val="18"/>
        </w:rPr>
        <w:t xml:space="preserve">Detailed Budget Report to Council </w:t>
      </w:r>
      <w:r w:rsidR="00714C03" w:rsidRPr="007F711F">
        <w:rPr>
          <w:i/>
          <w:iCs/>
          <w:sz w:val="18"/>
          <w:szCs w:val="18"/>
        </w:rPr>
        <w:t>(20</w:t>
      </w:r>
      <w:r w:rsidR="00714C03" w:rsidRPr="007F711F">
        <w:rPr>
          <w:i/>
          <w:iCs/>
          <w:sz w:val="18"/>
          <w:szCs w:val="18"/>
          <w:vertAlign w:val="superscript"/>
        </w:rPr>
        <w:t>th</w:t>
      </w:r>
      <w:r w:rsidR="00714C03" w:rsidRPr="007F711F">
        <w:rPr>
          <w:i/>
          <w:iCs/>
          <w:sz w:val="18"/>
          <w:szCs w:val="18"/>
        </w:rPr>
        <w:t xml:space="preserve"> February 2023)</w:t>
      </w:r>
    </w:p>
    <w:p w14:paraId="14C0674A" w14:textId="07A5CA22" w:rsidR="00047497" w:rsidRDefault="001064C5" w:rsidP="00DD5C84">
      <w:r>
        <w:t xml:space="preserve"> </w:t>
      </w:r>
    </w:p>
    <w:p w14:paraId="2FDCEBD7" w14:textId="734486B8" w:rsidR="0034236D" w:rsidRDefault="0034236D" w:rsidP="00835F9C">
      <w:pPr>
        <w:jc w:val="both"/>
      </w:pPr>
      <w:r>
        <w:t>The above projections assume that</w:t>
      </w:r>
      <w:r w:rsidR="00855AC3">
        <w:t>:</w:t>
      </w:r>
    </w:p>
    <w:p w14:paraId="49506CAD" w14:textId="354A99BF" w:rsidR="0034236D" w:rsidRDefault="00932A7D" w:rsidP="00F34C2F">
      <w:pPr>
        <w:pStyle w:val="ListParagraph"/>
        <w:numPr>
          <w:ilvl w:val="0"/>
          <w:numId w:val="27"/>
        </w:numPr>
        <w:jc w:val="both"/>
      </w:pPr>
      <w:r>
        <w:t>SBC</w:t>
      </w:r>
      <w:r w:rsidR="0034236D">
        <w:t xml:space="preserve"> will continue to capitalise substantial costs of c</w:t>
      </w:r>
      <w:r w:rsidR="005953AB">
        <w:t>.</w:t>
      </w:r>
      <w:r w:rsidR="0034236D">
        <w:t>£</w:t>
      </w:r>
      <w:r w:rsidR="00401C2D">
        <w:t>1.2</w:t>
      </w:r>
      <w:r w:rsidR="00815F16">
        <w:t xml:space="preserve"> </w:t>
      </w:r>
      <w:r w:rsidR="0034236D">
        <w:t>m</w:t>
      </w:r>
      <w:r w:rsidR="00815F16">
        <w:t>illion</w:t>
      </w:r>
      <w:r w:rsidR="0034236D">
        <w:t xml:space="preserve"> in relation to</w:t>
      </w:r>
      <w:r w:rsidR="00401C2D">
        <w:t xml:space="preserve"> properties purchased for</w:t>
      </w:r>
      <w:r w:rsidR="0034236D">
        <w:t xml:space="preserve"> future affordable housing </w:t>
      </w:r>
      <w:r w:rsidR="00401C2D">
        <w:t>developments</w:t>
      </w:r>
    </w:p>
    <w:p w14:paraId="112D5501" w14:textId="12AFE88B" w:rsidR="00F06B97" w:rsidRDefault="00EF00B4" w:rsidP="00F34C2F">
      <w:pPr>
        <w:pStyle w:val="ListParagraph"/>
        <w:numPr>
          <w:ilvl w:val="0"/>
          <w:numId w:val="27"/>
        </w:numPr>
        <w:jc w:val="both"/>
      </w:pPr>
      <w:r>
        <w:t>i</w:t>
      </w:r>
      <w:r w:rsidR="00263FE8">
        <w:t>t</w:t>
      </w:r>
      <w:r w:rsidR="00F06B97">
        <w:t xml:space="preserve"> will capitalise a further deficit of £400,000 per annum related to Benwell (Phase 2) borrowing costs, which are currently creating a deficit within Knowle Green Estates</w:t>
      </w:r>
    </w:p>
    <w:p w14:paraId="4A4D7623" w14:textId="0178C76F" w:rsidR="003932F3" w:rsidRDefault="00EF00B4" w:rsidP="00F34C2F">
      <w:pPr>
        <w:pStyle w:val="ListParagraph"/>
        <w:numPr>
          <w:ilvl w:val="0"/>
          <w:numId w:val="27"/>
        </w:numPr>
        <w:jc w:val="both"/>
      </w:pPr>
      <w:r>
        <w:t>t</w:t>
      </w:r>
      <w:r w:rsidR="003932F3">
        <w:t xml:space="preserve">he Business Rates retention scheme will continue </w:t>
      </w:r>
      <w:r w:rsidR="0054167D">
        <w:t xml:space="preserve">in its current form to 2025/26 with associated income of </w:t>
      </w:r>
      <w:r w:rsidR="001461C1">
        <w:t>£1.9</w:t>
      </w:r>
      <w:r w:rsidR="00815F16">
        <w:t xml:space="preserve"> </w:t>
      </w:r>
      <w:r w:rsidR="001461C1">
        <w:t>m</w:t>
      </w:r>
      <w:r w:rsidR="00815F16">
        <w:t>illion</w:t>
      </w:r>
      <w:r w:rsidR="001461C1">
        <w:t xml:space="preserve"> falling to £1.2</w:t>
      </w:r>
      <w:r w:rsidR="00815F16">
        <w:t xml:space="preserve"> </w:t>
      </w:r>
      <w:r w:rsidR="001461C1">
        <w:t>m</w:t>
      </w:r>
      <w:r w:rsidR="00815F16">
        <w:t>illion</w:t>
      </w:r>
      <w:r w:rsidR="001461C1">
        <w:t xml:space="preserve"> in 2026/27</w:t>
      </w:r>
    </w:p>
    <w:p w14:paraId="281F45D8" w14:textId="1BA684D9" w:rsidR="00E069DB" w:rsidRDefault="00EF00B4" w:rsidP="00F34C2F">
      <w:pPr>
        <w:pStyle w:val="ListParagraph"/>
        <w:numPr>
          <w:ilvl w:val="0"/>
          <w:numId w:val="27"/>
        </w:numPr>
        <w:jc w:val="both"/>
      </w:pPr>
      <w:r>
        <w:t>i</w:t>
      </w:r>
      <w:r w:rsidR="00E069DB">
        <w:t>nvestment income will recover after 2024/25 without the need for any further compensatory withdraw</w:t>
      </w:r>
      <w:r w:rsidR="001D4590">
        <w:t>al</w:t>
      </w:r>
      <w:r w:rsidR="00E069DB">
        <w:t xml:space="preserve"> from the sinking fund</w:t>
      </w:r>
    </w:p>
    <w:p w14:paraId="223E0C09" w14:textId="68DC0D71" w:rsidR="00161D5D" w:rsidRDefault="00AC08F5" w:rsidP="00835F9C">
      <w:pPr>
        <w:jc w:val="both"/>
      </w:pPr>
      <w:r>
        <w:t xml:space="preserve">Council </w:t>
      </w:r>
      <w:r w:rsidR="004A131B">
        <w:t>f</w:t>
      </w:r>
      <w:r>
        <w:t xml:space="preserve">inance </w:t>
      </w:r>
      <w:r w:rsidR="004A131B">
        <w:t>o</w:t>
      </w:r>
      <w:r>
        <w:t xml:space="preserve">fficers have indicated that the </w:t>
      </w:r>
      <w:r w:rsidR="00722188">
        <w:t xml:space="preserve">Medium Term Financial Plan </w:t>
      </w:r>
      <w:r w:rsidR="00FF4D6E">
        <w:t xml:space="preserve">does not </w:t>
      </w:r>
      <w:r w:rsidR="001D4590">
        <w:t>fully</w:t>
      </w:r>
      <w:r w:rsidR="00C56C99">
        <w:t xml:space="preserve"> </w:t>
      </w:r>
      <w:r w:rsidR="00FF4D6E">
        <w:t xml:space="preserve">reflect the financial implications of </w:t>
      </w:r>
      <w:r w:rsidR="000412FE">
        <w:t>SBC</w:t>
      </w:r>
      <w:r w:rsidR="00FF4D6E">
        <w:t xml:space="preserve"> decision</w:t>
      </w:r>
      <w:r w:rsidR="00350320">
        <w:t>s</w:t>
      </w:r>
      <w:r w:rsidR="00FF4D6E">
        <w:t xml:space="preserve"> </w:t>
      </w:r>
      <w:r w:rsidR="00350320">
        <w:t>on</w:t>
      </w:r>
      <w:r w:rsidR="00C77FD0">
        <w:t xml:space="preserve"> future investment in affordable housing </w:t>
      </w:r>
      <w:r w:rsidR="00A56801">
        <w:t xml:space="preserve">developments </w:t>
      </w:r>
      <w:r w:rsidR="001229FE">
        <w:t>following the Extraordinary Council Meeting</w:t>
      </w:r>
      <w:r w:rsidR="001D4590">
        <w:t xml:space="preserve"> (ECM)</w:t>
      </w:r>
      <w:r w:rsidR="001229FE">
        <w:t xml:space="preserve"> on 2 February 2023</w:t>
      </w:r>
      <w:r w:rsidR="00C77FD0">
        <w:t xml:space="preserve">.  </w:t>
      </w:r>
      <w:r w:rsidR="002E0605">
        <w:t xml:space="preserve">There is potential that this could add further to borrowing costs and </w:t>
      </w:r>
      <w:r w:rsidR="005B6F34">
        <w:t xml:space="preserve">adversely </w:t>
      </w:r>
      <w:r w:rsidR="002E0605">
        <w:t>impact the budget deficit.</w:t>
      </w:r>
      <w:r w:rsidR="000512DC">
        <w:t xml:space="preserve"> </w:t>
      </w:r>
      <w:r w:rsidR="00714773">
        <w:t>SBC</w:t>
      </w:r>
      <w:r w:rsidR="002E0605">
        <w:t xml:space="preserve"> has highlighted a significant risk concerning </w:t>
      </w:r>
      <w:r w:rsidR="00877381">
        <w:t xml:space="preserve">properties already purchased by the </w:t>
      </w:r>
      <w:r w:rsidR="007F1193">
        <w:t>c</w:t>
      </w:r>
      <w:r w:rsidR="00877381">
        <w:t xml:space="preserve">ouncil </w:t>
      </w:r>
      <w:r w:rsidR="00F36E10">
        <w:t>for th</w:t>
      </w:r>
      <w:r w:rsidR="00A56801">
        <w:t>e</w:t>
      </w:r>
      <w:r w:rsidR="00145242">
        <w:t xml:space="preserve"> development</w:t>
      </w:r>
      <w:r w:rsidR="00A56801">
        <w:t>s</w:t>
      </w:r>
      <w:r w:rsidR="00145242">
        <w:t>. Th</w:t>
      </w:r>
      <w:r w:rsidR="00F36E10">
        <w:t>e issues</w:t>
      </w:r>
      <w:r w:rsidR="00145242">
        <w:t xml:space="preserve"> </w:t>
      </w:r>
      <w:r w:rsidR="00F36E10">
        <w:t>are</w:t>
      </w:r>
      <w:r w:rsidR="00145242">
        <w:t xml:space="preserve"> set out in more detail below</w:t>
      </w:r>
      <w:r w:rsidR="00F36E10">
        <w:t xml:space="preserve">. But </w:t>
      </w:r>
      <w:r w:rsidR="00145242">
        <w:t xml:space="preserve">essentially </w:t>
      </w:r>
      <w:r w:rsidR="00276AC6">
        <w:t>if</w:t>
      </w:r>
      <w:r w:rsidR="00145242">
        <w:t xml:space="preserve"> th</w:t>
      </w:r>
      <w:r w:rsidR="002E3C0B">
        <w:t>e</w:t>
      </w:r>
      <w:r w:rsidR="00145242">
        <w:t xml:space="preserve"> </w:t>
      </w:r>
      <w:r w:rsidR="00F867E0">
        <w:t xml:space="preserve">developments </w:t>
      </w:r>
      <w:r w:rsidR="00276AC6">
        <w:t>do not prove</w:t>
      </w:r>
      <w:r w:rsidR="00F867E0">
        <w:t xml:space="preserve"> viable, </w:t>
      </w:r>
      <w:r w:rsidR="00F4487F">
        <w:t>SBC</w:t>
      </w:r>
      <w:r w:rsidR="00F867E0">
        <w:t xml:space="preserve"> would need to recharge </w:t>
      </w:r>
      <w:r w:rsidR="00762A14">
        <w:t>cap</w:t>
      </w:r>
      <w:r w:rsidR="00BC5E0F">
        <w:t>italised revenue costs of some £8.9</w:t>
      </w:r>
      <w:r w:rsidR="007F1193">
        <w:t xml:space="preserve"> </w:t>
      </w:r>
      <w:r w:rsidR="00BC5E0F">
        <w:t>m</w:t>
      </w:r>
      <w:r w:rsidR="007F1193">
        <w:t>illion</w:t>
      </w:r>
      <w:r w:rsidR="00BC5E0F">
        <w:t xml:space="preserve"> to the revenue budget</w:t>
      </w:r>
      <w:r w:rsidR="009C2BBB">
        <w:t>.</w:t>
      </w:r>
      <w:r w:rsidR="00EF0FCB">
        <w:t xml:space="preserve"> </w:t>
      </w:r>
    </w:p>
    <w:p w14:paraId="0AE92C55" w14:textId="62206AAF" w:rsidR="004B5412" w:rsidRDefault="00717091" w:rsidP="00835F9C">
      <w:pPr>
        <w:jc w:val="both"/>
      </w:pPr>
      <w:r>
        <w:t xml:space="preserve">This would have </w:t>
      </w:r>
      <w:r w:rsidR="00B05D2D">
        <w:t xml:space="preserve">a major and immediate financial impact, given that </w:t>
      </w:r>
      <w:r w:rsidR="006778A8">
        <w:t>SBC’s</w:t>
      </w:r>
      <w:r w:rsidR="00B05D2D">
        <w:t xml:space="preserve"> general revenue reserves currently stand at £2.2</w:t>
      </w:r>
      <w:r w:rsidR="00450F18">
        <w:t xml:space="preserve"> </w:t>
      </w:r>
      <w:r w:rsidR="00B05D2D">
        <w:t>m</w:t>
      </w:r>
      <w:r w:rsidR="00450F18">
        <w:t>illion</w:t>
      </w:r>
      <w:r w:rsidR="00FC3F4E">
        <w:t xml:space="preserve">. Finance </w:t>
      </w:r>
      <w:r w:rsidR="006778A8">
        <w:t>o</w:t>
      </w:r>
      <w:r w:rsidR="00FC3F4E">
        <w:t xml:space="preserve">fficers have indicated that the </w:t>
      </w:r>
      <w:r w:rsidR="007F1193">
        <w:t>c</w:t>
      </w:r>
      <w:r w:rsidR="00FC3F4E">
        <w:t xml:space="preserve">ouncil would need to use </w:t>
      </w:r>
      <w:r w:rsidR="00703042">
        <w:t>current revenue reser</w:t>
      </w:r>
      <w:r w:rsidR="00372970">
        <w:t xml:space="preserve">ves or </w:t>
      </w:r>
      <w:r w:rsidR="00FC3F4E">
        <w:t>the sinking fund to cover th</w:t>
      </w:r>
      <w:r w:rsidR="003F34FC">
        <w:t>e</w:t>
      </w:r>
      <w:r w:rsidR="00FC3F4E">
        <w:t xml:space="preserve"> deficit</w:t>
      </w:r>
      <w:r w:rsidR="001A7E1E">
        <w:t xml:space="preserve">.  This would require </w:t>
      </w:r>
      <w:r w:rsidR="003F34FC">
        <w:t xml:space="preserve">a </w:t>
      </w:r>
      <w:r w:rsidR="007F1193">
        <w:t>c</w:t>
      </w:r>
      <w:r w:rsidR="001A7E1E">
        <w:t xml:space="preserve">ouncil </w:t>
      </w:r>
      <w:r w:rsidR="003F34FC">
        <w:t xml:space="preserve">resolution </w:t>
      </w:r>
      <w:r w:rsidR="00EF0FCB">
        <w:t>si</w:t>
      </w:r>
      <w:r w:rsidR="00161D5D">
        <w:t>nce it</w:t>
      </w:r>
      <w:r w:rsidR="001A7E1E">
        <w:t xml:space="preserve"> would be </w:t>
      </w:r>
      <w:r w:rsidR="00161D5D">
        <w:t>in</w:t>
      </w:r>
      <w:r w:rsidR="001A7E1E">
        <w:t>consistent with the sinking fund</w:t>
      </w:r>
      <w:r w:rsidR="003F34FC">
        <w:t>’s stated purpose</w:t>
      </w:r>
      <w:r w:rsidR="006235CA">
        <w:t>. It would impair the fund’s ability to meet the risks to which it is properly dedicated</w:t>
      </w:r>
      <w:r w:rsidR="001A7E1E">
        <w:t xml:space="preserve">.  </w:t>
      </w:r>
    </w:p>
    <w:p w14:paraId="1CDFADA3" w14:textId="1FE24187" w:rsidR="00BC5E0F" w:rsidRDefault="00835F9C" w:rsidP="00835F9C">
      <w:pPr>
        <w:jc w:val="both"/>
      </w:pPr>
      <w:r>
        <w:t>Table 4</w:t>
      </w:r>
      <w:r w:rsidR="00FE69D3">
        <w:t xml:space="preserve"> shows the overall level of </w:t>
      </w:r>
      <w:r w:rsidR="004137FC">
        <w:t>SBC</w:t>
      </w:r>
      <w:r w:rsidR="00FE69D3">
        <w:t xml:space="preserve"> reserves.</w:t>
      </w:r>
    </w:p>
    <w:p w14:paraId="5406E555" w14:textId="77777777" w:rsidR="00DF326F" w:rsidRDefault="00DF326F" w:rsidP="00FF4D6E">
      <w:pPr>
        <w:rPr>
          <w:b/>
          <w:bCs/>
          <w:color w:val="312C62" w:themeColor="text2"/>
        </w:rPr>
      </w:pPr>
    </w:p>
    <w:p w14:paraId="2A807789" w14:textId="77777777" w:rsidR="00DF326F" w:rsidRDefault="00DF326F" w:rsidP="00FF4D6E">
      <w:pPr>
        <w:rPr>
          <w:b/>
          <w:bCs/>
          <w:color w:val="312C62" w:themeColor="text2"/>
        </w:rPr>
      </w:pPr>
    </w:p>
    <w:p w14:paraId="4B8E6476" w14:textId="2798C313" w:rsidR="00711109" w:rsidRPr="002B6366" w:rsidRDefault="00711109" w:rsidP="00FF4D6E">
      <w:pPr>
        <w:rPr>
          <w:i/>
          <w:iCs/>
        </w:rPr>
      </w:pPr>
      <w:r w:rsidRPr="002B6366">
        <w:rPr>
          <w:i/>
          <w:iCs/>
        </w:rPr>
        <w:t>Table 4: Council Reserves</w:t>
      </w:r>
    </w:p>
    <w:tbl>
      <w:tblPr>
        <w:tblStyle w:val="LightShading-Accent1"/>
        <w:tblW w:w="4032" w:type="pct"/>
        <w:tblLook w:val="0660" w:firstRow="1" w:lastRow="1" w:firstColumn="0" w:lastColumn="0" w:noHBand="1" w:noVBand="1"/>
      </w:tblPr>
      <w:tblGrid>
        <w:gridCol w:w="5813"/>
        <w:gridCol w:w="1274"/>
      </w:tblGrid>
      <w:tr w:rsidR="007F711F" w:rsidRPr="007F711F" w14:paraId="6E8AB5F3" w14:textId="77777777">
        <w:trPr>
          <w:cnfStyle w:val="100000000000" w:firstRow="1" w:lastRow="0" w:firstColumn="0" w:lastColumn="0" w:oddVBand="0" w:evenVBand="0" w:oddHBand="0" w:evenHBand="0" w:firstRowFirstColumn="0" w:firstRowLastColumn="0" w:lastRowFirstColumn="0" w:lastRowLastColumn="0"/>
        </w:trPr>
        <w:tc>
          <w:tcPr>
            <w:tcW w:w="4101" w:type="pct"/>
            <w:noWrap/>
          </w:tcPr>
          <w:p w14:paraId="66D4FB52" w14:textId="77777777" w:rsidR="00FE69D3" w:rsidRPr="007F711F" w:rsidRDefault="00FE69D3">
            <w:pPr>
              <w:rPr>
                <w:color w:val="auto"/>
              </w:rPr>
            </w:pPr>
            <w:r w:rsidRPr="007F711F">
              <w:rPr>
                <w:color w:val="auto"/>
              </w:rPr>
              <w:t>Earmarked Reserves</w:t>
            </w:r>
          </w:p>
        </w:tc>
        <w:tc>
          <w:tcPr>
            <w:tcW w:w="899" w:type="pct"/>
          </w:tcPr>
          <w:p w14:paraId="13BA563A" w14:textId="77777777" w:rsidR="00FE69D3" w:rsidRPr="007F711F" w:rsidRDefault="00FE69D3">
            <w:pPr>
              <w:jc w:val="right"/>
              <w:rPr>
                <w:color w:val="auto"/>
              </w:rPr>
            </w:pPr>
            <w:r w:rsidRPr="007F711F">
              <w:rPr>
                <w:color w:val="auto"/>
              </w:rPr>
              <w:t>£’m</w:t>
            </w:r>
          </w:p>
        </w:tc>
      </w:tr>
      <w:tr w:rsidR="007F711F" w:rsidRPr="007F711F" w14:paraId="2D7BCCB9" w14:textId="77777777">
        <w:tc>
          <w:tcPr>
            <w:tcW w:w="4101" w:type="pct"/>
            <w:noWrap/>
          </w:tcPr>
          <w:p w14:paraId="5A732509" w14:textId="77777777" w:rsidR="00FE69D3" w:rsidRPr="007F711F" w:rsidRDefault="00FE69D3">
            <w:pPr>
              <w:rPr>
                <w:color w:val="auto"/>
              </w:rPr>
            </w:pPr>
          </w:p>
        </w:tc>
        <w:tc>
          <w:tcPr>
            <w:tcW w:w="899" w:type="pct"/>
          </w:tcPr>
          <w:p w14:paraId="0E60AA8E" w14:textId="77777777" w:rsidR="00FE69D3" w:rsidRPr="007F711F" w:rsidRDefault="00FE69D3">
            <w:pPr>
              <w:jc w:val="right"/>
              <w:rPr>
                <w:color w:val="auto"/>
              </w:rPr>
            </w:pPr>
          </w:p>
        </w:tc>
      </w:tr>
      <w:tr w:rsidR="007F711F" w:rsidRPr="007F711F" w14:paraId="2AC9E74B" w14:textId="77777777">
        <w:tc>
          <w:tcPr>
            <w:tcW w:w="4101" w:type="pct"/>
            <w:noWrap/>
          </w:tcPr>
          <w:p w14:paraId="0169A576" w14:textId="77777777" w:rsidR="00FE69D3" w:rsidRPr="007F711F" w:rsidRDefault="00FE69D3">
            <w:pPr>
              <w:rPr>
                <w:color w:val="auto"/>
              </w:rPr>
            </w:pPr>
            <w:r w:rsidRPr="007F711F">
              <w:rPr>
                <w:color w:val="auto"/>
              </w:rPr>
              <w:t>Revenue Grants Unapplied</w:t>
            </w:r>
          </w:p>
        </w:tc>
        <w:tc>
          <w:tcPr>
            <w:tcW w:w="899" w:type="pct"/>
          </w:tcPr>
          <w:p w14:paraId="4CFD4196" w14:textId="77777777" w:rsidR="00FE69D3" w:rsidRPr="007F711F" w:rsidRDefault="00FE69D3">
            <w:pPr>
              <w:pStyle w:val="DecimalAligned"/>
              <w:jc w:val="right"/>
              <w:rPr>
                <w:color w:val="auto"/>
              </w:rPr>
            </w:pPr>
            <w:r w:rsidRPr="007F711F">
              <w:rPr>
                <w:color w:val="auto"/>
              </w:rPr>
              <w:t>3.689</w:t>
            </w:r>
          </w:p>
        </w:tc>
      </w:tr>
      <w:tr w:rsidR="007F711F" w:rsidRPr="007F711F" w14:paraId="03DBA85D" w14:textId="77777777">
        <w:tc>
          <w:tcPr>
            <w:tcW w:w="4101" w:type="pct"/>
            <w:noWrap/>
          </w:tcPr>
          <w:p w14:paraId="1EBAF859" w14:textId="77777777" w:rsidR="00FE69D3" w:rsidRPr="007F711F" w:rsidRDefault="00FE69D3">
            <w:pPr>
              <w:rPr>
                <w:color w:val="auto"/>
              </w:rPr>
            </w:pPr>
            <w:r w:rsidRPr="007F711F">
              <w:rPr>
                <w:color w:val="auto"/>
              </w:rPr>
              <w:t>Capital Fund</w:t>
            </w:r>
          </w:p>
        </w:tc>
        <w:tc>
          <w:tcPr>
            <w:tcW w:w="899" w:type="pct"/>
          </w:tcPr>
          <w:p w14:paraId="05D6287B" w14:textId="77777777" w:rsidR="00FE69D3" w:rsidRPr="007F711F" w:rsidRDefault="00FE69D3">
            <w:pPr>
              <w:pStyle w:val="DecimalAligned"/>
              <w:jc w:val="right"/>
              <w:rPr>
                <w:color w:val="auto"/>
              </w:rPr>
            </w:pPr>
            <w:r w:rsidRPr="007F711F">
              <w:rPr>
                <w:color w:val="auto"/>
              </w:rPr>
              <w:t>1.443</w:t>
            </w:r>
          </w:p>
        </w:tc>
      </w:tr>
      <w:tr w:rsidR="007F711F" w:rsidRPr="007F711F" w14:paraId="630B1188" w14:textId="77777777">
        <w:tc>
          <w:tcPr>
            <w:tcW w:w="4101" w:type="pct"/>
            <w:noWrap/>
          </w:tcPr>
          <w:p w14:paraId="1CD6BBAC" w14:textId="77777777" w:rsidR="00FE69D3" w:rsidRPr="007F711F" w:rsidRDefault="00FE69D3">
            <w:pPr>
              <w:rPr>
                <w:color w:val="auto"/>
              </w:rPr>
            </w:pPr>
            <w:r w:rsidRPr="007F711F">
              <w:rPr>
                <w:color w:val="auto"/>
              </w:rPr>
              <w:t>Insurance Fund</w:t>
            </w:r>
          </w:p>
        </w:tc>
        <w:tc>
          <w:tcPr>
            <w:tcW w:w="899" w:type="pct"/>
          </w:tcPr>
          <w:p w14:paraId="74EA7EB0" w14:textId="77777777" w:rsidR="00FE69D3" w:rsidRPr="007F711F" w:rsidRDefault="00FE69D3">
            <w:pPr>
              <w:pStyle w:val="DecimalAligned"/>
              <w:jc w:val="right"/>
              <w:rPr>
                <w:color w:val="auto"/>
              </w:rPr>
            </w:pPr>
            <w:r w:rsidRPr="007F711F">
              <w:rPr>
                <w:color w:val="auto"/>
              </w:rPr>
              <w:t>0.050</w:t>
            </w:r>
          </w:p>
        </w:tc>
      </w:tr>
      <w:tr w:rsidR="007F711F" w:rsidRPr="007F711F" w14:paraId="0FE2F28C" w14:textId="77777777">
        <w:tc>
          <w:tcPr>
            <w:tcW w:w="4101" w:type="pct"/>
            <w:noWrap/>
          </w:tcPr>
          <w:p w14:paraId="3AAC8851" w14:textId="77777777" w:rsidR="00FE69D3" w:rsidRPr="007F711F" w:rsidRDefault="00FE69D3">
            <w:pPr>
              <w:rPr>
                <w:color w:val="auto"/>
              </w:rPr>
            </w:pPr>
            <w:r w:rsidRPr="007F711F">
              <w:rPr>
                <w:color w:val="auto"/>
              </w:rPr>
              <w:t>Planned Spending Funds</w:t>
            </w:r>
          </w:p>
        </w:tc>
        <w:tc>
          <w:tcPr>
            <w:tcW w:w="899" w:type="pct"/>
          </w:tcPr>
          <w:p w14:paraId="07F65336" w14:textId="77777777" w:rsidR="00FE69D3" w:rsidRPr="007F711F" w:rsidRDefault="00FE69D3">
            <w:pPr>
              <w:pStyle w:val="DecimalAligned"/>
              <w:jc w:val="right"/>
              <w:rPr>
                <w:color w:val="auto"/>
              </w:rPr>
            </w:pPr>
            <w:r w:rsidRPr="007F711F">
              <w:rPr>
                <w:color w:val="auto"/>
              </w:rPr>
              <w:t>14.877</w:t>
            </w:r>
          </w:p>
        </w:tc>
      </w:tr>
      <w:tr w:rsidR="007F711F" w:rsidRPr="007F711F" w14:paraId="30509749" w14:textId="77777777">
        <w:tc>
          <w:tcPr>
            <w:tcW w:w="4101" w:type="pct"/>
            <w:noWrap/>
          </w:tcPr>
          <w:p w14:paraId="107F939E" w14:textId="77777777" w:rsidR="00FE69D3" w:rsidRPr="007F711F" w:rsidRDefault="00FE69D3">
            <w:pPr>
              <w:rPr>
                <w:color w:val="auto"/>
              </w:rPr>
            </w:pPr>
            <w:r w:rsidRPr="007F711F">
              <w:rPr>
                <w:color w:val="auto"/>
              </w:rPr>
              <w:t>Funds for Acquired Properties</w:t>
            </w:r>
          </w:p>
        </w:tc>
        <w:tc>
          <w:tcPr>
            <w:tcW w:w="899" w:type="pct"/>
          </w:tcPr>
          <w:p w14:paraId="094ED511" w14:textId="77777777" w:rsidR="00FE69D3" w:rsidRPr="007F711F" w:rsidRDefault="00FE69D3">
            <w:pPr>
              <w:pStyle w:val="DecimalAligned"/>
              <w:jc w:val="right"/>
              <w:rPr>
                <w:color w:val="auto"/>
              </w:rPr>
            </w:pPr>
            <w:r w:rsidRPr="007F711F">
              <w:rPr>
                <w:color w:val="auto"/>
              </w:rPr>
              <w:t>33.823</w:t>
            </w:r>
          </w:p>
        </w:tc>
      </w:tr>
      <w:tr w:rsidR="007F711F" w:rsidRPr="007F711F" w14:paraId="66A4AD84" w14:textId="77777777">
        <w:tc>
          <w:tcPr>
            <w:tcW w:w="4101" w:type="pct"/>
            <w:noWrap/>
          </w:tcPr>
          <w:p w14:paraId="1EC8A882" w14:textId="77777777" w:rsidR="00FE69D3" w:rsidRPr="007F711F" w:rsidRDefault="00FE69D3">
            <w:pPr>
              <w:rPr>
                <w:color w:val="auto"/>
              </w:rPr>
            </w:pPr>
            <w:r w:rsidRPr="007F711F">
              <w:rPr>
                <w:color w:val="auto"/>
              </w:rPr>
              <w:t>Youth Fund</w:t>
            </w:r>
          </w:p>
        </w:tc>
        <w:tc>
          <w:tcPr>
            <w:tcW w:w="899" w:type="pct"/>
          </w:tcPr>
          <w:p w14:paraId="12F546AA" w14:textId="77777777" w:rsidR="00FE69D3" w:rsidRPr="007F711F" w:rsidRDefault="00FE69D3">
            <w:pPr>
              <w:pStyle w:val="DecimalAligned"/>
              <w:jc w:val="right"/>
              <w:rPr>
                <w:color w:val="auto"/>
              </w:rPr>
            </w:pPr>
            <w:r w:rsidRPr="007F711F">
              <w:rPr>
                <w:color w:val="auto"/>
              </w:rPr>
              <w:t>0.020</w:t>
            </w:r>
          </w:p>
        </w:tc>
      </w:tr>
      <w:tr w:rsidR="007F711F" w:rsidRPr="007F711F" w14:paraId="57DB953F" w14:textId="77777777">
        <w:tc>
          <w:tcPr>
            <w:tcW w:w="4101" w:type="pct"/>
            <w:noWrap/>
          </w:tcPr>
          <w:p w14:paraId="56A17EEA" w14:textId="77777777" w:rsidR="00FE69D3" w:rsidRPr="007F711F" w:rsidRDefault="00FE69D3">
            <w:pPr>
              <w:rPr>
                <w:color w:val="auto"/>
              </w:rPr>
            </w:pPr>
            <w:r w:rsidRPr="007F711F">
              <w:rPr>
                <w:color w:val="auto"/>
              </w:rPr>
              <w:t>Local Environmental Assessment Fund</w:t>
            </w:r>
          </w:p>
        </w:tc>
        <w:tc>
          <w:tcPr>
            <w:tcW w:w="899" w:type="pct"/>
          </w:tcPr>
          <w:p w14:paraId="0C8EA84F" w14:textId="77777777" w:rsidR="00FE69D3" w:rsidRPr="007F711F" w:rsidRDefault="00FE69D3">
            <w:pPr>
              <w:pStyle w:val="DecimalAligned"/>
              <w:jc w:val="right"/>
              <w:rPr>
                <w:color w:val="auto"/>
              </w:rPr>
            </w:pPr>
            <w:r w:rsidRPr="007F711F">
              <w:rPr>
                <w:color w:val="auto"/>
              </w:rPr>
              <w:t>0.163</w:t>
            </w:r>
          </w:p>
        </w:tc>
      </w:tr>
      <w:tr w:rsidR="007F711F" w:rsidRPr="007F711F" w14:paraId="35FA16CB" w14:textId="77777777">
        <w:tc>
          <w:tcPr>
            <w:tcW w:w="4101" w:type="pct"/>
            <w:noWrap/>
          </w:tcPr>
          <w:p w14:paraId="1DF974B8" w14:textId="77777777" w:rsidR="00FE69D3" w:rsidRPr="007F711F" w:rsidRDefault="00FE69D3">
            <w:pPr>
              <w:rPr>
                <w:color w:val="auto"/>
              </w:rPr>
            </w:pPr>
            <w:r w:rsidRPr="007F711F">
              <w:rPr>
                <w:color w:val="auto"/>
              </w:rPr>
              <w:t>Contributions from Developers</w:t>
            </w:r>
          </w:p>
        </w:tc>
        <w:tc>
          <w:tcPr>
            <w:tcW w:w="899" w:type="pct"/>
          </w:tcPr>
          <w:p w14:paraId="05FF80BA" w14:textId="77777777" w:rsidR="00FE69D3" w:rsidRPr="007F711F" w:rsidRDefault="00FE69D3">
            <w:pPr>
              <w:pStyle w:val="DecimalAligned"/>
              <w:jc w:val="right"/>
              <w:rPr>
                <w:color w:val="auto"/>
              </w:rPr>
            </w:pPr>
            <w:r w:rsidRPr="007F711F">
              <w:rPr>
                <w:color w:val="auto"/>
              </w:rPr>
              <w:t>9.507</w:t>
            </w:r>
          </w:p>
        </w:tc>
      </w:tr>
      <w:tr w:rsidR="007F711F" w:rsidRPr="007F711F" w14:paraId="2211BFF2" w14:textId="77777777">
        <w:tc>
          <w:tcPr>
            <w:tcW w:w="4101" w:type="pct"/>
            <w:tcBorders>
              <w:top w:val="single" w:sz="4" w:space="0" w:color="auto"/>
              <w:bottom w:val="single" w:sz="8" w:space="0" w:color="5A4B9A" w:themeColor="accent1"/>
            </w:tcBorders>
            <w:noWrap/>
          </w:tcPr>
          <w:p w14:paraId="56493E90" w14:textId="0DF3A8D2" w:rsidR="00FE69D3" w:rsidRPr="007F711F" w:rsidRDefault="00FE69D3">
            <w:pPr>
              <w:rPr>
                <w:b/>
                <w:bCs/>
                <w:color w:val="auto"/>
              </w:rPr>
            </w:pPr>
            <w:r w:rsidRPr="007F711F">
              <w:rPr>
                <w:b/>
                <w:bCs/>
                <w:color w:val="auto"/>
              </w:rPr>
              <w:t>Earmarked Reserves at 31 March 2022</w:t>
            </w:r>
          </w:p>
          <w:p w14:paraId="52F20BD4" w14:textId="77777777" w:rsidR="00FE69D3" w:rsidRPr="007F711F" w:rsidRDefault="00FE69D3">
            <w:pPr>
              <w:rPr>
                <w:b/>
                <w:bCs/>
                <w:color w:val="auto"/>
              </w:rPr>
            </w:pPr>
          </w:p>
        </w:tc>
        <w:tc>
          <w:tcPr>
            <w:tcW w:w="899" w:type="pct"/>
            <w:tcBorders>
              <w:top w:val="single" w:sz="4" w:space="0" w:color="auto"/>
              <w:bottom w:val="single" w:sz="8" w:space="0" w:color="5A4B9A" w:themeColor="accent1"/>
            </w:tcBorders>
          </w:tcPr>
          <w:p w14:paraId="2ABCA4F9" w14:textId="77777777" w:rsidR="00FE69D3" w:rsidRPr="007F711F" w:rsidRDefault="00FE69D3">
            <w:pPr>
              <w:pStyle w:val="DecimalAligned"/>
              <w:jc w:val="right"/>
              <w:rPr>
                <w:color w:val="auto"/>
              </w:rPr>
            </w:pPr>
            <w:r w:rsidRPr="007F711F">
              <w:rPr>
                <w:color w:val="auto"/>
              </w:rPr>
              <w:t>63.372</w:t>
            </w:r>
          </w:p>
        </w:tc>
      </w:tr>
      <w:tr w:rsidR="007F711F" w:rsidRPr="007F711F" w14:paraId="0E64378C" w14:textId="77777777">
        <w:tc>
          <w:tcPr>
            <w:tcW w:w="4101" w:type="pct"/>
            <w:tcBorders>
              <w:top w:val="single" w:sz="8" w:space="0" w:color="5A4B9A" w:themeColor="accent1"/>
            </w:tcBorders>
            <w:noWrap/>
          </w:tcPr>
          <w:p w14:paraId="1DFD7870" w14:textId="77777777" w:rsidR="00FE69D3" w:rsidRPr="007F711F" w:rsidRDefault="00FE69D3">
            <w:pPr>
              <w:rPr>
                <w:color w:val="auto"/>
              </w:rPr>
            </w:pPr>
            <w:r w:rsidRPr="007F711F">
              <w:rPr>
                <w:color w:val="auto"/>
              </w:rPr>
              <w:t>General Fund Balances</w:t>
            </w:r>
          </w:p>
        </w:tc>
        <w:tc>
          <w:tcPr>
            <w:tcW w:w="899" w:type="pct"/>
            <w:tcBorders>
              <w:top w:val="single" w:sz="8" w:space="0" w:color="5A4B9A" w:themeColor="accent1"/>
            </w:tcBorders>
          </w:tcPr>
          <w:p w14:paraId="20022C24" w14:textId="77777777" w:rsidR="00FE69D3" w:rsidRPr="007F711F" w:rsidRDefault="00FE69D3">
            <w:pPr>
              <w:pStyle w:val="DecimalAligned"/>
              <w:jc w:val="right"/>
              <w:rPr>
                <w:color w:val="auto"/>
              </w:rPr>
            </w:pPr>
            <w:r w:rsidRPr="007F711F">
              <w:rPr>
                <w:color w:val="auto"/>
              </w:rPr>
              <w:t>2.002</w:t>
            </w:r>
          </w:p>
        </w:tc>
      </w:tr>
      <w:tr w:rsidR="007F711F" w:rsidRPr="007F711F" w14:paraId="6B70E110" w14:textId="77777777">
        <w:trPr>
          <w:cnfStyle w:val="010000000000" w:firstRow="0" w:lastRow="1" w:firstColumn="0" w:lastColumn="0" w:oddVBand="0" w:evenVBand="0" w:oddHBand="0" w:evenHBand="0" w:firstRowFirstColumn="0" w:firstRowLastColumn="0" w:lastRowFirstColumn="0" w:lastRowLastColumn="0"/>
        </w:trPr>
        <w:tc>
          <w:tcPr>
            <w:tcW w:w="4101" w:type="pct"/>
            <w:noWrap/>
          </w:tcPr>
          <w:p w14:paraId="35B3C0DD" w14:textId="77777777" w:rsidR="00FE69D3" w:rsidRPr="007F711F" w:rsidRDefault="00FE69D3">
            <w:pPr>
              <w:rPr>
                <w:color w:val="auto"/>
              </w:rPr>
            </w:pPr>
            <w:r w:rsidRPr="007F711F">
              <w:rPr>
                <w:color w:val="auto"/>
              </w:rPr>
              <w:t>Total Reserves</w:t>
            </w:r>
          </w:p>
        </w:tc>
        <w:tc>
          <w:tcPr>
            <w:tcW w:w="899" w:type="pct"/>
          </w:tcPr>
          <w:p w14:paraId="4BFAB14E" w14:textId="77777777" w:rsidR="00FE69D3" w:rsidRPr="007F711F" w:rsidRDefault="00FE69D3">
            <w:pPr>
              <w:pStyle w:val="DecimalAligned"/>
              <w:jc w:val="right"/>
              <w:rPr>
                <w:color w:val="auto"/>
              </w:rPr>
            </w:pPr>
            <w:r w:rsidRPr="007F711F">
              <w:rPr>
                <w:color w:val="auto"/>
              </w:rPr>
              <w:t>65.374</w:t>
            </w:r>
          </w:p>
        </w:tc>
      </w:tr>
    </w:tbl>
    <w:p w14:paraId="7A585CF5" w14:textId="77777777" w:rsidR="00FE69D3" w:rsidRPr="007F711F" w:rsidRDefault="00FE69D3" w:rsidP="00FE69D3">
      <w:pPr>
        <w:pStyle w:val="FootnoteText"/>
        <w:rPr>
          <w:i/>
          <w:iCs/>
          <w:sz w:val="18"/>
          <w:szCs w:val="18"/>
        </w:rPr>
      </w:pPr>
      <w:r w:rsidRPr="007F711F">
        <w:rPr>
          <w:rStyle w:val="SubtleEmphasis"/>
          <w:i w:val="0"/>
          <w:iCs w:val="0"/>
          <w:color w:val="auto"/>
          <w:sz w:val="18"/>
          <w:szCs w:val="18"/>
        </w:rPr>
        <w:t>Source:</w:t>
      </w:r>
      <w:r w:rsidRPr="007F711F">
        <w:rPr>
          <w:i/>
          <w:iCs/>
          <w:sz w:val="18"/>
          <w:szCs w:val="18"/>
        </w:rPr>
        <w:t xml:space="preserve"> Draft Statement of Accounts 2021-22</w:t>
      </w:r>
    </w:p>
    <w:p w14:paraId="6C352CA5" w14:textId="77777777" w:rsidR="00581491" w:rsidRDefault="00581491" w:rsidP="00FF4D6E"/>
    <w:p w14:paraId="4B88C73D" w14:textId="1D768F20" w:rsidR="00E47C89" w:rsidRDefault="00D0704C" w:rsidP="004B5412">
      <w:pPr>
        <w:jc w:val="both"/>
      </w:pPr>
      <w:r>
        <w:t>In addition</w:t>
      </w:r>
      <w:r w:rsidR="00DF326F">
        <w:t>,</w:t>
      </w:r>
      <w:r>
        <w:t xml:space="preserve"> the </w:t>
      </w:r>
      <w:r w:rsidR="007F1193">
        <w:t>c</w:t>
      </w:r>
      <w:r w:rsidR="002E04E0">
        <w:t>ouncil faces further potential losses of some £</w:t>
      </w:r>
      <w:r w:rsidR="00263057">
        <w:t>18</w:t>
      </w:r>
      <w:r w:rsidR="00CD4527">
        <w:t xml:space="preserve"> </w:t>
      </w:r>
      <w:r w:rsidR="00263057">
        <w:t>m</w:t>
      </w:r>
      <w:r w:rsidR="00CD4527">
        <w:t>illion</w:t>
      </w:r>
      <w:r w:rsidR="00263057">
        <w:t xml:space="preserve"> if </w:t>
      </w:r>
      <w:r w:rsidR="00825B25">
        <w:t>its affordable housing programme is not viable</w:t>
      </w:r>
      <w:r w:rsidR="00C2786D">
        <w:t xml:space="preserve"> </w:t>
      </w:r>
      <w:r w:rsidR="00825B25">
        <w:t xml:space="preserve">and </w:t>
      </w:r>
      <w:r w:rsidR="008D474F">
        <w:t>it has to dispose of properties that it has already purchased.</w:t>
      </w:r>
      <w:r w:rsidR="00997762">
        <w:t xml:space="preserve">  </w:t>
      </w:r>
      <w:r w:rsidR="003F30B1">
        <w:t>This</w:t>
      </w:r>
      <w:r w:rsidR="008E1DDD">
        <w:t xml:space="preserve"> would </w:t>
      </w:r>
      <w:r w:rsidR="00C512DA">
        <w:t>further strain</w:t>
      </w:r>
      <w:r w:rsidR="008E1DDD">
        <w:t xml:space="preserve"> reserves</w:t>
      </w:r>
      <w:r w:rsidR="00C512DA">
        <w:t xml:space="preserve"> and</w:t>
      </w:r>
      <w:r w:rsidR="003856B9">
        <w:t xml:space="preserve"> the sinking fund.</w:t>
      </w:r>
    </w:p>
    <w:p w14:paraId="78A50839" w14:textId="70164136" w:rsidR="00FE0E54" w:rsidRDefault="00321BC8" w:rsidP="004B5412">
      <w:pPr>
        <w:jc w:val="both"/>
      </w:pPr>
      <w:r>
        <w:t xml:space="preserve">Council </w:t>
      </w:r>
      <w:r w:rsidR="000E6D1B">
        <w:t>f</w:t>
      </w:r>
      <w:r>
        <w:t xml:space="preserve">inance </w:t>
      </w:r>
      <w:r w:rsidR="000E6D1B">
        <w:t>o</w:t>
      </w:r>
      <w:r>
        <w:t>fficers</w:t>
      </w:r>
      <w:r w:rsidR="00FE0E54">
        <w:t xml:space="preserve"> recognised the considerable risks within </w:t>
      </w:r>
      <w:r w:rsidR="00745276">
        <w:t xml:space="preserve">the </w:t>
      </w:r>
      <w:r w:rsidR="00144085">
        <w:t>c</w:t>
      </w:r>
      <w:r w:rsidR="00745276">
        <w:t>ouncil’s</w:t>
      </w:r>
      <w:r w:rsidR="00FE0E54">
        <w:t xml:space="preserve"> financial plans</w:t>
      </w:r>
      <w:r w:rsidR="006354F1">
        <w:t>,</w:t>
      </w:r>
      <w:r w:rsidR="00FE0E54">
        <w:t xml:space="preserve"> </w:t>
      </w:r>
      <w:r>
        <w:t xml:space="preserve">when </w:t>
      </w:r>
      <w:r w:rsidR="00745276">
        <w:t>outlining</w:t>
      </w:r>
      <w:r>
        <w:t xml:space="preserve"> </w:t>
      </w:r>
      <w:r w:rsidR="00745276">
        <w:t>the future reserves strategy</w:t>
      </w:r>
      <w:r w:rsidR="00311173">
        <w:t>:</w:t>
      </w:r>
    </w:p>
    <w:p w14:paraId="12643167" w14:textId="696AAEFE" w:rsidR="000E6D1B" w:rsidRDefault="00311173" w:rsidP="004B5412">
      <w:pPr>
        <w:jc w:val="both"/>
        <w:rPr>
          <w:i/>
          <w:iCs/>
        </w:rPr>
      </w:pPr>
      <w:r>
        <w:rPr>
          <w:i/>
          <w:iCs/>
        </w:rPr>
        <w:t>“</w:t>
      </w:r>
      <w:r w:rsidR="00FE0E54" w:rsidRPr="003F1A0E">
        <w:rPr>
          <w:i/>
          <w:iCs/>
        </w:rPr>
        <w:t xml:space="preserve">Officers currently have sufficient cash back reserves to manage the </w:t>
      </w:r>
      <w:r w:rsidR="00144085">
        <w:rPr>
          <w:i/>
          <w:iCs/>
        </w:rPr>
        <w:t>c</w:t>
      </w:r>
      <w:r w:rsidR="00FE0E54" w:rsidRPr="003F1A0E">
        <w:rPr>
          <w:i/>
          <w:iCs/>
        </w:rPr>
        <w:t xml:space="preserve">ouncil’s affairs and therefore the </w:t>
      </w:r>
      <w:r w:rsidR="00144085">
        <w:rPr>
          <w:i/>
          <w:iCs/>
        </w:rPr>
        <w:t>c</w:t>
      </w:r>
      <w:r w:rsidR="00FE0E54" w:rsidRPr="003F1A0E">
        <w:rPr>
          <w:i/>
          <w:iCs/>
        </w:rPr>
        <w:t xml:space="preserve">ouncil is a going concern. However, a reuse of reserves, or a large call on our reserves, would cause grave concern for Officers and </w:t>
      </w:r>
      <w:r w:rsidR="00144085">
        <w:rPr>
          <w:i/>
          <w:iCs/>
        </w:rPr>
        <w:t>c</w:t>
      </w:r>
      <w:r w:rsidR="00FE0E54" w:rsidRPr="003F1A0E">
        <w:rPr>
          <w:i/>
          <w:iCs/>
        </w:rPr>
        <w:t>ouncil’s ability to remain a going concern.</w:t>
      </w:r>
      <w:r>
        <w:rPr>
          <w:i/>
          <w:iCs/>
        </w:rPr>
        <w:t>”</w:t>
      </w:r>
    </w:p>
    <w:p w14:paraId="2C745B13" w14:textId="3CC83548" w:rsidR="00FE0E54" w:rsidRPr="008C7722" w:rsidRDefault="005E1963" w:rsidP="004B5412">
      <w:pPr>
        <w:jc w:val="both"/>
        <w:rPr>
          <w:i/>
          <w:iCs/>
        </w:rPr>
      </w:pPr>
      <w:r w:rsidRPr="006354F1">
        <w:rPr>
          <w:i/>
          <w:iCs/>
          <w:sz w:val="18"/>
          <w:szCs w:val="18"/>
        </w:rPr>
        <w:t xml:space="preserve">(Para 2.13 </w:t>
      </w:r>
      <w:r w:rsidR="005951CF" w:rsidRPr="006354F1">
        <w:rPr>
          <w:i/>
          <w:iCs/>
          <w:sz w:val="18"/>
          <w:szCs w:val="18"/>
        </w:rPr>
        <w:t>–</w:t>
      </w:r>
      <w:r w:rsidRPr="006354F1">
        <w:rPr>
          <w:i/>
          <w:iCs/>
          <w:sz w:val="18"/>
          <w:szCs w:val="18"/>
        </w:rPr>
        <w:t xml:space="preserve"> </w:t>
      </w:r>
      <w:r w:rsidR="005951CF" w:rsidRPr="006354F1">
        <w:rPr>
          <w:i/>
          <w:iCs/>
          <w:sz w:val="18"/>
          <w:szCs w:val="18"/>
        </w:rPr>
        <w:t>Capital and Reserves Strategy Report to C</w:t>
      </w:r>
      <w:r w:rsidR="00F80D4D">
        <w:rPr>
          <w:i/>
          <w:iCs/>
          <w:sz w:val="18"/>
          <w:szCs w:val="18"/>
        </w:rPr>
        <w:t xml:space="preserve">orporate </w:t>
      </w:r>
      <w:r w:rsidR="005951CF" w:rsidRPr="006354F1">
        <w:rPr>
          <w:i/>
          <w:iCs/>
          <w:sz w:val="18"/>
          <w:szCs w:val="18"/>
        </w:rPr>
        <w:t>P</w:t>
      </w:r>
      <w:r w:rsidR="00F80D4D">
        <w:rPr>
          <w:i/>
          <w:iCs/>
          <w:sz w:val="18"/>
          <w:szCs w:val="18"/>
        </w:rPr>
        <w:t xml:space="preserve">olicy and </w:t>
      </w:r>
      <w:r w:rsidR="005951CF" w:rsidRPr="006354F1">
        <w:rPr>
          <w:i/>
          <w:iCs/>
          <w:sz w:val="18"/>
          <w:szCs w:val="18"/>
        </w:rPr>
        <w:t>R</w:t>
      </w:r>
      <w:r w:rsidR="00F80D4D">
        <w:rPr>
          <w:i/>
          <w:iCs/>
          <w:sz w:val="18"/>
          <w:szCs w:val="18"/>
        </w:rPr>
        <w:t>eserves Committee</w:t>
      </w:r>
      <w:r w:rsidR="00296AF2">
        <w:rPr>
          <w:i/>
          <w:iCs/>
          <w:sz w:val="18"/>
          <w:szCs w:val="18"/>
        </w:rPr>
        <w:t xml:space="preserve"> 16 January 2023</w:t>
      </w:r>
      <w:r w:rsidR="005951CF" w:rsidRPr="006354F1">
        <w:rPr>
          <w:i/>
          <w:iCs/>
          <w:sz w:val="18"/>
          <w:szCs w:val="18"/>
        </w:rPr>
        <w:t>)</w:t>
      </w:r>
    </w:p>
    <w:p w14:paraId="15A80C0E" w14:textId="5FA6D080" w:rsidR="00C11DC5" w:rsidRDefault="00FD1B25" w:rsidP="004B5412">
      <w:pPr>
        <w:jc w:val="both"/>
      </w:pPr>
      <w:r>
        <w:t xml:space="preserve">At this stage the </w:t>
      </w:r>
      <w:r w:rsidR="004A58BC">
        <w:t>c</w:t>
      </w:r>
      <w:r>
        <w:t>ouncil has not established clear saving plans</w:t>
      </w:r>
      <w:r w:rsidR="000E6D1B">
        <w:t xml:space="preserve"> </w:t>
      </w:r>
      <w:r>
        <w:t>or a transformation programme to address the</w:t>
      </w:r>
      <w:r w:rsidR="00FA45DD">
        <w:t xml:space="preserve"> current </w:t>
      </w:r>
      <w:r w:rsidR="00DA102A">
        <w:t xml:space="preserve">MTFP </w:t>
      </w:r>
      <w:r w:rsidR="00692979">
        <w:t>deficits</w:t>
      </w:r>
      <w:r>
        <w:t>.</w:t>
      </w:r>
      <w:r w:rsidR="00C11DC5">
        <w:t xml:space="preserve"> Th</w:t>
      </w:r>
      <w:r w:rsidR="00DA102A">
        <w:t xml:space="preserve">ere are </w:t>
      </w:r>
      <w:r w:rsidR="00C11DC5">
        <w:t xml:space="preserve">digital and </w:t>
      </w:r>
      <w:r w:rsidR="004B05FC">
        <w:t>shared services</w:t>
      </w:r>
      <w:r w:rsidR="00C052FE">
        <w:t xml:space="preserve"> initiatives</w:t>
      </w:r>
      <w:r w:rsidR="00296AF2">
        <w:t xml:space="preserve">, but </w:t>
      </w:r>
      <w:r w:rsidR="00DA102A">
        <w:t xml:space="preserve">they lack projected </w:t>
      </w:r>
      <w:r w:rsidR="00C0015D">
        <w:t xml:space="preserve">timescales </w:t>
      </w:r>
      <w:r w:rsidR="00BA2214">
        <w:t>or</w:t>
      </w:r>
      <w:r w:rsidR="00C0015D">
        <w:t xml:space="preserve"> worked-up savings targets. </w:t>
      </w:r>
    </w:p>
    <w:p w14:paraId="6F04C233" w14:textId="1D99B304" w:rsidR="007C409D" w:rsidRDefault="00AF0829" w:rsidP="004B5412">
      <w:pPr>
        <w:jc w:val="both"/>
      </w:pPr>
      <w:r>
        <w:t>SBC</w:t>
      </w:r>
      <w:r w:rsidR="00FD1B25">
        <w:t xml:space="preserve"> </w:t>
      </w:r>
      <w:r w:rsidR="00BE00C3">
        <w:t>believes</w:t>
      </w:r>
      <w:r w:rsidR="00FD1B25">
        <w:t xml:space="preserve"> it takes a prudent approach to setting budgets and that there is potential for the </w:t>
      </w:r>
      <w:r w:rsidR="00BE00C3">
        <w:t>c</w:t>
      </w:r>
      <w:r w:rsidR="00FD1B25">
        <w:t xml:space="preserve">ommercial </w:t>
      </w:r>
      <w:r w:rsidR="00BE00C3">
        <w:t>p</w:t>
      </w:r>
      <w:r w:rsidR="00FD1B25">
        <w:t>ortfolio to generate additional income</w:t>
      </w:r>
      <w:r w:rsidR="00BE00C3">
        <w:t>, which</w:t>
      </w:r>
      <w:r w:rsidR="00FD1B25">
        <w:t xml:space="preserve"> may help to offset future projected deficits.</w:t>
      </w:r>
      <w:r w:rsidR="003A61F2">
        <w:t xml:space="preserve">  The Revenue Budget Report approved by </w:t>
      </w:r>
      <w:r w:rsidR="00DF1BD1">
        <w:t>c</w:t>
      </w:r>
      <w:r w:rsidR="003A61F2">
        <w:t>ouncil states that</w:t>
      </w:r>
      <w:r w:rsidR="00BE00C3">
        <w:t>,</w:t>
      </w:r>
      <w:r w:rsidR="003A61F2">
        <w:t xml:space="preserve"> </w:t>
      </w:r>
      <w:r w:rsidR="003A6A78" w:rsidRPr="003A6A78">
        <w:rPr>
          <w:i/>
          <w:iCs/>
        </w:rPr>
        <w:t>“</w:t>
      </w:r>
      <w:r w:rsidR="007F3E53" w:rsidRPr="003A6A78">
        <w:rPr>
          <w:i/>
          <w:iCs/>
        </w:rPr>
        <w:t>Officers will also be working to identify additional cashable service improvements and savings through all the services over the next four years</w:t>
      </w:r>
      <w:r w:rsidR="00D04EF4">
        <w:rPr>
          <w:i/>
          <w:iCs/>
        </w:rPr>
        <w:t>.</w:t>
      </w:r>
      <w:r w:rsidR="003A6A78" w:rsidRPr="003A6A78">
        <w:rPr>
          <w:i/>
          <w:iCs/>
        </w:rPr>
        <w:t>”</w:t>
      </w:r>
    </w:p>
    <w:p w14:paraId="2A5B2A68" w14:textId="220A18FD" w:rsidR="002E4378" w:rsidRDefault="007C409D" w:rsidP="004B5412">
      <w:pPr>
        <w:jc w:val="both"/>
      </w:pPr>
      <w:r>
        <w:t>I</w:t>
      </w:r>
      <w:r w:rsidR="00512D31">
        <w:t xml:space="preserve">f the </w:t>
      </w:r>
      <w:r w:rsidR="00F84494">
        <w:t xml:space="preserve">forthcoming </w:t>
      </w:r>
      <w:r w:rsidR="00850922">
        <w:t xml:space="preserve">assessment </w:t>
      </w:r>
      <w:r w:rsidR="00BA2214">
        <w:t>of the</w:t>
      </w:r>
      <w:r w:rsidR="00850922">
        <w:t xml:space="preserve"> </w:t>
      </w:r>
      <w:r w:rsidR="00EF08EE">
        <w:t xml:space="preserve">affordable </w:t>
      </w:r>
      <w:r w:rsidR="00512D31">
        <w:t>housing schemes do</w:t>
      </w:r>
      <w:r w:rsidR="00F84494">
        <w:t>es</w:t>
      </w:r>
      <w:r w:rsidR="00512D31">
        <w:t xml:space="preserve"> not </w:t>
      </w:r>
      <w:r w:rsidR="007E2D1D">
        <w:t>find</w:t>
      </w:r>
      <w:r w:rsidR="00512D31">
        <w:t xml:space="preserve"> </w:t>
      </w:r>
      <w:r w:rsidR="001E70EA">
        <w:t>them</w:t>
      </w:r>
      <w:r w:rsidR="00512D31">
        <w:t xml:space="preserve"> viable</w:t>
      </w:r>
      <w:r w:rsidR="001E70EA">
        <w:t xml:space="preserve">, </w:t>
      </w:r>
      <w:r w:rsidR="007E2D1D">
        <w:t>SBC</w:t>
      </w:r>
      <w:r w:rsidR="00850922">
        <w:t xml:space="preserve"> will have little option but to </w:t>
      </w:r>
      <w:r w:rsidR="00EF08EE">
        <w:t>sell the properties purchased for these schemes</w:t>
      </w:r>
      <w:r w:rsidR="008D344B">
        <w:t>. This</w:t>
      </w:r>
      <w:r w:rsidR="00EF08EE">
        <w:t xml:space="preserve"> will place significant pressure on </w:t>
      </w:r>
      <w:r w:rsidR="008D344B">
        <w:t xml:space="preserve">the </w:t>
      </w:r>
      <w:r w:rsidR="00202082">
        <w:t>revenue budget</w:t>
      </w:r>
      <w:r w:rsidR="00D07C42">
        <w:t>,</w:t>
      </w:r>
      <w:r w:rsidR="00202082">
        <w:t xml:space="preserve"> reserves, </w:t>
      </w:r>
      <w:r w:rsidR="00D07C42">
        <w:t>and</w:t>
      </w:r>
      <w:r w:rsidR="008D344B">
        <w:t xml:space="preserve"> the</w:t>
      </w:r>
      <w:r w:rsidR="00202082">
        <w:t xml:space="preserve"> sinking fund.</w:t>
      </w:r>
    </w:p>
    <w:p w14:paraId="735D36C2" w14:textId="3D42C6E1" w:rsidR="00FB28DA" w:rsidRDefault="00E14586" w:rsidP="004B5412">
      <w:pPr>
        <w:jc w:val="both"/>
      </w:pPr>
      <w:r>
        <w:t>The revenue budget also faces further potential pressure from</w:t>
      </w:r>
      <w:r w:rsidR="00C0015D">
        <w:t>:</w:t>
      </w:r>
    </w:p>
    <w:p w14:paraId="4CDB9B32" w14:textId="2EB9A543" w:rsidR="00E14586" w:rsidRDefault="009A23FD" w:rsidP="00F34C2F">
      <w:pPr>
        <w:pStyle w:val="ListParagraph"/>
        <w:numPr>
          <w:ilvl w:val="0"/>
          <w:numId w:val="28"/>
        </w:numPr>
        <w:jc w:val="both"/>
      </w:pPr>
      <w:r>
        <w:t>t</w:t>
      </w:r>
      <w:r w:rsidR="00E14586">
        <w:t>he Sinking Fund Review</w:t>
      </w:r>
      <w:r w:rsidR="00B26697">
        <w:t xml:space="preserve">. This </w:t>
      </w:r>
      <w:r w:rsidR="00E14586">
        <w:t xml:space="preserve">may indicate that the </w:t>
      </w:r>
      <w:r>
        <w:t>c</w:t>
      </w:r>
      <w:r w:rsidR="00997EDA">
        <w:t xml:space="preserve">ouncil </w:t>
      </w:r>
      <w:r w:rsidR="00B26697">
        <w:t>should</w:t>
      </w:r>
      <w:r w:rsidR="00997EDA">
        <w:t xml:space="preserve"> set aside more money</w:t>
      </w:r>
      <w:r w:rsidR="00B26697">
        <w:t xml:space="preserve">, </w:t>
      </w:r>
      <w:r w:rsidR="00526FAB">
        <w:t>reducing</w:t>
      </w:r>
      <w:r w:rsidR="00997EDA">
        <w:t xml:space="preserve"> contribution</w:t>
      </w:r>
      <w:r w:rsidR="00526FAB">
        <w:t>s</w:t>
      </w:r>
      <w:r w:rsidR="00997EDA">
        <w:t xml:space="preserve"> to the revenue budget</w:t>
      </w:r>
    </w:p>
    <w:p w14:paraId="6215D949" w14:textId="60C4EC3D" w:rsidR="00997EDA" w:rsidRDefault="009A23FD" w:rsidP="00F34C2F">
      <w:pPr>
        <w:pStyle w:val="ListParagraph"/>
        <w:numPr>
          <w:ilvl w:val="0"/>
          <w:numId w:val="28"/>
        </w:numPr>
        <w:jc w:val="both"/>
      </w:pPr>
      <w:r>
        <w:t>i</w:t>
      </w:r>
      <w:r w:rsidR="003273D9">
        <w:t>ncreased borrowing costs</w:t>
      </w:r>
      <w:r w:rsidR="00EE5480">
        <w:t xml:space="preserve">. The </w:t>
      </w:r>
      <w:r>
        <w:t>c</w:t>
      </w:r>
      <w:r w:rsidR="003273D9">
        <w:t xml:space="preserve">ouncil </w:t>
      </w:r>
      <w:r w:rsidR="00526FAB">
        <w:t>may</w:t>
      </w:r>
      <w:r w:rsidR="003273D9">
        <w:t xml:space="preserve"> need to borrow significant sums over the next two</w:t>
      </w:r>
      <w:r w:rsidR="00E028EA">
        <w:t xml:space="preserve"> years</w:t>
      </w:r>
      <w:r w:rsidR="003273D9">
        <w:t xml:space="preserve"> </w:t>
      </w:r>
      <w:r w:rsidR="00E028EA">
        <w:t>to complete existing capital programme schemes including a new Leisure Centre with a projected £47</w:t>
      </w:r>
      <w:r w:rsidR="00722FAF">
        <w:t xml:space="preserve"> </w:t>
      </w:r>
      <w:r w:rsidR="00E028EA">
        <w:t>m</w:t>
      </w:r>
      <w:r w:rsidR="00722FAF">
        <w:t>illion</w:t>
      </w:r>
      <w:r w:rsidR="00E028EA">
        <w:t xml:space="preserve"> cost</w:t>
      </w:r>
    </w:p>
    <w:p w14:paraId="7653F4A7" w14:textId="29D8FE2B" w:rsidR="00F00218" w:rsidRPr="00F00218" w:rsidRDefault="00513943" w:rsidP="004B5412">
      <w:pPr>
        <w:jc w:val="both"/>
      </w:pPr>
      <w:r>
        <w:t>In summary, the Revenue Budget</w:t>
      </w:r>
      <w:r w:rsidR="00C46765">
        <w:t xml:space="preserve">, </w:t>
      </w:r>
      <w:r>
        <w:t>already projecting significant deficits over the period of the MTFP</w:t>
      </w:r>
      <w:r w:rsidR="00C46765">
        <w:t>,</w:t>
      </w:r>
      <w:r>
        <w:t xml:space="preserve"> faces further significant pressures</w:t>
      </w:r>
      <w:r w:rsidR="00083A98">
        <w:t>, which</w:t>
      </w:r>
      <w:r>
        <w:t xml:space="preserve"> could </w:t>
      </w:r>
      <w:r w:rsidR="00563E2D">
        <w:t xml:space="preserve">further increase </w:t>
      </w:r>
      <w:r w:rsidR="00850C68">
        <w:t xml:space="preserve"> </w:t>
      </w:r>
      <w:r w:rsidR="00C46765">
        <w:t xml:space="preserve">the </w:t>
      </w:r>
      <w:r w:rsidR="00850C68">
        <w:t xml:space="preserve">deficit.  The </w:t>
      </w:r>
      <w:r w:rsidR="009A23FD">
        <w:t>c</w:t>
      </w:r>
      <w:r w:rsidR="00850C68">
        <w:t xml:space="preserve">ouncil does not as yet have robust plans </w:t>
      </w:r>
      <w:r w:rsidR="00414F82">
        <w:t xml:space="preserve">for managing </w:t>
      </w:r>
      <w:r w:rsidR="00850C68">
        <w:t xml:space="preserve">this </w:t>
      </w:r>
      <w:r w:rsidR="00D46C70">
        <w:t>challenge.</w:t>
      </w:r>
    </w:p>
    <w:p w14:paraId="0EC4DB4A" w14:textId="291FA0D6" w:rsidR="00196100" w:rsidRPr="00A77630" w:rsidRDefault="00A77630" w:rsidP="004B5412">
      <w:pPr>
        <w:jc w:val="both"/>
        <w:rPr>
          <w:b/>
          <w:bCs/>
          <w:i/>
          <w:iCs/>
          <w:sz w:val="24"/>
          <w:szCs w:val="24"/>
        </w:rPr>
      </w:pPr>
      <w:r w:rsidRPr="00A77630">
        <w:rPr>
          <w:b/>
          <w:bCs/>
          <w:i/>
          <w:iCs/>
          <w:sz w:val="24"/>
          <w:szCs w:val="24"/>
        </w:rPr>
        <w:t>C</w:t>
      </w:r>
      <w:r w:rsidR="001B035A" w:rsidRPr="00A77630">
        <w:rPr>
          <w:b/>
          <w:bCs/>
          <w:i/>
          <w:iCs/>
          <w:sz w:val="24"/>
          <w:szCs w:val="24"/>
        </w:rPr>
        <w:t>apital Investment Plans</w:t>
      </w:r>
    </w:p>
    <w:p w14:paraId="66D33D5E" w14:textId="744D21B4" w:rsidR="00D33DB3" w:rsidRDefault="00D33DB3" w:rsidP="004B5412">
      <w:pPr>
        <w:jc w:val="both"/>
      </w:pPr>
      <w:r>
        <w:t xml:space="preserve">The </w:t>
      </w:r>
      <w:r w:rsidR="009A23FD">
        <w:t>c</w:t>
      </w:r>
      <w:r>
        <w:t>ouncil</w:t>
      </w:r>
      <w:r w:rsidR="00F65CCD">
        <w:t>’s Capital Strategy</w:t>
      </w:r>
      <w:r>
        <w:t xml:space="preserve"> is clear </w:t>
      </w:r>
      <w:r w:rsidR="00C60032">
        <w:t>that its future capital expenditure will meet the requirements of the PWLB lending</w:t>
      </w:r>
      <w:r w:rsidR="00F65CCD">
        <w:t xml:space="preserve"> criteria</w:t>
      </w:r>
      <w:r w:rsidR="007853E1">
        <w:t>:</w:t>
      </w:r>
    </w:p>
    <w:p w14:paraId="16E69BAC" w14:textId="4E12F1DF" w:rsidR="006A1E10" w:rsidRDefault="007853E1" w:rsidP="004B5412">
      <w:pPr>
        <w:jc w:val="both"/>
        <w:rPr>
          <w:i/>
          <w:iCs/>
        </w:rPr>
      </w:pPr>
      <w:r>
        <w:rPr>
          <w:i/>
          <w:iCs/>
        </w:rPr>
        <w:t>“</w:t>
      </w:r>
      <w:r w:rsidR="00D25857">
        <w:rPr>
          <w:i/>
          <w:iCs/>
        </w:rPr>
        <w:t>I</w:t>
      </w:r>
      <w:r w:rsidR="00D25857" w:rsidRPr="00D25857">
        <w:rPr>
          <w:i/>
          <w:iCs/>
        </w:rPr>
        <w:t xml:space="preserve">n September 2021, the PWLB implemented new lending criteria so that councils focus on housing delivery, regeneration, and service delivery projects rather than invest for a return to support services. The </w:t>
      </w:r>
      <w:r w:rsidR="00D526A6">
        <w:rPr>
          <w:i/>
          <w:iCs/>
        </w:rPr>
        <w:t>c</w:t>
      </w:r>
      <w:r w:rsidR="00D25857" w:rsidRPr="00D25857">
        <w:rPr>
          <w:i/>
          <w:iCs/>
        </w:rPr>
        <w:t>ouncil intends to only undertake capital expenditure which relates to these categories</w:t>
      </w:r>
      <w:r w:rsidR="00FC58FC">
        <w:rPr>
          <w:i/>
          <w:iCs/>
        </w:rPr>
        <w:t>.</w:t>
      </w:r>
      <w:r>
        <w:rPr>
          <w:i/>
          <w:iCs/>
        </w:rPr>
        <w:t>”</w:t>
      </w:r>
    </w:p>
    <w:p w14:paraId="4DF0C168" w14:textId="27EECD28" w:rsidR="00343E61" w:rsidRPr="006A1E10" w:rsidRDefault="00D25857" w:rsidP="004B5412">
      <w:pPr>
        <w:jc w:val="both"/>
        <w:rPr>
          <w:i/>
          <w:iCs/>
          <w:sz w:val="18"/>
          <w:szCs w:val="18"/>
        </w:rPr>
      </w:pPr>
      <w:r w:rsidRPr="006A1E10">
        <w:rPr>
          <w:i/>
          <w:iCs/>
          <w:sz w:val="18"/>
          <w:szCs w:val="18"/>
        </w:rPr>
        <w:t>(Para 12.2 Capital Strategy 20</w:t>
      </w:r>
      <w:r w:rsidR="00D33DB3" w:rsidRPr="006A1E10">
        <w:rPr>
          <w:i/>
          <w:iCs/>
          <w:sz w:val="18"/>
          <w:szCs w:val="18"/>
        </w:rPr>
        <w:t>23/24)</w:t>
      </w:r>
    </w:p>
    <w:p w14:paraId="193A50BD" w14:textId="64763B09" w:rsidR="00412C89" w:rsidRPr="000D7716" w:rsidRDefault="009E4B7D" w:rsidP="004B5412">
      <w:pPr>
        <w:jc w:val="both"/>
      </w:pPr>
      <w:r>
        <w:t xml:space="preserve">The </w:t>
      </w:r>
      <w:r w:rsidR="00D526A6">
        <w:t>c</w:t>
      </w:r>
      <w:r>
        <w:t xml:space="preserve">ouncil has significant capital investment plans over the next 4 years </w:t>
      </w:r>
      <w:r w:rsidR="009B28C3">
        <w:t xml:space="preserve">which total some </w:t>
      </w:r>
      <w:r w:rsidR="008F3128">
        <w:t>£446.</w:t>
      </w:r>
      <w:r w:rsidR="00B31ACC">
        <w:t>6</w:t>
      </w:r>
      <w:r w:rsidR="008F3128">
        <w:t>07</w:t>
      </w:r>
      <w:r w:rsidR="00722FAF">
        <w:t xml:space="preserve"> </w:t>
      </w:r>
      <w:r w:rsidR="008F3128">
        <w:t>m</w:t>
      </w:r>
      <w:r w:rsidR="00722FAF">
        <w:t>illion</w:t>
      </w:r>
      <w:r w:rsidR="008F3128">
        <w:t xml:space="preserve"> </w:t>
      </w:r>
      <w:r>
        <w:t xml:space="preserve">as set out in </w:t>
      </w:r>
      <w:r w:rsidR="00DF326F">
        <w:t>T</w:t>
      </w:r>
      <w:r w:rsidR="00FC58FC">
        <w:t>able 5.</w:t>
      </w:r>
    </w:p>
    <w:p w14:paraId="7B12A1B5" w14:textId="67D2B36D" w:rsidR="00373B0E" w:rsidRPr="00A77630" w:rsidRDefault="00E25187">
      <w:pPr>
        <w:rPr>
          <w:i/>
          <w:iCs/>
          <w:color w:val="312C62" w:themeColor="text2"/>
        </w:rPr>
      </w:pPr>
      <w:r w:rsidRPr="00A77630">
        <w:rPr>
          <w:i/>
          <w:iCs/>
          <w:color w:val="312C62" w:themeColor="text2"/>
        </w:rPr>
        <w:t>Table 5</w:t>
      </w:r>
      <w:r w:rsidR="00BF6271" w:rsidRPr="00A77630">
        <w:rPr>
          <w:i/>
          <w:iCs/>
          <w:color w:val="312C62" w:themeColor="text2"/>
        </w:rPr>
        <w:t>: Capital Programme 2023/27</w:t>
      </w:r>
    </w:p>
    <w:tbl>
      <w:tblPr>
        <w:tblStyle w:val="LightShading-Accent1"/>
        <w:tblW w:w="5564" w:type="pct"/>
        <w:tblLayout w:type="fixed"/>
        <w:tblLook w:val="0660" w:firstRow="1" w:lastRow="1" w:firstColumn="0" w:lastColumn="0" w:noHBand="1" w:noVBand="1"/>
      </w:tblPr>
      <w:tblGrid>
        <w:gridCol w:w="3094"/>
        <w:gridCol w:w="1338"/>
        <w:gridCol w:w="1338"/>
        <w:gridCol w:w="1338"/>
        <w:gridCol w:w="1338"/>
        <w:gridCol w:w="1334"/>
      </w:tblGrid>
      <w:tr w:rsidR="007F711F" w:rsidRPr="007F711F" w14:paraId="6D4E425B" w14:textId="61C721AB" w:rsidTr="00B97CFA">
        <w:trPr>
          <w:cnfStyle w:val="100000000000" w:firstRow="1" w:lastRow="0" w:firstColumn="0" w:lastColumn="0" w:oddVBand="0" w:evenVBand="0" w:oddHBand="0" w:evenHBand="0" w:firstRowFirstColumn="0" w:firstRowLastColumn="0" w:lastRowFirstColumn="0" w:lastRowLastColumn="0"/>
        </w:trPr>
        <w:tc>
          <w:tcPr>
            <w:tcW w:w="1582" w:type="pct"/>
            <w:noWrap/>
          </w:tcPr>
          <w:p w14:paraId="4BFC133A" w14:textId="77777777" w:rsidR="00054AE1" w:rsidRPr="007F711F" w:rsidRDefault="00054AE1" w:rsidP="00054AE1">
            <w:pPr>
              <w:rPr>
                <w:b w:val="0"/>
                <w:bCs w:val="0"/>
                <w:color w:val="auto"/>
              </w:rPr>
            </w:pPr>
          </w:p>
          <w:p w14:paraId="14D29B76" w14:textId="5A1753F0" w:rsidR="00CB0341" w:rsidRPr="007F711F" w:rsidRDefault="00CB0341" w:rsidP="00054AE1">
            <w:pPr>
              <w:rPr>
                <w:color w:val="auto"/>
              </w:rPr>
            </w:pPr>
          </w:p>
        </w:tc>
        <w:tc>
          <w:tcPr>
            <w:tcW w:w="684" w:type="pct"/>
          </w:tcPr>
          <w:p w14:paraId="60956432" w14:textId="77777777" w:rsidR="00054AE1" w:rsidRPr="007F711F" w:rsidRDefault="00054AE1" w:rsidP="00C057D0">
            <w:pPr>
              <w:jc w:val="right"/>
              <w:rPr>
                <w:b w:val="0"/>
                <w:bCs w:val="0"/>
                <w:color w:val="auto"/>
              </w:rPr>
            </w:pPr>
            <w:r w:rsidRPr="007F711F">
              <w:rPr>
                <w:color w:val="auto"/>
              </w:rPr>
              <w:t>2023/24</w:t>
            </w:r>
          </w:p>
          <w:p w14:paraId="6EA2B756" w14:textId="0B1CC2BD" w:rsidR="00F80D4D" w:rsidRPr="007F711F" w:rsidRDefault="00F80D4D" w:rsidP="00C057D0">
            <w:pPr>
              <w:jc w:val="right"/>
              <w:rPr>
                <w:color w:val="auto"/>
              </w:rPr>
            </w:pPr>
            <w:r w:rsidRPr="007F711F">
              <w:rPr>
                <w:color w:val="auto"/>
              </w:rPr>
              <w:t>(£’000s)</w:t>
            </w:r>
          </w:p>
        </w:tc>
        <w:tc>
          <w:tcPr>
            <w:tcW w:w="684" w:type="pct"/>
          </w:tcPr>
          <w:p w14:paraId="0A864323" w14:textId="77777777" w:rsidR="00054AE1" w:rsidRPr="007F711F" w:rsidRDefault="00054AE1" w:rsidP="00C057D0">
            <w:pPr>
              <w:jc w:val="right"/>
              <w:rPr>
                <w:b w:val="0"/>
                <w:bCs w:val="0"/>
                <w:color w:val="auto"/>
              </w:rPr>
            </w:pPr>
            <w:r w:rsidRPr="007F711F">
              <w:rPr>
                <w:color w:val="auto"/>
              </w:rPr>
              <w:t>2024/25</w:t>
            </w:r>
          </w:p>
          <w:p w14:paraId="7360444B" w14:textId="15AAC9AF" w:rsidR="00F80D4D" w:rsidRPr="007F711F" w:rsidRDefault="00F80D4D" w:rsidP="00C057D0">
            <w:pPr>
              <w:jc w:val="right"/>
              <w:rPr>
                <w:color w:val="auto"/>
              </w:rPr>
            </w:pPr>
            <w:r w:rsidRPr="007F711F">
              <w:rPr>
                <w:color w:val="auto"/>
              </w:rPr>
              <w:t>(£’000s)</w:t>
            </w:r>
          </w:p>
        </w:tc>
        <w:tc>
          <w:tcPr>
            <w:tcW w:w="684" w:type="pct"/>
          </w:tcPr>
          <w:p w14:paraId="7A97CC3A" w14:textId="77777777" w:rsidR="00054AE1" w:rsidRPr="007F711F" w:rsidRDefault="00054AE1" w:rsidP="00C057D0">
            <w:pPr>
              <w:jc w:val="right"/>
              <w:rPr>
                <w:b w:val="0"/>
                <w:bCs w:val="0"/>
                <w:color w:val="auto"/>
              </w:rPr>
            </w:pPr>
            <w:r w:rsidRPr="007F711F">
              <w:rPr>
                <w:color w:val="auto"/>
              </w:rPr>
              <w:t>2025/26</w:t>
            </w:r>
          </w:p>
          <w:p w14:paraId="4F28DA5F" w14:textId="4427B496" w:rsidR="00F80D4D" w:rsidRPr="007F711F" w:rsidRDefault="00F80D4D" w:rsidP="00C057D0">
            <w:pPr>
              <w:jc w:val="right"/>
              <w:rPr>
                <w:color w:val="auto"/>
              </w:rPr>
            </w:pPr>
            <w:r w:rsidRPr="007F711F">
              <w:rPr>
                <w:color w:val="auto"/>
              </w:rPr>
              <w:t>(£’000s)</w:t>
            </w:r>
          </w:p>
        </w:tc>
        <w:tc>
          <w:tcPr>
            <w:tcW w:w="684" w:type="pct"/>
          </w:tcPr>
          <w:p w14:paraId="1E836598" w14:textId="77777777" w:rsidR="00054AE1" w:rsidRPr="007F711F" w:rsidRDefault="00054AE1" w:rsidP="00C057D0">
            <w:pPr>
              <w:jc w:val="right"/>
              <w:rPr>
                <w:b w:val="0"/>
                <w:bCs w:val="0"/>
                <w:color w:val="auto"/>
              </w:rPr>
            </w:pPr>
            <w:r w:rsidRPr="007F711F">
              <w:rPr>
                <w:color w:val="auto"/>
              </w:rPr>
              <w:t>2026/27</w:t>
            </w:r>
          </w:p>
          <w:p w14:paraId="4B5943C6" w14:textId="70D687F7" w:rsidR="00F80D4D" w:rsidRPr="007F711F" w:rsidRDefault="00F80D4D" w:rsidP="00C057D0">
            <w:pPr>
              <w:jc w:val="right"/>
              <w:rPr>
                <w:color w:val="auto"/>
              </w:rPr>
            </w:pPr>
            <w:r w:rsidRPr="007F711F">
              <w:rPr>
                <w:color w:val="auto"/>
              </w:rPr>
              <w:t>(£’000s)</w:t>
            </w:r>
          </w:p>
        </w:tc>
        <w:tc>
          <w:tcPr>
            <w:tcW w:w="682" w:type="pct"/>
          </w:tcPr>
          <w:p w14:paraId="568EFABE" w14:textId="77777777" w:rsidR="00054AE1" w:rsidRPr="007F711F" w:rsidRDefault="00054AE1" w:rsidP="00C057D0">
            <w:pPr>
              <w:jc w:val="right"/>
              <w:rPr>
                <w:b w:val="0"/>
                <w:bCs w:val="0"/>
                <w:color w:val="auto"/>
              </w:rPr>
            </w:pPr>
            <w:r w:rsidRPr="007F711F">
              <w:rPr>
                <w:color w:val="auto"/>
              </w:rPr>
              <w:t>Total</w:t>
            </w:r>
          </w:p>
          <w:p w14:paraId="2F6397DB" w14:textId="0A5040D2" w:rsidR="00F80D4D" w:rsidRPr="007F711F" w:rsidRDefault="00F80D4D" w:rsidP="00C057D0">
            <w:pPr>
              <w:jc w:val="right"/>
              <w:rPr>
                <w:color w:val="auto"/>
              </w:rPr>
            </w:pPr>
            <w:r w:rsidRPr="007F711F">
              <w:rPr>
                <w:color w:val="auto"/>
              </w:rPr>
              <w:t>(£’000s)</w:t>
            </w:r>
          </w:p>
        </w:tc>
      </w:tr>
      <w:tr w:rsidR="007F711F" w:rsidRPr="007F711F" w14:paraId="680D2A41" w14:textId="34AE476C" w:rsidTr="00B97CFA">
        <w:tc>
          <w:tcPr>
            <w:tcW w:w="1582" w:type="pct"/>
            <w:tcBorders>
              <w:top w:val="single" w:sz="8" w:space="0" w:color="5A4B9A" w:themeColor="accent1"/>
              <w:bottom w:val="single" w:sz="4" w:space="0" w:color="auto"/>
            </w:tcBorders>
            <w:noWrap/>
          </w:tcPr>
          <w:p w14:paraId="12D89BAF" w14:textId="77777777" w:rsidR="00054AE1" w:rsidRPr="007F711F" w:rsidRDefault="00374962" w:rsidP="00054AE1">
            <w:pPr>
              <w:rPr>
                <w:b/>
                <w:bCs/>
                <w:color w:val="auto"/>
              </w:rPr>
            </w:pPr>
            <w:r w:rsidRPr="007F711F">
              <w:rPr>
                <w:b/>
                <w:bCs/>
                <w:color w:val="auto"/>
              </w:rPr>
              <w:t>Capital Programme</w:t>
            </w:r>
          </w:p>
          <w:p w14:paraId="6E5480B6" w14:textId="207A6746" w:rsidR="00CB0341" w:rsidRPr="007F711F" w:rsidRDefault="00CB0341" w:rsidP="00054AE1">
            <w:pPr>
              <w:rPr>
                <w:b/>
                <w:bCs/>
                <w:color w:val="auto"/>
              </w:rPr>
            </w:pPr>
          </w:p>
        </w:tc>
        <w:tc>
          <w:tcPr>
            <w:tcW w:w="684" w:type="pct"/>
            <w:tcBorders>
              <w:top w:val="single" w:sz="8" w:space="0" w:color="5A4B9A" w:themeColor="accent1"/>
              <w:bottom w:val="single" w:sz="4" w:space="0" w:color="auto"/>
            </w:tcBorders>
          </w:tcPr>
          <w:p w14:paraId="3ADAB66F" w14:textId="31F585B3" w:rsidR="00054AE1" w:rsidRPr="007F711F" w:rsidRDefault="00AC510F" w:rsidP="00C057D0">
            <w:pPr>
              <w:jc w:val="right"/>
              <w:rPr>
                <w:rStyle w:val="SubtleEmphasis"/>
                <w:b/>
                <w:bCs/>
                <w:i w:val="0"/>
                <w:iCs w:val="0"/>
                <w:color w:val="auto"/>
              </w:rPr>
            </w:pPr>
            <w:r w:rsidRPr="007F711F">
              <w:rPr>
                <w:rStyle w:val="SubtleEmphasis"/>
                <w:b/>
                <w:bCs/>
                <w:i w:val="0"/>
                <w:iCs w:val="0"/>
                <w:color w:val="auto"/>
              </w:rPr>
              <w:t>5</w:t>
            </w:r>
            <w:r w:rsidRPr="007F711F">
              <w:rPr>
                <w:rStyle w:val="SubtleEmphasis"/>
                <w:b/>
                <w:bCs/>
                <w:color w:val="auto"/>
              </w:rPr>
              <w:t>6.803</w:t>
            </w:r>
          </w:p>
        </w:tc>
        <w:tc>
          <w:tcPr>
            <w:tcW w:w="684" w:type="pct"/>
            <w:tcBorders>
              <w:top w:val="single" w:sz="8" w:space="0" w:color="5A4B9A" w:themeColor="accent1"/>
              <w:bottom w:val="single" w:sz="4" w:space="0" w:color="auto"/>
            </w:tcBorders>
          </w:tcPr>
          <w:p w14:paraId="7395A4F3" w14:textId="636768E2" w:rsidR="00054AE1" w:rsidRPr="007F711F" w:rsidRDefault="00AC510F" w:rsidP="00C057D0">
            <w:pPr>
              <w:jc w:val="right"/>
              <w:rPr>
                <w:b/>
                <w:bCs/>
                <w:color w:val="auto"/>
              </w:rPr>
            </w:pPr>
            <w:r w:rsidRPr="007F711F">
              <w:rPr>
                <w:b/>
                <w:bCs/>
                <w:color w:val="auto"/>
              </w:rPr>
              <w:t>148.667</w:t>
            </w:r>
          </w:p>
        </w:tc>
        <w:tc>
          <w:tcPr>
            <w:tcW w:w="684" w:type="pct"/>
            <w:tcBorders>
              <w:top w:val="single" w:sz="8" w:space="0" w:color="5A4B9A" w:themeColor="accent1"/>
              <w:bottom w:val="single" w:sz="4" w:space="0" w:color="auto"/>
            </w:tcBorders>
          </w:tcPr>
          <w:p w14:paraId="4EE5FC4E" w14:textId="1E7A8DC5" w:rsidR="00054AE1" w:rsidRPr="007F711F" w:rsidRDefault="00AC510F" w:rsidP="00C057D0">
            <w:pPr>
              <w:jc w:val="right"/>
              <w:rPr>
                <w:b/>
                <w:bCs/>
                <w:color w:val="auto"/>
              </w:rPr>
            </w:pPr>
            <w:r w:rsidRPr="007F711F">
              <w:rPr>
                <w:b/>
                <w:bCs/>
                <w:color w:val="auto"/>
              </w:rPr>
              <w:t>165.152</w:t>
            </w:r>
          </w:p>
        </w:tc>
        <w:tc>
          <w:tcPr>
            <w:tcW w:w="684" w:type="pct"/>
            <w:tcBorders>
              <w:top w:val="single" w:sz="8" w:space="0" w:color="5A4B9A" w:themeColor="accent1"/>
              <w:bottom w:val="single" w:sz="4" w:space="0" w:color="auto"/>
            </w:tcBorders>
          </w:tcPr>
          <w:p w14:paraId="4E8DCA23" w14:textId="22880EDA" w:rsidR="00054AE1" w:rsidRPr="007F711F" w:rsidRDefault="000D792A" w:rsidP="00C057D0">
            <w:pPr>
              <w:jc w:val="right"/>
              <w:rPr>
                <w:b/>
                <w:bCs/>
                <w:color w:val="auto"/>
              </w:rPr>
            </w:pPr>
            <w:r w:rsidRPr="007F711F">
              <w:rPr>
                <w:b/>
                <w:bCs/>
                <w:color w:val="auto"/>
              </w:rPr>
              <w:t>75.7</w:t>
            </w:r>
            <w:r w:rsidR="00D2313A" w:rsidRPr="007F711F">
              <w:rPr>
                <w:b/>
                <w:bCs/>
                <w:color w:val="auto"/>
              </w:rPr>
              <w:t>8</w:t>
            </w:r>
            <w:r w:rsidRPr="007F711F">
              <w:rPr>
                <w:b/>
                <w:bCs/>
                <w:color w:val="auto"/>
              </w:rPr>
              <w:t>5</w:t>
            </w:r>
          </w:p>
        </w:tc>
        <w:tc>
          <w:tcPr>
            <w:tcW w:w="682" w:type="pct"/>
            <w:tcBorders>
              <w:top w:val="single" w:sz="8" w:space="0" w:color="5A4B9A" w:themeColor="accent1"/>
              <w:bottom w:val="single" w:sz="4" w:space="0" w:color="auto"/>
            </w:tcBorders>
          </w:tcPr>
          <w:p w14:paraId="1CF6BA86" w14:textId="46CE51A6" w:rsidR="00054AE1" w:rsidRPr="007F711F" w:rsidRDefault="000D792A" w:rsidP="00C057D0">
            <w:pPr>
              <w:jc w:val="right"/>
              <w:rPr>
                <w:b/>
                <w:bCs/>
                <w:color w:val="auto"/>
              </w:rPr>
            </w:pPr>
            <w:r w:rsidRPr="007F711F">
              <w:rPr>
                <w:b/>
                <w:bCs/>
                <w:color w:val="auto"/>
              </w:rPr>
              <w:t>446.607</w:t>
            </w:r>
          </w:p>
        </w:tc>
      </w:tr>
      <w:tr w:rsidR="007F711F" w:rsidRPr="007F711F" w14:paraId="6708BC0E" w14:textId="733A04A6" w:rsidTr="00B97CFA">
        <w:tc>
          <w:tcPr>
            <w:tcW w:w="1582" w:type="pct"/>
            <w:noWrap/>
          </w:tcPr>
          <w:p w14:paraId="1066F788" w14:textId="77777777" w:rsidR="00054AE1" w:rsidRPr="007F711F" w:rsidRDefault="00054AE1" w:rsidP="00054AE1">
            <w:pPr>
              <w:rPr>
                <w:color w:val="auto"/>
              </w:rPr>
            </w:pPr>
          </w:p>
          <w:p w14:paraId="72EE4B15" w14:textId="77777777" w:rsidR="009D27EC" w:rsidRPr="007F711F" w:rsidRDefault="009D27EC" w:rsidP="00054AE1">
            <w:pPr>
              <w:rPr>
                <w:color w:val="auto"/>
              </w:rPr>
            </w:pPr>
            <w:r w:rsidRPr="007F711F">
              <w:rPr>
                <w:color w:val="auto"/>
              </w:rPr>
              <w:t>Funded By</w:t>
            </w:r>
          </w:p>
          <w:p w14:paraId="09EF1DA6" w14:textId="77777777" w:rsidR="009D27EC" w:rsidRPr="007F711F" w:rsidRDefault="009D27EC" w:rsidP="00054AE1">
            <w:pPr>
              <w:rPr>
                <w:color w:val="auto"/>
              </w:rPr>
            </w:pPr>
            <w:r w:rsidRPr="007F711F">
              <w:rPr>
                <w:color w:val="auto"/>
              </w:rPr>
              <w:t>Capital Receipts</w:t>
            </w:r>
          </w:p>
          <w:p w14:paraId="75D327D2" w14:textId="77777777" w:rsidR="008A7CB9" w:rsidRPr="007F711F" w:rsidRDefault="008A7CB9" w:rsidP="00054AE1">
            <w:pPr>
              <w:rPr>
                <w:color w:val="auto"/>
              </w:rPr>
            </w:pPr>
          </w:p>
          <w:p w14:paraId="65749D06" w14:textId="77777777" w:rsidR="009D27EC" w:rsidRPr="007F711F" w:rsidRDefault="009D27EC" w:rsidP="00054AE1">
            <w:pPr>
              <w:rPr>
                <w:color w:val="auto"/>
              </w:rPr>
            </w:pPr>
            <w:r w:rsidRPr="007F711F">
              <w:rPr>
                <w:color w:val="auto"/>
              </w:rPr>
              <w:t>Homes England Grants</w:t>
            </w:r>
          </w:p>
          <w:p w14:paraId="6A8E6499" w14:textId="77777777" w:rsidR="002A2965" w:rsidRPr="007F711F" w:rsidRDefault="002A2965" w:rsidP="00054AE1">
            <w:pPr>
              <w:rPr>
                <w:color w:val="auto"/>
              </w:rPr>
            </w:pPr>
          </w:p>
          <w:p w14:paraId="593D1E83" w14:textId="3E989739" w:rsidR="009D27EC" w:rsidRPr="007F711F" w:rsidRDefault="009D27EC" w:rsidP="00054AE1">
            <w:pPr>
              <w:rPr>
                <w:color w:val="auto"/>
              </w:rPr>
            </w:pPr>
            <w:r w:rsidRPr="007F711F">
              <w:rPr>
                <w:color w:val="auto"/>
              </w:rPr>
              <w:t>Other Grants &amp; Contributions</w:t>
            </w:r>
          </w:p>
        </w:tc>
        <w:tc>
          <w:tcPr>
            <w:tcW w:w="684" w:type="pct"/>
          </w:tcPr>
          <w:p w14:paraId="75BA346A" w14:textId="77777777" w:rsidR="00054AE1" w:rsidRPr="007F711F" w:rsidRDefault="00054AE1" w:rsidP="00C057D0">
            <w:pPr>
              <w:pStyle w:val="DecimalAligned"/>
              <w:jc w:val="right"/>
              <w:rPr>
                <w:color w:val="auto"/>
              </w:rPr>
            </w:pPr>
          </w:p>
          <w:p w14:paraId="088029DD" w14:textId="77777777" w:rsidR="008A7CB9" w:rsidRPr="007F711F" w:rsidRDefault="008A7CB9" w:rsidP="00C057D0">
            <w:pPr>
              <w:pStyle w:val="DecimalAligned"/>
              <w:jc w:val="right"/>
              <w:rPr>
                <w:color w:val="auto"/>
              </w:rPr>
            </w:pPr>
            <w:r w:rsidRPr="007F711F">
              <w:rPr>
                <w:color w:val="auto"/>
              </w:rPr>
              <w:t>3.000</w:t>
            </w:r>
          </w:p>
          <w:p w14:paraId="126CD8CE" w14:textId="2EF01F7E" w:rsidR="008A7CB9" w:rsidRPr="007F711F" w:rsidRDefault="002A2965" w:rsidP="00C057D0">
            <w:pPr>
              <w:pStyle w:val="DecimalAligned"/>
              <w:jc w:val="right"/>
              <w:rPr>
                <w:color w:val="auto"/>
              </w:rPr>
            </w:pPr>
            <w:r w:rsidRPr="007F711F">
              <w:rPr>
                <w:color w:val="auto"/>
              </w:rPr>
              <w:t>7.031</w:t>
            </w:r>
          </w:p>
          <w:p w14:paraId="28F9912E" w14:textId="30E824BB" w:rsidR="008A7CB9" w:rsidRPr="007F711F" w:rsidRDefault="000D0686" w:rsidP="00C057D0">
            <w:pPr>
              <w:pStyle w:val="DecimalAligned"/>
              <w:jc w:val="right"/>
              <w:rPr>
                <w:color w:val="auto"/>
              </w:rPr>
            </w:pPr>
            <w:r w:rsidRPr="007F711F">
              <w:rPr>
                <w:color w:val="auto"/>
              </w:rPr>
              <w:t>2.775</w:t>
            </w:r>
          </w:p>
          <w:p w14:paraId="18C85EF5" w14:textId="03B66CFF" w:rsidR="008A7CB9" w:rsidRPr="007F711F" w:rsidRDefault="008A7CB9" w:rsidP="00C057D0">
            <w:pPr>
              <w:pStyle w:val="DecimalAligned"/>
              <w:jc w:val="right"/>
              <w:rPr>
                <w:color w:val="auto"/>
              </w:rPr>
            </w:pPr>
          </w:p>
        </w:tc>
        <w:tc>
          <w:tcPr>
            <w:tcW w:w="684" w:type="pct"/>
          </w:tcPr>
          <w:p w14:paraId="736F98E4" w14:textId="77777777" w:rsidR="00054AE1" w:rsidRPr="007F711F" w:rsidRDefault="00054AE1" w:rsidP="00C057D0">
            <w:pPr>
              <w:pStyle w:val="DecimalAligned"/>
              <w:jc w:val="right"/>
              <w:rPr>
                <w:color w:val="auto"/>
              </w:rPr>
            </w:pPr>
          </w:p>
          <w:p w14:paraId="62B2BF18" w14:textId="77777777" w:rsidR="009D4B50" w:rsidRPr="007F711F" w:rsidRDefault="009D4B50" w:rsidP="00C057D0">
            <w:pPr>
              <w:pStyle w:val="DecimalAligned"/>
              <w:jc w:val="right"/>
              <w:rPr>
                <w:color w:val="auto"/>
              </w:rPr>
            </w:pPr>
            <w:r w:rsidRPr="007F711F">
              <w:rPr>
                <w:color w:val="auto"/>
              </w:rPr>
              <w:t>3.000</w:t>
            </w:r>
          </w:p>
          <w:p w14:paraId="0DA47C9D" w14:textId="77777777" w:rsidR="009D4B50" w:rsidRPr="007F711F" w:rsidRDefault="008F16E6" w:rsidP="00C057D0">
            <w:pPr>
              <w:pStyle w:val="DecimalAligned"/>
              <w:jc w:val="right"/>
              <w:rPr>
                <w:color w:val="auto"/>
              </w:rPr>
            </w:pPr>
            <w:r w:rsidRPr="007F711F">
              <w:rPr>
                <w:color w:val="auto"/>
              </w:rPr>
              <w:t>26.504</w:t>
            </w:r>
          </w:p>
          <w:p w14:paraId="59EFAEE6" w14:textId="1C71DE6D" w:rsidR="002C42A7" w:rsidRPr="007F711F" w:rsidRDefault="002C42A7" w:rsidP="00C057D0">
            <w:pPr>
              <w:pStyle w:val="DecimalAligned"/>
              <w:jc w:val="right"/>
              <w:rPr>
                <w:color w:val="auto"/>
              </w:rPr>
            </w:pPr>
            <w:r w:rsidRPr="007F711F">
              <w:rPr>
                <w:color w:val="auto"/>
              </w:rPr>
              <w:t>2.528</w:t>
            </w:r>
          </w:p>
        </w:tc>
        <w:tc>
          <w:tcPr>
            <w:tcW w:w="684" w:type="pct"/>
          </w:tcPr>
          <w:p w14:paraId="28293A3D" w14:textId="77777777" w:rsidR="00054AE1" w:rsidRPr="007F711F" w:rsidRDefault="00054AE1" w:rsidP="00C057D0">
            <w:pPr>
              <w:pStyle w:val="DecimalAligned"/>
              <w:jc w:val="right"/>
              <w:rPr>
                <w:color w:val="auto"/>
              </w:rPr>
            </w:pPr>
          </w:p>
          <w:p w14:paraId="0411B897" w14:textId="77777777" w:rsidR="009D4B50" w:rsidRPr="007F711F" w:rsidRDefault="009D4B50" w:rsidP="00C057D0">
            <w:pPr>
              <w:pStyle w:val="DecimalAligned"/>
              <w:jc w:val="right"/>
              <w:rPr>
                <w:color w:val="auto"/>
              </w:rPr>
            </w:pPr>
            <w:r w:rsidRPr="007F711F">
              <w:rPr>
                <w:color w:val="auto"/>
              </w:rPr>
              <w:t>3.000</w:t>
            </w:r>
          </w:p>
          <w:p w14:paraId="4FDCD3EE" w14:textId="77777777" w:rsidR="008F16E6" w:rsidRPr="007F711F" w:rsidRDefault="008F16E6" w:rsidP="00C057D0">
            <w:pPr>
              <w:pStyle w:val="DecimalAligned"/>
              <w:jc w:val="right"/>
              <w:rPr>
                <w:color w:val="auto"/>
              </w:rPr>
            </w:pPr>
            <w:r w:rsidRPr="007F711F">
              <w:rPr>
                <w:color w:val="auto"/>
              </w:rPr>
              <w:t>4.110</w:t>
            </w:r>
          </w:p>
          <w:p w14:paraId="5B159BD9" w14:textId="7E641F63" w:rsidR="002C42A7" w:rsidRPr="007F711F" w:rsidRDefault="00922148" w:rsidP="00C057D0">
            <w:pPr>
              <w:pStyle w:val="DecimalAligned"/>
              <w:jc w:val="right"/>
              <w:rPr>
                <w:color w:val="auto"/>
              </w:rPr>
            </w:pPr>
            <w:r w:rsidRPr="007F711F">
              <w:rPr>
                <w:color w:val="auto"/>
              </w:rPr>
              <w:t>1.973</w:t>
            </w:r>
          </w:p>
        </w:tc>
        <w:tc>
          <w:tcPr>
            <w:tcW w:w="684" w:type="pct"/>
          </w:tcPr>
          <w:p w14:paraId="2E54D010" w14:textId="77777777" w:rsidR="00054AE1" w:rsidRPr="007F711F" w:rsidRDefault="00054AE1" w:rsidP="00C057D0">
            <w:pPr>
              <w:pStyle w:val="DecimalAligned"/>
              <w:jc w:val="right"/>
              <w:rPr>
                <w:color w:val="auto"/>
              </w:rPr>
            </w:pPr>
          </w:p>
          <w:p w14:paraId="565CCCBA" w14:textId="77777777" w:rsidR="009D4B50" w:rsidRPr="007F711F" w:rsidRDefault="009D4B50" w:rsidP="00C057D0">
            <w:pPr>
              <w:pStyle w:val="DecimalAligned"/>
              <w:jc w:val="right"/>
              <w:rPr>
                <w:color w:val="auto"/>
              </w:rPr>
            </w:pPr>
            <w:r w:rsidRPr="007F711F">
              <w:rPr>
                <w:color w:val="auto"/>
              </w:rPr>
              <w:t>41.000</w:t>
            </w:r>
          </w:p>
          <w:p w14:paraId="125C1839" w14:textId="77777777" w:rsidR="008F16E6" w:rsidRPr="007F711F" w:rsidRDefault="008F16E6" w:rsidP="00C057D0">
            <w:pPr>
              <w:pStyle w:val="DecimalAligned"/>
              <w:jc w:val="right"/>
              <w:rPr>
                <w:color w:val="auto"/>
              </w:rPr>
            </w:pPr>
            <w:r w:rsidRPr="007F711F">
              <w:rPr>
                <w:color w:val="auto"/>
              </w:rPr>
              <w:t>17.300</w:t>
            </w:r>
          </w:p>
          <w:p w14:paraId="29EB05B9" w14:textId="5F27EA94" w:rsidR="008F16E6" w:rsidRPr="007F711F" w:rsidRDefault="00236EBC" w:rsidP="00C057D0">
            <w:pPr>
              <w:pStyle w:val="DecimalAligned"/>
              <w:jc w:val="right"/>
              <w:rPr>
                <w:color w:val="auto"/>
              </w:rPr>
            </w:pPr>
            <w:r w:rsidRPr="007F711F">
              <w:rPr>
                <w:color w:val="auto"/>
              </w:rPr>
              <w:t>1.9</w:t>
            </w:r>
            <w:r w:rsidR="005D5281" w:rsidRPr="007F711F">
              <w:rPr>
                <w:color w:val="auto"/>
              </w:rPr>
              <w:t>7</w:t>
            </w:r>
            <w:r w:rsidRPr="007F711F">
              <w:rPr>
                <w:color w:val="auto"/>
              </w:rPr>
              <w:t>3</w:t>
            </w:r>
          </w:p>
        </w:tc>
        <w:tc>
          <w:tcPr>
            <w:tcW w:w="682" w:type="pct"/>
          </w:tcPr>
          <w:p w14:paraId="43B58406" w14:textId="77777777" w:rsidR="00054AE1" w:rsidRPr="007F711F" w:rsidRDefault="00054AE1" w:rsidP="00C057D0">
            <w:pPr>
              <w:pStyle w:val="DecimalAligned"/>
              <w:jc w:val="right"/>
              <w:rPr>
                <w:color w:val="auto"/>
              </w:rPr>
            </w:pPr>
          </w:p>
          <w:p w14:paraId="4969C034" w14:textId="77777777" w:rsidR="00436D1C" w:rsidRPr="007F711F" w:rsidRDefault="00966D3F" w:rsidP="00C057D0">
            <w:pPr>
              <w:pStyle w:val="DecimalAligned"/>
              <w:jc w:val="right"/>
              <w:rPr>
                <w:color w:val="auto"/>
              </w:rPr>
            </w:pPr>
            <w:r w:rsidRPr="007F711F">
              <w:rPr>
                <w:color w:val="auto"/>
              </w:rPr>
              <w:t>50.000</w:t>
            </w:r>
          </w:p>
          <w:p w14:paraId="6DFB81FB" w14:textId="546FF93A" w:rsidR="00966D3F" w:rsidRPr="007F711F" w:rsidRDefault="00AF3362" w:rsidP="00C057D0">
            <w:pPr>
              <w:pStyle w:val="DecimalAligned"/>
              <w:jc w:val="right"/>
              <w:rPr>
                <w:color w:val="auto"/>
              </w:rPr>
            </w:pPr>
            <w:r w:rsidRPr="007F711F">
              <w:rPr>
                <w:color w:val="auto"/>
              </w:rPr>
              <w:t>54.946</w:t>
            </w:r>
          </w:p>
          <w:p w14:paraId="13D15AE1" w14:textId="36CAD88A" w:rsidR="00966D3F" w:rsidRPr="007F711F" w:rsidRDefault="00915C39" w:rsidP="00C057D0">
            <w:pPr>
              <w:pStyle w:val="DecimalAligned"/>
              <w:jc w:val="right"/>
              <w:rPr>
                <w:color w:val="auto"/>
              </w:rPr>
            </w:pPr>
            <w:r w:rsidRPr="007F711F">
              <w:rPr>
                <w:color w:val="auto"/>
              </w:rPr>
              <w:t>9.247</w:t>
            </w:r>
          </w:p>
        </w:tc>
      </w:tr>
      <w:tr w:rsidR="007F711F" w:rsidRPr="007F711F" w14:paraId="54AF8B90" w14:textId="1264A4B0" w:rsidTr="00B97CFA">
        <w:trPr>
          <w:cnfStyle w:val="010000000000" w:firstRow="0" w:lastRow="1" w:firstColumn="0" w:lastColumn="0" w:oddVBand="0" w:evenVBand="0" w:oddHBand="0" w:evenHBand="0" w:firstRowFirstColumn="0" w:firstRowLastColumn="0" w:lastRowFirstColumn="0" w:lastRowLastColumn="0"/>
        </w:trPr>
        <w:tc>
          <w:tcPr>
            <w:tcW w:w="1582" w:type="pct"/>
            <w:noWrap/>
          </w:tcPr>
          <w:p w14:paraId="62B3DBB2" w14:textId="163DCE4B" w:rsidR="00054AE1" w:rsidRPr="007F711F" w:rsidRDefault="00B97CFA" w:rsidP="00054AE1">
            <w:pPr>
              <w:rPr>
                <w:color w:val="auto"/>
              </w:rPr>
            </w:pPr>
            <w:r w:rsidRPr="007F711F">
              <w:rPr>
                <w:color w:val="auto"/>
              </w:rPr>
              <w:t>Anticipated Borrowing</w:t>
            </w:r>
          </w:p>
        </w:tc>
        <w:tc>
          <w:tcPr>
            <w:tcW w:w="684" w:type="pct"/>
          </w:tcPr>
          <w:p w14:paraId="290031C1" w14:textId="00316C5A" w:rsidR="00054AE1" w:rsidRPr="007F711F" w:rsidRDefault="000D792A" w:rsidP="00C057D0">
            <w:pPr>
              <w:pStyle w:val="DecimalAligned"/>
              <w:jc w:val="right"/>
              <w:rPr>
                <w:color w:val="auto"/>
              </w:rPr>
            </w:pPr>
            <w:r w:rsidRPr="007F711F">
              <w:rPr>
                <w:color w:val="auto"/>
              </w:rPr>
              <w:t>43.997</w:t>
            </w:r>
          </w:p>
        </w:tc>
        <w:tc>
          <w:tcPr>
            <w:tcW w:w="684" w:type="pct"/>
          </w:tcPr>
          <w:p w14:paraId="078176C8" w14:textId="204E37C8" w:rsidR="00054AE1" w:rsidRPr="007F711F" w:rsidRDefault="00436D1C" w:rsidP="00C057D0">
            <w:pPr>
              <w:pStyle w:val="DecimalAligned"/>
              <w:jc w:val="right"/>
              <w:rPr>
                <w:color w:val="auto"/>
              </w:rPr>
            </w:pPr>
            <w:r w:rsidRPr="007F711F">
              <w:rPr>
                <w:color w:val="auto"/>
              </w:rPr>
              <w:t>1</w:t>
            </w:r>
            <w:r w:rsidR="00F26905" w:rsidRPr="007F711F">
              <w:rPr>
                <w:color w:val="auto"/>
              </w:rPr>
              <w:t>16.635</w:t>
            </w:r>
          </w:p>
        </w:tc>
        <w:tc>
          <w:tcPr>
            <w:tcW w:w="684" w:type="pct"/>
          </w:tcPr>
          <w:p w14:paraId="0CB69CF1" w14:textId="6090FBC5" w:rsidR="00054AE1" w:rsidRPr="007F711F" w:rsidRDefault="00436D1C" w:rsidP="00C057D0">
            <w:pPr>
              <w:pStyle w:val="DecimalAligned"/>
              <w:jc w:val="right"/>
              <w:rPr>
                <w:color w:val="auto"/>
              </w:rPr>
            </w:pPr>
            <w:r w:rsidRPr="007F711F">
              <w:rPr>
                <w:color w:val="auto"/>
              </w:rPr>
              <w:t>1</w:t>
            </w:r>
            <w:r w:rsidR="00DD3CA6" w:rsidRPr="007F711F">
              <w:rPr>
                <w:color w:val="auto"/>
              </w:rPr>
              <w:t>56.069</w:t>
            </w:r>
          </w:p>
        </w:tc>
        <w:tc>
          <w:tcPr>
            <w:tcW w:w="684" w:type="pct"/>
          </w:tcPr>
          <w:p w14:paraId="3D2DE29D" w14:textId="4DCA2AEB" w:rsidR="00054AE1" w:rsidRPr="007F711F" w:rsidRDefault="00DD3CA6" w:rsidP="00C057D0">
            <w:pPr>
              <w:pStyle w:val="DecimalAligned"/>
              <w:jc w:val="right"/>
              <w:rPr>
                <w:color w:val="auto"/>
              </w:rPr>
            </w:pPr>
            <w:r w:rsidRPr="007F711F">
              <w:rPr>
                <w:color w:val="auto"/>
              </w:rPr>
              <w:t>15.512</w:t>
            </w:r>
          </w:p>
        </w:tc>
        <w:tc>
          <w:tcPr>
            <w:tcW w:w="682" w:type="pct"/>
          </w:tcPr>
          <w:p w14:paraId="3A0EA6BD" w14:textId="45EE0EB6" w:rsidR="00054AE1" w:rsidRPr="007F711F" w:rsidRDefault="00903088" w:rsidP="00C057D0">
            <w:pPr>
              <w:pStyle w:val="DecimalAligned"/>
              <w:jc w:val="right"/>
              <w:rPr>
                <w:color w:val="auto"/>
              </w:rPr>
            </w:pPr>
            <w:r w:rsidRPr="007F711F">
              <w:rPr>
                <w:color w:val="auto"/>
              </w:rPr>
              <w:t>332.214</w:t>
            </w:r>
          </w:p>
        </w:tc>
      </w:tr>
    </w:tbl>
    <w:p w14:paraId="6D89EE20" w14:textId="52D7FA71" w:rsidR="00373B0E" w:rsidRPr="007F711F" w:rsidRDefault="00373B0E">
      <w:pPr>
        <w:pStyle w:val="FootnoteText"/>
        <w:rPr>
          <w:i/>
          <w:sz w:val="18"/>
          <w:szCs w:val="18"/>
        </w:rPr>
      </w:pPr>
      <w:r w:rsidRPr="007F711F">
        <w:rPr>
          <w:rStyle w:val="SubtleEmphasis"/>
          <w:i w:val="0"/>
          <w:iCs w:val="0"/>
          <w:color w:val="auto"/>
          <w:sz w:val="18"/>
          <w:szCs w:val="18"/>
        </w:rPr>
        <w:t>Source:</w:t>
      </w:r>
      <w:r w:rsidRPr="007F711F">
        <w:rPr>
          <w:i/>
          <w:sz w:val="18"/>
          <w:szCs w:val="18"/>
        </w:rPr>
        <w:t xml:space="preserve"> </w:t>
      </w:r>
      <w:r w:rsidR="00D32317" w:rsidRPr="007F711F">
        <w:rPr>
          <w:i/>
          <w:sz w:val="18"/>
          <w:szCs w:val="18"/>
        </w:rPr>
        <w:t>Capital Programme 2023/27 Report to Council 23/2/2023</w:t>
      </w:r>
    </w:p>
    <w:p w14:paraId="5FAE91F7" w14:textId="77777777" w:rsidR="00196100" w:rsidRPr="00196100" w:rsidRDefault="00196100" w:rsidP="00C418C2">
      <w:pPr>
        <w:rPr>
          <w:b/>
          <w:bCs/>
        </w:rPr>
      </w:pPr>
    </w:p>
    <w:p w14:paraId="64C1B0A2" w14:textId="7EAAC940" w:rsidR="00FB28DA" w:rsidRDefault="008F3128" w:rsidP="00470B58">
      <w:pPr>
        <w:jc w:val="both"/>
      </w:pPr>
      <w:r w:rsidRPr="00470B58">
        <w:t>The</w:t>
      </w:r>
      <w:r w:rsidR="00657F66" w:rsidRPr="00470B58">
        <w:t xml:space="preserve"> programme is intended to deliver</w:t>
      </w:r>
      <w:r w:rsidR="00FE071A" w:rsidRPr="00470B58">
        <w:t xml:space="preserve">: </w:t>
      </w:r>
    </w:p>
    <w:p w14:paraId="31A626B8" w14:textId="2149DD65" w:rsidR="00E60DA8" w:rsidRPr="00470B58" w:rsidRDefault="00E60DA8" w:rsidP="00DF326F">
      <w:pPr>
        <w:spacing w:after="0"/>
        <w:jc w:val="both"/>
      </w:pPr>
      <w:r>
        <w:t>“</w:t>
      </w:r>
    </w:p>
    <w:p w14:paraId="5A38F554" w14:textId="6D3F0596" w:rsidR="00974DEC" w:rsidRPr="00470B58" w:rsidRDefault="00FB2B31" w:rsidP="00F34C2F">
      <w:pPr>
        <w:pStyle w:val="ListParagraph"/>
        <w:numPr>
          <w:ilvl w:val="0"/>
          <w:numId w:val="17"/>
        </w:numPr>
        <w:jc w:val="both"/>
        <w:rPr>
          <w:i/>
          <w:iCs/>
        </w:rPr>
      </w:pPr>
      <w:r w:rsidRPr="00470B58">
        <w:rPr>
          <w:i/>
          <w:iCs/>
        </w:rPr>
        <w:t>Several large-scale developments to deliver 558 apartments as part of our Housing Strategy and commitment to the residents of the Borough, particularly young families.</w:t>
      </w:r>
    </w:p>
    <w:p w14:paraId="3907DF79" w14:textId="77777777" w:rsidR="00AF5E63" w:rsidRPr="00470B58" w:rsidRDefault="00FB2B31" w:rsidP="00F34C2F">
      <w:pPr>
        <w:pStyle w:val="ListParagraph"/>
        <w:numPr>
          <w:ilvl w:val="0"/>
          <w:numId w:val="17"/>
        </w:numPr>
        <w:jc w:val="both"/>
        <w:rPr>
          <w:i/>
          <w:iCs/>
        </w:rPr>
      </w:pPr>
      <w:r w:rsidRPr="00470B58">
        <w:rPr>
          <w:i/>
          <w:iCs/>
        </w:rPr>
        <w:t xml:space="preserve">A new leisure centre in Staines-upon-Thames the first of its kind being built in the UK to Pasivhaus standards, to deliver a greener building, to protect the wellbeing of our residents over the coming years and making the building carbon neutral. </w:t>
      </w:r>
    </w:p>
    <w:p w14:paraId="55CAE239" w14:textId="7E14F234" w:rsidR="00F87194" w:rsidRPr="00470B58" w:rsidRDefault="00FB2B31" w:rsidP="00F34C2F">
      <w:pPr>
        <w:pStyle w:val="ListParagraph"/>
        <w:numPr>
          <w:ilvl w:val="0"/>
          <w:numId w:val="17"/>
        </w:numPr>
        <w:jc w:val="both"/>
        <w:rPr>
          <w:i/>
          <w:iCs/>
        </w:rPr>
      </w:pPr>
      <w:r w:rsidRPr="00470B58">
        <w:rPr>
          <w:i/>
          <w:iCs/>
        </w:rPr>
        <w:t xml:space="preserve">Continued investment in municipal infrastructure, such as local parks. </w:t>
      </w:r>
    </w:p>
    <w:p w14:paraId="664FFD7F" w14:textId="0D622425" w:rsidR="00FB28DA" w:rsidRPr="00470B58" w:rsidRDefault="00FB2B31" w:rsidP="00F34C2F">
      <w:pPr>
        <w:pStyle w:val="ListParagraph"/>
        <w:numPr>
          <w:ilvl w:val="0"/>
          <w:numId w:val="17"/>
        </w:numPr>
        <w:jc w:val="both"/>
        <w:rPr>
          <w:i/>
          <w:iCs/>
        </w:rPr>
      </w:pPr>
      <w:r w:rsidRPr="00470B58">
        <w:rPr>
          <w:i/>
          <w:iCs/>
        </w:rPr>
        <w:t>An ongoing investment in digital transformation, where we aim to utilise technology to continue to deliver efficient, good quality services.</w:t>
      </w:r>
      <w:r w:rsidR="00E60DA8">
        <w:rPr>
          <w:i/>
          <w:iCs/>
        </w:rPr>
        <w:t>”</w:t>
      </w:r>
    </w:p>
    <w:p w14:paraId="701FBF7E" w14:textId="3C71C89F" w:rsidR="00390040" w:rsidRPr="00470B58" w:rsidRDefault="00F87194" w:rsidP="00470B58">
      <w:pPr>
        <w:jc w:val="both"/>
        <w:rPr>
          <w:sz w:val="18"/>
          <w:szCs w:val="18"/>
        </w:rPr>
      </w:pPr>
      <w:r w:rsidRPr="00772FA4">
        <w:rPr>
          <w:i/>
          <w:iCs/>
          <w:sz w:val="18"/>
          <w:szCs w:val="18"/>
        </w:rPr>
        <w:t>Extract Capital Programme</w:t>
      </w:r>
      <w:r w:rsidR="00085F39" w:rsidRPr="00772FA4">
        <w:rPr>
          <w:i/>
          <w:iCs/>
          <w:sz w:val="18"/>
          <w:szCs w:val="18"/>
        </w:rPr>
        <w:t xml:space="preserve"> 2023/24 to 2026/27</w:t>
      </w:r>
      <w:r w:rsidRPr="00772FA4">
        <w:rPr>
          <w:i/>
          <w:iCs/>
          <w:sz w:val="18"/>
          <w:szCs w:val="18"/>
        </w:rPr>
        <w:t xml:space="preserve"> Report</w:t>
      </w:r>
      <w:r w:rsidR="00052879" w:rsidRPr="00772FA4">
        <w:rPr>
          <w:i/>
          <w:iCs/>
          <w:sz w:val="18"/>
          <w:szCs w:val="18"/>
        </w:rPr>
        <w:t xml:space="preserve"> to Council 23</w:t>
      </w:r>
      <w:r w:rsidR="00085F39" w:rsidRPr="00772FA4">
        <w:rPr>
          <w:i/>
          <w:iCs/>
          <w:sz w:val="18"/>
          <w:szCs w:val="18"/>
        </w:rPr>
        <w:t xml:space="preserve"> February 2023</w:t>
      </w:r>
    </w:p>
    <w:p w14:paraId="7FA7ED84" w14:textId="742A487C" w:rsidR="009662CF" w:rsidRPr="00470B58" w:rsidRDefault="00EE08D8" w:rsidP="00470B58">
      <w:pPr>
        <w:jc w:val="both"/>
      </w:pPr>
      <w:r w:rsidRPr="00470B58">
        <w:t xml:space="preserve">The most significant of the above schemes is the </w:t>
      </w:r>
      <w:r w:rsidR="001D39ED">
        <w:t>c</w:t>
      </w:r>
      <w:r w:rsidRPr="00470B58">
        <w:t xml:space="preserve">ouncil’s planned investment in affordable </w:t>
      </w:r>
      <w:r w:rsidR="00D15E7D">
        <w:t>h</w:t>
      </w:r>
      <w:r w:rsidRPr="00470B58">
        <w:t>ousing</w:t>
      </w:r>
      <w:r w:rsidR="00BD2BD3">
        <w:t xml:space="preserve">, </w:t>
      </w:r>
      <w:r w:rsidR="003E6216" w:rsidRPr="00470B58">
        <w:t>estimated at £</w:t>
      </w:r>
      <w:r w:rsidR="002E0967" w:rsidRPr="00470B58">
        <w:t>325.2</w:t>
      </w:r>
      <w:r w:rsidR="00CB04C8">
        <w:t xml:space="preserve"> </w:t>
      </w:r>
      <w:r w:rsidR="003E6216" w:rsidRPr="00470B58">
        <w:t>m</w:t>
      </w:r>
      <w:r w:rsidR="00CB04C8">
        <w:t>illion</w:t>
      </w:r>
      <w:r w:rsidR="00CF44DE" w:rsidRPr="00470B58">
        <w:t>.</w:t>
      </w:r>
      <w:r w:rsidR="00BD2BD3">
        <w:t xml:space="preserve"> </w:t>
      </w:r>
      <w:r w:rsidR="00DE40F6" w:rsidRPr="00470B58">
        <w:t xml:space="preserve">Council </w:t>
      </w:r>
      <w:r w:rsidR="00D15E7D">
        <w:t>o</w:t>
      </w:r>
      <w:r w:rsidR="00DE40F6" w:rsidRPr="00470B58">
        <w:t xml:space="preserve">fficers believe there is a strong level of commitment within </w:t>
      </w:r>
      <w:r w:rsidR="00400954">
        <w:t>SBC</w:t>
      </w:r>
      <w:r w:rsidR="00DE40F6" w:rsidRPr="00470B58">
        <w:t xml:space="preserve"> to deliver these projects and </w:t>
      </w:r>
      <w:r w:rsidR="00A53697">
        <w:t>emphasise that</w:t>
      </w:r>
      <w:r w:rsidR="000C4F13" w:rsidRPr="00470B58">
        <w:t xml:space="preserve">: </w:t>
      </w:r>
    </w:p>
    <w:p w14:paraId="34A47998" w14:textId="3B5BD20F" w:rsidR="007D326F" w:rsidRPr="00470B58" w:rsidRDefault="009662CF" w:rsidP="00F34C2F">
      <w:pPr>
        <w:pStyle w:val="ListParagraph"/>
        <w:numPr>
          <w:ilvl w:val="0"/>
          <w:numId w:val="14"/>
        </w:numPr>
        <w:ind w:left="714" w:hanging="357"/>
        <w:jc w:val="both"/>
      </w:pPr>
      <w:r w:rsidRPr="00470B58">
        <w:t>Spelthorne</w:t>
      </w:r>
      <w:r w:rsidR="00A53697">
        <w:t>,</w:t>
      </w:r>
      <w:r w:rsidRPr="00470B58">
        <w:t xml:space="preserve"> </w:t>
      </w:r>
      <w:r w:rsidR="00A53697">
        <w:t>near</w:t>
      </w:r>
      <w:r w:rsidRPr="00470B58">
        <w:t xml:space="preserve"> London, </w:t>
      </w:r>
      <w:r w:rsidR="00021FC3">
        <w:t xml:space="preserve">but </w:t>
      </w:r>
      <w:r w:rsidR="00A53697">
        <w:t xml:space="preserve">with </w:t>
      </w:r>
      <w:r w:rsidRPr="00470B58">
        <w:t xml:space="preserve">lower economic prosperity </w:t>
      </w:r>
      <w:r w:rsidR="00B32B8C">
        <w:t>than much</w:t>
      </w:r>
      <w:r w:rsidRPr="00470B58">
        <w:t xml:space="preserve"> of Surrey, has a significant need (</w:t>
      </w:r>
      <w:r w:rsidR="007D326F" w:rsidRPr="00470B58">
        <w:t xml:space="preserve">established within its </w:t>
      </w:r>
      <w:r w:rsidRPr="00470B58">
        <w:t xml:space="preserve">Housing Strategy) to ensure a better supply of affordable housing </w:t>
      </w:r>
      <w:r w:rsidR="004A3BD5">
        <w:t xml:space="preserve">(including </w:t>
      </w:r>
      <w:r w:rsidR="00060A72">
        <w:t>private rentals</w:t>
      </w:r>
      <w:r w:rsidR="004A3BD5">
        <w:t>)</w:t>
      </w:r>
      <w:r w:rsidRPr="00470B58">
        <w:t xml:space="preserve"> </w:t>
      </w:r>
      <w:r w:rsidR="004A3BD5">
        <w:t>to</w:t>
      </w:r>
      <w:r w:rsidRPr="00470B58">
        <w:t xml:space="preserve"> meet </w:t>
      </w:r>
      <w:r w:rsidR="004A3BD5">
        <w:t>residents’</w:t>
      </w:r>
      <w:r w:rsidRPr="00470B58">
        <w:t xml:space="preserve"> </w:t>
      </w:r>
      <w:r w:rsidR="00021FC3">
        <w:t>requirements</w:t>
      </w:r>
      <w:r w:rsidRPr="00470B58">
        <w:t xml:space="preserve"> </w:t>
      </w:r>
    </w:p>
    <w:p w14:paraId="29C1694F" w14:textId="4A0811FF" w:rsidR="00CF2753" w:rsidRPr="00470B58" w:rsidRDefault="001D39ED" w:rsidP="00F34C2F">
      <w:pPr>
        <w:pStyle w:val="ListParagraph"/>
        <w:numPr>
          <w:ilvl w:val="0"/>
          <w:numId w:val="14"/>
        </w:numPr>
        <w:ind w:left="714" w:hanging="357"/>
        <w:jc w:val="both"/>
      </w:pPr>
      <w:r>
        <w:t>a</w:t>
      </w:r>
      <w:r w:rsidR="009662CF" w:rsidRPr="00470B58">
        <w:t xml:space="preserve">ffordable </w:t>
      </w:r>
      <w:r w:rsidR="00400954">
        <w:t>h</w:t>
      </w:r>
      <w:r w:rsidR="009662CF" w:rsidRPr="00470B58">
        <w:t xml:space="preserve">ousing is one of </w:t>
      </w:r>
      <w:r w:rsidR="00400954">
        <w:t>SBC’s</w:t>
      </w:r>
      <w:r w:rsidR="009662CF" w:rsidRPr="00470B58">
        <w:t xml:space="preserve"> 5 Corporate priorities. The </w:t>
      </w:r>
      <w:r>
        <w:t>c</w:t>
      </w:r>
      <w:r w:rsidR="009662CF" w:rsidRPr="00470B58">
        <w:t xml:space="preserve">ouncil set up </w:t>
      </w:r>
      <w:r w:rsidR="005E69C9" w:rsidRPr="00470B58">
        <w:t>K</w:t>
      </w:r>
      <w:r w:rsidR="005E69C9">
        <w:t xml:space="preserve">nowle </w:t>
      </w:r>
      <w:r w:rsidR="009662CF" w:rsidRPr="00470B58">
        <w:t>G</w:t>
      </w:r>
      <w:r w:rsidR="007A5224">
        <w:t xml:space="preserve">reen </w:t>
      </w:r>
      <w:r w:rsidR="009662CF" w:rsidRPr="00470B58">
        <w:t>E</w:t>
      </w:r>
      <w:r w:rsidR="007A5224">
        <w:t>states (KGE)</w:t>
      </w:r>
      <w:r w:rsidR="00682760">
        <w:t xml:space="preserve">, an affordable housing </w:t>
      </w:r>
      <w:r w:rsidR="009D34C9">
        <w:t>company,</w:t>
      </w:r>
      <w:r w:rsidR="00682760">
        <w:t xml:space="preserve"> </w:t>
      </w:r>
      <w:r w:rsidR="007A5224">
        <w:t>since</w:t>
      </w:r>
      <w:r w:rsidR="009662CF" w:rsidRPr="00470B58">
        <w:t xml:space="preserve"> </w:t>
      </w:r>
      <w:r w:rsidR="00E86C94">
        <w:t>the market</w:t>
      </w:r>
      <w:r w:rsidR="009662CF" w:rsidRPr="00470B58">
        <w:t xml:space="preserve"> had failed </w:t>
      </w:r>
      <w:r w:rsidR="00E86C94">
        <w:t>to provide</w:t>
      </w:r>
      <w:r w:rsidR="009662CF" w:rsidRPr="00470B58">
        <w:t xml:space="preserve"> the housing required </w:t>
      </w:r>
    </w:p>
    <w:p w14:paraId="391B8633" w14:textId="3EB9D315" w:rsidR="001E275F" w:rsidRPr="00470B58" w:rsidRDefault="00C2290D" w:rsidP="00F34C2F">
      <w:pPr>
        <w:pStyle w:val="ListParagraph"/>
        <w:numPr>
          <w:ilvl w:val="0"/>
          <w:numId w:val="14"/>
        </w:numPr>
        <w:ind w:left="714" w:hanging="357"/>
        <w:jc w:val="both"/>
      </w:pPr>
      <w:r>
        <w:t>SBC</w:t>
      </w:r>
      <w:r w:rsidR="009662CF" w:rsidRPr="00470B58">
        <w:t xml:space="preserve"> is seeking to deliver</w:t>
      </w:r>
      <w:r w:rsidR="00CF2753" w:rsidRPr="00470B58">
        <w:t xml:space="preserve"> key</w:t>
      </w:r>
      <w:r w:rsidR="009662CF" w:rsidRPr="00470B58">
        <w:t xml:space="preserve"> Government policy priorit</w:t>
      </w:r>
      <w:r w:rsidR="00E40B91">
        <w:t>ies</w:t>
      </w:r>
      <w:r w:rsidR="00206596" w:rsidRPr="00470B58">
        <w:t>,</w:t>
      </w:r>
      <w:r w:rsidR="008F197B" w:rsidRPr="00470B58">
        <w:t xml:space="preserve"> including a</w:t>
      </w:r>
      <w:r w:rsidR="009662CF" w:rsidRPr="00470B58">
        <w:t xml:space="preserve"> mixed development scheme </w:t>
      </w:r>
      <w:r w:rsidR="008F197B" w:rsidRPr="00470B58">
        <w:t>at the Oast House</w:t>
      </w:r>
      <w:r w:rsidR="00BE387F">
        <w:t>. This will</w:t>
      </w:r>
      <w:r w:rsidR="009662CF" w:rsidRPr="00470B58">
        <w:t xml:space="preserve"> </w:t>
      </w:r>
      <w:r w:rsidR="00BE387F">
        <w:t>include</w:t>
      </w:r>
      <w:r w:rsidR="009662CF" w:rsidRPr="00470B58">
        <w:t xml:space="preserve"> one of the new national pilot NHS health and </w:t>
      </w:r>
      <w:r w:rsidR="00BC34AA" w:rsidRPr="00470B58">
        <w:t>wellbeing</w:t>
      </w:r>
      <w:r w:rsidR="009662CF" w:rsidRPr="00470B58">
        <w:t xml:space="preserve"> centres</w:t>
      </w:r>
      <w:r w:rsidR="00BE387F">
        <w:t>, intended to move</w:t>
      </w:r>
      <w:r w:rsidR="009662CF" w:rsidRPr="00470B58">
        <w:t xml:space="preserve"> more </w:t>
      </w:r>
      <w:r w:rsidR="00805365">
        <w:t>care</w:t>
      </w:r>
      <w:r w:rsidR="009662CF" w:rsidRPr="00470B58">
        <w:t xml:space="preserve"> out of hospitals into communities</w:t>
      </w:r>
      <w:r w:rsidR="00805365">
        <w:t>, while providing</w:t>
      </w:r>
      <w:r w:rsidR="009662CF" w:rsidRPr="00470B58">
        <w:t xml:space="preserve"> fit for purpose GP </w:t>
      </w:r>
      <w:r w:rsidR="00805365">
        <w:t>facilities</w:t>
      </w:r>
      <w:r w:rsidR="009662CF" w:rsidRPr="00470B58">
        <w:t xml:space="preserve"> for residents</w:t>
      </w:r>
    </w:p>
    <w:p w14:paraId="344AEAB8" w14:textId="55E857BD" w:rsidR="009662CF" w:rsidRPr="00470B58" w:rsidRDefault="00AE28FD" w:rsidP="00F34C2F">
      <w:pPr>
        <w:pStyle w:val="ListParagraph"/>
        <w:numPr>
          <w:ilvl w:val="0"/>
          <w:numId w:val="14"/>
        </w:numPr>
        <w:ind w:left="714" w:hanging="357"/>
        <w:jc w:val="both"/>
      </w:pPr>
      <w:r>
        <w:t>t</w:t>
      </w:r>
      <w:r w:rsidR="00A2477D">
        <w:t>he</w:t>
      </w:r>
      <w:r w:rsidR="009662CF" w:rsidRPr="00470B58">
        <w:t xml:space="preserve"> schemes </w:t>
      </w:r>
      <w:r w:rsidR="00A2477D">
        <w:t xml:space="preserve">are consistent with </w:t>
      </w:r>
      <w:r w:rsidR="00B231AD">
        <w:t>SBC</w:t>
      </w:r>
      <w:r w:rsidR="009662CF" w:rsidRPr="00470B58">
        <w:t xml:space="preserve"> Local Plan targets, delivering homes on brownfield sites rather than green belt  </w:t>
      </w:r>
    </w:p>
    <w:p w14:paraId="4A36244B" w14:textId="4D7AE026" w:rsidR="00175C3D" w:rsidRPr="00470B58" w:rsidRDefault="00CF44DE" w:rsidP="00470B58">
      <w:pPr>
        <w:jc w:val="both"/>
      </w:pPr>
      <w:r w:rsidRPr="00470B58">
        <w:t>Th</w:t>
      </w:r>
      <w:r w:rsidR="00206596" w:rsidRPr="00470B58">
        <w:t>e affordable housing programme</w:t>
      </w:r>
      <w:r w:rsidRPr="00470B58">
        <w:t xml:space="preserve"> comprises </w:t>
      </w:r>
      <w:r w:rsidR="008525C2" w:rsidRPr="00470B58">
        <w:t>7</w:t>
      </w:r>
      <w:r w:rsidRPr="00470B58">
        <w:t xml:space="preserve"> projects</w:t>
      </w:r>
      <w:r w:rsidR="00931169">
        <w:t>. O</w:t>
      </w:r>
      <w:r w:rsidRPr="00470B58">
        <w:t>ne is completed</w:t>
      </w:r>
      <w:r w:rsidR="004E034A" w:rsidRPr="00470B58">
        <w:t>.</w:t>
      </w:r>
      <w:r w:rsidR="00B231AD">
        <w:t xml:space="preserve"> </w:t>
      </w:r>
      <w:r w:rsidR="006C77E7" w:rsidRPr="00470B58">
        <w:t>4</w:t>
      </w:r>
      <w:r w:rsidR="004E034A" w:rsidRPr="00470B58">
        <w:t xml:space="preserve"> projects will deliver </w:t>
      </w:r>
      <w:r w:rsidR="006C77E7" w:rsidRPr="00470B58">
        <w:t>538</w:t>
      </w:r>
      <w:r w:rsidR="00395B2B" w:rsidRPr="00470B58">
        <w:t xml:space="preserve"> affordable units</w:t>
      </w:r>
      <w:r w:rsidR="008525C2" w:rsidRPr="00470B58">
        <w:t xml:space="preserve">, </w:t>
      </w:r>
      <w:r w:rsidR="0024361F" w:rsidRPr="00470B58">
        <w:t>including a new</w:t>
      </w:r>
      <w:r w:rsidR="00B40159">
        <w:t xml:space="preserve"> mixed housing</w:t>
      </w:r>
      <w:r w:rsidR="008525C2" w:rsidRPr="00470B58">
        <w:t xml:space="preserve"> project at Tothill</w:t>
      </w:r>
      <w:r w:rsidR="0024361F" w:rsidRPr="00470B58">
        <w:t>, estimated to deliver</w:t>
      </w:r>
      <w:r w:rsidR="0014535E" w:rsidRPr="00470B58">
        <w:t xml:space="preserve"> 179 units</w:t>
      </w:r>
      <w:r w:rsidR="008525C2" w:rsidRPr="00470B58">
        <w:t xml:space="preserve">. </w:t>
      </w:r>
      <w:r w:rsidR="00112BDC" w:rsidRPr="00470B58">
        <w:t>A further</w:t>
      </w:r>
      <w:r w:rsidR="00395B2B" w:rsidRPr="00470B58">
        <w:t xml:space="preserve"> 3 projects will deliver 199 units for private rental </w:t>
      </w:r>
      <w:r w:rsidR="00A66106">
        <w:t>(</w:t>
      </w:r>
      <w:r w:rsidR="00AE28FD">
        <w:t>T</w:t>
      </w:r>
      <w:r w:rsidR="00395B2B" w:rsidRPr="00470B58">
        <w:t xml:space="preserve">able </w:t>
      </w:r>
      <w:r w:rsidR="00A66106">
        <w:t>6)</w:t>
      </w:r>
      <w:r w:rsidR="00395B2B" w:rsidRPr="00470B58">
        <w:t>.</w:t>
      </w:r>
      <w:r w:rsidR="00994DA8" w:rsidRPr="00470B58">
        <w:t xml:space="preserve">  </w:t>
      </w:r>
    </w:p>
    <w:p w14:paraId="6132A9FF" w14:textId="3FE271B2" w:rsidR="00414F15" w:rsidRPr="00470B58" w:rsidRDefault="00414F15" w:rsidP="00470B58">
      <w:pPr>
        <w:pStyle w:val="FootnoteText"/>
        <w:jc w:val="both"/>
      </w:pPr>
      <w:r w:rsidRPr="00470B58">
        <w:t>The four affordable housing projects</w:t>
      </w:r>
      <w:r w:rsidR="00D252DF">
        <w:t xml:space="preserve"> </w:t>
      </w:r>
      <w:r w:rsidRPr="00470B58">
        <w:t xml:space="preserve">when developed will be transferred to </w:t>
      </w:r>
      <w:r w:rsidR="00D252DF">
        <w:t>KGE</w:t>
      </w:r>
      <w:r w:rsidR="003D61EB">
        <w:t>. However, it</w:t>
      </w:r>
      <w:r w:rsidR="00D252DF">
        <w:t xml:space="preserve"> </w:t>
      </w:r>
      <w:r w:rsidRPr="00470B58">
        <w:t xml:space="preserve">will only take </w:t>
      </w:r>
      <w:r w:rsidR="003D61EB">
        <w:t>them on</w:t>
      </w:r>
      <w:r w:rsidRPr="00470B58">
        <w:t xml:space="preserve"> if </w:t>
      </w:r>
      <w:r w:rsidR="003D61EB">
        <w:t>it</w:t>
      </w:r>
      <w:r w:rsidRPr="00470B58">
        <w:t xml:space="preserve"> consider</w:t>
      </w:r>
      <w:r w:rsidR="001B38BD">
        <w:t>s</w:t>
      </w:r>
      <w:r w:rsidRPr="00470B58">
        <w:t xml:space="preserve"> </w:t>
      </w:r>
      <w:r w:rsidR="006B2D1C">
        <w:t>them</w:t>
      </w:r>
      <w:r w:rsidRPr="00470B58">
        <w:t xml:space="preserve"> financially viable at the time of transfer.  Essentially this means that projected rental income must </w:t>
      </w:r>
      <w:r w:rsidR="006B2D1C">
        <w:t>suffice</w:t>
      </w:r>
      <w:r w:rsidRPr="00470B58">
        <w:t xml:space="preserve"> to meet all costs associated with the properties</w:t>
      </w:r>
      <w:r w:rsidR="00A340F9">
        <w:t>,</w:t>
      </w:r>
      <w:r w:rsidRPr="00470B58">
        <w:t xml:space="preserve"> including</w:t>
      </w:r>
      <w:r w:rsidR="00A340F9">
        <w:t xml:space="preserve"> </w:t>
      </w:r>
      <w:r w:rsidRPr="00470B58">
        <w:t xml:space="preserve">borrowing </w:t>
      </w:r>
      <w:r w:rsidR="00C71A5C" w:rsidRPr="00470B58">
        <w:t>and repairs</w:t>
      </w:r>
      <w:r w:rsidR="00A340F9">
        <w:t>,</w:t>
      </w:r>
      <w:r w:rsidR="00994DA8" w:rsidRPr="00470B58">
        <w:t xml:space="preserve"> over a 50</w:t>
      </w:r>
      <w:r w:rsidR="001B38BD">
        <w:t>-</w:t>
      </w:r>
      <w:r w:rsidR="00994DA8" w:rsidRPr="00470B58">
        <w:t>year financing period.</w:t>
      </w:r>
    </w:p>
    <w:p w14:paraId="134524F1" w14:textId="77777777" w:rsidR="005E6852" w:rsidRDefault="005E6852"/>
    <w:p w14:paraId="45E7D283" w14:textId="24C0CB54" w:rsidR="00C71A5C" w:rsidRPr="002B6366" w:rsidRDefault="00C71A5C">
      <w:pPr>
        <w:rPr>
          <w:i/>
          <w:iCs/>
        </w:rPr>
      </w:pPr>
      <w:r w:rsidRPr="002B6366">
        <w:rPr>
          <w:i/>
          <w:iCs/>
        </w:rPr>
        <w:t>Table 6:  Affordable Housing Schemes</w:t>
      </w:r>
    </w:p>
    <w:tbl>
      <w:tblPr>
        <w:tblStyle w:val="LightShading-Accent1"/>
        <w:tblW w:w="5000" w:type="pct"/>
        <w:tblLook w:val="0660" w:firstRow="1" w:lastRow="1" w:firstColumn="0" w:lastColumn="0" w:noHBand="1" w:noVBand="1"/>
      </w:tblPr>
      <w:tblGrid>
        <w:gridCol w:w="3263"/>
        <w:gridCol w:w="1842"/>
        <w:gridCol w:w="1842"/>
        <w:gridCol w:w="1842"/>
      </w:tblGrid>
      <w:tr w:rsidR="007F711F" w:rsidRPr="007F711F" w14:paraId="5351E13E" w14:textId="77777777" w:rsidTr="00F862F6">
        <w:trPr>
          <w:cnfStyle w:val="100000000000" w:firstRow="1" w:lastRow="0" w:firstColumn="0" w:lastColumn="0" w:oddVBand="0" w:evenVBand="0" w:oddHBand="0" w:evenHBand="0" w:firstRowFirstColumn="0" w:firstRowLastColumn="0" w:lastRowFirstColumn="0" w:lastRowLastColumn="0"/>
        </w:trPr>
        <w:tc>
          <w:tcPr>
            <w:tcW w:w="1856" w:type="pct"/>
            <w:noWrap/>
          </w:tcPr>
          <w:p w14:paraId="070CDDC7" w14:textId="77777777" w:rsidR="001F6313" w:rsidRPr="007F711F" w:rsidRDefault="001F6313">
            <w:pPr>
              <w:rPr>
                <w:color w:val="auto"/>
              </w:rPr>
            </w:pPr>
            <w:r w:rsidRPr="007F711F">
              <w:rPr>
                <w:color w:val="auto"/>
              </w:rPr>
              <w:t>College</w:t>
            </w:r>
          </w:p>
        </w:tc>
        <w:tc>
          <w:tcPr>
            <w:tcW w:w="1048" w:type="pct"/>
          </w:tcPr>
          <w:p w14:paraId="36475C3E" w14:textId="77777777" w:rsidR="001F6313" w:rsidRPr="007F711F" w:rsidRDefault="0033751B" w:rsidP="0033751B">
            <w:pPr>
              <w:jc w:val="right"/>
              <w:rPr>
                <w:b w:val="0"/>
                <w:bCs w:val="0"/>
                <w:color w:val="auto"/>
              </w:rPr>
            </w:pPr>
            <w:r w:rsidRPr="007F711F">
              <w:rPr>
                <w:color w:val="auto"/>
              </w:rPr>
              <w:t>Affordable</w:t>
            </w:r>
          </w:p>
          <w:p w14:paraId="13A4BE70" w14:textId="4ABB306A" w:rsidR="0033751B" w:rsidRPr="007F711F" w:rsidRDefault="0033751B" w:rsidP="0033751B">
            <w:pPr>
              <w:jc w:val="right"/>
              <w:rPr>
                <w:color w:val="auto"/>
              </w:rPr>
            </w:pPr>
            <w:r w:rsidRPr="007F711F">
              <w:rPr>
                <w:color w:val="auto"/>
              </w:rPr>
              <w:t>Units</w:t>
            </w:r>
          </w:p>
        </w:tc>
        <w:tc>
          <w:tcPr>
            <w:tcW w:w="1048" w:type="pct"/>
          </w:tcPr>
          <w:p w14:paraId="763D90B4" w14:textId="11B0625D" w:rsidR="001F6313" w:rsidRPr="007F711F" w:rsidRDefault="00756446" w:rsidP="0033751B">
            <w:pPr>
              <w:jc w:val="right"/>
              <w:rPr>
                <w:b w:val="0"/>
                <w:bCs w:val="0"/>
                <w:color w:val="auto"/>
              </w:rPr>
            </w:pPr>
            <w:r w:rsidRPr="007F711F">
              <w:rPr>
                <w:color w:val="auto"/>
              </w:rPr>
              <w:t xml:space="preserve">Scheme </w:t>
            </w:r>
          </w:p>
          <w:p w14:paraId="6CFB9F7F" w14:textId="77777777" w:rsidR="00A62B74" w:rsidRPr="007F711F" w:rsidRDefault="00756446" w:rsidP="0033751B">
            <w:pPr>
              <w:jc w:val="right"/>
              <w:rPr>
                <w:b w:val="0"/>
                <w:bCs w:val="0"/>
                <w:color w:val="auto"/>
              </w:rPr>
            </w:pPr>
            <w:r w:rsidRPr="007F711F">
              <w:rPr>
                <w:color w:val="auto"/>
              </w:rPr>
              <w:t>Estimate</w:t>
            </w:r>
          </w:p>
          <w:p w14:paraId="322A896F" w14:textId="7CF0B60B" w:rsidR="007F34D4" w:rsidRPr="007F711F" w:rsidRDefault="007F34D4" w:rsidP="0033751B">
            <w:pPr>
              <w:jc w:val="right"/>
              <w:rPr>
                <w:color w:val="auto"/>
              </w:rPr>
            </w:pPr>
            <w:r w:rsidRPr="007F711F">
              <w:rPr>
                <w:color w:val="auto"/>
              </w:rPr>
              <w:t>(£’000</w:t>
            </w:r>
            <w:r w:rsidR="009021E8" w:rsidRPr="007F711F">
              <w:rPr>
                <w:color w:val="auto"/>
              </w:rPr>
              <w:t>s</w:t>
            </w:r>
            <w:r w:rsidRPr="007F711F">
              <w:rPr>
                <w:color w:val="auto"/>
              </w:rPr>
              <w:t>)</w:t>
            </w:r>
          </w:p>
        </w:tc>
        <w:tc>
          <w:tcPr>
            <w:tcW w:w="1048" w:type="pct"/>
          </w:tcPr>
          <w:p w14:paraId="5D147DB9" w14:textId="22075A1C" w:rsidR="001F6313" w:rsidRPr="007F711F" w:rsidRDefault="00756446" w:rsidP="0033751B">
            <w:pPr>
              <w:jc w:val="right"/>
              <w:rPr>
                <w:b w:val="0"/>
                <w:bCs w:val="0"/>
                <w:color w:val="auto"/>
              </w:rPr>
            </w:pPr>
            <w:r w:rsidRPr="007F711F">
              <w:rPr>
                <w:color w:val="auto"/>
              </w:rPr>
              <w:t>Grants</w:t>
            </w:r>
          </w:p>
          <w:p w14:paraId="4B617575" w14:textId="77777777" w:rsidR="00A62B74" w:rsidRPr="007F711F" w:rsidRDefault="00A62B74" w:rsidP="00756446">
            <w:pPr>
              <w:jc w:val="center"/>
              <w:rPr>
                <w:b w:val="0"/>
                <w:bCs w:val="0"/>
                <w:color w:val="auto"/>
              </w:rPr>
            </w:pPr>
          </w:p>
          <w:p w14:paraId="24E72A63" w14:textId="7EB243D6" w:rsidR="007F34D4" w:rsidRPr="007F711F" w:rsidRDefault="007F34D4" w:rsidP="007F34D4">
            <w:pPr>
              <w:jc w:val="right"/>
              <w:rPr>
                <w:color w:val="auto"/>
              </w:rPr>
            </w:pPr>
            <w:r w:rsidRPr="007F711F">
              <w:rPr>
                <w:color w:val="auto"/>
              </w:rPr>
              <w:t>(£’000</w:t>
            </w:r>
            <w:r w:rsidR="009021E8" w:rsidRPr="007F711F">
              <w:rPr>
                <w:color w:val="auto"/>
              </w:rPr>
              <w:t>s</w:t>
            </w:r>
            <w:r w:rsidRPr="007F711F">
              <w:rPr>
                <w:color w:val="auto"/>
              </w:rPr>
              <w:t>)</w:t>
            </w:r>
          </w:p>
        </w:tc>
      </w:tr>
      <w:tr w:rsidR="007F711F" w:rsidRPr="007F711F" w14:paraId="558B3643" w14:textId="77777777" w:rsidTr="00F862F6">
        <w:tc>
          <w:tcPr>
            <w:tcW w:w="1856" w:type="pct"/>
            <w:noWrap/>
          </w:tcPr>
          <w:p w14:paraId="073AFA18" w14:textId="77777777" w:rsidR="001F6313" w:rsidRPr="007F711F" w:rsidRDefault="001F6313">
            <w:pPr>
              <w:rPr>
                <w:color w:val="auto"/>
              </w:rPr>
            </w:pPr>
          </w:p>
        </w:tc>
        <w:tc>
          <w:tcPr>
            <w:tcW w:w="1048" w:type="pct"/>
          </w:tcPr>
          <w:p w14:paraId="7C9913C7" w14:textId="1D5F9FD5" w:rsidR="001F6313" w:rsidRPr="007F711F" w:rsidRDefault="001F6313" w:rsidP="0033751B">
            <w:pPr>
              <w:jc w:val="right"/>
              <w:rPr>
                <w:rStyle w:val="SubtleEmphasis"/>
                <w:color w:val="auto"/>
              </w:rPr>
            </w:pPr>
          </w:p>
        </w:tc>
        <w:tc>
          <w:tcPr>
            <w:tcW w:w="1048" w:type="pct"/>
          </w:tcPr>
          <w:p w14:paraId="1798A7D1" w14:textId="77777777" w:rsidR="001F6313" w:rsidRPr="007F711F" w:rsidRDefault="001F6313" w:rsidP="0033751B">
            <w:pPr>
              <w:jc w:val="right"/>
              <w:rPr>
                <w:color w:val="auto"/>
              </w:rPr>
            </w:pPr>
          </w:p>
        </w:tc>
        <w:tc>
          <w:tcPr>
            <w:tcW w:w="1048" w:type="pct"/>
          </w:tcPr>
          <w:p w14:paraId="566AAD67" w14:textId="77777777" w:rsidR="001F6313" w:rsidRPr="007F711F" w:rsidRDefault="001F6313" w:rsidP="0033751B">
            <w:pPr>
              <w:jc w:val="right"/>
              <w:rPr>
                <w:color w:val="auto"/>
              </w:rPr>
            </w:pPr>
          </w:p>
        </w:tc>
      </w:tr>
      <w:tr w:rsidR="007F711F" w:rsidRPr="007F711F" w14:paraId="49D6EC47" w14:textId="77777777" w:rsidTr="00F862F6">
        <w:tc>
          <w:tcPr>
            <w:tcW w:w="1856" w:type="pct"/>
            <w:noWrap/>
          </w:tcPr>
          <w:p w14:paraId="58AD8D1E" w14:textId="6B8EEF9F" w:rsidR="001F6313" w:rsidRPr="007F711F" w:rsidRDefault="00B20781">
            <w:pPr>
              <w:rPr>
                <w:color w:val="auto"/>
              </w:rPr>
            </w:pPr>
            <w:r w:rsidRPr="007F711F">
              <w:rPr>
                <w:color w:val="auto"/>
              </w:rPr>
              <w:t>Oast House</w:t>
            </w:r>
          </w:p>
        </w:tc>
        <w:tc>
          <w:tcPr>
            <w:tcW w:w="1048" w:type="pct"/>
          </w:tcPr>
          <w:p w14:paraId="150B9D81" w14:textId="7A0ED0D8" w:rsidR="001F6313" w:rsidRPr="007F711F" w:rsidRDefault="00A62B74" w:rsidP="0033751B">
            <w:pPr>
              <w:pStyle w:val="DecimalAligned"/>
              <w:jc w:val="right"/>
              <w:rPr>
                <w:color w:val="auto"/>
              </w:rPr>
            </w:pPr>
            <w:r w:rsidRPr="007F711F">
              <w:rPr>
                <w:color w:val="auto"/>
              </w:rPr>
              <w:t>184</w:t>
            </w:r>
          </w:p>
        </w:tc>
        <w:tc>
          <w:tcPr>
            <w:tcW w:w="1048" w:type="pct"/>
          </w:tcPr>
          <w:p w14:paraId="79A61D06" w14:textId="6F0B4865" w:rsidR="001F6313" w:rsidRPr="007F711F" w:rsidRDefault="00A76180" w:rsidP="0033751B">
            <w:pPr>
              <w:pStyle w:val="DecimalAligned"/>
              <w:jc w:val="right"/>
              <w:rPr>
                <w:color w:val="auto"/>
              </w:rPr>
            </w:pPr>
            <w:r w:rsidRPr="007F711F">
              <w:rPr>
                <w:color w:val="auto"/>
              </w:rPr>
              <w:t>115,500</w:t>
            </w:r>
          </w:p>
        </w:tc>
        <w:tc>
          <w:tcPr>
            <w:tcW w:w="1048" w:type="pct"/>
          </w:tcPr>
          <w:p w14:paraId="74B47419" w14:textId="3CBF1F7C" w:rsidR="001F6313" w:rsidRPr="007F711F" w:rsidRDefault="00A76180" w:rsidP="0033751B">
            <w:pPr>
              <w:pStyle w:val="DecimalAligned"/>
              <w:jc w:val="right"/>
              <w:rPr>
                <w:color w:val="auto"/>
              </w:rPr>
            </w:pPr>
            <w:r w:rsidRPr="007F711F">
              <w:rPr>
                <w:color w:val="auto"/>
              </w:rPr>
              <w:t>58,250</w:t>
            </w:r>
          </w:p>
        </w:tc>
      </w:tr>
      <w:tr w:rsidR="007F711F" w:rsidRPr="007F711F" w14:paraId="03642FBC" w14:textId="77777777" w:rsidTr="00F862F6">
        <w:tc>
          <w:tcPr>
            <w:tcW w:w="1856" w:type="pct"/>
            <w:noWrap/>
          </w:tcPr>
          <w:p w14:paraId="553329BF" w14:textId="3B327800" w:rsidR="001F6313" w:rsidRPr="007F711F" w:rsidRDefault="00B20781">
            <w:pPr>
              <w:rPr>
                <w:color w:val="auto"/>
              </w:rPr>
            </w:pPr>
            <w:r w:rsidRPr="007F711F">
              <w:rPr>
                <w:color w:val="auto"/>
              </w:rPr>
              <w:t>Ashford MSCP Site</w:t>
            </w:r>
          </w:p>
        </w:tc>
        <w:tc>
          <w:tcPr>
            <w:tcW w:w="1048" w:type="pct"/>
          </w:tcPr>
          <w:p w14:paraId="26D568F1" w14:textId="2868B508" w:rsidR="001F6313" w:rsidRPr="007F711F" w:rsidRDefault="00A62B74" w:rsidP="0033751B">
            <w:pPr>
              <w:pStyle w:val="DecimalAligned"/>
              <w:jc w:val="right"/>
              <w:rPr>
                <w:color w:val="auto"/>
              </w:rPr>
            </w:pPr>
            <w:r w:rsidRPr="007F711F">
              <w:rPr>
                <w:color w:val="auto"/>
              </w:rPr>
              <w:t>48</w:t>
            </w:r>
          </w:p>
        </w:tc>
        <w:tc>
          <w:tcPr>
            <w:tcW w:w="1048" w:type="pct"/>
          </w:tcPr>
          <w:p w14:paraId="6427B63F" w14:textId="1105BDDA" w:rsidR="001F6313" w:rsidRPr="007F711F" w:rsidRDefault="00C16128" w:rsidP="0033751B">
            <w:pPr>
              <w:pStyle w:val="DecimalAligned"/>
              <w:jc w:val="right"/>
              <w:rPr>
                <w:color w:val="auto"/>
              </w:rPr>
            </w:pPr>
            <w:r w:rsidRPr="007F711F">
              <w:rPr>
                <w:color w:val="auto"/>
              </w:rPr>
              <w:t>41,391</w:t>
            </w:r>
          </w:p>
        </w:tc>
        <w:tc>
          <w:tcPr>
            <w:tcW w:w="1048" w:type="pct"/>
          </w:tcPr>
          <w:p w14:paraId="628780C7" w14:textId="11E9E4FC" w:rsidR="001F6313" w:rsidRPr="007F711F" w:rsidRDefault="00C16128" w:rsidP="0033751B">
            <w:pPr>
              <w:pStyle w:val="DecimalAligned"/>
              <w:jc w:val="right"/>
              <w:rPr>
                <w:color w:val="auto"/>
              </w:rPr>
            </w:pPr>
            <w:r w:rsidRPr="007F711F">
              <w:rPr>
                <w:color w:val="auto"/>
              </w:rPr>
              <w:t>18,570</w:t>
            </w:r>
          </w:p>
        </w:tc>
      </w:tr>
      <w:tr w:rsidR="007F711F" w:rsidRPr="007F711F" w14:paraId="45CA53FE" w14:textId="77777777" w:rsidTr="00F862F6">
        <w:tc>
          <w:tcPr>
            <w:tcW w:w="1856" w:type="pct"/>
            <w:noWrap/>
          </w:tcPr>
          <w:p w14:paraId="3587DFD1" w14:textId="62AACABF" w:rsidR="001F6313" w:rsidRPr="007F711F" w:rsidRDefault="00B20781">
            <w:pPr>
              <w:rPr>
                <w:color w:val="auto"/>
              </w:rPr>
            </w:pPr>
            <w:r w:rsidRPr="007F711F">
              <w:rPr>
                <w:color w:val="auto"/>
              </w:rPr>
              <w:t>Victory Place</w:t>
            </w:r>
            <w:r w:rsidR="001F6313" w:rsidRPr="007F711F">
              <w:rPr>
                <w:color w:val="auto"/>
              </w:rPr>
              <w:t xml:space="preserve"> </w:t>
            </w:r>
          </w:p>
        </w:tc>
        <w:tc>
          <w:tcPr>
            <w:tcW w:w="1048" w:type="pct"/>
          </w:tcPr>
          <w:p w14:paraId="38A22852" w14:textId="6FB6B279" w:rsidR="001F6313" w:rsidRPr="007F711F" w:rsidRDefault="00CD5367" w:rsidP="0033751B">
            <w:pPr>
              <w:pStyle w:val="DecimalAligned"/>
              <w:jc w:val="right"/>
              <w:rPr>
                <w:color w:val="auto"/>
              </w:rPr>
            </w:pPr>
            <w:r w:rsidRPr="007F711F">
              <w:rPr>
                <w:color w:val="auto"/>
              </w:rPr>
              <w:t>127</w:t>
            </w:r>
          </w:p>
        </w:tc>
        <w:tc>
          <w:tcPr>
            <w:tcW w:w="1048" w:type="pct"/>
          </w:tcPr>
          <w:p w14:paraId="3FF1B1FF" w14:textId="1B7E397E" w:rsidR="001F6313" w:rsidRPr="007F711F" w:rsidRDefault="00C16128" w:rsidP="0033751B">
            <w:pPr>
              <w:pStyle w:val="DecimalAligned"/>
              <w:jc w:val="right"/>
              <w:rPr>
                <w:color w:val="auto"/>
              </w:rPr>
            </w:pPr>
            <w:r w:rsidRPr="007F711F">
              <w:rPr>
                <w:color w:val="auto"/>
              </w:rPr>
              <w:t>36,250</w:t>
            </w:r>
          </w:p>
        </w:tc>
        <w:tc>
          <w:tcPr>
            <w:tcW w:w="1048" w:type="pct"/>
          </w:tcPr>
          <w:p w14:paraId="3646662B" w14:textId="5911B0B5" w:rsidR="001F6313" w:rsidRPr="007F711F" w:rsidRDefault="00167618" w:rsidP="0033751B">
            <w:pPr>
              <w:pStyle w:val="DecimalAligned"/>
              <w:jc w:val="right"/>
              <w:rPr>
                <w:color w:val="auto"/>
              </w:rPr>
            </w:pPr>
            <w:r w:rsidRPr="007F711F">
              <w:rPr>
                <w:color w:val="auto"/>
              </w:rPr>
              <w:t>10,310</w:t>
            </w:r>
          </w:p>
        </w:tc>
      </w:tr>
      <w:tr w:rsidR="007F711F" w:rsidRPr="007F711F" w14:paraId="566A05C1" w14:textId="77777777" w:rsidTr="00110C55">
        <w:tc>
          <w:tcPr>
            <w:tcW w:w="1856" w:type="pct"/>
            <w:tcBorders>
              <w:bottom w:val="single" w:sz="4" w:space="0" w:color="auto"/>
            </w:tcBorders>
            <w:noWrap/>
          </w:tcPr>
          <w:p w14:paraId="3D7734C2" w14:textId="5CF04F43" w:rsidR="00167618" w:rsidRPr="007F711F" w:rsidRDefault="005D51CA">
            <w:pPr>
              <w:rPr>
                <w:color w:val="auto"/>
              </w:rPr>
            </w:pPr>
            <w:r w:rsidRPr="007F711F">
              <w:rPr>
                <w:color w:val="auto"/>
              </w:rPr>
              <w:t>Tothill MSCP</w:t>
            </w:r>
          </w:p>
        </w:tc>
        <w:tc>
          <w:tcPr>
            <w:tcW w:w="1048" w:type="pct"/>
            <w:tcBorders>
              <w:bottom w:val="single" w:sz="4" w:space="0" w:color="auto"/>
            </w:tcBorders>
          </w:tcPr>
          <w:p w14:paraId="212FC4B4" w14:textId="34007E9C" w:rsidR="00167618" w:rsidRPr="007F711F" w:rsidRDefault="00E65833" w:rsidP="0033751B">
            <w:pPr>
              <w:pStyle w:val="DecimalAligned"/>
              <w:jc w:val="right"/>
              <w:rPr>
                <w:color w:val="auto"/>
              </w:rPr>
            </w:pPr>
            <w:r w:rsidRPr="007F711F">
              <w:rPr>
                <w:color w:val="auto"/>
              </w:rPr>
              <w:t>1</w:t>
            </w:r>
            <w:r w:rsidR="008E1CC5" w:rsidRPr="007F711F">
              <w:rPr>
                <w:color w:val="auto"/>
              </w:rPr>
              <w:t>79</w:t>
            </w:r>
          </w:p>
        </w:tc>
        <w:tc>
          <w:tcPr>
            <w:tcW w:w="1048" w:type="pct"/>
            <w:tcBorders>
              <w:bottom w:val="single" w:sz="4" w:space="0" w:color="auto"/>
            </w:tcBorders>
          </w:tcPr>
          <w:p w14:paraId="4099F925" w14:textId="48070823" w:rsidR="00167618" w:rsidRPr="007F711F" w:rsidRDefault="00E90611" w:rsidP="0033751B">
            <w:pPr>
              <w:pStyle w:val="DecimalAligned"/>
              <w:jc w:val="right"/>
              <w:rPr>
                <w:color w:val="auto"/>
              </w:rPr>
            </w:pPr>
            <w:r w:rsidRPr="007F711F">
              <w:rPr>
                <w:color w:val="auto"/>
              </w:rPr>
              <w:t>82,000</w:t>
            </w:r>
          </w:p>
        </w:tc>
        <w:tc>
          <w:tcPr>
            <w:tcW w:w="1048" w:type="pct"/>
            <w:tcBorders>
              <w:bottom w:val="single" w:sz="4" w:space="0" w:color="auto"/>
            </w:tcBorders>
          </w:tcPr>
          <w:p w14:paraId="6DF7CC6B" w14:textId="36534B82" w:rsidR="00167618" w:rsidRPr="007F711F" w:rsidRDefault="00E90611" w:rsidP="0033751B">
            <w:pPr>
              <w:pStyle w:val="DecimalAligned"/>
              <w:jc w:val="right"/>
              <w:rPr>
                <w:color w:val="auto"/>
              </w:rPr>
            </w:pPr>
            <w:r w:rsidRPr="007F711F">
              <w:rPr>
                <w:color w:val="auto"/>
              </w:rPr>
              <w:t>20,000</w:t>
            </w:r>
          </w:p>
        </w:tc>
      </w:tr>
      <w:tr w:rsidR="007F711F" w:rsidRPr="007F711F" w14:paraId="4F049152" w14:textId="77777777" w:rsidTr="00110C55">
        <w:tc>
          <w:tcPr>
            <w:tcW w:w="1856" w:type="pct"/>
            <w:tcBorders>
              <w:top w:val="single" w:sz="4" w:space="0" w:color="auto"/>
              <w:bottom w:val="single" w:sz="4" w:space="0" w:color="auto"/>
            </w:tcBorders>
            <w:noWrap/>
          </w:tcPr>
          <w:p w14:paraId="15B8309B" w14:textId="39967CA3" w:rsidR="00E90611" w:rsidRPr="007F711F" w:rsidRDefault="00D717DB">
            <w:pPr>
              <w:rPr>
                <w:color w:val="auto"/>
              </w:rPr>
            </w:pPr>
            <w:r w:rsidRPr="007F711F">
              <w:rPr>
                <w:color w:val="auto"/>
              </w:rPr>
              <w:t xml:space="preserve">Total Affordable Housing </w:t>
            </w:r>
          </w:p>
        </w:tc>
        <w:tc>
          <w:tcPr>
            <w:tcW w:w="1048" w:type="pct"/>
            <w:tcBorders>
              <w:top w:val="single" w:sz="4" w:space="0" w:color="auto"/>
              <w:bottom w:val="single" w:sz="4" w:space="0" w:color="auto"/>
            </w:tcBorders>
          </w:tcPr>
          <w:p w14:paraId="562D78AF" w14:textId="05FFC4C5" w:rsidR="00E90611" w:rsidRPr="007F711F" w:rsidRDefault="002D47B4" w:rsidP="0033751B">
            <w:pPr>
              <w:pStyle w:val="DecimalAligned"/>
              <w:jc w:val="right"/>
              <w:rPr>
                <w:color w:val="auto"/>
              </w:rPr>
            </w:pPr>
            <w:r w:rsidRPr="007F711F">
              <w:rPr>
                <w:color w:val="auto"/>
              </w:rPr>
              <w:t>538</w:t>
            </w:r>
          </w:p>
        </w:tc>
        <w:tc>
          <w:tcPr>
            <w:tcW w:w="1048" w:type="pct"/>
            <w:tcBorders>
              <w:top w:val="single" w:sz="4" w:space="0" w:color="auto"/>
              <w:bottom w:val="single" w:sz="4" w:space="0" w:color="auto"/>
            </w:tcBorders>
          </w:tcPr>
          <w:p w14:paraId="297BAB44" w14:textId="57C816DB" w:rsidR="00E90611" w:rsidRPr="007F711F" w:rsidRDefault="00655D78" w:rsidP="0033751B">
            <w:pPr>
              <w:pStyle w:val="DecimalAligned"/>
              <w:jc w:val="right"/>
              <w:rPr>
                <w:color w:val="auto"/>
              </w:rPr>
            </w:pPr>
            <w:r w:rsidRPr="007F711F">
              <w:rPr>
                <w:color w:val="auto"/>
              </w:rPr>
              <w:t>275,141</w:t>
            </w:r>
          </w:p>
        </w:tc>
        <w:tc>
          <w:tcPr>
            <w:tcW w:w="1048" w:type="pct"/>
            <w:tcBorders>
              <w:top w:val="single" w:sz="4" w:space="0" w:color="auto"/>
              <w:bottom w:val="single" w:sz="4" w:space="0" w:color="auto"/>
            </w:tcBorders>
          </w:tcPr>
          <w:p w14:paraId="08661371" w14:textId="7D36356D" w:rsidR="00E90611" w:rsidRPr="007F711F" w:rsidRDefault="00F17006" w:rsidP="0033751B">
            <w:pPr>
              <w:pStyle w:val="DecimalAligned"/>
              <w:jc w:val="right"/>
              <w:rPr>
                <w:color w:val="auto"/>
              </w:rPr>
            </w:pPr>
            <w:r w:rsidRPr="007F711F">
              <w:rPr>
                <w:color w:val="auto"/>
              </w:rPr>
              <w:t>107,130</w:t>
            </w:r>
          </w:p>
        </w:tc>
      </w:tr>
      <w:tr w:rsidR="007F711F" w:rsidRPr="007F711F" w14:paraId="326E5B14" w14:textId="77777777" w:rsidTr="00110C55">
        <w:tc>
          <w:tcPr>
            <w:tcW w:w="1856" w:type="pct"/>
            <w:tcBorders>
              <w:top w:val="single" w:sz="4" w:space="0" w:color="auto"/>
            </w:tcBorders>
            <w:noWrap/>
          </w:tcPr>
          <w:p w14:paraId="7E04FEFA" w14:textId="17AAE44E" w:rsidR="00F862F6" w:rsidRPr="007F711F" w:rsidRDefault="00F862F6" w:rsidP="00F862F6">
            <w:pPr>
              <w:rPr>
                <w:color w:val="auto"/>
              </w:rPr>
            </w:pPr>
            <w:r w:rsidRPr="007F711F">
              <w:rPr>
                <w:color w:val="auto"/>
              </w:rPr>
              <w:t>Benwell – Phase 1 (completed)</w:t>
            </w:r>
          </w:p>
        </w:tc>
        <w:tc>
          <w:tcPr>
            <w:tcW w:w="1048" w:type="pct"/>
            <w:tcBorders>
              <w:top w:val="single" w:sz="4" w:space="0" w:color="auto"/>
            </w:tcBorders>
          </w:tcPr>
          <w:p w14:paraId="20B6B682" w14:textId="0290FDFF" w:rsidR="00F862F6" w:rsidRPr="007F711F" w:rsidRDefault="00F862F6" w:rsidP="00F862F6">
            <w:pPr>
              <w:pStyle w:val="DecimalAligned"/>
              <w:jc w:val="right"/>
              <w:rPr>
                <w:color w:val="auto"/>
              </w:rPr>
            </w:pPr>
            <w:r w:rsidRPr="007F711F">
              <w:rPr>
                <w:color w:val="auto"/>
              </w:rPr>
              <w:t>55</w:t>
            </w:r>
          </w:p>
        </w:tc>
        <w:tc>
          <w:tcPr>
            <w:tcW w:w="1048" w:type="pct"/>
            <w:tcBorders>
              <w:top w:val="single" w:sz="4" w:space="0" w:color="auto"/>
            </w:tcBorders>
          </w:tcPr>
          <w:p w14:paraId="1C844C1B" w14:textId="69DD29E3" w:rsidR="005623B7" w:rsidRPr="007F711F" w:rsidRDefault="005623B7" w:rsidP="005623B7">
            <w:pPr>
              <w:pStyle w:val="DecimalAligned"/>
              <w:rPr>
                <w:color w:val="auto"/>
              </w:rPr>
            </w:pPr>
          </w:p>
        </w:tc>
        <w:tc>
          <w:tcPr>
            <w:tcW w:w="1048" w:type="pct"/>
            <w:tcBorders>
              <w:top w:val="single" w:sz="4" w:space="0" w:color="auto"/>
            </w:tcBorders>
          </w:tcPr>
          <w:p w14:paraId="1A68681A" w14:textId="262ED9BB" w:rsidR="00F862F6" w:rsidRPr="007F711F" w:rsidRDefault="00F862F6" w:rsidP="00F862F6">
            <w:pPr>
              <w:pStyle w:val="DecimalAligned"/>
              <w:jc w:val="right"/>
              <w:rPr>
                <w:color w:val="auto"/>
              </w:rPr>
            </w:pPr>
          </w:p>
        </w:tc>
      </w:tr>
      <w:tr w:rsidR="007F711F" w:rsidRPr="007F711F" w14:paraId="59F89CDC" w14:textId="77777777" w:rsidTr="00F862F6">
        <w:tc>
          <w:tcPr>
            <w:tcW w:w="1856" w:type="pct"/>
            <w:noWrap/>
          </w:tcPr>
          <w:p w14:paraId="4EA8D97E" w14:textId="3DBEF5F9" w:rsidR="00F862F6" w:rsidRPr="007F711F" w:rsidRDefault="00F862F6" w:rsidP="00F862F6">
            <w:pPr>
              <w:rPr>
                <w:color w:val="auto"/>
              </w:rPr>
            </w:pPr>
            <w:r w:rsidRPr="007F711F">
              <w:rPr>
                <w:color w:val="auto"/>
              </w:rPr>
              <w:t>Benwell – Phase 2</w:t>
            </w:r>
          </w:p>
        </w:tc>
        <w:tc>
          <w:tcPr>
            <w:tcW w:w="1048" w:type="pct"/>
          </w:tcPr>
          <w:p w14:paraId="3EAC9EB3" w14:textId="0F6CC661" w:rsidR="00F862F6" w:rsidRPr="007F711F" w:rsidRDefault="00F862F6" w:rsidP="00F862F6">
            <w:pPr>
              <w:pStyle w:val="DecimalAligned"/>
              <w:jc w:val="right"/>
              <w:rPr>
                <w:color w:val="auto"/>
              </w:rPr>
            </w:pPr>
            <w:r w:rsidRPr="007F711F">
              <w:rPr>
                <w:color w:val="auto"/>
              </w:rPr>
              <w:t>39</w:t>
            </w:r>
          </w:p>
        </w:tc>
        <w:tc>
          <w:tcPr>
            <w:tcW w:w="1048" w:type="pct"/>
          </w:tcPr>
          <w:p w14:paraId="7F511064" w14:textId="5E50A91F" w:rsidR="00F862F6" w:rsidRPr="007F711F" w:rsidRDefault="005623B7" w:rsidP="00F862F6">
            <w:pPr>
              <w:pStyle w:val="DecimalAligned"/>
              <w:jc w:val="right"/>
              <w:rPr>
                <w:color w:val="auto"/>
              </w:rPr>
            </w:pPr>
            <w:r w:rsidRPr="007F711F">
              <w:rPr>
                <w:color w:val="auto"/>
              </w:rPr>
              <w:t>8,662</w:t>
            </w:r>
          </w:p>
        </w:tc>
        <w:tc>
          <w:tcPr>
            <w:tcW w:w="1048" w:type="pct"/>
          </w:tcPr>
          <w:p w14:paraId="63EEC496" w14:textId="1974CBC1" w:rsidR="00F862F6" w:rsidRPr="007F711F" w:rsidRDefault="00F50649" w:rsidP="00F862F6">
            <w:pPr>
              <w:pStyle w:val="DecimalAligned"/>
              <w:jc w:val="right"/>
              <w:rPr>
                <w:color w:val="auto"/>
              </w:rPr>
            </w:pPr>
            <w:r w:rsidRPr="007F711F">
              <w:rPr>
                <w:color w:val="auto"/>
              </w:rPr>
              <w:t>-</w:t>
            </w:r>
          </w:p>
        </w:tc>
      </w:tr>
      <w:tr w:rsidR="007F711F" w:rsidRPr="007F711F" w14:paraId="57692862" w14:textId="77777777" w:rsidTr="00A83D7E">
        <w:tc>
          <w:tcPr>
            <w:tcW w:w="1856" w:type="pct"/>
            <w:tcBorders>
              <w:bottom w:val="single" w:sz="4" w:space="0" w:color="auto"/>
            </w:tcBorders>
            <w:noWrap/>
          </w:tcPr>
          <w:p w14:paraId="303C12DE" w14:textId="1C8D1405" w:rsidR="00F862F6" w:rsidRPr="007F711F" w:rsidRDefault="00F862F6" w:rsidP="00F862F6">
            <w:pPr>
              <w:rPr>
                <w:color w:val="auto"/>
              </w:rPr>
            </w:pPr>
            <w:r w:rsidRPr="007F711F">
              <w:rPr>
                <w:color w:val="auto"/>
              </w:rPr>
              <w:t>Thameside</w:t>
            </w:r>
          </w:p>
        </w:tc>
        <w:tc>
          <w:tcPr>
            <w:tcW w:w="1048" w:type="pct"/>
            <w:tcBorders>
              <w:bottom w:val="single" w:sz="4" w:space="0" w:color="auto"/>
            </w:tcBorders>
          </w:tcPr>
          <w:p w14:paraId="0BACAC50" w14:textId="5B032732" w:rsidR="00F862F6" w:rsidRPr="007F711F" w:rsidRDefault="00F862F6" w:rsidP="00F862F6">
            <w:pPr>
              <w:pStyle w:val="DecimalAligned"/>
              <w:jc w:val="right"/>
              <w:rPr>
                <w:color w:val="auto"/>
              </w:rPr>
            </w:pPr>
            <w:r w:rsidRPr="007F711F">
              <w:rPr>
                <w:color w:val="auto"/>
              </w:rPr>
              <w:t>105</w:t>
            </w:r>
          </w:p>
        </w:tc>
        <w:tc>
          <w:tcPr>
            <w:tcW w:w="1048" w:type="pct"/>
            <w:tcBorders>
              <w:bottom w:val="single" w:sz="4" w:space="0" w:color="auto"/>
            </w:tcBorders>
          </w:tcPr>
          <w:p w14:paraId="7A5B2E7C" w14:textId="28F501CC" w:rsidR="00F862F6" w:rsidRPr="007F711F" w:rsidRDefault="005623B7" w:rsidP="00F862F6">
            <w:pPr>
              <w:pStyle w:val="DecimalAligned"/>
              <w:jc w:val="right"/>
              <w:rPr>
                <w:color w:val="auto"/>
              </w:rPr>
            </w:pPr>
            <w:r w:rsidRPr="007F711F">
              <w:rPr>
                <w:color w:val="auto"/>
              </w:rPr>
              <w:t>41,391</w:t>
            </w:r>
          </w:p>
        </w:tc>
        <w:tc>
          <w:tcPr>
            <w:tcW w:w="1048" w:type="pct"/>
            <w:tcBorders>
              <w:bottom w:val="single" w:sz="4" w:space="0" w:color="auto"/>
            </w:tcBorders>
          </w:tcPr>
          <w:p w14:paraId="17133872" w14:textId="665301B1" w:rsidR="00F862F6" w:rsidRPr="007F711F" w:rsidRDefault="00F50649" w:rsidP="00F862F6">
            <w:pPr>
              <w:pStyle w:val="DecimalAligned"/>
              <w:jc w:val="right"/>
              <w:rPr>
                <w:color w:val="auto"/>
              </w:rPr>
            </w:pPr>
            <w:r w:rsidRPr="007F711F">
              <w:rPr>
                <w:color w:val="auto"/>
              </w:rPr>
              <w:t>-</w:t>
            </w:r>
          </w:p>
        </w:tc>
      </w:tr>
      <w:tr w:rsidR="007F711F" w:rsidRPr="007F711F" w14:paraId="0B9BC7ED" w14:textId="77777777" w:rsidTr="00A83D7E">
        <w:tc>
          <w:tcPr>
            <w:tcW w:w="1856" w:type="pct"/>
            <w:tcBorders>
              <w:top w:val="single" w:sz="4" w:space="0" w:color="auto"/>
              <w:bottom w:val="single" w:sz="8" w:space="0" w:color="5A4B9A" w:themeColor="accent1"/>
            </w:tcBorders>
            <w:noWrap/>
          </w:tcPr>
          <w:p w14:paraId="6C714049" w14:textId="0C665655" w:rsidR="001F6313" w:rsidRPr="007F711F" w:rsidRDefault="001F6313">
            <w:pPr>
              <w:rPr>
                <w:color w:val="auto"/>
              </w:rPr>
            </w:pPr>
            <w:r w:rsidRPr="007F711F">
              <w:rPr>
                <w:color w:val="auto"/>
              </w:rPr>
              <w:t>Total</w:t>
            </w:r>
            <w:r w:rsidR="00110C55" w:rsidRPr="007F711F">
              <w:rPr>
                <w:color w:val="auto"/>
              </w:rPr>
              <w:t xml:space="preserve"> Private Sector Housing</w:t>
            </w:r>
          </w:p>
        </w:tc>
        <w:tc>
          <w:tcPr>
            <w:tcW w:w="1048" w:type="pct"/>
            <w:tcBorders>
              <w:top w:val="single" w:sz="4" w:space="0" w:color="auto"/>
              <w:bottom w:val="single" w:sz="8" w:space="0" w:color="5A4B9A" w:themeColor="accent1"/>
            </w:tcBorders>
          </w:tcPr>
          <w:p w14:paraId="4FBC1B97" w14:textId="4F3584C4" w:rsidR="001F6313" w:rsidRPr="007F711F" w:rsidRDefault="00A97A22" w:rsidP="0033751B">
            <w:pPr>
              <w:pStyle w:val="DecimalAligned"/>
              <w:jc w:val="right"/>
              <w:rPr>
                <w:color w:val="auto"/>
              </w:rPr>
            </w:pPr>
            <w:r w:rsidRPr="007F711F">
              <w:rPr>
                <w:color w:val="auto"/>
              </w:rPr>
              <w:t>199</w:t>
            </w:r>
          </w:p>
        </w:tc>
        <w:tc>
          <w:tcPr>
            <w:tcW w:w="1048" w:type="pct"/>
            <w:tcBorders>
              <w:top w:val="single" w:sz="4" w:space="0" w:color="auto"/>
              <w:bottom w:val="single" w:sz="8" w:space="0" w:color="5A4B9A" w:themeColor="accent1"/>
            </w:tcBorders>
          </w:tcPr>
          <w:p w14:paraId="7E7B5F6C" w14:textId="2396ECE0" w:rsidR="001F6313" w:rsidRPr="007F711F" w:rsidRDefault="00A15C79" w:rsidP="0033751B">
            <w:pPr>
              <w:pStyle w:val="DecimalAligned"/>
              <w:jc w:val="right"/>
              <w:rPr>
                <w:color w:val="auto"/>
              </w:rPr>
            </w:pPr>
            <w:r w:rsidRPr="007F711F">
              <w:rPr>
                <w:color w:val="auto"/>
              </w:rPr>
              <w:t>50,053</w:t>
            </w:r>
          </w:p>
        </w:tc>
        <w:tc>
          <w:tcPr>
            <w:tcW w:w="1048" w:type="pct"/>
            <w:tcBorders>
              <w:top w:val="single" w:sz="4" w:space="0" w:color="auto"/>
              <w:bottom w:val="single" w:sz="8" w:space="0" w:color="5A4B9A" w:themeColor="accent1"/>
            </w:tcBorders>
          </w:tcPr>
          <w:p w14:paraId="5E089DD4" w14:textId="01B27618" w:rsidR="001F6313" w:rsidRPr="007F711F" w:rsidRDefault="00F50649" w:rsidP="00F50649">
            <w:pPr>
              <w:pStyle w:val="DecimalAligned"/>
              <w:jc w:val="right"/>
              <w:rPr>
                <w:color w:val="auto"/>
              </w:rPr>
            </w:pPr>
            <w:r w:rsidRPr="007F711F">
              <w:rPr>
                <w:color w:val="auto"/>
              </w:rPr>
              <w:t>-</w:t>
            </w:r>
          </w:p>
        </w:tc>
      </w:tr>
      <w:tr w:rsidR="007F711F" w:rsidRPr="007F711F" w14:paraId="69B0E03E" w14:textId="77777777" w:rsidTr="00A83D7E">
        <w:trPr>
          <w:cnfStyle w:val="010000000000" w:firstRow="0" w:lastRow="1" w:firstColumn="0" w:lastColumn="0" w:oddVBand="0" w:evenVBand="0" w:oddHBand="0" w:evenHBand="0" w:firstRowFirstColumn="0" w:firstRowLastColumn="0" w:lastRowFirstColumn="0" w:lastRowLastColumn="0"/>
        </w:trPr>
        <w:tc>
          <w:tcPr>
            <w:tcW w:w="1856" w:type="pct"/>
            <w:noWrap/>
          </w:tcPr>
          <w:p w14:paraId="0E08ECAB" w14:textId="03C0420C" w:rsidR="00A83D7E" w:rsidRPr="007F711F" w:rsidRDefault="00F50649">
            <w:pPr>
              <w:rPr>
                <w:color w:val="auto"/>
              </w:rPr>
            </w:pPr>
            <w:r w:rsidRPr="007F711F">
              <w:rPr>
                <w:color w:val="auto"/>
              </w:rPr>
              <w:t>-</w:t>
            </w:r>
            <w:r w:rsidR="00110C55" w:rsidRPr="007F711F">
              <w:rPr>
                <w:color w:val="auto"/>
              </w:rPr>
              <w:t>Total All Schemes</w:t>
            </w:r>
          </w:p>
        </w:tc>
        <w:tc>
          <w:tcPr>
            <w:tcW w:w="1048" w:type="pct"/>
          </w:tcPr>
          <w:p w14:paraId="076C26C1" w14:textId="00529469" w:rsidR="00A83D7E" w:rsidRPr="007F711F" w:rsidRDefault="00A97A22" w:rsidP="0033751B">
            <w:pPr>
              <w:pStyle w:val="DecimalAligned"/>
              <w:jc w:val="right"/>
              <w:rPr>
                <w:color w:val="auto"/>
              </w:rPr>
            </w:pPr>
            <w:r w:rsidRPr="007F711F">
              <w:rPr>
                <w:color w:val="auto"/>
              </w:rPr>
              <w:t>737</w:t>
            </w:r>
          </w:p>
        </w:tc>
        <w:tc>
          <w:tcPr>
            <w:tcW w:w="1048" w:type="pct"/>
          </w:tcPr>
          <w:p w14:paraId="5B176A4A" w14:textId="0F53B161" w:rsidR="00A83D7E" w:rsidRPr="007F711F" w:rsidRDefault="00210643" w:rsidP="0033751B">
            <w:pPr>
              <w:pStyle w:val="DecimalAligned"/>
              <w:jc w:val="right"/>
              <w:rPr>
                <w:color w:val="auto"/>
              </w:rPr>
            </w:pPr>
            <w:r w:rsidRPr="007F711F">
              <w:rPr>
                <w:color w:val="auto"/>
              </w:rPr>
              <w:t>325,194</w:t>
            </w:r>
          </w:p>
        </w:tc>
        <w:tc>
          <w:tcPr>
            <w:tcW w:w="1048" w:type="pct"/>
          </w:tcPr>
          <w:p w14:paraId="2C559138" w14:textId="2453454E" w:rsidR="00A83D7E" w:rsidRPr="007F711F" w:rsidRDefault="00210643" w:rsidP="0033751B">
            <w:pPr>
              <w:pStyle w:val="DecimalAligned"/>
              <w:jc w:val="right"/>
              <w:rPr>
                <w:color w:val="auto"/>
              </w:rPr>
            </w:pPr>
            <w:r w:rsidRPr="007F711F">
              <w:rPr>
                <w:color w:val="auto"/>
              </w:rPr>
              <w:t>107,130</w:t>
            </w:r>
          </w:p>
        </w:tc>
      </w:tr>
    </w:tbl>
    <w:p w14:paraId="328D20DA" w14:textId="509E183D" w:rsidR="001F6313" w:rsidRPr="007F711F" w:rsidRDefault="001F6313" w:rsidP="00C71A5C">
      <w:pPr>
        <w:pStyle w:val="FootnoteText"/>
        <w:rPr>
          <w:i/>
          <w:iCs/>
          <w:sz w:val="18"/>
          <w:szCs w:val="18"/>
        </w:rPr>
      </w:pPr>
      <w:r w:rsidRPr="007F711F">
        <w:rPr>
          <w:rStyle w:val="SubtleEmphasis"/>
          <w:i w:val="0"/>
          <w:iCs w:val="0"/>
          <w:color w:val="auto"/>
          <w:sz w:val="18"/>
          <w:szCs w:val="18"/>
        </w:rPr>
        <w:t>Source:</w:t>
      </w:r>
      <w:r w:rsidRPr="007F711F">
        <w:rPr>
          <w:i/>
          <w:iCs/>
          <w:sz w:val="18"/>
          <w:szCs w:val="18"/>
        </w:rPr>
        <w:t xml:space="preserve"> </w:t>
      </w:r>
      <w:r w:rsidR="003C27C7" w:rsidRPr="007F711F">
        <w:rPr>
          <w:i/>
          <w:iCs/>
          <w:sz w:val="18"/>
          <w:szCs w:val="18"/>
        </w:rPr>
        <w:t>Capital Programme Report 2023</w:t>
      </w:r>
    </w:p>
    <w:p w14:paraId="149637F5" w14:textId="1219FC81" w:rsidR="00F46A1C" w:rsidRPr="007F711F" w:rsidRDefault="00F46A1C" w:rsidP="00F87194">
      <w:pPr>
        <w:rPr>
          <w:i/>
          <w:iCs/>
          <w:sz w:val="18"/>
          <w:szCs w:val="18"/>
        </w:rPr>
      </w:pPr>
      <w:r w:rsidRPr="007F711F">
        <w:rPr>
          <w:b/>
          <w:bCs/>
          <w:i/>
          <w:iCs/>
          <w:sz w:val="18"/>
          <w:szCs w:val="18"/>
        </w:rPr>
        <w:t>Note:</w:t>
      </w:r>
      <w:r w:rsidRPr="007F711F">
        <w:rPr>
          <w:i/>
          <w:iCs/>
          <w:sz w:val="18"/>
          <w:szCs w:val="18"/>
        </w:rPr>
        <w:t xml:space="preserve">  The grant funding for the Oast House Project is split between Homes England Grant </w:t>
      </w:r>
      <w:r w:rsidR="004938BD" w:rsidRPr="007F711F">
        <w:rPr>
          <w:i/>
          <w:iCs/>
          <w:sz w:val="18"/>
          <w:szCs w:val="18"/>
        </w:rPr>
        <w:t>(£23,250,000) and NHS Funding (£35,000,000)</w:t>
      </w:r>
    </w:p>
    <w:p w14:paraId="69326344" w14:textId="6182C666" w:rsidR="00414F15" w:rsidRDefault="002B5034" w:rsidP="00F13E5B">
      <w:pPr>
        <w:jc w:val="both"/>
      </w:pPr>
      <w:r>
        <w:t>As mentioned</w:t>
      </w:r>
      <w:r w:rsidR="0082324B">
        <w:t xml:space="preserve">, </w:t>
      </w:r>
      <w:r>
        <w:t xml:space="preserve">the </w:t>
      </w:r>
      <w:r w:rsidR="003E6D21">
        <w:t>c</w:t>
      </w:r>
      <w:r>
        <w:t>ouncil has purchased a number of sites to enable these projects to proceed at an original purchase price of some £</w:t>
      </w:r>
      <w:r w:rsidR="00DD0732">
        <w:t>35.534</w:t>
      </w:r>
      <w:r w:rsidR="00C26A04">
        <w:t xml:space="preserve"> </w:t>
      </w:r>
      <w:r w:rsidR="00DD0732">
        <w:t>m</w:t>
      </w:r>
      <w:r w:rsidR="00C26A04">
        <w:t>illion</w:t>
      </w:r>
      <w:r w:rsidR="0082324B">
        <w:t xml:space="preserve">. It considers </w:t>
      </w:r>
      <w:r w:rsidR="00DD0732">
        <w:t>the</w:t>
      </w:r>
      <w:r w:rsidR="00A15FB8">
        <w:t>i</w:t>
      </w:r>
      <w:r w:rsidR="00DD0732">
        <w:t xml:space="preserve">r current value </w:t>
      </w:r>
      <w:r w:rsidR="0082324B">
        <w:t>to be</w:t>
      </w:r>
      <w:r w:rsidR="00DD0732">
        <w:t xml:space="preserve"> approximately </w:t>
      </w:r>
      <w:r w:rsidR="00637EA9">
        <w:t>£17.6</w:t>
      </w:r>
      <w:r w:rsidR="00C26A04">
        <w:t xml:space="preserve"> </w:t>
      </w:r>
      <w:r w:rsidR="00637EA9">
        <w:t>m</w:t>
      </w:r>
      <w:r w:rsidR="00C26A04">
        <w:t>illion</w:t>
      </w:r>
      <w:r w:rsidR="00B043B2">
        <w:t>, a reduction of some £17.834</w:t>
      </w:r>
      <w:r w:rsidR="00C26A04">
        <w:t xml:space="preserve"> </w:t>
      </w:r>
      <w:r w:rsidR="00B043B2">
        <w:t>m</w:t>
      </w:r>
      <w:r w:rsidR="00C26A04">
        <w:t>illion</w:t>
      </w:r>
      <w:r w:rsidR="00B043B2">
        <w:t xml:space="preserve">. </w:t>
      </w:r>
      <w:r w:rsidR="0051360E">
        <w:t xml:space="preserve">The most significant </w:t>
      </w:r>
      <w:r w:rsidR="00AF3F51">
        <w:t>fall</w:t>
      </w:r>
      <w:r w:rsidR="0051360E">
        <w:t xml:space="preserve"> (£14.5</w:t>
      </w:r>
      <w:r w:rsidR="00C26A04">
        <w:t xml:space="preserve"> </w:t>
      </w:r>
      <w:r w:rsidR="0051360E">
        <w:t>m</w:t>
      </w:r>
      <w:r w:rsidR="00C26A04">
        <w:t>illion</w:t>
      </w:r>
      <w:r w:rsidR="0051360E">
        <w:t>) relates to the Oast House</w:t>
      </w:r>
      <w:r w:rsidR="000A3DAC">
        <w:t xml:space="preserve">. Here, the </w:t>
      </w:r>
      <w:r w:rsidR="003E6D21">
        <w:t>c</w:t>
      </w:r>
      <w:r w:rsidR="000A3DAC">
        <w:t>ouncil</w:t>
      </w:r>
      <w:r w:rsidR="0051360E">
        <w:t xml:space="preserve"> has restricted </w:t>
      </w:r>
      <w:r w:rsidR="005B1A81">
        <w:t xml:space="preserve">future </w:t>
      </w:r>
      <w:r w:rsidR="0051360E">
        <w:t xml:space="preserve">development </w:t>
      </w:r>
      <w:r w:rsidR="00F834A5">
        <w:t>to 10 storeys</w:t>
      </w:r>
      <w:r w:rsidR="000F6471">
        <w:t>. These</w:t>
      </w:r>
      <w:r w:rsidR="00AB409E">
        <w:t xml:space="preserve"> assumptions were not</w:t>
      </w:r>
      <w:r w:rsidR="000F6471">
        <w:t xml:space="preserve"> </w:t>
      </w:r>
      <w:r w:rsidR="00AB409E">
        <w:t>in play at purchase</w:t>
      </w:r>
      <w:r w:rsidR="00F834A5">
        <w:t xml:space="preserve">. </w:t>
      </w:r>
      <w:r w:rsidR="005B1A81">
        <w:t>SBC</w:t>
      </w:r>
      <w:r w:rsidR="00F834A5">
        <w:t xml:space="preserve"> has not </w:t>
      </w:r>
      <w:r w:rsidR="005860DB">
        <w:t xml:space="preserve">fully </w:t>
      </w:r>
      <w:r w:rsidR="00F834A5">
        <w:t xml:space="preserve">explained </w:t>
      </w:r>
      <w:r w:rsidR="0017494B">
        <w:t xml:space="preserve">whether </w:t>
      </w:r>
      <w:r w:rsidR="00F834A5">
        <w:t xml:space="preserve">the </w:t>
      </w:r>
      <w:r w:rsidR="00D32D6A">
        <w:t xml:space="preserve">current </w:t>
      </w:r>
      <w:r w:rsidR="00F47A41">
        <w:t xml:space="preserve">valuation is based on </w:t>
      </w:r>
      <w:r w:rsidR="00D32D6A">
        <w:t>existing</w:t>
      </w:r>
      <w:r w:rsidR="00F47A41">
        <w:t xml:space="preserve"> development plans or the value if maximum potential</w:t>
      </w:r>
      <w:r w:rsidR="00D93328">
        <w:t xml:space="preserve"> were realised</w:t>
      </w:r>
      <w:r w:rsidR="00D32D6A">
        <w:t xml:space="preserve">, including </w:t>
      </w:r>
      <w:r w:rsidR="00D93328">
        <w:t xml:space="preserve">through </w:t>
      </w:r>
      <w:r w:rsidR="00D32D6A">
        <w:t>different assumptions about height</w:t>
      </w:r>
      <w:r w:rsidR="00F47A41">
        <w:t>.</w:t>
      </w:r>
    </w:p>
    <w:p w14:paraId="33DCA475" w14:textId="710233F5" w:rsidR="003D3FE9" w:rsidRDefault="00C26FEF" w:rsidP="00F13E5B">
      <w:pPr>
        <w:jc w:val="both"/>
      </w:pPr>
      <w:r>
        <w:t>The affordable housing projects have been subject to considerable delay</w:t>
      </w:r>
      <w:r w:rsidR="00742FEE">
        <w:t xml:space="preserve">. This </w:t>
      </w:r>
      <w:r>
        <w:t>has had a significant impact on affordability</w:t>
      </w:r>
      <w:r w:rsidR="00742FEE">
        <w:t xml:space="preserve">, </w:t>
      </w:r>
      <w:r w:rsidR="00C32EC5">
        <w:t xml:space="preserve">as set out in </w:t>
      </w:r>
      <w:r w:rsidR="003E6D21">
        <w:t>T</w:t>
      </w:r>
      <w:r w:rsidR="00F13E5B">
        <w:t>able 7</w:t>
      </w:r>
      <w:r w:rsidR="00C32EC5">
        <w:t>.</w:t>
      </w:r>
    </w:p>
    <w:p w14:paraId="34F71D4D" w14:textId="143D2540" w:rsidR="00496FA9" w:rsidRPr="007F711F" w:rsidRDefault="00496FA9">
      <w:pPr>
        <w:rPr>
          <w:i/>
          <w:iCs/>
        </w:rPr>
      </w:pPr>
      <w:bookmarkStart w:id="8" w:name="_Hlk130052029"/>
      <w:r w:rsidRPr="007F711F">
        <w:rPr>
          <w:i/>
          <w:iCs/>
        </w:rPr>
        <w:t xml:space="preserve">Table 7: Impact of Delays on </w:t>
      </w:r>
      <w:r w:rsidR="002B01B5" w:rsidRPr="007F711F">
        <w:rPr>
          <w:i/>
          <w:iCs/>
        </w:rPr>
        <w:t>Affordable Housing Projects</w:t>
      </w:r>
    </w:p>
    <w:bookmarkEnd w:id="8"/>
    <w:tbl>
      <w:tblPr>
        <w:tblStyle w:val="LightShading-Accent1"/>
        <w:tblW w:w="5000" w:type="pct"/>
        <w:tblLook w:val="0660" w:firstRow="1" w:lastRow="1" w:firstColumn="0" w:lastColumn="0" w:noHBand="1" w:noVBand="1"/>
      </w:tblPr>
      <w:tblGrid>
        <w:gridCol w:w="7655"/>
        <w:gridCol w:w="1134"/>
      </w:tblGrid>
      <w:tr w:rsidR="007F711F" w:rsidRPr="007F711F" w14:paraId="23F36DE3" w14:textId="77777777" w:rsidTr="00084A54">
        <w:trPr>
          <w:cnfStyle w:val="100000000000" w:firstRow="1" w:lastRow="0" w:firstColumn="0" w:lastColumn="0" w:oddVBand="0" w:evenVBand="0" w:oddHBand="0" w:evenHBand="0" w:firstRowFirstColumn="0" w:firstRowLastColumn="0" w:lastRowFirstColumn="0" w:lastRowLastColumn="0"/>
        </w:trPr>
        <w:tc>
          <w:tcPr>
            <w:tcW w:w="4355" w:type="pct"/>
            <w:noWrap/>
          </w:tcPr>
          <w:p w14:paraId="329DDA9F" w14:textId="33C313FC" w:rsidR="00084A54" w:rsidRPr="007F711F" w:rsidRDefault="00084A54">
            <w:pPr>
              <w:rPr>
                <w:color w:val="auto"/>
              </w:rPr>
            </w:pPr>
          </w:p>
        </w:tc>
        <w:tc>
          <w:tcPr>
            <w:tcW w:w="645" w:type="pct"/>
          </w:tcPr>
          <w:p w14:paraId="21F3E05F" w14:textId="7C903656" w:rsidR="00084A54" w:rsidRPr="007F711F" w:rsidRDefault="00FC3FF4" w:rsidP="00FC3FF4">
            <w:pPr>
              <w:jc w:val="right"/>
              <w:rPr>
                <w:color w:val="auto"/>
              </w:rPr>
            </w:pPr>
            <w:r w:rsidRPr="007F711F">
              <w:rPr>
                <w:color w:val="auto"/>
              </w:rPr>
              <w:t>£m</w:t>
            </w:r>
          </w:p>
        </w:tc>
      </w:tr>
      <w:tr w:rsidR="007F711F" w:rsidRPr="007F711F" w14:paraId="46B315E6" w14:textId="77777777" w:rsidTr="00084A54">
        <w:tc>
          <w:tcPr>
            <w:tcW w:w="4355" w:type="pct"/>
            <w:noWrap/>
          </w:tcPr>
          <w:p w14:paraId="4CCB5AFB" w14:textId="77777777" w:rsidR="00084A54" w:rsidRPr="007F711F" w:rsidRDefault="00084A54">
            <w:pPr>
              <w:rPr>
                <w:color w:val="auto"/>
              </w:rPr>
            </w:pPr>
          </w:p>
        </w:tc>
        <w:tc>
          <w:tcPr>
            <w:tcW w:w="645" w:type="pct"/>
          </w:tcPr>
          <w:p w14:paraId="69F7137A" w14:textId="77777777" w:rsidR="00084A54" w:rsidRPr="007F711F" w:rsidRDefault="00084A54">
            <w:pPr>
              <w:rPr>
                <w:color w:val="auto"/>
              </w:rPr>
            </w:pPr>
          </w:p>
        </w:tc>
      </w:tr>
      <w:tr w:rsidR="007F711F" w:rsidRPr="007F711F" w14:paraId="275B8F1E" w14:textId="77777777" w:rsidTr="00084A54">
        <w:tc>
          <w:tcPr>
            <w:tcW w:w="4355" w:type="pct"/>
            <w:noWrap/>
          </w:tcPr>
          <w:p w14:paraId="36D0C3EE" w14:textId="77777777" w:rsidR="0077178B" w:rsidRPr="007F711F" w:rsidRDefault="005B403E">
            <w:pPr>
              <w:rPr>
                <w:color w:val="auto"/>
              </w:rPr>
            </w:pPr>
            <w:r w:rsidRPr="007F711F">
              <w:rPr>
                <w:color w:val="auto"/>
              </w:rPr>
              <w:t>Increased construction costs due to inflation</w:t>
            </w:r>
          </w:p>
          <w:p w14:paraId="3EB836A7" w14:textId="77777777" w:rsidR="00FC3FF4" w:rsidRPr="007F711F" w:rsidRDefault="00FC3FF4">
            <w:pPr>
              <w:rPr>
                <w:color w:val="auto"/>
              </w:rPr>
            </w:pPr>
          </w:p>
          <w:p w14:paraId="55057818" w14:textId="74F47C0F" w:rsidR="005B403E" w:rsidRPr="007F711F" w:rsidRDefault="005B403E">
            <w:pPr>
              <w:rPr>
                <w:color w:val="auto"/>
              </w:rPr>
            </w:pPr>
            <w:r w:rsidRPr="007F711F">
              <w:rPr>
                <w:color w:val="auto"/>
              </w:rPr>
              <w:t>Offset by savings from a smaller development</w:t>
            </w:r>
            <w:r w:rsidR="00BE25E1" w:rsidRPr="007F711F">
              <w:rPr>
                <w:color w:val="auto"/>
              </w:rPr>
              <w:t>.</w:t>
            </w:r>
          </w:p>
          <w:p w14:paraId="69035C37" w14:textId="01F95383" w:rsidR="005B403E" w:rsidRPr="007F711F" w:rsidRDefault="005B403E">
            <w:pPr>
              <w:rPr>
                <w:color w:val="auto"/>
              </w:rPr>
            </w:pPr>
          </w:p>
        </w:tc>
        <w:tc>
          <w:tcPr>
            <w:tcW w:w="645" w:type="pct"/>
          </w:tcPr>
          <w:p w14:paraId="131C2DCA" w14:textId="77777777" w:rsidR="0077178B" w:rsidRPr="007F711F" w:rsidRDefault="00FC3FF4" w:rsidP="00BE25E1">
            <w:pPr>
              <w:pStyle w:val="DecimalAligned"/>
              <w:jc w:val="right"/>
              <w:rPr>
                <w:color w:val="auto"/>
              </w:rPr>
            </w:pPr>
            <w:r w:rsidRPr="007F711F">
              <w:rPr>
                <w:color w:val="auto"/>
              </w:rPr>
              <w:t>33.799</w:t>
            </w:r>
          </w:p>
          <w:p w14:paraId="40F58E29" w14:textId="270F3387" w:rsidR="00FC3FF4" w:rsidRPr="007F711F" w:rsidRDefault="00FC3FF4" w:rsidP="00BE25E1">
            <w:pPr>
              <w:pStyle w:val="DecimalAligned"/>
              <w:jc w:val="right"/>
              <w:rPr>
                <w:color w:val="auto"/>
              </w:rPr>
            </w:pPr>
            <w:r w:rsidRPr="007F711F">
              <w:rPr>
                <w:color w:val="auto"/>
              </w:rPr>
              <w:t>-</w:t>
            </w:r>
            <w:r w:rsidR="00BE7BB6" w:rsidRPr="007F711F">
              <w:rPr>
                <w:color w:val="auto"/>
              </w:rPr>
              <w:t>22.690</w:t>
            </w:r>
          </w:p>
        </w:tc>
      </w:tr>
      <w:tr w:rsidR="007F711F" w:rsidRPr="007F711F" w14:paraId="029BFA10" w14:textId="77777777" w:rsidTr="00084A54">
        <w:tc>
          <w:tcPr>
            <w:tcW w:w="4355" w:type="pct"/>
            <w:noWrap/>
          </w:tcPr>
          <w:p w14:paraId="5F5BE594" w14:textId="05D2C1E9" w:rsidR="00084A54" w:rsidRPr="007F711F" w:rsidRDefault="00084A54">
            <w:pPr>
              <w:rPr>
                <w:color w:val="auto"/>
              </w:rPr>
            </w:pPr>
            <w:r w:rsidRPr="007F711F">
              <w:rPr>
                <w:color w:val="auto"/>
              </w:rPr>
              <w:t xml:space="preserve">Increased Interest Charges – due to </w:t>
            </w:r>
            <w:r w:rsidR="001255CF" w:rsidRPr="007F711F">
              <w:rPr>
                <w:color w:val="auto"/>
              </w:rPr>
              <w:t>increases in long-term borrowing rates</w:t>
            </w:r>
          </w:p>
        </w:tc>
        <w:tc>
          <w:tcPr>
            <w:tcW w:w="645" w:type="pct"/>
          </w:tcPr>
          <w:p w14:paraId="599D4CE6" w14:textId="5DD3172C" w:rsidR="00084A54" w:rsidRPr="007F711F" w:rsidRDefault="006D691C" w:rsidP="00BE25E1">
            <w:pPr>
              <w:pStyle w:val="DecimalAligned"/>
              <w:jc w:val="right"/>
              <w:rPr>
                <w:color w:val="auto"/>
              </w:rPr>
            </w:pPr>
            <w:r w:rsidRPr="007F711F">
              <w:rPr>
                <w:color w:val="auto"/>
              </w:rPr>
              <w:t>90</w:t>
            </w:r>
            <w:r w:rsidR="00563237" w:rsidRPr="007F711F">
              <w:rPr>
                <w:color w:val="auto"/>
              </w:rPr>
              <w:t>.294</w:t>
            </w:r>
          </w:p>
        </w:tc>
      </w:tr>
      <w:tr w:rsidR="007F711F" w:rsidRPr="007F711F" w14:paraId="53A60F21" w14:textId="77777777" w:rsidTr="00084A54">
        <w:tc>
          <w:tcPr>
            <w:tcW w:w="4355" w:type="pct"/>
            <w:noWrap/>
          </w:tcPr>
          <w:p w14:paraId="34D4D782" w14:textId="23B1EC8B" w:rsidR="00084A54" w:rsidRPr="007F711F" w:rsidRDefault="00BD6BB5">
            <w:pPr>
              <w:rPr>
                <w:color w:val="auto"/>
              </w:rPr>
            </w:pPr>
            <w:r w:rsidRPr="007F711F">
              <w:rPr>
                <w:color w:val="auto"/>
              </w:rPr>
              <w:t>Loss of Rent</w:t>
            </w:r>
            <w:r w:rsidR="001255CF" w:rsidRPr="007F711F">
              <w:rPr>
                <w:color w:val="auto"/>
              </w:rPr>
              <w:t xml:space="preserve"> – due to </w:t>
            </w:r>
            <w:r w:rsidRPr="007F711F">
              <w:rPr>
                <w:color w:val="auto"/>
              </w:rPr>
              <w:t>height restrictions on projects within Staines</w:t>
            </w:r>
          </w:p>
        </w:tc>
        <w:tc>
          <w:tcPr>
            <w:tcW w:w="645" w:type="pct"/>
          </w:tcPr>
          <w:p w14:paraId="38E566D0" w14:textId="72C65FC3" w:rsidR="00084A54" w:rsidRPr="007F711F" w:rsidRDefault="00563237" w:rsidP="00BE25E1">
            <w:pPr>
              <w:pStyle w:val="DecimalAligned"/>
              <w:jc w:val="right"/>
              <w:rPr>
                <w:color w:val="auto"/>
              </w:rPr>
            </w:pPr>
            <w:r w:rsidRPr="007F711F">
              <w:rPr>
                <w:color w:val="auto"/>
              </w:rPr>
              <w:t>91.658</w:t>
            </w:r>
          </w:p>
        </w:tc>
      </w:tr>
      <w:tr w:rsidR="007F711F" w:rsidRPr="007F711F" w14:paraId="7C98A9B1" w14:textId="77777777" w:rsidTr="00084A54">
        <w:tc>
          <w:tcPr>
            <w:tcW w:w="4355" w:type="pct"/>
            <w:noWrap/>
          </w:tcPr>
          <w:p w14:paraId="249F4F77" w14:textId="3C453BC6" w:rsidR="00084A54" w:rsidRPr="007F711F" w:rsidRDefault="00BE25E1">
            <w:pPr>
              <w:rPr>
                <w:color w:val="auto"/>
              </w:rPr>
            </w:pPr>
            <w:r w:rsidRPr="007F711F">
              <w:rPr>
                <w:color w:val="auto"/>
              </w:rPr>
              <w:t>Other Costs</w:t>
            </w:r>
          </w:p>
        </w:tc>
        <w:tc>
          <w:tcPr>
            <w:tcW w:w="645" w:type="pct"/>
          </w:tcPr>
          <w:p w14:paraId="0B48A2C2" w14:textId="33B50D6A" w:rsidR="00084A54" w:rsidRPr="007F711F" w:rsidRDefault="00906EC3" w:rsidP="00BE25E1">
            <w:pPr>
              <w:pStyle w:val="DecimalAligned"/>
              <w:jc w:val="right"/>
              <w:rPr>
                <w:color w:val="auto"/>
              </w:rPr>
            </w:pPr>
            <w:r w:rsidRPr="007F711F">
              <w:rPr>
                <w:color w:val="auto"/>
              </w:rPr>
              <w:t>3.666</w:t>
            </w:r>
          </w:p>
        </w:tc>
      </w:tr>
      <w:tr w:rsidR="007F711F" w:rsidRPr="007F711F" w14:paraId="2BAEB5EB" w14:textId="77777777" w:rsidTr="00084A54">
        <w:trPr>
          <w:cnfStyle w:val="010000000000" w:firstRow="0" w:lastRow="1" w:firstColumn="0" w:lastColumn="0" w:oddVBand="0" w:evenVBand="0" w:oddHBand="0" w:evenHBand="0" w:firstRowFirstColumn="0" w:firstRowLastColumn="0" w:lastRowFirstColumn="0" w:lastRowLastColumn="0"/>
        </w:trPr>
        <w:tc>
          <w:tcPr>
            <w:tcW w:w="4355" w:type="pct"/>
            <w:noWrap/>
          </w:tcPr>
          <w:p w14:paraId="31A32DB6" w14:textId="3CA9EC87" w:rsidR="00084A54" w:rsidRPr="007F711F" w:rsidRDefault="00084A54" w:rsidP="00084A54">
            <w:pPr>
              <w:rPr>
                <w:color w:val="auto"/>
              </w:rPr>
            </w:pPr>
            <w:r w:rsidRPr="007F711F">
              <w:rPr>
                <w:color w:val="auto"/>
              </w:rPr>
              <w:t>Total</w:t>
            </w:r>
            <w:r w:rsidR="00F1017B" w:rsidRPr="007F711F">
              <w:rPr>
                <w:color w:val="auto"/>
              </w:rPr>
              <w:t xml:space="preserve"> Additional </w:t>
            </w:r>
            <w:r w:rsidR="000A06F0" w:rsidRPr="007F711F">
              <w:rPr>
                <w:color w:val="auto"/>
              </w:rPr>
              <w:t>50-year</w:t>
            </w:r>
            <w:r w:rsidR="00F1017B" w:rsidRPr="007F711F">
              <w:rPr>
                <w:color w:val="auto"/>
              </w:rPr>
              <w:t xml:space="preserve"> costs</w:t>
            </w:r>
          </w:p>
        </w:tc>
        <w:tc>
          <w:tcPr>
            <w:tcW w:w="645" w:type="pct"/>
          </w:tcPr>
          <w:p w14:paraId="0CC2E3ED" w14:textId="36B8E735" w:rsidR="00084A54" w:rsidRPr="007F711F" w:rsidRDefault="006B244A" w:rsidP="00BE25E1">
            <w:pPr>
              <w:pStyle w:val="DecimalAligned"/>
              <w:jc w:val="right"/>
              <w:rPr>
                <w:color w:val="auto"/>
              </w:rPr>
            </w:pPr>
            <w:r w:rsidRPr="007F711F">
              <w:rPr>
                <w:color w:val="auto"/>
              </w:rPr>
              <w:t>196</w:t>
            </w:r>
            <w:r w:rsidR="00FF603A" w:rsidRPr="007F711F">
              <w:rPr>
                <w:color w:val="auto"/>
              </w:rPr>
              <w:t>.637</w:t>
            </w:r>
          </w:p>
        </w:tc>
      </w:tr>
    </w:tbl>
    <w:p w14:paraId="22986AB0" w14:textId="438176A8" w:rsidR="00E53F1A" w:rsidRPr="007F711F" w:rsidRDefault="002B01B5" w:rsidP="00E53F1A">
      <w:pPr>
        <w:pStyle w:val="FootnoteText"/>
        <w:rPr>
          <w:i/>
          <w:iCs/>
          <w:sz w:val="18"/>
          <w:szCs w:val="18"/>
        </w:rPr>
      </w:pPr>
      <w:r w:rsidRPr="007F711F">
        <w:rPr>
          <w:sz w:val="18"/>
          <w:szCs w:val="18"/>
        </w:rPr>
        <w:t>Source:</w:t>
      </w:r>
      <w:r w:rsidRPr="007F711F">
        <w:rPr>
          <w:i/>
          <w:iCs/>
          <w:sz w:val="18"/>
          <w:szCs w:val="18"/>
        </w:rPr>
        <w:t xml:space="preserve"> Extraordinary Council Meeting: 2 February 2023.</w:t>
      </w:r>
    </w:p>
    <w:p w14:paraId="4F8AEC98" w14:textId="77777777" w:rsidR="002B01B5" w:rsidRDefault="002B01B5" w:rsidP="00E53F1A">
      <w:pPr>
        <w:pStyle w:val="FootnoteText"/>
      </w:pPr>
    </w:p>
    <w:p w14:paraId="494FA738" w14:textId="483F9926" w:rsidR="006B244A" w:rsidRPr="00F13E5B" w:rsidRDefault="00E53F1A" w:rsidP="00F13E5B">
      <w:pPr>
        <w:pStyle w:val="FootnoteText"/>
        <w:jc w:val="both"/>
      </w:pPr>
      <w:r w:rsidRPr="00F13E5B">
        <w:t xml:space="preserve">The </w:t>
      </w:r>
      <w:r w:rsidR="0047743A" w:rsidRPr="00F13E5B">
        <w:t xml:space="preserve">cost changes outlined in the table above mean </w:t>
      </w:r>
      <w:r w:rsidRPr="00F13E5B">
        <w:t>the project is now predicting negative cashflows of some £55</w:t>
      </w:r>
      <w:r w:rsidR="00B133B6">
        <w:t xml:space="preserve"> </w:t>
      </w:r>
      <w:r w:rsidRPr="00F13E5B">
        <w:t>m</w:t>
      </w:r>
      <w:r w:rsidR="00B133B6">
        <w:t>illion</w:t>
      </w:r>
      <w:r w:rsidRPr="00F13E5B">
        <w:t xml:space="preserve"> over the 50</w:t>
      </w:r>
      <w:r w:rsidR="006A600F">
        <w:t>-</w:t>
      </w:r>
      <w:r w:rsidRPr="00F13E5B">
        <w:t xml:space="preserve">year financing period.  </w:t>
      </w:r>
      <w:r w:rsidR="003C1AE1">
        <w:t xml:space="preserve">Members have been </w:t>
      </w:r>
      <w:r w:rsidR="007A64AD" w:rsidRPr="00F13E5B">
        <w:t xml:space="preserve">informed that the impact of increased interest charges </w:t>
      </w:r>
      <w:r w:rsidR="003C1AE1">
        <w:t>is</w:t>
      </w:r>
      <w:r w:rsidR="007A64AD" w:rsidRPr="00F13E5B">
        <w:t xml:space="preserve"> </w:t>
      </w:r>
      <w:r w:rsidR="00525C08" w:rsidRPr="00F13E5B">
        <w:t>a further £87</w:t>
      </w:r>
      <w:r w:rsidR="00B133B6">
        <w:t xml:space="preserve"> </w:t>
      </w:r>
      <w:r w:rsidR="00525C08" w:rsidRPr="00F13E5B">
        <w:t>m</w:t>
      </w:r>
      <w:r w:rsidR="00B133B6">
        <w:t>illion</w:t>
      </w:r>
      <w:r w:rsidR="00525C08" w:rsidRPr="00F13E5B">
        <w:t xml:space="preserve"> reflecting a change of projected interest rate from 3.4% to 4.4%</w:t>
      </w:r>
      <w:r w:rsidR="00133610" w:rsidRPr="00F13E5B">
        <w:t xml:space="preserve">.  This </w:t>
      </w:r>
      <w:r w:rsidR="00213444">
        <w:t xml:space="preserve">has </w:t>
      </w:r>
      <w:r w:rsidR="00133610" w:rsidRPr="00F13E5B">
        <w:t xml:space="preserve">increased the projected </w:t>
      </w:r>
      <w:r w:rsidR="00145E69" w:rsidRPr="00F13E5B">
        <w:t>50-year</w:t>
      </w:r>
      <w:r w:rsidR="00133610" w:rsidRPr="00F13E5B">
        <w:t xml:space="preserve"> costs to some £283</w:t>
      </w:r>
      <w:r w:rsidR="00B133B6">
        <w:t xml:space="preserve"> </w:t>
      </w:r>
      <w:r w:rsidR="00133610" w:rsidRPr="00F13E5B">
        <w:t>m</w:t>
      </w:r>
      <w:r w:rsidR="00B133B6">
        <w:t>illion</w:t>
      </w:r>
      <w:r w:rsidR="00702A0A" w:rsidRPr="00F13E5B">
        <w:t>.</w:t>
      </w:r>
    </w:p>
    <w:p w14:paraId="0ECC0DA6" w14:textId="77777777" w:rsidR="006B244A" w:rsidRPr="00F13E5B" w:rsidRDefault="006B244A" w:rsidP="00F13E5B">
      <w:pPr>
        <w:pStyle w:val="FootnoteText"/>
        <w:jc w:val="both"/>
      </w:pPr>
    </w:p>
    <w:p w14:paraId="4846018C" w14:textId="71251F84" w:rsidR="00620626" w:rsidRPr="00F13E5B" w:rsidRDefault="00E53F1A" w:rsidP="00F13E5B">
      <w:pPr>
        <w:pStyle w:val="FootnoteText"/>
        <w:jc w:val="both"/>
      </w:pPr>
      <w:r w:rsidRPr="00F13E5B">
        <w:t xml:space="preserve">The </w:t>
      </w:r>
      <w:r w:rsidR="003E6D21">
        <w:t>c</w:t>
      </w:r>
      <w:r w:rsidRPr="00F13E5B">
        <w:t>ouncil has approached Homes England</w:t>
      </w:r>
      <w:r w:rsidR="00180D08">
        <w:t>, who</w:t>
      </w:r>
      <w:r w:rsidRPr="00F13E5B">
        <w:t xml:space="preserve"> have indicated that there is potential to provide grant funding of some £55</w:t>
      </w:r>
      <w:r w:rsidR="00B133B6">
        <w:t xml:space="preserve"> </w:t>
      </w:r>
      <w:r w:rsidRPr="00F13E5B">
        <w:t>m</w:t>
      </w:r>
      <w:r w:rsidR="00B133B6">
        <w:t>illion</w:t>
      </w:r>
      <w:r w:rsidRPr="00F13E5B">
        <w:t xml:space="preserve"> to assist </w:t>
      </w:r>
      <w:r w:rsidR="00ED48D8">
        <w:t>project</w:t>
      </w:r>
      <w:r w:rsidRPr="00F13E5B">
        <w:t xml:space="preserve"> viability. </w:t>
      </w:r>
      <w:r w:rsidR="003670CD" w:rsidRPr="00F13E5B">
        <w:t xml:space="preserve">This comes with a condition that </w:t>
      </w:r>
      <w:r w:rsidR="002A20E9">
        <w:t>KGE</w:t>
      </w:r>
      <w:r w:rsidR="003670CD" w:rsidRPr="00F13E5B">
        <w:t xml:space="preserve"> applies for Registered Social Landlord </w:t>
      </w:r>
      <w:r w:rsidR="00180D08">
        <w:t xml:space="preserve">(RSL) </w:t>
      </w:r>
      <w:r w:rsidR="00A727D2">
        <w:t>s</w:t>
      </w:r>
      <w:r w:rsidR="003670CD" w:rsidRPr="00F13E5B">
        <w:t>tatus.</w:t>
      </w:r>
      <w:r w:rsidR="00ED48D8">
        <w:t xml:space="preserve"> </w:t>
      </w:r>
      <w:r w:rsidR="008826AA" w:rsidRPr="00F13E5B">
        <w:t xml:space="preserve">The </w:t>
      </w:r>
      <w:r w:rsidR="003E6D21">
        <w:t>c</w:t>
      </w:r>
      <w:r w:rsidR="008826AA" w:rsidRPr="00F13E5B">
        <w:t>ouncil has</w:t>
      </w:r>
      <w:r w:rsidR="00CA724C" w:rsidRPr="00F13E5B">
        <w:t xml:space="preserve"> also </w:t>
      </w:r>
      <w:r w:rsidR="008826AA" w:rsidRPr="00F13E5B">
        <w:t xml:space="preserve">made considerable changes to the original projects to maintain </w:t>
      </w:r>
      <w:r w:rsidR="00A727D2">
        <w:t xml:space="preserve">their financial </w:t>
      </w:r>
      <w:r w:rsidR="008826AA" w:rsidRPr="00F13E5B">
        <w:t xml:space="preserve">viability. This has resulted in </w:t>
      </w:r>
      <w:r w:rsidR="0001168B" w:rsidRPr="00F13E5B">
        <w:t>2</w:t>
      </w:r>
      <w:r w:rsidR="008826AA" w:rsidRPr="00F13E5B">
        <w:t xml:space="preserve"> of the original </w:t>
      </w:r>
      <w:r w:rsidR="00F21020">
        <w:t>6</w:t>
      </w:r>
      <w:r w:rsidR="008826AA" w:rsidRPr="00F13E5B">
        <w:t xml:space="preserve"> schemes being designated for private housing. Effectively this has reduced the potential number of affordable units </w:t>
      </w:r>
      <w:r w:rsidR="00712152" w:rsidRPr="00F13E5B">
        <w:t xml:space="preserve">by </w:t>
      </w:r>
      <w:r w:rsidR="0017580C" w:rsidRPr="00F13E5B">
        <w:t>199</w:t>
      </w:r>
      <w:r w:rsidR="007F799A" w:rsidRPr="00F13E5B">
        <w:t>.</w:t>
      </w:r>
      <w:r w:rsidR="0017580C" w:rsidRPr="00F13E5B">
        <w:t xml:space="preserve"> </w:t>
      </w:r>
    </w:p>
    <w:p w14:paraId="27613FED" w14:textId="77777777" w:rsidR="00620626" w:rsidRPr="00F13E5B" w:rsidRDefault="00620626" w:rsidP="00F13E5B">
      <w:pPr>
        <w:pStyle w:val="FootnoteText"/>
        <w:jc w:val="both"/>
      </w:pPr>
    </w:p>
    <w:p w14:paraId="2D1287AC" w14:textId="4EF6FB16" w:rsidR="00E44737" w:rsidRPr="00F13E5B" w:rsidRDefault="008826AA" w:rsidP="00F13E5B">
      <w:pPr>
        <w:pStyle w:val="FootnoteText"/>
        <w:jc w:val="both"/>
      </w:pPr>
      <w:r w:rsidRPr="00F13E5B">
        <w:t xml:space="preserve">The </w:t>
      </w:r>
      <w:r w:rsidR="00FB2B06">
        <w:t>c</w:t>
      </w:r>
      <w:r w:rsidRPr="00F13E5B">
        <w:t xml:space="preserve">ouncil intends to take a stake in </w:t>
      </w:r>
      <w:r w:rsidR="001C073E">
        <w:t>KGE</w:t>
      </w:r>
      <w:r w:rsidRPr="00F13E5B">
        <w:t xml:space="preserve"> of some £33</w:t>
      </w:r>
      <w:r w:rsidR="00B133B6">
        <w:t xml:space="preserve"> </w:t>
      </w:r>
      <w:r w:rsidRPr="00F13E5B">
        <w:t>m</w:t>
      </w:r>
      <w:r w:rsidR="00B133B6">
        <w:t>illion</w:t>
      </w:r>
      <w:r w:rsidRPr="00F13E5B">
        <w:t xml:space="preserve"> to assist with the company’s overall viability. </w:t>
      </w:r>
      <w:r w:rsidR="00866B86">
        <w:t>SBC</w:t>
      </w:r>
      <w:r w:rsidR="00542A20" w:rsidRPr="00F13E5B">
        <w:t xml:space="preserve"> is also bringing forward a scheme </w:t>
      </w:r>
      <w:r w:rsidR="00B93098" w:rsidRPr="00F13E5B">
        <w:t xml:space="preserve">to develop Tothill Car Park for </w:t>
      </w:r>
      <w:r w:rsidR="00FD7512">
        <w:t>mixed housing, including affordable units</w:t>
      </w:r>
      <w:r w:rsidR="00B93098" w:rsidRPr="00F13E5B">
        <w:t>, which is also to be part funded by Homes England</w:t>
      </w:r>
      <w:r w:rsidR="00563332" w:rsidRPr="00F13E5B">
        <w:t xml:space="preserve">. </w:t>
      </w:r>
      <w:r w:rsidR="00BC60D0" w:rsidRPr="00F13E5B">
        <w:t xml:space="preserve">This will deliver some 179 affordable housing units to compensate for the loss of units </w:t>
      </w:r>
      <w:r w:rsidR="007F799A" w:rsidRPr="00F13E5B">
        <w:t xml:space="preserve">mentioned above. </w:t>
      </w:r>
      <w:r w:rsidR="00BB0B0B">
        <w:t>Importantly,</w:t>
      </w:r>
      <w:r w:rsidR="007F799A" w:rsidRPr="00F13E5B">
        <w:t xml:space="preserve"> this</w:t>
      </w:r>
      <w:r w:rsidR="00B93098" w:rsidRPr="00F13E5B">
        <w:t xml:space="preserve"> is </w:t>
      </w:r>
      <w:r w:rsidR="00BB0B0B">
        <w:t xml:space="preserve">also </w:t>
      </w:r>
      <w:r w:rsidR="00B93098" w:rsidRPr="00F13E5B">
        <w:t xml:space="preserve">expected to </w:t>
      </w:r>
      <w:r w:rsidR="00E12D83" w:rsidRPr="00F13E5B">
        <w:t>cover a residual anticipated £1.25</w:t>
      </w:r>
      <w:r w:rsidR="00EC6017">
        <w:t xml:space="preserve"> </w:t>
      </w:r>
      <w:r w:rsidR="00E12D83" w:rsidRPr="00F13E5B">
        <w:t>m</w:t>
      </w:r>
      <w:r w:rsidR="00EC6017">
        <w:t>illion</w:t>
      </w:r>
      <w:r w:rsidR="00E12D83" w:rsidRPr="00F13E5B">
        <w:t xml:space="preserve"> per annum </w:t>
      </w:r>
      <w:r w:rsidR="00F0381A" w:rsidRPr="00F13E5B">
        <w:t xml:space="preserve">viability </w:t>
      </w:r>
      <w:r w:rsidR="00E12D83" w:rsidRPr="00F13E5B">
        <w:t>gap</w:t>
      </w:r>
      <w:r w:rsidR="00F86B75">
        <w:t>,</w:t>
      </w:r>
      <w:r w:rsidR="006135DE" w:rsidRPr="00F13E5B">
        <w:t xml:space="preserve"> as stated in recommendation </w:t>
      </w:r>
      <w:r w:rsidR="00335B22">
        <w:t>4</w:t>
      </w:r>
      <w:r w:rsidR="006135DE" w:rsidRPr="00F13E5B">
        <w:t xml:space="preserve"> of the report to the </w:t>
      </w:r>
      <w:r w:rsidR="00C462C2">
        <w:t>E</w:t>
      </w:r>
      <w:r w:rsidR="002D77D7">
        <w:t xml:space="preserve">xtraordinary </w:t>
      </w:r>
      <w:r w:rsidR="00C462C2">
        <w:t>C</w:t>
      </w:r>
      <w:r w:rsidR="002D77D7">
        <w:t xml:space="preserve">ouncil </w:t>
      </w:r>
      <w:r w:rsidR="00C462C2">
        <w:t>M</w:t>
      </w:r>
      <w:r w:rsidR="002D77D7">
        <w:t>eeting</w:t>
      </w:r>
      <w:r w:rsidR="006135DE" w:rsidRPr="00F13E5B">
        <w:t xml:space="preserve"> </w:t>
      </w:r>
      <w:r w:rsidR="002D77D7">
        <w:t xml:space="preserve">(ECM) </w:t>
      </w:r>
      <w:r w:rsidR="006135DE" w:rsidRPr="00F13E5B">
        <w:t>on 2 February 2023</w:t>
      </w:r>
      <w:r w:rsidR="007E33AB">
        <w:t>:</w:t>
      </w:r>
    </w:p>
    <w:p w14:paraId="7BBF9BDA" w14:textId="77777777" w:rsidR="00E44737" w:rsidRPr="00F13E5B" w:rsidRDefault="00E44737" w:rsidP="00F13E5B">
      <w:pPr>
        <w:pStyle w:val="FootnoteText"/>
        <w:jc w:val="both"/>
      </w:pPr>
    </w:p>
    <w:p w14:paraId="0A986A04" w14:textId="0D25C729" w:rsidR="00156421" w:rsidRPr="00F13E5B" w:rsidRDefault="007E33AB" w:rsidP="00F13E5B">
      <w:pPr>
        <w:pStyle w:val="ListParagraph"/>
        <w:ind w:left="0"/>
        <w:jc w:val="both"/>
        <w:rPr>
          <w:i/>
          <w:iCs/>
        </w:rPr>
      </w:pPr>
      <w:r>
        <w:rPr>
          <w:i/>
          <w:iCs/>
        </w:rPr>
        <w:t>“</w:t>
      </w:r>
      <w:r w:rsidR="00156421" w:rsidRPr="00F13E5B">
        <w:rPr>
          <w:i/>
          <w:iCs/>
        </w:rPr>
        <w:t>That Officers bring forward the Tothill Car Park Staines-upon-Thames town centre regeneration development (Scenario 2 below) with a view to ensuring that there are sufficient additional apartments to cover the current non viability at KGE, to cover the £1.25m per annum shortfall in income from KGE as a result of the reduced number of apartments that can be delivered on other sites caused by the height restrictions</w:t>
      </w:r>
      <w:r>
        <w:rPr>
          <w:i/>
          <w:iCs/>
        </w:rPr>
        <w:t>”</w:t>
      </w:r>
    </w:p>
    <w:p w14:paraId="5F92C17E" w14:textId="7D561AAD" w:rsidR="00CC1E4A" w:rsidRPr="00772FA4" w:rsidRDefault="001C6EF0" w:rsidP="00CC1E4A">
      <w:pPr>
        <w:pStyle w:val="FootnoteText"/>
        <w:jc w:val="both"/>
        <w:rPr>
          <w:i/>
          <w:iCs/>
          <w:sz w:val="18"/>
          <w:szCs w:val="18"/>
        </w:rPr>
      </w:pPr>
      <w:r w:rsidRPr="00772FA4">
        <w:rPr>
          <w:i/>
          <w:iCs/>
          <w:sz w:val="18"/>
          <w:szCs w:val="18"/>
        </w:rPr>
        <w:t xml:space="preserve">Report to </w:t>
      </w:r>
      <w:r w:rsidR="008341E7" w:rsidRPr="00772FA4">
        <w:rPr>
          <w:i/>
          <w:iCs/>
          <w:sz w:val="18"/>
          <w:szCs w:val="18"/>
        </w:rPr>
        <w:t>E</w:t>
      </w:r>
      <w:r w:rsidR="002D77D7" w:rsidRPr="00772FA4">
        <w:rPr>
          <w:i/>
          <w:iCs/>
          <w:sz w:val="18"/>
          <w:szCs w:val="18"/>
        </w:rPr>
        <w:t xml:space="preserve">xtraordinary </w:t>
      </w:r>
      <w:r w:rsidR="008341E7" w:rsidRPr="00772FA4">
        <w:rPr>
          <w:i/>
          <w:iCs/>
          <w:sz w:val="18"/>
          <w:szCs w:val="18"/>
        </w:rPr>
        <w:t>C</w:t>
      </w:r>
      <w:r w:rsidR="002D77D7" w:rsidRPr="00772FA4">
        <w:rPr>
          <w:i/>
          <w:iCs/>
          <w:sz w:val="18"/>
          <w:szCs w:val="18"/>
        </w:rPr>
        <w:t xml:space="preserve">ouncil </w:t>
      </w:r>
      <w:r w:rsidR="008341E7" w:rsidRPr="00772FA4">
        <w:rPr>
          <w:i/>
          <w:iCs/>
          <w:sz w:val="18"/>
          <w:szCs w:val="18"/>
        </w:rPr>
        <w:t>M</w:t>
      </w:r>
      <w:r w:rsidR="002D77D7" w:rsidRPr="00772FA4">
        <w:rPr>
          <w:i/>
          <w:iCs/>
          <w:sz w:val="18"/>
          <w:szCs w:val="18"/>
        </w:rPr>
        <w:t>eeting</w:t>
      </w:r>
      <w:r w:rsidRPr="00772FA4">
        <w:rPr>
          <w:i/>
          <w:iCs/>
          <w:sz w:val="18"/>
          <w:szCs w:val="18"/>
        </w:rPr>
        <w:t>: 2 February 2023.</w:t>
      </w:r>
    </w:p>
    <w:p w14:paraId="348967B6" w14:textId="77777777" w:rsidR="002D77D7" w:rsidRDefault="002D77D7" w:rsidP="00CC1E4A">
      <w:pPr>
        <w:pStyle w:val="FootnoteText"/>
        <w:jc w:val="both"/>
      </w:pPr>
    </w:p>
    <w:p w14:paraId="09893CA6" w14:textId="6B4A542F" w:rsidR="00DF09E9" w:rsidRDefault="00DF09E9" w:rsidP="00CC1E4A">
      <w:pPr>
        <w:pStyle w:val="FootnoteText"/>
        <w:jc w:val="both"/>
      </w:pPr>
      <w:r w:rsidRPr="00F13E5B">
        <w:t xml:space="preserve">The </w:t>
      </w:r>
      <w:r w:rsidR="002D77D7">
        <w:t>c</w:t>
      </w:r>
      <w:r w:rsidRPr="00F13E5B">
        <w:t xml:space="preserve">ouncil states that it still considers the affordable housing projects viable but recognises considerable </w:t>
      </w:r>
      <w:r w:rsidR="007C5D84">
        <w:t xml:space="preserve">project delivery </w:t>
      </w:r>
      <w:r w:rsidR="00246083">
        <w:t>obstacles</w:t>
      </w:r>
      <w:r w:rsidRPr="00F13E5B">
        <w:t xml:space="preserve">.  </w:t>
      </w:r>
      <w:r w:rsidR="009D5308">
        <w:t>The</w:t>
      </w:r>
      <w:r w:rsidR="00854500" w:rsidRPr="00F13E5B">
        <w:t xml:space="preserve"> report </w:t>
      </w:r>
      <w:r w:rsidR="003C0901" w:rsidRPr="00F13E5B">
        <w:t xml:space="preserve">to the </w:t>
      </w:r>
      <w:r w:rsidR="00246083">
        <w:t>ECM</w:t>
      </w:r>
      <w:r w:rsidR="003C0901" w:rsidRPr="00F13E5B">
        <w:t xml:space="preserve"> </w:t>
      </w:r>
      <w:r w:rsidR="009D5308">
        <w:t>lacks sensitivity</w:t>
      </w:r>
      <w:r w:rsidR="00854500" w:rsidRPr="00F13E5B">
        <w:t xml:space="preserve"> analysis </w:t>
      </w:r>
      <w:r w:rsidR="009D5308">
        <w:t>on</w:t>
      </w:r>
      <w:r w:rsidR="00854500" w:rsidRPr="00F13E5B">
        <w:t xml:space="preserve"> viability risk in terms of: </w:t>
      </w:r>
    </w:p>
    <w:p w14:paraId="11A75CB9" w14:textId="77777777" w:rsidR="00CC1E4A" w:rsidRPr="00CC1E4A" w:rsidRDefault="00CC1E4A" w:rsidP="00CC1E4A">
      <w:pPr>
        <w:pStyle w:val="FootnoteText"/>
        <w:jc w:val="both"/>
        <w:rPr>
          <w:sz w:val="18"/>
          <w:szCs w:val="18"/>
        </w:rPr>
      </w:pPr>
    </w:p>
    <w:p w14:paraId="70E8616D" w14:textId="1D8C7A4D" w:rsidR="00DF09E9" w:rsidRPr="00F13E5B" w:rsidRDefault="002D77D7" w:rsidP="00F34C2F">
      <w:pPr>
        <w:pStyle w:val="ListParagraph"/>
        <w:numPr>
          <w:ilvl w:val="0"/>
          <w:numId w:val="29"/>
        </w:numPr>
        <w:jc w:val="both"/>
      </w:pPr>
      <w:r>
        <w:t>c</w:t>
      </w:r>
      <w:r w:rsidR="009D5308">
        <w:t>onstruction cost inflation</w:t>
      </w:r>
    </w:p>
    <w:p w14:paraId="1DEE8A7C" w14:textId="313C8CC1" w:rsidR="00DF09E9" w:rsidRPr="00F13E5B" w:rsidRDefault="002D77D7" w:rsidP="00F34C2F">
      <w:pPr>
        <w:pStyle w:val="ListParagraph"/>
        <w:numPr>
          <w:ilvl w:val="0"/>
          <w:numId w:val="29"/>
        </w:numPr>
        <w:jc w:val="both"/>
      </w:pPr>
      <w:r>
        <w:t>i</w:t>
      </w:r>
      <w:r w:rsidR="00DF09E9" w:rsidRPr="00F13E5B">
        <w:t>nterest rate movements</w:t>
      </w:r>
    </w:p>
    <w:p w14:paraId="3B3A948E" w14:textId="7AF0851A" w:rsidR="0081272F" w:rsidRPr="00F13E5B" w:rsidRDefault="002007BD" w:rsidP="00F13E5B">
      <w:pPr>
        <w:jc w:val="both"/>
      </w:pPr>
      <w:r w:rsidRPr="00F13E5B">
        <w:t xml:space="preserve">Finance </w:t>
      </w:r>
      <w:r w:rsidR="00744FD2">
        <w:t>o</w:t>
      </w:r>
      <w:r w:rsidRPr="00F13E5B">
        <w:t xml:space="preserve">fficers </w:t>
      </w:r>
      <w:r w:rsidR="00744FD2">
        <w:t>say</w:t>
      </w:r>
      <w:r w:rsidRPr="00F13E5B">
        <w:t xml:space="preserve"> they have </w:t>
      </w:r>
      <w:r w:rsidR="009E7627">
        <w:t xml:space="preserve">nevertheless </w:t>
      </w:r>
      <w:r w:rsidRPr="00F13E5B">
        <w:t>carried out detailed sensitivity analys</w:t>
      </w:r>
      <w:r w:rsidR="004B4398">
        <w:t>e</w:t>
      </w:r>
      <w:r w:rsidRPr="00F13E5B">
        <w:t>s</w:t>
      </w:r>
      <w:r w:rsidR="00744FD2">
        <w:t xml:space="preserve">, with the </w:t>
      </w:r>
      <w:r w:rsidR="004E47F3" w:rsidRPr="00F13E5B">
        <w:t>programme</w:t>
      </w:r>
      <w:r w:rsidRPr="00F13E5B">
        <w:t xml:space="preserve"> </w:t>
      </w:r>
      <w:r w:rsidR="00744FD2">
        <w:t>being</w:t>
      </w:r>
      <w:r w:rsidRPr="00F13E5B">
        <w:t xml:space="preserve"> most </w:t>
      </w:r>
      <w:r w:rsidR="00C01D3D">
        <w:t>vulnerable</w:t>
      </w:r>
      <w:r w:rsidRPr="00F13E5B">
        <w:t xml:space="preserve"> to interest rate changes.</w:t>
      </w:r>
      <w:r w:rsidR="003D394F">
        <w:t xml:space="preserve"> We are concerned that officers did not provide a full sensitivity</w:t>
      </w:r>
      <w:r w:rsidR="009C3EB9">
        <w:t xml:space="preserve"> analysis for these projects and believe that this should be carried out as soon as possible with the results made available to the council so that they can see the overall financial implications of these projects. </w:t>
      </w:r>
    </w:p>
    <w:p w14:paraId="278C3EA5" w14:textId="2BA26CA5" w:rsidR="00425367" w:rsidRPr="00F13E5B" w:rsidRDefault="00FC5759" w:rsidP="00F13E5B">
      <w:pPr>
        <w:jc w:val="both"/>
      </w:pPr>
      <w:r w:rsidRPr="00F13E5B">
        <w:t xml:space="preserve">In addition, there </w:t>
      </w:r>
      <w:r w:rsidR="00425367" w:rsidRPr="00F13E5B">
        <w:t>are other</w:t>
      </w:r>
      <w:r w:rsidRPr="00F13E5B">
        <w:t xml:space="preserve"> risk</w:t>
      </w:r>
      <w:r w:rsidR="004F605E">
        <w:t>s, which</w:t>
      </w:r>
      <w:r w:rsidRPr="00F13E5B">
        <w:t xml:space="preserve"> </w:t>
      </w:r>
      <w:r w:rsidR="00425367" w:rsidRPr="00F13E5B">
        <w:t>do not appear to have been assessed</w:t>
      </w:r>
      <w:r w:rsidR="004F605E" w:rsidRPr="004F605E">
        <w:t xml:space="preserve"> </w:t>
      </w:r>
      <w:r w:rsidR="004F605E" w:rsidRPr="00F13E5B">
        <w:t>fully</w:t>
      </w:r>
      <w:r w:rsidR="004F605E">
        <w:t>:</w:t>
      </w:r>
    </w:p>
    <w:p w14:paraId="6F83A5B5" w14:textId="66E0C2AA" w:rsidR="00886DBE" w:rsidRPr="00F13E5B" w:rsidRDefault="005106D0" w:rsidP="00F34C2F">
      <w:pPr>
        <w:pStyle w:val="ListParagraph"/>
        <w:numPr>
          <w:ilvl w:val="0"/>
          <w:numId w:val="30"/>
        </w:numPr>
        <w:jc w:val="both"/>
      </w:pPr>
      <w:r w:rsidRPr="00A77630">
        <w:rPr>
          <w:b/>
          <w:bCs/>
        </w:rPr>
        <w:t xml:space="preserve">Right to </w:t>
      </w:r>
      <w:r w:rsidR="006F095D" w:rsidRPr="00A77630">
        <w:rPr>
          <w:b/>
          <w:bCs/>
        </w:rPr>
        <w:t>a</w:t>
      </w:r>
      <w:r w:rsidR="002C741C" w:rsidRPr="00A77630">
        <w:rPr>
          <w:b/>
          <w:bCs/>
        </w:rPr>
        <w:t>cquire</w:t>
      </w:r>
      <w:r w:rsidR="004F605E">
        <w:t xml:space="preserve">. </w:t>
      </w:r>
      <w:r w:rsidR="00886DBE" w:rsidRPr="00F13E5B">
        <w:t xml:space="preserve">The implication of property sales </w:t>
      </w:r>
      <w:r w:rsidR="00A11279">
        <w:t>should</w:t>
      </w:r>
      <w:r w:rsidR="00886DBE" w:rsidRPr="00F13E5B">
        <w:t xml:space="preserve"> tenants exercise their right to acquire during the 50</w:t>
      </w:r>
      <w:r w:rsidR="006A4338">
        <w:t>-</w:t>
      </w:r>
      <w:r w:rsidR="00886DBE" w:rsidRPr="00F13E5B">
        <w:t>year period</w:t>
      </w:r>
      <w:r w:rsidR="00C815C4">
        <w:t xml:space="preserve"> could be significant</w:t>
      </w:r>
    </w:p>
    <w:p w14:paraId="238C0544" w14:textId="4491269A" w:rsidR="00886DBE" w:rsidRPr="00F13E5B" w:rsidRDefault="00886DBE" w:rsidP="00F34C2F">
      <w:pPr>
        <w:pStyle w:val="ListParagraph"/>
        <w:numPr>
          <w:ilvl w:val="0"/>
          <w:numId w:val="30"/>
        </w:numPr>
        <w:jc w:val="both"/>
      </w:pPr>
      <w:r w:rsidRPr="00A77630">
        <w:rPr>
          <w:b/>
          <w:bCs/>
        </w:rPr>
        <w:t>Planning</w:t>
      </w:r>
      <w:r w:rsidR="00A11279">
        <w:t>. T</w:t>
      </w:r>
      <w:r w:rsidR="002C741C" w:rsidRPr="00F13E5B">
        <w:t>his</w:t>
      </w:r>
      <w:r w:rsidRPr="00F13E5B">
        <w:t xml:space="preserve"> may impact</w:t>
      </w:r>
      <w:r w:rsidR="006A4338">
        <w:t xml:space="preserve"> </w:t>
      </w:r>
      <w:r w:rsidRPr="00F13E5B">
        <w:t xml:space="preserve">development </w:t>
      </w:r>
      <w:r w:rsidR="00C815C4" w:rsidRPr="00F13E5B">
        <w:t>cost</w:t>
      </w:r>
      <w:r w:rsidR="00315B47">
        <w:t>s if</w:t>
      </w:r>
      <w:r w:rsidR="00C815C4" w:rsidRPr="00F13E5B">
        <w:t xml:space="preserve"> </w:t>
      </w:r>
      <w:r w:rsidR="00C815C4">
        <w:t xml:space="preserve">planning </w:t>
      </w:r>
      <w:r w:rsidR="008B220B">
        <w:t>conditions are stringent</w:t>
      </w:r>
    </w:p>
    <w:p w14:paraId="4FAEB520" w14:textId="457B999F" w:rsidR="00FC5759" w:rsidRPr="00F13E5B" w:rsidRDefault="001F03E4" w:rsidP="00F34C2F">
      <w:pPr>
        <w:pStyle w:val="ListParagraph"/>
        <w:numPr>
          <w:ilvl w:val="0"/>
          <w:numId w:val="30"/>
        </w:numPr>
        <w:jc w:val="both"/>
      </w:pPr>
      <w:r w:rsidRPr="00A77630">
        <w:rPr>
          <w:b/>
          <w:bCs/>
        </w:rPr>
        <w:t>Eligibility</w:t>
      </w:r>
      <w:r w:rsidR="005106D0" w:rsidRPr="00A77630">
        <w:rPr>
          <w:b/>
          <w:bCs/>
        </w:rPr>
        <w:t xml:space="preserve"> for Homes England </w:t>
      </w:r>
      <w:r w:rsidR="006A4338" w:rsidRPr="00A77630">
        <w:rPr>
          <w:b/>
          <w:bCs/>
        </w:rPr>
        <w:t>g</w:t>
      </w:r>
      <w:r w:rsidR="005106D0" w:rsidRPr="00A77630">
        <w:rPr>
          <w:b/>
          <w:bCs/>
        </w:rPr>
        <w:t>rant</w:t>
      </w:r>
      <w:r w:rsidR="006A4338">
        <w:t>. T</w:t>
      </w:r>
      <w:r w:rsidR="00FC5759" w:rsidRPr="00F13E5B">
        <w:t xml:space="preserve">he </w:t>
      </w:r>
      <w:r w:rsidR="008F4372">
        <w:t>c</w:t>
      </w:r>
      <w:r w:rsidR="00FC5759" w:rsidRPr="00F13E5B">
        <w:t xml:space="preserve">ouncil </w:t>
      </w:r>
      <w:r w:rsidR="00026EB3">
        <w:t>will not</w:t>
      </w:r>
      <w:r w:rsidR="00FC5759" w:rsidRPr="00F13E5B">
        <w:t xml:space="preserve"> fulfil the requirements </w:t>
      </w:r>
      <w:r w:rsidR="00015C32">
        <w:t>for</w:t>
      </w:r>
      <w:r w:rsidR="00FC5759" w:rsidRPr="00F13E5B">
        <w:t xml:space="preserve"> funding from Homes England if</w:t>
      </w:r>
      <w:r w:rsidR="00D02CC0" w:rsidRPr="00F13E5B">
        <w:t xml:space="preserve"> </w:t>
      </w:r>
      <w:r w:rsidR="00015C32">
        <w:t>KGE</w:t>
      </w:r>
      <w:r w:rsidR="00D02CC0" w:rsidRPr="00F13E5B">
        <w:t xml:space="preserve"> refuses to accept the transfer of properties on completion because </w:t>
      </w:r>
      <w:r w:rsidR="000C61A3" w:rsidRPr="00F13E5B">
        <w:t>costs and</w:t>
      </w:r>
      <w:r w:rsidR="00026EB3">
        <w:t>/</w:t>
      </w:r>
      <w:r w:rsidR="000C61A3" w:rsidRPr="00F13E5B">
        <w:t xml:space="preserve">or market conditions mean projects no longer </w:t>
      </w:r>
      <w:r w:rsidR="00015C32">
        <w:t xml:space="preserve">meet its </w:t>
      </w:r>
      <w:r w:rsidR="000C61A3" w:rsidRPr="00F13E5B">
        <w:t>via</w:t>
      </w:r>
      <w:r w:rsidR="00015C32">
        <w:t>bility</w:t>
      </w:r>
      <w:r w:rsidR="000B4B4A">
        <w:t xml:space="preserve"> criteria</w:t>
      </w:r>
      <w:r w:rsidR="000C61A3" w:rsidRPr="00F13E5B">
        <w:t>.</w:t>
      </w:r>
      <w:r w:rsidR="00D02CC0" w:rsidRPr="00F13E5B">
        <w:t xml:space="preserve"> </w:t>
      </w:r>
      <w:r w:rsidR="00396C4C" w:rsidRPr="00F13E5B">
        <w:t xml:space="preserve">This </w:t>
      </w:r>
      <w:r w:rsidR="000B4B4A">
        <w:t>would</w:t>
      </w:r>
      <w:r w:rsidR="00396C4C" w:rsidRPr="00F13E5B">
        <w:t xml:space="preserve"> likely </w:t>
      </w:r>
      <w:r w:rsidR="00DD7393">
        <w:t xml:space="preserve">also </w:t>
      </w:r>
      <w:r w:rsidR="00396C4C" w:rsidRPr="00F13E5B">
        <w:t xml:space="preserve">apply to </w:t>
      </w:r>
      <w:r w:rsidR="00DD7393">
        <w:t xml:space="preserve">any </w:t>
      </w:r>
      <w:r w:rsidR="000B4B4A">
        <w:t xml:space="preserve">attempts to </w:t>
      </w:r>
      <w:r w:rsidR="00396C4C" w:rsidRPr="00F13E5B">
        <w:t xml:space="preserve">transfer </w:t>
      </w:r>
      <w:r w:rsidR="000B4B4A">
        <w:t xml:space="preserve">them </w:t>
      </w:r>
      <w:r w:rsidR="00396C4C" w:rsidRPr="00F13E5B">
        <w:t xml:space="preserve">to another </w:t>
      </w:r>
      <w:r w:rsidR="00AB5014">
        <w:t>RSL (</w:t>
      </w:r>
      <w:r w:rsidR="00396C4C" w:rsidRPr="00F13E5B">
        <w:t xml:space="preserve">the </w:t>
      </w:r>
      <w:r w:rsidR="008F4372">
        <w:t>c</w:t>
      </w:r>
      <w:r w:rsidR="00396C4C" w:rsidRPr="00F13E5B">
        <w:t>ouncil</w:t>
      </w:r>
      <w:r w:rsidR="00A7014B">
        <w:t xml:space="preserve">’s </w:t>
      </w:r>
      <w:r w:rsidR="00AB5014">
        <w:t>suggested</w:t>
      </w:r>
      <w:r w:rsidR="00396C4C" w:rsidRPr="00F13E5B">
        <w:t xml:space="preserve"> </w:t>
      </w:r>
      <w:r w:rsidR="00AB5014">
        <w:t>fallback option)</w:t>
      </w:r>
    </w:p>
    <w:p w14:paraId="7D375D7F" w14:textId="2A78AAB0" w:rsidR="006A2800" w:rsidRPr="00F13E5B" w:rsidRDefault="006A2800" w:rsidP="00F34C2F">
      <w:pPr>
        <w:pStyle w:val="ListParagraph"/>
        <w:numPr>
          <w:ilvl w:val="0"/>
          <w:numId w:val="30"/>
        </w:numPr>
        <w:jc w:val="both"/>
      </w:pPr>
      <w:r w:rsidRPr="00A77630">
        <w:rPr>
          <w:b/>
          <w:bCs/>
        </w:rPr>
        <w:t>Timing</w:t>
      </w:r>
      <w:r w:rsidR="00750A7C" w:rsidRPr="00A77630">
        <w:rPr>
          <w:b/>
          <w:bCs/>
        </w:rPr>
        <w:t xml:space="preserve">. </w:t>
      </w:r>
      <w:r w:rsidR="00750A7C">
        <w:t>T</w:t>
      </w:r>
      <w:r w:rsidRPr="00F13E5B">
        <w:t xml:space="preserve">he Tothill Scheme </w:t>
      </w:r>
      <w:r w:rsidR="005969D9">
        <w:t>appears to be</w:t>
      </w:r>
      <w:r w:rsidRPr="00F13E5B">
        <w:t xml:space="preserve"> the least developed </w:t>
      </w:r>
      <w:r w:rsidR="00DD7393">
        <w:t>project</w:t>
      </w:r>
      <w:r w:rsidRPr="00F13E5B">
        <w:t xml:space="preserve"> </w:t>
      </w:r>
      <w:r w:rsidR="004C600B" w:rsidRPr="00F13E5B">
        <w:t xml:space="preserve">as it has only just been added to the </w:t>
      </w:r>
      <w:r w:rsidR="00B62300" w:rsidRPr="00F13E5B">
        <w:t>programme,</w:t>
      </w:r>
      <w:r w:rsidR="004C600B" w:rsidRPr="00F13E5B">
        <w:t xml:space="preserve"> but the </w:t>
      </w:r>
      <w:r w:rsidR="005969D9">
        <w:t>other</w:t>
      </w:r>
      <w:r w:rsidR="004C600B" w:rsidRPr="00F13E5B">
        <w:t xml:space="preserve"> </w:t>
      </w:r>
      <w:r w:rsidR="00E24469" w:rsidRPr="00F13E5B">
        <w:t xml:space="preserve">projects </w:t>
      </w:r>
      <w:r w:rsidR="00337D70">
        <w:t>seem</w:t>
      </w:r>
      <w:r w:rsidR="00E24469" w:rsidRPr="00F13E5B">
        <w:t xml:space="preserve"> to rely on </w:t>
      </w:r>
      <w:r w:rsidR="00E75FDE">
        <w:t>it proceeding</w:t>
      </w:r>
      <w:r w:rsidR="00756688" w:rsidRPr="00F13E5B">
        <w:t xml:space="preserve"> first.  </w:t>
      </w:r>
      <w:r w:rsidR="00B56F8E" w:rsidRPr="00F13E5B">
        <w:t xml:space="preserve">This scheme therefore may carry the greatest development risk and </w:t>
      </w:r>
      <w:r w:rsidR="00E75FDE">
        <w:t xml:space="preserve">cause </w:t>
      </w:r>
      <w:r w:rsidR="00073CEC" w:rsidRPr="00F13E5B">
        <w:t>delays for othe</w:t>
      </w:r>
      <w:r w:rsidR="00E75FDE">
        <w:t xml:space="preserve">r </w:t>
      </w:r>
      <w:r w:rsidR="00073CEC" w:rsidRPr="00F13E5B">
        <w:t>schemes.</w:t>
      </w:r>
    </w:p>
    <w:p w14:paraId="101EC438" w14:textId="7CB12F01" w:rsidR="00487504" w:rsidRDefault="005A7E2F" w:rsidP="00F13E5B">
      <w:pPr>
        <w:jc w:val="both"/>
      </w:pPr>
      <w:r>
        <w:t>T</w:t>
      </w:r>
      <w:r w:rsidRPr="00F13E5B">
        <w:t>he report</w:t>
      </w:r>
      <w:r>
        <w:t xml:space="preserve"> for</w:t>
      </w:r>
      <w:r w:rsidR="00E75FDE">
        <w:t xml:space="preserve"> the</w:t>
      </w:r>
      <w:r w:rsidR="00AE5DE0" w:rsidRPr="00F13E5B">
        <w:t xml:space="preserve"> 2</w:t>
      </w:r>
      <w:r>
        <w:t xml:space="preserve"> </w:t>
      </w:r>
      <w:r w:rsidR="00AE5DE0" w:rsidRPr="00F13E5B">
        <w:t>February</w:t>
      </w:r>
      <w:r w:rsidRPr="005A7E2F">
        <w:t xml:space="preserve"> </w:t>
      </w:r>
      <w:r w:rsidR="009C3EB9">
        <w:t xml:space="preserve">2023 </w:t>
      </w:r>
      <w:r>
        <w:t>E</w:t>
      </w:r>
      <w:r w:rsidR="009C3EB9">
        <w:t xml:space="preserve">xtraordinary </w:t>
      </w:r>
      <w:r>
        <w:t>C</w:t>
      </w:r>
      <w:r w:rsidR="009C3EB9">
        <w:t xml:space="preserve">ouncil </w:t>
      </w:r>
      <w:r>
        <w:t>M</w:t>
      </w:r>
      <w:r w:rsidR="009C3EB9">
        <w:t>eeting</w:t>
      </w:r>
      <w:r w:rsidRPr="00F13E5B">
        <w:t xml:space="preserve"> </w:t>
      </w:r>
      <w:r w:rsidR="00F11C7C" w:rsidRPr="00F13E5B">
        <w:t>considered</w:t>
      </w:r>
      <w:r w:rsidR="00B6443D" w:rsidRPr="00F13E5B">
        <w:t>,</w:t>
      </w:r>
      <w:r w:rsidR="00F11C7C" w:rsidRPr="00F13E5B">
        <w:t xml:space="preserve"> briefly</w:t>
      </w:r>
      <w:r w:rsidR="00B6443D" w:rsidRPr="00F13E5B">
        <w:t>,</w:t>
      </w:r>
      <w:r w:rsidR="00F11C7C" w:rsidRPr="00F13E5B">
        <w:t xml:space="preserve"> the option to stop the </w:t>
      </w:r>
      <w:r w:rsidR="008F4372">
        <w:t>c</w:t>
      </w:r>
      <w:r w:rsidR="00F11C7C" w:rsidRPr="00F13E5B">
        <w:t>ounci</w:t>
      </w:r>
      <w:r w:rsidR="005803A7" w:rsidRPr="00F13E5B">
        <w:t>l</w:t>
      </w:r>
      <w:r w:rsidR="00BD2B24" w:rsidRPr="00F13E5B">
        <w:t>’s</w:t>
      </w:r>
      <w:r w:rsidR="005803A7" w:rsidRPr="00F13E5B">
        <w:t xml:space="preserve"> affordable housing programme</w:t>
      </w:r>
      <w:r w:rsidR="003118FE">
        <w:t>, b</w:t>
      </w:r>
      <w:r w:rsidR="005803A7" w:rsidRPr="00F13E5B">
        <w:t xml:space="preserve">ut </w:t>
      </w:r>
      <w:r w:rsidR="0076509B">
        <w:t xml:space="preserve">it </w:t>
      </w:r>
      <w:r w:rsidR="005803A7" w:rsidRPr="00F13E5B">
        <w:t xml:space="preserve">did not provide a detailed risk assessment of the </w:t>
      </w:r>
      <w:r w:rsidR="0076509B">
        <w:t xml:space="preserve">relative impacts of </w:t>
      </w:r>
      <w:r w:rsidR="007B1887" w:rsidRPr="00F13E5B">
        <w:t>cance</w:t>
      </w:r>
      <w:r w:rsidR="00611BEE">
        <w:t>l</w:t>
      </w:r>
      <w:r w:rsidR="007B1887" w:rsidRPr="00F13E5B">
        <w:t>l</w:t>
      </w:r>
      <w:r w:rsidR="0076509B">
        <w:t>ation</w:t>
      </w:r>
      <w:r w:rsidR="007B1887" w:rsidRPr="00F13E5B">
        <w:t xml:space="preserve"> </w:t>
      </w:r>
      <w:r w:rsidR="008D5660">
        <w:t>versus</w:t>
      </w:r>
      <w:r w:rsidR="007B1887" w:rsidRPr="00F13E5B">
        <w:t xml:space="preserve"> </w:t>
      </w:r>
      <w:r w:rsidR="0076509B">
        <w:t>continuance</w:t>
      </w:r>
      <w:r w:rsidR="007B1887" w:rsidRPr="00F13E5B">
        <w:t>.</w:t>
      </w:r>
      <w:r w:rsidR="008D5660">
        <w:t xml:space="preserve"> </w:t>
      </w:r>
      <w:r w:rsidR="002D1317" w:rsidRPr="00F13E5B">
        <w:t>Th</w:t>
      </w:r>
      <w:r w:rsidR="00E24D41" w:rsidRPr="00F13E5B">
        <w:t>e meeting</w:t>
      </w:r>
      <w:r w:rsidR="002D1317" w:rsidRPr="00F13E5B">
        <w:t xml:space="preserve"> resulted in changes to </w:t>
      </w:r>
      <w:r w:rsidR="00C7211A">
        <w:t>report</w:t>
      </w:r>
      <w:r w:rsidR="002D1317" w:rsidRPr="00F13E5B">
        <w:t xml:space="preserve"> </w:t>
      </w:r>
      <w:r w:rsidR="007D4943" w:rsidRPr="00F13E5B">
        <w:t>recommendations</w:t>
      </w:r>
      <w:r w:rsidR="00C7211A">
        <w:t xml:space="preserve">, since </w:t>
      </w:r>
      <w:r w:rsidR="007D4943" w:rsidRPr="00F13E5B">
        <w:t xml:space="preserve">officers </w:t>
      </w:r>
      <w:r w:rsidR="00487504">
        <w:t>tabled an</w:t>
      </w:r>
      <w:r w:rsidR="007D4943" w:rsidRPr="00F13E5B">
        <w:t xml:space="preserve"> </w:t>
      </w:r>
      <w:r w:rsidR="006F0451">
        <w:t xml:space="preserve">option </w:t>
      </w:r>
      <w:r w:rsidR="007D4943" w:rsidRPr="00F13E5B">
        <w:t xml:space="preserve">not covered within the papers. </w:t>
      </w:r>
    </w:p>
    <w:p w14:paraId="49ACFA58" w14:textId="50E9B4FD" w:rsidR="008826AA" w:rsidRPr="00F13E5B" w:rsidRDefault="000B195D" w:rsidP="00F13E5B">
      <w:pPr>
        <w:jc w:val="both"/>
      </w:pPr>
      <w:r>
        <w:t xml:space="preserve">There </w:t>
      </w:r>
      <w:r w:rsidR="00251CB1" w:rsidRPr="00F13E5B">
        <w:t>is concern</w:t>
      </w:r>
      <w:r w:rsidR="003118FE">
        <w:t>,</w:t>
      </w:r>
      <w:r w:rsidR="00251CB1" w:rsidRPr="00F13E5B">
        <w:t xml:space="preserve"> therefore</w:t>
      </w:r>
      <w:r w:rsidR="003118FE">
        <w:t>,</w:t>
      </w:r>
      <w:r w:rsidR="00251CB1" w:rsidRPr="00F13E5B">
        <w:t xml:space="preserve"> </w:t>
      </w:r>
      <w:r w:rsidR="00811620">
        <w:t>that</w:t>
      </w:r>
      <w:r w:rsidR="00251CB1" w:rsidRPr="00F13E5B">
        <w:t xml:space="preserve">: </w:t>
      </w:r>
    </w:p>
    <w:p w14:paraId="65CD310B" w14:textId="3465452E" w:rsidR="00251CB1" w:rsidRPr="00F13E5B" w:rsidRDefault="008F4372" w:rsidP="00F34C2F">
      <w:pPr>
        <w:pStyle w:val="ListParagraph"/>
        <w:numPr>
          <w:ilvl w:val="0"/>
          <w:numId w:val="31"/>
        </w:numPr>
        <w:jc w:val="both"/>
      </w:pPr>
      <w:r>
        <w:t>t</w:t>
      </w:r>
      <w:r w:rsidR="00811620">
        <w:t>here is insufficient</w:t>
      </w:r>
      <w:r w:rsidR="00251CB1" w:rsidRPr="00F13E5B">
        <w:t xml:space="preserve"> clarity </w:t>
      </w:r>
      <w:r w:rsidR="000B195D">
        <w:t>on</w:t>
      </w:r>
      <w:r w:rsidR="00251CB1" w:rsidRPr="00F13E5B">
        <w:t xml:space="preserve"> the </w:t>
      </w:r>
      <w:r w:rsidR="00D6336E" w:rsidRPr="00F13E5B">
        <w:t xml:space="preserve">intended funding model for affordable housing </w:t>
      </w:r>
    </w:p>
    <w:p w14:paraId="0991D6A5" w14:textId="166F58BA" w:rsidR="00BB4363" w:rsidRPr="00F13E5B" w:rsidRDefault="00A10807" w:rsidP="00F34C2F">
      <w:pPr>
        <w:pStyle w:val="ListParagraph"/>
        <w:numPr>
          <w:ilvl w:val="0"/>
          <w:numId w:val="31"/>
        </w:numPr>
        <w:jc w:val="both"/>
      </w:pPr>
      <w:r>
        <w:t>SBC’s</w:t>
      </w:r>
      <w:r w:rsidR="00E24D41" w:rsidRPr="00F13E5B">
        <w:t xml:space="preserve"> </w:t>
      </w:r>
      <w:r w:rsidR="00B90463">
        <w:t>consideration of</w:t>
      </w:r>
      <w:r w:rsidR="00E24D41" w:rsidRPr="00F13E5B">
        <w:t xml:space="preserve"> the full range of risks associated with </w:t>
      </w:r>
      <w:r w:rsidR="00811620">
        <w:t xml:space="preserve">continuation </w:t>
      </w:r>
      <w:r w:rsidR="00AF1DDA">
        <w:t xml:space="preserve">of the projects or disposal of the sites </w:t>
      </w:r>
      <w:r w:rsidR="008125EC">
        <w:t>has been insufficiently thorough</w:t>
      </w:r>
    </w:p>
    <w:p w14:paraId="709320C8" w14:textId="0B6506A5" w:rsidR="00FD1E6D" w:rsidRPr="00F13E5B" w:rsidRDefault="008F4372" w:rsidP="00F34C2F">
      <w:pPr>
        <w:pStyle w:val="ListParagraph"/>
        <w:numPr>
          <w:ilvl w:val="0"/>
          <w:numId w:val="31"/>
        </w:numPr>
        <w:jc w:val="both"/>
      </w:pPr>
      <w:r>
        <w:t>t</w:t>
      </w:r>
      <w:r w:rsidR="008125EC">
        <w:t>he</w:t>
      </w:r>
      <w:r w:rsidR="00FD1E6D" w:rsidRPr="00F13E5B">
        <w:t xml:space="preserve"> </w:t>
      </w:r>
      <w:r>
        <w:t>c</w:t>
      </w:r>
      <w:r w:rsidR="00FD1E6D" w:rsidRPr="00F13E5B">
        <w:t xml:space="preserve">ouncil </w:t>
      </w:r>
      <w:r w:rsidR="008125EC">
        <w:t xml:space="preserve">may not </w:t>
      </w:r>
      <w:r w:rsidR="00FD1E6D" w:rsidRPr="00F13E5B">
        <w:t xml:space="preserve">ultimately be able to satisfy </w:t>
      </w:r>
      <w:r w:rsidR="00603025" w:rsidRPr="00F13E5B">
        <w:t>Homes England</w:t>
      </w:r>
      <w:r w:rsidR="00A10807">
        <w:t>’s</w:t>
      </w:r>
      <w:r w:rsidR="00603025" w:rsidRPr="00F13E5B">
        <w:t xml:space="preserve"> </w:t>
      </w:r>
      <w:r w:rsidR="00A10807">
        <w:t>f</w:t>
      </w:r>
      <w:r w:rsidR="00603025" w:rsidRPr="00F13E5B">
        <w:t xml:space="preserve">unding </w:t>
      </w:r>
      <w:r w:rsidR="00A10807">
        <w:t xml:space="preserve">conditions </w:t>
      </w:r>
      <w:r w:rsidR="008D5D35">
        <w:t>should</w:t>
      </w:r>
      <w:r w:rsidR="00603025" w:rsidRPr="00F13E5B">
        <w:t xml:space="preserve"> change</w:t>
      </w:r>
      <w:r w:rsidR="008D5D35">
        <w:t>s make the projects inviable for KGE</w:t>
      </w:r>
    </w:p>
    <w:p w14:paraId="7145F8D5" w14:textId="0A12ED7C" w:rsidR="00086419" w:rsidRPr="00F13E5B" w:rsidRDefault="008F4372" w:rsidP="00F34C2F">
      <w:pPr>
        <w:pStyle w:val="ListParagraph"/>
        <w:numPr>
          <w:ilvl w:val="0"/>
          <w:numId w:val="31"/>
        </w:numPr>
        <w:jc w:val="both"/>
      </w:pPr>
      <w:r>
        <w:t>t</w:t>
      </w:r>
      <w:r w:rsidR="005A5806">
        <w:t>here may not be</w:t>
      </w:r>
      <w:r w:rsidR="00DD087C" w:rsidRPr="00F13E5B">
        <w:t xml:space="preserve"> sufficient assurance around </w:t>
      </w:r>
      <w:r w:rsidR="00062565">
        <w:t>both project</w:t>
      </w:r>
      <w:r w:rsidR="00DD087C" w:rsidRPr="00F13E5B">
        <w:t xml:space="preserve"> viability and their impact on the </w:t>
      </w:r>
      <w:r w:rsidR="005A5806">
        <w:t>MTFP</w:t>
      </w:r>
      <w:r w:rsidR="00DD087C" w:rsidRPr="00F13E5B">
        <w:t>, already predicting a rising deficit over the next three years</w:t>
      </w:r>
    </w:p>
    <w:p w14:paraId="37B14A25" w14:textId="4D28D8B1" w:rsidR="00163DCC" w:rsidRPr="00F13E5B" w:rsidRDefault="00C7206E" w:rsidP="00F13E5B">
      <w:pPr>
        <w:spacing w:after="0" w:line="240" w:lineRule="auto"/>
        <w:jc w:val="both"/>
        <w:rPr>
          <w:rFonts w:eastAsia="Times New Roman"/>
        </w:rPr>
      </w:pPr>
      <w:r w:rsidRPr="00F13E5B">
        <w:t xml:space="preserve">The </w:t>
      </w:r>
      <w:r w:rsidR="008F4372">
        <w:t>c</w:t>
      </w:r>
      <w:r w:rsidRPr="00F13E5B">
        <w:t xml:space="preserve">ouncil has </w:t>
      </w:r>
      <w:r w:rsidR="00B03703" w:rsidRPr="00F13E5B">
        <w:t>indicated</w:t>
      </w:r>
      <w:r w:rsidR="00086419" w:rsidRPr="00F13E5B">
        <w:rPr>
          <w:rFonts w:eastAsia="Times New Roman"/>
        </w:rPr>
        <w:t xml:space="preserve"> that </w:t>
      </w:r>
      <w:r w:rsidR="00B03703">
        <w:rPr>
          <w:rFonts w:eastAsia="Times New Roman"/>
        </w:rPr>
        <w:t>evaluation will continue</w:t>
      </w:r>
      <w:r w:rsidR="00086419" w:rsidRPr="00F13E5B">
        <w:rPr>
          <w:rFonts w:eastAsia="Times New Roman"/>
        </w:rPr>
        <w:t xml:space="preserve"> on a </w:t>
      </w:r>
      <w:r w:rsidR="007460D4" w:rsidRPr="00F13E5B">
        <w:rPr>
          <w:rFonts w:eastAsia="Times New Roman"/>
        </w:rPr>
        <w:t>scheme-by-scheme</w:t>
      </w:r>
      <w:r w:rsidR="00086419" w:rsidRPr="00F13E5B">
        <w:rPr>
          <w:rFonts w:eastAsia="Times New Roman"/>
        </w:rPr>
        <w:t xml:space="preserve"> basis</w:t>
      </w:r>
      <w:r w:rsidR="007460D4">
        <w:rPr>
          <w:rFonts w:eastAsia="Times New Roman"/>
        </w:rPr>
        <w:t>. While</w:t>
      </w:r>
      <w:r w:rsidR="00086419" w:rsidRPr="00F13E5B">
        <w:rPr>
          <w:rFonts w:eastAsia="Times New Roman"/>
        </w:rPr>
        <w:t xml:space="preserve"> schemes will be taken through planning (</w:t>
      </w:r>
      <w:r w:rsidR="009B7999" w:rsidRPr="00F13E5B">
        <w:rPr>
          <w:rFonts w:eastAsia="Times New Roman"/>
        </w:rPr>
        <w:t>to</w:t>
      </w:r>
      <w:r w:rsidR="00086419" w:rsidRPr="00F13E5B">
        <w:rPr>
          <w:rFonts w:eastAsia="Times New Roman"/>
        </w:rPr>
        <w:t xml:space="preserve"> maximise the value of the sites) works would not commence until both </w:t>
      </w:r>
      <w:r w:rsidR="008F4372">
        <w:rPr>
          <w:rFonts w:eastAsia="Times New Roman"/>
        </w:rPr>
        <w:t>c</w:t>
      </w:r>
      <w:r w:rsidR="00086419" w:rsidRPr="00F13E5B">
        <w:rPr>
          <w:rFonts w:eastAsia="Times New Roman"/>
        </w:rPr>
        <w:t xml:space="preserve">ouncil and </w:t>
      </w:r>
      <w:r w:rsidR="00B03703">
        <w:rPr>
          <w:rFonts w:eastAsia="Times New Roman"/>
        </w:rPr>
        <w:t>KGE</w:t>
      </w:r>
      <w:r w:rsidR="00086419" w:rsidRPr="00F13E5B">
        <w:rPr>
          <w:rFonts w:eastAsia="Times New Roman"/>
        </w:rPr>
        <w:t xml:space="preserve"> are comfortable that finances are sustainable </w:t>
      </w:r>
      <w:r w:rsidR="00BE24CA">
        <w:rPr>
          <w:rFonts w:eastAsia="Times New Roman"/>
        </w:rPr>
        <w:t>in the</w:t>
      </w:r>
      <w:r w:rsidR="00086419" w:rsidRPr="00F13E5B">
        <w:rPr>
          <w:rFonts w:eastAsia="Times New Roman"/>
        </w:rPr>
        <w:t xml:space="preserve"> long term</w:t>
      </w:r>
      <w:r w:rsidR="006C0D12" w:rsidRPr="00F13E5B">
        <w:rPr>
          <w:rFonts w:eastAsia="Times New Roman"/>
        </w:rPr>
        <w:t>.</w:t>
      </w:r>
      <w:r w:rsidR="004C30AA">
        <w:rPr>
          <w:rFonts w:eastAsia="Times New Roman"/>
        </w:rPr>
        <w:t xml:space="preserve"> </w:t>
      </w:r>
      <w:r w:rsidR="00FE32B2">
        <w:rPr>
          <w:rFonts w:eastAsia="Times New Roman"/>
        </w:rPr>
        <w:t>The</w:t>
      </w:r>
      <w:r w:rsidR="0004267F" w:rsidRPr="00F13E5B">
        <w:rPr>
          <w:rFonts w:eastAsia="Times New Roman"/>
        </w:rPr>
        <w:t xml:space="preserve"> inter</w:t>
      </w:r>
      <w:r w:rsidR="0092077B" w:rsidRPr="00F13E5B">
        <w:rPr>
          <w:rFonts w:eastAsia="Times New Roman"/>
        </w:rPr>
        <w:t>-</w:t>
      </w:r>
      <w:r w:rsidR="0004267F" w:rsidRPr="00F13E5B">
        <w:rPr>
          <w:rFonts w:eastAsia="Times New Roman"/>
        </w:rPr>
        <w:t xml:space="preserve">relationship between schemes </w:t>
      </w:r>
      <w:r w:rsidR="004C30AA">
        <w:rPr>
          <w:rFonts w:eastAsia="Times New Roman"/>
        </w:rPr>
        <w:t>creates</w:t>
      </w:r>
      <w:r w:rsidR="0004267F" w:rsidRPr="00F13E5B">
        <w:rPr>
          <w:rFonts w:eastAsia="Times New Roman"/>
        </w:rPr>
        <w:t xml:space="preserve"> concern</w:t>
      </w:r>
      <w:r w:rsidR="00FE32B2">
        <w:rPr>
          <w:rFonts w:eastAsia="Times New Roman"/>
        </w:rPr>
        <w:t>s</w:t>
      </w:r>
      <w:r w:rsidR="0004267F" w:rsidRPr="00F13E5B">
        <w:rPr>
          <w:rFonts w:eastAsia="Times New Roman"/>
        </w:rPr>
        <w:t xml:space="preserve"> that </w:t>
      </w:r>
      <w:r w:rsidR="004C30AA">
        <w:rPr>
          <w:rFonts w:eastAsia="Times New Roman"/>
        </w:rPr>
        <w:t xml:space="preserve">individual </w:t>
      </w:r>
      <w:r w:rsidR="0004267F" w:rsidRPr="00F13E5B">
        <w:rPr>
          <w:rFonts w:eastAsia="Times New Roman"/>
        </w:rPr>
        <w:t>assessment</w:t>
      </w:r>
      <w:r w:rsidR="004C30AA">
        <w:rPr>
          <w:rFonts w:eastAsia="Times New Roman"/>
        </w:rPr>
        <w:t>s</w:t>
      </w:r>
      <w:r w:rsidR="0004267F" w:rsidRPr="00F13E5B">
        <w:rPr>
          <w:rFonts w:eastAsia="Times New Roman"/>
        </w:rPr>
        <w:t xml:space="preserve"> may not fully </w:t>
      </w:r>
      <w:r w:rsidR="004C30AA">
        <w:rPr>
          <w:rFonts w:eastAsia="Times New Roman"/>
        </w:rPr>
        <w:t xml:space="preserve">reflect </w:t>
      </w:r>
      <w:r w:rsidR="0004267F" w:rsidRPr="00F13E5B">
        <w:rPr>
          <w:rFonts w:eastAsia="Times New Roman"/>
        </w:rPr>
        <w:t xml:space="preserve">overall </w:t>
      </w:r>
      <w:r w:rsidR="009F0804">
        <w:rPr>
          <w:rFonts w:eastAsia="Times New Roman"/>
        </w:rPr>
        <w:t xml:space="preserve">programme </w:t>
      </w:r>
      <w:r w:rsidR="0004267F" w:rsidRPr="00F13E5B">
        <w:rPr>
          <w:rFonts w:eastAsia="Times New Roman"/>
        </w:rPr>
        <w:t xml:space="preserve">viability.  </w:t>
      </w:r>
      <w:r w:rsidR="009B7999">
        <w:rPr>
          <w:rFonts w:eastAsia="Times New Roman"/>
        </w:rPr>
        <w:t>Some</w:t>
      </w:r>
      <w:r w:rsidR="0004267F" w:rsidRPr="00F13E5B">
        <w:rPr>
          <w:rFonts w:eastAsia="Times New Roman"/>
        </w:rPr>
        <w:t xml:space="preserve"> projects </w:t>
      </w:r>
      <w:r w:rsidR="00550411" w:rsidRPr="00F13E5B">
        <w:rPr>
          <w:rFonts w:eastAsia="Times New Roman"/>
        </w:rPr>
        <w:t>rely on a subsidy from other projects.</w:t>
      </w:r>
      <w:r w:rsidR="00C124AA" w:rsidRPr="00F13E5B">
        <w:rPr>
          <w:rFonts w:eastAsia="Times New Roman"/>
        </w:rPr>
        <w:t xml:space="preserve"> </w:t>
      </w:r>
      <w:r w:rsidR="00D14C9D">
        <w:rPr>
          <w:rFonts w:eastAsia="Times New Roman"/>
        </w:rPr>
        <w:t>F</w:t>
      </w:r>
      <w:r w:rsidR="00C124AA" w:rsidRPr="00F13E5B">
        <w:rPr>
          <w:rFonts w:eastAsia="Times New Roman"/>
        </w:rPr>
        <w:t xml:space="preserve">inance officers </w:t>
      </w:r>
      <w:r w:rsidR="004C30AA">
        <w:rPr>
          <w:rFonts w:eastAsia="Times New Roman"/>
        </w:rPr>
        <w:t>nevertheless maintain</w:t>
      </w:r>
      <w:r w:rsidR="00C124AA" w:rsidRPr="00F13E5B">
        <w:rPr>
          <w:rFonts w:eastAsia="Times New Roman"/>
        </w:rPr>
        <w:t xml:space="preserve"> that they consider each project viable in its own right</w:t>
      </w:r>
      <w:r w:rsidR="007A5AA9" w:rsidRPr="00F13E5B">
        <w:rPr>
          <w:rFonts w:eastAsia="Times New Roman"/>
        </w:rPr>
        <w:t>.</w:t>
      </w:r>
    </w:p>
    <w:p w14:paraId="03474913" w14:textId="77777777" w:rsidR="00AC07A1" w:rsidRPr="00F13E5B" w:rsidRDefault="00AC07A1" w:rsidP="00F13E5B">
      <w:pPr>
        <w:spacing w:after="0" w:line="240" w:lineRule="auto"/>
        <w:jc w:val="both"/>
        <w:rPr>
          <w:rFonts w:eastAsia="Times New Roman"/>
        </w:rPr>
      </w:pPr>
    </w:p>
    <w:p w14:paraId="53EF994B" w14:textId="45D3BEBC" w:rsidR="00A36C48" w:rsidRPr="00F13E5B" w:rsidRDefault="005705B7" w:rsidP="00F13E5B">
      <w:pPr>
        <w:spacing w:after="0" w:line="240" w:lineRule="auto"/>
        <w:jc w:val="both"/>
        <w:rPr>
          <w:rFonts w:eastAsia="Times New Roman"/>
        </w:rPr>
      </w:pPr>
      <w:r>
        <w:rPr>
          <w:rFonts w:eastAsia="Times New Roman"/>
        </w:rPr>
        <w:t>Mutual</w:t>
      </w:r>
      <w:r w:rsidR="00AC07A1" w:rsidRPr="00F13E5B">
        <w:rPr>
          <w:rFonts w:eastAsia="Times New Roman"/>
        </w:rPr>
        <w:t xml:space="preserve"> dependency between sche</w:t>
      </w:r>
      <w:r w:rsidR="002C2F17" w:rsidRPr="00F13E5B">
        <w:rPr>
          <w:rFonts w:eastAsia="Times New Roman"/>
        </w:rPr>
        <w:t>me</w:t>
      </w:r>
      <w:r w:rsidR="007A5AA9" w:rsidRPr="00F13E5B">
        <w:rPr>
          <w:rFonts w:eastAsia="Times New Roman"/>
        </w:rPr>
        <w:t>s</w:t>
      </w:r>
      <w:r w:rsidR="002C2F17" w:rsidRPr="00F13E5B">
        <w:rPr>
          <w:rFonts w:eastAsia="Times New Roman"/>
        </w:rPr>
        <w:t xml:space="preserve">, along with </w:t>
      </w:r>
      <w:r w:rsidR="00FF7A02" w:rsidRPr="00F13E5B">
        <w:rPr>
          <w:rFonts w:eastAsia="Times New Roman"/>
        </w:rPr>
        <w:t>disparate timescales</w:t>
      </w:r>
      <w:r>
        <w:rPr>
          <w:rFonts w:eastAsia="Times New Roman"/>
        </w:rPr>
        <w:t>,</w:t>
      </w:r>
      <w:r w:rsidR="00FF7A02" w:rsidRPr="00F13E5B">
        <w:rPr>
          <w:rFonts w:eastAsia="Times New Roman"/>
        </w:rPr>
        <w:t xml:space="preserve"> </w:t>
      </w:r>
      <w:r w:rsidR="0060134D">
        <w:rPr>
          <w:rFonts w:eastAsia="Times New Roman"/>
        </w:rPr>
        <w:t xml:space="preserve">the problem </w:t>
      </w:r>
      <w:r w:rsidR="00712058">
        <w:rPr>
          <w:rFonts w:eastAsia="Times New Roman"/>
        </w:rPr>
        <w:t xml:space="preserve">of timing, transfer viability assessment and funding eligibility are serious matters. </w:t>
      </w:r>
      <w:r w:rsidR="005F7CCB" w:rsidRPr="00F13E5B">
        <w:rPr>
          <w:rFonts w:eastAsia="Times New Roman"/>
        </w:rPr>
        <w:t xml:space="preserve">Officers have stated that they are open to considering a wide range of further options if the </w:t>
      </w:r>
      <w:r w:rsidR="000F3099">
        <w:rPr>
          <w:rFonts w:eastAsia="Times New Roman"/>
        </w:rPr>
        <w:t xml:space="preserve">deliverability of </w:t>
      </w:r>
      <w:r w:rsidR="005F7CCB" w:rsidRPr="00F13E5B">
        <w:rPr>
          <w:rFonts w:eastAsia="Times New Roman"/>
        </w:rPr>
        <w:t xml:space="preserve">schemes becomes compromised.  These options appear to involve converting affordable housing to either private rented or private sales. </w:t>
      </w:r>
      <w:r w:rsidR="00171121">
        <w:rPr>
          <w:rFonts w:eastAsia="Times New Roman"/>
        </w:rPr>
        <w:t>This could</w:t>
      </w:r>
      <w:r w:rsidR="00DB3360">
        <w:rPr>
          <w:rFonts w:eastAsia="Times New Roman"/>
        </w:rPr>
        <w:t xml:space="preserve"> compromise</w:t>
      </w:r>
      <w:r w:rsidR="00171121">
        <w:rPr>
          <w:rFonts w:eastAsia="Times New Roman"/>
        </w:rPr>
        <w:t xml:space="preserve"> </w:t>
      </w:r>
      <w:r w:rsidR="005F7CCB" w:rsidRPr="00F13E5B">
        <w:rPr>
          <w:rFonts w:eastAsia="Times New Roman"/>
        </w:rPr>
        <w:t xml:space="preserve">Homes England </w:t>
      </w:r>
      <w:r w:rsidR="000950F0">
        <w:rPr>
          <w:rFonts w:eastAsia="Times New Roman"/>
        </w:rPr>
        <w:t>f</w:t>
      </w:r>
      <w:r w:rsidR="005F7CCB" w:rsidRPr="00F13E5B">
        <w:rPr>
          <w:rFonts w:eastAsia="Times New Roman"/>
        </w:rPr>
        <w:t xml:space="preserve">unding </w:t>
      </w:r>
      <w:r w:rsidR="000950F0">
        <w:rPr>
          <w:rFonts w:eastAsia="Times New Roman"/>
        </w:rPr>
        <w:t>and create further losses</w:t>
      </w:r>
      <w:r w:rsidR="005F7CCB" w:rsidRPr="00F13E5B">
        <w:rPr>
          <w:rFonts w:eastAsia="Times New Roman"/>
        </w:rPr>
        <w:t>.</w:t>
      </w:r>
      <w:r w:rsidR="000950F0">
        <w:rPr>
          <w:rFonts w:eastAsia="Times New Roman"/>
        </w:rPr>
        <w:t xml:space="preserve"> Moreover, the </w:t>
      </w:r>
      <w:r w:rsidR="00462810">
        <w:rPr>
          <w:rFonts w:eastAsia="Times New Roman"/>
        </w:rPr>
        <w:t>risks associated with</w:t>
      </w:r>
      <w:r w:rsidR="00B94438">
        <w:rPr>
          <w:rFonts w:eastAsia="Times New Roman"/>
        </w:rPr>
        <w:t xml:space="preserve"> </w:t>
      </w:r>
      <w:r w:rsidR="00124591">
        <w:rPr>
          <w:rFonts w:eastAsia="Times New Roman"/>
        </w:rPr>
        <w:t>progress</w:t>
      </w:r>
      <w:r w:rsidR="00462810">
        <w:rPr>
          <w:rFonts w:eastAsia="Times New Roman"/>
        </w:rPr>
        <w:t>ing</w:t>
      </w:r>
      <w:r w:rsidR="00124591">
        <w:rPr>
          <w:rFonts w:eastAsia="Times New Roman"/>
        </w:rPr>
        <w:t xml:space="preserve"> the schemes cannot be divorced from </w:t>
      </w:r>
      <w:r w:rsidR="00FC1110">
        <w:rPr>
          <w:rFonts w:eastAsia="Times New Roman"/>
        </w:rPr>
        <w:t>SBC’s</w:t>
      </w:r>
      <w:r w:rsidR="00124591">
        <w:rPr>
          <w:rFonts w:eastAsia="Times New Roman"/>
        </w:rPr>
        <w:t xml:space="preserve"> wider debt position, especially given the </w:t>
      </w:r>
      <w:r w:rsidR="00742CEA">
        <w:rPr>
          <w:rFonts w:eastAsia="Times New Roman"/>
        </w:rPr>
        <w:t>criteria that have triggered this DLUHC review.</w:t>
      </w:r>
    </w:p>
    <w:p w14:paraId="5C33627C" w14:textId="77777777" w:rsidR="00A31151" w:rsidRPr="00F13E5B" w:rsidRDefault="00A31151" w:rsidP="00F13E5B">
      <w:pPr>
        <w:spacing w:after="0" w:line="240" w:lineRule="auto"/>
        <w:jc w:val="both"/>
        <w:rPr>
          <w:rFonts w:eastAsia="Times New Roman"/>
        </w:rPr>
      </w:pPr>
    </w:p>
    <w:p w14:paraId="774BE54D" w14:textId="338321C3" w:rsidR="00A36C48" w:rsidRPr="00F13E5B" w:rsidRDefault="0057367F" w:rsidP="00F13E5B">
      <w:pPr>
        <w:spacing w:after="0" w:line="240" w:lineRule="auto"/>
        <w:jc w:val="both"/>
        <w:rPr>
          <w:rFonts w:eastAsia="Times New Roman"/>
        </w:rPr>
      </w:pPr>
      <w:r>
        <w:rPr>
          <w:rFonts w:eastAsia="Times New Roman"/>
        </w:rPr>
        <w:t xml:space="preserve">To date, the </w:t>
      </w:r>
      <w:r w:rsidR="001C38B3">
        <w:rPr>
          <w:rFonts w:eastAsia="Times New Roman"/>
        </w:rPr>
        <w:t>c</w:t>
      </w:r>
      <w:r>
        <w:rPr>
          <w:rFonts w:eastAsia="Times New Roman"/>
        </w:rPr>
        <w:t xml:space="preserve">ouncil has been </w:t>
      </w:r>
      <w:r w:rsidR="009B2F53">
        <w:rPr>
          <w:rFonts w:eastAsia="Times New Roman"/>
        </w:rPr>
        <w:t xml:space="preserve">so </w:t>
      </w:r>
      <w:r>
        <w:rPr>
          <w:rFonts w:eastAsia="Times New Roman"/>
        </w:rPr>
        <w:t xml:space="preserve">focused on avoiding losses through sales that it might have underplayed the potentially greater risks associated with continuing the programme. </w:t>
      </w:r>
      <w:r w:rsidR="00544E7D">
        <w:rPr>
          <w:rFonts w:eastAsia="Times New Roman"/>
        </w:rPr>
        <w:t>It is accordingly</w:t>
      </w:r>
      <w:r w:rsidR="00A36C48" w:rsidRPr="00F13E5B">
        <w:rPr>
          <w:rFonts w:eastAsia="Times New Roman"/>
        </w:rPr>
        <w:t xml:space="preserve"> essential </w:t>
      </w:r>
      <w:r w:rsidR="004B63C7" w:rsidRPr="00F13E5B">
        <w:rPr>
          <w:rFonts w:eastAsia="Times New Roman"/>
        </w:rPr>
        <w:t>that there is a clear and realistic assessment of the alternative option</w:t>
      </w:r>
      <w:r w:rsidR="007177E7" w:rsidRPr="00F13E5B">
        <w:rPr>
          <w:rFonts w:eastAsia="Times New Roman"/>
        </w:rPr>
        <w:t>s</w:t>
      </w:r>
      <w:r w:rsidR="009B2F53">
        <w:rPr>
          <w:rFonts w:eastAsia="Times New Roman"/>
        </w:rPr>
        <w:t>. T</w:t>
      </w:r>
      <w:r w:rsidR="003A0F24">
        <w:rPr>
          <w:rFonts w:eastAsia="Times New Roman"/>
        </w:rPr>
        <w:t xml:space="preserve">his </w:t>
      </w:r>
      <w:r w:rsidR="00647D6F" w:rsidRPr="00F13E5B">
        <w:rPr>
          <w:rFonts w:eastAsia="Times New Roman"/>
        </w:rPr>
        <w:t xml:space="preserve">assessment may also </w:t>
      </w:r>
      <w:r w:rsidR="001A5804" w:rsidRPr="00F13E5B">
        <w:rPr>
          <w:rFonts w:eastAsia="Times New Roman"/>
        </w:rPr>
        <w:t xml:space="preserve">need to revisit the valuations for individual properties in particular the Oast House to consider the </w:t>
      </w:r>
      <w:r w:rsidR="003064EF">
        <w:rPr>
          <w:rFonts w:eastAsia="Times New Roman"/>
        </w:rPr>
        <w:t xml:space="preserve">site’s potential </w:t>
      </w:r>
      <w:r w:rsidR="001A5804" w:rsidRPr="00F13E5B">
        <w:rPr>
          <w:rFonts w:eastAsia="Times New Roman"/>
        </w:rPr>
        <w:t xml:space="preserve">value if </w:t>
      </w:r>
      <w:r w:rsidR="003064EF">
        <w:rPr>
          <w:rFonts w:eastAsia="Times New Roman"/>
        </w:rPr>
        <w:t>developed to</w:t>
      </w:r>
      <w:r w:rsidR="00D816D8" w:rsidRPr="00F13E5B">
        <w:rPr>
          <w:rFonts w:eastAsia="Times New Roman"/>
        </w:rPr>
        <w:t xml:space="preserve"> its maximum potential.</w:t>
      </w:r>
      <w:r w:rsidR="00980A7F">
        <w:rPr>
          <w:rFonts w:eastAsia="Times New Roman"/>
        </w:rPr>
        <w:t xml:space="preserve"> </w:t>
      </w:r>
    </w:p>
    <w:p w14:paraId="39D02EA7" w14:textId="30261482" w:rsidR="00C47013" w:rsidRPr="00F13E5B" w:rsidRDefault="00C47013" w:rsidP="00F13E5B">
      <w:pPr>
        <w:jc w:val="both"/>
      </w:pPr>
    </w:p>
    <w:p w14:paraId="7FACE853" w14:textId="26C0E02F" w:rsidR="00F00218" w:rsidRPr="00A77630" w:rsidRDefault="00F00218" w:rsidP="00F13E5B">
      <w:pPr>
        <w:jc w:val="both"/>
        <w:rPr>
          <w:b/>
          <w:bCs/>
          <w:i/>
          <w:iCs/>
          <w:sz w:val="24"/>
          <w:szCs w:val="24"/>
        </w:rPr>
      </w:pPr>
      <w:r w:rsidRPr="00A77630">
        <w:rPr>
          <w:b/>
          <w:bCs/>
          <w:i/>
          <w:iCs/>
          <w:sz w:val="24"/>
          <w:szCs w:val="24"/>
        </w:rPr>
        <w:t>Borrowing</w:t>
      </w:r>
    </w:p>
    <w:p w14:paraId="2759AB18" w14:textId="17288680" w:rsidR="00F00218" w:rsidRDefault="0095054A" w:rsidP="00F13E5B">
      <w:pPr>
        <w:jc w:val="both"/>
      </w:pPr>
      <w:r>
        <w:t>Table 8</w:t>
      </w:r>
      <w:r w:rsidR="007C11FB" w:rsidRPr="00F13E5B">
        <w:t xml:space="preserve"> shows the maturity structure of loans</w:t>
      </w:r>
      <w:r w:rsidR="004E1B5B" w:rsidRPr="00F13E5B">
        <w:t xml:space="preserve"> at 30 September 2022, as set out in the latest half-year Treasury Management </w:t>
      </w:r>
      <w:r w:rsidR="00EC4F86" w:rsidRPr="00F13E5B">
        <w:t>report</w:t>
      </w:r>
      <w:r w:rsidR="00744066">
        <w:t xml:space="preserve"> </w:t>
      </w:r>
      <w:r w:rsidR="00EC4F86" w:rsidRPr="00F13E5B">
        <w:t xml:space="preserve">submitted to the Corporate Policy and Resources Committee </w:t>
      </w:r>
      <w:r w:rsidR="00576355" w:rsidRPr="00F13E5B">
        <w:t>in November 2022.</w:t>
      </w:r>
    </w:p>
    <w:p w14:paraId="1E7EA1ED" w14:textId="3E0B4B21" w:rsidR="004B6AEA" w:rsidRPr="002B6366" w:rsidRDefault="000B6E99" w:rsidP="000B6E99">
      <w:pPr>
        <w:rPr>
          <w:i/>
          <w:iCs/>
        </w:rPr>
      </w:pPr>
      <w:r w:rsidRPr="002B6366">
        <w:rPr>
          <w:i/>
          <w:iCs/>
        </w:rPr>
        <w:t>Table 8: Maturity structure of loans</w:t>
      </w:r>
    </w:p>
    <w:p w14:paraId="360583C6" w14:textId="77777777" w:rsidR="00F00218" w:rsidRDefault="00F00218" w:rsidP="00F00218">
      <w:pPr>
        <w:rPr>
          <w:b/>
          <w:bCs/>
        </w:rPr>
      </w:pPr>
      <w:r>
        <w:rPr>
          <w:noProof/>
        </w:rPr>
        <w:drawing>
          <wp:inline distT="0" distB="0" distL="0" distR="0" wp14:anchorId="2C1AA39C" wp14:editId="150352CB">
            <wp:extent cx="4572000" cy="2743200"/>
            <wp:effectExtent l="0" t="0" r="0" b="0"/>
            <wp:docPr id="1" name="Chart 1">
              <a:extLst xmlns:a="http://schemas.openxmlformats.org/drawingml/2006/main">
                <a:ext uri="{FF2B5EF4-FFF2-40B4-BE49-F238E27FC236}">
                  <a16:creationId xmlns:a16="http://schemas.microsoft.com/office/drawing/2014/main" id="{3BB0F25D-B471-D92E-8153-DDBCCEEF21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DA3CC9" w14:textId="29E8848A" w:rsidR="00576355" w:rsidRPr="009A5100" w:rsidRDefault="008D7B49" w:rsidP="009A5100">
      <w:pPr>
        <w:jc w:val="both"/>
      </w:pPr>
      <w:r>
        <w:t>A</w:t>
      </w:r>
      <w:r w:rsidR="00576355" w:rsidRPr="009A5100">
        <w:t xml:space="preserve"> considerable proportion of the current portfolio </w:t>
      </w:r>
      <w:r w:rsidR="00000CD6" w:rsidRPr="009A5100">
        <w:t>(£198.1</w:t>
      </w:r>
      <w:r w:rsidR="00BC6573">
        <w:t xml:space="preserve"> </w:t>
      </w:r>
      <w:r w:rsidR="00000CD6" w:rsidRPr="009A5100">
        <w:t>m</w:t>
      </w:r>
      <w:r w:rsidR="00BC6573">
        <w:t>illion</w:t>
      </w:r>
      <w:r w:rsidR="00000CD6" w:rsidRPr="009A5100">
        <w:t>) matur</w:t>
      </w:r>
      <w:r>
        <w:t>es</w:t>
      </w:r>
      <w:r w:rsidR="00000CD6" w:rsidRPr="009A5100">
        <w:t xml:space="preserve"> within the next 2 years.</w:t>
      </w:r>
      <w:r w:rsidR="001067D5" w:rsidRPr="009A5100">
        <w:t xml:space="preserve">  </w:t>
      </w:r>
    </w:p>
    <w:p w14:paraId="115CE4D3" w14:textId="08BC94DA" w:rsidR="00293F29" w:rsidRPr="009A5100" w:rsidRDefault="001A7008" w:rsidP="009A5100">
      <w:pPr>
        <w:jc w:val="both"/>
      </w:pPr>
      <w:r w:rsidRPr="009A5100">
        <w:t xml:space="preserve">Council </w:t>
      </w:r>
      <w:r w:rsidR="007B6718">
        <w:t>f</w:t>
      </w:r>
      <w:r w:rsidRPr="009A5100">
        <w:t xml:space="preserve">inance </w:t>
      </w:r>
      <w:r w:rsidR="007B6718">
        <w:t>o</w:t>
      </w:r>
      <w:r w:rsidRPr="009A5100">
        <w:t>fficers have indicated that th</w:t>
      </w:r>
      <w:r w:rsidR="002D5C9A" w:rsidRPr="009A5100">
        <w:t>e maturity profile reflected previous capital spending plans and that t</w:t>
      </w:r>
      <w:r w:rsidR="00EA383B" w:rsidRPr="009A5100">
        <w:t>he quantum of debt financing now required is lower than that anticipated in October 2022 (when th</w:t>
      </w:r>
      <w:r w:rsidR="007B6718">
        <w:t>e</w:t>
      </w:r>
      <w:r w:rsidR="00EA383B" w:rsidRPr="009A5100">
        <w:t xml:space="preserve"> profile was produced)</w:t>
      </w:r>
      <w:r w:rsidR="007B6718">
        <w:t xml:space="preserve">. </w:t>
      </w:r>
      <w:r w:rsidR="005F08A0">
        <w:t xml:space="preserve">They </w:t>
      </w:r>
      <w:r w:rsidR="002B024B" w:rsidRPr="009A5100">
        <w:t xml:space="preserve">also consider that grants from Homes England will impact </w:t>
      </w:r>
      <w:r w:rsidR="006F3E12">
        <w:t>the</w:t>
      </w:r>
      <w:r w:rsidR="002B024B" w:rsidRPr="009A5100">
        <w:t xml:space="preserve"> borrowing that they were originally intending to incur as part of this profile, not to mention the fact that the complexity of the programme means that there will be potential slippage.</w:t>
      </w:r>
      <w:r w:rsidR="00C92703">
        <w:t xml:space="preserve"> </w:t>
      </w:r>
      <w:r w:rsidR="008D5DCE" w:rsidRPr="009A5100">
        <w:t xml:space="preserve">The </w:t>
      </w:r>
      <w:r w:rsidR="007C46F8">
        <w:t>c</w:t>
      </w:r>
      <w:r w:rsidR="008D5DCE" w:rsidRPr="009A5100">
        <w:t xml:space="preserve">ouncil </w:t>
      </w:r>
      <w:r w:rsidR="00C92703">
        <w:t>says it</w:t>
      </w:r>
      <w:r w:rsidR="008D5DCE" w:rsidRPr="009A5100">
        <w:t xml:space="preserve"> will use short</w:t>
      </w:r>
      <w:r w:rsidR="00C92703">
        <w:t>-t</w:t>
      </w:r>
      <w:r w:rsidR="008D5DCE" w:rsidRPr="009A5100">
        <w:t xml:space="preserve">erm </w:t>
      </w:r>
      <w:r w:rsidR="00293F29" w:rsidRPr="009A5100">
        <w:t>borrowing until individual development scheme</w:t>
      </w:r>
      <w:r w:rsidR="00F67A82">
        <w:t>s</w:t>
      </w:r>
      <w:r w:rsidR="00293F29" w:rsidRPr="009A5100">
        <w:t xml:space="preserve"> </w:t>
      </w:r>
      <w:r w:rsidR="00F67A82">
        <w:t>are</w:t>
      </w:r>
      <w:r w:rsidR="00293F29" w:rsidRPr="009A5100">
        <w:t xml:space="preserve"> completed</w:t>
      </w:r>
      <w:r w:rsidR="008D5DCE" w:rsidRPr="009A5100">
        <w:t xml:space="preserve"> to take advantage of lower </w:t>
      </w:r>
      <w:r w:rsidR="005F08A0" w:rsidRPr="009A5100">
        <w:t>short-term</w:t>
      </w:r>
      <w:r w:rsidR="008D5DCE" w:rsidRPr="009A5100">
        <w:t xml:space="preserve"> rates. </w:t>
      </w:r>
      <w:r w:rsidR="007E0920" w:rsidRPr="009A5100">
        <w:t>Th</w:t>
      </w:r>
      <w:r w:rsidR="005F08A0">
        <w:t>is</w:t>
      </w:r>
      <w:r w:rsidR="007E0920" w:rsidRPr="009A5100">
        <w:t xml:space="preserve"> will be repaid with </w:t>
      </w:r>
      <w:r w:rsidR="00293F29" w:rsidRPr="009A5100">
        <w:t>a consolidating PWLB lo</w:t>
      </w:r>
      <w:r w:rsidR="007E0920" w:rsidRPr="009A5100">
        <w:t xml:space="preserve">an </w:t>
      </w:r>
      <w:r w:rsidR="00FF3EA6" w:rsidRPr="009A5100">
        <w:t xml:space="preserve">at a </w:t>
      </w:r>
      <w:r w:rsidR="00293F29" w:rsidRPr="009A5100">
        <w:t>fix</w:t>
      </w:r>
      <w:r w:rsidR="00FF3EA6" w:rsidRPr="009A5100">
        <w:t>ed</w:t>
      </w:r>
      <w:r w:rsidR="00293F29" w:rsidRPr="009A5100">
        <w:t xml:space="preserve"> rate over the next 50 years </w:t>
      </w:r>
      <w:r w:rsidR="00FF3EA6" w:rsidRPr="009A5100">
        <w:t>to</w:t>
      </w:r>
      <w:r w:rsidR="00293F29" w:rsidRPr="009A5100">
        <w:t xml:space="preserve"> eliminate interest</w:t>
      </w:r>
      <w:r w:rsidR="00D104C5">
        <w:t>-</w:t>
      </w:r>
      <w:r w:rsidR="00293F29" w:rsidRPr="009A5100">
        <w:t>rate movement risk.  </w:t>
      </w:r>
      <w:r w:rsidR="00D104C5">
        <w:t>On</w:t>
      </w:r>
      <w:r w:rsidR="00293F29" w:rsidRPr="009A5100">
        <w:t xml:space="preserve"> completion there will be </w:t>
      </w:r>
      <w:r w:rsidR="00F67A82">
        <w:t xml:space="preserve">a </w:t>
      </w:r>
      <w:r w:rsidR="00293F29" w:rsidRPr="009A5100">
        <w:t>rental income stream to cover financing costs</w:t>
      </w:r>
      <w:r w:rsidR="00FF3EA6" w:rsidRPr="009A5100">
        <w:t>.</w:t>
      </w:r>
      <w:r w:rsidR="006432CB">
        <w:t xml:space="preserve"> This suggests that borrowing is being used for working capital, which is a risk, but a thorough detailed review would be required in order to establish whether this is the case. </w:t>
      </w:r>
    </w:p>
    <w:p w14:paraId="5AE67BBB" w14:textId="0945E417" w:rsidR="0051514B" w:rsidRPr="009A5100" w:rsidRDefault="00B75082" w:rsidP="009A5100">
      <w:pPr>
        <w:jc w:val="both"/>
      </w:pPr>
      <w:r>
        <w:t>SBC</w:t>
      </w:r>
      <w:r w:rsidR="0051514B" w:rsidRPr="009A5100">
        <w:t xml:space="preserve"> has given a separate indication that it will use </w:t>
      </w:r>
      <w:r w:rsidR="00663AEE" w:rsidRPr="009A5100">
        <w:t>internal borrowing where possible before seeking external borrowing.</w:t>
      </w:r>
      <w:r w:rsidR="00227F8A">
        <w:t xml:space="preserve"> </w:t>
      </w:r>
      <w:r w:rsidR="00663AEE" w:rsidRPr="009A5100">
        <w:t xml:space="preserve">Such internal transactions could of course have implications for </w:t>
      </w:r>
      <w:r w:rsidR="00B50CF2" w:rsidRPr="009A5100">
        <w:t>commercial income and the sinking fund.</w:t>
      </w:r>
    </w:p>
    <w:p w14:paraId="7AAC56E5" w14:textId="35940D0F" w:rsidR="00EA383B" w:rsidRPr="009A5100" w:rsidRDefault="00CB6EC8" w:rsidP="009A5100">
      <w:pPr>
        <w:jc w:val="both"/>
      </w:pPr>
      <w:r w:rsidRPr="009A5100">
        <w:t>The</w:t>
      </w:r>
      <w:r w:rsidR="008A5EDD" w:rsidRPr="009A5100">
        <w:t xml:space="preserve"> </w:t>
      </w:r>
      <w:r w:rsidR="007C46F8">
        <w:t>c</w:t>
      </w:r>
      <w:r w:rsidR="008A5EDD" w:rsidRPr="009A5100">
        <w:t xml:space="preserve">ouncil considers that there is </w:t>
      </w:r>
      <w:r w:rsidR="00C3337D" w:rsidRPr="009A5100">
        <w:rPr>
          <w:rFonts w:eastAsia="Times New Roman"/>
        </w:rPr>
        <w:t xml:space="preserve">no need to refinance </w:t>
      </w:r>
      <w:r w:rsidR="008A5EDD" w:rsidRPr="009A5100">
        <w:rPr>
          <w:rFonts w:eastAsia="Times New Roman"/>
        </w:rPr>
        <w:t xml:space="preserve">loans related to investment properties </w:t>
      </w:r>
      <w:r w:rsidR="0002151A">
        <w:rPr>
          <w:rFonts w:eastAsia="Times New Roman"/>
        </w:rPr>
        <w:t>since all were</w:t>
      </w:r>
      <w:r w:rsidR="00C3337D" w:rsidRPr="009A5100">
        <w:rPr>
          <w:rFonts w:eastAsia="Times New Roman"/>
        </w:rPr>
        <w:t xml:space="preserve"> financed on </w:t>
      </w:r>
      <w:r w:rsidR="0002151A" w:rsidRPr="009A5100">
        <w:rPr>
          <w:rFonts w:eastAsia="Times New Roman"/>
        </w:rPr>
        <w:t>40</w:t>
      </w:r>
      <w:r w:rsidR="00B9743E">
        <w:rPr>
          <w:rFonts w:eastAsia="Times New Roman"/>
        </w:rPr>
        <w:t xml:space="preserve"> to </w:t>
      </w:r>
      <w:r w:rsidR="0002151A" w:rsidRPr="009A5100">
        <w:rPr>
          <w:rFonts w:eastAsia="Times New Roman"/>
        </w:rPr>
        <w:t>50-year</w:t>
      </w:r>
      <w:r w:rsidR="00C3337D" w:rsidRPr="009A5100">
        <w:rPr>
          <w:rFonts w:eastAsia="Times New Roman"/>
        </w:rPr>
        <w:t xml:space="preserve"> fixed (blended annuity) rates</w:t>
      </w:r>
      <w:r w:rsidR="008A5EDD" w:rsidRPr="009A5100">
        <w:rPr>
          <w:rFonts w:eastAsia="Times New Roman"/>
        </w:rPr>
        <w:t>.</w:t>
      </w:r>
    </w:p>
    <w:p w14:paraId="367752CF" w14:textId="616909E5" w:rsidR="00EA383B" w:rsidRPr="009A5100" w:rsidRDefault="00B75082" w:rsidP="009A5100">
      <w:pPr>
        <w:jc w:val="both"/>
      </w:pPr>
      <w:r>
        <w:t>SBC</w:t>
      </w:r>
      <w:r w:rsidR="00424575" w:rsidRPr="009A5100">
        <w:t xml:space="preserve"> </w:t>
      </w:r>
      <w:r w:rsidR="008D2914" w:rsidRPr="009A5100">
        <w:t xml:space="preserve">has so far borrowed from the PWLB but </w:t>
      </w:r>
      <w:r w:rsidR="006432CB">
        <w:t xml:space="preserve">the </w:t>
      </w:r>
      <w:r w:rsidR="008D2914" w:rsidRPr="009A5100">
        <w:t xml:space="preserve">Treasury Management Strategy notes: </w:t>
      </w:r>
    </w:p>
    <w:p w14:paraId="0471969D" w14:textId="6979B82C" w:rsidR="008D2914" w:rsidRPr="009A5100" w:rsidRDefault="001F2ECE" w:rsidP="009A5100">
      <w:pPr>
        <w:jc w:val="both"/>
        <w:rPr>
          <w:i/>
          <w:iCs/>
        </w:rPr>
      </w:pPr>
      <w:r>
        <w:rPr>
          <w:i/>
          <w:iCs/>
        </w:rPr>
        <w:t>“</w:t>
      </w:r>
      <w:r w:rsidR="008D2914" w:rsidRPr="009A5100">
        <w:rPr>
          <w:i/>
          <w:iCs/>
        </w:rPr>
        <w:t>The Council will consider long-term loans from other sources including banks, pensions and local authorities, and will investigate the possibility of issuing bonds and similar instruments, in order to lower interest costs and reduce overreliance on one source of funding, in line with the CIPFA TM Code.</w:t>
      </w:r>
      <w:r>
        <w:rPr>
          <w:i/>
          <w:iCs/>
        </w:rPr>
        <w:t>”</w:t>
      </w:r>
    </w:p>
    <w:p w14:paraId="3442D289" w14:textId="14902784" w:rsidR="00424575" w:rsidRDefault="008D2914" w:rsidP="009A5100">
      <w:pPr>
        <w:jc w:val="both"/>
        <w:rPr>
          <w:i/>
          <w:iCs/>
          <w:sz w:val="18"/>
          <w:szCs w:val="18"/>
        </w:rPr>
      </w:pPr>
      <w:r w:rsidRPr="00772FA4">
        <w:rPr>
          <w:i/>
          <w:iCs/>
          <w:sz w:val="18"/>
          <w:szCs w:val="18"/>
        </w:rPr>
        <w:t>Treasury Management Strategy Report – February 2023</w:t>
      </w:r>
    </w:p>
    <w:p w14:paraId="61AC36FE" w14:textId="77C11373" w:rsidR="006432CB" w:rsidRPr="00772FA4" w:rsidRDefault="006432CB" w:rsidP="009A5100">
      <w:pPr>
        <w:jc w:val="both"/>
      </w:pPr>
      <w:r w:rsidRPr="00772FA4">
        <w:t>Whi</w:t>
      </w:r>
      <w:r>
        <w:t>le it is not unusual for councils to borrow from other councils and alternative funding sources (and this is often a suggestion made by treasury management advise</w:t>
      </w:r>
      <w:r w:rsidR="00E074E7">
        <w:t>r</w:t>
      </w:r>
      <w:r>
        <w:t xml:space="preserve">s), the scale and reasons for such borrowing can lead to financial risk. For example, the nature of the borrowing (i.e., whether it is for financial gain), the period over which the borrowing is taken, and the repayment arrangements, should all be considered to minimise the risk to the council. </w:t>
      </w:r>
    </w:p>
    <w:p w14:paraId="3E8D7A6B" w14:textId="0DA3976A" w:rsidR="00CA26D7" w:rsidRPr="00A77630" w:rsidRDefault="00F21ACD" w:rsidP="009A5100">
      <w:pPr>
        <w:jc w:val="both"/>
        <w:rPr>
          <w:i/>
          <w:iCs/>
        </w:rPr>
      </w:pPr>
      <w:r w:rsidRPr="00A77630">
        <w:rPr>
          <w:i/>
          <w:iCs/>
        </w:rPr>
        <w:t>M</w:t>
      </w:r>
      <w:r w:rsidR="00842A56" w:rsidRPr="00A77630">
        <w:rPr>
          <w:i/>
          <w:iCs/>
        </w:rPr>
        <w:t xml:space="preserve">inimum </w:t>
      </w:r>
      <w:r w:rsidRPr="00A77630">
        <w:rPr>
          <w:i/>
          <w:iCs/>
        </w:rPr>
        <w:t>R</w:t>
      </w:r>
      <w:r w:rsidR="00842A56" w:rsidRPr="00A77630">
        <w:rPr>
          <w:i/>
          <w:iCs/>
        </w:rPr>
        <w:t xml:space="preserve">evenue </w:t>
      </w:r>
      <w:r w:rsidRPr="00A77630">
        <w:rPr>
          <w:i/>
          <w:iCs/>
        </w:rPr>
        <w:t>P</w:t>
      </w:r>
      <w:r w:rsidR="00842A56" w:rsidRPr="00A77630">
        <w:rPr>
          <w:i/>
          <w:iCs/>
        </w:rPr>
        <w:t>rovision (MRP)</w:t>
      </w:r>
      <w:r w:rsidRPr="00A77630">
        <w:rPr>
          <w:i/>
          <w:iCs/>
        </w:rPr>
        <w:t xml:space="preserve"> Policy</w:t>
      </w:r>
    </w:p>
    <w:p w14:paraId="6EBFBB86" w14:textId="5CA6A157" w:rsidR="00C05DB5" w:rsidRPr="009A5100" w:rsidRDefault="00B75082" w:rsidP="009A5100">
      <w:pPr>
        <w:jc w:val="both"/>
      </w:pPr>
      <w:r>
        <w:t>SBC’s</w:t>
      </w:r>
      <w:r w:rsidR="00A64FEE">
        <w:t xml:space="preserve"> </w:t>
      </w:r>
      <w:r w:rsidR="00C05DB5" w:rsidRPr="009A5100">
        <w:t xml:space="preserve">MRP </w:t>
      </w:r>
      <w:r w:rsidR="00A64FEE">
        <w:t>p</w:t>
      </w:r>
      <w:r w:rsidR="00C05DB5" w:rsidRPr="009A5100">
        <w:t>olic</w:t>
      </w:r>
      <w:r w:rsidR="00A64FEE">
        <w:t>y</w:t>
      </w:r>
      <w:r w:rsidR="00C05DB5" w:rsidRPr="009A5100">
        <w:t xml:space="preserve"> </w:t>
      </w:r>
      <w:r w:rsidR="00A64FEE">
        <w:t>states</w:t>
      </w:r>
      <w:r w:rsidR="00C05DB5" w:rsidRPr="009A5100">
        <w:t xml:space="preserve">: </w:t>
      </w:r>
    </w:p>
    <w:p w14:paraId="51A9FAB2" w14:textId="5968DFE2" w:rsidR="00CA26D7" w:rsidRPr="009A5100" w:rsidRDefault="007A48E7" w:rsidP="009A5100">
      <w:pPr>
        <w:jc w:val="both"/>
        <w:rPr>
          <w:i/>
          <w:iCs/>
        </w:rPr>
      </w:pPr>
      <w:r>
        <w:rPr>
          <w:i/>
          <w:iCs/>
        </w:rPr>
        <w:t>“</w:t>
      </w:r>
      <w:r w:rsidR="00CA26D7" w:rsidRPr="009A5100">
        <w:rPr>
          <w:i/>
          <w:iCs/>
        </w:rPr>
        <w:t>For capital expenditure incurred after 31st March 2008, MRP will be determined by charging the expenditure over the expected useful life of the relevant asset as the principal repayment on an annuity with an annual interest rate equal to the average PWLB rate for the year of expenditure, starting in the year after the asset becomes operational. MRP on purchases of freehold land will be charged over 50 years. MRP on expenditure not related to fixed assets but which has been capitalised by regulation or direction will be charged over 20 years</w:t>
      </w:r>
      <w:r w:rsidR="00CA26D7" w:rsidRPr="009A5100">
        <w:t>.</w:t>
      </w:r>
    </w:p>
    <w:p w14:paraId="66F6F453" w14:textId="77777777" w:rsidR="00DF1404" w:rsidRPr="009A5100" w:rsidRDefault="00850DBB" w:rsidP="009A5100">
      <w:pPr>
        <w:jc w:val="both"/>
        <w:rPr>
          <w:i/>
          <w:iCs/>
        </w:rPr>
      </w:pPr>
      <w:r w:rsidRPr="009A5100">
        <w:rPr>
          <w:i/>
          <w:iCs/>
        </w:rPr>
        <w:t xml:space="preserve">For capital expenditure loans to third parties that are repaid in annual or more frequent instalments of principal, the Council will make nil MRP, and will instead apply the capital receipts arising from principal repayments to reduce the capital financing requirement. In years where there is no principal repayment, MRP will be charged in accordance with the MRP policy for the assets funded by the loan, including where appropriate, delaying MRP until the year after the assets become </w:t>
      </w:r>
      <w:r w:rsidR="00F21ACD" w:rsidRPr="009A5100">
        <w:rPr>
          <w:i/>
          <w:iCs/>
        </w:rPr>
        <w:t xml:space="preserve">operational. While this is not one of the options in the MHCLG Guidance, it is thought to be a prudent approach since it ensures that the capital expenditure incurred on the loan is fully funded over the life of the assets. </w:t>
      </w:r>
    </w:p>
    <w:p w14:paraId="0F05FE71" w14:textId="03F3ADEF" w:rsidR="00F21ACD" w:rsidRPr="009A5100" w:rsidRDefault="00F21ACD" w:rsidP="009A5100">
      <w:pPr>
        <w:jc w:val="both"/>
        <w:rPr>
          <w:i/>
          <w:iCs/>
        </w:rPr>
      </w:pPr>
      <w:r w:rsidRPr="009A5100">
        <w:rPr>
          <w:i/>
          <w:iCs/>
        </w:rPr>
        <w:t>The Council was debt-free before 2016/17, and MRP was not applied until 2017/18. MRP has been determined using finance models for specific major property acquisitions for which PWLB loans were obtained, with principal repayments calculated over 50 years based on the annuity rate applicable at the time of the loan. Capital expenditure incurred will not be subject to an MRP charge until the asset is brought into use.</w:t>
      </w:r>
      <w:r w:rsidR="007A48E7">
        <w:rPr>
          <w:i/>
          <w:iCs/>
        </w:rPr>
        <w:t>”</w:t>
      </w:r>
    </w:p>
    <w:p w14:paraId="5050E37E" w14:textId="46538DA1" w:rsidR="003A7E7D" w:rsidRPr="00772FA4" w:rsidRDefault="00BB56E8" w:rsidP="009A5100">
      <w:pPr>
        <w:jc w:val="both"/>
        <w:rPr>
          <w:i/>
          <w:iCs/>
          <w:sz w:val="18"/>
          <w:szCs w:val="18"/>
        </w:rPr>
      </w:pPr>
      <w:r w:rsidRPr="00772FA4">
        <w:rPr>
          <w:i/>
          <w:iCs/>
          <w:sz w:val="18"/>
          <w:szCs w:val="18"/>
        </w:rPr>
        <w:t>Treasury Manage</w:t>
      </w:r>
      <w:r w:rsidR="00713961" w:rsidRPr="00772FA4">
        <w:rPr>
          <w:i/>
          <w:iCs/>
          <w:sz w:val="18"/>
          <w:szCs w:val="18"/>
        </w:rPr>
        <w:t>ment Report – February 2023</w:t>
      </w:r>
    </w:p>
    <w:p w14:paraId="2B8CCC6D" w14:textId="258BD45F" w:rsidR="00713961" w:rsidRPr="009A5100" w:rsidRDefault="008C3514" w:rsidP="009A5100">
      <w:pPr>
        <w:jc w:val="both"/>
      </w:pPr>
      <w:r w:rsidRPr="009A5100">
        <w:t xml:space="preserve">The </w:t>
      </w:r>
      <w:r w:rsidR="00D66000">
        <w:t>c</w:t>
      </w:r>
      <w:r w:rsidRPr="009A5100">
        <w:t xml:space="preserve">ouncil has recently reviewed its </w:t>
      </w:r>
      <w:r w:rsidR="0074413B" w:rsidRPr="009A5100">
        <w:t xml:space="preserve">MRP calculations in consultation with Arlingclose, its Treasury Management Advisors. </w:t>
      </w:r>
      <w:r w:rsidR="00E07F0D" w:rsidRPr="009A5100">
        <w:t xml:space="preserve">The results are shown in </w:t>
      </w:r>
      <w:r w:rsidR="008B253A">
        <w:t>T</w:t>
      </w:r>
      <w:r w:rsidR="00744066" w:rsidRPr="009A5100">
        <w:t>able 9</w:t>
      </w:r>
      <w:r w:rsidR="00E07F0D" w:rsidRPr="009A5100">
        <w:t>.</w:t>
      </w:r>
    </w:p>
    <w:p w14:paraId="3A949E1B" w14:textId="77777777" w:rsidR="00D72D0B" w:rsidRDefault="00D72D0B" w:rsidP="00713961">
      <w:pPr>
        <w:rPr>
          <w:b/>
          <w:bCs/>
          <w:color w:val="312C62" w:themeColor="text2"/>
        </w:rPr>
      </w:pPr>
    </w:p>
    <w:p w14:paraId="09AE8739" w14:textId="77777777" w:rsidR="00D72D0B" w:rsidRDefault="00D72D0B" w:rsidP="00713961">
      <w:pPr>
        <w:rPr>
          <w:b/>
          <w:bCs/>
          <w:color w:val="312C62" w:themeColor="text2"/>
        </w:rPr>
      </w:pPr>
    </w:p>
    <w:p w14:paraId="14FCAC31" w14:textId="1F9400F3" w:rsidR="009A5100" w:rsidRPr="002B6366" w:rsidRDefault="009A5100" w:rsidP="00713961">
      <w:pPr>
        <w:rPr>
          <w:i/>
          <w:iCs/>
        </w:rPr>
      </w:pPr>
      <w:r w:rsidRPr="002B6366">
        <w:rPr>
          <w:i/>
          <w:iCs/>
        </w:rPr>
        <w:t>Table 9: MRP calculations</w:t>
      </w:r>
    </w:p>
    <w:p w14:paraId="671630FA" w14:textId="6F8D3BAB" w:rsidR="0029125F" w:rsidRDefault="008C3514" w:rsidP="00DD5C84">
      <w:r w:rsidRPr="008C3514">
        <w:rPr>
          <w:noProof/>
        </w:rPr>
        <w:drawing>
          <wp:inline distT="0" distB="0" distL="0" distR="0" wp14:anchorId="0F62D82F" wp14:editId="5309DEED">
            <wp:extent cx="5581015" cy="373316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1015" cy="3733165"/>
                    </a:xfrm>
                    <a:prstGeom prst="rect">
                      <a:avLst/>
                    </a:prstGeom>
                    <a:noFill/>
                    <a:ln>
                      <a:noFill/>
                    </a:ln>
                  </pic:spPr>
                </pic:pic>
              </a:graphicData>
            </a:graphic>
          </wp:inline>
        </w:drawing>
      </w:r>
    </w:p>
    <w:p w14:paraId="1CF19112" w14:textId="57D10AEA" w:rsidR="00702A0A" w:rsidRPr="00257091" w:rsidRDefault="00BA3F3E" w:rsidP="00257091">
      <w:pPr>
        <w:jc w:val="both"/>
      </w:pPr>
      <w:r>
        <w:t>There is</w:t>
      </w:r>
      <w:r w:rsidR="00E07F0D" w:rsidRPr="00257091">
        <w:t xml:space="preserve"> a potential </w:t>
      </w:r>
      <w:r w:rsidR="008E0E09" w:rsidRPr="00257091">
        <w:t xml:space="preserve">MRP </w:t>
      </w:r>
      <w:r w:rsidR="00E07F0D" w:rsidRPr="00257091">
        <w:t xml:space="preserve">over-provision </w:t>
      </w:r>
      <w:r w:rsidR="00343E34" w:rsidRPr="00257091">
        <w:t>in the financial years to 31 March 2022 of some £2.8</w:t>
      </w:r>
      <w:r w:rsidR="002E6EBC">
        <w:t xml:space="preserve"> </w:t>
      </w:r>
      <w:r w:rsidR="00343E34" w:rsidRPr="00257091">
        <w:t>m</w:t>
      </w:r>
      <w:r w:rsidR="002E6EBC">
        <w:t>illion</w:t>
      </w:r>
      <w:r w:rsidR="00531D99" w:rsidRPr="00257091">
        <w:t xml:space="preserve">. </w:t>
      </w:r>
      <w:r w:rsidR="007946C5">
        <w:t>However, w</w:t>
      </w:r>
      <w:r w:rsidR="00531D99" w:rsidRPr="00257091">
        <w:t xml:space="preserve">hile these figures have been reviewed by the </w:t>
      </w:r>
      <w:r w:rsidR="008B253A">
        <w:t>c</w:t>
      </w:r>
      <w:r w:rsidR="00531D99" w:rsidRPr="00257091">
        <w:t xml:space="preserve">ouncil’s Treasury Management Advisors, it is worth noting that </w:t>
      </w:r>
      <w:r w:rsidR="00DB7C55">
        <w:t>SBC</w:t>
      </w:r>
      <w:r w:rsidR="00531D99" w:rsidRPr="00257091">
        <w:t xml:space="preserve"> has not </w:t>
      </w:r>
      <w:r w:rsidR="001A45C9" w:rsidRPr="00257091">
        <w:t xml:space="preserve">had its statement of accounts finalised since 2017/18, </w:t>
      </w:r>
      <w:r w:rsidR="007946C5">
        <w:t xml:space="preserve">creating </w:t>
      </w:r>
      <w:r w:rsidR="001A45C9" w:rsidRPr="00257091">
        <w:t xml:space="preserve">considerable </w:t>
      </w:r>
      <w:r w:rsidR="00872434">
        <w:t>uncertainty</w:t>
      </w:r>
      <w:r w:rsidR="001A45C9" w:rsidRPr="00257091">
        <w:t xml:space="preserve"> </w:t>
      </w:r>
      <w:r w:rsidR="007946C5">
        <w:t xml:space="preserve">in </w:t>
      </w:r>
      <w:r w:rsidR="001A45C9" w:rsidRPr="00257091">
        <w:t xml:space="preserve">capturing </w:t>
      </w:r>
      <w:r w:rsidR="007946C5">
        <w:t xml:space="preserve">the </w:t>
      </w:r>
      <w:r w:rsidR="00B65B99" w:rsidRPr="00257091">
        <w:t>financial benefit</w:t>
      </w:r>
      <w:r w:rsidR="007946C5">
        <w:t xml:space="preserve"> from th</w:t>
      </w:r>
      <w:r w:rsidR="00163E35">
        <w:t>ese</w:t>
      </w:r>
      <w:r w:rsidR="007946C5">
        <w:t xml:space="preserve"> calculation</w:t>
      </w:r>
      <w:r w:rsidR="00163E35">
        <w:t>s</w:t>
      </w:r>
      <w:r w:rsidR="007946C5">
        <w:t>.</w:t>
      </w:r>
    </w:p>
    <w:p w14:paraId="787CF751" w14:textId="099C9984" w:rsidR="00702A0A" w:rsidRPr="00257091" w:rsidRDefault="00B65B99" w:rsidP="00257091">
      <w:pPr>
        <w:jc w:val="both"/>
      </w:pPr>
      <w:r w:rsidRPr="00257091">
        <w:t xml:space="preserve">The calculations also indicate potential greater pressure in future years </w:t>
      </w:r>
      <w:r w:rsidR="009F6A30" w:rsidRPr="00257091">
        <w:t xml:space="preserve">with higher than projected levels of MRP payments.  The </w:t>
      </w:r>
      <w:r w:rsidR="008B253A">
        <w:t>c</w:t>
      </w:r>
      <w:r w:rsidR="009F6A30" w:rsidRPr="00257091">
        <w:t xml:space="preserve">ouncil appears to have reflected this </w:t>
      </w:r>
      <w:r w:rsidR="00874EE2">
        <w:t>in the MTFP.</w:t>
      </w:r>
      <w:r w:rsidR="00F27C9D" w:rsidRPr="00257091">
        <w:t xml:space="preserve"> </w:t>
      </w:r>
    </w:p>
    <w:p w14:paraId="3E342ED2" w14:textId="7C497139" w:rsidR="005B5A11" w:rsidRPr="00A77630" w:rsidRDefault="005B5A11" w:rsidP="00257091">
      <w:pPr>
        <w:jc w:val="both"/>
        <w:rPr>
          <w:i/>
          <w:iCs/>
        </w:rPr>
      </w:pPr>
      <w:r w:rsidRPr="00A77630">
        <w:rPr>
          <w:i/>
          <w:iCs/>
        </w:rPr>
        <w:t>Prudential Borrowing</w:t>
      </w:r>
    </w:p>
    <w:p w14:paraId="410E7D65" w14:textId="174626F2" w:rsidR="005B5A11" w:rsidRPr="00257091" w:rsidRDefault="004A0377" w:rsidP="00257091">
      <w:pPr>
        <w:jc w:val="both"/>
      </w:pPr>
      <w:r w:rsidRPr="00257091">
        <w:t xml:space="preserve">In October 2022, </w:t>
      </w:r>
      <w:r w:rsidR="00F04A73">
        <w:t>SBC’s</w:t>
      </w:r>
      <w:r w:rsidRPr="00257091">
        <w:t xml:space="preserve"> former </w:t>
      </w:r>
      <w:r w:rsidR="00B7046D">
        <w:t>external</w:t>
      </w:r>
      <w:r w:rsidRPr="00257091">
        <w:t xml:space="preserve"> auditors issued a public interest report </w:t>
      </w:r>
      <w:r w:rsidR="004F4E8C" w:rsidRPr="00257091">
        <w:t>as part of their work on the 2017/18 statement of accounts.</w:t>
      </w:r>
      <w:r w:rsidR="00163E35">
        <w:t xml:space="preserve"> </w:t>
      </w:r>
      <w:r w:rsidR="00A37EF6" w:rsidRPr="00257091">
        <w:t>This covered the purchase of three investment properties</w:t>
      </w:r>
      <w:r w:rsidR="00912296">
        <w:t>:</w:t>
      </w:r>
      <w:r w:rsidR="00A37EF6" w:rsidRPr="00257091">
        <w:t xml:space="preserve"> </w:t>
      </w:r>
      <w:r w:rsidR="00275A3C" w:rsidRPr="00257091">
        <w:t>3 Roundwood Grove, Stockley Park</w:t>
      </w:r>
      <w:r w:rsidR="00516484">
        <w:t xml:space="preserve">, </w:t>
      </w:r>
      <w:r w:rsidR="00275A3C" w:rsidRPr="00257091">
        <w:t>World Business Centre 4</w:t>
      </w:r>
      <w:r w:rsidR="00763CC6">
        <w:t xml:space="preserve">, Heathrow, and </w:t>
      </w:r>
      <w:r w:rsidR="00C63F2D" w:rsidRPr="00257091">
        <w:t>Hammersmith Grove.</w:t>
      </w:r>
      <w:r w:rsidR="00163E35">
        <w:t xml:space="preserve"> </w:t>
      </w:r>
      <w:r w:rsidR="004F4E8C" w:rsidRPr="00257091">
        <w:t>Th</w:t>
      </w:r>
      <w:r w:rsidR="000C5DD5" w:rsidRPr="00257091">
        <w:t>e report</w:t>
      </w:r>
      <w:r w:rsidR="00E05C15" w:rsidRPr="00257091">
        <w:t xml:space="preserve"> concluded: </w:t>
      </w:r>
    </w:p>
    <w:p w14:paraId="4DDB39E0" w14:textId="03F617D6" w:rsidR="00B77C2E" w:rsidRDefault="002C50FB" w:rsidP="00257091">
      <w:pPr>
        <w:jc w:val="both"/>
        <w:rPr>
          <w:i/>
          <w:iCs/>
        </w:rPr>
      </w:pPr>
      <w:r>
        <w:rPr>
          <w:i/>
          <w:iCs/>
        </w:rPr>
        <w:t>“</w:t>
      </w:r>
      <w:r w:rsidR="0050010E">
        <w:rPr>
          <w:i/>
          <w:iCs/>
        </w:rPr>
        <w:t>[W]</w:t>
      </w:r>
      <w:r w:rsidR="004A0377" w:rsidRPr="00257091">
        <w:rPr>
          <w:i/>
          <w:iCs/>
        </w:rPr>
        <w:t xml:space="preserve">e have serious concerns about the lawfulness of the borrowing and investments for the year 2017/18, which the Council does not accept. In other circumstances an application to the Court under section 28 LAAA 2014 for a declaration that the relevant items of account are contrary to law may therefore have been appropriate. </w:t>
      </w:r>
      <w:r w:rsidR="00BD0DD8" w:rsidRPr="00257091">
        <w:rPr>
          <w:i/>
          <w:iCs/>
        </w:rPr>
        <w:t>In this case, we have decided that on balance a public interest report is more appropriate in circumstances where the Council’s commercial property programme has been brought to a close, and the PWLB restrictions will make it more difficult for similar transactions to be made in the future. There is a public interest in clarifying the law in this area, but the financial burden of doing so would fall on the Council’s taxpayers. Given the low risk of similar conduct in the future, a declaration does not therefore seem appropriate.</w:t>
      </w:r>
      <w:r>
        <w:rPr>
          <w:i/>
          <w:iCs/>
        </w:rPr>
        <w:t>”</w:t>
      </w:r>
    </w:p>
    <w:p w14:paraId="4A61FC35" w14:textId="7950E11C" w:rsidR="005B5A11" w:rsidRPr="00B77C2E" w:rsidRDefault="002C50FB" w:rsidP="00257091">
      <w:pPr>
        <w:jc w:val="both"/>
        <w:rPr>
          <w:i/>
          <w:iCs/>
        </w:rPr>
      </w:pPr>
      <w:r>
        <w:rPr>
          <w:i/>
          <w:iCs/>
          <w:sz w:val="18"/>
          <w:szCs w:val="18"/>
        </w:rPr>
        <w:t xml:space="preserve">Source: </w:t>
      </w:r>
      <w:r w:rsidR="00D85E65" w:rsidRPr="00B77C2E">
        <w:rPr>
          <w:i/>
          <w:iCs/>
          <w:sz w:val="18"/>
          <w:szCs w:val="18"/>
        </w:rPr>
        <w:t>Public Interest Report</w:t>
      </w:r>
      <w:r w:rsidR="0047366D">
        <w:rPr>
          <w:i/>
          <w:iCs/>
          <w:sz w:val="18"/>
          <w:szCs w:val="18"/>
        </w:rPr>
        <w:t>, October 2022</w:t>
      </w:r>
    </w:p>
    <w:p w14:paraId="643A7BB7" w14:textId="2ED8EF27" w:rsidR="00DD05DC" w:rsidRPr="00257091" w:rsidRDefault="00DD05DC" w:rsidP="00257091">
      <w:pPr>
        <w:jc w:val="both"/>
      </w:pPr>
      <w:r w:rsidRPr="00257091">
        <w:t xml:space="preserve">As the </w:t>
      </w:r>
      <w:r w:rsidR="00B77C2E">
        <w:t>report</w:t>
      </w:r>
      <w:r w:rsidRPr="00257091">
        <w:t xml:space="preserve"> suggests</w:t>
      </w:r>
      <w:r w:rsidR="005F2444" w:rsidRPr="00257091">
        <w:t xml:space="preserve">, considerable disagreement remains between </w:t>
      </w:r>
      <w:r w:rsidR="00F04A73">
        <w:t>SBC</w:t>
      </w:r>
      <w:r w:rsidR="005F2444" w:rsidRPr="00257091">
        <w:t xml:space="preserve"> and its former auditors.  Nevertheless</w:t>
      </w:r>
      <w:r w:rsidR="00763CC6">
        <w:t>,</w:t>
      </w:r>
      <w:r w:rsidR="005F2444" w:rsidRPr="00257091">
        <w:t xml:space="preserve"> the </w:t>
      </w:r>
      <w:r w:rsidR="002231E8">
        <w:t>c</w:t>
      </w:r>
      <w:r w:rsidR="005F2444" w:rsidRPr="00257091">
        <w:t>ouncil has accepted all</w:t>
      </w:r>
      <w:r w:rsidR="000D1338">
        <w:t xml:space="preserve"> key auditor</w:t>
      </w:r>
      <w:r w:rsidR="00435EA0" w:rsidRPr="00257091">
        <w:t xml:space="preserve"> recommendations covering its management of the </w:t>
      </w:r>
      <w:r w:rsidR="00FC340F">
        <w:t>i</w:t>
      </w:r>
      <w:r w:rsidR="00435EA0" w:rsidRPr="00257091">
        <w:t xml:space="preserve">nvestment </w:t>
      </w:r>
      <w:r w:rsidR="00FC340F">
        <w:t>p</w:t>
      </w:r>
      <w:r w:rsidR="00435EA0" w:rsidRPr="00257091">
        <w:t xml:space="preserve">ortfolio and approach to future </w:t>
      </w:r>
      <w:r w:rsidR="00FC340F">
        <w:t>c</w:t>
      </w:r>
      <w:r w:rsidR="00435EA0" w:rsidRPr="00257091">
        <w:t xml:space="preserve">apital </w:t>
      </w:r>
      <w:r w:rsidR="002A482A">
        <w:t>i</w:t>
      </w:r>
      <w:r w:rsidR="00435EA0" w:rsidRPr="00257091">
        <w:t>nvestment.</w:t>
      </w:r>
      <w:r w:rsidR="00C015D4" w:rsidRPr="00257091">
        <w:t xml:space="preserve"> </w:t>
      </w:r>
      <w:r w:rsidR="004448CA" w:rsidRPr="00257091">
        <w:t xml:space="preserve"> </w:t>
      </w:r>
    </w:p>
    <w:p w14:paraId="196C8184" w14:textId="535B67EF" w:rsidR="00532A95" w:rsidRPr="00257091" w:rsidRDefault="002A482A" w:rsidP="00257091">
      <w:pPr>
        <w:jc w:val="both"/>
      </w:pPr>
      <w:r>
        <w:t>The</w:t>
      </w:r>
      <w:r w:rsidR="00407487" w:rsidRPr="00257091">
        <w:t xml:space="preserve"> </w:t>
      </w:r>
      <w:r w:rsidR="002231E8">
        <w:t>c</w:t>
      </w:r>
      <w:r w:rsidR="00407487" w:rsidRPr="00257091">
        <w:t xml:space="preserve">ouncil </w:t>
      </w:r>
      <w:r w:rsidR="00904E25" w:rsidRPr="00257091">
        <w:t xml:space="preserve">approved its Treasury </w:t>
      </w:r>
      <w:r w:rsidR="0084367A" w:rsidRPr="00257091">
        <w:t xml:space="preserve">Management Strategy and detailed Treasury Management Practices statement </w:t>
      </w:r>
      <w:r w:rsidR="00960894" w:rsidRPr="00257091">
        <w:t xml:space="preserve">in line with the </w:t>
      </w:r>
      <w:r w:rsidR="00485B5F">
        <w:t>P</w:t>
      </w:r>
      <w:r w:rsidR="00960894" w:rsidRPr="00257091">
        <w:t xml:space="preserve">rudential </w:t>
      </w:r>
      <w:r w:rsidR="00485B5F">
        <w:t>C</w:t>
      </w:r>
      <w:r w:rsidR="00960894" w:rsidRPr="00257091">
        <w:t xml:space="preserve">ode.  </w:t>
      </w:r>
    </w:p>
    <w:p w14:paraId="5F8E869D" w14:textId="362B6084" w:rsidR="005F51D8" w:rsidRPr="00A77630" w:rsidRDefault="005F51D8" w:rsidP="00257091">
      <w:pPr>
        <w:jc w:val="both"/>
        <w:rPr>
          <w:b/>
          <w:bCs/>
          <w:i/>
          <w:iCs/>
          <w:sz w:val="24"/>
          <w:szCs w:val="24"/>
        </w:rPr>
      </w:pPr>
      <w:r w:rsidRPr="00A77630">
        <w:rPr>
          <w:b/>
          <w:bCs/>
          <w:i/>
          <w:iCs/>
          <w:sz w:val="24"/>
          <w:szCs w:val="24"/>
        </w:rPr>
        <w:t>Sinking Fund</w:t>
      </w:r>
    </w:p>
    <w:p w14:paraId="0CEC7669" w14:textId="39EA58F9" w:rsidR="00C11E9F" w:rsidRPr="00257091" w:rsidRDefault="005F51D8" w:rsidP="00257091">
      <w:pPr>
        <w:jc w:val="both"/>
      </w:pPr>
      <w:r w:rsidRPr="00257091">
        <w:t>As mentioned</w:t>
      </w:r>
      <w:r w:rsidR="00485B5F">
        <w:t xml:space="preserve">, </w:t>
      </w:r>
      <w:r w:rsidR="00E302DE">
        <w:t>SBC</w:t>
      </w:r>
      <w:r w:rsidRPr="00257091">
        <w:t xml:space="preserve"> has established a </w:t>
      </w:r>
      <w:r w:rsidR="00522B88">
        <w:t xml:space="preserve">commercial property </w:t>
      </w:r>
      <w:r w:rsidRPr="00257091">
        <w:t xml:space="preserve">sinking fund. </w:t>
      </w:r>
      <w:r w:rsidR="00627407">
        <w:t xml:space="preserve">It should </w:t>
      </w:r>
      <w:r w:rsidRPr="00257091">
        <w:t>provide protection to the revenue budget from</w:t>
      </w:r>
      <w:r w:rsidR="00627407">
        <w:t>:</w:t>
      </w:r>
      <w:r w:rsidRPr="00257091">
        <w:t xml:space="preserve"> </w:t>
      </w:r>
    </w:p>
    <w:p w14:paraId="5181F5B7" w14:textId="7DA7F7DD" w:rsidR="003E645E" w:rsidRPr="00257091" w:rsidRDefault="002231E8" w:rsidP="00F34C2F">
      <w:pPr>
        <w:pStyle w:val="ListParagraph"/>
        <w:numPr>
          <w:ilvl w:val="0"/>
          <w:numId w:val="18"/>
        </w:numPr>
        <w:jc w:val="both"/>
      </w:pPr>
      <w:r>
        <w:t>s</w:t>
      </w:r>
      <w:r w:rsidR="005F51D8" w:rsidRPr="00257091">
        <w:t>ubs</w:t>
      </w:r>
      <w:r w:rsidR="00627407">
        <w:t xml:space="preserve">tantial </w:t>
      </w:r>
      <w:r w:rsidR="005F51D8" w:rsidRPr="00257091">
        <w:t>short</w:t>
      </w:r>
      <w:r w:rsidR="00627407">
        <w:t>-</w:t>
      </w:r>
      <w:r w:rsidR="005F51D8" w:rsidRPr="00257091">
        <w:t xml:space="preserve">term drops in investment income </w:t>
      </w:r>
    </w:p>
    <w:p w14:paraId="2DCF948F" w14:textId="2FDCD60B" w:rsidR="003E645E" w:rsidRPr="00257091" w:rsidRDefault="002231E8" w:rsidP="00F34C2F">
      <w:pPr>
        <w:pStyle w:val="ListParagraph"/>
        <w:numPr>
          <w:ilvl w:val="0"/>
          <w:numId w:val="18"/>
        </w:numPr>
        <w:jc w:val="both"/>
      </w:pPr>
      <w:r>
        <w:t>s</w:t>
      </w:r>
      <w:r w:rsidR="00627407">
        <w:t>i</w:t>
      </w:r>
      <w:r w:rsidR="005F51D8" w:rsidRPr="00257091">
        <w:t>gnificant major alterations</w:t>
      </w:r>
      <w:r w:rsidR="003E645E" w:rsidRPr="00257091">
        <w:t xml:space="preserve"> to reconfigure buildings</w:t>
      </w:r>
    </w:p>
    <w:p w14:paraId="79CF2E1E" w14:textId="5B6B71EB" w:rsidR="005F51D8" w:rsidRPr="00257091" w:rsidRDefault="002231E8" w:rsidP="00F34C2F">
      <w:pPr>
        <w:pStyle w:val="ListParagraph"/>
        <w:numPr>
          <w:ilvl w:val="0"/>
          <w:numId w:val="18"/>
        </w:numPr>
        <w:jc w:val="both"/>
      </w:pPr>
      <w:r>
        <w:t>r</w:t>
      </w:r>
      <w:r w:rsidR="00627407">
        <w:t>ent-</w:t>
      </w:r>
      <w:r w:rsidR="005F51D8" w:rsidRPr="00257091">
        <w:t xml:space="preserve">free periods required to </w:t>
      </w:r>
      <w:r w:rsidR="00C055EB" w:rsidRPr="00257091">
        <w:t>attract new tenants</w:t>
      </w:r>
    </w:p>
    <w:p w14:paraId="1C29231F" w14:textId="2C3C05A7" w:rsidR="005F51D8" w:rsidRPr="00257091" w:rsidRDefault="006A5CD8" w:rsidP="00257091">
      <w:pPr>
        <w:jc w:val="both"/>
      </w:pPr>
      <w:r>
        <w:t>T</w:t>
      </w:r>
      <w:r w:rsidR="005F51D8" w:rsidRPr="00257091">
        <w:t xml:space="preserve">he sinking fund is </w:t>
      </w:r>
      <w:r>
        <w:t>resourced</w:t>
      </w:r>
      <w:r w:rsidR="005F51D8" w:rsidRPr="00257091">
        <w:t xml:space="preserve"> from net proceeds of </w:t>
      </w:r>
      <w:r>
        <w:t>c</w:t>
      </w:r>
      <w:r w:rsidR="005F51D8" w:rsidRPr="00257091">
        <w:t xml:space="preserve">ommercial </w:t>
      </w:r>
      <w:r>
        <w:t>i</w:t>
      </w:r>
      <w:r w:rsidR="005F51D8" w:rsidRPr="00257091">
        <w:t xml:space="preserve">ncome. </w:t>
      </w:r>
      <w:r w:rsidR="00A3446D">
        <w:t>Essentially, SBC</w:t>
      </w:r>
      <w:r w:rsidR="005F51D8" w:rsidRPr="00257091">
        <w:t xml:space="preserve"> </w:t>
      </w:r>
      <w:r w:rsidR="00DE603D">
        <w:t>chooses</w:t>
      </w:r>
      <w:r w:rsidR="005F51D8" w:rsidRPr="00257091">
        <w:t xml:space="preserve"> how much net income goes into the fund and how much goes into revenue</w:t>
      </w:r>
      <w:r w:rsidR="00256089">
        <w:t xml:space="preserve"> </w:t>
      </w:r>
      <w:r w:rsidR="005F51D8" w:rsidRPr="00257091">
        <w:t>to support council services.</w:t>
      </w:r>
    </w:p>
    <w:p w14:paraId="7135173A" w14:textId="1772A5E8" w:rsidR="005F51D8" w:rsidRPr="00257091" w:rsidRDefault="005F51D8" w:rsidP="00257091">
      <w:pPr>
        <w:jc w:val="both"/>
      </w:pPr>
      <w:r w:rsidRPr="00257091">
        <w:t xml:space="preserve">It is important that </w:t>
      </w:r>
      <w:r w:rsidR="0077428F">
        <w:t>SBC</w:t>
      </w:r>
      <w:r w:rsidRPr="00257091">
        <w:t xml:space="preserve"> gets this balance right over time</w:t>
      </w:r>
      <w:r w:rsidR="005245B3">
        <w:t xml:space="preserve">. </w:t>
      </w:r>
    </w:p>
    <w:p w14:paraId="210B1607" w14:textId="43FE239B" w:rsidR="005F51D8" w:rsidRPr="00257091" w:rsidRDefault="005F51D8" w:rsidP="00081514">
      <w:pPr>
        <w:jc w:val="both"/>
      </w:pPr>
      <w:r w:rsidRPr="00257091">
        <w:t>This process is made even more difficult given the</w:t>
      </w:r>
      <w:r w:rsidR="004D0DB1">
        <w:t xml:space="preserve"> range of</w:t>
      </w:r>
      <w:r w:rsidRPr="00257091">
        <w:t xml:space="preserve"> long</w:t>
      </w:r>
      <w:r w:rsidR="004D0DB1">
        <w:t>-term property management risks</w:t>
      </w:r>
      <w:r w:rsidRPr="00257091">
        <w:t xml:space="preserve"> the </w:t>
      </w:r>
      <w:r w:rsidR="00BA5843">
        <w:t>c</w:t>
      </w:r>
      <w:r w:rsidRPr="00257091">
        <w:t xml:space="preserve">ouncil may face </w:t>
      </w:r>
      <w:r w:rsidR="004D0DB1">
        <w:t>(mechanical/ele</w:t>
      </w:r>
      <w:r w:rsidR="00AA0A7E">
        <w:t xml:space="preserve">ctrical works, buildings/estate reconfiguration, updating the estate to meet rising quality </w:t>
      </w:r>
      <w:r w:rsidRPr="00257091">
        <w:t>thresholds</w:t>
      </w:r>
      <w:r w:rsidR="00081514">
        <w:t xml:space="preserve">). While difficult </w:t>
      </w:r>
      <w:r w:rsidRPr="00257091">
        <w:t xml:space="preserve">to assess the value and extent of these risks it is important to attempt to do </w:t>
      </w:r>
      <w:r w:rsidR="00081514">
        <w:t>so</w:t>
      </w:r>
      <w:r w:rsidRPr="00257091">
        <w:t xml:space="preserve">, </w:t>
      </w:r>
      <w:r w:rsidR="00081514">
        <w:t xml:space="preserve">allowing a </w:t>
      </w:r>
      <w:r w:rsidRPr="00257091">
        <w:t>long</w:t>
      </w:r>
      <w:r w:rsidR="00081514">
        <w:t>-</w:t>
      </w:r>
      <w:r w:rsidRPr="00257091">
        <w:t xml:space="preserve">term view of </w:t>
      </w:r>
      <w:r w:rsidR="00081514">
        <w:t xml:space="preserve">the </w:t>
      </w:r>
      <w:r w:rsidR="00970AAD">
        <w:t>issues</w:t>
      </w:r>
      <w:r w:rsidRPr="00257091">
        <w:t xml:space="preserve"> the sinking fund is designed to address and</w:t>
      </w:r>
      <w:r w:rsidR="00B05C3A">
        <w:t xml:space="preserve"> </w:t>
      </w:r>
      <w:r w:rsidR="00970AAD">
        <w:t>informing</w:t>
      </w:r>
      <w:r w:rsidR="00BE4FD8">
        <w:t xml:space="preserve"> </w:t>
      </w:r>
      <w:r w:rsidRPr="00257091">
        <w:t>contribution</w:t>
      </w:r>
      <w:r w:rsidR="00FE5867">
        <w:t xml:space="preserve"> calculations</w:t>
      </w:r>
      <w:r w:rsidRPr="00257091">
        <w:t>.</w:t>
      </w:r>
    </w:p>
    <w:p w14:paraId="0903C8C4" w14:textId="700A74D6" w:rsidR="00FD29D4" w:rsidRDefault="005F51D8" w:rsidP="00257091">
      <w:pPr>
        <w:jc w:val="both"/>
      </w:pPr>
      <w:r w:rsidRPr="00257091">
        <w:t>While</w:t>
      </w:r>
      <w:r w:rsidR="00BE4FD8">
        <w:t xml:space="preserve"> the</w:t>
      </w:r>
      <w:r w:rsidRPr="00257091">
        <w:t xml:space="preserve"> sinking fund reserve has been established for a number of years, </w:t>
      </w:r>
      <w:r w:rsidR="00FE5867">
        <w:t>SBC</w:t>
      </w:r>
      <w:r w:rsidRPr="00257091">
        <w:t xml:space="preserve"> has only recently set a policy concerning </w:t>
      </w:r>
      <w:r w:rsidR="00BE4FD8">
        <w:t>its use</w:t>
      </w:r>
      <w:r w:rsidRPr="00257091">
        <w:t>.</w:t>
      </w:r>
      <w:r w:rsidR="000E7AE1">
        <w:t xml:space="preserve"> </w:t>
      </w:r>
      <w:r w:rsidR="00FD29D4">
        <w:t xml:space="preserve">Given the level of concern around this issue, we have made a specific recommendation in relation to reviewing the sinking fund (recommendation </w:t>
      </w:r>
      <w:r w:rsidR="00335B22">
        <w:t>4</w:t>
      </w:r>
      <w:r w:rsidR="00FD29D4">
        <w:t xml:space="preserve">). </w:t>
      </w:r>
    </w:p>
    <w:p w14:paraId="4158DFE3" w14:textId="06E95456" w:rsidR="005F51D8" w:rsidRPr="00257091" w:rsidRDefault="000E7AE1" w:rsidP="00257091">
      <w:pPr>
        <w:jc w:val="both"/>
      </w:pPr>
      <w:r>
        <w:t>The</w:t>
      </w:r>
      <w:r w:rsidR="00FD29D4">
        <w:t xml:space="preserve"> sinking fund</w:t>
      </w:r>
      <w:r w:rsidR="005F51D8" w:rsidRPr="00257091">
        <w:t xml:space="preserve"> policy says that</w:t>
      </w:r>
      <w:r w:rsidR="0006369E" w:rsidRPr="00257091">
        <w:t xml:space="preserve">: </w:t>
      </w:r>
    </w:p>
    <w:p w14:paraId="0991DD09" w14:textId="139A2E84" w:rsidR="005F51D8" w:rsidRPr="00257091" w:rsidRDefault="00D6325E" w:rsidP="00257091">
      <w:pPr>
        <w:jc w:val="both"/>
        <w:rPr>
          <w:i/>
          <w:iCs/>
        </w:rPr>
      </w:pPr>
      <w:r>
        <w:rPr>
          <w:i/>
          <w:iCs/>
        </w:rPr>
        <w:t>“</w:t>
      </w:r>
      <w:r w:rsidR="005F51D8" w:rsidRPr="00257091">
        <w:rPr>
          <w:i/>
          <w:iCs/>
        </w:rPr>
        <w:t>The Sinking Fund is to cover unplanned short-term issues, to minimise risk, protect the Council’s Revenue Budget and Council Taxpayers from exposure to short term dips in rental income and build sufficient cash backed reserves to provide the Council with future options, which may include funding refurbishments (net of dilapidations) development and or sale of any of the current property portfolio, in particularly in 14 years’ time, when BP could exercise their lease break and vacate the entire site at Sunbury.</w:t>
      </w:r>
      <w:r>
        <w:rPr>
          <w:i/>
          <w:iCs/>
        </w:rPr>
        <w:t>”</w:t>
      </w:r>
    </w:p>
    <w:p w14:paraId="3BD96661" w14:textId="07A8C5FB" w:rsidR="005F51D8" w:rsidRPr="00257091" w:rsidRDefault="005F51D8" w:rsidP="00257091">
      <w:pPr>
        <w:jc w:val="both"/>
        <w:rPr>
          <w:i/>
          <w:iCs/>
          <w:sz w:val="18"/>
          <w:szCs w:val="18"/>
        </w:rPr>
      </w:pPr>
      <w:r w:rsidRPr="00257091">
        <w:rPr>
          <w:i/>
          <w:iCs/>
          <w:sz w:val="18"/>
          <w:szCs w:val="18"/>
        </w:rPr>
        <w:t>Recommendation 2 to the Sinking Fund Policy Report – C</w:t>
      </w:r>
      <w:r w:rsidR="00FD29D4">
        <w:rPr>
          <w:i/>
          <w:iCs/>
          <w:sz w:val="18"/>
          <w:szCs w:val="18"/>
        </w:rPr>
        <w:t xml:space="preserve">orporate </w:t>
      </w:r>
      <w:r w:rsidRPr="00257091">
        <w:rPr>
          <w:i/>
          <w:iCs/>
          <w:sz w:val="18"/>
          <w:szCs w:val="18"/>
        </w:rPr>
        <w:t>P</w:t>
      </w:r>
      <w:r w:rsidR="00FD29D4">
        <w:rPr>
          <w:i/>
          <w:iCs/>
          <w:sz w:val="18"/>
          <w:szCs w:val="18"/>
        </w:rPr>
        <w:t xml:space="preserve">olicy and </w:t>
      </w:r>
      <w:r w:rsidRPr="00257091">
        <w:rPr>
          <w:i/>
          <w:iCs/>
          <w:sz w:val="18"/>
          <w:szCs w:val="18"/>
        </w:rPr>
        <w:t>R</w:t>
      </w:r>
      <w:r w:rsidR="00FD29D4">
        <w:rPr>
          <w:i/>
          <w:iCs/>
          <w:sz w:val="18"/>
          <w:szCs w:val="18"/>
        </w:rPr>
        <w:t>eserves Committe</w:t>
      </w:r>
      <w:r w:rsidR="007506BB">
        <w:rPr>
          <w:i/>
          <w:iCs/>
          <w:sz w:val="18"/>
          <w:szCs w:val="18"/>
        </w:rPr>
        <w:t>e</w:t>
      </w:r>
      <w:r w:rsidRPr="00257091">
        <w:rPr>
          <w:i/>
          <w:iCs/>
          <w:sz w:val="18"/>
          <w:szCs w:val="18"/>
        </w:rPr>
        <w:t xml:space="preserve"> 20</w:t>
      </w:r>
      <w:r w:rsidR="00BA5843">
        <w:rPr>
          <w:i/>
          <w:iCs/>
          <w:sz w:val="18"/>
          <w:szCs w:val="18"/>
        </w:rPr>
        <w:t xml:space="preserve"> February 2023</w:t>
      </w:r>
    </w:p>
    <w:p w14:paraId="1E39755A" w14:textId="2479F224" w:rsidR="005F51D8" w:rsidRPr="00257091" w:rsidRDefault="005F51D8" w:rsidP="00257091">
      <w:pPr>
        <w:jc w:val="both"/>
      </w:pPr>
      <w:r w:rsidRPr="00257091">
        <w:t>The above recommendation was amended by members on the casting vote of the Leader to extend the use of the sinking fund to cover unforeseen repairs and maintenance.</w:t>
      </w:r>
    </w:p>
    <w:p w14:paraId="2E4A279B" w14:textId="491E134E" w:rsidR="00332412" w:rsidRDefault="005F51D8" w:rsidP="00257091">
      <w:pPr>
        <w:jc w:val="both"/>
      </w:pPr>
      <w:r w:rsidRPr="00257091">
        <w:t xml:space="preserve">The </w:t>
      </w:r>
      <w:r w:rsidR="000E7AE1">
        <w:t>s</w:t>
      </w:r>
      <w:r w:rsidRPr="00257091">
        <w:t>inking fund stood at £33.623</w:t>
      </w:r>
      <w:r w:rsidR="00637F22">
        <w:t xml:space="preserve"> </w:t>
      </w:r>
      <w:r w:rsidRPr="00257091">
        <w:t>m</w:t>
      </w:r>
      <w:r w:rsidR="00637F22">
        <w:t>illion</w:t>
      </w:r>
      <w:r w:rsidRPr="00257091">
        <w:t xml:space="preserve"> at 31 March 2022. </w:t>
      </w:r>
      <w:r w:rsidR="0060008C">
        <w:t>It</w:t>
      </w:r>
      <w:r w:rsidRPr="00257091">
        <w:t xml:space="preserve"> accounts for 51% of the council’s overall reserves (£65.374</w:t>
      </w:r>
      <w:r w:rsidR="00637F22">
        <w:t xml:space="preserve"> </w:t>
      </w:r>
      <w:r w:rsidRPr="00257091">
        <w:t>m</w:t>
      </w:r>
      <w:r w:rsidR="00637F22">
        <w:t>illion</w:t>
      </w:r>
      <w:r w:rsidRPr="00257091">
        <w:t>)</w:t>
      </w:r>
      <w:r w:rsidR="00332412">
        <w:t xml:space="preserve"> and </w:t>
      </w:r>
      <w:r w:rsidR="00FF28D2" w:rsidRPr="00257091">
        <w:t xml:space="preserve">covers </w:t>
      </w:r>
      <w:r w:rsidR="00D4375B" w:rsidRPr="00257091">
        <w:t xml:space="preserve">the 8 </w:t>
      </w:r>
      <w:r w:rsidR="00332412">
        <w:t>c</w:t>
      </w:r>
      <w:r w:rsidR="00D4375B" w:rsidRPr="00257091">
        <w:t xml:space="preserve">ommercial and 3 </w:t>
      </w:r>
      <w:r w:rsidR="00332412">
        <w:t>r</w:t>
      </w:r>
      <w:r w:rsidR="00D4375B" w:rsidRPr="00257091">
        <w:t>egeneration assets</w:t>
      </w:r>
      <w:r w:rsidR="00332412">
        <w:t>.</w:t>
      </w:r>
    </w:p>
    <w:p w14:paraId="1D57B691" w14:textId="0DB69142" w:rsidR="005F51D8" w:rsidRPr="00257091" w:rsidRDefault="005F51D8" w:rsidP="00257091">
      <w:pPr>
        <w:jc w:val="both"/>
      </w:pPr>
      <w:r w:rsidRPr="00257091">
        <w:t xml:space="preserve">The </w:t>
      </w:r>
      <w:r w:rsidR="00AB5DDA">
        <w:t>c</w:t>
      </w:r>
      <w:r w:rsidRPr="00257091">
        <w:t xml:space="preserve">ouncil </w:t>
      </w:r>
      <w:r w:rsidR="00585379">
        <w:t>considers</w:t>
      </w:r>
      <w:r w:rsidRPr="00257091">
        <w:t xml:space="preserve"> that </w:t>
      </w:r>
      <w:r w:rsidR="00AE5D3D">
        <w:t>the</w:t>
      </w:r>
      <w:r w:rsidR="0015493E" w:rsidRPr="00257091">
        <w:t xml:space="preserve"> fund</w:t>
      </w:r>
      <w:r w:rsidRPr="00257091">
        <w:t xml:space="preserve"> </w:t>
      </w:r>
      <w:r w:rsidR="00585379">
        <w:t>provides</w:t>
      </w:r>
      <w:r w:rsidRPr="00257091">
        <w:t xml:space="preserve"> considerable reassurance on overall financial resilience. Indeed it has one of the highest ratios of reserves to net revenue expenditure of any district council.</w:t>
      </w:r>
      <w:r w:rsidR="00C01D30">
        <w:t xml:space="preserve"> </w:t>
      </w:r>
      <w:r w:rsidR="00D20E3D">
        <w:t>It</w:t>
      </w:r>
      <w:r w:rsidR="00C01D30">
        <w:t xml:space="preserve"> </w:t>
      </w:r>
      <w:r w:rsidRPr="00257091">
        <w:t xml:space="preserve">is important </w:t>
      </w:r>
      <w:r w:rsidR="00D20E3D">
        <w:t xml:space="preserve">however </w:t>
      </w:r>
      <w:r w:rsidRPr="00257091">
        <w:t xml:space="preserve">to view </w:t>
      </w:r>
      <w:r w:rsidR="00D20E3D">
        <w:t xml:space="preserve">this provision </w:t>
      </w:r>
      <w:r w:rsidRPr="00257091">
        <w:t>in the context of the £1</w:t>
      </w:r>
      <w:r w:rsidR="00AB5DDA">
        <w:t xml:space="preserve"> </w:t>
      </w:r>
      <w:r w:rsidRPr="00257091">
        <w:t>b</w:t>
      </w:r>
      <w:r w:rsidR="00AB5DDA">
        <w:t>illio</w:t>
      </w:r>
      <w:r w:rsidRPr="00257091">
        <w:t>n investment portfolio</w:t>
      </w:r>
      <w:r w:rsidR="005D35C3">
        <w:t xml:space="preserve"> (</w:t>
      </w:r>
      <w:r w:rsidR="007506BB">
        <w:t>which is highly unusual and represents the second highest debt to financial size ration of all district councils</w:t>
      </w:r>
      <w:r w:rsidR="005D35C3">
        <w:t>)</w:t>
      </w:r>
      <w:r w:rsidRPr="00257091">
        <w:t xml:space="preserve"> and the risks associated with </w:t>
      </w:r>
      <w:r w:rsidR="00C01D30">
        <w:t>it</w:t>
      </w:r>
      <w:r w:rsidRPr="00257091">
        <w:t>.</w:t>
      </w:r>
    </w:p>
    <w:p w14:paraId="4903AD58" w14:textId="1F6AAEF1" w:rsidR="005F51D8" w:rsidRPr="00257091" w:rsidRDefault="005F51D8" w:rsidP="00257091">
      <w:pPr>
        <w:jc w:val="both"/>
      </w:pPr>
      <w:r w:rsidRPr="00257091">
        <w:t>The 2023/24 Revenue Budget estimates that the sinking fund reserves will be reduced by some £9</w:t>
      </w:r>
      <w:r w:rsidR="00637F22">
        <w:t xml:space="preserve"> </w:t>
      </w:r>
      <w:r w:rsidRPr="00257091">
        <w:t>m</w:t>
      </w:r>
      <w:r w:rsidR="00637F22">
        <w:t>illion</w:t>
      </w:r>
      <w:r w:rsidRPr="00257091">
        <w:t xml:space="preserve"> over the next 2 years</w:t>
      </w:r>
      <w:r w:rsidR="00250A80">
        <w:t xml:space="preserve">, owing to </w:t>
      </w:r>
      <w:r w:rsidRPr="00257091">
        <w:t>substantial income shortfalls</w:t>
      </w:r>
      <w:r w:rsidR="00250A80">
        <w:t xml:space="preserve"> caused by </w:t>
      </w:r>
      <w:r w:rsidRPr="00257091">
        <w:t>unexpected loss of</w:t>
      </w:r>
      <w:r w:rsidR="00250A80">
        <w:t xml:space="preserve"> </w:t>
      </w:r>
      <w:r w:rsidRPr="00257091">
        <w:t>key tenant</w:t>
      </w:r>
      <w:r w:rsidR="00B226C0" w:rsidRPr="00257091">
        <w:t>s</w:t>
      </w:r>
      <w:r w:rsidRPr="00257091">
        <w:t xml:space="preserve">, one of which </w:t>
      </w:r>
      <w:r w:rsidR="00250A80">
        <w:t xml:space="preserve">relates to the </w:t>
      </w:r>
      <w:r w:rsidRPr="00257091">
        <w:t xml:space="preserve">war in Ukraine.  The significant scale of </w:t>
      </w:r>
      <w:r w:rsidR="0058578F">
        <w:t>withdrawal</w:t>
      </w:r>
      <w:r w:rsidRPr="00257091">
        <w:t xml:space="preserve"> so early in the lifespan of these commercial assets points to the level of risk they carry</w:t>
      </w:r>
      <w:r w:rsidR="00A204C9">
        <w:t xml:space="preserve">. </w:t>
      </w:r>
      <w:r w:rsidRPr="00257091">
        <w:t xml:space="preserve"> </w:t>
      </w:r>
      <w:r w:rsidR="00A204C9">
        <w:t>The</w:t>
      </w:r>
      <w:r w:rsidRPr="00257091">
        <w:t xml:space="preserve"> loss of one or two key clients can have a significant impact on council funding, </w:t>
      </w:r>
      <w:r w:rsidR="00FA5DE7">
        <w:t>in turn depleting</w:t>
      </w:r>
      <w:r w:rsidRPr="00257091">
        <w:t xml:space="preserve"> the sinking fund.  </w:t>
      </w:r>
    </w:p>
    <w:p w14:paraId="1BD659FE" w14:textId="2FEF455A" w:rsidR="00E739DD" w:rsidRPr="00257091" w:rsidRDefault="00F76C88" w:rsidP="002A2454">
      <w:pPr>
        <w:jc w:val="both"/>
      </w:pPr>
      <w:r w:rsidRPr="00257091">
        <w:t xml:space="preserve">While the </w:t>
      </w:r>
      <w:r w:rsidR="00662DE7">
        <w:t>c</w:t>
      </w:r>
      <w:r w:rsidRPr="00257091">
        <w:t xml:space="preserve">ouncil does not set out any projections </w:t>
      </w:r>
      <w:r w:rsidR="00512853">
        <w:t>in</w:t>
      </w:r>
      <w:r w:rsidRPr="00257091">
        <w:t xml:space="preserve"> revenue budget papers</w:t>
      </w:r>
      <w:r w:rsidR="00D42E4A" w:rsidRPr="00257091">
        <w:t>, other project</w:t>
      </w:r>
      <w:r w:rsidR="00B4527D" w:rsidRPr="00257091">
        <w:t>ions indicate th</w:t>
      </w:r>
      <w:r w:rsidR="0073002D">
        <w:t xml:space="preserve">e </w:t>
      </w:r>
      <w:r w:rsidR="00B4527D" w:rsidRPr="00257091">
        <w:t>fund could stand at</w:t>
      </w:r>
      <w:r w:rsidR="0010651E" w:rsidRPr="00257091">
        <w:t xml:space="preserve"> </w:t>
      </w:r>
      <w:r w:rsidR="00D12C1D" w:rsidRPr="00257091">
        <w:t>£2</w:t>
      </w:r>
      <w:r w:rsidR="00AF184A" w:rsidRPr="00257091">
        <w:t>5</w:t>
      </w:r>
      <w:r w:rsidR="00C65B8A">
        <w:t xml:space="preserve"> </w:t>
      </w:r>
      <w:r w:rsidR="00D12C1D" w:rsidRPr="00257091">
        <w:t>m</w:t>
      </w:r>
      <w:r w:rsidR="00C65B8A">
        <w:t>illion</w:t>
      </w:r>
      <w:r w:rsidR="00D12C1D" w:rsidRPr="00257091">
        <w:t xml:space="preserve"> at March 2025,</w:t>
      </w:r>
      <w:r w:rsidR="00B4527D" w:rsidRPr="00257091">
        <w:t xml:space="preserve"> of which </w:t>
      </w:r>
      <w:r w:rsidR="00B82232" w:rsidRPr="00257091">
        <w:t>some £22.5</w:t>
      </w:r>
      <w:r w:rsidR="00C65B8A">
        <w:t xml:space="preserve"> </w:t>
      </w:r>
      <w:r w:rsidR="00B82232" w:rsidRPr="00257091">
        <w:t>m</w:t>
      </w:r>
      <w:r w:rsidR="00C65B8A">
        <w:t>illion</w:t>
      </w:r>
      <w:r w:rsidR="00B82232" w:rsidRPr="00257091">
        <w:t xml:space="preserve"> relates to investment properties.</w:t>
      </w:r>
      <w:r w:rsidR="00D12C1D" w:rsidRPr="00257091">
        <w:t xml:space="preserve"> </w:t>
      </w:r>
      <w:r w:rsidR="00B82232" w:rsidRPr="00257091">
        <w:t>T</w:t>
      </w:r>
      <w:r w:rsidR="00D12C1D" w:rsidRPr="00257091">
        <w:t xml:space="preserve">his could be further reduced </w:t>
      </w:r>
      <w:r w:rsidR="00126E5F" w:rsidRPr="00257091">
        <w:t xml:space="preserve">by other calls </w:t>
      </w:r>
      <w:r w:rsidR="006C4A89" w:rsidRPr="00257091">
        <w:t xml:space="preserve">to </w:t>
      </w:r>
      <w:r w:rsidR="00497198" w:rsidRPr="00257091">
        <w:t xml:space="preserve">cover </w:t>
      </w:r>
      <w:r w:rsidR="00750FFA" w:rsidRPr="00257091">
        <w:t>additional repairs or incentives for new tenants.</w:t>
      </w:r>
    </w:p>
    <w:p w14:paraId="2D1DEC8D" w14:textId="3683F44D" w:rsidR="005F51D8" w:rsidRPr="00257091" w:rsidRDefault="005F51D8" w:rsidP="00257091">
      <w:pPr>
        <w:jc w:val="both"/>
      </w:pPr>
      <w:r w:rsidRPr="00257091">
        <w:t xml:space="preserve">The </w:t>
      </w:r>
      <w:r w:rsidR="00662DE7">
        <w:t>c</w:t>
      </w:r>
      <w:r w:rsidRPr="00257091">
        <w:t xml:space="preserve">ouncil has projected forward the sinking fund </w:t>
      </w:r>
      <w:r w:rsidR="00231EE7">
        <w:t>value</w:t>
      </w:r>
      <w:r w:rsidRPr="00257091">
        <w:t xml:space="preserve"> to 2031.</w:t>
      </w:r>
      <w:r w:rsidR="00EA6DF5">
        <w:t xml:space="preserve"> As</w:t>
      </w:r>
      <w:r w:rsidRPr="00257091">
        <w:t xml:space="preserve"> reported to the Asset Portfolio Working Group on </w:t>
      </w:r>
      <w:r w:rsidR="002D5E9F" w:rsidRPr="00257091">
        <w:t>2</w:t>
      </w:r>
      <w:r w:rsidRPr="00257091">
        <w:t xml:space="preserve"> February</w:t>
      </w:r>
      <w:r w:rsidR="00EA6DF5">
        <w:t xml:space="preserve"> 2023, the </w:t>
      </w:r>
      <w:r w:rsidR="00662DE7">
        <w:t>c</w:t>
      </w:r>
      <w:r w:rsidR="00EA6DF5">
        <w:t>ouncil</w:t>
      </w:r>
      <w:r w:rsidRPr="00257091">
        <w:t xml:space="preserve"> </w:t>
      </w:r>
      <w:r w:rsidR="008505F4">
        <w:t>estimated for that date</w:t>
      </w:r>
      <w:r w:rsidRPr="00257091">
        <w:t xml:space="preserve"> a positive balance of £6.765</w:t>
      </w:r>
      <w:r w:rsidR="00C65B8A">
        <w:t xml:space="preserve"> </w:t>
      </w:r>
      <w:r w:rsidRPr="00257091">
        <w:t>m</w:t>
      </w:r>
      <w:r w:rsidR="00C65B8A">
        <w:t>illion</w:t>
      </w:r>
      <w:r w:rsidRPr="00257091">
        <w:t xml:space="preserve"> on the </w:t>
      </w:r>
      <w:r w:rsidRPr="00772FA4">
        <w:rPr>
          <w:i/>
          <w:iCs/>
        </w:rPr>
        <w:t>expected</w:t>
      </w:r>
      <w:r w:rsidRPr="00257091">
        <w:t xml:space="preserve"> case scenario and a deficit balance of £6.62</w:t>
      </w:r>
      <w:r w:rsidR="00C65B8A">
        <w:t xml:space="preserve"> </w:t>
      </w:r>
      <w:r w:rsidRPr="00257091">
        <w:t>m</w:t>
      </w:r>
      <w:r w:rsidR="00C65B8A">
        <w:t>illion</w:t>
      </w:r>
      <w:r w:rsidRPr="00257091">
        <w:t xml:space="preserve"> on the worst case scenario. This highlights the </w:t>
      </w:r>
      <w:r w:rsidR="00DD1A0B">
        <w:t xml:space="preserve">potential insufficiency of the </w:t>
      </w:r>
      <w:r w:rsidRPr="00257091">
        <w:t xml:space="preserve">sinking fund even in the </w:t>
      </w:r>
      <w:r w:rsidR="004B18D8">
        <w:t>near-immediate</w:t>
      </w:r>
      <w:r w:rsidRPr="00257091">
        <w:t xml:space="preserve"> term.</w:t>
      </w:r>
    </w:p>
    <w:p w14:paraId="7008A00E" w14:textId="7F3FF5D3" w:rsidR="005F51D8" w:rsidRPr="00257091" w:rsidRDefault="005F51D8" w:rsidP="00257091">
      <w:pPr>
        <w:jc w:val="both"/>
      </w:pPr>
      <w:r w:rsidRPr="00257091">
        <w:t xml:space="preserve">There is </w:t>
      </w:r>
      <w:r w:rsidR="00EE3A76">
        <w:t xml:space="preserve">also </w:t>
      </w:r>
      <w:r w:rsidRPr="00257091">
        <w:t xml:space="preserve">a </w:t>
      </w:r>
      <w:r w:rsidR="003B78AA">
        <w:t xml:space="preserve">limitation in </w:t>
      </w:r>
      <w:r w:rsidR="003E249A">
        <w:t>comparatively short, ten-year projections</w:t>
      </w:r>
      <w:r w:rsidR="003B78AA">
        <w:t xml:space="preserve">. They focus </w:t>
      </w:r>
      <w:r w:rsidRPr="00257091">
        <w:t xml:space="preserve">more on </w:t>
      </w:r>
      <w:r w:rsidR="00D61A92">
        <w:t>possible</w:t>
      </w:r>
      <w:r w:rsidRPr="00257091">
        <w:t xml:space="preserve"> income shortfalls</w:t>
      </w:r>
      <w:r w:rsidR="00A409C0">
        <w:t xml:space="preserve"> </w:t>
      </w:r>
      <w:r w:rsidRPr="00257091">
        <w:t xml:space="preserve">rather than the </w:t>
      </w:r>
      <w:r w:rsidR="003B78AA">
        <w:t xml:space="preserve">ongoing </w:t>
      </w:r>
      <w:r w:rsidR="00A409C0">
        <w:t>challenges of</w:t>
      </w:r>
      <w:r w:rsidRPr="00257091">
        <w:t xml:space="preserve"> re</w:t>
      </w:r>
      <w:r w:rsidR="00A409C0">
        <w:t xml:space="preserve">furbishment </w:t>
      </w:r>
      <w:r w:rsidRPr="00257091">
        <w:t xml:space="preserve">and reconfiguration.  This was highlighted in the Public Interest Report </w:t>
      </w:r>
      <w:r w:rsidR="00A409C0">
        <w:t>by</w:t>
      </w:r>
      <w:r w:rsidRPr="00257091">
        <w:t xml:space="preserve"> the </w:t>
      </w:r>
      <w:r w:rsidR="00662DE7">
        <w:t>c</w:t>
      </w:r>
      <w:r w:rsidRPr="00257091">
        <w:t>ouncil’s Auditors</w:t>
      </w:r>
      <w:r w:rsidR="00A409C0">
        <w:t>:</w:t>
      </w:r>
      <w:r w:rsidRPr="00257091">
        <w:t xml:space="preserve"> </w:t>
      </w:r>
    </w:p>
    <w:p w14:paraId="15F13A31" w14:textId="64909FC0" w:rsidR="005F51D8" w:rsidRPr="00257091" w:rsidRDefault="0047366D" w:rsidP="00257091">
      <w:pPr>
        <w:jc w:val="both"/>
        <w:rPr>
          <w:i/>
          <w:iCs/>
        </w:rPr>
      </w:pPr>
      <w:r>
        <w:rPr>
          <w:i/>
          <w:iCs/>
        </w:rPr>
        <w:t>“</w:t>
      </w:r>
      <w:r w:rsidR="000137CF" w:rsidRPr="00257091">
        <w:rPr>
          <w:i/>
          <w:iCs/>
        </w:rPr>
        <w:t>The Council should develop its investment property portfolio modelling to bring these in line with the expected practice of an institutional investor. This should include robust stress testing and sensitivity analysis which incorporates scenarios that cover the highest level of risk for expenditure, revenue, tenant behaviour and external socio-economic factors. Consideration should also be given to the diversification of the portfolio and whether this should be addressed over medium to longer term</w:t>
      </w:r>
      <w:r w:rsidR="00882700" w:rsidRPr="00257091">
        <w:rPr>
          <w:i/>
          <w:iCs/>
        </w:rPr>
        <w:t>.</w:t>
      </w:r>
      <w:r>
        <w:rPr>
          <w:i/>
          <w:iCs/>
        </w:rPr>
        <w:t>”</w:t>
      </w:r>
    </w:p>
    <w:p w14:paraId="56E23172" w14:textId="63EB985A" w:rsidR="000137CF" w:rsidRPr="00772FA4" w:rsidRDefault="000137CF" w:rsidP="00257091">
      <w:pPr>
        <w:jc w:val="both"/>
        <w:rPr>
          <w:i/>
          <w:iCs/>
          <w:sz w:val="18"/>
          <w:szCs w:val="18"/>
        </w:rPr>
      </w:pPr>
      <w:r w:rsidRPr="00772FA4">
        <w:rPr>
          <w:i/>
          <w:iCs/>
          <w:sz w:val="18"/>
          <w:szCs w:val="18"/>
        </w:rPr>
        <w:t xml:space="preserve">Public Interest Report </w:t>
      </w:r>
      <w:r w:rsidR="0008203F" w:rsidRPr="00772FA4">
        <w:rPr>
          <w:i/>
          <w:iCs/>
          <w:sz w:val="18"/>
          <w:szCs w:val="18"/>
        </w:rPr>
        <w:t>October 2022</w:t>
      </w:r>
    </w:p>
    <w:p w14:paraId="62521C13" w14:textId="18EFE8E7" w:rsidR="005F51D8" w:rsidRPr="00257091" w:rsidRDefault="001B63D3" w:rsidP="00257091">
      <w:pPr>
        <w:jc w:val="both"/>
      </w:pPr>
      <w:r w:rsidRPr="00257091">
        <w:t xml:space="preserve">The need </w:t>
      </w:r>
      <w:r w:rsidR="00516F0D">
        <w:t>for a</w:t>
      </w:r>
      <w:r w:rsidRPr="00257091">
        <w:t xml:space="preserve"> longer</w:t>
      </w:r>
      <w:r w:rsidR="00516F0D">
        <w:t>-</w:t>
      </w:r>
      <w:r w:rsidRPr="00257091">
        <w:t>term</w:t>
      </w:r>
      <w:r w:rsidR="00516F0D">
        <w:t xml:space="preserve"> strategic</w:t>
      </w:r>
      <w:r w:rsidRPr="00257091">
        <w:t xml:space="preserve"> view was also highlighted by Deloitte</w:t>
      </w:r>
      <w:r w:rsidR="00516F0D">
        <w:t>,</w:t>
      </w:r>
      <w:r w:rsidRPr="00257091">
        <w:t xml:space="preserve"> commissioned in 2019 to advise on </w:t>
      </w:r>
      <w:r w:rsidR="008828EA">
        <w:t xml:space="preserve">managing the </w:t>
      </w:r>
      <w:r w:rsidRPr="00257091">
        <w:t>Commercial Investment Portfolio</w:t>
      </w:r>
      <w:r w:rsidR="008828EA">
        <w:t>:</w:t>
      </w:r>
    </w:p>
    <w:p w14:paraId="030C008A" w14:textId="53C6A746" w:rsidR="005F51D8" w:rsidRPr="00257091" w:rsidRDefault="005F51D8" w:rsidP="00257091">
      <w:pPr>
        <w:jc w:val="both"/>
        <w:rPr>
          <w:i/>
          <w:iCs/>
        </w:rPr>
      </w:pPr>
      <w:r w:rsidRPr="00257091">
        <w:rPr>
          <w:i/>
          <w:iCs/>
        </w:rPr>
        <w:t>SBC is very sensitive to income changes and the long potential hold period of c.50 years is beyond the typically accepted useful life of much of buildings’ plant and equipment; we therefore recommend that a more detailed modelling exercise is undertaken to set this at a level that explicitly allows for future voids and rent-free allowances at lease expires, together with an explicit plan over the life of the loan repayments to cover Lifecycle Replacement Works, including mechanical and electrical plant within the buildings;</w:t>
      </w:r>
    </w:p>
    <w:p w14:paraId="224B4D2F" w14:textId="070BF995" w:rsidR="0085247E" w:rsidRPr="00257091" w:rsidRDefault="009D00B3" w:rsidP="00257091">
      <w:pPr>
        <w:jc w:val="both"/>
      </w:pPr>
      <w:r>
        <w:t>The</w:t>
      </w:r>
      <w:r w:rsidR="001B63D3" w:rsidRPr="00257091">
        <w:t xml:space="preserve"> </w:t>
      </w:r>
      <w:r w:rsidR="00A227A2">
        <w:t>c</w:t>
      </w:r>
      <w:r w:rsidR="001B63D3" w:rsidRPr="00257091">
        <w:t xml:space="preserve">ouncil does not appear to have carried out detailed stock condition surveys on a regular basis or projected forward the costs of </w:t>
      </w:r>
      <w:r w:rsidR="007F6814" w:rsidRPr="00257091">
        <w:t>longer-term</w:t>
      </w:r>
      <w:r w:rsidR="00167496" w:rsidRPr="00257091">
        <w:t xml:space="preserve"> </w:t>
      </w:r>
      <w:r w:rsidR="001B63D3" w:rsidRPr="00257091">
        <w:t>repairs and maintenance.</w:t>
      </w:r>
    </w:p>
    <w:p w14:paraId="7347D593" w14:textId="717271BD" w:rsidR="005F51D8" w:rsidRPr="00257091" w:rsidRDefault="00750C3A" w:rsidP="00257091">
      <w:pPr>
        <w:jc w:val="both"/>
      </w:pPr>
      <w:r>
        <w:t>SBC</w:t>
      </w:r>
      <w:r w:rsidR="005F51D8" w:rsidRPr="00257091">
        <w:t xml:space="preserve"> has now committed to carry out a 50</w:t>
      </w:r>
      <w:r w:rsidR="008A37C4">
        <w:t>-</w:t>
      </w:r>
      <w:r w:rsidR="005F51D8" w:rsidRPr="00257091">
        <w:t>year assessment of the sinking fund</w:t>
      </w:r>
      <w:r w:rsidR="008A37C4">
        <w:t>, modelling risks over the commercial portfolio lifespa</w:t>
      </w:r>
      <w:r w:rsidR="00200FB4">
        <w:t xml:space="preserve">n. </w:t>
      </w:r>
      <w:r w:rsidR="005F51D8" w:rsidRPr="00257091">
        <w:t xml:space="preserve">This </w:t>
      </w:r>
      <w:r w:rsidR="00200FB4">
        <w:t>will be</w:t>
      </w:r>
      <w:r w:rsidR="005F51D8" w:rsidRPr="00257091">
        <w:t xml:space="preserve"> carried out </w:t>
      </w:r>
      <w:r>
        <w:t>however</w:t>
      </w:r>
      <w:r w:rsidR="00955B64">
        <w:t xml:space="preserve"> </w:t>
      </w:r>
      <w:r w:rsidR="005F51D8" w:rsidRPr="00257091">
        <w:t xml:space="preserve">after the </w:t>
      </w:r>
      <w:r w:rsidR="00DD6F83">
        <w:t>c</w:t>
      </w:r>
      <w:r w:rsidR="005F51D8" w:rsidRPr="00257091">
        <w:t xml:space="preserve">ouncil </w:t>
      </w:r>
      <w:r w:rsidR="00200FB4">
        <w:t>has</w:t>
      </w:r>
      <w:r>
        <w:t xml:space="preserve"> already</w:t>
      </w:r>
      <w:r w:rsidR="00200FB4">
        <w:t xml:space="preserve"> made</w:t>
      </w:r>
      <w:r w:rsidR="001B686D" w:rsidRPr="00257091">
        <w:t xml:space="preserve"> </w:t>
      </w:r>
      <w:r w:rsidR="005F51D8" w:rsidRPr="00257091">
        <w:t>a significant withdraw</w:t>
      </w:r>
      <w:r w:rsidR="00955B64">
        <w:t>al</w:t>
      </w:r>
      <w:r w:rsidR="005F51D8" w:rsidRPr="00257091">
        <w:t xml:space="preserve"> from the fund.</w:t>
      </w:r>
      <w:r w:rsidR="00FB6621">
        <w:t xml:space="preserve"> </w:t>
      </w:r>
      <w:r w:rsidR="005F70E3" w:rsidRPr="00257091">
        <w:t xml:space="preserve">The review </w:t>
      </w:r>
      <w:r w:rsidR="002A4200" w:rsidRPr="00257091">
        <w:t xml:space="preserve">may </w:t>
      </w:r>
      <w:r w:rsidR="00FB6621">
        <w:t xml:space="preserve">nevertheless </w:t>
      </w:r>
      <w:r w:rsidR="001A41E2">
        <w:t>require</w:t>
      </w:r>
      <w:r w:rsidR="002A4200" w:rsidRPr="00257091">
        <w:t xml:space="preserve"> </w:t>
      </w:r>
      <w:r w:rsidR="00FB6621">
        <w:t>SBC</w:t>
      </w:r>
      <w:r w:rsidR="002A4200" w:rsidRPr="00257091">
        <w:t xml:space="preserve"> to make higher contributions over time, </w:t>
      </w:r>
      <w:r w:rsidR="001A41E2">
        <w:t>potentially impacting the</w:t>
      </w:r>
      <w:r w:rsidR="00A61939" w:rsidRPr="00257091">
        <w:t xml:space="preserve"> revenue budget. </w:t>
      </w:r>
      <w:r w:rsidR="001F0B48">
        <w:t>The</w:t>
      </w:r>
      <w:r w:rsidR="004833CE">
        <w:t xml:space="preserve"> review</w:t>
      </w:r>
      <w:r w:rsidR="001F0B48">
        <w:t xml:space="preserve"> must obviously be informed</w:t>
      </w:r>
      <w:r w:rsidR="004833CE">
        <w:t xml:space="preserve"> by prudent </w:t>
      </w:r>
      <w:r w:rsidR="001F0B48">
        <w:t>and cautious projections for the sustainability of commercial revenues</w:t>
      </w:r>
      <w:r w:rsidR="00F36D9A" w:rsidRPr="00257091">
        <w:t>.</w:t>
      </w:r>
    </w:p>
    <w:p w14:paraId="78FDE5F2" w14:textId="4E824ABB" w:rsidR="005F51D8" w:rsidRPr="00257091" w:rsidRDefault="00B75E7A" w:rsidP="00257091">
      <w:pPr>
        <w:jc w:val="both"/>
      </w:pPr>
      <w:r w:rsidRPr="00257091">
        <w:t xml:space="preserve">The </w:t>
      </w:r>
      <w:r w:rsidR="00DD6F83">
        <w:t>c</w:t>
      </w:r>
      <w:r w:rsidRPr="00257091">
        <w:t xml:space="preserve">ouncil </w:t>
      </w:r>
      <w:r w:rsidR="00C80D1B" w:rsidRPr="00257091">
        <w:t>intends to</w:t>
      </w:r>
      <w:r w:rsidRPr="00257091">
        <w:t xml:space="preserve"> use external expertise to </w:t>
      </w:r>
      <w:r w:rsidR="001D10D4" w:rsidRPr="00257091">
        <w:t>support</w:t>
      </w:r>
      <w:r w:rsidRPr="00257091">
        <w:t xml:space="preserve"> this assessment.  </w:t>
      </w:r>
      <w:r w:rsidR="00963F11" w:rsidRPr="00257091">
        <w:t xml:space="preserve">This will provide </w:t>
      </w:r>
      <w:r w:rsidR="00EE383B">
        <w:t>c</w:t>
      </w:r>
      <w:r w:rsidR="009306A9" w:rsidRPr="00257091">
        <w:t>ouncillors wi</w:t>
      </w:r>
      <w:r w:rsidR="00963F11" w:rsidRPr="00257091">
        <w:t>th</w:t>
      </w:r>
      <w:r w:rsidR="009306A9" w:rsidRPr="00257091">
        <w:t xml:space="preserve"> assurance that the </w:t>
      </w:r>
      <w:r w:rsidR="000E4F8F" w:rsidRPr="00257091">
        <w:t>sinking fund is being operated effectively and appropriate provision being made</w:t>
      </w:r>
      <w:r w:rsidR="00C46093">
        <w:t>.</w:t>
      </w:r>
    </w:p>
    <w:p w14:paraId="55261B34" w14:textId="4F62A35E" w:rsidR="00CF5FA0" w:rsidRDefault="00506F72" w:rsidP="00BE7C5C">
      <w:pPr>
        <w:pStyle w:val="Heading2"/>
        <w:spacing w:after="0"/>
      </w:pPr>
      <w:bookmarkStart w:id="9" w:name="_Toc150862406"/>
      <w:r>
        <w:t>3</w:t>
      </w:r>
      <w:r w:rsidR="000A5F33">
        <w:t xml:space="preserve">.2 </w:t>
      </w:r>
      <w:r w:rsidR="00AC0ADB">
        <w:t>Income projections</w:t>
      </w:r>
      <w:bookmarkEnd w:id="9"/>
    </w:p>
    <w:p w14:paraId="3AB739FB" w14:textId="77777777" w:rsidR="00BE7C5C" w:rsidRDefault="00BE7C5C" w:rsidP="00BE7C5C">
      <w:pPr>
        <w:spacing w:after="0"/>
        <w:jc w:val="both"/>
      </w:pPr>
    </w:p>
    <w:p w14:paraId="260E0542" w14:textId="4F3B8DAE" w:rsidR="00CF5FA0" w:rsidRPr="009D00B3" w:rsidRDefault="00E00ADA" w:rsidP="009D00B3">
      <w:pPr>
        <w:jc w:val="both"/>
      </w:pPr>
      <w:r>
        <w:t>Table 10</w:t>
      </w:r>
      <w:r w:rsidR="00854D4F">
        <w:t xml:space="preserve"> s</w:t>
      </w:r>
      <w:r>
        <w:t>ummarises</w:t>
      </w:r>
      <w:r w:rsidR="00854D4F">
        <w:t xml:space="preserve"> the projected income for </w:t>
      </w:r>
      <w:r w:rsidR="004E7598">
        <w:t xml:space="preserve">the 8 properties within the Commercial Portfolio plus the income for the </w:t>
      </w:r>
      <w:r w:rsidR="001F0C83">
        <w:t>3 regeneration properties</w:t>
      </w:r>
      <w:r w:rsidR="009D00B3">
        <w:t>.</w:t>
      </w:r>
    </w:p>
    <w:p w14:paraId="7F405170" w14:textId="77777777" w:rsidR="00BE7C5C" w:rsidRDefault="00BE7C5C" w:rsidP="00B039FF">
      <w:pPr>
        <w:rPr>
          <w:b/>
          <w:bCs/>
          <w:color w:val="312C62" w:themeColor="text2"/>
        </w:rPr>
      </w:pPr>
    </w:p>
    <w:p w14:paraId="5AAE8BD9" w14:textId="54774935" w:rsidR="00EF7308" w:rsidRPr="002B6366" w:rsidRDefault="00E00ADA" w:rsidP="00B039FF">
      <w:pPr>
        <w:rPr>
          <w:i/>
          <w:iCs/>
        </w:rPr>
      </w:pPr>
      <w:r w:rsidRPr="002B6366">
        <w:rPr>
          <w:i/>
          <w:iCs/>
        </w:rPr>
        <w:t xml:space="preserve">Table 10: </w:t>
      </w:r>
      <w:r w:rsidR="002D73E0" w:rsidRPr="002B6366">
        <w:rPr>
          <w:i/>
          <w:iCs/>
        </w:rPr>
        <w:t>property income</w:t>
      </w:r>
    </w:p>
    <w:p w14:paraId="38C0C367" w14:textId="33EDDED0" w:rsidR="00EF7308" w:rsidRPr="008D73B3" w:rsidRDefault="00EF7308" w:rsidP="008D73B3">
      <w:r w:rsidRPr="00EF7308">
        <w:rPr>
          <w:noProof/>
        </w:rPr>
        <w:drawing>
          <wp:inline distT="0" distB="0" distL="0" distR="0" wp14:anchorId="16BBC16D" wp14:editId="3BF83D01">
            <wp:extent cx="5731510" cy="34772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477260"/>
                    </a:xfrm>
                    <a:prstGeom prst="rect">
                      <a:avLst/>
                    </a:prstGeom>
                    <a:noFill/>
                    <a:ln>
                      <a:noFill/>
                    </a:ln>
                  </pic:spPr>
                </pic:pic>
              </a:graphicData>
            </a:graphic>
          </wp:inline>
        </w:drawing>
      </w:r>
      <w:r w:rsidRPr="00772FA4">
        <w:rPr>
          <w:b/>
          <w:bCs/>
          <w:i/>
          <w:iCs/>
          <w:sz w:val="18"/>
          <w:szCs w:val="18"/>
        </w:rPr>
        <w:t>Note</w:t>
      </w:r>
      <w:r w:rsidR="00B039FF" w:rsidRPr="00772FA4">
        <w:rPr>
          <w:b/>
          <w:bCs/>
          <w:i/>
          <w:iCs/>
          <w:sz w:val="18"/>
          <w:szCs w:val="18"/>
        </w:rPr>
        <w:t>:</w:t>
      </w:r>
      <w:r w:rsidR="00B039FF" w:rsidRPr="00772FA4">
        <w:rPr>
          <w:b/>
          <w:bCs/>
          <w:i/>
          <w:iCs/>
        </w:rPr>
        <w:t xml:space="preserve"> </w:t>
      </w:r>
      <w:r w:rsidRPr="00772FA4">
        <w:rPr>
          <w:i/>
          <w:iCs/>
          <w:sz w:val="18"/>
          <w:szCs w:val="18"/>
        </w:rPr>
        <w:t>When the Council acquired the Charter Building, it included rent guarantees which finished on September 2022, at that time Council had unused funds of £6,794,600, which was as a result of improved occupancy rates. Officers therefore took the decision to release the unused sum in 2022/23 rather than carry it forward, as the terms of the rent guarantee had finished. This increases, the net commercial income to £16.190</w:t>
      </w:r>
      <w:r w:rsidR="009A1D4E" w:rsidRPr="00772FA4">
        <w:rPr>
          <w:i/>
          <w:iCs/>
          <w:sz w:val="18"/>
          <w:szCs w:val="18"/>
        </w:rPr>
        <w:t xml:space="preserve"> </w:t>
      </w:r>
      <w:r w:rsidRPr="00772FA4">
        <w:rPr>
          <w:i/>
          <w:iCs/>
          <w:sz w:val="18"/>
          <w:szCs w:val="18"/>
        </w:rPr>
        <w:t>m</w:t>
      </w:r>
      <w:r w:rsidR="009A1D4E" w:rsidRPr="00772FA4">
        <w:rPr>
          <w:i/>
          <w:iCs/>
          <w:sz w:val="18"/>
          <w:szCs w:val="18"/>
        </w:rPr>
        <w:t>illion</w:t>
      </w:r>
      <w:r w:rsidRPr="00772FA4">
        <w:rPr>
          <w:i/>
          <w:iCs/>
          <w:sz w:val="18"/>
          <w:szCs w:val="18"/>
        </w:rPr>
        <w:t xml:space="preserve"> in 2022/23.</w:t>
      </w:r>
    </w:p>
    <w:p w14:paraId="56151517" w14:textId="64FAD3A0" w:rsidR="00EF7308" w:rsidRPr="00EF7308" w:rsidRDefault="00EF7308" w:rsidP="00B039FF">
      <w:pPr>
        <w:jc w:val="both"/>
      </w:pPr>
      <w:r w:rsidRPr="00EF7308">
        <w:t xml:space="preserve">An analysis of </w:t>
      </w:r>
      <w:r w:rsidR="00A24549">
        <w:t xml:space="preserve">this data </w:t>
      </w:r>
      <w:r w:rsidR="00191103">
        <w:t xml:space="preserve">raises </w:t>
      </w:r>
      <w:r w:rsidRPr="00EF7308">
        <w:t xml:space="preserve">questions </w:t>
      </w:r>
      <w:r w:rsidR="00A24549">
        <w:t xml:space="preserve">about </w:t>
      </w:r>
      <w:r w:rsidRPr="00EF7308">
        <w:t xml:space="preserve">the extent to which the budget contribution is sustainable in the medium to long term if the </w:t>
      </w:r>
      <w:r w:rsidR="00DD6F83">
        <w:t>c</w:t>
      </w:r>
      <w:r w:rsidRPr="00EF7308">
        <w:t>ouncil is to make an adequate contribution to reserves.</w:t>
      </w:r>
    </w:p>
    <w:p w14:paraId="01D708EC" w14:textId="4CD83458" w:rsidR="00EF7308" w:rsidRPr="00EF7308" w:rsidRDefault="00EF7308" w:rsidP="00B039FF">
      <w:pPr>
        <w:jc w:val="both"/>
      </w:pPr>
      <w:r w:rsidRPr="00EF7308">
        <w:t xml:space="preserve">Areas of </w:t>
      </w:r>
      <w:r w:rsidR="00511AEC">
        <w:t xml:space="preserve">further </w:t>
      </w:r>
      <w:r w:rsidRPr="00EF7308">
        <w:t xml:space="preserve">concern include: </w:t>
      </w:r>
    </w:p>
    <w:p w14:paraId="317DF8FD" w14:textId="05958F46" w:rsidR="00EF7308" w:rsidRPr="00EF7308" w:rsidRDefault="00DD6F83" w:rsidP="00F34C2F">
      <w:pPr>
        <w:pStyle w:val="ListParagraph"/>
        <w:numPr>
          <w:ilvl w:val="0"/>
          <w:numId w:val="32"/>
        </w:numPr>
        <w:jc w:val="both"/>
      </w:pPr>
      <w:r>
        <w:t>t</w:t>
      </w:r>
      <w:r w:rsidR="00EF7308" w:rsidRPr="00EF7308">
        <w:t>he extent of withdraw</w:t>
      </w:r>
      <w:r w:rsidR="00511AEC">
        <w:t>al</w:t>
      </w:r>
      <w:r w:rsidR="00EF7308" w:rsidRPr="00EF7308">
        <w:t xml:space="preserve"> from the sinking fund early in the lifespan of the </w:t>
      </w:r>
      <w:r w:rsidR="00511AEC">
        <w:t>c</w:t>
      </w:r>
      <w:r w:rsidR="00EF7308" w:rsidRPr="00EF7308">
        <w:t xml:space="preserve">ommercial </w:t>
      </w:r>
      <w:r w:rsidR="00511AEC">
        <w:t>a</w:t>
      </w:r>
      <w:r w:rsidR="00EF7308" w:rsidRPr="00EF7308">
        <w:t xml:space="preserve">ssets when returns </w:t>
      </w:r>
      <w:r w:rsidR="00511AEC">
        <w:t>should</w:t>
      </w:r>
      <w:r w:rsidR="00EF7308" w:rsidRPr="00EF7308">
        <w:t xml:space="preserve"> be maximised as buildings are at their highest quality</w:t>
      </w:r>
    </w:p>
    <w:p w14:paraId="48C5BEAE" w14:textId="61CD8C2D" w:rsidR="00EF7308" w:rsidRDefault="00DD6F83" w:rsidP="00F34C2F">
      <w:pPr>
        <w:pStyle w:val="ListParagraph"/>
        <w:numPr>
          <w:ilvl w:val="0"/>
          <w:numId w:val="32"/>
        </w:numPr>
        <w:jc w:val="both"/>
      </w:pPr>
      <w:r>
        <w:t>t</w:t>
      </w:r>
      <w:r w:rsidR="00EF7308" w:rsidRPr="00EF7308">
        <w:t>he extent of withdraw</w:t>
      </w:r>
      <w:r w:rsidR="006247A8">
        <w:t>al</w:t>
      </w:r>
      <w:r w:rsidR="00EF7308" w:rsidRPr="00EF7308">
        <w:t xml:space="preserve"> from the sinking fund to cover rent free periods and building reconfiguration again </w:t>
      </w:r>
      <w:r w:rsidR="006247A8">
        <w:t>early on in</w:t>
      </w:r>
      <w:r w:rsidR="00EF7308" w:rsidRPr="00EF7308">
        <w:t xml:space="preserve"> tenancies for new building</w:t>
      </w:r>
      <w:r w:rsidR="006247A8">
        <w:t>s</w:t>
      </w:r>
    </w:p>
    <w:p w14:paraId="667E5E0C" w14:textId="63A23CAE" w:rsidR="00023D91" w:rsidRPr="00EF7308" w:rsidRDefault="00023D91" w:rsidP="00023D91">
      <w:pPr>
        <w:jc w:val="both"/>
      </w:pPr>
      <w:r>
        <w:t xml:space="preserve">Concern in these areas is significant and lies behind our recommendation regarding the sinking fund review (recommendation </w:t>
      </w:r>
      <w:r w:rsidR="00335B22">
        <w:t>4</w:t>
      </w:r>
      <w:r>
        <w:t xml:space="preserve">). </w:t>
      </w:r>
    </w:p>
    <w:p w14:paraId="6530EF9A" w14:textId="46BB5F94" w:rsidR="00EF7308" w:rsidRPr="00EF7308" w:rsidRDefault="00EF7308" w:rsidP="00B039FF">
      <w:pPr>
        <w:jc w:val="both"/>
      </w:pPr>
      <w:r w:rsidRPr="00EF7308">
        <w:t>Offset</w:t>
      </w:r>
      <w:r w:rsidR="006247A8">
        <w:t>ting</w:t>
      </w:r>
      <w:r w:rsidRPr="00EF7308">
        <w:t xml:space="preserve"> these concerns are: </w:t>
      </w:r>
    </w:p>
    <w:p w14:paraId="33BFF41D" w14:textId="25878160" w:rsidR="00EF7308" w:rsidRPr="00EF7308" w:rsidRDefault="00DD6F83" w:rsidP="00F34C2F">
      <w:pPr>
        <w:pStyle w:val="ListParagraph"/>
        <w:numPr>
          <w:ilvl w:val="0"/>
          <w:numId w:val="33"/>
        </w:numPr>
        <w:jc w:val="both"/>
      </w:pPr>
      <w:r>
        <w:t>p</w:t>
      </w:r>
      <w:r w:rsidR="00EF7308" w:rsidRPr="00EF7308">
        <w:t xml:space="preserve">otential inflationary uplifts in rental and service charges for some of the council’s largest tenants, which have not been </w:t>
      </w:r>
      <w:r w:rsidR="00F02361">
        <w:t>accounted for</w:t>
      </w:r>
      <w:r w:rsidR="00EF7308" w:rsidRPr="00EF7308">
        <w:t xml:space="preserve"> in these projections</w:t>
      </w:r>
    </w:p>
    <w:p w14:paraId="5E4E4456" w14:textId="5A7B1059" w:rsidR="00EF7308" w:rsidRPr="00EF7308" w:rsidRDefault="00DD6F83" w:rsidP="00F34C2F">
      <w:pPr>
        <w:pStyle w:val="ListParagraph"/>
        <w:numPr>
          <w:ilvl w:val="0"/>
          <w:numId w:val="33"/>
        </w:numPr>
        <w:jc w:val="both"/>
      </w:pPr>
      <w:r>
        <w:t>t</w:t>
      </w:r>
      <w:r w:rsidR="00EF7308" w:rsidRPr="00EF7308">
        <w:t>he Assets Team</w:t>
      </w:r>
      <w:r w:rsidR="00F02361">
        <w:t xml:space="preserve">’s </w:t>
      </w:r>
      <w:r w:rsidR="004E6ECF">
        <w:t>new focus</w:t>
      </w:r>
      <w:r w:rsidR="00EF7308" w:rsidRPr="00EF7308">
        <w:t xml:space="preserve"> on maintaining closer relationships with tenants </w:t>
      </w:r>
      <w:r w:rsidR="004E6ECF">
        <w:t xml:space="preserve">to </w:t>
      </w:r>
      <w:r w:rsidR="00EF7308" w:rsidRPr="00EF7308">
        <w:t>ensure occupancy rates improve</w:t>
      </w:r>
    </w:p>
    <w:p w14:paraId="7BA07E57" w14:textId="2C9F243A" w:rsidR="00EF7308" w:rsidRPr="00EF7308" w:rsidRDefault="00DD6F83" w:rsidP="00F34C2F">
      <w:pPr>
        <w:pStyle w:val="ListParagraph"/>
        <w:numPr>
          <w:ilvl w:val="0"/>
          <w:numId w:val="33"/>
        </w:numPr>
        <w:jc w:val="both"/>
      </w:pPr>
      <w:r>
        <w:t>c</w:t>
      </w:r>
      <w:r w:rsidR="00EF7308" w:rsidRPr="00EF7308">
        <w:t>ommitment</w:t>
      </w:r>
      <w:r w:rsidR="004E6ECF">
        <w:t>s</w:t>
      </w:r>
      <w:r w:rsidR="00EF7308" w:rsidRPr="00EF7308">
        <w:t xml:space="preserve"> to improve budgetary control o</w:t>
      </w:r>
      <w:r w:rsidR="004E6ECF">
        <w:t>f</w:t>
      </w:r>
      <w:r w:rsidR="00EF7308" w:rsidRPr="00EF7308">
        <w:t xml:space="preserve"> landlord costs, particularly repairs and refurbishments, with tough choices having to be made</w:t>
      </w:r>
    </w:p>
    <w:p w14:paraId="571BCD69" w14:textId="703D8AD3" w:rsidR="00EF7308" w:rsidRPr="00EF7308" w:rsidRDefault="00B60883" w:rsidP="00B039FF">
      <w:pPr>
        <w:jc w:val="both"/>
      </w:pPr>
      <w:r>
        <w:t>The</w:t>
      </w:r>
      <w:r w:rsidR="00EF7308" w:rsidRPr="00EF7308">
        <w:t xml:space="preserve"> </w:t>
      </w:r>
      <w:r w:rsidR="00DD6F83">
        <w:t>c</w:t>
      </w:r>
      <w:r w:rsidR="00EF7308" w:rsidRPr="00EF7308">
        <w:t xml:space="preserve">ouncil </w:t>
      </w:r>
      <w:r>
        <w:t>anticipates</w:t>
      </w:r>
      <w:r w:rsidR="00EF7308" w:rsidRPr="00EF7308">
        <w:t xml:space="preserve"> that it will achieve </w:t>
      </w:r>
      <w:r w:rsidRPr="00EF7308">
        <w:t>surpluses</w:t>
      </w:r>
      <w:r w:rsidR="00EF7308" w:rsidRPr="00EF7308">
        <w:t xml:space="preserve"> on the </w:t>
      </w:r>
      <w:r>
        <w:t xml:space="preserve">portfolio </w:t>
      </w:r>
      <w:r w:rsidR="00EF7308" w:rsidRPr="00EF7308">
        <w:t xml:space="preserve">operation in the current year.  This relates in part to a projected overpayment of MRP referred to above, as well as under-recovery of </w:t>
      </w:r>
      <w:r w:rsidR="00A526E0">
        <w:t xml:space="preserve">third-party </w:t>
      </w:r>
      <w:r w:rsidR="00EF7308" w:rsidRPr="00EF7308">
        <w:t>expenses and general underspending.  At this point officers consider this could help increase the sinking fund to some £40</w:t>
      </w:r>
      <w:r w:rsidR="00E04E87">
        <w:t xml:space="preserve"> </w:t>
      </w:r>
      <w:r w:rsidR="00EF7308" w:rsidRPr="00EF7308">
        <w:t>m</w:t>
      </w:r>
      <w:r w:rsidR="00E04E87">
        <w:t>illion</w:t>
      </w:r>
      <w:r w:rsidR="00EF7308" w:rsidRPr="00EF7308">
        <w:t xml:space="preserve"> at the year end.</w:t>
      </w:r>
    </w:p>
    <w:p w14:paraId="10BD2CC6" w14:textId="1FA87C45" w:rsidR="00EF7308" w:rsidRPr="00EF7308" w:rsidRDefault="00EF7308" w:rsidP="00B039FF">
      <w:pPr>
        <w:jc w:val="both"/>
      </w:pPr>
      <w:r w:rsidRPr="00EF7308">
        <w:t xml:space="preserve">The </w:t>
      </w:r>
      <w:r w:rsidR="00DD6F83">
        <w:t>c</w:t>
      </w:r>
      <w:r w:rsidRPr="00EF7308">
        <w:t xml:space="preserve">ouncil </w:t>
      </w:r>
      <w:r w:rsidR="00C91AB0">
        <w:t>anticipates</w:t>
      </w:r>
      <w:r w:rsidRPr="00EF7308">
        <w:t xml:space="preserve"> a significant rise in rental income following the rent review of a major tenant.</w:t>
      </w:r>
      <w:r w:rsidR="00C91AB0">
        <w:t xml:space="preserve"> F</w:t>
      </w:r>
      <w:r w:rsidRPr="00EF7308">
        <w:t xml:space="preserve">inance officers </w:t>
      </w:r>
      <w:r w:rsidR="00C91AB0">
        <w:t>indicate</w:t>
      </w:r>
      <w:r w:rsidRPr="00EF7308">
        <w:t xml:space="preserve"> that this could enable the </w:t>
      </w:r>
      <w:r w:rsidR="00DD6F83">
        <w:t>c</w:t>
      </w:r>
      <w:r w:rsidRPr="00EF7308">
        <w:t xml:space="preserve">ouncil to increase the contribution from </w:t>
      </w:r>
      <w:r w:rsidR="00C91AB0">
        <w:t>c</w:t>
      </w:r>
      <w:r w:rsidRPr="00EF7308">
        <w:t xml:space="preserve">ommercial </w:t>
      </w:r>
      <w:r w:rsidR="00C91AB0">
        <w:t>p</w:t>
      </w:r>
      <w:r w:rsidRPr="00EF7308">
        <w:t xml:space="preserve">roperties </w:t>
      </w:r>
      <w:r w:rsidR="00C91AB0">
        <w:t>to the</w:t>
      </w:r>
      <w:r w:rsidRPr="00EF7308">
        <w:t xml:space="preserve"> revenue budget.  They </w:t>
      </w:r>
      <w:r w:rsidR="00C91AB0">
        <w:t>suggest</w:t>
      </w:r>
      <w:r w:rsidRPr="00EF7308">
        <w:t xml:space="preserve"> that this may in turn offset further financial risks within </w:t>
      </w:r>
      <w:r w:rsidR="00A30B71">
        <w:t>KGE</w:t>
      </w:r>
      <w:r w:rsidRPr="00EF7308">
        <w:t>.</w:t>
      </w:r>
    </w:p>
    <w:p w14:paraId="1D4D297F" w14:textId="1DB4278E" w:rsidR="00824443" w:rsidRDefault="00EF7308" w:rsidP="00BE7C5C">
      <w:pPr>
        <w:spacing w:after="0"/>
        <w:jc w:val="both"/>
      </w:pPr>
      <w:r w:rsidRPr="00EF7308">
        <w:t xml:space="preserve">The key question is whether the </w:t>
      </w:r>
      <w:r w:rsidR="0074287A">
        <w:t xml:space="preserve">medium to long-term </w:t>
      </w:r>
      <w:r w:rsidRPr="00EF7308">
        <w:t>income target is a realistic and achievable</w:t>
      </w:r>
      <w:r w:rsidR="009059B4">
        <w:t>.</w:t>
      </w:r>
      <w:r w:rsidRPr="00EF7308">
        <w:t xml:space="preserve"> The </w:t>
      </w:r>
      <w:r w:rsidR="00DD6F83">
        <w:t>c</w:t>
      </w:r>
      <w:r w:rsidRPr="00EF7308">
        <w:t xml:space="preserve">ouncil </w:t>
      </w:r>
      <w:r w:rsidR="00C21A55">
        <w:t>should</w:t>
      </w:r>
      <w:r w:rsidRPr="00EF7308">
        <w:t xml:space="preserve"> reassess income targets as part of a 50</w:t>
      </w:r>
      <w:r w:rsidR="00C21A55">
        <w:t>-</w:t>
      </w:r>
      <w:r w:rsidRPr="00EF7308">
        <w:t xml:space="preserve">year review of the sinking fund.   </w:t>
      </w:r>
    </w:p>
    <w:p w14:paraId="091D6C38" w14:textId="77777777" w:rsidR="00BE7C5C" w:rsidRPr="00824443" w:rsidRDefault="00BE7C5C" w:rsidP="00BE7C5C">
      <w:pPr>
        <w:spacing w:after="0"/>
        <w:jc w:val="both"/>
      </w:pPr>
    </w:p>
    <w:p w14:paraId="3BB2C980" w14:textId="39E7CAEF" w:rsidR="00A42800" w:rsidRDefault="00506F72" w:rsidP="00BE7C5C">
      <w:pPr>
        <w:pStyle w:val="Heading2"/>
        <w:spacing w:before="0" w:after="0"/>
        <w:jc w:val="both"/>
      </w:pPr>
      <w:bookmarkStart w:id="10" w:name="_Toc150862407"/>
      <w:r>
        <w:t>3</w:t>
      </w:r>
      <w:r w:rsidR="00260D8D">
        <w:t>.</w:t>
      </w:r>
      <w:r w:rsidR="00023D91">
        <w:t>3</w:t>
      </w:r>
      <w:r w:rsidR="00260D8D">
        <w:t xml:space="preserve"> Conclusions</w:t>
      </w:r>
      <w:bookmarkEnd w:id="10"/>
    </w:p>
    <w:p w14:paraId="637E1068" w14:textId="77777777" w:rsidR="00BE7C5C" w:rsidRDefault="00BE7C5C" w:rsidP="00BE7C5C">
      <w:pPr>
        <w:spacing w:after="0"/>
        <w:jc w:val="both"/>
      </w:pPr>
    </w:p>
    <w:p w14:paraId="347EC2AF" w14:textId="7648550C" w:rsidR="00A12590" w:rsidRDefault="00BE7C5C" w:rsidP="00BE7C5C">
      <w:pPr>
        <w:spacing w:after="0"/>
        <w:jc w:val="both"/>
      </w:pPr>
      <w:r>
        <w:t>S</w:t>
      </w:r>
      <w:r w:rsidR="00D801EF">
        <w:t>BC</w:t>
      </w:r>
      <w:r w:rsidR="0073481A">
        <w:t xml:space="preserve"> faces considerable </w:t>
      </w:r>
      <w:r w:rsidR="007A6B24">
        <w:t>financial risks</w:t>
      </w:r>
      <w:r w:rsidR="00E35CEA">
        <w:t>. Taken together, they</w:t>
      </w:r>
      <w:r w:rsidR="007A6B24">
        <w:t xml:space="preserve"> could seriously impact the viability of the </w:t>
      </w:r>
      <w:r w:rsidR="00DD6F83">
        <w:t>c</w:t>
      </w:r>
      <w:r w:rsidR="007A6B24">
        <w:t>ouncil</w:t>
      </w:r>
      <w:r w:rsidR="00741361">
        <w:t xml:space="preserve"> as a going concern, as highlighted in the report of the Chief Accountant </w:t>
      </w:r>
      <w:r w:rsidR="00487CC3">
        <w:t xml:space="preserve">in </w:t>
      </w:r>
      <w:r w:rsidR="00F724EC">
        <w:t>January</w:t>
      </w:r>
      <w:r w:rsidR="002D7E51">
        <w:t xml:space="preserve"> 2023.  </w:t>
      </w:r>
      <w:r w:rsidR="00A11FD6">
        <w:t>The most immediate financial risk stem</w:t>
      </w:r>
      <w:r w:rsidR="0046391A">
        <w:t>s</w:t>
      </w:r>
      <w:r w:rsidR="00A11FD6">
        <w:t xml:space="preserve"> from </w:t>
      </w:r>
      <w:r w:rsidR="005C61DF">
        <w:t>a</w:t>
      </w:r>
      <w:r w:rsidR="00A12590">
        <w:t xml:space="preserve">ffordable </w:t>
      </w:r>
      <w:r w:rsidR="005C61DF">
        <w:t>h</w:t>
      </w:r>
      <w:r w:rsidR="00A12590">
        <w:t xml:space="preserve">ousing </w:t>
      </w:r>
      <w:r w:rsidR="005C61DF">
        <w:t>d</w:t>
      </w:r>
      <w:r w:rsidR="00A12590">
        <w:t xml:space="preserve">evelopment. </w:t>
      </w:r>
    </w:p>
    <w:p w14:paraId="7F3BC883" w14:textId="775D91A1" w:rsidR="00DD1CC1" w:rsidRDefault="00023D91" w:rsidP="00B039FF">
      <w:pPr>
        <w:jc w:val="both"/>
      </w:pPr>
      <w:r>
        <w:t>T</w:t>
      </w:r>
      <w:r w:rsidR="00A12590">
        <w:t xml:space="preserve">here is a </w:t>
      </w:r>
      <w:r w:rsidR="00A11FD6">
        <w:t>potential need to dispose of assets that the Council has purchased</w:t>
      </w:r>
      <w:r w:rsidR="00A12590">
        <w:t xml:space="preserve">, potentially </w:t>
      </w:r>
      <w:r w:rsidR="00EC18C7">
        <w:t xml:space="preserve">resulting </w:t>
      </w:r>
      <w:r w:rsidR="00B9426F">
        <w:t>in a charge of some £9</w:t>
      </w:r>
      <w:r w:rsidR="00E04E87">
        <w:t xml:space="preserve"> </w:t>
      </w:r>
      <w:r w:rsidR="00B9426F">
        <w:t>m</w:t>
      </w:r>
      <w:r w:rsidR="00E04E87">
        <w:t>illion</w:t>
      </w:r>
      <w:r w:rsidR="00B9426F">
        <w:t xml:space="preserve"> to the revenue budget and losses on asset disposals of some </w:t>
      </w:r>
      <w:r w:rsidR="003C1F0A">
        <w:t>£18</w:t>
      </w:r>
      <w:r w:rsidR="00E04E87">
        <w:t xml:space="preserve"> </w:t>
      </w:r>
      <w:r w:rsidR="003C1F0A">
        <w:t>m</w:t>
      </w:r>
      <w:r w:rsidR="00E04E87">
        <w:t>illion</w:t>
      </w:r>
      <w:r w:rsidR="006E51B2">
        <w:t>.</w:t>
      </w:r>
      <w:r w:rsidR="003C1F0A">
        <w:t xml:space="preserve"> </w:t>
      </w:r>
      <w:r w:rsidR="009308B6">
        <w:t>The prospect of</w:t>
      </w:r>
      <w:r w:rsidR="002855F3">
        <w:t xml:space="preserve"> asset</w:t>
      </w:r>
      <w:r w:rsidR="009308B6">
        <w:t xml:space="preserve"> disposal</w:t>
      </w:r>
      <w:r w:rsidR="002855F3">
        <w:t xml:space="preserve"> hinges on the viability of </w:t>
      </w:r>
      <w:r w:rsidR="001A77E1">
        <w:t>new</w:t>
      </w:r>
      <w:r w:rsidR="002855F3">
        <w:t xml:space="preserve"> affordable housing schemes. </w:t>
      </w:r>
      <w:r w:rsidR="00DD1CC1">
        <w:t>Some two years of delay in taking forward these projects coupled with</w:t>
      </w:r>
      <w:r w:rsidR="00C35711">
        <w:t xml:space="preserve"> </w:t>
      </w:r>
      <w:r w:rsidR="00B3042A">
        <w:t>council-imposed</w:t>
      </w:r>
      <w:r w:rsidR="00DD1CC1">
        <w:t xml:space="preserve"> development restrictions </w:t>
      </w:r>
      <w:r w:rsidR="009308B6">
        <w:t xml:space="preserve">has </w:t>
      </w:r>
      <w:r w:rsidR="00DD1CC1">
        <w:t>seriously impacted th</w:t>
      </w:r>
      <w:r w:rsidR="00B7514A">
        <w:t>at</w:t>
      </w:r>
      <w:r w:rsidR="00DD1CC1">
        <w:t xml:space="preserve"> viability</w:t>
      </w:r>
      <w:r w:rsidR="003D2895">
        <w:t>.</w:t>
      </w:r>
    </w:p>
    <w:p w14:paraId="279BD5B4" w14:textId="723EBB34" w:rsidR="009C7AF9" w:rsidRDefault="00B7514A" w:rsidP="00B039FF">
      <w:pPr>
        <w:jc w:val="both"/>
      </w:pPr>
      <w:r>
        <w:t xml:space="preserve">SBC </w:t>
      </w:r>
      <w:r w:rsidR="00DD54A2">
        <w:t xml:space="preserve">is contemplating steps to avert losses </w:t>
      </w:r>
      <w:r>
        <w:t>through</w:t>
      </w:r>
      <w:r w:rsidR="00DD54A2">
        <w:t xml:space="preserve"> making the projects viable by:</w:t>
      </w:r>
      <w:r w:rsidR="00C35711">
        <w:t xml:space="preserve"> </w:t>
      </w:r>
    </w:p>
    <w:p w14:paraId="60DA132D" w14:textId="6BA0C15C" w:rsidR="009C7AF9" w:rsidRDefault="008E7198" w:rsidP="00F34C2F">
      <w:pPr>
        <w:pStyle w:val="ListParagraph"/>
        <w:numPr>
          <w:ilvl w:val="0"/>
          <w:numId w:val="19"/>
        </w:numPr>
        <w:ind w:left="714" w:hanging="357"/>
        <w:jc w:val="both"/>
      </w:pPr>
      <w:r>
        <w:t>t</w:t>
      </w:r>
      <w:r w:rsidR="00DD54A2">
        <w:t xml:space="preserve">aking a </w:t>
      </w:r>
      <w:r w:rsidR="003E7305">
        <w:t>significant equity stake</w:t>
      </w:r>
      <w:r w:rsidR="00277D6A">
        <w:t xml:space="preserve"> </w:t>
      </w:r>
      <w:r w:rsidR="003E7305">
        <w:t>in</w:t>
      </w:r>
      <w:r w:rsidR="00277D6A">
        <w:t xml:space="preserve"> </w:t>
      </w:r>
      <w:r w:rsidR="003E7305">
        <w:t>its council-owned company K</w:t>
      </w:r>
      <w:r w:rsidR="008332AD">
        <w:t>GE</w:t>
      </w:r>
    </w:p>
    <w:p w14:paraId="35BD6A9C" w14:textId="1126CFD9" w:rsidR="001E11AE" w:rsidRDefault="008E7198" w:rsidP="00F34C2F">
      <w:pPr>
        <w:pStyle w:val="ListParagraph"/>
        <w:numPr>
          <w:ilvl w:val="0"/>
          <w:numId w:val="19"/>
        </w:numPr>
        <w:ind w:left="714" w:hanging="357"/>
        <w:jc w:val="both"/>
      </w:pPr>
      <w:r>
        <w:t>c</w:t>
      </w:r>
      <w:r w:rsidR="001F76FF">
        <w:t xml:space="preserve">onverting the affordable element of </w:t>
      </w:r>
      <w:r w:rsidR="00F30566">
        <w:t>some projects to private sector rentals</w:t>
      </w:r>
    </w:p>
    <w:p w14:paraId="2A986E56" w14:textId="19008131" w:rsidR="001E11AE" w:rsidRDefault="008E7198" w:rsidP="00F34C2F">
      <w:pPr>
        <w:pStyle w:val="ListParagraph"/>
        <w:numPr>
          <w:ilvl w:val="0"/>
          <w:numId w:val="19"/>
        </w:numPr>
        <w:ind w:left="714" w:hanging="357"/>
        <w:jc w:val="both"/>
      </w:pPr>
      <w:r>
        <w:t>b</w:t>
      </w:r>
      <w:r w:rsidR="001E11AE">
        <w:t xml:space="preserve">ringing forward an affordable </w:t>
      </w:r>
      <w:r w:rsidR="006E0593">
        <w:t xml:space="preserve">and commercial </w:t>
      </w:r>
      <w:r w:rsidR="001E11AE">
        <w:t>housing scheme at Tothill</w:t>
      </w:r>
    </w:p>
    <w:p w14:paraId="16391223" w14:textId="29A3E8FA" w:rsidR="00D57B59" w:rsidRDefault="008E7198" w:rsidP="00F34C2F">
      <w:pPr>
        <w:pStyle w:val="ListParagraph"/>
        <w:numPr>
          <w:ilvl w:val="0"/>
          <w:numId w:val="19"/>
        </w:numPr>
        <w:ind w:left="714" w:hanging="357"/>
        <w:jc w:val="both"/>
      </w:pPr>
      <w:r>
        <w:t>s</w:t>
      </w:r>
      <w:r w:rsidR="001E11AE">
        <w:t>eeking</w:t>
      </w:r>
      <w:r w:rsidR="00F30566">
        <w:t xml:space="preserve"> funding of some £55</w:t>
      </w:r>
      <w:r w:rsidR="00E04E87">
        <w:t xml:space="preserve"> </w:t>
      </w:r>
      <w:r w:rsidR="00F30566">
        <w:t>m</w:t>
      </w:r>
      <w:r w:rsidR="00E04E87">
        <w:t>illion</w:t>
      </w:r>
      <w:r w:rsidR="00F30566">
        <w:t xml:space="preserve"> from Homes England</w:t>
      </w:r>
    </w:p>
    <w:p w14:paraId="48C06392" w14:textId="102D875B" w:rsidR="009D1231" w:rsidRDefault="006A3A62" w:rsidP="00B039FF">
      <w:pPr>
        <w:jc w:val="both"/>
      </w:pPr>
      <w:r>
        <w:t xml:space="preserve">While the </w:t>
      </w:r>
      <w:r w:rsidR="003F5477">
        <w:t>c</w:t>
      </w:r>
      <w:r>
        <w:t>ouncil believes that the projects are now viab</w:t>
      </w:r>
      <w:r w:rsidR="00002083">
        <w:t xml:space="preserve">le, it has not fully demonstrated their ability to withstand interest rate movement or indeed </w:t>
      </w:r>
      <w:r w:rsidR="004E15C0">
        <w:t xml:space="preserve">planning risk </w:t>
      </w:r>
      <w:r w:rsidR="006353CE">
        <w:t>from</w:t>
      </w:r>
      <w:r w:rsidR="004E15C0">
        <w:t xml:space="preserve"> further </w:t>
      </w:r>
      <w:r w:rsidR="006353CE">
        <w:t xml:space="preserve">member-imposed </w:t>
      </w:r>
      <w:r w:rsidR="004E15C0">
        <w:t xml:space="preserve">restrictions.  </w:t>
      </w:r>
    </w:p>
    <w:p w14:paraId="46552887" w14:textId="77777777" w:rsidR="00D55877" w:rsidRDefault="009D1231" w:rsidP="00B039FF">
      <w:pPr>
        <w:jc w:val="both"/>
      </w:pPr>
      <w:r>
        <w:t>T</w:t>
      </w:r>
      <w:r w:rsidR="00FB3BD8">
        <w:t xml:space="preserve">he new arrangements </w:t>
      </w:r>
      <w:r w:rsidR="00BA1276">
        <w:t>are complex.</w:t>
      </w:r>
      <w:r w:rsidR="00FB3BD8">
        <w:t xml:space="preserve"> </w:t>
      </w:r>
      <w:r w:rsidR="00BA1276">
        <w:t>S</w:t>
      </w:r>
      <w:r w:rsidR="00FB3BD8">
        <w:t>ome projects subsidis</w:t>
      </w:r>
      <w:r w:rsidR="00BA1276">
        <w:t>e</w:t>
      </w:r>
      <w:r w:rsidR="00FB3BD8">
        <w:t xml:space="preserve"> others</w:t>
      </w:r>
      <w:r w:rsidR="00386CFF">
        <w:t>, creating sequencing and timing issues</w:t>
      </w:r>
      <w:r w:rsidR="00E60ACE">
        <w:t>.</w:t>
      </w:r>
      <w:r w:rsidR="00BA1276">
        <w:t xml:space="preserve"> That success in later schemes is predicated in part on the </w:t>
      </w:r>
      <w:r w:rsidR="00FC469C">
        <w:t>Tothill development, which is in its infancy, is a particular concern</w:t>
      </w:r>
      <w:r w:rsidR="00ED7F4D">
        <w:t xml:space="preserve">. And KGE itself </w:t>
      </w:r>
      <w:r w:rsidR="00E60ACE">
        <w:t>will only accept viable projects on completion</w:t>
      </w:r>
      <w:r w:rsidR="00AE4C38">
        <w:t>.</w:t>
      </w:r>
    </w:p>
    <w:p w14:paraId="403BC513" w14:textId="3DAE5AF1" w:rsidR="00AE33D9" w:rsidRDefault="009757CB" w:rsidP="00B039FF">
      <w:pPr>
        <w:jc w:val="both"/>
      </w:pPr>
      <w:r>
        <w:t xml:space="preserve">The affordable </w:t>
      </w:r>
      <w:r w:rsidR="004B1A89">
        <w:t xml:space="preserve">housing projects account for the largest share of the </w:t>
      </w:r>
      <w:r w:rsidR="00CB53B4">
        <w:t>c</w:t>
      </w:r>
      <w:r w:rsidR="004B1A89">
        <w:t>ouncil’s £44</w:t>
      </w:r>
      <w:r w:rsidR="001A082F">
        <w:t>7</w:t>
      </w:r>
      <w:r w:rsidR="00E04E87">
        <w:t xml:space="preserve"> </w:t>
      </w:r>
      <w:r w:rsidR="004B1A89">
        <w:t>m</w:t>
      </w:r>
      <w:r w:rsidR="00E04E87">
        <w:t>illion</w:t>
      </w:r>
      <w:r w:rsidR="004B1A89">
        <w:t xml:space="preserve"> capital spending plans</w:t>
      </w:r>
      <w:r w:rsidR="0009513E">
        <w:t>,</w:t>
      </w:r>
      <w:r w:rsidR="004B1A89">
        <w:t xml:space="preserve"> which require </w:t>
      </w:r>
      <w:r w:rsidR="001A082F">
        <w:t>borrowing of some £332</w:t>
      </w:r>
      <w:r w:rsidR="00E04E87">
        <w:t xml:space="preserve"> </w:t>
      </w:r>
      <w:r w:rsidR="001A082F">
        <w:t>m</w:t>
      </w:r>
      <w:r w:rsidR="00E04E87">
        <w:t>illion</w:t>
      </w:r>
      <w:r w:rsidR="001A082F">
        <w:t xml:space="preserve">.  </w:t>
      </w:r>
    </w:p>
    <w:p w14:paraId="0A051A04" w14:textId="111DD35D" w:rsidR="009570BF" w:rsidRDefault="00515033" w:rsidP="00B039FF">
      <w:pPr>
        <w:jc w:val="both"/>
      </w:pPr>
      <w:r>
        <w:t xml:space="preserve">SBC </w:t>
      </w:r>
      <w:r w:rsidR="00D55877">
        <w:t>may be</w:t>
      </w:r>
      <w:r w:rsidR="00C66DC5">
        <w:t xml:space="preserve"> exposing itself to more significant and </w:t>
      </w:r>
      <w:r w:rsidR="00795F3F">
        <w:t>long-term</w:t>
      </w:r>
      <w:r w:rsidR="00C66DC5">
        <w:t xml:space="preserve"> </w:t>
      </w:r>
      <w:r w:rsidR="00AF4E2A">
        <w:t xml:space="preserve">risk by pursuing its </w:t>
      </w:r>
      <w:r>
        <w:t>a</w:t>
      </w:r>
      <w:r w:rsidR="00AF4E2A">
        <w:t xml:space="preserve">ffordable </w:t>
      </w:r>
      <w:r>
        <w:t>h</w:t>
      </w:r>
      <w:r w:rsidR="00AF4E2A">
        <w:t xml:space="preserve">ousing </w:t>
      </w:r>
      <w:r>
        <w:t>s</w:t>
      </w:r>
      <w:r w:rsidR="00AF4E2A">
        <w:t xml:space="preserve">trategy rather than </w:t>
      </w:r>
      <w:r>
        <w:t>facing</w:t>
      </w:r>
      <w:r w:rsidR="00AF4E2A">
        <w:t xml:space="preserve"> the immediate </w:t>
      </w:r>
      <w:r w:rsidR="00795F3F">
        <w:t>challenge</w:t>
      </w:r>
      <w:r>
        <w:t xml:space="preserve"> </w:t>
      </w:r>
      <w:r w:rsidR="00795F3F">
        <w:t>of</w:t>
      </w:r>
      <w:r w:rsidR="00873E75">
        <w:t xml:space="preserve"> asset disposal</w:t>
      </w:r>
      <w:r w:rsidR="00795F3F">
        <w:t xml:space="preserve">, especially </w:t>
      </w:r>
      <w:r w:rsidR="00613D64">
        <w:t xml:space="preserve">as </w:t>
      </w:r>
      <w:r w:rsidR="00873E75">
        <w:t xml:space="preserve">disposal </w:t>
      </w:r>
      <w:r w:rsidR="00795F3F">
        <w:t xml:space="preserve">losses </w:t>
      </w:r>
      <w:r w:rsidR="00873E75">
        <w:t xml:space="preserve">may be overstated </w:t>
      </w:r>
      <w:r w:rsidR="00736F3A">
        <w:t xml:space="preserve">given valuation assumptions previously discussed. </w:t>
      </w:r>
    </w:p>
    <w:p w14:paraId="646BE904" w14:textId="77777777" w:rsidR="00BE7C5C" w:rsidRDefault="00BE7C5C" w:rsidP="004853F2">
      <w:pPr>
        <w:pStyle w:val="Heading1"/>
        <w:rPr>
          <w:b/>
          <w:bCs/>
        </w:rPr>
      </w:pPr>
      <w:r>
        <w:rPr>
          <w:b/>
          <w:bCs/>
        </w:rPr>
        <w:br w:type="page"/>
      </w:r>
    </w:p>
    <w:p w14:paraId="2E5E8CD6" w14:textId="204DCB35" w:rsidR="00A858CD" w:rsidRPr="00011126" w:rsidRDefault="00970D42" w:rsidP="004853F2">
      <w:pPr>
        <w:pStyle w:val="Heading1"/>
        <w:rPr>
          <w:b/>
          <w:bCs/>
        </w:rPr>
      </w:pPr>
      <w:bookmarkStart w:id="11" w:name="_Toc150862408"/>
      <w:r>
        <w:rPr>
          <w:b/>
          <w:bCs/>
        </w:rPr>
        <w:t>4</w:t>
      </w:r>
      <w:r w:rsidR="00650D82" w:rsidRPr="00011126">
        <w:rPr>
          <w:b/>
          <w:bCs/>
        </w:rPr>
        <w:t xml:space="preserve"> </w:t>
      </w:r>
      <w:r w:rsidR="517E9265" w:rsidRPr="00011126">
        <w:rPr>
          <w:b/>
          <w:bCs/>
        </w:rPr>
        <w:t>Capability, capacity</w:t>
      </w:r>
      <w:r w:rsidR="00401B2C" w:rsidRPr="00011126">
        <w:rPr>
          <w:b/>
          <w:bCs/>
        </w:rPr>
        <w:t>, governance</w:t>
      </w:r>
      <w:bookmarkEnd w:id="11"/>
    </w:p>
    <w:p w14:paraId="20AB97DE" w14:textId="71EDDF69" w:rsidR="00783121" w:rsidRDefault="00783121" w:rsidP="00694E30">
      <w:pPr>
        <w:rPr>
          <w:i/>
          <w:iCs/>
          <w:lang w:eastAsia="en-GB"/>
        </w:rPr>
      </w:pPr>
    </w:p>
    <w:p w14:paraId="4DA0AF16" w14:textId="4463BE0D" w:rsidR="00783121" w:rsidRDefault="00970D42" w:rsidP="002A7E77">
      <w:pPr>
        <w:pStyle w:val="Heading2"/>
        <w:rPr>
          <w:lang w:eastAsia="en-GB"/>
        </w:rPr>
      </w:pPr>
      <w:bookmarkStart w:id="12" w:name="_Toc150862409"/>
      <w:r>
        <w:rPr>
          <w:lang w:eastAsia="en-GB"/>
        </w:rPr>
        <w:t>4</w:t>
      </w:r>
      <w:r w:rsidR="00783121" w:rsidRPr="1DEA76A8">
        <w:rPr>
          <w:lang w:eastAsia="en-GB"/>
        </w:rPr>
        <w:t xml:space="preserve">.1 </w:t>
      </w:r>
      <w:r w:rsidR="003A2ADB">
        <w:rPr>
          <w:lang w:eastAsia="en-GB"/>
        </w:rPr>
        <w:t>Corporate and financial</w:t>
      </w:r>
      <w:r w:rsidR="00583F7F">
        <w:rPr>
          <w:lang w:eastAsia="en-GB"/>
        </w:rPr>
        <w:t xml:space="preserve"> c</w:t>
      </w:r>
      <w:r w:rsidR="00AA4900">
        <w:rPr>
          <w:lang w:eastAsia="en-GB"/>
        </w:rPr>
        <w:t xml:space="preserve">apacity and </w:t>
      </w:r>
      <w:r w:rsidR="00401B2C">
        <w:rPr>
          <w:lang w:eastAsia="en-GB"/>
        </w:rPr>
        <w:t>e</w:t>
      </w:r>
      <w:r w:rsidR="00AA4900">
        <w:rPr>
          <w:lang w:eastAsia="en-GB"/>
        </w:rPr>
        <w:t>xpertise</w:t>
      </w:r>
      <w:bookmarkEnd w:id="12"/>
    </w:p>
    <w:p w14:paraId="77DDB400" w14:textId="70A2A989" w:rsidR="1DEA76A8" w:rsidRPr="00A77630" w:rsidRDefault="1DEA76A8" w:rsidP="1DEA76A8">
      <w:pPr>
        <w:rPr>
          <w:i/>
          <w:iCs/>
          <w:sz w:val="24"/>
          <w:szCs w:val="24"/>
        </w:rPr>
      </w:pPr>
    </w:p>
    <w:p w14:paraId="3B4644F4" w14:textId="352B1062" w:rsidR="00BD0EBC" w:rsidRPr="00A77630" w:rsidRDefault="00BD0EBC" w:rsidP="00586BF2">
      <w:pPr>
        <w:jc w:val="both"/>
        <w:rPr>
          <w:b/>
          <w:bCs/>
          <w:i/>
          <w:iCs/>
          <w:sz w:val="24"/>
          <w:szCs w:val="24"/>
        </w:rPr>
      </w:pPr>
      <w:r w:rsidRPr="00A77630">
        <w:rPr>
          <w:b/>
          <w:bCs/>
          <w:i/>
          <w:iCs/>
          <w:sz w:val="24"/>
          <w:szCs w:val="24"/>
        </w:rPr>
        <w:t xml:space="preserve">Property </w:t>
      </w:r>
      <w:r w:rsidR="006A3037" w:rsidRPr="00A77630">
        <w:rPr>
          <w:b/>
          <w:bCs/>
          <w:i/>
          <w:iCs/>
          <w:sz w:val="24"/>
          <w:szCs w:val="24"/>
        </w:rPr>
        <w:t>c</w:t>
      </w:r>
      <w:r w:rsidRPr="00A77630">
        <w:rPr>
          <w:b/>
          <w:bCs/>
          <w:i/>
          <w:iCs/>
          <w:sz w:val="24"/>
          <w:szCs w:val="24"/>
        </w:rPr>
        <w:t xml:space="preserve">apacity and </w:t>
      </w:r>
      <w:r w:rsidR="006A3037" w:rsidRPr="00A77630">
        <w:rPr>
          <w:b/>
          <w:bCs/>
          <w:i/>
          <w:iCs/>
          <w:sz w:val="24"/>
          <w:szCs w:val="24"/>
        </w:rPr>
        <w:t>e</w:t>
      </w:r>
      <w:r w:rsidRPr="00A77630">
        <w:rPr>
          <w:b/>
          <w:bCs/>
          <w:i/>
          <w:iCs/>
          <w:sz w:val="24"/>
          <w:szCs w:val="24"/>
        </w:rPr>
        <w:t>xpertise</w:t>
      </w:r>
    </w:p>
    <w:p w14:paraId="7FC8902D" w14:textId="7E000593" w:rsidR="005B1457" w:rsidRDefault="00945337" w:rsidP="00586BF2">
      <w:pPr>
        <w:jc w:val="both"/>
      </w:pPr>
      <w:r>
        <w:t>SBC</w:t>
      </w:r>
      <w:r w:rsidR="00430857">
        <w:t xml:space="preserve"> established a dedicated Asset Management Team in 2017/18</w:t>
      </w:r>
      <w:r w:rsidR="00C22E26">
        <w:t xml:space="preserve">.  </w:t>
      </w:r>
      <w:r w:rsidR="008F7CBE">
        <w:t>It</w:t>
      </w:r>
      <w:r w:rsidR="005B1457">
        <w:t xml:space="preserve"> is</w:t>
      </w:r>
      <w:r>
        <w:t xml:space="preserve"> run</w:t>
      </w:r>
      <w:r w:rsidR="005B1457">
        <w:t xml:space="preserve"> by a property consultant</w:t>
      </w:r>
      <w:r w:rsidR="00325685">
        <w:t>,</w:t>
      </w:r>
      <w:r w:rsidR="005B1457">
        <w:t xml:space="preserve"> who acts as </w:t>
      </w:r>
      <w:r w:rsidR="008F7CBE">
        <w:t>Team</w:t>
      </w:r>
      <w:r w:rsidR="005B1457">
        <w:t xml:space="preserve"> Head. The consultant has specific and extensive expertise around the Heathrow market</w:t>
      </w:r>
      <w:r w:rsidR="00325685">
        <w:t>,</w:t>
      </w:r>
      <w:r w:rsidR="005B1457">
        <w:t xml:space="preserve"> highly relevant to </w:t>
      </w:r>
      <w:r w:rsidR="008C1881">
        <w:t xml:space="preserve">the </w:t>
      </w:r>
      <w:r w:rsidR="00B349D2">
        <w:t>c</w:t>
      </w:r>
      <w:r w:rsidR="008C1881">
        <w:t xml:space="preserve">ommercial </w:t>
      </w:r>
      <w:r w:rsidR="00B349D2">
        <w:t>p</w:t>
      </w:r>
      <w:r w:rsidR="008C1881">
        <w:t>ortfolio.</w:t>
      </w:r>
      <w:r w:rsidR="0080232D">
        <w:t xml:space="preserve"> </w:t>
      </w:r>
      <w:r w:rsidR="00614969">
        <w:t xml:space="preserve">They are supported by three other </w:t>
      </w:r>
      <w:r w:rsidR="00C90D03">
        <w:t>asset managers with considerable experience in</w:t>
      </w:r>
      <w:r w:rsidR="00AD028D">
        <w:t xml:space="preserve"> c</w:t>
      </w:r>
      <w:r w:rsidR="00C90D03">
        <w:t xml:space="preserve">ommercial </w:t>
      </w:r>
      <w:r w:rsidR="00AD028D">
        <w:t>p</w:t>
      </w:r>
      <w:r w:rsidR="00C90D03">
        <w:t>roperty</w:t>
      </w:r>
      <w:r w:rsidR="002C1F04">
        <w:t>, one of whom is also employed on a consultancy basis.</w:t>
      </w:r>
    </w:p>
    <w:p w14:paraId="7FF769B9" w14:textId="0359A314" w:rsidR="00347955" w:rsidRPr="00B73377" w:rsidRDefault="00347955" w:rsidP="00586BF2">
      <w:pPr>
        <w:pStyle w:val="NormalWeb"/>
        <w:jc w:val="both"/>
        <w:rPr>
          <w:rFonts w:asciiTheme="minorHAnsi" w:hAnsiTheme="minorHAnsi" w:cstheme="minorHAnsi"/>
          <w:color w:val="000000"/>
          <w:sz w:val="22"/>
          <w:szCs w:val="22"/>
        </w:rPr>
      </w:pPr>
      <w:r w:rsidRPr="00347955">
        <w:rPr>
          <w:rFonts w:asciiTheme="minorHAnsi" w:hAnsiTheme="minorHAnsi" w:cstheme="minorHAnsi"/>
          <w:color w:val="000000"/>
          <w:sz w:val="22"/>
          <w:szCs w:val="22"/>
        </w:rPr>
        <w:t xml:space="preserve">All </w:t>
      </w:r>
      <w:r w:rsidR="00153BA2">
        <w:rPr>
          <w:rFonts w:asciiTheme="minorHAnsi" w:hAnsiTheme="minorHAnsi" w:cstheme="minorHAnsi"/>
          <w:color w:val="000000"/>
          <w:sz w:val="22"/>
          <w:szCs w:val="22"/>
        </w:rPr>
        <w:t xml:space="preserve">property managers </w:t>
      </w:r>
      <w:r w:rsidRPr="00347955">
        <w:rPr>
          <w:rFonts w:asciiTheme="minorHAnsi" w:hAnsiTheme="minorHAnsi" w:cstheme="minorHAnsi"/>
          <w:color w:val="000000"/>
          <w:sz w:val="22"/>
          <w:szCs w:val="22"/>
        </w:rPr>
        <w:t>are chartered surveyors</w:t>
      </w:r>
      <w:r w:rsidR="006A55F9">
        <w:rPr>
          <w:rFonts w:asciiTheme="minorHAnsi" w:hAnsiTheme="minorHAnsi" w:cstheme="minorHAnsi"/>
          <w:color w:val="000000"/>
          <w:sz w:val="22"/>
          <w:szCs w:val="22"/>
        </w:rPr>
        <w:t xml:space="preserve"> (</w:t>
      </w:r>
      <w:r w:rsidRPr="00347955">
        <w:rPr>
          <w:rFonts w:asciiTheme="minorHAnsi" w:hAnsiTheme="minorHAnsi" w:cstheme="minorHAnsi"/>
          <w:color w:val="000000"/>
          <w:sz w:val="22"/>
          <w:szCs w:val="22"/>
        </w:rPr>
        <w:t>including a RICS registered valuer</w:t>
      </w:r>
      <w:r w:rsidR="006A55F9">
        <w:rPr>
          <w:rFonts w:asciiTheme="minorHAnsi" w:hAnsiTheme="minorHAnsi" w:cstheme="minorHAnsi"/>
          <w:color w:val="000000"/>
          <w:sz w:val="22"/>
          <w:szCs w:val="22"/>
        </w:rPr>
        <w:t xml:space="preserve">) </w:t>
      </w:r>
      <w:r w:rsidRPr="00347955">
        <w:rPr>
          <w:rFonts w:asciiTheme="minorHAnsi" w:hAnsiTheme="minorHAnsi" w:cstheme="minorHAnsi"/>
          <w:color w:val="000000"/>
          <w:sz w:val="22"/>
          <w:szCs w:val="22"/>
        </w:rPr>
        <w:t>bringing over 90 years’ combined experience in different specialisms: development (BAA Lynton, Hines), fund management (ING), investment, valuation</w:t>
      </w:r>
      <w:r w:rsidR="00153BA2">
        <w:rPr>
          <w:rFonts w:asciiTheme="minorHAnsi" w:hAnsiTheme="minorHAnsi" w:cstheme="minorHAnsi"/>
          <w:color w:val="000000"/>
          <w:sz w:val="22"/>
          <w:szCs w:val="22"/>
        </w:rPr>
        <w:t>,</w:t>
      </w:r>
      <w:r w:rsidRPr="00347955">
        <w:rPr>
          <w:rFonts w:asciiTheme="minorHAnsi" w:hAnsiTheme="minorHAnsi" w:cstheme="minorHAnsi"/>
          <w:color w:val="000000"/>
          <w:sz w:val="22"/>
          <w:szCs w:val="22"/>
        </w:rPr>
        <w:t xml:space="preserve"> asset management (JLL/Carter Jonas)</w:t>
      </w:r>
      <w:r w:rsidR="007F72A3">
        <w:rPr>
          <w:rFonts w:asciiTheme="minorHAnsi" w:hAnsiTheme="minorHAnsi" w:cstheme="minorHAnsi"/>
          <w:color w:val="000000"/>
          <w:sz w:val="22"/>
          <w:szCs w:val="22"/>
        </w:rPr>
        <w:t>,</w:t>
      </w:r>
      <w:r w:rsidRPr="00347955">
        <w:rPr>
          <w:rFonts w:asciiTheme="minorHAnsi" w:hAnsiTheme="minorHAnsi" w:cstheme="minorHAnsi"/>
          <w:color w:val="000000"/>
          <w:sz w:val="22"/>
          <w:szCs w:val="22"/>
        </w:rPr>
        <w:t xml:space="preserve"> and property management (JLL).</w:t>
      </w:r>
    </w:p>
    <w:p w14:paraId="27B342A2" w14:textId="21D75AD8" w:rsidR="00C90D03" w:rsidRDefault="00C90D03" w:rsidP="00586BF2">
      <w:pPr>
        <w:jc w:val="both"/>
      </w:pPr>
      <w:r>
        <w:t xml:space="preserve">The </w:t>
      </w:r>
      <w:r w:rsidR="00317801">
        <w:t>c</w:t>
      </w:r>
      <w:r w:rsidR="00E956BD">
        <w:t xml:space="preserve">urrent Head of Asset Management is soon to leave the team and is being replaced by </w:t>
      </w:r>
      <w:r w:rsidR="00022214">
        <w:t xml:space="preserve">an existing Head of Property at another local authority with a public sector background.  There have also been some </w:t>
      </w:r>
      <w:r w:rsidR="00D27ADF">
        <w:t>other</w:t>
      </w:r>
      <w:r w:rsidR="006C0375">
        <w:t xml:space="preserve"> recent</w:t>
      </w:r>
      <w:r w:rsidR="00D27ADF">
        <w:t xml:space="preserve"> </w:t>
      </w:r>
      <w:r w:rsidR="00022214">
        <w:t>changes.</w:t>
      </w:r>
    </w:p>
    <w:p w14:paraId="1BB1D5F6" w14:textId="6DA37FA8" w:rsidR="00234157" w:rsidRPr="00B73377" w:rsidRDefault="00190F95" w:rsidP="00586BF2">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The Asset</w:t>
      </w:r>
      <w:r w:rsidR="00234157" w:rsidRPr="00B7337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Team </w:t>
      </w:r>
      <w:r w:rsidR="00234157" w:rsidRPr="00B73377">
        <w:rPr>
          <w:rFonts w:asciiTheme="minorHAnsi" w:hAnsiTheme="minorHAnsi" w:cstheme="minorHAnsi"/>
          <w:color w:val="000000"/>
          <w:sz w:val="22"/>
          <w:szCs w:val="22"/>
        </w:rPr>
        <w:t xml:space="preserve">is further supported by a dedicated property accounts </w:t>
      </w:r>
      <w:r>
        <w:rPr>
          <w:rFonts w:asciiTheme="minorHAnsi" w:hAnsiTheme="minorHAnsi" w:cstheme="minorHAnsi"/>
          <w:color w:val="000000"/>
          <w:sz w:val="22"/>
          <w:szCs w:val="22"/>
        </w:rPr>
        <w:t>function</w:t>
      </w:r>
      <w:r w:rsidR="00234157" w:rsidRPr="00B73377">
        <w:rPr>
          <w:rFonts w:asciiTheme="minorHAnsi" w:hAnsiTheme="minorHAnsi" w:cstheme="minorHAnsi"/>
          <w:color w:val="000000"/>
          <w:sz w:val="22"/>
          <w:szCs w:val="22"/>
        </w:rPr>
        <w:t xml:space="preserve"> and administrators.</w:t>
      </w:r>
      <w:r w:rsidR="00D23DE3">
        <w:rPr>
          <w:rFonts w:asciiTheme="minorHAnsi" w:hAnsiTheme="minorHAnsi" w:cstheme="minorHAnsi"/>
          <w:color w:val="000000"/>
          <w:sz w:val="22"/>
          <w:szCs w:val="22"/>
        </w:rPr>
        <w:t xml:space="preserve"> The wider </w:t>
      </w:r>
      <w:r w:rsidR="008B4B63">
        <w:rPr>
          <w:rFonts w:asciiTheme="minorHAnsi" w:hAnsiTheme="minorHAnsi" w:cstheme="minorHAnsi"/>
          <w:color w:val="000000"/>
          <w:sz w:val="22"/>
          <w:szCs w:val="22"/>
        </w:rPr>
        <w:t>E</w:t>
      </w:r>
      <w:r w:rsidR="00D23DE3">
        <w:rPr>
          <w:rFonts w:asciiTheme="minorHAnsi" w:hAnsiTheme="minorHAnsi" w:cstheme="minorHAnsi"/>
          <w:color w:val="000000"/>
          <w:sz w:val="22"/>
          <w:szCs w:val="22"/>
        </w:rPr>
        <w:t xml:space="preserve">states </w:t>
      </w:r>
      <w:r w:rsidR="008B4B63">
        <w:rPr>
          <w:rFonts w:asciiTheme="minorHAnsi" w:hAnsiTheme="minorHAnsi" w:cstheme="minorHAnsi"/>
          <w:color w:val="000000"/>
          <w:sz w:val="22"/>
          <w:szCs w:val="22"/>
        </w:rPr>
        <w:t>T</w:t>
      </w:r>
      <w:r w:rsidR="00D23DE3">
        <w:rPr>
          <w:rFonts w:asciiTheme="minorHAnsi" w:hAnsiTheme="minorHAnsi" w:cstheme="minorHAnsi"/>
          <w:color w:val="000000"/>
          <w:sz w:val="22"/>
          <w:szCs w:val="22"/>
        </w:rPr>
        <w:t xml:space="preserve">eam managed by the </w:t>
      </w:r>
      <w:r w:rsidR="008B4B63">
        <w:rPr>
          <w:rFonts w:asciiTheme="minorHAnsi" w:hAnsiTheme="minorHAnsi" w:cstheme="minorHAnsi"/>
          <w:color w:val="000000"/>
          <w:sz w:val="22"/>
          <w:szCs w:val="22"/>
        </w:rPr>
        <w:t>H</w:t>
      </w:r>
      <w:r w:rsidR="00D23DE3">
        <w:rPr>
          <w:rFonts w:asciiTheme="minorHAnsi" w:hAnsiTheme="minorHAnsi" w:cstheme="minorHAnsi"/>
          <w:color w:val="000000"/>
          <w:sz w:val="22"/>
          <w:szCs w:val="22"/>
        </w:rPr>
        <w:t xml:space="preserve">ead of </w:t>
      </w:r>
      <w:r w:rsidR="008B4B63">
        <w:rPr>
          <w:rFonts w:asciiTheme="minorHAnsi" w:hAnsiTheme="minorHAnsi" w:cstheme="minorHAnsi"/>
          <w:color w:val="000000"/>
          <w:sz w:val="22"/>
          <w:szCs w:val="22"/>
        </w:rPr>
        <w:t>P</w:t>
      </w:r>
      <w:r w:rsidR="00D23DE3">
        <w:rPr>
          <w:rFonts w:asciiTheme="minorHAnsi" w:hAnsiTheme="minorHAnsi" w:cstheme="minorHAnsi"/>
          <w:color w:val="000000"/>
          <w:sz w:val="22"/>
          <w:szCs w:val="22"/>
        </w:rPr>
        <w:t xml:space="preserve">roperty also has responsibility for </w:t>
      </w:r>
      <w:r w:rsidR="008B4B63">
        <w:rPr>
          <w:rFonts w:asciiTheme="minorHAnsi" w:hAnsiTheme="minorHAnsi" w:cstheme="minorHAnsi"/>
          <w:color w:val="000000"/>
          <w:sz w:val="22"/>
          <w:szCs w:val="22"/>
        </w:rPr>
        <w:t>SBC’s</w:t>
      </w:r>
      <w:r w:rsidR="00D23DE3">
        <w:rPr>
          <w:rFonts w:asciiTheme="minorHAnsi" w:hAnsiTheme="minorHAnsi" w:cstheme="minorHAnsi"/>
          <w:color w:val="000000"/>
          <w:sz w:val="22"/>
          <w:szCs w:val="22"/>
        </w:rPr>
        <w:t xml:space="preserve"> </w:t>
      </w:r>
      <w:r w:rsidR="000A7D12">
        <w:rPr>
          <w:rFonts w:asciiTheme="minorHAnsi" w:hAnsiTheme="minorHAnsi" w:cstheme="minorHAnsi"/>
          <w:color w:val="000000"/>
          <w:sz w:val="22"/>
          <w:szCs w:val="22"/>
        </w:rPr>
        <w:t xml:space="preserve">major capital development projects including a new Leisure Centre and the </w:t>
      </w:r>
      <w:r w:rsidR="008B4B63">
        <w:rPr>
          <w:rFonts w:asciiTheme="minorHAnsi" w:hAnsiTheme="minorHAnsi" w:cstheme="minorHAnsi"/>
          <w:color w:val="000000"/>
          <w:sz w:val="22"/>
          <w:szCs w:val="22"/>
        </w:rPr>
        <w:t>affordable housing programme.</w:t>
      </w:r>
      <w:r w:rsidR="000A7D12">
        <w:rPr>
          <w:rFonts w:asciiTheme="minorHAnsi" w:hAnsiTheme="minorHAnsi" w:cstheme="minorHAnsi"/>
          <w:color w:val="000000"/>
          <w:sz w:val="22"/>
          <w:szCs w:val="22"/>
        </w:rPr>
        <w:t xml:space="preserve"> </w:t>
      </w:r>
      <w:r w:rsidR="00512A8C">
        <w:rPr>
          <w:rFonts w:asciiTheme="minorHAnsi" w:hAnsiTheme="minorHAnsi" w:cstheme="minorHAnsi"/>
          <w:color w:val="000000"/>
          <w:sz w:val="22"/>
          <w:szCs w:val="22"/>
        </w:rPr>
        <w:t>The remain</w:t>
      </w:r>
      <w:r w:rsidR="002837D0">
        <w:rPr>
          <w:rFonts w:asciiTheme="minorHAnsi" w:hAnsiTheme="minorHAnsi" w:cstheme="minorHAnsi"/>
          <w:color w:val="000000"/>
          <w:sz w:val="22"/>
          <w:szCs w:val="22"/>
        </w:rPr>
        <w:t>der of the team focuses on residential lettings and facilities management.</w:t>
      </w:r>
      <w:r w:rsidR="000A7D12">
        <w:rPr>
          <w:rFonts w:asciiTheme="minorHAnsi" w:hAnsiTheme="minorHAnsi" w:cstheme="minorHAnsi"/>
          <w:color w:val="000000"/>
          <w:sz w:val="22"/>
          <w:szCs w:val="22"/>
        </w:rPr>
        <w:t xml:space="preserve"> </w:t>
      </w:r>
    </w:p>
    <w:p w14:paraId="66667205" w14:textId="61E2DA1A" w:rsidR="00234157" w:rsidRDefault="002837D0" w:rsidP="00586BF2">
      <w:pPr>
        <w:jc w:val="both"/>
      </w:pPr>
      <w:r>
        <w:t xml:space="preserve">Until recently the Assets Team has managed and maintained </w:t>
      </w:r>
      <w:r w:rsidR="00A654B0">
        <w:t xml:space="preserve">the </w:t>
      </w:r>
      <w:r w:rsidR="00A245FB">
        <w:t>c</w:t>
      </w:r>
      <w:r w:rsidR="00A654B0">
        <w:t>ouncil’s sinking fund</w:t>
      </w:r>
      <w:r w:rsidR="001E1FE2">
        <w:t xml:space="preserve">. </w:t>
      </w:r>
      <w:r w:rsidR="00E76546">
        <w:t>R</w:t>
      </w:r>
      <w:r w:rsidR="00A654B0">
        <w:t xml:space="preserve">esponsibility for this is </w:t>
      </w:r>
      <w:r w:rsidR="00E76546">
        <w:t xml:space="preserve">now </w:t>
      </w:r>
      <w:r w:rsidR="00A654B0">
        <w:t xml:space="preserve">being moved to </w:t>
      </w:r>
      <w:r w:rsidR="00551C1B">
        <w:t>Financ</w:t>
      </w:r>
      <w:r w:rsidR="008C317E">
        <w:t>e</w:t>
      </w:r>
      <w:r w:rsidR="00551C1B">
        <w:t>.</w:t>
      </w:r>
    </w:p>
    <w:p w14:paraId="5757869D" w14:textId="653685C9" w:rsidR="008014B4" w:rsidRDefault="008014B4" w:rsidP="00586BF2">
      <w:pPr>
        <w:jc w:val="both"/>
      </w:pPr>
      <w:r>
        <w:t>The team is further supported by contracts with Cushman and Wakefield</w:t>
      </w:r>
      <w:r w:rsidR="00746D57">
        <w:t>,</w:t>
      </w:r>
      <w:r>
        <w:t xml:space="preserve"> which </w:t>
      </w:r>
      <w:r w:rsidR="00C3040D">
        <w:t>manages</w:t>
      </w:r>
      <w:r w:rsidR="008C317E">
        <w:t xml:space="preserve"> day-to-day</w:t>
      </w:r>
      <w:r w:rsidR="00C3040D">
        <w:t xml:space="preserve"> tenancy issues associated with the </w:t>
      </w:r>
      <w:r w:rsidR="00D86F8D">
        <w:t>c</w:t>
      </w:r>
      <w:r w:rsidR="00C3040D">
        <w:t xml:space="preserve">ommercial </w:t>
      </w:r>
      <w:r w:rsidR="00D86F8D">
        <w:t>p</w:t>
      </w:r>
      <w:r w:rsidR="00C3040D">
        <w:t xml:space="preserve">ortfolio.  Carter </w:t>
      </w:r>
      <w:r w:rsidR="00140F4E">
        <w:t xml:space="preserve">Jonas </w:t>
      </w:r>
      <w:r w:rsidR="00F170CC">
        <w:t xml:space="preserve">undertakes </w:t>
      </w:r>
      <w:r w:rsidR="00C3040D">
        <w:t xml:space="preserve">annual valuations of the </w:t>
      </w:r>
      <w:r w:rsidR="00D86F8D">
        <w:t>p</w:t>
      </w:r>
      <w:r w:rsidR="00C3040D">
        <w:t>ortfolio.</w:t>
      </w:r>
    </w:p>
    <w:p w14:paraId="2EABB41A" w14:textId="040727E2" w:rsidR="00551C1B" w:rsidRDefault="00A14629" w:rsidP="00586BF2">
      <w:pPr>
        <w:jc w:val="both"/>
      </w:pPr>
      <w:r>
        <w:t>Overall</w:t>
      </w:r>
      <w:r w:rsidR="00BF49EE">
        <w:t>,</w:t>
      </w:r>
      <w:r>
        <w:t xml:space="preserve"> the</w:t>
      </w:r>
      <w:r w:rsidR="00F46182">
        <w:t xml:space="preserve"> team </w:t>
      </w:r>
      <w:r>
        <w:t>appears</w:t>
      </w:r>
      <w:r w:rsidR="00F46182">
        <w:t xml:space="preserve"> proactive in </w:t>
      </w:r>
      <w:r>
        <w:t xml:space="preserve">day-to-day </w:t>
      </w:r>
      <w:r w:rsidR="00F170CC">
        <w:t>portfolio</w:t>
      </w:r>
      <w:r w:rsidR="00F46182">
        <w:t xml:space="preserve"> management.</w:t>
      </w:r>
      <w:r w:rsidR="00377548">
        <w:t xml:space="preserve"> Examples include: </w:t>
      </w:r>
    </w:p>
    <w:p w14:paraId="5250BFA2" w14:textId="56D60178" w:rsidR="007307E2" w:rsidRDefault="00A245FB" w:rsidP="00F34C2F">
      <w:pPr>
        <w:pStyle w:val="ListParagraph"/>
        <w:numPr>
          <w:ilvl w:val="0"/>
          <w:numId w:val="8"/>
        </w:numPr>
        <w:ind w:left="714" w:hanging="357"/>
        <w:jc w:val="both"/>
      </w:pPr>
      <w:r>
        <w:t>p</w:t>
      </w:r>
      <w:r w:rsidR="00154316">
        <w:t>eriod</w:t>
      </w:r>
      <w:r w:rsidR="009B5DFD">
        <w:t>ic</w:t>
      </w:r>
      <w:r w:rsidR="00154316">
        <w:t xml:space="preserve"> review</w:t>
      </w:r>
      <w:r w:rsidR="00DE0D6D">
        <w:t>s of</w:t>
      </w:r>
      <w:r w:rsidR="00154316">
        <w:t xml:space="preserve"> </w:t>
      </w:r>
      <w:r w:rsidR="000B66B1">
        <w:t>tenants’</w:t>
      </w:r>
      <w:r w:rsidR="00154316">
        <w:t xml:space="preserve"> financial standing</w:t>
      </w:r>
      <w:r w:rsidR="007307E2">
        <w:t xml:space="preserve"> </w:t>
      </w:r>
      <w:r w:rsidR="00E33E08">
        <w:t>and ability to</w:t>
      </w:r>
      <w:r w:rsidR="00E4313D">
        <w:t xml:space="preserve"> </w:t>
      </w:r>
      <w:r w:rsidR="007307E2">
        <w:t xml:space="preserve">meet </w:t>
      </w:r>
      <w:r w:rsidR="005B1582">
        <w:t>their</w:t>
      </w:r>
      <w:r w:rsidR="007307E2">
        <w:t xml:space="preserve"> commitments</w:t>
      </w:r>
    </w:p>
    <w:p w14:paraId="3AF10E4A" w14:textId="6B033341" w:rsidR="00320657" w:rsidRDefault="00A245FB" w:rsidP="00F34C2F">
      <w:pPr>
        <w:pStyle w:val="ListParagraph"/>
        <w:numPr>
          <w:ilvl w:val="0"/>
          <w:numId w:val="8"/>
        </w:numPr>
        <w:ind w:left="714" w:hanging="357"/>
        <w:jc w:val="both"/>
      </w:pPr>
      <w:r>
        <w:t>p</w:t>
      </w:r>
      <w:r w:rsidR="00120702">
        <w:t xml:space="preserve">roactive engagement with tenants </w:t>
      </w:r>
      <w:r w:rsidR="001F1285">
        <w:t>before</w:t>
      </w:r>
      <w:r w:rsidR="00120702">
        <w:t xml:space="preserve"> </w:t>
      </w:r>
      <w:r w:rsidR="00D25595">
        <w:t>tenanc</w:t>
      </w:r>
      <w:r w:rsidR="001F1285">
        <w:t>ies end</w:t>
      </w:r>
      <w:r w:rsidR="00120702">
        <w:t xml:space="preserve"> to explore options to extend </w:t>
      </w:r>
    </w:p>
    <w:p w14:paraId="0F3BF31A" w14:textId="406AA5E6" w:rsidR="0028270F" w:rsidRDefault="00A245FB" w:rsidP="00F34C2F">
      <w:pPr>
        <w:pStyle w:val="ListParagraph"/>
        <w:numPr>
          <w:ilvl w:val="0"/>
          <w:numId w:val="8"/>
        </w:numPr>
        <w:ind w:left="714" w:hanging="357"/>
        <w:jc w:val="both"/>
      </w:pPr>
      <w:r>
        <w:t>s</w:t>
      </w:r>
      <w:r w:rsidR="001F4CBC">
        <w:t>wift response to the termination of a major tenancy with head</w:t>
      </w:r>
      <w:r w:rsidR="00C04302">
        <w:t>s</w:t>
      </w:r>
      <w:r w:rsidR="001F4CBC">
        <w:t xml:space="preserve"> of terms already under consideration for a </w:t>
      </w:r>
      <w:r w:rsidR="0057712F">
        <w:t>new</w:t>
      </w:r>
      <w:r w:rsidR="001F4CBC">
        <w:t xml:space="preserve"> tenant</w:t>
      </w:r>
      <w:r w:rsidR="0099182C">
        <w:t>, thereby</w:t>
      </w:r>
      <w:r w:rsidR="001F4CBC">
        <w:t xml:space="preserve"> </w:t>
      </w:r>
      <w:r w:rsidR="0099182C">
        <w:t>reducing</w:t>
      </w:r>
      <w:r w:rsidR="001F4CBC">
        <w:t xml:space="preserve"> the existing void level of </w:t>
      </w:r>
      <w:r w:rsidR="002A3531">
        <w:t>13% to 8%</w:t>
      </w:r>
    </w:p>
    <w:p w14:paraId="5EE66615" w14:textId="36FCDC14" w:rsidR="00FD3897" w:rsidRDefault="00FD3897" w:rsidP="00586BF2">
      <w:pPr>
        <w:jc w:val="both"/>
      </w:pPr>
      <w:r>
        <w:t xml:space="preserve">The Estates Team produces </w:t>
      </w:r>
      <w:r w:rsidR="00120702">
        <w:t xml:space="preserve">Asset Management Business Plans for all </w:t>
      </w:r>
      <w:r w:rsidR="005C1B58">
        <w:t xml:space="preserve">key Council </w:t>
      </w:r>
      <w:r w:rsidR="00320657">
        <w:t>Invest</w:t>
      </w:r>
      <w:r>
        <w:t>ment pro</w:t>
      </w:r>
      <w:r w:rsidR="00CE7A71">
        <w:t>perties</w:t>
      </w:r>
      <w:r w:rsidR="0099182C">
        <w:t>. These</w:t>
      </w:r>
      <w:r>
        <w:t xml:space="preserve"> provide detail </w:t>
      </w:r>
      <w:r w:rsidR="0099182C">
        <w:t>on</w:t>
      </w:r>
      <w:r w:rsidR="00957424">
        <w:t xml:space="preserve">: </w:t>
      </w:r>
    </w:p>
    <w:p w14:paraId="3BEDE9BB" w14:textId="566B41F1" w:rsidR="00377548" w:rsidRDefault="00730F71" w:rsidP="00F34C2F">
      <w:pPr>
        <w:pStyle w:val="ListParagraph"/>
        <w:numPr>
          <w:ilvl w:val="0"/>
          <w:numId w:val="9"/>
        </w:numPr>
        <w:ind w:left="714" w:hanging="357"/>
        <w:jc w:val="both"/>
      </w:pPr>
      <w:r>
        <w:t>a</w:t>
      </w:r>
      <w:r w:rsidR="00DE146D">
        <w:t xml:space="preserve">sset management </w:t>
      </w:r>
      <w:r w:rsidR="0065268F">
        <w:t>refurbishment plans</w:t>
      </w:r>
    </w:p>
    <w:p w14:paraId="05FE2D8E" w14:textId="6BCDAF23" w:rsidR="0065268F" w:rsidRDefault="00730F71" w:rsidP="00F34C2F">
      <w:pPr>
        <w:pStyle w:val="ListParagraph"/>
        <w:numPr>
          <w:ilvl w:val="0"/>
          <w:numId w:val="9"/>
        </w:numPr>
        <w:ind w:left="714" w:hanging="357"/>
        <w:jc w:val="both"/>
      </w:pPr>
      <w:r>
        <w:t>k</w:t>
      </w:r>
      <w:r w:rsidR="0065268F">
        <w:t>ey threats</w:t>
      </w:r>
    </w:p>
    <w:p w14:paraId="12A38E0E" w14:textId="4CC4C3D5" w:rsidR="0065268F" w:rsidRDefault="00730F71" w:rsidP="00F34C2F">
      <w:pPr>
        <w:pStyle w:val="ListParagraph"/>
        <w:numPr>
          <w:ilvl w:val="0"/>
          <w:numId w:val="9"/>
        </w:numPr>
        <w:ind w:left="714" w:hanging="357"/>
        <w:jc w:val="both"/>
      </w:pPr>
      <w:r>
        <w:t>i</w:t>
      </w:r>
      <w:r w:rsidR="0065268F">
        <w:t>ncome expectations</w:t>
      </w:r>
    </w:p>
    <w:p w14:paraId="52375E2C" w14:textId="33998E6F" w:rsidR="0065268F" w:rsidRDefault="00730F71" w:rsidP="00F34C2F">
      <w:pPr>
        <w:pStyle w:val="ListParagraph"/>
        <w:numPr>
          <w:ilvl w:val="0"/>
          <w:numId w:val="9"/>
        </w:numPr>
        <w:ind w:left="714" w:hanging="357"/>
        <w:jc w:val="both"/>
      </w:pPr>
      <w:r>
        <w:t>v</w:t>
      </w:r>
      <w:r w:rsidR="0065268F">
        <w:t>aluations</w:t>
      </w:r>
    </w:p>
    <w:p w14:paraId="18D02325" w14:textId="40F96D61" w:rsidR="0065268F" w:rsidRDefault="0065268F" w:rsidP="00F34C2F">
      <w:pPr>
        <w:pStyle w:val="ListParagraph"/>
        <w:numPr>
          <w:ilvl w:val="0"/>
          <w:numId w:val="9"/>
        </w:numPr>
        <w:ind w:left="714" w:hanging="357"/>
        <w:jc w:val="both"/>
      </w:pPr>
      <w:r>
        <w:t>SWOT analysis</w:t>
      </w:r>
    </w:p>
    <w:p w14:paraId="0199D637" w14:textId="24F9F9D0" w:rsidR="0065268F" w:rsidRDefault="00730F71" w:rsidP="00F34C2F">
      <w:pPr>
        <w:pStyle w:val="ListParagraph"/>
        <w:numPr>
          <w:ilvl w:val="0"/>
          <w:numId w:val="9"/>
        </w:numPr>
        <w:ind w:left="714" w:hanging="357"/>
        <w:jc w:val="both"/>
      </w:pPr>
      <w:r>
        <w:t>f</w:t>
      </w:r>
      <w:r w:rsidR="0065268F">
        <w:t xml:space="preserve">uture plans </w:t>
      </w:r>
    </w:p>
    <w:p w14:paraId="409D67BC" w14:textId="0BC4E53F" w:rsidR="009864B3" w:rsidRDefault="00A14629" w:rsidP="00586BF2">
      <w:pPr>
        <w:jc w:val="both"/>
      </w:pPr>
      <w:r>
        <w:t>SBC</w:t>
      </w:r>
      <w:r w:rsidR="0008139E">
        <w:t xml:space="preserve"> is also prepared to look at alternative uses for its commercial building</w:t>
      </w:r>
      <w:r w:rsidR="00957424">
        <w:t>s,</w:t>
      </w:r>
      <w:r w:rsidR="0008139E">
        <w:t xml:space="preserve"> including potential residential </w:t>
      </w:r>
      <w:r w:rsidR="00F72E2F">
        <w:t xml:space="preserve">and industrial </w:t>
      </w:r>
      <w:r w:rsidR="0008139E">
        <w:t>usage</w:t>
      </w:r>
      <w:r w:rsidR="00F72E2F">
        <w:t>/disposal</w:t>
      </w:r>
      <w:r w:rsidR="00571B65">
        <w:t>.</w:t>
      </w:r>
    </w:p>
    <w:p w14:paraId="3658FC8F" w14:textId="3A360538" w:rsidR="00BE6537" w:rsidRDefault="00E111C4" w:rsidP="00586BF2">
      <w:pPr>
        <w:jc w:val="both"/>
      </w:pPr>
      <w:r>
        <w:t>M</w:t>
      </w:r>
      <w:r w:rsidR="00341C56">
        <w:t xml:space="preserve">ember </w:t>
      </w:r>
      <w:r w:rsidR="009678A4">
        <w:t xml:space="preserve">and senior officer </w:t>
      </w:r>
      <w:r w:rsidR="00341C56">
        <w:t>oversight of the portfolio</w:t>
      </w:r>
      <w:r>
        <w:t>,</w:t>
      </w:r>
      <w:r w:rsidR="00341C56">
        <w:t xml:space="preserve"> detailed in Section 3.2</w:t>
      </w:r>
      <w:r>
        <w:t>,</w:t>
      </w:r>
      <w:r w:rsidR="00194DBB">
        <w:t xml:space="preserve"> means considerable </w:t>
      </w:r>
      <w:r w:rsidR="00AE0E32">
        <w:t xml:space="preserve">specialist officer </w:t>
      </w:r>
      <w:r w:rsidR="00194DBB">
        <w:t xml:space="preserve">time is </w:t>
      </w:r>
      <w:r w:rsidR="00AE0E32">
        <w:t>devoted to</w:t>
      </w:r>
      <w:r w:rsidR="00194DBB">
        <w:t xml:space="preserve"> meetings an</w:t>
      </w:r>
      <w:r w:rsidR="005D086D">
        <w:t>d</w:t>
      </w:r>
      <w:r w:rsidR="00194DBB">
        <w:t xml:space="preserve"> information requests.  </w:t>
      </w:r>
      <w:r w:rsidR="00AE1CC6">
        <w:t>This impact</w:t>
      </w:r>
      <w:r w:rsidR="0063679A">
        <w:t>s</w:t>
      </w:r>
      <w:r w:rsidR="00AE1CC6">
        <w:t xml:space="preserve"> on the time available to </w:t>
      </w:r>
      <w:r w:rsidR="005D086D">
        <w:t>focus on</w:t>
      </w:r>
      <w:r w:rsidR="006C1F52">
        <w:t xml:space="preserve">: </w:t>
      </w:r>
    </w:p>
    <w:p w14:paraId="66AC24B0" w14:textId="24F170F6" w:rsidR="006C1F52" w:rsidRDefault="00730F71" w:rsidP="00F34C2F">
      <w:pPr>
        <w:pStyle w:val="ListParagraph"/>
        <w:numPr>
          <w:ilvl w:val="0"/>
          <w:numId w:val="10"/>
        </w:numPr>
        <w:ind w:left="714" w:hanging="357"/>
        <w:jc w:val="both"/>
      </w:pPr>
      <w:r>
        <w:t>t</w:t>
      </w:r>
      <w:r w:rsidR="006C1F52">
        <w:t>he full range of risks facing the portfolio, particularly for repairs, maintenance</w:t>
      </w:r>
      <w:r w:rsidR="00DC1437">
        <w:t>,</w:t>
      </w:r>
      <w:r w:rsidR="006C1F52">
        <w:t xml:space="preserve"> and </w:t>
      </w:r>
      <w:r w:rsidR="00FB345C">
        <w:t xml:space="preserve">reconfiguration over the </w:t>
      </w:r>
      <w:r w:rsidR="009678A4">
        <w:t>lifespan</w:t>
      </w:r>
    </w:p>
    <w:p w14:paraId="7FF1E420" w14:textId="2DFC9486" w:rsidR="00FB345C" w:rsidRDefault="00730F71" w:rsidP="00F34C2F">
      <w:pPr>
        <w:pStyle w:val="ListParagraph"/>
        <w:numPr>
          <w:ilvl w:val="0"/>
          <w:numId w:val="10"/>
        </w:numPr>
        <w:ind w:left="714" w:hanging="357"/>
        <w:jc w:val="both"/>
      </w:pPr>
      <w:r>
        <w:t>t</w:t>
      </w:r>
      <w:r w:rsidR="00BD0EDE">
        <w:t xml:space="preserve">he medium to long-term realism of </w:t>
      </w:r>
      <w:r w:rsidR="00FB345C">
        <w:t xml:space="preserve">assumptions around </w:t>
      </w:r>
      <w:r w:rsidR="00CB5B60">
        <w:t xml:space="preserve">income </w:t>
      </w:r>
      <w:r w:rsidR="009D2D14">
        <w:t xml:space="preserve">and void </w:t>
      </w:r>
      <w:r w:rsidR="00CB5B60">
        <w:t>levels</w:t>
      </w:r>
    </w:p>
    <w:p w14:paraId="58026C98" w14:textId="50F74AD9" w:rsidR="009864B3" w:rsidRDefault="00260F87" w:rsidP="00586BF2">
      <w:pPr>
        <w:jc w:val="both"/>
      </w:pPr>
      <w:r>
        <w:t xml:space="preserve">SBC </w:t>
      </w:r>
      <w:r w:rsidR="00D11B43">
        <w:t xml:space="preserve">has not commissioned an independent review of its portfolio </w:t>
      </w:r>
      <w:r w:rsidR="00235B77">
        <w:t>since the pandemic.</w:t>
      </w:r>
    </w:p>
    <w:p w14:paraId="5476EF3B" w14:textId="4DDA9E10" w:rsidR="00DC1437" w:rsidRDefault="003F437A" w:rsidP="00586BF2">
      <w:pPr>
        <w:jc w:val="both"/>
      </w:pPr>
      <w:r>
        <w:t xml:space="preserve">The </w:t>
      </w:r>
      <w:r w:rsidR="00730F71">
        <w:t>c</w:t>
      </w:r>
      <w:r>
        <w:t xml:space="preserve">ouncil </w:t>
      </w:r>
      <w:r w:rsidR="00286B72">
        <w:t>is considering increasing</w:t>
      </w:r>
      <w:r>
        <w:t xml:space="preserve"> team </w:t>
      </w:r>
      <w:r w:rsidR="00286B72">
        <w:t xml:space="preserve">capacity </w:t>
      </w:r>
      <w:r>
        <w:t xml:space="preserve">to assist </w:t>
      </w:r>
      <w:r w:rsidR="003A7F13">
        <w:t xml:space="preserve">in implementing </w:t>
      </w:r>
      <w:r>
        <w:t>the affordable housing programme.</w:t>
      </w:r>
      <w:r w:rsidR="00190E0E">
        <w:t xml:space="preserve"> </w:t>
      </w:r>
      <w:r w:rsidR="00657ADA">
        <w:t xml:space="preserve">This will undoubtedly </w:t>
      </w:r>
      <w:r w:rsidR="003A7F13">
        <w:t>help</w:t>
      </w:r>
      <w:r w:rsidR="00657ADA">
        <w:t xml:space="preserve"> but </w:t>
      </w:r>
      <w:r w:rsidR="00171EAC">
        <w:t>the pro</w:t>
      </w:r>
      <w:r w:rsidR="00CA5709">
        <w:t xml:space="preserve">ject complexity will still </w:t>
      </w:r>
      <w:r w:rsidR="00E13764">
        <w:t xml:space="preserve">place significant </w:t>
      </w:r>
      <w:r w:rsidR="00171EAC">
        <w:t>pressure on senior management time.</w:t>
      </w:r>
    </w:p>
    <w:p w14:paraId="338DA887" w14:textId="36F19515" w:rsidR="005B1457" w:rsidRPr="00A77630" w:rsidRDefault="005339B9" w:rsidP="00586BF2">
      <w:pPr>
        <w:jc w:val="both"/>
        <w:rPr>
          <w:b/>
          <w:bCs/>
          <w:i/>
          <w:iCs/>
          <w:sz w:val="24"/>
          <w:szCs w:val="24"/>
        </w:rPr>
      </w:pPr>
      <w:r w:rsidRPr="00A77630">
        <w:rPr>
          <w:b/>
          <w:bCs/>
          <w:i/>
          <w:iCs/>
          <w:sz w:val="24"/>
          <w:szCs w:val="24"/>
        </w:rPr>
        <w:t xml:space="preserve">Finance Team </w:t>
      </w:r>
      <w:r w:rsidR="0047696C" w:rsidRPr="00A77630">
        <w:rPr>
          <w:b/>
          <w:bCs/>
          <w:i/>
          <w:iCs/>
          <w:sz w:val="24"/>
          <w:szCs w:val="24"/>
        </w:rPr>
        <w:t>c</w:t>
      </w:r>
      <w:r w:rsidRPr="00A77630">
        <w:rPr>
          <w:b/>
          <w:bCs/>
          <w:i/>
          <w:iCs/>
          <w:sz w:val="24"/>
          <w:szCs w:val="24"/>
        </w:rPr>
        <w:t xml:space="preserve">apacity and </w:t>
      </w:r>
      <w:r w:rsidR="0047696C" w:rsidRPr="00A77630">
        <w:rPr>
          <w:b/>
          <w:bCs/>
          <w:i/>
          <w:iCs/>
          <w:sz w:val="24"/>
          <w:szCs w:val="24"/>
        </w:rPr>
        <w:t>e</w:t>
      </w:r>
      <w:r w:rsidRPr="00A77630">
        <w:rPr>
          <w:b/>
          <w:bCs/>
          <w:i/>
          <w:iCs/>
          <w:sz w:val="24"/>
          <w:szCs w:val="24"/>
        </w:rPr>
        <w:t>xpertise</w:t>
      </w:r>
    </w:p>
    <w:p w14:paraId="49A6B91D" w14:textId="50CDD3E9" w:rsidR="00917571" w:rsidRDefault="003648F4" w:rsidP="00586BF2">
      <w:pPr>
        <w:jc w:val="both"/>
      </w:pPr>
      <w:r>
        <w:t xml:space="preserve">The Finance Team </w:t>
      </w:r>
      <w:r w:rsidR="00F72764">
        <w:t>is under considerable pressure</w:t>
      </w:r>
      <w:r w:rsidR="00E13764">
        <w:t>. Currently, it must:</w:t>
      </w:r>
      <w:r w:rsidR="00F72764">
        <w:t xml:space="preserve"> </w:t>
      </w:r>
    </w:p>
    <w:p w14:paraId="7336553E" w14:textId="56EEAD4B" w:rsidR="00F72764" w:rsidRDefault="00730F71" w:rsidP="00F34C2F">
      <w:pPr>
        <w:pStyle w:val="ListParagraph"/>
        <w:numPr>
          <w:ilvl w:val="0"/>
          <w:numId w:val="11"/>
        </w:numPr>
        <w:ind w:left="714" w:hanging="357"/>
        <w:jc w:val="both"/>
      </w:pPr>
      <w:r>
        <w:t>e</w:t>
      </w:r>
      <w:r w:rsidR="00B14DAE">
        <w:t>stabli</w:t>
      </w:r>
      <w:r w:rsidR="00C14CC3">
        <w:t>sh</w:t>
      </w:r>
      <w:r w:rsidR="00B14DAE">
        <w:t xml:space="preserve"> a balanced budget and address </w:t>
      </w:r>
      <w:r w:rsidR="00C14CC3">
        <w:t>the</w:t>
      </w:r>
      <w:r w:rsidR="00B14DAE">
        <w:t xml:space="preserve"> underlying deficit</w:t>
      </w:r>
    </w:p>
    <w:p w14:paraId="7BBC90FE" w14:textId="1D7AFC27" w:rsidR="00B14DAE" w:rsidRDefault="00730F71" w:rsidP="00F34C2F">
      <w:pPr>
        <w:pStyle w:val="ListParagraph"/>
        <w:numPr>
          <w:ilvl w:val="0"/>
          <w:numId w:val="11"/>
        </w:numPr>
        <w:ind w:left="714" w:hanging="357"/>
        <w:jc w:val="both"/>
      </w:pPr>
      <w:r>
        <w:t>d</w:t>
      </w:r>
      <w:r w:rsidR="00BC504D">
        <w:t xml:space="preserve">evelop plans to ensure the viability of </w:t>
      </w:r>
      <w:r w:rsidR="00CE05B0">
        <w:t>SBC</w:t>
      </w:r>
      <w:r w:rsidR="00BC504D">
        <w:t xml:space="preserve"> investment in affordable property </w:t>
      </w:r>
    </w:p>
    <w:p w14:paraId="5782DF0C" w14:textId="122818D8" w:rsidR="00B163D7" w:rsidRDefault="00730F71" w:rsidP="00F34C2F">
      <w:pPr>
        <w:pStyle w:val="ListParagraph"/>
        <w:numPr>
          <w:ilvl w:val="0"/>
          <w:numId w:val="11"/>
        </w:numPr>
        <w:ind w:left="714" w:hanging="357"/>
        <w:jc w:val="both"/>
      </w:pPr>
      <w:r>
        <w:t>r</w:t>
      </w:r>
      <w:r w:rsidR="00BC504D">
        <w:t xml:space="preserve">eview the sinking fund to </w:t>
      </w:r>
      <w:r w:rsidR="00B163D7">
        <w:t>move it to a 50</w:t>
      </w:r>
      <w:r w:rsidR="006E4C3C">
        <w:t>-</w:t>
      </w:r>
      <w:r w:rsidR="00B163D7">
        <w:t>year basis</w:t>
      </w:r>
    </w:p>
    <w:p w14:paraId="6C82E455" w14:textId="274DE48C" w:rsidR="003A6DBD" w:rsidRDefault="00730F71" w:rsidP="00F34C2F">
      <w:pPr>
        <w:pStyle w:val="ListParagraph"/>
        <w:numPr>
          <w:ilvl w:val="0"/>
          <w:numId w:val="11"/>
        </w:numPr>
        <w:ind w:left="714" w:hanging="357"/>
        <w:jc w:val="both"/>
      </w:pPr>
      <w:r>
        <w:t>c</w:t>
      </w:r>
      <w:r w:rsidR="003A6DBD">
        <w:t>onclud</w:t>
      </w:r>
      <w:r w:rsidR="00C14CC3">
        <w:t>e</w:t>
      </w:r>
      <w:r w:rsidR="003A6DBD">
        <w:t xml:space="preserve"> the closure of accounts for the </w:t>
      </w:r>
      <w:r w:rsidR="00AF6534">
        <w:t xml:space="preserve">last 4 financial years following the issue of a Public Interest </w:t>
      </w:r>
      <w:r w:rsidR="00C47CCE">
        <w:t>Report concerning the 2017/18 statement of accounts</w:t>
      </w:r>
    </w:p>
    <w:p w14:paraId="19364E06" w14:textId="584A5440" w:rsidR="00DF00AD" w:rsidRDefault="00B163D7" w:rsidP="00586BF2">
      <w:pPr>
        <w:jc w:val="both"/>
      </w:pPr>
      <w:r>
        <w:t xml:space="preserve">These </w:t>
      </w:r>
      <w:r w:rsidR="008C00AE">
        <w:t>challenges</w:t>
      </w:r>
      <w:r>
        <w:t xml:space="preserve"> </w:t>
      </w:r>
      <w:r w:rsidR="009F59F3">
        <w:t xml:space="preserve">are </w:t>
      </w:r>
      <w:r>
        <w:t xml:space="preserve">managed by a team that </w:t>
      </w:r>
      <w:r w:rsidR="00344E8B">
        <w:t>is currently shorthanded</w:t>
      </w:r>
      <w:r w:rsidR="00FC40A8">
        <w:t xml:space="preserve">. </w:t>
      </w:r>
      <w:r w:rsidR="00F6652B">
        <w:t xml:space="preserve">The </w:t>
      </w:r>
      <w:r w:rsidR="00730F71">
        <w:t>c</w:t>
      </w:r>
      <w:r w:rsidR="00F6652B">
        <w:t>ouncil is</w:t>
      </w:r>
      <w:r w:rsidR="008D1C1D">
        <w:t xml:space="preserve"> </w:t>
      </w:r>
      <w:r w:rsidR="00F6652B">
        <w:t xml:space="preserve">recruiting to fill </w:t>
      </w:r>
      <w:r w:rsidR="00344E8B">
        <w:t xml:space="preserve">the </w:t>
      </w:r>
      <w:r w:rsidR="00F6652B">
        <w:t>gaps</w:t>
      </w:r>
      <w:r w:rsidR="00DE719F">
        <w:t>, seeking t</w:t>
      </w:r>
      <w:r w:rsidR="002314C8">
        <w:t>wo principal account</w:t>
      </w:r>
      <w:r w:rsidR="009974FF">
        <w:t>ant</w:t>
      </w:r>
      <w:r w:rsidR="002314C8">
        <w:t xml:space="preserve">s and a permanent </w:t>
      </w:r>
      <w:r w:rsidR="005E3EA6">
        <w:t>t</w:t>
      </w:r>
      <w:r w:rsidR="002314C8">
        <w:t xml:space="preserve">reasury </w:t>
      </w:r>
      <w:r w:rsidR="005E3EA6">
        <w:t>m</w:t>
      </w:r>
      <w:r w:rsidR="002314C8">
        <w:t>anagement</w:t>
      </w:r>
      <w:r w:rsidR="005E3EA6">
        <w:t xml:space="preserve"> and c</w:t>
      </w:r>
      <w:r w:rsidR="002314C8">
        <w:t xml:space="preserve">apital </w:t>
      </w:r>
      <w:r w:rsidR="005E3EA6">
        <w:t>a</w:t>
      </w:r>
      <w:r w:rsidR="002314C8">
        <w:t>ccountant</w:t>
      </w:r>
      <w:r w:rsidR="00DE719F">
        <w:t>. Th</w:t>
      </w:r>
      <w:r w:rsidR="006D4283">
        <w:t>is</w:t>
      </w:r>
      <w:r w:rsidR="00DE719F">
        <w:t xml:space="preserve"> la</w:t>
      </w:r>
      <w:r w:rsidR="006D4283">
        <w:t>st</w:t>
      </w:r>
      <w:r w:rsidR="002314C8">
        <w:t xml:space="preserve"> post has been filled </w:t>
      </w:r>
      <w:r w:rsidR="00DE719F">
        <w:t>temporarily</w:t>
      </w:r>
      <w:r w:rsidR="00DF00AD">
        <w:t xml:space="preserve"> by a contractor</w:t>
      </w:r>
      <w:r w:rsidR="00E601EF">
        <w:t xml:space="preserve"> </w:t>
      </w:r>
      <w:r w:rsidR="006222D8">
        <w:t xml:space="preserve">for the </w:t>
      </w:r>
      <w:r w:rsidR="006D4283">
        <w:t>past</w:t>
      </w:r>
      <w:r w:rsidR="006222D8">
        <w:t xml:space="preserve"> year.</w:t>
      </w:r>
      <w:r w:rsidR="00DF00AD">
        <w:t xml:space="preserve">  Previously the council has </w:t>
      </w:r>
      <w:r w:rsidR="00E601EF">
        <w:t>had to fill</w:t>
      </w:r>
      <w:r w:rsidR="00917571">
        <w:t xml:space="preserve"> the key Chief Accountant role</w:t>
      </w:r>
      <w:r w:rsidR="00BE4C50">
        <w:t xml:space="preserve"> on an interim basis.</w:t>
      </w:r>
    </w:p>
    <w:p w14:paraId="1DA625E5" w14:textId="20C8C8CE" w:rsidR="00A567EC" w:rsidRPr="00A567EC" w:rsidRDefault="00FC40A8" w:rsidP="00586BF2">
      <w:pPr>
        <w:pStyle w:val="NormalWeb"/>
        <w:jc w:val="both"/>
        <w:rPr>
          <w:rFonts w:asciiTheme="minorHAnsi" w:hAnsiTheme="minorHAnsi" w:cstheme="minorHAnsi"/>
          <w:color w:val="000000"/>
          <w:sz w:val="22"/>
          <w:szCs w:val="22"/>
        </w:rPr>
      </w:pPr>
      <w:r w:rsidRPr="00772FA4">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pressure on the Finance Team is further increased </w:t>
      </w:r>
      <w:r w:rsidR="000C5AD6">
        <w:rPr>
          <w:rFonts w:asciiTheme="minorHAnsi" w:hAnsiTheme="minorHAnsi" w:cstheme="minorHAnsi"/>
          <w:color w:val="000000"/>
          <w:sz w:val="22"/>
          <w:szCs w:val="22"/>
        </w:rPr>
        <w:t>by arrangements for Knowle Green Estates. The</w:t>
      </w:r>
      <w:r>
        <w:rPr>
          <w:rFonts w:asciiTheme="minorHAnsi" w:hAnsiTheme="minorHAnsi" w:cstheme="minorHAnsi"/>
          <w:color w:val="000000"/>
          <w:sz w:val="22"/>
          <w:szCs w:val="22"/>
        </w:rPr>
        <w:t xml:space="preserve"> S151 Officer currently acts as </w:t>
      </w:r>
      <w:r w:rsidR="000C5AD6">
        <w:rPr>
          <w:rFonts w:asciiTheme="minorHAnsi" w:hAnsiTheme="minorHAnsi" w:cstheme="minorHAnsi"/>
          <w:color w:val="000000"/>
          <w:sz w:val="22"/>
          <w:szCs w:val="22"/>
        </w:rPr>
        <w:t>KGE</w:t>
      </w:r>
      <w:r>
        <w:rPr>
          <w:rFonts w:asciiTheme="minorHAnsi" w:hAnsiTheme="minorHAnsi" w:cstheme="minorHAnsi"/>
          <w:color w:val="000000"/>
          <w:sz w:val="22"/>
          <w:szCs w:val="22"/>
        </w:rPr>
        <w:t xml:space="preserve"> Chair</w:t>
      </w:r>
      <w:r w:rsidR="000C5AD6">
        <w:rPr>
          <w:rFonts w:asciiTheme="minorHAnsi" w:hAnsiTheme="minorHAnsi" w:cstheme="minorHAnsi"/>
          <w:color w:val="000000"/>
          <w:sz w:val="22"/>
          <w:szCs w:val="22"/>
        </w:rPr>
        <w:t xml:space="preserve">. The </w:t>
      </w:r>
      <w:r w:rsidR="00505395">
        <w:rPr>
          <w:rFonts w:asciiTheme="minorHAnsi" w:hAnsiTheme="minorHAnsi" w:cstheme="minorHAnsi"/>
          <w:color w:val="000000"/>
          <w:sz w:val="22"/>
          <w:szCs w:val="22"/>
        </w:rPr>
        <w:t xml:space="preserve">Chief Accountant effectively carries out </w:t>
      </w:r>
      <w:r w:rsidR="005C2D60">
        <w:rPr>
          <w:rFonts w:asciiTheme="minorHAnsi" w:hAnsiTheme="minorHAnsi" w:cstheme="minorHAnsi"/>
          <w:color w:val="000000"/>
          <w:sz w:val="22"/>
          <w:szCs w:val="22"/>
        </w:rPr>
        <w:t xml:space="preserve">the </w:t>
      </w:r>
      <w:r w:rsidR="00584D30">
        <w:rPr>
          <w:rFonts w:asciiTheme="minorHAnsi" w:hAnsiTheme="minorHAnsi" w:cstheme="minorHAnsi"/>
          <w:color w:val="000000"/>
          <w:sz w:val="22"/>
          <w:szCs w:val="22"/>
        </w:rPr>
        <w:t xml:space="preserve">company’s </w:t>
      </w:r>
      <w:r w:rsidR="005C2D60">
        <w:rPr>
          <w:rFonts w:asciiTheme="minorHAnsi" w:hAnsiTheme="minorHAnsi" w:cstheme="minorHAnsi"/>
          <w:color w:val="000000"/>
          <w:sz w:val="22"/>
          <w:szCs w:val="22"/>
        </w:rPr>
        <w:t>Finance Director role and undertakes detailed modelling of future potential capital investment</w:t>
      </w:r>
      <w:r w:rsidR="00A567EC">
        <w:rPr>
          <w:rFonts w:asciiTheme="minorHAnsi" w:hAnsiTheme="minorHAnsi" w:cstheme="minorHAnsi"/>
          <w:color w:val="000000"/>
          <w:sz w:val="22"/>
          <w:szCs w:val="22"/>
        </w:rPr>
        <w:t>.</w:t>
      </w:r>
      <w:r w:rsidR="006D0E45">
        <w:rPr>
          <w:rFonts w:asciiTheme="minorHAnsi" w:hAnsiTheme="minorHAnsi" w:cstheme="minorHAnsi"/>
          <w:color w:val="000000"/>
          <w:sz w:val="22"/>
          <w:szCs w:val="22"/>
        </w:rPr>
        <w:t xml:space="preserve"> </w:t>
      </w:r>
      <w:r w:rsidR="00A567EC">
        <w:rPr>
          <w:rFonts w:asciiTheme="minorHAnsi" w:hAnsiTheme="minorHAnsi" w:cstheme="minorHAnsi"/>
          <w:color w:val="000000"/>
          <w:sz w:val="22"/>
          <w:szCs w:val="22"/>
        </w:rPr>
        <w:t xml:space="preserve">Over the last year this has </w:t>
      </w:r>
      <w:r w:rsidR="00584D30">
        <w:rPr>
          <w:rFonts w:asciiTheme="minorHAnsi" w:hAnsiTheme="minorHAnsi" w:cstheme="minorHAnsi"/>
          <w:color w:val="000000"/>
          <w:sz w:val="22"/>
          <w:szCs w:val="22"/>
        </w:rPr>
        <w:t>affected</w:t>
      </w:r>
      <w:r w:rsidR="00A567EC">
        <w:rPr>
          <w:rFonts w:asciiTheme="minorHAnsi" w:hAnsiTheme="minorHAnsi" w:cstheme="minorHAnsi"/>
          <w:color w:val="000000"/>
          <w:sz w:val="22"/>
          <w:szCs w:val="22"/>
        </w:rPr>
        <w:t xml:space="preserve"> the production of timely reports, particularly </w:t>
      </w:r>
      <w:r w:rsidR="00C41FF0">
        <w:rPr>
          <w:rFonts w:asciiTheme="minorHAnsi" w:hAnsiTheme="minorHAnsi" w:cstheme="minorHAnsi"/>
          <w:color w:val="000000"/>
          <w:sz w:val="22"/>
          <w:szCs w:val="22"/>
        </w:rPr>
        <w:t>those</w:t>
      </w:r>
      <w:r w:rsidR="00A567EC">
        <w:rPr>
          <w:rFonts w:asciiTheme="minorHAnsi" w:hAnsiTheme="minorHAnsi" w:cstheme="minorHAnsi"/>
          <w:color w:val="000000"/>
          <w:sz w:val="22"/>
          <w:szCs w:val="22"/>
        </w:rPr>
        <w:t xml:space="preserve"> monitoring </w:t>
      </w:r>
      <w:r w:rsidR="00D72303">
        <w:rPr>
          <w:rFonts w:asciiTheme="minorHAnsi" w:hAnsiTheme="minorHAnsi" w:cstheme="minorHAnsi"/>
          <w:color w:val="000000"/>
          <w:sz w:val="22"/>
          <w:szCs w:val="22"/>
        </w:rPr>
        <w:t>SBC’s</w:t>
      </w:r>
      <w:r w:rsidR="00A567EC">
        <w:rPr>
          <w:rFonts w:asciiTheme="minorHAnsi" w:hAnsiTheme="minorHAnsi" w:cstheme="minorHAnsi"/>
          <w:color w:val="000000"/>
          <w:sz w:val="22"/>
          <w:szCs w:val="22"/>
        </w:rPr>
        <w:t xml:space="preserve"> existing capital and revenue spending.  </w:t>
      </w:r>
    </w:p>
    <w:p w14:paraId="3F5AE759" w14:textId="3DC0754F" w:rsidR="00192F56" w:rsidRDefault="003F166E" w:rsidP="00586BF2">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While </w:t>
      </w:r>
      <w:r w:rsidR="00192F56">
        <w:rPr>
          <w:rFonts w:asciiTheme="minorHAnsi" w:hAnsiTheme="minorHAnsi" w:cstheme="minorHAnsi"/>
          <w:color w:val="000000"/>
          <w:sz w:val="22"/>
          <w:szCs w:val="22"/>
        </w:rPr>
        <w:t xml:space="preserve">the </w:t>
      </w:r>
      <w:r w:rsidR="00730F71">
        <w:rPr>
          <w:rFonts w:asciiTheme="minorHAnsi" w:hAnsiTheme="minorHAnsi" w:cstheme="minorHAnsi"/>
          <w:color w:val="000000"/>
          <w:sz w:val="22"/>
          <w:szCs w:val="22"/>
        </w:rPr>
        <w:t>c</w:t>
      </w:r>
      <w:r w:rsidR="00192F56">
        <w:rPr>
          <w:rFonts w:asciiTheme="minorHAnsi" w:hAnsiTheme="minorHAnsi" w:cstheme="minorHAnsi"/>
          <w:color w:val="000000"/>
          <w:sz w:val="22"/>
          <w:szCs w:val="22"/>
        </w:rPr>
        <w:t xml:space="preserve">ouncil is taking steps to improve the capacity </w:t>
      </w:r>
      <w:r w:rsidR="00D72303">
        <w:rPr>
          <w:rFonts w:asciiTheme="minorHAnsi" w:hAnsiTheme="minorHAnsi" w:cstheme="minorHAnsi"/>
          <w:color w:val="000000"/>
          <w:sz w:val="22"/>
          <w:szCs w:val="22"/>
        </w:rPr>
        <w:t>in</w:t>
      </w:r>
      <w:r w:rsidR="00192F56">
        <w:rPr>
          <w:rFonts w:asciiTheme="minorHAnsi" w:hAnsiTheme="minorHAnsi" w:cstheme="minorHAnsi"/>
          <w:color w:val="000000"/>
          <w:sz w:val="22"/>
          <w:szCs w:val="22"/>
        </w:rPr>
        <w:t xml:space="preserve"> Finance, the level of pressure and reliance upon the two key roles of S151 officer and the Deputy S151 </w:t>
      </w:r>
      <w:r w:rsidR="00E42B71">
        <w:rPr>
          <w:rFonts w:asciiTheme="minorHAnsi" w:hAnsiTheme="minorHAnsi" w:cstheme="minorHAnsi"/>
          <w:color w:val="000000"/>
          <w:sz w:val="22"/>
          <w:szCs w:val="22"/>
        </w:rPr>
        <w:t>o</w:t>
      </w:r>
      <w:r w:rsidR="00192F56">
        <w:rPr>
          <w:rFonts w:asciiTheme="minorHAnsi" w:hAnsiTheme="minorHAnsi" w:cstheme="minorHAnsi"/>
          <w:color w:val="000000"/>
          <w:sz w:val="22"/>
          <w:szCs w:val="22"/>
        </w:rPr>
        <w:t>fficer/Chief Accountant cannot be underestimated.</w:t>
      </w:r>
      <w:r w:rsidR="00831B9F">
        <w:rPr>
          <w:rFonts w:asciiTheme="minorHAnsi" w:hAnsiTheme="minorHAnsi" w:cstheme="minorHAnsi"/>
          <w:color w:val="000000"/>
          <w:sz w:val="22"/>
          <w:szCs w:val="22"/>
        </w:rPr>
        <w:t xml:space="preserve"> It may already be impacting </w:t>
      </w:r>
      <w:r w:rsidR="008A2033">
        <w:rPr>
          <w:rFonts w:asciiTheme="minorHAnsi" w:hAnsiTheme="minorHAnsi" w:cstheme="minorHAnsi"/>
          <w:color w:val="000000"/>
          <w:sz w:val="22"/>
          <w:szCs w:val="22"/>
        </w:rPr>
        <w:t>the quality and breadth of financial reporting and advice available to member</w:t>
      </w:r>
      <w:r w:rsidR="00D22DA3">
        <w:rPr>
          <w:rFonts w:asciiTheme="minorHAnsi" w:hAnsiTheme="minorHAnsi" w:cstheme="minorHAnsi"/>
          <w:color w:val="000000"/>
          <w:sz w:val="22"/>
          <w:szCs w:val="22"/>
        </w:rPr>
        <w:t>s</w:t>
      </w:r>
      <w:r w:rsidR="008A2033">
        <w:rPr>
          <w:rFonts w:asciiTheme="minorHAnsi" w:hAnsiTheme="minorHAnsi" w:cstheme="minorHAnsi"/>
          <w:color w:val="000000"/>
          <w:sz w:val="22"/>
          <w:szCs w:val="22"/>
        </w:rPr>
        <w:t>.</w:t>
      </w:r>
      <w:r w:rsidR="00D22DA3">
        <w:rPr>
          <w:rFonts w:asciiTheme="minorHAnsi" w:hAnsiTheme="minorHAnsi" w:cstheme="minorHAnsi"/>
          <w:color w:val="000000"/>
          <w:sz w:val="22"/>
          <w:szCs w:val="22"/>
        </w:rPr>
        <w:t xml:space="preserve"> For example: </w:t>
      </w:r>
    </w:p>
    <w:p w14:paraId="7ED92183" w14:textId="1B613357" w:rsidR="00D22DA3" w:rsidRDefault="00730F71" w:rsidP="00F34C2F">
      <w:pPr>
        <w:pStyle w:val="NormalWeb"/>
        <w:numPr>
          <w:ilvl w:val="0"/>
          <w:numId w:val="21"/>
        </w:numPr>
        <w:ind w:left="714"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D22DA3">
        <w:rPr>
          <w:rFonts w:asciiTheme="minorHAnsi" w:hAnsiTheme="minorHAnsi" w:cstheme="minorHAnsi"/>
          <w:color w:val="000000"/>
          <w:sz w:val="22"/>
          <w:szCs w:val="22"/>
        </w:rPr>
        <w:t xml:space="preserve">he risk analysis </w:t>
      </w:r>
      <w:r w:rsidR="006A3A08">
        <w:rPr>
          <w:rFonts w:asciiTheme="minorHAnsi" w:hAnsiTheme="minorHAnsi" w:cstheme="minorHAnsi"/>
          <w:color w:val="000000"/>
          <w:sz w:val="22"/>
          <w:szCs w:val="22"/>
        </w:rPr>
        <w:t>in</w:t>
      </w:r>
      <w:r w:rsidR="00D22DA3">
        <w:rPr>
          <w:rFonts w:asciiTheme="minorHAnsi" w:hAnsiTheme="minorHAnsi" w:cstheme="minorHAnsi"/>
          <w:color w:val="000000"/>
          <w:sz w:val="22"/>
          <w:szCs w:val="22"/>
        </w:rPr>
        <w:t xml:space="preserve"> the report to the Extraordinary Council </w:t>
      </w:r>
      <w:r w:rsidR="00DC0EB3">
        <w:rPr>
          <w:rFonts w:asciiTheme="minorHAnsi" w:hAnsiTheme="minorHAnsi" w:cstheme="minorHAnsi"/>
          <w:color w:val="000000"/>
          <w:sz w:val="22"/>
          <w:szCs w:val="22"/>
        </w:rPr>
        <w:t>M</w:t>
      </w:r>
      <w:r w:rsidR="00D22DA3">
        <w:rPr>
          <w:rFonts w:asciiTheme="minorHAnsi" w:hAnsiTheme="minorHAnsi" w:cstheme="minorHAnsi"/>
          <w:color w:val="000000"/>
          <w:sz w:val="22"/>
          <w:szCs w:val="22"/>
        </w:rPr>
        <w:t xml:space="preserve">eeting was limited and did not highlight the full range of risks associated with </w:t>
      </w:r>
      <w:r w:rsidR="005A06D0">
        <w:rPr>
          <w:rFonts w:asciiTheme="minorHAnsi" w:hAnsiTheme="minorHAnsi" w:cstheme="minorHAnsi"/>
          <w:color w:val="000000"/>
          <w:sz w:val="22"/>
          <w:szCs w:val="22"/>
        </w:rPr>
        <w:t>affordable housing</w:t>
      </w:r>
    </w:p>
    <w:p w14:paraId="50472AD6" w14:textId="7AFB49B3" w:rsidR="0021018D" w:rsidRDefault="00730F71" w:rsidP="00F34C2F">
      <w:pPr>
        <w:pStyle w:val="NormalWeb"/>
        <w:numPr>
          <w:ilvl w:val="0"/>
          <w:numId w:val="21"/>
        </w:numPr>
        <w:ind w:left="714"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2F6087">
        <w:rPr>
          <w:rFonts w:asciiTheme="minorHAnsi" w:hAnsiTheme="minorHAnsi" w:cstheme="minorHAnsi"/>
          <w:color w:val="000000"/>
          <w:sz w:val="22"/>
          <w:szCs w:val="22"/>
        </w:rPr>
        <w:t>he 50</w:t>
      </w:r>
      <w:r w:rsidR="00AC031A">
        <w:rPr>
          <w:rFonts w:asciiTheme="minorHAnsi" w:hAnsiTheme="minorHAnsi" w:cstheme="minorHAnsi"/>
          <w:color w:val="000000"/>
          <w:sz w:val="22"/>
          <w:szCs w:val="22"/>
        </w:rPr>
        <w:t>-</w:t>
      </w:r>
      <w:r w:rsidR="002F6087">
        <w:rPr>
          <w:rFonts w:asciiTheme="minorHAnsi" w:hAnsiTheme="minorHAnsi" w:cstheme="minorHAnsi"/>
          <w:color w:val="000000"/>
          <w:sz w:val="22"/>
          <w:szCs w:val="22"/>
        </w:rPr>
        <w:t xml:space="preserve">year costs of affordable housing schemes </w:t>
      </w:r>
      <w:r w:rsidR="00AC031A">
        <w:rPr>
          <w:rFonts w:asciiTheme="minorHAnsi" w:hAnsiTheme="minorHAnsi" w:cstheme="minorHAnsi"/>
          <w:color w:val="000000"/>
          <w:sz w:val="22"/>
          <w:szCs w:val="22"/>
        </w:rPr>
        <w:t>appear to have been</w:t>
      </w:r>
      <w:r w:rsidR="002F6087">
        <w:rPr>
          <w:rFonts w:asciiTheme="minorHAnsi" w:hAnsiTheme="minorHAnsi" w:cstheme="minorHAnsi"/>
          <w:color w:val="000000"/>
          <w:sz w:val="22"/>
          <w:szCs w:val="22"/>
        </w:rPr>
        <w:t xml:space="preserve"> </w:t>
      </w:r>
      <w:r w:rsidR="00335F2C">
        <w:rPr>
          <w:rFonts w:asciiTheme="minorHAnsi" w:hAnsiTheme="minorHAnsi" w:cstheme="minorHAnsi"/>
          <w:color w:val="000000"/>
          <w:sz w:val="22"/>
          <w:szCs w:val="22"/>
        </w:rPr>
        <w:t>understated by £90</w:t>
      </w:r>
      <w:r w:rsidR="009F7950">
        <w:rPr>
          <w:rFonts w:asciiTheme="minorHAnsi" w:hAnsiTheme="minorHAnsi" w:cstheme="minorHAnsi"/>
          <w:color w:val="000000"/>
          <w:sz w:val="22"/>
          <w:szCs w:val="22"/>
        </w:rPr>
        <w:t xml:space="preserve"> </w:t>
      </w:r>
      <w:r w:rsidR="00335F2C">
        <w:rPr>
          <w:rFonts w:asciiTheme="minorHAnsi" w:hAnsiTheme="minorHAnsi" w:cstheme="minorHAnsi"/>
          <w:color w:val="000000"/>
          <w:sz w:val="22"/>
          <w:szCs w:val="22"/>
        </w:rPr>
        <w:t>m</w:t>
      </w:r>
      <w:r w:rsidR="009F7950">
        <w:rPr>
          <w:rFonts w:asciiTheme="minorHAnsi" w:hAnsiTheme="minorHAnsi" w:cstheme="minorHAnsi"/>
          <w:color w:val="000000"/>
          <w:sz w:val="22"/>
          <w:szCs w:val="22"/>
        </w:rPr>
        <w:t>illion</w:t>
      </w:r>
      <w:r w:rsidR="00335F2C">
        <w:rPr>
          <w:rFonts w:asciiTheme="minorHAnsi" w:hAnsiTheme="minorHAnsi" w:cstheme="minorHAnsi"/>
          <w:color w:val="000000"/>
          <w:sz w:val="22"/>
          <w:szCs w:val="22"/>
        </w:rPr>
        <w:t xml:space="preserve"> in </w:t>
      </w:r>
      <w:r w:rsidR="00DC0EB3">
        <w:rPr>
          <w:rFonts w:asciiTheme="minorHAnsi" w:hAnsiTheme="minorHAnsi" w:cstheme="minorHAnsi"/>
          <w:color w:val="000000"/>
          <w:sz w:val="22"/>
          <w:szCs w:val="22"/>
        </w:rPr>
        <w:t>that report</w:t>
      </w:r>
    </w:p>
    <w:p w14:paraId="4C7CE0D2" w14:textId="1547419B" w:rsidR="005A06D0" w:rsidRDefault="00730F71" w:rsidP="00F34C2F">
      <w:pPr>
        <w:pStyle w:val="NormalWeb"/>
        <w:numPr>
          <w:ilvl w:val="0"/>
          <w:numId w:val="21"/>
        </w:numPr>
        <w:ind w:left="714"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5A06D0">
        <w:rPr>
          <w:rFonts w:asciiTheme="minorHAnsi" w:hAnsiTheme="minorHAnsi" w:cstheme="minorHAnsi"/>
          <w:color w:val="000000"/>
          <w:sz w:val="22"/>
          <w:szCs w:val="22"/>
        </w:rPr>
        <w:t xml:space="preserve">he </w:t>
      </w:r>
      <w:r w:rsidR="00DC0EB3">
        <w:rPr>
          <w:rFonts w:asciiTheme="minorHAnsi" w:hAnsiTheme="minorHAnsi" w:cstheme="minorHAnsi"/>
          <w:color w:val="000000"/>
          <w:sz w:val="22"/>
          <w:szCs w:val="22"/>
        </w:rPr>
        <w:t>MTFP</w:t>
      </w:r>
      <w:r w:rsidR="001C12AB">
        <w:rPr>
          <w:rFonts w:asciiTheme="minorHAnsi" w:hAnsiTheme="minorHAnsi" w:cstheme="minorHAnsi"/>
          <w:color w:val="000000"/>
          <w:sz w:val="22"/>
          <w:szCs w:val="22"/>
        </w:rPr>
        <w:t xml:space="preserve"> was not updated following the </w:t>
      </w:r>
      <w:r w:rsidR="00DC0EB3">
        <w:rPr>
          <w:rFonts w:asciiTheme="minorHAnsi" w:hAnsiTheme="minorHAnsi" w:cstheme="minorHAnsi"/>
          <w:color w:val="000000"/>
          <w:sz w:val="22"/>
          <w:szCs w:val="22"/>
        </w:rPr>
        <w:t xml:space="preserve">ECM to reflect the </w:t>
      </w:r>
      <w:r w:rsidR="001C12AB">
        <w:rPr>
          <w:rFonts w:asciiTheme="minorHAnsi" w:hAnsiTheme="minorHAnsi" w:cstheme="minorHAnsi"/>
          <w:color w:val="000000"/>
          <w:sz w:val="22"/>
          <w:szCs w:val="22"/>
        </w:rPr>
        <w:t xml:space="preserve">material impact on </w:t>
      </w:r>
      <w:r w:rsidR="00B04AC6">
        <w:rPr>
          <w:rFonts w:asciiTheme="minorHAnsi" w:hAnsiTheme="minorHAnsi" w:cstheme="minorHAnsi"/>
          <w:color w:val="000000"/>
          <w:sz w:val="22"/>
          <w:szCs w:val="22"/>
        </w:rPr>
        <w:t>future budget deficits</w:t>
      </w:r>
    </w:p>
    <w:p w14:paraId="4F0D2C3F" w14:textId="69AC883C" w:rsidR="00B04AC6" w:rsidRDefault="00730F71" w:rsidP="00F34C2F">
      <w:pPr>
        <w:pStyle w:val="NormalWeb"/>
        <w:numPr>
          <w:ilvl w:val="0"/>
          <w:numId w:val="21"/>
        </w:numPr>
        <w:ind w:left="714"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r</w:t>
      </w:r>
      <w:r w:rsidR="00B04AC6">
        <w:rPr>
          <w:rFonts w:asciiTheme="minorHAnsi" w:hAnsiTheme="minorHAnsi" w:cstheme="minorHAnsi"/>
          <w:color w:val="000000"/>
          <w:sz w:val="22"/>
          <w:szCs w:val="22"/>
        </w:rPr>
        <w:t xml:space="preserve">evenue budget </w:t>
      </w:r>
      <w:r w:rsidR="008C7C56">
        <w:rPr>
          <w:rFonts w:asciiTheme="minorHAnsi" w:hAnsiTheme="minorHAnsi" w:cstheme="minorHAnsi"/>
          <w:color w:val="000000"/>
          <w:sz w:val="22"/>
          <w:szCs w:val="22"/>
        </w:rPr>
        <w:t>reporting</w:t>
      </w:r>
      <w:r w:rsidR="006F129F">
        <w:rPr>
          <w:rFonts w:asciiTheme="minorHAnsi" w:hAnsiTheme="minorHAnsi" w:cstheme="minorHAnsi"/>
          <w:color w:val="000000"/>
          <w:sz w:val="22"/>
          <w:szCs w:val="22"/>
        </w:rPr>
        <w:t xml:space="preserve"> did not provide </w:t>
      </w:r>
      <w:r w:rsidR="00982E00">
        <w:rPr>
          <w:rFonts w:asciiTheme="minorHAnsi" w:hAnsiTheme="minorHAnsi" w:cstheme="minorHAnsi"/>
          <w:color w:val="000000"/>
          <w:sz w:val="22"/>
          <w:szCs w:val="22"/>
        </w:rPr>
        <w:t>detailed</w:t>
      </w:r>
      <w:r w:rsidR="006F129F">
        <w:rPr>
          <w:rFonts w:asciiTheme="minorHAnsi" w:hAnsiTheme="minorHAnsi" w:cstheme="minorHAnsi"/>
          <w:color w:val="000000"/>
          <w:sz w:val="22"/>
          <w:szCs w:val="22"/>
        </w:rPr>
        <w:t xml:space="preserve"> analysis of current or projected </w:t>
      </w:r>
      <w:r w:rsidR="00445073">
        <w:rPr>
          <w:rFonts w:asciiTheme="minorHAnsi" w:hAnsiTheme="minorHAnsi" w:cstheme="minorHAnsi"/>
          <w:color w:val="000000"/>
          <w:sz w:val="22"/>
          <w:szCs w:val="22"/>
        </w:rPr>
        <w:t>future reserves</w:t>
      </w:r>
    </w:p>
    <w:p w14:paraId="5B716C63" w14:textId="0460D969" w:rsidR="00445073" w:rsidRDefault="00730F71" w:rsidP="00F34C2F">
      <w:pPr>
        <w:pStyle w:val="NormalWeb"/>
        <w:numPr>
          <w:ilvl w:val="0"/>
          <w:numId w:val="21"/>
        </w:numPr>
        <w:ind w:left="714"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445073">
        <w:rPr>
          <w:rFonts w:asciiTheme="minorHAnsi" w:hAnsiTheme="minorHAnsi" w:cstheme="minorHAnsi"/>
          <w:color w:val="000000"/>
          <w:sz w:val="22"/>
          <w:szCs w:val="22"/>
        </w:rPr>
        <w:t xml:space="preserve">he Capital Programme Report did not set out clearly </w:t>
      </w:r>
      <w:r w:rsidR="00A75C94">
        <w:rPr>
          <w:rFonts w:asciiTheme="minorHAnsi" w:hAnsiTheme="minorHAnsi" w:cstheme="minorHAnsi"/>
          <w:color w:val="000000"/>
          <w:sz w:val="22"/>
          <w:szCs w:val="22"/>
        </w:rPr>
        <w:t>the proposed additions and adjustment to the programme, although they were included</w:t>
      </w:r>
      <w:r w:rsidR="00DE215C">
        <w:rPr>
          <w:rFonts w:asciiTheme="minorHAnsi" w:hAnsiTheme="minorHAnsi" w:cstheme="minorHAnsi"/>
          <w:color w:val="000000"/>
          <w:sz w:val="22"/>
          <w:szCs w:val="22"/>
        </w:rPr>
        <w:t xml:space="preserve"> in</w:t>
      </w:r>
      <w:r w:rsidR="00A75C94">
        <w:rPr>
          <w:rFonts w:asciiTheme="minorHAnsi" w:hAnsiTheme="minorHAnsi" w:cstheme="minorHAnsi"/>
          <w:color w:val="000000"/>
          <w:sz w:val="22"/>
          <w:szCs w:val="22"/>
        </w:rPr>
        <w:t xml:space="preserve"> an appendix</w:t>
      </w:r>
    </w:p>
    <w:p w14:paraId="236E9484" w14:textId="064BE141" w:rsidR="00F1301D" w:rsidRPr="003F166E" w:rsidRDefault="00730F71" w:rsidP="00F34C2F">
      <w:pPr>
        <w:pStyle w:val="NormalWeb"/>
        <w:numPr>
          <w:ilvl w:val="0"/>
          <w:numId w:val="21"/>
        </w:numPr>
        <w:ind w:left="714"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F1301D">
        <w:rPr>
          <w:rFonts w:asciiTheme="minorHAnsi" w:hAnsiTheme="minorHAnsi" w:cstheme="minorHAnsi"/>
          <w:color w:val="000000"/>
          <w:sz w:val="22"/>
          <w:szCs w:val="22"/>
        </w:rPr>
        <w:t xml:space="preserve">he Section 25 statement of the S151 officer does not fully set out </w:t>
      </w:r>
      <w:r w:rsidR="0005127F">
        <w:rPr>
          <w:rFonts w:asciiTheme="minorHAnsi" w:hAnsiTheme="minorHAnsi" w:cstheme="minorHAnsi"/>
          <w:color w:val="000000"/>
          <w:sz w:val="22"/>
          <w:szCs w:val="22"/>
        </w:rPr>
        <w:t>all</w:t>
      </w:r>
      <w:r w:rsidR="00AA101D">
        <w:rPr>
          <w:rFonts w:asciiTheme="minorHAnsi" w:hAnsiTheme="minorHAnsi" w:cstheme="minorHAnsi"/>
          <w:color w:val="000000"/>
          <w:sz w:val="22"/>
          <w:szCs w:val="22"/>
        </w:rPr>
        <w:t xml:space="preserve"> risks associated with </w:t>
      </w:r>
      <w:r w:rsidR="0098715D">
        <w:rPr>
          <w:rFonts w:asciiTheme="minorHAnsi" w:hAnsiTheme="minorHAnsi" w:cstheme="minorHAnsi"/>
          <w:color w:val="000000"/>
          <w:sz w:val="22"/>
          <w:szCs w:val="22"/>
        </w:rPr>
        <w:t>the council’s capital investment plans and their potential impact on the future viability of the council as a whole</w:t>
      </w:r>
    </w:p>
    <w:p w14:paraId="5C74406A" w14:textId="77777777" w:rsidR="00726410" w:rsidRDefault="00726410" w:rsidP="00586BF2">
      <w:pPr>
        <w:jc w:val="both"/>
        <w:rPr>
          <w:b/>
          <w:bCs/>
        </w:rPr>
      </w:pPr>
    </w:p>
    <w:p w14:paraId="4157016E" w14:textId="743F21E1" w:rsidR="08B6DEB7" w:rsidRPr="00A77630" w:rsidRDefault="00045C07" w:rsidP="00586BF2">
      <w:pPr>
        <w:jc w:val="both"/>
        <w:rPr>
          <w:b/>
          <w:bCs/>
          <w:i/>
          <w:iCs/>
          <w:sz w:val="24"/>
          <w:szCs w:val="24"/>
        </w:rPr>
      </w:pPr>
      <w:r w:rsidRPr="00A77630">
        <w:rPr>
          <w:b/>
          <w:bCs/>
          <w:i/>
          <w:iCs/>
          <w:sz w:val="24"/>
          <w:szCs w:val="24"/>
        </w:rPr>
        <w:t xml:space="preserve">Corporate </w:t>
      </w:r>
      <w:r w:rsidR="00D96CA4" w:rsidRPr="00A77630">
        <w:rPr>
          <w:b/>
          <w:bCs/>
          <w:i/>
          <w:iCs/>
          <w:sz w:val="24"/>
          <w:szCs w:val="24"/>
        </w:rPr>
        <w:t>g</w:t>
      </w:r>
      <w:r w:rsidRPr="00A77630">
        <w:rPr>
          <w:b/>
          <w:bCs/>
          <w:i/>
          <w:iCs/>
          <w:sz w:val="24"/>
          <w:szCs w:val="24"/>
        </w:rPr>
        <w:t>overnance</w:t>
      </w:r>
      <w:r w:rsidR="08B6DEB7" w:rsidRPr="00A77630">
        <w:rPr>
          <w:b/>
          <w:bCs/>
          <w:i/>
          <w:iCs/>
          <w:sz w:val="24"/>
          <w:szCs w:val="24"/>
        </w:rPr>
        <w:t xml:space="preserve"> capacity and expertise</w:t>
      </w:r>
    </w:p>
    <w:p w14:paraId="13A8C429" w14:textId="280D2A45" w:rsidR="004D6603" w:rsidRDefault="00A20C5D" w:rsidP="00586BF2">
      <w:pPr>
        <w:jc w:val="both"/>
      </w:pPr>
      <w:r>
        <w:t xml:space="preserve">The </w:t>
      </w:r>
      <w:r w:rsidR="00C01430">
        <w:t xml:space="preserve">Head of Corporate Governance acts as the </w:t>
      </w:r>
      <w:r w:rsidR="00730F71">
        <w:t>c</w:t>
      </w:r>
      <w:r w:rsidR="00C01430">
        <w:t xml:space="preserve">ouncil’s </w:t>
      </w:r>
      <w:r w:rsidR="00804CFB">
        <w:t>M</w:t>
      </w:r>
      <w:r w:rsidR="00C01430">
        <w:t xml:space="preserve">onitoring </w:t>
      </w:r>
      <w:r w:rsidR="00804CFB">
        <w:t>O</w:t>
      </w:r>
      <w:r w:rsidR="00C01430">
        <w:t>fficer and heads its legal department.</w:t>
      </w:r>
      <w:r w:rsidR="008F7B8F">
        <w:t xml:space="preserve"> </w:t>
      </w:r>
      <w:r w:rsidR="00C01430">
        <w:t>Other responsibilities include Democratic Services, Procurement</w:t>
      </w:r>
      <w:r w:rsidR="00CA21D2">
        <w:t>,</w:t>
      </w:r>
      <w:r w:rsidR="00C01430">
        <w:t xml:space="preserve"> and Internal Audit.</w:t>
      </w:r>
    </w:p>
    <w:p w14:paraId="10CE6F39" w14:textId="61569F82" w:rsidR="007866FA" w:rsidRDefault="00685438" w:rsidP="00586BF2">
      <w:pPr>
        <w:jc w:val="both"/>
      </w:pPr>
      <w:r>
        <w:t xml:space="preserve">The </w:t>
      </w:r>
      <w:r w:rsidR="00730F71">
        <w:t>c</w:t>
      </w:r>
      <w:r>
        <w:t xml:space="preserve">ouncil has a legal team of </w:t>
      </w:r>
      <w:r w:rsidR="00E55AE5">
        <w:t xml:space="preserve">some 10 </w:t>
      </w:r>
      <w:r w:rsidR="006378C0">
        <w:t>FTE</w:t>
      </w:r>
      <w:r w:rsidR="00137DA2">
        <w:t xml:space="preserve"> </w:t>
      </w:r>
      <w:r w:rsidR="002208D1">
        <w:t>solicitors</w:t>
      </w:r>
      <w:r w:rsidR="008919CD">
        <w:t>,</w:t>
      </w:r>
      <w:r w:rsidR="00E55AE5">
        <w:t xml:space="preserve"> including the </w:t>
      </w:r>
      <w:r w:rsidR="009B05A6">
        <w:t>M</w:t>
      </w:r>
      <w:r w:rsidR="00E55AE5">
        <w:t xml:space="preserve">onitoring </w:t>
      </w:r>
      <w:r w:rsidR="009B05A6">
        <w:t>O</w:t>
      </w:r>
      <w:r w:rsidR="00E55AE5">
        <w:t>fficer</w:t>
      </w:r>
      <w:r w:rsidR="002208D1">
        <w:t xml:space="preserve">, who also acts as the </w:t>
      </w:r>
      <w:r w:rsidR="006378C0">
        <w:t xml:space="preserve">KGE </w:t>
      </w:r>
      <w:r w:rsidR="002208D1">
        <w:t>Company Secretary. The</w:t>
      </w:r>
      <w:r w:rsidR="008919CD">
        <w:t xml:space="preserve"> legal team </w:t>
      </w:r>
      <w:r w:rsidR="0063623B">
        <w:t xml:space="preserve">manager </w:t>
      </w:r>
      <w:r w:rsidR="008919CD">
        <w:t xml:space="preserve">is currently employed on an interim basis, </w:t>
      </w:r>
      <w:r w:rsidR="00F83306">
        <w:t>and there are</w:t>
      </w:r>
      <w:r w:rsidR="008919CD">
        <w:t xml:space="preserve"> two further vacancies.</w:t>
      </w:r>
      <w:r w:rsidR="00BC4B7F">
        <w:t xml:space="preserve"> </w:t>
      </w:r>
      <w:r w:rsidR="007866FA">
        <w:t xml:space="preserve">The team ensures that </w:t>
      </w:r>
      <w:r w:rsidR="00730F71">
        <w:t>c</w:t>
      </w:r>
      <w:r w:rsidR="00D94304">
        <w:t xml:space="preserve">ouncil reports include legal </w:t>
      </w:r>
      <w:r w:rsidR="009E2CF1">
        <w:t xml:space="preserve">implications of </w:t>
      </w:r>
      <w:r w:rsidR="007933F6">
        <w:t>decisions and provides a range of legal support.</w:t>
      </w:r>
    </w:p>
    <w:p w14:paraId="3EBD1114" w14:textId="53321FB5" w:rsidR="00A955FF" w:rsidRDefault="00045C07" w:rsidP="00586BF2">
      <w:pPr>
        <w:jc w:val="both"/>
      </w:pPr>
      <w:r>
        <w:t xml:space="preserve">Corporate Governance also includes </w:t>
      </w:r>
      <w:r w:rsidR="00B60040">
        <w:t>an</w:t>
      </w:r>
      <w:r>
        <w:t xml:space="preserve"> internal audit team of 1.75 </w:t>
      </w:r>
      <w:r w:rsidR="00B60040">
        <w:t>F</w:t>
      </w:r>
      <w:r w:rsidR="00E42B71">
        <w:t xml:space="preserve">ull </w:t>
      </w:r>
      <w:r w:rsidR="00B60040">
        <w:t>T</w:t>
      </w:r>
      <w:r w:rsidR="00E42B71">
        <w:t xml:space="preserve">ime </w:t>
      </w:r>
      <w:r w:rsidR="00B60040">
        <w:t>E</w:t>
      </w:r>
      <w:r w:rsidR="00E42B71">
        <w:t>quivalent employees</w:t>
      </w:r>
      <w:r w:rsidR="007F375F">
        <w:t xml:space="preserve">. The Internal Audit </w:t>
      </w:r>
      <w:r w:rsidR="00200B45">
        <w:t>Manager</w:t>
      </w:r>
      <w:r w:rsidR="007F375F">
        <w:t xml:space="preserve"> is also responsible for </w:t>
      </w:r>
      <w:r w:rsidR="00B60040">
        <w:t>r</w:t>
      </w:r>
      <w:r w:rsidR="007F375F">
        <w:t xml:space="preserve">isk </w:t>
      </w:r>
      <w:r w:rsidR="00B60040">
        <w:t>m</w:t>
      </w:r>
      <w:r w:rsidR="007F375F">
        <w:t>anagement</w:t>
      </w:r>
      <w:r w:rsidR="00C92D81">
        <w:t>. T</w:t>
      </w:r>
      <w:r w:rsidR="007F375F">
        <w:t xml:space="preserve">he Risk Management Board </w:t>
      </w:r>
      <w:r w:rsidR="00331524">
        <w:t xml:space="preserve">is </w:t>
      </w:r>
      <w:r w:rsidR="001D559F">
        <w:t xml:space="preserve">chaired by the </w:t>
      </w:r>
      <w:r w:rsidR="003609D7">
        <w:t>S</w:t>
      </w:r>
      <w:r w:rsidR="001D559F">
        <w:t xml:space="preserve">151 officer. </w:t>
      </w:r>
      <w:r w:rsidR="003609D7">
        <w:t>Internal au</w:t>
      </w:r>
      <w:r w:rsidR="001928D3">
        <w:t xml:space="preserve">dit also has </w:t>
      </w:r>
      <w:r w:rsidR="00C4379C">
        <w:t xml:space="preserve">had </w:t>
      </w:r>
      <w:r w:rsidR="001928D3">
        <w:t>access to</w:t>
      </w:r>
      <w:r w:rsidR="00A955FF">
        <w:t xml:space="preserve"> £30,000 </w:t>
      </w:r>
      <w:r w:rsidR="00C4379C">
        <w:t>to purchase</w:t>
      </w:r>
      <w:r w:rsidR="00A955FF">
        <w:t xml:space="preserve"> specialist expertise, </w:t>
      </w:r>
      <w:r w:rsidR="001928D3">
        <w:t>though</w:t>
      </w:r>
      <w:r w:rsidR="00A955FF">
        <w:t xml:space="preserve"> this was reduced by </w:t>
      </w:r>
      <w:r w:rsidR="00713911">
        <w:t>£10,000 in the recent budget.</w:t>
      </w:r>
      <w:r w:rsidR="00A955FF">
        <w:t xml:space="preserve"> </w:t>
      </w:r>
    </w:p>
    <w:p w14:paraId="7094E1BC" w14:textId="44F748A8" w:rsidR="008F00F2" w:rsidRDefault="008F00F2" w:rsidP="00586BF2">
      <w:pPr>
        <w:jc w:val="both"/>
      </w:pPr>
      <w:r>
        <w:t>The Internal Audit Plan includes some 12</w:t>
      </w:r>
      <w:r w:rsidR="00C71671">
        <w:t xml:space="preserve"> to </w:t>
      </w:r>
      <w:r>
        <w:t xml:space="preserve">14 days annually for the </w:t>
      </w:r>
      <w:r w:rsidR="00C15B0D">
        <w:t>c</w:t>
      </w:r>
      <w:r>
        <w:t xml:space="preserve">ommercial </w:t>
      </w:r>
      <w:r w:rsidR="00C15B0D">
        <w:t>i</w:t>
      </w:r>
      <w:r>
        <w:t xml:space="preserve">nvestment </w:t>
      </w:r>
      <w:r w:rsidR="00C15B0D">
        <w:t>p</w:t>
      </w:r>
      <w:r>
        <w:t>ortfolio</w:t>
      </w:r>
      <w:r w:rsidR="00C15B0D">
        <w:t xml:space="preserve">. The work </w:t>
      </w:r>
      <w:r>
        <w:t xml:space="preserve">is guided by the Head of Assets </w:t>
      </w:r>
      <w:r w:rsidR="002F29FF">
        <w:t>towards particular areas of</w:t>
      </w:r>
      <w:r>
        <w:t xml:space="preserve"> focus and risk.  A recent audit </w:t>
      </w:r>
      <w:r w:rsidR="00404430">
        <w:t>examined</w:t>
      </w:r>
      <w:r>
        <w:t xml:space="preserve"> the system </w:t>
      </w:r>
      <w:r w:rsidR="00404430">
        <w:t>for collecting</w:t>
      </w:r>
      <w:r>
        <w:t xml:space="preserve"> commercial rents and its interface with other core Council systems. </w:t>
      </w:r>
    </w:p>
    <w:p w14:paraId="76AAAD72" w14:textId="797B803C" w:rsidR="007933F6" w:rsidRDefault="001D559F" w:rsidP="00586BF2">
      <w:pPr>
        <w:jc w:val="both"/>
      </w:pPr>
      <w:r>
        <w:t xml:space="preserve">The S151 </w:t>
      </w:r>
      <w:r w:rsidR="0037148B">
        <w:t>o</w:t>
      </w:r>
      <w:r>
        <w:t xml:space="preserve">fficer considers </w:t>
      </w:r>
      <w:r w:rsidR="002F29FF">
        <w:t>SBC’s</w:t>
      </w:r>
      <w:r>
        <w:t xml:space="preserve"> </w:t>
      </w:r>
      <w:r w:rsidR="0010658A">
        <w:t xml:space="preserve">audit team </w:t>
      </w:r>
      <w:r w:rsidR="002F29FF">
        <w:t xml:space="preserve">to be </w:t>
      </w:r>
      <w:r w:rsidR="0010658A">
        <w:t xml:space="preserve">in line with other similar sized authorities.  </w:t>
      </w:r>
      <w:r w:rsidR="004E4D5B">
        <w:t xml:space="preserve">This view is not shared by the Monitoring Officer, who </w:t>
      </w:r>
      <w:r w:rsidR="00B33F78">
        <w:t>considers it</w:t>
      </w:r>
      <w:r w:rsidR="00323529">
        <w:t xml:space="preserve"> inadequate.  </w:t>
      </w:r>
      <w:r w:rsidR="00B33F78">
        <w:t>S</w:t>
      </w:r>
      <w:r w:rsidR="00B660D9">
        <w:t xml:space="preserve">imilar </w:t>
      </w:r>
      <w:r w:rsidR="0010658A">
        <w:t xml:space="preserve">authorities are unlikely to have </w:t>
      </w:r>
      <w:r w:rsidR="005E6F9C">
        <w:t>a £1</w:t>
      </w:r>
      <w:r w:rsidR="00C71671">
        <w:t xml:space="preserve"> </w:t>
      </w:r>
      <w:r w:rsidR="005E6F9C">
        <w:t>b</w:t>
      </w:r>
      <w:r w:rsidR="00C71671">
        <w:t>illio</w:t>
      </w:r>
      <w:r w:rsidR="005E6F9C">
        <w:t>n commercial property portfolio</w:t>
      </w:r>
      <w:r w:rsidR="006E6AE0">
        <w:t xml:space="preserve"> </w:t>
      </w:r>
      <w:r w:rsidR="00C90DF6">
        <w:t>together with a complex affordable housing programme</w:t>
      </w:r>
      <w:r w:rsidR="005E6F9C">
        <w:t>.</w:t>
      </w:r>
    </w:p>
    <w:p w14:paraId="2AC8C95C" w14:textId="45CE3909" w:rsidR="0020439C" w:rsidRPr="00A77630" w:rsidRDefault="0020439C" w:rsidP="00586BF2">
      <w:pPr>
        <w:jc w:val="both"/>
        <w:rPr>
          <w:b/>
          <w:bCs/>
          <w:i/>
          <w:iCs/>
          <w:sz w:val="24"/>
          <w:szCs w:val="24"/>
        </w:rPr>
      </w:pPr>
      <w:r w:rsidRPr="00A77630">
        <w:rPr>
          <w:b/>
          <w:bCs/>
          <w:i/>
          <w:iCs/>
          <w:sz w:val="24"/>
          <w:szCs w:val="24"/>
        </w:rPr>
        <w:t xml:space="preserve">Senior </w:t>
      </w:r>
      <w:r w:rsidR="00726410" w:rsidRPr="00A77630">
        <w:rPr>
          <w:b/>
          <w:bCs/>
          <w:i/>
          <w:iCs/>
          <w:sz w:val="24"/>
          <w:szCs w:val="24"/>
        </w:rPr>
        <w:t>m</w:t>
      </w:r>
      <w:r w:rsidRPr="00A77630">
        <w:rPr>
          <w:b/>
          <w:bCs/>
          <w:i/>
          <w:iCs/>
          <w:sz w:val="24"/>
          <w:szCs w:val="24"/>
        </w:rPr>
        <w:t xml:space="preserve">anagement </w:t>
      </w:r>
      <w:r w:rsidR="00726410" w:rsidRPr="00A77630">
        <w:rPr>
          <w:b/>
          <w:bCs/>
          <w:i/>
          <w:iCs/>
          <w:sz w:val="24"/>
          <w:szCs w:val="24"/>
        </w:rPr>
        <w:t>c</w:t>
      </w:r>
      <w:r w:rsidRPr="00A77630">
        <w:rPr>
          <w:b/>
          <w:bCs/>
          <w:i/>
          <w:iCs/>
          <w:sz w:val="24"/>
          <w:szCs w:val="24"/>
        </w:rPr>
        <w:t>apacity</w:t>
      </w:r>
    </w:p>
    <w:p w14:paraId="69ACE03F" w14:textId="5DAB3011" w:rsidR="00265A5D" w:rsidRDefault="00583F7F" w:rsidP="00586BF2">
      <w:pPr>
        <w:jc w:val="both"/>
      </w:pPr>
      <w:r>
        <w:t>The</w:t>
      </w:r>
      <w:r w:rsidR="00265A5D">
        <w:t xml:space="preserve"> </w:t>
      </w:r>
      <w:r>
        <w:t>c</w:t>
      </w:r>
      <w:r w:rsidR="00292BF7">
        <w:t xml:space="preserve">ommercial </w:t>
      </w:r>
      <w:r>
        <w:t>i</w:t>
      </w:r>
      <w:r w:rsidR="00292BF7">
        <w:t xml:space="preserve">nvestment </w:t>
      </w:r>
      <w:r>
        <w:t>p</w:t>
      </w:r>
      <w:r w:rsidR="00292BF7">
        <w:t xml:space="preserve">ortfolio </w:t>
      </w:r>
      <w:r w:rsidR="00157E99">
        <w:t xml:space="preserve">requires significant senior management focus.  Most of the meetings outlined in </w:t>
      </w:r>
      <w:r w:rsidR="009E03D9">
        <w:t>s</w:t>
      </w:r>
      <w:r w:rsidR="00157E99">
        <w:t>ection 3.</w:t>
      </w:r>
      <w:r w:rsidR="00E11F8F">
        <w:t xml:space="preserve">2 </w:t>
      </w:r>
      <w:r w:rsidR="00157E99">
        <w:t>include statutory officer</w:t>
      </w:r>
      <w:r w:rsidR="006D15E4">
        <w:t>s</w:t>
      </w:r>
      <w:r w:rsidR="00157E99">
        <w:t xml:space="preserve"> and senior management.  </w:t>
      </w:r>
      <w:r w:rsidR="000C2FEA">
        <w:t>At</w:t>
      </w:r>
      <w:r w:rsidR="00343F1A">
        <w:t xml:space="preserve"> one point the </w:t>
      </w:r>
      <w:r w:rsidR="000C2FEA">
        <w:t>portfolio</w:t>
      </w:r>
      <w:r w:rsidR="00563343">
        <w:t xml:space="preserve"> became such a focus for </w:t>
      </w:r>
      <w:r w:rsidR="00B660D9">
        <w:t xml:space="preserve">the </w:t>
      </w:r>
      <w:r w:rsidR="008A7FDD">
        <w:t>c</w:t>
      </w:r>
      <w:r w:rsidR="00343F1A">
        <w:t>ouncil’s Executive Management Team</w:t>
      </w:r>
      <w:r w:rsidR="00563343">
        <w:t xml:space="preserve"> that it precluded other business.</w:t>
      </w:r>
      <w:r w:rsidR="007B3601">
        <w:t xml:space="preserve"> </w:t>
      </w:r>
      <w:r w:rsidR="00563343">
        <w:t xml:space="preserve">This resulted in the establishment of a separate senior officer meeting focused on the </w:t>
      </w:r>
      <w:r w:rsidR="00E901C4">
        <w:t>p</w:t>
      </w:r>
      <w:r w:rsidR="00563343">
        <w:t>ortfolio.</w:t>
      </w:r>
    </w:p>
    <w:p w14:paraId="218B3C96" w14:textId="0B5FF09E" w:rsidR="00BF77ED" w:rsidRDefault="00BF77ED" w:rsidP="00586BF2">
      <w:pPr>
        <w:jc w:val="both"/>
      </w:pPr>
      <w:r>
        <w:t xml:space="preserve">The Chief Executive and his senior management team </w:t>
      </w:r>
      <w:r w:rsidR="00284437">
        <w:t xml:space="preserve">are heavily involved in </w:t>
      </w:r>
      <w:r w:rsidR="00E901C4">
        <w:t xml:space="preserve">portfolio </w:t>
      </w:r>
      <w:r w:rsidR="00052328">
        <w:t xml:space="preserve">management.  </w:t>
      </w:r>
      <w:r w:rsidR="00094AB8">
        <w:t>S</w:t>
      </w:r>
      <w:r w:rsidR="00B37CB9">
        <w:t>ustain</w:t>
      </w:r>
      <w:r w:rsidR="00094AB8">
        <w:t>ing</w:t>
      </w:r>
      <w:r w:rsidR="00B37CB9">
        <w:t xml:space="preserve"> this level of skill and expertise over the </w:t>
      </w:r>
      <w:r w:rsidR="00094AB8">
        <w:t xml:space="preserve">portfolio’s </w:t>
      </w:r>
      <w:r w:rsidR="00B37CB9">
        <w:t>50</w:t>
      </w:r>
      <w:r w:rsidR="00094AB8">
        <w:t>-</w:t>
      </w:r>
      <w:r w:rsidR="00B37CB9">
        <w:t xml:space="preserve">year </w:t>
      </w:r>
      <w:r w:rsidR="00094AB8">
        <w:t xml:space="preserve">lifespan will be challenging. </w:t>
      </w:r>
      <w:r w:rsidR="007764C3">
        <w:t xml:space="preserve">Any loss of focus however will expose the </w:t>
      </w:r>
      <w:r w:rsidR="008A7FDD">
        <w:t>c</w:t>
      </w:r>
      <w:r w:rsidR="007764C3">
        <w:t>ouncil to considerable risk.</w:t>
      </w:r>
    </w:p>
    <w:p w14:paraId="534808FF" w14:textId="7A9E9B36" w:rsidR="00563343" w:rsidRDefault="00921A09" w:rsidP="00586BF2">
      <w:pPr>
        <w:jc w:val="both"/>
      </w:pPr>
      <w:r>
        <w:t xml:space="preserve">The </w:t>
      </w:r>
      <w:r w:rsidR="008A7FDD">
        <w:t>c</w:t>
      </w:r>
      <w:r>
        <w:t xml:space="preserve">ouncil </w:t>
      </w:r>
      <w:r w:rsidR="000E0866">
        <w:t>should</w:t>
      </w:r>
      <w:r>
        <w:t xml:space="preserve"> consider whether this is sustainable in the long term</w:t>
      </w:r>
      <w:r w:rsidR="004E769D">
        <w:t xml:space="preserve"> </w:t>
      </w:r>
      <w:r w:rsidR="003F2E0A">
        <w:t xml:space="preserve">given that </w:t>
      </w:r>
      <w:r w:rsidR="004E769D">
        <w:t xml:space="preserve">senior management expertise and capacity will </w:t>
      </w:r>
      <w:r w:rsidR="003F2E0A">
        <w:t xml:space="preserve">also </w:t>
      </w:r>
      <w:r w:rsidR="004E769D">
        <w:t>be needed to</w:t>
      </w:r>
      <w:r w:rsidR="0084643D">
        <w:t xml:space="preserve">: </w:t>
      </w:r>
    </w:p>
    <w:p w14:paraId="7DCC6BD1" w14:textId="31B56133" w:rsidR="004E769D" w:rsidRDefault="008A7FDD" w:rsidP="00F34C2F">
      <w:pPr>
        <w:pStyle w:val="ListParagraph"/>
        <w:numPr>
          <w:ilvl w:val="0"/>
          <w:numId w:val="22"/>
        </w:numPr>
        <w:jc w:val="both"/>
      </w:pPr>
      <w:r>
        <w:t>d</w:t>
      </w:r>
      <w:r w:rsidR="004E769D">
        <w:t xml:space="preserve">eliver </w:t>
      </w:r>
      <w:r w:rsidR="0087514B">
        <w:t>the affordable</w:t>
      </w:r>
      <w:r w:rsidR="004E769D">
        <w:t xml:space="preserve"> housing strategy</w:t>
      </w:r>
    </w:p>
    <w:p w14:paraId="11A21555" w14:textId="165EC1AA" w:rsidR="00D63FA9" w:rsidRDefault="008A7FDD" w:rsidP="00F34C2F">
      <w:pPr>
        <w:pStyle w:val="ListParagraph"/>
        <w:numPr>
          <w:ilvl w:val="0"/>
          <w:numId w:val="22"/>
        </w:numPr>
        <w:jc w:val="both"/>
      </w:pPr>
      <w:r>
        <w:t>s</w:t>
      </w:r>
      <w:r w:rsidR="003B6777">
        <w:t xml:space="preserve">upport </w:t>
      </w:r>
      <w:r w:rsidR="00910345">
        <w:t>KGE’s</w:t>
      </w:r>
      <w:r w:rsidR="003B6777">
        <w:t xml:space="preserve"> </w:t>
      </w:r>
      <w:r w:rsidR="00910345">
        <w:t xml:space="preserve">portfolio </w:t>
      </w:r>
      <w:r w:rsidR="003B6777">
        <w:t>expansion</w:t>
      </w:r>
      <w:r w:rsidR="00910345">
        <w:t xml:space="preserve"> and RSL status</w:t>
      </w:r>
      <w:r w:rsidR="003B6777">
        <w:t xml:space="preserve"> </w:t>
      </w:r>
    </w:p>
    <w:p w14:paraId="383FCF17" w14:textId="4C384BF5" w:rsidR="004E769D" w:rsidRDefault="008A7FDD" w:rsidP="00F34C2F">
      <w:pPr>
        <w:pStyle w:val="ListParagraph"/>
        <w:numPr>
          <w:ilvl w:val="0"/>
          <w:numId w:val="22"/>
        </w:numPr>
        <w:jc w:val="both"/>
      </w:pPr>
      <w:r>
        <w:t>t</w:t>
      </w:r>
      <w:r w:rsidR="004E769D">
        <w:t xml:space="preserve">ransform council services </w:t>
      </w:r>
      <w:r w:rsidR="00F170A9">
        <w:t xml:space="preserve">to meet tight budget constraints set out in the </w:t>
      </w:r>
      <w:r w:rsidR="001818B5">
        <w:t>MTFP</w:t>
      </w:r>
    </w:p>
    <w:p w14:paraId="09E7BC8B" w14:textId="1894C370" w:rsidR="0062734E" w:rsidRDefault="008A7FDD" w:rsidP="00F34C2F">
      <w:pPr>
        <w:pStyle w:val="ListParagraph"/>
        <w:numPr>
          <w:ilvl w:val="0"/>
          <w:numId w:val="22"/>
        </w:numPr>
        <w:jc w:val="both"/>
      </w:pPr>
      <w:r>
        <w:t>m</w:t>
      </w:r>
      <w:r w:rsidR="00961C49">
        <w:t xml:space="preserve">anage the </w:t>
      </w:r>
      <w:r>
        <w:t>c</w:t>
      </w:r>
      <w:r w:rsidR="00D337CC">
        <w:t xml:space="preserve">ouncil’s </w:t>
      </w:r>
      <w:r w:rsidR="00961C49">
        <w:t>complex political environment</w:t>
      </w:r>
    </w:p>
    <w:p w14:paraId="76AE2AB6" w14:textId="31F2A1F0" w:rsidR="00E4467A" w:rsidRDefault="00970D42" w:rsidP="00BE7C5C">
      <w:pPr>
        <w:pStyle w:val="Heading2"/>
        <w:spacing w:after="0"/>
        <w:jc w:val="both"/>
        <w:rPr>
          <w:lang w:eastAsia="en-GB"/>
        </w:rPr>
      </w:pPr>
      <w:bookmarkStart w:id="13" w:name="_Toc150862410"/>
      <w:r>
        <w:rPr>
          <w:lang w:eastAsia="en-GB"/>
        </w:rPr>
        <w:t>4</w:t>
      </w:r>
      <w:r w:rsidR="00625E1B">
        <w:rPr>
          <w:lang w:eastAsia="en-GB"/>
        </w:rPr>
        <w:t>.</w:t>
      </w:r>
      <w:r w:rsidR="000C23B4">
        <w:rPr>
          <w:lang w:eastAsia="en-GB"/>
        </w:rPr>
        <w:t>2</w:t>
      </w:r>
      <w:r w:rsidR="00625E1B">
        <w:rPr>
          <w:lang w:eastAsia="en-GB"/>
        </w:rPr>
        <w:t xml:space="preserve"> Decision-making, oversight and governance</w:t>
      </w:r>
      <w:bookmarkEnd w:id="13"/>
    </w:p>
    <w:p w14:paraId="1C3EA660" w14:textId="77777777" w:rsidR="00E4467A" w:rsidRDefault="00E4467A" w:rsidP="00BE7C5C">
      <w:pPr>
        <w:spacing w:after="0"/>
        <w:jc w:val="both"/>
        <w:rPr>
          <w:b/>
          <w:bCs/>
          <w:lang w:eastAsia="en-GB"/>
        </w:rPr>
      </w:pPr>
    </w:p>
    <w:p w14:paraId="0A44A18B" w14:textId="5A2AECF9" w:rsidR="00E4467A" w:rsidRPr="00A77630" w:rsidRDefault="00BD1DF2" w:rsidP="00BE7C5C">
      <w:pPr>
        <w:spacing w:after="0"/>
        <w:jc w:val="both"/>
        <w:rPr>
          <w:b/>
          <w:bCs/>
          <w:i/>
          <w:iCs/>
          <w:sz w:val="24"/>
          <w:szCs w:val="24"/>
          <w:lang w:eastAsia="en-GB"/>
        </w:rPr>
      </w:pPr>
      <w:r w:rsidRPr="00A77630">
        <w:rPr>
          <w:b/>
          <w:bCs/>
          <w:i/>
          <w:iCs/>
          <w:sz w:val="24"/>
          <w:szCs w:val="24"/>
          <w:lang w:eastAsia="en-GB"/>
        </w:rPr>
        <w:t xml:space="preserve">Ongoing </w:t>
      </w:r>
      <w:r w:rsidR="00ED20ED" w:rsidRPr="00A77630">
        <w:rPr>
          <w:b/>
          <w:bCs/>
          <w:i/>
          <w:iCs/>
          <w:sz w:val="24"/>
          <w:szCs w:val="24"/>
          <w:lang w:eastAsia="en-GB"/>
        </w:rPr>
        <w:t>scrutiny of</w:t>
      </w:r>
      <w:r w:rsidR="004F68F6" w:rsidRPr="00A77630">
        <w:rPr>
          <w:b/>
          <w:bCs/>
          <w:i/>
          <w:iCs/>
          <w:sz w:val="24"/>
          <w:szCs w:val="24"/>
          <w:lang w:eastAsia="en-GB"/>
        </w:rPr>
        <w:t xml:space="preserve"> property portfolios</w:t>
      </w:r>
    </w:p>
    <w:p w14:paraId="1739A8FA" w14:textId="77777777" w:rsidR="00BE7C5C" w:rsidRPr="00E4467A" w:rsidRDefault="00BE7C5C" w:rsidP="00BE7C5C">
      <w:pPr>
        <w:spacing w:after="0"/>
        <w:jc w:val="both"/>
        <w:rPr>
          <w:b/>
          <w:bCs/>
          <w:lang w:eastAsia="en-GB"/>
        </w:rPr>
      </w:pPr>
    </w:p>
    <w:p w14:paraId="38099BD3" w14:textId="1E1A672C" w:rsidR="00F34CCF" w:rsidRDefault="00C54986" w:rsidP="00586BF2">
      <w:pPr>
        <w:jc w:val="both"/>
        <w:rPr>
          <w:lang w:eastAsia="en-GB"/>
        </w:rPr>
      </w:pPr>
      <w:r>
        <w:rPr>
          <w:lang w:eastAsia="en-GB"/>
        </w:rPr>
        <w:t xml:space="preserve">The </w:t>
      </w:r>
      <w:r w:rsidR="008A7FDD">
        <w:rPr>
          <w:lang w:eastAsia="en-GB"/>
        </w:rPr>
        <w:t>c</w:t>
      </w:r>
      <w:r>
        <w:rPr>
          <w:lang w:eastAsia="en-GB"/>
        </w:rPr>
        <w:t xml:space="preserve">ouncil </w:t>
      </w:r>
      <w:r w:rsidR="00B3051D">
        <w:rPr>
          <w:lang w:eastAsia="en-GB"/>
        </w:rPr>
        <w:t>has highlighted the significant number of member and officer meeting</w:t>
      </w:r>
      <w:r w:rsidR="005514A1">
        <w:rPr>
          <w:lang w:eastAsia="en-GB"/>
        </w:rPr>
        <w:t>s</w:t>
      </w:r>
      <w:r w:rsidR="00B3051D">
        <w:rPr>
          <w:lang w:eastAsia="en-GB"/>
        </w:rPr>
        <w:t xml:space="preserve"> </w:t>
      </w:r>
      <w:r w:rsidR="00F83C2B">
        <w:rPr>
          <w:lang w:eastAsia="en-GB"/>
        </w:rPr>
        <w:t>concerning</w:t>
      </w:r>
      <w:r w:rsidR="00B3051D">
        <w:rPr>
          <w:lang w:eastAsia="en-GB"/>
        </w:rPr>
        <w:t xml:space="preserve"> investment portfolio</w:t>
      </w:r>
      <w:r w:rsidR="0076594D">
        <w:rPr>
          <w:lang w:eastAsia="en-GB"/>
        </w:rPr>
        <w:t xml:space="preserve"> management</w:t>
      </w:r>
      <w:r w:rsidR="00B3051D">
        <w:rPr>
          <w:lang w:eastAsia="en-GB"/>
        </w:rPr>
        <w:t>.</w:t>
      </w:r>
      <w:r w:rsidR="00E10E5E">
        <w:rPr>
          <w:lang w:eastAsia="en-GB"/>
        </w:rPr>
        <w:t xml:space="preserve">  Th</w:t>
      </w:r>
      <w:r w:rsidR="0076594D">
        <w:rPr>
          <w:lang w:eastAsia="en-GB"/>
        </w:rPr>
        <w:t>ey</w:t>
      </w:r>
      <w:r w:rsidR="00E10E5E">
        <w:rPr>
          <w:lang w:eastAsia="en-GB"/>
        </w:rPr>
        <w:t xml:space="preserve"> include: </w:t>
      </w:r>
    </w:p>
    <w:p w14:paraId="1AE6BA4A" w14:textId="75F4C166" w:rsidR="00167FAB" w:rsidRPr="00DD11A7" w:rsidRDefault="00167FAB" w:rsidP="00F34C2F">
      <w:pPr>
        <w:pStyle w:val="ListParagraph"/>
        <w:numPr>
          <w:ilvl w:val="0"/>
          <w:numId w:val="7"/>
        </w:numPr>
        <w:spacing w:after="0" w:line="240" w:lineRule="auto"/>
        <w:ind w:left="714" w:hanging="357"/>
        <w:contextualSpacing w:val="0"/>
        <w:jc w:val="both"/>
        <w:rPr>
          <w:rFonts w:eastAsia="Times New Roman"/>
          <w:b/>
          <w:bCs/>
        </w:rPr>
      </w:pPr>
      <w:r>
        <w:rPr>
          <w:rFonts w:eastAsia="Times New Roman"/>
          <w:b/>
          <w:bCs/>
        </w:rPr>
        <w:t>Assets Portfolio Working Group</w:t>
      </w:r>
      <w:r w:rsidR="00EC3E81">
        <w:rPr>
          <w:rFonts w:eastAsia="Times New Roman"/>
        </w:rPr>
        <w:t xml:space="preserve">. </w:t>
      </w:r>
      <w:r>
        <w:rPr>
          <w:rFonts w:eastAsia="Times New Roman"/>
        </w:rPr>
        <w:t xml:space="preserve">5 cross party councillors representing Corporate Policy and Resources Committee and Development Sub-Committee </w:t>
      </w:r>
      <w:r w:rsidR="00EC3E81">
        <w:rPr>
          <w:rFonts w:eastAsia="Times New Roman"/>
        </w:rPr>
        <w:t xml:space="preserve">are </w:t>
      </w:r>
      <w:r>
        <w:rPr>
          <w:rFonts w:eastAsia="Times New Roman"/>
        </w:rPr>
        <w:t>briefed on current and emerging issues and given opportunity to express early views</w:t>
      </w:r>
      <w:r w:rsidR="006D6780">
        <w:rPr>
          <w:rFonts w:eastAsia="Times New Roman"/>
        </w:rPr>
        <w:t>.</w:t>
      </w:r>
      <w:r w:rsidR="00F51B50">
        <w:rPr>
          <w:rFonts w:eastAsia="Times New Roman"/>
        </w:rPr>
        <w:t xml:space="preserve"> Held fortnightly, unless cancelled for lack of relevant business. </w:t>
      </w:r>
      <w:r w:rsidR="006D6780">
        <w:rPr>
          <w:rFonts w:eastAsia="Times New Roman"/>
        </w:rPr>
        <w:t xml:space="preserve">  </w:t>
      </w:r>
    </w:p>
    <w:p w14:paraId="4994592C" w14:textId="77777777" w:rsidR="00DD11A7" w:rsidRDefault="00DD11A7" w:rsidP="0076594D">
      <w:pPr>
        <w:pStyle w:val="ListParagraph"/>
        <w:spacing w:after="0" w:line="240" w:lineRule="auto"/>
        <w:ind w:left="360"/>
        <w:contextualSpacing w:val="0"/>
        <w:jc w:val="both"/>
        <w:rPr>
          <w:rFonts w:eastAsia="Times New Roman"/>
          <w:b/>
          <w:bCs/>
        </w:rPr>
      </w:pPr>
    </w:p>
    <w:p w14:paraId="7D91BED3" w14:textId="49AC4BA8" w:rsidR="00E10E5E" w:rsidRDefault="00167FAB" w:rsidP="00F34C2F">
      <w:pPr>
        <w:pStyle w:val="ListParagraph"/>
        <w:numPr>
          <w:ilvl w:val="0"/>
          <w:numId w:val="7"/>
        </w:numPr>
        <w:spacing w:after="0" w:line="240" w:lineRule="auto"/>
        <w:ind w:left="714" w:hanging="357"/>
        <w:contextualSpacing w:val="0"/>
        <w:jc w:val="both"/>
        <w:rPr>
          <w:rFonts w:eastAsia="Times New Roman"/>
        </w:rPr>
      </w:pPr>
      <w:r>
        <w:rPr>
          <w:rFonts w:eastAsia="Times New Roman"/>
          <w:b/>
          <w:bCs/>
        </w:rPr>
        <w:t>Development Sub-Committee</w:t>
      </w:r>
      <w:r w:rsidR="00EC3E81">
        <w:rPr>
          <w:rFonts w:eastAsia="Times New Roman"/>
          <w:b/>
          <w:bCs/>
        </w:rPr>
        <w:t xml:space="preserve">. </w:t>
      </w:r>
      <w:r>
        <w:rPr>
          <w:rFonts w:eastAsia="Times New Roman"/>
        </w:rPr>
        <w:t xml:space="preserve">11 councillors </w:t>
      </w:r>
      <w:r w:rsidR="00EC3E81">
        <w:rPr>
          <w:rFonts w:eastAsia="Times New Roman"/>
        </w:rPr>
        <w:t xml:space="preserve">are </w:t>
      </w:r>
      <w:r>
        <w:rPr>
          <w:rFonts w:eastAsia="Times New Roman"/>
        </w:rPr>
        <w:t>appointed on a group proportional basis</w:t>
      </w:r>
      <w:r w:rsidR="007E659D">
        <w:rPr>
          <w:rFonts w:eastAsia="Times New Roman"/>
        </w:rPr>
        <w:t xml:space="preserve"> and act as a</w:t>
      </w:r>
      <w:r>
        <w:rPr>
          <w:rFonts w:eastAsia="Times New Roman"/>
        </w:rPr>
        <w:t xml:space="preserve"> programme board</w:t>
      </w:r>
      <w:r w:rsidR="007E659D">
        <w:rPr>
          <w:rFonts w:eastAsia="Times New Roman"/>
        </w:rPr>
        <w:t>,</w:t>
      </w:r>
      <w:r>
        <w:rPr>
          <w:rFonts w:eastAsia="Times New Roman"/>
        </w:rPr>
        <w:t xml:space="preserve"> sign</w:t>
      </w:r>
      <w:r w:rsidR="007E659D">
        <w:rPr>
          <w:rFonts w:eastAsia="Times New Roman"/>
        </w:rPr>
        <w:t>ing</w:t>
      </w:r>
      <w:r>
        <w:rPr>
          <w:rFonts w:eastAsia="Times New Roman"/>
        </w:rPr>
        <w:t xml:space="preserve"> off business cases and project gateway stages</w:t>
      </w:r>
      <w:r w:rsidR="00E10E5E">
        <w:rPr>
          <w:rFonts w:eastAsia="Times New Roman"/>
        </w:rPr>
        <w:t>.</w:t>
      </w:r>
      <w:r w:rsidR="00F51B50">
        <w:rPr>
          <w:rFonts w:eastAsia="Times New Roman"/>
        </w:rPr>
        <w:t xml:space="preserve"> Two meetings held per month. </w:t>
      </w:r>
    </w:p>
    <w:p w14:paraId="7879521E" w14:textId="77777777" w:rsidR="00E10E5E" w:rsidRPr="00E10E5E" w:rsidRDefault="00E10E5E" w:rsidP="0076594D">
      <w:pPr>
        <w:spacing w:after="0" w:line="240" w:lineRule="auto"/>
        <w:jc w:val="both"/>
        <w:rPr>
          <w:rFonts w:eastAsia="Times New Roman"/>
        </w:rPr>
      </w:pPr>
    </w:p>
    <w:p w14:paraId="379C8270" w14:textId="71DF518E" w:rsidR="00167FAB" w:rsidRDefault="00167FAB" w:rsidP="00F34C2F">
      <w:pPr>
        <w:pStyle w:val="ListParagraph"/>
        <w:numPr>
          <w:ilvl w:val="0"/>
          <w:numId w:val="7"/>
        </w:numPr>
        <w:spacing w:after="0" w:line="240" w:lineRule="auto"/>
        <w:ind w:left="714" w:hanging="357"/>
        <w:contextualSpacing w:val="0"/>
        <w:jc w:val="both"/>
        <w:rPr>
          <w:rFonts w:eastAsia="Times New Roman"/>
        </w:rPr>
      </w:pPr>
      <w:r>
        <w:rPr>
          <w:rFonts w:eastAsia="Times New Roman"/>
          <w:b/>
          <w:bCs/>
        </w:rPr>
        <w:t>Corporate Policy and Resources Committee</w:t>
      </w:r>
      <w:r w:rsidR="00017CC9">
        <w:rPr>
          <w:rFonts w:eastAsia="Times New Roman"/>
          <w:b/>
          <w:bCs/>
        </w:rPr>
        <w:t xml:space="preserve">. </w:t>
      </w:r>
      <w:r w:rsidR="00F3617B">
        <w:rPr>
          <w:rFonts w:eastAsia="Times New Roman"/>
        </w:rPr>
        <w:t xml:space="preserve">Including </w:t>
      </w:r>
      <w:r>
        <w:rPr>
          <w:rFonts w:eastAsia="Times New Roman"/>
        </w:rPr>
        <w:t>Chairs and Vice Chairs of all service committees</w:t>
      </w:r>
      <w:r w:rsidR="00384B3A">
        <w:rPr>
          <w:rFonts w:eastAsia="Times New Roman"/>
        </w:rPr>
        <w:t>,</w:t>
      </w:r>
      <w:r w:rsidR="00F3617B">
        <w:rPr>
          <w:rFonts w:eastAsia="Times New Roman"/>
        </w:rPr>
        <w:t xml:space="preserve"> this</w:t>
      </w:r>
      <w:r>
        <w:rPr>
          <w:rFonts w:eastAsia="Times New Roman"/>
        </w:rPr>
        <w:t xml:space="preserve"> consider</w:t>
      </w:r>
      <w:r w:rsidR="00F3617B">
        <w:rPr>
          <w:rFonts w:eastAsia="Times New Roman"/>
        </w:rPr>
        <w:t>s</w:t>
      </w:r>
      <w:r>
        <w:rPr>
          <w:rFonts w:eastAsia="Times New Roman"/>
        </w:rPr>
        <w:t xml:space="preserve"> significant finance and asset issues</w:t>
      </w:r>
      <w:r w:rsidR="00C53487">
        <w:rPr>
          <w:rFonts w:eastAsia="Times New Roman"/>
        </w:rPr>
        <w:t>.</w:t>
      </w:r>
      <w:r w:rsidR="00F51B50">
        <w:rPr>
          <w:rFonts w:eastAsia="Times New Roman"/>
        </w:rPr>
        <w:t xml:space="preserve"> Meetings of this committee take place 7 times a year. </w:t>
      </w:r>
    </w:p>
    <w:p w14:paraId="3040EEB8" w14:textId="77777777" w:rsidR="00E10E5E" w:rsidRPr="00E10E5E" w:rsidRDefault="00E10E5E" w:rsidP="0076594D">
      <w:pPr>
        <w:spacing w:after="0" w:line="240" w:lineRule="auto"/>
        <w:jc w:val="both"/>
        <w:rPr>
          <w:rFonts w:eastAsia="Times New Roman"/>
        </w:rPr>
      </w:pPr>
    </w:p>
    <w:p w14:paraId="0A44E12D" w14:textId="1F48B983" w:rsidR="00167FAB" w:rsidRDefault="00F51B50" w:rsidP="00F34C2F">
      <w:pPr>
        <w:pStyle w:val="ListParagraph"/>
        <w:numPr>
          <w:ilvl w:val="0"/>
          <w:numId w:val="7"/>
        </w:numPr>
        <w:spacing w:after="0" w:line="240" w:lineRule="auto"/>
        <w:ind w:left="714" w:hanging="357"/>
        <w:contextualSpacing w:val="0"/>
        <w:jc w:val="both"/>
        <w:rPr>
          <w:rFonts w:eastAsia="Times New Roman"/>
        </w:rPr>
      </w:pPr>
      <w:r>
        <w:rPr>
          <w:rFonts w:eastAsia="Times New Roman"/>
          <w:b/>
          <w:bCs/>
        </w:rPr>
        <w:t>W</w:t>
      </w:r>
      <w:r w:rsidR="00167FAB">
        <w:rPr>
          <w:rFonts w:eastAsia="Times New Roman"/>
          <w:b/>
          <w:bCs/>
        </w:rPr>
        <w:t>eekly officer Development and Investment Group</w:t>
      </w:r>
      <w:r w:rsidR="00017CC9">
        <w:rPr>
          <w:rFonts w:eastAsia="Times New Roman"/>
          <w:b/>
          <w:bCs/>
        </w:rPr>
        <w:t xml:space="preserve">. </w:t>
      </w:r>
      <w:r w:rsidR="00017CC9" w:rsidRPr="00017CC9">
        <w:rPr>
          <w:rFonts w:eastAsia="Times New Roman"/>
        </w:rPr>
        <w:t>This</w:t>
      </w:r>
      <w:r w:rsidR="00167FAB" w:rsidRPr="00017CC9">
        <w:rPr>
          <w:rFonts w:eastAsia="Times New Roman"/>
        </w:rPr>
        <w:t xml:space="preserve"> </w:t>
      </w:r>
      <w:r w:rsidR="00167FAB">
        <w:rPr>
          <w:rFonts w:eastAsia="Times New Roman"/>
        </w:rPr>
        <w:t>monitors progress of both investment assets and development schemes</w:t>
      </w:r>
      <w:r w:rsidR="00C53487">
        <w:rPr>
          <w:rFonts w:eastAsia="Times New Roman"/>
        </w:rPr>
        <w:t>.</w:t>
      </w:r>
    </w:p>
    <w:p w14:paraId="1BBF0E3C" w14:textId="77777777" w:rsidR="00E10E5E" w:rsidRPr="00E10E5E" w:rsidRDefault="00E10E5E" w:rsidP="0076594D">
      <w:pPr>
        <w:spacing w:after="0" w:line="240" w:lineRule="auto"/>
        <w:jc w:val="both"/>
        <w:rPr>
          <w:rFonts w:eastAsia="Times New Roman"/>
        </w:rPr>
      </w:pPr>
    </w:p>
    <w:p w14:paraId="0F7F30B3" w14:textId="4401930F" w:rsidR="00167FAB" w:rsidRDefault="00167FAB" w:rsidP="00F34C2F">
      <w:pPr>
        <w:pStyle w:val="ListParagraph"/>
        <w:numPr>
          <w:ilvl w:val="0"/>
          <w:numId w:val="7"/>
        </w:numPr>
        <w:spacing w:after="0" w:line="240" w:lineRule="auto"/>
        <w:ind w:left="714" w:hanging="357"/>
        <w:contextualSpacing w:val="0"/>
        <w:jc w:val="both"/>
        <w:rPr>
          <w:rFonts w:eastAsia="Times New Roman"/>
        </w:rPr>
      </w:pPr>
      <w:r>
        <w:rPr>
          <w:rFonts w:eastAsia="Times New Roman"/>
          <w:b/>
          <w:bCs/>
        </w:rPr>
        <w:t>Knowle Green Estates Board</w:t>
      </w:r>
      <w:r w:rsidR="0092722D">
        <w:rPr>
          <w:rFonts w:eastAsia="Times New Roman"/>
          <w:b/>
          <w:bCs/>
        </w:rPr>
        <w:t xml:space="preserve">. </w:t>
      </w:r>
      <w:r w:rsidR="0092722D" w:rsidRPr="0092722D">
        <w:rPr>
          <w:rFonts w:eastAsia="Times New Roman"/>
        </w:rPr>
        <w:t>This</w:t>
      </w:r>
      <w:r w:rsidR="0092722D">
        <w:rPr>
          <w:rFonts w:eastAsia="Times New Roman"/>
          <w:b/>
          <w:bCs/>
        </w:rPr>
        <w:t xml:space="preserve"> </w:t>
      </w:r>
      <w:r>
        <w:rPr>
          <w:rFonts w:eastAsia="Times New Roman"/>
        </w:rPr>
        <w:t>monitors both performance of the company’s existing portfolio and receives project updates on pipeline schemes</w:t>
      </w:r>
      <w:r w:rsidR="00C53487">
        <w:rPr>
          <w:rFonts w:eastAsia="Times New Roman"/>
        </w:rPr>
        <w:t>.</w:t>
      </w:r>
    </w:p>
    <w:p w14:paraId="16B01E5E" w14:textId="77777777" w:rsidR="00BE7C5C" w:rsidRDefault="00BE7C5C" w:rsidP="00A637E1">
      <w:pPr>
        <w:jc w:val="both"/>
        <w:rPr>
          <w:lang w:eastAsia="en-GB"/>
        </w:rPr>
      </w:pPr>
    </w:p>
    <w:p w14:paraId="478F956B" w14:textId="35B25D40" w:rsidR="00A637E1" w:rsidRDefault="0092722D" w:rsidP="00A637E1">
      <w:pPr>
        <w:jc w:val="both"/>
        <w:rPr>
          <w:lang w:eastAsia="en-GB"/>
        </w:rPr>
      </w:pPr>
      <w:r>
        <w:rPr>
          <w:lang w:eastAsia="en-GB"/>
        </w:rPr>
        <w:t xml:space="preserve">These meetings </w:t>
      </w:r>
      <w:r w:rsidR="001B05C2">
        <w:rPr>
          <w:lang w:eastAsia="en-GB"/>
        </w:rPr>
        <w:t xml:space="preserve">tend to focus on </w:t>
      </w:r>
      <w:r w:rsidR="000E74ED">
        <w:rPr>
          <w:lang w:eastAsia="en-GB"/>
        </w:rPr>
        <w:t>day-to-day</w:t>
      </w:r>
      <w:r w:rsidR="001B05C2">
        <w:rPr>
          <w:lang w:eastAsia="en-GB"/>
        </w:rPr>
        <w:t xml:space="preserve"> </w:t>
      </w:r>
      <w:r w:rsidR="000E74ED">
        <w:rPr>
          <w:lang w:eastAsia="en-GB"/>
        </w:rPr>
        <w:t xml:space="preserve">portfolio </w:t>
      </w:r>
      <w:r w:rsidR="001B05C2">
        <w:rPr>
          <w:lang w:eastAsia="en-GB"/>
        </w:rPr>
        <w:t>management</w:t>
      </w:r>
      <w:r w:rsidR="00865502">
        <w:rPr>
          <w:lang w:eastAsia="en-GB"/>
        </w:rPr>
        <w:t>.</w:t>
      </w:r>
      <w:r w:rsidR="001B05C2">
        <w:rPr>
          <w:lang w:eastAsia="en-GB"/>
        </w:rPr>
        <w:t xml:space="preserve"> </w:t>
      </w:r>
      <w:r w:rsidR="00865502">
        <w:rPr>
          <w:lang w:eastAsia="en-GB"/>
        </w:rPr>
        <w:t>M</w:t>
      </w:r>
      <w:r w:rsidR="001B05C2">
        <w:rPr>
          <w:lang w:eastAsia="en-GB"/>
        </w:rPr>
        <w:t>embers attend</w:t>
      </w:r>
      <w:r w:rsidR="000E74ED">
        <w:rPr>
          <w:lang w:eastAsia="en-GB"/>
        </w:rPr>
        <w:t>ing</w:t>
      </w:r>
      <w:r w:rsidR="001B05C2">
        <w:rPr>
          <w:lang w:eastAsia="en-GB"/>
        </w:rPr>
        <w:t xml:space="preserve"> </w:t>
      </w:r>
      <w:r w:rsidR="000E74ED">
        <w:rPr>
          <w:lang w:eastAsia="en-GB"/>
        </w:rPr>
        <w:t>them</w:t>
      </w:r>
      <w:r w:rsidR="001B05C2">
        <w:rPr>
          <w:lang w:eastAsia="en-GB"/>
        </w:rPr>
        <w:t xml:space="preserve"> have a </w:t>
      </w:r>
      <w:r w:rsidR="00E06F02">
        <w:rPr>
          <w:lang w:eastAsia="en-GB"/>
        </w:rPr>
        <w:t xml:space="preserve">generally </w:t>
      </w:r>
      <w:r w:rsidR="00E35420">
        <w:rPr>
          <w:lang w:eastAsia="en-GB"/>
        </w:rPr>
        <w:t>good</w:t>
      </w:r>
      <w:r w:rsidR="001B05C2">
        <w:rPr>
          <w:lang w:eastAsia="en-GB"/>
        </w:rPr>
        <w:t xml:space="preserve"> appreciation of </w:t>
      </w:r>
      <w:r w:rsidR="008606F8">
        <w:rPr>
          <w:lang w:eastAsia="en-GB"/>
        </w:rPr>
        <w:t>immediate tenancy issue</w:t>
      </w:r>
      <w:r w:rsidR="00F95C0A">
        <w:rPr>
          <w:lang w:eastAsia="en-GB"/>
        </w:rPr>
        <w:t>s</w:t>
      </w:r>
      <w:r w:rsidR="008606F8">
        <w:rPr>
          <w:lang w:eastAsia="en-GB"/>
        </w:rPr>
        <w:t xml:space="preserve"> and get engaged at a</w:t>
      </w:r>
      <w:r w:rsidR="00E06F02">
        <w:rPr>
          <w:lang w:eastAsia="en-GB"/>
        </w:rPr>
        <w:t xml:space="preserve"> </w:t>
      </w:r>
      <w:r w:rsidR="008606F8">
        <w:rPr>
          <w:lang w:eastAsia="en-GB"/>
        </w:rPr>
        <w:t xml:space="preserve">detailed level </w:t>
      </w:r>
      <w:r w:rsidR="006E0967">
        <w:rPr>
          <w:lang w:eastAsia="en-GB"/>
        </w:rPr>
        <w:t>on</w:t>
      </w:r>
      <w:r w:rsidR="00FE0626">
        <w:rPr>
          <w:lang w:eastAsia="en-GB"/>
        </w:rPr>
        <w:t xml:space="preserve"> </w:t>
      </w:r>
      <w:r w:rsidR="00CA7FA8">
        <w:rPr>
          <w:lang w:eastAsia="en-GB"/>
        </w:rPr>
        <w:t>matters</w:t>
      </w:r>
      <w:r w:rsidR="00FE0626">
        <w:rPr>
          <w:lang w:eastAsia="en-GB"/>
        </w:rPr>
        <w:t xml:space="preserve"> such as the head of terms for new leases.</w:t>
      </w:r>
      <w:r w:rsidR="006A7154">
        <w:rPr>
          <w:lang w:eastAsia="en-GB"/>
        </w:rPr>
        <w:t xml:space="preserve"> </w:t>
      </w:r>
    </w:p>
    <w:p w14:paraId="7D77CE7D" w14:textId="5F4FD81C" w:rsidR="008E14C1" w:rsidRDefault="006A7154" w:rsidP="00586BF2">
      <w:pPr>
        <w:jc w:val="both"/>
        <w:rPr>
          <w:lang w:eastAsia="en-GB"/>
        </w:rPr>
      </w:pPr>
      <w:r>
        <w:rPr>
          <w:lang w:eastAsia="en-GB"/>
        </w:rPr>
        <w:t xml:space="preserve">The meetings and associated </w:t>
      </w:r>
      <w:r w:rsidR="00A637E1">
        <w:rPr>
          <w:lang w:eastAsia="en-GB"/>
        </w:rPr>
        <w:t xml:space="preserve">member information requests plainly place </w:t>
      </w:r>
      <w:r w:rsidR="009D50EF">
        <w:rPr>
          <w:lang w:eastAsia="en-GB"/>
        </w:rPr>
        <w:t>considerable pressure on officer time</w:t>
      </w:r>
      <w:r w:rsidR="00B6094E">
        <w:rPr>
          <w:lang w:eastAsia="en-GB"/>
        </w:rPr>
        <w:t>, potentially at the expense of management responsibilities or strategy development</w:t>
      </w:r>
      <w:r w:rsidR="00333B9B">
        <w:rPr>
          <w:lang w:eastAsia="en-GB"/>
        </w:rPr>
        <w:t xml:space="preserve">. </w:t>
      </w:r>
      <w:r w:rsidR="00401FB0">
        <w:rPr>
          <w:lang w:eastAsia="en-GB"/>
        </w:rPr>
        <w:t>T</w:t>
      </w:r>
      <w:r w:rsidR="007F0CA3">
        <w:rPr>
          <w:lang w:eastAsia="en-GB"/>
        </w:rPr>
        <w:t>he short-term</w:t>
      </w:r>
      <w:r w:rsidR="00FE0626">
        <w:rPr>
          <w:lang w:eastAsia="en-GB"/>
        </w:rPr>
        <w:t xml:space="preserve"> </w:t>
      </w:r>
      <w:r w:rsidR="000D2336">
        <w:rPr>
          <w:lang w:eastAsia="en-GB"/>
        </w:rPr>
        <w:t xml:space="preserve">transactional </w:t>
      </w:r>
      <w:r w:rsidR="00FE0626">
        <w:rPr>
          <w:lang w:eastAsia="en-GB"/>
        </w:rPr>
        <w:t xml:space="preserve">focus </w:t>
      </w:r>
      <w:r w:rsidR="00401FB0">
        <w:rPr>
          <w:lang w:eastAsia="en-GB"/>
        </w:rPr>
        <w:t>of these meetings themselves probably reduces</w:t>
      </w:r>
      <w:r w:rsidR="007F0CA3">
        <w:rPr>
          <w:lang w:eastAsia="en-GB"/>
        </w:rPr>
        <w:t xml:space="preserve"> consideration of </w:t>
      </w:r>
      <w:r w:rsidR="00FE0626">
        <w:rPr>
          <w:lang w:eastAsia="en-GB"/>
        </w:rPr>
        <w:t xml:space="preserve">strategic </w:t>
      </w:r>
      <w:r w:rsidR="007F0CA3">
        <w:rPr>
          <w:lang w:eastAsia="en-GB"/>
        </w:rPr>
        <w:t>matters</w:t>
      </w:r>
      <w:r w:rsidR="00FC5655">
        <w:rPr>
          <w:lang w:eastAsia="en-GB"/>
        </w:rPr>
        <w:t>.</w:t>
      </w:r>
      <w:r w:rsidR="000D2336">
        <w:rPr>
          <w:lang w:eastAsia="en-GB"/>
        </w:rPr>
        <w:t xml:space="preserve">  Apart from the annual </w:t>
      </w:r>
      <w:r w:rsidR="008704F8">
        <w:rPr>
          <w:lang w:eastAsia="en-GB"/>
        </w:rPr>
        <w:t>Property Report</w:t>
      </w:r>
      <w:r w:rsidR="002008B7">
        <w:rPr>
          <w:lang w:eastAsia="en-GB"/>
        </w:rPr>
        <w:t>,</w:t>
      </w:r>
      <w:r w:rsidR="008704F8">
        <w:rPr>
          <w:lang w:eastAsia="en-GB"/>
        </w:rPr>
        <w:t xml:space="preserve"> there is little </w:t>
      </w:r>
      <w:r w:rsidR="003B503F">
        <w:rPr>
          <w:lang w:eastAsia="en-GB"/>
        </w:rPr>
        <w:t>engagement</w:t>
      </w:r>
      <w:r w:rsidR="008704F8">
        <w:rPr>
          <w:lang w:eastAsia="en-GB"/>
        </w:rPr>
        <w:t xml:space="preserve"> </w:t>
      </w:r>
      <w:r w:rsidR="003B503F">
        <w:rPr>
          <w:lang w:eastAsia="en-GB"/>
        </w:rPr>
        <w:t>with what is needed</w:t>
      </w:r>
      <w:r w:rsidR="008704F8">
        <w:rPr>
          <w:lang w:eastAsia="en-GB"/>
        </w:rPr>
        <w:t xml:space="preserve"> in the medium to longer term to ensure the portfolio remains viable</w:t>
      </w:r>
      <w:r w:rsidR="008E14C1">
        <w:rPr>
          <w:lang w:eastAsia="en-GB"/>
        </w:rPr>
        <w:t xml:space="preserve">.  </w:t>
      </w:r>
    </w:p>
    <w:p w14:paraId="0C758EAC" w14:textId="56A1614F" w:rsidR="00B91AD2" w:rsidRDefault="00D70DEA" w:rsidP="00586BF2">
      <w:pPr>
        <w:jc w:val="both"/>
        <w:rPr>
          <w:lang w:eastAsia="en-GB"/>
        </w:rPr>
      </w:pPr>
      <w:r>
        <w:rPr>
          <w:lang w:eastAsia="en-GB"/>
        </w:rPr>
        <w:t xml:space="preserve">Moreover, </w:t>
      </w:r>
      <w:r w:rsidR="00BE5FB1">
        <w:rPr>
          <w:lang w:eastAsia="en-GB"/>
        </w:rPr>
        <w:t>these structures and their members may be taking insufficient account of</w:t>
      </w:r>
      <w:r w:rsidR="00536D9A">
        <w:rPr>
          <w:lang w:eastAsia="en-GB"/>
        </w:rPr>
        <w:t xml:space="preserve"> </w:t>
      </w:r>
      <w:r w:rsidR="001F5196">
        <w:rPr>
          <w:lang w:eastAsia="en-GB"/>
        </w:rPr>
        <w:t xml:space="preserve">portfolio </w:t>
      </w:r>
      <w:r w:rsidR="008E14C1">
        <w:rPr>
          <w:lang w:eastAsia="en-GB"/>
        </w:rPr>
        <w:t xml:space="preserve">risks. </w:t>
      </w:r>
      <w:r w:rsidR="00B91AD2">
        <w:rPr>
          <w:lang w:eastAsia="en-GB"/>
        </w:rPr>
        <w:t>O</w:t>
      </w:r>
      <w:r w:rsidR="008E14C1">
        <w:rPr>
          <w:lang w:eastAsia="en-GB"/>
        </w:rPr>
        <w:t xml:space="preserve">fficers have </w:t>
      </w:r>
      <w:r w:rsidR="00B91AD2">
        <w:rPr>
          <w:lang w:eastAsia="en-GB"/>
        </w:rPr>
        <w:t xml:space="preserve">identified </w:t>
      </w:r>
      <w:r w:rsidR="008E1290">
        <w:rPr>
          <w:lang w:eastAsia="en-GB"/>
        </w:rPr>
        <w:t>one</w:t>
      </w:r>
      <w:r w:rsidR="00B91AD2">
        <w:rPr>
          <w:lang w:eastAsia="en-GB"/>
        </w:rPr>
        <w:t xml:space="preserve"> strategic risk as follows:</w:t>
      </w:r>
      <w:r w:rsidR="00D755F2">
        <w:rPr>
          <w:lang w:eastAsia="en-GB"/>
        </w:rPr>
        <w:t xml:space="preserve"> </w:t>
      </w:r>
    </w:p>
    <w:p w14:paraId="1A988319" w14:textId="38EA4F17" w:rsidR="00FC608C" w:rsidRDefault="00DB055E" w:rsidP="00586BF2">
      <w:pPr>
        <w:jc w:val="both"/>
        <w:rPr>
          <w:i/>
          <w:iCs/>
        </w:rPr>
      </w:pPr>
      <w:r>
        <w:rPr>
          <w:i/>
          <w:iCs/>
        </w:rPr>
        <w:t>“</w:t>
      </w:r>
      <w:r w:rsidR="00FC608C" w:rsidRPr="00FD30BA">
        <w:rPr>
          <w:i/>
          <w:iCs/>
        </w:rPr>
        <w:t>Evolving externalities arising since the aftermath of the pandemic now compounded by the Cost-of-Living crisis and inflation continue to increase the Council’s exposure to financial risk, with possible implications for the investment portfolio, including loss of anticipated rental income from commercial assets and poor investment returns. This may impact on the financial position, leading in the worst-case scenario to the Council becoming financially unsustainable with associated reputational damage.</w:t>
      </w:r>
      <w:r>
        <w:rPr>
          <w:i/>
          <w:iCs/>
        </w:rPr>
        <w:t>”</w:t>
      </w:r>
      <w:r w:rsidR="00FC608C">
        <w:rPr>
          <w:i/>
          <w:iCs/>
        </w:rPr>
        <w:t xml:space="preserve"> </w:t>
      </w:r>
    </w:p>
    <w:p w14:paraId="1B41103F" w14:textId="19960AD3" w:rsidR="00FC608C" w:rsidRPr="00FC608C" w:rsidRDefault="0040670B" w:rsidP="00586BF2">
      <w:pPr>
        <w:jc w:val="both"/>
        <w:rPr>
          <w:i/>
          <w:iCs/>
          <w:sz w:val="18"/>
          <w:szCs w:val="18"/>
        </w:rPr>
      </w:pPr>
      <w:r>
        <w:rPr>
          <w:i/>
          <w:iCs/>
          <w:sz w:val="18"/>
          <w:szCs w:val="18"/>
        </w:rPr>
        <w:t>Source:</w:t>
      </w:r>
      <w:r w:rsidR="00DB055E">
        <w:rPr>
          <w:i/>
          <w:iCs/>
          <w:sz w:val="18"/>
          <w:szCs w:val="18"/>
        </w:rPr>
        <w:t xml:space="preserve"> </w:t>
      </w:r>
      <w:r w:rsidR="00FC608C" w:rsidRPr="00FC608C">
        <w:rPr>
          <w:i/>
          <w:iCs/>
          <w:sz w:val="18"/>
          <w:szCs w:val="18"/>
        </w:rPr>
        <w:t>(Corporate Risk Register – Risk Category 3)</w:t>
      </w:r>
    </w:p>
    <w:p w14:paraId="233DF390" w14:textId="0B737055" w:rsidR="004722B1" w:rsidRDefault="006C25F9" w:rsidP="00586BF2">
      <w:pPr>
        <w:jc w:val="both"/>
        <w:rPr>
          <w:lang w:eastAsia="en-GB"/>
        </w:rPr>
      </w:pPr>
      <w:r>
        <w:rPr>
          <w:lang w:eastAsia="en-GB"/>
        </w:rPr>
        <w:t xml:space="preserve">The above risk is scored 9 – amber.  This assessment </w:t>
      </w:r>
      <w:r w:rsidR="00CA31C1">
        <w:rPr>
          <w:lang w:eastAsia="en-GB"/>
        </w:rPr>
        <w:t>has</w:t>
      </w:r>
      <w:r>
        <w:rPr>
          <w:lang w:eastAsia="en-GB"/>
        </w:rPr>
        <w:t xml:space="preserve"> not change</w:t>
      </w:r>
      <w:r w:rsidR="00EB2DB3">
        <w:rPr>
          <w:lang w:eastAsia="en-GB"/>
        </w:rPr>
        <w:t>d</w:t>
      </w:r>
      <w:r>
        <w:rPr>
          <w:lang w:eastAsia="en-GB"/>
        </w:rPr>
        <w:t xml:space="preserve"> </w:t>
      </w:r>
      <w:r w:rsidR="00CC4CE0">
        <w:rPr>
          <w:lang w:eastAsia="en-GB"/>
        </w:rPr>
        <w:t xml:space="preserve">in the last year when the council has faced significant </w:t>
      </w:r>
      <w:r w:rsidR="00421393">
        <w:rPr>
          <w:lang w:eastAsia="en-GB"/>
        </w:rPr>
        <w:t xml:space="preserve">commercial </w:t>
      </w:r>
      <w:r w:rsidR="00607005">
        <w:rPr>
          <w:lang w:eastAsia="en-GB"/>
        </w:rPr>
        <w:t xml:space="preserve">income </w:t>
      </w:r>
      <w:r w:rsidR="00CC4CE0">
        <w:rPr>
          <w:lang w:eastAsia="en-GB"/>
        </w:rPr>
        <w:t>shortfall</w:t>
      </w:r>
      <w:r w:rsidR="00607005">
        <w:rPr>
          <w:lang w:eastAsia="en-GB"/>
        </w:rPr>
        <w:t xml:space="preserve">. </w:t>
      </w:r>
      <w:r w:rsidR="006D65E0">
        <w:rPr>
          <w:lang w:eastAsia="en-GB"/>
        </w:rPr>
        <w:t xml:space="preserve">The </w:t>
      </w:r>
      <w:r w:rsidR="00A67323">
        <w:rPr>
          <w:lang w:eastAsia="en-GB"/>
        </w:rPr>
        <w:t>c</w:t>
      </w:r>
      <w:r w:rsidR="006D65E0">
        <w:rPr>
          <w:lang w:eastAsia="en-GB"/>
        </w:rPr>
        <w:t>ouncil’s Corporate Management Team reviewed th</w:t>
      </w:r>
      <w:r w:rsidR="008C22C6">
        <w:rPr>
          <w:lang w:eastAsia="en-GB"/>
        </w:rPr>
        <w:t>e</w:t>
      </w:r>
      <w:r w:rsidR="006D65E0">
        <w:rPr>
          <w:lang w:eastAsia="en-GB"/>
        </w:rPr>
        <w:t xml:space="preserve"> risk on 7 March 2023 and </w:t>
      </w:r>
      <w:r w:rsidR="00CA31C1">
        <w:rPr>
          <w:lang w:eastAsia="en-GB"/>
        </w:rPr>
        <w:t>upheld</w:t>
      </w:r>
      <w:r w:rsidR="00B0592F">
        <w:rPr>
          <w:lang w:eastAsia="en-GB"/>
        </w:rPr>
        <w:t xml:space="preserve"> the existing</w:t>
      </w:r>
      <w:r w:rsidR="006D65E0">
        <w:rPr>
          <w:lang w:eastAsia="en-GB"/>
        </w:rPr>
        <w:t xml:space="preserve"> score, though it </w:t>
      </w:r>
      <w:r w:rsidR="00C107F2">
        <w:rPr>
          <w:lang w:eastAsia="en-GB"/>
        </w:rPr>
        <w:t>then</w:t>
      </w:r>
      <w:r w:rsidR="006D65E0">
        <w:rPr>
          <w:lang w:eastAsia="en-GB"/>
        </w:rPr>
        <w:t xml:space="preserve"> refer</w:t>
      </w:r>
      <w:r w:rsidR="00C107F2">
        <w:rPr>
          <w:lang w:eastAsia="en-GB"/>
        </w:rPr>
        <w:t>red</w:t>
      </w:r>
      <w:r w:rsidR="006D65E0">
        <w:rPr>
          <w:lang w:eastAsia="en-GB"/>
        </w:rPr>
        <w:t xml:space="preserve"> </w:t>
      </w:r>
      <w:r w:rsidR="00C107F2">
        <w:rPr>
          <w:lang w:eastAsia="en-GB"/>
        </w:rPr>
        <w:t xml:space="preserve">the matter </w:t>
      </w:r>
      <w:r w:rsidR="006D65E0">
        <w:rPr>
          <w:lang w:eastAsia="en-GB"/>
        </w:rPr>
        <w:t>to Audit Committee for further consideration.</w:t>
      </w:r>
    </w:p>
    <w:p w14:paraId="11F84127" w14:textId="61E644B5" w:rsidR="00FE0626" w:rsidRDefault="00454B4D" w:rsidP="00586BF2">
      <w:pPr>
        <w:jc w:val="both"/>
        <w:rPr>
          <w:lang w:eastAsia="en-GB"/>
        </w:rPr>
      </w:pPr>
      <w:r>
        <w:rPr>
          <w:lang w:eastAsia="en-GB"/>
        </w:rPr>
        <w:t xml:space="preserve">The recent public interest report </w:t>
      </w:r>
      <w:r w:rsidR="00A67E14">
        <w:rPr>
          <w:lang w:eastAsia="en-GB"/>
        </w:rPr>
        <w:t xml:space="preserve">prepared by KPMG also </w:t>
      </w:r>
      <w:r w:rsidR="007F54ED">
        <w:rPr>
          <w:lang w:eastAsia="en-GB"/>
        </w:rPr>
        <w:t xml:space="preserve">highlights the limited nature of the risk assessment of the commercial portfolio: </w:t>
      </w:r>
    </w:p>
    <w:p w14:paraId="1E1ACE7E" w14:textId="050E8B20" w:rsidR="007F54ED" w:rsidRDefault="00D968E1" w:rsidP="00586BF2">
      <w:pPr>
        <w:jc w:val="both"/>
      </w:pPr>
      <w:r>
        <w:rPr>
          <w:i/>
          <w:iCs/>
        </w:rPr>
        <w:t>“</w:t>
      </w:r>
      <w:r w:rsidR="00E17FA4" w:rsidRPr="00F20602">
        <w:rPr>
          <w:i/>
          <w:iCs/>
        </w:rPr>
        <w:t>The Council should develop an action plan as part of the management of its investment portfolio which addresses each of the weaknesses identified in paragraph 6.9. This should be linked to a portfolio risk register, which monitors each of the KPIs, tenant performance and risk to the debt repayment strategy for each investment property asset</w:t>
      </w:r>
      <w:r w:rsidR="00E17FA4">
        <w:t>.</w:t>
      </w:r>
      <w:r>
        <w:t>”</w:t>
      </w:r>
    </w:p>
    <w:p w14:paraId="195BB34C" w14:textId="0BA53BB2" w:rsidR="004F05D3" w:rsidRPr="00772FA4" w:rsidRDefault="00D968E1" w:rsidP="00586BF2">
      <w:pPr>
        <w:jc w:val="both"/>
        <w:rPr>
          <w:i/>
          <w:iCs/>
          <w:sz w:val="18"/>
          <w:szCs w:val="18"/>
          <w:lang w:eastAsia="en-GB"/>
        </w:rPr>
      </w:pPr>
      <w:r w:rsidRPr="00772FA4">
        <w:rPr>
          <w:i/>
          <w:iCs/>
          <w:sz w:val="18"/>
          <w:szCs w:val="18"/>
          <w:lang w:eastAsia="en-GB"/>
        </w:rPr>
        <w:t xml:space="preserve">Source: </w:t>
      </w:r>
      <w:r w:rsidR="004F05D3" w:rsidRPr="00772FA4">
        <w:rPr>
          <w:i/>
          <w:iCs/>
          <w:sz w:val="18"/>
          <w:szCs w:val="18"/>
          <w:lang w:eastAsia="en-GB"/>
        </w:rPr>
        <w:t>Public Interest Report KPMG</w:t>
      </w:r>
    </w:p>
    <w:p w14:paraId="356E66F6" w14:textId="52A2F0E9" w:rsidR="00F34CCF" w:rsidRPr="004F2745" w:rsidRDefault="00D3524D" w:rsidP="00586BF2">
      <w:pPr>
        <w:jc w:val="both"/>
        <w:rPr>
          <w:lang w:eastAsia="en-GB"/>
        </w:rPr>
      </w:pPr>
      <w:r>
        <w:rPr>
          <w:lang w:eastAsia="en-GB"/>
        </w:rPr>
        <w:t>SBC</w:t>
      </w:r>
      <w:r w:rsidR="006464EC">
        <w:rPr>
          <w:lang w:eastAsia="en-GB"/>
        </w:rPr>
        <w:t xml:space="preserve"> has accepted this recommendation and </w:t>
      </w:r>
      <w:r>
        <w:rPr>
          <w:lang w:eastAsia="en-GB"/>
        </w:rPr>
        <w:t>aims</w:t>
      </w:r>
      <w:r w:rsidR="006464EC">
        <w:rPr>
          <w:lang w:eastAsia="en-GB"/>
        </w:rPr>
        <w:t xml:space="preserve"> to carry out a more detailed </w:t>
      </w:r>
      <w:r w:rsidR="00E7772F">
        <w:rPr>
          <w:lang w:eastAsia="en-GB"/>
        </w:rPr>
        <w:t xml:space="preserve">risk </w:t>
      </w:r>
      <w:r w:rsidR="00C86DE3">
        <w:rPr>
          <w:lang w:eastAsia="en-GB"/>
        </w:rPr>
        <w:t>review.</w:t>
      </w:r>
    </w:p>
    <w:p w14:paraId="1382BFE4" w14:textId="77777777" w:rsidR="00BE7C5C" w:rsidRDefault="00BE7C5C" w:rsidP="00586BF2">
      <w:pPr>
        <w:jc w:val="both"/>
        <w:rPr>
          <w:b/>
          <w:bCs/>
          <w:lang w:eastAsia="en-GB"/>
        </w:rPr>
      </w:pPr>
    </w:p>
    <w:p w14:paraId="0FC2F183" w14:textId="3E66F0CC" w:rsidR="0017147A" w:rsidRPr="00F34C2F" w:rsidRDefault="004F68F6" w:rsidP="00586BF2">
      <w:pPr>
        <w:jc w:val="both"/>
        <w:rPr>
          <w:b/>
          <w:bCs/>
          <w:i/>
          <w:iCs/>
          <w:sz w:val="24"/>
          <w:szCs w:val="24"/>
          <w:lang w:eastAsia="en-GB"/>
        </w:rPr>
      </w:pPr>
      <w:r w:rsidRPr="00F34C2F">
        <w:rPr>
          <w:b/>
          <w:bCs/>
          <w:i/>
          <w:iCs/>
          <w:sz w:val="24"/>
          <w:szCs w:val="24"/>
          <w:lang w:eastAsia="en-GB"/>
        </w:rPr>
        <w:t>M</w:t>
      </w:r>
      <w:r w:rsidR="00DF071C" w:rsidRPr="00F34C2F">
        <w:rPr>
          <w:b/>
          <w:bCs/>
          <w:i/>
          <w:iCs/>
          <w:sz w:val="24"/>
          <w:szCs w:val="24"/>
          <w:lang w:eastAsia="en-GB"/>
        </w:rPr>
        <w:t>embers, committee</w:t>
      </w:r>
      <w:r w:rsidR="000E421C" w:rsidRPr="00F34C2F">
        <w:rPr>
          <w:b/>
          <w:bCs/>
          <w:i/>
          <w:iCs/>
          <w:sz w:val="24"/>
          <w:szCs w:val="24"/>
          <w:lang w:eastAsia="en-GB"/>
        </w:rPr>
        <w:t xml:space="preserve"> oversight</w:t>
      </w:r>
      <w:r w:rsidR="00DF071C" w:rsidRPr="00F34C2F">
        <w:rPr>
          <w:b/>
          <w:bCs/>
          <w:i/>
          <w:iCs/>
          <w:sz w:val="24"/>
          <w:szCs w:val="24"/>
          <w:lang w:eastAsia="en-GB"/>
        </w:rPr>
        <w:t xml:space="preserve"> and the decision-making culture</w:t>
      </w:r>
    </w:p>
    <w:p w14:paraId="22F8201B" w14:textId="34CAB3C4" w:rsidR="002E2190" w:rsidRDefault="00E113D2" w:rsidP="00586BF2">
      <w:pPr>
        <w:jc w:val="both"/>
        <w:rPr>
          <w:lang w:eastAsia="en-GB"/>
        </w:rPr>
      </w:pPr>
      <w:r>
        <w:rPr>
          <w:lang w:eastAsia="en-GB"/>
        </w:rPr>
        <w:t xml:space="preserve">The main formal oversight of the </w:t>
      </w:r>
      <w:r w:rsidR="00802FA0">
        <w:rPr>
          <w:lang w:eastAsia="en-GB"/>
        </w:rPr>
        <w:t>c</w:t>
      </w:r>
      <w:r>
        <w:rPr>
          <w:lang w:eastAsia="en-GB"/>
        </w:rPr>
        <w:t xml:space="preserve">ommercial </w:t>
      </w:r>
      <w:r w:rsidR="00802FA0">
        <w:rPr>
          <w:lang w:eastAsia="en-GB"/>
        </w:rPr>
        <w:t>p</w:t>
      </w:r>
      <w:r>
        <w:rPr>
          <w:lang w:eastAsia="en-GB"/>
        </w:rPr>
        <w:t xml:space="preserve">ortfolio is within the Development Sub-Committee.  </w:t>
      </w:r>
      <w:r w:rsidR="00826635">
        <w:rPr>
          <w:lang w:eastAsia="en-GB"/>
        </w:rPr>
        <w:t>Th</w:t>
      </w:r>
      <w:r w:rsidR="00802FA0">
        <w:rPr>
          <w:lang w:eastAsia="en-GB"/>
        </w:rPr>
        <w:t>e</w:t>
      </w:r>
      <w:r w:rsidR="00826635">
        <w:rPr>
          <w:lang w:eastAsia="en-GB"/>
        </w:rPr>
        <w:t xml:space="preserve"> </w:t>
      </w:r>
      <w:r w:rsidR="00D3524D">
        <w:rPr>
          <w:lang w:eastAsia="en-GB"/>
        </w:rPr>
        <w:t>Sub-</w:t>
      </w:r>
      <w:r w:rsidR="00826635">
        <w:rPr>
          <w:lang w:eastAsia="en-GB"/>
        </w:rPr>
        <w:t>Committee is also responsible for managing the gateway process for</w:t>
      </w:r>
      <w:r w:rsidR="00D3524D">
        <w:rPr>
          <w:lang w:eastAsia="en-GB"/>
        </w:rPr>
        <w:t xml:space="preserve"> </w:t>
      </w:r>
      <w:r w:rsidR="00826635">
        <w:rPr>
          <w:lang w:eastAsia="en-GB"/>
        </w:rPr>
        <w:t>capital investment</w:t>
      </w:r>
      <w:r w:rsidR="00A472DE">
        <w:rPr>
          <w:lang w:eastAsia="en-GB"/>
        </w:rPr>
        <w:t>s</w:t>
      </w:r>
      <w:r w:rsidR="00826635">
        <w:rPr>
          <w:lang w:eastAsia="en-GB"/>
        </w:rPr>
        <w:t xml:space="preserve"> </w:t>
      </w:r>
      <w:r w:rsidR="00A472DE">
        <w:rPr>
          <w:lang w:eastAsia="en-GB"/>
        </w:rPr>
        <w:t>exceeding</w:t>
      </w:r>
      <w:r w:rsidR="00826635">
        <w:rPr>
          <w:lang w:eastAsia="en-GB"/>
        </w:rPr>
        <w:t xml:space="preserve"> £1</w:t>
      </w:r>
      <w:r w:rsidR="0028291F">
        <w:rPr>
          <w:lang w:eastAsia="en-GB"/>
        </w:rPr>
        <w:t xml:space="preserve"> </w:t>
      </w:r>
      <w:r w:rsidR="00826635">
        <w:rPr>
          <w:lang w:eastAsia="en-GB"/>
        </w:rPr>
        <w:t>m</w:t>
      </w:r>
      <w:r w:rsidR="0028291F">
        <w:rPr>
          <w:lang w:eastAsia="en-GB"/>
        </w:rPr>
        <w:t>illion</w:t>
      </w:r>
      <w:r w:rsidR="00826635">
        <w:rPr>
          <w:lang w:eastAsia="en-GB"/>
        </w:rPr>
        <w:t xml:space="preserve">. </w:t>
      </w:r>
      <w:r w:rsidR="00D1295D">
        <w:rPr>
          <w:lang w:eastAsia="en-GB"/>
        </w:rPr>
        <w:t xml:space="preserve">It </w:t>
      </w:r>
      <w:r w:rsidR="00910A0A">
        <w:rPr>
          <w:lang w:eastAsia="en-GB"/>
        </w:rPr>
        <w:t xml:space="preserve">is therefore heavily involved in the affordable housing plans.  </w:t>
      </w:r>
      <w:r w:rsidR="00B95BB5">
        <w:rPr>
          <w:lang w:eastAsia="en-GB"/>
        </w:rPr>
        <w:t xml:space="preserve">Effectively this </w:t>
      </w:r>
      <w:r w:rsidR="00162940">
        <w:rPr>
          <w:lang w:eastAsia="en-GB"/>
        </w:rPr>
        <w:t>means</w:t>
      </w:r>
      <w:r w:rsidR="00B95BB5">
        <w:rPr>
          <w:lang w:eastAsia="en-GB"/>
        </w:rPr>
        <w:t xml:space="preserve"> a considerable workload </w:t>
      </w:r>
      <w:r w:rsidR="00162940">
        <w:rPr>
          <w:lang w:eastAsia="en-GB"/>
        </w:rPr>
        <w:t xml:space="preserve">and oversight of </w:t>
      </w:r>
      <w:r w:rsidR="00D1295D">
        <w:rPr>
          <w:lang w:eastAsia="en-GB"/>
        </w:rPr>
        <w:t xml:space="preserve">very </w:t>
      </w:r>
      <w:r w:rsidR="00DE1A3C">
        <w:rPr>
          <w:lang w:eastAsia="en-GB"/>
        </w:rPr>
        <w:t xml:space="preserve">significant risks. </w:t>
      </w:r>
    </w:p>
    <w:p w14:paraId="012CC52E" w14:textId="66A92419" w:rsidR="00DE1A3C" w:rsidRDefault="00446BC5" w:rsidP="00586BF2">
      <w:pPr>
        <w:jc w:val="both"/>
        <w:rPr>
          <w:lang w:eastAsia="en-GB"/>
        </w:rPr>
      </w:pPr>
      <w:r>
        <w:rPr>
          <w:lang w:eastAsia="en-GB"/>
        </w:rPr>
        <w:t xml:space="preserve">Councillors are fully involved in decision making related to the </w:t>
      </w:r>
      <w:r w:rsidR="00A67323">
        <w:rPr>
          <w:lang w:eastAsia="en-GB"/>
        </w:rPr>
        <w:t>c</w:t>
      </w:r>
      <w:r>
        <w:rPr>
          <w:lang w:eastAsia="en-GB"/>
        </w:rPr>
        <w:t xml:space="preserve">ouncil’s portfolio. </w:t>
      </w:r>
      <w:r w:rsidR="00433EB2">
        <w:rPr>
          <w:lang w:eastAsia="en-GB"/>
        </w:rPr>
        <w:t>However, they</w:t>
      </w:r>
      <w:r>
        <w:rPr>
          <w:lang w:eastAsia="en-GB"/>
        </w:rPr>
        <w:t xml:space="preserve"> </w:t>
      </w:r>
      <w:r w:rsidR="00433EB2">
        <w:rPr>
          <w:lang w:eastAsia="en-GB"/>
        </w:rPr>
        <w:t>are concerned</w:t>
      </w:r>
      <w:r w:rsidR="005E5895">
        <w:rPr>
          <w:lang w:eastAsia="en-GB"/>
        </w:rPr>
        <w:t xml:space="preserve"> </w:t>
      </w:r>
      <w:r w:rsidR="0055339A">
        <w:rPr>
          <w:lang w:eastAsia="en-GB"/>
        </w:rPr>
        <w:t>about their</w:t>
      </w:r>
      <w:r w:rsidR="005E5895">
        <w:rPr>
          <w:lang w:eastAsia="en-GB"/>
        </w:rPr>
        <w:t xml:space="preserve"> capabilit</w:t>
      </w:r>
      <w:r w:rsidR="00433EB2">
        <w:rPr>
          <w:lang w:eastAsia="en-GB"/>
        </w:rPr>
        <w:t>ies</w:t>
      </w:r>
      <w:r w:rsidR="003524BB">
        <w:rPr>
          <w:lang w:eastAsia="en-GB"/>
        </w:rPr>
        <w:t xml:space="preserve">. One senior member stated </w:t>
      </w:r>
      <w:r w:rsidR="009A20A9">
        <w:rPr>
          <w:lang w:eastAsia="en-GB"/>
        </w:rPr>
        <w:t>that “they cannot go against the advice of professionals”</w:t>
      </w:r>
      <w:r w:rsidR="00470976">
        <w:rPr>
          <w:lang w:eastAsia="en-GB"/>
        </w:rPr>
        <w:t xml:space="preserve"> and that </w:t>
      </w:r>
      <w:r w:rsidR="00884BBB">
        <w:rPr>
          <w:lang w:eastAsia="en-GB"/>
        </w:rPr>
        <w:t>overseeing the portfolio</w:t>
      </w:r>
      <w:r w:rsidR="0076695C">
        <w:rPr>
          <w:lang w:eastAsia="en-GB"/>
        </w:rPr>
        <w:t xml:space="preserve"> represented “a massive learning curve”.</w:t>
      </w:r>
      <w:r w:rsidR="007A0E5F">
        <w:rPr>
          <w:lang w:eastAsia="en-GB"/>
        </w:rPr>
        <w:t xml:space="preserve">  </w:t>
      </w:r>
    </w:p>
    <w:p w14:paraId="0C7B1962" w14:textId="01DACE45" w:rsidR="00D96CAC" w:rsidRDefault="009C4F8A" w:rsidP="00586BF2">
      <w:pPr>
        <w:jc w:val="both"/>
      </w:pPr>
      <w:r>
        <w:t xml:space="preserve">The issue here is not </w:t>
      </w:r>
      <w:r w:rsidR="00A34AE9">
        <w:t xml:space="preserve">about </w:t>
      </w:r>
      <w:r>
        <w:t xml:space="preserve">elected members </w:t>
      </w:r>
      <w:r w:rsidR="00A34AE9">
        <w:t>becoming</w:t>
      </w:r>
      <w:r>
        <w:t xml:space="preserve"> financial experts</w:t>
      </w:r>
      <w:r w:rsidR="00A34AE9">
        <w:t>.</w:t>
      </w:r>
      <w:r>
        <w:t xml:space="preserve"> </w:t>
      </w:r>
      <w:r w:rsidR="00A34AE9">
        <w:t>Training</w:t>
      </w:r>
      <w:r>
        <w:t xml:space="preserve"> is important</w:t>
      </w:r>
      <w:r w:rsidR="00A34AE9">
        <w:t>. F</w:t>
      </w:r>
      <w:r>
        <w:t xml:space="preserve">amiliarity with the subject matter is </w:t>
      </w:r>
      <w:r w:rsidR="00A34AE9">
        <w:t xml:space="preserve">desirable. But </w:t>
      </w:r>
      <w:r>
        <w:t xml:space="preserve">elected members </w:t>
      </w:r>
      <w:r w:rsidR="003F16A1">
        <w:t>should</w:t>
      </w:r>
      <w:r>
        <w:t xml:space="preserve"> primarily provide </w:t>
      </w:r>
      <w:bookmarkStart w:id="14" w:name="_Hlk129712392"/>
      <w:r>
        <w:t>representation, strategy, oversight and challenge</w:t>
      </w:r>
      <w:bookmarkEnd w:id="14"/>
      <w:r w:rsidR="003F16A1">
        <w:t xml:space="preserve">. They </w:t>
      </w:r>
      <w:r>
        <w:t xml:space="preserve">are elected </w:t>
      </w:r>
      <w:r w:rsidR="002160A6">
        <w:t xml:space="preserve">and accountable to electors, not defined by a </w:t>
      </w:r>
      <w:r w:rsidR="00F51B50">
        <w:t>job description</w:t>
      </w:r>
      <w:r w:rsidR="002160A6">
        <w:t xml:space="preserve"> </w:t>
      </w:r>
      <w:r w:rsidR="003A2BD6">
        <w:t>or</w:t>
      </w:r>
      <w:r w:rsidR="002160A6">
        <w:t xml:space="preserve"> person spec</w:t>
      </w:r>
      <w:r w:rsidR="00F51B50">
        <w:t>ification</w:t>
      </w:r>
      <w:r w:rsidR="002160A6">
        <w:t xml:space="preserve">. </w:t>
      </w:r>
    </w:p>
    <w:p w14:paraId="0170A76C" w14:textId="422D35CF" w:rsidR="00C756FF" w:rsidRDefault="001147A5" w:rsidP="00586BF2">
      <w:pPr>
        <w:jc w:val="both"/>
      </w:pPr>
      <w:r>
        <w:t>Effective member decision</w:t>
      </w:r>
      <w:r w:rsidR="004955AB">
        <w:t>-</w:t>
      </w:r>
      <w:r>
        <w:t>making</w:t>
      </w:r>
      <w:r w:rsidR="009C4F8A">
        <w:t xml:space="preserve"> </w:t>
      </w:r>
      <w:r w:rsidR="004955AB">
        <w:t>is not a function of specialist knowledge</w:t>
      </w:r>
      <w:r w:rsidR="00964D51">
        <w:t>. Rather</w:t>
      </w:r>
      <w:r w:rsidR="00223587">
        <w:t>,</w:t>
      </w:r>
      <w:r w:rsidR="00964D51">
        <w:t xml:space="preserve"> </w:t>
      </w:r>
      <w:r w:rsidR="00324CD9">
        <w:t>expert</w:t>
      </w:r>
      <w:r w:rsidR="00964D51">
        <w:t xml:space="preserve"> insights should be</w:t>
      </w:r>
      <w:r w:rsidR="009C4F8A">
        <w:t xml:space="preserve"> translated </w:t>
      </w:r>
      <w:r w:rsidR="00A45D61">
        <w:t>so as to allow</w:t>
      </w:r>
      <w:r w:rsidR="00A05DE6">
        <w:t xml:space="preserve"> members to execute their roles meaningfully. </w:t>
      </w:r>
      <w:r w:rsidR="00A808C1">
        <w:t>Members</w:t>
      </w:r>
      <w:r w:rsidR="00BF1950">
        <w:t xml:space="preserve"> </w:t>
      </w:r>
      <w:r w:rsidR="00A808C1">
        <w:t>need</w:t>
      </w:r>
      <w:r w:rsidR="00BF1950">
        <w:t xml:space="preserve"> access to objective advice</w:t>
      </w:r>
      <w:r w:rsidR="00980389">
        <w:t xml:space="preserve">, from officers or independent </w:t>
      </w:r>
      <w:r w:rsidR="004D3E3B">
        <w:t>specialists</w:t>
      </w:r>
      <w:r w:rsidR="00980389">
        <w:t>,</w:t>
      </w:r>
      <w:r w:rsidR="00BF1950">
        <w:t xml:space="preserve"> in a format accessible to as many of them as possible</w:t>
      </w:r>
      <w:r w:rsidR="00044041">
        <w:t xml:space="preserve">. Few councillors </w:t>
      </w:r>
      <w:r w:rsidR="00BF1950">
        <w:t xml:space="preserve">will have </w:t>
      </w:r>
      <w:r w:rsidR="00966FC1">
        <w:t>the background</w:t>
      </w:r>
      <w:r w:rsidR="00BF1950">
        <w:t xml:space="preserve"> to understand </w:t>
      </w:r>
      <w:r w:rsidR="00C63BF0">
        <w:t xml:space="preserve">financial matters presented to them </w:t>
      </w:r>
      <w:r w:rsidR="00BF1950">
        <w:t xml:space="preserve">in </w:t>
      </w:r>
      <w:r w:rsidR="00DE6CDD">
        <w:t>technical</w:t>
      </w:r>
      <w:r w:rsidR="00BF1950">
        <w:t xml:space="preserve"> language. </w:t>
      </w:r>
      <w:r w:rsidR="009E0389">
        <w:t>Members</w:t>
      </w:r>
      <w:r w:rsidR="00C63BF0">
        <w:t>,</w:t>
      </w:r>
      <w:r w:rsidR="009E0389">
        <w:t xml:space="preserve"> in turn</w:t>
      </w:r>
      <w:r w:rsidR="00C63BF0">
        <w:t>,</w:t>
      </w:r>
      <w:r w:rsidR="009E0389">
        <w:t xml:space="preserve"> </w:t>
      </w:r>
      <w:r w:rsidR="007A3EAB">
        <w:t>must</w:t>
      </w:r>
      <w:r w:rsidR="009E0389">
        <w:t xml:space="preserve"> understand </w:t>
      </w:r>
      <w:r w:rsidR="004C2CF6">
        <w:t>the comprehensiveness</w:t>
      </w:r>
      <w:r w:rsidR="003D5E13">
        <w:t>, exposure</w:t>
      </w:r>
      <w:r w:rsidR="004C2CF6">
        <w:t xml:space="preserve"> </w:t>
      </w:r>
      <w:r w:rsidR="003D5E13">
        <w:t xml:space="preserve">and accountability </w:t>
      </w:r>
      <w:r w:rsidR="004C2CF6">
        <w:t>of th</w:t>
      </w:r>
      <w:r w:rsidR="007B252C">
        <w:t>eir</w:t>
      </w:r>
      <w:r w:rsidR="004C2CF6">
        <w:t xml:space="preserve"> role</w:t>
      </w:r>
      <w:r w:rsidR="00426303">
        <w:t xml:space="preserve">. They should </w:t>
      </w:r>
      <w:r w:rsidR="004F1DFD">
        <w:t xml:space="preserve">demand that officers help them fulfil </w:t>
      </w:r>
      <w:r w:rsidR="00C63BF0">
        <w:t>this role</w:t>
      </w:r>
      <w:r w:rsidR="004F1DFD">
        <w:t xml:space="preserve"> by providing </w:t>
      </w:r>
      <w:r w:rsidR="003F295F">
        <w:t xml:space="preserve">reports that </w:t>
      </w:r>
      <w:r w:rsidR="00AC6CFE">
        <w:t xml:space="preserve">are </w:t>
      </w:r>
      <w:r w:rsidR="00BC748E">
        <w:t xml:space="preserve">comprehensible </w:t>
      </w:r>
      <w:r w:rsidR="00BC748E" w:rsidRPr="00772FA4">
        <w:t>and</w:t>
      </w:r>
      <w:r w:rsidR="00BC748E">
        <w:t xml:space="preserve"> thorough, </w:t>
      </w:r>
      <w:r w:rsidR="003F295F">
        <w:t>clearly setting o</w:t>
      </w:r>
      <w:r w:rsidR="00BC748E">
        <w:t xml:space="preserve">ut </w:t>
      </w:r>
      <w:r w:rsidR="004F1DFD">
        <w:t xml:space="preserve">the </w:t>
      </w:r>
      <w:r w:rsidR="00C756FF">
        <w:t xml:space="preserve">implications of </w:t>
      </w:r>
      <w:r w:rsidR="00D47E2E">
        <w:t>committee</w:t>
      </w:r>
      <w:r w:rsidR="00C756FF">
        <w:t xml:space="preserve"> decisions</w:t>
      </w:r>
      <w:r w:rsidR="00980389">
        <w:t>.</w:t>
      </w:r>
    </w:p>
    <w:p w14:paraId="2F5FEA29" w14:textId="38042E6F" w:rsidR="009C4F8A" w:rsidRDefault="00C756FF" w:rsidP="00586BF2">
      <w:pPr>
        <w:jc w:val="both"/>
      </w:pPr>
      <w:r>
        <w:t xml:space="preserve">We have found a few </w:t>
      </w:r>
      <w:r w:rsidR="009C4F8A">
        <w:t>brief references to elected member training (the capital strategy makes mention of a training session for Audit Commitment members on risk in 2019)</w:t>
      </w:r>
      <w:r w:rsidR="006E6AF1">
        <w:t xml:space="preserve">. But </w:t>
      </w:r>
      <w:r w:rsidR="009C4F8A">
        <w:t xml:space="preserve">we have </w:t>
      </w:r>
      <w:r w:rsidR="00FF03EC">
        <w:t>found only limited</w:t>
      </w:r>
      <w:r w:rsidR="009C4F8A">
        <w:t xml:space="preserve"> evidence of</w:t>
      </w:r>
      <w:r w:rsidR="006E6AF1">
        <w:t xml:space="preserve"> </w:t>
      </w:r>
      <w:r w:rsidR="00FF03EC">
        <w:t>a</w:t>
      </w:r>
      <w:r w:rsidR="009C4F8A">
        <w:t xml:space="preserve"> </w:t>
      </w:r>
      <w:r w:rsidR="00FF03EC">
        <w:t xml:space="preserve">sharp </w:t>
      </w:r>
      <w:r w:rsidR="009C4F8A">
        <w:t xml:space="preserve">awareness </w:t>
      </w:r>
      <w:r w:rsidR="006E6AF1">
        <w:t xml:space="preserve">of </w:t>
      </w:r>
      <w:r w:rsidR="00A377BF">
        <w:t>member roles</w:t>
      </w:r>
      <w:r w:rsidR="00666712">
        <w:t>, responsibilities and</w:t>
      </w:r>
      <w:r w:rsidR="00A377BF">
        <w:t xml:space="preserve"> </w:t>
      </w:r>
      <w:r w:rsidR="00AE1C7B">
        <w:t xml:space="preserve">their </w:t>
      </w:r>
      <w:r w:rsidR="00A377BF">
        <w:t>reasonable expectations</w:t>
      </w:r>
      <w:r w:rsidR="009523E9">
        <w:t>/</w:t>
      </w:r>
      <w:r w:rsidR="00A377BF">
        <w:t>demands</w:t>
      </w:r>
      <w:r w:rsidR="009523E9">
        <w:t xml:space="preserve"> respecting information.</w:t>
      </w:r>
      <w:r w:rsidR="006E6AF1">
        <w:t xml:space="preserve"> </w:t>
      </w:r>
      <w:r w:rsidR="002A259A">
        <w:t>Instead, we have heard</w:t>
      </w:r>
      <w:r w:rsidR="009C4F8A">
        <w:t xml:space="preserve"> several admissions that the </w:t>
      </w:r>
      <w:r w:rsidR="002A259A">
        <w:t xml:space="preserve">quality of </w:t>
      </w:r>
      <w:r w:rsidR="00666712">
        <w:t>councillor</w:t>
      </w:r>
      <w:r w:rsidR="009C4F8A">
        <w:t xml:space="preserve"> decision-making is weak. </w:t>
      </w:r>
    </w:p>
    <w:p w14:paraId="56591192" w14:textId="5FDA443D" w:rsidR="009C4F8A" w:rsidRDefault="00C04C0D" w:rsidP="00586BF2">
      <w:pPr>
        <w:jc w:val="both"/>
      </w:pPr>
      <w:r>
        <w:t>One</w:t>
      </w:r>
      <w:r w:rsidR="0074149B">
        <w:t xml:space="preserve"> interviewee</w:t>
      </w:r>
      <w:r w:rsidR="002F0C20">
        <w:t>,</w:t>
      </w:r>
      <w:r w:rsidR="0074149B">
        <w:t xml:space="preserve"> </w:t>
      </w:r>
      <w:r w:rsidR="009C4F8A">
        <w:t>describing the council’s capacity and capability to manage the commercial portfoli</w:t>
      </w:r>
      <w:r w:rsidR="006A7AA9">
        <w:t xml:space="preserve">o, </w:t>
      </w:r>
      <w:r>
        <w:t xml:space="preserve">related the oversight </w:t>
      </w:r>
      <w:r w:rsidR="002F5316">
        <w:t xml:space="preserve">challenge </w:t>
      </w:r>
      <w:r>
        <w:t>to the committee system</w:t>
      </w:r>
      <w:r w:rsidR="006A7AA9">
        <w:t>:</w:t>
      </w:r>
    </w:p>
    <w:p w14:paraId="3203E21C" w14:textId="5A81D4C4" w:rsidR="009C4F8A" w:rsidRDefault="009C4F8A" w:rsidP="00C04C0D">
      <w:pPr>
        <w:jc w:val="both"/>
        <w:rPr>
          <w:i/>
          <w:iCs/>
        </w:rPr>
      </w:pPr>
      <w:r w:rsidRPr="009A2066">
        <w:rPr>
          <w:i/>
          <w:iCs/>
        </w:rPr>
        <w:t>“</w:t>
      </w:r>
      <w:r w:rsidR="00C04C0D">
        <w:rPr>
          <w:i/>
          <w:iCs/>
        </w:rPr>
        <w:t xml:space="preserve">The </w:t>
      </w:r>
      <w:r w:rsidRPr="009A2066">
        <w:rPr>
          <w:i/>
          <w:iCs/>
        </w:rPr>
        <w:t>Committee system present</w:t>
      </w:r>
      <w:r w:rsidR="00C04C0D">
        <w:rPr>
          <w:i/>
          <w:iCs/>
        </w:rPr>
        <w:t>s</w:t>
      </w:r>
      <w:r w:rsidRPr="009A2066">
        <w:rPr>
          <w:i/>
          <w:iCs/>
        </w:rPr>
        <w:t xml:space="preserve"> additional issues in the management of the commercial portfolio with more members involved and as a result </w:t>
      </w:r>
      <w:r w:rsidR="00A01AA5">
        <w:rPr>
          <w:i/>
          <w:iCs/>
        </w:rPr>
        <w:t xml:space="preserve">there is </w:t>
      </w:r>
      <w:r w:rsidRPr="009A2066">
        <w:rPr>
          <w:i/>
          <w:iCs/>
        </w:rPr>
        <w:t>a more diverse and varied range of skills and expertise.  A cabinet model made it easier to ensure that the key members involved had sufficient skills.”</w:t>
      </w:r>
    </w:p>
    <w:p w14:paraId="7E6EBC82" w14:textId="370D1868" w:rsidR="009C4F8A" w:rsidRDefault="00050516" w:rsidP="00586BF2">
      <w:pPr>
        <w:jc w:val="both"/>
      </w:pPr>
      <w:r>
        <w:t xml:space="preserve">Another </w:t>
      </w:r>
      <w:r w:rsidR="0014632C">
        <w:t>councillor</w:t>
      </w:r>
      <w:r w:rsidR="00CF71D5">
        <w:t>, who</w:t>
      </w:r>
      <w:r>
        <w:t xml:space="preserve"> </w:t>
      </w:r>
      <w:r w:rsidR="009C4F8A">
        <w:t xml:space="preserve">raised concerns about the </w:t>
      </w:r>
      <w:r w:rsidR="00C32A63">
        <w:t>“</w:t>
      </w:r>
      <w:r w:rsidR="009C4F8A">
        <w:t>quality of elected members</w:t>
      </w:r>
      <w:r w:rsidR="00C32A63">
        <w:t>”</w:t>
      </w:r>
      <w:r w:rsidR="00CF71D5">
        <w:t xml:space="preserve">, </w:t>
      </w:r>
      <w:r w:rsidR="006B23E3">
        <w:t xml:space="preserve">also felt that </w:t>
      </w:r>
      <w:r w:rsidR="00CF71D5">
        <w:t>member</w:t>
      </w:r>
      <w:r w:rsidR="009C4F8A">
        <w:t xml:space="preserve"> input into risk management was not comprehensive. Similar sentiments </w:t>
      </w:r>
      <w:r w:rsidR="004A37A2">
        <w:t xml:space="preserve">on </w:t>
      </w:r>
      <w:r w:rsidR="00220A90">
        <w:t xml:space="preserve">the mechanics of member involvement in </w:t>
      </w:r>
      <w:r w:rsidR="004A37A2">
        <w:t xml:space="preserve">risk </w:t>
      </w:r>
      <w:r w:rsidR="00220A90">
        <w:t xml:space="preserve">matters </w:t>
      </w:r>
      <w:r w:rsidR="009C4F8A">
        <w:t>were expressed by the Monitoring Officer.</w:t>
      </w:r>
      <w:r w:rsidR="00B06A95">
        <w:t xml:space="preserve"> </w:t>
      </w:r>
      <w:r w:rsidR="005D7B05">
        <w:t xml:space="preserve">Attempts are being made to </w:t>
      </w:r>
      <w:r w:rsidR="00C33E9E">
        <w:t>improve</w:t>
      </w:r>
      <w:r w:rsidR="00B06A95">
        <w:t xml:space="preserve"> member involvement in</w:t>
      </w:r>
      <w:r w:rsidR="005D7B05">
        <w:t xml:space="preserve"> risk matters </w:t>
      </w:r>
      <w:r w:rsidR="00C33E9E">
        <w:t>through</w:t>
      </w:r>
      <w:r w:rsidR="00A36AAB">
        <w:t xml:space="preserve"> a greater role for the Corporate Policy and Resources Committee.</w:t>
      </w:r>
      <w:r w:rsidR="009C4F8A">
        <w:t xml:space="preserve"> </w:t>
      </w:r>
    </w:p>
    <w:p w14:paraId="6417CF32" w14:textId="5F83DC9C" w:rsidR="00A45545" w:rsidRPr="00B049FF" w:rsidRDefault="00863666" w:rsidP="00A45545">
      <w:pPr>
        <w:jc w:val="both"/>
        <w:rPr>
          <w:lang w:eastAsia="en-GB"/>
        </w:rPr>
      </w:pPr>
      <w:r>
        <w:t xml:space="preserve">Furthermore, </w:t>
      </w:r>
      <w:r w:rsidR="00D36A96">
        <w:rPr>
          <w:lang w:eastAsia="en-GB"/>
        </w:rPr>
        <w:t xml:space="preserve">as indicated above, the </w:t>
      </w:r>
      <w:r w:rsidR="00524F43">
        <w:rPr>
          <w:lang w:eastAsia="en-GB"/>
        </w:rPr>
        <w:t>c</w:t>
      </w:r>
      <w:r w:rsidR="009B41F9">
        <w:rPr>
          <w:lang w:eastAsia="en-GB"/>
        </w:rPr>
        <w:t>ouncil</w:t>
      </w:r>
      <w:r w:rsidR="00D36A96">
        <w:rPr>
          <w:lang w:eastAsia="en-GB"/>
        </w:rPr>
        <w:t xml:space="preserve">’s committee system itself </w:t>
      </w:r>
      <w:r w:rsidR="008F7B45">
        <w:rPr>
          <w:lang w:eastAsia="en-GB"/>
        </w:rPr>
        <w:t xml:space="preserve">has been identified to the review as an issue. </w:t>
      </w:r>
      <w:r w:rsidR="00A45545">
        <w:rPr>
          <w:lang w:eastAsia="en-GB"/>
        </w:rPr>
        <w:t xml:space="preserve">The system, recently introduced, has widened the involvement of members in all </w:t>
      </w:r>
      <w:r w:rsidR="00524F43">
        <w:rPr>
          <w:lang w:eastAsia="en-GB"/>
        </w:rPr>
        <w:t>c</w:t>
      </w:r>
      <w:r w:rsidR="00A45545">
        <w:rPr>
          <w:lang w:eastAsia="en-GB"/>
        </w:rPr>
        <w:t xml:space="preserve">ouncil business.  This system is in its early stages.  As part of this process </w:t>
      </w:r>
      <w:r w:rsidR="008B0680">
        <w:rPr>
          <w:lang w:eastAsia="en-GB"/>
        </w:rPr>
        <w:t>SBC</w:t>
      </w:r>
      <w:r w:rsidR="00A45545">
        <w:rPr>
          <w:lang w:eastAsia="en-GB"/>
        </w:rPr>
        <w:t xml:space="preserve"> </w:t>
      </w:r>
      <w:r w:rsidR="00893912">
        <w:rPr>
          <w:lang w:eastAsia="en-GB"/>
        </w:rPr>
        <w:t>has removed its</w:t>
      </w:r>
      <w:r w:rsidR="00A45545">
        <w:rPr>
          <w:lang w:eastAsia="en-GB"/>
        </w:rPr>
        <w:t xml:space="preserve"> overview and scrutiny committee</w:t>
      </w:r>
      <w:r w:rsidR="00893912">
        <w:rPr>
          <w:lang w:eastAsia="en-GB"/>
        </w:rPr>
        <w:t xml:space="preserve">, a possible loss </w:t>
      </w:r>
      <w:r w:rsidR="009F7A0E">
        <w:rPr>
          <w:lang w:eastAsia="en-GB"/>
        </w:rPr>
        <w:t xml:space="preserve">in </w:t>
      </w:r>
      <w:r w:rsidR="00325A7F">
        <w:rPr>
          <w:lang w:eastAsia="en-GB"/>
        </w:rPr>
        <w:t xml:space="preserve">challenge to investment and strategic risks. </w:t>
      </w:r>
      <w:r w:rsidR="00A45545">
        <w:rPr>
          <w:lang w:eastAsia="en-GB"/>
        </w:rPr>
        <w:t xml:space="preserve"> </w:t>
      </w:r>
    </w:p>
    <w:p w14:paraId="17437D63" w14:textId="60B3453B" w:rsidR="009B41F9" w:rsidRDefault="00D42C3D" w:rsidP="009B41F9">
      <w:pPr>
        <w:jc w:val="both"/>
        <w:rPr>
          <w:lang w:eastAsia="en-GB"/>
        </w:rPr>
      </w:pPr>
      <w:r>
        <w:rPr>
          <w:lang w:eastAsia="en-GB"/>
        </w:rPr>
        <w:t>SBC</w:t>
      </w:r>
      <w:r w:rsidR="009B41F9">
        <w:rPr>
          <w:lang w:eastAsia="en-GB"/>
        </w:rPr>
        <w:t xml:space="preserve"> also has a fragile political environment</w:t>
      </w:r>
      <w:r w:rsidR="002A1C9C">
        <w:rPr>
          <w:lang w:eastAsia="en-GB"/>
        </w:rPr>
        <w:t xml:space="preserve">. There are </w:t>
      </w:r>
      <w:r w:rsidR="009B41F9">
        <w:rPr>
          <w:lang w:eastAsia="en-GB"/>
        </w:rPr>
        <w:t xml:space="preserve">8 individual </w:t>
      </w:r>
      <w:r w:rsidR="002A1C9C">
        <w:rPr>
          <w:lang w:eastAsia="en-GB"/>
        </w:rPr>
        <w:t xml:space="preserve">political </w:t>
      </w:r>
      <w:r w:rsidR="009B41F9">
        <w:rPr>
          <w:lang w:eastAsia="en-GB"/>
        </w:rPr>
        <w:t>groupings</w:t>
      </w:r>
      <w:r w:rsidR="002A1C9C">
        <w:rPr>
          <w:lang w:eastAsia="en-GB"/>
        </w:rPr>
        <w:t>. The</w:t>
      </w:r>
      <w:r w:rsidR="009B41F9">
        <w:rPr>
          <w:lang w:eastAsia="en-GB"/>
        </w:rPr>
        <w:t xml:space="preserve"> </w:t>
      </w:r>
      <w:r w:rsidR="00524F43">
        <w:rPr>
          <w:lang w:eastAsia="en-GB"/>
        </w:rPr>
        <w:t>c</w:t>
      </w:r>
      <w:r w:rsidR="009B41F9">
        <w:rPr>
          <w:lang w:eastAsia="en-GB"/>
        </w:rPr>
        <w:t xml:space="preserve">ouncil is </w:t>
      </w:r>
      <w:r w:rsidR="002039E6">
        <w:rPr>
          <w:lang w:eastAsia="en-GB"/>
        </w:rPr>
        <w:t>led</w:t>
      </w:r>
      <w:r w:rsidR="009B41F9">
        <w:rPr>
          <w:lang w:eastAsia="en-GB"/>
        </w:rPr>
        <w:t xml:space="preserve"> by a minority administration, which has only recently taken over from a previous minority administration.</w:t>
      </w:r>
    </w:p>
    <w:p w14:paraId="465E0831" w14:textId="634D836E" w:rsidR="00107554" w:rsidRDefault="00107554" w:rsidP="00107554">
      <w:pPr>
        <w:jc w:val="both"/>
        <w:rPr>
          <w:lang w:eastAsia="en-GB"/>
        </w:rPr>
      </w:pPr>
      <w:r>
        <w:rPr>
          <w:lang w:eastAsia="en-GB"/>
        </w:rPr>
        <w:t xml:space="preserve">Getting consistency in strategic decision-making </w:t>
      </w:r>
      <w:r w:rsidR="008946E9">
        <w:rPr>
          <w:lang w:eastAsia="en-GB"/>
        </w:rPr>
        <w:t xml:space="preserve">in a fragile political context is </w:t>
      </w:r>
      <w:r w:rsidR="00C43ADA">
        <w:rPr>
          <w:lang w:eastAsia="en-GB"/>
        </w:rPr>
        <w:t xml:space="preserve">always </w:t>
      </w:r>
      <w:r w:rsidR="008946E9">
        <w:rPr>
          <w:lang w:eastAsia="en-GB"/>
        </w:rPr>
        <w:t>difficult and arguably compounded by</w:t>
      </w:r>
      <w:r>
        <w:rPr>
          <w:lang w:eastAsia="en-GB"/>
        </w:rPr>
        <w:t xml:space="preserve"> a committee system lacking cabinet oversight. There is evidence of this at SBC. </w:t>
      </w:r>
      <w:r w:rsidR="00516139">
        <w:rPr>
          <w:lang w:eastAsia="en-GB"/>
        </w:rPr>
        <w:t>Several</w:t>
      </w:r>
      <w:r w:rsidR="00497B3D" w:rsidRPr="00497B3D">
        <w:rPr>
          <w:lang w:eastAsia="en-GB"/>
        </w:rPr>
        <w:t xml:space="preserve"> interviewees have indicated that they believe that the decision-making culture has impaired progress in the </w:t>
      </w:r>
      <w:r w:rsidR="00516139">
        <w:rPr>
          <w:lang w:eastAsia="en-GB"/>
        </w:rPr>
        <w:t>a</w:t>
      </w:r>
      <w:r w:rsidR="00497B3D" w:rsidRPr="00497B3D">
        <w:rPr>
          <w:lang w:eastAsia="en-GB"/>
        </w:rPr>
        <w:t xml:space="preserve">ffordable </w:t>
      </w:r>
      <w:r w:rsidR="00516139">
        <w:rPr>
          <w:lang w:eastAsia="en-GB"/>
        </w:rPr>
        <w:t>h</w:t>
      </w:r>
      <w:r w:rsidR="00497B3D" w:rsidRPr="00497B3D">
        <w:rPr>
          <w:lang w:eastAsia="en-GB"/>
        </w:rPr>
        <w:t xml:space="preserve">ousing </w:t>
      </w:r>
      <w:r w:rsidR="00516139">
        <w:rPr>
          <w:lang w:eastAsia="en-GB"/>
        </w:rPr>
        <w:t>p</w:t>
      </w:r>
      <w:r w:rsidR="00497B3D" w:rsidRPr="00497B3D">
        <w:rPr>
          <w:lang w:eastAsia="en-GB"/>
        </w:rPr>
        <w:t>rogramme</w:t>
      </w:r>
      <w:r w:rsidR="00497B3D">
        <w:rPr>
          <w:lang w:eastAsia="en-GB"/>
        </w:rPr>
        <w:t xml:space="preserve">. They also point to </w:t>
      </w:r>
      <w:r w:rsidR="00866F2E">
        <w:rPr>
          <w:lang w:eastAsia="en-GB"/>
        </w:rPr>
        <w:t xml:space="preserve">the adverse impact on the </w:t>
      </w:r>
      <w:r>
        <w:rPr>
          <w:lang w:eastAsia="en-GB"/>
        </w:rPr>
        <w:t>intent and value of a strategic land acquisition by subsequent decisions restricting land usage</w:t>
      </w:r>
      <w:r w:rsidR="00866F2E">
        <w:rPr>
          <w:lang w:eastAsia="en-GB"/>
        </w:rPr>
        <w:t xml:space="preserve"> by height of build</w:t>
      </w:r>
      <w:r>
        <w:rPr>
          <w:lang w:eastAsia="en-GB"/>
        </w:rPr>
        <w:t xml:space="preserve">. </w:t>
      </w:r>
    </w:p>
    <w:p w14:paraId="206D136C" w14:textId="1251105D" w:rsidR="00107554" w:rsidRDefault="00107554" w:rsidP="00107554">
      <w:pPr>
        <w:jc w:val="both"/>
        <w:rPr>
          <w:lang w:eastAsia="en-GB"/>
        </w:rPr>
      </w:pPr>
      <w:r>
        <w:rPr>
          <w:lang w:eastAsia="en-GB"/>
        </w:rPr>
        <w:t xml:space="preserve">Officers are well advised to take such finely balanced and ultimately volatile political </w:t>
      </w:r>
      <w:r w:rsidR="00B77017">
        <w:rPr>
          <w:lang w:eastAsia="en-GB"/>
        </w:rPr>
        <w:t>realities</w:t>
      </w:r>
      <w:r>
        <w:rPr>
          <w:lang w:eastAsia="en-GB"/>
        </w:rPr>
        <w:t xml:space="preserve"> into consideration in the advice they provide. Such contexts impose special burdens on transparency</w:t>
      </w:r>
      <w:r w:rsidR="006E49A7">
        <w:rPr>
          <w:lang w:eastAsia="en-GB"/>
        </w:rPr>
        <w:t xml:space="preserve"> </w:t>
      </w:r>
      <w:r>
        <w:rPr>
          <w:lang w:eastAsia="en-GB"/>
        </w:rPr>
        <w:t>and expectation management.</w:t>
      </w:r>
      <w:r w:rsidR="009C24EC">
        <w:rPr>
          <w:lang w:eastAsia="en-GB"/>
        </w:rPr>
        <w:t xml:space="preserve"> </w:t>
      </w:r>
      <w:r>
        <w:rPr>
          <w:lang w:eastAsia="en-GB"/>
        </w:rPr>
        <w:t xml:space="preserve">They necessitate caution, even risk-averseness in what can be promised. Where complex undertakings are envisaged and </w:t>
      </w:r>
      <w:r w:rsidR="00790CE6">
        <w:rPr>
          <w:lang w:eastAsia="en-GB"/>
        </w:rPr>
        <w:t>then agreed</w:t>
      </w:r>
      <w:r>
        <w:rPr>
          <w:lang w:eastAsia="en-GB"/>
        </w:rPr>
        <w:t>, the</w:t>
      </w:r>
      <w:r w:rsidR="00B77017">
        <w:rPr>
          <w:lang w:eastAsia="en-GB"/>
        </w:rPr>
        <w:t>ir</w:t>
      </w:r>
      <w:r>
        <w:rPr>
          <w:lang w:eastAsia="en-GB"/>
        </w:rPr>
        <w:t xml:space="preserve"> full implications and ‘givens’ need to be clear at the outset. The impact of subsequent deviations and their implications for</w:t>
      </w:r>
      <w:r w:rsidR="008E3C07">
        <w:rPr>
          <w:lang w:eastAsia="en-GB"/>
        </w:rPr>
        <w:t xml:space="preserve"> the</w:t>
      </w:r>
      <w:r>
        <w:rPr>
          <w:lang w:eastAsia="en-GB"/>
        </w:rPr>
        <w:t xml:space="preserve"> finance</w:t>
      </w:r>
      <w:r w:rsidR="008E3C07">
        <w:rPr>
          <w:lang w:eastAsia="en-GB"/>
        </w:rPr>
        <w:t>s</w:t>
      </w:r>
      <w:r>
        <w:rPr>
          <w:lang w:eastAsia="en-GB"/>
        </w:rPr>
        <w:t xml:space="preserve"> – and indeed the reputation of the council – should be explicit.</w:t>
      </w:r>
    </w:p>
    <w:p w14:paraId="08205818" w14:textId="3858A281" w:rsidR="007F2FF9" w:rsidRDefault="00EC091B" w:rsidP="00586BF2">
      <w:pPr>
        <w:jc w:val="both"/>
        <w:rPr>
          <w:lang w:eastAsia="en-GB"/>
        </w:rPr>
      </w:pPr>
      <w:r>
        <w:rPr>
          <w:lang w:eastAsia="en-GB"/>
        </w:rPr>
        <w:t xml:space="preserve">We have noted specific concerns about the recent ECM on affordable housing strategy. The </w:t>
      </w:r>
      <w:r w:rsidR="00AA0ABE">
        <w:rPr>
          <w:lang w:eastAsia="en-GB"/>
        </w:rPr>
        <w:t>lack</w:t>
      </w:r>
      <w:r>
        <w:rPr>
          <w:lang w:eastAsia="en-GB"/>
        </w:rPr>
        <w:t xml:space="preserve"> of </w:t>
      </w:r>
      <w:r w:rsidR="00AA0ABE">
        <w:rPr>
          <w:lang w:eastAsia="en-GB"/>
        </w:rPr>
        <w:t xml:space="preserve">prior </w:t>
      </w:r>
      <w:r w:rsidR="0089395A">
        <w:rPr>
          <w:lang w:eastAsia="en-GB"/>
        </w:rPr>
        <w:t xml:space="preserve">committee consideration; the absence from the </w:t>
      </w:r>
      <w:r w:rsidR="004B3D81">
        <w:rPr>
          <w:lang w:eastAsia="en-GB"/>
        </w:rPr>
        <w:t xml:space="preserve">reports of an option cited in member briefings then subsequently adopted </w:t>
      </w:r>
      <w:r w:rsidR="00750FD4">
        <w:rPr>
          <w:lang w:eastAsia="en-GB"/>
        </w:rPr>
        <w:t xml:space="preserve">at the ECM; the </w:t>
      </w:r>
      <w:r w:rsidR="00796541">
        <w:rPr>
          <w:lang w:eastAsia="en-GB"/>
        </w:rPr>
        <w:t>absence of</w:t>
      </w:r>
      <w:r w:rsidR="00750FD4">
        <w:rPr>
          <w:lang w:eastAsia="en-GB"/>
        </w:rPr>
        <w:t xml:space="preserve"> detail about these matters in the council’s budget-setting meeting: these </w:t>
      </w:r>
      <w:r w:rsidR="00DE5FC9">
        <w:rPr>
          <w:lang w:eastAsia="en-GB"/>
        </w:rPr>
        <w:t>seem indicative of a defective process. In any case, i</w:t>
      </w:r>
      <w:r w:rsidR="00107554">
        <w:rPr>
          <w:lang w:eastAsia="en-GB"/>
        </w:rPr>
        <w:t xml:space="preserve">n seeking to progress a complex affordable housing initiative, while simultaneously retaining a substantial commercial portfolio, SBC may be exhibiting a strategic appetite for risk at variance with its decision-making culture and instability. </w:t>
      </w:r>
    </w:p>
    <w:p w14:paraId="24E95E30" w14:textId="5B8B3FED" w:rsidR="001047D3" w:rsidRPr="00F34C2F" w:rsidRDefault="00C9090A" w:rsidP="00586BF2">
      <w:pPr>
        <w:jc w:val="both"/>
        <w:rPr>
          <w:i/>
          <w:iCs/>
          <w:lang w:eastAsia="en-GB"/>
        </w:rPr>
      </w:pPr>
      <w:r w:rsidRPr="00F34C2F">
        <w:rPr>
          <w:i/>
          <w:iCs/>
          <w:lang w:eastAsia="en-GB"/>
        </w:rPr>
        <w:t>Disclosure</w:t>
      </w:r>
    </w:p>
    <w:p w14:paraId="5BB229E5" w14:textId="59F4C74B" w:rsidR="1DEA76A8" w:rsidRDefault="008F6BAE" w:rsidP="00586BF2">
      <w:pPr>
        <w:jc w:val="both"/>
        <w:rPr>
          <w:lang w:eastAsia="en-GB"/>
        </w:rPr>
      </w:pPr>
      <w:r>
        <w:rPr>
          <w:lang w:eastAsia="en-GB"/>
        </w:rPr>
        <w:t xml:space="preserve">The </w:t>
      </w:r>
      <w:r w:rsidR="00623129">
        <w:rPr>
          <w:lang w:eastAsia="en-GB"/>
        </w:rPr>
        <w:t>c</w:t>
      </w:r>
      <w:r>
        <w:rPr>
          <w:lang w:eastAsia="en-GB"/>
        </w:rPr>
        <w:t xml:space="preserve">ouncil </w:t>
      </w:r>
      <w:r w:rsidR="000B419A">
        <w:rPr>
          <w:lang w:eastAsia="en-GB"/>
        </w:rPr>
        <w:t xml:space="preserve">is highly conscious of the commercial nature of decisions relating to the </w:t>
      </w:r>
      <w:r w:rsidR="00EA5A4C">
        <w:rPr>
          <w:lang w:eastAsia="en-GB"/>
        </w:rPr>
        <w:t>i</w:t>
      </w:r>
      <w:r w:rsidR="000B419A">
        <w:rPr>
          <w:lang w:eastAsia="en-GB"/>
        </w:rPr>
        <w:t xml:space="preserve">nvestment </w:t>
      </w:r>
      <w:r w:rsidR="00EA5A4C">
        <w:rPr>
          <w:lang w:eastAsia="en-GB"/>
        </w:rPr>
        <w:t>p</w:t>
      </w:r>
      <w:r w:rsidR="000B419A">
        <w:rPr>
          <w:lang w:eastAsia="en-GB"/>
        </w:rPr>
        <w:t xml:space="preserve">ortfolio.  </w:t>
      </w:r>
      <w:r w:rsidR="007059BF">
        <w:rPr>
          <w:lang w:eastAsia="en-GB"/>
        </w:rPr>
        <w:t>T</w:t>
      </w:r>
      <w:r w:rsidR="00644D81">
        <w:rPr>
          <w:lang w:eastAsia="en-GB"/>
        </w:rPr>
        <w:t xml:space="preserve">hey are </w:t>
      </w:r>
      <w:r w:rsidR="00E838B5">
        <w:rPr>
          <w:lang w:eastAsia="en-GB"/>
        </w:rPr>
        <w:t>managing the</w:t>
      </w:r>
      <w:r w:rsidR="00644D81">
        <w:rPr>
          <w:lang w:eastAsia="en-GB"/>
        </w:rPr>
        <w:t xml:space="preserve"> concerns </w:t>
      </w:r>
      <w:r w:rsidR="00E838B5">
        <w:rPr>
          <w:lang w:eastAsia="en-GB"/>
        </w:rPr>
        <w:t>of</w:t>
      </w:r>
      <w:r w:rsidR="00644D81">
        <w:rPr>
          <w:lang w:eastAsia="en-GB"/>
        </w:rPr>
        <w:t xml:space="preserve"> </w:t>
      </w:r>
      <w:r w:rsidR="0074246F">
        <w:rPr>
          <w:lang w:eastAsia="en-GB"/>
        </w:rPr>
        <w:t xml:space="preserve">commercial </w:t>
      </w:r>
      <w:r w:rsidR="001F6238">
        <w:rPr>
          <w:lang w:eastAsia="en-GB"/>
        </w:rPr>
        <w:t>tenants</w:t>
      </w:r>
      <w:r w:rsidR="0074246F">
        <w:rPr>
          <w:lang w:eastAsia="en-GB"/>
        </w:rPr>
        <w:t>,</w:t>
      </w:r>
      <w:r w:rsidR="001F6238">
        <w:rPr>
          <w:lang w:eastAsia="en-GB"/>
        </w:rPr>
        <w:t xml:space="preserve"> who may be worried that a public landlord could disclose sensitive information related to their company.  </w:t>
      </w:r>
      <w:r w:rsidR="007059BF">
        <w:rPr>
          <w:lang w:eastAsia="en-GB"/>
        </w:rPr>
        <w:t>M</w:t>
      </w:r>
      <w:r w:rsidR="000B419A">
        <w:rPr>
          <w:lang w:eastAsia="en-GB"/>
        </w:rPr>
        <w:t xml:space="preserve">ost reports </w:t>
      </w:r>
      <w:r w:rsidR="00E838B5">
        <w:rPr>
          <w:lang w:eastAsia="en-GB"/>
        </w:rPr>
        <w:t>about</w:t>
      </w:r>
      <w:r w:rsidR="000B419A">
        <w:rPr>
          <w:lang w:eastAsia="en-GB"/>
        </w:rPr>
        <w:t xml:space="preserve"> the portfolio are confidential</w:t>
      </w:r>
      <w:r w:rsidR="004B6E07">
        <w:rPr>
          <w:lang w:eastAsia="en-GB"/>
        </w:rPr>
        <w:t xml:space="preserve"> </w:t>
      </w:r>
      <w:r w:rsidR="005B5FE9">
        <w:rPr>
          <w:lang w:eastAsia="en-GB"/>
        </w:rPr>
        <w:t>with</w:t>
      </w:r>
      <w:r w:rsidR="004B6E07">
        <w:rPr>
          <w:lang w:eastAsia="en-GB"/>
        </w:rPr>
        <w:t xml:space="preserve"> little information</w:t>
      </w:r>
      <w:r w:rsidR="005B5FE9">
        <w:rPr>
          <w:lang w:eastAsia="en-GB"/>
        </w:rPr>
        <w:t>, beyond the</w:t>
      </w:r>
      <w:r w:rsidR="004B6E07">
        <w:rPr>
          <w:lang w:eastAsia="en-GB"/>
        </w:rPr>
        <w:t xml:space="preserve"> </w:t>
      </w:r>
      <w:r w:rsidR="005B5FE9">
        <w:rPr>
          <w:lang w:eastAsia="en-GB"/>
        </w:rPr>
        <w:t xml:space="preserve">Annual Property Report, </w:t>
      </w:r>
      <w:r w:rsidR="004B6E07">
        <w:rPr>
          <w:lang w:eastAsia="en-GB"/>
        </w:rPr>
        <w:t>in the public domain.</w:t>
      </w:r>
      <w:r w:rsidR="00F4717D">
        <w:rPr>
          <w:lang w:eastAsia="en-GB"/>
        </w:rPr>
        <w:t xml:space="preserve"> </w:t>
      </w:r>
      <w:r w:rsidR="009613B2">
        <w:rPr>
          <w:lang w:eastAsia="en-GB"/>
        </w:rPr>
        <w:t xml:space="preserve">For example, </w:t>
      </w:r>
      <w:r w:rsidR="00327FC4">
        <w:rPr>
          <w:lang w:eastAsia="en-GB"/>
        </w:rPr>
        <w:t xml:space="preserve">on </w:t>
      </w:r>
      <w:r w:rsidR="00897982">
        <w:rPr>
          <w:lang w:eastAsia="en-GB"/>
        </w:rPr>
        <w:t>SBC’s</w:t>
      </w:r>
      <w:r w:rsidR="00F4717D">
        <w:rPr>
          <w:lang w:eastAsia="en-GB"/>
        </w:rPr>
        <w:t xml:space="preserve"> website </w:t>
      </w:r>
      <w:r w:rsidR="00327FC4">
        <w:rPr>
          <w:lang w:eastAsia="en-GB"/>
        </w:rPr>
        <w:t xml:space="preserve">the </w:t>
      </w:r>
      <w:r w:rsidR="00623129">
        <w:rPr>
          <w:lang w:eastAsia="en-GB"/>
        </w:rPr>
        <w:t>c</w:t>
      </w:r>
      <w:r w:rsidR="00327FC4">
        <w:rPr>
          <w:lang w:eastAsia="en-GB"/>
        </w:rPr>
        <w:t>ouncil’s</w:t>
      </w:r>
      <w:r w:rsidR="00F4717D">
        <w:rPr>
          <w:lang w:eastAsia="en-GB"/>
        </w:rPr>
        <w:t xml:space="preserve"> response to the Public Interest Report </w:t>
      </w:r>
      <w:r w:rsidR="00327FC4">
        <w:rPr>
          <w:lang w:eastAsia="en-GB"/>
        </w:rPr>
        <w:t>redacts</w:t>
      </w:r>
      <w:r w:rsidR="00F4717D">
        <w:rPr>
          <w:lang w:eastAsia="en-GB"/>
        </w:rPr>
        <w:t xml:space="preserve"> the accompanying appendix</w:t>
      </w:r>
      <w:r w:rsidR="00F319AA">
        <w:rPr>
          <w:lang w:eastAsia="en-GB"/>
        </w:rPr>
        <w:t>,</w:t>
      </w:r>
      <w:r w:rsidR="00F4717D">
        <w:rPr>
          <w:lang w:eastAsia="en-GB"/>
        </w:rPr>
        <w:t xml:space="preserve"> </w:t>
      </w:r>
      <w:r w:rsidR="002E1F54">
        <w:t>Investment Assets and Regeneration Assets Annual Report for 2021/22</w:t>
      </w:r>
      <w:r w:rsidR="00593A89">
        <w:t xml:space="preserve">, which was due to </w:t>
      </w:r>
      <w:r w:rsidR="006B3807">
        <w:t xml:space="preserve">go the Corporate Policy and Resources Committee on 5 December 2022 </w:t>
      </w:r>
      <w:r w:rsidR="00F319AA">
        <w:t>in</w:t>
      </w:r>
      <w:r w:rsidR="006B3807">
        <w:t xml:space="preserve"> confidential</w:t>
      </w:r>
      <w:r w:rsidR="00F319AA">
        <w:t xml:space="preserve"> form</w:t>
      </w:r>
      <w:r w:rsidR="006B3807">
        <w:t>.</w:t>
      </w:r>
    </w:p>
    <w:p w14:paraId="07544714" w14:textId="3D4F6E4B" w:rsidR="00A34E28" w:rsidRDefault="009613B2" w:rsidP="00B3669B">
      <w:pPr>
        <w:jc w:val="both"/>
      </w:pPr>
      <w:r>
        <w:t>I</w:t>
      </w:r>
      <w:r w:rsidR="00A34E28">
        <w:t>nvestment strategies are complex and commercially sensitive</w:t>
      </w:r>
      <w:r>
        <w:t>. T</w:t>
      </w:r>
      <w:r w:rsidR="00A34E28">
        <w:t>he council has a clear duty to protect itself, its partners and taxpayers</w:t>
      </w:r>
      <w:r>
        <w:t xml:space="preserve">. </w:t>
      </w:r>
      <w:r w:rsidR="00A34E28">
        <w:t xml:space="preserve"> </w:t>
      </w:r>
      <w:r w:rsidR="00B3669B">
        <w:t>However,</w:t>
      </w:r>
      <w:r w:rsidR="00A34E28">
        <w:t xml:space="preserve"> transparency </w:t>
      </w:r>
      <w:r w:rsidR="00C53139">
        <w:t>is a</w:t>
      </w:r>
      <w:r w:rsidR="00A34E28">
        <w:t xml:space="preserve"> cornerstone of good governance. </w:t>
      </w:r>
      <w:r w:rsidR="00C53139">
        <w:t>SBC should accordingly strive to be as open as possible</w:t>
      </w:r>
      <w:r w:rsidR="00A34E28">
        <w:t xml:space="preserve">. </w:t>
      </w:r>
    </w:p>
    <w:p w14:paraId="51D70D0A" w14:textId="099E26BC" w:rsidR="00E85D64" w:rsidRPr="00F34C2F" w:rsidRDefault="0017147A" w:rsidP="00586BF2">
      <w:pPr>
        <w:jc w:val="both"/>
        <w:rPr>
          <w:i/>
          <w:iCs/>
          <w:lang w:eastAsia="en-GB"/>
        </w:rPr>
      </w:pPr>
      <w:r w:rsidRPr="00F34C2F">
        <w:rPr>
          <w:i/>
          <w:iCs/>
          <w:lang w:eastAsia="en-GB"/>
        </w:rPr>
        <w:t>Governance</w:t>
      </w:r>
      <w:r w:rsidR="009B35E0" w:rsidRPr="00F34C2F">
        <w:rPr>
          <w:i/>
          <w:iCs/>
          <w:lang w:eastAsia="en-GB"/>
        </w:rPr>
        <w:t>: s</w:t>
      </w:r>
      <w:r w:rsidR="00E85D64" w:rsidRPr="00F34C2F">
        <w:rPr>
          <w:i/>
          <w:iCs/>
        </w:rPr>
        <w:t xml:space="preserve">trategic context </w:t>
      </w:r>
      <w:r w:rsidR="00A45545" w:rsidRPr="00F34C2F">
        <w:rPr>
          <w:i/>
          <w:iCs/>
        </w:rPr>
        <w:t xml:space="preserve">for investments </w:t>
      </w:r>
    </w:p>
    <w:p w14:paraId="4CC6C7F7" w14:textId="5755B7AA" w:rsidR="00C331F0" w:rsidRDefault="00E85D64" w:rsidP="00C331F0">
      <w:pPr>
        <w:jc w:val="both"/>
      </w:pPr>
      <w:r>
        <w:t xml:space="preserve">There is little evidence from the available materials that the </w:t>
      </w:r>
      <w:r w:rsidR="00623129">
        <w:t>c</w:t>
      </w:r>
      <w:r>
        <w:t xml:space="preserve">ouncil </w:t>
      </w:r>
      <w:r w:rsidR="002E11F2">
        <w:t>considers</w:t>
      </w:r>
      <w:r>
        <w:t xml:space="preserve"> the investment strategy as </w:t>
      </w:r>
      <w:r w:rsidR="005F19BF">
        <w:t xml:space="preserve">much </w:t>
      </w:r>
      <w:r w:rsidR="002E11F2">
        <w:t>more</w:t>
      </w:r>
      <w:r>
        <w:t xml:space="preserve"> than </w:t>
      </w:r>
      <w:r w:rsidR="00C47D6A">
        <w:t>a means of</w:t>
      </w:r>
      <w:r w:rsidR="005F19BF">
        <w:t xml:space="preserve"> generating revenue</w:t>
      </w:r>
      <w:r>
        <w:t xml:space="preserve">. </w:t>
      </w:r>
      <w:r w:rsidR="00C331F0">
        <w:t>The Corporate Plan 2021</w:t>
      </w:r>
      <w:r w:rsidR="00181E98">
        <w:t xml:space="preserve"> to 20</w:t>
      </w:r>
      <w:r w:rsidR="00C331F0">
        <w:t>23 sets out service and strategic priorities clearly</w:t>
      </w:r>
      <w:r w:rsidR="00F83474">
        <w:t>. But</w:t>
      </w:r>
      <w:r w:rsidR="00C331F0">
        <w:t xml:space="preserve"> we have been unable to find much evidence of a governance framework covering investment priorities other than the </w:t>
      </w:r>
      <w:r w:rsidR="0091328D">
        <w:t xml:space="preserve">broad </w:t>
      </w:r>
      <w:r w:rsidR="00C331F0">
        <w:t xml:space="preserve">objective of investments creating revenue headroom for service delivery. </w:t>
      </w:r>
    </w:p>
    <w:p w14:paraId="35C7F8E5" w14:textId="0E73CE27" w:rsidR="00156095" w:rsidRDefault="0091328D" w:rsidP="00586BF2">
      <w:pPr>
        <w:jc w:val="both"/>
      </w:pPr>
      <w:r>
        <w:t>Decisions</w:t>
      </w:r>
      <w:r w:rsidR="00E85D64">
        <w:t xml:space="preserve"> on investments </w:t>
      </w:r>
      <w:r w:rsidR="00530D4E">
        <w:t>should sit</w:t>
      </w:r>
      <w:r w:rsidR="00E85D64">
        <w:t xml:space="preserve"> within a strategic framework</w:t>
      </w:r>
      <w:r w:rsidR="00530D4E">
        <w:t>,</w:t>
      </w:r>
      <w:r w:rsidR="00E85D64">
        <w:t xml:space="preserve"> widely understood and broadly supported across the </w:t>
      </w:r>
      <w:r w:rsidR="00623129">
        <w:t>c</w:t>
      </w:r>
      <w:r w:rsidR="00E85D64">
        <w:t xml:space="preserve">ouncil. </w:t>
      </w:r>
      <w:r w:rsidR="009A06E9">
        <w:t>A</w:t>
      </w:r>
      <w:r w:rsidR="00E85D64">
        <w:t xml:space="preserve"> relevant consideration within any organisational setting, </w:t>
      </w:r>
      <w:r w:rsidR="00B31385">
        <w:t>this</w:t>
      </w:r>
      <w:r w:rsidR="009A06E9">
        <w:t xml:space="preserve"> is especially pertinent</w:t>
      </w:r>
      <w:r w:rsidR="00E85D64">
        <w:t xml:space="preserve"> in </w:t>
      </w:r>
      <w:r w:rsidR="00F21115">
        <w:t>a local authority context</w:t>
      </w:r>
      <w:r w:rsidR="00A940F3">
        <w:t>, where balancing</w:t>
      </w:r>
      <w:r w:rsidR="00E85D64">
        <w:t xml:space="preserve"> competing priorities </w:t>
      </w:r>
      <w:r w:rsidR="00A940F3">
        <w:t>is</w:t>
      </w:r>
      <w:r w:rsidR="00E85D64">
        <w:t xml:space="preserve"> integral to </w:t>
      </w:r>
      <w:r w:rsidR="00A940F3">
        <w:t xml:space="preserve">effective </w:t>
      </w:r>
      <w:r w:rsidR="00E85D64">
        <w:t xml:space="preserve">decision-making and governance. </w:t>
      </w:r>
    </w:p>
    <w:p w14:paraId="4E6494AF" w14:textId="15C676BE" w:rsidR="00E85D64" w:rsidRPr="004E337B" w:rsidRDefault="0027659F" w:rsidP="00586BF2">
      <w:pPr>
        <w:jc w:val="both"/>
      </w:pPr>
      <w:r>
        <w:t>That</w:t>
      </w:r>
      <w:r w:rsidR="00E85D64">
        <w:t xml:space="preserve"> integration </w:t>
      </w:r>
      <w:r w:rsidR="00C1074E">
        <w:t>is</w:t>
      </w:r>
      <w:r>
        <w:t xml:space="preserve"> </w:t>
      </w:r>
      <w:r w:rsidR="00C1074E">
        <w:t xml:space="preserve">especially </w:t>
      </w:r>
      <w:r>
        <w:t>imperative</w:t>
      </w:r>
      <w:r w:rsidR="00C1074E">
        <w:t xml:space="preserve"> for </w:t>
      </w:r>
      <w:r w:rsidR="00931C87">
        <w:t xml:space="preserve">a council already carrying significant debts </w:t>
      </w:r>
      <w:r w:rsidR="00AD6193">
        <w:t>now also pursuing a complex</w:t>
      </w:r>
      <w:r w:rsidR="00931C87">
        <w:t xml:space="preserve"> affordable housing strategy</w:t>
      </w:r>
      <w:r w:rsidR="004A5615">
        <w:t>. We</w:t>
      </w:r>
      <w:r w:rsidR="00F958EA">
        <w:t xml:space="preserve"> have encountered considerable concern </w:t>
      </w:r>
      <w:r w:rsidR="004A5615">
        <w:t xml:space="preserve">about </w:t>
      </w:r>
      <w:r w:rsidR="00AD72F2">
        <w:t xml:space="preserve">the lack of thorough explanation of </w:t>
      </w:r>
      <w:r w:rsidR="004A5615">
        <w:t xml:space="preserve">how </w:t>
      </w:r>
      <w:r w:rsidR="00232353">
        <w:t>the housing programme</w:t>
      </w:r>
      <w:r w:rsidR="004A5615">
        <w:t xml:space="preserve"> will fit with the wider r</w:t>
      </w:r>
      <w:r w:rsidR="00E85D64" w:rsidRPr="000966D7">
        <w:t xml:space="preserve">evenue </w:t>
      </w:r>
      <w:r w:rsidR="004A5615">
        <w:t>b</w:t>
      </w:r>
      <w:r w:rsidR="00E85D64" w:rsidRPr="000966D7">
        <w:t>udget</w:t>
      </w:r>
      <w:r w:rsidR="004A5615">
        <w:t xml:space="preserve"> and c</w:t>
      </w:r>
      <w:r w:rsidR="00E85D64" w:rsidRPr="000966D7">
        <w:t xml:space="preserve">apital </w:t>
      </w:r>
      <w:r w:rsidR="004A5615">
        <w:t>p</w:t>
      </w:r>
      <w:r w:rsidR="00E85D64" w:rsidRPr="000966D7">
        <w:t>rogramme</w:t>
      </w:r>
      <w:r w:rsidR="004A5615">
        <w:t xml:space="preserve">, themselves linked in turn to the </w:t>
      </w:r>
      <w:r w:rsidR="00D22E0A">
        <w:t xml:space="preserve">investment portfolio and </w:t>
      </w:r>
      <w:r w:rsidR="00F21FEA">
        <w:t>the dynamics of the sinking fund.</w:t>
      </w:r>
    </w:p>
    <w:p w14:paraId="278E514C" w14:textId="3BE42BC4" w:rsidR="009C6E82" w:rsidRPr="00F34C2F" w:rsidRDefault="008624AC" w:rsidP="00586BF2">
      <w:pPr>
        <w:jc w:val="both"/>
        <w:rPr>
          <w:i/>
          <w:iCs/>
          <w:lang w:eastAsia="en-GB"/>
        </w:rPr>
      </w:pPr>
      <w:r w:rsidRPr="00F34C2F">
        <w:rPr>
          <w:i/>
          <w:iCs/>
          <w:lang w:eastAsia="en-GB"/>
        </w:rPr>
        <w:t>Conflict</w:t>
      </w:r>
      <w:r w:rsidR="000969DB" w:rsidRPr="00F34C2F">
        <w:rPr>
          <w:i/>
          <w:iCs/>
          <w:lang w:eastAsia="en-GB"/>
        </w:rPr>
        <w:t>s</w:t>
      </w:r>
      <w:r w:rsidRPr="00F34C2F">
        <w:rPr>
          <w:i/>
          <w:iCs/>
          <w:lang w:eastAsia="en-GB"/>
        </w:rPr>
        <w:t xml:space="preserve"> of </w:t>
      </w:r>
      <w:r w:rsidR="000969DB" w:rsidRPr="00F34C2F">
        <w:rPr>
          <w:i/>
          <w:iCs/>
          <w:lang w:eastAsia="en-GB"/>
        </w:rPr>
        <w:t>i</w:t>
      </w:r>
      <w:r w:rsidRPr="00F34C2F">
        <w:rPr>
          <w:i/>
          <w:iCs/>
          <w:lang w:eastAsia="en-GB"/>
        </w:rPr>
        <w:t>nterest</w:t>
      </w:r>
    </w:p>
    <w:p w14:paraId="70E52C5F" w14:textId="54726ED9" w:rsidR="00A035F9" w:rsidRDefault="00A035F9" w:rsidP="00586BF2">
      <w:pPr>
        <w:jc w:val="both"/>
      </w:pPr>
      <w:r>
        <w:t>Conflicts of interest exist within many boards</w:t>
      </w:r>
      <w:r w:rsidR="00FA6D59">
        <w:t>.</w:t>
      </w:r>
      <w:r>
        <w:t xml:space="preserve"> </w:t>
      </w:r>
      <w:r w:rsidR="00FA6D59">
        <w:t xml:space="preserve">The </w:t>
      </w:r>
      <w:r>
        <w:t xml:space="preserve">specialist expertise </w:t>
      </w:r>
      <w:r w:rsidR="00A44F19">
        <w:t>they require</w:t>
      </w:r>
      <w:r>
        <w:t xml:space="preserve"> is often in high demand but relatively short supply, resulting in individuals providing input to different organisations. This is </w:t>
      </w:r>
      <w:r w:rsidR="00FA6D59">
        <w:t>addressed</w:t>
      </w:r>
      <w:r>
        <w:t xml:space="preserve"> through explicit disclosure of interests and careful management of conflicts by the organisation</w:t>
      </w:r>
      <w:r w:rsidR="00A603C3">
        <w:t>s</w:t>
      </w:r>
      <w:r>
        <w:t xml:space="preserve"> and individual</w:t>
      </w:r>
      <w:r w:rsidR="00A603C3">
        <w:t>s</w:t>
      </w:r>
      <w:r>
        <w:t xml:space="preserve"> involved. </w:t>
      </w:r>
    </w:p>
    <w:p w14:paraId="56C3CCA2" w14:textId="39C93CA9" w:rsidR="00BC4AE2" w:rsidRDefault="00A603C3" w:rsidP="00586BF2">
      <w:pPr>
        <w:jc w:val="both"/>
        <w:rPr>
          <w:lang w:eastAsia="en-GB"/>
        </w:rPr>
      </w:pPr>
      <w:r>
        <w:rPr>
          <w:lang w:eastAsia="en-GB"/>
        </w:rPr>
        <w:t>SBC</w:t>
      </w:r>
      <w:r w:rsidR="00BC4AE2">
        <w:rPr>
          <w:lang w:eastAsia="en-GB"/>
        </w:rPr>
        <w:t xml:space="preserve"> has established a company, Knowle Green Estates</w:t>
      </w:r>
      <w:r>
        <w:rPr>
          <w:lang w:eastAsia="en-GB"/>
        </w:rPr>
        <w:t>,</w:t>
      </w:r>
      <w:r w:rsidR="00BC4AE2">
        <w:rPr>
          <w:lang w:eastAsia="en-GB"/>
        </w:rPr>
        <w:t xml:space="preserve"> to manage its affordable housing provision. </w:t>
      </w:r>
      <w:r w:rsidR="00540720">
        <w:rPr>
          <w:lang w:eastAsia="en-GB"/>
        </w:rPr>
        <w:t>The</w:t>
      </w:r>
      <w:r w:rsidR="00BC4AE2">
        <w:rPr>
          <w:lang w:eastAsia="en-GB"/>
        </w:rPr>
        <w:t xml:space="preserve"> </w:t>
      </w:r>
      <w:r w:rsidR="00623129">
        <w:rPr>
          <w:lang w:eastAsia="en-GB"/>
        </w:rPr>
        <w:t>c</w:t>
      </w:r>
      <w:r w:rsidR="00BC4AE2">
        <w:rPr>
          <w:lang w:eastAsia="en-GB"/>
        </w:rPr>
        <w:t>ouncil develop</w:t>
      </w:r>
      <w:r w:rsidR="00442E4B">
        <w:rPr>
          <w:lang w:eastAsia="en-GB"/>
        </w:rPr>
        <w:t>s</w:t>
      </w:r>
      <w:r w:rsidR="00BC4AE2">
        <w:rPr>
          <w:lang w:eastAsia="en-GB"/>
        </w:rPr>
        <w:t xml:space="preserve"> projects that are then “purchased” by the company with loan finance the </w:t>
      </w:r>
      <w:r w:rsidR="00623129">
        <w:rPr>
          <w:lang w:eastAsia="en-GB"/>
        </w:rPr>
        <w:t>c</w:t>
      </w:r>
      <w:r w:rsidR="00BC4AE2">
        <w:rPr>
          <w:lang w:eastAsia="en-GB"/>
        </w:rPr>
        <w:t>ouncil</w:t>
      </w:r>
      <w:r w:rsidR="00442E4B" w:rsidRPr="00442E4B">
        <w:rPr>
          <w:lang w:eastAsia="en-GB"/>
        </w:rPr>
        <w:t xml:space="preserve"> </w:t>
      </w:r>
      <w:r w:rsidR="00442E4B">
        <w:rPr>
          <w:lang w:eastAsia="en-GB"/>
        </w:rPr>
        <w:t>provides</w:t>
      </w:r>
      <w:r w:rsidR="00BC4AE2">
        <w:rPr>
          <w:lang w:eastAsia="en-GB"/>
        </w:rPr>
        <w:t xml:space="preserve">. </w:t>
      </w:r>
      <w:r w:rsidR="00540720">
        <w:rPr>
          <w:lang w:eastAsia="en-GB"/>
        </w:rPr>
        <w:t xml:space="preserve">Financing and maintenance </w:t>
      </w:r>
      <w:r w:rsidR="0018443C">
        <w:rPr>
          <w:lang w:eastAsia="en-GB"/>
        </w:rPr>
        <w:t>costs will then be met through rents.</w:t>
      </w:r>
      <w:r w:rsidR="00BC4AE2">
        <w:rPr>
          <w:lang w:eastAsia="en-GB"/>
        </w:rPr>
        <w:t xml:space="preserve"> </w:t>
      </w:r>
    </w:p>
    <w:p w14:paraId="308E39B2" w14:textId="7B60179D" w:rsidR="00BC4AE2" w:rsidRDefault="0018443C" w:rsidP="00586BF2">
      <w:pPr>
        <w:jc w:val="both"/>
        <w:rPr>
          <w:lang w:eastAsia="en-GB"/>
        </w:rPr>
      </w:pPr>
      <w:r>
        <w:rPr>
          <w:lang w:eastAsia="en-GB"/>
        </w:rPr>
        <w:t xml:space="preserve">There </w:t>
      </w:r>
      <w:r w:rsidR="00BC4AE2">
        <w:rPr>
          <w:lang w:eastAsia="en-GB"/>
        </w:rPr>
        <w:t xml:space="preserve">is considerable overlap between </w:t>
      </w:r>
      <w:r w:rsidR="00944C47">
        <w:rPr>
          <w:lang w:eastAsia="en-GB"/>
        </w:rPr>
        <w:t>KGE</w:t>
      </w:r>
      <w:r w:rsidR="00BC4AE2">
        <w:rPr>
          <w:lang w:eastAsia="en-GB"/>
        </w:rPr>
        <w:t xml:space="preserve"> and </w:t>
      </w:r>
      <w:r w:rsidR="00971616">
        <w:rPr>
          <w:lang w:eastAsia="en-GB"/>
        </w:rPr>
        <w:t>SBC</w:t>
      </w:r>
      <w:r w:rsidR="00BC4AE2">
        <w:rPr>
          <w:lang w:eastAsia="en-GB"/>
        </w:rPr>
        <w:t>.  The Council’s S151 Officer chairs the company</w:t>
      </w:r>
      <w:r w:rsidR="00944C47">
        <w:rPr>
          <w:lang w:eastAsia="en-GB"/>
        </w:rPr>
        <w:t>. T</w:t>
      </w:r>
      <w:r w:rsidR="00BC4AE2">
        <w:rPr>
          <w:lang w:eastAsia="en-GB"/>
        </w:rPr>
        <w:t xml:space="preserve">he Chief Accountant effectively acts as </w:t>
      </w:r>
      <w:r w:rsidR="00971616">
        <w:rPr>
          <w:lang w:eastAsia="en-GB"/>
        </w:rPr>
        <w:t>its</w:t>
      </w:r>
      <w:r w:rsidR="00BC4AE2">
        <w:rPr>
          <w:lang w:eastAsia="en-GB"/>
        </w:rPr>
        <w:t xml:space="preserve"> Finance Director.  </w:t>
      </w:r>
      <w:r w:rsidR="0004404A">
        <w:rPr>
          <w:lang w:eastAsia="en-GB"/>
        </w:rPr>
        <w:t>SBC’s</w:t>
      </w:r>
      <w:r w:rsidR="00BC4AE2">
        <w:rPr>
          <w:lang w:eastAsia="en-GB"/>
        </w:rPr>
        <w:t xml:space="preserve"> Monitoring Officer is </w:t>
      </w:r>
      <w:r w:rsidR="0004404A">
        <w:rPr>
          <w:lang w:eastAsia="en-GB"/>
        </w:rPr>
        <w:t>KGE’s</w:t>
      </w:r>
      <w:r w:rsidR="00BC4AE2">
        <w:rPr>
          <w:lang w:eastAsia="en-GB"/>
        </w:rPr>
        <w:t xml:space="preserve"> Company Secretary</w:t>
      </w:r>
      <w:r w:rsidR="00A66BE4">
        <w:rPr>
          <w:lang w:eastAsia="en-GB"/>
        </w:rPr>
        <w:t>. T</w:t>
      </w:r>
      <w:r w:rsidR="00BC4AE2">
        <w:rPr>
          <w:lang w:eastAsia="en-GB"/>
        </w:rPr>
        <w:t>he Vice Chair of Development Sub-Committee sits on the</w:t>
      </w:r>
      <w:r w:rsidR="00DD3315">
        <w:rPr>
          <w:lang w:eastAsia="en-GB"/>
        </w:rPr>
        <w:t xml:space="preserve"> KGE</w:t>
      </w:r>
      <w:r w:rsidR="00BC4AE2">
        <w:rPr>
          <w:lang w:eastAsia="en-GB"/>
        </w:rPr>
        <w:t xml:space="preserve"> board. </w:t>
      </w:r>
      <w:r w:rsidR="00553135">
        <w:rPr>
          <w:lang w:eastAsia="en-GB"/>
        </w:rPr>
        <w:t>(</w:t>
      </w:r>
      <w:r w:rsidR="00BC4AE2">
        <w:rPr>
          <w:lang w:eastAsia="en-GB"/>
        </w:rPr>
        <w:t>The board has two other non-</w:t>
      </w:r>
      <w:r w:rsidR="000969DB">
        <w:rPr>
          <w:lang w:eastAsia="en-GB"/>
        </w:rPr>
        <w:t>e</w:t>
      </w:r>
      <w:r w:rsidR="00BC4AE2">
        <w:rPr>
          <w:lang w:eastAsia="en-GB"/>
        </w:rPr>
        <w:t>xecutive members with a finance and social housing background respectively.</w:t>
      </w:r>
      <w:r w:rsidR="00553135">
        <w:rPr>
          <w:lang w:eastAsia="en-GB"/>
        </w:rPr>
        <w:t>)</w:t>
      </w:r>
    </w:p>
    <w:p w14:paraId="5B482925" w14:textId="6A9331E3" w:rsidR="00BC4AE2" w:rsidRDefault="00BC4AE2" w:rsidP="00586BF2">
      <w:pPr>
        <w:jc w:val="both"/>
        <w:rPr>
          <w:lang w:eastAsia="en-GB"/>
        </w:rPr>
      </w:pPr>
      <w:r>
        <w:rPr>
          <w:lang w:eastAsia="en-GB"/>
        </w:rPr>
        <w:t xml:space="preserve">The </w:t>
      </w:r>
      <w:r w:rsidR="00F67116">
        <w:rPr>
          <w:lang w:eastAsia="en-GB"/>
        </w:rPr>
        <w:t>a</w:t>
      </w:r>
      <w:r>
        <w:rPr>
          <w:lang w:eastAsia="en-GB"/>
        </w:rPr>
        <w:t xml:space="preserve">ffordable </w:t>
      </w:r>
      <w:r w:rsidR="00F67116">
        <w:rPr>
          <w:lang w:eastAsia="en-GB"/>
        </w:rPr>
        <w:t>h</w:t>
      </w:r>
      <w:r>
        <w:rPr>
          <w:lang w:eastAsia="en-GB"/>
        </w:rPr>
        <w:t xml:space="preserve">ousing </w:t>
      </w:r>
      <w:r w:rsidR="00F67116">
        <w:rPr>
          <w:lang w:eastAsia="en-GB"/>
        </w:rPr>
        <w:t>p</w:t>
      </w:r>
      <w:r>
        <w:rPr>
          <w:lang w:eastAsia="en-GB"/>
        </w:rPr>
        <w:t xml:space="preserve">lans </w:t>
      </w:r>
      <w:r w:rsidR="00F67116">
        <w:rPr>
          <w:lang w:eastAsia="en-GB"/>
        </w:rPr>
        <w:t xml:space="preserve">will </w:t>
      </w:r>
      <w:r w:rsidR="00DD3315">
        <w:rPr>
          <w:lang w:eastAsia="en-GB"/>
        </w:rPr>
        <w:t>necessitate</w:t>
      </w:r>
      <w:r w:rsidR="00F67116">
        <w:rPr>
          <w:lang w:eastAsia="en-GB"/>
        </w:rPr>
        <w:t xml:space="preserve"> KGE’s </w:t>
      </w:r>
      <w:r>
        <w:rPr>
          <w:lang w:eastAsia="en-GB"/>
        </w:rPr>
        <w:t xml:space="preserve">significant expansion </w:t>
      </w:r>
      <w:r w:rsidR="00775DBF">
        <w:rPr>
          <w:lang w:eastAsia="en-GB"/>
        </w:rPr>
        <w:t>since it</w:t>
      </w:r>
      <w:r>
        <w:rPr>
          <w:lang w:eastAsia="en-GB"/>
        </w:rPr>
        <w:t xml:space="preserve"> is unlikely to take on additional projects without </w:t>
      </w:r>
      <w:r w:rsidR="00775DBF">
        <w:rPr>
          <w:lang w:eastAsia="en-GB"/>
        </w:rPr>
        <w:t xml:space="preserve">new </w:t>
      </w:r>
      <w:r>
        <w:rPr>
          <w:lang w:eastAsia="en-GB"/>
        </w:rPr>
        <w:t xml:space="preserve">dedicated resources.  </w:t>
      </w:r>
    </w:p>
    <w:p w14:paraId="5E858CB4" w14:textId="234E2557" w:rsidR="00E421F4" w:rsidRDefault="00E421F4" w:rsidP="00586BF2">
      <w:pPr>
        <w:jc w:val="both"/>
        <w:rPr>
          <w:lang w:eastAsia="en-GB"/>
        </w:rPr>
      </w:pPr>
      <w:r>
        <w:rPr>
          <w:lang w:eastAsia="en-GB"/>
        </w:rPr>
        <w:t xml:space="preserve">There are potential conflicts of interest </w:t>
      </w:r>
      <w:r w:rsidR="007B0401">
        <w:rPr>
          <w:lang w:eastAsia="en-GB"/>
        </w:rPr>
        <w:t>here</w:t>
      </w:r>
      <w:r>
        <w:rPr>
          <w:lang w:eastAsia="en-GB"/>
        </w:rPr>
        <w:t xml:space="preserve">: </w:t>
      </w:r>
    </w:p>
    <w:p w14:paraId="4473C329" w14:textId="54DA7C65" w:rsidR="00E421F4" w:rsidRDefault="00A37C55" w:rsidP="00F34C2F">
      <w:pPr>
        <w:pStyle w:val="ListParagraph"/>
        <w:numPr>
          <w:ilvl w:val="0"/>
          <w:numId w:val="23"/>
        </w:numPr>
        <w:jc w:val="both"/>
        <w:rPr>
          <w:lang w:eastAsia="en-GB"/>
        </w:rPr>
      </w:pPr>
      <w:r>
        <w:rPr>
          <w:lang w:eastAsia="en-GB"/>
        </w:rPr>
        <w:t>t</w:t>
      </w:r>
      <w:r w:rsidR="009D3E69">
        <w:rPr>
          <w:lang w:eastAsia="en-GB"/>
        </w:rPr>
        <w:t xml:space="preserve">he </w:t>
      </w:r>
      <w:r w:rsidR="00E421F4">
        <w:rPr>
          <w:lang w:eastAsia="en-GB"/>
        </w:rPr>
        <w:t xml:space="preserve">S151 Officer advises the </w:t>
      </w:r>
      <w:r>
        <w:rPr>
          <w:lang w:eastAsia="en-GB"/>
        </w:rPr>
        <w:t>c</w:t>
      </w:r>
      <w:r w:rsidR="00E421F4">
        <w:rPr>
          <w:lang w:eastAsia="en-GB"/>
        </w:rPr>
        <w:t xml:space="preserve">ouncil on the affordable housing schemes and is </w:t>
      </w:r>
      <w:r w:rsidR="00C21EF2">
        <w:rPr>
          <w:lang w:eastAsia="en-GB"/>
        </w:rPr>
        <w:t xml:space="preserve">also </w:t>
      </w:r>
      <w:r w:rsidR="00E421F4">
        <w:rPr>
          <w:lang w:eastAsia="en-GB"/>
        </w:rPr>
        <w:t>involved in</w:t>
      </w:r>
      <w:r w:rsidR="00C21EF2">
        <w:rPr>
          <w:lang w:eastAsia="en-GB"/>
        </w:rPr>
        <w:t xml:space="preserve"> KGE </w:t>
      </w:r>
      <w:r w:rsidR="00E421F4">
        <w:rPr>
          <w:lang w:eastAsia="en-GB"/>
        </w:rPr>
        <w:t>decision</w:t>
      </w:r>
      <w:r w:rsidR="00C21EF2">
        <w:rPr>
          <w:lang w:eastAsia="en-GB"/>
        </w:rPr>
        <w:t>-</w:t>
      </w:r>
      <w:r w:rsidR="00E421F4">
        <w:rPr>
          <w:lang w:eastAsia="en-GB"/>
        </w:rPr>
        <w:t xml:space="preserve">making </w:t>
      </w:r>
      <w:r w:rsidR="00C21EF2">
        <w:rPr>
          <w:lang w:eastAsia="en-GB"/>
        </w:rPr>
        <w:t>on project viability</w:t>
      </w:r>
    </w:p>
    <w:p w14:paraId="2812D9B5" w14:textId="0C01E422" w:rsidR="00E421F4" w:rsidRDefault="00A37C55" w:rsidP="00F34C2F">
      <w:pPr>
        <w:pStyle w:val="ListParagraph"/>
        <w:numPr>
          <w:ilvl w:val="0"/>
          <w:numId w:val="23"/>
        </w:numPr>
        <w:jc w:val="both"/>
        <w:rPr>
          <w:lang w:eastAsia="en-GB"/>
        </w:rPr>
      </w:pPr>
      <w:r>
        <w:rPr>
          <w:lang w:eastAsia="en-GB"/>
        </w:rPr>
        <w:t>t</w:t>
      </w:r>
      <w:r w:rsidR="00E421F4">
        <w:rPr>
          <w:lang w:eastAsia="en-GB"/>
        </w:rPr>
        <w:t xml:space="preserve">he Vice Chair of the Development </w:t>
      </w:r>
      <w:r w:rsidR="00FD42EB">
        <w:rPr>
          <w:lang w:eastAsia="en-GB"/>
        </w:rPr>
        <w:t>Sub-</w:t>
      </w:r>
      <w:r w:rsidR="00E421F4">
        <w:rPr>
          <w:lang w:eastAsia="en-GB"/>
        </w:rPr>
        <w:t>Committee</w:t>
      </w:r>
      <w:r w:rsidR="002745FD">
        <w:rPr>
          <w:lang w:eastAsia="en-GB"/>
        </w:rPr>
        <w:t xml:space="preserve"> </w:t>
      </w:r>
      <w:r w:rsidR="00E421F4">
        <w:rPr>
          <w:lang w:eastAsia="en-GB"/>
        </w:rPr>
        <w:t xml:space="preserve">plays a role in the gateway process for key Council projects, including affordable housing projects that will potentially impact </w:t>
      </w:r>
      <w:r w:rsidR="002745FD">
        <w:rPr>
          <w:lang w:eastAsia="en-GB"/>
        </w:rPr>
        <w:t>KGE</w:t>
      </w:r>
      <w:r w:rsidR="00B32104">
        <w:rPr>
          <w:lang w:eastAsia="en-GB"/>
        </w:rPr>
        <w:t xml:space="preserve"> over the</w:t>
      </w:r>
      <w:r w:rsidR="00E421F4">
        <w:rPr>
          <w:lang w:eastAsia="en-GB"/>
        </w:rPr>
        <w:t xml:space="preserve"> long term</w:t>
      </w:r>
    </w:p>
    <w:p w14:paraId="093B0894" w14:textId="6F2B24D3" w:rsidR="00E421F4" w:rsidRDefault="00F445DA" w:rsidP="00586BF2">
      <w:pPr>
        <w:jc w:val="both"/>
      </w:pPr>
      <w:r>
        <w:rPr>
          <w:lang w:eastAsia="en-GB"/>
        </w:rPr>
        <w:t>The latter</w:t>
      </w:r>
      <w:r w:rsidR="00E421F4">
        <w:rPr>
          <w:lang w:eastAsia="en-GB"/>
        </w:rPr>
        <w:t xml:space="preserve"> conflict is managed by the Vice Chair declaring an interest at the start of relevant meetings, although they still take part in </w:t>
      </w:r>
      <w:r>
        <w:rPr>
          <w:lang w:eastAsia="en-GB"/>
        </w:rPr>
        <w:t>decisions</w:t>
      </w:r>
      <w:r w:rsidR="00E421F4">
        <w:rPr>
          <w:lang w:eastAsia="en-GB"/>
        </w:rPr>
        <w:t>.  When questioned</w:t>
      </w:r>
      <w:r w:rsidR="00D67224">
        <w:rPr>
          <w:lang w:eastAsia="en-GB"/>
        </w:rPr>
        <w:t>,</w:t>
      </w:r>
      <w:r w:rsidR="00E421F4">
        <w:rPr>
          <w:lang w:eastAsia="en-GB"/>
        </w:rPr>
        <w:t xml:space="preserve"> the Monitoring Officer indicated that she had not issued specific advice around </w:t>
      </w:r>
      <w:r w:rsidR="00D67224">
        <w:rPr>
          <w:lang w:eastAsia="en-GB"/>
        </w:rPr>
        <w:t xml:space="preserve">KGE </w:t>
      </w:r>
      <w:r w:rsidR="00E421F4">
        <w:rPr>
          <w:lang w:eastAsia="en-GB"/>
        </w:rPr>
        <w:t>conflicts of interest</w:t>
      </w:r>
      <w:r w:rsidR="00D67224">
        <w:rPr>
          <w:lang w:eastAsia="en-GB"/>
        </w:rPr>
        <w:t>.</w:t>
      </w:r>
    </w:p>
    <w:p w14:paraId="0CE9964B" w14:textId="0908B1F5" w:rsidR="00C45D61" w:rsidRDefault="00B12DF8" w:rsidP="00586BF2">
      <w:pPr>
        <w:jc w:val="both"/>
      </w:pPr>
      <w:r>
        <w:t>SBC</w:t>
      </w:r>
      <w:r w:rsidR="00A035F9">
        <w:t xml:space="preserve"> </w:t>
      </w:r>
      <w:r w:rsidR="00D94C78">
        <w:t xml:space="preserve">argues </w:t>
      </w:r>
      <w:r w:rsidR="00A035F9">
        <w:t xml:space="preserve">that where potential conflicts exist, these have been recorded. </w:t>
      </w:r>
      <w:r>
        <w:t>This</w:t>
      </w:r>
      <w:r w:rsidR="00BC2AC9">
        <w:t xml:space="preserve"> is </w:t>
      </w:r>
      <w:r>
        <w:t xml:space="preserve">probably </w:t>
      </w:r>
      <w:r w:rsidR="00BC2AC9">
        <w:t xml:space="preserve">correct. </w:t>
      </w:r>
      <w:r w:rsidR="00841DFE">
        <w:t xml:space="preserve">The </w:t>
      </w:r>
      <w:r>
        <w:t>C</w:t>
      </w:r>
      <w:r w:rsidR="00841DFE">
        <w:t xml:space="preserve">hief </w:t>
      </w:r>
      <w:r>
        <w:t>E</w:t>
      </w:r>
      <w:r w:rsidR="00841DFE">
        <w:t xml:space="preserve">xecutive </w:t>
      </w:r>
      <w:r>
        <w:t>places</w:t>
      </w:r>
      <w:r w:rsidR="00841DFE">
        <w:t xml:space="preserve"> </w:t>
      </w:r>
      <w:r w:rsidR="00F618B3">
        <w:t xml:space="preserve">significant </w:t>
      </w:r>
      <w:r w:rsidR="00841DFE">
        <w:t xml:space="preserve">emphasis on the ‘alignment of interests’ between </w:t>
      </w:r>
      <w:r w:rsidR="002158BD">
        <w:t>SBC</w:t>
      </w:r>
      <w:r w:rsidR="00841DFE">
        <w:t xml:space="preserve"> and KGE </w:t>
      </w:r>
      <w:r w:rsidR="00C67CA1">
        <w:t xml:space="preserve">in </w:t>
      </w:r>
      <w:r w:rsidR="00841DFE">
        <w:t>mitigating conflicts</w:t>
      </w:r>
      <w:r w:rsidR="002158BD">
        <w:t>. O</w:t>
      </w:r>
      <w:r w:rsidR="00841DFE">
        <w:t xml:space="preserve">thers point to the role of the two </w:t>
      </w:r>
      <w:r w:rsidR="002158BD">
        <w:t>N</w:t>
      </w:r>
      <w:r w:rsidR="001C7C17">
        <w:t>on-</w:t>
      </w:r>
      <w:r w:rsidR="002158BD">
        <w:t>E</w:t>
      </w:r>
      <w:r w:rsidR="001C7C17">
        <w:t xml:space="preserve">xecutive </w:t>
      </w:r>
      <w:r w:rsidR="002158BD">
        <w:t>D</w:t>
      </w:r>
      <w:r w:rsidR="001C7C17">
        <w:t>irector</w:t>
      </w:r>
      <w:r w:rsidR="002158BD">
        <w:t>s</w:t>
      </w:r>
      <w:r w:rsidR="00841DFE">
        <w:t xml:space="preserve"> and </w:t>
      </w:r>
      <w:r w:rsidR="002158BD">
        <w:t>their</w:t>
      </w:r>
      <w:r w:rsidR="00841DFE">
        <w:t xml:space="preserve"> ‘golden share’</w:t>
      </w:r>
      <w:r w:rsidR="00BD7123">
        <w:t xml:space="preserve"> </w:t>
      </w:r>
      <w:r w:rsidR="00841DFE">
        <w:t xml:space="preserve">role within the board, </w:t>
      </w:r>
      <w:r w:rsidR="00BD7123">
        <w:t xml:space="preserve">effectively </w:t>
      </w:r>
      <w:r w:rsidR="00841DFE">
        <w:t xml:space="preserve">enabling them to veto proposals. </w:t>
      </w:r>
    </w:p>
    <w:p w14:paraId="3706C547" w14:textId="3F99B34F" w:rsidR="00AD72F2" w:rsidRPr="008624AC" w:rsidRDefault="00BC2AC9" w:rsidP="0034431E">
      <w:pPr>
        <w:jc w:val="both"/>
      </w:pPr>
      <w:r>
        <w:t xml:space="preserve">However, </w:t>
      </w:r>
      <w:r w:rsidR="00893620">
        <w:t xml:space="preserve">while the conflicts themselves may be open and managed, governance may </w:t>
      </w:r>
      <w:r w:rsidR="00BD7123">
        <w:t xml:space="preserve">still </w:t>
      </w:r>
      <w:r w:rsidR="00893620">
        <w:t>be suboptimal</w:t>
      </w:r>
      <w:r w:rsidR="00C016E7">
        <w:t xml:space="preserve">. </w:t>
      </w:r>
      <w:r w:rsidR="00A035F9">
        <w:t xml:space="preserve">The Monitoring Officer accepts that the S151 officer chairing the KGE company board is less than ideal. Our assessment is that the arrangements between KGE and </w:t>
      </w:r>
      <w:r w:rsidR="0023150B">
        <w:t>SBC</w:t>
      </w:r>
      <w:r w:rsidR="001A6E37">
        <w:t xml:space="preserve"> are potentially problematic</w:t>
      </w:r>
      <w:r w:rsidR="0067262B">
        <w:t xml:space="preserve">. </w:t>
      </w:r>
      <w:r w:rsidR="00A035F9">
        <w:t xml:space="preserve">The S151 has a statutory duty to administer </w:t>
      </w:r>
      <w:r w:rsidR="00A37C55">
        <w:t>c</w:t>
      </w:r>
      <w:r w:rsidR="009756C7">
        <w:t xml:space="preserve">ouncil </w:t>
      </w:r>
      <w:r w:rsidR="00A035F9">
        <w:t xml:space="preserve">affairs and advise members of the prudence and legality of </w:t>
      </w:r>
      <w:r w:rsidR="009756C7">
        <w:t xml:space="preserve">financial </w:t>
      </w:r>
      <w:r w:rsidR="00A035F9">
        <w:t xml:space="preserve">decisions. </w:t>
      </w:r>
      <w:r w:rsidR="0067262B">
        <w:t>It is worth considering how effectively</w:t>
      </w:r>
      <w:r w:rsidR="00A035F9">
        <w:t xml:space="preserve"> these powers can be deployed </w:t>
      </w:r>
      <w:r w:rsidR="00A0763B">
        <w:t>on</w:t>
      </w:r>
      <w:r w:rsidR="00A035F9">
        <w:t xml:space="preserve"> decisions about KGE </w:t>
      </w:r>
      <w:r w:rsidR="004D5146">
        <w:t>given that</w:t>
      </w:r>
      <w:r w:rsidR="00A035F9">
        <w:t xml:space="preserve"> the S151 </w:t>
      </w:r>
      <w:r w:rsidR="00964E4A">
        <w:t>chair</w:t>
      </w:r>
      <w:r w:rsidR="004D5146">
        <w:t>s</w:t>
      </w:r>
      <w:r w:rsidR="00A035F9">
        <w:t xml:space="preserve"> the </w:t>
      </w:r>
      <w:r w:rsidR="004D5146">
        <w:t>KGE</w:t>
      </w:r>
      <w:r w:rsidR="00A035F9">
        <w:t xml:space="preserve"> board. </w:t>
      </w:r>
      <w:r w:rsidR="00A0763B">
        <w:t>With o</w:t>
      </w:r>
      <w:r w:rsidR="00A035F9">
        <w:t xml:space="preserve">fficers and members serving both organisations </w:t>
      </w:r>
      <w:r w:rsidR="00137F4E">
        <w:t>decision-making</w:t>
      </w:r>
      <w:r w:rsidR="00A0763B">
        <w:t xml:space="preserve"> could become muddied</w:t>
      </w:r>
      <w:r w:rsidR="00137F4E">
        <w:t xml:space="preserve">. We are not suggesting that these matters cannot be addressed. But good governance does not </w:t>
      </w:r>
      <w:r w:rsidR="00E47B81">
        <w:t xml:space="preserve">simply concern compliance with legal and administrative provisions. </w:t>
      </w:r>
      <w:r w:rsidR="00662CD3">
        <w:t xml:space="preserve">It is also about the </w:t>
      </w:r>
      <w:r w:rsidR="00E47B81">
        <w:t>robustness and effectiveness</w:t>
      </w:r>
      <w:r w:rsidR="00662CD3">
        <w:t xml:space="preserve"> of people and process</w:t>
      </w:r>
      <w:r w:rsidR="00E47B81">
        <w:t xml:space="preserve">. Given our wider concerns about </w:t>
      </w:r>
      <w:r w:rsidR="0034431E">
        <w:t xml:space="preserve">affordable housing, it is imperative that the </w:t>
      </w:r>
      <w:r w:rsidR="00514D39">
        <w:t xml:space="preserve">KGE </w:t>
      </w:r>
      <w:r w:rsidR="0034431E">
        <w:t xml:space="preserve">governance arrangements – and </w:t>
      </w:r>
      <w:r w:rsidR="00514D39">
        <w:t xml:space="preserve">their </w:t>
      </w:r>
      <w:r w:rsidR="0034431E">
        <w:t>practice –</w:t>
      </w:r>
      <w:r w:rsidR="00514D39">
        <w:t xml:space="preserve"> </w:t>
      </w:r>
      <w:r w:rsidR="0034431E">
        <w:t>are as good as they can be.</w:t>
      </w:r>
      <w:r w:rsidR="00137F4E">
        <w:t xml:space="preserve"> </w:t>
      </w:r>
    </w:p>
    <w:p w14:paraId="2852DDE9" w14:textId="2F10F80A" w:rsidR="00F35AC3" w:rsidRDefault="00970D42" w:rsidP="00BE7C5C">
      <w:pPr>
        <w:pStyle w:val="Heading2"/>
        <w:spacing w:after="0"/>
        <w:jc w:val="both"/>
        <w:rPr>
          <w:lang w:eastAsia="en-GB"/>
        </w:rPr>
      </w:pPr>
      <w:bookmarkStart w:id="15" w:name="_Toc150862411"/>
      <w:r>
        <w:rPr>
          <w:lang w:eastAsia="en-GB"/>
        </w:rPr>
        <w:t>4</w:t>
      </w:r>
      <w:r w:rsidR="00625E1B" w:rsidRPr="1DEA76A8">
        <w:rPr>
          <w:lang w:eastAsia="en-GB"/>
        </w:rPr>
        <w:t>.</w:t>
      </w:r>
      <w:r w:rsidR="00E11F8F">
        <w:rPr>
          <w:lang w:eastAsia="en-GB"/>
        </w:rPr>
        <w:t>3</w:t>
      </w:r>
      <w:r w:rsidR="00625E1B" w:rsidRPr="1DEA76A8">
        <w:rPr>
          <w:lang w:eastAsia="en-GB"/>
        </w:rPr>
        <w:t xml:space="preserve"> </w:t>
      </w:r>
      <w:r w:rsidR="001C4F42">
        <w:rPr>
          <w:lang w:eastAsia="en-GB"/>
        </w:rPr>
        <w:t>Summary</w:t>
      </w:r>
      <w:bookmarkEnd w:id="15"/>
    </w:p>
    <w:p w14:paraId="67B5AB8B" w14:textId="77777777" w:rsidR="00F615C0" w:rsidRDefault="00F615C0" w:rsidP="00BE7C5C">
      <w:pPr>
        <w:spacing w:after="0"/>
        <w:jc w:val="both"/>
        <w:rPr>
          <w:lang w:eastAsia="en-GB"/>
        </w:rPr>
      </w:pPr>
    </w:p>
    <w:p w14:paraId="2D9EA524" w14:textId="0680B811" w:rsidR="00775424" w:rsidRDefault="00F615C0" w:rsidP="00586BF2">
      <w:pPr>
        <w:jc w:val="both"/>
        <w:rPr>
          <w:lang w:eastAsia="en-GB"/>
        </w:rPr>
      </w:pPr>
      <w:r>
        <w:rPr>
          <w:lang w:eastAsia="en-GB"/>
        </w:rPr>
        <w:t>The</w:t>
      </w:r>
      <w:r w:rsidR="00DC4649">
        <w:t xml:space="preserve"> </w:t>
      </w:r>
      <w:r>
        <w:t>c</w:t>
      </w:r>
      <w:r w:rsidR="00DC4649">
        <w:t xml:space="preserve">ommercial </w:t>
      </w:r>
      <w:r>
        <w:t>i</w:t>
      </w:r>
      <w:r w:rsidR="00DC4649">
        <w:t xml:space="preserve">nvestment </w:t>
      </w:r>
      <w:r>
        <w:t>p</w:t>
      </w:r>
      <w:r w:rsidR="00DC4649">
        <w:t xml:space="preserve">ortfolio clearly </w:t>
      </w:r>
      <w:r>
        <w:t>impacts</w:t>
      </w:r>
      <w:r w:rsidR="00DC4649">
        <w:t xml:space="preserve"> the conduct of </w:t>
      </w:r>
      <w:r w:rsidR="00514D39">
        <w:t>SBC</w:t>
      </w:r>
      <w:r w:rsidR="00DC4649">
        <w:t xml:space="preserve"> business and senior management capacity.</w:t>
      </w:r>
      <w:r w:rsidR="00E6730B">
        <w:t xml:space="preserve"> </w:t>
      </w:r>
      <w:r w:rsidR="00CF2F3F">
        <w:t xml:space="preserve">This impact is so significant that </w:t>
      </w:r>
      <w:r w:rsidR="00E9071B">
        <w:t xml:space="preserve">it can </w:t>
      </w:r>
      <w:r w:rsidR="00B71034">
        <w:t>appear</w:t>
      </w:r>
      <w:r w:rsidR="00433BB3">
        <w:t xml:space="preserve">, on first acquaintance, as if </w:t>
      </w:r>
      <w:r w:rsidR="00E9071B">
        <w:t xml:space="preserve">SBC is </w:t>
      </w:r>
      <w:r w:rsidR="00433BB3">
        <w:t xml:space="preserve">not so much a council with </w:t>
      </w:r>
      <w:r w:rsidR="004C5B03">
        <w:t xml:space="preserve">a commercial property portfolio as a commercial investment company that happens to run a council. </w:t>
      </w:r>
      <w:r w:rsidR="006441E1">
        <w:t xml:space="preserve">The portfolio certainly </w:t>
      </w:r>
      <w:r w:rsidR="005C6693">
        <w:rPr>
          <w:lang w:eastAsia="en-GB"/>
        </w:rPr>
        <w:t xml:space="preserve">adds to the complexity of </w:t>
      </w:r>
      <w:r w:rsidR="00CD224D">
        <w:rPr>
          <w:lang w:eastAsia="en-GB"/>
        </w:rPr>
        <w:t>the senior managers’ tasks</w:t>
      </w:r>
      <w:r w:rsidR="00E976F0">
        <w:rPr>
          <w:lang w:eastAsia="en-GB"/>
        </w:rPr>
        <w:t>,</w:t>
      </w:r>
      <w:r w:rsidR="00FC3EAA">
        <w:rPr>
          <w:lang w:eastAsia="en-GB"/>
        </w:rPr>
        <w:t xml:space="preserve"> places a considerable </w:t>
      </w:r>
      <w:r w:rsidR="0000481F">
        <w:rPr>
          <w:lang w:eastAsia="en-GB"/>
        </w:rPr>
        <w:t xml:space="preserve">drain on </w:t>
      </w:r>
      <w:r w:rsidR="00CD224D">
        <w:rPr>
          <w:lang w:eastAsia="en-GB"/>
        </w:rPr>
        <w:t>their</w:t>
      </w:r>
      <w:r w:rsidR="0000481F">
        <w:rPr>
          <w:lang w:eastAsia="en-GB"/>
        </w:rPr>
        <w:t xml:space="preserve"> capacity</w:t>
      </w:r>
      <w:r w:rsidR="00E976F0">
        <w:rPr>
          <w:lang w:eastAsia="en-GB"/>
        </w:rPr>
        <w:t>, and raises SBC’s</w:t>
      </w:r>
      <w:r w:rsidR="00F35AC3">
        <w:rPr>
          <w:lang w:eastAsia="en-GB"/>
        </w:rPr>
        <w:t xml:space="preserve"> risk level considerabl</w:t>
      </w:r>
      <w:r w:rsidR="009F3A38">
        <w:rPr>
          <w:lang w:eastAsia="en-GB"/>
        </w:rPr>
        <w:t>y</w:t>
      </w:r>
      <w:r w:rsidR="0051509C">
        <w:rPr>
          <w:lang w:eastAsia="en-GB"/>
        </w:rPr>
        <w:t>. There are also</w:t>
      </w:r>
      <w:r w:rsidR="00BD210E">
        <w:rPr>
          <w:lang w:eastAsia="en-GB"/>
        </w:rPr>
        <w:t xml:space="preserve"> emerging </w:t>
      </w:r>
      <w:r w:rsidR="007D50E9">
        <w:rPr>
          <w:lang w:eastAsia="en-GB"/>
        </w:rPr>
        <w:t>issues</w:t>
      </w:r>
      <w:r w:rsidR="00BD210E">
        <w:rPr>
          <w:lang w:eastAsia="en-GB"/>
        </w:rPr>
        <w:t xml:space="preserve"> a</w:t>
      </w:r>
      <w:r w:rsidR="007D50E9">
        <w:rPr>
          <w:lang w:eastAsia="en-GB"/>
        </w:rPr>
        <w:t>ffecting</w:t>
      </w:r>
      <w:r w:rsidR="00BD210E">
        <w:rPr>
          <w:lang w:eastAsia="en-GB"/>
        </w:rPr>
        <w:t xml:space="preserve"> </w:t>
      </w:r>
      <w:r w:rsidR="00775424">
        <w:rPr>
          <w:lang w:eastAsia="en-GB"/>
        </w:rPr>
        <w:t>future financial sustainability</w:t>
      </w:r>
      <w:r w:rsidR="0055371A">
        <w:rPr>
          <w:lang w:eastAsia="en-GB"/>
        </w:rPr>
        <w:t xml:space="preserve">, in particular </w:t>
      </w:r>
      <w:r w:rsidR="00C347C0">
        <w:rPr>
          <w:lang w:eastAsia="en-GB"/>
        </w:rPr>
        <w:t xml:space="preserve">the </w:t>
      </w:r>
      <w:r w:rsidR="00BE0512">
        <w:rPr>
          <w:lang w:eastAsia="en-GB"/>
        </w:rPr>
        <w:t>c</w:t>
      </w:r>
      <w:r w:rsidR="00C347C0">
        <w:rPr>
          <w:lang w:eastAsia="en-GB"/>
        </w:rPr>
        <w:t xml:space="preserve">ouncil’s affordable housing </w:t>
      </w:r>
      <w:r w:rsidR="0055371A">
        <w:rPr>
          <w:lang w:eastAsia="en-GB"/>
        </w:rPr>
        <w:t xml:space="preserve">programme. </w:t>
      </w:r>
    </w:p>
    <w:p w14:paraId="08B91146" w14:textId="2797D0DF" w:rsidR="009E01C8" w:rsidRDefault="007E3EFC" w:rsidP="00AD4EC4">
      <w:pPr>
        <w:jc w:val="both"/>
        <w:rPr>
          <w:lang w:eastAsia="en-GB"/>
        </w:rPr>
      </w:pPr>
      <w:r>
        <w:rPr>
          <w:lang w:eastAsia="en-GB"/>
        </w:rPr>
        <w:t xml:space="preserve">The fragility of the </w:t>
      </w:r>
      <w:r w:rsidR="00464802">
        <w:rPr>
          <w:lang w:eastAsia="en-GB"/>
        </w:rPr>
        <w:t xml:space="preserve">SBC </w:t>
      </w:r>
      <w:r>
        <w:rPr>
          <w:lang w:eastAsia="en-GB"/>
        </w:rPr>
        <w:t xml:space="preserve">political environment </w:t>
      </w:r>
      <w:r w:rsidR="00201141">
        <w:rPr>
          <w:lang w:eastAsia="en-GB"/>
        </w:rPr>
        <w:t xml:space="preserve">adds a further concerning dimension. </w:t>
      </w:r>
      <w:r w:rsidR="005B1F12">
        <w:rPr>
          <w:lang w:eastAsia="en-GB"/>
        </w:rPr>
        <w:t>It has a</w:t>
      </w:r>
      <w:r w:rsidR="00AD4EC4">
        <w:rPr>
          <w:lang w:eastAsia="en-GB"/>
        </w:rPr>
        <w:t>rguably</w:t>
      </w:r>
      <w:r w:rsidR="005B1F12">
        <w:rPr>
          <w:lang w:eastAsia="en-GB"/>
        </w:rPr>
        <w:t xml:space="preserve"> contributed to a projected £200</w:t>
      </w:r>
      <w:r w:rsidR="001F4854">
        <w:rPr>
          <w:lang w:eastAsia="en-GB"/>
        </w:rPr>
        <w:t xml:space="preserve"> </w:t>
      </w:r>
      <w:r w:rsidR="005B1F12">
        <w:rPr>
          <w:lang w:eastAsia="en-GB"/>
        </w:rPr>
        <w:t>m</w:t>
      </w:r>
      <w:r w:rsidR="001F4854">
        <w:rPr>
          <w:lang w:eastAsia="en-GB"/>
        </w:rPr>
        <w:t>illion</w:t>
      </w:r>
      <w:r w:rsidR="005B1F12">
        <w:rPr>
          <w:lang w:eastAsia="en-GB"/>
        </w:rPr>
        <w:t xml:space="preserve"> increase in affordable housing programme </w:t>
      </w:r>
      <w:r w:rsidR="006B4F83">
        <w:rPr>
          <w:lang w:eastAsia="en-GB"/>
        </w:rPr>
        <w:t xml:space="preserve">costs, </w:t>
      </w:r>
      <w:r w:rsidR="005B1F12">
        <w:rPr>
          <w:lang w:eastAsia="en-GB"/>
        </w:rPr>
        <w:t>with associated impact</w:t>
      </w:r>
      <w:r w:rsidR="003C1A66">
        <w:rPr>
          <w:lang w:eastAsia="en-GB"/>
        </w:rPr>
        <w:t>s</w:t>
      </w:r>
      <w:r w:rsidR="005B1F12">
        <w:rPr>
          <w:lang w:eastAsia="en-GB"/>
        </w:rPr>
        <w:t xml:space="preserve"> on viability.  </w:t>
      </w:r>
      <w:r w:rsidR="003C1A66">
        <w:rPr>
          <w:lang w:eastAsia="en-GB"/>
        </w:rPr>
        <w:t xml:space="preserve">Persistent </w:t>
      </w:r>
      <w:r w:rsidR="006C0187">
        <w:rPr>
          <w:lang w:eastAsia="en-GB"/>
        </w:rPr>
        <w:t>fragility</w:t>
      </w:r>
      <w:r w:rsidR="005B1F12">
        <w:rPr>
          <w:lang w:eastAsia="en-GB"/>
        </w:rPr>
        <w:t xml:space="preserve"> </w:t>
      </w:r>
      <w:r w:rsidR="006C0187">
        <w:rPr>
          <w:lang w:eastAsia="en-GB"/>
        </w:rPr>
        <w:t>could</w:t>
      </w:r>
      <w:r w:rsidR="005B1F12">
        <w:rPr>
          <w:lang w:eastAsia="en-GB"/>
        </w:rPr>
        <w:t xml:space="preserve"> impact projects </w:t>
      </w:r>
      <w:r w:rsidR="006C0187">
        <w:rPr>
          <w:lang w:eastAsia="en-GB"/>
        </w:rPr>
        <w:t xml:space="preserve">still further </w:t>
      </w:r>
      <w:r w:rsidR="005B1F12">
        <w:rPr>
          <w:lang w:eastAsia="en-GB"/>
        </w:rPr>
        <w:t xml:space="preserve">and </w:t>
      </w:r>
      <w:r w:rsidR="006C0187">
        <w:rPr>
          <w:lang w:eastAsia="en-GB"/>
        </w:rPr>
        <w:t>exacerbate</w:t>
      </w:r>
      <w:r w:rsidR="00F55993">
        <w:rPr>
          <w:lang w:eastAsia="en-GB"/>
        </w:rPr>
        <w:t xml:space="preserve"> </w:t>
      </w:r>
      <w:r w:rsidR="00FB67DB">
        <w:rPr>
          <w:lang w:eastAsia="en-GB"/>
        </w:rPr>
        <w:t xml:space="preserve">existing </w:t>
      </w:r>
      <w:r w:rsidR="00931396">
        <w:rPr>
          <w:lang w:eastAsia="en-GB"/>
        </w:rPr>
        <w:t>issues</w:t>
      </w:r>
      <w:r w:rsidR="005B1F12">
        <w:rPr>
          <w:lang w:eastAsia="en-GB"/>
        </w:rPr>
        <w:t>.</w:t>
      </w:r>
      <w:r w:rsidR="00AD4EC4">
        <w:rPr>
          <w:lang w:eastAsia="en-GB"/>
        </w:rPr>
        <w:t xml:space="preserve"> </w:t>
      </w:r>
      <w:r w:rsidR="00461C59">
        <w:rPr>
          <w:lang w:eastAsia="en-GB"/>
        </w:rPr>
        <w:t>The challenge of</w:t>
      </w:r>
      <w:r w:rsidR="000640CB">
        <w:rPr>
          <w:lang w:eastAsia="en-GB"/>
        </w:rPr>
        <w:t xml:space="preserve"> a £1</w:t>
      </w:r>
      <w:r w:rsidR="001F4854">
        <w:rPr>
          <w:lang w:eastAsia="en-GB"/>
        </w:rPr>
        <w:t xml:space="preserve"> </w:t>
      </w:r>
      <w:r w:rsidR="000640CB">
        <w:rPr>
          <w:lang w:eastAsia="en-GB"/>
        </w:rPr>
        <w:t>b</w:t>
      </w:r>
      <w:r w:rsidR="001F4854">
        <w:rPr>
          <w:lang w:eastAsia="en-GB"/>
        </w:rPr>
        <w:t>illio</w:t>
      </w:r>
      <w:r w:rsidR="000640CB">
        <w:rPr>
          <w:lang w:eastAsia="en-GB"/>
        </w:rPr>
        <w:t>n investment portfolio coupled with a £445</w:t>
      </w:r>
      <w:r w:rsidR="001F4854">
        <w:rPr>
          <w:lang w:eastAsia="en-GB"/>
        </w:rPr>
        <w:t xml:space="preserve"> </w:t>
      </w:r>
      <w:r w:rsidR="000640CB">
        <w:rPr>
          <w:lang w:eastAsia="en-GB"/>
        </w:rPr>
        <w:t>m</w:t>
      </w:r>
      <w:r w:rsidR="001F4854">
        <w:rPr>
          <w:lang w:eastAsia="en-GB"/>
        </w:rPr>
        <w:t>illion</w:t>
      </w:r>
      <w:r w:rsidR="000640CB">
        <w:rPr>
          <w:lang w:eastAsia="en-GB"/>
        </w:rPr>
        <w:t xml:space="preserve"> capital programme</w:t>
      </w:r>
      <w:r w:rsidR="005B1F12">
        <w:rPr>
          <w:lang w:eastAsia="en-GB"/>
        </w:rPr>
        <w:t xml:space="preserve"> is best served by</w:t>
      </w:r>
      <w:r w:rsidR="000640CB">
        <w:rPr>
          <w:lang w:eastAsia="en-GB"/>
        </w:rPr>
        <w:t xml:space="preserve"> </w:t>
      </w:r>
      <w:r w:rsidR="006F42A2">
        <w:rPr>
          <w:lang w:eastAsia="en-GB"/>
        </w:rPr>
        <w:t xml:space="preserve">strategic </w:t>
      </w:r>
      <w:r w:rsidR="000640CB">
        <w:rPr>
          <w:lang w:eastAsia="en-GB"/>
        </w:rPr>
        <w:t>consistency and stability</w:t>
      </w:r>
      <w:r w:rsidR="002F0DDF">
        <w:rPr>
          <w:lang w:eastAsia="en-GB"/>
        </w:rPr>
        <w:t xml:space="preserve">. </w:t>
      </w:r>
      <w:r w:rsidR="009F24D1">
        <w:rPr>
          <w:lang w:eastAsia="en-GB"/>
        </w:rPr>
        <w:t xml:space="preserve"> </w:t>
      </w:r>
    </w:p>
    <w:p w14:paraId="0EF8EF0D" w14:textId="726ACD79" w:rsidR="00BE7C5C" w:rsidRDefault="00BE7C5C" w:rsidP="00625E1B">
      <w:pPr>
        <w:rPr>
          <w:lang w:eastAsia="en-GB"/>
        </w:rPr>
      </w:pPr>
      <w:r>
        <w:rPr>
          <w:lang w:eastAsia="en-GB"/>
        </w:rPr>
        <w:br w:type="page"/>
      </w:r>
    </w:p>
    <w:p w14:paraId="3A0E893F" w14:textId="1344D4A5" w:rsidR="00625E1B" w:rsidRPr="00C94934" w:rsidRDefault="00970D42" w:rsidP="00BE7C5C">
      <w:pPr>
        <w:pStyle w:val="Heading1"/>
        <w:spacing w:after="0"/>
        <w:rPr>
          <w:b/>
          <w:bCs/>
          <w:lang w:eastAsia="en-GB"/>
        </w:rPr>
      </w:pPr>
      <w:bookmarkStart w:id="16" w:name="_Toc150862412"/>
      <w:r>
        <w:rPr>
          <w:b/>
          <w:bCs/>
          <w:lang w:eastAsia="en-GB"/>
        </w:rPr>
        <w:t>5</w:t>
      </w:r>
      <w:r w:rsidR="00ED635E" w:rsidRPr="00C94934">
        <w:rPr>
          <w:b/>
          <w:bCs/>
          <w:lang w:eastAsia="en-GB"/>
        </w:rPr>
        <w:t xml:space="preserve"> </w:t>
      </w:r>
      <w:r w:rsidR="00974011">
        <w:rPr>
          <w:b/>
          <w:bCs/>
          <w:lang w:eastAsia="en-GB"/>
        </w:rPr>
        <w:t>R</w:t>
      </w:r>
      <w:r w:rsidR="0056370D">
        <w:rPr>
          <w:b/>
          <w:bCs/>
          <w:lang w:eastAsia="en-GB"/>
        </w:rPr>
        <w:t>ecommendation</w:t>
      </w:r>
      <w:r w:rsidR="001A31C3">
        <w:rPr>
          <w:b/>
          <w:bCs/>
          <w:lang w:eastAsia="en-GB"/>
        </w:rPr>
        <w:t>s</w:t>
      </w:r>
      <w:bookmarkEnd w:id="16"/>
    </w:p>
    <w:p w14:paraId="0BEB80E5" w14:textId="64BC8A23" w:rsidR="001D1496" w:rsidRDefault="001D1496" w:rsidP="00BE7C5C">
      <w:pPr>
        <w:spacing w:after="0"/>
        <w:rPr>
          <w:lang w:eastAsia="en-GB"/>
        </w:rPr>
      </w:pPr>
    </w:p>
    <w:p w14:paraId="6F90DABD" w14:textId="623CC947" w:rsidR="0051074A" w:rsidRDefault="00970D42" w:rsidP="00BE7C5C">
      <w:pPr>
        <w:pStyle w:val="Heading2"/>
        <w:spacing w:after="0"/>
        <w:rPr>
          <w:lang w:eastAsia="en-GB"/>
        </w:rPr>
      </w:pPr>
      <w:bookmarkStart w:id="17" w:name="_Toc150862413"/>
      <w:r>
        <w:rPr>
          <w:lang w:eastAsia="en-GB"/>
        </w:rPr>
        <w:t>5</w:t>
      </w:r>
      <w:r w:rsidR="00E75C42">
        <w:rPr>
          <w:lang w:eastAsia="en-GB"/>
        </w:rPr>
        <w:t>.1 General</w:t>
      </w:r>
      <w:r w:rsidR="00E21672">
        <w:rPr>
          <w:lang w:eastAsia="en-GB"/>
        </w:rPr>
        <w:t>: an independent financial advisory resource</w:t>
      </w:r>
      <w:bookmarkEnd w:id="17"/>
    </w:p>
    <w:p w14:paraId="6E9D06E9" w14:textId="77777777" w:rsidR="00E75C42" w:rsidRDefault="00E75C42" w:rsidP="00BE7C5C">
      <w:pPr>
        <w:spacing w:after="0"/>
        <w:rPr>
          <w:lang w:eastAsia="en-GB"/>
        </w:rPr>
      </w:pPr>
    </w:p>
    <w:p w14:paraId="589333F4" w14:textId="0B8F56EF" w:rsidR="00E75C42" w:rsidRDefault="00E75C42" w:rsidP="001546DE">
      <w:pPr>
        <w:jc w:val="both"/>
        <w:rPr>
          <w:lang w:eastAsia="en-GB"/>
        </w:rPr>
      </w:pPr>
      <w:r>
        <w:rPr>
          <w:lang w:eastAsia="en-GB"/>
        </w:rPr>
        <w:t>The for</w:t>
      </w:r>
      <w:r w:rsidR="001C7C17">
        <w:rPr>
          <w:lang w:eastAsia="en-GB"/>
        </w:rPr>
        <w:t>e</w:t>
      </w:r>
      <w:r>
        <w:rPr>
          <w:lang w:eastAsia="en-GB"/>
        </w:rPr>
        <w:t xml:space="preserve">going analysis should indicate that we are concerned at </w:t>
      </w:r>
      <w:r w:rsidR="00BD1700">
        <w:rPr>
          <w:lang w:eastAsia="en-GB"/>
        </w:rPr>
        <w:t>S</w:t>
      </w:r>
      <w:r w:rsidR="001546DE">
        <w:rPr>
          <w:lang w:eastAsia="en-GB"/>
        </w:rPr>
        <w:t>BC’s</w:t>
      </w:r>
      <w:r w:rsidR="00BD1700">
        <w:rPr>
          <w:lang w:eastAsia="en-GB"/>
        </w:rPr>
        <w:t xml:space="preserve"> situation. We are also concerned that </w:t>
      </w:r>
      <w:r w:rsidR="005B5A64">
        <w:rPr>
          <w:lang w:eastAsia="en-GB"/>
        </w:rPr>
        <w:t xml:space="preserve">given the </w:t>
      </w:r>
      <w:r w:rsidR="00545886">
        <w:rPr>
          <w:lang w:eastAsia="en-GB"/>
        </w:rPr>
        <w:t xml:space="preserve">nature of the challenges </w:t>
      </w:r>
      <w:r w:rsidR="00AC0BA2">
        <w:rPr>
          <w:lang w:eastAsia="en-GB"/>
        </w:rPr>
        <w:t xml:space="preserve">it </w:t>
      </w:r>
      <w:r w:rsidR="008E1FFF">
        <w:rPr>
          <w:lang w:eastAsia="en-GB"/>
        </w:rPr>
        <w:t>faces;</w:t>
      </w:r>
      <w:r w:rsidR="00545886">
        <w:rPr>
          <w:lang w:eastAsia="en-GB"/>
        </w:rPr>
        <w:t xml:space="preserve"> the </w:t>
      </w:r>
      <w:r w:rsidR="00BE0512">
        <w:rPr>
          <w:lang w:eastAsia="en-GB"/>
        </w:rPr>
        <w:t>c</w:t>
      </w:r>
      <w:r w:rsidR="00545886">
        <w:rPr>
          <w:lang w:eastAsia="en-GB"/>
        </w:rPr>
        <w:t xml:space="preserve">ouncil may not have the capacity and expertise </w:t>
      </w:r>
      <w:r w:rsidR="00E2106F">
        <w:rPr>
          <w:lang w:eastAsia="en-GB"/>
        </w:rPr>
        <w:t>it needs</w:t>
      </w:r>
      <w:r w:rsidR="00545886">
        <w:rPr>
          <w:lang w:eastAsia="en-GB"/>
        </w:rPr>
        <w:t xml:space="preserve">. </w:t>
      </w:r>
    </w:p>
    <w:p w14:paraId="03B2D0C9" w14:textId="0E187E57" w:rsidR="00126D9A" w:rsidRDefault="00545886" w:rsidP="001546DE">
      <w:pPr>
        <w:jc w:val="both"/>
        <w:rPr>
          <w:lang w:eastAsia="en-GB"/>
        </w:rPr>
      </w:pPr>
      <w:r>
        <w:rPr>
          <w:lang w:eastAsia="en-GB"/>
        </w:rPr>
        <w:t>Therefore, we recommend that DLUHC should work with S</w:t>
      </w:r>
      <w:r w:rsidR="00E2106F">
        <w:rPr>
          <w:lang w:eastAsia="en-GB"/>
        </w:rPr>
        <w:t>BC</w:t>
      </w:r>
      <w:r>
        <w:rPr>
          <w:lang w:eastAsia="en-GB"/>
        </w:rPr>
        <w:t xml:space="preserve"> to deploy </w:t>
      </w:r>
      <w:r w:rsidRPr="0060371A">
        <w:rPr>
          <w:lang w:eastAsia="en-GB"/>
        </w:rPr>
        <w:t>some</w:t>
      </w:r>
      <w:r w:rsidRPr="004F5A89">
        <w:rPr>
          <w:b/>
          <w:bCs/>
          <w:lang w:eastAsia="en-GB"/>
        </w:rPr>
        <w:t xml:space="preserve"> </w:t>
      </w:r>
      <w:r w:rsidR="001C7C17">
        <w:rPr>
          <w:b/>
          <w:bCs/>
          <w:lang w:eastAsia="en-GB"/>
        </w:rPr>
        <w:t>additional</w:t>
      </w:r>
      <w:r w:rsidR="001C7C17" w:rsidRPr="004F5A89">
        <w:rPr>
          <w:b/>
          <w:bCs/>
          <w:lang w:eastAsia="en-GB"/>
        </w:rPr>
        <w:t xml:space="preserve"> </w:t>
      </w:r>
      <w:r w:rsidR="004F5A89">
        <w:rPr>
          <w:b/>
          <w:bCs/>
          <w:lang w:eastAsia="en-GB"/>
        </w:rPr>
        <w:t xml:space="preserve">independent </w:t>
      </w:r>
      <w:r w:rsidRPr="004F5A89">
        <w:rPr>
          <w:b/>
          <w:bCs/>
          <w:lang w:eastAsia="en-GB"/>
        </w:rPr>
        <w:t>suppo</w:t>
      </w:r>
      <w:r w:rsidR="009C01F0" w:rsidRPr="004F5A89">
        <w:rPr>
          <w:b/>
          <w:bCs/>
          <w:lang w:eastAsia="en-GB"/>
        </w:rPr>
        <w:t>rt</w:t>
      </w:r>
      <w:r w:rsidR="009C01F0">
        <w:rPr>
          <w:lang w:eastAsia="en-GB"/>
        </w:rPr>
        <w:t xml:space="preserve">. </w:t>
      </w:r>
    </w:p>
    <w:p w14:paraId="53E94CEB" w14:textId="5CB39570" w:rsidR="00545886" w:rsidRDefault="009C01F0" w:rsidP="001546DE">
      <w:pPr>
        <w:jc w:val="both"/>
        <w:rPr>
          <w:lang w:eastAsia="en-GB"/>
        </w:rPr>
      </w:pPr>
      <w:r>
        <w:rPr>
          <w:lang w:eastAsia="en-GB"/>
        </w:rPr>
        <w:t xml:space="preserve">This </w:t>
      </w:r>
      <w:r w:rsidR="00E87989">
        <w:rPr>
          <w:lang w:eastAsia="en-GB"/>
        </w:rPr>
        <w:t xml:space="preserve">support, comprising suitable financial expertise, </w:t>
      </w:r>
      <w:r>
        <w:rPr>
          <w:lang w:eastAsia="en-GB"/>
        </w:rPr>
        <w:t xml:space="preserve">would be independent of both the </w:t>
      </w:r>
      <w:r w:rsidR="00BE0512">
        <w:rPr>
          <w:lang w:eastAsia="en-GB"/>
        </w:rPr>
        <w:t>c</w:t>
      </w:r>
      <w:r>
        <w:rPr>
          <w:lang w:eastAsia="en-GB"/>
        </w:rPr>
        <w:t xml:space="preserve">ouncil and the Department. It would work with </w:t>
      </w:r>
      <w:r w:rsidR="00AC0BA2">
        <w:rPr>
          <w:lang w:eastAsia="en-GB"/>
        </w:rPr>
        <w:t>SBC</w:t>
      </w:r>
      <w:r>
        <w:rPr>
          <w:lang w:eastAsia="en-GB"/>
        </w:rPr>
        <w:t xml:space="preserve"> </w:t>
      </w:r>
      <w:r w:rsidR="00E87989">
        <w:rPr>
          <w:lang w:eastAsia="en-GB"/>
        </w:rPr>
        <w:t xml:space="preserve">to implement </w:t>
      </w:r>
      <w:r w:rsidR="00B86729">
        <w:rPr>
          <w:lang w:eastAsia="en-GB"/>
        </w:rPr>
        <w:t xml:space="preserve">a </w:t>
      </w:r>
      <w:r w:rsidR="00E87989">
        <w:rPr>
          <w:lang w:eastAsia="en-GB"/>
        </w:rPr>
        <w:t xml:space="preserve">series of </w:t>
      </w:r>
      <w:r w:rsidR="00B86729">
        <w:rPr>
          <w:lang w:eastAsia="en-GB"/>
        </w:rPr>
        <w:t xml:space="preserve">risk </w:t>
      </w:r>
      <w:r w:rsidR="00E87989" w:rsidRPr="004D350E">
        <w:rPr>
          <w:b/>
          <w:bCs/>
          <w:lang w:eastAsia="en-GB"/>
        </w:rPr>
        <w:t>mitigations</w:t>
      </w:r>
      <w:r w:rsidR="00E87989">
        <w:rPr>
          <w:lang w:eastAsia="en-GB"/>
        </w:rPr>
        <w:t>.</w:t>
      </w:r>
      <w:r w:rsidR="0021336D">
        <w:rPr>
          <w:lang w:eastAsia="en-GB"/>
        </w:rPr>
        <w:t xml:space="preserve"> It would provide the Department with assurance </w:t>
      </w:r>
      <w:r w:rsidR="00EF33E3">
        <w:rPr>
          <w:lang w:eastAsia="en-GB"/>
        </w:rPr>
        <w:t xml:space="preserve">on the viability of the </w:t>
      </w:r>
      <w:r w:rsidR="004D350E">
        <w:rPr>
          <w:lang w:eastAsia="en-GB"/>
        </w:rPr>
        <w:t>a</w:t>
      </w:r>
      <w:r w:rsidR="00EF33E3">
        <w:rPr>
          <w:lang w:eastAsia="en-GB"/>
        </w:rPr>
        <w:t xml:space="preserve">ffordable </w:t>
      </w:r>
      <w:r w:rsidR="004D350E">
        <w:rPr>
          <w:lang w:eastAsia="en-GB"/>
        </w:rPr>
        <w:t>h</w:t>
      </w:r>
      <w:r w:rsidR="00EF33E3">
        <w:rPr>
          <w:lang w:eastAsia="en-GB"/>
        </w:rPr>
        <w:t xml:space="preserve">ousing </w:t>
      </w:r>
      <w:r w:rsidR="004D350E">
        <w:rPr>
          <w:lang w:eastAsia="en-GB"/>
        </w:rPr>
        <w:t>p</w:t>
      </w:r>
      <w:r w:rsidR="00EF33E3">
        <w:rPr>
          <w:lang w:eastAsia="en-GB"/>
        </w:rPr>
        <w:t xml:space="preserve">lan and </w:t>
      </w:r>
      <w:r w:rsidR="00067C27">
        <w:rPr>
          <w:lang w:eastAsia="en-GB"/>
        </w:rPr>
        <w:t>any associated need to lift borrowing controls.</w:t>
      </w:r>
    </w:p>
    <w:p w14:paraId="51E6D95C" w14:textId="7078CE9D" w:rsidR="00067C27" w:rsidRDefault="00126D9A" w:rsidP="001546DE">
      <w:pPr>
        <w:jc w:val="both"/>
        <w:rPr>
          <w:lang w:eastAsia="en-GB"/>
        </w:rPr>
      </w:pPr>
      <w:r>
        <w:rPr>
          <w:lang w:eastAsia="en-GB"/>
        </w:rPr>
        <w:t>This extra</w:t>
      </w:r>
      <w:r w:rsidR="00067C27">
        <w:rPr>
          <w:lang w:eastAsia="en-GB"/>
        </w:rPr>
        <w:t xml:space="preserve"> resource would </w:t>
      </w:r>
      <w:r w:rsidR="00B50378">
        <w:rPr>
          <w:lang w:eastAsia="en-GB"/>
        </w:rPr>
        <w:t>include</w:t>
      </w:r>
      <w:r w:rsidR="00E21672">
        <w:rPr>
          <w:lang w:eastAsia="en-GB"/>
        </w:rPr>
        <w:t xml:space="preserve"> an </w:t>
      </w:r>
      <w:r w:rsidRPr="00D36D65">
        <w:rPr>
          <w:b/>
          <w:bCs/>
          <w:lang w:eastAsia="en-GB"/>
        </w:rPr>
        <w:t xml:space="preserve">independent </w:t>
      </w:r>
      <w:r w:rsidR="00E21672" w:rsidRPr="00D36D65">
        <w:rPr>
          <w:b/>
          <w:bCs/>
          <w:lang w:eastAsia="en-GB"/>
        </w:rPr>
        <w:t xml:space="preserve">advisor </w:t>
      </w:r>
      <w:r w:rsidRPr="00D36D65">
        <w:rPr>
          <w:b/>
          <w:bCs/>
          <w:lang w:eastAsia="en-GB"/>
        </w:rPr>
        <w:t>on</w:t>
      </w:r>
      <w:r w:rsidR="00E21672" w:rsidRPr="00D36D65">
        <w:rPr>
          <w:b/>
          <w:bCs/>
          <w:lang w:eastAsia="en-GB"/>
        </w:rPr>
        <w:t xml:space="preserve"> the </w:t>
      </w:r>
      <w:r w:rsidR="00BE0512">
        <w:rPr>
          <w:b/>
          <w:bCs/>
          <w:lang w:eastAsia="en-GB"/>
        </w:rPr>
        <w:t>c</w:t>
      </w:r>
      <w:r w:rsidR="00AC4DBA" w:rsidRPr="00D36D65">
        <w:rPr>
          <w:b/>
          <w:bCs/>
          <w:lang w:eastAsia="en-GB"/>
        </w:rPr>
        <w:t xml:space="preserve">ouncil’s </w:t>
      </w:r>
      <w:r w:rsidR="0035223E" w:rsidRPr="00D36D65">
        <w:rPr>
          <w:b/>
          <w:bCs/>
          <w:lang w:eastAsia="en-GB"/>
        </w:rPr>
        <w:t>commercial portfolio</w:t>
      </w:r>
      <w:r w:rsidR="0035223E">
        <w:rPr>
          <w:lang w:eastAsia="en-GB"/>
        </w:rPr>
        <w:t xml:space="preserve">. Not dissimilar to an independent advisor to </w:t>
      </w:r>
      <w:r w:rsidR="00BE0B69">
        <w:rPr>
          <w:lang w:eastAsia="en-GB"/>
        </w:rPr>
        <w:t xml:space="preserve">the Audit Committee, this member of the </w:t>
      </w:r>
      <w:r w:rsidR="0019277A">
        <w:rPr>
          <w:lang w:eastAsia="en-GB"/>
        </w:rPr>
        <w:t>support team would be recruited to a clearly defined specification of necessary expertise. As well as providing an ongoing challenge to the management of the commercial portfolio, this expert would lead a review of the portfolio, inc</w:t>
      </w:r>
      <w:r w:rsidR="00F43678">
        <w:rPr>
          <w:lang w:eastAsia="en-GB"/>
        </w:rPr>
        <w:t>luding an assessment of options for disposal.</w:t>
      </w:r>
    </w:p>
    <w:p w14:paraId="2C79247E" w14:textId="5251F822" w:rsidR="00642C0E" w:rsidRDefault="00E87989" w:rsidP="001546DE">
      <w:pPr>
        <w:jc w:val="both"/>
        <w:rPr>
          <w:lang w:eastAsia="en-GB"/>
        </w:rPr>
      </w:pPr>
      <w:r>
        <w:rPr>
          <w:lang w:eastAsia="en-GB"/>
        </w:rPr>
        <w:t xml:space="preserve">Given </w:t>
      </w:r>
      <w:r w:rsidR="007B4C45">
        <w:rPr>
          <w:lang w:eastAsia="en-GB"/>
        </w:rPr>
        <w:t>SBC’s</w:t>
      </w:r>
      <w:r>
        <w:rPr>
          <w:lang w:eastAsia="en-GB"/>
        </w:rPr>
        <w:t xml:space="preserve"> </w:t>
      </w:r>
      <w:r w:rsidR="0043366E">
        <w:rPr>
          <w:lang w:eastAsia="en-GB"/>
        </w:rPr>
        <w:t xml:space="preserve">current composition and the sensitivities </w:t>
      </w:r>
      <w:r w:rsidR="002D782C">
        <w:rPr>
          <w:lang w:eastAsia="en-GB"/>
        </w:rPr>
        <w:t xml:space="preserve">associated with </w:t>
      </w:r>
      <w:r w:rsidR="00FB36FA">
        <w:rPr>
          <w:lang w:eastAsia="en-GB"/>
        </w:rPr>
        <w:t>this step, we recommend that both the announcement of new support and its deployment be delayed until after the local elections in May 2023.</w:t>
      </w:r>
      <w:r w:rsidR="00723A72">
        <w:rPr>
          <w:lang w:eastAsia="en-GB"/>
        </w:rPr>
        <w:t xml:space="preserve"> The Department would </w:t>
      </w:r>
      <w:r w:rsidR="006E26F2">
        <w:rPr>
          <w:lang w:eastAsia="en-GB"/>
        </w:rPr>
        <w:t xml:space="preserve">then agree success criteria </w:t>
      </w:r>
      <w:r w:rsidR="00E049DF">
        <w:rPr>
          <w:lang w:eastAsia="en-GB"/>
        </w:rPr>
        <w:t xml:space="preserve">on which removal of the independent resource would depend </w:t>
      </w:r>
      <w:r w:rsidR="0072777A">
        <w:rPr>
          <w:lang w:eastAsia="en-GB"/>
        </w:rPr>
        <w:t>with</w:t>
      </w:r>
      <w:r w:rsidR="00E049DF">
        <w:rPr>
          <w:lang w:eastAsia="en-GB"/>
        </w:rPr>
        <w:t xml:space="preserve"> an associated target timescale.</w:t>
      </w:r>
      <w:r w:rsidR="00050D08">
        <w:rPr>
          <w:lang w:eastAsia="en-GB"/>
        </w:rPr>
        <w:t xml:space="preserve"> </w:t>
      </w:r>
    </w:p>
    <w:p w14:paraId="36C2BB64" w14:textId="07BA7012" w:rsidR="00B91A41" w:rsidRDefault="00050D08" w:rsidP="001546DE">
      <w:pPr>
        <w:jc w:val="both"/>
        <w:rPr>
          <w:lang w:eastAsia="en-GB"/>
        </w:rPr>
      </w:pPr>
      <w:r>
        <w:rPr>
          <w:lang w:eastAsia="en-GB"/>
        </w:rPr>
        <w:t xml:space="preserve">For both commercial property and affordable housing, some portion of the independent </w:t>
      </w:r>
      <w:r w:rsidR="00C63B47">
        <w:rPr>
          <w:lang w:eastAsia="en-GB"/>
        </w:rPr>
        <w:t>expertise</w:t>
      </w:r>
      <w:r>
        <w:rPr>
          <w:lang w:eastAsia="en-GB"/>
        </w:rPr>
        <w:t xml:space="preserve"> deployed to </w:t>
      </w:r>
      <w:r w:rsidR="00C63B47">
        <w:rPr>
          <w:lang w:eastAsia="en-GB"/>
        </w:rPr>
        <w:t>support</w:t>
      </w:r>
      <w:r>
        <w:rPr>
          <w:lang w:eastAsia="en-GB"/>
        </w:rPr>
        <w:t xml:space="preserve"> the immediate task of </w:t>
      </w:r>
      <w:r w:rsidR="001A44E2">
        <w:rPr>
          <w:lang w:eastAsia="en-GB"/>
        </w:rPr>
        <w:t xml:space="preserve">implementing the recommended </w:t>
      </w:r>
      <w:r w:rsidR="001A44E2" w:rsidRPr="004D350E">
        <w:rPr>
          <w:lang w:eastAsia="en-GB"/>
        </w:rPr>
        <w:t>mitigations</w:t>
      </w:r>
      <w:r w:rsidR="001A44E2">
        <w:rPr>
          <w:lang w:eastAsia="en-GB"/>
        </w:rPr>
        <w:t xml:space="preserve"> </w:t>
      </w:r>
      <w:r w:rsidR="00C63B47">
        <w:rPr>
          <w:lang w:eastAsia="en-GB"/>
        </w:rPr>
        <w:t>c</w:t>
      </w:r>
      <w:r w:rsidR="001A44E2">
        <w:rPr>
          <w:lang w:eastAsia="en-GB"/>
        </w:rPr>
        <w:t xml:space="preserve">ould then be </w:t>
      </w:r>
      <w:r w:rsidR="001A44E2" w:rsidRPr="00C63B47">
        <w:rPr>
          <w:lang w:eastAsia="en-GB"/>
        </w:rPr>
        <w:t>converted into</w:t>
      </w:r>
      <w:r w:rsidR="001A44E2" w:rsidRPr="00642C0E">
        <w:rPr>
          <w:b/>
          <w:bCs/>
          <w:lang w:eastAsia="en-GB"/>
        </w:rPr>
        <w:t xml:space="preserve"> </w:t>
      </w:r>
      <w:r w:rsidR="001A44E2" w:rsidRPr="00862FB9">
        <w:rPr>
          <w:lang w:eastAsia="en-GB"/>
        </w:rPr>
        <w:t>suitable</w:t>
      </w:r>
      <w:r w:rsidR="001A44E2" w:rsidRPr="00642C0E">
        <w:rPr>
          <w:b/>
          <w:bCs/>
          <w:lang w:eastAsia="en-GB"/>
        </w:rPr>
        <w:t xml:space="preserve"> ‘standing’ resource</w:t>
      </w:r>
      <w:r w:rsidR="00595547">
        <w:rPr>
          <w:lang w:eastAsia="en-GB"/>
        </w:rPr>
        <w:t>, distinct from but available to the Council as part of B</w:t>
      </w:r>
      <w:r w:rsidR="001C7C17">
        <w:rPr>
          <w:lang w:eastAsia="en-GB"/>
        </w:rPr>
        <w:t xml:space="preserve">usiness </w:t>
      </w:r>
      <w:r w:rsidR="00595547">
        <w:rPr>
          <w:lang w:eastAsia="en-GB"/>
        </w:rPr>
        <w:t>A</w:t>
      </w:r>
      <w:r w:rsidR="001C7C17">
        <w:rPr>
          <w:lang w:eastAsia="en-GB"/>
        </w:rPr>
        <w:t xml:space="preserve">s </w:t>
      </w:r>
      <w:r w:rsidR="00595547">
        <w:rPr>
          <w:lang w:eastAsia="en-GB"/>
        </w:rPr>
        <w:t>U</w:t>
      </w:r>
      <w:r w:rsidR="001C7C17">
        <w:rPr>
          <w:lang w:eastAsia="en-GB"/>
        </w:rPr>
        <w:t>sual</w:t>
      </w:r>
      <w:r w:rsidR="00595547">
        <w:rPr>
          <w:lang w:eastAsia="en-GB"/>
        </w:rPr>
        <w:t>.</w:t>
      </w:r>
    </w:p>
    <w:p w14:paraId="60E0A1F9" w14:textId="10C75CAD" w:rsidR="00A165EA" w:rsidRDefault="00A165EA" w:rsidP="001546DE">
      <w:pPr>
        <w:jc w:val="both"/>
        <w:rPr>
          <w:lang w:eastAsia="en-GB"/>
        </w:rPr>
      </w:pPr>
      <w:r>
        <w:rPr>
          <w:lang w:eastAsia="en-GB"/>
        </w:rPr>
        <w:t xml:space="preserve">CIPFA is ready to assist the SBC and the Department </w:t>
      </w:r>
      <w:r w:rsidR="00C632AF">
        <w:rPr>
          <w:lang w:eastAsia="en-GB"/>
        </w:rPr>
        <w:t>by helping to</w:t>
      </w:r>
      <w:r>
        <w:rPr>
          <w:lang w:eastAsia="en-GB"/>
        </w:rPr>
        <w:t xml:space="preserve"> assembl</w:t>
      </w:r>
      <w:r w:rsidR="00C632AF">
        <w:rPr>
          <w:lang w:eastAsia="en-GB"/>
        </w:rPr>
        <w:t xml:space="preserve">e, </w:t>
      </w:r>
      <w:r>
        <w:rPr>
          <w:lang w:eastAsia="en-GB"/>
        </w:rPr>
        <w:t>deploy</w:t>
      </w:r>
      <w:r w:rsidR="00C632AF">
        <w:rPr>
          <w:lang w:eastAsia="en-GB"/>
        </w:rPr>
        <w:t xml:space="preserve"> or </w:t>
      </w:r>
      <w:r w:rsidR="00CA541A">
        <w:rPr>
          <w:lang w:eastAsia="en-GB"/>
        </w:rPr>
        <w:t>be part of</w:t>
      </w:r>
      <w:r>
        <w:rPr>
          <w:lang w:eastAsia="en-GB"/>
        </w:rPr>
        <w:t xml:space="preserve"> </w:t>
      </w:r>
      <w:r w:rsidR="00CA541A">
        <w:rPr>
          <w:lang w:eastAsia="en-GB"/>
        </w:rPr>
        <w:t>the independent expert support.</w:t>
      </w:r>
    </w:p>
    <w:p w14:paraId="3A1843E4" w14:textId="127D7193" w:rsidR="00726C4B" w:rsidRDefault="00970D42" w:rsidP="00BE7C5C">
      <w:pPr>
        <w:pStyle w:val="Heading2"/>
        <w:spacing w:before="0" w:after="0"/>
        <w:jc w:val="both"/>
        <w:rPr>
          <w:lang w:eastAsia="en-GB"/>
        </w:rPr>
      </w:pPr>
      <w:bookmarkStart w:id="18" w:name="_Toc150862414"/>
      <w:r>
        <w:rPr>
          <w:lang w:eastAsia="en-GB"/>
        </w:rPr>
        <w:t>5</w:t>
      </w:r>
      <w:r w:rsidR="006232EE">
        <w:rPr>
          <w:lang w:eastAsia="en-GB"/>
        </w:rPr>
        <w:t xml:space="preserve">.2 </w:t>
      </w:r>
      <w:r w:rsidR="001C7C17">
        <w:rPr>
          <w:lang w:eastAsia="en-GB"/>
        </w:rPr>
        <w:t>Recommendations</w:t>
      </w:r>
      <w:bookmarkEnd w:id="18"/>
    </w:p>
    <w:p w14:paraId="0AD9E4CA" w14:textId="77777777" w:rsidR="00726C4B" w:rsidRDefault="00726C4B" w:rsidP="00BE7C5C">
      <w:pPr>
        <w:pStyle w:val="Heading2"/>
        <w:spacing w:before="0" w:after="0"/>
        <w:jc w:val="both"/>
        <w:rPr>
          <w:lang w:eastAsia="en-GB"/>
        </w:rPr>
      </w:pPr>
    </w:p>
    <w:p w14:paraId="11DA3D2A" w14:textId="396C85CD" w:rsidR="00B43B77" w:rsidRPr="00DA230F" w:rsidRDefault="00726C4B" w:rsidP="001546DE">
      <w:pPr>
        <w:jc w:val="both"/>
        <w:rPr>
          <w:lang w:eastAsia="en-GB"/>
        </w:rPr>
      </w:pPr>
      <w:r>
        <w:rPr>
          <w:lang w:eastAsia="en-GB"/>
        </w:rPr>
        <w:t xml:space="preserve">Working with </w:t>
      </w:r>
      <w:r w:rsidR="00864D2F">
        <w:rPr>
          <w:lang w:eastAsia="en-GB"/>
        </w:rPr>
        <w:t>SBC</w:t>
      </w:r>
      <w:r>
        <w:rPr>
          <w:lang w:eastAsia="en-GB"/>
        </w:rPr>
        <w:t xml:space="preserve"> and the Department, the independent resource would pull together a </w:t>
      </w:r>
      <w:r w:rsidR="00DA230F" w:rsidRPr="003D5CC2">
        <w:rPr>
          <w:b/>
          <w:bCs/>
          <w:lang w:eastAsia="en-GB"/>
        </w:rPr>
        <w:t>programme team</w:t>
      </w:r>
      <w:r w:rsidR="00DA230F">
        <w:rPr>
          <w:lang w:eastAsia="en-GB"/>
        </w:rPr>
        <w:t xml:space="preserve">. This team would </w:t>
      </w:r>
      <w:r w:rsidR="005A66E4">
        <w:rPr>
          <w:lang w:eastAsia="en-GB"/>
        </w:rPr>
        <w:t xml:space="preserve">be led by the independent </w:t>
      </w:r>
      <w:r w:rsidR="00864D2F">
        <w:rPr>
          <w:lang w:eastAsia="en-GB"/>
        </w:rPr>
        <w:t>experts</w:t>
      </w:r>
      <w:r w:rsidR="005A66E4">
        <w:rPr>
          <w:lang w:eastAsia="en-GB"/>
        </w:rPr>
        <w:t xml:space="preserve"> but would feature council officers. It would </w:t>
      </w:r>
      <w:r w:rsidR="00DA230F">
        <w:rPr>
          <w:lang w:eastAsia="en-GB"/>
        </w:rPr>
        <w:t xml:space="preserve">work to </w:t>
      </w:r>
      <w:r w:rsidR="00A467C1">
        <w:rPr>
          <w:lang w:eastAsia="en-GB"/>
        </w:rPr>
        <w:t>deliver the recommendations set out in this section 4.2</w:t>
      </w:r>
      <w:r w:rsidR="00DA230F">
        <w:rPr>
          <w:lang w:eastAsia="en-GB"/>
        </w:rPr>
        <w:t>.</w:t>
      </w:r>
      <w:r w:rsidR="0043366E">
        <w:rPr>
          <w:lang w:eastAsia="en-GB"/>
        </w:rPr>
        <w:t xml:space="preserve"> </w:t>
      </w:r>
    </w:p>
    <w:tbl>
      <w:tblPr>
        <w:tblStyle w:val="TableGrid"/>
        <w:tblW w:w="0" w:type="auto"/>
        <w:tblLook w:val="04A0" w:firstRow="1" w:lastRow="0" w:firstColumn="1" w:lastColumn="0" w:noHBand="0" w:noVBand="1"/>
      </w:tblPr>
      <w:tblGrid>
        <w:gridCol w:w="2062"/>
        <w:gridCol w:w="6717"/>
      </w:tblGrid>
      <w:tr w:rsidR="00D9353D" w:rsidRPr="00D9353D" w14:paraId="14E57BF0" w14:textId="77777777" w:rsidTr="00BE7C5C">
        <w:trPr>
          <w:cantSplit/>
        </w:trPr>
        <w:tc>
          <w:tcPr>
            <w:tcW w:w="2062" w:type="dxa"/>
          </w:tcPr>
          <w:p w14:paraId="51DBCF02" w14:textId="77777777" w:rsidR="00D9353D" w:rsidRPr="00D9353D" w:rsidRDefault="00D9353D" w:rsidP="00D9353D">
            <w:pPr>
              <w:jc w:val="both"/>
              <w:rPr>
                <w:rFonts w:ascii="Arial" w:eastAsia="Arial" w:hAnsi="Arial" w:cs="Arial"/>
                <w:b/>
                <w:bCs/>
              </w:rPr>
            </w:pPr>
            <w:r w:rsidRPr="00D9353D">
              <w:rPr>
                <w:rFonts w:ascii="Arial" w:eastAsia="Arial" w:hAnsi="Arial" w:cs="Arial"/>
                <w:b/>
                <w:bCs/>
              </w:rPr>
              <w:t>Recommendation number</w:t>
            </w:r>
          </w:p>
          <w:p w14:paraId="78A1560A" w14:textId="77777777" w:rsidR="00D9353D" w:rsidRPr="00D9353D" w:rsidRDefault="00D9353D" w:rsidP="00D9353D">
            <w:pPr>
              <w:jc w:val="both"/>
              <w:rPr>
                <w:rFonts w:ascii="Arial" w:eastAsia="Arial" w:hAnsi="Arial" w:cs="Arial"/>
                <w:b/>
                <w:bCs/>
              </w:rPr>
            </w:pPr>
          </w:p>
        </w:tc>
        <w:tc>
          <w:tcPr>
            <w:tcW w:w="7288" w:type="dxa"/>
          </w:tcPr>
          <w:p w14:paraId="606EC76D" w14:textId="77777777" w:rsidR="00D9353D" w:rsidRPr="00D9353D" w:rsidRDefault="00D9353D" w:rsidP="00D9353D">
            <w:pPr>
              <w:rPr>
                <w:rFonts w:ascii="Arial" w:eastAsia="Arial" w:hAnsi="Arial" w:cs="Arial"/>
                <w:b/>
                <w:bCs/>
              </w:rPr>
            </w:pPr>
            <w:r w:rsidRPr="00D9353D">
              <w:rPr>
                <w:rFonts w:ascii="Arial" w:eastAsia="Arial" w:hAnsi="Arial" w:cs="Arial"/>
                <w:b/>
                <w:bCs/>
              </w:rPr>
              <w:t>Recommendation description</w:t>
            </w:r>
          </w:p>
        </w:tc>
      </w:tr>
      <w:tr w:rsidR="00A40695" w:rsidRPr="00D9353D" w14:paraId="0C47B05A" w14:textId="77777777" w:rsidTr="00BE7C5C">
        <w:trPr>
          <w:cantSplit/>
        </w:trPr>
        <w:tc>
          <w:tcPr>
            <w:tcW w:w="2062" w:type="dxa"/>
          </w:tcPr>
          <w:p w14:paraId="25F658F0" w14:textId="3545329B" w:rsidR="00A40695" w:rsidRPr="00D9353D" w:rsidRDefault="00A40695" w:rsidP="00D9353D">
            <w:pPr>
              <w:jc w:val="center"/>
              <w:rPr>
                <w:rFonts w:ascii="Arial" w:eastAsia="Arial" w:hAnsi="Arial" w:cs="Arial"/>
              </w:rPr>
            </w:pPr>
            <w:r>
              <w:rPr>
                <w:rFonts w:ascii="Arial" w:eastAsia="Arial" w:hAnsi="Arial" w:cs="Arial"/>
              </w:rPr>
              <w:t>1</w:t>
            </w:r>
          </w:p>
        </w:tc>
        <w:tc>
          <w:tcPr>
            <w:tcW w:w="7288" w:type="dxa"/>
          </w:tcPr>
          <w:p w14:paraId="497B1D21" w14:textId="77777777" w:rsidR="00113742" w:rsidRDefault="00D53956" w:rsidP="00D9353D">
            <w:pPr>
              <w:jc w:val="both"/>
              <w:rPr>
                <w:rFonts w:ascii="Arial" w:eastAsia="Arial" w:hAnsi="Arial" w:cs="Arial"/>
                <w:b/>
                <w:bCs/>
              </w:rPr>
            </w:pPr>
            <w:r>
              <w:rPr>
                <w:rFonts w:ascii="Arial" w:eastAsia="Arial" w:hAnsi="Arial" w:cs="Arial"/>
                <w:b/>
                <w:bCs/>
              </w:rPr>
              <w:t>Deployment of</w:t>
            </w:r>
            <w:r w:rsidR="00A40695" w:rsidRPr="00A40695">
              <w:rPr>
                <w:rFonts w:ascii="Arial" w:eastAsia="Arial" w:hAnsi="Arial" w:cs="Arial"/>
                <w:b/>
                <w:bCs/>
              </w:rPr>
              <w:t xml:space="preserve"> </w:t>
            </w:r>
            <w:r>
              <w:rPr>
                <w:rFonts w:ascii="Arial" w:eastAsia="Arial" w:hAnsi="Arial" w:cs="Arial"/>
                <w:b/>
                <w:bCs/>
              </w:rPr>
              <w:t xml:space="preserve">DLUHC </w:t>
            </w:r>
            <w:r w:rsidR="00A40695" w:rsidRPr="00A40695">
              <w:rPr>
                <w:rFonts w:ascii="Arial" w:eastAsia="Arial" w:hAnsi="Arial" w:cs="Arial"/>
                <w:b/>
                <w:bCs/>
              </w:rPr>
              <w:t xml:space="preserve">expert independent support into SBC to assist with </w:t>
            </w:r>
            <w:r>
              <w:rPr>
                <w:rFonts w:ascii="Arial" w:eastAsia="Arial" w:hAnsi="Arial" w:cs="Arial"/>
                <w:b/>
                <w:bCs/>
              </w:rPr>
              <w:t xml:space="preserve">its </w:t>
            </w:r>
            <w:r w:rsidR="00A40695" w:rsidRPr="00A40695">
              <w:rPr>
                <w:rFonts w:ascii="Arial" w:eastAsia="Arial" w:hAnsi="Arial" w:cs="Arial"/>
                <w:b/>
                <w:bCs/>
              </w:rPr>
              <w:t>immediate and ongoing financial challenges</w:t>
            </w:r>
          </w:p>
          <w:p w14:paraId="4E7BF351" w14:textId="77777777" w:rsidR="00113742" w:rsidRDefault="00113742" w:rsidP="00D9353D">
            <w:pPr>
              <w:jc w:val="both"/>
              <w:rPr>
                <w:rFonts w:ascii="Arial" w:eastAsia="Arial" w:hAnsi="Arial" w:cs="Arial"/>
                <w:b/>
                <w:bCs/>
              </w:rPr>
            </w:pPr>
          </w:p>
          <w:p w14:paraId="10CEB61E" w14:textId="1319591A" w:rsidR="00A40695" w:rsidRPr="00113742" w:rsidRDefault="00D53956" w:rsidP="00D9353D">
            <w:pPr>
              <w:jc w:val="both"/>
              <w:rPr>
                <w:rFonts w:ascii="Arial" w:eastAsia="Arial" w:hAnsi="Arial" w:cs="Arial"/>
              </w:rPr>
            </w:pPr>
            <w:r w:rsidRPr="00113742">
              <w:rPr>
                <w:rFonts w:ascii="Arial" w:eastAsia="Arial" w:hAnsi="Arial" w:cs="Arial"/>
              </w:rPr>
              <w:t xml:space="preserve">We </w:t>
            </w:r>
            <w:r w:rsidR="00113742" w:rsidRPr="00113742">
              <w:rPr>
                <w:rFonts w:ascii="Arial" w:eastAsia="Arial" w:hAnsi="Arial" w:cs="Arial"/>
              </w:rPr>
              <w:t>recommend that t</w:t>
            </w:r>
            <w:r w:rsidR="00A40695" w:rsidRPr="00113742">
              <w:rPr>
                <w:rFonts w:ascii="Arial" w:eastAsia="Arial" w:hAnsi="Arial" w:cs="Arial"/>
              </w:rPr>
              <w:t>hese experts establish a programme team to put in place a series of risk mitigations</w:t>
            </w:r>
            <w:r w:rsidR="00113742" w:rsidRPr="00113742">
              <w:rPr>
                <w:rFonts w:ascii="Arial" w:eastAsia="Arial" w:hAnsi="Arial" w:cs="Arial"/>
              </w:rPr>
              <w:t xml:space="preserve"> in line with the recommendations set out below.</w:t>
            </w:r>
          </w:p>
          <w:p w14:paraId="76BEAEE0" w14:textId="255AA1C3" w:rsidR="00A40695" w:rsidRPr="00D9353D" w:rsidRDefault="00A40695" w:rsidP="00D9353D">
            <w:pPr>
              <w:jc w:val="both"/>
              <w:rPr>
                <w:rFonts w:ascii="Arial" w:eastAsia="Arial" w:hAnsi="Arial" w:cs="Arial"/>
                <w:b/>
                <w:bCs/>
              </w:rPr>
            </w:pPr>
          </w:p>
        </w:tc>
      </w:tr>
      <w:tr w:rsidR="00D9353D" w:rsidRPr="00D9353D" w14:paraId="758CFE62" w14:textId="77777777" w:rsidTr="00BE7C5C">
        <w:trPr>
          <w:cantSplit/>
        </w:trPr>
        <w:tc>
          <w:tcPr>
            <w:tcW w:w="2062" w:type="dxa"/>
          </w:tcPr>
          <w:p w14:paraId="42D069C6" w14:textId="14CAB790" w:rsidR="00D9353D" w:rsidRPr="00D9353D" w:rsidRDefault="00A40695" w:rsidP="00D9353D">
            <w:pPr>
              <w:jc w:val="center"/>
              <w:rPr>
                <w:rFonts w:ascii="Arial" w:eastAsia="Arial" w:hAnsi="Arial" w:cs="Arial"/>
              </w:rPr>
            </w:pPr>
            <w:r>
              <w:rPr>
                <w:rFonts w:ascii="Arial" w:eastAsia="Arial" w:hAnsi="Arial" w:cs="Arial"/>
              </w:rPr>
              <w:t>2</w:t>
            </w:r>
          </w:p>
        </w:tc>
        <w:tc>
          <w:tcPr>
            <w:tcW w:w="7288" w:type="dxa"/>
          </w:tcPr>
          <w:p w14:paraId="5076A4A0" w14:textId="77777777" w:rsidR="00D9353D" w:rsidRPr="00D9353D" w:rsidRDefault="00D9353D" w:rsidP="00D9353D">
            <w:pPr>
              <w:jc w:val="both"/>
              <w:rPr>
                <w:rFonts w:ascii="Arial" w:eastAsia="Arial" w:hAnsi="Arial" w:cs="Arial"/>
                <w:b/>
                <w:bCs/>
              </w:rPr>
            </w:pPr>
            <w:r w:rsidRPr="00D9353D">
              <w:rPr>
                <w:rFonts w:ascii="Arial" w:eastAsia="Arial" w:hAnsi="Arial" w:cs="Arial"/>
                <w:b/>
                <w:bCs/>
              </w:rPr>
              <w:t>The council’s affordable housing plan should be subject to a rigorous viability assessment and options appraisal</w:t>
            </w:r>
          </w:p>
          <w:p w14:paraId="729663D7" w14:textId="77777777" w:rsidR="00D9353D" w:rsidRPr="00D9353D" w:rsidRDefault="00D9353D" w:rsidP="00D9353D">
            <w:pPr>
              <w:jc w:val="both"/>
              <w:rPr>
                <w:rFonts w:ascii="Arial" w:eastAsia="Arial" w:hAnsi="Arial" w:cs="Arial"/>
                <w:b/>
                <w:bCs/>
              </w:rPr>
            </w:pPr>
          </w:p>
          <w:p w14:paraId="0E812785" w14:textId="77777777" w:rsidR="00D9353D" w:rsidRPr="00D9353D" w:rsidRDefault="00D9353D" w:rsidP="00D9353D">
            <w:pPr>
              <w:jc w:val="both"/>
              <w:rPr>
                <w:rFonts w:ascii="Arial" w:eastAsia="Arial" w:hAnsi="Arial" w:cs="Arial"/>
              </w:rPr>
            </w:pPr>
            <w:r w:rsidRPr="00D9353D">
              <w:rPr>
                <w:rFonts w:ascii="Arial" w:eastAsia="Arial" w:hAnsi="Arial" w:cs="Arial"/>
              </w:rPr>
              <w:t xml:space="preserve">The programme team would lead this work. It would: </w:t>
            </w:r>
          </w:p>
          <w:p w14:paraId="0BD5C8E6" w14:textId="77777777" w:rsidR="00D9353D" w:rsidRPr="00D9353D" w:rsidRDefault="00D9353D" w:rsidP="00F34C2F">
            <w:pPr>
              <w:numPr>
                <w:ilvl w:val="0"/>
                <w:numId w:val="24"/>
              </w:numPr>
              <w:jc w:val="both"/>
              <w:rPr>
                <w:rFonts w:ascii="Arial" w:eastAsia="Times New Roman" w:hAnsi="Arial" w:cs="Arial"/>
                <w:lang w:eastAsia="en-GB"/>
              </w:rPr>
            </w:pPr>
            <w:r w:rsidRPr="00D9353D">
              <w:rPr>
                <w:rFonts w:ascii="Arial" w:eastAsia="Times New Roman" w:hAnsi="Arial" w:cs="Arial"/>
                <w:lang w:eastAsia="en-GB"/>
              </w:rPr>
              <w:t>stress test the existing financial plans for affordable housing</w:t>
            </w:r>
          </w:p>
          <w:p w14:paraId="2388E025" w14:textId="77777777" w:rsidR="00D9353D" w:rsidRPr="00D9353D" w:rsidRDefault="00D9353D" w:rsidP="00F34C2F">
            <w:pPr>
              <w:numPr>
                <w:ilvl w:val="0"/>
                <w:numId w:val="24"/>
              </w:numPr>
              <w:jc w:val="both"/>
              <w:rPr>
                <w:rFonts w:ascii="Arial" w:eastAsia="Times New Roman" w:hAnsi="Arial" w:cs="Arial"/>
                <w:lang w:eastAsia="en-GB"/>
              </w:rPr>
            </w:pPr>
            <w:r w:rsidRPr="00D9353D">
              <w:rPr>
                <w:rFonts w:ascii="Arial" w:eastAsia="Times New Roman" w:hAnsi="Arial" w:cs="Arial"/>
                <w:lang w:eastAsia="en-GB"/>
              </w:rPr>
              <w:t>assess the impact of the current plans on the council’s MTFP</w:t>
            </w:r>
          </w:p>
          <w:p w14:paraId="550BB4F2" w14:textId="77777777" w:rsidR="00D9353D" w:rsidRPr="00D9353D" w:rsidRDefault="00D9353D" w:rsidP="00F34C2F">
            <w:pPr>
              <w:numPr>
                <w:ilvl w:val="0"/>
                <w:numId w:val="24"/>
              </w:numPr>
              <w:jc w:val="both"/>
              <w:rPr>
                <w:rFonts w:ascii="Arial" w:eastAsia="Times New Roman" w:hAnsi="Arial" w:cs="Arial"/>
                <w:lang w:eastAsia="en-GB"/>
              </w:rPr>
            </w:pPr>
            <w:r w:rsidRPr="00D9353D">
              <w:rPr>
                <w:rFonts w:ascii="Arial" w:eastAsia="Times New Roman" w:hAnsi="Arial" w:cs="Arial"/>
                <w:lang w:eastAsia="en-GB"/>
              </w:rPr>
              <w:t>carry out a thorough and detailed risk assessment on the existing plans</w:t>
            </w:r>
          </w:p>
          <w:p w14:paraId="3D298906" w14:textId="77777777" w:rsidR="00D9353D" w:rsidRPr="00D9353D" w:rsidRDefault="00D9353D" w:rsidP="00F34C2F">
            <w:pPr>
              <w:numPr>
                <w:ilvl w:val="0"/>
                <w:numId w:val="24"/>
              </w:numPr>
              <w:jc w:val="both"/>
              <w:rPr>
                <w:rFonts w:ascii="Arial" w:eastAsia="Times New Roman" w:hAnsi="Arial" w:cs="Arial"/>
                <w:lang w:eastAsia="en-GB"/>
              </w:rPr>
            </w:pPr>
            <w:r w:rsidRPr="00D9353D">
              <w:rPr>
                <w:rFonts w:ascii="Arial" w:eastAsia="Times New Roman" w:hAnsi="Arial" w:cs="Arial"/>
                <w:lang w:eastAsia="en-GB"/>
              </w:rPr>
              <w:t>examine alternative options including the disposal of the properties purchased for the programme.  Options should include realistic valuation of all properties based on their maximum development potential</w:t>
            </w:r>
          </w:p>
          <w:p w14:paraId="7D7A6E3D" w14:textId="77777777" w:rsidR="00D9353D" w:rsidRPr="00D9353D" w:rsidRDefault="00D9353D" w:rsidP="00F34C2F">
            <w:pPr>
              <w:numPr>
                <w:ilvl w:val="0"/>
                <w:numId w:val="24"/>
              </w:numPr>
              <w:jc w:val="both"/>
              <w:rPr>
                <w:rFonts w:ascii="Arial" w:eastAsia="Times New Roman" w:hAnsi="Arial" w:cs="Arial"/>
                <w:lang w:eastAsia="en-GB"/>
              </w:rPr>
            </w:pPr>
            <w:r w:rsidRPr="00D9353D">
              <w:rPr>
                <w:rFonts w:ascii="Arial" w:eastAsia="Times New Roman" w:hAnsi="Arial" w:cs="Arial"/>
                <w:lang w:eastAsia="en-GB"/>
              </w:rPr>
              <w:t>review the council’s existing regulatory decisions on development planning and control so that their financial impacts can be considered in the round</w:t>
            </w:r>
          </w:p>
          <w:p w14:paraId="5CE409CD" w14:textId="77777777" w:rsidR="00D9353D" w:rsidRPr="00D9353D" w:rsidRDefault="00D9353D" w:rsidP="00D9353D">
            <w:pPr>
              <w:ind w:left="360"/>
              <w:jc w:val="both"/>
              <w:rPr>
                <w:rFonts w:ascii="Arial" w:eastAsia="Times New Roman" w:hAnsi="Arial" w:cs="Arial"/>
                <w:lang w:eastAsia="en-GB"/>
              </w:rPr>
            </w:pPr>
          </w:p>
          <w:p w14:paraId="3358F030" w14:textId="77777777" w:rsidR="00D9353D" w:rsidRPr="00D9353D" w:rsidRDefault="00D9353D" w:rsidP="00D9353D">
            <w:pPr>
              <w:jc w:val="both"/>
              <w:rPr>
                <w:rFonts w:ascii="Arial" w:eastAsia="Arial" w:hAnsi="Arial" w:cs="Arial"/>
              </w:rPr>
            </w:pPr>
            <w:r w:rsidRPr="00D9353D">
              <w:rPr>
                <w:rFonts w:ascii="Arial" w:eastAsia="Arial" w:hAnsi="Arial" w:cs="Arial"/>
              </w:rPr>
              <w:t>It may be appropriate to ensure that independent expertise remains embedded within the affordable housing programme even after the resources deployed to support SBC in the immediate term have been withdrawn.</w:t>
            </w:r>
          </w:p>
          <w:p w14:paraId="76033ECC" w14:textId="77777777" w:rsidR="00D9353D" w:rsidRPr="00D9353D" w:rsidRDefault="00D9353D" w:rsidP="00D9353D">
            <w:pPr>
              <w:jc w:val="both"/>
              <w:rPr>
                <w:rFonts w:ascii="Arial" w:eastAsia="Arial" w:hAnsi="Arial" w:cs="Arial"/>
              </w:rPr>
            </w:pPr>
          </w:p>
        </w:tc>
      </w:tr>
      <w:tr w:rsidR="00D9353D" w:rsidRPr="00D9353D" w14:paraId="20E6CCE5" w14:textId="77777777" w:rsidTr="00BE7C5C">
        <w:trPr>
          <w:cantSplit/>
        </w:trPr>
        <w:tc>
          <w:tcPr>
            <w:tcW w:w="2062" w:type="dxa"/>
          </w:tcPr>
          <w:p w14:paraId="3D07F38E" w14:textId="1128BFAC" w:rsidR="00D9353D" w:rsidRPr="00D9353D" w:rsidRDefault="00A40695" w:rsidP="00D9353D">
            <w:pPr>
              <w:jc w:val="center"/>
              <w:rPr>
                <w:rFonts w:ascii="Arial" w:eastAsia="Arial" w:hAnsi="Arial" w:cs="Arial"/>
              </w:rPr>
            </w:pPr>
            <w:r>
              <w:rPr>
                <w:rFonts w:ascii="Arial" w:eastAsia="Arial" w:hAnsi="Arial" w:cs="Arial"/>
              </w:rPr>
              <w:t>3</w:t>
            </w:r>
          </w:p>
        </w:tc>
        <w:tc>
          <w:tcPr>
            <w:tcW w:w="7288" w:type="dxa"/>
          </w:tcPr>
          <w:p w14:paraId="75177576" w14:textId="77777777" w:rsidR="00D9353D" w:rsidRPr="00D9353D" w:rsidRDefault="00D9353D" w:rsidP="00D9353D">
            <w:pPr>
              <w:jc w:val="both"/>
              <w:rPr>
                <w:rFonts w:ascii="Arial" w:eastAsia="Arial" w:hAnsi="Arial" w:cs="Arial"/>
                <w:b/>
                <w:bCs/>
              </w:rPr>
            </w:pPr>
            <w:r w:rsidRPr="00D9353D">
              <w:rPr>
                <w:rFonts w:ascii="Arial" w:eastAsia="Arial" w:hAnsi="Arial" w:cs="Arial"/>
                <w:b/>
                <w:bCs/>
              </w:rPr>
              <w:t>Set tight future borrowing limits, providing for schemes that have commenced and for statutory requirements</w:t>
            </w:r>
          </w:p>
          <w:p w14:paraId="200218C5" w14:textId="77777777" w:rsidR="00D9353D" w:rsidRPr="00D9353D" w:rsidRDefault="00D9353D" w:rsidP="00D9353D">
            <w:pPr>
              <w:jc w:val="both"/>
              <w:rPr>
                <w:rFonts w:ascii="Arial" w:eastAsia="Arial" w:hAnsi="Arial" w:cs="Arial"/>
              </w:rPr>
            </w:pPr>
          </w:p>
          <w:p w14:paraId="0B7CFC6F" w14:textId="77777777" w:rsidR="00D9353D" w:rsidRPr="00D9353D" w:rsidRDefault="00D9353D" w:rsidP="00D9353D">
            <w:pPr>
              <w:jc w:val="both"/>
              <w:rPr>
                <w:rFonts w:ascii="Arial" w:eastAsia="Arial" w:hAnsi="Arial" w:cs="Arial"/>
              </w:rPr>
            </w:pPr>
            <w:r w:rsidRPr="00D9353D">
              <w:rPr>
                <w:rFonts w:ascii="Arial" w:eastAsia="Arial" w:hAnsi="Arial" w:cs="Arial"/>
              </w:rPr>
              <w:t>Pending the independent assessment of the affordable housing plan, tight limits should be placed on future council borrowing, restricting it to a minimum.</w:t>
            </w:r>
          </w:p>
          <w:p w14:paraId="54ECF102" w14:textId="77777777" w:rsidR="00D9353D" w:rsidRPr="00D9353D" w:rsidRDefault="00D9353D" w:rsidP="00D9353D">
            <w:pPr>
              <w:jc w:val="both"/>
              <w:rPr>
                <w:rFonts w:ascii="Arial" w:eastAsia="Arial" w:hAnsi="Arial" w:cs="Arial"/>
              </w:rPr>
            </w:pPr>
          </w:p>
        </w:tc>
      </w:tr>
      <w:tr w:rsidR="00D9353D" w:rsidRPr="00D9353D" w14:paraId="3E91132A" w14:textId="77777777" w:rsidTr="00BE7C5C">
        <w:trPr>
          <w:cantSplit/>
        </w:trPr>
        <w:tc>
          <w:tcPr>
            <w:tcW w:w="2062" w:type="dxa"/>
          </w:tcPr>
          <w:p w14:paraId="514F27A2" w14:textId="3DDD72A2" w:rsidR="00D9353D" w:rsidRPr="00D9353D" w:rsidRDefault="00A40695" w:rsidP="00D9353D">
            <w:pPr>
              <w:jc w:val="center"/>
              <w:rPr>
                <w:rFonts w:ascii="Arial" w:eastAsia="Arial" w:hAnsi="Arial" w:cs="Arial"/>
              </w:rPr>
            </w:pPr>
            <w:r>
              <w:rPr>
                <w:rFonts w:ascii="Arial" w:eastAsia="Arial" w:hAnsi="Arial" w:cs="Arial"/>
              </w:rPr>
              <w:t>4</w:t>
            </w:r>
          </w:p>
          <w:p w14:paraId="64B065C4" w14:textId="04B0C5A7" w:rsidR="00D9353D" w:rsidRPr="00D9353D" w:rsidRDefault="00D9353D" w:rsidP="00D9353D">
            <w:pPr>
              <w:jc w:val="center"/>
              <w:rPr>
                <w:rFonts w:ascii="Arial" w:eastAsia="Arial" w:hAnsi="Arial" w:cs="Arial"/>
              </w:rPr>
            </w:pPr>
          </w:p>
        </w:tc>
        <w:tc>
          <w:tcPr>
            <w:tcW w:w="7288" w:type="dxa"/>
          </w:tcPr>
          <w:p w14:paraId="4412C968" w14:textId="3B42832D" w:rsidR="00952DDF" w:rsidRDefault="00952DDF" w:rsidP="00952DDF">
            <w:pPr>
              <w:jc w:val="both"/>
              <w:rPr>
                <w:b/>
                <w:bCs/>
                <w:lang w:eastAsia="en-GB"/>
              </w:rPr>
            </w:pPr>
            <w:r>
              <w:rPr>
                <w:b/>
                <w:bCs/>
                <w:lang w:eastAsia="en-GB"/>
              </w:rPr>
              <w:t>Agree specific terms of reference for the review</w:t>
            </w:r>
            <w:r w:rsidR="00D57F11">
              <w:rPr>
                <w:b/>
                <w:bCs/>
                <w:lang w:eastAsia="en-GB"/>
              </w:rPr>
              <w:t xml:space="preserve"> and treatment</w:t>
            </w:r>
            <w:r>
              <w:rPr>
                <w:b/>
                <w:bCs/>
                <w:lang w:eastAsia="en-GB"/>
              </w:rPr>
              <w:t xml:space="preserve"> of the sinking fund </w:t>
            </w:r>
          </w:p>
          <w:p w14:paraId="1FC57D8A" w14:textId="5B11E93F" w:rsidR="00952DDF" w:rsidRDefault="00952DDF" w:rsidP="00952DDF">
            <w:pPr>
              <w:jc w:val="both"/>
              <w:rPr>
                <w:lang w:eastAsia="en-GB"/>
              </w:rPr>
            </w:pPr>
            <w:r>
              <w:rPr>
                <w:lang w:eastAsia="en-GB"/>
              </w:rPr>
              <w:t xml:space="preserve">The planned sinking fund review should make use of the independent resources provided. The review must take a long-term view of potential risks and their financial consequences. </w:t>
            </w:r>
            <w:r w:rsidR="00D57F11">
              <w:rPr>
                <w:lang w:eastAsia="en-GB"/>
              </w:rPr>
              <w:t xml:space="preserve">The council needs to set clear rules for the sinking fund in relation to its commercial investments and the overall financial resilience of the council. </w:t>
            </w:r>
            <w:r>
              <w:rPr>
                <w:lang w:eastAsia="en-GB"/>
              </w:rPr>
              <w:t xml:space="preserve"> </w:t>
            </w:r>
          </w:p>
          <w:p w14:paraId="766DDA0A" w14:textId="4ABCCA48" w:rsidR="00952DDF" w:rsidRDefault="00D57F11" w:rsidP="00952DDF">
            <w:pPr>
              <w:jc w:val="both"/>
              <w:rPr>
                <w:lang w:eastAsia="en-GB"/>
              </w:rPr>
            </w:pPr>
            <w:r>
              <w:rPr>
                <w:lang w:eastAsia="en-GB"/>
              </w:rPr>
              <w:t>We</w:t>
            </w:r>
            <w:r w:rsidR="00952DDF">
              <w:rPr>
                <w:lang w:eastAsia="en-GB"/>
              </w:rPr>
              <w:t xml:space="preserve"> believe that there may be wider policy implications here. DLUHC and the Treasury should consider the control they may want to exert to ensure that sinking funds intended to manage investment income risks cannot be depleted through use for other purposes, such as managing a budget deficit or facilitating new capital investment. </w:t>
            </w:r>
          </w:p>
          <w:p w14:paraId="6DB47248" w14:textId="77777777" w:rsidR="00D9353D" w:rsidRPr="00D9353D" w:rsidRDefault="00D9353D" w:rsidP="00D9353D">
            <w:pPr>
              <w:jc w:val="both"/>
              <w:rPr>
                <w:rFonts w:ascii="Arial" w:eastAsia="Arial" w:hAnsi="Arial" w:cs="Arial"/>
              </w:rPr>
            </w:pPr>
          </w:p>
        </w:tc>
      </w:tr>
      <w:tr w:rsidR="00D9353D" w:rsidRPr="00D9353D" w14:paraId="0D8A0720" w14:textId="77777777" w:rsidTr="00BE7C5C">
        <w:trPr>
          <w:cantSplit/>
        </w:trPr>
        <w:tc>
          <w:tcPr>
            <w:tcW w:w="2062" w:type="dxa"/>
          </w:tcPr>
          <w:p w14:paraId="5E991862" w14:textId="18751996" w:rsidR="00D9353D" w:rsidRPr="00D9353D" w:rsidRDefault="00A40695" w:rsidP="00D9353D">
            <w:pPr>
              <w:jc w:val="center"/>
              <w:rPr>
                <w:rFonts w:ascii="Arial" w:eastAsia="Arial" w:hAnsi="Arial" w:cs="Arial"/>
              </w:rPr>
            </w:pPr>
            <w:r>
              <w:rPr>
                <w:rFonts w:ascii="Arial" w:eastAsia="Arial" w:hAnsi="Arial" w:cs="Arial"/>
              </w:rPr>
              <w:t>5</w:t>
            </w:r>
          </w:p>
          <w:p w14:paraId="3249578C" w14:textId="77777777" w:rsidR="00D9353D" w:rsidRPr="00D9353D" w:rsidRDefault="00D9353D" w:rsidP="00D9353D">
            <w:pPr>
              <w:jc w:val="center"/>
              <w:rPr>
                <w:rFonts w:ascii="Arial" w:eastAsia="Arial" w:hAnsi="Arial" w:cs="Arial"/>
              </w:rPr>
            </w:pPr>
          </w:p>
        </w:tc>
        <w:tc>
          <w:tcPr>
            <w:tcW w:w="7288" w:type="dxa"/>
          </w:tcPr>
          <w:p w14:paraId="42B05792" w14:textId="77777777" w:rsidR="00D9353D" w:rsidRPr="00D9353D" w:rsidRDefault="00D9353D" w:rsidP="00D9353D">
            <w:pPr>
              <w:jc w:val="both"/>
              <w:rPr>
                <w:rFonts w:ascii="Arial" w:eastAsia="Arial" w:hAnsi="Arial" w:cs="Arial"/>
                <w:b/>
                <w:bCs/>
              </w:rPr>
            </w:pPr>
            <w:r w:rsidRPr="00D9353D">
              <w:rPr>
                <w:rFonts w:ascii="Arial" w:eastAsia="Arial" w:hAnsi="Arial" w:cs="Arial"/>
                <w:b/>
                <w:bCs/>
              </w:rPr>
              <w:t>Subject the investment property portfolio to immediate fundamental assessment and ongoing review, including consideration of disposals</w:t>
            </w:r>
          </w:p>
          <w:p w14:paraId="021C6159" w14:textId="77777777" w:rsidR="00D9353D" w:rsidRPr="00D9353D" w:rsidRDefault="00D9353D" w:rsidP="00D9353D">
            <w:pPr>
              <w:jc w:val="both"/>
              <w:rPr>
                <w:rFonts w:ascii="Arial" w:eastAsia="Arial" w:hAnsi="Arial" w:cs="Arial"/>
                <w:b/>
                <w:bCs/>
              </w:rPr>
            </w:pPr>
          </w:p>
          <w:p w14:paraId="15CF36A0" w14:textId="7B7FB6E1" w:rsidR="00D9353D" w:rsidRPr="00D9353D" w:rsidRDefault="00D9353D" w:rsidP="00D9353D">
            <w:pPr>
              <w:jc w:val="both"/>
              <w:rPr>
                <w:rFonts w:ascii="Arial" w:eastAsia="Arial" w:hAnsi="Arial" w:cs="Arial"/>
              </w:rPr>
            </w:pPr>
            <w:r w:rsidRPr="00D9353D">
              <w:rPr>
                <w:rFonts w:ascii="Arial" w:eastAsia="Arial" w:hAnsi="Arial" w:cs="Arial"/>
              </w:rPr>
              <w:t xml:space="preserve">It is important that SBC has independent specialist and strategic advice on the long-term management of its investment portfolio.  It must also ensure that its future income projections are realistic and that the budget contribution predicted for the commercial portfolio is accurate and sustainable. To that end, an initial review, conducted by the programme team, would be led by the independent commercial property advisor. This review would be conducted alongside the sinking fund review. Thereafter, as with the ongoing independent support envisaged for the affordable housing, the expert could be converted into a </w:t>
            </w:r>
            <w:r w:rsidR="00D57F11">
              <w:rPr>
                <w:rFonts w:ascii="Arial" w:eastAsia="Arial" w:hAnsi="Arial" w:cs="Arial"/>
              </w:rPr>
              <w:t>Business As Usual</w:t>
            </w:r>
            <w:r w:rsidRPr="00D9353D">
              <w:rPr>
                <w:rFonts w:ascii="Arial" w:eastAsia="Arial" w:hAnsi="Arial" w:cs="Arial"/>
              </w:rPr>
              <w:t xml:space="preserve"> ‘challenge’ resource for commercial property management.</w:t>
            </w:r>
          </w:p>
          <w:p w14:paraId="496F60CF" w14:textId="77777777" w:rsidR="00D9353D" w:rsidRPr="00D9353D" w:rsidRDefault="00D9353D" w:rsidP="00D9353D">
            <w:pPr>
              <w:jc w:val="both"/>
              <w:rPr>
                <w:rFonts w:ascii="Arial" w:eastAsia="Arial" w:hAnsi="Arial" w:cs="Arial"/>
              </w:rPr>
            </w:pPr>
          </w:p>
          <w:p w14:paraId="50E1B705" w14:textId="77777777" w:rsidR="00D9353D" w:rsidRPr="00D9353D" w:rsidRDefault="00D9353D" w:rsidP="00D9353D">
            <w:pPr>
              <w:jc w:val="both"/>
              <w:rPr>
                <w:rFonts w:ascii="Arial" w:eastAsia="Arial" w:hAnsi="Arial" w:cs="Arial"/>
              </w:rPr>
            </w:pPr>
            <w:r w:rsidRPr="00D9353D">
              <w:rPr>
                <w:rFonts w:ascii="Arial" w:eastAsia="Arial" w:hAnsi="Arial" w:cs="Arial"/>
              </w:rPr>
              <w:t>The initial review and ongoing challenge should identify potential opportunities to dispose of properties within the portfolio to reduce the council’s exposure to long term risk, with consideration given to how this might be achieved within the council’s Treasury Management Strategy. Disposals, which should be carefully and prudently timed, could potentially coincide with the end of key tenancies, for example the BP campus.</w:t>
            </w:r>
          </w:p>
          <w:p w14:paraId="7E372224" w14:textId="77777777" w:rsidR="00D9353D" w:rsidRPr="00D9353D" w:rsidRDefault="00D9353D" w:rsidP="00D9353D">
            <w:pPr>
              <w:jc w:val="both"/>
              <w:rPr>
                <w:rFonts w:ascii="Arial" w:eastAsia="Arial" w:hAnsi="Arial" w:cs="Arial"/>
              </w:rPr>
            </w:pPr>
          </w:p>
          <w:p w14:paraId="2425AB6D" w14:textId="77777777" w:rsidR="00D9353D" w:rsidRPr="00D9353D" w:rsidRDefault="00D9353D" w:rsidP="00D9353D">
            <w:pPr>
              <w:jc w:val="both"/>
              <w:rPr>
                <w:rFonts w:ascii="Arial" w:eastAsia="Arial" w:hAnsi="Arial" w:cs="Arial"/>
              </w:rPr>
            </w:pPr>
            <w:r w:rsidRPr="00D9353D">
              <w:rPr>
                <w:rFonts w:ascii="Arial" w:eastAsia="Arial" w:hAnsi="Arial" w:cs="Arial"/>
              </w:rPr>
              <w:t>As part of the wider consideration of Council financial management skills and capacity, both the initial review and ongoing challenge should consider the adequacy of internal management arrangements for the commercial portfolio. Transferring management to a specialist external team should at least be considered.</w:t>
            </w:r>
          </w:p>
          <w:p w14:paraId="542E4140" w14:textId="77777777" w:rsidR="00D9353D" w:rsidRPr="00D9353D" w:rsidRDefault="00D9353D" w:rsidP="00D9353D">
            <w:pPr>
              <w:jc w:val="both"/>
              <w:rPr>
                <w:rFonts w:ascii="Arial" w:eastAsia="Arial" w:hAnsi="Arial" w:cs="Arial"/>
                <w:b/>
                <w:bCs/>
              </w:rPr>
            </w:pPr>
          </w:p>
        </w:tc>
      </w:tr>
      <w:tr w:rsidR="00D9353D" w:rsidRPr="00D9353D" w14:paraId="579E266E" w14:textId="77777777" w:rsidTr="00BE7C5C">
        <w:trPr>
          <w:cantSplit/>
        </w:trPr>
        <w:tc>
          <w:tcPr>
            <w:tcW w:w="2062" w:type="dxa"/>
          </w:tcPr>
          <w:p w14:paraId="0340060F" w14:textId="01E4098A" w:rsidR="00D9353D" w:rsidRPr="00D9353D" w:rsidRDefault="00A40695" w:rsidP="00D9353D">
            <w:pPr>
              <w:jc w:val="center"/>
              <w:rPr>
                <w:rFonts w:ascii="Arial" w:eastAsia="Arial" w:hAnsi="Arial" w:cs="Arial"/>
              </w:rPr>
            </w:pPr>
            <w:r>
              <w:rPr>
                <w:rFonts w:ascii="Arial" w:eastAsia="Arial" w:hAnsi="Arial" w:cs="Arial"/>
              </w:rPr>
              <w:t>6</w:t>
            </w:r>
          </w:p>
        </w:tc>
        <w:tc>
          <w:tcPr>
            <w:tcW w:w="7288" w:type="dxa"/>
          </w:tcPr>
          <w:p w14:paraId="4A35201A" w14:textId="77777777" w:rsidR="00D9353D" w:rsidRPr="00D9353D" w:rsidRDefault="00D9353D" w:rsidP="00D9353D">
            <w:pPr>
              <w:jc w:val="both"/>
              <w:rPr>
                <w:rFonts w:ascii="Arial" w:eastAsia="Arial" w:hAnsi="Arial" w:cs="Arial"/>
                <w:b/>
                <w:bCs/>
              </w:rPr>
            </w:pPr>
            <w:r w:rsidRPr="00D9353D">
              <w:rPr>
                <w:rFonts w:ascii="Arial" w:eastAsia="Arial" w:hAnsi="Arial" w:cs="Arial"/>
                <w:b/>
                <w:bCs/>
              </w:rPr>
              <w:t>The council’s financial management capacity and skills base should be assessed</w:t>
            </w:r>
          </w:p>
          <w:p w14:paraId="731D5731" w14:textId="77777777" w:rsidR="00D9353D" w:rsidRPr="00D9353D" w:rsidRDefault="00D9353D" w:rsidP="00D9353D">
            <w:pPr>
              <w:jc w:val="both"/>
              <w:rPr>
                <w:rFonts w:ascii="Arial" w:eastAsia="Arial" w:hAnsi="Arial" w:cs="Arial"/>
              </w:rPr>
            </w:pPr>
          </w:p>
          <w:p w14:paraId="47A6EA29" w14:textId="77777777" w:rsidR="00D9353D" w:rsidRPr="00D9353D" w:rsidRDefault="00D9353D" w:rsidP="00D9353D">
            <w:pPr>
              <w:jc w:val="both"/>
              <w:rPr>
                <w:rFonts w:ascii="Arial" w:eastAsia="Arial" w:hAnsi="Arial" w:cs="Arial"/>
              </w:rPr>
            </w:pPr>
            <w:r w:rsidRPr="00D9353D">
              <w:rPr>
                <w:rFonts w:ascii="Arial" w:eastAsia="Arial" w:hAnsi="Arial" w:cs="Arial"/>
              </w:rPr>
              <w:t xml:space="preserve">Throughout this report we have raised concerns about the council’s capacity to the manage its considerable financial challenges. This capacity should be subject to an early baseline assessment then ongoing review by the programme team.  </w:t>
            </w:r>
          </w:p>
          <w:p w14:paraId="69720E5E" w14:textId="77777777" w:rsidR="00D9353D" w:rsidRPr="00D9353D" w:rsidRDefault="00D9353D" w:rsidP="00D9353D">
            <w:pPr>
              <w:jc w:val="both"/>
              <w:rPr>
                <w:rFonts w:ascii="Arial" w:eastAsia="Arial" w:hAnsi="Arial" w:cs="Arial"/>
              </w:rPr>
            </w:pPr>
          </w:p>
        </w:tc>
      </w:tr>
      <w:tr w:rsidR="00D9353D" w:rsidRPr="00D9353D" w14:paraId="4A8FAEFF" w14:textId="77777777" w:rsidTr="00BE7C5C">
        <w:trPr>
          <w:cantSplit/>
        </w:trPr>
        <w:tc>
          <w:tcPr>
            <w:tcW w:w="2062" w:type="dxa"/>
          </w:tcPr>
          <w:p w14:paraId="69353495" w14:textId="79CA6FCA" w:rsidR="00D9353D" w:rsidRPr="00D9353D" w:rsidRDefault="00A40695" w:rsidP="00D9353D">
            <w:pPr>
              <w:jc w:val="center"/>
              <w:rPr>
                <w:rFonts w:ascii="Arial" w:eastAsia="Arial" w:hAnsi="Arial" w:cs="Arial"/>
              </w:rPr>
            </w:pPr>
            <w:r>
              <w:rPr>
                <w:rFonts w:ascii="Arial" w:eastAsia="Arial" w:hAnsi="Arial" w:cs="Arial"/>
              </w:rPr>
              <w:t>7</w:t>
            </w:r>
          </w:p>
        </w:tc>
        <w:tc>
          <w:tcPr>
            <w:tcW w:w="7288" w:type="dxa"/>
          </w:tcPr>
          <w:p w14:paraId="392F242D" w14:textId="77777777" w:rsidR="00D9353D" w:rsidRPr="00D9353D" w:rsidRDefault="00D9353D" w:rsidP="00D9353D">
            <w:pPr>
              <w:jc w:val="both"/>
              <w:rPr>
                <w:rFonts w:ascii="Arial" w:eastAsia="Arial" w:hAnsi="Arial" w:cs="Arial"/>
                <w:b/>
                <w:bCs/>
              </w:rPr>
            </w:pPr>
            <w:r w:rsidRPr="00D9353D">
              <w:rPr>
                <w:rFonts w:ascii="Arial" w:eastAsia="Arial" w:hAnsi="Arial" w:cs="Arial"/>
                <w:b/>
                <w:bCs/>
              </w:rPr>
              <w:t>The council should increase the capacity of its internal audit team</w:t>
            </w:r>
          </w:p>
          <w:p w14:paraId="608BA956" w14:textId="77777777" w:rsidR="00D9353D" w:rsidRPr="00D9353D" w:rsidRDefault="00D9353D" w:rsidP="00D9353D">
            <w:pPr>
              <w:jc w:val="both"/>
              <w:rPr>
                <w:rFonts w:ascii="Arial" w:eastAsia="Arial" w:hAnsi="Arial" w:cs="Arial"/>
              </w:rPr>
            </w:pPr>
          </w:p>
          <w:p w14:paraId="68EC4406" w14:textId="77777777" w:rsidR="00D9353D" w:rsidRPr="00D9353D" w:rsidRDefault="00D9353D" w:rsidP="00D9353D">
            <w:pPr>
              <w:jc w:val="both"/>
              <w:rPr>
                <w:rFonts w:ascii="Arial" w:eastAsia="Arial" w:hAnsi="Arial" w:cs="Arial"/>
              </w:rPr>
            </w:pPr>
            <w:r w:rsidRPr="00D9353D">
              <w:rPr>
                <w:rFonts w:ascii="Arial" w:eastAsia="Arial" w:hAnsi="Arial" w:cs="Arial"/>
              </w:rPr>
              <w:t>The programme team should consult SBC’s external auditor on the size and capacity of the internal audit team given the risks inherent in its investments and housing ambitions.</w:t>
            </w:r>
          </w:p>
          <w:p w14:paraId="4AFA76B7" w14:textId="77777777" w:rsidR="00D9353D" w:rsidRPr="00D9353D" w:rsidRDefault="00D9353D" w:rsidP="00D9353D">
            <w:pPr>
              <w:jc w:val="both"/>
              <w:rPr>
                <w:rFonts w:ascii="Arial" w:eastAsia="Arial" w:hAnsi="Arial" w:cs="Arial"/>
              </w:rPr>
            </w:pPr>
          </w:p>
          <w:p w14:paraId="05A930D6" w14:textId="77777777" w:rsidR="00D9353D" w:rsidRPr="00D9353D" w:rsidRDefault="00D9353D" w:rsidP="00D9353D">
            <w:pPr>
              <w:jc w:val="both"/>
              <w:rPr>
                <w:rFonts w:ascii="Arial" w:eastAsia="Arial" w:hAnsi="Arial" w:cs="Arial"/>
              </w:rPr>
            </w:pPr>
            <w:r w:rsidRPr="00D9353D">
              <w:rPr>
                <w:rFonts w:ascii="Arial" w:eastAsia="Arial" w:hAnsi="Arial" w:cs="Arial"/>
              </w:rPr>
              <w:t xml:space="preserve">The council could then consider addressing any capacity issues by employing another internal auditor, increasing the provision for specialist audit input or by entering into shared service arrangements with another council. </w:t>
            </w:r>
          </w:p>
          <w:p w14:paraId="46C339DD" w14:textId="77777777" w:rsidR="00D9353D" w:rsidRPr="00D9353D" w:rsidRDefault="00D9353D" w:rsidP="00D9353D">
            <w:pPr>
              <w:jc w:val="both"/>
              <w:rPr>
                <w:rFonts w:ascii="Arial" w:eastAsia="Arial" w:hAnsi="Arial" w:cs="Arial"/>
              </w:rPr>
            </w:pPr>
          </w:p>
        </w:tc>
      </w:tr>
      <w:tr w:rsidR="00D9353D" w:rsidRPr="00D9353D" w14:paraId="7586CF00" w14:textId="77777777" w:rsidTr="00BE7C5C">
        <w:trPr>
          <w:cantSplit/>
        </w:trPr>
        <w:tc>
          <w:tcPr>
            <w:tcW w:w="2062" w:type="dxa"/>
          </w:tcPr>
          <w:p w14:paraId="05395311" w14:textId="4A0EEEE6" w:rsidR="00D9353D" w:rsidRPr="00D9353D" w:rsidRDefault="00A40695" w:rsidP="00D9353D">
            <w:pPr>
              <w:jc w:val="center"/>
              <w:rPr>
                <w:rFonts w:ascii="Arial" w:eastAsia="Arial" w:hAnsi="Arial" w:cs="Arial"/>
              </w:rPr>
            </w:pPr>
            <w:r>
              <w:rPr>
                <w:rFonts w:ascii="Arial" w:eastAsia="Arial" w:hAnsi="Arial" w:cs="Arial"/>
              </w:rPr>
              <w:t>8</w:t>
            </w:r>
          </w:p>
          <w:p w14:paraId="03347245" w14:textId="55F27A7E" w:rsidR="00D9353D" w:rsidRPr="00D9353D" w:rsidRDefault="00D9353D" w:rsidP="00D9353D">
            <w:pPr>
              <w:jc w:val="center"/>
              <w:rPr>
                <w:rFonts w:ascii="Arial" w:eastAsia="Arial" w:hAnsi="Arial" w:cs="Arial"/>
              </w:rPr>
            </w:pPr>
          </w:p>
        </w:tc>
        <w:tc>
          <w:tcPr>
            <w:tcW w:w="7288" w:type="dxa"/>
          </w:tcPr>
          <w:p w14:paraId="673BEAD4" w14:textId="77777777" w:rsidR="00DA38D4" w:rsidRDefault="00DA38D4" w:rsidP="00DA38D4">
            <w:pPr>
              <w:jc w:val="both"/>
              <w:rPr>
                <w:b/>
                <w:bCs/>
                <w:lang w:eastAsia="en-GB"/>
              </w:rPr>
            </w:pPr>
            <w:r>
              <w:rPr>
                <w:b/>
                <w:bCs/>
                <w:lang w:eastAsia="en-GB"/>
              </w:rPr>
              <w:t>The council’s approach to financial governance and decision-making should be reviewed urgently</w:t>
            </w:r>
          </w:p>
          <w:p w14:paraId="506C90B6" w14:textId="77777777" w:rsidR="00AD321A" w:rsidRDefault="00DA38D4" w:rsidP="00DA38D4">
            <w:pPr>
              <w:jc w:val="both"/>
              <w:rPr>
                <w:lang w:eastAsia="en-GB"/>
              </w:rPr>
            </w:pPr>
            <w:r>
              <w:rPr>
                <w:lang w:eastAsia="en-GB"/>
              </w:rPr>
              <w:t>Whatever the outcome of the next election, the council will need a comprehensive process of financial governance and the wider decision-making culture,</w:t>
            </w:r>
            <w:r w:rsidR="00AD321A">
              <w:rPr>
                <w:lang w:eastAsia="en-GB"/>
              </w:rPr>
              <w:t xml:space="preserve"> including:</w:t>
            </w:r>
          </w:p>
          <w:p w14:paraId="2823B079" w14:textId="47A8FA15" w:rsidR="00AD321A" w:rsidRDefault="00DA38D4" w:rsidP="00F34C2F">
            <w:pPr>
              <w:pStyle w:val="ListParagraph"/>
              <w:numPr>
                <w:ilvl w:val="0"/>
                <w:numId w:val="25"/>
              </w:numPr>
              <w:jc w:val="both"/>
              <w:rPr>
                <w:lang w:eastAsia="en-GB"/>
              </w:rPr>
            </w:pPr>
            <w:r>
              <w:rPr>
                <w:lang w:eastAsia="en-GB"/>
              </w:rPr>
              <w:t>conception and business case stages, through formal political signoff, oversight, gateway reviews, right up to completion and ongoing management. SBC’s formal committee structures should be examined</w:t>
            </w:r>
          </w:p>
          <w:p w14:paraId="2643AEED" w14:textId="388ECDDF" w:rsidR="00AD321A" w:rsidRDefault="00DA38D4" w:rsidP="00F34C2F">
            <w:pPr>
              <w:pStyle w:val="ListParagraph"/>
              <w:numPr>
                <w:ilvl w:val="0"/>
                <w:numId w:val="25"/>
              </w:numPr>
              <w:jc w:val="both"/>
              <w:rPr>
                <w:lang w:eastAsia="en-GB"/>
              </w:rPr>
            </w:pPr>
            <w:r>
              <w:rPr>
                <w:lang w:eastAsia="en-GB"/>
              </w:rPr>
              <w:t>the quality of information provided to members and the training they receive. SBC processes and information handling should as transparent as is consistent with the most generous and legally permissible understanding of commercial openness</w:t>
            </w:r>
          </w:p>
          <w:p w14:paraId="4780FFC7" w14:textId="327ECA74" w:rsidR="006D7632" w:rsidRDefault="006D7632" w:rsidP="00F34C2F">
            <w:pPr>
              <w:pStyle w:val="ListParagraph"/>
              <w:numPr>
                <w:ilvl w:val="0"/>
                <w:numId w:val="25"/>
              </w:numPr>
              <w:jc w:val="both"/>
              <w:rPr>
                <w:lang w:eastAsia="en-GB"/>
              </w:rPr>
            </w:pPr>
            <w:r>
              <w:rPr>
                <w:lang w:eastAsia="en-GB"/>
              </w:rPr>
              <w:t>d</w:t>
            </w:r>
            <w:r w:rsidR="00AD321A">
              <w:rPr>
                <w:lang w:eastAsia="en-GB"/>
              </w:rPr>
              <w:t>etailed financial assessments of all schemes should be produced prior to decision with the appropriate level of sensitivity analysis include</w:t>
            </w:r>
            <w:r w:rsidR="00CE7F72">
              <w:rPr>
                <w:lang w:eastAsia="en-GB"/>
              </w:rPr>
              <w:t>d</w:t>
            </w:r>
            <w:r w:rsidR="00AD321A">
              <w:rPr>
                <w:lang w:eastAsia="en-GB"/>
              </w:rPr>
              <w:t xml:space="preserve"> for member </w:t>
            </w:r>
            <w:r>
              <w:rPr>
                <w:lang w:eastAsia="en-GB"/>
              </w:rPr>
              <w:t>decision</w:t>
            </w:r>
          </w:p>
          <w:p w14:paraId="18746881" w14:textId="21F0C158" w:rsidR="006D7632" w:rsidRDefault="00DA38D4" w:rsidP="00F34C2F">
            <w:pPr>
              <w:pStyle w:val="ListParagraph"/>
              <w:numPr>
                <w:ilvl w:val="0"/>
                <w:numId w:val="25"/>
              </w:numPr>
              <w:jc w:val="both"/>
              <w:rPr>
                <w:lang w:eastAsia="en-GB"/>
              </w:rPr>
            </w:pPr>
            <w:r>
              <w:rPr>
                <w:lang w:eastAsia="en-GB"/>
              </w:rPr>
              <w:t>he programme team should make this mitigation an early priority, with the capacity of the Monitoring Officer and their team to oversee any emerging changes also reviewed</w:t>
            </w:r>
          </w:p>
          <w:p w14:paraId="00ACC640" w14:textId="2C360936" w:rsidR="00DA38D4" w:rsidRPr="00FE19A6" w:rsidRDefault="006D7632" w:rsidP="00F34C2F">
            <w:pPr>
              <w:pStyle w:val="ListParagraph"/>
              <w:numPr>
                <w:ilvl w:val="0"/>
                <w:numId w:val="25"/>
              </w:numPr>
              <w:jc w:val="both"/>
              <w:rPr>
                <w:lang w:eastAsia="en-GB"/>
              </w:rPr>
            </w:pPr>
            <w:r>
              <w:rPr>
                <w:lang w:eastAsia="en-GB"/>
              </w:rPr>
              <w:t>the practice of tabling options at meetings should cease, and members should be given sufficient time and provided with all relevant information before making major decisions</w:t>
            </w:r>
          </w:p>
          <w:p w14:paraId="5B2A0175" w14:textId="77777777" w:rsidR="00D9353D" w:rsidRPr="00D9353D" w:rsidRDefault="00D9353D" w:rsidP="00D9353D">
            <w:pPr>
              <w:ind w:left="360"/>
              <w:jc w:val="both"/>
              <w:rPr>
                <w:rFonts w:ascii="Arial" w:eastAsia="Arial" w:hAnsi="Arial" w:cs="Arial"/>
              </w:rPr>
            </w:pPr>
          </w:p>
        </w:tc>
      </w:tr>
      <w:tr w:rsidR="00D9353D" w:rsidRPr="00D9353D" w14:paraId="075270C4" w14:textId="77777777" w:rsidTr="00BE7C5C">
        <w:trPr>
          <w:cantSplit/>
        </w:trPr>
        <w:tc>
          <w:tcPr>
            <w:tcW w:w="2062" w:type="dxa"/>
          </w:tcPr>
          <w:p w14:paraId="4FC0299C" w14:textId="3E3465B3" w:rsidR="00D9353D" w:rsidRPr="00D9353D" w:rsidRDefault="00A40695" w:rsidP="00D9353D">
            <w:pPr>
              <w:jc w:val="center"/>
              <w:rPr>
                <w:rFonts w:ascii="Arial" w:eastAsia="Arial" w:hAnsi="Arial" w:cs="Arial"/>
              </w:rPr>
            </w:pPr>
            <w:r>
              <w:rPr>
                <w:rFonts w:ascii="Arial" w:eastAsia="Arial" w:hAnsi="Arial" w:cs="Arial"/>
              </w:rPr>
              <w:t>9</w:t>
            </w:r>
          </w:p>
        </w:tc>
        <w:tc>
          <w:tcPr>
            <w:tcW w:w="7288" w:type="dxa"/>
          </w:tcPr>
          <w:p w14:paraId="1A093432" w14:textId="77777777" w:rsidR="00D9353D" w:rsidRPr="00D9353D" w:rsidRDefault="00D9353D" w:rsidP="00D9353D">
            <w:pPr>
              <w:jc w:val="both"/>
              <w:rPr>
                <w:rFonts w:ascii="Arial" w:eastAsia="Times New Roman" w:hAnsi="Arial" w:cs="Arial"/>
                <w:b/>
                <w:bCs/>
                <w:lang w:eastAsia="en-GB"/>
              </w:rPr>
            </w:pPr>
            <w:r w:rsidRPr="00D9353D">
              <w:rPr>
                <w:rFonts w:ascii="Arial" w:eastAsia="Times New Roman" w:hAnsi="Arial" w:cs="Arial"/>
                <w:b/>
                <w:bCs/>
                <w:lang w:eastAsia="en-GB"/>
              </w:rPr>
              <w:t>As part of the review of governance and decision making, any actual, perceptual or potential conflicts in relation to Council Officer/Member involvement with Knowle Green Estates and similar bodies should be assessed</w:t>
            </w:r>
          </w:p>
          <w:p w14:paraId="6E241291" w14:textId="77777777" w:rsidR="00D9353D" w:rsidRPr="00D9353D" w:rsidRDefault="00D9353D" w:rsidP="00D9353D">
            <w:pPr>
              <w:jc w:val="both"/>
              <w:rPr>
                <w:rFonts w:ascii="Arial" w:eastAsia="Times New Roman" w:hAnsi="Arial" w:cs="Arial"/>
                <w:b/>
                <w:bCs/>
                <w:lang w:eastAsia="en-GB"/>
              </w:rPr>
            </w:pPr>
          </w:p>
          <w:p w14:paraId="78E92B8D" w14:textId="77777777" w:rsidR="00D9353D" w:rsidRPr="00D9353D" w:rsidRDefault="00D9353D" w:rsidP="00D9353D">
            <w:pPr>
              <w:jc w:val="both"/>
              <w:rPr>
                <w:rFonts w:ascii="Arial" w:eastAsia="Times New Roman" w:hAnsi="Arial" w:cs="Arial"/>
                <w:lang w:eastAsia="en-GB"/>
              </w:rPr>
            </w:pPr>
            <w:r w:rsidRPr="00D9353D">
              <w:rPr>
                <w:rFonts w:ascii="Arial" w:eastAsia="Times New Roman" w:hAnsi="Arial" w:cs="Arial"/>
                <w:lang w:eastAsia="en-GB"/>
              </w:rPr>
              <w:t>The assessment in relation to KGE specifically should consider the intrinsic role of the Council’s two most senior Finance Officers within the company, and whether this should continue or whether alternative arrangements are needed.</w:t>
            </w:r>
          </w:p>
          <w:p w14:paraId="2438A933" w14:textId="77777777" w:rsidR="00D9353D" w:rsidRPr="00D9353D" w:rsidRDefault="00D9353D" w:rsidP="00D9353D">
            <w:pPr>
              <w:jc w:val="both"/>
              <w:rPr>
                <w:rFonts w:ascii="Arial" w:eastAsia="Times New Roman" w:hAnsi="Arial" w:cs="Arial"/>
                <w:lang w:eastAsia="en-GB"/>
              </w:rPr>
            </w:pPr>
            <w:r w:rsidRPr="00D9353D">
              <w:rPr>
                <w:rFonts w:ascii="Arial" w:eastAsia="Times New Roman" w:hAnsi="Arial" w:cs="Arial"/>
                <w:lang w:eastAsia="en-GB"/>
              </w:rPr>
              <w:t>Advice should also cover the role of the Vice Chair of the Development Sub-committee within the gateway process for new projects involving KGE.</w:t>
            </w:r>
          </w:p>
          <w:p w14:paraId="2CBFCF70" w14:textId="77777777" w:rsidR="00D9353D" w:rsidRPr="00D9353D" w:rsidRDefault="00D9353D" w:rsidP="00D9353D">
            <w:pPr>
              <w:jc w:val="both"/>
              <w:rPr>
                <w:rFonts w:ascii="Arial" w:eastAsia="Times New Roman" w:hAnsi="Arial" w:cs="Arial"/>
                <w:lang w:eastAsia="en-GB"/>
              </w:rPr>
            </w:pPr>
            <w:r w:rsidRPr="00D9353D">
              <w:rPr>
                <w:rFonts w:ascii="Arial" w:eastAsia="Times New Roman" w:hAnsi="Arial" w:cs="Arial"/>
                <w:lang w:eastAsia="en-GB"/>
              </w:rPr>
              <w:t>Again, the programme team should work closely on this issue with the Monitoring Officer.</w:t>
            </w:r>
          </w:p>
          <w:p w14:paraId="5585C138" w14:textId="77777777" w:rsidR="00D9353D" w:rsidRPr="00D9353D" w:rsidRDefault="00D9353D" w:rsidP="00D9353D">
            <w:pPr>
              <w:jc w:val="both"/>
              <w:rPr>
                <w:rFonts w:ascii="Arial" w:eastAsia="Arial" w:hAnsi="Arial" w:cs="Arial"/>
              </w:rPr>
            </w:pPr>
          </w:p>
        </w:tc>
      </w:tr>
      <w:tr w:rsidR="00D9353D" w:rsidRPr="00D9353D" w14:paraId="6693A249" w14:textId="77777777" w:rsidTr="00BE7C5C">
        <w:trPr>
          <w:cantSplit/>
        </w:trPr>
        <w:tc>
          <w:tcPr>
            <w:tcW w:w="2062" w:type="dxa"/>
          </w:tcPr>
          <w:p w14:paraId="00BCC681" w14:textId="38A68226" w:rsidR="00D9353D" w:rsidRPr="00D9353D" w:rsidRDefault="00A40695" w:rsidP="00D9353D">
            <w:pPr>
              <w:jc w:val="center"/>
              <w:rPr>
                <w:rFonts w:ascii="Arial" w:eastAsia="Arial" w:hAnsi="Arial" w:cs="Arial"/>
              </w:rPr>
            </w:pPr>
            <w:r>
              <w:rPr>
                <w:rFonts w:ascii="Arial" w:eastAsia="Arial" w:hAnsi="Arial" w:cs="Arial"/>
              </w:rPr>
              <w:t>10</w:t>
            </w:r>
          </w:p>
          <w:p w14:paraId="6517F849" w14:textId="5B7ED0BA" w:rsidR="00D9353D" w:rsidRPr="00D9353D" w:rsidRDefault="00D9353D" w:rsidP="00D9353D">
            <w:pPr>
              <w:jc w:val="center"/>
              <w:rPr>
                <w:rFonts w:ascii="Arial" w:eastAsia="Arial" w:hAnsi="Arial" w:cs="Arial"/>
              </w:rPr>
            </w:pPr>
          </w:p>
        </w:tc>
        <w:tc>
          <w:tcPr>
            <w:tcW w:w="7288" w:type="dxa"/>
          </w:tcPr>
          <w:p w14:paraId="639CF5EA" w14:textId="77777777" w:rsidR="00D9353D" w:rsidRPr="00D9353D" w:rsidRDefault="00D9353D" w:rsidP="00D9353D">
            <w:pPr>
              <w:jc w:val="both"/>
              <w:rPr>
                <w:rFonts w:ascii="Arial" w:eastAsia="Times New Roman" w:hAnsi="Arial" w:cs="Arial"/>
                <w:b/>
                <w:bCs/>
                <w:lang w:eastAsia="en-GB"/>
              </w:rPr>
            </w:pPr>
            <w:r w:rsidRPr="00D9353D">
              <w:rPr>
                <w:rFonts w:ascii="Arial" w:eastAsia="Times New Roman" w:hAnsi="Arial" w:cs="Arial"/>
                <w:b/>
                <w:bCs/>
                <w:lang w:eastAsia="en-GB"/>
              </w:rPr>
              <w:t>Time-limit property valuer incumbency</w:t>
            </w:r>
          </w:p>
          <w:p w14:paraId="1792FECE" w14:textId="77777777" w:rsidR="00D9353D" w:rsidRPr="00D9353D" w:rsidRDefault="00D9353D" w:rsidP="00D9353D">
            <w:pPr>
              <w:jc w:val="both"/>
              <w:rPr>
                <w:rFonts w:ascii="Arial" w:eastAsia="Times New Roman" w:hAnsi="Arial" w:cs="Arial"/>
                <w:b/>
                <w:bCs/>
                <w:lang w:eastAsia="en-GB"/>
              </w:rPr>
            </w:pPr>
          </w:p>
          <w:p w14:paraId="7D45F4C8" w14:textId="77777777" w:rsidR="00D9353D" w:rsidRPr="00D9353D" w:rsidRDefault="00D9353D" w:rsidP="00D9353D">
            <w:pPr>
              <w:jc w:val="both"/>
              <w:rPr>
                <w:rFonts w:ascii="Arial" w:eastAsia="Times New Roman" w:hAnsi="Arial" w:cs="Arial"/>
                <w:lang w:eastAsia="en-GB"/>
              </w:rPr>
            </w:pPr>
            <w:r w:rsidRPr="00D9353D">
              <w:rPr>
                <w:rFonts w:ascii="Arial" w:eastAsia="Times New Roman" w:hAnsi="Arial" w:cs="Arial"/>
                <w:lang w:eastAsia="en-GB"/>
              </w:rPr>
              <w:t>In the current economic climate, in order to mitigate any immediate risks, we recommend that SBC obtains a second opinion valuation of its property portfolio as soon as practicable. In the longer term, by time-limiting valuer incumbency, the council will be able to engage different valuers and gain a broader and potentially more balanced view of the value of its property portfolio.</w:t>
            </w:r>
          </w:p>
          <w:p w14:paraId="7FCC9596" w14:textId="77777777" w:rsidR="00D9353D" w:rsidRPr="00D9353D" w:rsidRDefault="00D9353D" w:rsidP="00D9353D">
            <w:pPr>
              <w:jc w:val="both"/>
              <w:rPr>
                <w:rFonts w:ascii="Arial" w:eastAsia="Arial" w:hAnsi="Arial" w:cs="Arial"/>
                <w:b/>
                <w:bCs/>
              </w:rPr>
            </w:pPr>
          </w:p>
        </w:tc>
      </w:tr>
      <w:tr w:rsidR="00D9353D" w:rsidRPr="00D9353D" w14:paraId="74901264" w14:textId="77777777" w:rsidTr="00BE7C5C">
        <w:trPr>
          <w:cantSplit/>
        </w:trPr>
        <w:tc>
          <w:tcPr>
            <w:tcW w:w="2062" w:type="dxa"/>
          </w:tcPr>
          <w:p w14:paraId="48C5C208" w14:textId="180A3E39" w:rsidR="00D9353D" w:rsidRPr="00D9353D" w:rsidRDefault="00D9353D" w:rsidP="00D9353D">
            <w:pPr>
              <w:jc w:val="center"/>
              <w:rPr>
                <w:rFonts w:ascii="Arial" w:eastAsia="Arial" w:hAnsi="Arial" w:cs="Arial"/>
              </w:rPr>
            </w:pPr>
            <w:r w:rsidRPr="00D9353D">
              <w:rPr>
                <w:rFonts w:ascii="Arial" w:eastAsia="Arial" w:hAnsi="Arial" w:cs="Arial"/>
              </w:rPr>
              <w:t>1</w:t>
            </w:r>
            <w:r w:rsidR="00A40695">
              <w:rPr>
                <w:rFonts w:ascii="Arial" w:eastAsia="Arial" w:hAnsi="Arial" w:cs="Arial"/>
              </w:rPr>
              <w:t>1</w:t>
            </w:r>
          </w:p>
          <w:p w14:paraId="65B17BE1" w14:textId="300B5305" w:rsidR="00D9353D" w:rsidRPr="00D9353D" w:rsidRDefault="00D9353D" w:rsidP="00D9353D">
            <w:pPr>
              <w:jc w:val="center"/>
              <w:rPr>
                <w:rFonts w:ascii="Arial" w:eastAsia="Arial" w:hAnsi="Arial" w:cs="Arial"/>
              </w:rPr>
            </w:pPr>
          </w:p>
        </w:tc>
        <w:tc>
          <w:tcPr>
            <w:tcW w:w="7288" w:type="dxa"/>
          </w:tcPr>
          <w:p w14:paraId="64EA51CF" w14:textId="77777777" w:rsidR="00D9353D" w:rsidRPr="00D9353D" w:rsidRDefault="00D9353D" w:rsidP="00D9353D">
            <w:pPr>
              <w:jc w:val="both"/>
              <w:rPr>
                <w:rFonts w:ascii="Arial" w:eastAsia="Times New Roman" w:hAnsi="Arial" w:cs="Arial"/>
                <w:b/>
                <w:bCs/>
                <w:lang w:eastAsia="en-GB"/>
              </w:rPr>
            </w:pPr>
            <w:r w:rsidRPr="00D9353D">
              <w:rPr>
                <w:rFonts w:ascii="Arial" w:eastAsia="Times New Roman" w:hAnsi="Arial" w:cs="Arial"/>
                <w:b/>
                <w:bCs/>
                <w:lang w:eastAsia="en-GB"/>
              </w:rPr>
              <w:t>Commission a review of the use of short-term borrowing</w:t>
            </w:r>
          </w:p>
          <w:p w14:paraId="0C5161B2" w14:textId="77777777" w:rsidR="00D9353D" w:rsidRPr="00D9353D" w:rsidRDefault="00D9353D" w:rsidP="00D9353D">
            <w:pPr>
              <w:jc w:val="both"/>
              <w:rPr>
                <w:rFonts w:ascii="Arial" w:eastAsia="Times New Roman" w:hAnsi="Arial" w:cs="Arial"/>
                <w:b/>
                <w:bCs/>
                <w:lang w:eastAsia="en-GB"/>
              </w:rPr>
            </w:pPr>
          </w:p>
          <w:p w14:paraId="291DA7EE" w14:textId="77777777" w:rsidR="00D9353D" w:rsidRPr="00D9353D" w:rsidRDefault="00D9353D" w:rsidP="00D9353D">
            <w:pPr>
              <w:jc w:val="both"/>
              <w:rPr>
                <w:rFonts w:ascii="Arial" w:eastAsia="Times New Roman" w:hAnsi="Arial" w:cs="Arial"/>
                <w:lang w:eastAsia="en-GB"/>
              </w:rPr>
            </w:pPr>
            <w:r w:rsidRPr="00D9353D">
              <w:rPr>
                <w:rFonts w:ascii="Arial" w:eastAsia="Times New Roman" w:hAnsi="Arial" w:cs="Arial"/>
                <w:lang w:eastAsia="en-GB"/>
              </w:rPr>
              <w:t>We are concerned that the use by SBC of short-term borrowing to fund development schemes, and its intention to repay that short-term borrowing with a consolidated PWLB loan over 50 years, may represent a risk similar to other local authorities that have found themselves in financial difficulty. We have had not the opportunity to identify the detailed financial implications of these loans and suggest that this should be done as a matter of urgency in the current climate i.e., with reference to the business case for each relevant scheme.</w:t>
            </w:r>
          </w:p>
          <w:p w14:paraId="71C02D20" w14:textId="77777777" w:rsidR="00D9353D" w:rsidRPr="00D9353D" w:rsidRDefault="00D9353D" w:rsidP="00D9353D">
            <w:pPr>
              <w:jc w:val="both"/>
              <w:rPr>
                <w:rFonts w:ascii="Arial" w:eastAsia="Times New Roman" w:hAnsi="Arial" w:cs="Arial"/>
                <w:b/>
                <w:bCs/>
                <w:lang w:eastAsia="en-GB"/>
              </w:rPr>
            </w:pPr>
          </w:p>
        </w:tc>
      </w:tr>
      <w:tr w:rsidR="00D9353D" w:rsidRPr="00D9353D" w14:paraId="658B76D9" w14:textId="77777777" w:rsidTr="00BE7C5C">
        <w:trPr>
          <w:cantSplit/>
        </w:trPr>
        <w:tc>
          <w:tcPr>
            <w:tcW w:w="2062" w:type="dxa"/>
          </w:tcPr>
          <w:p w14:paraId="561E8A93" w14:textId="4B79A91E" w:rsidR="00D9353D" w:rsidRPr="00D9353D" w:rsidRDefault="00D9353D" w:rsidP="00D9353D">
            <w:pPr>
              <w:jc w:val="center"/>
              <w:rPr>
                <w:rFonts w:ascii="Arial" w:eastAsia="Arial" w:hAnsi="Arial" w:cs="Arial"/>
              </w:rPr>
            </w:pPr>
            <w:r w:rsidRPr="00D9353D">
              <w:rPr>
                <w:rFonts w:ascii="Arial" w:eastAsia="Arial" w:hAnsi="Arial" w:cs="Arial"/>
              </w:rPr>
              <w:t>1</w:t>
            </w:r>
            <w:r w:rsidR="00A40695">
              <w:rPr>
                <w:rFonts w:ascii="Arial" w:eastAsia="Arial" w:hAnsi="Arial" w:cs="Arial"/>
              </w:rPr>
              <w:t>2</w:t>
            </w:r>
          </w:p>
          <w:p w14:paraId="6CB71A2B" w14:textId="45692710" w:rsidR="00D9353D" w:rsidRPr="00D9353D" w:rsidRDefault="00D9353D" w:rsidP="00D9353D">
            <w:pPr>
              <w:jc w:val="center"/>
              <w:rPr>
                <w:rFonts w:ascii="Arial" w:eastAsia="Arial" w:hAnsi="Arial" w:cs="Arial"/>
              </w:rPr>
            </w:pPr>
          </w:p>
        </w:tc>
        <w:tc>
          <w:tcPr>
            <w:tcW w:w="7288" w:type="dxa"/>
          </w:tcPr>
          <w:p w14:paraId="4773CB9F" w14:textId="77777777" w:rsidR="00D9353D" w:rsidRPr="00D9353D" w:rsidRDefault="00D9353D" w:rsidP="00D9353D">
            <w:pPr>
              <w:jc w:val="both"/>
              <w:rPr>
                <w:rFonts w:ascii="Arial" w:eastAsia="Times New Roman" w:hAnsi="Arial" w:cs="Arial"/>
                <w:b/>
                <w:bCs/>
                <w:lang w:eastAsia="en-GB"/>
              </w:rPr>
            </w:pPr>
            <w:r w:rsidRPr="00D9353D">
              <w:rPr>
                <w:rFonts w:ascii="Arial" w:eastAsia="Times New Roman" w:hAnsi="Arial" w:cs="Arial"/>
                <w:b/>
                <w:bCs/>
                <w:lang w:eastAsia="en-GB"/>
              </w:rPr>
              <w:t>Ongoing review of business cases</w:t>
            </w:r>
          </w:p>
          <w:p w14:paraId="40577119" w14:textId="77777777" w:rsidR="00D9353D" w:rsidRPr="00D9353D" w:rsidRDefault="00D9353D" w:rsidP="00D9353D">
            <w:pPr>
              <w:jc w:val="both"/>
              <w:rPr>
                <w:rFonts w:ascii="Arial" w:eastAsia="Times New Roman" w:hAnsi="Arial" w:cs="Arial"/>
                <w:b/>
                <w:bCs/>
                <w:lang w:eastAsia="en-GB"/>
              </w:rPr>
            </w:pPr>
          </w:p>
          <w:p w14:paraId="759A99DB" w14:textId="77777777" w:rsidR="00D9353D" w:rsidRPr="00D9353D" w:rsidRDefault="00D9353D" w:rsidP="00D9353D">
            <w:pPr>
              <w:jc w:val="both"/>
              <w:rPr>
                <w:rFonts w:ascii="Arial" w:eastAsia="Times New Roman" w:hAnsi="Arial" w:cs="Arial"/>
                <w:lang w:eastAsia="en-GB"/>
              </w:rPr>
            </w:pPr>
            <w:r w:rsidRPr="00D9353D">
              <w:rPr>
                <w:rFonts w:ascii="Arial" w:eastAsia="Times New Roman" w:hAnsi="Arial" w:cs="Arial"/>
                <w:lang w:eastAsia="en-GB"/>
              </w:rPr>
              <w:t xml:space="preserve">In relation to some of the concerns around the use of the sinking fund e.g., rent free periods, we strongly recommend that relevant business cases be reviewed, as a minimum, after 3 years of operation and then regularly through the life of the scheme to ascertain that the expected benefits are being realised. </w:t>
            </w:r>
          </w:p>
          <w:p w14:paraId="470D553A" w14:textId="77777777" w:rsidR="00D9353D" w:rsidRPr="00D9353D" w:rsidRDefault="00D9353D" w:rsidP="00D9353D">
            <w:pPr>
              <w:jc w:val="both"/>
              <w:rPr>
                <w:rFonts w:ascii="Arial" w:eastAsia="Times New Roman" w:hAnsi="Arial" w:cs="Arial"/>
                <w:b/>
                <w:bCs/>
                <w:lang w:eastAsia="en-GB"/>
              </w:rPr>
            </w:pPr>
          </w:p>
        </w:tc>
      </w:tr>
    </w:tbl>
    <w:p w14:paraId="20988D81" w14:textId="77777777" w:rsidR="00D9353D" w:rsidRPr="00673461" w:rsidRDefault="00D9353D" w:rsidP="001546DE">
      <w:pPr>
        <w:jc w:val="both"/>
        <w:rPr>
          <w:lang w:eastAsia="en-GB"/>
        </w:rPr>
      </w:pPr>
    </w:p>
    <w:p w14:paraId="59244F9E" w14:textId="1ACBF304" w:rsidR="00BE7C5C" w:rsidRDefault="00BE7C5C">
      <w:pPr>
        <w:rPr>
          <w:i/>
          <w:iCs/>
          <w:lang w:val="en-US"/>
        </w:rPr>
      </w:pPr>
      <w:r>
        <w:rPr>
          <w:i/>
          <w:iCs/>
          <w:lang w:val="en-US"/>
        </w:rPr>
        <w:br w:type="page"/>
      </w:r>
    </w:p>
    <w:p w14:paraId="1FA1F6BE" w14:textId="610F3CA2" w:rsidR="00AB3208" w:rsidRPr="00AB3208" w:rsidRDefault="00AB3208" w:rsidP="00AB3208">
      <w:pPr>
        <w:spacing w:after="0"/>
        <w:jc w:val="both"/>
        <w:rPr>
          <w:i/>
          <w:iCs/>
          <w:lang w:val="en-US"/>
        </w:rPr>
      </w:pPr>
      <w:r w:rsidRPr="00AB3208">
        <w:rPr>
          <w:i/>
          <w:iCs/>
          <w:lang w:val="en-US"/>
        </w:rPr>
        <w:t xml:space="preserve">In this report, CIPFA means CIPFA Business Limited, a company registered in the United Kingdom with registered number 02376684.  </w:t>
      </w:r>
    </w:p>
    <w:p w14:paraId="238390CC" w14:textId="77777777" w:rsidR="00AB3208" w:rsidRPr="00AB3208" w:rsidRDefault="00AB3208" w:rsidP="00AB3208">
      <w:pPr>
        <w:spacing w:after="0"/>
        <w:jc w:val="both"/>
        <w:rPr>
          <w:i/>
          <w:iCs/>
          <w:lang w:val="en-US"/>
        </w:rPr>
      </w:pPr>
    </w:p>
    <w:p w14:paraId="09569750" w14:textId="77777777" w:rsidR="00AB3208" w:rsidRPr="00AB3208" w:rsidRDefault="00AB3208" w:rsidP="00AB3208">
      <w:pPr>
        <w:spacing w:after="0"/>
        <w:jc w:val="both"/>
        <w:rPr>
          <w:i/>
          <w:iCs/>
          <w:lang w:val="en-US"/>
        </w:rPr>
      </w:pPr>
      <w:r w:rsidRPr="00AB3208">
        <w:rPr>
          <w:i/>
          <w:iCs/>
          <w:lang w:val="en-US"/>
        </w:rPr>
        <w:t xml:space="preserve">The contents of this report are intended for the recipient only and may not be relied upon by any third party. Once issued in final form, the recipient may use this report as it wishes, save that any commercially sensitive and/or proprietary information pertaining or belonging to CIPFA should not be published or shared outside the recipient organisation without CIPFA’s prior consent. For the avoidance of doubt, all intellectual property rights in the tools, models, methodologies, and any proprietary products used by CIPFA in creating this report belong to CIPFA.   </w:t>
      </w:r>
    </w:p>
    <w:p w14:paraId="59F78A30" w14:textId="77777777" w:rsidR="00AB3208" w:rsidRPr="00AB3208" w:rsidRDefault="00AB3208" w:rsidP="00AB3208">
      <w:pPr>
        <w:spacing w:after="0"/>
        <w:jc w:val="both"/>
        <w:rPr>
          <w:i/>
          <w:iCs/>
          <w:lang w:val="en-US"/>
        </w:rPr>
      </w:pPr>
    </w:p>
    <w:p w14:paraId="087D4123" w14:textId="77777777" w:rsidR="00AB3208" w:rsidRPr="00AB3208" w:rsidRDefault="00AB3208" w:rsidP="00AB3208">
      <w:pPr>
        <w:spacing w:after="0"/>
        <w:jc w:val="both"/>
        <w:rPr>
          <w:i/>
          <w:iCs/>
          <w:lang w:val="en-US"/>
        </w:rPr>
      </w:pPr>
      <w:r w:rsidRPr="00AB3208">
        <w:rPr>
          <w:i/>
          <w:iCs/>
          <w:lang w:val="en-US"/>
        </w:rPr>
        <w:t xml:space="preserve">Nothing in this report constitutes legal advice. The recipient should seek its own legal advice in relation to any contractual or other legal issues discussed in this report. </w:t>
      </w:r>
    </w:p>
    <w:p w14:paraId="0C259372" w14:textId="1011D6D8" w:rsidR="00AB3208" w:rsidRDefault="00AB3208" w:rsidP="00AB3208">
      <w:pPr>
        <w:spacing w:before="240" w:after="240" w:line="280" w:lineRule="exact"/>
        <w:jc w:val="both"/>
        <w:sectPr w:rsidR="00AB3208" w:rsidSect="003277DB">
          <w:pgSz w:w="11906" w:h="16838"/>
          <w:pgMar w:top="993" w:right="1841" w:bottom="568" w:left="1276" w:header="708" w:footer="708" w:gutter="0"/>
          <w:cols w:space="708"/>
          <w:docGrid w:linePitch="360"/>
        </w:sectPr>
      </w:pPr>
    </w:p>
    <w:p w14:paraId="7EF8DA82" w14:textId="77777777" w:rsidR="00FF2639" w:rsidRDefault="00D06873" w:rsidP="00F249E0">
      <w:pPr>
        <w:rPr>
          <w:noProof/>
        </w:rPr>
      </w:pPr>
      <w:r>
        <w:rPr>
          <w:noProof/>
          <w:color w:val="2B579A"/>
          <w:shd w:val="clear" w:color="auto" w:fill="E6E6E6"/>
          <w:lang w:eastAsia="en-GB"/>
        </w:rPr>
        <mc:AlternateContent>
          <mc:Choice Requires="wpg">
            <w:drawing>
              <wp:anchor distT="0" distB="0" distL="114300" distR="114300" simplePos="0" relativeHeight="251658240" behindDoc="0" locked="0" layoutInCell="1" allowOverlap="1" wp14:anchorId="3DEF060E" wp14:editId="15C82499">
                <wp:simplePos x="0" y="0"/>
                <wp:positionH relativeFrom="column">
                  <wp:posOffset>-828785</wp:posOffset>
                </wp:positionH>
                <wp:positionV relativeFrom="paragraph">
                  <wp:posOffset>-817797</wp:posOffset>
                </wp:positionV>
                <wp:extent cx="7541895" cy="10662920"/>
                <wp:effectExtent l="0" t="0" r="1905" b="5080"/>
                <wp:wrapNone/>
                <wp:docPr id="5" name="Group 5"/>
                <wp:cNvGraphicFramePr/>
                <a:graphic xmlns:a="http://schemas.openxmlformats.org/drawingml/2006/main">
                  <a:graphicData uri="http://schemas.microsoft.com/office/word/2010/wordprocessingGroup">
                    <wpg:wgp>
                      <wpg:cNvGrpSpPr/>
                      <wpg:grpSpPr>
                        <a:xfrm>
                          <a:off x="0" y="0"/>
                          <a:ext cx="7541895" cy="10662920"/>
                          <a:chOff x="0" y="0"/>
                          <a:chExt cx="7541895" cy="10662920"/>
                        </a:xfrm>
                      </wpg:grpSpPr>
                      <pic:pic xmlns:pic="http://schemas.openxmlformats.org/drawingml/2006/picture">
                        <pic:nvPicPr>
                          <pic:cNvPr id="3" name="Picture 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41895" cy="10662920"/>
                          </a:xfrm>
                          <a:prstGeom prst="rect">
                            <a:avLst/>
                          </a:prstGeom>
                        </pic:spPr>
                      </pic:pic>
                      <wpg:grpSp>
                        <wpg:cNvPr id="4" name="Group 4"/>
                        <wpg:cNvGrpSpPr/>
                        <wpg:grpSpPr>
                          <a:xfrm>
                            <a:off x="501650" y="8248650"/>
                            <a:ext cx="3769995" cy="1475105"/>
                            <a:chOff x="0" y="0"/>
                            <a:chExt cx="3769995" cy="1475105"/>
                          </a:xfrm>
                        </wpg:grpSpPr>
                        <wps:wsp>
                          <wps:cNvPr id="217" name="Text Box 2"/>
                          <wps:cNvSpPr txBox="1">
                            <a:spLocks noChangeArrowheads="1"/>
                          </wps:cNvSpPr>
                          <wps:spPr bwMode="auto">
                            <a:xfrm>
                              <a:off x="0" y="901700"/>
                              <a:ext cx="3769995" cy="573405"/>
                            </a:xfrm>
                            <a:prstGeom prst="rect">
                              <a:avLst/>
                            </a:prstGeom>
                            <a:solidFill>
                              <a:schemeClr val="bg1"/>
                            </a:solidFill>
                            <a:ln w="9525">
                              <a:solidFill>
                                <a:schemeClr val="bg1"/>
                              </a:solidFill>
                              <a:miter lim="800000"/>
                              <a:headEnd/>
                              <a:tailEnd/>
                            </a:ln>
                          </wps:spPr>
                          <wps:txbx>
                            <w:txbxContent>
                              <w:p w14:paraId="65C4B0C7" w14:textId="77777777" w:rsidR="00715539" w:rsidRPr="005A097C" w:rsidRDefault="00715539" w:rsidP="005A097C">
                                <w:pPr>
                                  <w:rPr>
                                    <w:sz w:val="14"/>
                                    <w:szCs w:val="14"/>
                                  </w:rPr>
                                </w:pPr>
                                <w:r w:rsidRPr="005A097C">
                                  <w:rPr>
                                    <w:sz w:val="14"/>
                                    <w:szCs w:val="14"/>
                                  </w:rPr>
                                  <w:t>The Chartered Institute of Public Finance and Accountancy. Registered with the Charity Commissioners of England and Wales No 231060. Registered with the Office of the Scottish Charity Regulator No SCO37963.</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0"/>
                              <a:ext cx="3769995" cy="793750"/>
                            </a:xfrm>
                            <a:prstGeom prst="rect">
                              <a:avLst/>
                            </a:prstGeom>
                            <a:solidFill>
                              <a:schemeClr val="bg1"/>
                            </a:solidFill>
                            <a:ln w="9525">
                              <a:solidFill>
                                <a:schemeClr val="bg1"/>
                              </a:solidFill>
                              <a:miter lim="800000"/>
                              <a:headEnd/>
                              <a:tailEnd/>
                            </a:ln>
                          </wps:spPr>
                          <wps:txbx>
                            <w:txbxContent>
                              <w:p w14:paraId="41BCB95F" w14:textId="77777777" w:rsidR="00715539" w:rsidRPr="005A097C" w:rsidRDefault="00715539" w:rsidP="005A097C">
                                <w:pPr>
                                  <w:rPr>
                                    <w:color w:val="5A4B9A" w:themeColor="accent1"/>
                                  </w:rPr>
                                </w:pPr>
                                <w:r w:rsidRPr="005A097C">
                                  <w:rPr>
                                    <w:color w:val="5A4B9A" w:themeColor="accent1"/>
                                  </w:rPr>
                                  <w:t>77 Mansell Street, London E1 8AN</w:t>
                                </w:r>
                                <w:r w:rsidRPr="005A097C">
                                  <w:rPr>
                                    <w:color w:val="5A4B9A" w:themeColor="accent1"/>
                                  </w:rPr>
                                  <w:br/>
                                  <w:t>+44 (0)20 7543 5600</w:t>
                                </w:r>
                              </w:p>
                              <w:p w14:paraId="00203C4B" w14:textId="77777777" w:rsidR="00715539" w:rsidRPr="005A097C" w:rsidRDefault="00715539" w:rsidP="005A097C">
                                <w:pPr>
                                  <w:rPr>
                                    <w:b/>
                                    <w:bCs/>
                                    <w:color w:val="5A4B9A" w:themeColor="accent1"/>
                                  </w:rPr>
                                </w:pPr>
                                <w:r>
                                  <w:rPr>
                                    <w:b/>
                                    <w:bCs/>
                                    <w:color w:val="5A4B9A" w:themeColor="accent1"/>
                                  </w:rPr>
                                  <w:t>CIPFA</w:t>
                                </w:r>
                                <w:r w:rsidRPr="005A097C">
                                  <w:rPr>
                                    <w:b/>
                                    <w:bCs/>
                                    <w:color w:val="5A4B9A" w:themeColor="accent1"/>
                                  </w:rPr>
                                  <w:t>.org</w:t>
                                </w:r>
                              </w:p>
                            </w:txbxContent>
                          </wps:txbx>
                          <wps:bodyPr rot="0" vert="horz" wrap="square" lIns="91440" tIns="45720" rIns="91440" bIns="45720" anchor="t" anchorCtr="0">
                            <a:noAutofit/>
                          </wps:bodyPr>
                        </wps:wsp>
                      </wpg:grpSp>
                    </wpg:wgp>
                  </a:graphicData>
                </a:graphic>
              </wp:anchor>
            </w:drawing>
          </mc:Choice>
          <mc:Fallback xmlns:w16du="http://schemas.microsoft.com/office/word/2023/wordml/word16du">
            <w:pict>
              <v:group w14:anchorId="3DEF060E" id="Group 5" o:spid="_x0000_s1026" style="position:absolute;margin-left:-65.25pt;margin-top:-64.4pt;width:593.85pt;height:839.6pt;z-index:251658240" coordsize="75418,1066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&#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5418;height:10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">
                  <v:imagedata r:id="rId28" o:title=""/>
                </v:shape>
                <v:group id="Group 4" o:spid="_x0000_s1028" style="position:absolute;left:5016;top:82486;width:37700;height:14751" coordsize="37699,1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top:9017;width:37699;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" fillcolor="white [3212]" strokecolor="white [3212]">
                    <v:textbox>
                      <w:txbxContent>
                        <w:p w14:paraId="65C4B0C7" w14:textId="77777777" w:rsidR="00715539" w:rsidRPr="005A097C" w:rsidRDefault="00715539" w:rsidP="005A097C">
                          <w:pPr>
                            <w:rPr>
                              <w:sz w:val="14"/>
                              <w:szCs w:val="14"/>
                            </w:rPr>
                          </w:pPr>
                          <w:r w:rsidRPr="005A097C">
                            <w:rPr>
                              <w:sz w:val="14"/>
                              <w:szCs w:val="14"/>
                            </w:rPr>
                            <w:t>The Chartered Institute of Public Finance and Accountancy. Registered with the Charity Commissioners of England and Wales No 231060. Registered with the Office of the Scottish Charity Regulator No SCO37963.</w:t>
                          </w:r>
                        </w:p>
                      </w:txbxContent>
                    </v:textbox>
                  </v:shape>
                  <v:shape id="Text Box 2" o:spid="_x0000_s1030" type="#_x0000_t202" style="position:absolute;width:37699;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" fillcolor="white [3212]" strokecolor="white [3212]">
                    <v:textbox>
                      <w:txbxContent>
                        <w:p w14:paraId="41BCB95F" w14:textId="77777777" w:rsidR="00715539" w:rsidRPr="005A097C" w:rsidRDefault="00715539" w:rsidP="005A097C">
                          <w:pPr>
                            <w:rPr>
                              <w:color w:val="5A4B9A" w:themeColor="accent1"/>
                            </w:rPr>
                          </w:pPr>
                          <w:r w:rsidRPr="005A097C">
                            <w:rPr>
                              <w:color w:val="5A4B9A" w:themeColor="accent1"/>
                            </w:rPr>
                            <w:t>77 Mansell Street, London E1 8AN</w:t>
                          </w:r>
                          <w:r w:rsidRPr="005A097C">
                            <w:rPr>
                              <w:color w:val="5A4B9A" w:themeColor="accent1"/>
                            </w:rPr>
                            <w:br/>
                            <w:t>+44 (0)20 7543 5600</w:t>
                          </w:r>
                        </w:p>
                        <w:p w14:paraId="00203C4B" w14:textId="77777777" w:rsidR="00715539" w:rsidRPr="005A097C" w:rsidRDefault="00715539" w:rsidP="005A097C">
                          <w:pPr>
                            <w:rPr>
                              <w:b/>
                              <w:bCs/>
                              <w:color w:val="5A4B9A" w:themeColor="accent1"/>
                            </w:rPr>
                          </w:pPr>
                          <w:r>
                            <w:rPr>
                              <w:b/>
                              <w:bCs/>
                              <w:color w:val="5A4B9A" w:themeColor="accent1"/>
                            </w:rPr>
                            <w:t>CIPFA</w:t>
                          </w:r>
                          <w:r w:rsidRPr="005A097C">
                            <w:rPr>
                              <w:b/>
                              <w:bCs/>
                              <w:color w:val="5A4B9A" w:themeColor="accent1"/>
                            </w:rPr>
                            <w:t>.org</w:t>
                          </w:r>
                        </w:p>
                      </w:txbxContent>
                    </v:textbox>
                  </v:shape>
                </v:group>
              </v:group>
            </w:pict>
          </mc:Fallback>
        </mc:AlternateContent>
      </w:r>
    </w:p>
    <w:p w14:paraId="2BE3BB24" w14:textId="77777777" w:rsidR="00FF2639" w:rsidRDefault="00FF2639" w:rsidP="00F249E0">
      <w:pPr>
        <w:rPr>
          <w:noProof/>
        </w:rPr>
      </w:pPr>
    </w:p>
    <w:p w14:paraId="5A8F2F1D" w14:textId="77777777" w:rsidR="00FF2639" w:rsidRDefault="00FF2639" w:rsidP="00F249E0">
      <w:pPr>
        <w:rPr>
          <w:noProof/>
        </w:rPr>
      </w:pPr>
    </w:p>
    <w:p w14:paraId="420F5FF9" w14:textId="77777777" w:rsidR="00FF2639" w:rsidRDefault="00FF2639" w:rsidP="00F249E0">
      <w:pPr>
        <w:rPr>
          <w:noProof/>
        </w:rPr>
      </w:pPr>
    </w:p>
    <w:p w14:paraId="62E1B7A2" w14:textId="77777777" w:rsidR="00FF2639" w:rsidRDefault="00FF2639" w:rsidP="00F249E0">
      <w:pPr>
        <w:rPr>
          <w:noProof/>
        </w:rPr>
      </w:pPr>
    </w:p>
    <w:p w14:paraId="084EBC70" w14:textId="77777777" w:rsidR="00FF2639" w:rsidRDefault="00FF2639" w:rsidP="00F249E0">
      <w:pPr>
        <w:rPr>
          <w:noProof/>
        </w:rPr>
      </w:pPr>
    </w:p>
    <w:p w14:paraId="4F9FCE75" w14:textId="77777777" w:rsidR="00FF2639" w:rsidRDefault="00FF2639" w:rsidP="00F249E0">
      <w:pPr>
        <w:rPr>
          <w:noProof/>
        </w:rPr>
      </w:pPr>
    </w:p>
    <w:p w14:paraId="40C03A11" w14:textId="77777777" w:rsidR="00FF2639" w:rsidRDefault="00FF2639" w:rsidP="00F249E0">
      <w:pPr>
        <w:rPr>
          <w:noProof/>
        </w:rPr>
      </w:pPr>
    </w:p>
    <w:p w14:paraId="298076AB" w14:textId="77777777" w:rsidR="00FF2639" w:rsidRDefault="00FF2639" w:rsidP="00F249E0">
      <w:pPr>
        <w:rPr>
          <w:noProof/>
        </w:rPr>
      </w:pPr>
    </w:p>
    <w:p w14:paraId="40554574" w14:textId="77777777" w:rsidR="00FF2639" w:rsidRDefault="00FF2639" w:rsidP="00F249E0">
      <w:pPr>
        <w:rPr>
          <w:noProof/>
        </w:rPr>
      </w:pPr>
    </w:p>
    <w:p w14:paraId="225649FC" w14:textId="77777777" w:rsidR="00FF2639" w:rsidRDefault="00FF2639" w:rsidP="00F249E0">
      <w:pPr>
        <w:rPr>
          <w:noProof/>
        </w:rPr>
      </w:pPr>
    </w:p>
    <w:p w14:paraId="63611007" w14:textId="77777777" w:rsidR="00FF2639" w:rsidRDefault="00FF2639" w:rsidP="00F249E0">
      <w:pPr>
        <w:rPr>
          <w:noProof/>
        </w:rPr>
      </w:pPr>
    </w:p>
    <w:p w14:paraId="1DB0C153" w14:textId="77777777" w:rsidR="00FF2639" w:rsidRDefault="00FF2639" w:rsidP="00F249E0">
      <w:pPr>
        <w:rPr>
          <w:noProof/>
        </w:rPr>
      </w:pPr>
    </w:p>
    <w:p w14:paraId="20F54C65" w14:textId="77777777" w:rsidR="00FF2639" w:rsidRDefault="00FF2639" w:rsidP="00F249E0">
      <w:pPr>
        <w:rPr>
          <w:noProof/>
        </w:rPr>
      </w:pPr>
    </w:p>
    <w:p w14:paraId="7D807DDA" w14:textId="77777777" w:rsidR="00FF2639" w:rsidRDefault="00FF2639" w:rsidP="00F249E0">
      <w:pPr>
        <w:rPr>
          <w:noProof/>
        </w:rPr>
      </w:pPr>
    </w:p>
    <w:p w14:paraId="4569191E" w14:textId="77777777" w:rsidR="00FF2639" w:rsidRDefault="00FF2639" w:rsidP="00F249E0">
      <w:pPr>
        <w:rPr>
          <w:noProof/>
        </w:rPr>
      </w:pPr>
    </w:p>
    <w:p w14:paraId="6BF576BA" w14:textId="77777777" w:rsidR="00FF2639" w:rsidRDefault="00FF2639" w:rsidP="00F249E0">
      <w:pPr>
        <w:rPr>
          <w:noProof/>
        </w:rPr>
      </w:pPr>
    </w:p>
    <w:p w14:paraId="42D8ADD0" w14:textId="77777777" w:rsidR="00FF2639" w:rsidRDefault="00FF2639" w:rsidP="00F249E0">
      <w:pPr>
        <w:rPr>
          <w:noProof/>
        </w:rPr>
      </w:pPr>
    </w:p>
    <w:p w14:paraId="0D90E24D" w14:textId="77777777" w:rsidR="00FF2639" w:rsidRDefault="00FF2639" w:rsidP="00F249E0">
      <w:pPr>
        <w:rPr>
          <w:noProof/>
        </w:rPr>
      </w:pPr>
    </w:p>
    <w:p w14:paraId="0A46605E" w14:textId="77777777" w:rsidR="00FF2639" w:rsidRDefault="00FF2639" w:rsidP="00F249E0">
      <w:pPr>
        <w:rPr>
          <w:noProof/>
        </w:rPr>
      </w:pPr>
    </w:p>
    <w:p w14:paraId="48EBB90F" w14:textId="77777777" w:rsidR="00FF2639" w:rsidRDefault="00FF2639" w:rsidP="00F249E0">
      <w:pPr>
        <w:rPr>
          <w:noProof/>
        </w:rPr>
      </w:pPr>
    </w:p>
    <w:p w14:paraId="16275629" w14:textId="77777777" w:rsidR="00FF2639" w:rsidRDefault="00FF2639" w:rsidP="00F249E0">
      <w:pPr>
        <w:rPr>
          <w:noProof/>
        </w:rPr>
      </w:pPr>
    </w:p>
    <w:p w14:paraId="7E2110F9" w14:textId="77777777" w:rsidR="00FF2639" w:rsidRDefault="00FF2639" w:rsidP="00F249E0">
      <w:pPr>
        <w:rPr>
          <w:noProof/>
        </w:rPr>
      </w:pPr>
    </w:p>
    <w:p w14:paraId="5595157E" w14:textId="77777777" w:rsidR="00FF2639" w:rsidRDefault="00FF2639" w:rsidP="00F249E0">
      <w:pPr>
        <w:rPr>
          <w:noProof/>
        </w:rPr>
      </w:pPr>
    </w:p>
    <w:p w14:paraId="5366787C" w14:textId="77777777" w:rsidR="00FF2639" w:rsidRDefault="00FF2639"/>
    <w:p w14:paraId="1D29149A" w14:textId="77777777" w:rsidR="004C454C" w:rsidRDefault="004C454C" w:rsidP="00793613">
      <w:pPr>
        <w:pStyle w:val="Paragraph"/>
      </w:pPr>
    </w:p>
    <w:sectPr w:rsidR="004C454C" w:rsidSect="00516D5B">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C0AB" w14:textId="77777777" w:rsidR="004A0D8F" w:rsidRDefault="004A0D8F" w:rsidP="004C454C">
      <w:pPr>
        <w:spacing w:after="0"/>
      </w:pPr>
      <w:r>
        <w:separator/>
      </w:r>
    </w:p>
  </w:endnote>
  <w:endnote w:type="continuationSeparator" w:id="0">
    <w:p w14:paraId="738F9086" w14:textId="77777777" w:rsidR="004A0D8F" w:rsidRDefault="004A0D8F" w:rsidP="004C454C">
      <w:pPr>
        <w:spacing w:after="0"/>
      </w:pPr>
      <w:r>
        <w:continuationSeparator/>
      </w:r>
    </w:p>
  </w:endnote>
  <w:endnote w:type="continuationNotice" w:id="1">
    <w:p w14:paraId="07DCC7BB" w14:textId="77777777" w:rsidR="004A0D8F" w:rsidRDefault="004A0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E968" w14:textId="09E100CF" w:rsidR="00715539" w:rsidRDefault="006524E0">
    <w:pPr>
      <w:pStyle w:val="Footer"/>
    </w:pPr>
    <w:r>
      <w:rPr>
        <w:noProof/>
      </w:rPr>
      <mc:AlternateContent>
        <mc:Choice Requires="wps">
          <w:drawing>
            <wp:anchor distT="0" distB="0" distL="0" distR="0" simplePos="0" relativeHeight="251658244" behindDoc="0" locked="0" layoutInCell="1" allowOverlap="1" wp14:anchorId="2A09A52A" wp14:editId="1EFBD569">
              <wp:simplePos x="635" y="635"/>
              <wp:positionH relativeFrom="page">
                <wp:align>center</wp:align>
              </wp:positionH>
              <wp:positionV relativeFrom="page">
                <wp:align>bottom</wp:align>
              </wp:positionV>
              <wp:extent cx="443865" cy="443865"/>
              <wp:effectExtent l="0" t="0" r="16510" b="0"/>
              <wp:wrapNone/>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5BD4F" w14:textId="5B0C423C" w:rsidR="006524E0" w:rsidRPr="006524E0" w:rsidRDefault="006524E0" w:rsidP="006524E0">
                          <w:pPr>
                            <w:spacing w:after="0"/>
                            <w:rPr>
                              <w:rFonts w:ascii="Calibri" w:eastAsia="Calibri" w:hAnsi="Calibri" w:cs="Calibri"/>
                              <w:noProof/>
                              <w:color w:val="000000"/>
                              <w:sz w:val="20"/>
                              <w:szCs w:val="20"/>
                            </w:rPr>
                          </w:pPr>
                          <w:r w:rsidRPr="006524E0">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A09A52A" id="_x0000_t202" coordsize="21600,21600" o:spt="202" path="m,l,21600r21600,l21600,xe">
              <v:stroke joinstyle="miter"/>
              <v:path gradientshapeok="t" o:connecttype="rect"/>
            </v:shapetype>
            <v:shape id="Text Box 18" o:spid="_x0000_s1032"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615BD4F" w14:textId="5B0C423C" w:rsidR="006524E0" w:rsidRPr="006524E0" w:rsidRDefault="006524E0" w:rsidP="006524E0">
                    <w:pPr>
                      <w:spacing w:after="0"/>
                      <w:rPr>
                        <w:rFonts w:ascii="Calibri" w:eastAsia="Calibri" w:hAnsi="Calibri" w:cs="Calibri"/>
                        <w:noProof/>
                        <w:color w:val="000000"/>
                        <w:sz w:val="20"/>
                        <w:szCs w:val="20"/>
                      </w:rPr>
                    </w:pPr>
                    <w:r w:rsidRPr="006524E0">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DA20" w14:textId="36B351BE" w:rsidR="00715539" w:rsidRPr="004F525B" w:rsidRDefault="00AD23C3" w:rsidP="004F525B">
    <w:pPr>
      <w:pStyle w:val="Footer"/>
      <w:jc w:val="right"/>
    </w:pPr>
    <w:sdt>
      <w:sdtPr>
        <w:id w:val="27911920"/>
        <w:docPartObj>
          <w:docPartGallery w:val="Page Numbers (Bottom of Page)"/>
          <w:docPartUnique/>
        </w:docPartObj>
      </w:sdtPr>
      <w:sdtEndPr>
        <w:rPr>
          <w:noProof/>
        </w:rPr>
      </w:sdtEndPr>
      <w:sdtContent>
        <w:r w:rsidR="00715539">
          <w:rPr>
            <w:color w:val="2B579A"/>
            <w:shd w:val="clear" w:color="auto" w:fill="E6E6E6"/>
          </w:rPr>
          <w:fldChar w:fldCharType="begin"/>
        </w:r>
        <w:r w:rsidR="00715539">
          <w:instrText xml:space="preserve"> PAGE   \* MERGEFORMAT </w:instrText>
        </w:r>
        <w:r w:rsidR="00715539">
          <w:rPr>
            <w:color w:val="2B579A"/>
            <w:shd w:val="clear" w:color="auto" w:fill="E6E6E6"/>
          </w:rPr>
          <w:fldChar w:fldCharType="separate"/>
        </w:r>
        <w:r w:rsidR="00715539">
          <w:rPr>
            <w:noProof/>
          </w:rPr>
          <w:t>41</w:t>
        </w:r>
        <w:r w:rsidR="00715539">
          <w:rPr>
            <w:noProof/>
            <w:color w:val="2B579A"/>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699C" w14:textId="43AB0BF5" w:rsidR="00715539" w:rsidRDefault="006524E0">
    <w:pPr>
      <w:pStyle w:val="Footer"/>
    </w:pPr>
    <w:r>
      <w:rPr>
        <w:noProof/>
      </w:rPr>
      <mc:AlternateContent>
        <mc:Choice Requires="wps">
          <w:drawing>
            <wp:anchor distT="0" distB="0" distL="0" distR="0" simplePos="0" relativeHeight="251658243" behindDoc="0" locked="0" layoutInCell="1" allowOverlap="1" wp14:anchorId="5F29D934" wp14:editId="593C9DDC">
              <wp:simplePos x="635" y="635"/>
              <wp:positionH relativeFrom="page">
                <wp:align>center</wp:align>
              </wp:positionH>
              <wp:positionV relativeFrom="page">
                <wp:align>bottom</wp:align>
              </wp:positionV>
              <wp:extent cx="443865" cy="443865"/>
              <wp:effectExtent l="0" t="0" r="1651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67582" w14:textId="71D6F84E" w:rsidR="006524E0" w:rsidRPr="006524E0" w:rsidRDefault="006524E0" w:rsidP="006524E0">
                          <w:pPr>
                            <w:spacing w:after="0"/>
                            <w:rPr>
                              <w:rFonts w:ascii="Calibri" w:eastAsia="Calibri" w:hAnsi="Calibri" w:cs="Calibri"/>
                              <w:noProof/>
                              <w:color w:val="000000"/>
                              <w:sz w:val="20"/>
                              <w:szCs w:val="20"/>
                            </w:rPr>
                          </w:pPr>
                          <w:r w:rsidRPr="006524E0">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F29D934" id="_x0000_t202" coordsize="21600,21600" o:spt="202" path="m,l,21600r21600,l21600,xe">
              <v:stroke joinstyle="miter"/>
              <v:path gradientshapeok="t" o:connecttype="rect"/>
            </v:shapetype>
            <v:shape id="Text Box 17" o:spid="_x0000_s1034"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B067582" w14:textId="71D6F84E" w:rsidR="006524E0" w:rsidRPr="006524E0" w:rsidRDefault="006524E0" w:rsidP="006524E0">
                    <w:pPr>
                      <w:spacing w:after="0"/>
                      <w:rPr>
                        <w:rFonts w:ascii="Calibri" w:eastAsia="Calibri" w:hAnsi="Calibri" w:cs="Calibri"/>
                        <w:noProof/>
                        <w:color w:val="000000"/>
                        <w:sz w:val="20"/>
                        <w:szCs w:val="20"/>
                      </w:rPr>
                    </w:pPr>
                    <w:r w:rsidRPr="006524E0">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1803" w14:textId="77777777" w:rsidR="004A0D8F" w:rsidRDefault="004A0D8F" w:rsidP="004C454C">
      <w:pPr>
        <w:spacing w:after="0"/>
      </w:pPr>
      <w:r>
        <w:separator/>
      </w:r>
    </w:p>
  </w:footnote>
  <w:footnote w:type="continuationSeparator" w:id="0">
    <w:p w14:paraId="123BBD71" w14:textId="77777777" w:rsidR="004A0D8F" w:rsidRDefault="004A0D8F" w:rsidP="004C454C">
      <w:pPr>
        <w:spacing w:after="0"/>
      </w:pPr>
      <w:r>
        <w:continuationSeparator/>
      </w:r>
    </w:p>
  </w:footnote>
  <w:footnote w:type="continuationNotice" w:id="1">
    <w:p w14:paraId="48AF13BC" w14:textId="77777777" w:rsidR="004A0D8F" w:rsidRDefault="004A0D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752E" w14:textId="0ECC490E" w:rsidR="00715539" w:rsidRDefault="006524E0">
    <w:pPr>
      <w:pStyle w:val="Header"/>
    </w:pPr>
    <w:r>
      <w:rPr>
        <w:noProof/>
      </w:rPr>
      <mc:AlternateContent>
        <mc:Choice Requires="wps">
          <w:drawing>
            <wp:anchor distT="0" distB="0" distL="0" distR="0" simplePos="0" relativeHeight="251658242" behindDoc="0" locked="0" layoutInCell="1" allowOverlap="1" wp14:anchorId="5C6F58DF" wp14:editId="31B70436">
              <wp:simplePos x="635" y="635"/>
              <wp:positionH relativeFrom="page">
                <wp:align>center</wp:align>
              </wp:positionH>
              <wp:positionV relativeFrom="page">
                <wp:align>top</wp:align>
              </wp:positionV>
              <wp:extent cx="443865" cy="443865"/>
              <wp:effectExtent l="0" t="0" r="16510" b="4445"/>
              <wp:wrapNone/>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4093EF" w14:textId="0E783FF9" w:rsidR="006524E0" w:rsidRPr="006524E0" w:rsidRDefault="006524E0" w:rsidP="006524E0">
                          <w:pPr>
                            <w:spacing w:after="0"/>
                            <w:rPr>
                              <w:rFonts w:ascii="Calibri" w:eastAsia="Calibri" w:hAnsi="Calibri" w:cs="Calibri"/>
                              <w:noProof/>
                              <w:color w:val="000000"/>
                              <w:sz w:val="20"/>
                              <w:szCs w:val="20"/>
                            </w:rPr>
                          </w:pPr>
                          <w:r w:rsidRPr="006524E0">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5C6F58DF" id="_x0000_t202" coordsize="21600,21600" o:spt="202" path="m,l,21600r21600,l21600,xe">
              <v:stroke joinstyle="miter"/>
              <v:path gradientshapeok="t" o:connecttype="rect"/>
            </v:shapetype>
            <v:shape id="Text Box 15" o:spid="_x0000_s1031"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E4093EF" w14:textId="0E783FF9" w:rsidR="006524E0" w:rsidRPr="006524E0" w:rsidRDefault="006524E0" w:rsidP="006524E0">
                    <w:pPr>
                      <w:spacing w:after="0"/>
                      <w:rPr>
                        <w:rFonts w:ascii="Calibri" w:eastAsia="Calibri" w:hAnsi="Calibri" w:cs="Calibri"/>
                        <w:noProof/>
                        <w:color w:val="000000"/>
                        <w:sz w:val="20"/>
                        <w:szCs w:val="20"/>
                      </w:rPr>
                    </w:pPr>
                    <w:r w:rsidRPr="006524E0">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8F5F" w14:textId="455B1FA8" w:rsidR="00715539" w:rsidRDefault="00715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A8E8" w14:textId="2792BEB6" w:rsidR="00715539" w:rsidRDefault="006524E0">
    <w:pPr>
      <w:pStyle w:val="Header"/>
    </w:pPr>
    <w:r>
      <w:rPr>
        <w:noProof/>
      </w:rPr>
      <mc:AlternateContent>
        <mc:Choice Requires="wps">
          <w:drawing>
            <wp:anchor distT="0" distB="0" distL="0" distR="0" simplePos="0" relativeHeight="251658241" behindDoc="0" locked="0" layoutInCell="1" allowOverlap="1" wp14:anchorId="4A66748A" wp14:editId="42CE6DCD">
              <wp:simplePos x="635" y="635"/>
              <wp:positionH relativeFrom="page">
                <wp:align>center</wp:align>
              </wp:positionH>
              <wp:positionV relativeFrom="page">
                <wp:align>top</wp:align>
              </wp:positionV>
              <wp:extent cx="443865" cy="443865"/>
              <wp:effectExtent l="0" t="0" r="16510" b="444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58325" w14:textId="2D84EE0C" w:rsidR="006524E0" w:rsidRPr="006524E0" w:rsidRDefault="006524E0" w:rsidP="006524E0">
                          <w:pPr>
                            <w:spacing w:after="0"/>
                            <w:rPr>
                              <w:rFonts w:ascii="Calibri" w:eastAsia="Calibri" w:hAnsi="Calibri" w:cs="Calibri"/>
                              <w:noProof/>
                              <w:color w:val="000000"/>
                              <w:sz w:val="20"/>
                              <w:szCs w:val="20"/>
                            </w:rPr>
                          </w:pPr>
                          <w:r w:rsidRPr="006524E0">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A66748A" id="_x0000_t202" coordsize="21600,21600" o:spt="202" path="m,l,21600r21600,l21600,xe">
              <v:stroke joinstyle="miter"/>
              <v:path gradientshapeok="t" o:connecttype="rect"/>
            </v:shapetype>
            <v:shape id="Text Box 6" o:spid="_x0000_s1033"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B058325" w14:textId="2D84EE0C" w:rsidR="006524E0" w:rsidRPr="006524E0" w:rsidRDefault="006524E0" w:rsidP="006524E0">
                    <w:pPr>
                      <w:spacing w:after="0"/>
                      <w:rPr>
                        <w:rFonts w:ascii="Calibri" w:eastAsia="Calibri" w:hAnsi="Calibri" w:cs="Calibri"/>
                        <w:noProof/>
                        <w:color w:val="000000"/>
                        <w:sz w:val="20"/>
                        <w:szCs w:val="20"/>
                      </w:rPr>
                    </w:pPr>
                    <w:r w:rsidRPr="006524E0">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2AD"/>
    <w:multiLevelType w:val="hybridMultilevel"/>
    <w:tmpl w:val="71D0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4AD9"/>
    <w:multiLevelType w:val="hybridMultilevel"/>
    <w:tmpl w:val="A306C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7E5200"/>
    <w:multiLevelType w:val="hybridMultilevel"/>
    <w:tmpl w:val="0C96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D7F58"/>
    <w:multiLevelType w:val="hybridMultilevel"/>
    <w:tmpl w:val="3CD2C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9246F"/>
    <w:multiLevelType w:val="hybridMultilevel"/>
    <w:tmpl w:val="C9BA62E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A4050ED"/>
    <w:multiLevelType w:val="hybridMultilevel"/>
    <w:tmpl w:val="913A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0623"/>
    <w:multiLevelType w:val="hybridMultilevel"/>
    <w:tmpl w:val="305ED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C973EC"/>
    <w:multiLevelType w:val="hybridMultilevel"/>
    <w:tmpl w:val="2B1AF118"/>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30C2DDE"/>
    <w:multiLevelType w:val="hybridMultilevel"/>
    <w:tmpl w:val="24FE8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8265FF"/>
    <w:multiLevelType w:val="hybridMultilevel"/>
    <w:tmpl w:val="7780E0CE"/>
    <w:lvl w:ilvl="0" w:tplc="C360BDC8">
      <w:start w:val="1"/>
      <w:numFmt w:val="bullet"/>
      <w:pStyle w:val="Sub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0CD6FF6"/>
    <w:multiLevelType w:val="multilevel"/>
    <w:tmpl w:val="E7E84FD0"/>
    <w:lvl w:ilvl="0">
      <w:start w:val="1"/>
      <w:numFmt w:val="decimal"/>
      <w:pStyle w:val="KNCIPFAHeading1"/>
      <w:lvlText w:val="%1."/>
      <w:lvlJc w:val="left"/>
      <w:pPr>
        <w:ind w:left="360" w:hanging="360"/>
      </w:pPr>
      <w:rPr>
        <w:rFonts w:ascii="Verdana" w:hAnsi="Verdana" w:hint="default"/>
        <w:color w:val="7030A0"/>
      </w:rPr>
    </w:lvl>
    <w:lvl w:ilvl="1">
      <w:start w:val="1"/>
      <w:numFmt w:val="decimal"/>
      <w:pStyle w:val="KNCIPFAText2"/>
      <w:isLgl/>
      <w:lvlText w:val="%1.%2."/>
      <w:lvlJc w:val="left"/>
      <w:pPr>
        <w:ind w:left="360" w:hanging="360"/>
      </w:pPr>
      <w:rPr>
        <w:rFonts w:ascii="Verdana" w:eastAsiaTheme="minorEastAsia" w:hAnsi="Verdana" w:cstheme="minorBidi" w:hint="default"/>
        <w:b w:val="0"/>
        <w:i w:val="0"/>
        <w:iCs/>
        <w:color w:val="333333"/>
        <w:sz w:val="20"/>
        <w:szCs w:val="20"/>
        <w:lang w:val="en-GB"/>
      </w:rPr>
    </w:lvl>
    <w:lvl w:ilvl="2">
      <w:start w:val="1"/>
      <w:numFmt w:val="decimal"/>
      <w:isLgl/>
      <w:lvlText w:val="%1.%2.%3."/>
      <w:lvlJc w:val="left"/>
      <w:pPr>
        <w:ind w:left="720" w:hanging="720"/>
      </w:pPr>
      <w:rPr>
        <w:rFonts w:ascii="Verdana" w:eastAsiaTheme="minorEastAsia" w:hAnsi="Verdana" w:cstheme="minorBidi" w:hint="default"/>
        <w:color w:val="333333"/>
        <w:sz w:val="20"/>
        <w:szCs w:val="20"/>
      </w:rPr>
    </w:lvl>
    <w:lvl w:ilvl="3">
      <w:start w:val="1"/>
      <w:numFmt w:val="decimal"/>
      <w:isLgl/>
      <w:lvlText w:val="%1.%2.%3.%4."/>
      <w:lvlJc w:val="left"/>
      <w:pPr>
        <w:ind w:left="720" w:hanging="720"/>
      </w:pPr>
      <w:rPr>
        <w:rFonts w:asciiTheme="minorHAnsi" w:eastAsiaTheme="minorEastAsia" w:hAnsi="Verdana" w:cstheme="minorBidi" w:hint="default"/>
        <w:color w:val="333333"/>
      </w:rPr>
    </w:lvl>
    <w:lvl w:ilvl="4">
      <w:start w:val="1"/>
      <w:numFmt w:val="decimal"/>
      <w:isLgl/>
      <w:lvlText w:val="%1.%2.%3.%4.%5."/>
      <w:lvlJc w:val="left"/>
      <w:pPr>
        <w:ind w:left="1080" w:hanging="1080"/>
      </w:pPr>
      <w:rPr>
        <w:rFonts w:asciiTheme="minorHAnsi" w:eastAsiaTheme="minorEastAsia" w:hAnsi="Verdana" w:cstheme="minorBidi" w:hint="default"/>
        <w:color w:val="333333"/>
      </w:rPr>
    </w:lvl>
    <w:lvl w:ilvl="5">
      <w:start w:val="1"/>
      <w:numFmt w:val="decimal"/>
      <w:isLgl/>
      <w:lvlText w:val="%1.%2.%3.%4.%5.%6."/>
      <w:lvlJc w:val="left"/>
      <w:pPr>
        <w:ind w:left="1080" w:hanging="1080"/>
      </w:pPr>
      <w:rPr>
        <w:rFonts w:asciiTheme="minorHAnsi" w:eastAsiaTheme="minorEastAsia" w:hAnsi="Verdana" w:cstheme="minorBidi" w:hint="default"/>
        <w:color w:val="333333"/>
      </w:rPr>
    </w:lvl>
    <w:lvl w:ilvl="6">
      <w:start w:val="1"/>
      <w:numFmt w:val="decimal"/>
      <w:isLgl/>
      <w:lvlText w:val="%1.%2.%3.%4.%5.%6.%7."/>
      <w:lvlJc w:val="left"/>
      <w:pPr>
        <w:ind w:left="1080" w:hanging="1080"/>
      </w:pPr>
      <w:rPr>
        <w:rFonts w:asciiTheme="minorHAnsi" w:eastAsiaTheme="minorEastAsia" w:hAnsi="Verdana" w:cstheme="minorBidi" w:hint="default"/>
        <w:color w:val="333333"/>
      </w:rPr>
    </w:lvl>
    <w:lvl w:ilvl="7">
      <w:start w:val="1"/>
      <w:numFmt w:val="decimal"/>
      <w:isLgl/>
      <w:lvlText w:val="%1.%2.%3.%4.%5.%6.%7.%8."/>
      <w:lvlJc w:val="left"/>
      <w:pPr>
        <w:ind w:left="1440" w:hanging="1440"/>
      </w:pPr>
      <w:rPr>
        <w:rFonts w:asciiTheme="minorHAnsi" w:eastAsiaTheme="minorEastAsia" w:hAnsi="Verdana" w:cstheme="minorBidi" w:hint="default"/>
        <w:color w:val="333333"/>
      </w:rPr>
    </w:lvl>
    <w:lvl w:ilvl="8">
      <w:start w:val="1"/>
      <w:numFmt w:val="decimal"/>
      <w:isLgl/>
      <w:lvlText w:val="%1.%2.%3.%4.%5.%6.%7.%8.%9."/>
      <w:lvlJc w:val="left"/>
      <w:pPr>
        <w:ind w:left="1440" w:hanging="1440"/>
      </w:pPr>
      <w:rPr>
        <w:rFonts w:asciiTheme="minorHAnsi" w:eastAsiaTheme="minorEastAsia" w:hAnsi="Verdana" w:cstheme="minorBidi" w:hint="default"/>
        <w:color w:val="333333"/>
      </w:rPr>
    </w:lvl>
  </w:abstractNum>
  <w:abstractNum w:abstractNumId="11" w15:restartNumberingAfterBreak="0">
    <w:nsid w:val="3F6A0D7D"/>
    <w:multiLevelType w:val="hybridMultilevel"/>
    <w:tmpl w:val="88268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0E112C">
      <w:start w:val="1"/>
      <w:numFmt w:val="lowerLetter"/>
      <w:lvlText w:val="(%3)"/>
      <w:lvlJc w:val="left"/>
      <w:pPr>
        <w:ind w:left="2520" w:hanging="720"/>
      </w:pPr>
      <w:rPr>
        <w:rFonts w:hint="default"/>
      </w:rPr>
    </w:lvl>
    <w:lvl w:ilvl="3" w:tplc="88F47446">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81E15"/>
    <w:multiLevelType w:val="hybridMultilevel"/>
    <w:tmpl w:val="FA8A35DE"/>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ADA478C"/>
    <w:multiLevelType w:val="multilevel"/>
    <w:tmpl w:val="CE1C87C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4" w15:restartNumberingAfterBreak="0">
    <w:nsid w:val="4D1B376B"/>
    <w:multiLevelType w:val="hybridMultilevel"/>
    <w:tmpl w:val="7B7A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43503"/>
    <w:multiLevelType w:val="hybridMultilevel"/>
    <w:tmpl w:val="50C872A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lowerLetter"/>
      <w:lvlText w:val="(%3)"/>
      <w:lvlJc w:val="left"/>
      <w:pPr>
        <w:ind w:left="3240" w:hanging="720"/>
      </w:pPr>
      <w:rPr>
        <w:rFonts w:hint="default"/>
      </w:rPr>
    </w:lvl>
    <w:lvl w:ilvl="3" w:tplc="FFFFFFFF">
      <w:start w:val="1"/>
      <w:numFmt w:val="decimal"/>
      <w:lvlText w:val="%4."/>
      <w:lvlJc w:val="left"/>
      <w:pPr>
        <w:ind w:left="3600" w:hanging="360"/>
      </w:pPr>
      <w:rPr>
        <w:rFonts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3953481"/>
    <w:multiLevelType w:val="hybridMultilevel"/>
    <w:tmpl w:val="FD44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F71E55"/>
    <w:multiLevelType w:val="hybridMultilevel"/>
    <w:tmpl w:val="21AE8226"/>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836486C"/>
    <w:multiLevelType w:val="hybridMultilevel"/>
    <w:tmpl w:val="28468010"/>
    <w:lvl w:ilvl="0" w:tplc="08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2160" w:hanging="720"/>
      </w:pPr>
      <w:rPr>
        <w:rFonts w:hint="default"/>
      </w:rPr>
    </w:lvl>
    <w:lvl w:ilvl="3" w:tplc="FFFFFFFF">
      <w:start w:val="1"/>
      <w:numFmt w:val="decimal"/>
      <w:lvlText w:val="%4."/>
      <w:lvlJc w:val="left"/>
      <w:pPr>
        <w:ind w:left="2520" w:hanging="360"/>
      </w:pPr>
      <w:rPr>
        <w:rFonts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9C763A3"/>
    <w:multiLevelType w:val="hybridMultilevel"/>
    <w:tmpl w:val="7F4AC12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5B6B5FE3"/>
    <w:multiLevelType w:val="hybridMultilevel"/>
    <w:tmpl w:val="6E6C9636"/>
    <w:lvl w:ilvl="0" w:tplc="16DE916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2409B"/>
    <w:multiLevelType w:val="hybridMultilevel"/>
    <w:tmpl w:val="8EC0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B01453"/>
    <w:multiLevelType w:val="hybridMultilevel"/>
    <w:tmpl w:val="9CAAC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AC09E3"/>
    <w:multiLevelType w:val="hybridMultilevel"/>
    <w:tmpl w:val="CFB0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D697F"/>
    <w:multiLevelType w:val="hybridMultilevel"/>
    <w:tmpl w:val="14B27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A07272"/>
    <w:multiLevelType w:val="hybridMultilevel"/>
    <w:tmpl w:val="A9E2B2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9A5EA3"/>
    <w:multiLevelType w:val="hybridMultilevel"/>
    <w:tmpl w:val="9E3A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4016E"/>
    <w:multiLevelType w:val="hybridMultilevel"/>
    <w:tmpl w:val="10608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D56C34"/>
    <w:multiLevelType w:val="hybridMultilevel"/>
    <w:tmpl w:val="B20C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9133C"/>
    <w:multiLevelType w:val="hybridMultilevel"/>
    <w:tmpl w:val="44F6DF4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0" w15:restartNumberingAfterBreak="0">
    <w:nsid w:val="76BC595A"/>
    <w:multiLevelType w:val="hybridMultilevel"/>
    <w:tmpl w:val="85EA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BC3A38"/>
    <w:multiLevelType w:val="hybridMultilevel"/>
    <w:tmpl w:val="79CC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E078E"/>
    <w:multiLevelType w:val="hybridMultilevel"/>
    <w:tmpl w:val="29783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956670">
    <w:abstractNumId w:val="20"/>
  </w:num>
  <w:num w:numId="2" w16cid:durableId="1072314175">
    <w:abstractNumId w:val="9"/>
  </w:num>
  <w:num w:numId="3" w16cid:durableId="1152137473">
    <w:abstractNumId w:val="10"/>
  </w:num>
  <w:num w:numId="4" w16cid:durableId="1198734916">
    <w:abstractNumId w:val="11"/>
  </w:num>
  <w:num w:numId="5" w16cid:durableId="1662007698">
    <w:abstractNumId w:val="4"/>
  </w:num>
  <w:num w:numId="6" w16cid:durableId="1408385231">
    <w:abstractNumId w:val="12"/>
  </w:num>
  <w:num w:numId="7" w16cid:durableId="1325283204">
    <w:abstractNumId w:val="1"/>
  </w:num>
  <w:num w:numId="8" w16cid:durableId="141317638">
    <w:abstractNumId w:val="32"/>
  </w:num>
  <w:num w:numId="9" w16cid:durableId="891818081">
    <w:abstractNumId w:val="6"/>
  </w:num>
  <w:num w:numId="10" w16cid:durableId="2023966466">
    <w:abstractNumId w:val="24"/>
  </w:num>
  <w:num w:numId="11" w16cid:durableId="1347901531">
    <w:abstractNumId w:val="16"/>
  </w:num>
  <w:num w:numId="12" w16cid:durableId="1828083620">
    <w:abstractNumId w:val="27"/>
  </w:num>
  <w:num w:numId="13" w16cid:durableId="848105465">
    <w:abstractNumId w:val="2"/>
  </w:num>
  <w:num w:numId="14" w16cid:durableId="1026638665">
    <w:abstractNumId w:val="3"/>
  </w:num>
  <w:num w:numId="15" w16cid:durableId="9517142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276849">
    <w:abstractNumId w:val="15"/>
  </w:num>
  <w:num w:numId="17" w16cid:durableId="555554297">
    <w:abstractNumId w:val="18"/>
  </w:num>
  <w:num w:numId="18" w16cid:durableId="1294671690">
    <w:abstractNumId w:val="17"/>
  </w:num>
  <w:num w:numId="19" w16cid:durableId="1443961979">
    <w:abstractNumId w:val="21"/>
  </w:num>
  <w:num w:numId="20" w16cid:durableId="2138453068">
    <w:abstractNumId w:val="7"/>
  </w:num>
  <w:num w:numId="21" w16cid:durableId="556354430">
    <w:abstractNumId w:val="30"/>
  </w:num>
  <w:num w:numId="22" w16cid:durableId="1275553198">
    <w:abstractNumId w:val="8"/>
  </w:num>
  <w:num w:numId="23" w16cid:durableId="562370129">
    <w:abstractNumId w:val="22"/>
  </w:num>
  <w:num w:numId="24" w16cid:durableId="1037437003">
    <w:abstractNumId w:val="25"/>
  </w:num>
  <w:num w:numId="25" w16cid:durableId="273906501">
    <w:abstractNumId w:val="19"/>
  </w:num>
  <w:num w:numId="26" w16cid:durableId="1599294938">
    <w:abstractNumId w:val="13"/>
  </w:num>
  <w:num w:numId="27" w16cid:durableId="1955748347">
    <w:abstractNumId w:val="14"/>
  </w:num>
  <w:num w:numId="28" w16cid:durableId="1312441065">
    <w:abstractNumId w:val="5"/>
  </w:num>
  <w:num w:numId="29" w16cid:durableId="1664819598">
    <w:abstractNumId w:val="26"/>
  </w:num>
  <w:num w:numId="30" w16cid:durableId="469978630">
    <w:abstractNumId w:val="28"/>
  </w:num>
  <w:num w:numId="31" w16cid:durableId="607272082">
    <w:abstractNumId w:val="31"/>
  </w:num>
  <w:num w:numId="32" w16cid:durableId="1072778093">
    <w:abstractNumId w:val="23"/>
  </w:num>
  <w:num w:numId="33" w16cid:durableId="79614541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4C"/>
    <w:rsid w:val="000006F0"/>
    <w:rsid w:val="00000CD6"/>
    <w:rsid w:val="0000141E"/>
    <w:rsid w:val="00001829"/>
    <w:rsid w:val="00001869"/>
    <w:rsid w:val="00002083"/>
    <w:rsid w:val="0000250B"/>
    <w:rsid w:val="0000263C"/>
    <w:rsid w:val="00002918"/>
    <w:rsid w:val="00003621"/>
    <w:rsid w:val="00003E01"/>
    <w:rsid w:val="00004119"/>
    <w:rsid w:val="00004596"/>
    <w:rsid w:val="000046E2"/>
    <w:rsid w:val="0000481F"/>
    <w:rsid w:val="000056A6"/>
    <w:rsid w:val="00005A7F"/>
    <w:rsid w:val="00006CD1"/>
    <w:rsid w:val="000072A5"/>
    <w:rsid w:val="00007343"/>
    <w:rsid w:val="00007595"/>
    <w:rsid w:val="00007A8F"/>
    <w:rsid w:val="000100AC"/>
    <w:rsid w:val="00010404"/>
    <w:rsid w:val="00010490"/>
    <w:rsid w:val="0001066C"/>
    <w:rsid w:val="00010AF9"/>
    <w:rsid w:val="00011126"/>
    <w:rsid w:val="0001168B"/>
    <w:rsid w:val="00011840"/>
    <w:rsid w:val="00011BE8"/>
    <w:rsid w:val="000127D7"/>
    <w:rsid w:val="000136A7"/>
    <w:rsid w:val="000137CF"/>
    <w:rsid w:val="000144B4"/>
    <w:rsid w:val="000149ED"/>
    <w:rsid w:val="0001540E"/>
    <w:rsid w:val="00015C32"/>
    <w:rsid w:val="00016500"/>
    <w:rsid w:val="000174B2"/>
    <w:rsid w:val="00017CC9"/>
    <w:rsid w:val="00020463"/>
    <w:rsid w:val="0002151A"/>
    <w:rsid w:val="000215BD"/>
    <w:rsid w:val="000218C5"/>
    <w:rsid w:val="00021B0F"/>
    <w:rsid w:val="00021D23"/>
    <w:rsid w:val="00021DE1"/>
    <w:rsid w:val="00021F80"/>
    <w:rsid w:val="00021FC3"/>
    <w:rsid w:val="00022214"/>
    <w:rsid w:val="00023517"/>
    <w:rsid w:val="00023A46"/>
    <w:rsid w:val="00023D91"/>
    <w:rsid w:val="00025171"/>
    <w:rsid w:val="00025330"/>
    <w:rsid w:val="00025548"/>
    <w:rsid w:val="00025F82"/>
    <w:rsid w:val="00026EB3"/>
    <w:rsid w:val="00027578"/>
    <w:rsid w:val="000277D9"/>
    <w:rsid w:val="00031B77"/>
    <w:rsid w:val="00031C69"/>
    <w:rsid w:val="000325CF"/>
    <w:rsid w:val="000326A3"/>
    <w:rsid w:val="0003321F"/>
    <w:rsid w:val="00033427"/>
    <w:rsid w:val="000334AB"/>
    <w:rsid w:val="00033D42"/>
    <w:rsid w:val="00034842"/>
    <w:rsid w:val="00035821"/>
    <w:rsid w:val="00035B37"/>
    <w:rsid w:val="00035B6E"/>
    <w:rsid w:val="00035C4C"/>
    <w:rsid w:val="00035C74"/>
    <w:rsid w:val="00035EA3"/>
    <w:rsid w:val="000364D4"/>
    <w:rsid w:val="00036716"/>
    <w:rsid w:val="00036A74"/>
    <w:rsid w:val="000371D2"/>
    <w:rsid w:val="000372A5"/>
    <w:rsid w:val="00037839"/>
    <w:rsid w:val="000412FE"/>
    <w:rsid w:val="000413DA"/>
    <w:rsid w:val="00041659"/>
    <w:rsid w:val="00041E83"/>
    <w:rsid w:val="0004267F"/>
    <w:rsid w:val="00042E76"/>
    <w:rsid w:val="000430A5"/>
    <w:rsid w:val="000438C1"/>
    <w:rsid w:val="00044041"/>
    <w:rsid w:val="0004404A"/>
    <w:rsid w:val="00044D2B"/>
    <w:rsid w:val="00044FE5"/>
    <w:rsid w:val="00045119"/>
    <w:rsid w:val="000452B7"/>
    <w:rsid w:val="000458EE"/>
    <w:rsid w:val="00045933"/>
    <w:rsid w:val="00045C07"/>
    <w:rsid w:val="0004625C"/>
    <w:rsid w:val="00046920"/>
    <w:rsid w:val="00047497"/>
    <w:rsid w:val="00047BE3"/>
    <w:rsid w:val="00050516"/>
    <w:rsid w:val="00050801"/>
    <w:rsid w:val="00050D08"/>
    <w:rsid w:val="0005127F"/>
    <w:rsid w:val="000512DC"/>
    <w:rsid w:val="00051479"/>
    <w:rsid w:val="00051C23"/>
    <w:rsid w:val="00051E6A"/>
    <w:rsid w:val="0005231E"/>
    <w:rsid w:val="00052328"/>
    <w:rsid w:val="000527D8"/>
    <w:rsid w:val="00052879"/>
    <w:rsid w:val="00052948"/>
    <w:rsid w:val="00053BD8"/>
    <w:rsid w:val="00053C91"/>
    <w:rsid w:val="00053DD0"/>
    <w:rsid w:val="00054AE1"/>
    <w:rsid w:val="000557AF"/>
    <w:rsid w:val="0005621B"/>
    <w:rsid w:val="0005665B"/>
    <w:rsid w:val="000568D9"/>
    <w:rsid w:val="00060A72"/>
    <w:rsid w:val="000615D3"/>
    <w:rsid w:val="000616DA"/>
    <w:rsid w:val="00061862"/>
    <w:rsid w:val="000620E3"/>
    <w:rsid w:val="0006219F"/>
    <w:rsid w:val="00062565"/>
    <w:rsid w:val="0006263C"/>
    <w:rsid w:val="00062DA7"/>
    <w:rsid w:val="00063207"/>
    <w:rsid w:val="0006369E"/>
    <w:rsid w:val="000640CB"/>
    <w:rsid w:val="00064600"/>
    <w:rsid w:val="00064BE1"/>
    <w:rsid w:val="00064C22"/>
    <w:rsid w:val="00065492"/>
    <w:rsid w:val="00066206"/>
    <w:rsid w:val="00066391"/>
    <w:rsid w:val="000666A0"/>
    <w:rsid w:val="0006699E"/>
    <w:rsid w:val="00066B8F"/>
    <w:rsid w:val="00066BAF"/>
    <w:rsid w:val="0006745D"/>
    <w:rsid w:val="00067C27"/>
    <w:rsid w:val="00071F7E"/>
    <w:rsid w:val="00072E4B"/>
    <w:rsid w:val="000732FF"/>
    <w:rsid w:val="0007367E"/>
    <w:rsid w:val="00073CEC"/>
    <w:rsid w:val="000741B5"/>
    <w:rsid w:val="00074457"/>
    <w:rsid w:val="00074AA5"/>
    <w:rsid w:val="000758E5"/>
    <w:rsid w:val="00075A21"/>
    <w:rsid w:val="000763E8"/>
    <w:rsid w:val="0007647D"/>
    <w:rsid w:val="000769B0"/>
    <w:rsid w:val="0007761B"/>
    <w:rsid w:val="00077C39"/>
    <w:rsid w:val="00080DC2"/>
    <w:rsid w:val="00080DD0"/>
    <w:rsid w:val="0008139E"/>
    <w:rsid w:val="00081514"/>
    <w:rsid w:val="0008203F"/>
    <w:rsid w:val="000823CA"/>
    <w:rsid w:val="00082ACD"/>
    <w:rsid w:val="000831F9"/>
    <w:rsid w:val="00083699"/>
    <w:rsid w:val="00083A98"/>
    <w:rsid w:val="00083AE7"/>
    <w:rsid w:val="00084366"/>
    <w:rsid w:val="00084477"/>
    <w:rsid w:val="000846A9"/>
    <w:rsid w:val="000848C2"/>
    <w:rsid w:val="00084A54"/>
    <w:rsid w:val="00085002"/>
    <w:rsid w:val="0008546A"/>
    <w:rsid w:val="00085AD7"/>
    <w:rsid w:val="00085F39"/>
    <w:rsid w:val="00085F7C"/>
    <w:rsid w:val="00086419"/>
    <w:rsid w:val="000868C3"/>
    <w:rsid w:val="000869F2"/>
    <w:rsid w:val="000870DD"/>
    <w:rsid w:val="00087443"/>
    <w:rsid w:val="00090296"/>
    <w:rsid w:val="000908D7"/>
    <w:rsid w:val="00090C1A"/>
    <w:rsid w:val="00090CF6"/>
    <w:rsid w:val="00090E6E"/>
    <w:rsid w:val="0009187D"/>
    <w:rsid w:val="000918B9"/>
    <w:rsid w:val="00091E02"/>
    <w:rsid w:val="00092220"/>
    <w:rsid w:val="00092628"/>
    <w:rsid w:val="0009262D"/>
    <w:rsid w:val="00092C96"/>
    <w:rsid w:val="000932D1"/>
    <w:rsid w:val="00093614"/>
    <w:rsid w:val="00093769"/>
    <w:rsid w:val="0009382D"/>
    <w:rsid w:val="00094AB8"/>
    <w:rsid w:val="00094B68"/>
    <w:rsid w:val="00094CBE"/>
    <w:rsid w:val="000950F0"/>
    <w:rsid w:val="0009513E"/>
    <w:rsid w:val="0009528A"/>
    <w:rsid w:val="000954EC"/>
    <w:rsid w:val="00095DD7"/>
    <w:rsid w:val="000965AC"/>
    <w:rsid w:val="000966D7"/>
    <w:rsid w:val="000969DB"/>
    <w:rsid w:val="00096BBE"/>
    <w:rsid w:val="000978E6"/>
    <w:rsid w:val="000979B4"/>
    <w:rsid w:val="00097CDE"/>
    <w:rsid w:val="00097E6B"/>
    <w:rsid w:val="000A01DE"/>
    <w:rsid w:val="000A0652"/>
    <w:rsid w:val="000A06F0"/>
    <w:rsid w:val="000A1AD1"/>
    <w:rsid w:val="000A305F"/>
    <w:rsid w:val="000A3DAC"/>
    <w:rsid w:val="000A43DE"/>
    <w:rsid w:val="000A44C1"/>
    <w:rsid w:val="000A4F18"/>
    <w:rsid w:val="000A5236"/>
    <w:rsid w:val="000A53CA"/>
    <w:rsid w:val="000A5681"/>
    <w:rsid w:val="000A5F33"/>
    <w:rsid w:val="000A67EF"/>
    <w:rsid w:val="000A7120"/>
    <w:rsid w:val="000A723C"/>
    <w:rsid w:val="000A737D"/>
    <w:rsid w:val="000A7D12"/>
    <w:rsid w:val="000A7E6A"/>
    <w:rsid w:val="000B056C"/>
    <w:rsid w:val="000B0E22"/>
    <w:rsid w:val="000B11AB"/>
    <w:rsid w:val="000B17C2"/>
    <w:rsid w:val="000B195D"/>
    <w:rsid w:val="000B1ADB"/>
    <w:rsid w:val="000B228A"/>
    <w:rsid w:val="000B33AB"/>
    <w:rsid w:val="000B3544"/>
    <w:rsid w:val="000B3BE8"/>
    <w:rsid w:val="000B419A"/>
    <w:rsid w:val="000B429F"/>
    <w:rsid w:val="000B49B3"/>
    <w:rsid w:val="000B4B4A"/>
    <w:rsid w:val="000B4F41"/>
    <w:rsid w:val="000B51B8"/>
    <w:rsid w:val="000B5294"/>
    <w:rsid w:val="000B5E89"/>
    <w:rsid w:val="000B61CA"/>
    <w:rsid w:val="000B624A"/>
    <w:rsid w:val="000B66B1"/>
    <w:rsid w:val="000B6E99"/>
    <w:rsid w:val="000B6F68"/>
    <w:rsid w:val="000C0B62"/>
    <w:rsid w:val="000C0B6B"/>
    <w:rsid w:val="000C1BD7"/>
    <w:rsid w:val="000C22C6"/>
    <w:rsid w:val="000C23B4"/>
    <w:rsid w:val="000C2FEA"/>
    <w:rsid w:val="000C306F"/>
    <w:rsid w:val="000C3C74"/>
    <w:rsid w:val="000C45D8"/>
    <w:rsid w:val="000C47D1"/>
    <w:rsid w:val="000C4C4D"/>
    <w:rsid w:val="000C4C69"/>
    <w:rsid w:val="000C4F13"/>
    <w:rsid w:val="000C4FB2"/>
    <w:rsid w:val="000C531F"/>
    <w:rsid w:val="000C57D2"/>
    <w:rsid w:val="000C58DA"/>
    <w:rsid w:val="000C5A6B"/>
    <w:rsid w:val="000C5AD6"/>
    <w:rsid w:val="000C5DD5"/>
    <w:rsid w:val="000C5FA5"/>
    <w:rsid w:val="000C61A3"/>
    <w:rsid w:val="000C623A"/>
    <w:rsid w:val="000C62AD"/>
    <w:rsid w:val="000C686E"/>
    <w:rsid w:val="000C6D68"/>
    <w:rsid w:val="000C7226"/>
    <w:rsid w:val="000C752E"/>
    <w:rsid w:val="000C7787"/>
    <w:rsid w:val="000C7871"/>
    <w:rsid w:val="000C7B78"/>
    <w:rsid w:val="000D0686"/>
    <w:rsid w:val="000D1338"/>
    <w:rsid w:val="000D1436"/>
    <w:rsid w:val="000D18C1"/>
    <w:rsid w:val="000D1969"/>
    <w:rsid w:val="000D1A85"/>
    <w:rsid w:val="000D1B8C"/>
    <w:rsid w:val="000D1F88"/>
    <w:rsid w:val="000D2094"/>
    <w:rsid w:val="000D20F3"/>
    <w:rsid w:val="000D2119"/>
    <w:rsid w:val="000D2336"/>
    <w:rsid w:val="000D2F0D"/>
    <w:rsid w:val="000D32EB"/>
    <w:rsid w:val="000D362A"/>
    <w:rsid w:val="000D4275"/>
    <w:rsid w:val="000D4C23"/>
    <w:rsid w:val="000D4E0C"/>
    <w:rsid w:val="000D59AE"/>
    <w:rsid w:val="000D6174"/>
    <w:rsid w:val="000D65C9"/>
    <w:rsid w:val="000D73FB"/>
    <w:rsid w:val="000D7428"/>
    <w:rsid w:val="000D7469"/>
    <w:rsid w:val="000D75E0"/>
    <w:rsid w:val="000D7716"/>
    <w:rsid w:val="000D773B"/>
    <w:rsid w:val="000D792A"/>
    <w:rsid w:val="000D79DA"/>
    <w:rsid w:val="000D7E00"/>
    <w:rsid w:val="000E0866"/>
    <w:rsid w:val="000E0A6C"/>
    <w:rsid w:val="000E10CD"/>
    <w:rsid w:val="000E2C63"/>
    <w:rsid w:val="000E2EE4"/>
    <w:rsid w:val="000E421C"/>
    <w:rsid w:val="000E4F14"/>
    <w:rsid w:val="000E4F8F"/>
    <w:rsid w:val="000E5367"/>
    <w:rsid w:val="000E5EEA"/>
    <w:rsid w:val="000E6685"/>
    <w:rsid w:val="000E6916"/>
    <w:rsid w:val="000E6D1B"/>
    <w:rsid w:val="000E74ED"/>
    <w:rsid w:val="000E7665"/>
    <w:rsid w:val="000E7AE1"/>
    <w:rsid w:val="000E7C5B"/>
    <w:rsid w:val="000F0217"/>
    <w:rsid w:val="000F086B"/>
    <w:rsid w:val="000F0F84"/>
    <w:rsid w:val="000F1146"/>
    <w:rsid w:val="000F19BC"/>
    <w:rsid w:val="000F2488"/>
    <w:rsid w:val="000F26DE"/>
    <w:rsid w:val="000F3099"/>
    <w:rsid w:val="000F3540"/>
    <w:rsid w:val="000F453D"/>
    <w:rsid w:val="000F50F8"/>
    <w:rsid w:val="000F533E"/>
    <w:rsid w:val="000F5448"/>
    <w:rsid w:val="000F57AD"/>
    <w:rsid w:val="000F57CE"/>
    <w:rsid w:val="000F63CA"/>
    <w:rsid w:val="000F6471"/>
    <w:rsid w:val="000F655C"/>
    <w:rsid w:val="000F6849"/>
    <w:rsid w:val="000F68EC"/>
    <w:rsid w:val="000F6E6A"/>
    <w:rsid w:val="000F7377"/>
    <w:rsid w:val="000F7484"/>
    <w:rsid w:val="000F75AD"/>
    <w:rsid w:val="000F7DC9"/>
    <w:rsid w:val="00100D4D"/>
    <w:rsid w:val="00100D51"/>
    <w:rsid w:val="00100F6D"/>
    <w:rsid w:val="00101E0D"/>
    <w:rsid w:val="00102231"/>
    <w:rsid w:val="001027D7"/>
    <w:rsid w:val="001028C5"/>
    <w:rsid w:val="00102BCD"/>
    <w:rsid w:val="001032C3"/>
    <w:rsid w:val="001033F2"/>
    <w:rsid w:val="00103FBF"/>
    <w:rsid w:val="001047D3"/>
    <w:rsid w:val="0010496D"/>
    <w:rsid w:val="00104ACC"/>
    <w:rsid w:val="0010541E"/>
    <w:rsid w:val="00105599"/>
    <w:rsid w:val="0010570C"/>
    <w:rsid w:val="00105E53"/>
    <w:rsid w:val="001064C5"/>
    <w:rsid w:val="0010651E"/>
    <w:rsid w:val="0010658A"/>
    <w:rsid w:val="00106714"/>
    <w:rsid w:val="001067D5"/>
    <w:rsid w:val="00106DC3"/>
    <w:rsid w:val="00107554"/>
    <w:rsid w:val="0010797A"/>
    <w:rsid w:val="00107C58"/>
    <w:rsid w:val="001106F1"/>
    <w:rsid w:val="00110C33"/>
    <w:rsid w:val="00110C55"/>
    <w:rsid w:val="001111B9"/>
    <w:rsid w:val="00111739"/>
    <w:rsid w:val="001117D1"/>
    <w:rsid w:val="00111A40"/>
    <w:rsid w:val="00111BB8"/>
    <w:rsid w:val="00112570"/>
    <w:rsid w:val="00112BDC"/>
    <w:rsid w:val="00112E12"/>
    <w:rsid w:val="001132D1"/>
    <w:rsid w:val="00113742"/>
    <w:rsid w:val="00114022"/>
    <w:rsid w:val="001141BD"/>
    <w:rsid w:val="001147A5"/>
    <w:rsid w:val="001159D8"/>
    <w:rsid w:val="001160BD"/>
    <w:rsid w:val="001168AA"/>
    <w:rsid w:val="00116969"/>
    <w:rsid w:val="00116DB7"/>
    <w:rsid w:val="001171BF"/>
    <w:rsid w:val="00117BA9"/>
    <w:rsid w:val="00117E33"/>
    <w:rsid w:val="001206A2"/>
    <w:rsid w:val="00120702"/>
    <w:rsid w:val="001218E4"/>
    <w:rsid w:val="001219B8"/>
    <w:rsid w:val="00122538"/>
    <w:rsid w:val="001229FE"/>
    <w:rsid w:val="00122E18"/>
    <w:rsid w:val="00123908"/>
    <w:rsid w:val="00123CEB"/>
    <w:rsid w:val="00123FC5"/>
    <w:rsid w:val="0012454A"/>
    <w:rsid w:val="00124591"/>
    <w:rsid w:val="00124868"/>
    <w:rsid w:val="00124F60"/>
    <w:rsid w:val="00125007"/>
    <w:rsid w:val="00125117"/>
    <w:rsid w:val="001255CF"/>
    <w:rsid w:val="00125714"/>
    <w:rsid w:val="001257EA"/>
    <w:rsid w:val="00125918"/>
    <w:rsid w:val="00125A2F"/>
    <w:rsid w:val="00126038"/>
    <w:rsid w:val="00126135"/>
    <w:rsid w:val="00126865"/>
    <w:rsid w:val="00126D9A"/>
    <w:rsid w:val="00126E5F"/>
    <w:rsid w:val="001272AB"/>
    <w:rsid w:val="00130410"/>
    <w:rsid w:val="00130C42"/>
    <w:rsid w:val="00131390"/>
    <w:rsid w:val="00131FB4"/>
    <w:rsid w:val="00132679"/>
    <w:rsid w:val="00133104"/>
    <w:rsid w:val="00133610"/>
    <w:rsid w:val="001336B9"/>
    <w:rsid w:val="001338FB"/>
    <w:rsid w:val="0013399D"/>
    <w:rsid w:val="00134008"/>
    <w:rsid w:val="0013421D"/>
    <w:rsid w:val="001347DB"/>
    <w:rsid w:val="0013498B"/>
    <w:rsid w:val="001351AB"/>
    <w:rsid w:val="001356F0"/>
    <w:rsid w:val="0013708F"/>
    <w:rsid w:val="00137876"/>
    <w:rsid w:val="00137DA2"/>
    <w:rsid w:val="00137F4E"/>
    <w:rsid w:val="0014004E"/>
    <w:rsid w:val="0014063F"/>
    <w:rsid w:val="00140F4E"/>
    <w:rsid w:val="00141650"/>
    <w:rsid w:val="00141DD7"/>
    <w:rsid w:val="00141EEC"/>
    <w:rsid w:val="001420DE"/>
    <w:rsid w:val="00142279"/>
    <w:rsid w:val="00143C37"/>
    <w:rsid w:val="00143D9E"/>
    <w:rsid w:val="00144085"/>
    <w:rsid w:val="00144411"/>
    <w:rsid w:val="00144A3C"/>
    <w:rsid w:val="00145242"/>
    <w:rsid w:val="0014535E"/>
    <w:rsid w:val="00145E69"/>
    <w:rsid w:val="001461C1"/>
    <w:rsid w:val="0014632C"/>
    <w:rsid w:val="00147B8A"/>
    <w:rsid w:val="00147CEA"/>
    <w:rsid w:val="001504E0"/>
    <w:rsid w:val="00150A60"/>
    <w:rsid w:val="001518DA"/>
    <w:rsid w:val="00151E44"/>
    <w:rsid w:val="00153977"/>
    <w:rsid w:val="00153BA2"/>
    <w:rsid w:val="00153E1D"/>
    <w:rsid w:val="00154316"/>
    <w:rsid w:val="0015456E"/>
    <w:rsid w:val="001546DE"/>
    <w:rsid w:val="0015493E"/>
    <w:rsid w:val="00155027"/>
    <w:rsid w:val="001558D3"/>
    <w:rsid w:val="00156095"/>
    <w:rsid w:val="00156421"/>
    <w:rsid w:val="00156F1D"/>
    <w:rsid w:val="0015705A"/>
    <w:rsid w:val="001575F5"/>
    <w:rsid w:val="001576BC"/>
    <w:rsid w:val="00157C79"/>
    <w:rsid w:val="00157CA5"/>
    <w:rsid w:val="00157CFD"/>
    <w:rsid w:val="00157E99"/>
    <w:rsid w:val="0016019D"/>
    <w:rsid w:val="00161D5D"/>
    <w:rsid w:val="00162940"/>
    <w:rsid w:val="00162E4E"/>
    <w:rsid w:val="00163DCC"/>
    <w:rsid w:val="00163E35"/>
    <w:rsid w:val="001643AE"/>
    <w:rsid w:val="00164590"/>
    <w:rsid w:val="001648DA"/>
    <w:rsid w:val="001648F6"/>
    <w:rsid w:val="00164E17"/>
    <w:rsid w:val="00164FC1"/>
    <w:rsid w:val="001656D4"/>
    <w:rsid w:val="00165F73"/>
    <w:rsid w:val="00166BDC"/>
    <w:rsid w:val="00166F58"/>
    <w:rsid w:val="0016704D"/>
    <w:rsid w:val="001672B4"/>
    <w:rsid w:val="00167496"/>
    <w:rsid w:val="00167618"/>
    <w:rsid w:val="00167FAB"/>
    <w:rsid w:val="00170341"/>
    <w:rsid w:val="001706AA"/>
    <w:rsid w:val="00171121"/>
    <w:rsid w:val="0017147A"/>
    <w:rsid w:val="00171EAC"/>
    <w:rsid w:val="0017303F"/>
    <w:rsid w:val="001731EA"/>
    <w:rsid w:val="0017387D"/>
    <w:rsid w:val="00173A10"/>
    <w:rsid w:val="00173EE1"/>
    <w:rsid w:val="0017494B"/>
    <w:rsid w:val="00175421"/>
    <w:rsid w:val="0017580C"/>
    <w:rsid w:val="00175945"/>
    <w:rsid w:val="00175C3D"/>
    <w:rsid w:val="001765D0"/>
    <w:rsid w:val="00176700"/>
    <w:rsid w:val="0017672F"/>
    <w:rsid w:val="00176B72"/>
    <w:rsid w:val="00180110"/>
    <w:rsid w:val="00180D08"/>
    <w:rsid w:val="00181466"/>
    <w:rsid w:val="00181517"/>
    <w:rsid w:val="001818B5"/>
    <w:rsid w:val="00181E98"/>
    <w:rsid w:val="00181EAC"/>
    <w:rsid w:val="00181EE6"/>
    <w:rsid w:val="00182198"/>
    <w:rsid w:val="00182297"/>
    <w:rsid w:val="0018229F"/>
    <w:rsid w:val="0018230C"/>
    <w:rsid w:val="001823B6"/>
    <w:rsid w:val="001823E9"/>
    <w:rsid w:val="00182869"/>
    <w:rsid w:val="00182BD9"/>
    <w:rsid w:val="00182DCC"/>
    <w:rsid w:val="00182EAD"/>
    <w:rsid w:val="0018352A"/>
    <w:rsid w:val="00183680"/>
    <w:rsid w:val="0018443C"/>
    <w:rsid w:val="00184E97"/>
    <w:rsid w:val="00185229"/>
    <w:rsid w:val="00185234"/>
    <w:rsid w:val="00186652"/>
    <w:rsid w:val="001874DE"/>
    <w:rsid w:val="00187512"/>
    <w:rsid w:val="00187B80"/>
    <w:rsid w:val="00187BF8"/>
    <w:rsid w:val="00190446"/>
    <w:rsid w:val="00190E0E"/>
    <w:rsid w:val="00190F95"/>
    <w:rsid w:val="00191103"/>
    <w:rsid w:val="001914B1"/>
    <w:rsid w:val="001915B8"/>
    <w:rsid w:val="00191611"/>
    <w:rsid w:val="0019192B"/>
    <w:rsid w:val="00191C62"/>
    <w:rsid w:val="00191E34"/>
    <w:rsid w:val="0019277A"/>
    <w:rsid w:val="001928D3"/>
    <w:rsid w:val="00192F56"/>
    <w:rsid w:val="0019373E"/>
    <w:rsid w:val="00193886"/>
    <w:rsid w:val="00193E89"/>
    <w:rsid w:val="0019473C"/>
    <w:rsid w:val="001948C5"/>
    <w:rsid w:val="00194DBB"/>
    <w:rsid w:val="00194DD4"/>
    <w:rsid w:val="001953A0"/>
    <w:rsid w:val="001954BA"/>
    <w:rsid w:val="00195DE0"/>
    <w:rsid w:val="00196100"/>
    <w:rsid w:val="00196536"/>
    <w:rsid w:val="00196A47"/>
    <w:rsid w:val="0019772A"/>
    <w:rsid w:val="00197CA1"/>
    <w:rsid w:val="001A00B1"/>
    <w:rsid w:val="001A00E1"/>
    <w:rsid w:val="001A082F"/>
    <w:rsid w:val="001A1207"/>
    <w:rsid w:val="001A1D41"/>
    <w:rsid w:val="001A1D74"/>
    <w:rsid w:val="001A20AC"/>
    <w:rsid w:val="001A21BF"/>
    <w:rsid w:val="001A230C"/>
    <w:rsid w:val="001A31C3"/>
    <w:rsid w:val="001A41E2"/>
    <w:rsid w:val="001A44E2"/>
    <w:rsid w:val="001A4501"/>
    <w:rsid w:val="001A4508"/>
    <w:rsid w:val="001A45C9"/>
    <w:rsid w:val="001A55CE"/>
    <w:rsid w:val="001A5804"/>
    <w:rsid w:val="001A6E37"/>
    <w:rsid w:val="001A7008"/>
    <w:rsid w:val="001A76AB"/>
    <w:rsid w:val="001A77E1"/>
    <w:rsid w:val="001A7E1E"/>
    <w:rsid w:val="001B035A"/>
    <w:rsid w:val="001B05C2"/>
    <w:rsid w:val="001B0698"/>
    <w:rsid w:val="001B0876"/>
    <w:rsid w:val="001B0EB4"/>
    <w:rsid w:val="001B10BD"/>
    <w:rsid w:val="001B14CC"/>
    <w:rsid w:val="001B169C"/>
    <w:rsid w:val="001B2188"/>
    <w:rsid w:val="001B218B"/>
    <w:rsid w:val="001B21D5"/>
    <w:rsid w:val="001B2543"/>
    <w:rsid w:val="001B27F1"/>
    <w:rsid w:val="001B38BD"/>
    <w:rsid w:val="001B3E6E"/>
    <w:rsid w:val="001B4318"/>
    <w:rsid w:val="001B4A3A"/>
    <w:rsid w:val="001B4BA2"/>
    <w:rsid w:val="001B6299"/>
    <w:rsid w:val="001B63D3"/>
    <w:rsid w:val="001B64D3"/>
    <w:rsid w:val="001B6621"/>
    <w:rsid w:val="001B686D"/>
    <w:rsid w:val="001B6AE2"/>
    <w:rsid w:val="001B6CAB"/>
    <w:rsid w:val="001B7391"/>
    <w:rsid w:val="001B7926"/>
    <w:rsid w:val="001B7BA1"/>
    <w:rsid w:val="001C06F9"/>
    <w:rsid w:val="001C073E"/>
    <w:rsid w:val="001C12AB"/>
    <w:rsid w:val="001C1CCF"/>
    <w:rsid w:val="001C1FC3"/>
    <w:rsid w:val="001C2B19"/>
    <w:rsid w:val="001C31BA"/>
    <w:rsid w:val="001C38B3"/>
    <w:rsid w:val="001C3C5D"/>
    <w:rsid w:val="001C3D12"/>
    <w:rsid w:val="001C4463"/>
    <w:rsid w:val="001C4F42"/>
    <w:rsid w:val="001C5148"/>
    <w:rsid w:val="001C6EF0"/>
    <w:rsid w:val="001C6EF3"/>
    <w:rsid w:val="001C76C6"/>
    <w:rsid w:val="001C7C17"/>
    <w:rsid w:val="001D0247"/>
    <w:rsid w:val="001D041D"/>
    <w:rsid w:val="001D1061"/>
    <w:rsid w:val="001D10D4"/>
    <w:rsid w:val="001D1493"/>
    <w:rsid w:val="001D1496"/>
    <w:rsid w:val="001D1525"/>
    <w:rsid w:val="001D1A9F"/>
    <w:rsid w:val="001D3073"/>
    <w:rsid w:val="001D3473"/>
    <w:rsid w:val="001D347B"/>
    <w:rsid w:val="001D39ED"/>
    <w:rsid w:val="001D41E7"/>
    <w:rsid w:val="001D4590"/>
    <w:rsid w:val="001D4699"/>
    <w:rsid w:val="001D4B54"/>
    <w:rsid w:val="001D4DE8"/>
    <w:rsid w:val="001D531A"/>
    <w:rsid w:val="001D559F"/>
    <w:rsid w:val="001D56D0"/>
    <w:rsid w:val="001D5ADF"/>
    <w:rsid w:val="001D5EDA"/>
    <w:rsid w:val="001D687B"/>
    <w:rsid w:val="001D6AC8"/>
    <w:rsid w:val="001D6D14"/>
    <w:rsid w:val="001D709E"/>
    <w:rsid w:val="001D7D5A"/>
    <w:rsid w:val="001D7DCC"/>
    <w:rsid w:val="001D7E17"/>
    <w:rsid w:val="001E043A"/>
    <w:rsid w:val="001E11AE"/>
    <w:rsid w:val="001E1442"/>
    <w:rsid w:val="001E1A6C"/>
    <w:rsid w:val="001E1CFB"/>
    <w:rsid w:val="001E1FE2"/>
    <w:rsid w:val="001E2521"/>
    <w:rsid w:val="001E275F"/>
    <w:rsid w:val="001E2C8A"/>
    <w:rsid w:val="001E3423"/>
    <w:rsid w:val="001E38DA"/>
    <w:rsid w:val="001E44DB"/>
    <w:rsid w:val="001E461A"/>
    <w:rsid w:val="001E4960"/>
    <w:rsid w:val="001E6730"/>
    <w:rsid w:val="001E6B6F"/>
    <w:rsid w:val="001E70EA"/>
    <w:rsid w:val="001E714B"/>
    <w:rsid w:val="001E7491"/>
    <w:rsid w:val="001E7CB1"/>
    <w:rsid w:val="001F03E4"/>
    <w:rsid w:val="001F091B"/>
    <w:rsid w:val="001F09DD"/>
    <w:rsid w:val="001F0B48"/>
    <w:rsid w:val="001F0C83"/>
    <w:rsid w:val="001F0E4F"/>
    <w:rsid w:val="001F11F4"/>
    <w:rsid w:val="001F1285"/>
    <w:rsid w:val="001F137F"/>
    <w:rsid w:val="001F1C7C"/>
    <w:rsid w:val="001F1FA4"/>
    <w:rsid w:val="001F2CE9"/>
    <w:rsid w:val="001F2ECE"/>
    <w:rsid w:val="001F344C"/>
    <w:rsid w:val="001F3539"/>
    <w:rsid w:val="001F4854"/>
    <w:rsid w:val="001F4971"/>
    <w:rsid w:val="001F4CBC"/>
    <w:rsid w:val="001F5196"/>
    <w:rsid w:val="001F51AA"/>
    <w:rsid w:val="001F544C"/>
    <w:rsid w:val="001F5DA5"/>
    <w:rsid w:val="001F6051"/>
    <w:rsid w:val="001F6119"/>
    <w:rsid w:val="001F6238"/>
    <w:rsid w:val="001F6313"/>
    <w:rsid w:val="001F68BA"/>
    <w:rsid w:val="001F6CEC"/>
    <w:rsid w:val="001F72DD"/>
    <w:rsid w:val="001F76FF"/>
    <w:rsid w:val="001F7C18"/>
    <w:rsid w:val="002002F3"/>
    <w:rsid w:val="002007BD"/>
    <w:rsid w:val="0020083D"/>
    <w:rsid w:val="002008B7"/>
    <w:rsid w:val="00200B45"/>
    <w:rsid w:val="00200FB4"/>
    <w:rsid w:val="00201141"/>
    <w:rsid w:val="0020115A"/>
    <w:rsid w:val="0020147A"/>
    <w:rsid w:val="00202082"/>
    <w:rsid w:val="00202537"/>
    <w:rsid w:val="002028BB"/>
    <w:rsid w:val="00202CEF"/>
    <w:rsid w:val="00203119"/>
    <w:rsid w:val="002038ED"/>
    <w:rsid w:val="002039E6"/>
    <w:rsid w:val="0020439C"/>
    <w:rsid w:val="00204E0D"/>
    <w:rsid w:val="002054CB"/>
    <w:rsid w:val="00205595"/>
    <w:rsid w:val="00205798"/>
    <w:rsid w:val="00205D63"/>
    <w:rsid w:val="002063B9"/>
    <w:rsid w:val="00206596"/>
    <w:rsid w:val="00207067"/>
    <w:rsid w:val="00207517"/>
    <w:rsid w:val="002078D4"/>
    <w:rsid w:val="0020795A"/>
    <w:rsid w:val="00207B83"/>
    <w:rsid w:val="0021018D"/>
    <w:rsid w:val="00210388"/>
    <w:rsid w:val="002104E3"/>
    <w:rsid w:val="00210643"/>
    <w:rsid w:val="002107F9"/>
    <w:rsid w:val="00210956"/>
    <w:rsid w:val="0021114A"/>
    <w:rsid w:val="002115F3"/>
    <w:rsid w:val="00211F28"/>
    <w:rsid w:val="00212371"/>
    <w:rsid w:val="002125B5"/>
    <w:rsid w:val="0021292C"/>
    <w:rsid w:val="0021312F"/>
    <w:rsid w:val="0021336D"/>
    <w:rsid w:val="00213444"/>
    <w:rsid w:val="0021386E"/>
    <w:rsid w:val="00213E6E"/>
    <w:rsid w:val="00214932"/>
    <w:rsid w:val="00214CDE"/>
    <w:rsid w:val="00215035"/>
    <w:rsid w:val="002158BD"/>
    <w:rsid w:val="002159C9"/>
    <w:rsid w:val="00215CDD"/>
    <w:rsid w:val="002160A6"/>
    <w:rsid w:val="00216476"/>
    <w:rsid w:val="00216DAF"/>
    <w:rsid w:val="0021743A"/>
    <w:rsid w:val="00220233"/>
    <w:rsid w:val="0022074C"/>
    <w:rsid w:val="002208D1"/>
    <w:rsid w:val="00220A90"/>
    <w:rsid w:val="00220B71"/>
    <w:rsid w:val="00220E5A"/>
    <w:rsid w:val="00221150"/>
    <w:rsid w:val="002211B3"/>
    <w:rsid w:val="00221766"/>
    <w:rsid w:val="00221824"/>
    <w:rsid w:val="002223BB"/>
    <w:rsid w:val="0022255D"/>
    <w:rsid w:val="0022257E"/>
    <w:rsid w:val="00222832"/>
    <w:rsid w:val="002231E8"/>
    <w:rsid w:val="00223583"/>
    <w:rsid w:val="00223587"/>
    <w:rsid w:val="002245EE"/>
    <w:rsid w:val="002249D1"/>
    <w:rsid w:val="002257A2"/>
    <w:rsid w:val="00225AC6"/>
    <w:rsid w:val="0022685A"/>
    <w:rsid w:val="00226DB4"/>
    <w:rsid w:val="00227F8A"/>
    <w:rsid w:val="002303F2"/>
    <w:rsid w:val="0023071D"/>
    <w:rsid w:val="00230E70"/>
    <w:rsid w:val="0023102E"/>
    <w:rsid w:val="002310B0"/>
    <w:rsid w:val="0023134C"/>
    <w:rsid w:val="002314C8"/>
    <w:rsid w:val="0023150B"/>
    <w:rsid w:val="00231EE7"/>
    <w:rsid w:val="00231FDB"/>
    <w:rsid w:val="00232353"/>
    <w:rsid w:val="00233C49"/>
    <w:rsid w:val="00233CB3"/>
    <w:rsid w:val="00234157"/>
    <w:rsid w:val="00234871"/>
    <w:rsid w:val="0023498B"/>
    <w:rsid w:val="00235AE1"/>
    <w:rsid w:val="00235B77"/>
    <w:rsid w:val="002366BE"/>
    <w:rsid w:val="00236C5A"/>
    <w:rsid w:val="00236EBC"/>
    <w:rsid w:val="002374F0"/>
    <w:rsid w:val="002375FD"/>
    <w:rsid w:val="00237CC3"/>
    <w:rsid w:val="00237CEA"/>
    <w:rsid w:val="00237E6C"/>
    <w:rsid w:val="0024041A"/>
    <w:rsid w:val="00240479"/>
    <w:rsid w:val="00240C57"/>
    <w:rsid w:val="00240D0A"/>
    <w:rsid w:val="00240EF2"/>
    <w:rsid w:val="00240F10"/>
    <w:rsid w:val="00241A8F"/>
    <w:rsid w:val="00241C12"/>
    <w:rsid w:val="00241E08"/>
    <w:rsid w:val="00241F42"/>
    <w:rsid w:val="0024361F"/>
    <w:rsid w:val="00245183"/>
    <w:rsid w:val="002452CF"/>
    <w:rsid w:val="0024533A"/>
    <w:rsid w:val="0024585A"/>
    <w:rsid w:val="00246083"/>
    <w:rsid w:val="0024684B"/>
    <w:rsid w:val="00246B2C"/>
    <w:rsid w:val="00246D1D"/>
    <w:rsid w:val="00246DB0"/>
    <w:rsid w:val="00246DD9"/>
    <w:rsid w:val="002473BB"/>
    <w:rsid w:val="0024757E"/>
    <w:rsid w:val="00250A80"/>
    <w:rsid w:val="00250D13"/>
    <w:rsid w:val="00250F8A"/>
    <w:rsid w:val="00250F8B"/>
    <w:rsid w:val="00251C24"/>
    <w:rsid w:val="00251CB1"/>
    <w:rsid w:val="00251EA4"/>
    <w:rsid w:val="00251F91"/>
    <w:rsid w:val="00252288"/>
    <w:rsid w:val="00252AE4"/>
    <w:rsid w:val="00252C58"/>
    <w:rsid w:val="00253F96"/>
    <w:rsid w:val="00254700"/>
    <w:rsid w:val="00254B22"/>
    <w:rsid w:val="0025559E"/>
    <w:rsid w:val="00256019"/>
    <w:rsid w:val="00256089"/>
    <w:rsid w:val="00256134"/>
    <w:rsid w:val="00256232"/>
    <w:rsid w:val="002562AA"/>
    <w:rsid w:val="002562DA"/>
    <w:rsid w:val="00256EEC"/>
    <w:rsid w:val="0025702B"/>
    <w:rsid w:val="00257091"/>
    <w:rsid w:val="002577CE"/>
    <w:rsid w:val="002579CB"/>
    <w:rsid w:val="00257BBB"/>
    <w:rsid w:val="00257C64"/>
    <w:rsid w:val="0026041E"/>
    <w:rsid w:val="0026083D"/>
    <w:rsid w:val="00260D8D"/>
    <w:rsid w:val="00260F87"/>
    <w:rsid w:val="00260F89"/>
    <w:rsid w:val="002611AE"/>
    <w:rsid w:val="00261353"/>
    <w:rsid w:val="002613A8"/>
    <w:rsid w:val="0026193D"/>
    <w:rsid w:val="002619F7"/>
    <w:rsid w:val="00262A43"/>
    <w:rsid w:val="00262B14"/>
    <w:rsid w:val="00263057"/>
    <w:rsid w:val="00263139"/>
    <w:rsid w:val="002632CA"/>
    <w:rsid w:val="00263FE8"/>
    <w:rsid w:val="0026473D"/>
    <w:rsid w:val="00265544"/>
    <w:rsid w:val="00265690"/>
    <w:rsid w:val="00265A0C"/>
    <w:rsid w:val="00265A5D"/>
    <w:rsid w:val="00265E12"/>
    <w:rsid w:val="002669C8"/>
    <w:rsid w:val="00267561"/>
    <w:rsid w:val="00267F04"/>
    <w:rsid w:val="00270310"/>
    <w:rsid w:val="0027065F"/>
    <w:rsid w:val="00270700"/>
    <w:rsid w:val="00270AAB"/>
    <w:rsid w:val="00270CC1"/>
    <w:rsid w:val="00270FAD"/>
    <w:rsid w:val="00271390"/>
    <w:rsid w:val="002716BD"/>
    <w:rsid w:val="00271B31"/>
    <w:rsid w:val="00272937"/>
    <w:rsid w:val="00272B62"/>
    <w:rsid w:val="00272E12"/>
    <w:rsid w:val="00273B24"/>
    <w:rsid w:val="002745FD"/>
    <w:rsid w:val="0027490C"/>
    <w:rsid w:val="00274B6D"/>
    <w:rsid w:val="00274DC8"/>
    <w:rsid w:val="00275189"/>
    <w:rsid w:val="0027528C"/>
    <w:rsid w:val="00275A3C"/>
    <w:rsid w:val="00275F6D"/>
    <w:rsid w:val="00276494"/>
    <w:rsid w:val="0027659F"/>
    <w:rsid w:val="00276AC6"/>
    <w:rsid w:val="00277349"/>
    <w:rsid w:val="00277D6A"/>
    <w:rsid w:val="00280534"/>
    <w:rsid w:val="00280ED8"/>
    <w:rsid w:val="00281AE3"/>
    <w:rsid w:val="00281D41"/>
    <w:rsid w:val="0028270F"/>
    <w:rsid w:val="002827F2"/>
    <w:rsid w:val="0028291F"/>
    <w:rsid w:val="002837D0"/>
    <w:rsid w:val="00283D08"/>
    <w:rsid w:val="00284437"/>
    <w:rsid w:val="002847C9"/>
    <w:rsid w:val="002847CD"/>
    <w:rsid w:val="002848EC"/>
    <w:rsid w:val="002849F9"/>
    <w:rsid w:val="00284E5A"/>
    <w:rsid w:val="00284F4D"/>
    <w:rsid w:val="002855F3"/>
    <w:rsid w:val="002864CA"/>
    <w:rsid w:val="00286B72"/>
    <w:rsid w:val="0028755B"/>
    <w:rsid w:val="002879B0"/>
    <w:rsid w:val="002903BF"/>
    <w:rsid w:val="002903D0"/>
    <w:rsid w:val="002905D8"/>
    <w:rsid w:val="00290D85"/>
    <w:rsid w:val="00290FAE"/>
    <w:rsid w:val="0029125F"/>
    <w:rsid w:val="00291DAB"/>
    <w:rsid w:val="002922C6"/>
    <w:rsid w:val="00292662"/>
    <w:rsid w:val="00292BF7"/>
    <w:rsid w:val="002936BF"/>
    <w:rsid w:val="00293C15"/>
    <w:rsid w:val="00293EBB"/>
    <w:rsid w:val="00293F29"/>
    <w:rsid w:val="00294EBE"/>
    <w:rsid w:val="0029509B"/>
    <w:rsid w:val="002957B8"/>
    <w:rsid w:val="00295E1B"/>
    <w:rsid w:val="0029657F"/>
    <w:rsid w:val="00296ADB"/>
    <w:rsid w:val="00296AF2"/>
    <w:rsid w:val="00297181"/>
    <w:rsid w:val="0029745F"/>
    <w:rsid w:val="00297FF5"/>
    <w:rsid w:val="002A120C"/>
    <w:rsid w:val="002A146D"/>
    <w:rsid w:val="002A14B4"/>
    <w:rsid w:val="002A1ACA"/>
    <w:rsid w:val="002A1C9C"/>
    <w:rsid w:val="002A1CD2"/>
    <w:rsid w:val="002A20E9"/>
    <w:rsid w:val="002A2253"/>
    <w:rsid w:val="002A2454"/>
    <w:rsid w:val="002A2459"/>
    <w:rsid w:val="002A259A"/>
    <w:rsid w:val="002A26DF"/>
    <w:rsid w:val="002A2965"/>
    <w:rsid w:val="002A30AB"/>
    <w:rsid w:val="002A3341"/>
    <w:rsid w:val="002A3531"/>
    <w:rsid w:val="002A3A7B"/>
    <w:rsid w:val="002A3DA5"/>
    <w:rsid w:val="002A3E31"/>
    <w:rsid w:val="002A4158"/>
    <w:rsid w:val="002A4200"/>
    <w:rsid w:val="002A482A"/>
    <w:rsid w:val="002A49DD"/>
    <w:rsid w:val="002A505E"/>
    <w:rsid w:val="002A5C35"/>
    <w:rsid w:val="002A61AD"/>
    <w:rsid w:val="002A6326"/>
    <w:rsid w:val="002A651A"/>
    <w:rsid w:val="002A7E77"/>
    <w:rsid w:val="002B01B5"/>
    <w:rsid w:val="002B024B"/>
    <w:rsid w:val="002B02E2"/>
    <w:rsid w:val="002B0A8D"/>
    <w:rsid w:val="002B0CDB"/>
    <w:rsid w:val="002B1A2C"/>
    <w:rsid w:val="002B1AAD"/>
    <w:rsid w:val="002B1DCE"/>
    <w:rsid w:val="002B2DA3"/>
    <w:rsid w:val="002B31F0"/>
    <w:rsid w:val="002B3DEF"/>
    <w:rsid w:val="002B3F94"/>
    <w:rsid w:val="002B4486"/>
    <w:rsid w:val="002B5034"/>
    <w:rsid w:val="002B5471"/>
    <w:rsid w:val="002B59F7"/>
    <w:rsid w:val="002B6366"/>
    <w:rsid w:val="002B6852"/>
    <w:rsid w:val="002B72C7"/>
    <w:rsid w:val="002C0BDD"/>
    <w:rsid w:val="002C1843"/>
    <w:rsid w:val="002C18AD"/>
    <w:rsid w:val="002C19C4"/>
    <w:rsid w:val="002C1F04"/>
    <w:rsid w:val="002C20E3"/>
    <w:rsid w:val="002C2F17"/>
    <w:rsid w:val="002C2FE0"/>
    <w:rsid w:val="002C32FA"/>
    <w:rsid w:val="002C38FA"/>
    <w:rsid w:val="002C390C"/>
    <w:rsid w:val="002C4025"/>
    <w:rsid w:val="002C41A6"/>
    <w:rsid w:val="002C42A7"/>
    <w:rsid w:val="002C4891"/>
    <w:rsid w:val="002C48D3"/>
    <w:rsid w:val="002C4FA9"/>
    <w:rsid w:val="002C50FB"/>
    <w:rsid w:val="002C6644"/>
    <w:rsid w:val="002C6C40"/>
    <w:rsid w:val="002C7152"/>
    <w:rsid w:val="002C741C"/>
    <w:rsid w:val="002C748C"/>
    <w:rsid w:val="002D1317"/>
    <w:rsid w:val="002D2F42"/>
    <w:rsid w:val="002D3331"/>
    <w:rsid w:val="002D35DF"/>
    <w:rsid w:val="002D37B3"/>
    <w:rsid w:val="002D38C0"/>
    <w:rsid w:val="002D39C3"/>
    <w:rsid w:val="002D3D87"/>
    <w:rsid w:val="002D3E33"/>
    <w:rsid w:val="002D44C4"/>
    <w:rsid w:val="002D47B4"/>
    <w:rsid w:val="002D4FA0"/>
    <w:rsid w:val="002D52CB"/>
    <w:rsid w:val="002D5C9A"/>
    <w:rsid w:val="002D5D16"/>
    <w:rsid w:val="002D5DEA"/>
    <w:rsid w:val="002D5E9F"/>
    <w:rsid w:val="002D602A"/>
    <w:rsid w:val="002D602B"/>
    <w:rsid w:val="002D6AB2"/>
    <w:rsid w:val="002D73AF"/>
    <w:rsid w:val="002D73E0"/>
    <w:rsid w:val="002D77D7"/>
    <w:rsid w:val="002D782C"/>
    <w:rsid w:val="002D7E51"/>
    <w:rsid w:val="002D7FF5"/>
    <w:rsid w:val="002E008C"/>
    <w:rsid w:val="002E028E"/>
    <w:rsid w:val="002E04E0"/>
    <w:rsid w:val="002E0605"/>
    <w:rsid w:val="002E068E"/>
    <w:rsid w:val="002E0967"/>
    <w:rsid w:val="002E09F4"/>
    <w:rsid w:val="002E11F2"/>
    <w:rsid w:val="002E1F54"/>
    <w:rsid w:val="002E2190"/>
    <w:rsid w:val="002E2377"/>
    <w:rsid w:val="002E2970"/>
    <w:rsid w:val="002E29F9"/>
    <w:rsid w:val="002E368C"/>
    <w:rsid w:val="002E3C0B"/>
    <w:rsid w:val="002E3F80"/>
    <w:rsid w:val="002E4378"/>
    <w:rsid w:val="002E4E7F"/>
    <w:rsid w:val="002E4F64"/>
    <w:rsid w:val="002E52BD"/>
    <w:rsid w:val="002E53A4"/>
    <w:rsid w:val="002E544D"/>
    <w:rsid w:val="002E5D2A"/>
    <w:rsid w:val="002E5F60"/>
    <w:rsid w:val="002E6327"/>
    <w:rsid w:val="002E66EC"/>
    <w:rsid w:val="002E6A9C"/>
    <w:rsid w:val="002E6EBC"/>
    <w:rsid w:val="002E75B7"/>
    <w:rsid w:val="002E77CA"/>
    <w:rsid w:val="002F0C20"/>
    <w:rsid w:val="002F0CAA"/>
    <w:rsid w:val="002F0DDF"/>
    <w:rsid w:val="002F13E2"/>
    <w:rsid w:val="002F1A52"/>
    <w:rsid w:val="002F1E22"/>
    <w:rsid w:val="002F29FF"/>
    <w:rsid w:val="002F2E0D"/>
    <w:rsid w:val="002F3D95"/>
    <w:rsid w:val="002F3DB2"/>
    <w:rsid w:val="002F3E07"/>
    <w:rsid w:val="002F412F"/>
    <w:rsid w:val="002F496A"/>
    <w:rsid w:val="002F518D"/>
    <w:rsid w:val="002F5316"/>
    <w:rsid w:val="002F57CD"/>
    <w:rsid w:val="002F6087"/>
    <w:rsid w:val="002F6913"/>
    <w:rsid w:val="002F6A0E"/>
    <w:rsid w:val="002F7460"/>
    <w:rsid w:val="003000BF"/>
    <w:rsid w:val="003007A3"/>
    <w:rsid w:val="00300B0C"/>
    <w:rsid w:val="00300CDB"/>
    <w:rsid w:val="003014C2"/>
    <w:rsid w:val="00301644"/>
    <w:rsid w:val="003016AC"/>
    <w:rsid w:val="003016FC"/>
    <w:rsid w:val="00301BB0"/>
    <w:rsid w:val="003027E8"/>
    <w:rsid w:val="00302842"/>
    <w:rsid w:val="00302947"/>
    <w:rsid w:val="00302A8E"/>
    <w:rsid w:val="00302C44"/>
    <w:rsid w:val="003034FE"/>
    <w:rsid w:val="003043BB"/>
    <w:rsid w:val="00304502"/>
    <w:rsid w:val="00304BD4"/>
    <w:rsid w:val="00304C45"/>
    <w:rsid w:val="00305765"/>
    <w:rsid w:val="00305FC8"/>
    <w:rsid w:val="0030637E"/>
    <w:rsid w:val="003064EF"/>
    <w:rsid w:val="00306657"/>
    <w:rsid w:val="003067FB"/>
    <w:rsid w:val="003068AD"/>
    <w:rsid w:val="00306942"/>
    <w:rsid w:val="00306AB3"/>
    <w:rsid w:val="0030758D"/>
    <w:rsid w:val="003077E8"/>
    <w:rsid w:val="003100BC"/>
    <w:rsid w:val="003104CC"/>
    <w:rsid w:val="00311173"/>
    <w:rsid w:val="00311446"/>
    <w:rsid w:val="003118FE"/>
    <w:rsid w:val="00311B2E"/>
    <w:rsid w:val="0031230B"/>
    <w:rsid w:val="00312988"/>
    <w:rsid w:val="00312FDA"/>
    <w:rsid w:val="0031304E"/>
    <w:rsid w:val="0031320C"/>
    <w:rsid w:val="00313425"/>
    <w:rsid w:val="0031420D"/>
    <w:rsid w:val="00314476"/>
    <w:rsid w:val="003144B2"/>
    <w:rsid w:val="003147D2"/>
    <w:rsid w:val="00315019"/>
    <w:rsid w:val="00315615"/>
    <w:rsid w:val="00315B47"/>
    <w:rsid w:val="00315EA6"/>
    <w:rsid w:val="00316AC2"/>
    <w:rsid w:val="00316BAC"/>
    <w:rsid w:val="00317801"/>
    <w:rsid w:val="00320657"/>
    <w:rsid w:val="00320873"/>
    <w:rsid w:val="0032188D"/>
    <w:rsid w:val="00321BC8"/>
    <w:rsid w:val="00321BED"/>
    <w:rsid w:val="00321E1F"/>
    <w:rsid w:val="00321FC7"/>
    <w:rsid w:val="003224B7"/>
    <w:rsid w:val="00322817"/>
    <w:rsid w:val="00322E58"/>
    <w:rsid w:val="00322EDB"/>
    <w:rsid w:val="00322FDF"/>
    <w:rsid w:val="0032311C"/>
    <w:rsid w:val="00323269"/>
    <w:rsid w:val="00323529"/>
    <w:rsid w:val="003236AC"/>
    <w:rsid w:val="00323888"/>
    <w:rsid w:val="003244AB"/>
    <w:rsid w:val="003244B4"/>
    <w:rsid w:val="003244DF"/>
    <w:rsid w:val="00324CD9"/>
    <w:rsid w:val="00324E40"/>
    <w:rsid w:val="0032562B"/>
    <w:rsid w:val="00325685"/>
    <w:rsid w:val="003258A4"/>
    <w:rsid w:val="00325A7F"/>
    <w:rsid w:val="00325A81"/>
    <w:rsid w:val="00325B1D"/>
    <w:rsid w:val="00325CB2"/>
    <w:rsid w:val="00325EC0"/>
    <w:rsid w:val="00325FD1"/>
    <w:rsid w:val="00326B44"/>
    <w:rsid w:val="00326BA0"/>
    <w:rsid w:val="00327153"/>
    <w:rsid w:val="003273D9"/>
    <w:rsid w:val="003275E5"/>
    <w:rsid w:val="003277DB"/>
    <w:rsid w:val="00327A14"/>
    <w:rsid w:val="00327DAE"/>
    <w:rsid w:val="00327FC4"/>
    <w:rsid w:val="0033070C"/>
    <w:rsid w:val="00330E8D"/>
    <w:rsid w:val="003314D2"/>
    <w:rsid w:val="00331524"/>
    <w:rsid w:val="00331972"/>
    <w:rsid w:val="00331D31"/>
    <w:rsid w:val="00332412"/>
    <w:rsid w:val="00332FD9"/>
    <w:rsid w:val="00333B88"/>
    <w:rsid w:val="00333B9B"/>
    <w:rsid w:val="00333CFE"/>
    <w:rsid w:val="00334318"/>
    <w:rsid w:val="003347E6"/>
    <w:rsid w:val="00334E82"/>
    <w:rsid w:val="00334ED1"/>
    <w:rsid w:val="00335B22"/>
    <w:rsid w:val="00335DEF"/>
    <w:rsid w:val="00335F2C"/>
    <w:rsid w:val="003364C2"/>
    <w:rsid w:val="00336B06"/>
    <w:rsid w:val="0033751B"/>
    <w:rsid w:val="00337A40"/>
    <w:rsid w:val="00337D70"/>
    <w:rsid w:val="00337FAB"/>
    <w:rsid w:val="00340489"/>
    <w:rsid w:val="00340499"/>
    <w:rsid w:val="00340B93"/>
    <w:rsid w:val="00341C56"/>
    <w:rsid w:val="00341D3C"/>
    <w:rsid w:val="00341F34"/>
    <w:rsid w:val="0034236D"/>
    <w:rsid w:val="00342D62"/>
    <w:rsid w:val="00343E34"/>
    <w:rsid w:val="00343E61"/>
    <w:rsid w:val="00343F1A"/>
    <w:rsid w:val="003441DE"/>
    <w:rsid w:val="003441E3"/>
    <w:rsid w:val="0034431E"/>
    <w:rsid w:val="003448A1"/>
    <w:rsid w:val="00344E8B"/>
    <w:rsid w:val="003450EE"/>
    <w:rsid w:val="00345866"/>
    <w:rsid w:val="00345A82"/>
    <w:rsid w:val="00345F75"/>
    <w:rsid w:val="0034675B"/>
    <w:rsid w:val="0034766A"/>
    <w:rsid w:val="00347955"/>
    <w:rsid w:val="00347C3B"/>
    <w:rsid w:val="00347E44"/>
    <w:rsid w:val="00350320"/>
    <w:rsid w:val="0035059D"/>
    <w:rsid w:val="003516D5"/>
    <w:rsid w:val="0035223E"/>
    <w:rsid w:val="003524BB"/>
    <w:rsid w:val="00352750"/>
    <w:rsid w:val="00352890"/>
    <w:rsid w:val="00353A9F"/>
    <w:rsid w:val="00353F95"/>
    <w:rsid w:val="0035471E"/>
    <w:rsid w:val="00354BBE"/>
    <w:rsid w:val="00355156"/>
    <w:rsid w:val="00356086"/>
    <w:rsid w:val="0035665A"/>
    <w:rsid w:val="00356D66"/>
    <w:rsid w:val="00357265"/>
    <w:rsid w:val="00357417"/>
    <w:rsid w:val="003601B3"/>
    <w:rsid w:val="003609D7"/>
    <w:rsid w:val="00361339"/>
    <w:rsid w:val="00361BFE"/>
    <w:rsid w:val="0036256F"/>
    <w:rsid w:val="0036348F"/>
    <w:rsid w:val="003637B9"/>
    <w:rsid w:val="00363F90"/>
    <w:rsid w:val="00363FC3"/>
    <w:rsid w:val="00364311"/>
    <w:rsid w:val="00364466"/>
    <w:rsid w:val="003648F4"/>
    <w:rsid w:val="00364A02"/>
    <w:rsid w:val="00364AC6"/>
    <w:rsid w:val="003650C5"/>
    <w:rsid w:val="00365152"/>
    <w:rsid w:val="00365EA9"/>
    <w:rsid w:val="00366E34"/>
    <w:rsid w:val="00366E85"/>
    <w:rsid w:val="003670CD"/>
    <w:rsid w:val="003672F4"/>
    <w:rsid w:val="00367A16"/>
    <w:rsid w:val="00370487"/>
    <w:rsid w:val="00370796"/>
    <w:rsid w:val="00370D42"/>
    <w:rsid w:val="0037148B"/>
    <w:rsid w:val="00371D93"/>
    <w:rsid w:val="00372970"/>
    <w:rsid w:val="00373B0E"/>
    <w:rsid w:val="00374962"/>
    <w:rsid w:val="00375F37"/>
    <w:rsid w:val="0037668A"/>
    <w:rsid w:val="00376821"/>
    <w:rsid w:val="00376A05"/>
    <w:rsid w:val="00376F77"/>
    <w:rsid w:val="00377548"/>
    <w:rsid w:val="00377A0E"/>
    <w:rsid w:val="00380539"/>
    <w:rsid w:val="00380F3D"/>
    <w:rsid w:val="00381957"/>
    <w:rsid w:val="00382482"/>
    <w:rsid w:val="00383BE6"/>
    <w:rsid w:val="00384475"/>
    <w:rsid w:val="00384768"/>
    <w:rsid w:val="00384B3A"/>
    <w:rsid w:val="00384C82"/>
    <w:rsid w:val="0038514A"/>
    <w:rsid w:val="003856B9"/>
    <w:rsid w:val="003859D4"/>
    <w:rsid w:val="00385B95"/>
    <w:rsid w:val="003864A7"/>
    <w:rsid w:val="00386578"/>
    <w:rsid w:val="00386CFF"/>
    <w:rsid w:val="00386DFC"/>
    <w:rsid w:val="00387EFF"/>
    <w:rsid w:val="00390040"/>
    <w:rsid w:val="00390117"/>
    <w:rsid w:val="00391A73"/>
    <w:rsid w:val="00391FB9"/>
    <w:rsid w:val="0039296D"/>
    <w:rsid w:val="003930B0"/>
    <w:rsid w:val="00393164"/>
    <w:rsid w:val="003932F3"/>
    <w:rsid w:val="00393462"/>
    <w:rsid w:val="00393D17"/>
    <w:rsid w:val="0039408E"/>
    <w:rsid w:val="0039480D"/>
    <w:rsid w:val="00394B17"/>
    <w:rsid w:val="003955B6"/>
    <w:rsid w:val="00395ABD"/>
    <w:rsid w:val="00395B2B"/>
    <w:rsid w:val="00396C4C"/>
    <w:rsid w:val="00397192"/>
    <w:rsid w:val="003971D1"/>
    <w:rsid w:val="00397C96"/>
    <w:rsid w:val="003A0012"/>
    <w:rsid w:val="003A004F"/>
    <w:rsid w:val="003A0516"/>
    <w:rsid w:val="003A0AFB"/>
    <w:rsid w:val="003A0F24"/>
    <w:rsid w:val="003A1344"/>
    <w:rsid w:val="003A2ADB"/>
    <w:rsid w:val="003A2BD2"/>
    <w:rsid w:val="003A2BD6"/>
    <w:rsid w:val="003A2C8B"/>
    <w:rsid w:val="003A2CC4"/>
    <w:rsid w:val="003A3DDC"/>
    <w:rsid w:val="003A3F14"/>
    <w:rsid w:val="003A41E8"/>
    <w:rsid w:val="003A438D"/>
    <w:rsid w:val="003A4B80"/>
    <w:rsid w:val="003A5604"/>
    <w:rsid w:val="003A61F2"/>
    <w:rsid w:val="003A635F"/>
    <w:rsid w:val="003A6A78"/>
    <w:rsid w:val="003A6DBD"/>
    <w:rsid w:val="003A6EB1"/>
    <w:rsid w:val="003A7047"/>
    <w:rsid w:val="003A740D"/>
    <w:rsid w:val="003A76E1"/>
    <w:rsid w:val="003A7D96"/>
    <w:rsid w:val="003A7E7D"/>
    <w:rsid w:val="003A7F13"/>
    <w:rsid w:val="003B0250"/>
    <w:rsid w:val="003B03DF"/>
    <w:rsid w:val="003B1308"/>
    <w:rsid w:val="003B1B7B"/>
    <w:rsid w:val="003B1D62"/>
    <w:rsid w:val="003B2990"/>
    <w:rsid w:val="003B42C7"/>
    <w:rsid w:val="003B4495"/>
    <w:rsid w:val="003B503F"/>
    <w:rsid w:val="003B5C7B"/>
    <w:rsid w:val="003B5D1F"/>
    <w:rsid w:val="003B5DBC"/>
    <w:rsid w:val="003B6516"/>
    <w:rsid w:val="003B6777"/>
    <w:rsid w:val="003B6DC6"/>
    <w:rsid w:val="003B6DF4"/>
    <w:rsid w:val="003B718E"/>
    <w:rsid w:val="003B75B9"/>
    <w:rsid w:val="003B775B"/>
    <w:rsid w:val="003B78AA"/>
    <w:rsid w:val="003B79CF"/>
    <w:rsid w:val="003B7EC3"/>
    <w:rsid w:val="003C048C"/>
    <w:rsid w:val="003C04C7"/>
    <w:rsid w:val="003C08C9"/>
    <w:rsid w:val="003C0901"/>
    <w:rsid w:val="003C194F"/>
    <w:rsid w:val="003C1975"/>
    <w:rsid w:val="003C19F4"/>
    <w:rsid w:val="003C1A66"/>
    <w:rsid w:val="003C1AE1"/>
    <w:rsid w:val="003C1F0A"/>
    <w:rsid w:val="003C27C7"/>
    <w:rsid w:val="003C2DF6"/>
    <w:rsid w:val="003C2E82"/>
    <w:rsid w:val="003C3259"/>
    <w:rsid w:val="003C3395"/>
    <w:rsid w:val="003C3A7F"/>
    <w:rsid w:val="003C467F"/>
    <w:rsid w:val="003C52B8"/>
    <w:rsid w:val="003C554B"/>
    <w:rsid w:val="003C5B08"/>
    <w:rsid w:val="003C5D75"/>
    <w:rsid w:val="003C6491"/>
    <w:rsid w:val="003C6A1A"/>
    <w:rsid w:val="003C7450"/>
    <w:rsid w:val="003D0916"/>
    <w:rsid w:val="003D224F"/>
    <w:rsid w:val="003D2895"/>
    <w:rsid w:val="003D2B26"/>
    <w:rsid w:val="003D3071"/>
    <w:rsid w:val="003D338C"/>
    <w:rsid w:val="003D37D6"/>
    <w:rsid w:val="003D394F"/>
    <w:rsid w:val="003D3FE9"/>
    <w:rsid w:val="003D45C6"/>
    <w:rsid w:val="003D45CC"/>
    <w:rsid w:val="003D512B"/>
    <w:rsid w:val="003D5230"/>
    <w:rsid w:val="003D5CC2"/>
    <w:rsid w:val="003D5E13"/>
    <w:rsid w:val="003D61EB"/>
    <w:rsid w:val="003D662F"/>
    <w:rsid w:val="003D710A"/>
    <w:rsid w:val="003D7546"/>
    <w:rsid w:val="003D787A"/>
    <w:rsid w:val="003D7D3A"/>
    <w:rsid w:val="003E10CE"/>
    <w:rsid w:val="003E249A"/>
    <w:rsid w:val="003E27C5"/>
    <w:rsid w:val="003E2A6F"/>
    <w:rsid w:val="003E3ED2"/>
    <w:rsid w:val="003E414F"/>
    <w:rsid w:val="003E4610"/>
    <w:rsid w:val="003E4A61"/>
    <w:rsid w:val="003E4BBF"/>
    <w:rsid w:val="003E4F08"/>
    <w:rsid w:val="003E534B"/>
    <w:rsid w:val="003E5429"/>
    <w:rsid w:val="003E5F35"/>
    <w:rsid w:val="003E6216"/>
    <w:rsid w:val="003E63B0"/>
    <w:rsid w:val="003E644E"/>
    <w:rsid w:val="003E645E"/>
    <w:rsid w:val="003E6513"/>
    <w:rsid w:val="003E67D5"/>
    <w:rsid w:val="003E6886"/>
    <w:rsid w:val="003E696D"/>
    <w:rsid w:val="003E6D21"/>
    <w:rsid w:val="003E7305"/>
    <w:rsid w:val="003E768E"/>
    <w:rsid w:val="003E7E43"/>
    <w:rsid w:val="003F0022"/>
    <w:rsid w:val="003F118F"/>
    <w:rsid w:val="003F11C6"/>
    <w:rsid w:val="003F14B5"/>
    <w:rsid w:val="003F166E"/>
    <w:rsid w:val="003F16A1"/>
    <w:rsid w:val="003F1913"/>
    <w:rsid w:val="003F1A0E"/>
    <w:rsid w:val="003F1CDE"/>
    <w:rsid w:val="003F295F"/>
    <w:rsid w:val="003F2E0A"/>
    <w:rsid w:val="003F30B1"/>
    <w:rsid w:val="003F34FC"/>
    <w:rsid w:val="003F37F5"/>
    <w:rsid w:val="003F437A"/>
    <w:rsid w:val="003F4995"/>
    <w:rsid w:val="003F5477"/>
    <w:rsid w:val="003F589B"/>
    <w:rsid w:val="003F58B1"/>
    <w:rsid w:val="003F5EEA"/>
    <w:rsid w:val="003F60D5"/>
    <w:rsid w:val="003F65FC"/>
    <w:rsid w:val="003F782C"/>
    <w:rsid w:val="003F78E8"/>
    <w:rsid w:val="004004DE"/>
    <w:rsid w:val="004007D2"/>
    <w:rsid w:val="00400954"/>
    <w:rsid w:val="00400CDD"/>
    <w:rsid w:val="00401841"/>
    <w:rsid w:val="00401B2C"/>
    <w:rsid w:val="00401C2D"/>
    <w:rsid w:val="00401FB0"/>
    <w:rsid w:val="0040241B"/>
    <w:rsid w:val="004024C7"/>
    <w:rsid w:val="00403D50"/>
    <w:rsid w:val="0040421C"/>
    <w:rsid w:val="004042C0"/>
    <w:rsid w:val="00404430"/>
    <w:rsid w:val="00404BE2"/>
    <w:rsid w:val="0040670B"/>
    <w:rsid w:val="00406A90"/>
    <w:rsid w:val="00407487"/>
    <w:rsid w:val="00407B2C"/>
    <w:rsid w:val="00407D07"/>
    <w:rsid w:val="00410281"/>
    <w:rsid w:val="00410919"/>
    <w:rsid w:val="00410BB5"/>
    <w:rsid w:val="00410BDB"/>
    <w:rsid w:val="00411052"/>
    <w:rsid w:val="0041223F"/>
    <w:rsid w:val="00412271"/>
    <w:rsid w:val="00412878"/>
    <w:rsid w:val="00412C89"/>
    <w:rsid w:val="00412FF7"/>
    <w:rsid w:val="004137FC"/>
    <w:rsid w:val="00414352"/>
    <w:rsid w:val="00414A70"/>
    <w:rsid w:val="00414E73"/>
    <w:rsid w:val="00414F15"/>
    <w:rsid w:val="00414F82"/>
    <w:rsid w:val="00415074"/>
    <w:rsid w:val="00415E73"/>
    <w:rsid w:val="00415EC5"/>
    <w:rsid w:val="00415F24"/>
    <w:rsid w:val="004168D1"/>
    <w:rsid w:val="00417071"/>
    <w:rsid w:val="0041713F"/>
    <w:rsid w:val="004175C6"/>
    <w:rsid w:val="004202D2"/>
    <w:rsid w:val="0042066C"/>
    <w:rsid w:val="00420A7D"/>
    <w:rsid w:val="00420A93"/>
    <w:rsid w:val="00420E6E"/>
    <w:rsid w:val="00421311"/>
    <w:rsid w:val="00421393"/>
    <w:rsid w:val="004216B9"/>
    <w:rsid w:val="00421854"/>
    <w:rsid w:val="00421B48"/>
    <w:rsid w:val="00422558"/>
    <w:rsid w:val="0042352F"/>
    <w:rsid w:val="00423653"/>
    <w:rsid w:val="004240FF"/>
    <w:rsid w:val="004242C7"/>
    <w:rsid w:val="00424575"/>
    <w:rsid w:val="004246D1"/>
    <w:rsid w:val="00425108"/>
    <w:rsid w:val="00425367"/>
    <w:rsid w:val="00425677"/>
    <w:rsid w:val="0042582D"/>
    <w:rsid w:val="00426303"/>
    <w:rsid w:val="00426A5B"/>
    <w:rsid w:val="00426B08"/>
    <w:rsid w:val="004278F1"/>
    <w:rsid w:val="00430573"/>
    <w:rsid w:val="00430857"/>
    <w:rsid w:val="00430858"/>
    <w:rsid w:val="00430D67"/>
    <w:rsid w:val="00431734"/>
    <w:rsid w:val="00431A32"/>
    <w:rsid w:val="00431A34"/>
    <w:rsid w:val="004325C2"/>
    <w:rsid w:val="0043262D"/>
    <w:rsid w:val="004326C6"/>
    <w:rsid w:val="00432A54"/>
    <w:rsid w:val="00432B2A"/>
    <w:rsid w:val="00432BAF"/>
    <w:rsid w:val="00433228"/>
    <w:rsid w:val="0043366E"/>
    <w:rsid w:val="00433B96"/>
    <w:rsid w:val="00433BB3"/>
    <w:rsid w:val="00433EB2"/>
    <w:rsid w:val="00434476"/>
    <w:rsid w:val="0043477A"/>
    <w:rsid w:val="00434BDF"/>
    <w:rsid w:val="0043542C"/>
    <w:rsid w:val="00435E18"/>
    <w:rsid w:val="00435EA0"/>
    <w:rsid w:val="004367A1"/>
    <w:rsid w:val="00436CC6"/>
    <w:rsid w:val="00436D1C"/>
    <w:rsid w:val="004372A2"/>
    <w:rsid w:val="004377DC"/>
    <w:rsid w:val="0043E595"/>
    <w:rsid w:val="00440DBE"/>
    <w:rsid w:val="00441B51"/>
    <w:rsid w:val="0044230E"/>
    <w:rsid w:val="004423D9"/>
    <w:rsid w:val="0044248D"/>
    <w:rsid w:val="00442492"/>
    <w:rsid w:val="00442E4B"/>
    <w:rsid w:val="00442EF6"/>
    <w:rsid w:val="00443470"/>
    <w:rsid w:val="00443627"/>
    <w:rsid w:val="004440D4"/>
    <w:rsid w:val="0044426E"/>
    <w:rsid w:val="00444495"/>
    <w:rsid w:val="00444786"/>
    <w:rsid w:val="00444831"/>
    <w:rsid w:val="004448CA"/>
    <w:rsid w:val="00445073"/>
    <w:rsid w:val="004451C9"/>
    <w:rsid w:val="0044569A"/>
    <w:rsid w:val="0044579C"/>
    <w:rsid w:val="004460D0"/>
    <w:rsid w:val="00446A1A"/>
    <w:rsid w:val="00446BC5"/>
    <w:rsid w:val="00446BDE"/>
    <w:rsid w:val="00447A97"/>
    <w:rsid w:val="00450065"/>
    <w:rsid w:val="0045022D"/>
    <w:rsid w:val="004509BC"/>
    <w:rsid w:val="00450F18"/>
    <w:rsid w:val="00451C21"/>
    <w:rsid w:val="00451E8F"/>
    <w:rsid w:val="0045211F"/>
    <w:rsid w:val="004522D3"/>
    <w:rsid w:val="004522E0"/>
    <w:rsid w:val="00452F4F"/>
    <w:rsid w:val="00453B71"/>
    <w:rsid w:val="00454110"/>
    <w:rsid w:val="0045460F"/>
    <w:rsid w:val="00454B4D"/>
    <w:rsid w:val="00454CE9"/>
    <w:rsid w:val="00455037"/>
    <w:rsid w:val="004557B2"/>
    <w:rsid w:val="00456152"/>
    <w:rsid w:val="00457192"/>
    <w:rsid w:val="0045772C"/>
    <w:rsid w:val="00457C14"/>
    <w:rsid w:val="0046027F"/>
    <w:rsid w:val="004607F5"/>
    <w:rsid w:val="00461770"/>
    <w:rsid w:val="00461B69"/>
    <w:rsid w:val="00461C59"/>
    <w:rsid w:val="00461D11"/>
    <w:rsid w:val="00462810"/>
    <w:rsid w:val="00462AAF"/>
    <w:rsid w:val="00462AE9"/>
    <w:rsid w:val="004630F7"/>
    <w:rsid w:val="0046391A"/>
    <w:rsid w:val="0046431F"/>
    <w:rsid w:val="00464449"/>
    <w:rsid w:val="00464802"/>
    <w:rsid w:val="00465264"/>
    <w:rsid w:val="0046539C"/>
    <w:rsid w:val="00465527"/>
    <w:rsid w:val="00465B20"/>
    <w:rsid w:val="004661AE"/>
    <w:rsid w:val="004665B1"/>
    <w:rsid w:val="004667FD"/>
    <w:rsid w:val="00466C04"/>
    <w:rsid w:val="00466CC4"/>
    <w:rsid w:val="004674FB"/>
    <w:rsid w:val="00467757"/>
    <w:rsid w:val="00467AF9"/>
    <w:rsid w:val="00467B97"/>
    <w:rsid w:val="00467EDC"/>
    <w:rsid w:val="00470155"/>
    <w:rsid w:val="00470976"/>
    <w:rsid w:val="00470B33"/>
    <w:rsid w:val="00470B58"/>
    <w:rsid w:val="00471070"/>
    <w:rsid w:val="0047160D"/>
    <w:rsid w:val="00471DB6"/>
    <w:rsid w:val="004722B1"/>
    <w:rsid w:val="00472479"/>
    <w:rsid w:val="00472741"/>
    <w:rsid w:val="00473048"/>
    <w:rsid w:val="0047366D"/>
    <w:rsid w:val="00473A80"/>
    <w:rsid w:val="00474B55"/>
    <w:rsid w:val="00475074"/>
    <w:rsid w:val="0047612D"/>
    <w:rsid w:val="0047652A"/>
    <w:rsid w:val="0047696C"/>
    <w:rsid w:val="00476F84"/>
    <w:rsid w:val="00477126"/>
    <w:rsid w:val="0047743A"/>
    <w:rsid w:val="00477620"/>
    <w:rsid w:val="004779E2"/>
    <w:rsid w:val="0048004E"/>
    <w:rsid w:val="00480145"/>
    <w:rsid w:val="004807A1"/>
    <w:rsid w:val="00481CE0"/>
    <w:rsid w:val="0048255E"/>
    <w:rsid w:val="004825B0"/>
    <w:rsid w:val="004833CE"/>
    <w:rsid w:val="00483517"/>
    <w:rsid w:val="004848C5"/>
    <w:rsid w:val="00485089"/>
    <w:rsid w:val="004853F2"/>
    <w:rsid w:val="0048588C"/>
    <w:rsid w:val="00485B5F"/>
    <w:rsid w:val="00485B96"/>
    <w:rsid w:val="00486600"/>
    <w:rsid w:val="0048668B"/>
    <w:rsid w:val="00486AB0"/>
    <w:rsid w:val="00487504"/>
    <w:rsid w:val="00487A53"/>
    <w:rsid w:val="00487CC3"/>
    <w:rsid w:val="00490110"/>
    <w:rsid w:val="00490569"/>
    <w:rsid w:val="00491195"/>
    <w:rsid w:val="004914D9"/>
    <w:rsid w:val="00493320"/>
    <w:rsid w:val="004938BD"/>
    <w:rsid w:val="0049422F"/>
    <w:rsid w:val="00494A3D"/>
    <w:rsid w:val="004952F8"/>
    <w:rsid w:val="004955AB"/>
    <w:rsid w:val="004957A7"/>
    <w:rsid w:val="004959E0"/>
    <w:rsid w:val="00495F36"/>
    <w:rsid w:val="00495F6D"/>
    <w:rsid w:val="004963D2"/>
    <w:rsid w:val="00496613"/>
    <w:rsid w:val="00496DFE"/>
    <w:rsid w:val="00496FA9"/>
    <w:rsid w:val="00497198"/>
    <w:rsid w:val="004974DE"/>
    <w:rsid w:val="00497B3D"/>
    <w:rsid w:val="004A01B9"/>
    <w:rsid w:val="004A0377"/>
    <w:rsid w:val="004A05A2"/>
    <w:rsid w:val="004A0675"/>
    <w:rsid w:val="004A0AE4"/>
    <w:rsid w:val="004A0D8F"/>
    <w:rsid w:val="004A1136"/>
    <w:rsid w:val="004A12BB"/>
    <w:rsid w:val="004A131B"/>
    <w:rsid w:val="004A1545"/>
    <w:rsid w:val="004A15B8"/>
    <w:rsid w:val="004A1D1F"/>
    <w:rsid w:val="004A2254"/>
    <w:rsid w:val="004A2942"/>
    <w:rsid w:val="004A2AA2"/>
    <w:rsid w:val="004A33AF"/>
    <w:rsid w:val="004A33BE"/>
    <w:rsid w:val="004A37A2"/>
    <w:rsid w:val="004A39DF"/>
    <w:rsid w:val="004A3BD5"/>
    <w:rsid w:val="004A429D"/>
    <w:rsid w:val="004A5368"/>
    <w:rsid w:val="004A53EC"/>
    <w:rsid w:val="004A5615"/>
    <w:rsid w:val="004A58BC"/>
    <w:rsid w:val="004A5A83"/>
    <w:rsid w:val="004A64BE"/>
    <w:rsid w:val="004A6715"/>
    <w:rsid w:val="004A671A"/>
    <w:rsid w:val="004A6781"/>
    <w:rsid w:val="004A6CC0"/>
    <w:rsid w:val="004A70FD"/>
    <w:rsid w:val="004A712F"/>
    <w:rsid w:val="004A74BF"/>
    <w:rsid w:val="004A7B62"/>
    <w:rsid w:val="004A7BD0"/>
    <w:rsid w:val="004A7D9B"/>
    <w:rsid w:val="004B023D"/>
    <w:rsid w:val="004B025C"/>
    <w:rsid w:val="004B05FC"/>
    <w:rsid w:val="004B09E7"/>
    <w:rsid w:val="004B11F8"/>
    <w:rsid w:val="004B1347"/>
    <w:rsid w:val="004B1695"/>
    <w:rsid w:val="004B18D8"/>
    <w:rsid w:val="004B1A89"/>
    <w:rsid w:val="004B1C5B"/>
    <w:rsid w:val="004B2344"/>
    <w:rsid w:val="004B2D33"/>
    <w:rsid w:val="004B3289"/>
    <w:rsid w:val="004B389E"/>
    <w:rsid w:val="004B3D81"/>
    <w:rsid w:val="004B41BF"/>
    <w:rsid w:val="004B4398"/>
    <w:rsid w:val="004B4550"/>
    <w:rsid w:val="004B4C9A"/>
    <w:rsid w:val="004B521A"/>
    <w:rsid w:val="004B5412"/>
    <w:rsid w:val="004B5510"/>
    <w:rsid w:val="004B5C2A"/>
    <w:rsid w:val="004B5C60"/>
    <w:rsid w:val="004B63C7"/>
    <w:rsid w:val="004B6AEA"/>
    <w:rsid w:val="004B6E07"/>
    <w:rsid w:val="004B76E0"/>
    <w:rsid w:val="004B7A73"/>
    <w:rsid w:val="004C10EE"/>
    <w:rsid w:val="004C18A1"/>
    <w:rsid w:val="004C2082"/>
    <w:rsid w:val="004C222C"/>
    <w:rsid w:val="004C29A2"/>
    <w:rsid w:val="004C2BD9"/>
    <w:rsid w:val="004C2CF6"/>
    <w:rsid w:val="004C2EDE"/>
    <w:rsid w:val="004C2F93"/>
    <w:rsid w:val="004C305C"/>
    <w:rsid w:val="004C30AA"/>
    <w:rsid w:val="004C31E1"/>
    <w:rsid w:val="004C3417"/>
    <w:rsid w:val="004C38DC"/>
    <w:rsid w:val="004C3983"/>
    <w:rsid w:val="004C3B33"/>
    <w:rsid w:val="004C3BC4"/>
    <w:rsid w:val="004C454C"/>
    <w:rsid w:val="004C4884"/>
    <w:rsid w:val="004C4953"/>
    <w:rsid w:val="004C5551"/>
    <w:rsid w:val="004C55D9"/>
    <w:rsid w:val="004C5B03"/>
    <w:rsid w:val="004C600B"/>
    <w:rsid w:val="004C603C"/>
    <w:rsid w:val="004C60A4"/>
    <w:rsid w:val="004C63F8"/>
    <w:rsid w:val="004C67DF"/>
    <w:rsid w:val="004C702A"/>
    <w:rsid w:val="004C768E"/>
    <w:rsid w:val="004C78DE"/>
    <w:rsid w:val="004D0576"/>
    <w:rsid w:val="004D067C"/>
    <w:rsid w:val="004D0877"/>
    <w:rsid w:val="004D0C9F"/>
    <w:rsid w:val="004D0DB1"/>
    <w:rsid w:val="004D0E3D"/>
    <w:rsid w:val="004D145C"/>
    <w:rsid w:val="004D23A2"/>
    <w:rsid w:val="004D267A"/>
    <w:rsid w:val="004D2C81"/>
    <w:rsid w:val="004D2ED3"/>
    <w:rsid w:val="004D350E"/>
    <w:rsid w:val="004D3677"/>
    <w:rsid w:val="004D3C1A"/>
    <w:rsid w:val="004D3E3B"/>
    <w:rsid w:val="004D4150"/>
    <w:rsid w:val="004D45DA"/>
    <w:rsid w:val="004D4629"/>
    <w:rsid w:val="004D5119"/>
    <w:rsid w:val="004D5146"/>
    <w:rsid w:val="004D52E3"/>
    <w:rsid w:val="004D55EF"/>
    <w:rsid w:val="004D5DD8"/>
    <w:rsid w:val="004D6258"/>
    <w:rsid w:val="004D6603"/>
    <w:rsid w:val="004D7630"/>
    <w:rsid w:val="004D7C5B"/>
    <w:rsid w:val="004E0237"/>
    <w:rsid w:val="004E034A"/>
    <w:rsid w:val="004E12F0"/>
    <w:rsid w:val="004E1319"/>
    <w:rsid w:val="004E15C0"/>
    <w:rsid w:val="004E1870"/>
    <w:rsid w:val="004E1B5B"/>
    <w:rsid w:val="004E30ED"/>
    <w:rsid w:val="004E337B"/>
    <w:rsid w:val="004E33D8"/>
    <w:rsid w:val="004E3497"/>
    <w:rsid w:val="004E35A1"/>
    <w:rsid w:val="004E392E"/>
    <w:rsid w:val="004E3DCF"/>
    <w:rsid w:val="004E47F3"/>
    <w:rsid w:val="004E4D5B"/>
    <w:rsid w:val="004E5870"/>
    <w:rsid w:val="004E6B9F"/>
    <w:rsid w:val="004E6ECF"/>
    <w:rsid w:val="004E6F67"/>
    <w:rsid w:val="004E7125"/>
    <w:rsid w:val="004E7598"/>
    <w:rsid w:val="004E769D"/>
    <w:rsid w:val="004F02DF"/>
    <w:rsid w:val="004F05D3"/>
    <w:rsid w:val="004F071B"/>
    <w:rsid w:val="004F0A02"/>
    <w:rsid w:val="004F1DFD"/>
    <w:rsid w:val="004F23FA"/>
    <w:rsid w:val="004F2745"/>
    <w:rsid w:val="004F2CC4"/>
    <w:rsid w:val="004F39D6"/>
    <w:rsid w:val="004F3A73"/>
    <w:rsid w:val="004F4676"/>
    <w:rsid w:val="004F4A41"/>
    <w:rsid w:val="004F4E8C"/>
    <w:rsid w:val="004F525B"/>
    <w:rsid w:val="004F5A89"/>
    <w:rsid w:val="004F605E"/>
    <w:rsid w:val="004F60CE"/>
    <w:rsid w:val="004F68F6"/>
    <w:rsid w:val="004F6CEF"/>
    <w:rsid w:val="004F7114"/>
    <w:rsid w:val="0050010E"/>
    <w:rsid w:val="00500D2D"/>
    <w:rsid w:val="00500FD2"/>
    <w:rsid w:val="00501C0C"/>
    <w:rsid w:val="00501DA0"/>
    <w:rsid w:val="005020B9"/>
    <w:rsid w:val="0050226C"/>
    <w:rsid w:val="005027B6"/>
    <w:rsid w:val="00502BF3"/>
    <w:rsid w:val="005032F8"/>
    <w:rsid w:val="00503A51"/>
    <w:rsid w:val="00503B49"/>
    <w:rsid w:val="00504C38"/>
    <w:rsid w:val="00504F90"/>
    <w:rsid w:val="00505395"/>
    <w:rsid w:val="005053ED"/>
    <w:rsid w:val="00505766"/>
    <w:rsid w:val="00505812"/>
    <w:rsid w:val="005063D6"/>
    <w:rsid w:val="00506586"/>
    <w:rsid w:val="005065A6"/>
    <w:rsid w:val="0050669B"/>
    <w:rsid w:val="00506F72"/>
    <w:rsid w:val="005076A0"/>
    <w:rsid w:val="00507D24"/>
    <w:rsid w:val="0051031F"/>
    <w:rsid w:val="005106D0"/>
    <w:rsid w:val="0051074A"/>
    <w:rsid w:val="00510C53"/>
    <w:rsid w:val="00511AEC"/>
    <w:rsid w:val="00512470"/>
    <w:rsid w:val="0051249A"/>
    <w:rsid w:val="00512853"/>
    <w:rsid w:val="00512A8C"/>
    <w:rsid w:val="00512D31"/>
    <w:rsid w:val="005131F2"/>
    <w:rsid w:val="0051360E"/>
    <w:rsid w:val="0051380A"/>
    <w:rsid w:val="0051393B"/>
    <w:rsid w:val="00513943"/>
    <w:rsid w:val="00513BB8"/>
    <w:rsid w:val="00513D98"/>
    <w:rsid w:val="00514D39"/>
    <w:rsid w:val="00515033"/>
    <w:rsid w:val="0051509C"/>
    <w:rsid w:val="0051514B"/>
    <w:rsid w:val="00515AB2"/>
    <w:rsid w:val="00515B13"/>
    <w:rsid w:val="00515F7C"/>
    <w:rsid w:val="00516139"/>
    <w:rsid w:val="005161DC"/>
    <w:rsid w:val="00516484"/>
    <w:rsid w:val="00516696"/>
    <w:rsid w:val="00516D5B"/>
    <w:rsid w:val="00516E67"/>
    <w:rsid w:val="00516F0D"/>
    <w:rsid w:val="00517899"/>
    <w:rsid w:val="00517901"/>
    <w:rsid w:val="005204A8"/>
    <w:rsid w:val="00520744"/>
    <w:rsid w:val="0052086E"/>
    <w:rsid w:val="00520911"/>
    <w:rsid w:val="0052191D"/>
    <w:rsid w:val="005227C1"/>
    <w:rsid w:val="00522B88"/>
    <w:rsid w:val="00522C25"/>
    <w:rsid w:val="00522FD9"/>
    <w:rsid w:val="00523B4C"/>
    <w:rsid w:val="00523CC8"/>
    <w:rsid w:val="00524014"/>
    <w:rsid w:val="00524277"/>
    <w:rsid w:val="005245B3"/>
    <w:rsid w:val="00524EA5"/>
    <w:rsid w:val="00524F43"/>
    <w:rsid w:val="00525357"/>
    <w:rsid w:val="005257D0"/>
    <w:rsid w:val="005258E7"/>
    <w:rsid w:val="00525C08"/>
    <w:rsid w:val="00525EED"/>
    <w:rsid w:val="00526095"/>
    <w:rsid w:val="00526248"/>
    <w:rsid w:val="005265C3"/>
    <w:rsid w:val="00526FAB"/>
    <w:rsid w:val="0052703C"/>
    <w:rsid w:val="00530331"/>
    <w:rsid w:val="00530D4E"/>
    <w:rsid w:val="00531342"/>
    <w:rsid w:val="00531479"/>
    <w:rsid w:val="00531D99"/>
    <w:rsid w:val="00532A95"/>
    <w:rsid w:val="00532DE8"/>
    <w:rsid w:val="005339B9"/>
    <w:rsid w:val="00533B02"/>
    <w:rsid w:val="00534C10"/>
    <w:rsid w:val="00534CAC"/>
    <w:rsid w:val="00535FEE"/>
    <w:rsid w:val="00536580"/>
    <w:rsid w:val="0053695B"/>
    <w:rsid w:val="00536D9A"/>
    <w:rsid w:val="005379E9"/>
    <w:rsid w:val="005401EA"/>
    <w:rsid w:val="00540720"/>
    <w:rsid w:val="00540F90"/>
    <w:rsid w:val="00540FBB"/>
    <w:rsid w:val="0054167D"/>
    <w:rsid w:val="005417B3"/>
    <w:rsid w:val="00541B6E"/>
    <w:rsid w:val="00542827"/>
    <w:rsid w:val="00542A20"/>
    <w:rsid w:val="00543169"/>
    <w:rsid w:val="005433EA"/>
    <w:rsid w:val="0054341E"/>
    <w:rsid w:val="005437EE"/>
    <w:rsid w:val="00543E36"/>
    <w:rsid w:val="00544390"/>
    <w:rsid w:val="0054445B"/>
    <w:rsid w:val="00544B80"/>
    <w:rsid w:val="00544E7D"/>
    <w:rsid w:val="00544F57"/>
    <w:rsid w:val="00544FE5"/>
    <w:rsid w:val="00545028"/>
    <w:rsid w:val="00545886"/>
    <w:rsid w:val="005459A7"/>
    <w:rsid w:val="005465E6"/>
    <w:rsid w:val="00546B5F"/>
    <w:rsid w:val="0054790E"/>
    <w:rsid w:val="005479E7"/>
    <w:rsid w:val="00547DC6"/>
    <w:rsid w:val="005500F2"/>
    <w:rsid w:val="00550411"/>
    <w:rsid w:val="00550C3F"/>
    <w:rsid w:val="00550FCD"/>
    <w:rsid w:val="005514A1"/>
    <w:rsid w:val="005515BA"/>
    <w:rsid w:val="00551C1B"/>
    <w:rsid w:val="00552760"/>
    <w:rsid w:val="00552831"/>
    <w:rsid w:val="00552D8A"/>
    <w:rsid w:val="00552E49"/>
    <w:rsid w:val="00553135"/>
    <w:rsid w:val="005531D9"/>
    <w:rsid w:val="0055339A"/>
    <w:rsid w:val="005533B8"/>
    <w:rsid w:val="0055371A"/>
    <w:rsid w:val="00553791"/>
    <w:rsid w:val="00553A2E"/>
    <w:rsid w:val="005544F8"/>
    <w:rsid w:val="00554579"/>
    <w:rsid w:val="00554595"/>
    <w:rsid w:val="00555520"/>
    <w:rsid w:val="00556A38"/>
    <w:rsid w:val="00556A5E"/>
    <w:rsid w:val="00556C3E"/>
    <w:rsid w:val="005578C3"/>
    <w:rsid w:val="00557E30"/>
    <w:rsid w:val="00561D86"/>
    <w:rsid w:val="00561DC4"/>
    <w:rsid w:val="00561E17"/>
    <w:rsid w:val="005623B7"/>
    <w:rsid w:val="0056260A"/>
    <w:rsid w:val="00562CE0"/>
    <w:rsid w:val="00563237"/>
    <w:rsid w:val="00563332"/>
    <w:rsid w:val="00563343"/>
    <w:rsid w:val="005636E2"/>
    <w:rsid w:val="0056370D"/>
    <w:rsid w:val="00563A08"/>
    <w:rsid w:val="00563B6A"/>
    <w:rsid w:val="00563E2D"/>
    <w:rsid w:val="00566199"/>
    <w:rsid w:val="00566A4C"/>
    <w:rsid w:val="00566EDA"/>
    <w:rsid w:val="005670DB"/>
    <w:rsid w:val="00567866"/>
    <w:rsid w:val="00570525"/>
    <w:rsid w:val="005705B7"/>
    <w:rsid w:val="00570D13"/>
    <w:rsid w:val="00571B65"/>
    <w:rsid w:val="00572CD5"/>
    <w:rsid w:val="00572E0E"/>
    <w:rsid w:val="005732EB"/>
    <w:rsid w:val="0057367F"/>
    <w:rsid w:val="00573B35"/>
    <w:rsid w:val="0057413C"/>
    <w:rsid w:val="00575D0B"/>
    <w:rsid w:val="00575D22"/>
    <w:rsid w:val="00575DD5"/>
    <w:rsid w:val="00575F2C"/>
    <w:rsid w:val="00576355"/>
    <w:rsid w:val="005763F9"/>
    <w:rsid w:val="00576479"/>
    <w:rsid w:val="00576AF0"/>
    <w:rsid w:val="00576FC4"/>
    <w:rsid w:val="0057712F"/>
    <w:rsid w:val="005803A7"/>
    <w:rsid w:val="00580431"/>
    <w:rsid w:val="005808D1"/>
    <w:rsid w:val="00580D1C"/>
    <w:rsid w:val="00581491"/>
    <w:rsid w:val="005814FC"/>
    <w:rsid w:val="0058196E"/>
    <w:rsid w:val="00581D4C"/>
    <w:rsid w:val="00581E65"/>
    <w:rsid w:val="00581EDF"/>
    <w:rsid w:val="00582159"/>
    <w:rsid w:val="00582A2E"/>
    <w:rsid w:val="005830AD"/>
    <w:rsid w:val="005831C6"/>
    <w:rsid w:val="00583F7F"/>
    <w:rsid w:val="00584CAD"/>
    <w:rsid w:val="00584D07"/>
    <w:rsid w:val="00584D30"/>
    <w:rsid w:val="00584E5B"/>
    <w:rsid w:val="00585023"/>
    <w:rsid w:val="0058524B"/>
    <w:rsid w:val="00585379"/>
    <w:rsid w:val="0058578F"/>
    <w:rsid w:val="005857FB"/>
    <w:rsid w:val="005860DB"/>
    <w:rsid w:val="005867FC"/>
    <w:rsid w:val="00586BF2"/>
    <w:rsid w:val="00587C2A"/>
    <w:rsid w:val="0059039B"/>
    <w:rsid w:val="005905FA"/>
    <w:rsid w:val="00591447"/>
    <w:rsid w:val="005915AA"/>
    <w:rsid w:val="00591AC4"/>
    <w:rsid w:val="005925E5"/>
    <w:rsid w:val="00592648"/>
    <w:rsid w:val="00592FDD"/>
    <w:rsid w:val="00593A89"/>
    <w:rsid w:val="00593DBF"/>
    <w:rsid w:val="00594342"/>
    <w:rsid w:val="00594664"/>
    <w:rsid w:val="00594A7F"/>
    <w:rsid w:val="005951CF"/>
    <w:rsid w:val="005953AB"/>
    <w:rsid w:val="00595547"/>
    <w:rsid w:val="005959FD"/>
    <w:rsid w:val="00595EED"/>
    <w:rsid w:val="005969D9"/>
    <w:rsid w:val="0059730A"/>
    <w:rsid w:val="00597A7F"/>
    <w:rsid w:val="005A01EE"/>
    <w:rsid w:val="005A0269"/>
    <w:rsid w:val="005A06D0"/>
    <w:rsid w:val="005A097C"/>
    <w:rsid w:val="005A1336"/>
    <w:rsid w:val="005A1534"/>
    <w:rsid w:val="005A1623"/>
    <w:rsid w:val="005A182A"/>
    <w:rsid w:val="005A1D87"/>
    <w:rsid w:val="005A1FAE"/>
    <w:rsid w:val="005A5806"/>
    <w:rsid w:val="005A60BD"/>
    <w:rsid w:val="005A66E4"/>
    <w:rsid w:val="005A722C"/>
    <w:rsid w:val="005A7735"/>
    <w:rsid w:val="005A7BC2"/>
    <w:rsid w:val="005A7E2F"/>
    <w:rsid w:val="005A7F6A"/>
    <w:rsid w:val="005B006B"/>
    <w:rsid w:val="005B0144"/>
    <w:rsid w:val="005B1457"/>
    <w:rsid w:val="005B1582"/>
    <w:rsid w:val="005B1A81"/>
    <w:rsid w:val="005B1B4E"/>
    <w:rsid w:val="005B1B79"/>
    <w:rsid w:val="005B1F12"/>
    <w:rsid w:val="005B26E2"/>
    <w:rsid w:val="005B2EC6"/>
    <w:rsid w:val="005B403E"/>
    <w:rsid w:val="005B440E"/>
    <w:rsid w:val="005B5A11"/>
    <w:rsid w:val="005B5A64"/>
    <w:rsid w:val="005B5FE9"/>
    <w:rsid w:val="005B6B15"/>
    <w:rsid w:val="005B6E63"/>
    <w:rsid w:val="005B6F34"/>
    <w:rsid w:val="005B7624"/>
    <w:rsid w:val="005C01B7"/>
    <w:rsid w:val="005C0F84"/>
    <w:rsid w:val="005C1386"/>
    <w:rsid w:val="005C191A"/>
    <w:rsid w:val="005C1B58"/>
    <w:rsid w:val="005C1EA7"/>
    <w:rsid w:val="005C2D60"/>
    <w:rsid w:val="005C3893"/>
    <w:rsid w:val="005C3D74"/>
    <w:rsid w:val="005C43FD"/>
    <w:rsid w:val="005C4C2F"/>
    <w:rsid w:val="005C55AC"/>
    <w:rsid w:val="005C58ED"/>
    <w:rsid w:val="005C596A"/>
    <w:rsid w:val="005C5FDE"/>
    <w:rsid w:val="005C61DF"/>
    <w:rsid w:val="005C64AB"/>
    <w:rsid w:val="005C6693"/>
    <w:rsid w:val="005C7703"/>
    <w:rsid w:val="005C78AE"/>
    <w:rsid w:val="005D086D"/>
    <w:rsid w:val="005D0DFF"/>
    <w:rsid w:val="005D1326"/>
    <w:rsid w:val="005D1DC7"/>
    <w:rsid w:val="005D2327"/>
    <w:rsid w:val="005D28F5"/>
    <w:rsid w:val="005D2A65"/>
    <w:rsid w:val="005D3325"/>
    <w:rsid w:val="005D35C3"/>
    <w:rsid w:val="005D3C46"/>
    <w:rsid w:val="005D497E"/>
    <w:rsid w:val="005D51CA"/>
    <w:rsid w:val="005D524F"/>
    <w:rsid w:val="005D5281"/>
    <w:rsid w:val="005D5A15"/>
    <w:rsid w:val="005D61B2"/>
    <w:rsid w:val="005D68D2"/>
    <w:rsid w:val="005D6D7C"/>
    <w:rsid w:val="005D72F2"/>
    <w:rsid w:val="005D7428"/>
    <w:rsid w:val="005D7B05"/>
    <w:rsid w:val="005D7D04"/>
    <w:rsid w:val="005E00EA"/>
    <w:rsid w:val="005E0204"/>
    <w:rsid w:val="005E1963"/>
    <w:rsid w:val="005E1BFA"/>
    <w:rsid w:val="005E1D58"/>
    <w:rsid w:val="005E24D3"/>
    <w:rsid w:val="005E3EA6"/>
    <w:rsid w:val="005E41DE"/>
    <w:rsid w:val="005E5298"/>
    <w:rsid w:val="005E552A"/>
    <w:rsid w:val="005E5895"/>
    <w:rsid w:val="005E63D6"/>
    <w:rsid w:val="005E6606"/>
    <w:rsid w:val="005E6852"/>
    <w:rsid w:val="005E69C9"/>
    <w:rsid w:val="005E6F9C"/>
    <w:rsid w:val="005E781F"/>
    <w:rsid w:val="005E7C9C"/>
    <w:rsid w:val="005F08A0"/>
    <w:rsid w:val="005F102D"/>
    <w:rsid w:val="005F1288"/>
    <w:rsid w:val="005F1688"/>
    <w:rsid w:val="005F19BF"/>
    <w:rsid w:val="005F2444"/>
    <w:rsid w:val="005F2475"/>
    <w:rsid w:val="005F2BB2"/>
    <w:rsid w:val="005F2C69"/>
    <w:rsid w:val="005F3245"/>
    <w:rsid w:val="005F338E"/>
    <w:rsid w:val="005F366A"/>
    <w:rsid w:val="005F38F1"/>
    <w:rsid w:val="005F41AB"/>
    <w:rsid w:val="005F41DB"/>
    <w:rsid w:val="005F4232"/>
    <w:rsid w:val="005F436C"/>
    <w:rsid w:val="005F4911"/>
    <w:rsid w:val="005F49B4"/>
    <w:rsid w:val="005F51D8"/>
    <w:rsid w:val="005F60D0"/>
    <w:rsid w:val="005F6BD6"/>
    <w:rsid w:val="005F6DB1"/>
    <w:rsid w:val="005F70E3"/>
    <w:rsid w:val="005F73C7"/>
    <w:rsid w:val="005F75CF"/>
    <w:rsid w:val="005F760A"/>
    <w:rsid w:val="005F7887"/>
    <w:rsid w:val="005F7BF3"/>
    <w:rsid w:val="005F7CCB"/>
    <w:rsid w:val="005F7EF0"/>
    <w:rsid w:val="0060008C"/>
    <w:rsid w:val="0060035F"/>
    <w:rsid w:val="0060134D"/>
    <w:rsid w:val="00602BA3"/>
    <w:rsid w:val="00602DCD"/>
    <w:rsid w:val="00603025"/>
    <w:rsid w:val="0060371A"/>
    <w:rsid w:val="006037E8"/>
    <w:rsid w:val="00603D6C"/>
    <w:rsid w:val="006040FB"/>
    <w:rsid w:val="0060430F"/>
    <w:rsid w:val="00604355"/>
    <w:rsid w:val="00605365"/>
    <w:rsid w:val="0060562D"/>
    <w:rsid w:val="0060599C"/>
    <w:rsid w:val="00606A2B"/>
    <w:rsid w:val="00606CE8"/>
    <w:rsid w:val="00606E33"/>
    <w:rsid w:val="00606F91"/>
    <w:rsid w:val="00607005"/>
    <w:rsid w:val="0060716E"/>
    <w:rsid w:val="006074F9"/>
    <w:rsid w:val="00610710"/>
    <w:rsid w:val="006108E7"/>
    <w:rsid w:val="0061098F"/>
    <w:rsid w:val="00611309"/>
    <w:rsid w:val="00611BEE"/>
    <w:rsid w:val="00611D9A"/>
    <w:rsid w:val="00612147"/>
    <w:rsid w:val="006133D8"/>
    <w:rsid w:val="006135DE"/>
    <w:rsid w:val="00613D64"/>
    <w:rsid w:val="00614969"/>
    <w:rsid w:val="00614E18"/>
    <w:rsid w:val="006150F2"/>
    <w:rsid w:val="006156D6"/>
    <w:rsid w:val="00616372"/>
    <w:rsid w:val="00616D21"/>
    <w:rsid w:val="006170DD"/>
    <w:rsid w:val="006175A8"/>
    <w:rsid w:val="00617944"/>
    <w:rsid w:val="006179C4"/>
    <w:rsid w:val="00617A1F"/>
    <w:rsid w:val="00617A8C"/>
    <w:rsid w:val="00617CEA"/>
    <w:rsid w:val="00617DEF"/>
    <w:rsid w:val="00620297"/>
    <w:rsid w:val="00620454"/>
    <w:rsid w:val="00620626"/>
    <w:rsid w:val="00620938"/>
    <w:rsid w:val="0062095A"/>
    <w:rsid w:val="00620FA2"/>
    <w:rsid w:val="006214F8"/>
    <w:rsid w:val="00621D8E"/>
    <w:rsid w:val="00621E13"/>
    <w:rsid w:val="006222D8"/>
    <w:rsid w:val="00622B5D"/>
    <w:rsid w:val="00623129"/>
    <w:rsid w:val="00623240"/>
    <w:rsid w:val="006232EE"/>
    <w:rsid w:val="006235CA"/>
    <w:rsid w:val="00624223"/>
    <w:rsid w:val="006247A8"/>
    <w:rsid w:val="00624C49"/>
    <w:rsid w:val="0062520C"/>
    <w:rsid w:val="00625BB0"/>
    <w:rsid w:val="00625CFA"/>
    <w:rsid w:val="00625E1B"/>
    <w:rsid w:val="00626305"/>
    <w:rsid w:val="00626C47"/>
    <w:rsid w:val="006270FA"/>
    <w:rsid w:val="0062734E"/>
    <w:rsid w:val="00627407"/>
    <w:rsid w:val="006276B7"/>
    <w:rsid w:val="00630756"/>
    <w:rsid w:val="00630A5D"/>
    <w:rsid w:val="00630FEB"/>
    <w:rsid w:val="0063114C"/>
    <w:rsid w:val="006312E3"/>
    <w:rsid w:val="0063130F"/>
    <w:rsid w:val="00632C2B"/>
    <w:rsid w:val="00632D00"/>
    <w:rsid w:val="00632DE4"/>
    <w:rsid w:val="00633999"/>
    <w:rsid w:val="006339C0"/>
    <w:rsid w:val="00633FAE"/>
    <w:rsid w:val="006343E1"/>
    <w:rsid w:val="006346BF"/>
    <w:rsid w:val="0063488C"/>
    <w:rsid w:val="00634D1B"/>
    <w:rsid w:val="006353CE"/>
    <w:rsid w:val="006354F1"/>
    <w:rsid w:val="006359CF"/>
    <w:rsid w:val="00635B22"/>
    <w:rsid w:val="0063623B"/>
    <w:rsid w:val="006364D9"/>
    <w:rsid w:val="0063663D"/>
    <w:rsid w:val="0063679A"/>
    <w:rsid w:val="0063735C"/>
    <w:rsid w:val="006378C0"/>
    <w:rsid w:val="00637EA9"/>
    <w:rsid w:val="00637F22"/>
    <w:rsid w:val="00637F8E"/>
    <w:rsid w:val="00640716"/>
    <w:rsid w:val="00640BF0"/>
    <w:rsid w:val="0064152C"/>
    <w:rsid w:val="00641B24"/>
    <w:rsid w:val="00641E51"/>
    <w:rsid w:val="00642C0E"/>
    <w:rsid w:val="006432CB"/>
    <w:rsid w:val="006432DD"/>
    <w:rsid w:val="0064370C"/>
    <w:rsid w:val="00643AD2"/>
    <w:rsid w:val="00644120"/>
    <w:rsid w:val="006441E1"/>
    <w:rsid w:val="0064497D"/>
    <w:rsid w:val="00644D81"/>
    <w:rsid w:val="00644F2A"/>
    <w:rsid w:val="0064518F"/>
    <w:rsid w:val="00645BA8"/>
    <w:rsid w:val="006464EC"/>
    <w:rsid w:val="00646794"/>
    <w:rsid w:val="00646E8C"/>
    <w:rsid w:val="00646F51"/>
    <w:rsid w:val="00647444"/>
    <w:rsid w:val="006475C2"/>
    <w:rsid w:val="0064780E"/>
    <w:rsid w:val="00647AF5"/>
    <w:rsid w:val="00647CFD"/>
    <w:rsid w:val="00647D6F"/>
    <w:rsid w:val="00647EFB"/>
    <w:rsid w:val="006500ED"/>
    <w:rsid w:val="00650249"/>
    <w:rsid w:val="006504FC"/>
    <w:rsid w:val="006506AF"/>
    <w:rsid w:val="0065090D"/>
    <w:rsid w:val="00650D82"/>
    <w:rsid w:val="00650E6E"/>
    <w:rsid w:val="006510D3"/>
    <w:rsid w:val="00651408"/>
    <w:rsid w:val="00652146"/>
    <w:rsid w:val="006524E0"/>
    <w:rsid w:val="0065268F"/>
    <w:rsid w:val="00652775"/>
    <w:rsid w:val="0065363B"/>
    <w:rsid w:val="00653851"/>
    <w:rsid w:val="00653C4D"/>
    <w:rsid w:val="00653DFE"/>
    <w:rsid w:val="00653ED5"/>
    <w:rsid w:val="006542AE"/>
    <w:rsid w:val="00654AE3"/>
    <w:rsid w:val="00654C94"/>
    <w:rsid w:val="0065531E"/>
    <w:rsid w:val="0065564D"/>
    <w:rsid w:val="00655D78"/>
    <w:rsid w:val="006560D0"/>
    <w:rsid w:val="0065622C"/>
    <w:rsid w:val="006562DB"/>
    <w:rsid w:val="00657047"/>
    <w:rsid w:val="006572CF"/>
    <w:rsid w:val="00657702"/>
    <w:rsid w:val="00657ADA"/>
    <w:rsid w:val="00657CE2"/>
    <w:rsid w:val="00657F66"/>
    <w:rsid w:val="00660C3D"/>
    <w:rsid w:val="006616DF"/>
    <w:rsid w:val="00661BDA"/>
    <w:rsid w:val="00661F04"/>
    <w:rsid w:val="006622A4"/>
    <w:rsid w:val="006625A6"/>
    <w:rsid w:val="00662CD3"/>
    <w:rsid w:val="00662DE7"/>
    <w:rsid w:val="00663ADB"/>
    <w:rsid w:val="00663AEE"/>
    <w:rsid w:val="00663DBF"/>
    <w:rsid w:val="006664DE"/>
    <w:rsid w:val="006665BB"/>
    <w:rsid w:val="00666712"/>
    <w:rsid w:val="00666952"/>
    <w:rsid w:val="006673D4"/>
    <w:rsid w:val="00667DA8"/>
    <w:rsid w:val="00670D4B"/>
    <w:rsid w:val="006710EE"/>
    <w:rsid w:val="00671403"/>
    <w:rsid w:val="00671EE8"/>
    <w:rsid w:val="0067262B"/>
    <w:rsid w:val="00672A1F"/>
    <w:rsid w:val="00672B9C"/>
    <w:rsid w:val="00673461"/>
    <w:rsid w:val="00673EF3"/>
    <w:rsid w:val="00675178"/>
    <w:rsid w:val="00675E20"/>
    <w:rsid w:val="006778A8"/>
    <w:rsid w:val="00677A29"/>
    <w:rsid w:val="00677B8F"/>
    <w:rsid w:val="00677BC0"/>
    <w:rsid w:val="00677D7D"/>
    <w:rsid w:val="00677EAA"/>
    <w:rsid w:val="00677EC5"/>
    <w:rsid w:val="00680647"/>
    <w:rsid w:val="006806D1"/>
    <w:rsid w:val="006807AD"/>
    <w:rsid w:val="006816CF"/>
    <w:rsid w:val="00681869"/>
    <w:rsid w:val="00682378"/>
    <w:rsid w:val="00682760"/>
    <w:rsid w:val="0068278F"/>
    <w:rsid w:val="00682E46"/>
    <w:rsid w:val="00683715"/>
    <w:rsid w:val="00684302"/>
    <w:rsid w:val="0068441F"/>
    <w:rsid w:val="006846FA"/>
    <w:rsid w:val="00684A01"/>
    <w:rsid w:val="00684E2B"/>
    <w:rsid w:val="006851A9"/>
    <w:rsid w:val="00685438"/>
    <w:rsid w:val="00685F9F"/>
    <w:rsid w:val="00685FDB"/>
    <w:rsid w:val="00687013"/>
    <w:rsid w:val="006875A8"/>
    <w:rsid w:val="00687A51"/>
    <w:rsid w:val="00690231"/>
    <w:rsid w:val="0069035D"/>
    <w:rsid w:val="00691306"/>
    <w:rsid w:val="00691F0C"/>
    <w:rsid w:val="0069258F"/>
    <w:rsid w:val="006925D4"/>
    <w:rsid w:val="00692976"/>
    <w:rsid w:val="00692979"/>
    <w:rsid w:val="00692D85"/>
    <w:rsid w:val="006935B8"/>
    <w:rsid w:val="00693665"/>
    <w:rsid w:val="006936D3"/>
    <w:rsid w:val="00693C8A"/>
    <w:rsid w:val="00693E13"/>
    <w:rsid w:val="00694087"/>
    <w:rsid w:val="00694AD7"/>
    <w:rsid w:val="00694E1E"/>
    <w:rsid w:val="00694E30"/>
    <w:rsid w:val="00695F75"/>
    <w:rsid w:val="00696260"/>
    <w:rsid w:val="00696368"/>
    <w:rsid w:val="006964B4"/>
    <w:rsid w:val="00696BF6"/>
    <w:rsid w:val="00697272"/>
    <w:rsid w:val="006979B8"/>
    <w:rsid w:val="00697E63"/>
    <w:rsid w:val="006A0079"/>
    <w:rsid w:val="006A083C"/>
    <w:rsid w:val="006A0D98"/>
    <w:rsid w:val="006A0E4D"/>
    <w:rsid w:val="006A0ECD"/>
    <w:rsid w:val="006A19D3"/>
    <w:rsid w:val="006A1CCE"/>
    <w:rsid w:val="006A1E10"/>
    <w:rsid w:val="006A1E22"/>
    <w:rsid w:val="006A1EF5"/>
    <w:rsid w:val="006A2800"/>
    <w:rsid w:val="006A2FFC"/>
    <w:rsid w:val="006A3037"/>
    <w:rsid w:val="006A36EF"/>
    <w:rsid w:val="006A3A08"/>
    <w:rsid w:val="006A3A62"/>
    <w:rsid w:val="006A418A"/>
    <w:rsid w:val="006A4338"/>
    <w:rsid w:val="006A4AE1"/>
    <w:rsid w:val="006A4CA7"/>
    <w:rsid w:val="006A50CC"/>
    <w:rsid w:val="006A55F9"/>
    <w:rsid w:val="006A5A5C"/>
    <w:rsid w:val="006A5B9D"/>
    <w:rsid w:val="006A5CD8"/>
    <w:rsid w:val="006A600F"/>
    <w:rsid w:val="006A6E0D"/>
    <w:rsid w:val="006A7154"/>
    <w:rsid w:val="006A7AA9"/>
    <w:rsid w:val="006A7FD6"/>
    <w:rsid w:val="006B0379"/>
    <w:rsid w:val="006B0980"/>
    <w:rsid w:val="006B23E3"/>
    <w:rsid w:val="006B244A"/>
    <w:rsid w:val="006B2D1C"/>
    <w:rsid w:val="006B2D37"/>
    <w:rsid w:val="006B323D"/>
    <w:rsid w:val="006B3807"/>
    <w:rsid w:val="006B4C40"/>
    <w:rsid w:val="006B4F83"/>
    <w:rsid w:val="006B4F93"/>
    <w:rsid w:val="006B5CF9"/>
    <w:rsid w:val="006B6200"/>
    <w:rsid w:val="006B667B"/>
    <w:rsid w:val="006B69EE"/>
    <w:rsid w:val="006B6CBE"/>
    <w:rsid w:val="006B79CB"/>
    <w:rsid w:val="006B7B2C"/>
    <w:rsid w:val="006C0187"/>
    <w:rsid w:val="006C0375"/>
    <w:rsid w:val="006C0D12"/>
    <w:rsid w:val="006C0D7F"/>
    <w:rsid w:val="006C0DC2"/>
    <w:rsid w:val="006C1011"/>
    <w:rsid w:val="006C1F52"/>
    <w:rsid w:val="006C20B1"/>
    <w:rsid w:val="006C2255"/>
    <w:rsid w:val="006C25F9"/>
    <w:rsid w:val="006C278C"/>
    <w:rsid w:val="006C29EC"/>
    <w:rsid w:val="006C2BAF"/>
    <w:rsid w:val="006C2ED1"/>
    <w:rsid w:val="006C34A0"/>
    <w:rsid w:val="006C3B27"/>
    <w:rsid w:val="006C3E74"/>
    <w:rsid w:val="006C4A89"/>
    <w:rsid w:val="006C5133"/>
    <w:rsid w:val="006C60A1"/>
    <w:rsid w:val="006C6397"/>
    <w:rsid w:val="006C68F5"/>
    <w:rsid w:val="006C6C03"/>
    <w:rsid w:val="006C72FF"/>
    <w:rsid w:val="006C76CE"/>
    <w:rsid w:val="006C77E7"/>
    <w:rsid w:val="006C7894"/>
    <w:rsid w:val="006C7C0C"/>
    <w:rsid w:val="006D01A6"/>
    <w:rsid w:val="006D0B1A"/>
    <w:rsid w:val="006D0E45"/>
    <w:rsid w:val="006D145D"/>
    <w:rsid w:val="006D15E4"/>
    <w:rsid w:val="006D162C"/>
    <w:rsid w:val="006D1963"/>
    <w:rsid w:val="006D1B2A"/>
    <w:rsid w:val="006D203A"/>
    <w:rsid w:val="006D4283"/>
    <w:rsid w:val="006D4668"/>
    <w:rsid w:val="006D49F9"/>
    <w:rsid w:val="006D6285"/>
    <w:rsid w:val="006D6378"/>
    <w:rsid w:val="006D65E0"/>
    <w:rsid w:val="006D6780"/>
    <w:rsid w:val="006D691C"/>
    <w:rsid w:val="006D6987"/>
    <w:rsid w:val="006D7632"/>
    <w:rsid w:val="006E01FC"/>
    <w:rsid w:val="006E0593"/>
    <w:rsid w:val="006E05DA"/>
    <w:rsid w:val="006E0967"/>
    <w:rsid w:val="006E1047"/>
    <w:rsid w:val="006E158F"/>
    <w:rsid w:val="006E1C13"/>
    <w:rsid w:val="006E1F6E"/>
    <w:rsid w:val="006E202E"/>
    <w:rsid w:val="006E20E4"/>
    <w:rsid w:val="006E26F2"/>
    <w:rsid w:val="006E301A"/>
    <w:rsid w:val="006E3D09"/>
    <w:rsid w:val="006E3E00"/>
    <w:rsid w:val="006E433D"/>
    <w:rsid w:val="006E442C"/>
    <w:rsid w:val="006E45D8"/>
    <w:rsid w:val="006E46BB"/>
    <w:rsid w:val="006E4915"/>
    <w:rsid w:val="006E49A7"/>
    <w:rsid w:val="006E4ADC"/>
    <w:rsid w:val="006E4C3C"/>
    <w:rsid w:val="006E51B2"/>
    <w:rsid w:val="006E58DF"/>
    <w:rsid w:val="006E5E17"/>
    <w:rsid w:val="006E64AD"/>
    <w:rsid w:val="006E68A4"/>
    <w:rsid w:val="006E6A88"/>
    <w:rsid w:val="006E6AE0"/>
    <w:rsid w:val="006E6AF1"/>
    <w:rsid w:val="006E7134"/>
    <w:rsid w:val="006E769A"/>
    <w:rsid w:val="006E78F3"/>
    <w:rsid w:val="006F0451"/>
    <w:rsid w:val="006F0889"/>
    <w:rsid w:val="006F095D"/>
    <w:rsid w:val="006F0D22"/>
    <w:rsid w:val="006F0F8A"/>
    <w:rsid w:val="006F129F"/>
    <w:rsid w:val="006F2BFE"/>
    <w:rsid w:val="006F3029"/>
    <w:rsid w:val="006F3E12"/>
    <w:rsid w:val="006F3FCB"/>
    <w:rsid w:val="006F42A2"/>
    <w:rsid w:val="006F47C7"/>
    <w:rsid w:val="006F51FA"/>
    <w:rsid w:val="006F561D"/>
    <w:rsid w:val="006F58ED"/>
    <w:rsid w:val="006F5B08"/>
    <w:rsid w:val="006F6306"/>
    <w:rsid w:val="006F64C5"/>
    <w:rsid w:val="006F68DB"/>
    <w:rsid w:val="006F694D"/>
    <w:rsid w:val="006F7336"/>
    <w:rsid w:val="006F78D6"/>
    <w:rsid w:val="006F78EE"/>
    <w:rsid w:val="006F7A51"/>
    <w:rsid w:val="0070017E"/>
    <w:rsid w:val="007012EA"/>
    <w:rsid w:val="00701600"/>
    <w:rsid w:val="007020BE"/>
    <w:rsid w:val="007023DF"/>
    <w:rsid w:val="007025A6"/>
    <w:rsid w:val="00702A0A"/>
    <w:rsid w:val="00703042"/>
    <w:rsid w:val="007033AE"/>
    <w:rsid w:val="00703B50"/>
    <w:rsid w:val="00703E92"/>
    <w:rsid w:val="00704199"/>
    <w:rsid w:val="0070516D"/>
    <w:rsid w:val="007052EA"/>
    <w:rsid w:val="007055DD"/>
    <w:rsid w:val="007059BF"/>
    <w:rsid w:val="00705CF8"/>
    <w:rsid w:val="0070630A"/>
    <w:rsid w:val="00706A2D"/>
    <w:rsid w:val="00706BA9"/>
    <w:rsid w:val="00706D0B"/>
    <w:rsid w:val="00706DEA"/>
    <w:rsid w:val="00710312"/>
    <w:rsid w:val="00710689"/>
    <w:rsid w:val="00710DF0"/>
    <w:rsid w:val="00711109"/>
    <w:rsid w:val="00712058"/>
    <w:rsid w:val="00712152"/>
    <w:rsid w:val="00712F2F"/>
    <w:rsid w:val="00712FFB"/>
    <w:rsid w:val="00713878"/>
    <w:rsid w:val="00713911"/>
    <w:rsid w:val="00713961"/>
    <w:rsid w:val="00714401"/>
    <w:rsid w:val="00714773"/>
    <w:rsid w:val="00714C03"/>
    <w:rsid w:val="00714CF1"/>
    <w:rsid w:val="00715539"/>
    <w:rsid w:val="00715ABE"/>
    <w:rsid w:val="00716DD9"/>
    <w:rsid w:val="00717091"/>
    <w:rsid w:val="0071746A"/>
    <w:rsid w:val="007177E7"/>
    <w:rsid w:val="00717B8F"/>
    <w:rsid w:val="00720200"/>
    <w:rsid w:val="00720DB4"/>
    <w:rsid w:val="00721D1A"/>
    <w:rsid w:val="00722188"/>
    <w:rsid w:val="007223D4"/>
    <w:rsid w:val="00722BDF"/>
    <w:rsid w:val="00722FAF"/>
    <w:rsid w:val="00723A72"/>
    <w:rsid w:val="00723B3A"/>
    <w:rsid w:val="00723E01"/>
    <w:rsid w:val="007242D0"/>
    <w:rsid w:val="007259AB"/>
    <w:rsid w:val="00726249"/>
    <w:rsid w:val="00726410"/>
    <w:rsid w:val="00726C4B"/>
    <w:rsid w:val="007272CE"/>
    <w:rsid w:val="00727435"/>
    <w:rsid w:val="0072777A"/>
    <w:rsid w:val="0073002D"/>
    <w:rsid w:val="007307E2"/>
    <w:rsid w:val="0073088F"/>
    <w:rsid w:val="007309EE"/>
    <w:rsid w:val="00730B8D"/>
    <w:rsid w:val="00730CA9"/>
    <w:rsid w:val="00730F71"/>
    <w:rsid w:val="0073185E"/>
    <w:rsid w:val="00731AE1"/>
    <w:rsid w:val="00731C66"/>
    <w:rsid w:val="00731DE3"/>
    <w:rsid w:val="00731EB8"/>
    <w:rsid w:val="00732797"/>
    <w:rsid w:val="00734106"/>
    <w:rsid w:val="0073481A"/>
    <w:rsid w:val="00735EAF"/>
    <w:rsid w:val="00736959"/>
    <w:rsid w:val="00736F3A"/>
    <w:rsid w:val="00737773"/>
    <w:rsid w:val="0073779E"/>
    <w:rsid w:val="007378D9"/>
    <w:rsid w:val="00737D84"/>
    <w:rsid w:val="0074091D"/>
    <w:rsid w:val="00741361"/>
    <w:rsid w:val="0074149B"/>
    <w:rsid w:val="00741D15"/>
    <w:rsid w:val="00741DBA"/>
    <w:rsid w:val="0074246F"/>
    <w:rsid w:val="0074287A"/>
    <w:rsid w:val="00742CEA"/>
    <w:rsid w:val="00742ED3"/>
    <w:rsid w:val="00742F58"/>
    <w:rsid w:val="00742FBB"/>
    <w:rsid w:val="00742FEE"/>
    <w:rsid w:val="00743118"/>
    <w:rsid w:val="00743199"/>
    <w:rsid w:val="00744066"/>
    <w:rsid w:val="007440BE"/>
    <w:rsid w:val="0074413B"/>
    <w:rsid w:val="0074453D"/>
    <w:rsid w:val="00744FD2"/>
    <w:rsid w:val="00745276"/>
    <w:rsid w:val="007456E6"/>
    <w:rsid w:val="00745A44"/>
    <w:rsid w:val="00745F1F"/>
    <w:rsid w:val="007460D4"/>
    <w:rsid w:val="00746436"/>
    <w:rsid w:val="00746D57"/>
    <w:rsid w:val="007472D9"/>
    <w:rsid w:val="00747318"/>
    <w:rsid w:val="00747AEC"/>
    <w:rsid w:val="00747D0F"/>
    <w:rsid w:val="00750151"/>
    <w:rsid w:val="007506BB"/>
    <w:rsid w:val="00750A7C"/>
    <w:rsid w:val="00750C3A"/>
    <w:rsid w:val="00750FD4"/>
    <w:rsid w:val="00750FFA"/>
    <w:rsid w:val="007515BD"/>
    <w:rsid w:val="00751E27"/>
    <w:rsid w:val="007520D3"/>
    <w:rsid w:val="0075253E"/>
    <w:rsid w:val="00752725"/>
    <w:rsid w:val="00752836"/>
    <w:rsid w:val="0075284F"/>
    <w:rsid w:val="007529E5"/>
    <w:rsid w:val="00753400"/>
    <w:rsid w:val="00753C65"/>
    <w:rsid w:val="00753C6A"/>
    <w:rsid w:val="007541EA"/>
    <w:rsid w:val="007547D4"/>
    <w:rsid w:val="007548DD"/>
    <w:rsid w:val="00754A11"/>
    <w:rsid w:val="00755351"/>
    <w:rsid w:val="00755790"/>
    <w:rsid w:val="007562D0"/>
    <w:rsid w:val="00756446"/>
    <w:rsid w:val="00756688"/>
    <w:rsid w:val="00756CFD"/>
    <w:rsid w:val="00756D86"/>
    <w:rsid w:val="00756D9E"/>
    <w:rsid w:val="0075786B"/>
    <w:rsid w:val="00757F3C"/>
    <w:rsid w:val="00760E6F"/>
    <w:rsid w:val="00761064"/>
    <w:rsid w:val="007614E1"/>
    <w:rsid w:val="00761577"/>
    <w:rsid w:val="0076192F"/>
    <w:rsid w:val="00761C4D"/>
    <w:rsid w:val="00761FE2"/>
    <w:rsid w:val="00762133"/>
    <w:rsid w:val="00762A14"/>
    <w:rsid w:val="00762E9A"/>
    <w:rsid w:val="00763AF2"/>
    <w:rsid w:val="00763CC6"/>
    <w:rsid w:val="00763DFE"/>
    <w:rsid w:val="00763F74"/>
    <w:rsid w:val="007640B4"/>
    <w:rsid w:val="00764D0A"/>
    <w:rsid w:val="0076509B"/>
    <w:rsid w:val="0076594D"/>
    <w:rsid w:val="00766464"/>
    <w:rsid w:val="0076695C"/>
    <w:rsid w:val="00766BB0"/>
    <w:rsid w:val="007672C4"/>
    <w:rsid w:val="00767EC9"/>
    <w:rsid w:val="00770470"/>
    <w:rsid w:val="0077076C"/>
    <w:rsid w:val="00770BAF"/>
    <w:rsid w:val="00771304"/>
    <w:rsid w:val="0077165A"/>
    <w:rsid w:val="0077178B"/>
    <w:rsid w:val="00771C6D"/>
    <w:rsid w:val="00771DDF"/>
    <w:rsid w:val="00772664"/>
    <w:rsid w:val="00772CE7"/>
    <w:rsid w:val="00772FA4"/>
    <w:rsid w:val="00773C7F"/>
    <w:rsid w:val="0077428F"/>
    <w:rsid w:val="00774762"/>
    <w:rsid w:val="0077495A"/>
    <w:rsid w:val="0077509B"/>
    <w:rsid w:val="00775424"/>
    <w:rsid w:val="00775DBF"/>
    <w:rsid w:val="007764C3"/>
    <w:rsid w:val="00776A77"/>
    <w:rsid w:val="0077716F"/>
    <w:rsid w:val="0077746F"/>
    <w:rsid w:val="007777F2"/>
    <w:rsid w:val="00777F6F"/>
    <w:rsid w:val="0078007E"/>
    <w:rsid w:val="007816FF"/>
    <w:rsid w:val="00782022"/>
    <w:rsid w:val="00782931"/>
    <w:rsid w:val="00783121"/>
    <w:rsid w:val="007836FA"/>
    <w:rsid w:val="007842BC"/>
    <w:rsid w:val="00784B21"/>
    <w:rsid w:val="00784EC0"/>
    <w:rsid w:val="00784ECF"/>
    <w:rsid w:val="007853E1"/>
    <w:rsid w:val="007859CF"/>
    <w:rsid w:val="007863D2"/>
    <w:rsid w:val="007866FA"/>
    <w:rsid w:val="007867C2"/>
    <w:rsid w:val="00786D25"/>
    <w:rsid w:val="0078746A"/>
    <w:rsid w:val="007907C6"/>
    <w:rsid w:val="007908AE"/>
    <w:rsid w:val="00790C46"/>
    <w:rsid w:val="00790CE6"/>
    <w:rsid w:val="00790D70"/>
    <w:rsid w:val="00791E80"/>
    <w:rsid w:val="00791ED7"/>
    <w:rsid w:val="00791FEF"/>
    <w:rsid w:val="00792DFD"/>
    <w:rsid w:val="00792EC8"/>
    <w:rsid w:val="00792F5E"/>
    <w:rsid w:val="007933F6"/>
    <w:rsid w:val="00793551"/>
    <w:rsid w:val="00793613"/>
    <w:rsid w:val="00793693"/>
    <w:rsid w:val="00793A48"/>
    <w:rsid w:val="00793E34"/>
    <w:rsid w:val="007946C5"/>
    <w:rsid w:val="0079476C"/>
    <w:rsid w:val="00794A34"/>
    <w:rsid w:val="00795239"/>
    <w:rsid w:val="00795889"/>
    <w:rsid w:val="007958D1"/>
    <w:rsid w:val="00795F3F"/>
    <w:rsid w:val="00796196"/>
    <w:rsid w:val="0079642C"/>
    <w:rsid w:val="00796541"/>
    <w:rsid w:val="00796D33"/>
    <w:rsid w:val="00796F67"/>
    <w:rsid w:val="00796FFB"/>
    <w:rsid w:val="0079729B"/>
    <w:rsid w:val="00797407"/>
    <w:rsid w:val="00797C39"/>
    <w:rsid w:val="00797D97"/>
    <w:rsid w:val="00797EC8"/>
    <w:rsid w:val="007A0E5F"/>
    <w:rsid w:val="007A0EF7"/>
    <w:rsid w:val="007A1C1F"/>
    <w:rsid w:val="007A1CB4"/>
    <w:rsid w:val="007A1F49"/>
    <w:rsid w:val="007A2D3B"/>
    <w:rsid w:val="007A3BE6"/>
    <w:rsid w:val="007A3EAB"/>
    <w:rsid w:val="007A44D1"/>
    <w:rsid w:val="007A45B7"/>
    <w:rsid w:val="007A48E7"/>
    <w:rsid w:val="007A4C9A"/>
    <w:rsid w:val="007A4E57"/>
    <w:rsid w:val="007A5224"/>
    <w:rsid w:val="007A5261"/>
    <w:rsid w:val="007A52DB"/>
    <w:rsid w:val="007A5AA9"/>
    <w:rsid w:val="007A5F79"/>
    <w:rsid w:val="007A64AD"/>
    <w:rsid w:val="007A65D7"/>
    <w:rsid w:val="007A6B24"/>
    <w:rsid w:val="007A7D10"/>
    <w:rsid w:val="007A7D3F"/>
    <w:rsid w:val="007A7F4D"/>
    <w:rsid w:val="007B0401"/>
    <w:rsid w:val="007B0B55"/>
    <w:rsid w:val="007B0F94"/>
    <w:rsid w:val="007B123C"/>
    <w:rsid w:val="007B153E"/>
    <w:rsid w:val="007B1887"/>
    <w:rsid w:val="007B1CF8"/>
    <w:rsid w:val="007B21FB"/>
    <w:rsid w:val="007B252C"/>
    <w:rsid w:val="007B2A24"/>
    <w:rsid w:val="007B3601"/>
    <w:rsid w:val="007B4C45"/>
    <w:rsid w:val="007B4F02"/>
    <w:rsid w:val="007B5D46"/>
    <w:rsid w:val="007B60F1"/>
    <w:rsid w:val="007B6718"/>
    <w:rsid w:val="007B67FF"/>
    <w:rsid w:val="007B69B8"/>
    <w:rsid w:val="007B6A05"/>
    <w:rsid w:val="007B76F8"/>
    <w:rsid w:val="007B780B"/>
    <w:rsid w:val="007B7F6C"/>
    <w:rsid w:val="007C042D"/>
    <w:rsid w:val="007C0EFF"/>
    <w:rsid w:val="007C11FB"/>
    <w:rsid w:val="007C141D"/>
    <w:rsid w:val="007C1C4D"/>
    <w:rsid w:val="007C223C"/>
    <w:rsid w:val="007C2908"/>
    <w:rsid w:val="007C2C6D"/>
    <w:rsid w:val="007C2CB2"/>
    <w:rsid w:val="007C330D"/>
    <w:rsid w:val="007C387F"/>
    <w:rsid w:val="007C409D"/>
    <w:rsid w:val="007C46F8"/>
    <w:rsid w:val="007C4922"/>
    <w:rsid w:val="007C4D65"/>
    <w:rsid w:val="007C548E"/>
    <w:rsid w:val="007C5764"/>
    <w:rsid w:val="007C5D84"/>
    <w:rsid w:val="007C5ED1"/>
    <w:rsid w:val="007C69E0"/>
    <w:rsid w:val="007C711A"/>
    <w:rsid w:val="007C778B"/>
    <w:rsid w:val="007C7C5C"/>
    <w:rsid w:val="007D0653"/>
    <w:rsid w:val="007D0BEF"/>
    <w:rsid w:val="007D0F6A"/>
    <w:rsid w:val="007D1BB4"/>
    <w:rsid w:val="007D3038"/>
    <w:rsid w:val="007D326F"/>
    <w:rsid w:val="007D3501"/>
    <w:rsid w:val="007D36FD"/>
    <w:rsid w:val="007D4269"/>
    <w:rsid w:val="007D4395"/>
    <w:rsid w:val="007D4943"/>
    <w:rsid w:val="007D4F45"/>
    <w:rsid w:val="007D50E9"/>
    <w:rsid w:val="007D5698"/>
    <w:rsid w:val="007D5C26"/>
    <w:rsid w:val="007D5CB3"/>
    <w:rsid w:val="007D6018"/>
    <w:rsid w:val="007D62E8"/>
    <w:rsid w:val="007D6B89"/>
    <w:rsid w:val="007D753B"/>
    <w:rsid w:val="007D75E7"/>
    <w:rsid w:val="007D7639"/>
    <w:rsid w:val="007D7DF0"/>
    <w:rsid w:val="007E0920"/>
    <w:rsid w:val="007E17F3"/>
    <w:rsid w:val="007E1AC1"/>
    <w:rsid w:val="007E1E11"/>
    <w:rsid w:val="007E2606"/>
    <w:rsid w:val="007E2D1D"/>
    <w:rsid w:val="007E2D5B"/>
    <w:rsid w:val="007E2EFC"/>
    <w:rsid w:val="007E30D0"/>
    <w:rsid w:val="007E331F"/>
    <w:rsid w:val="007E33AB"/>
    <w:rsid w:val="007E3EFC"/>
    <w:rsid w:val="007E449E"/>
    <w:rsid w:val="007E4B86"/>
    <w:rsid w:val="007E4FB6"/>
    <w:rsid w:val="007E5D13"/>
    <w:rsid w:val="007E60F8"/>
    <w:rsid w:val="007E6163"/>
    <w:rsid w:val="007E61B4"/>
    <w:rsid w:val="007E659D"/>
    <w:rsid w:val="007E6798"/>
    <w:rsid w:val="007E6C7D"/>
    <w:rsid w:val="007E6D1B"/>
    <w:rsid w:val="007E7041"/>
    <w:rsid w:val="007E7EBD"/>
    <w:rsid w:val="007F052B"/>
    <w:rsid w:val="007F0CA3"/>
    <w:rsid w:val="007F1193"/>
    <w:rsid w:val="007F11E9"/>
    <w:rsid w:val="007F1916"/>
    <w:rsid w:val="007F27F4"/>
    <w:rsid w:val="007F2FF9"/>
    <w:rsid w:val="007F34D4"/>
    <w:rsid w:val="007F3584"/>
    <w:rsid w:val="007F375F"/>
    <w:rsid w:val="007F3E53"/>
    <w:rsid w:val="007F3F37"/>
    <w:rsid w:val="007F4B08"/>
    <w:rsid w:val="007F52B9"/>
    <w:rsid w:val="007F54ED"/>
    <w:rsid w:val="007F5531"/>
    <w:rsid w:val="007F596F"/>
    <w:rsid w:val="007F5A82"/>
    <w:rsid w:val="007F6814"/>
    <w:rsid w:val="007F711F"/>
    <w:rsid w:val="007F72A3"/>
    <w:rsid w:val="007F7392"/>
    <w:rsid w:val="007F799A"/>
    <w:rsid w:val="008003E0"/>
    <w:rsid w:val="00800400"/>
    <w:rsid w:val="00801495"/>
    <w:rsid w:val="008014B4"/>
    <w:rsid w:val="00801A2E"/>
    <w:rsid w:val="00801A5B"/>
    <w:rsid w:val="008022ED"/>
    <w:rsid w:val="0080232D"/>
    <w:rsid w:val="00802382"/>
    <w:rsid w:val="00802748"/>
    <w:rsid w:val="00802CFF"/>
    <w:rsid w:val="00802FA0"/>
    <w:rsid w:val="0080333C"/>
    <w:rsid w:val="00804119"/>
    <w:rsid w:val="0080478E"/>
    <w:rsid w:val="008048D7"/>
    <w:rsid w:val="00804956"/>
    <w:rsid w:val="00804CFB"/>
    <w:rsid w:val="00805365"/>
    <w:rsid w:val="008054AF"/>
    <w:rsid w:val="00805C9F"/>
    <w:rsid w:val="00806118"/>
    <w:rsid w:val="0080663B"/>
    <w:rsid w:val="008074D0"/>
    <w:rsid w:val="00807BED"/>
    <w:rsid w:val="00807D47"/>
    <w:rsid w:val="00807E52"/>
    <w:rsid w:val="00810D5B"/>
    <w:rsid w:val="008110F1"/>
    <w:rsid w:val="00811546"/>
    <w:rsid w:val="00811620"/>
    <w:rsid w:val="00811695"/>
    <w:rsid w:val="008125EC"/>
    <w:rsid w:val="008126DB"/>
    <w:rsid w:val="0081272F"/>
    <w:rsid w:val="00813175"/>
    <w:rsid w:val="008137AB"/>
    <w:rsid w:val="008149EB"/>
    <w:rsid w:val="00815845"/>
    <w:rsid w:val="00815F16"/>
    <w:rsid w:val="0081619F"/>
    <w:rsid w:val="00816291"/>
    <w:rsid w:val="00816335"/>
    <w:rsid w:val="0081637A"/>
    <w:rsid w:val="0081678B"/>
    <w:rsid w:val="00816B7C"/>
    <w:rsid w:val="0081707E"/>
    <w:rsid w:val="008171E0"/>
    <w:rsid w:val="00817754"/>
    <w:rsid w:val="00817C64"/>
    <w:rsid w:val="00821D4B"/>
    <w:rsid w:val="00821F56"/>
    <w:rsid w:val="00822981"/>
    <w:rsid w:val="0082324B"/>
    <w:rsid w:val="008233B5"/>
    <w:rsid w:val="00823D78"/>
    <w:rsid w:val="00824443"/>
    <w:rsid w:val="00824A0B"/>
    <w:rsid w:val="00824E40"/>
    <w:rsid w:val="00824EA8"/>
    <w:rsid w:val="0082534F"/>
    <w:rsid w:val="00825B25"/>
    <w:rsid w:val="00826635"/>
    <w:rsid w:val="0082695F"/>
    <w:rsid w:val="00826AC6"/>
    <w:rsid w:val="00827913"/>
    <w:rsid w:val="0083000C"/>
    <w:rsid w:val="008312ED"/>
    <w:rsid w:val="008319CD"/>
    <w:rsid w:val="00831B9F"/>
    <w:rsid w:val="00831D0B"/>
    <w:rsid w:val="008321FD"/>
    <w:rsid w:val="00832276"/>
    <w:rsid w:val="008322F5"/>
    <w:rsid w:val="00832567"/>
    <w:rsid w:val="008332AD"/>
    <w:rsid w:val="00833768"/>
    <w:rsid w:val="008341E7"/>
    <w:rsid w:val="00834725"/>
    <w:rsid w:val="00834750"/>
    <w:rsid w:val="00834D86"/>
    <w:rsid w:val="00835291"/>
    <w:rsid w:val="00835AD3"/>
    <w:rsid w:val="00835BD9"/>
    <w:rsid w:val="00835D5D"/>
    <w:rsid w:val="00835F9C"/>
    <w:rsid w:val="00836488"/>
    <w:rsid w:val="008365F5"/>
    <w:rsid w:val="008369EB"/>
    <w:rsid w:val="008378DA"/>
    <w:rsid w:val="00837FD0"/>
    <w:rsid w:val="008402FC"/>
    <w:rsid w:val="008405E2"/>
    <w:rsid w:val="0084071B"/>
    <w:rsid w:val="00841DC3"/>
    <w:rsid w:val="00841DFE"/>
    <w:rsid w:val="00842A56"/>
    <w:rsid w:val="00842C7B"/>
    <w:rsid w:val="00842F20"/>
    <w:rsid w:val="0084367A"/>
    <w:rsid w:val="00844F21"/>
    <w:rsid w:val="00845023"/>
    <w:rsid w:val="0084595B"/>
    <w:rsid w:val="00845D7B"/>
    <w:rsid w:val="008461EC"/>
    <w:rsid w:val="0084643D"/>
    <w:rsid w:val="008467B4"/>
    <w:rsid w:val="00846FA0"/>
    <w:rsid w:val="008479AA"/>
    <w:rsid w:val="008502C3"/>
    <w:rsid w:val="008505F4"/>
    <w:rsid w:val="0085079F"/>
    <w:rsid w:val="00850922"/>
    <w:rsid w:val="00850C68"/>
    <w:rsid w:val="00850DBB"/>
    <w:rsid w:val="008522ED"/>
    <w:rsid w:val="0085247E"/>
    <w:rsid w:val="008525C2"/>
    <w:rsid w:val="00852841"/>
    <w:rsid w:val="00854500"/>
    <w:rsid w:val="00854664"/>
    <w:rsid w:val="00854B7E"/>
    <w:rsid w:val="00854D4F"/>
    <w:rsid w:val="008551B4"/>
    <w:rsid w:val="00855AC3"/>
    <w:rsid w:val="00855CAE"/>
    <w:rsid w:val="00855D1E"/>
    <w:rsid w:val="0085611E"/>
    <w:rsid w:val="00856434"/>
    <w:rsid w:val="0085662C"/>
    <w:rsid w:val="00856693"/>
    <w:rsid w:val="0085694E"/>
    <w:rsid w:val="00856BB2"/>
    <w:rsid w:val="0085796C"/>
    <w:rsid w:val="00857F39"/>
    <w:rsid w:val="008606F8"/>
    <w:rsid w:val="0086095C"/>
    <w:rsid w:val="00860BD2"/>
    <w:rsid w:val="008612EB"/>
    <w:rsid w:val="008616DE"/>
    <w:rsid w:val="00861730"/>
    <w:rsid w:val="0086175C"/>
    <w:rsid w:val="00862031"/>
    <w:rsid w:val="00862164"/>
    <w:rsid w:val="0086218F"/>
    <w:rsid w:val="008624AC"/>
    <w:rsid w:val="00862E9F"/>
    <w:rsid w:val="00862FB9"/>
    <w:rsid w:val="00863666"/>
    <w:rsid w:val="0086381B"/>
    <w:rsid w:val="00864A9F"/>
    <w:rsid w:val="00864D2F"/>
    <w:rsid w:val="008652BE"/>
    <w:rsid w:val="0086534F"/>
    <w:rsid w:val="00865373"/>
    <w:rsid w:val="008654CD"/>
    <w:rsid w:val="00865502"/>
    <w:rsid w:val="0086557C"/>
    <w:rsid w:val="00865E5A"/>
    <w:rsid w:val="00866B86"/>
    <w:rsid w:val="00866DDC"/>
    <w:rsid w:val="00866EB6"/>
    <w:rsid w:val="00866F2E"/>
    <w:rsid w:val="0086770A"/>
    <w:rsid w:val="008678C2"/>
    <w:rsid w:val="00867BF2"/>
    <w:rsid w:val="00867E33"/>
    <w:rsid w:val="00867E69"/>
    <w:rsid w:val="008704F8"/>
    <w:rsid w:val="008705B8"/>
    <w:rsid w:val="00870CDF"/>
    <w:rsid w:val="0087151C"/>
    <w:rsid w:val="00871AD3"/>
    <w:rsid w:val="00871C05"/>
    <w:rsid w:val="00872053"/>
    <w:rsid w:val="0087218C"/>
    <w:rsid w:val="00872434"/>
    <w:rsid w:val="008727A1"/>
    <w:rsid w:val="00872962"/>
    <w:rsid w:val="008732CE"/>
    <w:rsid w:val="00873876"/>
    <w:rsid w:val="00873DD4"/>
    <w:rsid w:val="00873E75"/>
    <w:rsid w:val="0087402D"/>
    <w:rsid w:val="00874AE3"/>
    <w:rsid w:val="00874DF8"/>
    <w:rsid w:val="00874EE2"/>
    <w:rsid w:val="0087514B"/>
    <w:rsid w:val="008760C8"/>
    <w:rsid w:val="00876F55"/>
    <w:rsid w:val="00877381"/>
    <w:rsid w:val="008774E8"/>
    <w:rsid w:val="00877E3C"/>
    <w:rsid w:val="00877F49"/>
    <w:rsid w:val="0088017F"/>
    <w:rsid w:val="00880633"/>
    <w:rsid w:val="008815B2"/>
    <w:rsid w:val="00881996"/>
    <w:rsid w:val="00881B2E"/>
    <w:rsid w:val="00881D11"/>
    <w:rsid w:val="00881F46"/>
    <w:rsid w:val="008821E9"/>
    <w:rsid w:val="00882545"/>
    <w:rsid w:val="008825D0"/>
    <w:rsid w:val="008826AA"/>
    <w:rsid w:val="00882700"/>
    <w:rsid w:val="008828EA"/>
    <w:rsid w:val="0088351D"/>
    <w:rsid w:val="008836FE"/>
    <w:rsid w:val="00884ADB"/>
    <w:rsid w:val="00884BBB"/>
    <w:rsid w:val="00884E42"/>
    <w:rsid w:val="00885B1E"/>
    <w:rsid w:val="00885C65"/>
    <w:rsid w:val="00886375"/>
    <w:rsid w:val="00886DBE"/>
    <w:rsid w:val="00887891"/>
    <w:rsid w:val="008878D7"/>
    <w:rsid w:val="00887A34"/>
    <w:rsid w:val="00887E7C"/>
    <w:rsid w:val="00887FB8"/>
    <w:rsid w:val="0089054E"/>
    <w:rsid w:val="00891770"/>
    <w:rsid w:val="00891848"/>
    <w:rsid w:val="008919CD"/>
    <w:rsid w:val="00892530"/>
    <w:rsid w:val="0089295F"/>
    <w:rsid w:val="00892D0F"/>
    <w:rsid w:val="00893620"/>
    <w:rsid w:val="00893912"/>
    <w:rsid w:val="0089395A"/>
    <w:rsid w:val="008946E9"/>
    <w:rsid w:val="00894BCE"/>
    <w:rsid w:val="00894D37"/>
    <w:rsid w:val="008957BC"/>
    <w:rsid w:val="00895917"/>
    <w:rsid w:val="00895DF8"/>
    <w:rsid w:val="00896901"/>
    <w:rsid w:val="00896AC5"/>
    <w:rsid w:val="00897982"/>
    <w:rsid w:val="00897C03"/>
    <w:rsid w:val="00897C06"/>
    <w:rsid w:val="008A14B2"/>
    <w:rsid w:val="008A166A"/>
    <w:rsid w:val="008A1758"/>
    <w:rsid w:val="008A1B6C"/>
    <w:rsid w:val="008A2033"/>
    <w:rsid w:val="008A25BB"/>
    <w:rsid w:val="008A26AE"/>
    <w:rsid w:val="008A2B20"/>
    <w:rsid w:val="008A2F37"/>
    <w:rsid w:val="008A37C4"/>
    <w:rsid w:val="008A37E2"/>
    <w:rsid w:val="008A3C34"/>
    <w:rsid w:val="008A3D99"/>
    <w:rsid w:val="008A3EA0"/>
    <w:rsid w:val="008A3EA4"/>
    <w:rsid w:val="008A3F7E"/>
    <w:rsid w:val="008A4A13"/>
    <w:rsid w:val="008A5EDD"/>
    <w:rsid w:val="008A6575"/>
    <w:rsid w:val="008A6759"/>
    <w:rsid w:val="008A6DE3"/>
    <w:rsid w:val="008A6E18"/>
    <w:rsid w:val="008A6EAD"/>
    <w:rsid w:val="008A73DE"/>
    <w:rsid w:val="008A7CB9"/>
    <w:rsid w:val="008A7CC1"/>
    <w:rsid w:val="008A7FDD"/>
    <w:rsid w:val="008B0452"/>
    <w:rsid w:val="008B0680"/>
    <w:rsid w:val="008B0CAD"/>
    <w:rsid w:val="008B0D74"/>
    <w:rsid w:val="008B1300"/>
    <w:rsid w:val="008B220B"/>
    <w:rsid w:val="008B253A"/>
    <w:rsid w:val="008B295A"/>
    <w:rsid w:val="008B2DFD"/>
    <w:rsid w:val="008B2E7C"/>
    <w:rsid w:val="008B2F69"/>
    <w:rsid w:val="008B4B63"/>
    <w:rsid w:val="008B57A7"/>
    <w:rsid w:val="008B5924"/>
    <w:rsid w:val="008B59E7"/>
    <w:rsid w:val="008B5F56"/>
    <w:rsid w:val="008B6995"/>
    <w:rsid w:val="008B719E"/>
    <w:rsid w:val="008B72F0"/>
    <w:rsid w:val="008B7772"/>
    <w:rsid w:val="008B7AC4"/>
    <w:rsid w:val="008B7C51"/>
    <w:rsid w:val="008C00AE"/>
    <w:rsid w:val="008C06D4"/>
    <w:rsid w:val="008C141A"/>
    <w:rsid w:val="008C1881"/>
    <w:rsid w:val="008C22C6"/>
    <w:rsid w:val="008C22E2"/>
    <w:rsid w:val="008C2B9F"/>
    <w:rsid w:val="008C2C38"/>
    <w:rsid w:val="008C2DF8"/>
    <w:rsid w:val="008C317E"/>
    <w:rsid w:val="008C320D"/>
    <w:rsid w:val="008C3514"/>
    <w:rsid w:val="008C355A"/>
    <w:rsid w:val="008C3BCE"/>
    <w:rsid w:val="008C5A1C"/>
    <w:rsid w:val="008C5CCA"/>
    <w:rsid w:val="008C6059"/>
    <w:rsid w:val="008C620D"/>
    <w:rsid w:val="008C6AD0"/>
    <w:rsid w:val="008C6B80"/>
    <w:rsid w:val="008C6BA1"/>
    <w:rsid w:val="008C6E9E"/>
    <w:rsid w:val="008C7722"/>
    <w:rsid w:val="008C78D6"/>
    <w:rsid w:val="008C7933"/>
    <w:rsid w:val="008C7C56"/>
    <w:rsid w:val="008C7CD9"/>
    <w:rsid w:val="008C7D25"/>
    <w:rsid w:val="008D0705"/>
    <w:rsid w:val="008D119F"/>
    <w:rsid w:val="008D11BF"/>
    <w:rsid w:val="008D14F1"/>
    <w:rsid w:val="008D1764"/>
    <w:rsid w:val="008D1C1D"/>
    <w:rsid w:val="008D25B6"/>
    <w:rsid w:val="008D2914"/>
    <w:rsid w:val="008D2B3F"/>
    <w:rsid w:val="008D344B"/>
    <w:rsid w:val="008D474F"/>
    <w:rsid w:val="008D5660"/>
    <w:rsid w:val="008D57EC"/>
    <w:rsid w:val="008D5D35"/>
    <w:rsid w:val="008D5DCE"/>
    <w:rsid w:val="008D5EBB"/>
    <w:rsid w:val="008D6011"/>
    <w:rsid w:val="008D61A9"/>
    <w:rsid w:val="008D62F1"/>
    <w:rsid w:val="008D6A2E"/>
    <w:rsid w:val="008D6A73"/>
    <w:rsid w:val="008D73B3"/>
    <w:rsid w:val="008D763A"/>
    <w:rsid w:val="008D7B49"/>
    <w:rsid w:val="008E0E09"/>
    <w:rsid w:val="008E1104"/>
    <w:rsid w:val="008E1290"/>
    <w:rsid w:val="008E14C1"/>
    <w:rsid w:val="008E1CC5"/>
    <w:rsid w:val="008E1DDD"/>
    <w:rsid w:val="008E1EDC"/>
    <w:rsid w:val="008E1FFF"/>
    <w:rsid w:val="008E31A1"/>
    <w:rsid w:val="008E38A0"/>
    <w:rsid w:val="008E39A0"/>
    <w:rsid w:val="008E3C07"/>
    <w:rsid w:val="008E411D"/>
    <w:rsid w:val="008E41C2"/>
    <w:rsid w:val="008E4D28"/>
    <w:rsid w:val="008E555F"/>
    <w:rsid w:val="008E5E40"/>
    <w:rsid w:val="008E5F9F"/>
    <w:rsid w:val="008E621A"/>
    <w:rsid w:val="008E63AC"/>
    <w:rsid w:val="008E7198"/>
    <w:rsid w:val="008E73D6"/>
    <w:rsid w:val="008E7450"/>
    <w:rsid w:val="008E7F89"/>
    <w:rsid w:val="008F00F2"/>
    <w:rsid w:val="008F04D2"/>
    <w:rsid w:val="008F0830"/>
    <w:rsid w:val="008F16E6"/>
    <w:rsid w:val="008F197B"/>
    <w:rsid w:val="008F2B7A"/>
    <w:rsid w:val="008F2E29"/>
    <w:rsid w:val="008F2FCD"/>
    <w:rsid w:val="008F3128"/>
    <w:rsid w:val="008F3278"/>
    <w:rsid w:val="008F4372"/>
    <w:rsid w:val="008F4680"/>
    <w:rsid w:val="008F4A0C"/>
    <w:rsid w:val="008F4DAF"/>
    <w:rsid w:val="008F5023"/>
    <w:rsid w:val="008F5664"/>
    <w:rsid w:val="008F5738"/>
    <w:rsid w:val="008F5C7C"/>
    <w:rsid w:val="008F6172"/>
    <w:rsid w:val="008F6BAE"/>
    <w:rsid w:val="008F6D73"/>
    <w:rsid w:val="008F70A6"/>
    <w:rsid w:val="008F7679"/>
    <w:rsid w:val="008F778A"/>
    <w:rsid w:val="008F7941"/>
    <w:rsid w:val="008F7A0D"/>
    <w:rsid w:val="008F7B45"/>
    <w:rsid w:val="008F7B4A"/>
    <w:rsid w:val="008F7B8F"/>
    <w:rsid w:val="008F7CBE"/>
    <w:rsid w:val="0090006D"/>
    <w:rsid w:val="009001AD"/>
    <w:rsid w:val="0090117A"/>
    <w:rsid w:val="0090129E"/>
    <w:rsid w:val="00901843"/>
    <w:rsid w:val="00901AF3"/>
    <w:rsid w:val="00901C4F"/>
    <w:rsid w:val="00901D89"/>
    <w:rsid w:val="00901F91"/>
    <w:rsid w:val="00902138"/>
    <w:rsid w:val="009021E8"/>
    <w:rsid w:val="00902251"/>
    <w:rsid w:val="00902FE6"/>
    <w:rsid w:val="00903088"/>
    <w:rsid w:val="00904DF3"/>
    <w:rsid w:val="00904E25"/>
    <w:rsid w:val="00904F9F"/>
    <w:rsid w:val="0090521A"/>
    <w:rsid w:val="009059B4"/>
    <w:rsid w:val="00905A81"/>
    <w:rsid w:val="00905C7D"/>
    <w:rsid w:val="00905CF8"/>
    <w:rsid w:val="00906556"/>
    <w:rsid w:val="009066B8"/>
    <w:rsid w:val="00906EC3"/>
    <w:rsid w:val="0090770C"/>
    <w:rsid w:val="009079EF"/>
    <w:rsid w:val="009100AD"/>
    <w:rsid w:val="00910345"/>
    <w:rsid w:val="00910388"/>
    <w:rsid w:val="00910A0A"/>
    <w:rsid w:val="00910E91"/>
    <w:rsid w:val="009111DE"/>
    <w:rsid w:val="00911C90"/>
    <w:rsid w:val="00912296"/>
    <w:rsid w:val="0091261E"/>
    <w:rsid w:val="00913083"/>
    <w:rsid w:val="0091315F"/>
    <w:rsid w:val="0091328D"/>
    <w:rsid w:val="00914AE2"/>
    <w:rsid w:val="00914FC2"/>
    <w:rsid w:val="0091501F"/>
    <w:rsid w:val="00915037"/>
    <w:rsid w:val="009150C7"/>
    <w:rsid w:val="009154A5"/>
    <w:rsid w:val="00915845"/>
    <w:rsid w:val="00915C39"/>
    <w:rsid w:val="00915DCB"/>
    <w:rsid w:val="00916EA5"/>
    <w:rsid w:val="00917571"/>
    <w:rsid w:val="00917A04"/>
    <w:rsid w:val="00917ACD"/>
    <w:rsid w:val="0092008F"/>
    <w:rsid w:val="00920364"/>
    <w:rsid w:val="0092077B"/>
    <w:rsid w:val="009210D4"/>
    <w:rsid w:val="00921761"/>
    <w:rsid w:val="009218B0"/>
    <w:rsid w:val="00921955"/>
    <w:rsid w:val="009219ED"/>
    <w:rsid w:val="00921A09"/>
    <w:rsid w:val="00921FB9"/>
    <w:rsid w:val="009220D9"/>
    <w:rsid w:val="00922148"/>
    <w:rsid w:val="0092409C"/>
    <w:rsid w:val="00924837"/>
    <w:rsid w:val="00924EE9"/>
    <w:rsid w:val="00925203"/>
    <w:rsid w:val="00925C40"/>
    <w:rsid w:val="00925F16"/>
    <w:rsid w:val="00926609"/>
    <w:rsid w:val="00926E02"/>
    <w:rsid w:val="00926E07"/>
    <w:rsid w:val="0092718F"/>
    <w:rsid w:val="0092722D"/>
    <w:rsid w:val="00927914"/>
    <w:rsid w:val="00927D9B"/>
    <w:rsid w:val="009306A9"/>
    <w:rsid w:val="009308B6"/>
    <w:rsid w:val="00930B91"/>
    <w:rsid w:val="00931169"/>
    <w:rsid w:val="0093130A"/>
    <w:rsid w:val="00931396"/>
    <w:rsid w:val="0093162A"/>
    <w:rsid w:val="00931686"/>
    <w:rsid w:val="00931C87"/>
    <w:rsid w:val="00932038"/>
    <w:rsid w:val="009328F9"/>
    <w:rsid w:val="00932A7D"/>
    <w:rsid w:val="00932AC0"/>
    <w:rsid w:val="00932B0F"/>
    <w:rsid w:val="00933236"/>
    <w:rsid w:val="0093373F"/>
    <w:rsid w:val="00934FA5"/>
    <w:rsid w:val="009351B9"/>
    <w:rsid w:val="00936241"/>
    <w:rsid w:val="0093665B"/>
    <w:rsid w:val="00936A00"/>
    <w:rsid w:val="009375A1"/>
    <w:rsid w:val="00937C71"/>
    <w:rsid w:val="00940507"/>
    <w:rsid w:val="00940C37"/>
    <w:rsid w:val="00940C5B"/>
    <w:rsid w:val="00940ED6"/>
    <w:rsid w:val="00941EF7"/>
    <w:rsid w:val="00942151"/>
    <w:rsid w:val="009426BF"/>
    <w:rsid w:val="00942FF6"/>
    <w:rsid w:val="009432C3"/>
    <w:rsid w:val="009444F3"/>
    <w:rsid w:val="00944C47"/>
    <w:rsid w:val="00944FDB"/>
    <w:rsid w:val="00945337"/>
    <w:rsid w:val="00946979"/>
    <w:rsid w:val="00946DAB"/>
    <w:rsid w:val="0094724B"/>
    <w:rsid w:val="009477CF"/>
    <w:rsid w:val="00947BED"/>
    <w:rsid w:val="0095054A"/>
    <w:rsid w:val="009508B8"/>
    <w:rsid w:val="00950AAC"/>
    <w:rsid w:val="00950E49"/>
    <w:rsid w:val="0095154D"/>
    <w:rsid w:val="009523E9"/>
    <w:rsid w:val="00952DDF"/>
    <w:rsid w:val="009539E9"/>
    <w:rsid w:val="00953DF9"/>
    <w:rsid w:val="009543EA"/>
    <w:rsid w:val="00954804"/>
    <w:rsid w:val="00954D01"/>
    <w:rsid w:val="00954F7D"/>
    <w:rsid w:val="009551DC"/>
    <w:rsid w:val="0095548F"/>
    <w:rsid w:val="00955B64"/>
    <w:rsid w:val="00955E83"/>
    <w:rsid w:val="009570BF"/>
    <w:rsid w:val="00957424"/>
    <w:rsid w:val="00960547"/>
    <w:rsid w:val="009606B9"/>
    <w:rsid w:val="00960894"/>
    <w:rsid w:val="00961307"/>
    <w:rsid w:val="009613B2"/>
    <w:rsid w:val="0096164B"/>
    <w:rsid w:val="00961C49"/>
    <w:rsid w:val="00961DED"/>
    <w:rsid w:val="00962E44"/>
    <w:rsid w:val="00963091"/>
    <w:rsid w:val="00963F11"/>
    <w:rsid w:val="00964362"/>
    <w:rsid w:val="00964D51"/>
    <w:rsid w:val="00964E4A"/>
    <w:rsid w:val="009662CF"/>
    <w:rsid w:val="00966631"/>
    <w:rsid w:val="00966801"/>
    <w:rsid w:val="00966D3F"/>
    <w:rsid w:val="00966FC1"/>
    <w:rsid w:val="009678A4"/>
    <w:rsid w:val="00970181"/>
    <w:rsid w:val="0097042C"/>
    <w:rsid w:val="0097050D"/>
    <w:rsid w:val="00970AAD"/>
    <w:rsid w:val="00970D42"/>
    <w:rsid w:val="00971616"/>
    <w:rsid w:val="009720CC"/>
    <w:rsid w:val="00972904"/>
    <w:rsid w:val="00973154"/>
    <w:rsid w:val="00973275"/>
    <w:rsid w:val="009737FF"/>
    <w:rsid w:val="00974011"/>
    <w:rsid w:val="009741A4"/>
    <w:rsid w:val="00974DEC"/>
    <w:rsid w:val="00974F12"/>
    <w:rsid w:val="009756C7"/>
    <w:rsid w:val="009757CB"/>
    <w:rsid w:val="00975D59"/>
    <w:rsid w:val="0097614D"/>
    <w:rsid w:val="00976983"/>
    <w:rsid w:val="00977780"/>
    <w:rsid w:val="00977830"/>
    <w:rsid w:val="0097791C"/>
    <w:rsid w:val="00977B87"/>
    <w:rsid w:val="00977E8C"/>
    <w:rsid w:val="00980360"/>
    <w:rsid w:val="00980389"/>
    <w:rsid w:val="00980476"/>
    <w:rsid w:val="00980A7F"/>
    <w:rsid w:val="00981ECD"/>
    <w:rsid w:val="009822B0"/>
    <w:rsid w:val="009825DB"/>
    <w:rsid w:val="00982E00"/>
    <w:rsid w:val="00982F0F"/>
    <w:rsid w:val="00983072"/>
    <w:rsid w:val="009839AE"/>
    <w:rsid w:val="00983A82"/>
    <w:rsid w:val="0098459E"/>
    <w:rsid w:val="00984896"/>
    <w:rsid w:val="00985BBD"/>
    <w:rsid w:val="009864B3"/>
    <w:rsid w:val="00986918"/>
    <w:rsid w:val="0098715D"/>
    <w:rsid w:val="0098739F"/>
    <w:rsid w:val="009905C0"/>
    <w:rsid w:val="0099069F"/>
    <w:rsid w:val="009912C9"/>
    <w:rsid w:val="009915C7"/>
    <w:rsid w:val="00991765"/>
    <w:rsid w:val="0099182C"/>
    <w:rsid w:val="00992FD7"/>
    <w:rsid w:val="0099367C"/>
    <w:rsid w:val="00994985"/>
    <w:rsid w:val="00994DA8"/>
    <w:rsid w:val="00995425"/>
    <w:rsid w:val="0099563C"/>
    <w:rsid w:val="00995A0B"/>
    <w:rsid w:val="00995A88"/>
    <w:rsid w:val="00996B2C"/>
    <w:rsid w:val="00997472"/>
    <w:rsid w:val="009974FF"/>
    <w:rsid w:val="009976EC"/>
    <w:rsid w:val="00997762"/>
    <w:rsid w:val="00997EDA"/>
    <w:rsid w:val="009A06E9"/>
    <w:rsid w:val="009A08C4"/>
    <w:rsid w:val="009A0AA9"/>
    <w:rsid w:val="009A1730"/>
    <w:rsid w:val="009A1754"/>
    <w:rsid w:val="009A1B90"/>
    <w:rsid w:val="009A1D4E"/>
    <w:rsid w:val="009A1DE0"/>
    <w:rsid w:val="009A20A9"/>
    <w:rsid w:val="009A23FD"/>
    <w:rsid w:val="009A27FE"/>
    <w:rsid w:val="009A2DF1"/>
    <w:rsid w:val="009A2DFC"/>
    <w:rsid w:val="009A2FE0"/>
    <w:rsid w:val="009A315C"/>
    <w:rsid w:val="009A3273"/>
    <w:rsid w:val="009A3532"/>
    <w:rsid w:val="009A3CE8"/>
    <w:rsid w:val="009A3D12"/>
    <w:rsid w:val="009A4A0B"/>
    <w:rsid w:val="009A4DA4"/>
    <w:rsid w:val="009A503B"/>
    <w:rsid w:val="009A5100"/>
    <w:rsid w:val="009A53F5"/>
    <w:rsid w:val="009A5D2E"/>
    <w:rsid w:val="009A60BF"/>
    <w:rsid w:val="009A7085"/>
    <w:rsid w:val="009A71A9"/>
    <w:rsid w:val="009A7473"/>
    <w:rsid w:val="009A76B5"/>
    <w:rsid w:val="009A793F"/>
    <w:rsid w:val="009A7E6A"/>
    <w:rsid w:val="009B01DC"/>
    <w:rsid w:val="009B03C3"/>
    <w:rsid w:val="009B04F7"/>
    <w:rsid w:val="009B05A6"/>
    <w:rsid w:val="009B1B3B"/>
    <w:rsid w:val="009B28C3"/>
    <w:rsid w:val="009B2A13"/>
    <w:rsid w:val="009B2F53"/>
    <w:rsid w:val="009B330E"/>
    <w:rsid w:val="009B3313"/>
    <w:rsid w:val="009B344B"/>
    <w:rsid w:val="009B35E0"/>
    <w:rsid w:val="009B41F9"/>
    <w:rsid w:val="009B48CD"/>
    <w:rsid w:val="009B4A1E"/>
    <w:rsid w:val="009B4C11"/>
    <w:rsid w:val="009B58CA"/>
    <w:rsid w:val="009B5DB9"/>
    <w:rsid w:val="009B5DFD"/>
    <w:rsid w:val="009B5FA1"/>
    <w:rsid w:val="009B6798"/>
    <w:rsid w:val="009B6807"/>
    <w:rsid w:val="009B6D22"/>
    <w:rsid w:val="009B700A"/>
    <w:rsid w:val="009B7105"/>
    <w:rsid w:val="009B7999"/>
    <w:rsid w:val="009B7B7A"/>
    <w:rsid w:val="009B7F6F"/>
    <w:rsid w:val="009C01F0"/>
    <w:rsid w:val="009C11F3"/>
    <w:rsid w:val="009C12AE"/>
    <w:rsid w:val="009C13E0"/>
    <w:rsid w:val="009C1B45"/>
    <w:rsid w:val="009C213B"/>
    <w:rsid w:val="009C249A"/>
    <w:rsid w:val="009C24EC"/>
    <w:rsid w:val="009C2880"/>
    <w:rsid w:val="009C289D"/>
    <w:rsid w:val="009C2BBB"/>
    <w:rsid w:val="009C34C0"/>
    <w:rsid w:val="009C3EB9"/>
    <w:rsid w:val="009C3F30"/>
    <w:rsid w:val="009C4F16"/>
    <w:rsid w:val="009C4F8A"/>
    <w:rsid w:val="009C54CC"/>
    <w:rsid w:val="009C55A7"/>
    <w:rsid w:val="009C58DC"/>
    <w:rsid w:val="009C5FA2"/>
    <w:rsid w:val="009C60B1"/>
    <w:rsid w:val="009C6152"/>
    <w:rsid w:val="009C6D60"/>
    <w:rsid w:val="009C6E82"/>
    <w:rsid w:val="009C7AF9"/>
    <w:rsid w:val="009D00B3"/>
    <w:rsid w:val="009D072C"/>
    <w:rsid w:val="009D0920"/>
    <w:rsid w:val="009D0989"/>
    <w:rsid w:val="009D0F2D"/>
    <w:rsid w:val="009D10FE"/>
    <w:rsid w:val="009D1231"/>
    <w:rsid w:val="009D156F"/>
    <w:rsid w:val="009D1A13"/>
    <w:rsid w:val="009D1B39"/>
    <w:rsid w:val="009D213B"/>
    <w:rsid w:val="009D27EC"/>
    <w:rsid w:val="009D2C03"/>
    <w:rsid w:val="009D2CFB"/>
    <w:rsid w:val="009D2D14"/>
    <w:rsid w:val="009D34C9"/>
    <w:rsid w:val="009D3A8A"/>
    <w:rsid w:val="009D3E69"/>
    <w:rsid w:val="009D422E"/>
    <w:rsid w:val="009D4B50"/>
    <w:rsid w:val="009D4BD5"/>
    <w:rsid w:val="009D4C52"/>
    <w:rsid w:val="009D4D3B"/>
    <w:rsid w:val="009D50EF"/>
    <w:rsid w:val="009D5308"/>
    <w:rsid w:val="009D566B"/>
    <w:rsid w:val="009D580B"/>
    <w:rsid w:val="009D5AAF"/>
    <w:rsid w:val="009D6367"/>
    <w:rsid w:val="009D6780"/>
    <w:rsid w:val="009D68E1"/>
    <w:rsid w:val="009D723C"/>
    <w:rsid w:val="009D772F"/>
    <w:rsid w:val="009D7F6C"/>
    <w:rsid w:val="009E01C8"/>
    <w:rsid w:val="009E0389"/>
    <w:rsid w:val="009E03D9"/>
    <w:rsid w:val="009E03E6"/>
    <w:rsid w:val="009E062A"/>
    <w:rsid w:val="009E07CE"/>
    <w:rsid w:val="009E1AAB"/>
    <w:rsid w:val="009E1E92"/>
    <w:rsid w:val="009E2CF1"/>
    <w:rsid w:val="009E31F0"/>
    <w:rsid w:val="009E3889"/>
    <w:rsid w:val="009E4887"/>
    <w:rsid w:val="009E4B7D"/>
    <w:rsid w:val="009E5062"/>
    <w:rsid w:val="009E548B"/>
    <w:rsid w:val="009E6EBA"/>
    <w:rsid w:val="009E7627"/>
    <w:rsid w:val="009E7760"/>
    <w:rsid w:val="009E7A09"/>
    <w:rsid w:val="009F0804"/>
    <w:rsid w:val="009F1126"/>
    <w:rsid w:val="009F19EC"/>
    <w:rsid w:val="009F1B83"/>
    <w:rsid w:val="009F2236"/>
    <w:rsid w:val="009F24D1"/>
    <w:rsid w:val="009F2F77"/>
    <w:rsid w:val="009F3A38"/>
    <w:rsid w:val="009F3E86"/>
    <w:rsid w:val="009F40C0"/>
    <w:rsid w:val="009F44F5"/>
    <w:rsid w:val="009F4AE0"/>
    <w:rsid w:val="009F58F3"/>
    <w:rsid w:val="009F59F3"/>
    <w:rsid w:val="009F5A1C"/>
    <w:rsid w:val="009F5D24"/>
    <w:rsid w:val="009F673F"/>
    <w:rsid w:val="009F6785"/>
    <w:rsid w:val="009F6A30"/>
    <w:rsid w:val="009F6EEE"/>
    <w:rsid w:val="009F7950"/>
    <w:rsid w:val="009F7A0E"/>
    <w:rsid w:val="00A00023"/>
    <w:rsid w:val="00A00566"/>
    <w:rsid w:val="00A0057A"/>
    <w:rsid w:val="00A00BDD"/>
    <w:rsid w:val="00A0124C"/>
    <w:rsid w:val="00A0157B"/>
    <w:rsid w:val="00A01AA5"/>
    <w:rsid w:val="00A02736"/>
    <w:rsid w:val="00A02F45"/>
    <w:rsid w:val="00A035F9"/>
    <w:rsid w:val="00A03B50"/>
    <w:rsid w:val="00A03D05"/>
    <w:rsid w:val="00A040A0"/>
    <w:rsid w:val="00A0462A"/>
    <w:rsid w:val="00A04651"/>
    <w:rsid w:val="00A047AD"/>
    <w:rsid w:val="00A05521"/>
    <w:rsid w:val="00A05CA9"/>
    <w:rsid w:val="00A05DBC"/>
    <w:rsid w:val="00A05DE6"/>
    <w:rsid w:val="00A05DF0"/>
    <w:rsid w:val="00A0658B"/>
    <w:rsid w:val="00A07118"/>
    <w:rsid w:val="00A07188"/>
    <w:rsid w:val="00A0763B"/>
    <w:rsid w:val="00A076C7"/>
    <w:rsid w:val="00A07AFF"/>
    <w:rsid w:val="00A07D2D"/>
    <w:rsid w:val="00A10807"/>
    <w:rsid w:val="00A10E56"/>
    <w:rsid w:val="00A110A4"/>
    <w:rsid w:val="00A11250"/>
    <w:rsid w:val="00A11279"/>
    <w:rsid w:val="00A11535"/>
    <w:rsid w:val="00A1175A"/>
    <w:rsid w:val="00A11945"/>
    <w:rsid w:val="00A119AB"/>
    <w:rsid w:val="00A11A4C"/>
    <w:rsid w:val="00A11FD6"/>
    <w:rsid w:val="00A120D3"/>
    <w:rsid w:val="00A123BC"/>
    <w:rsid w:val="00A12590"/>
    <w:rsid w:val="00A126DB"/>
    <w:rsid w:val="00A132FC"/>
    <w:rsid w:val="00A13314"/>
    <w:rsid w:val="00A14308"/>
    <w:rsid w:val="00A14629"/>
    <w:rsid w:val="00A14DD8"/>
    <w:rsid w:val="00A154A5"/>
    <w:rsid w:val="00A155B7"/>
    <w:rsid w:val="00A1572E"/>
    <w:rsid w:val="00A15C79"/>
    <w:rsid w:val="00A15FB8"/>
    <w:rsid w:val="00A165EA"/>
    <w:rsid w:val="00A16F5B"/>
    <w:rsid w:val="00A17677"/>
    <w:rsid w:val="00A17B0C"/>
    <w:rsid w:val="00A204C9"/>
    <w:rsid w:val="00A2054D"/>
    <w:rsid w:val="00A20597"/>
    <w:rsid w:val="00A20932"/>
    <w:rsid w:val="00A20B5E"/>
    <w:rsid w:val="00A20C5D"/>
    <w:rsid w:val="00A21656"/>
    <w:rsid w:val="00A2202D"/>
    <w:rsid w:val="00A225B0"/>
    <w:rsid w:val="00A227A2"/>
    <w:rsid w:val="00A229E4"/>
    <w:rsid w:val="00A22EFE"/>
    <w:rsid w:val="00A23757"/>
    <w:rsid w:val="00A23C66"/>
    <w:rsid w:val="00A23C6F"/>
    <w:rsid w:val="00A23E2F"/>
    <w:rsid w:val="00A24549"/>
    <w:rsid w:val="00A245FB"/>
    <w:rsid w:val="00A2477D"/>
    <w:rsid w:val="00A25635"/>
    <w:rsid w:val="00A256AF"/>
    <w:rsid w:val="00A25E82"/>
    <w:rsid w:val="00A25FA4"/>
    <w:rsid w:val="00A2682E"/>
    <w:rsid w:val="00A268D0"/>
    <w:rsid w:val="00A27661"/>
    <w:rsid w:val="00A278F4"/>
    <w:rsid w:val="00A27DD9"/>
    <w:rsid w:val="00A30042"/>
    <w:rsid w:val="00A300B6"/>
    <w:rsid w:val="00A3088D"/>
    <w:rsid w:val="00A309BA"/>
    <w:rsid w:val="00A30AAD"/>
    <w:rsid w:val="00A30B71"/>
    <w:rsid w:val="00A31151"/>
    <w:rsid w:val="00A31364"/>
    <w:rsid w:val="00A313DD"/>
    <w:rsid w:val="00A31F21"/>
    <w:rsid w:val="00A32A3F"/>
    <w:rsid w:val="00A32BCE"/>
    <w:rsid w:val="00A3397C"/>
    <w:rsid w:val="00A33A16"/>
    <w:rsid w:val="00A340F9"/>
    <w:rsid w:val="00A34104"/>
    <w:rsid w:val="00A3446D"/>
    <w:rsid w:val="00A346F6"/>
    <w:rsid w:val="00A34AE9"/>
    <w:rsid w:val="00A34E28"/>
    <w:rsid w:val="00A356A7"/>
    <w:rsid w:val="00A35B83"/>
    <w:rsid w:val="00A36AAB"/>
    <w:rsid w:val="00A36C48"/>
    <w:rsid w:val="00A373BC"/>
    <w:rsid w:val="00A373D3"/>
    <w:rsid w:val="00A377BF"/>
    <w:rsid w:val="00A37C55"/>
    <w:rsid w:val="00A37EF6"/>
    <w:rsid w:val="00A37F08"/>
    <w:rsid w:val="00A40695"/>
    <w:rsid w:val="00A409C0"/>
    <w:rsid w:val="00A40F01"/>
    <w:rsid w:val="00A41007"/>
    <w:rsid w:val="00A410B1"/>
    <w:rsid w:val="00A4190E"/>
    <w:rsid w:val="00A4193B"/>
    <w:rsid w:val="00A41F0A"/>
    <w:rsid w:val="00A42800"/>
    <w:rsid w:val="00A42B00"/>
    <w:rsid w:val="00A44F19"/>
    <w:rsid w:val="00A45545"/>
    <w:rsid w:val="00A455CD"/>
    <w:rsid w:val="00A45A4B"/>
    <w:rsid w:val="00A45D61"/>
    <w:rsid w:val="00A464F7"/>
    <w:rsid w:val="00A467C1"/>
    <w:rsid w:val="00A472DE"/>
    <w:rsid w:val="00A478D3"/>
    <w:rsid w:val="00A479FE"/>
    <w:rsid w:val="00A47CB6"/>
    <w:rsid w:val="00A47EED"/>
    <w:rsid w:val="00A5077B"/>
    <w:rsid w:val="00A50EC8"/>
    <w:rsid w:val="00A510DE"/>
    <w:rsid w:val="00A51148"/>
    <w:rsid w:val="00A5181F"/>
    <w:rsid w:val="00A5239A"/>
    <w:rsid w:val="00A526DE"/>
    <w:rsid w:val="00A526E0"/>
    <w:rsid w:val="00A53697"/>
    <w:rsid w:val="00A536C0"/>
    <w:rsid w:val="00A5401D"/>
    <w:rsid w:val="00A543C0"/>
    <w:rsid w:val="00A54720"/>
    <w:rsid w:val="00A55F0E"/>
    <w:rsid w:val="00A56711"/>
    <w:rsid w:val="00A567EC"/>
    <w:rsid w:val="00A56801"/>
    <w:rsid w:val="00A5693D"/>
    <w:rsid w:val="00A57F44"/>
    <w:rsid w:val="00A57FAB"/>
    <w:rsid w:val="00A602FD"/>
    <w:rsid w:val="00A603C3"/>
    <w:rsid w:val="00A60B82"/>
    <w:rsid w:val="00A61221"/>
    <w:rsid w:val="00A61939"/>
    <w:rsid w:val="00A61D81"/>
    <w:rsid w:val="00A62655"/>
    <w:rsid w:val="00A62B74"/>
    <w:rsid w:val="00A634B5"/>
    <w:rsid w:val="00A637E1"/>
    <w:rsid w:val="00A64FEE"/>
    <w:rsid w:val="00A654B0"/>
    <w:rsid w:val="00A65CF5"/>
    <w:rsid w:val="00A65F99"/>
    <w:rsid w:val="00A660BA"/>
    <w:rsid w:val="00A66106"/>
    <w:rsid w:val="00A662DF"/>
    <w:rsid w:val="00A66321"/>
    <w:rsid w:val="00A66548"/>
    <w:rsid w:val="00A665F9"/>
    <w:rsid w:val="00A66BE4"/>
    <w:rsid w:val="00A66EC2"/>
    <w:rsid w:val="00A6704F"/>
    <w:rsid w:val="00A67323"/>
    <w:rsid w:val="00A67423"/>
    <w:rsid w:val="00A67434"/>
    <w:rsid w:val="00A67801"/>
    <w:rsid w:val="00A67E14"/>
    <w:rsid w:val="00A7014B"/>
    <w:rsid w:val="00A70F9D"/>
    <w:rsid w:val="00A71063"/>
    <w:rsid w:val="00A71514"/>
    <w:rsid w:val="00A71E1F"/>
    <w:rsid w:val="00A727D2"/>
    <w:rsid w:val="00A72D5E"/>
    <w:rsid w:val="00A7380A"/>
    <w:rsid w:val="00A74308"/>
    <w:rsid w:val="00A7475C"/>
    <w:rsid w:val="00A758DF"/>
    <w:rsid w:val="00A75B6F"/>
    <w:rsid w:val="00A75C94"/>
    <w:rsid w:val="00A76180"/>
    <w:rsid w:val="00A77630"/>
    <w:rsid w:val="00A77B62"/>
    <w:rsid w:val="00A77D13"/>
    <w:rsid w:val="00A77D8C"/>
    <w:rsid w:val="00A77F28"/>
    <w:rsid w:val="00A807E5"/>
    <w:rsid w:val="00A808C1"/>
    <w:rsid w:val="00A80AF3"/>
    <w:rsid w:val="00A818D6"/>
    <w:rsid w:val="00A8275F"/>
    <w:rsid w:val="00A83D7E"/>
    <w:rsid w:val="00A84BF0"/>
    <w:rsid w:val="00A85277"/>
    <w:rsid w:val="00A85488"/>
    <w:rsid w:val="00A858CD"/>
    <w:rsid w:val="00A86048"/>
    <w:rsid w:val="00A86F9F"/>
    <w:rsid w:val="00A878A2"/>
    <w:rsid w:val="00A90420"/>
    <w:rsid w:val="00A91BE2"/>
    <w:rsid w:val="00A92AA7"/>
    <w:rsid w:val="00A92B13"/>
    <w:rsid w:val="00A93312"/>
    <w:rsid w:val="00A93583"/>
    <w:rsid w:val="00A936E8"/>
    <w:rsid w:val="00A93768"/>
    <w:rsid w:val="00A937D0"/>
    <w:rsid w:val="00A940F3"/>
    <w:rsid w:val="00A94572"/>
    <w:rsid w:val="00A94870"/>
    <w:rsid w:val="00A94895"/>
    <w:rsid w:val="00A94EF9"/>
    <w:rsid w:val="00A950A6"/>
    <w:rsid w:val="00A9514D"/>
    <w:rsid w:val="00A955FF"/>
    <w:rsid w:val="00A95A40"/>
    <w:rsid w:val="00A95A63"/>
    <w:rsid w:val="00A95BA6"/>
    <w:rsid w:val="00A9684E"/>
    <w:rsid w:val="00A96868"/>
    <w:rsid w:val="00A968AA"/>
    <w:rsid w:val="00A96AF8"/>
    <w:rsid w:val="00A9753C"/>
    <w:rsid w:val="00A97A22"/>
    <w:rsid w:val="00A97D92"/>
    <w:rsid w:val="00AA00CE"/>
    <w:rsid w:val="00AA0A4C"/>
    <w:rsid w:val="00AA0A7E"/>
    <w:rsid w:val="00AA0ABE"/>
    <w:rsid w:val="00AA0BAB"/>
    <w:rsid w:val="00AA101D"/>
    <w:rsid w:val="00AA18C5"/>
    <w:rsid w:val="00AA1E7E"/>
    <w:rsid w:val="00AA2098"/>
    <w:rsid w:val="00AA2BAA"/>
    <w:rsid w:val="00AA2C16"/>
    <w:rsid w:val="00AA3CA7"/>
    <w:rsid w:val="00AA3E38"/>
    <w:rsid w:val="00AA4293"/>
    <w:rsid w:val="00AA4507"/>
    <w:rsid w:val="00AA454B"/>
    <w:rsid w:val="00AA4900"/>
    <w:rsid w:val="00AA4A43"/>
    <w:rsid w:val="00AA5579"/>
    <w:rsid w:val="00AA582F"/>
    <w:rsid w:val="00AA5969"/>
    <w:rsid w:val="00AA5F82"/>
    <w:rsid w:val="00AA655D"/>
    <w:rsid w:val="00AA77F8"/>
    <w:rsid w:val="00AA7C8D"/>
    <w:rsid w:val="00AA7E31"/>
    <w:rsid w:val="00AA7F11"/>
    <w:rsid w:val="00AB0C76"/>
    <w:rsid w:val="00AB110D"/>
    <w:rsid w:val="00AB11AC"/>
    <w:rsid w:val="00AB1682"/>
    <w:rsid w:val="00AB17B5"/>
    <w:rsid w:val="00AB24B3"/>
    <w:rsid w:val="00AB2778"/>
    <w:rsid w:val="00AB2AD7"/>
    <w:rsid w:val="00AB2C06"/>
    <w:rsid w:val="00AB2E7E"/>
    <w:rsid w:val="00AB3208"/>
    <w:rsid w:val="00AB409E"/>
    <w:rsid w:val="00AB4576"/>
    <w:rsid w:val="00AB4643"/>
    <w:rsid w:val="00AB5014"/>
    <w:rsid w:val="00AB5769"/>
    <w:rsid w:val="00AB5785"/>
    <w:rsid w:val="00AB581A"/>
    <w:rsid w:val="00AB59F4"/>
    <w:rsid w:val="00AB5C29"/>
    <w:rsid w:val="00AB5DDA"/>
    <w:rsid w:val="00AB6852"/>
    <w:rsid w:val="00AB6E7B"/>
    <w:rsid w:val="00AB74DC"/>
    <w:rsid w:val="00AB775F"/>
    <w:rsid w:val="00AB79E5"/>
    <w:rsid w:val="00AB7A99"/>
    <w:rsid w:val="00AB7CBF"/>
    <w:rsid w:val="00AC0184"/>
    <w:rsid w:val="00AC031A"/>
    <w:rsid w:val="00AC07A1"/>
    <w:rsid w:val="00AC08F5"/>
    <w:rsid w:val="00AC0ADB"/>
    <w:rsid w:val="00AC0BA2"/>
    <w:rsid w:val="00AC1423"/>
    <w:rsid w:val="00AC2775"/>
    <w:rsid w:val="00AC2F86"/>
    <w:rsid w:val="00AC37F3"/>
    <w:rsid w:val="00AC4217"/>
    <w:rsid w:val="00AC4DBA"/>
    <w:rsid w:val="00AC4F3D"/>
    <w:rsid w:val="00AC510F"/>
    <w:rsid w:val="00AC51D0"/>
    <w:rsid w:val="00AC562B"/>
    <w:rsid w:val="00AC63FC"/>
    <w:rsid w:val="00AC66E4"/>
    <w:rsid w:val="00AC6BC2"/>
    <w:rsid w:val="00AC6C14"/>
    <w:rsid w:val="00AC6CFE"/>
    <w:rsid w:val="00AC7717"/>
    <w:rsid w:val="00AC791B"/>
    <w:rsid w:val="00AD028D"/>
    <w:rsid w:val="00AD036B"/>
    <w:rsid w:val="00AD0A8A"/>
    <w:rsid w:val="00AD0C1D"/>
    <w:rsid w:val="00AD0C8B"/>
    <w:rsid w:val="00AD0E8A"/>
    <w:rsid w:val="00AD23C3"/>
    <w:rsid w:val="00AD278D"/>
    <w:rsid w:val="00AD321A"/>
    <w:rsid w:val="00AD3C38"/>
    <w:rsid w:val="00AD3D7D"/>
    <w:rsid w:val="00AD3E97"/>
    <w:rsid w:val="00AD4738"/>
    <w:rsid w:val="00AD4811"/>
    <w:rsid w:val="00AD4CE9"/>
    <w:rsid w:val="00AD4EC4"/>
    <w:rsid w:val="00AD4ECA"/>
    <w:rsid w:val="00AD5627"/>
    <w:rsid w:val="00AD6193"/>
    <w:rsid w:val="00AD6D0D"/>
    <w:rsid w:val="00AD72F2"/>
    <w:rsid w:val="00AD73A4"/>
    <w:rsid w:val="00AD7BC9"/>
    <w:rsid w:val="00AE006B"/>
    <w:rsid w:val="00AE0526"/>
    <w:rsid w:val="00AE07FC"/>
    <w:rsid w:val="00AE0E32"/>
    <w:rsid w:val="00AE1641"/>
    <w:rsid w:val="00AE1A50"/>
    <w:rsid w:val="00AE1C7B"/>
    <w:rsid w:val="00AE1CC6"/>
    <w:rsid w:val="00AE20E5"/>
    <w:rsid w:val="00AE2264"/>
    <w:rsid w:val="00AE23B2"/>
    <w:rsid w:val="00AE28FC"/>
    <w:rsid w:val="00AE28FD"/>
    <w:rsid w:val="00AE29DA"/>
    <w:rsid w:val="00AE33D9"/>
    <w:rsid w:val="00AE378F"/>
    <w:rsid w:val="00AE4667"/>
    <w:rsid w:val="00AE4759"/>
    <w:rsid w:val="00AE4B86"/>
    <w:rsid w:val="00AE4C38"/>
    <w:rsid w:val="00AE4DE5"/>
    <w:rsid w:val="00AE5130"/>
    <w:rsid w:val="00AE5B5D"/>
    <w:rsid w:val="00AE5D3D"/>
    <w:rsid w:val="00AE5DE0"/>
    <w:rsid w:val="00AE65A1"/>
    <w:rsid w:val="00AE6964"/>
    <w:rsid w:val="00AE6989"/>
    <w:rsid w:val="00AE7DED"/>
    <w:rsid w:val="00AF070E"/>
    <w:rsid w:val="00AF0829"/>
    <w:rsid w:val="00AF0BC3"/>
    <w:rsid w:val="00AF13ED"/>
    <w:rsid w:val="00AF184A"/>
    <w:rsid w:val="00AF1ABB"/>
    <w:rsid w:val="00AF1DDA"/>
    <w:rsid w:val="00AF1ED6"/>
    <w:rsid w:val="00AF2229"/>
    <w:rsid w:val="00AF26BD"/>
    <w:rsid w:val="00AF31EA"/>
    <w:rsid w:val="00AF3362"/>
    <w:rsid w:val="00AF3AD4"/>
    <w:rsid w:val="00AF3F51"/>
    <w:rsid w:val="00AF4E2A"/>
    <w:rsid w:val="00AF5652"/>
    <w:rsid w:val="00AF57B3"/>
    <w:rsid w:val="00AF5918"/>
    <w:rsid w:val="00AF5B4C"/>
    <w:rsid w:val="00AF5E63"/>
    <w:rsid w:val="00AF609F"/>
    <w:rsid w:val="00AF63E7"/>
    <w:rsid w:val="00AF6534"/>
    <w:rsid w:val="00AF65C6"/>
    <w:rsid w:val="00AF6A97"/>
    <w:rsid w:val="00AF6B56"/>
    <w:rsid w:val="00AF6F4D"/>
    <w:rsid w:val="00AF7516"/>
    <w:rsid w:val="00AF7838"/>
    <w:rsid w:val="00AF7CB4"/>
    <w:rsid w:val="00AF7CF4"/>
    <w:rsid w:val="00B0069E"/>
    <w:rsid w:val="00B01317"/>
    <w:rsid w:val="00B014A5"/>
    <w:rsid w:val="00B01AE6"/>
    <w:rsid w:val="00B01B9A"/>
    <w:rsid w:val="00B0284C"/>
    <w:rsid w:val="00B02983"/>
    <w:rsid w:val="00B02C32"/>
    <w:rsid w:val="00B03703"/>
    <w:rsid w:val="00B038B2"/>
    <w:rsid w:val="00B039FF"/>
    <w:rsid w:val="00B03DEF"/>
    <w:rsid w:val="00B043B2"/>
    <w:rsid w:val="00B0484B"/>
    <w:rsid w:val="00B049FF"/>
    <w:rsid w:val="00B04AC6"/>
    <w:rsid w:val="00B05016"/>
    <w:rsid w:val="00B0592F"/>
    <w:rsid w:val="00B05A37"/>
    <w:rsid w:val="00B05C3A"/>
    <w:rsid w:val="00B05D2D"/>
    <w:rsid w:val="00B06301"/>
    <w:rsid w:val="00B06446"/>
    <w:rsid w:val="00B064A5"/>
    <w:rsid w:val="00B06975"/>
    <w:rsid w:val="00B06A04"/>
    <w:rsid w:val="00B06A56"/>
    <w:rsid w:val="00B06A95"/>
    <w:rsid w:val="00B071B4"/>
    <w:rsid w:val="00B07D2E"/>
    <w:rsid w:val="00B100D3"/>
    <w:rsid w:val="00B100D4"/>
    <w:rsid w:val="00B108A2"/>
    <w:rsid w:val="00B11277"/>
    <w:rsid w:val="00B11B0D"/>
    <w:rsid w:val="00B125E3"/>
    <w:rsid w:val="00B12A02"/>
    <w:rsid w:val="00B12A2A"/>
    <w:rsid w:val="00B12DF8"/>
    <w:rsid w:val="00B133B6"/>
    <w:rsid w:val="00B13B6D"/>
    <w:rsid w:val="00B13EA8"/>
    <w:rsid w:val="00B14135"/>
    <w:rsid w:val="00B1462C"/>
    <w:rsid w:val="00B14D1D"/>
    <w:rsid w:val="00B14DAE"/>
    <w:rsid w:val="00B1519E"/>
    <w:rsid w:val="00B153B4"/>
    <w:rsid w:val="00B155B6"/>
    <w:rsid w:val="00B15903"/>
    <w:rsid w:val="00B15B6C"/>
    <w:rsid w:val="00B16115"/>
    <w:rsid w:val="00B163D7"/>
    <w:rsid w:val="00B166B8"/>
    <w:rsid w:val="00B16A8E"/>
    <w:rsid w:val="00B17D50"/>
    <w:rsid w:val="00B20781"/>
    <w:rsid w:val="00B208F1"/>
    <w:rsid w:val="00B21473"/>
    <w:rsid w:val="00B216C5"/>
    <w:rsid w:val="00B21E9E"/>
    <w:rsid w:val="00B226C0"/>
    <w:rsid w:val="00B227D3"/>
    <w:rsid w:val="00B227F1"/>
    <w:rsid w:val="00B227FD"/>
    <w:rsid w:val="00B228FF"/>
    <w:rsid w:val="00B22A6D"/>
    <w:rsid w:val="00B22A77"/>
    <w:rsid w:val="00B231AD"/>
    <w:rsid w:val="00B235C7"/>
    <w:rsid w:val="00B24D0E"/>
    <w:rsid w:val="00B2546C"/>
    <w:rsid w:val="00B25DA6"/>
    <w:rsid w:val="00B2611A"/>
    <w:rsid w:val="00B26186"/>
    <w:rsid w:val="00B26530"/>
    <w:rsid w:val="00B26697"/>
    <w:rsid w:val="00B27243"/>
    <w:rsid w:val="00B27B3C"/>
    <w:rsid w:val="00B27D74"/>
    <w:rsid w:val="00B30073"/>
    <w:rsid w:val="00B3042A"/>
    <w:rsid w:val="00B3051D"/>
    <w:rsid w:val="00B30571"/>
    <w:rsid w:val="00B30E67"/>
    <w:rsid w:val="00B311C1"/>
    <w:rsid w:val="00B31385"/>
    <w:rsid w:val="00B3197D"/>
    <w:rsid w:val="00B31ACC"/>
    <w:rsid w:val="00B32104"/>
    <w:rsid w:val="00B32944"/>
    <w:rsid w:val="00B32AC2"/>
    <w:rsid w:val="00B32B8C"/>
    <w:rsid w:val="00B32EE0"/>
    <w:rsid w:val="00B33F78"/>
    <w:rsid w:val="00B34252"/>
    <w:rsid w:val="00B349D2"/>
    <w:rsid w:val="00B34D2C"/>
    <w:rsid w:val="00B3509D"/>
    <w:rsid w:val="00B353E4"/>
    <w:rsid w:val="00B35A09"/>
    <w:rsid w:val="00B35E3A"/>
    <w:rsid w:val="00B362EB"/>
    <w:rsid w:val="00B3669B"/>
    <w:rsid w:val="00B36F4C"/>
    <w:rsid w:val="00B37932"/>
    <w:rsid w:val="00B37CB9"/>
    <w:rsid w:val="00B40159"/>
    <w:rsid w:val="00B404C1"/>
    <w:rsid w:val="00B408AE"/>
    <w:rsid w:val="00B40911"/>
    <w:rsid w:val="00B41345"/>
    <w:rsid w:val="00B4206A"/>
    <w:rsid w:val="00B4224E"/>
    <w:rsid w:val="00B42CC8"/>
    <w:rsid w:val="00B42D0D"/>
    <w:rsid w:val="00B43390"/>
    <w:rsid w:val="00B43778"/>
    <w:rsid w:val="00B43B77"/>
    <w:rsid w:val="00B43CFD"/>
    <w:rsid w:val="00B44060"/>
    <w:rsid w:val="00B447BF"/>
    <w:rsid w:val="00B44D48"/>
    <w:rsid w:val="00B4527D"/>
    <w:rsid w:val="00B45727"/>
    <w:rsid w:val="00B45CFD"/>
    <w:rsid w:val="00B45F5D"/>
    <w:rsid w:val="00B4670B"/>
    <w:rsid w:val="00B46BE0"/>
    <w:rsid w:val="00B46FF3"/>
    <w:rsid w:val="00B47019"/>
    <w:rsid w:val="00B47065"/>
    <w:rsid w:val="00B47141"/>
    <w:rsid w:val="00B4BE1C"/>
    <w:rsid w:val="00B5034F"/>
    <w:rsid w:val="00B50378"/>
    <w:rsid w:val="00B50A29"/>
    <w:rsid w:val="00B50CF2"/>
    <w:rsid w:val="00B50DE5"/>
    <w:rsid w:val="00B517D1"/>
    <w:rsid w:val="00B51952"/>
    <w:rsid w:val="00B522E5"/>
    <w:rsid w:val="00B52D57"/>
    <w:rsid w:val="00B52E2F"/>
    <w:rsid w:val="00B531D5"/>
    <w:rsid w:val="00B531D6"/>
    <w:rsid w:val="00B53308"/>
    <w:rsid w:val="00B53843"/>
    <w:rsid w:val="00B54C21"/>
    <w:rsid w:val="00B54F0D"/>
    <w:rsid w:val="00B55169"/>
    <w:rsid w:val="00B55C0F"/>
    <w:rsid w:val="00B56759"/>
    <w:rsid w:val="00B56F8E"/>
    <w:rsid w:val="00B576C8"/>
    <w:rsid w:val="00B57DC7"/>
    <w:rsid w:val="00B6002A"/>
    <w:rsid w:val="00B60040"/>
    <w:rsid w:val="00B60883"/>
    <w:rsid w:val="00B6094E"/>
    <w:rsid w:val="00B609C8"/>
    <w:rsid w:val="00B60CC6"/>
    <w:rsid w:val="00B60DDC"/>
    <w:rsid w:val="00B6120F"/>
    <w:rsid w:val="00B61937"/>
    <w:rsid w:val="00B61B5D"/>
    <w:rsid w:val="00B62008"/>
    <w:rsid w:val="00B621FB"/>
    <w:rsid w:val="00B62300"/>
    <w:rsid w:val="00B63284"/>
    <w:rsid w:val="00B6343B"/>
    <w:rsid w:val="00B63531"/>
    <w:rsid w:val="00B6443D"/>
    <w:rsid w:val="00B645B8"/>
    <w:rsid w:val="00B65068"/>
    <w:rsid w:val="00B6511F"/>
    <w:rsid w:val="00B658E3"/>
    <w:rsid w:val="00B65B99"/>
    <w:rsid w:val="00B65D00"/>
    <w:rsid w:val="00B660D9"/>
    <w:rsid w:val="00B66358"/>
    <w:rsid w:val="00B67267"/>
    <w:rsid w:val="00B67287"/>
    <w:rsid w:val="00B672FB"/>
    <w:rsid w:val="00B6752F"/>
    <w:rsid w:val="00B67826"/>
    <w:rsid w:val="00B67E99"/>
    <w:rsid w:val="00B7046D"/>
    <w:rsid w:val="00B706EF"/>
    <w:rsid w:val="00B709E4"/>
    <w:rsid w:val="00B70BBA"/>
    <w:rsid w:val="00B71034"/>
    <w:rsid w:val="00B7186F"/>
    <w:rsid w:val="00B72356"/>
    <w:rsid w:val="00B726C1"/>
    <w:rsid w:val="00B726F0"/>
    <w:rsid w:val="00B73377"/>
    <w:rsid w:val="00B73C2B"/>
    <w:rsid w:val="00B73D4B"/>
    <w:rsid w:val="00B740A9"/>
    <w:rsid w:val="00B74623"/>
    <w:rsid w:val="00B75082"/>
    <w:rsid w:val="00B7514A"/>
    <w:rsid w:val="00B75324"/>
    <w:rsid w:val="00B7546E"/>
    <w:rsid w:val="00B757B4"/>
    <w:rsid w:val="00B75859"/>
    <w:rsid w:val="00B75E7A"/>
    <w:rsid w:val="00B76278"/>
    <w:rsid w:val="00B7648B"/>
    <w:rsid w:val="00B77017"/>
    <w:rsid w:val="00B772B5"/>
    <w:rsid w:val="00B7735A"/>
    <w:rsid w:val="00B77423"/>
    <w:rsid w:val="00B775C6"/>
    <w:rsid w:val="00B77C2E"/>
    <w:rsid w:val="00B801D7"/>
    <w:rsid w:val="00B804F6"/>
    <w:rsid w:val="00B80818"/>
    <w:rsid w:val="00B80FA9"/>
    <w:rsid w:val="00B811E1"/>
    <w:rsid w:val="00B812EA"/>
    <w:rsid w:val="00B81629"/>
    <w:rsid w:val="00B82044"/>
    <w:rsid w:val="00B8204B"/>
    <w:rsid w:val="00B82232"/>
    <w:rsid w:val="00B824B6"/>
    <w:rsid w:val="00B831EE"/>
    <w:rsid w:val="00B839AA"/>
    <w:rsid w:val="00B83B18"/>
    <w:rsid w:val="00B84445"/>
    <w:rsid w:val="00B84912"/>
    <w:rsid w:val="00B84C4F"/>
    <w:rsid w:val="00B85FEA"/>
    <w:rsid w:val="00B86729"/>
    <w:rsid w:val="00B86850"/>
    <w:rsid w:val="00B868D9"/>
    <w:rsid w:val="00B86D87"/>
    <w:rsid w:val="00B87482"/>
    <w:rsid w:val="00B87487"/>
    <w:rsid w:val="00B87A54"/>
    <w:rsid w:val="00B87DEF"/>
    <w:rsid w:val="00B8C515"/>
    <w:rsid w:val="00B90463"/>
    <w:rsid w:val="00B90ACD"/>
    <w:rsid w:val="00B91324"/>
    <w:rsid w:val="00B9189F"/>
    <w:rsid w:val="00B91A41"/>
    <w:rsid w:val="00B91AD2"/>
    <w:rsid w:val="00B91BDF"/>
    <w:rsid w:val="00B92AE4"/>
    <w:rsid w:val="00B93098"/>
    <w:rsid w:val="00B933B0"/>
    <w:rsid w:val="00B93F48"/>
    <w:rsid w:val="00B9414E"/>
    <w:rsid w:val="00B9426F"/>
    <w:rsid w:val="00B94438"/>
    <w:rsid w:val="00B949EC"/>
    <w:rsid w:val="00B94A2D"/>
    <w:rsid w:val="00B95BB5"/>
    <w:rsid w:val="00B95CC2"/>
    <w:rsid w:val="00B95F28"/>
    <w:rsid w:val="00B967DE"/>
    <w:rsid w:val="00B97080"/>
    <w:rsid w:val="00B97090"/>
    <w:rsid w:val="00B97098"/>
    <w:rsid w:val="00B97240"/>
    <w:rsid w:val="00B9743E"/>
    <w:rsid w:val="00B97CFA"/>
    <w:rsid w:val="00BA00A9"/>
    <w:rsid w:val="00BA0118"/>
    <w:rsid w:val="00BA03FE"/>
    <w:rsid w:val="00BA0C9C"/>
    <w:rsid w:val="00BA1031"/>
    <w:rsid w:val="00BA1276"/>
    <w:rsid w:val="00BA12AF"/>
    <w:rsid w:val="00BA1387"/>
    <w:rsid w:val="00BA17D5"/>
    <w:rsid w:val="00BA1852"/>
    <w:rsid w:val="00BA19B2"/>
    <w:rsid w:val="00BA2186"/>
    <w:rsid w:val="00BA2214"/>
    <w:rsid w:val="00BA2574"/>
    <w:rsid w:val="00BA272C"/>
    <w:rsid w:val="00BA2C71"/>
    <w:rsid w:val="00BA36E9"/>
    <w:rsid w:val="00BA3F3E"/>
    <w:rsid w:val="00BA4141"/>
    <w:rsid w:val="00BA424D"/>
    <w:rsid w:val="00BA4359"/>
    <w:rsid w:val="00BA44B7"/>
    <w:rsid w:val="00BA44E6"/>
    <w:rsid w:val="00BA4EF0"/>
    <w:rsid w:val="00BA4EFA"/>
    <w:rsid w:val="00BA5303"/>
    <w:rsid w:val="00BA57A1"/>
    <w:rsid w:val="00BA5843"/>
    <w:rsid w:val="00BA5B81"/>
    <w:rsid w:val="00BA64D9"/>
    <w:rsid w:val="00BA72AA"/>
    <w:rsid w:val="00BA7484"/>
    <w:rsid w:val="00BA785E"/>
    <w:rsid w:val="00BA7BEE"/>
    <w:rsid w:val="00BA7CAC"/>
    <w:rsid w:val="00BA7EE7"/>
    <w:rsid w:val="00BA7FCD"/>
    <w:rsid w:val="00BB0346"/>
    <w:rsid w:val="00BB05CC"/>
    <w:rsid w:val="00BB07B4"/>
    <w:rsid w:val="00BB0AA2"/>
    <w:rsid w:val="00BB0B0B"/>
    <w:rsid w:val="00BB0C15"/>
    <w:rsid w:val="00BB17A7"/>
    <w:rsid w:val="00BB215E"/>
    <w:rsid w:val="00BB21C3"/>
    <w:rsid w:val="00BB26EF"/>
    <w:rsid w:val="00BB2A34"/>
    <w:rsid w:val="00BB2C5A"/>
    <w:rsid w:val="00BB2DC7"/>
    <w:rsid w:val="00BB3232"/>
    <w:rsid w:val="00BB3991"/>
    <w:rsid w:val="00BB4363"/>
    <w:rsid w:val="00BB481B"/>
    <w:rsid w:val="00BB4EE9"/>
    <w:rsid w:val="00BB4F32"/>
    <w:rsid w:val="00BB53C8"/>
    <w:rsid w:val="00BB56E8"/>
    <w:rsid w:val="00BB5C1D"/>
    <w:rsid w:val="00BB6749"/>
    <w:rsid w:val="00BB6C2A"/>
    <w:rsid w:val="00BB71DE"/>
    <w:rsid w:val="00BB727F"/>
    <w:rsid w:val="00BB780D"/>
    <w:rsid w:val="00BB797B"/>
    <w:rsid w:val="00BC037A"/>
    <w:rsid w:val="00BC0933"/>
    <w:rsid w:val="00BC0C8C"/>
    <w:rsid w:val="00BC0F7F"/>
    <w:rsid w:val="00BC1305"/>
    <w:rsid w:val="00BC1901"/>
    <w:rsid w:val="00BC1F58"/>
    <w:rsid w:val="00BC2AC9"/>
    <w:rsid w:val="00BC31B0"/>
    <w:rsid w:val="00BC34AA"/>
    <w:rsid w:val="00BC36CF"/>
    <w:rsid w:val="00BC396C"/>
    <w:rsid w:val="00BC3994"/>
    <w:rsid w:val="00BC3C20"/>
    <w:rsid w:val="00BC3F22"/>
    <w:rsid w:val="00BC3F28"/>
    <w:rsid w:val="00BC4325"/>
    <w:rsid w:val="00BC445F"/>
    <w:rsid w:val="00BC4604"/>
    <w:rsid w:val="00BC48E0"/>
    <w:rsid w:val="00BC4AE2"/>
    <w:rsid w:val="00BC4B7F"/>
    <w:rsid w:val="00BC504D"/>
    <w:rsid w:val="00BC545A"/>
    <w:rsid w:val="00BC5B42"/>
    <w:rsid w:val="00BC5E0F"/>
    <w:rsid w:val="00BC60D0"/>
    <w:rsid w:val="00BC62E3"/>
    <w:rsid w:val="00BC6573"/>
    <w:rsid w:val="00BC6CB1"/>
    <w:rsid w:val="00BC6FFD"/>
    <w:rsid w:val="00BC748E"/>
    <w:rsid w:val="00BC7A1F"/>
    <w:rsid w:val="00BC7CEA"/>
    <w:rsid w:val="00BD03B0"/>
    <w:rsid w:val="00BD0693"/>
    <w:rsid w:val="00BD06F2"/>
    <w:rsid w:val="00BD087C"/>
    <w:rsid w:val="00BD0DD8"/>
    <w:rsid w:val="00BD0EBC"/>
    <w:rsid w:val="00BD0EDE"/>
    <w:rsid w:val="00BD1041"/>
    <w:rsid w:val="00BD15A4"/>
    <w:rsid w:val="00BD1700"/>
    <w:rsid w:val="00BD1DF2"/>
    <w:rsid w:val="00BD210E"/>
    <w:rsid w:val="00BD2B24"/>
    <w:rsid w:val="00BD2BD3"/>
    <w:rsid w:val="00BD37E5"/>
    <w:rsid w:val="00BD39C1"/>
    <w:rsid w:val="00BD41CA"/>
    <w:rsid w:val="00BD4E52"/>
    <w:rsid w:val="00BD55F6"/>
    <w:rsid w:val="00BD5635"/>
    <w:rsid w:val="00BD6300"/>
    <w:rsid w:val="00BD6BB5"/>
    <w:rsid w:val="00BD6BD3"/>
    <w:rsid w:val="00BD7123"/>
    <w:rsid w:val="00BD754F"/>
    <w:rsid w:val="00BE00C3"/>
    <w:rsid w:val="00BE0337"/>
    <w:rsid w:val="00BE0512"/>
    <w:rsid w:val="00BE0863"/>
    <w:rsid w:val="00BE08AD"/>
    <w:rsid w:val="00BE0B09"/>
    <w:rsid w:val="00BE0B69"/>
    <w:rsid w:val="00BE0E85"/>
    <w:rsid w:val="00BE14CE"/>
    <w:rsid w:val="00BE15FC"/>
    <w:rsid w:val="00BE1776"/>
    <w:rsid w:val="00BE1DE1"/>
    <w:rsid w:val="00BE1F26"/>
    <w:rsid w:val="00BE20A8"/>
    <w:rsid w:val="00BE24CA"/>
    <w:rsid w:val="00BE25E1"/>
    <w:rsid w:val="00BE2FF0"/>
    <w:rsid w:val="00BE387F"/>
    <w:rsid w:val="00BE4470"/>
    <w:rsid w:val="00BE4C50"/>
    <w:rsid w:val="00BE4FD8"/>
    <w:rsid w:val="00BE5216"/>
    <w:rsid w:val="00BE55B4"/>
    <w:rsid w:val="00BE5660"/>
    <w:rsid w:val="00BE5FB1"/>
    <w:rsid w:val="00BE6537"/>
    <w:rsid w:val="00BE6662"/>
    <w:rsid w:val="00BE6695"/>
    <w:rsid w:val="00BE6ACE"/>
    <w:rsid w:val="00BE765C"/>
    <w:rsid w:val="00BE7AB0"/>
    <w:rsid w:val="00BE7BB6"/>
    <w:rsid w:val="00BE7C5C"/>
    <w:rsid w:val="00BE7CCC"/>
    <w:rsid w:val="00BE7DAA"/>
    <w:rsid w:val="00BF059A"/>
    <w:rsid w:val="00BF0C3C"/>
    <w:rsid w:val="00BF0D4E"/>
    <w:rsid w:val="00BF1023"/>
    <w:rsid w:val="00BF12DD"/>
    <w:rsid w:val="00BF18C6"/>
    <w:rsid w:val="00BF1950"/>
    <w:rsid w:val="00BF2392"/>
    <w:rsid w:val="00BF260B"/>
    <w:rsid w:val="00BF317C"/>
    <w:rsid w:val="00BF39F7"/>
    <w:rsid w:val="00BF3D55"/>
    <w:rsid w:val="00BF4067"/>
    <w:rsid w:val="00BF4121"/>
    <w:rsid w:val="00BF4367"/>
    <w:rsid w:val="00BF482E"/>
    <w:rsid w:val="00BF49EE"/>
    <w:rsid w:val="00BF4E58"/>
    <w:rsid w:val="00BF5DC5"/>
    <w:rsid w:val="00BF61D8"/>
    <w:rsid w:val="00BF61E2"/>
    <w:rsid w:val="00BF6271"/>
    <w:rsid w:val="00BF636D"/>
    <w:rsid w:val="00BF6B40"/>
    <w:rsid w:val="00BF6D7D"/>
    <w:rsid w:val="00BF716D"/>
    <w:rsid w:val="00BF7706"/>
    <w:rsid w:val="00BF7753"/>
    <w:rsid w:val="00BF77ED"/>
    <w:rsid w:val="00BF7D1E"/>
    <w:rsid w:val="00C0011E"/>
    <w:rsid w:val="00C0015D"/>
    <w:rsid w:val="00C0092B"/>
    <w:rsid w:val="00C00C19"/>
    <w:rsid w:val="00C0138D"/>
    <w:rsid w:val="00C01430"/>
    <w:rsid w:val="00C015D4"/>
    <w:rsid w:val="00C016E7"/>
    <w:rsid w:val="00C016FC"/>
    <w:rsid w:val="00C01D30"/>
    <w:rsid w:val="00C01D3D"/>
    <w:rsid w:val="00C02423"/>
    <w:rsid w:val="00C02E92"/>
    <w:rsid w:val="00C02F67"/>
    <w:rsid w:val="00C0305F"/>
    <w:rsid w:val="00C0315E"/>
    <w:rsid w:val="00C03696"/>
    <w:rsid w:val="00C042A2"/>
    <w:rsid w:val="00C04302"/>
    <w:rsid w:val="00C04425"/>
    <w:rsid w:val="00C048AB"/>
    <w:rsid w:val="00C04C0D"/>
    <w:rsid w:val="00C04EA9"/>
    <w:rsid w:val="00C052FE"/>
    <w:rsid w:val="00C05571"/>
    <w:rsid w:val="00C055EB"/>
    <w:rsid w:val="00C057D0"/>
    <w:rsid w:val="00C05DB5"/>
    <w:rsid w:val="00C072E8"/>
    <w:rsid w:val="00C07C2E"/>
    <w:rsid w:val="00C1074E"/>
    <w:rsid w:val="00C10771"/>
    <w:rsid w:val="00C107F2"/>
    <w:rsid w:val="00C10B64"/>
    <w:rsid w:val="00C11DC5"/>
    <w:rsid w:val="00C11E9F"/>
    <w:rsid w:val="00C11F92"/>
    <w:rsid w:val="00C124AA"/>
    <w:rsid w:val="00C12969"/>
    <w:rsid w:val="00C12CBE"/>
    <w:rsid w:val="00C12E53"/>
    <w:rsid w:val="00C137D4"/>
    <w:rsid w:val="00C13BA3"/>
    <w:rsid w:val="00C13F0E"/>
    <w:rsid w:val="00C1484D"/>
    <w:rsid w:val="00C14BAA"/>
    <w:rsid w:val="00C14CC3"/>
    <w:rsid w:val="00C1525B"/>
    <w:rsid w:val="00C155B4"/>
    <w:rsid w:val="00C159EC"/>
    <w:rsid w:val="00C15A4E"/>
    <w:rsid w:val="00C15B0D"/>
    <w:rsid w:val="00C15FA0"/>
    <w:rsid w:val="00C16128"/>
    <w:rsid w:val="00C16307"/>
    <w:rsid w:val="00C16515"/>
    <w:rsid w:val="00C16923"/>
    <w:rsid w:val="00C16D3D"/>
    <w:rsid w:val="00C17A44"/>
    <w:rsid w:val="00C17C49"/>
    <w:rsid w:val="00C203D9"/>
    <w:rsid w:val="00C207C8"/>
    <w:rsid w:val="00C21147"/>
    <w:rsid w:val="00C2152A"/>
    <w:rsid w:val="00C21A55"/>
    <w:rsid w:val="00C21EF2"/>
    <w:rsid w:val="00C220C5"/>
    <w:rsid w:val="00C223EC"/>
    <w:rsid w:val="00C2290D"/>
    <w:rsid w:val="00C22E26"/>
    <w:rsid w:val="00C236E4"/>
    <w:rsid w:val="00C245EA"/>
    <w:rsid w:val="00C24A96"/>
    <w:rsid w:val="00C24F2E"/>
    <w:rsid w:val="00C25462"/>
    <w:rsid w:val="00C2609D"/>
    <w:rsid w:val="00C26A04"/>
    <w:rsid w:val="00C26A6E"/>
    <w:rsid w:val="00C26FEF"/>
    <w:rsid w:val="00C274E9"/>
    <w:rsid w:val="00C2786D"/>
    <w:rsid w:val="00C3040D"/>
    <w:rsid w:val="00C304E9"/>
    <w:rsid w:val="00C306A5"/>
    <w:rsid w:val="00C306C3"/>
    <w:rsid w:val="00C30F28"/>
    <w:rsid w:val="00C312A3"/>
    <w:rsid w:val="00C31AE2"/>
    <w:rsid w:val="00C31C82"/>
    <w:rsid w:val="00C31D3D"/>
    <w:rsid w:val="00C3249B"/>
    <w:rsid w:val="00C3253A"/>
    <w:rsid w:val="00C32606"/>
    <w:rsid w:val="00C326CF"/>
    <w:rsid w:val="00C32A63"/>
    <w:rsid w:val="00C32ABE"/>
    <w:rsid w:val="00C32EC5"/>
    <w:rsid w:val="00C331F0"/>
    <w:rsid w:val="00C3337D"/>
    <w:rsid w:val="00C33D89"/>
    <w:rsid w:val="00C33E9E"/>
    <w:rsid w:val="00C344DD"/>
    <w:rsid w:val="00C347C0"/>
    <w:rsid w:val="00C3548E"/>
    <w:rsid w:val="00C35711"/>
    <w:rsid w:val="00C3616F"/>
    <w:rsid w:val="00C3675D"/>
    <w:rsid w:val="00C3719E"/>
    <w:rsid w:val="00C3726A"/>
    <w:rsid w:val="00C374AC"/>
    <w:rsid w:val="00C37649"/>
    <w:rsid w:val="00C3765D"/>
    <w:rsid w:val="00C408A1"/>
    <w:rsid w:val="00C40F4E"/>
    <w:rsid w:val="00C41378"/>
    <w:rsid w:val="00C4160F"/>
    <w:rsid w:val="00C418C2"/>
    <w:rsid w:val="00C41BDE"/>
    <w:rsid w:val="00C41F31"/>
    <w:rsid w:val="00C41FF0"/>
    <w:rsid w:val="00C4379C"/>
    <w:rsid w:val="00C43859"/>
    <w:rsid w:val="00C43ADA"/>
    <w:rsid w:val="00C43B0A"/>
    <w:rsid w:val="00C43F4A"/>
    <w:rsid w:val="00C44046"/>
    <w:rsid w:val="00C44C4A"/>
    <w:rsid w:val="00C457F9"/>
    <w:rsid w:val="00C45D61"/>
    <w:rsid w:val="00C46093"/>
    <w:rsid w:val="00C462C2"/>
    <w:rsid w:val="00C463CD"/>
    <w:rsid w:val="00C46765"/>
    <w:rsid w:val="00C47013"/>
    <w:rsid w:val="00C470E8"/>
    <w:rsid w:val="00C475FF"/>
    <w:rsid w:val="00C47A72"/>
    <w:rsid w:val="00C47CCE"/>
    <w:rsid w:val="00C47D6A"/>
    <w:rsid w:val="00C50255"/>
    <w:rsid w:val="00C502B7"/>
    <w:rsid w:val="00C5066B"/>
    <w:rsid w:val="00C51122"/>
    <w:rsid w:val="00C512DA"/>
    <w:rsid w:val="00C51617"/>
    <w:rsid w:val="00C51915"/>
    <w:rsid w:val="00C52375"/>
    <w:rsid w:val="00C5240B"/>
    <w:rsid w:val="00C529D7"/>
    <w:rsid w:val="00C52D11"/>
    <w:rsid w:val="00C52F80"/>
    <w:rsid w:val="00C53139"/>
    <w:rsid w:val="00C532A6"/>
    <w:rsid w:val="00C53487"/>
    <w:rsid w:val="00C5358C"/>
    <w:rsid w:val="00C53B7C"/>
    <w:rsid w:val="00C54106"/>
    <w:rsid w:val="00C5432E"/>
    <w:rsid w:val="00C54986"/>
    <w:rsid w:val="00C56700"/>
    <w:rsid w:val="00C5690A"/>
    <w:rsid w:val="00C56C99"/>
    <w:rsid w:val="00C60032"/>
    <w:rsid w:val="00C60FDE"/>
    <w:rsid w:val="00C61B48"/>
    <w:rsid w:val="00C61B70"/>
    <w:rsid w:val="00C61EEF"/>
    <w:rsid w:val="00C62637"/>
    <w:rsid w:val="00C626A2"/>
    <w:rsid w:val="00C632AF"/>
    <w:rsid w:val="00C6364E"/>
    <w:rsid w:val="00C63B47"/>
    <w:rsid w:val="00C63BF0"/>
    <w:rsid w:val="00C63C1F"/>
    <w:rsid w:val="00C63F2D"/>
    <w:rsid w:val="00C64A93"/>
    <w:rsid w:val="00C65B8A"/>
    <w:rsid w:val="00C66917"/>
    <w:rsid w:val="00C66BD5"/>
    <w:rsid w:val="00C66CA5"/>
    <w:rsid w:val="00C66DC5"/>
    <w:rsid w:val="00C67CA1"/>
    <w:rsid w:val="00C70589"/>
    <w:rsid w:val="00C70A0B"/>
    <w:rsid w:val="00C71671"/>
    <w:rsid w:val="00C71A5C"/>
    <w:rsid w:val="00C71F21"/>
    <w:rsid w:val="00C7206E"/>
    <w:rsid w:val="00C7211A"/>
    <w:rsid w:val="00C7278A"/>
    <w:rsid w:val="00C72838"/>
    <w:rsid w:val="00C734AC"/>
    <w:rsid w:val="00C73C96"/>
    <w:rsid w:val="00C74449"/>
    <w:rsid w:val="00C74D47"/>
    <w:rsid w:val="00C75213"/>
    <w:rsid w:val="00C756FF"/>
    <w:rsid w:val="00C75780"/>
    <w:rsid w:val="00C760ED"/>
    <w:rsid w:val="00C76A68"/>
    <w:rsid w:val="00C76DAA"/>
    <w:rsid w:val="00C771FD"/>
    <w:rsid w:val="00C7721E"/>
    <w:rsid w:val="00C77C0A"/>
    <w:rsid w:val="00C77FD0"/>
    <w:rsid w:val="00C80403"/>
    <w:rsid w:val="00C806D9"/>
    <w:rsid w:val="00C80D1B"/>
    <w:rsid w:val="00C80E7F"/>
    <w:rsid w:val="00C815C4"/>
    <w:rsid w:val="00C82629"/>
    <w:rsid w:val="00C83281"/>
    <w:rsid w:val="00C8328B"/>
    <w:rsid w:val="00C847B0"/>
    <w:rsid w:val="00C848C2"/>
    <w:rsid w:val="00C8618B"/>
    <w:rsid w:val="00C864CE"/>
    <w:rsid w:val="00C86DE3"/>
    <w:rsid w:val="00C874B9"/>
    <w:rsid w:val="00C876EB"/>
    <w:rsid w:val="00C87B03"/>
    <w:rsid w:val="00C87B29"/>
    <w:rsid w:val="00C9090A"/>
    <w:rsid w:val="00C90D03"/>
    <w:rsid w:val="00C90DF6"/>
    <w:rsid w:val="00C91289"/>
    <w:rsid w:val="00C9140E"/>
    <w:rsid w:val="00C91AB0"/>
    <w:rsid w:val="00C92370"/>
    <w:rsid w:val="00C924DF"/>
    <w:rsid w:val="00C925D2"/>
    <w:rsid w:val="00C92703"/>
    <w:rsid w:val="00C92D81"/>
    <w:rsid w:val="00C92F24"/>
    <w:rsid w:val="00C93155"/>
    <w:rsid w:val="00C932A0"/>
    <w:rsid w:val="00C93767"/>
    <w:rsid w:val="00C93BFF"/>
    <w:rsid w:val="00C94934"/>
    <w:rsid w:val="00C94CD0"/>
    <w:rsid w:val="00C94EDF"/>
    <w:rsid w:val="00C9547B"/>
    <w:rsid w:val="00C954CC"/>
    <w:rsid w:val="00C9612A"/>
    <w:rsid w:val="00C961BD"/>
    <w:rsid w:val="00C96D73"/>
    <w:rsid w:val="00C97338"/>
    <w:rsid w:val="00C9778B"/>
    <w:rsid w:val="00C97F33"/>
    <w:rsid w:val="00CA0534"/>
    <w:rsid w:val="00CA0A76"/>
    <w:rsid w:val="00CA1155"/>
    <w:rsid w:val="00CA21D2"/>
    <w:rsid w:val="00CA25EB"/>
    <w:rsid w:val="00CA26D7"/>
    <w:rsid w:val="00CA2D6E"/>
    <w:rsid w:val="00CA30EA"/>
    <w:rsid w:val="00CA31C1"/>
    <w:rsid w:val="00CA3B4C"/>
    <w:rsid w:val="00CA45AC"/>
    <w:rsid w:val="00CA5277"/>
    <w:rsid w:val="00CA541A"/>
    <w:rsid w:val="00CA5605"/>
    <w:rsid w:val="00CA5709"/>
    <w:rsid w:val="00CA57EC"/>
    <w:rsid w:val="00CA58D8"/>
    <w:rsid w:val="00CA5DF9"/>
    <w:rsid w:val="00CA621F"/>
    <w:rsid w:val="00CA6824"/>
    <w:rsid w:val="00CA6ABF"/>
    <w:rsid w:val="00CA724C"/>
    <w:rsid w:val="00CA7258"/>
    <w:rsid w:val="00CA7A88"/>
    <w:rsid w:val="00CA7FA8"/>
    <w:rsid w:val="00CB0341"/>
    <w:rsid w:val="00CB04C8"/>
    <w:rsid w:val="00CB0923"/>
    <w:rsid w:val="00CB1386"/>
    <w:rsid w:val="00CB159D"/>
    <w:rsid w:val="00CB1D5C"/>
    <w:rsid w:val="00CB1DF3"/>
    <w:rsid w:val="00CB2EDC"/>
    <w:rsid w:val="00CB33CC"/>
    <w:rsid w:val="00CB3754"/>
    <w:rsid w:val="00CB3926"/>
    <w:rsid w:val="00CB4595"/>
    <w:rsid w:val="00CB47F8"/>
    <w:rsid w:val="00CB53B4"/>
    <w:rsid w:val="00CB5867"/>
    <w:rsid w:val="00CB5B60"/>
    <w:rsid w:val="00CB6257"/>
    <w:rsid w:val="00CB63E3"/>
    <w:rsid w:val="00CB652C"/>
    <w:rsid w:val="00CB6A24"/>
    <w:rsid w:val="00CB6EC8"/>
    <w:rsid w:val="00CB79FD"/>
    <w:rsid w:val="00CC00BE"/>
    <w:rsid w:val="00CC123E"/>
    <w:rsid w:val="00CC1D0C"/>
    <w:rsid w:val="00CC1E4A"/>
    <w:rsid w:val="00CC3DDC"/>
    <w:rsid w:val="00CC4982"/>
    <w:rsid w:val="00CC4C58"/>
    <w:rsid w:val="00CC4CE0"/>
    <w:rsid w:val="00CC50B1"/>
    <w:rsid w:val="00CC5761"/>
    <w:rsid w:val="00CC5790"/>
    <w:rsid w:val="00CC5DF2"/>
    <w:rsid w:val="00CC6A84"/>
    <w:rsid w:val="00CC769D"/>
    <w:rsid w:val="00CC788D"/>
    <w:rsid w:val="00CC7B0E"/>
    <w:rsid w:val="00CC7B78"/>
    <w:rsid w:val="00CC7C83"/>
    <w:rsid w:val="00CC7E7D"/>
    <w:rsid w:val="00CD008D"/>
    <w:rsid w:val="00CD0964"/>
    <w:rsid w:val="00CD1BAB"/>
    <w:rsid w:val="00CD1CE9"/>
    <w:rsid w:val="00CD2081"/>
    <w:rsid w:val="00CD224D"/>
    <w:rsid w:val="00CD2284"/>
    <w:rsid w:val="00CD4527"/>
    <w:rsid w:val="00CD46DA"/>
    <w:rsid w:val="00CD4AEF"/>
    <w:rsid w:val="00CD4C78"/>
    <w:rsid w:val="00CD50BA"/>
    <w:rsid w:val="00CD529E"/>
    <w:rsid w:val="00CD5367"/>
    <w:rsid w:val="00CD59FB"/>
    <w:rsid w:val="00CD643D"/>
    <w:rsid w:val="00CD6722"/>
    <w:rsid w:val="00CD7378"/>
    <w:rsid w:val="00CD7C13"/>
    <w:rsid w:val="00CD7F3A"/>
    <w:rsid w:val="00CD7FC7"/>
    <w:rsid w:val="00CE0537"/>
    <w:rsid w:val="00CE05B0"/>
    <w:rsid w:val="00CE10AF"/>
    <w:rsid w:val="00CE15DB"/>
    <w:rsid w:val="00CE30A6"/>
    <w:rsid w:val="00CE3296"/>
    <w:rsid w:val="00CE3599"/>
    <w:rsid w:val="00CE37BA"/>
    <w:rsid w:val="00CE37FC"/>
    <w:rsid w:val="00CE3859"/>
    <w:rsid w:val="00CE3D91"/>
    <w:rsid w:val="00CE43BC"/>
    <w:rsid w:val="00CE5DCE"/>
    <w:rsid w:val="00CE5F09"/>
    <w:rsid w:val="00CE72B8"/>
    <w:rsid w:val="00CE73D9"/>
    <w:rsid w:val="00CE7A71"/>
    <w:rsid w:val="00CE7F72"/>
    <w:rsid w:val="00CF0183"/>
    <w:rsid w:val="00CF01CE"/>
    <w:rsid w:val="00CF0D89"/>
    <w:rsid w:val="00CF1485"/>
    <w:rsid w:val="00CF22D3"/>
    <w:rsid w:val="00CF2549"/>
    <w:rsid w:val="00CF26BE"/>
    <w:rsid w:val="00CF2753"/>
    <w:rsid w:val="00CF29D9"/>
    <w:rsid w:val="00CF2A82"/>
    <w:rsid w:val="00CF2D75"/>
    <w:rsid w:val="00CF2F3F"/>
    <w:rsid w:val="00CF3433"/>
    <w:rsid w:val="00CF3743"/>
    <w:rsid w:val="00CF3DA0"/>
    <w:rsid w:val="00CF4060"/>
    <w:rsid w:val="00CF408F"/>
    <w:rsid w:val="00CF410E"/>
    <w:rsid w:val="00CF443A"/>
    <w:rsid w:val="00CF44DE"/>
    <w:rsid w:val="00CF4C21"/>
    <w:rsid w:val="00CF4E69"/>
    <w:rsid w:val="00CF5194"/>
    <w:rsid w:val="00CF5938"/>
    <w:rsid w:val="00CF5FA0"/>
    <w:rsid w:val="00CF6457"/>
    <w:rsid w:val="00CF645C"/>
    <w:rsid w:val="00CF6848"/>
    <w:rsid w:val="00CF6B0D"/>
    <w:rsid w:val="00CF71D5"/>
    <w:rsid w:val="00CF7241"/>
    <w:rsid w:val="00CF76EB"/>
    <w:rsid w:val="00CF7A4F"/>
    <w:rsid w:val="00CF7CE8"/>
    <w:rsid w:val="00CF7D66"/>
    <w:rsid w:val="00D00FA4"/>
    <w:rsid w:val="00D0128A"/>
    <w:rsid w:val="00D01AF0"/>
    <w:rsid w:val="00D02CC0"/>
    <w:rsid w:val="00D03D12"/>
    <w:rsid w:val="00D03F6B"/>
    <w:rsid w:val="00D04EF4"/>
    <w:rsid w:val="00D05689"/>
    <w:rsid w:val="00D05ACA"/>
    <w:rsid w:val="00D06453"/>
    <w:rsid w:val="00D066D7"/>
    <w:rsid w:val="00D066EA"/>
    <w:rsid w:val="00D06873"/>
    <w:rsid w:val="00D06F7C"/>
    <w:rsid w:val="00D0704C"/>
    <w:rsid w:val="00D07193"/>
    <w:rsid w:val="00D0734C"/>
    <w:rsid w:val="00D07B2F"/>
    <w:rsid w:val="00D07C42"/>
    <w:rsid w:val="00D07D5A"/>
    <w:rsid w:val="00D10062"/>
    <w:rsid w:val="00D104C5"/>
    <w:rsid w:val="00D1075B"/>
    <w:rsid w:val="00D10D75"/>
    <w:rsid w:val="00D114C2"/>
    <w:rsid w:val="00D1170F"/>
    <w:rsid w:val="00D11B43"/>
    <w:rsid w:val="00D11C02"/>
    <w:rsid w:val="00D1295D"/>
    <w:rsid w:val="00D12C1D"/>
    <w:rsid w:val="00D133E7"/>
    <w:rsid w:val="00D139F0"/>
    <w:rsid w:val="00D13DF2"/>
    <w:rsid w:val="00D1469C"/>
    <w:rsid w:val="00D149B1"/>
    <w:rsid w:val="00D14B72"/>
    <w:rsid w:val="00D14B9F"/>
    <w:rsid w:val="00D14C9D"/>
    <w:rsid w:val="00D15D43"/>
    <w:rsid w:val="00D15E7D"/>
    <w:rsid w:val="00D16CCC"/>
    <w:rsid w:val="00D16E67"/>
    <w:rsid w:val="00D16F6D"/>
    <w:rsid w:val="00D17442"/>
    <w:rsid w:val="00D17767"/>
    <w:rsid w:val="00D17FCE"/>
    <w:rsid w:val="00D2000D"/>
    <w:rsid w:val="00D2052E"/>
    <w:rsid w:val="00D206C4"/>
    <w:rsid w:val="00D20B36"/>
    <w:rsid w:val="00D20DCF"/>
    <w:rsid w:val="00D20E3D"/>
    <w:rsid w:val="00D210FF"/>
    <w:rsid w:val="00D223C6"/>
    <w:rsid w:val="00D226A6"/>
    <w:rsid w:val="00D22BBF"/>
    <w:rsid w:val="00D22DA3"/>
    <w:rsid w:val="00D22E0A"/>
    <w:rsid w:val="00D22F93"/>
    <w:rsid w:val="00D2313A"/>
    <w:rsid w:val="00D232DA"/>
    <w:rsid w:val="00D23DE3"/>
    <w:rsid w:val="00D24072"/>
    <w:rsid w:val="00D24B6F"/>
    <w:rsid w:val="00D252B9"/>
    <w:rsid w:val="00D252DF"/>
    <w:rsid w:val="00D2540F"/>
    <w:rsid w:val="00D254C6"/>
    <w:rsid w:val="00D25595"/>
    <w:rsid w:val="00D25857"/>
    <w:rsid w:val="00D25CD4"/>
    <w:rsid w:val="00D26221"/>
    <w:rsid w:val="00D26404"/>
    <w:rsid w:val="00D27ADF"/>
    <w:rsid w:val="00D27CE7"/>
    <w:rsid w:val="00D27E23"/>
    <w:rsid w:val="00D30099"/>
    <w:rsid w:val="00D302CC"/>
    <w:rsid w:val="00D30354"/>
    <w:rsid w:val="00D3041E"/>
    <w:rsid w:val="00D3096D"/>
    <w:rsid w:val="00D30F2E"/>
    <w:rsid w:val="00D30F97"/>
    <w:rsid w:val="00D31430"/>
    <w:rsid w:val="00D316DB"/>
    <w:rsid w:val="00D31F1E"/>
    <w:rsid w:val="00D320AF"/>
    <w:rsid w:val="00D321D9"/>
    <w:rsid w:val="00D32314"/>
    <w:rsid w:val="00D32317"/>
    <w:rsid w:val="00D32B46"/>
    <w:rsid w:val="00D32D3F"/>
    <w:rsid w:val="00D32D51"/>
    <w:rsid w:val="00D32D6A"/>
    <w:rsid w:val="00D32F55"/>
    <w:rsid w:val="00D33203"/>
    <w:rsid w:val="00D337CC"/>
    <w:rsid w:val="00D33846"/>
    <w:rsid w:val="00D33DB3"/>
    <w:rsid w:val="00D33E6B"/>
    <w:rsid w:val="00D33F65"/>
    <w:rsid w:val="00D34A05"/>
    <w:rsid w:val="00D3524D"/>
    <w:rsid w:val="00D3566F"/>
    <w:rsid w:val="00D36052"/>
    <w:rsid w:val="00D3645C"/>
    <w:rsid w:val="00D365B1"/>
    <w:rsid w:val="00D3686F"/>
    <w:rsid w:val="00D36972"/>
    <w:rsid w:val="00D36A2B"/>
    <w:rsid w:val="00D36A96"/>
    <w:rsid w:val="00D36D65"/>
    <w:rsid w:val="00D3724C"/>
    <w:rsid w:val="00D37C83"/>
    <w:rsid w:val="00D411A5"/>
    <w:rsid w:val="00D42C3D"/>
    <w:rsid w:val="00D42E4A"/>
    <w:rsid w:val="00D4308F"/>
    <w:rsid w:val="00D43259"/>
    <w:rsid w:val="00D4375B"/>
    <w:rsid w:val="00D439C5"/>
    <w:rsid w:val="00D442D6"/>
    <w:rsid w:val="00D44730"/>
    <w:rsid w:val="00D44812"/>
    <w:rsid w:val="00D4552A"/>
    <w:rsid w:val="00D45DF2"/>
    <w:rsid w:val="00D4648D"/>
    <w:rsid w:val="00D464CD"/>
    <w:rsid w:val="00D465EB"/>
    <w:rsid w:val="00D46C70"/>
    <w:rsid w:val="00D46C95"/>
    <w:rsid w:val="00D474AE"/>
    <w:rsid w:val="00D47794"/>
    <w:rsid w:val="00D47E2E"/>
    <w:rsid w:val="00D515DA"/>
    <w:rsid w:val="00D519BA"/>
    <w:rsid w:val="00D51EF5"/>
    <w:rsid w:val="00D520EF"/>
    <w:rsid w:val="00D5235E"/>
    <w:rsid w:val="00D526A6"/>
    <w:rsid w:val="00D52756"/>
    <w:rsid w:val="00D528A9"/>
    <w:rsid w:val="00D529D6"/>
    <w:rsid w:val="00D52A91"/>
    <w:rsid w:val="00D52B0D"/>
    <w:rsid w:val="00D53956"/>
    <w:rsid w:val="00D53C4E"/>
    <w:rsid w:val="00D53C6C"/>
    <w:rsid w:val="00D542AC"/>
    <w:rsid w:val="00D548D2"/>
    <w:rsid w:val="00D54CA5"/>
    <w:rsid w:val="00D55877"/>
    <w:rsid w:val="00D55C70"/>
    <w:rsid w:val="00D55D18"/>
    <w:rsid w:val="00D56315"/>
    <w:rsid w:val="00D56A99"/>
    <w:rsid w:val="00D56B9D"/>
    <w:rsid w:val="00D573F6"/>
    <w:rsid w:val="00D57410"/>
    <w:rsid w:val="00D57783"/>
    <w:rsid w:val="00D57AB3"/>
    <w:rsid w:val="00D57B59"/>
    <w:rsid w:val="00D57F11"/>
    <w:rsid w:val="00D57F94"/>
    <w:rsid w:val="00D6046C"/>
    <w:rsid w:val="00D60E5E"/>
    <w:rsid w:val="00D61258"/>
    <w:rsid w:val="00D61983"/>
    <w:rsid w:val="00D61A92"/>
    <w:rsid w:val="00D61AF7"/>
    <w:rsid w:val="00D61F3A"/>
    <w:rsid w:val="00D61F73"/>
    <w:rsid w:val="00D62057"/>
    <w:rsid w:val="00D624FC"/>
    <w:rsid w:val="00D62565"/>
    <w:rsid w:val="00D63158"/>
    <w:rsid w:val="00D6325E"/>
    <w:rsid w:val="00D6336E"/>
    <w:rsid w:val="00D636F0"/>
    <w:rsid w:val="00D63D14"/>
    <w:rsid w:val="00D63F4A"/>
    <w:rsid w:val="00D63FA9"/>
    <w:rsid w:val="00D6479F"/>
    <w:rsid w:val="00D6532B"/>
    <w:rsid w:val="00D65B6B"/>
    <w:rsid w:val="00D65D39"/>
    <w:rsid w:val="00D65E7E"/>
    <w:rsid w:val="00D66000"/>
    <w:rsid w:val="00D66294"/>
    <w:rsid w:val="00D66C3C"/>
    <w:rsid w:val="00D66E21"/>
    <w:rsid w:val="00D67224"/>
    <w:rsid w:val="00D6794C"/>
    <w:rsid w:val="00D67EE1"/>
    <w:rsid w:val="00D7021E"/>
    <w:rsid w:val="00D702CA"/>
    <w:rsid w:val="00D7052B"/>
    <w:rsid w:val="00D7083B"/>
    <w:rsid w:val="00D7093A"/>
    <w:rsid w:val="00D70A87"/>
    <w:rsid w:val="00D70B5E"/>
    <w:rsid w:val="00D70DEA"/>
    <w:rsid w:val="00D70FE9"/>
    <w:rsid w:val="00D7174B"/>
    <w:rsid w:val="00D717DB"/>
    <w:rsid w:val="00D71989"/>
    <w:rsid w:val="00D72303"/>
    <w:rsid w:val="00D72D0B"/>
    <w:rsid w:val="00D730BE"/>
    <w:rsid w:val="00D7371B"/>
    <w:rsid w:val="00D73727"/>
    <w:rsid w:val="00D73949"/>
    <w:rsid w:val="00D741EA"/>
    <w:rsid w:val="00D7433D"/>
    <w:rsid w:val="00D745C5"/>
    <w:rsid w:val="00D755F2"/>
    <w:rsid w:val="00D756BC"/>
    <w:rsid w:val="00D75A50"/>
    <w:rsid w:val="00D75D2E"/>
    <w:rsid w:val="00D7618C"/>
    <w:rsid w:val="00D76548"/>
    <w:rsid w:val="00D767A7"/>
    <w:rsid w:val="00D770BA"/>
    <w:rsid w:val="00D7715B"/>
    <w:rsid w:val="00D7762D"/>
    <w:rsid w:val="00D77688"/>
    <w:rsid w:val="00D776B3"/>
    <w:rsid w:val="00D77E9A"/>
    <w:rsid w:val="00D801EF"/>
    <w:rsid w:val="00D805B5"/>
    <w:rsid w:val="00D8070F"/>
    <w:rsid w:val="00D80887"/>
    <w:rsid w:val="00D80CE2"/>
    <w:rsid w:val="00D814A0"/>
    <w:rsid w:val="00D81683"/>
    <w:rsid w:val="00D816D8"/>
    <w:rsid w:val="00D827C0"/>
    <w:rsid w:val="00D82D80"/>
    <w:rsid w:val="00D82F51"/>
    <w:rsid w:val="00D830DF"/>
    <w:rsid w:val="00D8337D"/>
    <w:rsid w:val="00D8391F"/>
    <w:rsid w:val="00D83EB3"/>
    <w:rsid w:val="00D83F17"/>
    <w:rsid w:val="00D8416E"/>
    <w:rsid w:val="00D85545"/>
    <w:rsid w:val="00D85E65"/>
    <w:rsid w:val="00D86304"/>
    <w:rsid w:val="00D86EE3"/>
    <w:rsid w:val="00D86F8D"/>
    <w:rsid w:val="00D873F9"/>
    <w:rsid w:val="00D876A0"/>
    <w:rsid w:val="00D901B5"/>
    <w:rsid w:val="00D90269"/>
    <w:rsid w:val="00D90878"/>
    <w:rsid w:val="00D90ECE"/>
    <w:rsid w:val="00D9101A"/>
    <w:rsid w:val="00D91061"/>
    <w:rsid w:val="00D91465"/>
    <w:rsid w:val="00D92679"/>
    <w:rsid w:val="00D926FF"/>
    <w:rsid w:val="00D92AA6"/>
    <w:rsid w:val="00D9326A"/>
    <w:rsid w:val="00D93328"/>
    <w:rsid w:val="00D9353D"/>
    <w:rsid w:val="00D94304"/>
    <w:rsid w:val="00D9438A"/>
    <w:rsid w:val="00D94B0C"/>
    <w:rsid w:val="00D94C78"/>
    <w:rsid w:val="00D968E1"/>
    <w:rsid w:val="00D96A84"/>
    <w:rsid w:val="00D96CA4"/>
    <w:rsid w:val="00D96CAC"/>
    <w:rsid w:val="00D96DD7"/>
    <w:rsid w:val="00D972B3"/>
    <w:rsid w:val="00D9756D"/>
    <w:rsid w:val="00DA0BAC"/>
    <w:rsid w:val="00DA0BC6"/>
    <w:rsid w:val="00DA102A"/>
    <w:rsid w:val="00DA109A"/>
    <w:rsid w:val="00DA1B44"/>
    <w:rsid w:val="00DA1F4C"/>
    <w:rsid w:val="00DA230F"/>
    <w:rsid w:val="00DA2A1F"/>
    <w:rsid w:val="00DA3587"/>
    <w:rsid w:val="00DA38D4"/>
    <w:rsid w:val="00DA39E7"/>
    <w:rsid w:val="00DA3EC1"/>
    <w:rsid w:val="00DA3F5D"/>
    <w:rsid w:val="00DA4193"/>
    <w:rsid w:val="00DA4203"/>
    <w:rsid w:val="00DA4210"/>
    <w:rsid w:val="00DA4299"/>
    <w:rsid w:val="00DA4A00"/>
    <w:rsid w:val="00DA5135"/>
    <w:rsid w:val="00DA542F"/>
    <w:rsid w:val="00DA5CD1"/>
    <w:rsid w:val="00DA636A"/>
    <w:rsid w:val="00DA698B"/>
    <w:rsid w:val="00DA6AB7"/>
    <w:rsid w:val="00DA6ACA"/>
    <w:rsid w:val="00DB0435"/>
    <w:rsid w:val="00DB055E"/>
    <w:rsid w:val="00DB0A58"/>
    <w:rsid w:val="00DB1A04"/>
    <w:rsid w:val="00DB1E4A"/>
    <w:rsid w:val="00DB2BD2"/>
    <w:rsid w:val="00DB2E34"/>
    <w:rsid w:val="00DB3360"/>
    <w:rsid w:val="00DB346E"/>
    <w:rsid w:val="00DB406B"/>
    <w:rsid w:val="00DB4367"/>
    <w:rsid w:val="00DB44BD"/>
    <w:rsid w:val="00DB4D5A"/>
    <w:rsid w:val="00DB504B"/>
    <w:rsid w:val="00DB54C7"/>
    <w:rsid w:val="00DB58EE"/>
    <w:rsid w:val="00DB5DA0"/>
    <w:rsid w:val="00DB6636"/>
    <w:rsid w:val="00DB67B5"/>
    <w:rsid w:val="00DB6C70"/>
    <w:rsid w:val="00DB6CEA"/>
    <w:rsid w:val="00DB6F70"/>
    <w:rsid w:val="00DB7A47"/>
    <w:rsid w:val="00DB7A59"/>
    <w:rsid w:val="00DB7C55"/>
    <w:rsid w:val="00DC04A8"/>
    <w:rsid w:val="00DC0621"/>
    <w:rsid w:val="00DC0E00"/>
    <w:rsid w:val="00DC0EB3"/>
    <w:rsid w:val="00DC1437"/>
    <w:rsid w:val="00DC18BA"/>
    <w:rsid w:val="00DC2174"/>
    <w:rsid w:val="00DC240C"/>
    <w:rsid w:val="00DC2F62"/>
    <w:rsid w:val="00DC42BE"/>
    <w:rsid w:val="00DC4649"/>
    <w:rsid w:val="00DC4871"/>
    <w:rsid w:val="00DC53F6"/>
    <w:rsid w:val="00DC5470"/>
    <w:rsid w:val="00DC588F"/>
    <w:rsid w:val="00DC5A3D"/>
    <w:rsid w:val="00DC6A74"/>
    <w:rsid w:val="00DC6BDB"/>
    <w:rsid w:val="00DC6EC2"/>
    <w:rsid w:val="00DC77F2"/>
    <w:rsid w:val="00DC7D9B"/>
    <w:rsid w:val="00DD05DC"/>
    <w:rsid w:val="00DD0732"/>
    <w:rsid w:val="00DD087C"/>
    <w:rsid w:val="00DD11A7"/>
    <w:rsid w:val="00DD15EC"/>
    <w:rsid w:val="00DD1A0B"/>
    <w:rsid w:val="00DD1CC1"/>
    <w:rsid w:val="00DD312F"/>
    <w:rsid w:val="00DD3315"/>
    <w:rsid w:val="00DD3331"/>
    <w:rsid w:val="00DD3426"/>
    <w:rsid w:val="00DD38E1"/>
    <w:rsid w:val="00DD3904"/>
    <w:rsid w:val="00DD3927"/>
    <w:rsid w:val="00DD3CA6"/>
    <w:rsid w:val="00DD3FF4"/>
    <w:rsid w:val="00DD42C1"/>
    <w:rsid w:val="00DD4C99"/>
    <w:rsid w:val="00DD54A2"/>
    <w:rsid w:val="00DD5B7A"/>
    <w:rsid w:val="00DD5C84"/>
    <w:rsid w:val="00DD6F83"/>
    <w:rsid w:val="00DD7393"/>
    <w:rsid w:val="00DD763F"/>
    <w:rsid w:val="00DD7C35"/>
    <w:rsid w:val="00DD7D08"/>
    <w:rsid w:val="00DD7F72"/>
    <w:rsid w:val="00DD7FD6"/>
    <w:rsid w:val="00DE07D5"/>
    <w:rsid w:val="00DE09FD"/>
    <w:rsid w:val="00DE0A83"/>
    <w:rsid w:val="00DE0D6D"/>
    <w:rsid w:val="00DE146D"/>
    <w:rsid w:val="00DE1A3C"/>
    <w:rsid w:val="00DE1C31"/>
    <w:rsid w:val="00DE1E5E"/>
    <w:rsid w:val="00DE215C"/>
    <w:rsid w:val="00DE4081"/>
    <w:rsid w:val="00DE40F6"/>
    <w:rsid w:val="00DE424C"/>
    <w:rsid w:val="00DE494F"/>
    <w:rsid w:val="00DE4950"/>
    <w:rsid w:val="00DE49DC"/>
    <w:rsid w:val="00DE4D69"/>
    <w:rsid w:val="00DE50F9"/>
    <w:rsid w:val="00DE537E"/>
    <w:rsid w:val="00DE55B1"/>
    <w:rsid w:val="00DE5FC9"/>
    <w:rsid w:val="00DE603D"/>
    <w:rsid w:val="00DE6233"/>
    <w:rsid w:val="00DE67EC"/>
    <w:rsid w:val="00DE693F"/>
    <w:rsid w:val="00DE6CDD"/>
    <w:rsid w:val="00DE719F"/>
    <w:rsid w:val="00DE7378"/>
    <w:rsid w:val="00DE7AB1"/>
    <w:rsid w:val="00DE7DC7"/>
    <w:rsid w:val="00DF00AD"/>
    <w:rsid w:val="00DF01CA"/>
    <w:rsid w:val="00DF071C"/>
    <w:rsid w:val="00DF09E9"/>
    <w:rsid w:val="00DF1031"/>
    <w:rsid w:val="00DF1091"/>
    <w:rsid w:val="00DF116B"/>
    <w:rsid w:val="00DF1404"/>
    <w:rsid w:val="00DF1B8F"/>
    <w:rsid w:val="00DF1BD1"/>
    <w:rsid w:val="00DF2099"/>
    <w:rsid w:val="00DF22B3"/>
    <w:rsid w:val="00DF246D"/>
    <w:rsid w:val="00DF26F3"/>
    <w:rsid w:val="00DF2C42"/>
    <w:rsid w:val="00DF2CA7"/>
    <w:rsid w:val="00DF3060"/>
    <w:rsid w:val="00DF326F"/>
    <w:rsid w:val="00DF32F9"/>
    <w:rsid w:val="00DF3B59"/>
    <w:rsid w:val="00DF3C1B"/>
    <w:rsid w:val="00DF4FED"/>
    <w:rsid w:val="00DF57EE"/>
    <w:rsid w:val="00DF5822"/>
    <w:rsid w:val="00DF5932"/>
    <w:rsid w:val="00DF6287"/>
    <w:rsid w:val="00DF62D0"/>
    <w:rsid w:val="00DF702F"/>
    <w:rsid w:val="00DF789C"/>
    <w:rsid w:val="00DF7C59"/>
    <w:rsid w:val="00E00798"/>
    <w:rsid w:val="00E00ADA"/>
    <w:rsid w:val="00E00C38"/>
    <w:rsid w:val="00E0199F"/>
    <w:rsid w:val="00E01EA3"/>
    <w:rsid w:val="00E01F1E"/>
    <w:rsid w:val="00E0218E"/>
    <w:rsid w:val="00E028EA"/>
    <w:rsid w:val="00E03061"/>
    <w:rsid w:val="00E03D5B"/>
    <w:rsid w:val="00E04180"/>
    <w:rsid w:val="00E049DF"/>
    <w:rsid w:val="00E04A10"/>
    <w:rsid w:val="00E04E87"/>
    <w:rsid w:val="00E0527E"/>
    <w:rsid w:val="00E053DE"/>
    <w:rsid w:val="00E05B88"/>
    <w:rsid w:val="00E05C15"/>
    <w:rsid w:val="00E05CFE"/>
    <w:rsid w:val="00E06156"/>
    <w:rsid w:val="00E0670E"/>
    <w:rsid w:val="00E068BC"/>
    <w:rsid w:val="00E069DB"/>
    <w:rsid w:val="00E06F02"/>
    <w:rsid w:val="00E074AC"/>
    <w:rsid w:val="00E074E7"/>
    <w:rsid w:val="00E0772E"/>
    <w:rsid w:val="00E079E8"/>
    <w:rsid w:val="00E07E68"/>
    <w:rsid w:val="00E07F0D"/>
    <w:rsid w:val="00E10442"/>
    <w:rsid w:val="00E10BAE"/>
    <w:rsid w:val="00E10E5E"/>
    <w:rsid w:val="00E111C4"/>
    <w:rsid w:val="00E113D2"/>
    <w:rsid w:val="00E11902"/>
    <w:rsid w:val="00E11933"/>
    <w:rsid w:val="00E11F8F"/>
    <w:rsid w:val="00E12D83"/>
    <w:rsid w:val="00E13363"/>
    <w:rsid w:val="00E13652"/>
    <w:rsid w:val="00E13764"/>
    <w:rsid w:val="00E137F8"/>
    <w:rsid w:val="00E1422A"/>
    <w:rsid w:val="00E14431"/>
    <w:rsid w:val="00E14586"/>
    <w:rsid w:val="00E148F7"/>
    <w:rsid w:val="00E15487"/>
    <w:rsid w:val="00E16032"/>
    <w:rsid w:val="00E165B6"/>
    <w:rsid w:val="00E16602"/>
    <w:rsid w:val="00E17D16"/>
    <w:rsid w:val="00E17FA4"/>
    <w:rsid w:val="00E2080A"/>
    <w:rsid w:val="00E20A4B"/>
    <w:rsid w:val="00E20B02"/>
    <w:rsid w:val="00E2106F"/>
    <w:rsid w:val="00E2141E"/>
    <w:rsid w:val="00E21672"/>
    <w:rsid w:val="00E2290C"/>
    <w:rsid w:val="00E2308E"/>
    <w:rsid w:val="00E2315B"/>
    <w:rsid w:val="00E236DC"/>
    <w:rsid w:val="00E237DC"/>
    <w:rsid w:val="00E23B7E"/>
    <w:rsid w:val="00E24469"/>
    <w:rsid w:val="00E24D41"/>
    <w:rsid w:val="00E24DAB"/>
    <w:rsid w:val="00E25187"/>
    <w:rsid w:val="00E25804"/>
    <w:rsid w:val="00E261C8"/>
    <w:rsid w:val="00E2790A"/>
    <w:rsid w:val="00E27C1F"/>
    <w:rsid w:val="00E300D9"/>
    <w:rsid w:val="00E30211"/>
    <w:rsid w:val="00E302DE"/>
    <w:rsid w:val="00E30BC9"/>
    <w:rsid w:val="00E30F58"/>
    <w:rsid w:val="00E325D2"/>
    <w:rsid w:val="00E32988"/>
    <w:rsid w:val="00E32BDE"/>
    <w:rsid w:val="00E33067"/>
    <w:rsid w:val="00E33E08"/>
    <w:rsid w:val="00E344FC"/>
    <w:rsid w:val="00E34A91"/>
    <w:rsid w:val="00E34DD9"/>
    <w:rsid w:val="00E34E7A"/>
    <w:rsid w:val="00E35420"/>
    <w:rsid w:val="00E35673"/>
    <w:rsid w:val="00E35C2B"/>
    <w:rsid w:val="00E35CEA"/>
    <w:rsid w:val="00E379B3"/>
    <w:rsid w:val="00E37A6A"/>
    <w:rsid w:val="00E37E7A"/>
    <w:rsid w:val="00E40230"/>
    <w:rsid w:val="00E4037C"/>
    <w:rsid w:val="00E40B91"/>
    <w:rsid w:val="00E40E09"/>
    <w:rsid w:val="00E40E42"/>
    <w:rsid w:val="00E4126E"/>
    <w:rsid w:val="00E41AEF"/>
    <w:rsid w:val="00E421F4"/>
    <w:rsid w:val="00E42B71"/>
    <w:rsid w:val="00E4313D"/>
    <w:rsid w:val="00E433B9"/>
    <w:rsid w:val="00E43698"/>
    <w:rsid w:val="00E43A91"/>
    <w:rsid w:val="00E43EE2"/>
    <w:rsid w:val="00E43FBE"/>
    <w:rsid w:val="00E4423C"/>
    <w:rsid w:val="00E442C5"/>
    <w:rsid w:val="00E44537"/>
    <w:rsid w:val="00E445A2"/>
    <w:rsid w:val="00E4467A"/>
    <w:rsid w:val="00E44737"/>
    <w:rsid w:val="00E44755"/>
    <w:rsid w:val="00E44E53"/>
    <w:rsid w:val="00E455E8"/>
    <w:rsid w:val="00E45F9F"/>
    <w:rsid w:val="00E46051"/>
    <w:rsid w:val="00E4676A"/>
    <w:rsid w:val="00E46895"/>
    <w:rsid w:val="00E46A6E"/>
    <w:rsid w:val="00E4771E"/>
    <w:rsid w:val="00E47A26"/>
    <w:rsid w:val="00E47B81"/>
    <w:rsid w:val="00E47C89"/>
    <w:rsid w:val="00E47F44"/>
    <w:rsid w:val="00E501AA"/>
    <w:rsid w:val="00E5137C"/>
    <w:rsid w:val="00E52A1C"/>
    <w:rsid w:val="00E52B4E"/>
    <w:rsid w:val="00E52B96"/>
    <w:rsid w:val="00E532C4"/>
    <w:rsid w:val="00E53896"/>
    <w:rsid w:val="00E53AB0"/>
    <w:rsid w:val="00E53B61"/>
    <w:rsid w:val="00E53F1A"/>
    <w:rsid w:val="00E5445B"/>
    <w:rsid w:val="00E544A2"/>
    <w:rsid w:val="00E54C03"/>
    <w:rsid w:val="00E54D1B"/>
    <w:rsid w:val="00E553D4"/>
    <w:rsid w:val="00E55586"/>
    <w:rsid w:val="00E5558B"/>
    <w:rsid w:val="00E55AE5"/>
    <w:rsid w:val="00E55D02"/>
    <w:rsid w:val="00E55D24"/>
    <w:rsid w:val="00E55F0F"/>
    <w:rsid w:val="00E55FE2"/>
    <w:rsid w:val="00E561E2"/>
    <w:rsid w:val="00E56DAF"/>
    <w:rsid w:val="00E56DB4"/>
    <w:rsid w:val="00E56FFF"/>
    <w:rsid w:val="00E5722B"/>
    <w:rsid w:val="00E57D52"/>
    <w:rsid w:val="00E57F85"/>
    <w:rsid w:val="00E601EF"/>
    <w:rsid w:val="00E60ACE"/>
    <w:rsid w:val="00E60DA8"/>
    <w:rsid w:val="00E60FA0"/>
    <w:rsid w:val="00E61005"/>
    <w:rsid w:val="00E62AEE"/>
    <w:rsid w:val="00E63E24"/>
    <w:rsid w:val="00E63E7D"/>
    <w:rsid w:val="00E648A6"/>
    <w:rsid w:val="00E6532C"/>
    <w:rsid w:val="00E65623"/>
    <w:rsid w:val="00E65833"/>
    <w:rsid w:val="00E65882"/>
    <w:rsid w:val="00E65959"/>
    <w:rsid w:val="00E65A69"/>
    <w:rsid w:val="00E661C1"/>
    <w:rsid w:val="00E662C7"/>
    <w:rsid w:val="00E66794"/>
    <w:rsid w:val="00E66850"/>
    <w:rsid w:val="00E66AFF"/>
    <w:rsid w:val="00E6730B"/>
    <w:rsid w:val="00E719BC"/>
    <w:rsid w:val="00E720F2"/>
    <w:rsid w:val="00E72697"/>
    <w:rsid w:val="00E726D9"/>
    <w:rsid w:val="00E73023"/>
    <w:rsid w:val="00E739DD"/>
    <w:rsid w:val="00E74250"/>
    <w:rsid w:val="00E74799"/>
    <w:rsid w:val="00E74FED"/>
    <w:rsid w:val="00E7510C"/>
    <w:rsid w:val="00E7536E"/>
    <w:rsid w:val="00E7586A"/>
    <w:rsid w:val="00E75C42"/>
    <w:rsid w:val="00E75FDE"/>
    <w:rsid w:val="00E76546"/>
    <w:rsid w:val="00E7674C"/>
    <w:rsid w:val="00E76DC4"/>
    <w:rsid w:val="00E7716F"/>
    <w:rsid w:val="00E77337"/>
    <w:rsid w:val="00E7772F"/>
    <w:rsid w:val="00E80170"/>
    <w:rsid w:val="00E8051D"/>
    <w:rsid w:val="00E80ACC"/>
    <w:rsid w:val="00E80FD7"/>
    <w:rsid w:val="00E810C5"/>
    <w:rsid w:val="00E82FE8"/>
    <w:rsid w:val="00E83468"/>
    <w:rsid w:val="00E838B5"/>
    <w:rsid w:val="00E847E6"/>
    <w:rsid w:val="00E8498F"/>
    <w:rsid w:val="00E84A84"/>
    <w:rsid w:val="00E854EB"/>
    <w:rsid w:val="00E85612"/>
    <w:rsid w:val="00E85D64"/>
    <w:rsid w:val="00E85FDC"/>
    <w:rsid w:val="00E86288"/>
    <w:rsid w:val="00E86C94"/>
    <w:rsid w:val="00E8737C"/>
    <w:rsid w:val="00E87989"/>
    <w:rsid w:val="00E901C4"/>
    <w:rsid w:val="00E903F2"/>
    <w:rsid w:val="00E90611"/>
    <w:rsid w:val="00E9071B"/>
    <w:rsid w:val="00E907D0"/>
    <w:rsid w:val="00E918E0"/>
    <w:rsid w:val="00E91C2E"/>
    <w:rsid w:val="00E91D67"/>
    <w:rsid w:val="00E92121"/>
    <w:rsid w:val="00E92D37"/>
    <w:rsid w:val="00E9350A"/>
    <w:rsid w:val="00E93E2A"/>
    <w:rsid w:val="00E93EE6"/>
    <w:rsid w:val="00E9485D"/>
    <w:rsid w:val="00E953FE"/>
    <w:rsid w:val="00E956BD"/>
    <w:rsid w:val="00E95A40"/>
    <w:rsid w:val="00E963E3"/>
    <w:rsid w:val="00E9695B"/>
    <w:rsid w:val="00E9739E"/>
    <w:rsid w:val="00E974AE"/>
    <w:rsid w:val="00E976F0"/>
    <w:rsid w:val="00E9BE3E"/>
    <w:rsid w:val="00EA0012"/>
    <w:rsid w:val="00EA0F24"/>
    <w:rsid w:val="00EA161D"/>
    <w:rsid w:val="00EA26FD"/>
    <w:rsid w:val="00EA3201"/>
    <w:rsid w:val="00EA33C3"/>
    <w:rsid w:val="00EA3485"/>
    <w:rsid w:val="00EA362E"/>
    <w:rsid w:val="00EA3672"/>
    <w:rsid w:val="00EA383B"/>
    <w:rsid w:val="00EA3882"/>
    <w:rsid w:val="00EA395A"/>
    <w:rsid w:val="00EA3DAE"/>
    <w:rsid w:val="00EA43AC"/>
    <w:rsid w:val="00EA4CAD"/>
    <w:rsid w:val="00EA50E3"/>
    <w:rsid w:val="00EA5A4C"/>
    <w:rsid w:val="00EA5B30"/>
    <w:rsid w:val="00EA61CD"/>
    <w:rsid w:val="00EA634A"/>
    <w:rsid w:val="00EA69C4"/>
    <w:rsid w:val="00EA6C55"/>
    <w:rsid w:val="00EA6DF5"/>
    <w:rsid w:val="00EA7EF8"/>
    <w:rsid w:val="00EB0A03"/>
    <w:rsid w:val="00EB1605"/>
    <w:rsid w:val="00EB1CE0"/>
    <w:rsid w:val="00EB1FA8"/>
    <w:rsid w:val="00EB1FFA"/>
    <w:rsid w:val="00EB2173"/>
    <w:rsid w:val="00EB2DB3"/>
    <w:rsid w:val="00EB38E9"/>
    <w:rsid w:val="00EB3BE0"/>
    <w:rsid w:val="00EB428A"/>
    <w:rsid w:val="00EB43FF"/>
    <w:rsid w:val="00EB47C2"/>
    <w:rsid w:val="00EB4CDE"/>
    <w:rsid w:val="00EB51B1"/>
    <w:rsid w:val="00EB5B6B"/>
    <w:rsid w:val="00EB5E66"/>
    <w:rsid w:val="00EB68F2"/>
    <w:rsid w:val="00EB754B"/>
    <w:rsid w:val="00EB7711"/>
    <w:rsid w:val="00EB7814"/>
    <w:rsid w:val="00EB7C47"/>
    <w:rsid w:val="00EB7DE9"/>
    <w:rsid w:val="00EC008D"/>
    <w:rsid w:val="00EC0229"/>
    <w:rsid w:val="00EC0268"/>
    <w:rsid w:val="00EC0715"/>
    <w:rsid w:val="00EC091B"/>
    <w:rsid w:val="00EC0C6B"/>
    <w:rsid w:val="00EC1211"/>
    <w:rsid w:val="00EC164C"/>
    <w:rsid w:val="00EC1657"/>
    <w:rsid w:val="00EC18C7"/>
    <w:rsid w:val="00EC2016"/>
    <w:rsid w:val="00EC330F"/>
    <w:rsid w:val="00EC3878"/>
    <w:rsid w:val="00EC387C"/>
    <w:rsid w:val="00EC3E81"/>
    <w:rsid w:val="00EC42AA"/>
    <w:rsid w:val="00EC46C2"/>
    <w:rsid w:val="00EC4887"/>
    <w:rsid w:val="00EC4F86"/>
    <w:rsid w:val="00EC502E"/>
    <w:rsid w:val="00EC5152"/>
    <w:rsid w:val="00EC563A"/>
    <w:rsid w:val="00EC6017"/>
    <w:rsid w:val="00EC61F6"/>
    <w:rsid w:val="00EC6673"/>
    <w:rsid w:val="00EC6C32"/>
    <w:rsid w:val="00EC70A2"/>
    <w:rsid w:val="00EC7474"/>
    <w:rsid w:val="00EC7871"/>
    <w:rsid w:val="00ED05DE"/>
    <w:rsid w:val="00ED06AD"/>
    <w:rsid w:val="00ED12CB"/>
    <w:rsid w:val="00ED1363"/>
    <w:rsid w:val="00ED1374"/>
    <w:rsid w:val="00ED1959"/>
    <w:rsid w:val="00ED1ACF"/>
    <w:rsid w:val="00ED20ED"/>
    <w:rsid w:val="00ED2921"/>
    <w:rsid w:val="00ED29B2"/>
    <w:rsid w:val="00ED3583"/>
    <w:rsid w:val="00ED3720"/>
    <w:rsid w:val="00ED3ED9"/>
    <w:rsid w:val="00ED43E4"/>
    <w:rsid w:val="00ED4625"/>
    <w:rsid w:val="00ED48D8"/>
    <w:rsid w:val="00ED4F05"/>
    <w:rsid w:val="00ED591D"/>
    <w:rsid w:val="00ED597C"/>
    <w:rsid w:val="00ED603F"/>
    <w:rsid w:val="00ED6075"/>
    <w:rsid w:val="00ED61C7"/>
    <w:rsid w:val="00ED633C"/>
    <w:rsid w:val="00ED635E"/>
    <w:rsid w:val="00ED6966"/>
    <w:rsid w:val="00ED6EE1"/>
    <w:rsid w:val="00ED72ED"/>
    <w:rsid w:val="00ED7F4D"/>
    <w:rsid w:val="00EE0824"/>
    <w:rsid w:val="00EE08D8"/>
    <w:rsid w:val="00EE14A3"/>
    <w:rsid w:val="00EE16A1"/>
    <w:rsid w:val="00EE1DF1"/>
    <w:rsid w:val="00EE279C"/>
    <w:rsid w:val="00EE2977"/>
    <w:rsid w:val="00EE3085"/>
    <w:rsid w:val="00EE383B"/>
    <w:rsid w:val="00EE3873"/>
    <w:rsid w:val="00EE3A76"/>
    <w:rsid w:val="00EE3A8F"/>
    <w:rsid w:val="00EE3DCA"/>
    <w:rsid w:val="00EE4449"/>
    <w:rsid w:val="00EE47E6"/>
    <w:rsid w:val="00EE4997"/>
    <w:rsid w:val="00EE49F8"/>
    <w:rsid w:val="00EE4D0A"/>
    <w:rsid w:val="00EE4F79"/>
    <w:rsid w:val="00EE5480"/>
    <w:rsid w:val="00EE61F0"/>
    <w:rsid w:val="00EE6851"/>
    <w:rsid w:val="00EE6B9F"/>
    <w:rsid w:val="00EE6E35"/>
    <w:rsid w:val="00EE7134"/>
    <w:rsid w:val="00EE72BD"/>
    <w:rsid w:val="00EE769E"/>
    <w:rsid w:val="00EE9A34"/>
    <w:rsid w:val="00EF00B4"/>
    <w:rsid w:val="00EF06D8"/>
    <w:rsid w:val="00EF0827"/>
    <w:rsid w:val="00EF08EE"/>
    <w:rsid w:val="00EF0C3C"/>
    <w:rsid w:val="00EF0D3D"/>
    <w:rsid w:val="00EF0FCB"/>
    <w:rsid w:val="00EF1429"/>
    <w:rsid w:val="00EF19FC"/>
    <w:rsid w:val="00EF1F4F"/>
    <w:rsid w:val="00EF25E6"/>
    <w:rsid w:val="00EF33E3"/>
    <w:rsid w:val="00EF3F0F"/>
    <w:rsid w:val="00EF420E"/>
    <w:rsid w:val="00EF4600"/>
    <w:rsid w:val="00EF4DE9"/>
    <w:rsid w:val="00EF556A"/>
    <w:rsid w:val="00EF5610"/>
    <w:rsid w:val="00EF5826"/>
    <w:rsid w:val="00EF61FE"/>
    <w:rsid w:val="00EF64B0"/>
    <w:rsid w:val="00EF66B0"/>
    <w:rsid w:val="00EF6850"/>
    <w:rsid w:val="00EF7308"/>
    <w:rsid w:val="00EF7BC1"/>
    <w:rsid w:val="00EF7BE7"/>
    <w:rsid w:val="00F00218"/>
    <w:rsid w:val="00F004C1"/>
    <w:rsid w:val="00F01413"/>
    <w:rsid w:val="00F0165D"/>
    <w:rsid w:val="00F02361"/>
    <w:rsid w:val="00F035E1"/>
    <w:rsid w:val="00F0381A"/>
    <w:rsid w:val="00F045C8"/>
    <w:rsid w:val="00F04615"/>
    <w:rsid w:val="00F0497C"/>
    <w:rsid w:val="00F04A73"/>
    <w:rsid w:val="00F04B28"/>
    <w:rsid w:val="00F053B8"/>
    <w:rsid w:val="00F05A4B"/>
    <w:rsid w:val="00F05A51"/>
    <w:rsid w:val="00F05F2C"/>
    <w:rsid w:val="00F06231"/>
    <w:rsid w:val="00F0631B"/>
    <w:rsid w:val="00F064E8"/>
    <w:rsid w:val="00F0694D"/>
    <w:rsid w:val="00F06B97"/>
    <w:rsid w:val="00F06CB6"/>
    <w:rsid w:val="00F07016"/>
    <w:rsid w:val="00F07342"/>
    <w:rsid w:val="00F079CD"/>
    <w:rsid w:val="00F1017B"/>
    <w:rsid w:val="00F11135"/>
    <w:rsid w:val="00F11C7C"/>
    <w:rsid w:val="00F124CD"/>
    <w:rsid w:val="00F1301D"/>
    <w:rsid w:val="00F1308E"/>
    <w:rsid w:val="00F130D7"/>
    <w:rsid w:val="00F13519"/>
    <w:rsid w:val="00F1363F"/>
    <w:rsid w:val="00F13A9F"/>
    <w:rsid w:val="00F13E5B"/>
    <w:rsid w:val="00F1411F"/>
    <w:rsid w:val="00F1431A"/>
    <w:rsid w:val="00F1452A"/>
    <w:rsid w:val="00F146FC"/>
    <w:rsid w:val="00F14989"/>
    <w:rsid w:val="00F15388"/>
    <w:rsid w:val="00F155BD"/>
    <w:rsid w:val="00F15610"/>
    <w:rsid w:val="00F16F30"/>
    <w:rsid w:val="00F17006"/>
    <w:rsid w:val="00F170A9"/>
    <w:rsid w:val="00F170CC"/>
    <w:rsid w:val="00F2015B"/>
    <w:rsid w:val="00F20227"/>
    <w:rsid w:val="00F20602"/>
    <w:rsid w:val="00F20624"/>
    <w:rsid w:val="00F21020"/>
    <w:rsid w:val="00F21029"/>
    <w:rsid w:val="00F21115"/>
    <w:rsid w:val="00F21275"/>
    <w:rsid w:val="00F2166A"/>
    <w:rsid w:val="00F21840"/>
    <w:rsid w:val="00F21ACD"/>
    <w:rsid w:val="00F21FEA"/>
    <w:rsid w:val="00F22DB0"/>
    <w:rsid w:val="00F2490C"/>
    <w:rsid w:val="00F249E0"/>
    <w:rsid w:val="00F24C20"/>
    <w:rsid w:val="00F24C68"/>
    <w:rsid w:val="00F25008"/>
    <w:rsid w:val="00F25A45"/>
    <w:rsid w:val="00F25DCF"/>
    <w:rsid w:val="00F25F43"/>
    <w:rsid w:val="00F26905"/>
    <w:rsid w:val="00F2743B"/>
    <w:rsid w:val="00F2744E"/>
    <w:rsid w:val="00F274B5"/>
    <w:rsid w:val="00F27C35"/>
    <w:rsid w:val="00F27C9D"/>
    <w:rsid w:val="00F30566"/>
    <w:rsid w:val="00F308B1"/>
    <w:rsid w:val="00F3188C"/>
    <w:rsid w:val="00F319AA"/>
    <w:rsid w:val="00F31DE0"/>
    <w:rsid w:val="00F321A8"/>
    <w:rsid w:val="00F32329"/>
    <w:rsid w:val="00F328B4"/>
    <w:rsid w:val="00F328FF"/>
    <w:rsid w:val="00F32C78"/>
    <w:rsid w:val="00F338E6"/>
    <w:rsid w:val="00F33ABD"/>
    <w:rsid w:val="00F34C2F"/>
    <w:rsid w:val="00F34C54"/>
    <w:rsid w:val="00F34CCF"/>
    <w:rsid w:val="00F35489"/>
    <w:rsid w:val="00F35AC3"/>
    <w:rsid w:val="00F35AED"/>
    <w:rsid w:val="00F35B63"/>
    <w:rsid w:val="00F35EEA"/>
    <w:rsid w:val="00F36096"/>
    <w:rsid w:val="00F3617B"/>
    <w:rsid w:val="00F36225"/>
    <w:rsid w:val="00F3658F"/>
    <w:rsid w:val="00F36831"/>
    <w:rsid w:val="00F36D9A"/>
    <w:rsid w:val="00F36DFF"/>
    <w:rsid w:val="00F36E10"/>
    <w:rsid w:val="00F37192"/>
    <w:rsid w:val="00F372BB"/>
    <w:rsid w:val="00F3795B"/>
    <w:rsid w:val="00F37E95"/>
    <w:rsid w:val="00F40544"/>
    <w:rsid w:val="00F40B4E"/>
    <w:rsid w:val="00F410E0"/>
    <w:rsid w:val="00F41C3E"/>
    <w:rsid w:val="00F429D6"/>
    <w:rsid w:val="00F42A45"/>
    <w:rsid w:val="00F43678"/>
    <w:rsid w:val="00F437FE"/>
    <w:rsid w:val="00F43C51"/>
    <w:rsid w:val="00F445DA"/>
    <w:rsid w:val="00F44612"/>
    <w:rsid w:val="00F4487F"/>
    <w:rsid w:val="00F46182"/>
    <w:rsid w:val="00F463C6"/>
    <w:rsid w:val="00F464DD"/>
    <w:rsid w:val="00F46A1C"/>
    <w:rsid w:val="00F46BBB"/>
    <w:rsid w:val="00F47121"/>
    <w:rsid w:val="00F4717D"/>
    <w:rsid w:val="00F47A41"/>
    <w:rsid w:val="00F50649"/>
    <w:rsid w:val="00F50862"/>
    <w:rsid w:val="00F50991"/>
    <w:rsid w:val="00F50A99"/>
    <w:rsid w:val="00F50C87"/>
    <w:rsid w:val="00F50FEF"/>
    <w:rsid w:val="00F510D7"/>
    <w:rsid w:val="00F5137F"/>
    <w:rsid w:val="00F51B50"/>
    <w:rsid w:val="00F52333"/>
    <w:rsid w:val="00F528C9"/>
    <w:rsid w:val="00F52C7A"/>
    <w:rsid w:val="00F53543"/>
    <w:rsid w:val="00F538D0"/>
    <w:rsid w:val="00F5404F"/>
    <w:rsid w:val="00F54A84"/>
    <w:rsid w:val="00F54C94"/>
    <w:rsid w:val="00F551A2"/>
    <w:rsid w:val="00F551CA"/>
    <w:rsid w:val="00F558DF"/>
    <w:rsid w:val="00F55993"/>
    <w:rsid w:val="00F55B51"/>
    <w:rsid w:val="00F56605"/>
    <w:rsid w:val="00F56DF9"/>
    <w:rsid w:val="00F56E95"/>
    <w:rsid w:val="00F56FA0"/>
    <w:rsid w:val="00F57161"/>
    <w:rsid w:val="00F5783B"/>
    <w:rsid w:val="00F57D9F"/>
    <w:rsid w:val="00F6008A"/>
    <w:rsid w:val="00F60CA2"/>
    <w:rsid w:val="00F6104F"/>
    <w:rsid w:val="00F61128"/>
    <w:rsid w:val="00F61481"/>
    <w:rsid w:val="00F615C0"/>
    <w:rsid w:val="00F61653"/>
    <w:rsid w:val="00F618B3"/>
    <w:rsid w:val="00F61939"/>
    <w:rsid w:val="00F61FFD"/>
    <w:rsid w:val="00F623F2"/>
    <w:rsid w:val="00F62475"/>
    <w:rsid w:val="00F62DEC"/>
    <w:rsid w:val="00F63925"/>
    <w:rsid w:val="00F64568"/>
    <w:rsid w:val="00F649C5"/>
    <w:rsid w:val="00F64C2B"/>
    <w:rsid w:val="00F65545"/>
    <w:rsid w:val="00F65BB2"/>
    <w:rsid w:val="00F65C4C"/>
    <w:rsid w:val="00F65CCD"/>
    <w:rsid w:val="00F6652B"/>
    <w:rsid w:val="00F66A7F"/>
    <w:rsid w:val="00F67116"/>
    <w:rsid w:val="00F67A82"/>
    <w:rsid w:val="00F70C3D"/>
    <w:rsid w:val="00F71ACF"/>
    <w:rsid w:val="00F724EC"/>
    <w:rsid w:val="00F72764"/>
    <w:rsid w:val="00F72D13"/>
    <w:rsid w:val="00F72E2F"/>
    <w:rsid w:val="00F73269"/>
    <w:rsid w:val="00F73A34"/>
    <w:rsid w:val="00F74025"/>
    <w:rsid w:val="00F7428B"/>
    <w:rsid w:val="00F742FE"/>
    <w:rsid w:val="00F74550"/>
    <w:rsid w:val="00F745DC"/>
    <w:rsid w:val="00F74C15"/>
    <w:rsid w:val="00F74D26"/>
    <w:rsid w:val="00F750DF"/>
    <w:rsid w:val="00F75C13"/>
    <w:rsid w:val="00F75D1B"/>
    <w:rsid w:val="00F76170"/>
    <w:rsid w:val="00F76265"/>
    <w:rsid w:val="00F76628"/>
    <w:rsid w:val="00F76C88"/>
    <w:rsid w:val="00F77288"/>
    <w:rsid w:val="00F80667"/>
    <w:rsid w:val="00F80985"/>
    <w:rsid w:val="00F80D4D"/>
    <w:rsid w:val="00F80E97"/>
    <w:rsid w:val="00F81376"/>
    <w:rsid w:val="00F81BC6"/>
    <w:rsid w:val="00F81FB0"/>
    <w:rsid w:val="00F82500"/>
    <w:rsid w:val="00F82B98"/>
    <w:rsid w:val="00F83306"/>
    <w:rsid w:val="00F83474"/>
    <w:rsid w:val="00F834A5"/>
    <w:rsid w:val="00F83A35"/>
    <w:rsid w:val="00F83C2B"/>
    <w:rsid w:val="00F84494"/>
    <w:rsid w:val="00F8454E"/>
    <w:rsid w:val="00F84913"/>
    <w:rsid w:val="00F850E3"/>
    <w:rsid w:val="00F8544E"/>
    <w:rsid w:val="00F85B39"/>
    <w:rsid w:val="00F85CAA"/>
    <w:rsid w:val="00F85FE5"/>
    <w:rsid w:val="00F86256"/>
    <w:rsid w:val="00F862F6"/>
    <w:rsid w:val="00F867E0"/>
    <w:rsid w:val="00F869E8"/>
    <w:rsid w:val="00F86B75"/>
    <w:rsid w:val="00F86E31"/>
    <w:rsid w:val="00F86E7C"/>
    <w:rsid w:val="00F86ED6"/>
    <w:rsid w:val="00F87194"/>
    <w:rsid w:val="00F871C4"/>
    <w:rsid w:val="00F8721C"/>
    <w:rsid w:val="00F877D7"/>
    <w:rsid w:val="00F87B4A"/>
    <w:rsid w:val="00F87BE2"/>
    <w:rsid w:val="00F87DBE"/>
    <w:rsid w:val="00F905D3"/>
    <w:rsid w:val="00F90D8A"/>
    <w:rsid w:val="00F914C2"/>
    <w:rsid w:val="00F91BA3"/>
    <w:rsid w:val="00F91D67"/>
    <w:rsid w:val="00F932E8"/>
    <w:rsid w:val="00F9377A"/>
    <w:rsid w:val="00F94431"/>
    <w:rsid w:val="00F9529A"/>
    <w:rsid w:val="00F952D4"/>
    <w:rsid w:val="00F958EA"/>
    <w:rsid w:val="00F95A34"/>
    <w:rsid w:val="00F95C0A"/>
    <w:rsid w:val="00F9701B"/>
    <w:rsid w:val="00F970C3"/>
    <w:rsid w:val="00F976F2"/>
    <w:rsid w:val="00FA0B00"/>
    <w:rsid w:val="00FA1C1B"/>
    <w:rsid w:val="00FA1CCD"/>
    <w:rsid w:val="00FA2C48"/>
    <w:rsid w:val="00FA2F04"/>
    <w:rsid w:val="00FA3475"/>
    <w:rsid w:val="00FA34F6"/>
    <w:rsid w:val="00FA35D7"/>
    <w:rsid w:val="00FA38DF"/>
    <w:rsid w:val="00FA45AB"/>
    <w:rsid w:val="00FA45DD"/>
    <w:rsid w:val="00FA5DE7"/>
    <w:rsid w:val="00FA63D2"/>
    <w:rsid w:val="00FA6D59"/>
    <w:rsid w:val="00FA70A8"/>
    <w:rsid w:val="00FA738D"/>
    <w:rsid w:val="00FA7A6C"/>
    <w:rsid w:val="00FA7BDF"/>
    <w:rsid w:val="00FA7C17"/>
    <w:rsid w:val="00FB077F"/>
    <w:rsid w:val="00FB07C2"/>
    <w:rsid w:val="00FB09CA"/>
    <w:rsid w:val="00FB0B68"/>
    <w:rsid w:val="00FB0D53"/>
    <w:rsid w:val="00FB1197"/>
    <w:rsid w:val="00FB11F0"/>
    <w:rsid w:val="00FB160D"/>
    <w:rsid w:val="00FB174B"/>
    <w:rsid w:val="00FB1D19"/>
    <w:rsid w:val="00FB2055"/>
    <w:rsid w:val="00FB26BD"/>
    <w:rsid w:val="00FB26C1"/>
    <w:rsid w:val="00FB28DA"/>
    <w:rsid w:val="00FB2AB5"/>
    <w:rsid w:val="00FB2ACC"/>
    <w:rsid w:val="00FB2B06"/>
    <w:rsid w:val="00FB2B31"/>
    <w:rsid w:val="00FB345C"/>
    <w:rsid w:val="00FB36FA"/>
    <w:rsid w:val="00FB3BD8"/>
    <w:rsid w:val="00FB40A9"/>
    <w:rsid w:val="00FB4820"/>
    <w:rsid w:val="00FB4B2A"/>
    <w:rsid w:val="00FB5233"/>
    <w:rsid w:val="00FB60DF"/>
    <w:rsid w:val="00FB6621"/>
    <w:rsid w:val="00FB67DB"/>
    <w:rsid w:val="00FB6DDD"/>
    <w:rsid w:val="00FB7E07"/>
    <w:rsid w:val="00FC0260"/>
    <w:rsid w:val="00FC0993"/>
    <w:rsid w:val="00FC0A89"/>
    <w:rsid w:val="00FC1063"/>
    <w:rsid w:val="00FC1110"/>
    <w:rsid w:val="00FC1402"/>
    <w:rsid w:val="00FC1833"/>
    <w:rsid w:val="00FC1E76"/>
    <w:rsid w:val="00FC340F"/>
    <w:rsid w:val="00FC3666"/>
    <w:rsid w:val="00FC36AC"/>
    <w:rsid w:val="00FC3883"/>
    <w:rsid w:val="00FC3CB6"/>
    <w:rsid w:val="00FC3EAA"/>
    <w:rsid w:val="00FC3F4E"/>
    <w:rsid w:val="00FC3FF4"/>
    <w:rsid w:val="00FC40A8"/>
    <w:rsid w:val="00FC442B"/>
    <w:rsid w:val="00FC449A"/>
    <w:rsid w:val="00FC469C"/>
    <w:rsid w:val="00FC5655"/>
    <w:rsid w:val="00FC5759"/>
    <w:rsid w:val="00FC58FC"/>
    <w:rsid w:val="00FC593B"/>
    <w:rsid w:val="00FC5DBF"/>
    <w:rsid w:val="00FC5E9F"/>
    <w:rsid w:val="00FC5EA6"/>
    <w:rsid w:val="00FC608C"/>
    <w:rsid w:val="00FC66FB"/>
    <w:rsid w:val="00FC6724"/>
    <w:rsid w:val="00FC68A2"/>
    <w:rsid w:val="00FC6E69"/>
    <w:rsid w:val="00FC7738"/>
    <w:rsid w:val="00FC7C44"/>
    <w:rsid w:val="00FD0057"/>
    <w:rsid w:val="00FD0995"/>
    <w:rsid w:val="00FD110B"/>
    <w:rsid w:val="00FD1479"/>
    <w:rsid w:val="00FD1571"/>
    <w:rsid w:val="00FD1B25"/>
    <w:rsid w:val="00FD1E30"/>
    <w:rsid w:val="00FD1E6D"/>
    <w:rsid w:val="00FD21C9"/>
    <w:rsid w:val="00FD2423"/>
    <w:rsid w:val="00FD29D4"/>
    <w:rsid w:val="00FD2E80"/>
    <w:rsid w:val="00FD32E2"/>
    <w:rsid w:val="00FD3897"/>
    <w:rsid w:val="00FD3D33"/>
    <w:rsid w:val="00FD42EB"/>
    <w:rsid w:val="00FD4A9D"/>
    <w:rsid w:val="00FD4D34"/>
    <w:rsid w:val="00FD5100"/>
    <w:rsid w:val="00FD5B1F"/>
    <w:rsid w:val="00FD6738"/>
    <w:rsid w:val="00FD688A"/>
    <w:rsid w:val="00FD6B2A"/>
    <w:rsid w:val="00FD6D4A"/>
    <w:rsid w:val="00FD6F37"/>
    <w:rsid w:val="00FD7295"/>
    <w:rsid w:val="00FD7512"/>
    <w:rsid w:val="00FD7961"/>
    <w:rsid w:val="00FE0052"/>
    <w:rsid w:val="00FE0626"/>
    <w:rsid w:val="00FE071A"/>
    <w:rsid w:val="00FE0E54"/>
    <w:rsid w:val="00FE1327"/>
    <w:rsid w:val="00FE19A6"/>
    <w:rsid w:val="00FE1B0C"/>
    <w:rsid w:val="00FE1F02"/>
    <w:rsid w:val="00FE2268"/>
    <w:rsid w:val="00FE2D46"/>
    <w:rsid w:val="00FE2E1E"/>
    <w:rsid w:val="00FE32B2"/>
    <w:rsid w:val="00FE3589"/>
    <w:rsid w:val="00FE3B8A"/>
    <w:rsid w:val="00FE3EF6"/>
    <w:rsid w:val="00FE4512"/>
    <w:rsid w:val="00FE53ED"/>
    <w:rsid w:val="00FE5867"/>
    <w:rsid w:val="00FE5AEB"/>
    <w:rsid w:val="00FE5F46"/>
    <w:rsid w:val="00FE69D3"/>
    <w:rsid w:val="00FE73F1"/>
    <w:rsid w:val="00FE75D0"/>
    <w:rsid w:val="00FE7711"/>
    <w:rsid w:val="00FE77FE"/>
    <w:rsid w:val="00FE7888"/>
    <w:rsid w:val="00FE7EF4"/>
    <w:rsid w:val="00FF00B6"/>
    <w:rsid w:val="00FF03EC"/>
    <w:rsid w:val="00FF0720"/>
    <w:rsid w:val="00FF0B26"/>
    <w:rsid w:val="00FF1747"/>
    <w:rsid w:val="00FF2639"/>
    <w:rsid w:val="00FF275B"/>
    <w:rsid w:val="00FF28D2"/>
    <w:rsid w:val="00FF2C22"/>
    <w:rsid w:val="00FF2C3A"/>
    <w:rsid w:val="00FF33F7"/>
    <w:rsid w:val="00FF3DCA"/>
    <w:rsid w:val="00FF3EA6"/>
    <w:rsid w:val="00FF4A27"/>
    <w:rsid w:val="00FF4D6E"/>
    <w:rsid w:val="00FF4E3B"/>
    <w:rsid w:val="00FF590E"/>
    <w:rsid w:val="00FF603A"/>
    <w:rsid w:val="00FF6788"/>
    <w:rsid w:val="00FF6DC0"/>
    <w:rsid w:val="00FF7132"/>
    <w:rsid w:val="00FF7A02"/>
    <w:rsid w:val="01047EBF"/>
    <w:rsid w:val="010F9209"/>
    <w:rsid w:val="0113D3BB"/>
    <w:rsid w:val="01388951"/>
    <w:rsid w:val="015BF68A"/>
    <w:rsid w:val="01639E45"/>
    <w:rsid w:val="0172692E"/>
    <w:rsid w:val="01ACECF0"/>
    <w:rsid w:val="01B8E2BB"/>
    <w:rsid w:val="01BAB754"/>
    <w:rsid w:val="01C30314"/>
    <w:rsid w:val="01D4227B"/>
    <w:rsid w:val="01FE5BD3"/>
    <w:rsid w:val="0227C9E8"/>
    <w:rsid w:val="02475F13"/>
    <w:rsid w:val="0291060A"/>
    <w:rsid w:val="02B422EB"/>
    <w:rsid w:val="02DE71FC"/>
    <w:rsid w:val="03068CCB"/>
    <w:rsid w:val="03431520"/>
    <w:rsid w:val="0346B44A"/>
    <w:rsid w:val="038BAD47"/>
    <w:rsid w:val="039EFFF5"/>
    <w:rsid w:val="03ADA7AD"/>
    <w:rsid w:val="03B3A46C"/>
    <w:rsid w:val="03D95469"/>
    <w:rsid w:val="03E5CA9F"/>
    <w:rsid w:val="03E8385F"/>
    <w:rsid w:val="040102C1"/>
    <w:rsid w:val="0409A4BC"/>
    <w:rsid w:val="046E4ECF"/>
    <w:rsid w:val="04919D27"/>
    <w:rsid w:val="04935181"/>
    <w:rsid w:val="049E915D"/>
    <w:rsid w:val="04AEF546"/>
    <w:rsid w:val="04B1F8AA"/>
    <w:rsid w:val="04C60BCE"/>
    <w:rsid w:val="04D4E3D9"/>
    <w:rsid w:val="0548A214"/>
    <w:rsid w:val="055B0A68"/>
    <w:rsid w:val="05662DB9"/>
    <w:rsid w:val="0570F39F"/>
    <w:rsid w:val="0573B2A1"/>
    <w:rsid w:val="05AEF905"/>
    <w:rsid w:val="05B07500"/>
    <w:rsid w:val="05BBC899"/>
    <w:rsid w:val="05D2FC79"/>
    <w:rsid w:val="05D89438"/>
    <w:rsid w:val="06049088"/>
    <w:rsid w:val="0609122D"/>
    <w:rsid w:val="06370F68"/>
    <w:rsid w:val="065BD8C3"/>
    <w:rsid w:val="065D0404"/>
    <w:rsid w:val="067D4AF2"/>
    <w:rsid w:val="06888669"/>
    <w:rsid w:val="069A6700"/>
    <w:rsid w:val="06B2084F"/>
    <w:rsid w:val="06B2BEBE"/>
    <w:rsid w:val="06B88A56"/>
    <w:rsid w:val="06F68AA1"/>
    <w:rsid w:val="0713E3CA"/>
    <w:rsid w:val="071F5B79"/>
    <w:rsid w:val="0748862E"/>
    <w:rsid w:val="075B3379"/>
    <w:rsid w:val="078B6BC6"/>
    <w:rsid w:val="07B13D2F"/>
    <w:rsid w:val="07E29E97"/>
    <w:rsid w:val="080C849B"/>
    <w:rsid w:val="081BE4CF"/>
    <w:rsid w:val="081C9432"/>
    <w:rsid w:val="0825ACF8"/>
    <w:rsid w:val="08796473"/>
    <w:rsid w:val="0885FDC1"/>
    <w:rsid w:val="08957227"/>
    <w:rsid w:val="08B6DEB7"/>
    <w:rsid w:val="08C1C908"/>
    <w:rsid w:val="08D87A8B"/>
    <w:rsid w:val="0918EDA3"/>
    <w:rsid w:val="09374BE0"/>
    <w:rsid w:val="0942B95F"/>
    <w:rsid w:val="0961F2DF"/>
    <w:rsid w:val="09964082"/>
    <w:rsid w:val="09A51972"/>
    <w:rsid w:val="09BC3997"/>
    <w:rsid w:val="09E3E6C1"/>
    <w:rsid w:val="09F75297"/>
    <w:rsid w:val="0A0F4609"/>
    <w:rsid w:val="0A771DDC"/>
    <w:rsid w:val="0A78B362"/>
    <w:rsid w:val="0AB4BE04"/>
    <w:rsid w:val="0AC28427"/>
    <w:rsid w:val="0ADFF8F2"/>
    <w:rsid w:val="0AE0DE26"/>
    <w:rsid w:val="0AE771B7"/>
    <w:rsid w:val="0AF18E6E"/>
    <w:rsid w:val="0B2362C5"/>
    <w:rsid w:val="0B27E55F"/>
    <w:rsid w:val="0B35202D"/>
    <w:rsid w:val="0B3AFA32"/>
    <w:rsid w:val="0B3FA63C"/>
    <w:rsid w:val="0B4BA7C4"/>
    <w:rsid w:val="0B640738"/>
    <w:rsid w:val="0B6E1E65"/>
    <w:rsid w:val="0BBF54C5"/>
    <w:rsid w:val="0BCB4F44"/>
    <w:rsid w:val="0C3BCA0C"/>
    <w:rsid w:val="0CA033B6"/>
    <w:rsid w:val="0CC26F27"/>
    <w:rsid w:val="0CDDC4BF"/>
    <w:rsid w:val="0CE147CF"/>
    <w:rsid w:val="0CFD1703"/>
    <w:rsid w:val="0D0216A7"/>
    <w:rsid w:val="0D04CB4F"/>
    <w:rsid w:val="0D0BD65E"/>
    <w:rsid w:val="0D1287C2"/>
    <w:rsid w:val="0D4987AD"/>
    <w:rsid w:val="0D54BA90"/>
    <w:rsid w:val="0D598A9C"/>
    <w:rsid w:val="0DABC5D8"/>
    <w:rsid w:val="0DB823BF"/>
    <w:rsid w:val="0DC16980"/>
    <w:rsid w:val="0DC5BC96"/>
    <w:rsid w:val="0DCA74FD"/>
    <w:rsid w:val="0DCC485B"/>
    <w:rsid w:val="0DDF371F"/>
    <w:rsid w:val="0DFACB86"/>
    <w:rsid w:val="0E224336"/>
    <w:rsid w:val="0E42214D"/>
    <w:rsid w:val="0E776BBB"/>
    <w:rsid w:val="0E80C016"/>
    <w:rsid w:val="0ECF6EE6"/>
    <w:rsid w:val="0EEBB456"/>
    <w:rsid w:val="0EF3FF8A"/>
    <w:rsid w:val="0EF7152D"/>
    <w:rsid w:val="0F032447"/>
    <w:rsid w:val="0F364633"/>
    <w:rsid w:val="0F3F6ADD"/>
    <w:rsid w:val="0F636286"/>
    <w:rsid w:val="0F6818BC"/>
    <w:rsid w:val="0F73BAE2"/>
    <w:rsid w:val="0F7EF50F"/>
    <w:rsid w:val="0F924A71"/>
    <w:rsid w:val="0FDE9F72"/>
    <w:rsid w:val="1005D63F"/>
    <w:rsid w:val="103C277A"/>
    <w:rsid w:val="10418F88"/>
    <w:rsid w:val="105E9F5D"/>
    <w:rsid w:val="107D02E8"/>
    <w:rsid w:val="10816E94"/>
    <w:rsid w:val="109FCDAB"/>
    <w:rsid w:val="10BE5372"/>
    <w:rsid w:val="10DB3B3E"/>
    <w:rsid w:val="11265BB7"/>
    <w:rsid w:val="1126FA2B"/>
    <w:rsid w:val="114AD283"/>
    <w:rsid w:val="116AC4BD"/>
    <w:rsid w:val="11C91A35"/>
    <w:rsid w:val="11EEF8A6"/>
    <w:rsid w:val="12078974"/>
    <w:rsid w:val="120DEB41"/>
    <w:rsid w:val="1242700E"/>
    <w:rsid w:val="12489E5B"/>
    <w:rsid w:val="126E2AF5"/>
    <w:rsid w:val="127453B0"/>
    <w:rsid w:val="12D2603B"/>
    <w:rsid w:val="12D3216D"/>
    <w:rsid w:val="12E448C0"/>
    <w:rsid w:val="12EE9B83"/>
    <w:rsid w:val="12FAB939"/>
    <w:rsid w:val="13460C17"/>
    <w:rsid w:val="13B0DCFC"/>
    <w:rsid w:val="13BD69D6"/>
    <w:rsid w:val="13D81874"/>
    <w:rsid w:val="13E9DB20"/>
    <w:rsid w:val="13EF172E"/>
    <w:rsid w:val="14002155"/>
    <w:rsid w:val="140B0824"/>
    <w:rsid w:val="145328D0"/>
    <w:rsid w:val="1456B1EE"/>
    <w:rsid w:val="147005F9"/>
    <w:rsid w:val="14C20E2C"/>
    <w:rsid w:val="14E9A857"/>
    <w:rsid w:val="14F272E1"/>
    <w:rsid w:val="1547B290"/>
    <w:rsid w:val="1557081D"/>
    <w:rsid w:val="157931AE"/>
    <w:rsid w:val="1595B0E2"/>
    <w:rsid w:val="15A62CA3"/>
    <w:rsid w:val="15C19C1B"/>
    <w:rsid w:val="15E07789"/>
    <w:rsid w:val="15E533FD"/>
    <w:rsid w:val="15EF0CDD"/>
    <w:rsid w:val="1605A77D"/>
    <w:rsid w:val="1633E2BF"/>
    <w:rsid w:val="1643231A"/>
    <w:rsid w:val="16BA8F8C"/>
    <w:rsid w:val="16C269C9"/>
    <w:rsid w:val="1733785F"/>
    <w:rsid w:val="17738158"/>
    <w:rsid w:val="17866950"/>
    <w:rsid w:val="17A18312"/>
    <w:rsid w:val="17B73F36"/>
    <w:rsid w:val="17E1160D"/>
    <w:rsid w:val="17F37069"/>
    <w:rsid w:val="180392B6"/>
    <w:rsid w:val="180E26A3"/>
    <w:rsid w:val="1810134F"/>
    <w:rsid w:val="182B9240"/>
    <w:rsid w:val="18586767"/>
    <w:rsid w:val="18636121"/>
    <w:rsid w:val="1867C275"/>
    <w:rsid w:val="18685F7A"/>
    <w:rsid w:val="187625DE"/>
    <w:rsid w:val="18819DA7"/>
    <w:rsid w:val="18911F49"/>
    <w:rsid w:val="1897A75E"/>
    <w:rsid w:val="18B0CFBB"/>
    <w:rsid w:val="18C39E29"/>
    <w:rsid w:val="18EDCE8C"/>
    <w:rsid w:val="190C09A3"/>
    <w:rsid w:val="192EE916"/>
    <w:rsid w:val="1935D119"/>
    <w:rsid w:val="193ACAB1"/>
    <w:rsid w:val="194D403A"/>
    <w:rsid w:val="19560BED"/>
    <w:rsid w:val="198A1BB0"/>
    <w:rsid w:val="19A6A329"/>
    <w:rsid w:val="19D8842C"/>
    <w:rsid w:val="19E4E814"/>
    <w:rsid w:val="19EC083B"/>
    <w:rsid w:val="1A07FE24"/>
    <w:rsid w:val="1A277F08"/>
    <w:rsid w:val="1A46462D"/>
    <w:rsid w:val="1A74E22D"/>
    <w:rsid w:val="1A899EED"/>
    <w:rsid w:val="1AABE7D8"/>
    <w:rsid w:val="1AC51035"/>
    <w:rsid w:val="1ADF7378"/>
    <w:rsid w:val="1AE1AA8F"/>
    <w:rsid w:val="1AF1DC4E"/>
    <w:rsid w:val="1B0E94FA"/>
    <w:rsid w:val="1B3EB1FD"/>
    <w:rsid w:val="1B7524E7"/>
    <w:rsid w:val="1BC6BA47"/>
    <w:rsid w:val="1C29695C"/>
    <w:rsid w:val="1C332FD8"/>
    <w:rsid w:val="1C77D251"/>
    <w:rsid w:val="1C79BAF9"/>
    <w:rsid w:val="1C95EA27"/>
    <w:rsid w:val="1CCF8545"/>
    <w:rsid w:val="1CDC2F40"/>
    <w:rsid w:val="1CE2A797"/>
    <w:rsid w:val="1CE9D15A"/>
    <w:rsid w:val="1D23A8FD"/>
    <w:rsid w:val="1D2CAFB5"/>
    <w:rsid w:val="1D49751A"/>
    <w:rsid w:val="1D65B95F"/>
    <w:rsid w:val="1D6F4BD0"/>
    <w:rsid w:val="1D75BB0A"/>
    <w:rsid w:val="1DBFF677"/>
    <w:rsid w:val="1DC87DE4"/>
    <w:rsid w:val="1DEA76A8"/>
    <w:rsid w:val="1DFAD343"/>
    <w:rsid w:val="1E13A2B2"/>
    <w:rsid w:val="1E36D275"/>
    <w:rsid w:val="1EFAF02B"/>
    <w:rsid w:val="1F6DD690"/>
    <w:rsid w:val="1F7F58FB"/>
    <w:rsid w:val="1FAE5E6C"/>
    <w:rsid w:val="1FBAEE56"/>
    <w:rsid w:val="1FD3C2F6"/>
    <w:rsid w:val="1FEA95F1"/>
    <w:rsid w:val="2041B31E"/>
    <w:rsid w:val="2045B767"/>
    <w:rsid w:val="2054B3CF"/>
    <w:rsid w:val="206B73B4"/>
    <w:rsid w:val="2071FF79"/>
    <w:rsid w:val="207D7A26"/>
    <w:rsid w:val="2086B3AA"/>
    <w:rsid w:val="20C77CC9"/>
    <w:rsid w:val="20DA4514"/>
    <w:rsid w:val="20FBCC56"/>
    <w:rsid w:val="20FD9719"/>
    <w:rsid w:val="210A40A8"/>
    <w:rsid w:val="2121FA6D"/>
    <w:rsid w:val="2122CF4E"/>
    <w:rsid w:val="212A62FB"/>
    <w:rsid w:val="213B9C48"/>
    <w:rsid w:val="214C2C22"/>
    <w:rsid w:val="216F9357"/>
    <w:rsid w:val="217D3F1A"/>
    <w:rsid w:val="217FADAE"/>
    <w:rsid w:val="2188CA5F"/>
    <w:rsid w:val="21B40237"/>
    <w:rsid w:val="21FCD275"/>
    <w:rsid w:val="2248F54D"/>
    <w:rsid w:val="22678662"/>
    <w:rsid w:val="2275DB62"/>
    <w:rsid w:val="228E7377"/>
    <w:rsid w:val="22916213"/>
    <w:rsid w:val="22A57752"/>
    <w:rsid w:val="22AB178F"/>
    <w:rsid w:val="22DDE139"/>
    <w:rsid w:val="22E3C5D6"/>
    <w:rsid w:val="23064783"/>
    <w:rsid w:val="232C33C1"/>
    <w:rsid w:val="23324C97"/>
    <w:rsid w:val="23556DDC"/>
    <w:rsid w:val="23598971"/>
    <w:rsid w:val="23837514"/>
    <w:rsid w:val="238A40D4"/>
    <w:rsid w:val="23AE9885"/>
    <w:rsid w:val="23BF5ADB"/>
    <w:rsid w:val="23DCF49E"/>
    <w:rsid w:val="24178BA7"/>
    <w:rsid w:val="242F928D"/>
    <w:rsid w:val="243FF5A2"/>
    <w:rsid w:val="24538B98"/>
    <w:rsid w:val="245533F7"/>
    <w:rsid w:val="2466813A"/>
    <w:rsid w:val="248777BD"/>
    <w:rsid w:val="24A0E1DD"/>
    <w:rsid w:val="24BFB98E"/>
    <w:rsid w:val="24F17DD7"/>
    <w:rsid w:val="24FD1759"/>
    <w:rsid w:val="251823A3"/>
    <w:rsid w:val="253F3703"/>
    <w:rsid w:val="2542C4FE"/>
    <w:rsid w:val="254D1004"/>
    <w:rsid w:val="255A24CD"/>
    <w:rsid w:val="25627DBA"/>
    <w:rsid w:val="25698574"/>
    <w:rsid w:val="2569B4F5"/>
    <w:rsid w:val="258DEACF"/>
    <w:rsid w:val="259A33AB"/>
    <w:rsid w:val="259D4391"/>
    <w:rsid w:val="25B29B08"/>
    <w:rsid w:val="25C832C9"/>
    <w:rsid w:val="25DD3386"/>
    <w:rsid w:val="261A7616"/>
    <w:rsid w:val="26B8BA5C"/>
    <w:rsid w:val="2726BAD4"/>
    <w:rsid w:val="2731B965"/>
    <w:rsid w:val="2753C0D0"/>
    <w:rsid w:val="2757177A"/>
    <w:rsid w:val="2778BC01"/>
    <w:rsid w:val="279210D2"/>
    <w:rsid w:val="2792FAEC"/>
    <w:rsid w:val="27C6C7D1"/>
    <w:rsid w:val="27CC5086"/>
    <w:rsid w:val="27EF60C3"/>
    <w:rsid w:val="2810AA65"/>
    <w:rsid w:val="2811CBD6"/>
    <w:rsid w:val="2848D464"/>
    <w:rsid w:val="28548ABD"/>
    <w:rsid w:val="28650063"/>
    <w:rsid w:val="28917780"/>
    <w:rsid w:val="28AF902F"/>
    <w:rsid w:val="28C5D628"/>
    <w:rsid w:val="29065A22"/>
    <w:rsid w:val="2914B8D6"/>
    <w:rsid w:val="29151D7D"/>
    <w:rsid w:val="292DE133"/>
    <w:rsid w:val="293730F1"/>
    <w:rsid w:val="2967BCF3"/>
    <w:rsid w:val="296FDDE5"/>
    <w:rsid w:val="297128F4"/>
    <w:rsid w:val="29C8E142"/>
    <w:rsid w:val="29E34394"/>
    <w:rsid w:val="29F57503"/>
    <w:rsid w:val="2A078A42"/>
    <w:rsid w:val="2A18E32D"/>
    <w:rsid w:val="2A23F6CA"/>
    <w:rsid w:val="2A3CF697"/>
    <w:rsid w:val="2A4348DA"/>
    <w:rsid w:val="2A564CC1"/>
    <w:rsid w:val="2AA59660"/>
    <w:rsid w:val="2AAF3726"/>
    <w:rsid w:val="2AB8D37D"/>
    <w:rsid w:val="2AD97F76"/>
    <w:rsid w:val="2AE690C8"/>
    <w:rsid w:val="2AF30E68"/>
    <w:rsid w:val="2B192354"/>
    <w:rsid w:val="2B45A1A5"/>
    <w:rsid w:val="2B74EA4D"/>
    <w:rsid w:val="2BBE2515"/>
    <w:rsid w:val="2BDE5703"/>
    <w:rsid w:val="2BE989A8"/>
    <w:rsid w:val="2BED5970"/>
    <w:rsid w:val="2C1D7C48"/>
    <w:rsid w:val="2C226ABB"/>
    <w:rsid w:val="2C738B5D"/>
    <w:rsid w:val="2CA0036E"/>
    <w:rsid w:val="2CA26EB8"/>
    <w:rsid w:val="2CC949C6"/>
    <w:rsid w:val="2CCC89C0"/>
    <w:rsid w:val="2CEE10E8"/>
    <w:rsid w:val="2CF1D750"/>
    <w:rsid w:val="2CF4022D"/>
    <w:rsid w:val="2D1AE456"/>
    <w:rsid w:val="2D8DED83"/>
    <w:rsid w:val="2DDFFE1F"/>
    <w:rsid w:val="2DE829F9"/>
    <w:rsid w:val="2DEDBC31"/>
    <w:rsid w:val="2E1E2C9B"/>
    <w:rsid w:val="2E2002E3"/>
    <w:rsid w:val="2E2FBD05"/>
    <w:rsid w:val="2E3971C0"/>
    <w:rsid w:val="2E3DE877"/>
    <w:rsid w:val="2E47FCB7"/>
    <w:rsid w:val="2E527E97"/>
    <w:rsid w:val="2E57F602"/>
    <w:rsid w:val="2E75E115"/>
    <w:rsid w:val="2E87CDAC"/>
    <w:rsid w:val="2EAA4264"/>
    <w:rsid w:val="2EDDD5BD"/>
    <w:rsid w:val="2F1067BA"/>
    <w:rsid w:val="2F81521B"/>
    <w:rsid w:val="2F853E0A"/>
    <w:rsid w:val="2FC669BB"/>
    <w:rsid w:val="2FDCE1AA"/>
    <w:rsid w:val="30122209"/>
    <w:rsid w:val="3026322B"/>
    <w:rsid w:val="3045847A"/>
    <w:rsid w:val="306D6126"/>
    <w:rsid w:val="30789B03"/>
    <w:rsid w:val="3096A59A"/>
    <w:rsid w:val="30AB0423"/>
    <w:rsid w:val="30B8A4AD"/>
    <w:rsid w:val="30BFB4CF"/>
    <w:rsid w:val="30DB7BC7"/>
    <w:rsid w:val="30F8414D"/>
    <w:rsid w:val="31251002"/>
    <w:rsid w:val="31282F4D"/>
    <w:rsid w:val="312A904F"/>
    <w:rsid w:val="31624FEC"/>
    <w:rsid w:val="3172247B"/>
    <w:rsid w:val="31883D31"/>
    <w:rsid w:val="318CFB4D"/>
    <w:rsid w:val="31D48792"/>
    <w:rsid w:val="322CCB01"/>
    <w:rsid w:val="3232CF38"/>
    <w:rsid w:val="323C01D4"/>
    <w:rsid w:val="323F631C"/>
    <w:rsid w:val="3240955B"/>
    <w:rsid w:val="3247D7DF"/>
    <w:rsid w:val="32527754"/>
    <w:rsid w:val="327034DE"/>
    <w:rsid w:val="3275CE99"/>
    <w:rsid w:val="32793550"/>
    <w:rsid w:val="3282D7FB"/>
    <w:rsid w:val="32B7C91B"/>
    <w:rsid w:val="32B98E05"/>
    <w:rsid w:val="32C6CAE0"/>
    <w:rsid w:val="32DA4BA9"/>
    <w:rsid w:val="3302F042"/>
    <w:rsid w:val="332CBDEE"/>
    <w:rsid w:val="333426E8"/>
    <w:rsid w:val="33660276"/>
    <w:rsid w:val="3377242E"/>
    <w:rsid w:val="3381ABDC"/>
    <w:rsid w:val="338425FA"/>
    <w:rsid w:val="3392F513"/>
    <w:rsid w:val="33A5D5C4"/>
    <w:rsid w:val="33B0FBD1"/>
    <w:rsid w:val="33CE9F99"/>
    <w:rsid w:val="34244442"/>
    <w:rsid w:val="344FD09A"/>
    <w:rsid w:val="3470BB18"/>
    <w:rsid w:val="34761C0A"/>
    <w:rsid w:val="34B30E75"/>
    <w:rsid w:val="34B3747A"/>
    <w:rsid w:val="34B8582A"/>
    <w:rsid w:val="34C49050"/>
    <w:rsid w:val="34C83B29"/>
    <w:rsid w:val="34C8E7DC"/>
    <w:rsid w:val="34CB1865"/>
    <w:rsid w:val="350CA957"/>
    <w:rsid w:val="3525F63B"/>
    <w:rsid w:val="35389DF8"/>
    <w:rsid w:val="3543887E"/>
    <w:rsid w:val="354CCC32"/>
    <w:rsid w:val="355242FB"/>
    <w:rsid w:val="355D3A38"/>
    <w:rsid w:val="356A6FFA"/>
    <w:rsid w:val="358C2A88"/>
    <w:rsid w:val="35943BB6"/>
    <w:rsid w:val="3600CE0D"/>
    <w:rsid w:val="3619B92E"/>
    <w:rsid w:val="361CC79B"/>
    <w:rsid w:val="3630103E"/>
    <w:rsid w:val="3633061E"/>
    <w:rsid w:val="36564A8B"/>
    <w:rsid w:val="3678458B"/>
    <w:rsid w:val="36B2BD90"/>
    <w:rsid w:val="36C14F44"/>
    <w:rsid w:val="36C1C69C"/>
    <w:rsid w:val="36CDD674"/>
    <w:rsid w:val="36E206A3"/>
    <w:rsid w:val="373177E9"/>
    <w:rsid w:val="374BA9D4"/>
    <w:rsid w:val="376BC1B0"/>
    <w:rsid w:val="378089AE"/>
    <w:rsid w:val="37945186"/>
    <w:rsid w:val="37B19167"/>
    <w:rsid w:val="37CA8784"/>
    <w:rsid w:val="37CFDBF6"/>
    <w:rsid w:val="37D8FFC6"/>
    <w:rsid w:val="37DACACB"/>
    <w:rsid w:val="37E57ADE"/>
    <w:rsid w:val="381B6D2D"/>
    <w:rsid w:val="384D055C"/>
    <w:rsid w:val="386063AF"/>
    <w:rsid w:val="3864CC9D"/>
    <w:rsid w:val="386FE0FC"/>
    <w:rsid w:val="38711FDB"/>
    <w:rsid w:val="388A9EAA"/>
    <w:rsid w:val="38C13593"/>
    <w:rsid w:val="38EB7491"/>
    <w:rsid w:val="39079211"/>
    <w:rsid w:val="3908D6C4"/>
    <w:rsid w:val="397348B1"/>
    <w:rsid w:val="39B7AD84"/>
    <w:rsid w:val="3A018099"/>
    <w:rsid w:val="3A182383"/>
    <w:rsid w:val="3A2AB189"/>
    <w:rsid w:val="3A339EC1"/>
    <w:rsid w:val="3ABBAE71"/>
    <w:rsid w:val="3AC1847F"/>
    <w:rsid w:val="3ACBF248"/>
    <w:rsid w:val="3B064A0F"/>
    <w:rsid w:val="3B0A2869"/>
    <w:rsid w:val="3B48F65C"/>
    <w:rsid w:val="3B530DEF"/>
    <w:rsid w:val="3B774823"/>
    <w:rsid w:val="3B8FCB06"/>
    <w:rsid w:val="3BA1BF9E"/>
    <w:rsid w:val="3BB2CA02"/>
    <w:rsid w:val="3BC9EE8E"/>
    <w:rsid w:val="3BD5C265"/>
    <w:rsid w:val="3BE6984B"/>
    <w:rsid w:val="3BFBC484"/>
    <w:rsid w:val="3C27867F"/>
    <w:rsid w:val="3C6180E4"/>
    <w:rsid w:val="3C8112BC"/>
    <w:rsid w:val="3CA57080"/>
    <w:rsid w:val="3CA7B3B6"/>
    <w:rsid w:val="3CA7F9BB"/>
    <w:rsid w:val="3CFC03DF"/>
    <w:rsid w:val="3D4146D8"/>
    <w:rsid w:val="3D4E9A63"/>
    <w:rsid w:val="3D65BE6B"/>
    <w:rsid w:val="3DA7924F"/>
    <w:rsid w:val="3DAE9B0B"/>
    <w:rsid w:val="3DB8ED28"/>
    <w:rsid w:val="3DDADE07"/>
    <w:rsid w:val="3E043A0B"/>
    <w:rsid w:val="3E0DE9E1"/>
    <w:rsid w:val="3E407AFD"/>
    <w:rsid w:val="3EC5559A"/>
    <w:rsid w:val="3ED29B4F"/>
    <w:rsid w:val="3EDC057F"/>
    <w:rsid w:val="3EFE21E0"/>
    <w:rsid w:val="3F115240"/>
    <w:rsid w:val="3F3965DC"/>
    <w:rsid w:val="3F5F2741"/>
    <w:rsid w:val="3F978E6E"/>
    <w:rsid w:val="4001261A"/>
    <w:rsid w:val="40390C81"/>
    <w:rsid w:val="404156B1"/>
    <w:rsid w:val="4041CC36"/>
    <w:rsid w:val="406812D5"/>
    <w:rsid w:val="407C084D"/>
    <w:rsid w:val="4085FCA7"/>
    <w:rsid w:val="40B9103C"/>
    <w:rsid w:val="40BF6012"/>
    <w:rsid w:val="40CDBDA5"/>
    <w:rsid w:val="40F71D9C"/>
    <w:rsid w:val="41070CAC"/>
    <w:rsid w:val="415586C2"/>
    <w:rsid w:val="41590422"/>
    <w:rsid w:val="41673D41"/>
    <w:rsid w:val="416A196F"/>
    <w:rsid w:val="418D66C7"/>
    <w:rsid w:val="419CF67B"/>
    <w:rsid w:val="41AEABB7"/>
    <w:rsid w:val="41B188F3"/>
    <w:rsid w:val="41CEA3A6"/>
    <w:rsid w:val="41D6D5CB"/>
    <w:rsid w:val="4209B24E"/>
    <w:rsid w:val="421BB065"/>
    <w:rsid w:val="42220B86"/>
    <w:rsid w:val="423465FC"/>
    <w:rsid w:val="4239ABDF"/>
    <w:rsid w:val="42411850"/>
    <w:rsid w:val="42D6630B"/>
    <w:rsid w:val="42D8DCA0"/>
    <w:rsid w:val="42F5E938"/>
    <w:rsid w:val="43042252"/>
    <w:rsid w:val="436FF007"/>
    <w:rsid w:val="4378AC54"/>
    <w:rsid w:val="437F7635"/>
    <w:rsid w:val="43872147"/>
    <w:rsid w:val="43A01EE2"/>
    <w:rsid w:val="43B771F9"/>
    <w:rsid w:val="43C3AC99"/>
    <w:rsid w:val="43EC499C"/>
    <w:rsid w:val="43FFEF99"/>
    <w:rsid w:val="44026E9C"/>
    <w:rsid w:val="44215D8D"/>
    <w:rsid w:val="442433A7"/>
    <w:rsid w:val="447ED24E"/>
    <w:rsid w:val="44A597C8"/>
    <w:rsid w:val="44A68779"/>
    <w:rsid w:val="44B4F37D"/>
    <w:rsid w:val="44B76D73"/>
    <w:rsid w:val="44C0BAA2"/>
    <w:rsid w:val="44C141C5"/>
    <w:rsid w:val="44C6C41E"/>
    <w:rsid w:val="44CA1580"/>
    <w:rsid w:val="44F15384"/>
    <w:rsid w:val="4520A9AC"/>
    <w:rsid w:val="452AC907"/>
    <w:rsid w:val="455ACCD7"/>
    <w:rsid w:val="45888552"/>
    <w:rsid w:val="458AAF0E"/>
    <w:rsid w:val="45AFA786"/>
    <w:rsid w:val="45F1F08C"/>
    <w:rsid w:val="4606E257"/>
    <w:rsid w:val="461FD161"/>
    <w:rsid w:val="4620CBC8"/>
    <w:rsid w:val="4641426E"/>
    <w:rsid w:val="464B8CE2"/>
    <w:rsid w:val="464D3760"/>
    <w:rsid w:val="46778FD9"/>
    <w:rsid w:val="4689CA01"/>
    <w:rsid w:val="468F0ED4"/>
    <w:rsid w:val="468F7E1C"/>
    <w:rsid w:val="46943D43"/>
    <w:rsid w:val="46E4EB90"/>
    <w:rsid w:val="46FC4DBA"/>
    <w:rsid w:val="47267F6F"/>
    <w:rsid w:val="473126B4"/>
    <w:rsid w:val="478977F6"/>
    <w:rsid w:val="478B6D35"/>
    <w:rsid w:val="4791F7DF"/>
    <w:rsid w:val="47B284FC"/>
    <w:rsid w:val="47BC9C29"/>
    <w:rsid w:val="47C7C26B"/>
    <w:rsid w:val="47D6CBAA"/>
    <w:rsid w:val="480EE438"/>
    <w:rsid w:val="4826F522"/>
    <w:rsid w:val="48351F20"/>
    <w:rsid w:val="4849A736"/>
    <w:rsid w:val="4850A9A3"/>
    <w:rsid w:val="48760E66"/>
    <w:rsid w:val="48848E7E"/>
    <w:rsid w:val="48AA23A5"/>
    <w:rsid w:val="48AD66ED"/>
    <w:rsid w:val="48B13302"/>
    <w:rsid w:val="48C24FD0"/>
    <w:rsid w:val="492153BC"/>
    <w:rsid w:val="494E555D"/>
    <w:rsid w:val="494FBE80"/>
    <w:rsid w:val="4952387C"/>
    <w:rsid w:val="495D30C8"/>
    <w:rsid w:val="49752B54"/>
    <w:rsid w:val="4976FF9D"/>
    <w:rsid w:val="497E320C"/>
    <w:rsid w:val="4998C719"/>
    <w:rsid w:val="49CF6946"/>
    <w:rsid w:val="49D62FBD"/>
    <w:rsid w:val="49EED378"/>
    <w:rsid w:val="49FA1AF6"/>
    <w:rsid w:val="4A06A183"/>
    <w:rsid w:val="4A2A7290"/>
    <w:rsid w:val="4A685DB1"/>
    <w:rsid w:val="4A898E84"/>
    <w:rsid w:val="4AA1A717"/>
    <w:rsid w:val="4AC7F52B"/>
    <w:rsid w:val="4AD63BC0"/>
    <w:rsid w:val="4ADD0D89"/>
    <w:rsid w:val="4AE03417"/>
    <w:rsid w:val="4AFEE850"/>
    <w:rsid w:val="4B0FD5FA"/>
    <w:rsid w:val="4B140E59"/>
    <w:rsid w:val="4B2D5A82"/>
    <w:rsid w:val="4B364A93"/>
    <w:rsid w:val="4B61EDE2"/>
    <w:rsid w:val="4B734CC2"/>
    <w:rsid w:val="4B8B478A"/>
    <w:rsid w:val="4B8CE9FB"/>
    <w:rsid w:val="4B9818C7"/>
    <w:rsid w:val="4BC82A03"/>
    <w:rsid w:val="4C158465"/>
    <w:rsid w:val="4C85F61F"/>
    <w:rsid w:val="4CD1CE7F"/>
    <w:rsid w:val="4CE8B76E"/>
    <w:rsid w:val="4CF09415"/>
    <w:rsid w:val="4CF54779"/>
    <w:rsid w:val="4CFACD7D"/>
    <w:rsid w:val="4CFC1417"/>
    <w:rsid w:val="4CFC1BC0"/>
    <w:rsid w:val="4D0D9E0C"/>
    <w:rsid w:val="4D25A547"/>
    <w:rsid w:val="4D25EF86"/>
    <w:rsid w:val="4D2C0AE2"/>
    <w:rsid w:val="4D4162F8"/>
    <w:rsid w:val="4D491990"/>
    <w:rsid w:val="4D5A37C1"/>
    <w:rsid w:val="4D7954EB"/>
    <w:rsid w:val="4D87DD13"/>
    <w:rsid w:val="4DA39196"/>
    <w:rsid w:val="4DBD61A0"/>
    <w:rsid w:val="4DD19350"/>
    <w:rsid w:val="4E01E4A5"/>
    <w:rsid w:val="4E087BFD"/>
    <w:rsid w:val="4E09AA53"/>
    <w:rsid w:val="4E0EF5C9"/>
    <w:rsid w:val="4E12C96B"/>
    <w:rsid w:val="4E2F741A"/>
    <w:rsid w:val="4E45B534"/>
    <w:rsid w:val="4E5B6738"/>
    <w:rsid w:val="4E719B51"/>
    <w:rsid w:val="4E7947F9"/>
    <w:rsid w:val="4E8A50AF"/>
    <w:rsid w:val="4EA37ABF"/>
    <w:rsid w:val="4EB41540"/>
    <w:rsid w:val="4F0DBC35"/>
    <w:rsid w:val="4F1274AA"/>
    <w:rsid w:val="4F1FA0A0"/>
    <w:rsid w:val="4F369F26"/>
    <w:rsid w:val="4F6480AA"/>
    <w:rsid w:val="4F87EA20"/>
    <w:rsid w:val="4F8B6324"/>
    <w:rsid w:val="4F9FF0A9"/>
    <w:rsid w:val="4FA5A28C"/>
    <w:rsid w:val="4FA9ACE3"/>
    <w:rsid w:val="4FF45DC7"/>
    <w:rsid w:val="4FFBD4DB"/>
    <w:rsid w:val="4FFC96BF"/>
    <w:rsid w:val="502FFB8C"/>
    <w:rsid w:val="5031CA31"/>
    <w:rsid w:val="50690DFE"/>
    <w:rsid w:val="509177F9"/>
    <w:rsid w:val="50D79C34"/>
    <w:rsid w:val="51320F79"/>
    <w:rsid w:val="5143A894"/>
    <w:rsid w:val="5169A5FA"/>
    <w:rsid w:val="517530E5"/>
    <w:rsid w:val="51793C27"/>
    <w:rsid w:val="517E9265"/>
    <w:rsid w:val="5183D2F3"/>
    <w:rsid w:val="51853AEC"/>
    <w:rsid w:val="5194A33B"/>
    <w:rsid w:val="51974248"/>
    <w:rsid w:val="519B57AC"/>
    <w:rsid w:val="51EBB602"/>
    <w:rsid w:val="51ED2B23"/>
    <w:rsid w:val="5203C84F"/>
    <w:rsid w:val="520C2510"/>
    <w:rsid w:val="52919514"/>
    <w:rsid w:val="5293D1B8"/>
    <w:rsid w:val="52961E75"/>
    <w:rsid w:val="52A80DEC"/>
    <w:rsid w:val="52C9DCEF"/>
    <w:rsid w:val="52CEEC26"/>
    <w:rsid w:val="52F0ED18"/>
    <w:rsid w:val="5301BF82"/>
    <w:rsid w:val="531DC245"/>
    <w:rsid w:val="533FCB31"/>
    <w:rsid w:val="534A54C1"/>
    <w:rsid w:val="536C31F0"/>
    <w:rsid w:val="537C4942"/>
    <w:rsid w:val="53C918BB"/>
    <w:rsid w:val="53D4D5FA"/>
    <w:rsid w:val="53F18EEF"/>
    <w:rsid w:val="53F94B06"/>
    <w:rsid w:val="54011978"/>
    <w:rsid w:val="542BC676"/>
    <w:rsid w:val="542C7EC2"/>
    <w:rsid w:val="5435CCFD"/>
    <w:rsid w:val="54795FCF"/>
    <w:rsid w:val="547B4956"/>
    <w:rsid w:val="54922E8D"/>
    <w:rsid w:val="54D41481"/>
    <w:rsid w:val="55121BED"/>
    <w:rsid w:val="551DA2FD"/>
    <w:rsid w:val="555910F6"/>
    <w:rsid w:val="55663B2D"/>
    <w:rsid w:val="557CA597"/>
    <w:rsid w:val="55887E7D"/>
    <w:rsid w:val="55A62B4D"/>
    <w:rsid w:val="55A69097"/>
    <w:rsid w:val="55B4A7A6"/>
    <w:rsid w:val="55BDC3B9"/>
    <w:rsid w:val="5606870D"/>
    <w:rsid w:val="560BB8E5"/>
    <w:rsid w:val="563F83B2"/>
    <w:rsid w:val="564AAFF4"/>
    <w:rsid w:val="56642A7D"/>
    <w:rsid w:val="5675FCCC"/>
    <w:rsid w:val="5681F583"/>
    <w:rsid w:val="56AF80A3"/>
    <w:rsid w:val="56C05482"/>
    <w:rsid w:val="56CE1734"/>
    <w:rsid w:val="57165CBB"/>
    <w:rsid w:val="573A72BE"/>
    <w:rsid w:val="57579527"/>
    <w:rsid w:val="57604AF7"/>
    <w:rsid w:val="5779A68A"/>
    <w:rsid w:val="57CF554E"/>
    <w:rsid w:val="57D530A5"/>
    <w:rsid w:val="57DBB720"/>
    <w:rsid w:val="57E3F4BC"/>
    <w:rsid w:val="57E541A3"/>
    <w:rsid w:val="57E68055"/>
    <w:rsid w:val="582849B3"/>
    <w:rsid w:val="582A2DE9"/>
    <w:rsid w:val="585390C9"/>
    <w:rsid w:val="58820B53"/>
    <w:rsid w:val="58836181"/>
    <w:rsid w:val="5888E3C5"/>
    <w:rsid w:val="58900696"/>
    <w:rsid w:val="58CF4452"/>
    <w:rsid w:val="58D13EA8"/>
    <w:rsid w:val="58DC0137"/>
    <w:rsid w:val="58E4BE3D"/>
    <w:rsid w:val="58EF57AD"/>
    <w:rsid w:val="58F0E00C"/>
    <w:rsid w:val="58F8C365"/>
    <w:rsid w:val="59125A04"/>
    <w:rsid w:val="59191736"/>
    <w:rsid w:val="593B3AE5"/>
    <w:rsid w:val="59504DF9"/>
    <w:rsid w:val="5950DBA5"/>
    <w:rsid w:val="5956BC89"/>
    <w:rsid w:val="595EAD84"/>
    <w:rsid w:val="5995AF8D"/>
    <w:rsid w:val="59D24A4B"/>
    <w:rsid w:val="59DBEB30"/>
    <w:rsid w:val="59DF6FDA"/>
    <w:rsid w:val="59F6C7E7"/>
    <w:rsid w:val="5A58EDDA"/>
    <w:rsid w:val="5A7BD51D"/>
    <w:rsid w:val="5A7E1D54"/>
    <w:rsid w:val="5A9493C6"/>
    <w:rsid w:val="5AAFBD93"/>
    <w:rsid w:val="5ACFB0E0"/>
    <w:rsid w:val="5AD9B676"/>
    <w:rsid w:val="5AFE0D66"/>
    <w:rsid w:val="5B12F4D5"/>
    <w:rsid w:val="5B1E2117"/>
    <w:rsid w:val="5B22E4DE"/>
    <w:rsid w:val="5B610A76"/>
    <w:rsid w:val="5B6C08BB"/>
    <w:rsid w:val="5B7CB524"/>
    <w:rsid w:val="5B7FF463"/>
    <w:rsid w:val="5BAA449C"/>
    <w:rsid w:val="5BB2C0F5"/>
    <w:rsid w:val="5BC4AB08"/>
    <w:rsid w:val="5BD02131"/>
    <w:rsid w:val="5BE189D5"/>
    <w:rsid w:val="5BF8BF58"/>
    <w:rsid w:val="5C01D823"/>
    <w:rsid w:val="5C1CD1D7"/>
    <w:rsid w:val="5C3EA009"/>
    <w:rsid w:val="5C5B88C8"/>
    <w:rsid w:val="5CA2B8C4"/>
    <w:rsid w:val="5CB591FF"/>
    <w:rsid w:val="5D3ADCAA"/>
    <w:rsid w:val="5D6CD2D3"/>
    <w:rsid w:val="5DA07904"/>
    <w:rsid w:val="5DB8A238"/>
    <w:rsid w:val="5DB9805F"/>
    <w:rsid w:val="5DCA299E"/>
    <w:rsid w:val="5DCF39AE"/>
    <w:rsid w:val="5DE21CBE"/>
    <w:rsid w:val="5DF75929"/>
    <w:rsid w:val="5DFBB0B8"/>
    <w:rsid w:val="5E09BF5A"/>
    <w:rsid w:val="5E1FF5F5"/>
    <w:rsid w:val="5E4E0DDB"/>
    <w:rsid w:val="5E9E423F"/>
    <w:rsid w:val="5EA2BAA3"/>
    <w:rsid w:val="5EB8FE33"/>
    <w:rsid w:val="5EF21D8F"/>
    <w:rsid w:val="5EF4C80F"/>
    <w:rsid w:val="5EFA908B"/>
    <w:rsid w:val="5F2E34CA"/>
    <w:rsid w:val="5F41C94E"/>
    <w:rsid w:val="5F42979B"/>
    <w:rsid w:val="5F4A351E"/>
    <w:rsid w:val="5FB647C3"/>
    <w:rsid w:val="5FBA59F8"/>
    <w:rsid w:val="5FC27FD4"/>
    <w:rsid w:val="5FE665F8"/>
    <w:rsid w:val="5FF6DC71"/>
    <w:rsid w:val="6089E153"/>
    <w:rsid w:val="60969A2D"/>
    <w:rsid w:val="609A30A5"/>
    <w:rsid w:val="60A64595"/>
    <w:rsid w:val="60AE6922"/>
    <w:rsid w:val="60BB8E65"/>
    <w:rsid w:val="60CA052B"/>
    <w:rsid w:val="60D0453D"/>
    <w:rsid w:val="60D1BE27"/>
    <w:rsid w:val="60FC7BE3"/>
    <w:rsid w:val="610544F3"/>
    <w:rsid w:val="61247F1F"/>
    <w:rsid w:val="6135C319"/>
    <w:rsid w:val="6149C516"/>
    <w:rsid w:val="6180E02B"/>
    <w:rsid w:val="61944534"/>
    <w:rsid w:val="61A8F136"/>
    <w:rsid w:val="61F74763"/>
    <w:rsid w:val="62147E7D"/>
    <w:rsid w:val="62253AA9"/>
    <w:rsid w:val="625CA4F0"/>
    <w:rsid w:val="6273888A"/>
    <w:rsid w:val="62DC7462"/>
    <w:rsid w:val="6305927B"/>
    <w:rsid w:val="63073820"/>
    <w:rsid w:val="630D4913"/>
    <w:rsid w:val="6322E85A"/>
    <w:rsid w:val="63298528"/>
    <w:rsid w:val="632EF8DD"/>
    <w:rsid w:val="63684ABF"/>
    <w:rsid w:val="6378EF28"/>
    <w:rsid w:val="6387E69B"/>
    <w:rsid w:val="63AA946B"/>
    <w:rsid w:val="63BEAB18"/>
    <w:rsid w:val="63D3BB8C"/>
    <w:rsid w:val="640404EE"/>
    <w:rsid w:val="640B2E38"/>
    <w:rsid w:val="6430721D"/>
    <w:rsid w:val="6449623F"/>
    <w:rsid w:val="64653523"/>
    <w:rsid w:val="64660174"/>
    <w:rsid w:val="64803249"/>
    <w:rsid w:val="6481CC5B"/>
    <w:rsid w:val="64A5CE02"/>
    <w:rsid w:val="64BCF3FC"/>
    <w:rsid w:val="64C55589"/>
    <w:rsid w:val="64CC8C13"/>
    <w:rsid w:val="64D1A94A"/>
    <w:rsid w:val="64EFA3FA"/>
    <w:rsid w:val="64F5C0D7"/>
    <w:rsid w:val="64F74FC1"/>
    <w:rsid w:val="652A4E81"/>
    <w:rsid w:val="652BA978"/>
    <w:rsid w:val="65608E5B"/>
    <w:rsid w:val="65615BDD"/>
    <w:rsid w:val="6579CF41"/>
    <w:rsid w:val="659B0F84"/>
    <w:rsid w:val="65A2066B"/>
    <w:rsid w:val="65A96179"/>
    <w:rsid w:val="65E8ABF0"/>
    <w:rsid w:val="661AD45C"/>
    <w:rsid w:val="661E4CEC"/>
    <w:rsid w:val="6621BC1E"/>
    <w:rsid w:val="662A9563"/>
    <w:rsid w:val="662D8BFD"/>
    <w:rsid w:val="665FD595"/>
    <w:rsid w:val="666125EA"/>
    <w:rsid w:val="6671F5B3"/>
    <w:rsid w:val="6677C08D"/>
    <w:rsid w:val="667C3314"/>
    <w:rsid w:val="66C7F386"/>
    <w:rsid w:val="66DDDE5E"/>
    <w:rsid w:val="66EB5A09"/>
    <w:rsid w:val="66F88F20"/>
    <w:rsid w:val="6709ACC7"/>
    <w:rsid w:val="672B29B6"/>
    <w:rsid w:val="6733F885"/>
    <w:rsid w:val="6766BB2C"/>
    <w:rsid w:val="67732999"/>
    <w:rsid w:val="677590E4"/>
    <w:rsid w:val="6798089C"/>
    <w:rsid w:val="67B7D30B"/>
    <w:rsid w:val="67CF85E8"/>
    <w:rsid w:val="67F021AF"/>
    <w:rsid w:val="68044C59"/>
    <w:rsid w:val="680A0FFD"/>
    <w:rsid w:val="685DDDC7"/>
    <w:rsid w:val="6866C774"/>
    <w:rsid w:val="688C742F"/>
    <w:rsid w:val="68B4CA24"/>
    <w:rsid w:val="68E952F0"/>
    <w:rsid w:val="68F6F2D7"/>
    <w:rsid w:val="690F63AE"/>
    <w:rsid w:val="69203FC0"/>
    <w:rsid w:val="694BB5E6"/>
    <w:rsid w:val="69ADC390"/>
    <w:rsid w:val="69C5DDD6"/>
    <w:rsid w:val="69CB3523"/>
    <w:rsid w:val="69CB4A1A"/>
    <w:rsid w:val="69D19FD8"/>
    <w:rsid w:val="69DC4DBC"/>
    <w:rsid w:val="6A0141D9"/>
    <w:rsid w:val="6A0646F6"/>
    <w:rsid w:val="6A12B7DC"/>
    <w:rsid w:val="6A19E83A"/>
    <w:rsid w:val="6A22567A"/>
    <w:rsid w:val="6A248D04"/>
    <w:rsid w:val="6A26B43C"/>
    <w:rsid w:val="6A338297"/>
    <w:rsid w:val="6A36A7BD"/>
    <w:rsid w:val="6A414D89"/>
    <w:rsid w:val="6A55584A"/>
    <w:rsid w:val="6A5B2B20"/>
    <w:rsid w:val="6A78DC86"/>
    <w:rsid w:val="6A9FCB15"/>
    <w:rsid w:val="6AC0B728"/>
    <w:rsid w:val="6B1E7B9B"/>
    <w:rsid w:val="6B53C784"/>
    <w:rsid w:val="6B659784"/>
    <w:rsid w:val="6B66AC94"/>
    <w:rsid w:val="6B90E4E5"/>
    <w:rsid w:val="6BA21757"/>
    <w:rsid w:val="6BAAB2E9"/>
    <w:rsid w:val="6BD5F6FD"/>
    <w:rsid w:val="6BD7BD65"/>
    <w:rsid w:val="6C587D2C"/>
    <w:rsid w:val="6C6B6617"/>
    <w:rsid w:val="6C72AACE"/>
    <w:rsid w:val="6C93AB54"/>
    <w:rsid w:val="6CDE8E8D"/>
    <w:rsid w:val="6CE8130F"/>
    <w:rsid w:val="6CEB966A"/>
    <w:rsid w:val="6CEEAF37"/>
    <w:rsid w:val="6CF67BC2"/>
    <w:rsid w:val="6CF9CE53"/>
    <w:rsid w:val="6D062B31"/>
    <w:rsid w:val="6D0CC1E6"/>
    <w:rsid w:val="6D17AED6"/>
    <w:rsid w:val="6D1D85B2"/>
    <w:rsid w:val="6D255581"/>
    <w:rsid w:val="6D34CCA2"/>
    <w:rsid w:val="6D4C4728"/>
    <w:rsid w:val="6D76ECC5"/>
    <w:rsid w:val="6DD5FCB0"/>
    <w:rsid w:val="6E457538"/>
    <w:rsid w:val="6E4E9065"/>
    <w:rsid w:val="6E5CA822"/>
    <w:rsid w:val="6E7154EB"/>
    <w:rsid w:val="6E738DDD"/>
    <w:rsid w:val="6EAB1474"/>
    <w:rsid w:val="6EF1B80D"/>
    <w:rsid w:val="6EFFF6AE"/>
    <w:rsid w:val="6F118461"/>
    <w:rsid w:val="6F1605E8"/>
    <w:rsid w:val="6F388905"/>
    <w:rsid w:val="6F745C05"/>
    <w:rsid w:val="6F76BEFE"/>
    <w:rsid w:val="6FA48E29"/>
    <w:rsid w:val="6FAD9965"/>
    <w:rsid w:val="6FC6CC6E"/>
    <w:rsid w:val="6FCF7580"/>
    <w:rsid w:val="6FEE33C9"/>
    <w:rsid w:val="6FF635E1"/>
    <w:rsid w:val="6FF87883"/>
    <w:rsid w:val="7008D651"/>
    <w:rsid w:val="703DCBF3"/>
    <w:rsid w:val="7053F0F3"/>
    <w:rsid w:val="706F3461"/>
    <w:rsid w:val="7078B4B1"/>
    <w:rsid w:val="70935C59"/>
    <w:rsid w:val="7094C302"/>
    <w:rsid w:val="70B328BD"/>
    <w:rsid w:val="70BDD3CD"/>
    <w:rsid w:val="70D1D0F0"/>
    <w:rsid w:val="70DF5798"/>
    <w:rsid w:val="71768C6F"/>
    <w:rsid w:val="719E56E2"/>
    <w:rsid w:val="71A3E8C9"/>
    <w:rsid w:val="71C82BFB"/>
    <w:rsid w:val="71D936E1"/>
    <w:rsid w:val="71DACBF4"/>
    <w:rsid w:val="71E28E8C"/>
    <w:rsid w:val="71F54A7F"/>
    <w:rsid w:val="71FAA628"/>
    <w:rsid w:val="7237B070"/>
    <w:rsid w:val="724C5B0E"/>
    <w:rsid w:val="72640197"/>
    <w:rsid w:val="727CEA88"/>
    <w:rsid w:val="72E475FF"/>
    <w:rsid w:val="72FA85B2"/>
    <w:rsid w:val="732081B0"/>
    <w:rsid w:val="7374C46D"/>
    <w:rsid w:val="7382A90B"/>
    <w:rsid w:val="73D033D4"/>
    <w:rsid w:val="73D4501E"/>
    <w:rsid w:val="73E220F4"/>
    <w:rsid w:val="7426B416"/>
    <w:rsid w:val="743D77EE"/>
    <w:rsid w:val="745EDFCA"/>
    <w:rsid w:val="747D2DB6"/>
    <w:rsid w:val="7556E1BD"/>
    <w:rsid w:val="7562C53A"/>
    <w:rsid w:val="757A95FD"/>
    <w:rsid w:val="757FF5D9"/>
    <w:rsid w:val="759C2072"/>
    <w:rsid w:val="75E0625A"/>
    <w:rsid w:val="75E5E11C"/>
    <w:rsid w:val="76142960"/>
    <w:rsid w:val="76322674"/>
    <w:rsid w:val="764B9D4D"/>
    <w:rsid w:val="766D1D57"/>
    <w:rsid w:val="76772D7A"/>
    <w:rsid w:val="767A70B5"/>
    <w:rsid w:val="768C5EE1"/>
    <w:rsid w:val="76995ABB"/>
    <w:rsid w:val="76D0E88F"/>
    <w:rsid w:val="76DA33E2"/>
    <w:rsid w:val="76F78516"/>
    <w:rsid w:val="77129B0F"/>
    <w:rsid w:val="7716BBA7"/>
    <w:rsid w:val="771FAADC"/>
    <w:rsid w:val="773460C7"/>
    <w:rsid w:val="7746751F"/>
    <w:rsid w:val="77484C9B"/>
    <w:rsid w:val="774E1453"/>
    <w:rsid w:val="77581DE3"/>
    <w:rsid w:val="778E20EC"/>
    <w:rsid w:val="778F6A5B"/>
    <w:rsid w:val="77B030E2"/>
    <w:rsid w:val="77BFDA05"/>
    <w:rsid w:val="77C38D5F"/>
    <w:rsid w:val="77CC427B"/>
    <w:rsid w:val="7804ED46"/>
    <w:rsid w:val="780F0B7F"/>
    <w:rsid w:val="7819222F"/>
    <w:rsid w:val="7835A756"/>
    <w:rsid w:val="7888A8BC"/>
    <w:rsid w:val="789D549B"/>
    <w:rsid w:val="78E08422"/>
    <w:rsid w:val="7906B708"/>
    <w:rsid w:val="7956408D"/>
    <w:rsid w:val="7957814B"/>
    <w:rsid w:val="79923131"/>
    <w:rsid w:val="79ABBA18"/>
    <w:rsid w:val="79B4F290"/>
    <w:rsid w:val="79B8CA69"/>
    <w:rsid w:val="79B92A51"/>
    <w:rsid w:val="79C3FFA3"/>
    <w:rsid w:val="79C5B3C8"/>
    <w:rsid w:val="79C826A0"/>
    <w:rsid w:val="79DECAF4"/>
    <w:rsid w:val="7A23ACF6"/>
    <w:rsid w:val="7A51330D"/>
    <w:rsid w:val="7A65B1D1"/>
    <w:rsid w:val="7A7FB8CE"/>
    <w:rsid w:val="7A862170"/>
    <w:rsid w:val="7A90BE7B"/>
    <w:rsid w:val="7A93563C"/>
    <w:rsid w:val="7AA7DF18"/>
    <w:rsid w:val="7ACD10EC"/>
    <w:rsid w:val="7AEC6F3A"/>
    <w:rsid w:val="7AEDFBE9"/>
    <w:rsid w:val="7AF52FC0"/>
    <w:rsid w:val="7B059797"/>
    <w:rsid w:val="7B074D09"/>
    <w:rsid w:val="7B3DE63B"/>
    <w:rsid w:val="7B524C56"/>
    <w:rsid w:val="7B63F701"/>
    <w:rsid w:val="7B69EB4E"/>
    <w:rsid w:val="7B9C782B"/>
    <w:rsid w:val="7BAD7234"/>
    <w:rsid w:val="7BB51D39"/>
    <w:rsid w:val="7BDC43B5"/>
    <w:rsid w:val="7BFEBCCF"/>
    <w:rsid w:val="7C002400"/>
    <w:rsid w:val="7C017069"/>
    <w:rsid w:val="7C1F57F0"/>
    <w:rsid w:val="7C21F1D1"/>
    <w:rsid w:val="7C469E8E"/>
    <w:rsid w:val="7C501CAD"/>
    <w:rsid w:val="7C5A4F99"/>
    <w:rsid w:val="7C6ECF4B"/>
    <w:rsid w:val="7C727D82"/>
    <w:rsid w:val="7C845622"/>
    <w:rsid w:val="7CB2F6D5"/>
    <w:rsid w:val="7CB83AF2"/>
    <w:rsid w:val="7CD8948F"/>
    <w:rsid w:val="7CEBDD75"/>
    <w:rsid w:val="7CEE78BE"/>
    <w:rsid w:val="7CFDD927"/>
    <w:rsid w:val="7D033BC6"/>
    <w:rsid w:val="7D1062F4"/>
    <w:rsid w:val="7D34D073"/>
    <w:rsid w:val="7D50462B"/>
    <w:rsid w:val="7D6A850C"/>
    <w:rsid w:val="7D6EE7A0"/>
    <w:rsid w:val="7D72BE04"/>
    <w:rsid w:val="7D7C90E7"/>
    <w:rsid w:val="7D8D0A94"/>
    <w:rsid w:val="7D94C969"/>
    <w:rsid w:val="7DBB2851"/>
    <w:rsid w:val="7DE423E4"/>
    <w:rsid w:val="7DF57D27"/>
    <w:rsid w:val="7DF6F026"/>
    <w:rsid w:val="7E7B86B5"/>
    <w:rsid w:val="7E8EDA48"/>
    <w:rsid w:val="7EEBDC24"/>
    <w:rsid w:val="7EECBDFB"/>
    <w:rsid w:val="7EFEAA92"/>
    <w:rsid w:val="7F2A2585"/>
    <w:rsid w:val="7F818FD2"/>
    <w:rsid w:val="7FBC52F0"/>
    <w:rsid w:val="7FBD8B02"/>
    <w:rsid w:val="7FEF43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9E317"/>
  <w15:docId w15:val="{020AC8BB-A629-4E5E-9ABB-842C01E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8D7"/>
  </w:style>
  <w:style w:type="paragraph" w:styleId="Heading1">
    <w:name w:val="heading 1"/>
    <w:basedOn w:val="Normal"/>
    <w:next w:val="Normal"/>
    <w:link w:val="Heading1Char"/>
    <w:uiPriority w:val="9"/>
    <w:qFormat/>
    <w:rsid w:val="004F525B"/>
    <w:pPr>
      <w:keepNext/>
      <w:keepLines/>
      <w:spacing w:before="400" w:after="40" w:line="240" w:lineRule="auto"/>
      <w:outlineLvl w:val="0"/>
    </w:pPr>
    <w:rPr>
      <w:rFonts w:asciiTheme="majorHAnsi" w:eastAsiaTheme="majorEastAsia" w:hAnsiTheme="majorHAnsi" w:cstheme="majorBidi"/>
      <w:color w:val="5A4B9A" w:themeColor="accent1"/>
      <w:sz w:val="36"/>
      <w:szCs w:val="36"/>
    </w:rPr>
  </w:style>
  <w:style w:type="paragraph" w:styleId="Heading2">
    <w:name w:val="heading 2"/>
    <w:basedOn w:val="Normal"/>
    <w:next w:val="Normal"/>
    <w:link w:val="Heading2Char"/>
    <w:uiPriority w:val="9"/>
    <w:unhideWhenUsed/>
    <w:qFormat/>
    <w:rsid w:val="00393462"/>
    <w:pPr>
      <w:keepNext/>
      <w:keepLines/>
      <w:spacing w:before="80" w:after="40" w:line="240" w:lineRule="auto"/>
      <w:outlineLvl w:val="1"/>
    </w:pPr>
    <w:rPr>
      <w:rFonts w:asciiTheme="majorHAnsi" w:eastAsiaTheme="majorEastAsia" w:hAnsiTheme="majorHAnsi" w:cstheme="majorBidi"/>
      <w:color w:val="312C62" w:themeColor="text2"/>
      <w:sz w:val="32"/>
      <w:szCs w:val="32"/>
    </w:rPr>
  </w:style>
  <w:style w:type="paragraph" w:styleId="Heading3">
    <w:name w:val="heading 3"/>
    <w:basedOn w:val="Normal"/>
    <w:next w:val="Normal"/>
    <w:link w:val="Heading3Char"/>
    <w:uiPriority w:val="9"/>
    <w:unhideWhenUsed/>
    <w:qFormat/>
    <w:rsid w:val="00393462"/>
    <w:pPr>
      <w:keepNext/>
      <w:keepLines/>
      <w:spacing w:before="80" w:after="40" w:line="240" w:lineRule="auto"/>
      <w:outlineLvl w:val="2"/>
    </w:pPr>
    <w:rPr>
      <w:rFonts w:asciiTheme="majorHAnsi" w:eastAsiaTheme="majorEastAsia" w:hAnsiTheme="majorHAnsi" w:cstheme="majorBidi"/>
      <w:color w:val="312C62" w:themeColor="text2"/>
      <w:sz w:val="28"/>
      <w:szCs w:val="28"/>
    </w:rPr>
  </w:style>
  <w:style w:type="paragraph" w:styleId="Heading4">
    <w:name w:val="heading 4"/>
    <w:basedOn w:val="Normal"/>
    <w:next w:val="Normal"/>
    <w:link w:val="Heading4Char"/>
    <w:uiPriority w:val="9"/>
    <w:unhideWhenUsed/>
    <w:qFormat/>
    <w:rsid w:val="004F525B"/>
    <w:pPr>
      <w:keepNext/>
      <w:keepLines/>
      <w:spacing w:before="40" w:after="0"/>
      <w:outlineLvl w:val="3"/>
    </w:pPr>
    <w:rPr>
      <w:rFonts w:asciiTheme="majorHAnsi" w:eastAsiaTheme="majorEastAsia" w:hAnsiTheme="majorHAnsi" w:cstheme="majorBidi"/>
      <w:color w:val="433873" w:themeColor="accent1" w:themeShade="BF"/>
      <w:sz w:val="24"/>
      <w:szCs w:val="24"/>
    </w:rPr>
  </w:style>
  <w:style w:type="paragraph" w:styleId="Heading5">
    <w:name w:val="heading 5"/>
    <w:basedOn w:val="Normal"/>
    <w:next w:val="Normal"/>
    <w:link w:val="Heading5Char"/>
    <w:uiPriority w:val="9"/>
    <w:semiHidden/>
    <w:unhideWhenUsed/>
    <w:qFormat/>
    <w:rsid w:val="004F525B"/>
    <w:pPr>
      <w:keepNext/>
      <w:keepLines/>
      <w:spacing w:before="40" w:after="0"/>
      <w:outlineLvl w:val="4"/>
    </w:pPr>
    <w:rPr>
      <w:rFonts w:asciiTheme="majorHAnsi" w:eastAsiaTheme="majorEastAsia" w:hAnsiTheme="majorHAnsi" w:cstheme="majorBidi"/>
      <w:caps/>
      <w:color w:val="433873" w:themeColor="accent1" w:themeShade="BF"/>
    </w:rPr>
  </w:style>
  <w:style w:type="paragraph" w:styleId="Heading6">
    <w:name w:val="heading 6"/>
    <w:basedOn w:val="Normal"/>
    <w:next w:val="Normal"/>
    <w:link w:val="Heading6Char"/>
    <w:uiPriority w:val="9"/>
    <w:semiHidden/>
    <w:unhideWhenUsed/>
    <w:qFormat/>
    <w:rsid w:val="004F525B"/>
    <w:pPr>
      <w:keepNext/>
      <w:keepLines/>
      <w:spacing w:before="40" w:after="0"/>
      <w:outlineLvl w:val="5"/>
    </w:pPr>
    <w:rPr>
      <w:rFonts w:asciiTheme="majorHAnsi" w:eastAsiaTheme="majorEastAsia" w:hAnsiTheme="majorHAnsi" w:cstheme="majorBidi"/>
      <w:i/>
      <w:iCs/>
      <w:caps/>
      <w:color w:val="2D254D" w:themeColor="accent1" w:themeShade="80"/>
    </w:rPr>
  </w:style>
  <w:style w:type="paragraph" w:styleId="Heading7">
    <w:name w:val="heading 7"/>
    <w:basedOn w:val="Normal"/>
    <w:next w:val="Normal"/>
    <w:link w:val="Heading7Char"/>
    <w:uiPriority w:val="9"/>
    <w:semiHidden/>
    <w:unhideWhenUsed/>
    <w:qFormat/>
    <w:rsid w:val="004F525B"/>
    <w:pPr>
      <w:keepNext/>
      <w:keepLines/>
      <w:spacing w:before="40" w:after="0"/>
      <w:outlineLvl w:val="6"/>
    </w:pPr>
    <w:rPr>
      <w:rFonts w:asciiTheme="majorHAnsi" w:eastAsiaTheme="majorEastAsia" w:hAnsiTheme="majorHAnsi" w:cstheme="majorBidi"/>
      <w:b/>
      <w:bCs/>
      <w:color w:val="2D254D" w:themeColor="accent1" w:themeShade="80"/>
    </w:rPr>
  </w:style>
  <w:style w:type="paragraph" w:styleId="Heading8">
    <w:name w:val="heading 8"/>
    <w:basedOn w:val="Normal"/>
    <w:next w:val="Normal"/>
    <w:link w:val="Heading8Char"/>
    <w:uiPriority w:val="9"/>
    <w:semiHidden/>
    <w:unhideWhenUsed/>
    <w:qFormat/>
    <w:rsid w:val="004F525B"/>
    <w:pPr>
      <w:keepNext/>
      <w:keepLines/>
      <w:spacing w:before="40" w:after="0"/>
      <w:outlineLvl w:val="7"/>
    </w:pPr>
    <w:rPr>
      <w:rFonts w:asciiTheme="majorHAnsi" w:eastAsiaTheme="majorEastAsia" w:hAnsiTheme="majorHAnsi" w:cstheme="majorBidi"/>
      <w:b/>
      <w:bCs/>
      <w:i/>
      <w:iCs/>
      <w:color w:val="2D254D" w:themeColor="accent1" w:themeShade="80"/>
    </w:rPr>
  </w:style>
  <w:style w:type="paragraph" w:styleId="Heading9">
    <w:name w:val="heading 9"/>
    <w:basedOn w:val="Normal"/>
    <w:next w:val="Normal"/>
    <w:link w:val="Heading9Char"/>
    <w:uiPriority w:val="9"/>
    <w:semiHidden/>
    <w:unhideWhenUsed/>
    <w:qFormat/>
    <w:rsid w:val="004F525B"/>
    <w:pPr>
      <w:keepNext/>
      <w:keepLines/>
      <w:spacing w:before="40" w:after="0"/>
      <w:outlineLvl w:val="8"/>
    </w:pPr>
    <w:rPr>
      <w:rFonts w:asciiTheme="majorHAnsi" w:eastAsiaTheme="majorEastAsia" w:hAnsiTheme="majorHAnsi" w:cstheme="majorBidi"/>
      <w:i/>
      <w:iCs/>
      <w:color w:val="2D254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6BD3"/>
    <w:pPr>
      <w:spacing w:after="240" w:line="204" w:lineRule="auto"/>
      <w:contextualSpacing/>
    </w:pPr>
    <w:rPr>
      <w:rFonts w:asciiTheme="majorHAnsi" w:eastAsiaTheme="majorEastAsia" w:hAnsiTheme="majorHAnsi" w:cstheme="majorBidi"/>
      <w:color w:val="FFFFFF" w:themeColor="background1"/>
      <w:spacing w:val="-15"/>
      <w:sz w:val="96"/>
      <w:szCs w:val="72"/>
    </w:rPr>
  </w:style>
  <w:style w:type="character" w:customStyle="1" w:styleId="TitleChar">
    <w:name w:val="Title Char"/>
    <w:basedOn w:val="DefaultParagraphFont"/>
    <w:link w:val="Title"/>
    <w:uiPriority w:val="10"/>
    <w:rsid w:val="00BD6BD3"/>
    <w:rPr>
      <w:rFonts w:asciiTheme="majorHAnsi" w:eastAsiaTheme="majorEastAsia" w:hAnsiTheme="majorHAnsi" w:cstheme="majorBidi"/>
      <w:color w:val="FFFFFF" w:themeColor="background1"/>
      <w:spacing w:val="-15"/>
      <w:sz w:val="96"/>
      <w:szCs w:val="72"/>
    </w:rPr>
  </w:style>
  <w:style w:type="paragraph" w:styleId="Subtitle">
    <w:name w:val="Subtitle"/>
    <w:basedOn w:val="Normal"/>
    <w:next w:val="Normal"/>
    <w:link w:val="SubtitleChar"/>
    <w:uiPriority w:val="11"/>
    <w:qFormat/>
    <w:rsid w:val="004F525B"/>
    <w:pPr>
      <w:numPr>
        <w:ilvl w:val="1"/>
      </w:numPr>
      <w:spacing w:after="240" w:line="240" w:lineRule="auto"/>
    </w:pPr>
    <w:rPr>
      <w:rFonts w:asciiTheme="majorHAnsi" w:eastAsiaTheme="majorEastAsia" w:hAnsiTheme="majorHAnsi" w:cstheme="majorBidi"/>
      <w:color w:val="5A4B9A" w:themeColor="accent1"/>
      <w:sz w:val="28"/>
      <w:szCs w:val="28"/>
    </w:rPr>
  </w:style>
  <w:style w:type="character" w:customStyle="1" w:styleId="SubtitleChar">
    <w:name w:val="Subtitle Char"/>
    <w:basedOn w:val="DefaultParagraphFont"/>
    <w:link w:val="Subtitle"/>
    <w:uiPriority w:val="11"/>
    <w:rsid w:val="004F525B"/>
    <w:rPr>
      <w:rFonts w:asciiTheme="majorHAnsi" w:eastAsiaTheme="majorEastAsia" w:hAnsiTheme="majorHAnsi" w:cstheme="majorBidi"/>
      <w:color w:val="5A4B9A" w:themeColor="accent1"/>
      <w:sz w:val="28"/>
      <w:szCs w:val="28"/>
    </w:rPr>
  </w:style>
  <w:style w:type="paragraph" w:customStyle="1" w:styleId="Paragraph">
    <w:name w:val="Paragraph"/>
    <w:basedOn w:val="Normal"/>
    <w:rsid w:val="004F525B"/>
    <w:pPr>
      <w:spacing w:after="240" w:line="240" w:lineRule="exact"/>
    </w:pPr>
  </w:style>
  <w:style w:type="character" w:styleId="Hyperlink">
    <w:name w:val="Hyperlink"/>
    <w:uiPriority w:val="99"/>
    <w:rsid w:val="00862031"/>
    <w:rPr>
      <w:color w:val="5A4B9A" w:themeColor="accent1"/>
      <w:u w:val="single"/>
    </w:rPr>
  </w:style>
  <w:style w:type="paragraph" w:styleId="Header">
    <w:name w:val="header"/>
    <w:basedOn w:val="Normal"/>
    <w:link w:val="HeaderChar"/>
    <w:uiPriority w:val="99"/>
    <w:rsid w:val="004C454C"/>
    <w:pPr>
      <w:spacing w:before="120" w:after="120"/>
    </w:pPr>
    <w:rPr>
      <w:rFonts w:eastAsia="Times New Roman" w:cs="Times New Roman"/>
      <w:color w:val="652D89"/>
      <w:sz w:val="28"/>
      <w:szCs w:val="24"/>
    </w:rPr>
  </w:style>
  <w:style w:type="character" w:customStyle="1" w:styleId="HeaderChar">
    <w:name w:val="Header Char"/>
    <w:basedOn w:val="DefaultParagraphFont"/>
    <w:link w:val="Header"/>
    <w:uiPriority w:val="99"/>
    <w:rsid w:val="004C454C"/>
    <w:rPr>
      <w:rFonts w:eastAsia="Times New Roman" w:cs="Times New Roman"/>
      <w:color w:val="652D89"/>
      <w:sz w:val="28"/>
      <w:szCs w:val="24"/>
    </w:rPr>
  </w:style>
  <w:style w:type="paragraph" w:customStyle="1" w:styleId="Char">
    <w:name w:val="Char"/>
    <w:basedOn w:val="Normal"/>
    <w:locked/>
    <w:rsid w:val="004C454C"/>
    <w:pPr>
      <w:spacing w:line="240" w:lineRule="exact"/>
    </w:pPr>
    <w:rPr>
      <w:rFonts w:ascii="Tahoma" w:eastAsia="Times New Roman" w:hAnsi="Tahoma" w:cs="Tahoma"/>
      <w:szCs w:val="20"/>
      <w:lang w:val="en-US"/>
    </w:rPr>
  </w:style>
  <w:style w:type="paragraph" w:styleId="FootnoteText">
    <w:name w:val="footnote text"/>
    <w:basedOn w:val="Normal"/>
    <w:link w:val="FootnoteTextChar"/>
    <w:uiPriority w:val="99"/>
    <w:rsid w:val="004C454C"/>
    <w:pPr>
      <w:spacing w:after="0"/>
    </w:pPr>
    <w:rPr>
      <w:rFonts w:eastAsia="Times New Roman" w:cs="Times New Roman"/>
      <w:szCs w:val="20"/>
    </w:rPr>
  </w:style>
  <w:style w:type="character" w:customStyle="1" w:styleId="FootnoteTextChar">
    <w:name w:val="Footnote Text Char"/>
    <w:basedOn w:val="DefaultParagraphFont"/>
    <w:link w:val="FootnoteText"/>
    <w:uiPriority w:val="99"/>
    <w:rsid w:val="004C454C"/>
    <w:rPr>
      <w:rFonts w:eastAsia="Times New Roman" w:cs="Times New Roman"/>
      <w:szCs w:val="20"/>
    </w:rPr>
  </w:style>
  <w:style w:type="character" w:styleId="FootnoteReference">
    <w:name w:val="footnote reference"/>
    <w:semiHidden/>
    <w:rsid w:val="004C454C"/>
    <w:rPr>
      <w:vertAlign w:val="superscript"/>
    </w:rPr>
  </w:style>
  <w:style w:type="paragraph" w:customStyle="1" w:styleId="Default">
    <w:name w:val="Default"/>
    <w:rsid w:val="004C454C"/>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lang w:eastAsia="en-GB"/>
    </w:rPr>
  </w:style>
  <w:style w:type="character" w:customStyle="1" w:styleId="Heading1Char">
    <w:name w:val="Heading 1 Char"/>
    <w:basedOn w:val="DefaultParagraphFont"/>
    <w:link w:val="Heading1"/>
    <w:uiPriority w:val="9"/>
    <w:rsid w:val="004F525B"/>
    <w:rPr>
      <w:rFonts w:asciiTheme="majorHAnsi" w:eastAsiaTheme="majorEastAsia" w:hAnsiTheme="majorHAnsi" w:cstheme="majorBidi"/>
      <w:color w:val="5A4B9A" w:themeColor="accent1"/>
      <w:sz w:val="36"/>
      <w:szCs w:val="36"/>
    </w:rPr>
  </w:style>
  <w:style w:type="character" w:customStyle="1" w:styleId="Heading2Char">
    <w:name w:val="Heading 2 Char"/>
    <w:basedOn w:val="DefaultParagraphFont"/>
    <w:link w:val="Heading2"/>
    <w:uiPriority w:val="9"/>
    <w:rsid w:val="00393462"/>
    <w:rPr>
      <w:rFonts w:asciiTheme="majorHAnsi" w:eastAsiaTheme="majorEastAsia" w:hAnsiTheme="majorHAnsi" w:cstheme="majorBidi"/>
      <w:color w:val="312C62" w:themeColor="text2"/>
      <w:sz w:val="32"/>
      <w:szCs w:val="32"/>
    </w:rPr>
  </w:style>
  <w:style w:type="paragraph" w:customStyle="1" w:styleId="Bullet">
    <w:name w:val="Bullet"/>
    <w:basedOn w:val="Paragraph"/>
    <w:rsid w:val="00793613"/>
    <w:pPr>
      <w:numPr>
        <w:numId w:val="1"/>
      </w:numPr>
      <w:autoSpaceDE w:val="0"/>
      <w:autoSpaceDN w:val="0"/>
      <w:adjustRightInd w:val="0"/>
      <w:ind w:left="567" w:hanging="567"/>
    </w:pPr>
    <w:rPr>
      <w:rFonts w:cs="Frutiger LT Std 45 Light"/>
      <w:bCs/>
      <w:szCs w:val="20"/>
    </w:rPr>
  </w:style>
  <w:style w:type="paragraph" w:customStyle="1" w:styleId="Subbullet">
    <w:name w:val="Sub bullet"/>
    <w:basedOn w:val="Bullet"/>
    <w:rsid w:val="00793613"/>
    <w:pPr>
      <w:numPr>
        <w:numId w:val="2"/>
      </w:numPr>
      <w:ind w:left="1134" w:hanging="567"/>
    </w:pPr>
  </w:style>
  <w:style w:type="paragraph" w:styleId="Footer">
    <w:name w:val="footer"/>
    <w:basedOn w:val="Normal"/>
    <w:link w:val="FooterChar"/>
    <w:uiPriority w:val="99"/>
    <w:unhideWhenUsed/>
    <w:rsid w:val="00124868"/>
    <w:pPr>
      <w:tabs>
        <w:tab w:val="center" w:pos="4513"/>
        <w:tab w:val="right" w:pos="9026"/>
      </w:tabs>
      <w:spacing w:after="0"/>
    </w:pPr>
  </w:style>
  <w:style w:type="character" w:customStyle="1" w:styleId="FooterChar">
    <w:name w:val="Footer Char"/>
    <w:basedOn w:val="DefaultParagraphFont"/>
    <w:link w:val="Footer"/>
    <w:uiPriority w:val="99"/>
    <w:rsid w:val="00124868"/>
  </w:style>
  <w:style w:type="paragraph" w:styleId="BalloonText">
    <w:name w:val="Balloon Text"/>
    <w:basedOn w:val="Normal"/>
    <w:link w:val="BalloonTextChar"/>
    <w:uiPriority w:val="99"/>
    <w:semiHidden/>
    <w:unhideWhenUsed/>
    <w:rsid w:val="00124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68"/>
    <w:rPr>
      <w:rFonts w:ascii="Tahoma" w:hAnsi="Tahoma" w:cs="Tahoma"/>
      <w:sz w:val="16"/>
      <w:szCs w:val="16"/>
    </w:rPr>
  </w:style>
  <w:style w:type="character" w:customStyle="1" w:styleId="Heading3Char">
    <w:name w:val="Heading 3 Char"/>
    <w:basedOn w:val="DefaultParagraphFont"/>
    <w:link w:val="Heading3"/>
    <w:uiPriority w:val="9"/>
    <w:rsid w:val="00393462"/>
    <w:rPr>
      <w:rFonts w:asciiTheme="majorHAnsi" w:eastAsiaTheme="majorEastAsia" w:hAnsiTheme="majorHAnsi" w:cstheme="majorBidi"/>
      <w:color w:val="312C62" w:themeColor="text2"/>
      <w:sz w:val="28"/>
      <w:szCs w:val="28"/>
    </w:rPr>
  </w:style>
  <w:style w:type="character" w:customStyle="1" w:styleId="Heading4Char">
    <w:name w:val="Heading 4 Char"/>
    <w:basedOn w:val="DefaultParagraphFont"/>
    <w:link w:val="Heading4"/>
    <w:uiPriority w:val="9"/>
    <w:rsid w:val="004F525B"/>
    <w:rPr>
      <w:rFonts w:asciiTheme="majorHAnsi" w:eastAsiaTheme="majorEastAsia" w:hAnsiTheme="majorHAnsi" w:cstheme="majorBidi"/>
      <w:color w:val="433873" w:themeColor="accent1" w:themeShade="BF"/>
      <w:sz w:val="24"/>
      <w:szCs w:val="24"/>
    </w:rPr>
  </w:style>
  <w:style w:type="character" w:customStyle="1" w:styleId="Heading5Char">
    <w:name w:val="Heading 5 Char"/>
    <w:basedOn w:val="DefaultParagraphFont"/>
    <w:link w:val="Heading5"/>
    <w:uiPriority w:val="9"/>
    <w:semiHidden/>
    <w:rsid w:val="004F525B"/>
    <w:rPr>
      <w:rFonts w:asciiTheme="majorHAnsi" w:eastAsiaTheme="majorEastAsia" w:hAnsiTheme="majorHAnsi" w:cstheme="majorBidi"/>
      <w:caps/>
      <w:color w:val="433873" w:themeColor="accent1" w:themeShade="BF"/>
    </w:rPr>
  </w:style>
  <w:style w:type="character" w:customStyle="1" w:styleId="Heading6Char">
    <w:name w:val="Heading 6 Char"/>
    <w:basedOn w:val="DefaultParagraphFont"/>
    <w:link w:val="Heading6"/>
    <w:uiPriority w:val="9"/>
    <w:semiHidden/>
    <w:rsid w:val="004F525B"/>
    <w:rPr>
      <w:rFonts w:asciiTheme="majorHAnsi" w:eastAsiaTheme="majorEastAsia" w:hAnsiTheme="majorHAnsi" w:cstheme="majorBidi"/>
      <w:i/>
      <w:iCs/>
      <w:caps/>
      <w:color w:val="2D254D" w:themeColor="accent1" w:themeShade="80"/>
    </w:rPr>
  </w:style>
  <w:style w:type="character" w:customStyle="1" w:styleId="Heading7Char">
    <w:name w:val="Heading 7 Char"/>
    <w:basedOn w:val="DefaultParagraphFont"/>
    <w:link w:val="Heading7"/>
    <w:uiPriority w:val="9"/>
    <w:semiHidden/>
    <w:rsid w:val="004F525B"/>
    <w:rPr>
      <w:rFonts w:asciiTheme="majorHAnsi" w:eastAsiaTheme="majorEastAsia" w:hAnsiTheme="majorHAnsi" w:cstheme="majorBidi"/>
      <w:b/>
      <w:bCs/>
      <w:color w:val="2D254D" w:themeColor="accent1" w:themeShade="80"/>
    </w:rPr>
  </w:style>
  <w:style w:type="character" w:customStyle="1" w:styleId="Heading8Char">
    <w:name w:val="Heading 8 Char"/>
    <w:basedOn w:val="DefaultParagraphFont"/>
    <w:link w:val="Heading8"/>
    <w:uiPriority w:val="9"/>
    <w:semiHidden/>
    <w:rsid w:val="004F525B"/>
    <w:rPr>
      <w:rFonts w:asciiTheme="majorHAnsi" w:eastAsiaTheme="majorEastAsia" w:hAnsiTheme="majorHAnsi" w:cstheme="majorBidi"/>
      <w:b/>
      <w:bCs/>
      <w:i/>
      <w:iCs/>
      <w:color w:val="2D254D" w:themeColor="accent1" w:themeShade="80"/>
    </w:rPr>
  </w:style>
  <w:style w:type="character" w:customStyle="1" w:styleId="Heading9Char">
    <w:name w:val="Heading 9 Char"/>
    <w:basedOn w:val="DefaultParagraphFont"/>
    <w:link w:val="Heading9"/>
    <w:uiPriority w:val="9"/>
    <w:semiHidden/>
    <w:rsid w:val="004F525B"/>
    <w:rPr>
      <w:rFonts w:asciiTheme="majorHAnsi" w:eastAsiaTheme="majorEastAsia" w:hAnsiTheme="majorHAnsi" w:cstheme="majorBidi"/>
      <w:i/>
      <w:iCs/>
      <w:color w:val="2D254D" w:themeColor="accent1" w:themeShade="80"/>
    </w:rPr>
  </w:style>
  <w:style w:type="paragraph" w:styleId="Caption">
    <w:name w:val="caption"/>
    <w:basedOn w:val="Normal"/>
    <w:next w:val="Normal"/>
    <w:uiPriority w:val="35"/>
    <w:semiHidden/>
    <w:unhideWhenUsed/>
    <w:qFormat/>
    <w:rsid w:val="004F525B"/>
    <w:pPr>
      <w:spacing w:line="240" w:lineRule="auto"/>
    </w:pPr>
    <w:rPr>
      <w:b/>
      <w:bCs/>
      <w:smallCaps/>
      <w:color w:val="312C62" w:themeColor="text2"/>
    </w:rPr>
  </w:style>
  <w:style w:type="character" w:styleId="Strong">
    <w:name w:val="Strong"/>
    <w:basedOn w:val="DefaultParagraphFont"/>
    <w:uiPriority w:val="22"/>
    <w:qFormat/>
    <w:rsid w:val="004F525B"/>
    <w:rPr>
      <w:b/>
      <w:bCs/>
    </w:rPr>
  </w:style>
  <w:style w:type="character" w:styleId="Emphasis">
    <w:name w:val="Emphasis"/>
    <w:basedOn w:val="DefaultParagraphFont"/>
    <w:uiPriority w:val="20"/>
    <w:qFormat/>
    <w:rsid w:val="004F525B"/>
    <w:rPr>
      <w:i/>
      <w:iCs/>
    </w:rPr>
  </w:style>
  <w:style w:type="paragraph" w:styleId="NoSpacing">
    <w:name w:val="No Spacing"/>
    <w:uiPriority w:val="1"/>
    <w:qFormat/>
    <w:rsid w:val="004F525B"/>
    <w:pPr>
      <w:spacing w:after="0" w:line="240" w:lineRule="auto"/>
    </w:pPr>
  </w:style>
  <w:style w:type="paragraph" w:styleId="Quote">
    <w:name w:val="Quote"/>
    <w:basedOn w:val="Normal"/>
    <w:next w:val="Normal"/>
    <w:link w:val="QuoteChar"/>
    <w:uiPriority w:val="29"/>
    <w:qFormat/>
    <w:rsid w:val="004F525B"/>
    <w:pPr>
      <w:spacing w:before="120" w:after="120"/>
      <w:ind w:left="720"/>
    </w:pPr>
    <w:rPr>
      <w:color w:val="312C62" w:themeColor="text2"/>
      <w:sz w:val="24"/>
      <w:szCs w:val="24"/>
    </w:rPr>
  </w:style>
  <w:style w:type="character" w:customStyle="1" w:styleId="QuoteChar">
    <w:name w:val="Quote Char"/>
    <w:basedOn w:val="DefaultParagraphFont"/>
    <w:link w:val="Quote"/>
    <w:uiPriority w:val="29"/>
    <w:rsid w:val="004F525B"/>
    <w:rPr>
      <w:color w:val="312C62" w:themeColor="text2"/>
      <w:sz w:val="24"/>
      <w:szCs w:val="24"/>
    </w:rPr>
  </w:style>
  <w:style w:type="paragraph" w:styleId="IntenseQuote">
    <w:name w:val="Intense Quote"/>
    <w:basedOn w:val="Normal"/>
    <w:next w:val="Normal"/>
    <w:link w:val="IntenseQuoteChar"/>
    <w:uiPriority w:val="30"/>
    <w:qFormat/>
    <w:rsid w:val="004F525B"/>
    <w:pPr>
      <w:spacing w:before="100" w:beforeAutospacing="1" w:after="240" w:line="240" w:lineRule="auto"/>
      <w:ind w:left="720"/>
      <w:jc w:val="center"/>
    </w:pPr>
    <w:rPr>
      <w:rFonts w:asciiTheme="majorHAnsi" w:eastAsiaTheme="majorEastAsia" w:hAnsiTheme="majorHAnsi" w:cstheme="majorBidi"/>
      <w:color w:val="312C62" w:themeColor="text2"/>
      <w:spacing w:val="-6"/>
      <w:sz w:val="32"/>
      <w:szCs w:val="32"/>
    </w:rPr>
  </w:style>
  <w:style w:type="character" w:customStyle="1" w:styleId="IntenseQuoteChar">
    <w:name w:val="Intense Quote Char"/>
    <w:basedOn w:val="DefaultParagraphFont"/>
    <w:link w:val="IntenseQuote"/>
    <w:uiPriority w:val="30"/>
    <w:rsid w:val="004F525B"/>
    <w:rPr>
      <w:rFonts w:asciiTheme="majorHAnsi" w:eastAsiaTheme="majorEastAsia" w:hAnsiTheme="majorHAnsi" w:cstheme="majorBidi"/>
      <w:color w:val="312C62" w:themeColor="text2"/>
      <w:spacing w:val="-6"/>
      <w:sz w:val="32"/>
      <w:szCs w:val="32"/>
    </w:rPr>
  </w:style>
  <w:style w:type="character" w:styleId="SubtleEmphasis">
    <w:name w:val="Subtle Emphasis"/>
    <w:basedOn w:val="DefaultParagraphFont"/>
    <w:uiPriority w:val="19"/>
    <w:qFormat/>
    <w:rsid w:val="004F525B"/>
    <w:rPr>
      <w:i/>
      <w:iCs/>
      <w:color w:val="595959" w:themeColor="text1" w:themeTint="A6"/>
    </w:rPr>
  </w:style>
  <w:style w:type="character" w:styleId="IntenseEmphasis">
    <w:name w:val="Intense Emphasis"/>
    <w:basedOn w:val="DefaultParagraphFont"/>
    <w:uiPriority w:val="21"/>
    <w:qFormat/>
    <w:rsid w:val="004F525B"/>
    <w:rPr>
      <w:b/>
      <w:bCs/>
      <w:i/>
      <w:iCs/>
    </w:rPr>
  </w:style>
  <w:style w:type="character" w:styleId="SubtleReference">
    <w:name w:val="Subtle Reference"/>
    <w:basedOn w:val="DefaultParagraphFont"/>
    <w:uiPriority w:val="31"/>
    <w:qFormat/>
    <w:rsid w:val="004F52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525B"/>
    <w:rPr>
      <w:b/>
      <w:bCs/>
      <w:smallCaps/>
      <w:color w:val="312C62" w:themeColor="text2"/>
      <w:u w:val="single"/>
    </w:rPr>
  </w:style>
  <w:style w:type="character" w:styleId="BookTitle">
    <w:name w:val="Book Title"/>
    <w:basedOn w:val="DefaultParagraphFont"/>
    <w:uiPriority w:val="33"/>
    <w:qFormat/>
    <w:rsid w:val="004F525B"/>
    <w:rPr>
      <w:b/>
      <w:bCs/>
      <w:smallCaps/>
      <w:spacing w:val="10"/>
    </w:rPr>
  </w:style>
  <w:style w:type="paragraph" w:styleId="TOCHeading">
    <w:name w:val="TOC Heading"/>
    <w:basedOn w:val="Heading1"/>
    <w:next w:val="Normal"/>
    <w:uiPriority w:val="39"/>
    <w:unhideWhenUsed/>
    <w:qFormat/>
    <w:rsid w:val="004F525B"/>
    <w:pPr>
      <w:outlineLvl w:val="9"/>
    </w:pPr>
  </w:style>
  <w:style w:type="paragraph" w:styleId="TOC1">
    <w:name w:val="toc 1"/>
    <w:basedOn w:val="Normal"/>
    <w:next w:val="Normal"/>
    <w:autoRedefine/>
    <w:uiPriority w:val="39"/>
    <w:unhideWhenUsed/>
    <w:rsid w:val="004F525B"/>
    <w:pPr>
      <w:spacing w:after="100"/>
    </w:pPr>
  </w:style>
  <w:style w:type="paragraph" w:styleId="TOC2">
    <w:name w:val="toc 2"/>
    <w:basedOn w:val="Normal"/>
    <w:next w:val="Normal"/>
    <w:autoRedefine/>
    <w:uiPriority w:val="39"/>
    <w:unhideWhenUsed/>
    <w:rsid w:val="00A0658B"/>
    <w:pPr>
      <w:tabs>
        <w:tab w:val="right" w:leader="dot" w:pos="8779"/>
      </w:tabs>
      <w:spacing w:after="100"/>
      <w:ind w:left="220"/>
    </w:pPr>
  </w:style>
  <w:style w:type="paragraph" w:styleId="TOC3">
    <w:name w:val="toc 3"/>
    <w:basedOn w:val="Normal"/>
    <w:next w:val="Normal"/>
    <w:autoRedefine/>
    <w:uiPriority w:val="39"/>
    <w:unhideWhenUsed/>
    <w:rsid w:val="004F525B"/>
    <w:pPr>
      <w:spacing w:after="100"/>
      <w:ind w:left="440"/>
    </w:pPr>
  </w:style>
  <w:style w:type="character" w:customStyle="1" w:styleId="UnresolvedMention1">
    <w:name w:val="Unresolved Mention1"/>
    <w:basedOn w:val="DefaultParagraphFont"/>
    <w:uiPriority w:val="99"/>
    <w:semiHidden/>
    <w:unhideWhenUsed/>
    <w:rsid w:val="00862031"/>
    <w:rPr>
      <w:color w:val="605E5C"/>
      <w:shd w:val="clear" w:color="auto" w:fill="E1DFDD"/>
    </w:rPr>
  </w:style>
  <w:style w:type="paragraph" w:styleId="PlainText">
    <w:name w:val="Plain Text"/>
    <w:basedOn w:val="Normal"/>
    <w:link w:val="PlainTextChar"/>
    <w:uiPriority w:val="99"/>
    <w:unhideWhenUsed/>
    <w:rsid w:val="00D22BB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D22BBF"/>
    <w:rPr>
      <w:rFonts w:ascii="Calibri" w:eastAsiaTheme="minorHAnsi" w:hAnsi="Calibri"/>
      <w:szCs w:val="21"/>
    </w:rPr>
  </w:style>
  <w:style w:type="table" w:styleId="TableGrid">
    <w:name w:val="Table Grid"/>
    <w:basedOn w:val="TableNormal"/>
    <w:uiPriority w:val="39"/>
    <w:rsid w:val="00DA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LH,List Paragraph1,Main-bullets,Dot pt,List Paragraph2,MAIN CONTENT,List Paragraph12,F5 List Paragraph,Bullet Points,Recommendatio,Numbered Para 1,No Spacing1,List Paragraph Char Char Char,Indicator Text,List Paragraph11"/>
    <w:basedOn w:val="Normal"/>
    <w:link w:val="ListParagraphChar"/>
    <w:uiPriority w:val="34"/>
    <w:qFormat/>
    <w:rsid w:val="00EB0A03"/>
    <w:pPr>
      <w:ind w:left="720"/>
      <w:contextualSpacing/>
    </w:pPr>
  </w:style>
  <w:style w:type="paragraph" w:styleId="Revision">
    <w:name w:val="Revision"/>
    <w:hidden/>
    <w:uiPriority w:val="99"/>
    <w:semiHidden/>
    <w:rsid w:val="00BC0F7F"/>
    <w:pPr>
      <w:spacing w:after="0" w:line="240" w:lineRule="auto"/>
    </w:pPr>
  </w:style>
  <w:style w:type="character" w:styleId="CommentReference">
    <w:name w:val="annotation reference"/>
    <w:basedOn w:val="DefaultParagraphFont"/>
    <w:uiPriority w:val="99"/>
    <w:semiHidden/>
    <w:unhideWhenUsed/>
    <w:rsid w:val="00BC0F7F"/>
    <w:rPr>
      <w:sz w:val="16"/>
      <w:szCs w:val="16"/>
    </w:rPr>
  </w:style>
  <w:style w:type="paragraph" w:styleId="CommentText">
    <w:name w:val="annotation text"/>
    <w:basedOn w:val="Normal"/>
    <w:link w:val="CommentTextChar"/>
    <w:uiPriority w:val="99"/>
    <w:unhideWhenUsed/>
    <w:rsid w:val="00BC0F7F"/>
    <w:pPr>
      <w:spacing w:line="240" w:lineRule="auto"/>
    </w:pPr>
    <w:rPr>
      <w:sz w:val="20"/>
      <w:szCs w:val="20"/>
    </w:rPr>
  </w:style>
  <w:style w:type="character" w:customStyle="1" w:styleId="CommentTextChar">
    <w:name w:val="Comment Text Char"/>
    <w:basedOn w:val="DefaultParagraphFont"/>
    <w:link w:val="CommentText"/>
    <w:uiPriority w:val="99"/>
    <w:rsid w:val="00BC0F7F"/>
    <w:rPr>
      <w:sz w:val="20"/>
      <w:szCs w:val="20"/>
    </w:rPr>
  </w:style>
  <w:style w:type="paragraph" w:styleId="CommentSubject">
    <w:name w:val="annotation subject"/>
    <w:basedOn w:val="CommentText"/>
    <w:next w:val="CommentText"/>
    <w:link w:val="CommentSubjectChar"/>
    <w:uiPriority w:val="99"/>
    <w:semiHidden/>
    <w:unhideWhenUsed/>
    <w:rsid w:val="00BC0F7F"/>
    <w:rPr>
      <w:b/>
      <w:bCs/>
    </w:rPr>
  </w:style>
  <w:style w:type="character" w:customStyle="1" w:styleId="CommentSubjectChar">
    <w:name w:val="Comment Subject Char"/>
    <w:basedOn w:val="CommentTextChar"/>
    <w:link w:val="CommentSubject"/>
    <w:uiPriority w:val="99"/>
    <w:semiHidden/>
    <w:rsid w:val="00BC0F7F"/>
    <w:rPr>
      <w:b/>
      <w:bCs/>
      <w:sz w:val="20"/>
      <w:szCs w:val="20"/>
    </w:rPr>
  </w:style>
  <w:style w:type="character" w:customStyle="1" w:styleId="ListParagraphChar">
    <w:name w:val="List Paragraph Char"/>
    <w:aliases w:val="List Paragraph LH Char,List Paragraph1 Char,Main-bullets Char,Dot pt Char,List Paragraph2 Char,MAIN CONTENT Char,List Paragraph12 Char,F5 List Paragraph Char,Bullet Points Char,Recommendatio Char,Numbered Para 1 Char,No Spacing1 Char"/>
    <w:link w:val="ListParagraph"/>
    <w:uiPriority w:val="34"/>
    <w:qFormat/>
    <w:locked/>
    <w:rsid w:val="00AA0A4C"/>
  </w:style>
  <w:style w:type="paragraph" w:customStyle="1" w:styleId="KNCIPFAHeading1">
    <w:name w:val="KN CIPFA Heading 1"/>
    <w:basedOn w:val="PlainText"/>
    <w:qFormat/>
    <w:rsid w:val="002A1ACA"/>
    <w:pPr>
      <w:pageBreakBefore/>
      <w:numPr>
        <w:numId w:val="3"/>
      </w:numPr>
      <w:spacing w:before="120" w:after="360"/>
    </w:pPr>
    <w:rPr>
      <w:rFonts w:ascii="Verdana" w:hAnsi="Verdana"/>
      <w:b/>
      <w:color w:val="7030A0"/>
      <w:sz w:val="32"/>
      <w:szCs w:val="36"/>
    </w:rPr>
  </w:style>
  <w:style w:type="paragraph" w:customStyle="1" w:styleId="KNCIPFAText2">
    <w:name w:val="KN CIPFA Text 2"/>
    <w:basedOn w:val="Normal"/>
    <w:link w:val="KNCIPFAText2Char"/>
    <w:qFormat/>
    <w:rsid w:val="002A1ACA"/>
    <w:pPr>
      <w:numPr>
        <w:ilvl w:val="1"/>
        <w:numId w:val="3"/>
      </w:numPr>
      <w:spacing w:before="120" w:after="120" w:line="276" w:lineRule="auto"/>
      <w:jc w:val="both"/>
    </w:pPr>
    <w:rPr>
      <w:rFonts w:ascii="Verdana" w:eastAsiaTheme="minorHAnsi" w:hAnsi="Verdana"/>
      <w:sz w:val="20"/>
      <w:szCs w:val="20"/>
    </w:rPr>
  </w:style>
  <w:style w:type="character" w:customStyle="1" w:styleId="KNCIPFAText2Char">
    <w:name w:val="KN CIPFA Text 2 Char"/>
    <w:basedOn w:val="DefaultParagraphFont"/>
    <w:link w:val="KNCIPFAText2"/>
    <w:rsid w:val="002A1ACA"/>
    <w:rPr>
      <w:rFonts w:ascii="Verdana" w:eastAsiaTheme="minorHAnsi" w:hAnsi="Verdana"/>
      <w:sz w:val="20"/>
      <w:szCs w:val="20"/>
    </w:rPr>
  </w:style>
  <w:style w:type="table" w:styleId="GridTable1Light-Accent2">
    <w:name w:val="Grid Table 1 Light Accent 2"/>
    <w:basedOn w:val="TableNormal"/>
    <w:uiPriority w:val="46"/>
    <w:rsid w:val="00451C21"/>
    <w:pPr>
      <w:spacing w:after="0" w:line="240" w:lineRule="auto"/>
    </w:pPr>
    <w:tblPr>
      <w:tblStyleRowBandSize w:val="1"/>
      <w:tblStyleColBandSize w:val="1"/>
      <w:tblBorders>
        <w:top w:val="single" w:sz="4" w:space="0" w:color="F6B8B3" w:themeColor="accent2" w:themeTint="66"/>
        <w:left w:val="single" w:sz="4" w:space="0" w:color="F6B8B3" w:themeColor="accent2" w:themeTint="66"/>
        <w:bottom w:val="single" w:sz="4" w:space="0" w:color="F6B8B3" w:themeColor="accent2" w:themeTint="66"/>
        <w:right w:val="single" w:sz="4" w:space="0" w:color="F6B8B3" w:themeColor="accent2" w:themeTint="66"/>
        <w:insideH w:val="single" w:sz="4" w:space="0" w:color="F6B8B3" w:themeColor="accent2" w:themeTint="66"/>
        <w:insideV w:val="single" w:sz="4" w:space="0" w:color="F6B8B3" w:themeColor="accent2" w:themeTint="66"/>
      </w:tblBorders>
    </w:tblPr>
    <w:tblStylePr w:type="firstRow">
      <w:rPr>
        <w:b/>
        <w:bCs/>
      </w:rPr>
      <w:tblPr/>
      <w:tcPr>
        <w:tcBorders>
          <w:bottom w:val="single" w:sz="12" w:space="0" w:color="F2958D" w:themeColor="accent2" w:themeTint="99"/>
        </w:tcBorders>
      </w:tcPr>
    </w:tblStylePr>
    <w:tblStylePr w:type="lastRow">
      <w:rPr>
        <w:b/>
        <w:bCs/>
      </w:rPr>
      <w:tblPr/>
      <w:tcPr>
        <w:tcBorders>
          <w:top w:val="double" w:sz="2" w:space="0" w:color="F2958D" w:themeColor="accent2" w:themeTint="99"/>
        </w:tcBorders>
      </w:tcPr>
    </w:tblStylePr>
    <w:tblStylePr w:type="firstCol">
      <w:rPr>
        <w:b/>
        <w:bCs/>
      </w:rPr>
    </w:tblStylePr>
    <w:tblStylePr w:type="lastCol">
      <w:rPr>
        <w:b/>
        <w:bCs/>
      </w:rPr>
    </w:tblStylePr>
  </w:style>
  <w:style w:type="paragraph" w:customStyle="1" w:styleId="ODPMLevel1">
    <w:name w:val="ODPM Level 1"/>
    <w:basedOn w:val="Normal"/>
    <w:rsid w:val="006A4CA7"/>
    <w:pPr>
      <w:tabs>
        <w:tab w:val="left" w:pos="-720"/>
      </w:tabs>
      <w:suppressAutoHyphens/>
      <w:spacing w:after="240" w:line="240" w:lineRule="auto"/>
    </w:pPr>
    <w:rPr>
      <w:rFonts w:ascii="Arial" w:eastAsia="Times New Roman" w:hAnsi="Arial" w:cs="Times New Roman"/>
      <w:spacing w:val="-2"/>
      <w:sz w:val="24"/>
      <w:szCs w:val="20"/>
      <w:lang w:eastAsia="en-GB"/>
    </w:rPr>
  </w:style>
  <w:style w:type="paragraph" w:customStyle="1" w:styleId="xmsolistparagraph">
    <w:name w:val="x_msolistparagraph"/>
    <w:basedOn w:val="Normal"/>
    <w:rsid w:val="00420E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73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1336B9"/>
  </w:style>
  <w:style w:type="paragraph" w:customStyle="1" w:styleId="xmsonormal">
    <w:name w:val="x_msonormal"/>
    <w:basedOn w:val="Normal"/>
    <w:rsid w:val="00BE0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43A"/>
  </w:style>
  <w:style w:type="table" w:customStyle="1" w:styleId="TableGrid1">
    <w:name w:val="Table Grid1"/>
    <w:basedOn w:val="TableNormal"/>
    <w:next w:val="TableGrid"/>
    <w:rsid w:val="005515B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customStyle="1" w:styleId="DecimalAligned">
    <w:name w:val="Decimal Aligned"/>
    <w:basedOn w:val="Normal"/>
    <w:uiPriority w:val="40"/>
    <w:qFormat/>
    <w:rsid w:val="004168D1"/>
    <w:pPr>
      <w:tabs>
        <w:tab w:val="decimal" w:pos="360"/>
      </w:tabs>
      <w:spacing w:after="200" w:line="276" w:lineRule="auto"/>
    </w:pPr>
    <w:rPr>
      <w:rFonts w:cs="Times New Roman"/>
      <w:lang w:val="en-US"/>
    </w:rPr>
  </w:style>
  <w:style w:type="table" w:styleId="LightShading-Accent1">
    <w:name w:val="Light Shading Accent 1"/>
    <w:basedOn w:val="TableNormal"/>
    <w:uiPriority w:val="60"/>
    <w:rsid w:val="004168D1"/>
    <w:pPr>
      <w:spacing w:after="0" w:line="240" w:lineRule="auto"/>
    </w:pPr>
    <w:rPr>
      <w:color w:val="433873" w:themeColor="accent1" w:themeShade="BF"/>
      <w:lang w:val="en-US"/>
    </w:rPr>
    <w:tblPr>
      <w:tblStyleRowBandSize w:val="1"/>
      <w:tblStyleColBandSize w:val="1"/>
      <w:tblBorders>
        <w:top w:val="single" w:sz="8" w:space="0" w:color="5A4B9A" w:themeColor="accent1"/>
        <w:bottom w:val="single" w:sz="8" w:space="0" w:color="5A4B9A" w:themeColor="accent1"/>
      </w:tblBorders>
    </w:tblPr>
    <w:tblStylePr w:type="firstRow">
      <w:pPr>
        <w:spacing w:before="0" w:after="0" w:line="240" w:lineRule="auto"/>
      </w:pPr>
      <w:rPr>
        <w:b/>
        <w:bCs/>
      </w:rPr>
      <w:tblPr/>
      <w:tcPr>
        <w:tcBorders>
          <w:top w:val="single" w:sz="8" w:space="0" w:color="5A4B9A" w:themeColor="accent1"/>
          <w:left w:val="nil"/>
          <w:bottom w:val="single" w:sz="8" w:space="0" w:color="5A4B9A" w:themeColor="accent1"/>
          <w:right w:val="nil"/>
          <w:insideH w:val="nil"/>
          <w:insideV w:val="nil"/>
        </w:tcBorders>
      </w:tcPr>
    </w:tblStylePr>
    <w:tblStylePr w:type="lastRow">
      <w:pPr>
        <w:spacing w:before="0" w:after="0" w:line="240" w:lineRule="auto"/>
      </w:pPr>
      <w:rPr>
        <w:b/>
        <w:bCs/>
      </w:rPr>
      <w:tblPr/>
      <w:tcPr>
        <w:tcBorders>
          <w:top w:val="single" w:sz="8" w:space="0" w:color="5A4B9A" w:themeColor="accent1"/>
          <w:left w:val="nil"/>
          <w:bottom w:val="single" w:sz="8" w:space="0" w:color="5A4B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0E8" w:themeFill="accent1" w:themeFillTint="3F"/>
      </w:tcPr>
    </w:tblStylePr>
    <w:tblStylePr w:type="band1Horz">
      <w:tblPr/>
      <w:tcPr>
        <w:tcBorders>
          <w:left w:val="nil"/>
          <w:right w:val="nil"/>
          <w:insideH w:val="nil"/>
          <w:insideV w:val="nil"/>
        </w:tcBorders>
        <w:shd w:val="clear" w:color="auto" w:fill="D4D0E8" w:themeFill="accent1" w:themeFillTint="3F"/>
      </w:tcPr>
    </w:tblStylePr>
  </w:style>
  <w:style w:type="table" w:customStyle="1" w:styleId="Calendar2">
    <w:name w:val="Calendar 2"/>
    <w:basedOn w:val="TableNormal"/>
    <w:uiPriority w:val="99"/>
    <w:qFormat/>
    <w:rsid w:val="003D3FE9"/>
    <w:pPr>
      <w:spacing w:after="0" w:line="240" w:lineRule="auto"/>
      <w:jc w:val="center"/>
    </w:pPr>
    <w:rPr>
      <w:sz w:val="28"/>
      <w:szCs w:val="28"/>
      <w:lang w:val="en-US"/>
    </w:rPr>
    <w:tblPr>
      <w:tblBorders>
        <w:insideV w:val="single" w:sz="4" w:space="0" w:color="988DC7" w:themeColor="accent1" w:themeTint="99"/>
      </w:tblBorders>
    </w:tblPr>
    <w:tblStylePr w:type="firstRow">
      <w:rPr>
        <w:rFonts w:asciiTheme="majorHAnsi" w:hAnsiTheme="majorHAnsi"/>
        <w:b w:val="0"/>
        <w:i w:val="0"/>
        <w:caps/>
        <w:smallCaps w:val="0"/>
        <w:color w:val="5A4B9A"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76">
      <w:bodyDiv w:val="1"/>
      <w:marLeft w:val="0"/>
      <w:marRight w:val="0"/>
      <w:marTop w:val="0"/>
      <w:marBottom w:val="0"/>
      <w:divBdr>
        <w:top w:val="none" w:sz="0" w:space="0" w:color="auto"/>
        <w:left w:val="none" w:sz="0" w:space="0" w:color="auto"/>
        <w:bottom w:val="none" w:sz="0" w:space="0" w:color="auto"/>
        <w:right w:val="none" w:sz="0" w:space="0" w:color="auto"/>
      </w:divBdr>
    </w:div>
    <w:div w:id="30304321">
      <w:bodyDiv w:val="1"/>
      <w:marLeft w:val="0"/>
      <w:marRight w:val="0"/>
      <w:marTop w:val="0"/>
      <w:marBottom w:val="0"/>
      <w:divBdr>
        <w:top w:val="none" w:sz="0" w:space="0" w:color="auto"/>
        <w:left w:val="none" w:sz="0" w:space="0" w:color="auto"/>
        <w:bottom w:val="none" w:sz="0" w:space="0" w:color="auto"/>
        <w:right w:val="none" w:sz="0" w:space="0" w:color="auto"/>
      </w:divBdr>
    </w:div>
    <w:div w:id="57368966">
      <w:bodyDiv w:val="1"/>
      <w:marLeft w:val="0"/>
      <w:marRight w:val="0"/>
      <w:marTop w:val="0"/>
      <w:marBottom w:val="0"/>
      <w:divBdr>
        <w:top w:val="none" w:sz="0" w:space="0" w:color="auto"/>
        <w:left w:val="none" w:sz="0" w:space="0" w:color="auto"/>
        <w:bottom w:val="none" w:sz="0" w:space="0" w:color="auto"/>
        <w:right w:val="none" w:sz="0" w:space="0" w:color="auto"/>
      </w:divBdr>
    </w:div>
    <w:div w:id="93286404">
      <w:bodyDiv w:val="1"/>
      <w:marLeft w:val="0"/>
      <w:marRight w:val="0"/>
      <w:marTop w:val="0"/>
      <w:marBottom w:val="0"/>
      <w:divBdr>
        <w:top w:val="none" w:sz="0" w:space="0" w:color="auto"/>
        <w:left w:val="none" w:sz="0" w:space="0" w:color="auto"/>
        <w:bottom w:val="none" w:sz="0" w:space="0" w:color="auto"/>
        <w:right w:val="none" w:sz="0" w:space="0" w:color="auto"/>
      </w:divBdr>
    </w:div>
    <w:div w:id="261498830">
      <w:bodyDiv w:val="1"/>
      <w:marLeft w:val="0"/>
      <w:marRight w:val="0"/>
      <w:marTop w:val="0"/>
      <w:marBottom w:val="0"/>
      <w:divBdr>
        <w:top w:val="none" w:sz="0" w:space="0" w:color="auto"/>
        <w:left w:val="none" w:sz="0" w:space="0" w:color="auto"/>
        <w:bottom w:val="none" w:sz="0" w:space="0" w:color="auto"/>
        <w:right w:val="none" w:sz="0" w:space="0" w:color="auto"/>
      </w:divBdr>
    </w:div>
    <w:div w:id="289484375">
      <w:bodyDiv w:val="1"/>
      <w:marLeft w:val="0"/>
      <w:marRight w:val="0"/>
      <w:marTop w:val="0"/>
      <w:marBottom w:val="0"/>
      <w:divBdr>
        <w:top w:val="none" w:sz="0" w:space="0" w:color="auto"/>
        <w:left w:val="none" w:sz="0" w:space="0" w:color="auto"/>
        <w:bottom w:val="none" w:sz="0" w:space="0" w:color="auto"/>
        <w:right w:val="none" w:sz="0" w:space="0" w:color="auto"/>
      </w:divBdr>
    </w:div>
    <w:div w:id="302854776">
      <w:bodyDiv w:val="1"/>
      <w:marLeft w:val="0"/>
      <w:marRight w:val="0"/>
      <w:marTop w:val="0"/>
      <w:marBottom w:val="0"/>
      <w:divBdr>
        <w:top w:val="none" w:sz="0" w:space="0" w:color="auto"/>
        <w:left w:val="none" w:sz="0" w:space="0" w:color="auto"/>
        <w:bottom w:val="none" w:sz="0" w:space="0" w:color="auto"/>
        <w:right w:val="none" w:sz="0" w:space="0" w:color="auto"/>
      </w:divBdr>
    </w:div>
    <w:div w:id="320082793">
      <w:bodyDiv w:val="1"/>
      <w:marLeft w:val="0"/>
      <w:marRight w:val="0"/>
      <w:marTop w:val="0"/>
      <w:marBottom w:val="0"/>
      <w:divBdr>
        <w:top w:val="none" w:sz="0" w:space="0" w:color="auto"/>
        <w:left w:val="none" w:sz="0" w:space="0" w:color="auto"/>
        <w:bottom w:val="none" w:sz="0" w:space="0" w:color="auto"/>
        <w:right w:val="none" w:sz="0" w:space="0" w:color="auto"/>
      </w:divBdr>
      <w:divsChild>
        <w:div w:id="648482896">
          <w:marLeft w:val="547"/>
          <w:marRight w:val="0"/>
          <w:marTop w:val="240"/>
          <w:marBottom w:val="240"/>
          <w:divBdr>
            <w:top w:val="none" w:sz="0" w:space="0" w:color="auto"/>
            <w:left w:val="none" w:sz="0" w:space="0" w:color="auto"/>
            <w:bottom w:val="none" w:sz="0" w:space="0" w:color="auto"/>
            <w:right w:val="none" w:sz="0" w:space="0" w:color="auto"/>
          </w:divBdr>
        </w:div>
        <w:div w:id="944924745">
          <w:marLeft w:val="547"/>
          <w:marRight w:val="0"/>
          <w:marTop w:val="240"/>
          <w:marBottom w:val="240"/>
          <w:divBdr>
            <w:top w:val="none" w:sz="0" w:space="0" w:color="auto"/>
            <w:left w:val="none" w:sz="0" w:space="0" w:color="auto"/>
            <w:bottom w:val="none" w:sz="0" w:space="0" w:color="auto"/>
            <w:right w:val="none" w:sz="0" w:space="0" w:color="auto"/>
          </w:divBdr>
        </w:div>
        <w:div w:id="1056472684">
          <w:marLeft w:val="1627"/>
          <w:marRight w:val="0"/>
          <w:marTop w:val="120"/>
          <w:marBottom w:val="120"/>
          <w:divBdr>
            <w:top w:val="none" w:sz="0" w:space="0" w:color="auto"/>
            <w:left w:val="none" w:sz="0" w:space="0" w:color="auto"/>
            <w:bottom w:val="none" w:sz="0" w:space="0" w:color="auto"/>
            <w:right w:val="none" w:sz="0" w:space="0" w:color="auto"/>
          </w:divBdr>
        </w:div>
        <w:div w:id="1356350111">
          <w:marLeft w:val="547"/>
          <w:marRight w:val="0"/>
          <w:marTop w:val="240"/>
          <w:marBottom w:val="240"/>
          <w:divBdr>
            <w:top w:val="none" w:sz="0" w:space="0" w:color="auto"/>
            <w:left w:val="none" w:sz="0" w:space="0" w:color="auto"/>
            <w:bottom w:val="none" w:sz="0" w:space="0" w:color="auto"/>
            <w:right w:val="none" w:sz="0" w:space="0" w:color="auto"/>
          </w:divBdr>
        </w:div>
        <w:div w:id="1433042293">
          <w:marLeft w:val="547"/>
          <w:marRight w:val="0"/>
          <w:marTop w:val="240"/>
          <w:marBottom w:val="240"/>
          <w:divBdr>
            <w:top w:val="none" w:sz="0" w:space="0" w:color="auto"/>
            <w:left w:val="none" w:sz="0" w:space="0" w:color="auto"/>
            <w:bottom w:val="none" w:sz="0" w:space="0" w:color="auto"/>
            <w:right w:val="none" w:sz="0" w:space="0" w:color="auto"/>
          </w:divBdr>
        </w:div>
        <w:div w:id="1544630226">
          <w:marLeft w:val="1627"/>
          <w:marRight w:val="0"/>
          <w:marTop w:val="120"/>
          <w:marBottom w:val="120"/>
          <w:divBdr>
            <w:top w:val="none" w:sz="0" w:space="0" w:color="auto"/>
            <w:left w:val="none" w:sz="0" w:space="0" w:color="auto"/>
            <w:bottom w:val="none" w:sz="0" w:space="0" w:color="auto"/>
            <w:right w:val="none" w:sz="0" w:space="0" w:color="auto"/>
          </w:divBdr>
        </w:div>
        <w:div w:id="1580406617">
          <w:marLeft w:val="1627"/>
          <w:marRight w:val="0"/>
          <w:marTop w:val="120"/>
          <w:marBottom w:val="120"/>
          <w:divBdr>
            <w:top w:val="none" w:sz="0" w:space="0" w:color="auto"/>
            <w:left w:val="none" w:sz="0" w:space="0" w:color="auto"/>
            <w:bottom w:val="none" w:sz="0" w:space="0" w:color="auto"/>
            <w:right w:val="none" w:sz="0" w:space="0" w:color="auto"/>
          </w:divBdr>
        </w:div>
      </w:divsChild>
    </w:div>
    <w:div w:id="344747259">
      <w:bodyDiv w:val="1"/>
      <w:marLeft w:val="0"/>
      <w:marRight w:val="0"/>
      <w:marTop w:val="0"/>
      <w:marBottom w:val="0"/>
      <w:divBdr>
        <w:top w:val="none" w:sz="0" w:space="0" w:color="auto"/>
        <w:left w:val="none" w:sz="0" w:space="0" w:color="auto"/>
        <w:bottom w:val="none" w:sz="0" w:space="0" w:color="auto"/>
        <w:right w:val="none" w:sz="0" w:space="0" w:color="auto"/>
      </w:divBdr>
    </w:div>
    <w:div w:id="374890663">
      <w:bodyDiv w:val="1"/>
      <w:marLeft w:val="0"/>
      <w:marRight w:val="0"/>
      <w:marTop w:val="0"/>
      <w:marBottom w:val="0"/>
      <w:divBdr>
        <w:top w:val="none" w:sz="0" w:space="0" w:color="auto"/>
        <w:left w:val="none" w:sz="0" w:space="0" w:color="auto"/>
        <w:bottom w:val="none" w:sz="0" w:space="0" w:color="auto"/>
        <w:right w:val="none" w:sz="0" w:space="0" w:color="auto"/>
      </w:divBdr>
    </w:div>
    <w:div w:id="438187060">
      <w:bodyDiv w:val="1"/>
      <w:marLeft w:val="0"/>
      <w:marRight w:val="0"/>
      <w:marTop w:val="0"/>
      <w:marBottom w:val="0"/>
      <w:divBdr>
        <w:top w:val="none" w:sz="0" w:space="0" w:color="auto"/>
        <w:left w:val="none" w:sz="0" w:space="0" w:color="auto"/>
        <w:bottom w:val="none" w:sz="0" w:space="0" w:color="auto"/>
        <w:right w:val="none" w:sz="0" w:space="0" w:color="auto"/>
      </w:divBdr>
      <w:divsChild>
        <w:div w:id="183592884">
          <w:marLeft w:val="547"/>
          <w:marRight w:val="0"/>
          <w:marTop w:val="0"/>
          <w:marBottom w:val="60"/>
          <w:divBdr>
            <w:top w:val="none" w:sz="0" w:space="0" w:color="auto"/>
            <w:left w:val="none" w:sz="0" w:space="0" w:color="auto"/>
            <w:bottom w:val="none" w:sz="0" w:space="0" w:color="auto"/>
            <w:right w:val="none" w:sz="0" w:space="0" w:color="auto"/>
          </w:divBdr>
        </w:div>
        <w:div w:id="372468364">
          <w:marLeft w:val="547"/>
          <w:marRight w:val="0"/>
          <w:marTop w:val="0"/>
          <w:marBottom w:val="60"/>
          <w:divBdr>
            <w:top w:val="none" w:sz="0" w:space="0" w:color="auto"/>
            <w:left w:val="none" w:sz="0" w:space="0" w:color="auto"/>
            <w:bottom w:val="none" w:sz="0" w:space="0" w:color="auto"/>
            <w:right w:val="none" w:sz="0" w:space="0" w:color="auto"/>
          </w:divBdr>
        </w:div>
        <w:div w:id="891112234">
          <w:marLeft w:val="446"/>
          <w:marRight w:val="0"/>
          <w:marTop w:val="0"/>
          <w:marBottom w:val="60"/>
          <w:divBdr>
            <w:top w:val="none" w:sz="0" w:space="0" w:color="auto"/>
            <w:left w:val="none" w:sz="0" w:space="0" w:color="auto"/>
            <w:bottom w:val="none" w:sz="0" w:space="0" w:color="auto"/>
            <w:right w:val="none" w:sz="0" w:space="0" w:color="auto"/>
          </w:divBdr>
        </w:div>
        <w:div w:id="1354529601">
          <w:marLeft w:val="446"/>
          <w:marRight w:val="0"/>
          <w:marTop w:val="0"/>
          <w:marBottom w:val="60"/>
          <w:divBdr>
            <w:top w:val="none" w:sz="0" w:space="0" w:color="auto"/>
            <w:left w:val="none" w:sz="0" w:space="0" w:color="auto"/>
            <w:bottom w:val="none" w:sz="0" w:space="0" w:color="auto"/>
            <w:right w:val="none" w:sz="0" w:space="0" w:color="auto"/>
          </w:divBdr>
        </w:div>
        <w:div w:id="1645281903">
          <w:marLeft w:val="547"/>
          <w:marRight w:val="0"/>
          <w:marTop w:val="0"/>
          <w:marBottom w:val="60"/>
          <w:divBdr>
            <w:top w:val="none" w:sz="0" w:space="0" w:color="auto"/>
            <w:left w:val="none" w:sz="0" w:space="0" w:color="auto"/>
            <w:bottom w:val="none" w:sz="0" w:space="0" w:color="auto"/>
            <w:right w:val="none" w:sz="0" w:space="0" w:color="auto"/>
          </w:divBdr>
        </w:div>
        <w:div w:id="1668707170">
          <w:marLeft w:val="446"/>
          <w:marRight w:val="0"/>
          <w:marTop w:val="0"/>
          <w:marBottom w:val="60"/>
          <w:divBdr>
            <w:top w:val="none" w:sz="0" w:space="0" w:color="auto"/>
            <w:left w:val="none" w:sz="0" w:space="0" w:color="auto"/>
            <w:bottom w:val="none" w:sz="0" w:space="0" w:color="auto"/>
            <w:right w:val="none" w:sz="0" w:space="0" w:color="auto"/>
          </w:divBdr>
        </w:div>
      </w:divsChild>
    </w:div>
    <w:div w:id="487792403">
      <w:bodyDiv w:val="1"/>
      <w:marLeft w:val="0"/>
      <w:marRight w:val="0"/>
      <w:marTop w:val="0"/>
      <w:marBottom w:val="0"/>
      <w:divBdr>
        <w:top w:val="none" w:sz="0" w:space="0" w:color="auto"/>
        <w:left w:val="none" w:sz="0" w:space="0" w:color="auto"/>
        <w:bottom w:val="none" w:sz="0" w:space="0" w:color="auto"/>
        <w:right w:val="none" w:sz="0" w:space="0" w:color="auto"/>
      </w:divBdr>
    </w:div>
    <w:div w:id="549264797">
      <w:bodyDiv w:val="1"/>
      <w:marLeft w:val="0"/>
      <w:marRight w:val="0"/>
      <w:marTop w:val="0"/>
      <w:marBottom w:val="0"/>
      <w:divBdr>
        <w:top w:val="none" w:sz="0" w:space="0" w:color="auto"/>
        <w:left w:val="none" w:sz="0" w:space="0" w:color="auto"/>
        <w:bottom w:val="none" w:sz="0" w:space="0" w:color="auto"/>
        <w:right w:val="none" w:sz="0" w:space="0" w:color="auto"/>
      </w:divBdr>
    </w:div>
    <w:div w:id="552231208">
      <w:bodyDiv w:val="1"/>
      <w:marLeft w:val="0"/>
      <w:marRight w:val="0"/>
      <w:marTop w:val="0"/>
      <w:marBottom w:val="0"/>
      <w:divBdr>
        <w:top w:val="none" w:sz="0" w:space="0" w:color="auto"/>
        <w:left w:val="none" w:sz="0" w:space="0" w:color="auto"/>
        <w:bottom w:val="none" w:sz="0" w:space="0" w:color="auto"/>
        <w:right w:val="none" w:sz="0" w:space="0" w:color="auto"/>
      </w:divBdr>
    </w:div>
    <w:div w:id="586234878">
      <w:bodyDiv w:val="1"/>
      <w:marLeft w:val="0"/>
      <w:marRight w:val="0"/>
      <w:marTop w:val="0"/>
      <w:marBottom w:val="0"/>
      <w:divBdr>
        <w:top w:val="none" w:sz="0" w:space="0" w:color="auto"/>
        <w:left w:val="none" w:sz="0" w:space="0" w:color="auto"/>
        <w:bottom w:val="none" w:sz="0" w:space="0" w:color="auto"/>
        <w:right w:val="none" w:sz="0" w:space="0" w:color="auto"/>
      </w:divBdr>
      <w:divsChild>
        <w:div w:id="90009392">
          <w:marLeft w:val="0"/>
          <w:marRight w:val="0"/>
          <w:marTop w:val="600"/>
          <w:marBottom w:val="0"/>
          <w:divBdr>
            <w:top w:val="none" w:sz="0" w:space="0" w:color="auto"/>
            <w:left w:val="none" w:sz="0" w:space="0" w:color="auto"/>
            <w:bottom w:val="none" w:sz="0" w:space="0" w:color="auto"/>
            <w:right w:val="none" w:sz="0" w:space="0" w:color="auto"/>
          </w:divBdr>
          <w:divsChild>
            <w:div w:id="3896595">
              <w:marLeft w:val="0"/>
              <w:marRight w:val="0"/>
              <w:marTop w:val="0"/>
              <w:marBottom w:val="0"/>
              <w:divBdr>
                <w:top w:val="single" w:sz="24" w:space="0" w:color="CCCCCC"/>
                <w:left w:val="none" w:sz="0" w:space="0" w:color="auto"/>
                <w:bottom w:val="none" w:sz="0" w:space="0" w:color="auto"/>
                <w:right w:val="none" w:sz="0" w:space="0" w:color="auto"/>
              </w:divBdr>
              <w:divsChild>
                <w:div w:id="20896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858">
          <w:marLeft w:val="0"/>
          <w:marRight w:val="0"/>
          <w:marTop w:val="600"/>
          <w:marBottom w:val="0"/>
          <w:divBdr>
            <w:top w:val="none" w:sz="0" w:space="0" w:color="auto"/>
            <w:left w:val="none" w:sz="0" w:space="0" w:color="auto"/>
            <w:bottom w:val="none" w:sz="0" w:space="0" w:color="auto"/>
            <w:right w:val="none" w:sz="0" w:space="0" w:color="auto"/>
          </w:divBdr>
          <w:divsChild>
            <w:div w:id="14003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7455">
      <w:bodyDiv w:val="1"/>
      <w:marLeft w:val="0"/>
      <w:marRight w:val="0"/>
      <w:marTop w:val="0"/>
      <w:marBottom w:val="0"/>
      <w:divBdr>
        <w:top w:val="none" w:sz="0" w:space="0" w:color="auto"/>
        <w:left w:val="none" w:sz="0" w:space="0" w:color="auto"/>
        <w:bottom w:val="none" w:sz="0" w:space="0" w:color="auto"/>
        <w:right w:val="none" w:sz="0" w:space="0" w:color="auto"/>
      </w:divBdr>
    </w:div>
    <w:div w:id="677578658">
      <w:bodyDiv w:val="1"/>
      <w:marLeft w:val="0"/>
      <w:marRight w:val="0"/>
      <w:marTop w:val="0"/>
      <w:marBottom w:val="0"/>
      <w:divBdr>
        <w:top w:val="none" w:sz="0" w:space="0" w:color="auto"/>
        <w:left w:val="none" w:sz="0" w:space="0" w:color="auto"/>
        <w:bottom w:val="none" w:sz="0" w:space="0" w:color="auto"/>
        <w:right w:val="none" w:sz="0" w:space="0" w:color="auto"/>
      </w:divBdr>
    </w:div>
    <w:div w:id="719944362">
      <w:bodyDiv w:val="1"/>
      <w:marLeft w:val="0"/>
      <w:marRight w:val="0"/>
      <w:marTop w:val="0"/>
      <w:marBottom w:val="0"/>
      <w:divBdr>
        <w:top w:val="none" w:sz="0" w:space="0" w:color="auto"/>
        <w:left w:val="none" w:sz="0" w:space="0" w:color="auto"/>
        <w:bottom w:val="none" w:sz="0" w:space="0" w:color="auto"/>
        <w:right w:val="none" w:sz="0" w:space="0" w:color="auto"/>
      </w:divBdr>
    </w:div>
    <w:div w:id="749540338">
      <w:bodyDiv w:val="1"/>
      <w:marLeft w:val="0"/>
      <w:marRight w:val="0"/>
      <w:marTop w:val="0"/>
      <w:marBottom w:val="0"/>
      <w:divBdr>
        <w:top w:val="none" w:sz="0" w:space="0" w:color="auto"/>
        <w:left w:val="none" w:sz="0" w:space="0" w:color="auto"/>
        <w:bottom w:val="none" w:sz="0" w:space="0" w:color="auto"/>
        <w:right w:val="none" w:sz="0" w:space="0" w:color="auto"/>
      </w:divBdr>
    </w:div>
    <w:div w:id="806972201">
      <w:bodyDiv w:val="1"/>
      <w:marLeft w:val="0"/>
      <w:marRight w:val="0"/>
      <w:marTop w:val="0"/>
      <w:marBottom w:val="0"/>
      <w:divBdr>
        <w:top w:val="none" w:sz="0" w:space="0" w:color="auto"/>
        <w:left w:val="none" w:sz="0" w:space="0" w:color="auto"/>
        <w:bottom w:val="none" w:sz="0" w:space="0" w:color="auto"/>
        <w:right w:val="none" w:sz="0" w:space="0" w:color="auto"/>
      </w:divBdr>
    </w:div>
    <w:div w:id="816805974">
      <w:bodyDiv w:val="1"/>
      <w:marLeft w:val="0"/>
      <w:marRight w:val="0"/>
      <w:marTop w:val="0"/>
      <w:marBottom w:val="0"/>
      <w:divBdr>
        <w:top w:val="none" w:sz="0" w:space="0" w:color="auto"/>
        <w:left w:val="none" w:sz="0" w:space="0" w:color="auto"/>
        <w:bottom w:val="none" w:sz="0" w:space="0" w:color="auto"/>
        <w:right w:val="none" w:sz="0" w:space="0" w:color="auto"/>
      </w:divBdr>
    </w:div>
    <w:div w:id="972755171">
      <w:bodyDiv w:val="1"/>
      <w:marLeft w:val="0"/>
      <w:marRight w:val="0"/>
      <w:marTop w:val="0"/>
      <w:marBottom w:val="0"/>
      <w:divBdr>
        <w:top w:val="none" w:sz="0" w:space="0" w:color="auto"/>
        <w:left w:val="none" w:sz="0" w:space="0" w:color="auto"/>
        <w:bottom w:val="none" w:sz="0" w:space="0" w:color="auto"/>
        <w:right w:val="none" w:sz="0" w:space="0" w:color="auto"/>
      </w:divBdr>
    </w:div>
    <w:div w:id="1062362497">
      <w:bodyDiv w:val="1"/>
      <w:marLeft w:val="0"/>
      <w:marRight w:val="0"/>
      <w:marTop w:val="0"/>
      <w:marBottom w:val="0"/>
      <w:divBdr>
        <w:top w:val="none" w:sz="0" w:space="0" w:color="auto"/>
        <w:left w:val="none" w:sz="0" w:space="0" w:color="auto"/>
        <w:bottom w:val="none" w:sz="0" w:space="0" w:color="auto"/>
        <w:right w:val="none" w:sz="0" w:space="0" w:color="auto"/>
      </w:divBdr>
    </w:div>
    <w:div w:id="1081178244">
      <w:bodyDiv w:val="1"/>
      <w:marLeft w:val="0"/>
      <w:marRight w:val="0"/>
      <w:marTop w:val="0"/>
      <w:marBottom w:val="0"/>
      <w:divBdr>
        <w:top w:val="none" w:sz="0" w:space="0" w:color="auto"/>
        <w:left w:val="none" w:sz="0" w:space="0" w:color="auto"/>
        <w:bottom w:val="none" w:sz="0" w:space="0" w:color="auto"/>
        <w:right w:val="none" w:sz="0" w:space="0" w:color="auto"/>
      </w:divBdr>
    </w:div>
    <w:div w:id="1147361699">
      <w:bodyDiv w:val="1"/>
      <w:marLeft w:val="0"/>
      <w:marRight w:val="0"/>
      <w:marTop w:val="0"/>
      <w:marBottom w:val="0"/>
      <w:divBdr>
        <w:top w:val="none" w:sz="0" w:space="0" w:color="auto"/>
        <w:left w:val="none" w:sz="0" w:space="0" w:color="auto"/>
        <w:bottom w:val="none" w:sz="0" w:space="0" w:color="auto"/>
        <w:right w:val="none" w:sz="0" w:space="0" w:color="auto"/>
      </w:divBdr>
    </w:div>
    <w:div w:id="1149443160">
      <w:bodyDiv w:val="1"/>
      <w:marLeft w:val="0"/>
      <w:marRight w:val="0"/>
      <w:marTop w:val="0"/>
      <w:marBottom w:val="0"/>
      <w:divBdr>
        <w:top w:val="none" w:sz="0" w:space="0" w:color="auto"/>
        <w:left w:val="none" w:sz="0" w:space="0" w:color="auto"/>
        <w:bottom w:val="none" w:sz="0" w:space="0" w:color="auto"/>
        <w:right w:val="none" w:sz="0" w:space="0" w:color="auto"/>
      </w:divBdr>
    </w:div>
    <w:div w:id="1152871443">
      <w:bodyDiv w:val="1"/>
      <w:marLeft w:val="0"/>
      <w:marRight w:val="0"/>
      <w:marTop w:val="0"/>
      <w:marBottom w:val="0"/>
      <w:divBdr>
        <w:top w:val="none" w:sz="0" w:space="0" w:color="auto"/>
        <w:left w:val="none" w:sz="0" w:space="0" w:color="auto"/>
        <w:bottom w:val="none" w:sz="0" w:space="0" w:color="auto"/>
        <w:right w:val="none" w:sz="0" w:space="0" w:color="auto"/>
      </w:divBdr>
      <w:divsChild>
        <w:div w:id="33124000">
          <w:marLeft w:val="446"/>
          <w:marRight w:val="0"/>
          <w:marTop w:val="0"/>
          <w:marBottom w:val="100"/>
          <w:divBdr>
            <w:top w:val="none" w:sz="0" w:space="0" w:color="auto"/>
            <w:left w:val="none" w:sz="0" w:space="0" w:color="auto"/>
            <w:bottom w:val="none" w:sz="0" w:space="0" w:color="auto"/>
            <w:right w:val="none" w:sz="0" w:space="0" w:color="auto"/>
          </w:divBdr>
        </w:div>
        <w:div w:id="840513361">
          <w:marLeft w:val="446"/>
          <w:marRight w:val="0"/>
          <w:marTop w:val="0"/>
          <w:marBottom w:val="100"/>
          <w:divBdr>
            <w:top w:val="none" w:sz="0" w:space="0" w:color="auto"/>
            <w:left w:val="none" w:sz="0" w:space="0" w:color="auto"/>
            <w:bottom w:val="none" w:sz="0" w:space="0" w:color="auto"/>
            <w:right w:val="none" w:sz="0" w:space="0" w:color="auto"/>
          </w:divBdr>
        </w:div>
      </w:divsChild>
    </w:div>
    <w:div w:id="1210338863">
      <w:bodyDiv w:val="1"/>
      <w:marLeft w:val="0"/>
      <w:marRight w:val="0"/>
      <w:marTop w:val="0"/>
      <w:marBottom w:val="0"/>
      <w:divBdr>
        <w:top w:val="none" w:sz="0" w:space="0" w:color="auto"/>
        <w:left w:val="none" w:sz="0" w:space="0" w:color="auto"/>
        <w:bottom w:val="none" w:sz="0" w:space="0" w:color="auto"/>
        <w:right w:val="none" w:sz="0" w:space="0" w:color="auto"/>
      </w:divBdr>
    </w:div>
    <w:div w:id="1301036158">
      <w:bodyDiv w:val="1"/>
      <w:marLeft w:val="0"/>
      <w:marRight w:val="0"/>
      <w:marTop w:val="0"/>
      <w:marBottom w:val="0"/>
      <w:divBdr>
        <w:top w:val="none" w:sz="0" w:space="0" w:color="auto"/>
        <w:left w:val="none" w:sz="0" w:space="0" w:color="auto"/>
        <w:bottom w:val="none" w:sz="0" w:space="0" w:color="auto"/>
        <w:right w:val="none" w:sz="0" w:space="0" w:color="auto"/>
      </w:divBdr>
    </w:div>
    <w:div w:id="1302346393">
      <w:bodyDiv w:val="1"/>
      <w:marLeft w:val="0"/>
      <w:marRight w:val="0"/>
      <w:marTop w:val="0"/>
      <w:marBottom w:val="0"/>
      <w:divBdr>
        <w:top w:val="none" w:sz="0" w:space="0" w:color="auto"/>
        <w:left w:val="none" w:sz="0" w:space="0" w:color="auto"/>
        <w:bottom w:val="none" w:sz="0" w:space="0" w:color="auto"/>
        <w:right w:val="none" w:sz="0" w:space="0" w:color="auto"/>
      </w:divBdr>
    </w:div>
    <w:div w:id="1334722555">
      <w:bodyDiv w:val="1"/>
      <w:marLeft w:val="0"/>
      <w:marRight w:val="0"/>
      <w:marTop w:val="0"/>
      <w:marBottom w:val="0"/>
      <w:divBdr>
        <w:top w:val="none" w:sz="0" w:space="0" w:color="auto"/>
        <w:left w:val="none" w:sz="0" w:space="0" w:color="auto"/>
        <w:bottom w:val="none" w:sz="0" w:space="0" w:color="auto"/>
        <w:right w:val="none" w:sz="0" w:space="0" w:color="auto"/>
      </w:divBdr>
    </w:div>
    <w:div w:id="1389958985">
      <w:bodyDiv w:val="1"/>
      <w:marLeft w:val="0"/>
      <w:marRight w:val="0"/>
      <w:marTop w:val="0"/>
      <w:marBottom w:val="0"/>
      <w:divBdr>
        <w:top w:val="none" w:sz="0" w:space="0" w:color="auto"/>
        <w:left w:val="none" w:sz="0" w:space="0" w:color="auto"/>
        <w:bottom w:val="none" w:sz="0" w:space="0" w:color="auto"/>
        <w:right w:val="none" w:sz="0" w:space="0" w:color="auto"/>
      </w:divBdr>
    </w:div>
    <w:div w:id="1472089960">
      <w:bodyDiv w:val="1"/>
      <w:marLeft w:val="0"/>
      <w:marRight w:val="0"/>
      <w:marTop w:val="0"/>
      <w:marBottom w:val="0"/>
      <w:divBdr>
        <w:top w:val="none" w:sz="0" w:space="0" w:color="auto"/>
        <w:left w:val="none" w:sz="0" w:space="0" w:color="auto"/>
        <w:bottom w:val="none" w:sz="0" w:space="0" w:color="auto"/>
        <w:right w:val="none" w:sz="0" w:space="0" w:color="auto"/>
      </w:divBdr>
    </w:div>
    <w:div w:id="1476408678">
      <w:bodyDiv w:val="1"/>
      <w:marLeft w:val="0"/>
      <w:marRight w:val="0"/>
      <w:marTop w:val="0"/>
      <w:marBottom w:val="0"/>
      <w:divBdr>
        <w:top w:val="none" w:sz="0" w:space="0" w:color="auto"/>
        <w:left w:val="none" w:sz="0" w:space="0" w:color="auto"/>
        <w:bottom w:val="none" w:sz="0" w:space="0" w:color="auto"/>
        <w:right w:val="none" w:sz="0" w:space="0" w:color="auto"/>
      </w:divBdr>
    </w:div>
    <w:div w:id="1495998528">
      <w:bodyDiv w:val="1"/>
      <w:marLeft w:val="0"/>
      <w:marRight w:val="0"/>
      <w:marTop w:val="0"/>
      <w:marBottom w:val="0"/>
      <w:divBdr>
        <w:top w:val="none" w:sz="0" w:space="0" w:color="auto"/>
        <w:left w:val="none" w:sz="0" w:space="0" w:color="auto"/>
        <w:bottom w:val="none" w:sz="0" w:space="0" w:color="auto"/>
        <w:right w:val="none" w:sz="0" w:space="0" w:color="auto"/>
      </w:divBdr>
      <w:divsChild>
        <w:div w:id="1621720649">
          <w:marLeft w:val="0"/>
          <w:marRight w:val="0"/>
          <w:marTop w:val="0"/>
          <w:marBottom w:val="0"/>
          <w:divBdr>
            <w:top w:val="none" w:sz="0" w:space="0" w:color="auto"/>
            <w:left w:val="none" w:sz="0" w:space="0" w:color="auto"/>
            <w:bottom w:val="none" w:sz="0" w:space="0" w:color="auto"/>
            <w:right w:val="none" w:sz="0" w:space="0" w:color="auto"/>
          </w:divBdr>
        </w:div>
      </w:divsChild>
    </w:div>
    <w:div w:id="1510094864">
      <w:bodyDiv w:val="1"/>
      <w:marLeft w:val="0"/>
      <w:marRight w:val="0"/>
      <w:marTop w:val="0"/>
      <w:marBottom w:val="0"/>
      <w:divBdr>
        <w:top w:val="none" w:sz="0" w:space="0" w:color="auto"/>
        <w:left w:val="none" w:sz="0" w:space="0" w:color="auto"/>
        <w:bottom w:val="none" w:sz="0" w:space="0" w:color="auto"/>
        <w:right w:val="none" w:sz="0" w:space="0" w:color="auto"/>
      </w:divBdr>
    </w:div>
    <w:div w:id="1531458758">
      <w:bodyDiv w:val="1"/>
      <w:marLeft w:val="0"/>
      <w:marRight w:val="0"/>
      <w:marTop w:val="0"/>
      <w:marBottom w:val="0"/>
      <w:divBdr>
        <w:top w:val="none" w:sz="0" w:space="0" w:color="auto"/>
        <w:left w:val="none" w:sz="0" w:space="0" w:color="auto"/>
        <w:bottom w:val="none" w:sz="0" w:space="0" w:color="auto"/>
        <w:right w:val="none" w:sz="0" w:space="0" w:color="auto"/>
      </w:divBdr>
    </w:div>
    <w:div w:id="1536893848">
      <w:bodyDiv w:val="1"/>
      <w:marLeft w:val="0"/>
      <w:marRight w:val="0"/>
      <w:marTop w:val="0"/>
      <w:marBottom w:val="0"/>
      <w:divBdr>
        <w:top w:val="none" w:sz="0" w:space="0" w:color="auto"/>
        <w:left w:val="none" w:sz="0" w:space="0" w:color="auto"/>
        <w:bottom w:val="none" w:sz="0" w:space="0" w:color="auto"/>
        <w:right w:val="none" w:sz="0" w:space="0" w:color="auto"/>
      </w:divBdr>
    </w:div>
    <w:div w:id="1563641364">
      <w:bodyDiv w:val="1"/>
      <w:marLeft w:val="0"/>
      <w:marRight w:val="0"/>
      <w:marTop w:val="0"/>
      <w:marBottom w:val="0"/>
      <w:divBdr>
        <w:top w:val="none" w:sz="0" w:space="0" w:color="auto"/>
        <w:left w:val="none" w:sz="0" w:space="0" w:color="auto"/>
        <w:bottom w:val="none" w:sz="0" w:space="0" w:color="auto"/>
        <w:right w:val="none" w:sz="0" w:space="0" w:color="auto"/>
      </w:divBdr>
      <w:divsChild>
        <w:div w:id="134569017">
          <w:marLeft w:val="547"/>
          <w:marRight w:val="0"/>
          <w:marTop w:val="120"/>
          <w:marBottom w:val="120"/>
          <w:divBdr>
            <w:top w:val="none" w:sz="0" w:space="0" w:color="auto"/>
            <w:left w:val="none" w:sz="0" w:space="0" w:color="auto"/>
            <w:bottom w:val="none" w:sz="0" w:space="0" w:color="auto"/>
            <w:right w:val="none" w:sz="0" w:space="0" w:color="auto"/>
          </w:divBdr>
        </w:div>
        <w:div w:id="319306631">
          <w:marLeft w:val="547"/>
          <w:marRight w:val="0"/>
          <w:marTop w:val="120"/>
          <w:marBottom w:val="120"/>
          <w:divBdr>
            <w:top w:val="none" w:sz="0" w:space="0" w:color="auto"/>
            <w:left w:val="none" w:sz="0" w:space="0" w:color="auto"/>
            <w:bottom w:val="none" w:sz="0" w:space="0" w:color="auto"/>
            <w:right w:val="none" w:sz="0" w:space="0" w:color="auto"/>
          </w:divBdr>
        </w:div>
        <w:div w:id="409422325">
          <w:marLeft w:val="547"/>
          <w:marRight w:val="0"/>
          <w:marTop w:val="120"/>
          <w:marBottom w:val="120"/>
          <w:divBdr>
            <w:top w:val="none" w:sz="0" w:space="0" w:color="auto"/>
            <w:left w:val="none" w:sz="0" w:space="0" w:color="auto"/>
            <w:bottom w:val="none" w:sz="0" w:space="0" w:color="auto"/>
            <w:right w:val="none" w:sz="0" w:space="0" w:color="auto"/>
          </w:divBdr>
        </w:div>
        <w:div w:id="442111977">
          <w:marLeft w:val="547"/>
          <w:marRight w:val="0"/>
          <w:marTop w:val="120"/>
          <w:marBottom w:val="120"/>
          <w:divBdr>
            <w:top w:val="none" w:sz="0" w:space="0" w:color="auto"/>
            <w:left w:val="none" w:sz="0" w:space="0" w:color="auto"/>
            <w:bottom w:val="none" w:sz="0" w:space="0" w:color="auto"/>
            <w:right w:val="none" w:sz="0" w:space="0" w:color="auto"/>
          </w:divBdr>
        </w:div>
        <w:div w:id="1148479301">
          <w:marLeft w:val="547"/>
          <w:marRight w:val="0"/>
          <w:marTop w:val="120"/>
          <w:marBottom w:val="120"/>
          <w:divBdr>
            <w:top w:val="none" w:sz="0" w:space="0" w:color="auto"/>
            <w:left w:val="none" w:sz="0" w:space="0" w:color="auto"/>
            <w:bottom w:val="none" w:sz="0" w:space="0" w:color="auto"/>
            <w:right w:val="none" w:sz="0" w:space="0" w:color="auto"/>
          </w:divBdr>
        </w:div>
        <w:div w:id="1898859539">
          <w:marLeft w:val="547"/>
          <w:marRight w:val="0"/>
          <w:marTop w:val="120"/>
          <w:marBottom w:val="120"/>
          <w:divBdr>
            <w:top w:val="none" w:sz="0" w:space="0" w:color="auto"/>
            <w:left w:val="none" w:sz="0" w:space="0" w:color="auto"/>
            <w:bottom w:val="none" w:sz="0" w:space="0" w:color="auto"/>
            <w:right w:val="none" w:sz="0" w:space="0" w:color="auto"/>
          </w:divBdr>
        </w:div>
      </w:divsChild>
    </w:div>
    <w:div w:id="1569536493">
      <w:bodyDiv w:val="1"/>
      <w:marLeft w:val="0"/>
      <w:marRight w:val="0"/>
      <w:marTop w:val="0"/>
      <w:marBottom w:val="0"/>
      <w:divBdr>
        <w:top w:val="none" w:sz="0" w:space="0" w:color="auto"/>
        <w:left w:val="none" w:sz="0" w:space="0" w:color="auto"/>
        <w:bottom w:val="none" w:sz="0" w:space="0" w:color="auto"/>
        <w:right w:val="none" w:sz="0" w:space="0" w:color="auto"/>
      </w:divBdr>
    </w:div>
    <w:div w:id="1644506129">
      <w:bodyDiv w:val="1"/>
      <w:marLeft w:val="0"/>
      <w:marRight w:val="0"/>
      <w:marTop w:val="0"/>
      <w:marBottom w:val="0"/>
      <w:divBdr>
        <w:top w:val="none" w:sz="0" w:space="0" w:color="auto"/>
        <w:left w:val="none" w:sz="0" w:space="0" w:color="auto"/>
        <w:bottom w:val="none" w:sz="0" w:space="0" w:color="auto"/>
        <w:right w:val="none" w:sz="0" w:space="0" w:color="auto"/>
      </w:divBdr>
      <w:divsChild>
        <w:div w:id="257180449">
          <w:marLeft w:val="446"/>
          <w:marRight w:val="0"/>
          <w:marTop w:val="0"/>
          <w:marBottom w:val="200"/>
          <w:divBdr>
            <w:top w:val="none" w:sz="0" w:space="0" w:color="auto"/>
            <w:left w:val="none" w:sz="0" w:space="0" w:color="auto"/>
            <w:bottom w:val="none" w:sz="0" w:space="0" w:color="auto"/>
            <w:right w:val="none" w:sz="0" w:space="0" w:color="auto"/>
          </w:divBdr>
        </w:div>
        <w:div w:id="966743999">
          <w:marLeft w:val="446"/>
          <w:marRight w:val="0"/>
          <w:marTop w:val="0"/>
          <w:marBottom w:val="200"/>
          <w:divBdr>
            <w:top w:val="none" w:sz="0" w:space="0" w:color="auto"/>
            <w:left w:val="none" w:sz="0" w:space="0" w:color="auto"/>
            <w:bottom w:val="none" w:sz="0" w:space="0" w:color="auto"/>
            <w:right w:val="none" w:sz="0" w:space="0" w:color="auto"/>
          </w:divBdr>
        </w:div>
        <w:div w:id="1863742992">
          <w:marLeft w:val="446"/>
          <w:marRight w:val="0"/>
          <w:marTop w:val="0"/>
          <w:marBottom w:val="200"/>
          <w:divBdr>
            <w:top w:val="none" w:sz="0" w:space="0" w:color="auto"/>
            <w:left w:val="none" w:sz="0" w:space="0" w:color="auto"/>
            <w:bottom w:val="none" w:sz="0" w:space="0" w:color="auto"/>
            <w:right w:val="none" w:sz="0" w:space="0" w:color="auto"/>
          </w:divBdr>
        </w:div>
      </w:divsChild>
    </w:div>
    <w:div w:id="1708985407">
      <w:bodyDiv w:val="1"/>
      <w:marLeft w:val="0"/>
      <w:marRight w:val="0"/>
      <w:marTop w:val="0"/>
      <w:marBottom w:val="0"/>
      <w:divBdr>
        <w:top w:val="none" w:sz="0" w:space="0" w:color="auto"/>
        <w:left w:val="none" w:sz="0" w:space="0" w:color="auto"/>
        <w:bottom w:val="none" w:sz="0" w:space="0" w:color="auto"/>
        <w:right w:val="none" w:sz="0" w:space="0" w:color="auto"/>
      </w:divBdr>
    </w:div>
    <w:div w:id="1717318511">
      <w:bodyDiv w:val="1"/>
      <w:marLeft w:val="0"/>
      <w:marRight w:val="0"/>
      <w:marTop w:val="0"/>
      <w:marBottom w:val="0"/>
      <w:divBdr>
        <w:top w:val="none" w:sz="0" w:space="0" w:color="auto"/>
        <w:left w:val="none" w:sz="0" w:space="0" w:color="auto"/>
        <w:bottom w:val="none" w:sz="0" w:space="0" w:color="auto"/>
        <w:right w:val="none" w:sz="0" w:space="0" w:color="auto"/>
      </w:divBdr>
    </w:div>
    <w:div w:id="1866825300">
      <w:bodyDiv w:val="1"/>
      <w:marLeft w:val="0"/>
      <w:marRight w:val="0"/>
      <w:marTop w:val="0"/>
      <w:marBottom w:val="0"/>
      <w:divBdr>
        <w:top w:val="none" w:sz="0" w:space="0" w:color="auto"/>
        <w:left w:val="none" w:sz="0" w:space="0" w:color="auto"/>
        <w:bottom w:val="none" w:sz="0" w:space="0" w:color="auto"/>
        <w:right w:val="none" w:sz="0" w:space="0" w:color="auto"/>
      </w:divBdr>
    </w:div>
    <w:div w:id="1919516570">
      <w:bodyDiv w:val="1"/>
      <w:marLeft w:val="0"/>
      <w:marRight w:val="0"/>
      <w:marTop w:val="0"/>
      <w:marBottom w:val="0"/>
      <w:divBdr>
        <w:top w:val="none" w:sz="0" w:space="0" w:color="auto"/>
        <w:left w:val="none" w:sz="0" w:space="0" w:color="auto"/>
        <w:bottom w:val="none" w:sz="0" w:space="0" w:color="auto"/>
        <w:right w:val="none" w:sz="0" w:space="0" w:color="auto"/>
      </w:divBdr>
      <w:divsChild>
        <w:div w:id="584459526">
          <w:marLeft w:val="446"/>
          <w:marRight w:val="0"/>
          <w:marTop w:val="0"/>
          <w:marBottom w:val="140"/>
          <w:divBdr>
            <w:top w:val="none" w:sz="0" w:space="0" w:color="auto"/>
            <w:left w:val="none" w:sz="0" w:space="0" w:color="auto"/>
            <w:bottom w:val="none" w:sz="0" w:space="0" w:color="auto"/>
            <w:right w:val="none" w:sz="0" w:space="0" w:color="auto"/>
          </w:divBdr>
        </w:div>
        <w:div w:id="1530100964">
          <w:marLeft w:val="446"/>
          <w:marRight w:val="0"/>
          <w:marTop w:val="0"/>
          <w:marBottom w:val="140"/>
          <w:divBdr>
            <w:top w:val="none" w:sz="0" w:space="0" w:color="auto"/>
            <w:left w:val="none" w:sz="0" w:space="0" w:color="auto"/>
            <w:bottom w:val="none" w:sz="0" w:space="0" w:color="auto"/>
            <w:right w:val="none" w:sz="0" w:space="0" w:color="auto"/>
          </w:divBdr>
        </w:div>
      </w:divsChild>
    </w:div>
    <w:div w:id="1952668890">
      <w:bodyDiv w:val="1"/>
      <w:marLeft w:val="0"/>
      <w:marRight w:val="0"/>
      <w:marTop w:val="0"/>
      <w:marBottom w:val="0"/>
      <w:divBdr>
        <w:top w:val="none" w:sz="0" w:space="0" w:color="auto"/>
        <w:left w:val="none" w:sz="0" w:space="0" w:color="auto"/>
        <w:bottom w:val="none" w:sz="0" w:space="0" w:color="auto"/>
        <w:right w:val="none" w:sz="0" w:space="0" w:color="auto"/>
      </w:divBdr>
    </w:div>
    <w:div w:id="1987396315">
      <w:bodyDiv w:val="1"/>
      <w:marLeft w:val="0"/>
      <w:marRight w:val="0"/>
      <w:marTop w:val="0"/>
      <w:marBottom w:val="0"/>
      <w:divBdr>
        <w:top w:val="none" w:sz="0" w:space="0" w:color="auto"/>
        <w:left w:val="none" w:sz="0" w:space="0" w:color="auto"/>
        <w:bottom w:val="none" w:sz="0" w:space="0" w:color="auto"/>
        <w:right w:val="none" w:sz="0" w:space="0" w:color="auto"/>
      </w:divBdr>
    </w:div>
    <w:div w:id="2123332573">
      <w:bodyDiv w:val="1"/>
      <w:marLeft w:val="0"/>
      <w:marRight w:val="0"/>
      <w:marTop w:val="0"/>
      <w:marBottom w:val="0"/>
      <w:divBdr>
        <w:top w:val="none" w:sz="0" w:space="0" w:color="auto"/>
        <w:left w:val="none" w:sz="0" w:space="0" w:color="auto"/>
        <w:bottom w:val="none" w:sz="0" w:space="0" w:color="auto"/>
        <w:right w:val="none" w:sz="0" w:space="0" w:color="auto"/>
      </w:divBdr>
    </w:div>
    <w:div w:id="21328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www.cipfa.org" TargetMode="Externa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image" Target="media/image8.wmf"/><Relationship Id="rId10" Type="http://schemas.openxmlformats.org/officeDocument/2006/relationships/endnotes" Target="endnotes.xml"/><Relationship Id="rId19" Type="http://schemas.openxmlformats.org/officeDocument/2006/relationships/header" Target="header2.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3.xml"/><Relationship Id="rId27" Type="http://schemas.openxmlformats.org/officeDocument/2006/relationships/image" Target="media/image7.w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Maturity</a:t>
            </a:r>
            <a:r>
              <a:rPr lang="en-US" baseline="0"/>
              <a:t> Structure of Loans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CC99FF"/>
            </a:solidFill>
            <a:ln>
              <a:noFill/>
            </a:ln>
            <a:effectLst/>
          </c:spPr>
          <c:invertIfNegative val="0"/>
          <c:cat>
            <c:strRef>
              <c:f>Sheet1!$C$9:$C$16</c:f>
              <c:strCache>
                <c:ptCount val="8"/>
                <c:pt idx="0">
                  <c:v>under 1</c:v>
                </c:pt>
                <c:pt idx="1">
                  <c:v> 1-2</c:v>
                </c:pt>
                <c:pt idx="2">
                  <c:v>2-5</c:v>
                </c:pt>
                <c:pt idx="3">
                  <c:v>5-10</c:v>
                </c:pt>
                <c:pt idx="4">
                  <c:v>10-20</c:v>
                </c:pt>
                <c:pt idx="5">
                  <c:v>20-30</c:v>
                </c:pt>
                <c:pt idx="6">
                  <c:v>30-40</c:v>
                </c:pt>
                <c:pt idx="7">
                  <c:v>40-50</c:v>
                </c:pt>
              </c:strCache>
            </c:strRef>
          </c:cat>
          <c:val>
            <c:numRef>
              <c:f>Sheet1!$D$9:$D$16</c:f>
              <c:numCache>
                <c:formatCode>General</c:formatCode>
                <c:ptCount val="8"/>
                <c:pt idx="0">
                  <c:v>22</c:v>
                </c:pt>
                <c:pt idx="1">
                  <c:v>198</c:v>
                </c:pt>
                <c:pt idx="2">
                  <c:v>45</c:v>
                </c:pt>
                <c:pt idx="3">
                  <c:v>243</c:v>
                </c:pt>
                <c:pt idx="4">
                  <c:v>298</c:v>
                </c:pt>
                <c:pt idx="5">
                  <c:v>189</c:v>
                </c:pt>
                <c:pt idx="6">
                  <c:v>83.5</c:v>
                </c:pt>
                <c:pt idx="7">
                  <c:v>14.5</c:v>
                </c:pt>
              </c:numCache>
            </c:numRef>
          </c:val>
          <c:extLst>
            <c:ext xmlns:c16="http://schemas.microsoft.com/office/drawing/2014/chart" uri="{C3380CC4-5D6E-409C-BE32-E72D297353CC}">
              <c16:uniqueId val="{00000000-6729-4D6B-959A-EA182D4F2706}"/>
            </c:ext>
          </c:extLst>
        </c:ser>
        <c:dLbls>
          <c:showLegendKey val="0"/>
          <c:showVal val="0"/>
          <c:showCatName val="0"/>
          <c:showSerName val="0"/>
          <c:showPercent val="0"/>
          <c:showBubbleSize val="0"/>
        </c:dLbls>
        <c:gapWidth val="219"/>
        <c:overlap val="-27"/>
        <c:axId val="598660552"/>
        <c:axId val="598665232"/>
      </c:barChart>
      <c:catAx>
        <c:axId val="59866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65232"/>
        <c:crosses val="autoZero"/>
        <c:auto val="1"/>
        <c:lblAlgn val="ctr"/>
        <c:lblOffset val="100"/>
        <c:noMultiLvlLbl val="0"/>
      </c:catAx>
      <c:valAx>
        <c:axId val="59866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60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AF5A9695-BA69-4FA4-86F6-3423343089D7}">
    <t:Anchor>
      <t:Comment id="670205902"/>
    </t:Anchor>
    <t:History>
      <t:Event id="{3C7BDC45-2F6E-45F4-93F9-B3B63F5C497D}" time="2023-06-21T10:57:19.474Z">
        <t:Attribution userId="S::chris.whitehouse2@communities.gov.uk::0c5f7063-3292-44d2-90ea-91587427d0af" userProvider="AD" userName="Chris Whitehouse"/>
        <t:Anchor>
          <t:Comment id="167215679"/>
        </t:Anchor>
        <t:Create/>
      </t:Event>
      <t:Event id="{464DD8E6-09E0-4FDF-8C81-EF51CD867919}" time="2023-06-21T10:57:19.474Z">
        <t:Attribution userId="S::chris.whitehouse2@communities.gov.uk::0c5f7063-3292-44d2-90ea-91587427d0af" userProvider="AD" userName="Chris Whitehouse"/>
        <t:Anchor>
          <t:Comment id="167215679"/>
        </t:Anchor>
        <t:Assign userId="S::Anna.Watson@communities.gov.uk::5ebaa6bc-d1d8-494b-9719-4e9bd2425044" userProvider="AD" userName="Anna Watson"/>
      </t:Event>
      <t:Event id="{A5B68ADE-1CB7-4055-A667-8317EAECF014}" time="2023-06-21T10:57:19.474Z">
        <t:Attribution userId="S::chris.whitehouse2@communities.gov.uk::0c5f7063-3292-44d2-90ea-91587427d0af" userProvider="AD" userName="Chris Whitehouse"/>
        <t:Anchor>
          <t:Comment id="167215679"/>
        </t:Anchor>
        <t:SetTitle title="@Anna Watson could you check this is in the comment tracker please, along with anything else Zoe has flagged in reports comments / you think we commented on here that should be in the Excel?"/>
      </t:Event>
    </t:History>
  </t:Task>
</t:Tasks>
</file>

<file path=word/theme/theme1.xml><?xml version="1.0" encoding="utf-8"?>
<a:theme xmlns:a="http://schemas.openxmlformats.org/drawingml/2006/main" name="CIPFA">
  <a:themeElements>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BF9F0EEF9024B851798905602A73B" ma:contentTypeVersion="23" ma:contentTypeDescription="Create a new document." ma:contentTypeScope="" ma:versionID="4a364e5bf07186f091758f59476e5a53">
  <xsd:schema xmlns:xsd="http://www.w3.org/2001/XMLSchema" xmlns:xs="http://www.w3.org/2001/XMLSchema" xmlns:p="http://schemas.microsoft.com/office/2006/metadata/properties" xmlns:ns1="http://schemas.microsoft.com/sharepoint/v3" xmlns:ns2="52907788-3c74-4840-b653-af3aea5e5f4b" xmlns:ns3="49dd332d-6948-448e-8342-709605274695" xmlns:ns4="83a87e31-bf32-46ab-8e70-9fa18461fa4d" targetNamespace="http://schemas.microsoft.com/office/2006/metadata/properties" ma:root="true" ma:fieldsID="f8d3949ddc17abddc28bacbea46046bc" ns1:_="" ns2:_="" ns3:_="" ns4:_="">
    <xsd:import namespace="http://schemas.microsoft.com/sharepoint/v3"/>
    <xsd:import namespace="52907788-3c74-4840-b653-af3aea5e5f4b"/>
    <xsd:import namespace="49dd332d-6948-448e-8342-709605274695"/>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Archiv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07788-3c74-4840-b653-af3aea5e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Archive" ma:index="26" nillable="true" ma:displayName="Archive" ma:default="0" ma:format="Dropdown" ma:hidden="true" ma:internalName="Archive" ma:readOnly="false">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d332d-6948-448e-8342-709605274695"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fcca047-a203-497f-bbf0-704eae9acf89}" ma:internalName="TaxCatchAll" ma:readOnly="false" ma:showField="CatchAllData" ma:web="49dd332d-6948-448e-8342-709605274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3a87e31-bf32-46ab-8e70-9fa18461fa4d" xsi:nil="true"/>
    <lcf76f155ced4ddcb4097134ff3c332f xmlns="52907788-3c74-4840-b653-af3aea5e5f4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Archive xmlns="52907788-3c74-4840-b653-af3aea5e5f4b">false</Archive>
  </documentManagement>
</p:properties>
</file>

<file path=customXml/itemProps1.xml><?xml version="1.0" encoding="utf-8"?>
<ds:datastoreItem xmlns:ds="http://schemas.openxmlformats.org/officeDocument/2006/customXml" ds:itemID="{5085A4CC-1BCE-4C47-9674-A605DCBB2FD0}">
  <ds:schemaRefs>
    <ds:schemaRef ds:uri="http://schemas.openxmlformats.org/officeDocument/2006/bibliography"/>
  </ds:schemaRefs>
</ds:datastoreItem>
</file>

<file path=customXml/itemProps2.xml><?xml version="1.0" encoding="utf-8"?>
<ds:datastoreItem xmlns:ds="http://schemas.openxmlformats.org/officeDocument/2006/customXml" ds:itemID="{0EF5B1EC-D2B6-4B0E-851A-7E4D6762E803}">
  <ds:schemaRefs>
    <ds:schemaRef ds:uri="http://schemas.microsoft.com/sharepoint/v3/contenttype/forms"/>
  </ds:schemaRefs>
</ds:datastoreItem>
</file>

<file path=customXml/itemProps3.xml><?xml version="1.0" encoding="utf-8"?>
<ds:datastoreItem xmlns:ds="http://schemas.openxmlformats.org/officeDocument/2006/customXml" ds:itemID="{D50610B8-2636-43E0-99CA-1E75AD262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07788-3c74-4840-b653-af3aea5e5f4b"/>
    <ds:schemaRef ds:uri="49dd332d-6948-448e-8342-709605274695"/>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1FCE0-AA06-4BEA-9040-A0AB45BAEE0E}">
  <ds:schemaRefs>
    <ds:schemaRef ds:uri="http://schemas.microsoft.com/office/2006/metadata/properties"/>
    <ds:schemaRef ds:uri="http://schemas.microsoft.com/office/infopath/2007/PartnerControls"/>
    <ds:schemaRef ds:uri="83a87e31-bf32-46ab-8e70-9fa18461fa4d"/>
    <ds:schemaRef ds:uri="52907788-3c74-4840-b653-af3aea5e5f4b"/>
    <ds:schemaRef ds:uri="http://schemas.microsoft.com/sharepoint/v3"/>
  </ds:schemaRefs>
</ds:datastoreItem>
</file>

<file path=docMetadata/LabelInfo.xml><?xml version="1.0" encoding="utf-8"?>
<clbl:labelList xmlns:clbl="http://schemas.microsoft.com/office/2020/mipLabelMetadata">
  <clbl:label id="{fbd41ebe-fca6-4f2c-aecb-bf3a17e72416}" enabled="1" method="Privileged" siteId="{bf346810-9c7d-43de-a872-24a2ef3995a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14488</Words>
  <Characters>82584</Characters>
  <Application>Microsoft Office Word</Application>
  <DocSecurity>4</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96879</CharactersWithSpaces>
  <SharedDoc>false</SharedDoc>
  <HLinks>
    <vt:vector size="102" baseType="variant">
      <vt:variant>
        <vt:i4>1638451</vt:i4>
      </vt:variant>
      <vt:variant>
        <vt:i4>95</vt:i4>
      </vt:variant>
      <vt:variant>
        <vt:i4>0</vt:i4>
      </vt:variant>
      <vt:variant>
        <vt:i4>5</vt:i4>
      </vt:variant>
      <vt:variant>
        <vt:lpwstr/>
      </vt:variant>
      <vt:variant>
        <vt:lpwstr>_Toc150862414</vt:lpwstr>
      </vt:variant>
      <vt:variant>
        <vt:i4>1638451</vt:i4>
      </vt:variant>
      <vt:variant>
        <vt:i4>89</vt:i4>
      </vt:variant>
      <vt:variant>
        <vt:i4>0</vt:i4>
      </vt:variant>
      <vt:variant>
        <vt:i4>5</vt:i4>
      </vt:variant>
      <vt:variant>
        <vt:lpwstr/>
      </vt:variant>
      <vt:variant>
        <vt:lpwstr>_Toc150862413</vt:lpwstr>
      </vt:variant>
      <vt:variant>
        <vt:i4>1638451</vt:i4>
      </vt:variant>
      <vt:variant>
        <vt:i4>83</vt:i4>
      </vt:variant>
      <vt:variant>
        <vt:i4>0</vt:i4>
      </vt:variant>
      <vt:variant>
        <vt:i4>5</vt:i4>
      </vt:variant>
      <vt:variant>
        <vt:lpwstr/>
      </vt:variant>
      <vt:variant>
        <vt:lpwstr>_Toc150862412</vt:lpwstr>
      </vt:variant>
      <vt:variant>
        <vt:i4>1638451</vt:i4>
      </vt:variant>
      <vt:variant>
        <vt:i4>77</vt:i4>
      </vt:variant>
      <vt:variant>
        <vt:i4>0</vt:i4>
      </vt:variant>
      <vt:variant>
        <vt:i4>5</vt:i4>
      </vt:variant>
      <vt:variant>
        <vt:lpwstr/>
      </vt:variant>
      <vt:variant>
        <vt:lpwstr>_Toc150862411</vt:lpwstr>
      </vt:variant>
      <vt:variant>
        <vt:i4>1638451</vt:i4>
      </vt:variant>
      <vt:variant>
        <vt:i4>71</vt:i4>
      </vt:variant>
      <vt:variant>
        <vt:i4>0</vt:i4>
      </vt:variant>
      <vt:variant>
        <vt:i4>5</vt:i4>
      </vt:variant>
      <vt:variant>
        <vt:lpwstr/>
      </vt:variant>
      <vt:variant>
        <vt:lpwstr>_Toc150862410</vt:lpwstr>
      </vt:variant>
      <vt:variant>
        <vt:i4>1572915</vt:i4>
      </vt:variant>
      <vt:variant>
        <vt:i4>65</vt:i4>
      </vt:variant>
      <vt:variant>
        <vt:i4>0</vt:i4>
      </vt:variant>
      <vt:variant>
        <vt:i4>5</vt:i4>
      </vt:variant>
      <vt:variant>
        <vt:lpwstr/>
      </vt:variant>
      <vt:variant>
        <vt:lpwstr>_Toc150862409</vt:lpwstr>
      </vt:variant>
      <vt:variant>
        <vt:i4>1572915</vt:i4>
      </vt:variant>
      <vt:variant>
        <vt:i4>59</vt:i4>
      </vt:variant>
      <vt:variant>
        <vt:i4>0</vt:i4>
      </vt:variant>
      <vt:variant>
        <vt:i4>5</vt:i4>
      </vt:variant>
      <vt:variant>
        <vt:lpwstr/>
      </vt:variant>
      <vt:variant>
        <vt:lpwstr>_Toc150862408</vt:lpwstr>
      </vt:variant>
      <vt:variant>
        <vt:i4>1572915</vt:i4>
      </vt:variant>
      <vt:variant>
        <vt:i4>53</vt:i4>
      </vt:variant>
      <vt:variant>
        <vt:i4>0</vt:i4>
      </vt:variant>
      <vt:variant>
        <vt:i4>5</vt:i4>
      </vt:variant>
      <vt:variant>
        <vt:lpwstr/>
      </vt:variant>
      <vt:variant>
        <vt:lpwstr>_Toc150862407</vt:lpwstr>
      </vt:variant>
      <vt:variant>
        <vt:i4>1572915</vt:i4>
      </vt:variant>
      <vt:variant>
        <vt:i4>47</vt:i4>
      </vt:variant>
      <vt:variant>
        <vt:i4>0</vt:i4>
      </vt:variant>
      <vt:variant>
        <vt:i4>5</vt:i4>
      </vt:variant>
      <vt:variant>
        <vt:lpwstr/>
      </vt:variant>
      <vt:variant>
        <vt:lpwstr>_Toc150862406</vt:lpwstr>
      </vt:variant>
      <vt:variant>
        <vt:i4>1572915</vt:i4>
      </vt:variant>
      <vt:variant>
        <vt:i4>41</vt:i4>
      </vt:variant>
      <vt:variant>
        <vt:i4>0</vt:i4>
      </vt:variant>
      <vt:variant>
        <vt:i4>5</vt:i4>
      </vt:variant>
      <vt:variant>
        <vt:lpwstr/>
      </vt:variant>
      <vt:variant>
        <vt:lpwstr>_Toc150862405</vt:lpwstr>
      </vt:variant>
      <vt:variant>
        <vt:i4>1572915</vt:i4>
      </vt:variant>
      <vt:variant>
        <vt:i4>35</vt:i4>
      </vt:variant>
      <vt:variant>
        <vt:i4>0</vt:i4>
      </vt:variant>
      <vt:variant>
        <vt:i4>5</vt:i4>
      </vt:variant>
      <vt:variant>
        <vt:lpwstr/>
      </vt:variant>
      <vt:variant>
        <vt:lpwstr>_Toc150862404</vt:lpwstr>
      </vt:variant>
      <vt:variant>
        <vt:i4>1572915</vt:i4>
      </vt:variant>
      <vt:variant>
        <vt:i4>29</vt:i4>
      </vt:variant>
      <vt:variant>
        <vt:i4>0</vt:i4>
      </vt:variant>
      <vt:variant>
        <vt:i4>5</vt:i4>
      </vt:variant>
      <vt:variant>
        <vt:lpwstr/>
      </vt:variant>
      <vt:variant>
        <vt:lpwstr>_Toc150862403</vt:lpwstr>
      </vt:variant>
      <vt:variant>
        <vt:i4>1572915</vt:i4>
      </vt:variant>
      <vt:variant>
        <vt:i4>23</vt:i4>
      </vt:variant>
      <vt:variant>
        <vt:i4>0</vt:i4>
      </vt:variant>
      <vt:variant>
        <vt:i4>5</vt:i4>
      </vt:variant>
      <vt:variant>
        <vt:lpwstr/>
      </vt:variant>
      <vt:variant>
        <vt:lpwstr>_Toc150862402</vt:lpwstr>
      </vt:variant>
      <vt:variant>
        <vt:i4>1572915</vt:i4>
      </vt:variant>
      <vt:variant>
        <vt:i4>17</vt:i4>
      </vt:variant>
      <vt:variant>
        <vt:i4>0</vt:i4>
      </vt:variant>
      <vt:variant>
        <vt:i4>5</vt:i4>
      </vt:variant>
      <vt:variant>
        <vt:lpwstr/>
      </vt:variant>
      <vt:variant>
        <vt:lpwstr>_Toc150862401</vt:lpwstr>
      </vt:variant>
      <vt:variant>
        <vt:i4>1572915</vt:i4>
      </vt:variant>
      <vt:variant>
        <vt:i4>11</vt:i4>
      </vt:variant>
      <vt:variant>
        <vt:i4>0</vt:i4>
      </vt:variant>
      <vt:variant>
        <vt:i4>5</vt:i4>
      </vt:variant>
      <vt:variant>
        <vt:lpwstr/>
      </vt:variant>
      <vt:variant>
        <vt:lpwstr>_Toc150862400</vt:lpwstr>
      </vt:variant>
      <vt:variant>
        <vt:i4>1114164</vt:i4>
      </vt:variant>
      <vt:variant>
        <vt:i4>5</vt:i4>
      </vt:variant>
      <vt:variant>
        <vt:i4>0</vt:i4>
      </vt:variant>
      <vt:variant>
        <vt:i4>5</vt:i4>
      </vt:variant>
      <vt:variant>
        <vt:lpwstr/>
      </vt:variant>
      <vt:variant>
        <vt:lpwstr>_Toc150862399</vt:lpwstr>
      </vt:variant>
      <vt:variant>
        <vt:i4>5308419</vt:i4>
      </vt:variant>
      <vt:variant>
        <vt:i4>0</vt:i4>
      </vt:variant>
      <vt:variant>
        <vt:i4>0</vt:i4>
      </vt:variant>
      <vt:variant>
        <vt:i4>5</vt:i4>
      </vt:variant>
      <vt:variant>
        <vt:lpwstr>http://www.cipfa.org/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Alice</dc:creator>
  <cp:keywords/>
  <cp:lastModifiedBy>BALDWIN, Callum</cp:lastModifiedBy>
  <cp:revision>2</cp:revision>
  <cp:lastPrinted>2024-03-19T21:24:00Z</cp:lastPrinted>
  <dcterms:created xsi:type="dcterms:W3CDTF">2024-05-13T14:07:00Z</dcterms:created>
  <dcterms:modified xsi:type="dcterms:W3CDTF">2024-05-13T14:07:00Z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0x0101008EFBF9F0EEF9024B851798905602A73B</vt:lpwstr>
  </property>
  <property fmtid="{D5CDD505-2E9C-101B-9397-08002B2CF9AE}" pid="3" name="MSIP_Label_785837b0-ed5a-4fd4-94ae-ef361c98d083_Enabled">
    <vt:lpwstr>true</vt:lpwstr>
  </property>
  <property fmtid="{D5CDD505-2E9C-101B-9397-08002B2CF9AE}" pid="4" name="MSIP_Label_785837b0-ed5a-4fd4-94ae-ef361c98d083_SetDate">
    <vt:lpwstr>2021-07-07T08:09:30Z</vt:lpwstr>
  </property>
  <property fmtid="{D5CDD505-2E9C-101B-9397-08002B2CF9AE}" pid="5" name="MSIP_Label_785837b0-ed5a-4fd4-94ae-ef361c98d083_Method">
    <vt:lpwstr>Standard</vt:lpwstr>
  </property>
  <property fmtid="{D5CDD505-2E9C-101B-9397-08002B2CF9AE}" pid="6" name="MSIP_Label_785837b0-ed5a-4fd4-94ae-ef361c98d083_Name">
    <vt:lpwstr>785837b0-ed5a-4fd4-94ae-ef361c98d083</vt:lpwstr>
  </property>
  <property fmtid="{D5CDD505-2E9C-101B-9397-08002B2CF9AE}" pid="7" name="MSIP_Label_785837b0-ed5a-4fd4-94ae-ef361c98d083_SiteId">
    <vt:lpwstr>b723253f-7281-4adc-bc1c-fc9ef3674d78</vt:lpwstr>
  </property>
  <property fmtid="{D5CDD505-2E9C-101B-9397-08002B2CF9AE}" pid="8" name="MSIP_Label_785837b0-ed5a-4fd4-94ae-ef361c98d083_ActionId">
    <vt:lpwstr>24fbe388-6c71-4497-b7df-28d8a2ddfb19</vt:lpwstr>
  </property>
  <property fmtid="{D5CDD505-2E9C-101B-9397-08002B2CF9AE}" pid="9" name="MSIP_Label_785837b0-ed5a-4fd4-94ae-ef361c98d083_ContentBits">
    <vt:lpwstr>1</vt:lpwstr>
  </property>
  <property fmtid="{D5CDD505-2E9C-101B-9397-08002B2CF9AE}" pid="10" name="MediaServiceImageTags">
    <vt:lpwstr/>
  </property>
  <property fmtid="{D5CDD505-2E9C-101B-9397-08002B2CF9AE}" pid="11" name="ClassificationContentMarkingHeaderShapeIds">
    <vt:lpwstr>6,f,10</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y fmtid="{D5CDD505-2E9C-101B-9397-08002B2CF9AE}" pid="14" name="ClassificationContentMarkingFooterShapeIds">
    <vt:lpwstr>11,12,13</vt:lpwstr>
  </property>
  <property fmtid="{D5CDD505-2E9C-101B-9397-08002B2CF9AE}" pid="15" name="ClassificationContentMarkingFooterFontProps">
    <vt:lpwstr>#000000,10,Calibri</vt:lpwstr>
  </property>
  <property fmtid="{D5CDD505-2E9C-101B-9397-08002B2CF9AE}" pid="16" name="ClassificationContentMarkingFooterText">
    <vt:lpwstr>OFFICIAL</vt:lpwstr>
  </property>
  <property fmtid="{D5CDD505-2E9C-101B-9397-08002B2CF9AE}" pid="17" name="MSIP_Label_a8f77787-5df4-43b6-a2a8-8d8b678a318b_Enabled">
    <vt:lpwstr>true</vt:lpwstr>
  </property>
  <property fmtid="{D5CDD505-2E9C-101B-9397-08002B2CF9AE}" pid="18" name="MSIP_Label_a8f77787-5df4-43b6-a2a8-8d8b678a318b_SetDate">
    <vt:lpwstr>2024-05-13T14:07:56Z</vt:lpwstr>
  </property>
  <property fmtid="{D5CDD505-2E9C-101B-9397-08002B2CF9AE}" pid="19" name="MSIP_Label_a8f77787-5df4-43b6-a2a8-8d8b678a318b_Method">
    <vt:lpwstr>Standard</vt:lpwstr>
  </property>
  <property fmtid="{D5CDD505-2E9C-101B-9397-08002B2CF9AE}" pid="20" name="MSIP_Label_a8f77787-5df4-43b6-a2a8-8d8b678a318b_Name">
    <vt:lpwstr>a8f77787-5df4-43b6-a2a8-8d8b678a318b</vt:lpwstr>
  </property>
  <property fmtid="{D5CDD505-2E9C-101B-9397-08002B2CF9AE}" pid="21" name="MSIP_Label_a8f77787-5df4-43b6-a2a8-8d8b678a318b_SiteId">
    <vt:lpwstr>1ce6dd9e-b337-4088-be5e-8dbbec04b34a</vt:lpwstr>
  </property>
  <property fmtid="{D5CDD505-2E9C-101B-9397-08002B2CF9AE}" pid="22" name="MSIP_Label_a8f77787-5df4-43b6-a2a8-8d8b678a318b_ActionId">
    <vt:lpwstr>99d6c06f-83de-4823-828a-19ce01e1a25c</vt:lpwstr>
  </property>
  <property fmtid="{D5CDD505-2E9C-101B-9397-08002B2CF9AE}" pid="23" name="MSIP_Label_a8f77787-5df4-43b6-a2a8-8d8b678a318b_ContentBits">
    <vt:lpwstr>0</vt:lpwstr>
  </property>
</Properties>
</file>