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9D94" w14:textId="2BA2636A" w:rsidR="0012357A" w:rsidRDefault="00EB2625" w:rsidP="00796420">
      <w:pPr>
        <w:pStyle w:val="Reporttitle"/>
        <w:tabs>
          <w:tab w:val="left" w:pos="3840"/>
        </w:tabs>
        <w:spacing w:line="276" w:lineRule="auto"/>
      </w:pPr>
      <w:bookmarkStart w:id="0" w:name="_Hlk65658600"/>
      <w:r w:rsidRPr="00242B95">
        <w:rPr>
          <w:noProof/>
        </w:rPr>
        <w:drawing>
          <wp:anchor distT="0" distB="0" distL="114300" distR="114300" simplePos="0" relativeHeight="251658241" behindDoc="1" locked="0" layoutInCell="0" allowOverlap="1" wp14:anchorId="493C8C96" wp14:editId="6EF1E792">
            <wp:simplePos x="0" y="0"/>
            <wp:positionH relativeFrom="page">
              <wp:align>right</wp:align>
            </wp:positionH>
            <wp:positionV relativeFrom="page">
              <wp:posOffset>-150440</wp:posOffset>
            </wp:positionV>
            <wp:extent cx="7559675" cy="10691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Ministry of Justice - Description: Ministry of Justice, Protecting and advancing the principles of justic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pic:spPr>
                </pic:pic>
              </a:graphicData>
            </a:graphic>
            <wp14:sizeRelH relativeFrom="margin">
              <wp14:pctWidth>0</wp14:pctWidth>
            </wp14:sizeRelH>
            <wp14:sizeRelV relativeFrom="margin">
              <wp14:pctHeight>0</wp14:pctHeight>
            </wp14:sizeRelV>
          </wp:anchor>
        </w:drawing>
      </w:r>
      <w:r w:rsidR="00AC1D13">
        <w:tab/>
      </w:r>
    </w:p>
    <w:p w14:paraId="6DDDAC4C" w14:textId="471D530F" w:rsidR="0012357A" w:rsidRPr="00CE4955" w:rsidRDefault="008B6765" w:rsidP="00796420">
      <w:pPr>
        <w:pStyle w:val="Reporttitle"/>
        <w:spacing w:line="276" w:lineRule="auto"/>
      </w:pPr>
      <w:r w:rsidRPr="00CE4955">
        <w:rPr>
          <w:noProof/>
        </w:rPr>
        <mc:AlternateContent>
          <mc:Choice Requires="wps">
            <w:drawing>
              <wp:anchor distT="45720" distB="45720" distL="114300" distR="114300" simplePos="0" relativeHeight="251658240" behindDoc="0" locked="0" layoutInCell="1" allowOverlap="1" wp14:anchorId="0127BBE0" wp14:editId="5F56A3B7">
                <wp:simplePos x="0" y="0"/>
                <wp:positionH relativeFrom="margin">
                  <wp:align>left</wp:align>
                </wp:positionH>
                <wp:positionV relativeFrom="page">
                  <wp:posOffset>5083810</wp:posOffset>
                </wp:positionV>
                <wp:extent cx="3043555" cy="306705"/>
                <wp:effectExtent l="0" t="0" r="0" b="0"/>
                <wp:wrapSquare wrapText="bothSides"/>
                <wp:docPr id="217" name="Text Box 217" descr="Publishing date" title="Publishing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306705"/>
                        </a:xfrm>
                        <a:prstGeom prst="rect">
                          <a:avLst/>
                        </a:prstGeom>
                        <a:noFill/>
                        <a:ln w="9525">
                          <a:noFill/>
                          <a:miter lim="800000"/>
                          <a:headEnd/>
                          <a:tailEnd/>
                        </a:ln>
                      </wps:spPr>
                      <wps:txbx>
                        <w:txbxContent>
                          <w:p w14:paraId="5A93C475" w14:textId="6BD29CF4" w:rsidR="006F12E8" w:rsidRDefault="00FF46BA" w:rsidP="0012357A">
                            <w:r>
                              <w:rPr>
                                <w:highlight w:val="yellow"/>
                              </w:rPr>
                              <w:t xml:space="preserve">INSERT </w:t>
                            </w:r>
                            <w:r w:rsidR="006F12E8" w:rsidRPr="00582007">
                              <w:rPr>
                                <w:highlight w:val="yellow"/>
                              </w:rPr>
                              <w:t>Published date</w:t>
                            </w:r>
                            <w:r w:rsidR="006F12E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7BBE0" id="_x0000_t202" coordsize="21600,21600" o:spt="202" path="m,l,21600r21600,l21600,xe">
                <v:stroke joinstyle="miter"/>
                <v:path gradientshapeok="t" o:connecttype="rect"/>
              </v:shapetype>
              <v:shape id="Text Box 217" o:spid="_x0000_s1026" type="#_x0000_t202" alt="Title: Publishing date - Description: Publishing date" style="position:absolute;margin-left:0;margin-top:400.3pt;width:239.65pt;height:24.1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" filled="f" stroked="f">
                <v:textbox>
                  <w:txbxContent>
                    <w:p w14:paraId="5A93C475" w14:textId="6BD29CF4" w:rsidR="006F12E8" w:rsidRDefault="00FF46BA" w:rsidP="0012357A">
                      <w:r>
                        <w:rPr>
                          <w:highlight w:val="yellow"/>
                        </w:rPr>
                        <w:t xml:space="preserve">INSERT </w:t>
                      </w:r>
                      <w:r w:rsidR="006F12E8" w:rsidRPr="00582007">
                        <w:rPr>
                          <w:highlight w:val="yellow"/>
                        </w:rPr>
                        <w:t xml:space="preserve">Published </w:t>
                      </w:r>
                      <w:proofErr w:type="gramStart"/>
                      <w:r w:rsidR="006F12E8" w:rsidRPr="00582007">
                        <w:rPr>
                          <w:highlight w:val="yellow"/>
                        </w:rPr>
                        <w:t>date</w:t>
                      </w:r>
                      <w:proofErr w:type="gramEnd"/>
                      <w:r w:rsidR="006F12E8">
                        <w:t xml:space="preserve"> </w:t>
                      </w:r>
                    </w:p>
                  </w:txbxContent>
                </v:textbox>
                <w10:wrap type="square" anchorx="margin" anchory="page"/>
              </v:shape>
            </w:pict>
          </mc:Fallback>
        </mc:AlternateContent>
      </w:r>
      <w:r w:rsidR="0073760E">
        <w:t>Framework Document</w:t>
      </w:r>
      <w:r w:rsidR="0012357A" w:rsidRPr="00CE4955">
        <w:t xml:space="preserve"> between the Department of Health and Social Care and the </w:t>
      </w:r>
      <w:bookmarkEnd w:id="0"/>
      <w:r w:rsidR="0012357A">
        <w:t>Medicines and Healthcare products Regulatory Agency</w:t>
      </w:r>
    </w:p>
    <w:p w14:paraId="6C27C6A2" w14:textId="195759D0" w:rsidR="0012357A" w:rsidRPr="00CE4955" w:rsidRDefault="0012357A" w:rsidP="00796420">
      <w:pPr>
        <w:pStyle w:val="Reporttitle"/>
        <w:spacing w:line="276" w:lineRule="auto"/>
      </w:pPr>
      <w:r w:rsidRPr="00CE4955">
        <w:br/>
      </w:r>
    </w:p>
    <w:p w14:paraId="4CFC2BC3" w14:textId="1EB8E3CD" w:rsidR="0012357A" w:rsidRPr="00CE4955" w:rsidRDefault="0012357A" w:rsidP="00796420">
      <w:pPr>
        <w:pStyle w:val="Reportsubtitle"/>
        <w:spacing w:line="276" w:lineRule="auto"/>
      </w:pPr>
    </w:p>
    <w:p w14:paraId="69C35495" w14:textId="11437CF9" w:rsidR="0078257E" w:rsidRDefault="0078257E" w:rsidP="00796420">
      <w:pPr>
        <w:pStyle w:val="TOCHeading"/>
        <w:spacing w:line="276" w:lineRule="auto"/>
        <w:rPr>
          <w:rFonts w:cs="Arial"/>
          <w:sz w:val="24"/>
          <w:szCs w:val="24"/>
          <w:lang w:val="en-GB"/>
        </w:rPr>
      </w:pPr>
    </w:p>
    <w:p w14:paraId="651E1121" w14:textId="4D84136D" w:rsidR="00AC1D13" w:rsidRDefault="00AC1D13" w:rsidP="00796420">
      <w:pPr>
        <w:spacing w:line="276" w:lineRule="auto"/>
      </w:pPr>
    </w:p>
    <w:p w14:paraId="5EEA20C6" w14:textId="56F84683" w:rsidR="00AC1D13" w:rsidRDefault="00AC1D13" w:rsidP="00796420">
      <w:pPr>
        <w:spacing w:line="276" w:lineRule="auto"/>
      </w:pPr>
    </w:p>
    <w:p w14:paraId="0DB5EFBA" w14:textId="17BA67C6" w:rsidR="00AC1D13" w:rsidRDefault="00AC1D13" w:rsidP="00796420">
      <w:pPr>
        <w:spacing w:line="276" w:lineRule="auto"/>
      </w:pPr>
    </w:p>
    <w:p w14:paraId="239519EE" w14:textId="77777777" w:rsidR="00AC1D13" w:rsidRDefault="00AC1D13" w:rsidP="00796420">
      <w:pPr>
        <w:spacing w:line="276" w:lineRule="auto"/>
        <w:sectPr w:rsidR="00AC1D13" w:rsidSect="000710F4">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titlePg/>
          <w:docGrid w:linePitch="360"/>
        </w:sectPr>
      </w:pPr>
    </w:p>
    <w:p w14:paraId="2A1420C6" w14:textId="426947AA" w:rsidR="006B0DC3" w:rsidRPr="00C65844" w:rsidRDefault="006B0DC3" w:rsidP="00796420">
      <w:pPr>
        <w:spacing w:line="276" w:lineRule="auto"/>
        <w:rPr>
          <w:rFonts w:ascii="Arial" w:hAnsi="Arial" w:cs="Arial"/>
          <w:sz w:val="24"/>
          <w:szCs w:val="24"/>
        </w:rPr>
      </w:pPr>
      <w:r w:rsidRPr="00C65844">
        <w:rPr>
          <w:rFonts w:ascii="Arial" w:hAnsi="Arial" w:cs="Arial"/>
          <w:sz w:val="24"/>
          <w:szCs w:val="24"/>
        </w:rPr>
        <w:lastRenderedPageBreak/>
        <w:t xml:space="preserve">© Crown copyright </w:t>
      </w:r>
      <w:r w:rsidR="005B1BEC" w:rsidRPr="00C65844">
        <w:rPr>
          <w:rFonts w:ascii="Arial" w:hAnsi="Arial" w:cs="Arial"/>
          <w:sz w:val="24"/>
          <w:szCs w:val="24"/>
        </w:rPr>
        <w:t>202</w:t>
      </w:r>
      <w:r w:rsidR="00574213">
        <w:rPr>
          <w:rFonts w:ascii="Arial" w:hAnsi="Arial" w:cs="Arial"/>
          <w:sz w:val="24"/>
          <w:szCs w:val="24"/>
        </w:rPr>
        <w:t>4</w:t>
      </w:r>
    </w:p>
    <w:p w14:paraId="613A21B9" w14:textId="77777777" w:rsidR="006B0DC3" w:rsidRPr="00C65844" w:rsidRDefault="006B0DC3" w:rsidP="00796420">
      <w:pPr>
        <w:spacing w:line="276" w:lineRule="auto"/>
        <w:rPr>
          <w:rFonts w:ascii="Arial" w:hAnsi="Arial" w:cs="Arial"/>
          <w:sz w:val="24"/>
          <w:szCs w:val="24"/>
        </w:rPr>
      </w:pPr>
    </w:p>
    <w:p w14:paraId="0E2C8F3A" w14:textId="77777777" w:rsidR="006B0DC3" w:rsidRPr="00C65844" w:rsidRDefault="006B0DC3" w:rsidP="00796420">
      <w:pPr>
        <w:pStyle w:val="ParagraphText-unnumbered"/>
        <w:spacing w:line="276" w:lineRule="auto"/>
        <w:rPr>
          <w:rFonts w:cs="Arial"/>
          <w:szCs w:val="24"/>
        </w:rPr>
      </w:pPr>
      <w:r w:rsidRPr="00C65844">
        <w:rPr>
          <w:rFonts w:cs="Arial"/>
          <w:szCs w:val="24"/>
        </w:rPr>
        <w:t xml:space="preserve">This publication is licensed under the terms of the Open Government Licence v3.0 except where otherwise stated. To view this licence, visit </w:t>
      </w:r>
      <w:hyperlink r:id="rId18" w:history="1">
        <w:r w:rsidRPr="00C65844">
          <w:rPr>
            <w:rStyle w:val="Hyperlink"/>
            <w:rFonts w:cs="Arial"/>
            <w:szCs w:val="24"/>
          </w:rPr>
          <w:t>nationalarchives.gov.uk/doc/open-government-licence/version/3</w:t>
        </w:r>
      </w:hyperlink>
    </w:p>
    <w:p w14:paraId="5E7F4F74" w14:textId="0ECABC13" w:rsidR="006B0DC3" w:rsidRPr="00C65844" w:rsidRDefault="006B0DC3" w:rsidP="00796420">
      <w:pPr>
        <w:pStyle w:val="ParagraphText-unnumbered"/>
        <w:spacing w:line="276" w:lineRule="auto"/>
        <w:rPr>
          <w:rFonts w:cs="Arial"/>
          <w:szCs w:val="24"/>
        </w:rPr>
      </w:pPr>
      <w:r w:rsidRPr="00C65844">
        <w:rPr>
          <w:rFonts w:cs="Arial"/>
          <w:szCs w:val="24"/>
        </w:rPr>
        <w:t xml:space="preserve">Where we have identified any </w:t>
      </w:r>
      <w:r w:rsidR="005A3046" w:rsidRPr="00C65844">
        <w:rPr>
          <w:rFonts w:cs="Arial"/>
          <w:szCs w:val="24"/>
        </w:rPr>
        <w:t>third-party</w:t>
      </w:r>
      <w:r w:rsidRPr="00C65844">
        <w:rPr>
          <w:rFonts w:cs="Arial"/>
          <w:szCs w:val="24"/>
        </w:rPr>
        <w:t xml:space="preserve"> copyright information you will need to obtain permission from the copyright holders concerned.</w:t>
      </w:r>
    </w:p>
    <w:p w14:paraId="5517F57F" w14:textId="77777777" w:rsidR="006B0DC3" w:rsidRPr="00C65844" w:rsidRDefault="006B0DC3" w:rsidP="00796420">
      <w:pPr>
        <w:pStyle w:val="ParagraphText-unnumbered"/>
        <w:spacing w:line="276" w:lineRule="auto"/>
        <w:rPr>
          <w:rFonts w:cs="Arial"/>
          <w:szCs w:val="24"/>
        </w:rPr>
      </w:pPr>
      <w:r w:rsidRPr="00C65844">
        <w:rPr>
          <w:rFonts w:cs="Arial"/>
          <w:szCs w:val="24"/>
        </w:rPr>
        <w:t xml:space="preserve">Published to GOV.UK in pdf format only: </w:t>
      </w:r>
      <w:hyperlink r:id="rId19" w:history="1">
        <w:r w:rsidRPr="00C65844">
          <w:rPr>
            <w:rStyle w:val="Hyperlink"/>
            <w:rFonts w:cs="Arial"/>
            <w:szCs w:val="24"/>
          </w:rPr>
          <w:t>www.gov.uk/dhsc</w:t>
        </w:r>
      </w:hyperlink>
    </w:p>
    <w:p w14:paraId="1331F99B" w14:textId="1B8EEA32" w:rsidR="006B0DC3" w:rsidRPr="00C65844" w:rsidRDefault="006B0DC3" w:rsidP="00796420">
      <w:pPr>
        <w:pStyle w:val="ParagraphText-unnumbered"/>
        <w:spacing w:line="276" w:lineRule="auto"/>
        <w:rPr>
          <w:rFonts w:cs="Arial"/>
          <w:szCs w:val="24"/>
        </w:rPr>
      </w:pPr>
      <w:r w:rsidRPr="00C65844">
        <w:rPr>
          <w:rFonts w:cs="Arial"/>
          <w:szCs w:val="24"/>
        </w:rPr>
        <w:t>Any enquiries regarding this publication should be sent to</w:t>
      </w:r>
      <w:r w:rsidR="00AF3C59">
        <w:rPr>
          <w:rFonts w:cs="Arial"/>
          <w:szCs w:val="24"/>
        </w:rPr>
        <w:t xml:space="preserve"> </w:t>
      </w:r>
      <w:r w:rsidR="00AF3C59" w:rsidRPr="00AF3C59">
        <w:rPr>
          <w:rFonts w:cs="Arial"/>
          <w:szCs w:val="24"/>
        </w:rPr>
        <w:t>mhrasponsorship@dhsc.gov.uk</w:t>
      </w:r>
    </w:p>
    <w:p w14:paraId="7F417B6F" w14:textId="77777777" w:rsidR="006B0DC3" w:rsidRPr="00CE4955" w:rsidRDefault="006B0DC3" w:rsidP="00796420">
      <w:pPr>
        <w:pStyle w:val="ParagraphText-unnumbered"/>
        <w:spacing w:line="276" w:lineRule="auto"/>
      </w:pPr>
    </w:p>
    <w:p w14:paraId="24EED9B3" w14:textId="77777777" w:rsidR="00CC0CE8" w:rsidRDefault="00CC0CE8" w:rsidP="00796420">
      <w:pPr>
        <w:pStyle w:val="ParagraphText-unnumbered"/>
        <w:spacing w:line="276" w:lineRule="auto"/>
      </w:pPr>
    </w:p>
    <w:p w14:paraId="0E294026" w14:textId="581C51E8" w:rsidR="006B0DC3" w:rsidRDefault="006B0DC3" w:rsidP="00796420">
      <w:pPr>
        <w:pStyle w:val="ParagraphText-unnumbered"/>
        <w:spacing w:line="276" w:lineRule="auto"/>
      </w:pPr>
      <w:r w:rsidRPr="00CE4955">
        <w:rPr>
          <w:noProof/>
        </w:rPr>
        <w:drawing>
          <wp:anchor distT="0" distB="0" distL="114300" distR="114300" simplePos="0" relativeHeight="251658242" behindDoc="0" locked="0" layoutInCell="1" allowOverlap="1" wp14:anchorId="5F8E97CB" wp14:editId="7C62241A">
            <wp:simplePos x="0" y="0"/>
            <wp:positionH relativeFrom="margin">
              <wp:align>left</wp:align>
            </wp:positionH>
            <wp:positionV relativeFrom="paragraph">
              <wp:posOffset>24765</wp:posOffset>
            </wp:positionV>
            <wp:extent cx="771525" cy="381000"/>
            <wp:effectExtent l="0" t="0" r="0" b="0"/>
            <wp:wrapSquare wrapText="bothSides"/>
            <wp:docPr id="3" name="Picture 3" descr="OGL logo" title="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GL logo" title="OG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D2660" w14:textId="1037F4C4" w:rsidR="0078257E" w:rsidRDefault="0078257E" w:rsidP="00796420">
      <w:pPr>
        <w:pStyle w:val="TOCHeading"/>
        <w:spacing w:line="276" w:lineRule="auto"/>
      </w:pPr>
    </w:p>
    <w:p w14:paraId="306F4C4E" w14:textId="77777777" w:rsidR="00AC1D13" w:rsidRDefault="00AC1D13" w:rsidP="00796420">
      <w:pPr>
        <w:pStyle w:val="TOCHeading"/>
        <w:spacing w:line="276" w:lineRule="auto"/>
      </w:pPr>
    </w:p>
    <w:p w14:paraId="17916FA3" w14:textId="77777777" w:rsidR="00CE589A" w:rsidRDefault="00CE589A" w:rsidP="00CE589A">
      <w:pPr>
        <w:rPr>
          <w:lang w:val="en-US"/>
        </w:rPr>
      </w:pPr>
    </w:p>
    <w:p w14:paraId="028702C8" w14:textId="6F652D8D" w:rsidR="006F12E8" w:rsidRPr="00CE589A" w:rsidRDefault="006F12E8" w:rsidP="006F12E8">
      <w:pPr>
        <w:ind w:left="0" w:firstLine="0"/>
        <w:rPr>
          <w:lang w:val="en-US"/>
        </w:rPr>
        <w:sectPr w:rsidR="006F12E8" w:rsidRPr="00CE589A" w:rsidSect="000710F4">
          <w:pgSz w:w="11906" w:h="16838"/>
          <w:pgMar w:top="1440" w:right="1080" w:bottom="1440" w:left="1080" w:header="708" w:footer="708" w:gutter="0"/>
          <w:cols w:space="708"/>
          <w:docGrid w:linePitch="360"/>
        </w:sectPr>
      </w:pPr>
    </w:p>
    <w:sdt>
      <w:sdtPr>
        <w:rPr>
          <w:rFonts w:asciiTheme="minorHAnsi" w:eastAsiaTheme="minorHAnsi" w:hAnsiTheme="minorHAnsi" w:cs="Arial"/>
          <w:b w:val="0"/>
          <w:color w:val="auto"/>
          <w:sz w:val="24"/>
          <w:szCs w:val="24"/>
          <w:lang w:val="en-GB"/>
        </w:rPr>
        <w:id w:val="1967308668"/>
        <w:docPartObj>
          <w:docPartGallery w:val="Table of Contents"/>
          <w:docPartUnique/>
        </w:docPartObj>
      </w:sdtPr>
      <w:sdtEndPr>
        <w:rPr>
          <w:bCs/>
          <w:noProof/>
        </w:rPr>
      </w:sdtEndPr>
      <w:sdtContent>
        <w:p w14:paraId="2FB45CAE" w14:textId="2814BB53" w:rsidR="00FD25CF" w:rsidRPr="00D45B0B" w:rsidRDefault="00AC1D13" w:rsidP="00796420">
          <w:pPr>
            <w:pStyle w:val="TOCHeading"/>
            <w:spacing w:line="276" w:lineRule="auto"/>
            <w:rPr>
              <w:rFonts w:cs="Arial"/>
              <w:b w:val="0"/>
              <w:bCs/>
              <w:szCs w:val="44"/>
            </w:rPr>
          </w:pPr>
          <w:r w:rsidRPr="00D45B0B">
            <w:rPr>
              <w:rFonts w:cs="Arial"/>
              <w:bCs/>
              <w:szCs w:val="44"/>
            </w:rPr>
            <w:t>Table of Content</w:t>
          </w:r>
          <w:r w:rsidR="00FD25CF" w:rsidRPr="00D45B0B">
            <w:rPr>
              <w:rFonts w:cs="Arial"/>
              <w:bCs/>
              <w:szCs w:val="44"/>
            </w:rPr>
            <w:t>s</w:t>
          </w:r>
        </w:p>
        <w:p w14:paraId="3E632C8E" w14:textId="77777777" w:rsidR="00AC1D13" w:rsidRPr="00D45B0B" w:rsidRDefault="00AC1D13" w:rsidP="00796420">
          <w:pPr>
            <w:spacing w:line="276" w:lineRule="auto"/>
            <w:rPr>
              <w:rFonts w:ascii="Arial" w:hAnsi="Arial" w:cs="Arial"/>
              <w:sz w:val="24"/>
              <w:szCs w:val="24"/>
              <w:lang w:val="en-US"/>
            </w:rPr>
          </w:pPr>
        </w:p>
        <w:p w14:paraId="74C73CD8" w14:textId="01A16ECD" w:rsidR="00615269" w:rsidRDefault="00FD25CF">
          <w:pPr>
            <w:pStyle w:val="TOC1"/>
            <w:rPr>
              <w:rFonts w:eastAsiaTheme="minorEastAsia"/>
              <w:b w:val="0"/>
              <w:noProof/>
              <w:lang w:eastAsia="en-GB"/>
            </w:rPr>
          </w:pPr>
          <w:r w:rsidRPr="00D45B0B">
            <w:rPr>
              <w:rFonts w:ascii="Arial" w:hAnsi="Arial" w:cs="Arial"/>
              <w:sz w:val="24"/>
              <w:szCs w:val="24"/>
            </w:rPr>
            <w:fldChar w:fldCharType="begin"/>
          </w:r>
          <w:r w:rsidRPr="00D45B0B">
            <w:rPr>
              <w:rFonts w:ascii="Arial" w:hAnsi="Arial" w:cs="Arial"/>
              <w:sz w:val="24"/>
              <w:szCs w:val="24"/>
            </w:rPr>
            <w:instrText xml:space="preserve"> TOC \o "1-3" \h \z \u </w:instrText>
          </w:r>
          <w:r w:rsidRPr="00D45B0B">
            <w:rPr>
              <w:rFonts w:ascii="Arial" w:hAnsi="Arial" w:cs="Arial"/>
              <w:sz w:val="24"/>
              <w:szCs w:val="24"/>
            </w:rPr>
            <w:fldChar w:fldCharType="separate"/>
          </w:r>
          <w:hyperlink w:anchor="_Toc153466331" w:history="1">
            <w:r w:rsidR="00615269" w:rsidRPr="00585F20">
              <w:rPr>
                <w:rStyle w:val="Hyperlink"/>
                <w:noProof/>
              </w:rPr>
              <w:t>Introduction and Background</w:t>
            </w:r>
            <w:r w:rsidR="00615269">
              <w:rPr>
                <w:noProof/>
                <w:webHidden/>
              </w:rPr>
              <w:tab/>
            </w:r>
            <w:r w:rsidR="00615269">
              <w:rPr>
                <w:noProof/>
                <w:webHidden/>
              </w:rPr>
              <w:fldChar w:fldCharType="begin"/>
            </w:r>
            <w:r w:rsidR="00615269">
              <w:rPr>
                <w:noProof/>
                <w:webHidden/>
              </w:rPr>
              <w:instrText xml:space="preserve"> PAGEREF _Toc153466331 \h </w:instrText>
            </w:r>
            <w:r w:rsidR="00615269">
              <w:rPr>
                <w:noProof/>
                <w:webHidden/>
              </w:rPr>
            </w:r>
            <w:r w:rsidR="00615269">
              <w:rPr>
                <w:noProof/>
                <w:webHidden/>
              </w:rPr>
              <w:fldChar w:fldCharType="separate"/>
            </w:r>
            <w:r w:rsidR="00615269">
              <w:rPr>
                <w:noProof/>
                <w:webHidden/>
              </w:rPr>
              <w:t>5</w:t>
            </w:r>
            <w:r w:rsidR="00615269">
              <w:rPr>
                <w:noProof/>
                <w:webHidden/>
              </w:rPr>
              <w:fldChar w:fldCharType="end"/>
            </w:r>
          </w:hyperlink>
        </w:p>
        <w:p w14:paraId="1A762FD8" w14:textId="2D89B9C8" w:rsidR="00615269" w:rsidRDefault="00B64BF4">
          <w:pPr>
            <w:pStyle w:val="TOC2"/>
            <w:tabs>
              <w:tab w:val="right" w:leader="dot" w:pos="9736"/>
            </w:tabs>
            <w:rPr>
              <w:rFonts w:eastAsiaTheme="minorEastAsia"/>
              <w:noProof/>
              <w:lang w:eastAsia="en-GB"/>
            </w:rPr>
          </w:pPr>
          <w:hyperlink w:anchor="_Toc153466332" w:history="1">
            <w:r w:rsidR="00615269" w:rsidRPr="00585F20">
              <w:rPr>
                <w:rStyle w:val="Hyperlink"/>
                <w:noProof/>
              </w:rPr>
              <w:t>1.</w:t>
            </w:r>
            <w:r w:rsidR="00615269">
              <w:rPr>
                <w:rFonts w:eastAsiaTheme="minorEastAsia"/>
                <w:noProof/>
                <w:lang w:eastAsia="en-GB"/>
              </w:rPr>
              <w:tab/>
            </w:r>
            <w:r w:rsidR="00615269" w:rsidRPr="00585F20">
              <w:rPr>
                <w:rStyle w:val="Hyperlink"/>
                <w:noProof/>
              </w:rPr>
              <w:t>Purpose of this document</w:t>
            </w:r>
            <w:r w:rsidR="00615269">
              <w:rPr>
                <w:noProof/>
                <w:webHidden/>
              </w:rPr>
              <w:tab/>
            </w:r>
            <w:r w:rsidR="00615269">
              <w:rPr>
                <w:noProof/>
                <w:webHidden/>
              </w:rPr>
              <w:fldChar w:fldCharType="begin"/>
            </w:r>
            <w:r w:rsidR="00615269">
              <w:rPr>
                <w:noProof/>
                <w:webHidden/>
              </w:rPr>
              <w:instrText xml:space="preserve"> PAGEREF _Toc153466332 \h </w:instrText>
            </w:r>
            <w:r w:rsidR="00615269">
              <w:rPr>
                <w:noProof/>
                <w:webHidden/>
              </w:rPr>
            </w:r>
            <w:r w:rsidR="00615269">
              <w:rPr>
                <w:noProof/>
                <w:webHidden/>
              </w:rPr>
              <w:fldChar w:fldCharType="separate"/>
            </w:r>
            <w:r w:rsidR="00615269">
              <w:rPr>
                <w:noProof/>
                <w:webHidden/>
              </w:rPr>
              <w:t>5</w:t>
            </w:r>
            <w:r w:rsidR="00615269">
              <w:rPr>
                <w:noProof/>
                <w:webHidden/>
              </w:rPr>
              <w:fldChar w:fldCharType="end"/>
            </w:r>
          </w:hyperlink>
        </w:p>
        <w:p w14:paraId="4316313C" w14:textId="27EA7D24" w:rsidR="00615269" w:rsidRDefault="00B64BF4">
          <w:pPr>
            <w:pStyle w:val="TOC2"/>
            <w:tabs>
              <w:tab w:val="right" w:leader="dot" w:pos="9736"/>
            </w:tabs>
            <w:rPr>
              <w:rFonts w:eastAsiaTheme="minorEastAsia"/>
              <w:noProof/>
              <w:lang w:eastAsia="en-GB"/>
            </w:rPr>
          </w:pPr>
          <w:hyperlink w:anchor="_Toc153466333" w:history="1">
            <w:r w:rsidR="00615269" w:rsidRPr="00585F20">
              <w:rPr>
                <w:rStyle w:val="Hyperlink"/>
                <w:noProof/>
              </w:rPr>
              <w:t>2.</w:t>
            </w:r>
            <w:r w:rsidR="00615269">
              <w:rPr>
                <w:rFonts w:eastAsiaTheme="minorEastAsia"/>
                <w:noProof/>
                <w:lang w:eastAsia="en-GB"/>
              </w:rPr>
              <w:tab/>
            </w:r>
            <w:r w:rsidR="00615269" w:rsidRPr="00585F20">
              <w:rPr>
                <w:rStyle w:val="Hyperlink"/>
                <w:noProof/>
              </w:rPr>
              <w:t>Objectives</w:t>
            </w:r>
            <w:r w:rsidR="00615269">
              <w:rPr>
                <w:noProof/>
                <w:webHidden/>
              </w:rPr>
              <w:tab/>
            </w:r>
            <w:r w:rsidR="00615269">
              <w:rPr>
                <w:noProof/>
                <w:webHidden/>
              </w:rPr>
              <w:fldChar w:fldCharType="begin"/>
            </w:r>
            <w:r w:rsidR="00615269">
              <w:rPr>
                <w:noProof/>
                <w:webHidden/>
              </w:rPr>
              <w:instrText xml:space="preserve"> PAGEREF _Toc153466333 \h </w:instrText>
            </w:r>
            <w:r w:rsidR="00615269">
              <w:rPr>
                <w:noProof/>
                <w:webHidden/>
              </w:rPr>
            </w:r>
            <w:r w:rsidR="00615269">
              <w:rPr>
                <w:noProof/>
                <w:webHidden/>
              </w:rPr>
              <w:fldChar w:fldCharType="separate"/>
            </w:r>
            <w:r w:rsidR="00615269">
              <w:rPr>
                <w:noProof/>
                <w:webHidden/>
              </w:rPr>
              <w:t>5</w:t>
            </w:r>
            <w:r w:rsidR="00615269">
              <w:rPr>
                <w:noProof/>
                <w:webHidden/>
              </w:rPr>
              <w:fldChar w:fldCharType="end"/>
            </w:r>
          </w:hyperlink>
        </w:p>
        <w:p w14:paraId="456B9460" w14:textId="5F709324" w:rsidR="00615269" w:rsidRDefault="00B64BF4">
          <w:pPr>
            <w:pStyle w:val="TOC2"/>
            <w:tabs>
              <w:tab w:val="right" w:leader="dot" w:pos="9736"/>
            </w:tabs>
            <w:rPr>
              <w:rFonts w:eastAsiaTheme="minorEastAsia"/>
              <w:noProof/>
              <w:lang w:eastAsia="en-GB"/>
            </w:rPr>
          </w:pPr>
          <w:hyperlink w:anchor="_Toc153466334" w:history="1">
            <w:r w:rsidR="00615269" w:rsidRPr="00585F20">
              <w:rPr>
                <w:rStyle w:val="Hyperlink"/>
                <w:noProof/>
              </w:rPr>
              <w:t>3.</w:t>
            </w:r>
            <w:r w:rsidR="00615269">
              <w:rPr>
                <w:rFonts w:eastAsiaTheme="minorEastAsia"/>
                <w:noProof/>
                <w:lang w:eastAsia="en-GB"/>
              </w:rPr>
              <w:tab/>
            </w:r>
            <w:r w:rsidR="00615269" w:rsidRPr="00585F20">
              <w:rPr>
                <w:rStyle w:val="Hyperlink"/>
                <w:noProof/>
              </w:rPr>
              <w:t>Classification</w:t>
            </w:r>
            <w:r w:rsidR="00615269">
              <w:rPr>
                <w:noProof/>
                <w:webHidden/>
              </w:rPr>
              <w:tab/>
            </w:r>
            <w:r w:rsidR="00615269">
              <w:rPr>
                <w:noProof/>
                <w:webHidden/>
              </w:rPr>
              <w:fldChar w:fldCharType="begin"/>
            </w:r>
            <w:r w:rsidR="00615269">
              <w:rPr>
                <w:noProof/>
                <w:webHidden/>
              </w:rPr>
              <w:instrText xml:space="preserve"> PAGEREF _Toc153466334 \h </w:instrText>
            </w:r>
            <w:r w:rsidR="00615269">
              <w:rPr>
                <w:noProof/>
                <w:webHidden/>
              </w:rPr>
            </w:r>
            <w:r w:rsidR="00615269">
              <w:rPr>
                <w:noProof/>
                <w:webHidden/>
              </w:rPr>
              <w:fldChar w:fldCharType="separate"/>
            </w:r>
            <w:r w:rsidR="00615269">
              <w:rPr>
                <w:noProof/>
                <w:webHidden/>
              </w:rPr>
              <w:t>6</w:t>
            </w:r>
            <w:r w:rsidR="00615269">
              <w:rPr>
                <w:noProof/>
                <w:webHidden/>
              </w:rPr>
              <w:fldChar w:fldCharType="end"/>
            </w:r>
          </w:hyperlink>
        </w:p>
        <w:p w14:paraId="4B280EF3" w14:textId="5726FB2E" w:rsidR="00615269" w:rsidRDefault="00B64BF4">
          <w:pPr>
            <w:pStyle w:val="TOC1"/>
            <w:rPr>
              <w:rFonts w:eastAsiaTheme="minorEastAsia"/>
              <w:b w:val="0"/>
              <w:noProof/>
              <w:lang w:eastAsia="en-GB"/>
            </w:rPr>
          </w:pPr>
          <w:hyperlink w:anchor="_Toc153466335" w:history="1">
            <w:r w:rsidR="00615269" w:rsidRPr="00585F20">
              <w:rPr>
                <w:rStyle w:val="Hyperlink"/>
                <w:noProof/>
              </w:rPr>
              <w:t>Purposes, Aims and Duties</w:t>
            </w:r>
            <w:r w:rsidR="00615269">
              <w:rPr>
                <w:noProof/>
                <w:webHidden/>
              </w:rPr>
              <w:tab/>
            </w:r>
            <w:r w:rsidR="00615269">
              <w:rPr>
                <w:noProof/>
                <w:webHidden/>
              </w:rPr>
              <w:fldChar w:fldCharType="begin"/>
            </w:r>
            <w:r w:rsidR="00615269">
              <w:rPr>
                <w:noProof/>
                <w:webHidden/>
              </w:rPr>
              <w:instrText xml:space="preserve"> PAGEREF _Toc153466335 \h </w:instrText>
            </w:r>
            <w:r w:rsidR="00615269">
              <w:rPr>
                <w:noProof/>
                <w:webHidden/>
              </w:rPr>
            </w:r>
            <w:r w:rsidR="00615269">
              <w:rPr>
                <w:noProof/>
                <w:webHidden/>
              </w:rPr>
              <w:fldChar w:fldCharType="separate"/>
            </w:r>
            <w:r w:rsidR="00615269">
              <w:rPr>
                <w:noProof/>
                <w:webHidden/>
              </w:rPr>
              <w:t>7</w:t>
            </w:r>
            <w:r w:rsidR="00615269">
              <w:rPr>
                <w:noProof/>
                <w:webHidden/>
              </w:rPr>
              <w:fldChar w:fldCharType="end"/>
            </w:r>
          </w:hyperlink>
        </w:p>
        <w:p w14:paraId="5AD26594" w14:textId="14CE0574" w:rsidR="00615269" w:rsidRDefault="00B64BF4">
          <w:pPr>
            <w:pStyle w:val="TOC2"/>
            <w:tabs>
              <w:tab w:val="right" w:leader="dot" w:pos="9736"/>
            </w:tabs>
            <w:rPr>
              <w:rFonts w:eastAsiaTheme="minorEastAsia"/>
              <w:noProof/>
              <w:lang w:eastAsia="en-GB"/>
            </w:rPr>
          </w:pPr>
          <w:hyperlink w:anchor="_Toc153466336" w:history="1">
            <w:r w:rsidR="00615269" w:rsidRPr="00585F20">
              <w:rPr>
                <w:rStyle w:val="Hyperlink"/>
                <w:noProof/>
              </w:rPr>
              <w:t>4.</w:t>
            </w:r>
            <w:r w:rsidR="00615269">
              <w:rPr>
                <w:rFonts w:eastAsiaTheme="minorEastAsia"/>
                <w:noProof/>
                <w:lang w:eastAsia="en-GB"/>
              </w:rPr>
              <w:tab/>
            </w:r>
            <w:r w:rsidR="00615269" w:rsidRPr="00585F20">
              <w:rPr>
                <w:rStyle w:val="Hyperlink"/>
                <w:noProof/>
              </w:rPr>
              <w:t>Purposes</w:t>
            </w:r>
            <w:r w:rsidR="00615269">
              <w:rPr>
                <w:noProof/>
                <w:webHidden/>
              </w:rPr>
              <w:tab/>
            </w:r>
            <w:r w:rsidR="00615269">
              <w:rPr>
                <w:noProof/>
                <w:webHidden/>
              </w:rPr>
              <w:fldChar w:fldCharType="begin"/>
            </w:r>
            <w:r w:rsidR="00615269">
              <w:rPr>
                <w:noProof/>
                <w:webHidden/>
              </w:rPr>
              <w:instrText xml:space="preserve"> PAGEREF _Toc153466336 \h </w:instrText>
            </w:r>
            <w:r w:rsidR="00615269">
              <w:rPr>
                <w:noProof/>
                <w:webHidden/>
              </w:rPr>
            </w:r>
            <w:r w:rsidR="00615269">
              <w:rPr>
                <w:noProof/>
                <w:webHidden/>
              </w:rPr>
              <w:fldChar w:fldCharType="separate"/>
            </w:r>
            <w:r w:rsidR="00615269">
              <w:rPr>
                <w:noProof/>
                <w:webHidden/>
              </w:rPr>
              <w:t>7</w:t>
            </w:r>
            <w:r w:rsidR="00615269">
              <w:rPr>
                <w:noProof/>
                <w:webHidden/>
              </w:rPr>
              <w:fldChar w:fldCharType="end"/>
            </w:r>
          </w:hyperlink>
        </w:p>
        <w:p w14:paraId="548FCEC8" w14:textId="6C9FE32D" w:rsidR="00615269" w:rsidRDefault="00B64BF4">
          <w:pPr>
            <w:pStyle w:val="TOC2"/>
            <w:tabs>
              <w:tab w:val="right" w:leader="dot" w:pos="9736"/>
            </w:tabs>
            <w:rPr>
              <w:rFonts w:eastAsiaTheme="minorEastAsia"/>
              <w:noProof/>
              <w:lang w:eastAsia="en-GB"/>
            </w:rPr>
          </w:pPr>
          <w:hyperlink w:anchor="_Toc153466337" w:history="1">
            <w:r w:rsidR="00615269" w:rsidRPr="00585F20">
              <w:rPr>
                <w:rStyle w:val="Hyperlink"/>
                <w:noProof/>
              </w:rPr>
              <w:t>5.</w:t>
            </w:r>
            <w:r w:rsidR="00615269">
              <w:rPr>
                <w:rFonts w:eastAsiaTheme="minorEastAsia"/>
                <w:noProof/>
                <w:lang w:eastAsia="en-GB"/>
              </w:rPr>
              <w:tab/>
            </w:r>
            <w:r w:rsidR="00615269" w:rsidRPr="00585F20">
              <w:rPr>
                <w:rStyle w:val="Hyperlink"/>
                <w:noProof/>
              </w:rPr>
              <w:t>Aims</w:t>
            </w:r>
            <w:r w:rsidR="00615269">
              <w:rPr>
                <w:noProof/>
                <w:webHidden/>
              </w:rPr>
              <w:tab/>
            </w:r>
            <w:r w:rsidR="00615269">
              <w:rPr>
                <w:noProof/>
                <w:webHidden/>
              </w:rPr>
              <w:fldChar w:fldCharType="begin"/>
            </w:r>
            <w:r w:rsidR="00615269">
              <w:rPr>
                <w:noProof/>
                <w:webHidden/>
              </w:rPr>
              <w:instrText xml:space="preserve"> PAGEREF _Toc153466337 \h </w:instrText>
            </w:r>
            <w:r w:rsidR="00615269">
              <w:rPr>
                <w:noProof/>
                <w:webHidden/>
              </w:rPr>
            </w:r>
            <w:r w:rsidR="00615269">
              <w:rPr>
                <w:noProof/>
                <w:webHidden/>
              </w:rPr>
              <w:fldChar w:fldCharType="separate"/>
            </w:r>
            <w:r w:rsidR="00615269">
              <w:rPr>
                <w:noProof/>
                <w:webHidden/>
              </w:rPr>
              <w:t>8</w:t>
            </w:r>
            <w:r w:rsidR="00615269">
              <w:rPr>
                <w:noProof/>
                <w:webHidden/>
              </w:rPr>
              <w:fldChar w:fldCharType="end"/>
            </w:r>
          </w:hyperlink>
        </w:p>
        <w:p w14:paraId="2BFCBDB4" w14:textId="6B0CABC7" w:rsidR="00615269" w:rsidRDefault="00B64BF4">
          <w:pPr>
            <w:pStyle w:val="TOC2"/>
            <w:tabs>
              <w:tab w:val="right" w:leader="dot" w:pos="9736"/>
            </w:tabs>
            <w:rPr>
              <w:rFonts w:eastAsiaTheme="minorEastAsia"/>
              <w:noProof/>
              <w:lang w:eastAsia="en-GB"/>
            </w:rPr>
          </w:pPr>
          <w:hyperlink w:anchor="_Toc153466338" w:history="1">
            <w:r w:rsidR="00615269" w:rsidRPr="00585F20">
              <w:rPr>
                <w:rStyle w:val="Hyperlink"/>
                <w:noProof/>
              </w:rPr>
              <w:t>6.</w:t>
            </w:r>
            <w:r w:rsidR="00615269">
              <w:rPr>
                <w:rFonts w:eastAsiaTheme="minorEastAsia"/>
                <w:noProof/>
                <w:lang w:eastAsia="en-GB"/>
              </w:rPr>
              <w:tab/>
            </w:r>
            <w:r w:rsidR="00615269" w:rsidRPr="00585F20">
              <w:rPr>
                <w:rStyle w:val="Hyperlink"/>
                <w:noProof/>
              </w:rPr>
              <w:t>Powers and Duties</w:t>
            </w:r>
            <w:r w:rsidR="00615269">
              <w:rPr>
                <w:noProof/>
                <w:webHidden/>
              </w:rPr>
              <w:tab/>
            </w:r>
            <w:r w:rsidR="00615269">
              <w:rPr>
                <w:noProof/>
                <w:webHidden/>
              </w:rPr>
              <w:fldChar w:fldCharType="begin"/>
            </w:r>
            <w:r w:rsidR="00615269">
              <w:rPr>
                <w:noProof/>
                <w:webHidden/>
              </w:rPr>
              <w:instrText xml:space="preserve"> PAGEREF _Toc153466338 \h </w:instrText>
            </w:r>
            <w:r w:rsidR="00615269">
              <w:rPr>
                <w:noProof/>
                <w:webHidden/>
              </w:rPr>
            </w:r>
            <w:r w:rsidR="00615269">
              <w:rPr>
                <w:noProof/>
                <w:webHidden/>
              </w:rPr>
              <w:fldChar w:fldCharType="separate"/>
            </w:r>
            <w:r w:rsidR="00615269">
              <w:rPr>
                <w:noProof/>
                <w:webHidden/>
              </w:rPr>
              <w:t>8</w:t>
            </w:r>
            <w:r w:rsidR="00615269">
              <w:rPr>
                <w:noProof/>
                <w:webHidden/>
              </w:rPr>
              <w:fldChar w:fldCharType="end"/>
            </w:r>
          </w:hyperlink>
        </w:p>
        <w:p w14:paraId="1A065D36" w14:textId="7C835A6D" w:rsidR="00615269" w:rsidRDefault="00B64BF4">
          <w:pPr>
            <w:pStyle w:val="TOC1"/>
            <w:rPr>
              <w:rFonts w:eastAsiaTheme="minorEastAsia"/>
              <w:b w:val="0"/>
              <w:noProof/>
              <w:lang w:eastAsia="en-GB"/>
            </w:rPr>
          </w:pPr>
          <w:hyperlink w:anchor="_Toc153466339" w:history="1">
            <w:r w:rsidR="00615269" w:rsidRPr="00585F20">
              <w:rPr>
                <w:rStyle w:val="Hyperlink"/>
                <w:noProof/>
              </w:rPr>
              <w:t>Role of the Department</w:t>
            </w:r>
            <w:r w:rsidR="00615269">
              <w:rPr>
                <w:noProof/>
                <w:webHidden/>
              </w:rPr>
              <w:tab/>
            </w:r>
            <w:r w:rsidR="00615269">
              <w:rPr>
                <w:noProof/>
                <w:webHidden/>
              </w:rPr>
              <w:fldChar w:fldCharType="begin"/>
            </w:r>
            <w:r w:rsidR="00615269">
              <w:rPr>
                <w:noProof/>
                <w:webHidden/>
              </w:rPr>
              <w:instrText xml:space="preserve"> PAGEREF _Toc153466339 \h </w:instrText>
            </w:r>
            <w:r w:rsidR="00615269">
              <w:rPr>
                <w:noProof/>
                <w:webHidden/>
              </w:rPr>
            </w:r>
            <w:r w:rsidR="00615269">
              <w:rPr>
                <w:noProof/>
                <w:webHidden/>
              </w:rPr>
              <w:fldChar w:fldCharType="separate"/>
            </w:r>
            <w:r w:rsidR="00615269">
              <w:rPr>
                <w:noProof/>
                <w:webHidden/>
              </w:rPr>
              <w:t>14</w:t>
            </w:r>
            <w:r w:rsidR="00615269">
              <w:rPr>
                <w:noProof/>
                <w:webHidden/>
              </w:rPr>
              <w:fldChar w:fldCharType="end"/>
            </w:r>
          </w:hyperlink>
        </w:p>
        <w:p w14:paraId="0132AAA7" w14:textId="4D87CE81" w:rsidR="00615269" w:rsidRDefault="00B64BF4">
          <w:pPr>
            <w:pStyle w:val="TOC2"/>
            <w:tabs>
              <w:tab w:val="right" w:leader="dot" w:pos="9736"/>
            </w:tabs>
            <w:rPr>
              <w:rFonts w:eastAsiaTheme="minorEastAsia"/>
              <w:noProof/>
              <w:lang w:eastAsia="en-GB"/>
            </w:rPr>
          </w:pPr>
          <w:hyperlink w:anchor="_Toc153466340" w:history="1">
            <w:r w:rsidR="00615269" w:rsidRPr="00585F20">
              <w:rPr>
                <w:rStyle w:val="Hyperlink"/>
                <w:noProof/>
              </w:rPr>
              <w:t>7.</w:t>
            </w:r>
            <w:r w:rsidR="00615269">
              <w:rPr>
                <w:rFonts w:eastAsiaTheme="minorEastAsia"/>
                <w:noProof/>
                <w:lang w:eastAsia="en-GB"/>
              </w:rPr>
              <w:tab/>
            </w:r>
            <w:r w:rsidR="00615269" w:rsidRPr="00585F20">
              <w:rPr>
                <w:rStyle w:val="Hyperlink"/>
                <w:noProof/>
              </w:rPr>
              <w:t>The responsible minister</w:t>
            </w:r>
            <w:r w:rsidR="00615269">
              <w:rPr>
                <w:noProof/>
                <w:webHidden/>
              </w:rPr>
              <w:tab/>
            </w:r>
            <w:r w:rsidR="00615269">
              <w:rPr>
                <w:noProof/>
                <w:webHidden/>
              </w:rPr>
              <w:fldChar w:fldCharType="begin"/>
            </w:r>
            <w:r w:rsidR="00615269">
              <w:rPr>
                <w:noProof/>
                <w:webHidden/>
              </w:rPr>
              <w:instrText xml:space="preserve"> PAGEREF _Toc153466340 \h </w:instrText>
            </w:r>
            <w:r w:rsidR="00615269">
              <w:rPr>
                <w:noProof/>
                <w:webHidden/>
              </w:rPr>
            </w:r>
            <w:r w:rsidR="00615269">
              <w:rPr>
                <w:noProof/>
                <w:webHidden/>
              </w:rPr>
              <w:fldChar w:fldCharType="separate"/>
            </w:r>
            <w:r w:rsidR="00615269">
              <w:rPr>
                <w:noProof/>
                <w:webHidden/>
              </w:rPr>
              <w:t>14</w:t>
            </w:r>
            <w:r w:rsidR="00615269">
              <w:rPr>
                <w:noProof/>
                <w:webHidden/>
              </w:rPr>
              <w:fldChar w:fldCharType="end"/>
            </w:r>
          </w:hyperlink>
        </w:p>
        <w:p w14:paraId="0FC96777" w14:textId="339B293A" w:rsidR="00615269" w:rsidRDefault="00B64BF4">
          <w:pPr>
            <w:pStyle w:val="TOC2"/>
            <w:tabs>
              <w:tab w:val="right" w:leader="dot" w:pos="9736"/>
            </w:tabs>
            <w:rPr>
              <w:rFonts w:eastAsiaTheme="minorEastAsia"/>
              <w:noProof/>
              <w:lang w:eastAsia="en-GB"/>
            </w:rPr>
          </w:pPr>
          <w:hyperlink w:anchor="_Toc153466341" w:history="1">
            <w:r w:rsidR="00615269" w:rsidRPr="00585F20">
              <w:rPr>
                <w:rStyle w:val="Hyperlink"/>
                <w:noProof/>
              </w:rPr>
              <w:t>8.</w:t>
            </w:r>
            <w:r w:rsidR="00615269">
              <w:rPr>
                <w:rFonts w:eastAsiaTheme="minorEastAsia"/>
                <w:noProof/>
                <w:lang w:eastAsia="en-GB"/>
              </w:rPr>
              <w:tab/>
            </w:r>
            <w:r w:rsidR="00615269" w:rsidRPr="00585F20">
              <w:rPr>
                <w:rStyle w:val="Hyperlink"/>
                <w:noProof/>
              </w:rPr>
              <w:t>The Principal Accounting Officer</w:t>
            </w:r>
            <w:r w:rsidR="00615269">
              <w:rPr>
                <w:noProof/>
                <w:webHidden/>
              </w:rPr>
              <w:tab/>
            </w:r>
            <w:r w:rsidR="00615269">
              <w:rPr>
                <w:noProof/>
                <w:webHidden/>
              </w:rPr>
              <w:fldChar w:fldCharType="begin"/>
            </w:r>
            <w:r w:rsidR="00615269">
              <w:rPr>
                <w:noProof/>
                <w:webHidden/>
              </w:rPr>
              <w:instrText xml:space="preserve"> PAGEREF _Toc153466341 \h </w:instrText>
            </w:r>
            <w:r w:rsidR="00615269">
              <w:rPr>
                <w:noProof/>
                <w:webHidden/>
              </w:rPr>
            </w:r>
            <w:r w:rsidR="00615269">
              <w:rPr>
                <w:noProof/>
                <w:webHidden/>
              </w:rPr>
              <w:fldChar w:fldCharType="separate"/>
            </w:r>
            <w:r w:rsidR="00615269">
              <w:rPr>
                <w:noProof/>
                <w:webHidden/>
              </w:rPr>
              <w:t>14</w:t>
            </w:r>
            <w:r w:rsidR="00615269">
              <w:rPr>
                <w:noProof/>
                <w:webHidden/>
              </w:rPr>
              <w:fldChar w:fldCharType="end"/>
            </w:r>
          </w:hyperlink>
        </w:p>
        <w:p w14:paraId="3C930CCF" w14:textId="48ED05ED" w:rsidR="00615269" w:rsidRDefault="00B64BF4">
          <w:pPr>
            <w:pStyle w:val="TOC2"/>
            <w:tabs>
              <w:tab w:val="right" w:leader="dot" w:pos="9736"/>
            </w:tabs>
            <w:rPr>
              <w:rFonts w:eastAsiaTheme="minorEastAsia"/>
              <w:noProof/>
              <w:lang w:eastAsia="en-GB"/>
            </w:rPr>
          </w:pPr>
          <w:hyperlink w:anchor="_Toc153466342" w:history="1">
            <w:r w:rsidR="00615269" w:rsidRPr="00585F20">
              <w:rPr>
                <w:rStyle w:val="Hyperlink"/>
                <w:noProof/>
              </w:rPr>
              <w:t>9.</w:t>
            </w:r>
            <w:r w:rsidR="00615269">
              <w:rPr>
                <w:rFonts w:eastAsiaTheme="minorEastAsia"/>
                <w:noProof/>
                <w:lang w:eastAsia="en-GB"/>
              </w:rPr>
              <w:tab/>
            </w:r>
            <w:r w:rsidR="00615269" w:rsidRPr="00585F20">
              <w:rPr>
                <w:rStyle w:val="Hyperlink"/>
                <w:noProof/>
              </w:rPr>
              <w:t>The role of the sponsorship team</w:t>
            </w:r>
            <w:r w:rsidR="00615269">
              <w:rPr>
                <w:noProof/>
                <w:webHidden/>
              </w:rPr>
              <w:tab/>
            </w:r>
            <w:r w:rsidR="00615269">
              <w:rPr>
                <w:noProof/>
                <w:webHidden/>
              </w:rPr>
              <w:fldChar w:fldCharType="begin"/>
            </w:r>
            <w:r w:rsidR="00615269">
              <w:rPr>
                <w:noProof/>
                <w:webHidden/>
              </w:rPr>
              <w:instrText xml:space="preserve"> PAGEREF _Toc153466342 \h </w:instrText>
            </w:r>
            <w:r w:rsidR="00615269">
              <w:rPr>
                <w:noProof/>
                <w:webHidden/>
              </w:rPr>
            </w:r>
            <w:r w:rsidR="00615269">
              <w:rPr>
                <w:noProof/>
                <w:webHidden/>
              </w:rPr>
              <w:fldChar w:fldCharType="separate"/>
            </w:r>
            <w:r w:rsidR="00615269">
              <w:rPr>
                <w:noProof/>
                <w:webHidden/>
              </w:rPr>
              <w:t>16</w:t>
            </w:r>
            <w:r w:rsidR="00615269">
              <w:rPr>
                <w:noProof/>
                <w:webHidden/>
              </w:rPr>
              <w:fldChar w:fldCharType="end"/>
            </w:r>
          </w:hyperlink>
        </w:p>
        <w:p w14:paraId="705F389A" w14:textId="75BF68CD" w:rsidR="00615269" w:rsidRDefault="00B64BF4">
          <w:pPr>
            <w:pStyle w:val="TOC2"/>
            <w:tabs>
              <w:tab w:val="right" w:leader="dot" w:pos="9736"/>
            </w:tabs>
            <w:rPr>
              <w:rFonts w:eastAsiaTheme="minorEastAsia"/>
              <w:noProof/>
              <w:lang w:eastAsia="en-GB"/>
            </w:rPr>
          </w:pPr>
          <w:hyperlink w:anchor="_Toc153466343" w:history="1">
            <w:r w:rsidR="00615269" w:rsidRPr="00585F20">
              <w:rPr>
                <w:rStyle w:val="Hyperlink"/>
                <w:noProof/>
              </w:rPr>
              <w:t>10.</w:t>
            </w:r>
            <w:r w:rsidR="00615269">
              <w:rPr>
                <w:rFonts w:eastAsiaTheme="minorEastAsia"/>
                <w:noProof/>
                <w:lang w:eastAsia="en-GB"/>
              </w:rPr>
              <w:tab/>
            </w:r>
            <w:r w:rsidR="00615269" w:rsidRPr="00585F20">
              <w:rPr>
                <w:rStyle w:val="Hyperlink"/>
                <w:noProof/>
              </w:rPr>
              <w:t>Roles and responsibilities within the policy framework</w:t>
            </w:r>
            <w:r w:rsidR="00615269">
              <w:rPr>
                <w:noProof/>
                <w:webHidden/>
              </w:rPr>
              <w:tab/>
            </w:r>
            <w:r w:rsidR="00615269">
              <w:rPr>
                <w:noProof/>
                <w:webHidden/>
              </w:rPr>
              <w:fldChar w:fldCharType="begin"/>
            </w:r>
            <w:r w:rsidR="00615269">
              <w:rPr>
                <w:noProof/>
                <w:webHidden/>
              </w:rPr>
              <w:instrText xml:space="preserve"> PAGEREF _Toc153466343 \h </w:instrText>
            </w:r>
            <w:r w:rsidR="00615269">
              <w:rPr>
                <w:noProof/>
                <w:webHidden/>
              </w:rPr>
            </w:r>
            <w:r w:rsidR="00615269">
              <w:rPr>
                <w:noProof/>
                <w:webHidden/>
              </w:rPr>
              <w:fldChar w:fldCharType="separate"/>
            </w:r>
            <w:r w:rsidR="00615269">
              <w:rPr>
                <w:noProof/>
                <w:webHidden/>
              </w:rPr>
              <w:t>17</w:t>
            </w:r>
            <w:r w:rsidR="00615269">
              <w:rPr>
                <w:noProof/>
                <w:webHidden/>
              </w:rPr>
              <w:fldChar w:fldCharType="end"/>
            </w:r>
          </w:hyperlink>
        </w:p>
        <w:p w14:paraId="100B548C" w14:textId="638AD829" w:rsidR="00615269" w:rsidRDefault="00B64BF4">
          <w:pPr>
            <w:pStyle w:val="TOC2"/>
            <w:tabs>
              <w:tab w:val="right" w:leader="dot" w:pos="9736"/>
            </w:tabs>
            <w:rPr>
              <w:rFonts w:eastAsiaTheme="minorEastAsia"/>
              <w:noProof/>
              <w:lang w:eastAsia="en-GB"/>
            </w:rPr>
          </w:pPr>
          <w:hyperlink w:anchor="_Toc153466344" w:history="1">
            <w:r w:rsidR="00615269" w:rsidRPr="00585F20">
              <w:rPr>
                <w:rStyle w:val="Hyperlink"/>
                <w:noProof/>
              </w:rPr>
              <w:t>11.</w:t>
            </w:r>
            <w:r w:rsidR="00615269">
              <w:rPr>
                <w:rFonts w:eastAsiaTheme="minorEastAsia"/>
                <w:noProof/>
                <w:lang w:eastAsia="en-GB"/>
              </w:rPr>
              <w:tab/>
            </w:r>
            <w:r w:rsidR="00615269" w:rsidRPr="00585F20">
              <w:rPr>
                <w:rStyle w:val="Hyperlink"/>
                <w:noProof/>
              </w:rPr>
              <w:t>Agreed principles on ways of working</w:t>
            </w:r>
            <w:r w:rsidR="00615269">
              <w:rPr>
                <w:noProof/>
                <w:webHidden/>
              </w:rPr>
              <w:tab/>
            </w:r>
            <w:r w:rsidR="00615269">
              <w:rPr>
                <w:noProof/>
                <w:webHidden/>
              </w:rPr>
              <w:fldChar w:fldCharType="begin"/>
            </w:r>
            <w:r w:rsidR="00615269">
              <w:rPr>
                <w:noProof/>
                <w:webHidden/>
              </w:rPr>
              <w:instrText xml:space="preserve"> PAGEREF _Toc153466344 \h </w:instrText>
            </w:r>
            <w:r w:rsidR="00615269">
              <w:rPr>
                <w:noProof/>
                <w:webHidden/>
              </w:rPr>
            </w:r>
            <w:r w:rsidR="00615269">
              <w:rPr>
                <w:noProof/>
                <w:webHidden/>
              </w:rPr>
              <w:fldChar w:fldCharType="separate"/>
            </w:r>
            <w:r w:rsidR="00615269">
              <w:rPr>
                <w:noProof/>
                <w:webHidden/>
              </w:rPr>
              <w:t>18</w:t>
            </w:r>
            <w:r w:rsidR="00615269">
              <w:rPr>
                <w:noProof/>
                <w:webHidden/>
              </w:rPr>
              <w:fldChar w:fldCharType="end"/>
            </w:r>
          </w:hyperlink>
        </w:p>
        <w:p w14:paraId="1DB74837" w14:textId="22CC29B6" w:rsidR="00615269" w:rsidRDefault="00B64BF4">
          <w:pPr>
            <w:pStyle w:val="TOC2"/>
            <w:tabs>
              <w:tab w:val="right" w:leader="dot" w:pos="9736"/>
            </w:tabs>
            <w:rPr>
              <w:rFonts w:eastAsiaTheme="minorEastAsia"/>
              <w:noProof/>
              <w:lang w:eastAsia="en-GB"/>
            </w:rPr>
          </w:pPr>
          <w:hyperlink w:anchor="_Toc153466345" w:history="1">
            <w:r w:rsidR="00615269" w:rsidRPr="00585F20">
              <w:rPr>
                <w:rStyle w:val="Hyperlink"/>
                <w:noProof/>
              </w:rPr>
              <w:t>12.</w:t>
            </w:r>
            <w:r w:rsidR="00615269">
              <w:rPr>
                <w:rFonts w:eastAsiaTheme="minorEastAsia"/>
                <w:noProof/>
                <w:lang w:eastAsia="en-GB"/>
              </w:rPr>
              <w:tab/>
            </w:r>
            <w:r w:rsidR="00615269" w:rsidRPr="00585F20">
              <w:rPr>
                <w:rStyle w:val="Hyperlink"/>
                <w:noProof/>
              </w:rPr>
              <w:t>Resolution of disputes between the Agency and the Department</w:t>
            </w:r>
            <w:r w:rsidR="00615269">
              <w:rPr>
                <w:noProof/>
                <w:webHidden/>
              </w:rPr>
              <w:tab/>
            </w:r>
            <w:r w:rsidR="00615269">
              <w:rPr>
                <w:noProof/>
                <w:webHidden/>
              </w:rPr>
              <w:fldChar w:fldCharType="begin"/>
            </w:r>
            <w:r w:rsidR="00615269">
              <w:rPr>
                <w:noProof/>
                <w:webHidden/>
              </w:rPr>
              <w:instrText xml:space="preserve"> PAGEREF _Toc153466345 \h </w:instrText>
            </w:r>
            <w:r w:rsidR="00615269">
              <w:rPr>
                <w:noProof/>
                <w:webHidden/>
              </w:rPr>
            </w:r>
            <w:r w:rsidR="00615269">
              <w:rPr>
                <w:noProof/>
                <w:webHidden/>
              </w:rPr>
              <w:fldChar w:fldCharType="separate"/>
            </w:r>
            <w:r w:rsidR="00615269">
              <w:rPr>
                <w:noProof/>
                <w:webHidden/>
              </w:rPr>
              <w:t>21</w:t>
            </w:r>
            <w:r w:rsidR="00615269">
              <w:rPr>
                <w:noProof/>
                <w:webHidden/>
              </w:rPr>
              <w:fldChar w:fldCharType="end"/>
            </w:r>
          </w:hyperlink>
        </w:p>
        <w:p w14:paraId="1B5A3927" w14:textId="3CC09947" w:rsidR="00615269" w:rsidRDefault="00B64BF4">
          <w:pPr>
            <w:pStyle w:val="TOC2"/>
            <w:tabs>
              <w:tab w:val="right" w:leader="dot" w:pos="9736"/>
            </w:tabs>
            <w:rPr>
              <w:rFonts w:eastAsiaTheme="minorEastAsia"/>
              <w:noProof/>
              <w:lang w:eastAsia="en-GB"/>
            </w:rPr>
          </w:pPr>
          <w:hyperlink w:anchor="_Toc153466346" w:history="1">
            <w:r w:rsidR="00615269" w:rsidRPr="00585F20">
              <w:rPr>
                <w:rStyle w:val="Hyperlink"/>
                <w:noProof/>
              </w:rPr>
              <w:t>13.</w:t>
            </w:r>
            <w:r w:rsidR="00615269">
              <w:rPr>
                <w:rFonts w:eastAsiaTheme="minorEastAsia"/>
                <w:noProof/>
                <w:lang w:eastAsia="en-GB"/>
              </w:rPr>
              <w:tab/>
            </w:r>
            <w:r w:rsidR="00615269" w:rsidRPr="00585F20">
              <w:rPr>
                <w:rStyle w:val="Hyperlink"/>
                <w:noProof/>
              </w:rPr>
              <w:t>Action in the event of underperformance</w:t>
            </w:r>
            <w:r w:rsidR="00615269">
              <w:rPr>
                <w:noProof/>
                <w:webHidden/>
              </w:rPr>
              <w:tab/>
            </w:r>
            <w:r w:rsidR="00615269">
              <w:rPr>
                <w:noProof/>
                <w:webHidden/>
              </w:rPr>
              <w:fldChar w:fldCharType="begin"/>
            </w:r>
            <w:r w:rsidR="00615269">
              <w:rPr>
                <w:noProof/>
                <w:webHidden/>
              </w:rPr>
              <w:instrText xml:space="preserve"> PAGEREF _Toc153466346 \h </w:instrText>
            </w:r>
            <w:r w:rsidR="00615269">
              <w:rPr>
                <w:noProof/>
                <w:webHidden/>
              </w:rPr>
            </w:r>
            <w:r w:rsidR="00615269">
              <w:rPr>
                <w:noProof/>
                <w:webHidden/>
              </w:rPr>
              <w:fldChar w:fldCharType="separate"/>
            </w:r>
            <w:r w:rsidR="00615269">
              <w:rPr>
                <w:noProof/>
                <w:webHidden/>
              </w:rPr>
              <w:t>21</w:t>
            </w:r>
            <w:r w:rsidR="00615269">
              <w:rPr>
                <w:noProof/>
                <w:webHidden/>
              </w:rPr>
              <w:fldChar w:fldCharType="end"/>
            </w:r>
          </w:hyperlink>
        </w:p>
        <w:p w14:paraId="6F4F5878" w14:textId="37459E3F" w:rsidR="00615269" w:rsidRDefault="00B64BF4">
          <w:pPr>
            <w:pStyle w:val="TOC2"/>
            <w:tabs>
              <w:tab w:val="right" w:leader="dot" w:pos="9736"/>
            </w:tabs>
            <w:rPr>
              <w:rFonts w:eastAsiaTheme="minorEastAsia"/>
              <w:noProof/>
              <w:lang w:eastAsia="en-GB"/>
            </w:rPr>
          </w:pPr>
          <w:hyperlink w:anchor="_Toc153466347" w:history="1">
            <w:r w:rsidR="00615269" w:rsidRPr="00585F20">
              <w:rPr>
                <w:rStyle w:val="Hyperlink"/>
                <w:noProof/>
              </w:rPr>
              <w:t>14.</w:t>
            </w:r>
            <w:r w:rsidR="00615269">
              <w:rPr>
                <w:rFonts w:eastAsiaTheme="minorEastAsia"/>
                <w:noProof/>
                <w:lang w:eastAsia="en-GB"/>
              </w:rPr>
              <w:tab/>
            </w:r>
            <w:r w:rsidR="00615269" w:rsidRPr="00585F20">
              <w:rPr>
                <w:rStyle w:val="Hyperlink"/>
                <w:noProof/>
              </w:rPr>
              <w:t>Freedom of Information requests</w:t>
            </w:r>
            <w:r w:rsidR="00615269">
              <w:rPr>
                <w:noProof/>
                <w:webHidden/>
              </w:rPr>
              <w:tab/>
            </w:r>
            <w:r w:rsidR="00615269">
              <w:rPr>
                <w:noProof/>
                <w:webHidden/>
              </w:rPr>
              <w:fldChar w:fldCharType="begin"/>
            </w:r>
            <w:r w:rsidR="00615269">
              <w:rPr>
                <w:noProof/>
                <w:webHidden/>
              </w:rPr>
              <w:instrText xml:space="preserve"> PAGEREF _Toc153466347 \h </w:instrText>
            </w:r>
            <w:r w:rsidR="00615269">
              <w:rPr>
                <w:noProof/>
                <w:webHidden/>
              </w:rPr>
            </w:r>
            <w:r w:rsidR="00615269">
              <w:rPr>
                <w:noProof/>
                <w:webHidden/>
              </w:rPr>
              <w:fldChar w:fldCharType="separate"/>
            </w:r>
            <w:r w:rsidR="00615269">
              <w:rPr>
                <w:noProof/>
                <w:webHidden/>
              </w:rPr>
              <w:t>22</w:t>
            </w:r>
            <w:r w:rsidR="00615269">
              <w:rPr>
                <w:noProof/>
                <w:webHidden/>
              </w:rPr>
              <w:fldChar w:fldCharType="end"/>
            </w:r>
          </w:hyperlink>
        </w:p>
        <w:p w14:paraId="5201E27D" w14:textId="009F74B3" w:rsidR="00615269" w:rsidRDefault="00B64BF4">
          <w:pPr>
            <w:pStyle w:val="TOC2"/>
            <w:tabs>
              <w:tab w:val="right" w:leader="dot" w:pos="9736"/>
            </w:tabs>
            <w:rPr>
              <w:rFonts w:eastAsiaTheme="minorEastAsia"/>
              <w:noProof/>
              <w:lang w:eastAsia="en-GB"/>
            </w:rPr>
          </w:pPr>
          <w:hyperlink w:anchor="_Toc153466348" w:history="1">
            <w:r w:rsidR="00615269" w:rsidRPr="00585F20">
              <w:rPr>
                <w:rStyle w:val="Hyperlink"/>
                <w:noProof/>
              </w:rPr>
              <w:t>15.</w:t>
            </w:r>
            <w:r w:rsidR="00615269">
              <w:rPr>
                <w:rFonts w:eastAsiaTheme="minorEastAsia"/>
                <w:noProof/>
                <w:lang w:eastAsia="en-GB"/>
              </w:rPr>
              <w:tab/>
            </w:r>
            <w:r w:rsidR="00615269" w:rsidRPr="00585F20">
              <w:rPr>
                <w:rStyle w:val="Hyperlink"/>
                <w:noProof/>
              </w:rPr>
              <w:t>Relationships with the Department's other arm's length bodies and delivery partners</w:t>
            </w:r>
            <w:r w:rsidR="00615269">
              <w:rPr>
                <w:noProof/>
                <w:webHidden/>
              </w:rPr>
              <w:tab/>
            </w:r>
            <w:r w:rsidR="00615269">
              <w:rPr>
                <w:noProof/>
                <w:webHidden/>
              </w:rPr>
              <w:fldChar w:fldCharType="begin"/>
            </w:r>
            <w:r w:rsidR="00615269">
              <w:rPr>
                <w:noProof/>
                <w:webHidden/>
              </w:rPr>
              <w:instrText xml:space="preserve"> PAGEREF _Toc153466348 \h </w:instrText>
            </w:r>
            <w:r w:rsidR="00615269">
              <w:rPr>
                <w:noProof/>
                <w:webHidden/>
              </w:rPr>
            </w:r>
            <w:r w:rsidR="00615269">
              <w:rPr>
                <w:noProof/>
                <w:webHidden/>
              </w:rPr>
              <w:fldChar w:fldCharType="separate"/>
            </w:r>
            <w:r w:rsidR="00615269">
              <w:rPr>
                <w:noProof/>
                <w:webHidden/>
              </w:rPr>
              <w:t>22</w:t>
            </w:r>
            <w:r w:rsidR="00615269">
              <w:rPr>
                <w:noProof/>
                <w:webHidden/>
              </w:rPr>
              <w:fldChar w:fldCharType="end"/>
            </w:r>
          </w:hyperlink>
        </w:p>
        <w:p w14:paraId="2D5AA8A8" w14:textId="5F8B2467" w:rsidR="00615269" w:rsidRDefault="00B64BF4">
          <w:pPr>
            <w:pStyle w:val="TOC1"/>
            <w:rPr>
              <w:rFonts w:eastAsiaTheme="minorEastAsia"/>
              <w:b w:val="0"/>
              <w:noProof/>
              <w:lang w:eastAsia="en-GB"/>
            </w:rPr>
          </w:pPr>
          <w:hyperlink w:anchor="_Toc153466349" w:history="1">
            <w:r w:rsidR="00615269" w:rsidRPr="00585F20">
              <w:rPr>
                <w:rStyle w:val="Hyperlink"/>
                <w:noProof/>
              </w:rPr>
              <w:t>The Agency’s Governance and Structure</w:t>
            </w:r>
            <w:r w:rsidR="00615269">
              <w:rPr>
                <w:noProof/>
                <w:webHidden/>
              </w:rPr>
              <w:tab/>
            </w:r>
            <w:r w:rsidR="00615269">
              <w:rPr>
                <w:noProof/>
                <w:webHidden/>
              </w:rPr>
              <w:fldChar w:fldCharType="begin"/>
            </w:r>
            <w:r w:rsidR="00615269">
              <w:rPr>
                <w:noProof/>
                <w:webHidden/>
              </w:rPr>
              <w:instrText xml:space="preserve"> PAGEREF _Toc153466349 \h </w:instrText>
            </w:r>
            <w:r w:rsidR="00615269">
              <w:rPr>
                <w:noProof/>
                <w:webHidden/>
              </w:rPr>
            </w:r>
            <w:r w:rsidR="00615269">
              <w:rPr>
                <w:noProof/>
                <w:webHidden/>
              </w:rPr>
              <w:fldChar w:fldCharType="separate"/>
            </w:r>
            <w:r w:rsidR="00615269">
              <w:rPr>
                <w:noProof/>
                <w:webHidden/>
              </w:rPr>
              <w:t>24</w:t>
            </w:r>
            <w:r w:rsidR="00615269">
              <w:rPr>
                <w:noProof/>
                <w:webHidden/>
              </w:rPr>
              <w:fldChar w:fldCharType="end"/>
            </w:r>
          </w:hyperlink>
        </w:p>
        <w:p w14:paraId="0A05074E" w14:textId="6E1CEF88" w:rsidR="00615269" w:rsidRDefault="00B64BF4">
          <w:pPr>
            <w:pStyle w:val="TOC2"/>
            <w:tabs>
              <w:tab w:val="right" w:leader="dot" w:pos="9736"/>
            </w:tabs>
            <w:rPr>
              <w:rFonts w:eastAsiaTheme="minorEastAsia"/>
              <w:noProof/>
              <w:lang w:eastAsia="en-GB"/>
            </w:rPr>
          </w:pPr>
          <w:hyperlink w:anchor="_Toc153466350" w:history="1">
            <w:r w:rsidR="00615269" w:rsidRPr="00585F20">
              <w:rPr>
                <w:rStyle w:val="Hyperlink"/>
                <w:noProof/>
              </w:rPr>
              <w:t>16.</w:t>
            </w:r>
            <w:r w:rsidR="00615269">
              <w:rPr>
                <w:rFonts w:eastAsiaTheme="minorEastAsia"/>
                <w:noProof/>
                <w:lang w:eastAsia="en-GB"/>
              </w:rPr>
              <w:tab/>
            </w:r>
            <w:r w:rsidR="00615269" w:rsidRPr="00585F20">
              <w:rPr>
                <w:rStyle w:val="Hyperlink"/>
                <w:noProof/>
              </w:rPr>
              <w:t>Governance and Accountability</w:t>
            </w:r>
            <w:r w:rsidR="00615269">
              <w:rPr>
                <w:noProof/>
                <w:webHidden/>
              </w:rPr>
              <w:tab/>
            </w:r>
            <w:r w:rsidR="00615269">
              <w:rPr>
                <w:noProof/>
                <w:webHidden/>
              </w:rPr>
              <w:fldChar w:fldCharType="begin"/>
            </w:r>
            <w:r w:rsidR="00615269">
              <w:rPr>
                <w:noProof/>
                <w:webHidden/>
              </w:rPr>
              <w:instrText xml:space="preserve"> PAGEREF _Toc153466350 \h </w:instrText>
            </w:r>
            <w:r w:rsidR="00615269">
              <w:rPr>
                <w:noProof/>
                <w:webHidden/>
              </w:rPr>
            </w:r>
            <w:r w:rsidR="00615269">
              <w:rPr>
                <w:noProof/>
                <w:webHidden/>
              </w:rPr>
              <w:fldChar w:fldCharType="separate"/>
            </w:r>
            <w:r w:rsidR="00615269">
              <w:rPr>
                <w:noProof/>
                <w:webHidden/>
              </w:rPr>
              <w:t>24</w:t>
            </w:r>
            <w:r w:rsidR="00615269">
              <w:rPr>
                <w:noProof/>
                <w:webHidden/>
              </w:rPr>
              <w:fldChar w:fldCharType="end"/>
            </w:r>
          </w:hyperlink>
        </w:p>
        <w:p w14:paraId="7DF5FFBE" w14:textId="64050024" w:rsidR="00615269" w:rsidRDefault="00B64BF4">
          <w:pPr>
            <w:pStyle w:val="TOC2"/>
            <w:tabs>
              <w:tab w:val="right" w:leader="dot" w:pos="9736"/>
            </w:tabs>
            <w:rPr>
              <w:rFonts w:eastAsiaTheme="minorEastAsia"/>
              <w:noProof/>
              <w:lang w:eastAsia="en-GB"/>
            </w:rPr>
          </w:pPr>
          <w:hyperlink w:anchor="_Toc153466351" w:history="1">
            <w:r w:rsidR="00615269" w:rsidRPr="00585F20">
              <w:rPr>
                <w:rStyle w:val="Hyperlink"/>
                <w:noProof/>
              </w:rPr>
              <w:t>17.</w:t>
            </w:r>
            <w:r w:rsidR="00615269">
              <w:rPr>
                <w:rFonts w:eastAsiaTheme="minorEastAsia"/>
                <w:noProof/>
                <w:lang w:eastAsia="en-GB"/>
              </w:rPr>
              <w:tab/>
            </w:r>
            <w:r w:rsidR="00615269" w:rsidRPr="00585F20">
              <w:rPr>
                <w:rStyle w:val="Hyperlink"/>
                <w:noProof/>
              </w:rPr>
              <w:t>The Chief Executive</w:t>
            </w:r>
            <w:r w:rsidR="00615269">
              <w:rPr>
                <w:noProof/>
                <w:webHidden/>
              </w:rPr>
              <w:tab/>
            </w:r>
            <w:r w:rsidR="00615269">
              <w:rPr>
                <w:noProof/>
                <w:webHidden/>
              </w:rPr>
              <w:fldChar w:fldCharType="begin"/>
            </w:r>
            <w:r w:rsidR="00615269">
              <w:rPr>
                <w:noProof/>
                <w:webHidden/>
              </w:rPr>
              <w:instrText xml:space="preserve"> PAGEREF _Toc153466351 \h </w:instrText>
            </w:r>
            <w:r w:rsidR="00615269">
              <w:rPr>
                <w:noProof/>
                <w:webHidden/>
              </w:rPr>
            </w:r>
            <w:r w:rsidR="00615269">
              <w:rPr>
                <w:noProof/>
                <w:webHidden/>
              </w:rPr>
              <w:fldChar w:fldCharType="separate"/>
            </w:r>
            <w:r w:rsidR="00615269">
              <w:rPr>
                <w:noProof/>
                <w:webHidden/>
              </w:rPr>
              <w:t>25</w:t>
            </w:r>
            <w:r w:rsidR="00615269">
              <w:rPr>
                <w:noProof/>
                <w:webHidden/>
              </w:rPr>
              <w:fldChar w:fldCharType="end"/>
            </w:r>
          </w:hyperlink>
        </w:p>
        <w:p w14:paraId="61611601" w14:textId="5DE6829D" w:rsidR="00615269" w:rsidRDefault="00B64BF4">
          <w:pPr>
            <w:pStyle w:val="TOC2"/>
            <w:tabs>
              <w:tab w:val="right" w:leader="dot" w:pos="9736"/>
            </w:tabs>
            <w:rPr>
              <w:rFonts w:eastAsiaTheme="minorEastAsia"/>
              <w:noProof/>
              <w:lang w:eastAsia="en-GB"/>
            </w:rPr>
          </w:pPr>
          <w:hyperlink w:anchor="_Toc153466352" w:history="1">
            <w:r w:rsidR="00615269" w:rsidRPr="00585F20">
              <w:rPr>
                <w:rStyle w:val="Hyperlink"/>
                <w:noProof/>
              </w:rPr>
              <w:t>18.</w:t>
            </w:r>
            <w:r w:rsidR="00615269">
              <w:rPr>
                <w:rFonts w:eastAsiaTheme="minorEastAsia"/>
                <w:noProof/>
                <w:lang w:eastAsia="en-GB"/>
              </w:rPr>
              <w:tab/>
            </w:r>
            <w:r w:rsidR="00615269" w:rsidRPr="00585F20">
              <w:rPr>
                <w:rStyle w:val="Hyperlink"/>
                <w:noProof/>
              </w:rPr>
              <w:t>The Board</w:t>
            </w:r>
            <w:r w:rsidR="00615269">
              <w:rPr>
                <w:noProof/>
                <w:webHidden/>
              </w:rPr>
              <w:tab/>
            </w:r>
            <w:r w:rsidR="00615269">
              <w:rPr>
                <w:noProof/>
                <w:webHidden/>
              </w:rPr>
              <w:fldChar w:fldCharType="begin"/>
            </w:r>
            <w:r w:rsidR="00615269">
              <w:rPr>
                <w:noProof/>
                <w:webHidden/>
              </w:rPr>
              <w:instrText xml:space="preserve"> PAGEREF _Toc153466352 \h </w:instrText>
            </w:r>
            <w:r w:rsidR="00615269">
              <w:rPr>
                <w:noProof/>
                <w:webHidden/>
              </w:rPr>
            </w:r>
            <w:r w:rsidR="00615269">
              <w:rPr>
                <w:noProof/>
                <w:webHidden/>
              </w:rPr>
              <w:fldChar w:fldCharType="separate"/>
            </w:r>
            <w:r w:rsidR="00615269">
              <w:rPr>
                <w:noProof/>
                <w:webHidden/>
              </w:rPr>
              <w:t>28</w:t>
            </w:r>
            <w:r w:rsidR="00615269">
              <w:rPr>
                <w:noProof/>
                <w:webHidden/>
              </w:rPr>
              <w:fldChar w:fldCharType="end"/>
            </w:r>
          </w:hyperlink>
        </w:p>
        <w:p w14:paraId="64961979" w14:textId="6C222ADF" w:rsidR="00615269" w:rsidRDefault="00B64BF4">
          <w:pPr>
            <w:pStyle w:val="TOC2"/>
            <w:tabs>
              <w:tab w:val="right" w:leader="dot" w:pos="9736"/>
            </w:tabs>
            <w:rPr>
              <w:rFonts w:eastAsiaTheme="minorEastAsia"/>
              <w:noProof/>
              <w:lang w:eastAsia="en-GB"/>
            </w:rPr>
          </w:pPr>
          <w:hyperlink w:anchor="_Toc153466353" w:history="1">
            <w:r w:rsidR="00615269" w:rsidRPr="00585F20">
              <w:rPr>
                <w:rStyle w:val="Hyperlink"/>
                <w:noProof/>
              </w:rPr>
              <w:t>19.</w:t>
            </w:r>
            <w:r w:rsidR="00615269">
              <w:rPr>
                <w:rFonts w:eastAsiaTheme="minorEastAsia"/>
                <w:noProof/>
                <w:lang w:eastAsia="en-GB"/>
              </w:rPr>
              <w:tab/>
            </w:r>
            <w:r w:rsidR="00615269" w:rsidRPr="00585F20">
              <w:rPr>
                <w:rStyle w:val="Hyperlink"/>
                <w:noProof/>
              </w:rPr>
              <w:t>The Chair’s Role and Responsibilities</w:t>
            </w:r>
            <w:r w:rsidR="00615269">
              <w:rPr>
                <w:noProof/>
                <w:webHidden/>
              </w:rPr>
              <w:tab/>
            </w:r>
            <w:r w:rsidR="00615269">
              <w:rPr>
                <w:noProof/>
                <w:webHidden/>
              </w:rPr>
              <w:fldChar w:fldCharType="begin"/>
            </w:r>
            <w:r w:rsidR="00615269">
              <w:rPr>
                <w:noProof/>
                <w:webHidden/>
              </w:rPr>
              <w:instrText xml:space="preserve"> PAGEREF _Toc153466353 \h </w:instrText>
            </w:r>
            <w:r w:rsidR="00615269">
              <w:rPr>
                <w:noProof/>
                <w:webHidden/>
              </w:rPr>
            </w:r>
            <w:r w:rsidR="00615269">
              <w:rPr>
                <w:noProof/>
                <w:webHidden/>
              </w:rPr>
              <w:fldChar w:fldCharType="separate"/>
            </w:r>
            <w:r w:rsidR="00615269">
              <w:rPr>
                <w:noProof/>
                <w:webHidden/>
              </w:rPr>
              <w:t>33</w:t>
            </w:r>
            <w:r w:rsidR="00615269">
              <w:rPr>
                <w:noProof/>
                <w:webHidden/>
              </w:rPr>
              <w:fldChar w:fldCharType="end"/>
            </w:r>
          </w:hyperlink>
        </w:p>
        <w:p w14:paraId="6D5C337C" w14:textId="2C36EF25" w:rsidR="00615269" w:rsidRDefault="00B64BF4">
          <w:pPr>
            <w:pStyle w:val="TOC2"/>
            <w:tabs>
              <w:tab w:val="right" w:leader="dot" w:pos="9736"/>
            </w:tabs>
            <w:rPr>
              <w:rFonts w:eastAsiaTheme="minorEastAsia"/>
              <w:noProof/>
              <w:lang w:eastAsia="en-GB"/>
            </w:rPr>
          </w:pPr>
          <w:hyperlink w:anchor="_Toc153466354" w:history="1">
            <w:r w:rsidR="00615269" w:rsidRPr="00585F20">
              <w:rPr>
                <w:rStyle w:val="Hyperlink"/>
                <w:noProof/>
              </w:rPr>
              <w:t>20.</w:t>
            </w:r>
            <w:r w:rsidR="00615269">
              <w:rPr>
                <w:rFonts w:eastAsiaTheme="minorEastAsia"/>
                <w:noProof/>
                <w:lang w:eastAsia="en-GB"/>
              </w:rPr>
              <w:tab/>
            </w:r>
            <w:r w:rsidR="00615269" w:rsidRPr="00585F20">
              <w:rPr>
                <w:rStyle w:val="Hyperlink"/>
                <w:noProof/>
              </w:rPr>
              <w:t>Non-Executive Directors’ responsibilities</w:t>
            </w:r>
            <w:r w:rsidR="00615269">
              <w:rPr>
                <w:noProof/>
                <w:webHidden/>
              </w:rPr>
              <w:tab/>
            </w:r>
            <w:r w:rsidR="00615269">
              <w:rPr>
                <w:noProof/>
                <w:webHidden/>
              </w:rPr>
              <w:fldChar w:fldCharType="begin"/>
            </w:r>
            <w:r w:rsidR="00615269">
              <w:rPr>
                <w:noProof/>
                <w:webHidden/>
              </w:rPr>
              <w:instrText xml:space="preserve"> PAGEREF _Toc153466354 \h </w:instrText>
            </w:r>
            <w:r w:rsidR="00615269">
              <w:rPr>
                <w:noProof/>
                <w:webHidden/>
              </w:rPr>
            </w:r>
            <w:r w:rsidR="00615269">
              <w:rPr>
                <w:noProof/>
                <w:webHidden/>
              </w:rPr>
              <w:fldChar w:fldCharType="separate"/>
            </w:r>
            <w:r w:rsidR="00615269">
              <w:rPr>
                <w:noProof/>
                <w:webHidden/>
              </w:rPr>
              <w:t>36</w:t>
            </w:r>
            <w:r w:rsidR="00615269">
              <w:rPr>
                <w:noProof/>
                <w:webHidden/>
              </w:rPr>
              <w:fldChar w:fldCharType="end"/>
            </w:r>
          </w:hyperlink>
        </w:p>
        <w:p w14:paraId="053017E8" w14:textId="73ACEB42" w:rsidR="00615269" w:rsidRDefault="00B64BF4">
          <w:pPr>
            <w:pStyle w:val="TOC1"/>
            <w:rPr>
              <w:rFonts w:eastAsiaTheme="minorEastAsia"/>
              <w:b w:val="0"/>
              <w:noProof/>
              <w:lang w:eastAsia="en-GB"/>
            </w:rPr>
          </w:pPr>
          <w:hyperlink w:anchor="_Toc153466355" w:history="1">
            <w:r w:rsidR="00615269" w:rsidRPr="00585F20">
              <w:rPr>
                <w:rStyle w:val="Hyperlink"/>
                <w:noProof/>
              </w:rPr>
              <w:t>Management and financial responsibilities and controls</w:t>
            </w:r>
            <w:r w:rsidR="00615269">
              <w:rPr>
                <w:noProof/>
                <w:webHidden/>
              </w:rPr>
              <w:tab/>
            </w:r>
            <w:r w:rsidR="00615269">
              <w:rPr>
                <w:noProof/>
                <w:webHidden/>
              </w:rPr>
              <w:fldChar w:fldCharType="begin"/>
            </w:r>
            <w:r w:rsidR="00615269">
              <w:rPr>
                <w:noProof/>
                <w:webHidden/>
              </w:rPr>
              <w:instrText xml:space="preserve"> PAGEREF _Toc153466355 \h </w:instrText>
            </w:r>
            <w:r w:rsidR="00615269">
              <w:rPr>
                <w:noProof/>
                <w:webHidden/>
              </w:rPr>
            </w:r>
            <w:r w:rsidR="00615269">
              <w:rPr>
                <w:noProof/>
                <w:webHidden/>
              </w:rPr>
              <w:fldChar w:fldCharType="separate"/>
            </w:r>
            <w:r w:rsidR="00615269">
              <w:rPr>
                <w:noProof/>
                <w:webHidden/>
              </w:rPr>
              <w:t>37</w:t>
            </w:r>
            <w:r w:rsidR="00615269">
              <w:rPr>
                <w:noProof/>
                <w:webHidden/>
              </w:rPr>
              <w:fldChar w:fldCharType="end"/>
            </w:r>
          </w:hyperlink>
        </w:p>
        <w:p w14:paraId="2111DC80" w14:textId="2B58EA19" w:rsidR="00615269" w:rsidRDefault="00B64BF4">
          <w:pPr>
            <w:pStyle w:val="TOC2"/>
            <w:tabs>
              <w:tab w:val="right" w:leader="dot" w:pos="9736"/>
            </w:tabs>
            <w:rPr>
              <w:rFonts w:eastAsiaTheme="minorEastAsia"/>
              <w:noProof/>
              <w:lang w:eastAsia="en-GB"/>
            </w:rPr>
          </w:pPr>
          <w:hyperlink w:anchor="_Toc153466356" w:history="1">
            <w:r w:rsidR="00615269" w:rsidRPr="00585F20">
              <w:rPr>
                <w:rStyle w:val="Hyperlink"/>
                <w:noProof/>
              </w:rPr>
              <w:t>21.</w:t>
            </w:r>
            <w:r w:rsidR="00615269">
              <w:rPr>
                <w:rFonts w:eastAsiaTheme="minorEastAsia"/>
                <w:noProof/>
                <w:lang w:eastAsia="en-GB"/>
              </w:rPr>
              <w:tab/>
            </w:r>
            <w:r w:rsidR="00615269" w:rsidRPr="00585F20">
              <w:rPr>
                <w:rStyle w:val="Hyperlink"/>
                <w:noProof/>
              </w:rPr>
              <w:t>Income generation and fees</w:t>
            </w:r>
            <w:r w:rsidR="00615269">
              <w:rPr>
                <w:noProof/>
                <w:webHidden/>
              </w:rPr>
              <w:tab/>
            </w:r>
            <w:r w:rsidR="00615269">
              <w:rPr>
                <w:noProof/>
                <w:webHidden/>
              </w:rPr>
              <w:fldChar w:fldCharType="begin"/>
            </w:r>
            <w:r w:rsidR="00615269">
              <w:rPr>
                <w:noProof/>
                <w:webHidden/>
              </w:rPr>
              <w:instrText xml:space="preserve"> PAGEREF _Toc153466356 \h </w:instrText>
            </w:r>
            <w:r w:rsidR="00615269">
              <w:rPr>
                <w:noProof/>
                <w:webHidden/>
              </w:rPr>
            </w:r>
            <w:r w:rsidR="00615269">
              <w:rPr>
                <w:noProof/>
                <w:webHidden/>
              </w:rPr>
              <w:fldChar w:fldCharType="separate"/>
            </w:r>
            <w:r w:rsidR="00615269">
              <w:rPr>
                <w:noProof/>
                <w:webHidden/>
              </w:rPr>
              <w:t>37</w:t>
            </w:r>
            <w:r w:rsidR="00615269">
              <w:rPr>
                <w:noProof/>
                <w:webHidden/>
              </w:rPr>
              <w:fldChar w:fldCharType="end"/>
            </w:r>
          </w:hyperlink>
        </w:p>
        <w:p w14:paraId="4544DD56" w14:textId="5BD69863" w:rsidR="00615269" w:rsidRDefault="00B64BF4">
          <w:pPr>
            <w:pStyle w:val="TOC2"/>
            <w:tabs>
              <w:tab w:val="right" w:leader="dot" w:pos="9736"/>
            </w:tabs>
            <w:rPr>
              <w:rFonts w:eastAsiaTheme="minorEastAsia"/>
              <w:noProof/>
              <w:lang w:eastAsia="en-GB"/>
            </w:rPr>
          </w:pPr>
          <w:hyperlink w:anchor="_Toc153466357" w:history="1">
            <w:r w:rsidR="00615269" w:rsidRPr="00585F20">
              <w:rPr>
                <w:rStyle w:val="Hyperlink"/>
                <w:noProof/>
              </w:rPr>
              <w:t>22.</w:t>
            </w:r>
            <w:r w:rsidR="00615269">
              <w:rPr>
                <w:rFonts w:eastAsiaTheme="minorEastAsia"/>
                <w:noProof/>
                <w:lang w:eastAsia="en-GB"/>
              </w:rPr>
              <w:tab/>
            </w:r>
            <w:r w:rsidR="00615269" w:rsidRPr="00585F20">
              <w:rPr>
                <w:rStyle w:val="Hyperlink"/>
                <w:noProof/>
              </w:rPr>
              <w:t>Delegated authorities</w:t>
            </w:r>
            <w:r w:rsidR="00615269">
              <w:rPr>
                <w:noProof/>
                <w:webHidden/>
              </w:rPr>
              <w:tab/>
            </w:r>
            <w:r w:rsidR="00615269">
              <w:rPr>
                <w:noProof/>
                <w:webHidden/>
              </w:rPr>
              <w:fldChar w:fldCharType="begin"/>
            </w:r>
            <w:r w:rsidR="00615269">
              <w:rPr>
                <w:noProof/>
                <w:webHidden/>
              </w:rPr>
              <w:instrText xml:space="preserve"> PAGEREF _Toc153466357 \h </w:instrText>
            </w:r>
            <w:r w:rsidR="00615269">
              <w:rPr>
                <w:noProof/>
                <w:webHidden/>
              </w:rPr>
            </w:r>
            <w:r w:rsidR="00615269">
              <w:rPr>
                <w:noProof/>
                <w:webHidden/>
              </w:rPr>
              <w:fldChar w:fldCharType="separate"/>
            </w:r>
            <w:r w:rsidR="00615269">
              <w:rPr>
                <w:noProof/>
                <w:webHidden/>
              </w:rPr>
              <w:t>38</w:t>
            </w:r>
            <w:r w:rsidR="00615269">
              <w:rPr>
                <w:noProof/>
                <w:webHidden/>
              </w:rPr>
              <w:fldChar w:fldCharType="end"/>
            </w:r>
          </w:hyperlink>
        </w:p>
        <w:p w14:paraId="7DEC06FA" w14:textId="73712BAC" w:rsidR="00615269" w:rsidRDefault="00B64BF4">
          <w:pPr>
            <w:pStyle w:val="TOC2"/>
            <w:tabs>
              <w:tab w:val="right" w:leader="dot" w:pos="9736"/>
            </w:tabs>
            <w:rPr>
              <w:rFonts w:eastAsiaTheme="minorEastAsia"/>
              <w:noProof/>
              <w:lang w:eastAsia="en-GB"/>
            </w:rPr>
          </w:pPr>
          <w:hyperlink w:anchor="_Toc153466358" w:history="1">
            <w:r w:rsidR="00615269" w:rsidRPr="00585F20">
              <w:rPr>
                <w:rStyle w:val="Hyperlink"/>
                <w:noProof/>
              </w:rPr>
              <w:t>23.</w:t>
            </w:r>
            <w:r w:rsidR="00615269">
              <w:rPr>
                <w:rFonts w:eastAsiaTheme="minorEastAsia"/>
                <w:noProof/>
                <w:lang w:eastAsia="en-GB"/>
              </w:rPr>
              <w:tab/>
            </w:r>
            <w:r w:rsidR="00615269" w:rsidRPr="00585F20">
              <w:rPr>
                <w:rStyle w:val="Hyperlink"/>
                <w:noProof/>
              </w:rPr>
              <w:t>Spending authority</w:t>
            </w:r>
            <w:r w:rsidR="00615269">
              <w:rPr>
                <w:noProof/>
                <w:webHidden/>
              </w:rPr>
              <w:tab/>
            </w:r>
            <w:r w:rsidR="00615269">
              <w:rPr>
                <w:noProof/>
                <w:webHidden/>
              </w:rPr>
              <w:fldChar w:fldCharType="begin"/>
            </w:r>
            <w:r w:rsidR="00615269">
              <w:rPr>
                <w:noProof/>
                <w:webHidden/>
              </w:rPr>
              <w:instrText xml:space="preserve"> PAGEREF _Toc153466358 \h </w:instrText>
            </w:r>
            <w:r w:rsidR="00615269">
              <w:rPr>
                <w:noProof/>
                <w:webHidden/>
              </w:rPr>
            </w:r>
            <w:r w:rsidR="00615269">
              <w:rPr>
                <w:noProof/>
                <w:webHidden/>
              </w:rPr>
              <w:fldChar w:fldCharType="separate"/>
            </w:r>
            <w:r w:rsidR="00615269">
              <w:rPr>
                <w:noProof/>
                <w:webHidden/>
              </w:rPr>
              <w:t>38</w:t>
            </w:r>
            <w:r w:rsidR="00615269">
              <w:rPr>
                <w:noProof/>
                <w:webHidden/>
              </w:rPr>
              <w:fldChar w:fldCharType="end"/>
            </w:r>
          </w:hyperlink>
        </w:p>
        <w:p w14:paraId="62D4A3BF" w14:textId="05316720" w:rsidR="00615269" w:rsidRDefault="00B64BF4">
          <w:pPr>
            <w:pStyle w:val="TOC2"/>
            <w:tabs>
              <w:tab w:val="right" w:leader="dot" w:pos="9736"/>
            </w:tabs>
            <w:rPr>
              <w:rFonts w:eastAsiaTheme="minorEastAsia"/>
              <w:noProof/>
              <w:lang w:eastAsia="en-GB"/>
            </w:rPr>
          </w:pPr>
          <w:hyperlink w:anchor="_Toc153466359" w:history="1">
            <w:r w:rsidR="00615269" w:rsidRPr="00585F20">
              <w:rPr>
                <w:rStyle w:val="Hyperlink"/>
                <w:noProof/>
              </w:rPr>
              <w:t>24.</w:t>
            </w:r>
            <w:r w:rsidR="00615269">
              <w:rPr>
                <w:rFonts w:eastAsiaTheme="minorEastAsia"/>
                <w:noProof/>
                <w:lang w:eastAsia="en-GB"/>
              </w:rPr>
              <w:tab/>
            </w:r>
            <w:r w:rsidR="00615269" w:rsidRPr="00585F20">
              <w:rPr>
                <w:rStyle w:val="Hyperlink"/>
                <w:noProof/>
              </w:rPr>
              <w:t>Banking and Managing Cash</w:t>
            </w:r>
            <w:r w:rsidR="00615269">
              <w:rPr>
                <w:noProof/>
                <w:webHidden/>
              </w:rPr>
              <w:tab/>
            </w:r>
            <w:r w:rsidR="00615269">
              <w:rPr>
                <w:noProof/>
                <w:webHidden/>
              </w:rPr>
              <w:fldChar w:fldCharType="begin"/>
            </w:r>
            <w:r w:rsidR="00615269">
              <w:rPr>
                <w:noProof/>
                <w:webHidden/>
              </w:rPr>
              <w:instrText xml:space="preserve"> PAGEREF _Toc153466359 \h </w:instrText>
            </w:r>
            <w:r w:rsidR="00615269">
              <w:rPr>
                <w:noProof/>
                <w:webHidden/>
              </w:rPr>
            </w:r>
            <w:r w:rsidR="00615269">
              <w:rPr>
                <w:noProof/>
                <w:webHidden/>
              </w:rPr>
              <w:fldChar w:fldCharType="separate"/>
            </w:r>
            <w:r w:rsidR="00615269">
              <w:rPr>
                <w:noProof/>
                <w:webHidden/>
              </w:rPr>
              <w:t>39</w:t>
            </w:r>
            <w:r w:rsidR="00615269">
              <w:rPr>
                <w:noProof/>
                <w:webHidden/>
              </w:rPr>
              <w:fldChar w:fldCharType="end"/>
            </w:r>
          </w:hyperlink>
        </w:p>
        <w:p w14:paraId="129ACB34" w14:textId="1A8983FA" w:rsidR="00615269" w:rsidRDefault="00B64BF4">
          <w:pPr>
            <w:pStyle w:val="TOC2"/>
            <w:tabs>
              <w:tab w:val="right" w:leader="dot" w:pos="9736"/>
            </w:tabs>
            <w:rPr>
              <w:rFonts w:eastAsiaTheme="minorEastAsia"/>
              <w:noProof/>
              <w:lang w:eastAsia="en-GB"/>
            </w:rPr>
          </w:pPr>
          <w:hyperlink w:anchor="_Toc153466360" w:history="1">
            <w:r w:rsidR="00615269" w:rsidRPr="00585F20">
              <w:rPr>
                <w:rStyle w:val="Hyperlink"/>
                <w:noProof/>
              </w:rPr>
              <w:t>25.</w:t>
            </w:r>
            <w:r w:rsidR="00615269">
              <w:rPr>
                <w:rFonts w:eastAsiaTheme="minorEastAsia"/>
                <w:noProof/>
                <w:lang w:eastAsia="en-GB"/>
              </w:rPr>
              <w:tab/>
            </w:r>
            <w:r w:rsidR="00615269" w:rsidRPr="00585F20">
              <w:rPr>
                <w:rStyle w:val="Hyperlink"/>
                <w:noProof/>
              </w:rPr>
              <w:t>Procurement</w:t>
            </w:r>
            <w:r w:rsidR="00615269">
              <w:rPr>
                <w:noProof/>
                <w:webHidden/>
              </w:rPr>
              <w:tab/>
            </w:r>
            <w:r w:rsidR="00615269">
              <w:rPr>
                <w:noProof/>
                <w:webHidden/>
              </w:rPr>
              <w:fldChar w:fldCharType="begin"/>
            </w:r>
            <w:r w:rsidR="00615269">
              <w:rPr>
                <w:noProof/>
                <w:webHidden/>
              </w:rPr>
              <w:instrText xml:space="preserve"> PAGEREF _Toc153466360 \h </w:instrText>
            </w:r>
            <w:r w:rsidR="00615269">
              <w:rPr>
                <w:noProof/>
                <w:webHidden/>
              </w:rPr>
            </w:r>
            <w:r w:rsidR="00615269">
              <w:rPr>
                <w:noProof/>
                <w:webHidden/>
              </w:rPr>
              <w:fldChar w:fldCharType="separate"/>
            </w:r>
            <w:r w:rsidR="00615269">
              <w:rPr>
                <w:noProof/>
                <w:webHidden/>
              </w:rPr>
              <w:t>39</w:t>
            </w:r>
            <w:r w:rsidR="00615269">
              <w:rPr>
                <w:noProof/>
                <w:webHidden/>
              </w:rPr>
              <w:fldChar w:fldCharType="end"/>
            </w:r>
          </w:hyperlink>
        </w:p>
        <w:p w14:paraId="5772442F" w14:textId="3F2653D8" w:rsidR="00615269" w:rsidRDefault="00B64BF4">
          <w:pPr>
            <w:pStyle w:val="TOC2"/>
            <w:tabs>
              <w:tab w:val="right" w:leader="dot" w:pos="9736"/>
            </w:tabs>
            <w:rPr>
              <w:rFonts w:eastAsiaTheme="minorEastAsia"/>
              <w:noProof/>
              <w:lang w:eastAsia="en-GB"/>
            </w:rPr>
          </w:pPr>
          <w:hyperlink w:anchor="_Toc153466361" w:history="1">
            <w:r w:rsidR="00615269" w:rsidRPr="00585F20">
              <w:rPr>
                <w:rStyle w:val="Hyperlink"/>
                <w:noProof/>
              </w:rPr>
              <w:t>26.</w:t>
            </w:r>
            <w:r w:rsidR="00615269">
              <w:rPr>
                <w:rFonts w:eastAsiaTheme="minorEastAsia"/>
                <w:noProof/>
                <w:lang w:eastAsia="en-GB"/>
              </w:rPr>
              <w:tab/>
            </w:r>
            <w:r w:rsidR="00615269" w:rsidRPr="00585F20">
              <w:rPr>
                <w:rStyle w:val="Hyperlink"/>
                <w:noProof/>
              </w:rPr>
              <w:t>Risk management</w:t>
            </w:r>
            <w:r w:rsidR="00615269">
              <w:rPr>
                <w:noProof/>
                <w:webHidden/>
              </w:rPr>
              <w:tab/>
            </w:r>
            <w:r w:rsidR="00615269">
              <w:rPr>
                <w:noProof/>
                <w:webHidden/>
              </w:rPr>
              <w:fldChar w:fldCharType="begin"/>
            </w:r>
            <w:r w:rsidR="00615269">
              <w:rPr>
                <w:noProof/>
                <w:webHidden/>
              </w:rPr>
              <w:instrText xml:space="preserve"> PAGEREF _Toc153466361 \h </w:instrText>
            </w:r>
            <w:r w:rsidR="00615269">
              <w:rPr>
                <w:noProof/>
                <w:webHidden/>
              </w:rPr>
            </w:r>
            <w:r w:rsidR="00615269">
              <w:rPr>
                <w:noProof/>
                <w:webHidden/>
              </w:rPr>
              <w:fldChar w:fldCharType="separate"/>
            </w:r>
            <w:r w:rsidR="00615269">
              <w:rPr>
                <w:noProof/>
                <w:webHidden/>
              </w:rPr>
              <w:t>40</w:t>
            </w:r>
            <w:r w:rsidR="00615269">
              <w:rPr>
                <w:noProof/>
                <w:webHidden/>
              </w:rPr>
              <w:fldChar w:fldCharType="end"/>
            </w:r>
          </w:hyperlink>
        </w:p>
        <w:p w14:paraId="55AEA50D" w14:textId="055BF743" w:rsidR="00615269" w:rsidRDefault="00B64BF4">
          <w:pPr>
            <w:pStyle w:val="TOC2"/>
            <w:tabs>
              <w:tab w:val="right" w:leader="dot" w:pos="9736"/>
            </w:tabs>
            <w:rPr>
              <w:rFonts w:eastAsiaTheme="minorEastAsia"/>
              <w:noProof/>
              <w:lang w:eastAsia="en-GB"/>
            </w:rPr>
          </w:pPr>
          <w:hyperlink w:anchor="_Toc153466362" w:history="1">
            <w:r w:rsidR="00615269" w:rsidRPr="00585F20">
              <w:rPr>
                <w:rStyle w:val="Hyperlink"/>
                <w:noProof/>
              </w:rPr>
              <w:t>27.</w:t>
            </w:r>
            <w:r w:rsidR="00615269">
              <w:rPr>
                <w:rFonts w:eastAsiaTheme="minorEastAsia"/>
                <w:noProof/>
                <w:lang w:eastAsia="en-GB"/>
              </w:rPr>
              <w:tab/>
            </w:r>
            <w:r w:rsidR="00615269" w:rsidRPr="00585F20">
              <w:rPr>
                <w:rStyle w:val="Hyperlink"/>
                <w:noProof/>
              </w:rPr>
              <w:t>Reporting on legal risk and litigation</w:t>
            </w:r>
            <w:r w:rsidR="00615269">
              <w:rPr>
                <w:noProof/>
                <w:webHidden/>
              </w:rPr>
              <w:tab/>
            </w:r>
            <w:r w:rsidR="00615269">
              <w:rPr>
                <w:noProof/>
                <w:webHidden/>
              </w:rPr>
              <w:fldChar w:fldCharType="begin"/>
            </w:r>
            <w:r w:rsidR="00615269">
              <w:rPr>
                <w:noProof/>
                <w:webHidden/>
              </w:rPr>
              <w:instrText xml:space="preserve"> PAGEREF _Toc153466362 \h </w:instrText>
            </w:r>
            <w:r w:rsidR="00615269">
              <w:rPr>
                <w:noProof/>
                <w:webHidden/>
              </w:rPr>
            </w:r>
            <w:r w:rsidR="00615269">
              <w:rPr>
                <w:noProof/>
                <w:webHidden/>
              </w:rPr>
              <w:fldChar w:fldCharType="separate"/>
            </w:r>
            <w:r w:rsidR="00615269">
              <w:rPr>
                <w:noProof/>
                <w:webHidden/>
              </w:rPr>
              <w:t>41</w:t>
            </w:r>
            <w:r w:rsidR="00615269">
              <w:rPr>
                <w:noProof/>
                <w:webHidden/>
              </w:rPr>
              <w:fldChar w:fldCharType="end"/>
            </w:r>
          </w:hyperlink>
        </w:p>
        <w:p w14:paraId="27FEC5BB" w14:textId="084FACB8" w:rsidR="00615269" w:rsidRDefault="00B64BF4">
          <w:pPr>
            <w:pStyle w:val="TOC2"/>
            <w:tabs>
              <w:tab w:val="right" w:leader="dot" w:pos="9736"/>
            </w:tabs>
            <w:rPr>
              <w:rFonts w:eastAsiaTheme="minorEastAsia"/>
              <w:noProof/>
              <w:lang w:eastAsia="en-GB"/>
            </w:rPr>
          </w:pPr>
          <w:hyperlink w:anchor="_Toc153466363" w:history="1">
            <w:r w:rsidR="00615269" w:rsidRPr="00585F20">
              <w:rPr>
                <w:rStyle w:val="Hyperlink"/>
                <w:noProof/>
              </w:rPr>
              <w:t>28.</w:t>
            </w:r>
            <w:r w:rsidR="00615269">
              <w:rPr>
                <w:rFonts w:eastAsiaTheme="minorEastAsia"/>
                <w:noProof/>
                <w:lang w:eastAsia="en-GB"/>
              </w:rPr>
              <w:tab/>
            </w:r>
            <w:r w:rsidR="00615269" w:rsidRPr="00585F20">
              <w:rPr>
                <w:rStyle w:val="Hyperlink"/>
                <w:noProof/>
              </w:rPr>
              <w:t>Counter Fraud and Theft</w:t>
            </w:r>
            <w:r w:rsidR="00615269">
              <w:rPr>
                <w:noProof/>
                <w:webHidden/>
              </w:rPr>
              <w:tab/>
            </w:r>
            <w:r w:rsidR="00615269">
              <w:rPr>
                <w:noProof/>
                <w:webHidden/>
              </w:rPr>
              <w:fldChar w:fldCharType="begin"/>
            </w:r>
            <w:r w:rsidR="00615269">
              <w:rPr>
                <w:noProof/>
                <w:webHidden/>
              </w:rPr>
              <w:instrText xml:space="preserve"> PAGEREF _Toc153466363 \h </w:instrText>
            </w:r>
            <w:r w:rsidR="00615269">
              <w:rPr>
                <w:noProof/>
                <w:webHidden/>
              </w:rPr>
            </w:r>
            <w:r w:rsidR="00615269">
              <w:rPr>
                <w:noProof/>
                <w:webHidden/>
              </w:rPr>
              <w:fldChar w:fldCharType="separate"/>
            </w:r>
            <w:r w:rsidR="00615269">
              <w:rPr>
                <w:noProof/>
                <w:webHidden/>
              </w:rPr>
              <w:t>41</w:t>
            </w:r>
            <w:r w:rsidR="00615269">
              <w:rPr>
                <w:noProof/>
                <w:webHidden/>
              </w:rPr>
              <w:fldChar w:fldCharType="end"/>
            </w:r>
          </w:hyperlink>
        </w:p>
        <w:p w14:paraId="73F460E3" w14:textId="7871EE06" w:rsidR="00615269" w:rsidRDefault="00B64BF4">
          <w:pPr>
            <w:pStyle w:val="TOC2"/>
            <w:tabs>
              <w:tab w:val="right" w:leader="dot" w:pos="9736"/>
            </w:tabs>
            <w:rPr>
              <w:rFonts w:eastAsiaTheme="minorEastAsia"/>
              <w:noProof/>
              <w:lang w:eastAsia="en-GB"/>
            </w:rPr>
          </w:pPr>
          <w:hyperlink w:anchor="_Toc153466364" w:history="1">
            <w:r w:rsidR="00615269" w:rsidRPr="00585F20">
              <w:rPr>
                <w:rStyle w:val="Hyperlink"/>
                <w:noProof/>
              </w:rPr>
              <w:t>29.</w:t>
            </w:r>
            <w:r w:rsidR="00615269">
              <w:rPr>
                <w:rFonts w:eastAsiaTheme="minorEastAsia"/>
                <w:noProof/>
                <w:lang w:eastAsia="en-GB"/>
              </w:rPr>
              <w:tab/>
            </w:r>
            <w:r w:rsidR="00615269" w:rsidRPr="00585F20">
              <w:rPr>
                <w:rStyle w:val="Hyperlink"/>
                <w:noProof/>
              </w:rPr>
              <w:t>Staff</w:t>
            </w:r>
            <w:r w:rsidR="00615269">
              <w:rPr>
                <w:noProof/>
                <w:webHidden/>
              </w:rPr>
              <w:tab/>
            </w:r>
            <w:r w:rsidR="00615269">
              <w:rPr>
                <w:noProof/>
                <w:webHidden/>
              </w:rPr>
              <w:fldChar w:fldCharType="begin"/>
            </w:r>
            <w:r w:rsidR="00615269">
              <w:rPr>
                <w:noProof/>
                <w:webHidden/>
              </w:rPr>
              <w:instrText xml:space="preserve"> PAGEREF _Toc153466364 \h </w:instrText>
            </w:r>
            <w:r w:rsidR="00615269">
              <w:rPr>
                <w:noProof/>
                <w:webHidden/>
              </w:rPr>
            </w:r>
            <w:r w:rsidR="00615269">
              <w:rPr>
                <w:noProof/>
                <w:webHidden/>
              </w:rPr>
              <w:fldChar w:fldCharType="separate"/>
            </w:r>
            <w:r w:rsidR="00615269">
              <w:rPr>
                <w:noProof/>
                <w:webHidden/>
              </w:rPr>
              <w:t>42</w:t>
            </w:r>
            <w:r w:rsidR="00615269">
              <w:rPr>
                <w:noProof/>
                <w:webHidden/>
              </w:rPr>
              <w:fldChar w:fldCharType="end"/>
            </w:r>
          </w:hyperlink>
        </w:p>
        <w:p w14:paraId="0135C906" w14:textId="419071DD" w:rsidR="00615269" w:rsidRDefault="00B64BF4">
          <w:pPr>
            <w:pStyle w:val="TOC1"/>
            <w:rPr>
              <w:rFonts w:eastAsiaTheme="minorEastAsia"/>
              <w:b w:val="0"/>
              <w:noProof/>
              <w:lang w:eastAsia="en-GB"/>
            </w:rPr>
          </w:pPr>
          <w:hyperlink w:anchor="_Toc153466365" w:history="1">
            <w:r w:rsidR="00615269" w:rsidRPr="00585F20">
              <w:rPr>
                <w:rStyle w:val="Hyperlink"/>
                <w:noProof/>
              </w:rPr>
              <w:t>Business Plans, Financial Reporting and Management Information</w:t>
            </w:r>
            <w:r w:rsidR="00615269">
              <w:rPr>
                <w:noProof/>
                <w:webHidden/>
              </w:rPr>
              <w:tab/>
            </w:r>
            <w:r w:rsidR="00615269">
              <w:rPr>
                <w:noProof/>
                <w:webHidden/>
              </w:rPr>
              <w:fldChar w:fldCharType="begin"/>
            </w:r>
            <w:r w:rsidR="00615269">
              <w:rPr>
                <w:noProof/>
                <w:webHidden/>
              </w:rPr>
              <w:instrText xml:space="preserve"> PAGEREF _Toc153466365 \h </w:instrText>
            </w:r>
            <w:r w:rsidR="00615269">
              <w:rPr>
                <w:noProof/>
                <w:webHidden/>
              </w:rPr>
            </w:r>
            <w:r w:rsidR="00615269">
              <w:rPr>
                <w:noProof/>
                <w:webHidden/>
              </w:rPr>
              <w:fldChar w:fldCharType="separate"/>
            </w:r>
            <w:r w:rsidR="00615269">
              <w:rPr>
                <w:noProof/>
                <w:webHidden/>
              </w:rPr>
              <w:t>46</w:t>
            </w:r>
            <w:r w:rsidR="00615269">
              <w:rPr>
                <w:noProof/>
                <w:webHidden/>
              </w:rPr>
              <w:fldChar w:fldCharType="end"/>
            </w:r>
          </w:hyperlink>
        </w:p>
        <w:p w14:paraId="076D95AB" w14:textId="61861975" w:rsidR="00615269" w:rsidRDefault="00B64BF4">
          <w:pPr>
            <w:pStyle w:val="TOC2"/>
            <w:tabs>
              <w:tab w:val="right" w:leader="dot" w:pos="9736"/>
            </w:tabs>
            <w:rPr>
              <w:rFonts w:eastAsiaTheme="minorEastAsia"/>
              <w:noProof/>
              <w:lang w:eastAsia="en-GB"/>
            </w:rPr>
          </w:pPr>
          <w:hyperlink w:anchor="_Toc153466366" w:history="1">
            <w:r w:rsidR="00615269" w:rsidRPr="00585F20">
              <w:rPr>
                <w:rStyle w:val="Hyperlink"/>
                <w:noProof/>
              </w:rPr>
              <w:t>30.</w:t>
            </w:r>
            <w:r w:rsidR="00615269">
              <w:rPr>
                <w:rFonts w:eastAsiaTheme="minorEastAsia"/>
                <w:noProof/>
                <w:lang w:eastAsia="en-GB"/>
              </w:rPr>
              <w:tab/>
            </w:r>
            <w:r w:rsidR="00615269" w:rsidRPr="00585F20">
              <w:rPr>
                <w:rStyle w:val="Hyperlink"/>
                <w:noProof/>
              </w:rPr>
              <w:t>Corporate plan</w:t>
            </w:r>
            <w:r w:rsidR="00615269">
              <w:rPr>
                <w:noProof/>
                <w:webHidden/>
              </w:rPr>
              <w:tab/>
            </w:r>
            <w:r w:rsidR="00615269">
              <w:rPr>
                <w:noProof/>
                <w:webHidden/>
              </w:rPr>
              <w:fldChar w:fldCharType="begin"/>
            </w:r>
            <w:r w:rsidR="00615269">
              <w:rPr>
                <w:noProof/>
                <w:webHidden/>
              </w:rPr>
              <w:instrText xml:space="preserve"> PAGEREF _Toc153466366 \h </w:instrText>
            </w:r>
            <w:r w:rsidR="00615269">
              <w:rPr>
                <w:noProof/>
                <w:webHidden/>
              </w:rPr>
            </w:r>
            <w:r w:rsidR="00615269">
              <w:rPr>
                <w:noProof/>
                <w:webHidden/>
              </w:rPr>
              <w:fldChar w:fldCharType="separate"/>
            </w:r>
            <w:r w:rsidR="00615269">
              <w:rPr>
                <w:noProof/>
                <w:webHidden/>
              </w:rPr>
              <w:t>46</w:t>
            </w:r>
            <w:r w:rsidR="00615269">
              <w:rPr>
                <w:noProof/>
                <w:webHidden/>
              </w:rPr>
              <w:fldChar w:fldCharType="end"/>
            </w:r>
          </w:hyperlink>
        </w:p>
        <w:p w14:paraId="1213743A" w14:textId="1621F459" w:rsidR="00615269" w:rsidRDefault="00B64BF4">
          <w:pPr>
            <w:pStyle w:val="TOC2"/>
            <w:tabs>
              <w:tab w:val="right" w:leader="dot" w:pos="9736"/>
            </w:tabs>
            <w:rPr>
              <w:rFonts w:eastAsiaTheme="minorEastAsia"/>
              <w:noProof/>
              <w:lang w:eastAsia="en-GB"/>
            </w:rPr>
          </w:pPr>
          <w:hyperlink w:anchor="_Toc153466367" w:history="1">
            <w:r w:rsidR="00615269" w:rsidRPr="00585F20">
              <w:rPr>
                <w:rStyle w:val="Hyperlink"/>
                <w:noProof/>
              </w:rPr>
              <w:t>31.</w:t>
            </w:r>
            <w:r w:rsidR="00615269">
              <w:rPr>
                <w:rFonts w:eastAsiaTheme="minorEastAsia"/>
                <w:noProof/>
                <w:lang w:eastAsia="en-GB"/>
              </w:rPr>
              <w:tab/>
            </w:r>
            <w:r w:rsidR="00615269" w:rsidRPr="00585F20">
              <w:rPr>
                <w:rStyle w:val="Hyperlink"/>
                <w:noProof/>
              </w:rPr>
              <w:t>Business plan</w:t>
            </w:r>
            <w:r w:rsidR="00615269">
              <w:rPr>
                <w:noProof/>
                <w:webHidden/>
              </w:rPr>
              <w:tab/>
            </w:r>
            <w:r w:rsidR="00615269">
              <w:rPr>
                <w:noProof/>
                <w:webHidden/>
              </w:rPr>
              <w:fldChar w:fldCharType="begin"/>
            </w:r>
            <w:r w:rsidR="00615269">
              <w:rPr>
                <w:noProof/>
                <w:webHidden/>
              </w:rPr>
              <w:instrText xml:space="preserve"> PAGEREF _Toc153466367 \h </w:instrText>
            </w:r>
            <w:r w:rsidR="00615269">
              <w:rPr>
                <w:noProof/>
                <w:webHidden/>
              </w:rPr>
            </w:r>
            <w:r w:rsidR="00615269">
              <w:rPr>
                <w:noProof/>
                <w:webHidden/>
              </w:rPr>
              <w:fldChar w:fldCharType="separate"/>
            </w:r>
            <w:r w:rsidR="00615269">
              <w:rPr>
                <w:noProof/>
                <w:webHidden/>
              </w:rPr>
              <w:t>47</w:t>
            </w:r>
            <w:r w:rsidR="00615269">
              <w:rPr>
                <w:noProof/>
                <w:webHidden/>
              </w:rPr>
              <w:fldChar w:fldCharType="end"/>
            </w:r>
          </w:hyperlink>
        </w:p>
        <w:p w14:paraId="0F5E8F68" w14:textId="4F8912AD" w:rsidR="00615269" w:rsidRDefault="00B64BF4">
          <w:pPr>
            <w:pStyle w:val="TOC2"/>
            <w:tabs>
              <w:tab w:val="right" w:leader="dot" w:pos="9736"/>
            </w:tabs>
            <w:rPr>
              <w:rFonts w:eastAsiaTheme="minorEastAsia"/>
              <w:noProof/>
              <w:lang w:eastAsia="en-GB"/>
            </w:rPr>
          </w:pPr>
          <w:hyperlink w:anchor="_Toc153466368" w:history="1">
            <w:r w:rsidR="00615269" w:rsidRPr="00585F20">
              <w:rPr>
                <w:rStyle w:val="Hyperlink"/>
                <w:noProof/>
              </w:rPr>
              <w:t>32.</w:t>
            </w:r>
            <w:r w:rsidR="00615269">
              <w:rPr>
                <w:rFonts w:eastAsiaTheme="minorEastAsia"/>
                <w:noProof/>
                <w:lang w:eastAsia="en-GB"/>
              </w:rPr>
              <w:tab/>
            </w:r>
            <w:r w:rsidR="00615269" w:rsidRPr="00585F20">
              <w:rPr>
                <w:rStyle w:val="Hyperlink"/>
                <w:noProof/>
              </w:rPr>
              <w:t>Budgeting procedures</w:t>
            </w:r>
            <w:r w:rsidR="00615269">
              <w:rPr>
                <w:noProof/>
                <w:webHidden/>
              </w:rPr>
              <w:tab/>
            </w:r>
            <w:r w:rsidR="00615269">
              <w:rPr>
                <w:noProof/>
                <w:webHidden/>
              </w:rPr>
              <w:fldChar w:fldCharType="begin"/>
            </w:r>
            <w:r w:rsidR="00615269">
              <w:rPr>
                <w:noProof/>
                <w:webHidden/>
              </w:rPr>
              <w:instrText xml:space="preserve"> PAGEREF _Toc153466368 \h </w:instrText>
            </w:r>
            <w:r w:rsidR="00615269">
              <w:rPr>
                <w:noProof/>
                <w:webHidden/>
              </w:rPr>
            </w:r>
            <w:r w:rsidR="00615269">
              <w:rPr>
                <w:noProof/>
                <w:webHidden/>
              </w:rPr>
              <w:fldChar w:fldCharType="separate"/>
            </w:r>
            <w:r w:rsidR="00615269">
              <w:rPr>
                <w:noProof/>
                <w:webHidden/>
              </w:rPr>
              <w:t>48</w:t>
            </w:r>
            <w:r w:rsidR="00615269">
              <w:rPr>
                <w:noProof/>
                <w:webHidden/>
              </w:rPr>
              <w:fldChar w:fldCharType="end"/>
            </w:r>
          </w:hyperlink>
        </w:p>
        <w:p w14:paraId="39B038B3" w14:textId="492D525A" w:rsidR="00615269" w:rsidRDefault="00B64BF4">
          <w:pPr>
            <w:pStyle w:val="TOC2"/>
            <w:tabs>
              <w:tab w:val="right" w:leader="dot" w:pos="9736"/>
            </w:tabs>
            <w:rPr>
              <w:rFonts w:eastAsiaTheme="minorEastAsia"/>
              <w:noProof/>
              <w:lang w:eastAsia="en-GB"/>
            </w:rPr>
          </w:pPr>
          <w:hyperlink w:anchor="_Toc153466369" w:history="1">
            <w:r w:rsidR="00615269" w:rsidRPr="00585F20">
              <w:rPr>
                <w:rStyle w:val="Hyperlink"/>
                <w:noProof/>
              </w:rPr>
              <w:t>33.</w:t>
            </w:r>
            <w:r w:rsidR="00615269">
              <w:rPr>
                <w:rFonts w:eastAsiaTheme="minorEastAsia"/>
                <w:noProof/>
                <w:lang w:eastAsia="en-GB"/>
              </w:rPr>
              <w:tab/>
            </w:r>
            <w:r w:rsidR="00615269" w:rsidRPr="00585F20">
              <w:rPr>
                <w:rStyle w:val="Hyperlink"/>
                <w:noProof/>
              </w:rPr>
              <w:t>Grant-in-aid and any ring-fenced grants</w:t>
            </w:r>
            <w:r w:rsidR="00615269">
              <w:rPr>
                <w:noProof/>
                <w:webHidden/>
              </w:rPr>
              <w:tab/>
            </w:r>
            <w:r w:rsidR="00615269">
              <w:rPr>
                <w:noProof/>
                <w:webHidden/>
              </w:rPr>
              <w:fldChar w:fldCharType="begin"/>
            </w:r>
            <w:r w:rsidR="00615269">
              <w:rPr>
                <w:noProof/>
                <w:webHidden/>
              </w:rPr>
              <w:instrText xml:space="preserve"> PAGEREF _Toc153466369 \h </w:instrText>
            </w:r>
            <w:r w:rsidR="00615269">
              <w:rPr>
                <w:noProof/>
                <w:webHidden/>
              </w:rPr>
            </w:r>
            <w:r w:rsidR="00615269">
              <w:rPr>
                <w:noProof/>
                <w:webHidden/>
              </w:rPr>
              <w:fldChar w:fldCharType="separate"/>
            </w:r>
            <w:r w:rsidR="00615269">
              <w:rPr>
                <w:noProof/>
                <w:webHidden/>
              </w:rPr>
              <w:t>48</w:t>
            </w:r>
            <w:r w:rsidR="00615269">
              <w:rPr>
                <w:noProof/>
                <w:webHidden/>
              </w:rPr>
              <w:fldChar w:fldCharType="end"/>
            </w:r>
          </w:hyperlink>
        </w:p>
        <w:p w14:paraId="387BF7CB" w14:textId="1D14F8CD" w:rsidR="00615269" w:rsidRDefault="00B64BF4">
          <w:pPr>
            <w:pStyle w:val="TOC2"/>
            <w:tabs>
              <w:tab w:val="right" w:leader="dot" w:pos="9736"/>
            </w:tabs>
            <w:rPr>
              <w:rFonts w:eastAsiaTheme="minorEastAsia"/>
              <w:noProof/>
              <w:lang w:eastAsia="en-GB"/>
            </w:rPr>
          </w:pPr>
          <w:hyperlink w:anchor="_Toc153466370" w:history="1">
            <w:r w:rsidR="00615269" w:rsidRPr="00585F20">
              <w:rPr>
                <w:rStyle w:val="Hyperlink"/>
                <w:noProof/>
              </w:rPr>
              <w:t>34.</w:t>
            </w:r>
            <w:r w:rsidR="00615269">
              <w:rPr>
                <w:rFonts w:eastAsiaTheme="minorEastAsia"/>
                <w:noProof/>
                <w:lang w:eastAsia="en-GB"/>
              </w:rPr>
              <w:tab/>
            </w:r>
            <w:r w:rsidR="00615269" w:rsidRPr="00585F20">
              <w:rPr>
                <w:rStyle w:val="Hyperlink"/>
                <w:noProof/>
              </w:rPr>
              <w:t>Annual report and accounts</w:t>
            </w:r>
            <w:r w:rsidR="00615269">
              <w:rPr>
                <w:noProof/>
                <w:webHidden/>
              </w:rPr>
              <w:tab/>
            </w:r>
            <w:r w:rsidR="00615269">
              <w:rPr>
                <w:noProof/>
                <w:webHidden/>
              </w:rPr>
              <w:fldChar w:fldCharType="begin"/>
            </w:r>
            <w:r w:rsidR="00615269">
              <w:rPr>
                <w:noProof/>
                <w:webHidden/>
              </w:rPr>
              <w:instrText xml:space="preserve"> PAGEREF _Toc153466370 \h </w:instrText>
            </w:r>
            <w:r w:rsidR="00615269">
              <w:rPr>
                <w:noProof/>
                <w:webHidden/>
              </w:rPr>
            </w:r>
            <w:r w:rsidR="00615269">
              <w:rPr>
                <w:noProof/>
                <w:webHidden/>
              </w:rPr>
              <w:fldChar w:fldCharType="separate"/>
            </w:r>
            <w:r w:rsidR="00615269">
              <w:rPr>
                <w:noProof/>
                <w:webHidden/>
              </w:rPr>
              <w:t>49</w:t>
            </w:r>
            <w:r w:rsidR="00615269">
              <w:rPr>
                <w:noProof/>
                <w:webHidden/>
              </w:rPr>
              <w:fldChar w:fldCharType="end"/>
            </w:r>
          </w:hyperlink>
        </w:p>
        <w:p w14:paraId="06DDF0EE" w14:textId="1CE2E16C" w:rsidR="00615269" w:rsidRDefault="00B64BF4">
          <w:pPr>
            <w:pStyle w:val="TOC2"/>
            <w:tabs>
              <w:tab w:val="right" w:leader="dot" w:pos="9736"/>
            </w:tabs>
            <w:rPr>
              <w:rFonts w:eastAsiaTheme="minorEastAsia"/>
              <w:noProof/>
              <w:lang w:eastAsia="en-GB"/>
            </w:rPr>
          </w:pPr>
          <w:hyperlink w:anchor="_Toc153466371" w:history="1">
            <w:r w:rsidR="00615269" w:rsidRPr="00585F20">
              <w:rPr>
                <w:rStyle w:val="Hyperlink"/>
                <w:noProof/>
              </w:rPr>
              <w:t>35.</w:t>
            </w:r>
            <w:r w:rsidR="00615269">
              <w:rPr>
                <w:rFonts w:eastAsiaTheme="minorEastAsia"/>
                <w:noProof/>
                <w:lang w:eastAsia="en-GB"/>
              </w:rPr>
              <w:tab/>
            </w:r>
            <w:r w:rsidR="00615269" w:rsidRPr="00585F20">
              <w:rPr>
                <w:rStyle w:val="Hyperlink"/>
                <w:noProof/>
              </w:rPr>
              <w:t>Reporting performance to the Department</w:t>
            </w:r>
            <w:r w:rsidR="00615269">
              <w:rPr>
                <w:noProof/>
                <w:webHidden/>
              </w:rPr>
              <w:tab/>
            </w:r>
            <w:r w:rsidR="00615269">
              <w:rPr>
                <w:noProof/>
                <w:webHidden/>
              </w:rPr>
              <w:fldChar w:fldCharType="begin"/>
            </w:r>
            <w:r w:rsidR="00615269">
              <w:rPr>
                <w:noProof/>
                <w:webHidden/>
              </w:rPr>
              <w:instrText xml:space="preserve"> PAGEREF _Toc153466371 \h </w:instrText>
            </w:r>
            <w:r w:rsidR="00615269">
              <w:rPr>
                <w:noProof/>
                <w:webHidden/>
              </w:rPr>
            </w:r>
            <w:r w:rsidR="00615269">
              <w:rPr>
                <w:noProof/>
                <w:webHidden/>
              </w:rPr>
              <w:fldChar w:fldCharType="separate"/>
            </w:r>
            <w:r w:rsidR="00615269">
              <w:rPr>
                <w:noProof/>
                <w:webHidden/>
              </w:rPr>
              <w:t>50</w:t>
            </w:r>
            <w:r w:rsidR="00615269">
              <w:rPr>
                <w:noProof/>
                <w:webHidden/>
              </w:rPr>
              <w:fldChar w:fldCharType="end"/>
            </w:r>
          </w:hyperlink>
        </w:p>
        <w:p w14:paraId="0B708732" w14:textId="5F48D67D" w:rsidR="00615269" w:rsidRDefault="00B64BF4">
          <w:pPr>
            <w:pStyle w:val="TOC2"/>
            <w:tabs>
              <w:tab w:val="right" w:leader="dot" w:pos="9736"/>
            </w:tabs>
            <w:rPr>
              <w:rFonts w:eastAsiaTheme="minorEastAsia"/>
              <w:noProof/>
              <w:lang w:eastAsia="en-GB"/>
            </w:rPr>
          </w:pPr>
          <w:hyperlink w:anchor="_Toc153466372" w:history="1">
            <w:r w:rsidR="00615269" w:rsidRPr="00585F20">
              <w:rPr>
                <w:rStyle w:val="Hyperlink"/>
                <w:noProof/>
              </w:rPr>
              <w:t>36.</w:t>
            </w:r>
            <w:r w:rsidR="00615269">
              <w:rPr>
                <w:rFonts w:eastAsiaTheme="minorEastAsia"/>
                <w:noProof/>
                <w:lang w:eastAsia="en-GB"/>
              </w:rPr>
              <w:tab/>
            </w:r>
            <w:r w:rsidR="00615269" w:rsidRPr="00585F20">
              <w:rPr>
                <w:rStyle w:val="Hyperlink"/>
                <w:noProof/>
              </w:rPr>
              <w:t>Information Sharing</w:t>
            </w:r>
            <w:r w:rsidR="00615269">
              <w:rPr>
                <w:noProof/>
                <w:webHidden/>
              </w:rPr>
              <w:tab/>
            </w:r>
            <w:r w:rsidR="00615269">
              <w:rPr>
                <w:noProof/>
                <w:webHidden/>
              </w:rPr>
              <w:fldChar w:fldCharType="begin"/>
            </w:r>
            <w:r w:rsidR="00615269">
              <w:rPr>
                <w:noProof/>
                <w:webHidden/>
              </w:rPr>
              <w:instrText xml:space="preserve"> PAGEREF _Toc153466372 \h </w:instrText>
            </w:r>
            <w:r w:rsidR="00615269">
              <w:rPr>
                <w:noProof/>
                <w:webHidden/>
              </w:rPr>
            </w:r>
            <w:r w:rsidR="00615269">
              <w:rPr>
                <w:noProof/>
                <w:webHidden/>
              </w:rPr>
              <w:fldChar w:fldCharType="separate"/>
            </w:r>
            <w:r w:rsidR="00615269">
              <w:rPr>
                <w:noProof/>
                <w:webHidden/>
              </w:rPr>
              <w:t>52</w:t>
            </w:r>
            <w:r w:rsidR="00615269">
              <w:rPr>
                <w:noProof/>
                <w:webHidden/>
              </w:rPr>
              <w:fldChar w:fldCharType="end"/>
            </w:r>
          </w:hyperlink>
        </w:p>
        <w:p w14:paraId="76FF4D7F" w14:textId="130B519C" w:rsidR="00615269" w:rsidRDefault="00B64BF4">
          <w:pPr>
            <w:pStyle w:val="TOC2"/>
            <w:tabs>
              <w:tab w:val="right" w:leader="dot" w:pos="9736"/>
            </w:tabs>
            <w:rPr>
              <w:rFonts w:eastAsiaTheme="minorEastAsia"/>
              <w:noProof/>
              <w:lang w:eastAsia="en-GB"/>
            </w:rPr>
          </w:pPr>
          <w:hyperlink w:anchor="_Toc153466373" w:history="1">
            <w:r w:rsidR="00615269" w:rsidRPr="00585F20">
              <w:rPr>
                <w:rStyle w:val="Hyperlink"/>
                <w:noProof/>
              </w:rPr>
              <w:t>37.</w:t>
            </w:r>
            <w:r w:rsidR="00615269">
              <w:rPr>
                <w:rFonts w:eastAsiaTheme="minorEastAsia"/>
                <w:noProof/>
                <w:lang w:eastAsia="en-GB"/>
              </w:rPr>
              <w:tab/>
            </w:r>
            <w:r w:rsidR="00615269" w:rsidRPr="00585F20">
              <w:rPr>
                <w:rStyle w:val="Hyperlink"/>
                <w:noProof/>
              </w:rPr>
              <w:t>Data protection, information risk and assurance</w:t>
            </w:r>
            <w:r w:rsidR="00615269">
              <w:rPr>
                <w:noProof/>
                <w:webHidden/>
              </w:rPr>
              <w:tab/>
            </w:r>
            <w:r w:rsidR="00615269">
              <w:rPr>
                <w:noProof/>
                <w:webHidden/>
              </w:rPr>
              <w:fldChar w:fldCharType="begin"/>
            </w:r>
            <w:r w:rsidR="00615269">
              <w:rPr>
                <w:noProof/>
                <w:webHidden/>
              </w:rPr>
              <w:instrText xml:space="preserve"> PAGEREF _Toc153466373 \h </w:instrText>
            </w:r>
            <w:r w:rsidR="00615269">
              <w:rPr>
                <w:noProof/>
                <w:webHidden/>
              </w:rPr>
            </w:r>
            <w:r w:rsidR="00615269">
              <w:rPr>
                <w:noProof/>
                <w:webHidden/>
              </w:rPr>
              <w:fldChar w:fldCharType="separate"/>
            </w:r>
            <w:r w:rsidR="00615269">
              <w:rPr>
                <w:noProof/>
                <w:webHidden/>
              </w:rPr>
              <w:t>52</w:t>
            </w:r>
            <w:r w:rsidR="00615269">
              <w:rPr>
                <w:noProof/>
                <w:webHidden/>
              </w:rPr>
              <w:fldChar w:fldCharType="end"/>
            </w:r>
          </w:hyperlink>
        </w:p>
        <w:p w14:paraId="3B4CF427" w14:textId="7C1C5201" w:rsidR="00615269" w:rsidRDefault="00B64BF4">
          <w:pPr>
            <w:pStyle w:val="TOC2"/>
            <w:tabs>
              <w:tab w:val="right" w:leader="dot" w:pos="9736"/>
            </w:tabs>
            <w:rPr>
              <w:rFonts w:eastAsiaTheme="minorEastAsia"/>
              <w:noProof/>
              <w:lang w:eastAsia="en-GB"/>
            </w:rPr>
          </w:pPr>
          <w:hyperlink w:anchor="_Toc153466374" w:history="1">
            <w:r w:rsidR="00615269" w:rsidRPr="00585F20">
              <w:rPr>
                <w:rStyle w:val="Hyperlink"/>
                <w:noProof/>
              </w:rPr>
              <w:t>38.</w:t>
            </w:r>
            <w:r w:rsidR="00615269">
              <w:rPr>
                <w:rFonts w:eastAsiaTheme="minorEastAsia"/>
                <w:noProof/>
                <w:lang w:eastAsia="en-GB"/>
              </w:rPr>
              <w:tab/>
            </w:r>
            <w:r w:rsidR="00615269" w:rsidRPr="00585F20">
              <w:rPr>
                <w:rStyle w:val="Hyperlink"/>
                <w:noProof/>
              </w:rPr>
              <w:t>Information Management</w:t>
            </w:r>
            <w:r w:rsidR="00615269">
              <w:rPr>
                <w:noProof/>
                <w:webHidden/>
              </w:rPr>
              <w:tab/>
            </w:r>
            <w:r w:rsidR="00615269">
              <w:rPr>
                <w:noProof/>
                <w:webHidden/>
              </w:rPr>
              <w:fldChar w:fldCharType="begin"/>
            </w:r>
            <w:r w:rsidR="00615269">
              <w:rPr>
                <w:noProof/>
                <w:webHidden/>
              </w:rPr>
              <w:instrText xml:space="preserve"> PAGEREF _Toc153466374 \h </w:instrText>
            </w:r>
            <w:r w:rsidR="00615269">
              <w:rPr>
                <w:noProof/>
                <w:webHidden/>
              </w:rPr>
            </w:r>
            <w:r w:rsidR="00615269">
              <w:rPr>
                <w:noProof/>
                <w:webHidden/>
              </w:rPr>
              <w:fldChar w:fldCharType="separate"/>
            </w:r>
            <w:r w:rsidR="00615269">
              <w:rPr>
                <w:noProof/>
                <w:webHidden/>
              </w:rPr>
              <w:t>53</w:t>
            </w:r>
            <w:r w:rsidR="00615269">
              <w:rPr>
                <w:noProof/>
                <w:webHidden/>
              </w:rPr>
              <w:fldChar w:fldCharType="end"/>
            </w:r>
          </w:hyperlink>
        </w:p>
        <w:p w14:paraId="123F4F1E" w14:textId="06ECD006" w:rsidR="00615269" w:rsidRDefault="00B64BF4">
          <w:pPr>
            <w:pStyle w:val="TOC2"/>
            <w:tabs>
              <w:tab w:val="right" w:leader="dot" w:pos="9736"/>
            </w:tabs>
            <w:rPr>
              <w:rFonts w:eastAsiaTheme="minorEastAsia"/>
              <w:noProof/>
              <w:lang w:eastAsia="en-GB"/>
            </w:rPr>
          </w:pPr>
          <w:hyperlink w:anchor="_Toc153466375" w:history="1">
            <w:r w:rsidR="00615269" w:rsidRPr="00585F20">
              <w:rPr>
                <w:rStyle w:val="Hyperlink"/>
                <w:noProof/>
              </w:rPr>
              <w:t>39.</w:t>
            </w:r>
            <w:r w:rsidR="00615269">
              <w:rPr>
                <w:rFonts w:eastAsiaTheme="minorEastAsia"/>
                <w:noProof/>
                <w:lang w:eastAsia="en-GB"/>
              </w:rPr>
              <w:tab/>
            </w:r>
            <w:r w:rsidR="00615269" w:rsidRPr="00585F20">
              <w:rPr>
                <w:rStyle w:val="Hyperlink"/>
                <w:noProof/>
              </w:rPr>
              <w:t>Sustainability</w:t>
            </w:r>
            <w:r w:rsidR="00615269">
              <w:rPr>
                <w:noProof/>
                <w:webHidden/>
              </w:rPr>
              <w:tab/>
            </w:r>
            <w:r w:rsidR="00615269">
              <w:rPr>
                <w:noProof/>
                <w:webHidden/>
              </w:rPr>
              <w:fldChar w:fldCharType="begin"/>
            </w:r>
            <w:r w:rsidR="00615269">
              <w:rPr>
                <w:noProof/>
                <w:webHidden/>
              </w:rPr>
              <w:instrText xml:space="preserve"> PAGEREF _Toc153466375 \h </w:instrText>
            </w:r>
            <w:r w:rsidR="00615269">
              <w:rPr>
                <w:noProof/>
                <w:webHidden/>
              </w:rPr>
            </w:r>
            <w:r w:rsidR="00615269">
              <w:rPr>
                <w:noProof/>
                <w:webHidden/>
              </w:rPr>
              <w:fldChar w:fldCharType="separate"/>
            </w:r>
            <w:r w:rsidR="00615269">
              <w:rPr>
                <w:noProof/>
                <w:webHidden/>
              </w:rPr>
              <w:t>53</w:t>
            </w:r>
            <w:r w:rsidR="00615269">
              <w:rPr>
                <w:noProof/>
                <w:webHidden/>
              </w:rPr>
              <w:fldChar w:fldCharType="end"/>
            </w:r>
          </w:hyperlink>
        </w:p>
        <w:p w14:paraId="21CAE84C" w14:textId="52920AF0" w:rsidR="00615269" w:rsidRDefault="00B64BF4">
          <w:pPr>
            <w:pStyle w:val="TOC2"/>
            <w:tabs>
              <w:tab w:val="right" w:leader="dot" w:pos="9736"/>
            </w:tabs>
            <w:rPr>
              <w:rFonts w:eastAsiaTheme="minorEastAsia"/>
              <w:noProof/>
              <w:lang w:eastAsia="en-GB"/>
            </w:rPr>
          </w:pPr>
          <w:hyperlink w:anchor="_Toc153466376" w:history="1">
            <w:r w:rsidR="00615269" w:rsidRPr="00585F20">
              <w:rPr>
                <w:rStyle w:val="Hyperlink"/>
                <w:noProof/>
              </w:rPr>
              <w:t>40.</w:t>
            </w:r>
            <w:r w:rsidR="00615269">
              <w:rPr>
                <w:rFonts w:eastAsiaTheme="minorEastAsia"/>
                <w:noProof/>
                <w:lang w:eastAsia="en-GB"/>
              </w:rPr>
              <w:tab/>
            </w:r>
            <w:r w:rsidR="00615269" w:rsidRPr="00585F20">
              <w:rPr>
                <w:rStyle w:val="Hyperlink"/>
                <w:noProof/>
              </w:rPr>
              <w:t>Whistleblowing</w:t>
            </w:r>
            <w:r w:rsidR="00615269">
              <w:rPr>
                <w:noProof/>
                <w:webHidden/>
              </w:rPr>
              <w:tab/>
            </w:r>
            <w:r w:rsidR="00615269">
              <w:rPr>
                <w:noProof/>
                <w:webHidden/>
              </w:rPr>
              <w:fldChar w:fldCharType="begin"/>
            </w:r>
            <w:r w:rsidR="00615269">
              <w:rPr>
                <w:noProof/>
                <w:webHidden/>
              </w:rPr>
              <w:instrText xml:space="preserve"> PAGEREF _Toc153466376 \h </w:instrText>
            </w:r>
            <w:r w:rsidR="00615269">
              <w:rPr>
                <w:noProof/>
                <w:webHidden/>
              </w:rPr>
            </w:r>
            <w:r w:rsidR="00615269">
              <w:rPr>
                <w:noProof/>
                <w:webHidden/>
              </w:rPr>
              <w:fldChar w:fldCharType="separate"/>
            </w:r>
            <w:r w:rsidR="00615269">
              <w:rPr>
                <w:noProof/>
                <w:webHidden/>
              </w:rPr>
              <w:t>54</w:t>
            </w:r>
            <w:r w:rsidR="00615269">
              <w:rPr>
                <w:noProof/>
                <w:webHidden/>
              </w:rPr>
              <w:fldChar w:fldCharType="end"/>
            </w:r>
          </w:hyperlink>
        </w:p>
        <w:p w14:paraId="003E8082" w14:textId="7E7DB11A" w:rsidR="00615269" w:rsidRDefault="00B64BF4">
          <w:pPr>
            <w:pStyle w:val="TOC2"/>
            <w:tabs>
              <w:tab w:val="right" w:leader="dot" w:pos="9736"/>
            </w:tabs>
            <w:rPr>
              <w:rFonts w:eastAsiaTheme="minorEastAsia"/>
              <w:noProof/>
              <w:lang w:eastAsia="en-GB"/>
            </w:rPr>
          </w:pPr>
          <w:hyperlink w:anchor="_Toc153466377" w:history="1">
            <w:r w:rsidR="00615269" w:rsidRPr="00585F20">
              <w:rPr>
                <w:rStyle w:val="Hyperlink"/>
                <w:noProof/>
              </w:rPr>
              <w:t>41.</w:t>
            </w:r>
            <w:r w:rsidR="00615269">
              <w:rPr>
                <w:rFonts w:eastAsiaTheme="minorEastAsia"/>
                <w:noProof/>
                <w:lang w:eastAsia="en-GB"/>
              </w:rPr>
              <w:tab/>
            </w:r>
            <w:r w:rsidR="00615269" w:rsidRPr="00585F20">
              <w:rPr>
                <w:rStyle w:val="Hyperlink"/>
                <w:noProof/>
              </w:rPr>
              <w:t>Equality</w:t>
            </w:r>
            <w:r w:rsidR="00615269">
              <w:rPr>
                <w:noProof/>
                <w:webHidden/>
              </w:rPr>
              <w:tab/>
            </w:r>
            <w:r w:rsidR="00615269">
              <w:rPr>
                <w:noProof/>
                <w:webHidden/>
              </w:rPr>
              <w:fldChar w:fldCharType="begin"/>
            </w:r>
            <w:r w:rsidR="00615269">
              <w:rPr>
                <w:noProof/>
                <w:webHidden/>
              </w:rPr>
              <w:instrText xml:space="preserve"> PAGEREF _Toc153466377 \h </w:instrText>
            </w:r>
            <w:r w:rsidR="00615269">
              <w:rPr>
                <w:noProof/>
                <w:webHidden/>
              </w:rPr>
            </w:r>
            <w:r w:rsidR="00615269">
              <w:rPr>
                <w:noProof/>
                <w:webHidden/>
              </w:rPr>
              <w:fldChar w:fldCharType="separate"/>
            </w:r>
            <w:r w:rsidR="00615269">
              <w:rPr>
                <w:noProof/>
                <w:webHidden/>
              </w:rPr>
              <w:t>54</w:t>
            </w:r>
            <w:r w:rsidR="00615269">
              <w:rPr>
                <w:noProof/>
                <w:webHidden/>
              </w:rPr>
              <w:fldChar w:fldCharType="end"/>
            </w:r>
          </w:hyperlink>
        </w:p>
        <w:p w14:paraId="78D4A6FB" w14:textId="1539EDB3" w:rsidR="00615269" w:rsidRDefault="00B64BF4">
          <w:pPr>
            <w:pStyle w:val="TOC1"/>
            <w:rPr>
              <w:rFonts w:eastAsiaTheme="minorEastAsia"/>
              <w:b w:val="0"/>
              <w:noProof/>
              <w:lang w:eastAsia="en-GB"/>
            </w:rPr>
          </w:pPr>
          <w:hyperlink w:anchor="_Toc153466378" w:history="1">
            <w:r w:rsidR="00615269" w:rsidRPr="00585F20">
              <w:rPr>
                <w:rStyle w:val="Hyperlink"/>
                <w:noProof/>
              </w:rPr>
              <w:t>Audit</w:t>
            </w:r>
            <w:r w:rsidR="00615269">
              <w:rPr>
                <w:noProof/>
                <w:webHidden/>
              </w:rPr>
              <w:tab/>
            </w:r>
            <w:r w:rsidR="00615269">
              <w:rPr>
                <w:noProof/>
                <w:webHidden/>
              </w:rPr>
              <w:fldChar w:fldCharType="begin"/>
            </w:r>
            <w:r w:rsidR="00615269">
              <w:rPr>
                <w:noProof/>
                <w:webHidden/>
              </w:rPr>
              <w:instrText xml:space="preserve"> PAGEREF _Toc153466378 \h </w:instrText>
            </w:r>
            <w:r w:rsidR="00615269">
              <w:rPr>
                <w:noProof/>
                <w:webHidden/>
              </w:rPr>
            </w:r>
            <w:r w:rsidR="00615269">
              <w:rPr>
                <w:noProof/>
                <w:webHidden/>
              </w:rPr>
              <w:fldChar w:fldCharType="separate"/>
            </w:r>
            <w:r w:rsidR="00615269">
              <w:rPr>
                <w:noProof/>
                <w:webHidden/>
              </w:rPr>
              <w:t>55</w:t>
            </w:r>
            <w:r w:rsidR="00615269">
              <w:rPr>
                <w:noProof/>
                <w:webHidden/>
              </w:rPr>
              <w:fldChar w:fldCharType="end"/>
            </w:r>
          </w:hyperlink>
        </w:p>
        <w:p w14:paraId="1116EE63" w14:textId="57586A40" w:rsidR="00615269" w:rsidRDefault="00B64BF4">
          <w:pPr>
            <w:pStyle w:val="TOC2"/>
            <w:tabs>
              <w:tab w:val="right" w:leader="dot" w:pos="9736"/>
            </w:tabs>
            <w:rPr>
              <w:rFonts w:eastAsiaTheme="minorEastAsia"/>
              <w:noProof/>
              <w:lang w:eastAsia="en-GB"/>
            </w:rPr>
          </w:pPr>
          <w:hyperlink w:anchor="_Toc153466379" w:history="1">
            <w:r w:rsidR="00615269" w:rsidRPr="00585F20">
              <w:rPr>
                <w:rStyle w:val="Hyperlink"/>
                <w:noProof/>
              </w:rPr>
              <w:t>42.</w:t>
            </w:r>
            <w:r w:rsidR="00615269">
              <w:rPr>
                <w:rFonts w:eastAsiaTheme="minorEastAsia"/>
                <w:noProof/>
                <w:lang w:eastAsia="en-GB"/>
              </w:rPr>
              <w:tab/>
            </w:r>
            <w:r w:rsidR="00615269" w:rsidRPr="00585F20">
              <w:rPr>
                <w:rStyle w:val="Hyperlink"/>
                <w:noProof/>
              </w:rPr>
              <w:t>Internal audit</w:t>
            </w:r>
            <w:r w:rsidR="00615269">
              <w:rPr>
                <w:noProof/>
                <w:webHidden/>
              </w:rPr>
              <w:tab/>
            </w:r>
            <w:r w:rsidR="00615269">
              <w:rPr>
                <w:noProof/>
                <w:webHidden/>
              </w:rPr>
              <w:fldChar w:fldCharType="begin"/>
            </w:r>
            <w:r w:rsidR="00615269">
              <w:rPr>
                <w:noProof/>
                <w:webHidden/>
              </w:rPr>
              <w:instrText xml:space="preserve"> PAGEREF _Toc153466379 \h </w:instrText>
            </w:r>
            <w:r w:rsidR="00615269">
              <w:rPr>
                <w:noProof/>
                <w:webHidden/>
              </w:rPr>
            </w:r>
            <w:r w:rsidR="00615269">
              <w:rPr>
                <w:noProof/>
                <w:webHidden/>
              </w:rPr>
              <w:fldChar w:fldCharType="separate"/>
            </w:r>
            <w:r w:rsidR="00615269">
              <w:rPr>
                <w:noProof/>
                <w:webHidden/>
              </w:rPr>
              <w:t>55</w:t>
            </w:r>
            <w:r w:rsidR="00615269">
              <w:rPr>
                <w:noProof/>
                <w:webHidden/>
              </w:rPr>
              <w:fldChar w:fldCharType="end"/>
            </w:r>
          </w:hyperlink>
        </w:p>
        <w:p w14:paraId="37C40FED" w14:textId="0B11046F" w:rsidR="00615269" w:rsidRDefault="00B64BF4">
          <w:pPr>
            <w:pStyle w:val="TOC2"/>
            <w:tabs>
              <w:tab w:val="right" w:leader="dot" w:pos="9736"/>
            </w:tabs>
            <w:rPr>
              <w:rFonts w:eastAsiaTheme="minorEastAsia"/>
              <w:noProof/>
              <w:lang w:eastAsia="en-GB"/>
            </w:rPr>
          </w:pPr>
          <w:hyperlink w:anchor="_Toc153466380" w:history="1">
            <w:r w:rsidR="00615269" w:rsidRPr="00585F20">
              <w:rPr>
                <w:rStyle w:val="Hyperlink"/>
                <w:noProof/>
              </w:rPr>
              <w:t>43.</w:t>
            </w:r>
            <w:r w:rsidR="00615269">
              <w:rPr>
                <w:rFonts w:eastAsiaTheme="minorEastAsia"/>
                <w:noProof/>
                <w:lang w:eastAsia="en-GB"/>
              </w:rPr>
              <w:tab/>
            </w:r>
            <w:r w:rsidR="00615269" w:rsidRPr="00585F20">
              <w:rPr>
                <w:rStyle w:val="Hyperlink"/>
                <w:noProof/>
              </w:rPr>
              <w:t>External audit</w:t>
            </w:r>
            <w:r w:rsidR="00615269">
              <w:rPr>
                <w:noProof/>
                <w:webHidden/>
              </w:rPr>
              <w:tab/>
            </w:r>
            <w:r w:rsidR="00615269">
              <w:rPr>
                <w:noProof/>
                <w:webHidden/>
              </w:rPr>
              <w:fldChar w:fldCharType="begin"/>
            </w:r>
            <w:r w:rsidR="00615269">
              <w:rPr>
                <w:noProof/>
                <w:webHidden/>
              </w:rPr>
              <w:instrText xml:space="preserve"> PAGEREF _Toc153466380 \h </w:instrText>
            </w:r>
            <w:r w:rsidR="00615269">
              <w:rPr>
                <w:noProof/>
                <w:webHidden/>
              </w:rPr>
            </w:r>
            <w:r w:rsidR="00615269">
              <w:rPr>
                <w:noProof/>
                <w:webHidden/>
              </w:rPr>
              <w:fldChar w:fldCharType="separate"/>
            </w:r>
            <w:r w:rsidR="00615269">
              <w:rPr>
                <w:noProof/>
                <w:webHidden/>
              </w:rPr>
              <w:t>55</w:t>
            </w:r>
            <w:r w:rsidR="00615269">
              <w:rPr>
                <w:noProof/>
                <w:webHidden/>
              </w:rPr>
              <w:fldChar w:fldCharType="end"/>
            </w:r>
          </w:hyperlink>
        </w:p>
        <w:p w14:paraId="77A3C745" w14:textId="66AECFB7" w:rsidR="00615269" w:rsidRDefault="00B64BF4">
          <w:pPr>
            <w:pStyle w:val="TOC1"/>
            <w:rPr>
              <w:rFonts w:eastAsiaTheme="minorEastAsia"/>
              <w:b w:val="0"/>
              <w:noProof/>
              <w:lang w:eastAsia="en-GB"/>
            </w:rPr>
          </w:pPr>
          <w:hyperlink w:anchor="_Toc153466381" w:history="1">
            <w:r w:rsidR="00615269" w:rsidRPr="00585F20">
              <w:rPr>
                <w:rStyle w:val="Hyperlink"/>
                <w:noProof/>
              </w:rPr>
              <w:t>Reviews and winding up arrangements</w:t>
            </w:r>
            <w:r w:rsidR="00615269">
              <w:rPr>
                <w:noProof/>
                <w:webHidden/>
              </w:rPr>
              <w:tab/>
            </w:r>
            <w:r w:rsidR="00615269">
              <w:rPr>
                <w:noProof/>
                <w:webHidden/>
              </w:rPr>
              <w:fldChar w:fldCharType="begin"/>
            </w:r>
            <w:r w:rsidR="00615269">
              <w:rPr>
                <w:noProof/>
                <w:webHidden/>
              </w:rPr>
              <w:instrText xml:space="preserve"> PAGEREF _Toc153466381 \h </w:instrText>
            </w:r>
            <w:r w:rsidR="00615269">
              <w:rPr>
                <w:noProof/>
                <w:webHidden/>
              </w:rPr>
            </w:r>
            <w:r w:rsidR="00615269">
              <w:rPr>
                <w:noProof/>
                <w:webHidden/>
              </w:rPr>
              <w:fldChar w:fldCharType="separate"/>
            </w:r>
            <w:r w:rsidR="00615269">
              <w:rPr>
                <w:noProof/>
                <w:webHidden/>
              </w:rPr>
              <w:t>57</w:t>
            </w:r>
            <w:r w:rsidR="00615269">
              <w:rPr>
                <w:noProof/>
                <w:webHidden/>
              </w:rPr>
              <w:fldChar w:fldCharType="end"/>
            </w:r>
          </w:hyperlink>
        </w:p>
        <w:p w14:paraId="6120898A" w14:textId="720B22AB" w:rsidR="00615269" w:rsidRDefault="00B64BF4">
          <w:pPr>
            <w:pStyle w:val="TOC2"/>
            <w:tabs>
              <w:tab w:val="right" w:leader="dot" w:pos="9736"/>
            </w:tabs>
            <w:rPr>
              <w:rFonts w:eastAsiaTheme="minorEastAsia"/>
              <w:noProof/>
              <w:lang w:eastAsia="en-GB"/>
            </w:rPr>
          </w:pPr>
          <w:hyperlink w:anchor="_Toc153466382" w:history="1">
            <w:r w:rsidR="00615269" w:rsidRPr="00585F20">
              <w:rPr>
                <w:rStyle w:val="Hyperlink"/>
                <w:noProof/>
              </w:rPr>
              <w:t>44.</w:t>
            </w:r>
            <w:r w:rsidR="00615269">
              <w:rPr>
                <w:rFonts w:eastAsiaTheme="minorEastAsia"/>
                <w:noProof/>
                <w:lang w:eastAsia="en-GB"/>
              </w:rPr>
              <w:tab/>
            </w:r>
            <w:r w:rsidR="00615269" w:rsidRPr="00585F20">
              <w:rPr>
                <w:rStyle w:val="Hyperlink"/>
                <w:noProof/>
              </w:rPr>
              <w:t>Review of the Agency’s status</w:t>
            </w:r>
            <w:r w:rsidR="00615269">
              <w:rPr>
                <w:noProof/>
                <w:webHidden/>
              </w:rPr>
              <w:tab/>
            </w:r>
            <w:r w:rsidR="00615269">
              <w:rPr>
                <w:noProof/>
                <w:webHidden/>
              </w:rPr>
              <w:fldChar w:fldCharType="begin"/>
            </w:r>
            <w:r w:rsidR="00615269">
              <w:rPr>
                <w:noProof/>
                <w:webHidden/>
              </w:rPr>
              <w:instrText xml:space="preserve"> PAGEREF _Toc153466382 \h </w:instrText>
            </w:r>
            <w:r w:rsidR="00615269">
              <w:rPr>
                <w:noProof/>
                <w:webHidden/>
              </w:rPr>
            </w:r>
            <w:r w:rsidR="00615269">
              <w:rPr>
                <w:noProof/>
                <w:webHidden/>
              </w:rPr>
              <w:fldChar w:fldCharType="separate"/>
            </w:r>
            <w:r w:rsidR="00615269">
              <w:rPr>
                <w:noProof/>
                <w:webHidden/>
              </w:rPr>
              <w:t>57</w:t>
            </w:r>
            <w:r w:rsidR="00615269">
              <w:rPr>
                <w:noProof/>
                <w:webHidden/>
              </w:rPr>
              <w:fldChar w:fldCharType="end"/>
            </w:r>
          </w:hyperlink>
        </w:p>
        <w:p w14:paraId="38496D7E" w14:textId="7AC665C4" w:rsidR="00615269" w:rsidRDefault="00B64BF4">
          <w:pPr>
            <w:pStyle w:val="TOC2"/>
            <w:tabs>
              <w:tab w:val="right" w:leader="dot" w:pos="9736"/>
            </w:tabs>
            <w:rPr>
              <w:rFonts w:eastAsiaTheme="minorEastAsia"/>
              <w:noProof/>
              <w:lang w:eastAsia="en-GB"/>
            </w:rPr>
          </w:pPr>
          <w:hyperlink w:anchor="_Toc153466383" w:history="1">
            <w:r w:rsidR="00615269" w:rsidRPr="00585F20">
              <w:rPr>
                <w:rStyle w:val="Hyperlink"/>
                <w:noProof/>
              </w:rPr>
              <w:t>45.</w:t>
            </w:r>
            <w:r w:rsidR="00615269">
              <w:rPr>
                <w:rFonts w:eastAsiaTheme="minorEastAsia"/>
                <w:noProof/>
                <w:lang w:eastAsia="en-GB"/>
              </w:rPr>
              <w:tab/>
            </w:r>
            <w:r w:rsidR="00615269" w:rsidRPr="00585F20">
              <w:rPr>
                <w:rStyle w:val="Hyperlink"/>
                <w:noProof/>
              </w:rPr>
              <w:t>Arrangements in the event that the Agency is wound up</w:t>
            </w:r>
            <w:r w:rsidR="00615269">
              <w:rPr>
                <w:noProof/>
                <w:webHidden/>
              </w:rPr>
              <w:tab/>
            </w:r>
            <w:r w:rsidR="00615269">
              <w:rPr>
                <w:noProof/>
                <w:webHidden/>
              </w:rPr>
              <w:fldChar w:fldCharType="begin"/>
            </w:r>
            <w:r w:rsidR="00615269">
              <w:rPr>
                <w:noProof/>
                <w:webHidden/>
              </w:rPr>
              <w:instrText xml:space="preserve"> PAGEREF _Toc153466383 \h </w:instrText>
            </w:r>
            <w:r w:rsidR="00615269">
              <w:rPr>
                <w:noProof/>
                <w:webHidden/>
              </w:rPr>
            </w:r>
            <w:r w:rsidR="00615269">
              <w:rPr>
                <w:noProof/>
                <w:webHidden/>
              </w:rPr>
              <w:fldChar w:fldCharType="separate"/>
            </w:r>
            <w:r w:rsidR="00615269">
              <w:rPr>
                <w:noProof/>
                <w:webHidden/>
              </w:rPr>
              <w:t>57</w:t>
            </w:r>
            <w:r w:rsidR="00615269">
              <w:rPr>
                <w:noProof/>
                <w:webHidden/>
              </w:rPr>
              <w:fldChar w:fldCharType="end"/>
            </w:r>
          </w:hyperlink>
        </w:p>
        <w:p w14:paraId="73FA4600" w14:textId="43A7DC4C" w:rsidR="00615269" w:rsidRDefault="00B64BF4">
          <w:pPr>
            <w:pStyle w:val="TOC1"/>
            <w:rPr>
              <w:rFonts w:eastAsiaTheme="minorEastAsia"/>
              <w:b w:val="0"/>
              <w:noProof/>
              <w:lang w:eastAsia="en-GB"/>
            </w:rPr>
          </w:pPr>
          <w:hyperlink w:anchor="_Toc153466384" w:history="1">
            <w:r w:rsidR="00615269" w:rsidRPr="00585F20">
              <w:rPr>
                <w:rStyle w:val="Hyperlink"/>
                <w:noProof/>
              </w:rPr>
              <w:t>ANNEX A – Wider guidance</w:t>
            </w:r>
            <w:r w:rsidR="00615269">
              <w:rPr>
                <w:noProof/>
                <w:webHidden/>
              </w:rPr>
              <w:tab/>
            </w:r>
            <w:r w:rsidR="00615269">
              <w:rPr>
                <w:noProof/>
                <w:webHidden/>
              </w:rPr>
              <w:fldChar w:fldCharType="begin"/>
            </w:r>
            <w:r w:rsidR="00615269">
              <w:rPr>
                <w:noProof/>
                <w:webHidden/>
              </w:rPr>
              <w:instrText xml:space="preserve"> PAGEREF _Toc153466384 \h </w:instrText>
            </w:r>
            <w:r w:rsidR="00615269">
              <w:rPr>
                <w:noProof/>
                <w:webHidden/>
              </w:rPr>
            </w:r>
            <w:r w:rsidR="00615269">
              <w:rPr>
                <w:noProof/>
                <w:webHidden/>
              </w:rPr>
              <w:fldChar w:fldCharType="separate"/>
            </w:r>
            <w:r w:rsidR="00615269">
              <w:rPr>
                <w:noProof/>
                <w:webHidden/>
              </w:rPr>
              <w:t>59</w:t>
            </w:r>
            <w:r w:rsidR="00615269">
              <w:rPr>
                <w:noProof/>
                <w:webHidden/>
              </w:rPr>
              <w:fldChar w:fldCharType="end"/>
            </w:r>
          </w:hyperlink>
        </w:p>
        <w:p w14:paraId="3554500F" w14:textId="635C55EC" w:rsidR="00FD25CF" w:rsidRDefault="00FD25CF" w:rsidP="00796420">
          <w:pPr>
            <w:pStyle w:val="TOC2"/>
            <w:tabs>
              <w:tab w:val="right" w:leader="dot" w:pos="9736"/>
            </w:tabs>
            <w:spacing w:line="276" w:lineRule="auto"/>
          </w:pPr>
          <w:r w:rsidRPr="00D45B0B">
            <w:rPr>
              <w:rFonts w:ascii="Arial" w:hAnsi="Arial" w:cs="Arial"/>
              <w:b/>
              <w:sz w:val="24"/>
              <w:szCs w:val="24"/>
            </w:rPr>
            <w:fldChar w:fldCharType="end"/>
          </w:r>
        </w:p>
      </w:sdtContent>
    </w:sdt>
    <w:p w14:paraId="0331837A" w14:textId="41748BF8" w:rsidR="006F12E8" w:rsidRPr="006F12E8" w:rsidRDefault="006F12E8" w:rsidP="006F12E8">
      <w:pPr>
        <w:ind w:left="0" w:firstLine="0"/>
        <w:sectPr w:rsidR="006F12E8" w:rsidRPr="006F12E8" w:rsidSect="00DD1D01">
          <w:pgSz w:w="11906" w:h="16838"/>
          <w:pgMar w:top="1440" w:right="1080" w:bottom="1440" w:left="1080" w:header="708" w:footer="708" w:gutter="0"/>
          <w:cols w:space="708"/>
          <w:docGrid w:linePitch="360"/>
        </w:sectPr>
      </w:pPr>
    </w:p>
    <w:p w14:paraId="53FDED2C" w14:textId="47CE8EE7" w:rsidR="00C42A77" w:rsidRPr="00792A14" w:rsidRDefault="00C42A77" w:rsidP="00796420">
      <w:pPr>
        <w:pStyle w:val="Heading1"/>
        <w:spacing w:line="276" w:lineRule="auto"/>
      </w:pPr>
      <w:bookmarkStart w:id="1" w:name="_Toc153466331"/>
      <w:r w:rsidRPr="00792A14">
        <w:lastRenderedPageBreak/>
        <w:t>Introduction and Background</w:t>
      </w:r>
      <w:bookmarkEnd w:id="1"/>
    </w:p>
    <w:p w14:paraId="69D9DF0D" w14:textId="1A92A8CC" w:rsidR="00E80E68" w:rsidRPr="00731227" w:rsidRDefault="00E80E68" w:rsidP="00796420">
      <w:pPr>
        <w:pStyle w:val="Heading2"/>
        <w:spacing w:line="276" w:lineRule="auto"/>
      </w:pPr>
      <w:bookmarkStart w:id="2" w:name="_Toc153466332"/>
      <w:r w:rsidRPr="00731227">
        <w:t>Purpose of this document</w:t>
      </w:r>
      <w:bookmarkEnd w:id="2"/>
      <w:r w:rsidRPr="00731227">
        <w:t xml:space="preserve"> </w:t>
      </w:r>
    </w:p>
    <w:p w14:paraId="19D1A5EC" w14:textId="11EA004A" w:rsidR="00064DE1" w:rsidRPr="00555642" w:rsidRDefault="00AF4D48" w:rsidP="00D239B5">
      <w:pPr>
        <w:pStyle w:val="ParagraphText-numbered"/>
      </w:pPr>
      <w:r w:rsidRPr="00555642">
        <w:t xml:space="preserve">This </w:t>
      </w:r>
      <w:r w:rsidR="0073760E" w:rsidRPr="00555642">
        <w:t>Framework Document</w:t>
      </w:r>
      <w:r w:rsidRPr="00555642">
        <w:t xml:space="preserve"> (the “</w:t>
      </w:r>
      <w:r w:rsidR="0073760E" w:rsidRPr="00555642">
        <w:t>Framework Document</w:t>
      </w:r>
      <w:r w:rsidRPr="00555642">
        <w:t xml:space="preserve">”) has been agreed between the </w:t>
      </w:r>
      <w:r w:rsidR="004B28C3" w:rsidRPr="00555642">
        <w:t>Department</w:t>
      </w:r>
      <w:r w:rsidRPr="00555642">
        <w:t xml:space="preserve"> of Health and Social Care (“the </w:t>
      </w:r>
      <w:r w:rsidR="004B28C3" w:rsidRPr="00555642">
        <w:t>Department</w:t>
      </w:r>
      <w:r w:rsidRPr="00555642">
        <w:t>”) and the Medicines and H</w:t>
      </w:r>
      <w:r w:rsidR="00911B50" w:rsidRPr="00555642">
        <w:t>ealthcare products Regulatory Agency (“the Agency”)</w:t>
      </w:r>
      <w:r w:rsidRPr="00555642">
        <w:t xml:space="preserve"> in accordance with </w:t>
      </w:r>
      <w:r w:rsidR="007A5C18" w:rsidRPr="00555642">
        <w:t>HM Treasury</w:t>
      </w:r>
      <w:r w:rsidRPr="00555642">
        <w:t>'s handbook Managing Public Money (“MPM”</w:t>
      </w:r>
      <w:r w:rsidR="00E727B0" w:rsidRPr="00555642">
        <w:t>, as updated from time to time</w:t>
      </w:r>
      <w:r w:rsidRPr="00555642">
        <w:t xml:space="preserve">) and has been approved by </w:t>
      </w:r>
      <w:r w:rsidR="007A5C18" w:rsidRPr="00555642">
        <w:t>HM Treasury</w:t>
      </w:r>
      <w:r w:rsidRPr="00555642">
        <w:t xml:space="preserve">. </w:t>
      </w:r>
    </w:p>
    <w:p w14:paraId="3FA4C1F0" w14:textId="215F22DD" w:rsidR="001F3919" w:rsidRPr="002B4817" w:rsidRDefault="00186654" w:rsidP="00D239B5">
      <w:pPr>
        <w:pStyle w:val="ParagraphText-numbered"/>
      </w:pPr>
      <w:r w:rsidRPr="00555642">
        <w:t>Th</w:t>
      </w:r>
      <w:r w:rsidR="008C25B9" w:rsidRPr="00555642">
        <w:t>is</w:t>
      </w:r>
      <w:r w:rsidRPr="00555642">
        <w:t xml:space="preserve"> </w:t>
      </w:r>
      <w:r w:rsidR="0073760E" w:rsidRPr="00555642">
        <w:t>Framework Document</w:t>
      </w:r>
      <w:r w:rsidRPr="00555642">
        <w:t xml:space="preserve"> sets out the broad governance framework within which the </w:t>
      </w:r>
      <w:r w:rsidR="00500F05" w:rsidRPr="00555642">
        <w:t>Agency</w:t>
      </w:r>
      <w:r w:rsidRPr="00555642">
        <w:t xml:space="preserve"> and the </w:t>
      </w:r>
      <w:r w:rsidR="004B28C3" w:rsidRPr="00555642">
        <w:t>Department</w:t>
      </w:r>
      <w:r w:rsidRPr="00555642">
        <w:t xml:space="preserve"> operate</w:t>
      </w:r>
      <w:r w:rsidR="00F237F1" w:rsidRPr="00555642">
        <w:t xml:space="preserve">. It sets out </w:t>
      </w:r>
      <w:r w:rsidRPr="00555642">
        <w:t xml:space="preserve">the </w:t>
      </w:r>
      <w:r w:rsidR="00500F05" w:rsidRPr="00555642">
        <w:t>Agency’s</w:t>
      </w:r>
      <w:r w:rsidRPr="00555642">
        <w:t xml:space="preserve"> core responsibilities; </w:t>
      </w:r>
      <w:r w:rsidR="00F237F1" w:rsidRPr="00555642">
        <w:t>d</w:t>
      </w:r>
      <w:r w:rsidRPr="00555642">
        <w:t>escribes the governance and accountability framework that applies</w:t>
      </w:r>
      <w:r w:rsidR="003C36A9">
        <w:t xml:space="preserve"> to </w:t>
      </w:r>
      <w:r w:rsidRPr="00555642">
        <w:t xml:space="preserve">the roles of the </w:t>
      </w:r>
      <w:r w:rsidR="004B28C3" w:rsidRPr="00555642">
        <w:t>Department</w:t>
      </w:r>
      <w:r w:rsidR="00A57FE1" w:rsidRPr="00555642">
        <w:t xml:space="preserve"> and</w:t>
      </w:r>
      <w:r w:rsidRPr="00555642">
        <w:t xml:space="preserve"> </w:t>
      </w:r>
      <w:r w:rsidR="00500F05" w:rsidRPr="00555642">
        <w:t>the Agency</w:t>
      </w:r>
      <w:r w:rsidRPr="00555642">
        <w:t xml:space="preserve">, </w:t>
      </w:r>
      <w:r w:rsidR="00A57FE1" w:rsidRPr="00555642">
        <w:t xml:space="preserve">as well </w:t>
      </w:r>
      <w:r w:rsidR="0022434A" w:rsidRPr="00555642">
        <w:t xml:space="preserve">as </w:t>
      </w:r>
      <w:r w:rsidR="003C36A9">
        <w:t xml:space="preserve">to </w:t>
      </w:r>
      <w:r w:rsidR="00A57FE1" w:rsidRPr="00555642">
        <w:t>other stakeholders as relevant</w:t>
      </w:r>
      <w:r w:rsidR="00EA7B88" w:rsidRPr="00555642">
        <w:t>;</w:t>
      </w:r>
      <w:r w:rsidR="001F3919" w:rsidRPr="00555642">
        <w:t xml:space="preserve"> and</w:t>
      </w:r>
      <w:r w:rsidR="000F1A61" w:rsidRPr="00555642">
        <w:t xml:space="preserve"> </w:t>
      </w:r>
      <w:r w:rsidR="001F3919" w:rsidRPr="00555642">
        <w:t xml:space="preserve">sets </w:t>
      </w:r>
      <w:r w:rsidRPr="00555642">
        <w:t xml:space="preserve">out how the day-to-day relationship works in </w:t>
      </w:r>
      <w:r w:rsidRPr="002B4817">
        <w:t xml:space="preserve">practice, including in relation to governance and financial matters. </w:t>
      </w:r>
    </w:p>
    <w:p w14:paraId="755400BD" w14:textId="41DA4840" w:rsidR="001F3919" w:rsidRPr="002B4817" w:rsidRDefault="00186654" w:rsidP="00D239B5">
      <w:pPr>
        <w:pStyle w:val="ParagraphText-numbered"/>
      </w:pPr>
      <w:r w:rsidRPr="002B4817">
        <w:t>Th</w:t>
      </w:r>
      <w:r w:rsidR="002F6EA0" w:rsidRPr="002B4817">
        <w:t>is Framework D</w:t>
      </w:r>
      <w:r w:rsidRPr="002B4817">
        <w:t>ocument does not convey any legal powers or responsibilities but both parties agree to operate within its terms.</w:t>
      </w:r>
    </w:p>
    <w:p w14:paraId="4649F19D" w14:textId="6D4DE924" w:rsidR="00E15984" w:rsidRPr="002B4817" w:rsidRDefault="00186654" w:rsidP="00D239B5">
      <w:pPr>
        <w:pStyle w:val="ParagraphText-numbered"/>
      </w:pPr>
      <w:r w:rsidRPr="002B4817">
        <w:t xml:space="preserve">Copies of the </w:t>
      </w:r>
      <w:r w:rsidR="00825DBC" w:rsidRPr="002B4817">
        <w:t>Framework Document</w:t>
      </w:r>
      <w:r w:rsidRPr="002B4817">
        <w:t xml:space="preserve"> and any subsequent amendments </w:t>
      </w:r>
      <w:r w:rsidR="00B37706">
        <w:t>will</w:t>
      </w:r>
      <w:r w:rsidR="00B37706" w:rsidRPr="002B4817">
        <w:t xml:space="preserve"> </w:t>
      </w:r>
      <w:r w:rsidRPr="002B4817">
        <w:t xml:space="preserve">been placed in the Libraries of both Houses of Parliament and made available to members of the public on </w:t>
      </w:r>
      <w:r w:rsidR="00825DBC" w:rsidRPr="002B4817">
        <w:t>gov.uk.</w:t>
      </w:r>
      <w:r w:rsidRPr="002B4817">
        <w:t xml:space="preserve"> </w:t>
      </w:r>
      <w:r w:rsidR="00AF4D48" w:rsidRPr="002B4817">
        <w:t xml:space="preserve"> </w:t>
      </w:r>
    </w:p>
    <w:p w14:paraId="185E9BD3" w14:textId="3F9EB115" w:rsidR="00EE6AE2" w:rsidRPr="00555642" w:rsidRDefault="00E15984" w:rsidP="00D239B5">
      <w:pPr>
        <w:pStyle w:val="ParagraphText-numbered"/>
      </w:pPr>
      <w:r w:rsidRPr="002B4817">
        <w:t xml:space="preserve">This </w:t>
      </w:r>
      <w:r w:rsidR="0073760E" w:rsidRPr="002B4817">
        <w:t>Framework Document</w:t>
      </w:r>
      <w:r w:rsidRPr="002B4817">
        <w:t xml:space="preserve"> </w:t>
      </w:r>
      <w:r w:rsidR="00E33435">
        <w:t xml:space="preserve">should </w:t>
      </w:r>
      <w:r w:rsidRPr="002B4817">
        <w:t>be reviewed and updated at least every 3 years</w:t>
      </w:r>
      <w:r w:rsidR="00E33435">
        <w:t xml:space="preserve"> unless there are</w:t>
      </w:r>
      <w:r w:rsidR="00D46895" w:rsidRPr="002B4817">
        <w:t xml:space="preserve"> exceptional </w:t>
      </w:r>
      <w:r w:rsidR="000F164E">
        <w:t>reasons that render this inappropriate that have been</w:t>
      </w:r>
      <w:r w:rsidRPr="002B4817">
        <w:t xml:space="preserve"> agreed with </w:t>
      </w:r>
      <w:r w:rsidR="007A5C18" w:rsidRPr="002B4817">
        <w:t>HM Treasury</w:t>
      </w:r>
      <w:r w:rsidRPr="002B4817">
        <w:t xml:space="preserve"> and the Principal</w:t>
      </w:r>
      <w:r w:rsidRPr="00555642">
        <w:t xml:space="preserve"> Accounting Officer of the </w:t>
      </w:r>
      <w:r w:rsidR="004B28C3" w:rsidRPr="00555642">
        <w:t>Department</w:t>
      </w:r>
      <w:r w:rsidRPr="00555642">
        <w:t xml:space="preserve">. The latest date for review and updating of this document is </w:t>
      </w:r>
      <w:r w:rsidR="00F24C3F" w:rsidRPr="00555642">
        <w:t xml:space="preserve">March </w:t>
      </w:r>
      <w:r w:rsidRPr="00555642">
        <w:t>202</w:t>
      </w:r>
      <w:r w:rsidR="00EF6FCD">
        <w:t>7</w:t>
      </w:r>
      <w:r w:rsidRPr="00555642">
        <w:t>.</w:t>
      </w:r>
    </w:p>
    <w:p w14:paraId="1CD980F9" w14:textId="3DCD2270" w:rsidR="00EE6AE2" w:rsidRDefault="0087322D" w:rsidP="00796420">
      <w:pPr>
        <w:pStyle w:val="Heading2"/>
        <w:spacing w:line="276" w:lineRule="auto"/>
      </w:pPr>
      <w:bookmarkStart w:id="3" w:name="_Toc153466333"/>
      <w:r w:rsidRPr="00D000C2">
        <w:t>Objectives</w:t>
      </w:r>
      <w:bookmarkEnd w:id="3"/>
      <w:r w:rsidR="00EE6AE2" w:rsidRPr="00D000C2">
        <w:t xml:space="preserve"> </w:t>
      </w:r>
    </w:p>
    <w:p w14:paraId="17EEFF80" w14:textId="2BB3C34A" w:rsidR="00751A52" w:rsidRDefault="004E57CD" w:rsidP="00D239B5">
      <w:pPr>
        <w:pStyle w:val="ParagraphText-numbered"/>
      </w:pPr>
      <w:r w:rsidRPr="004E57CD">
        <w:t xml:space="preserve">The </w:t>
      </w:r>
      <w:r w:rsidR="004C0553">
        <w:t>D</w:t>
      </w:r>
      <w:r w:rsidRPr="004E57CD">
        <w:t xml:space="preserve">epartment and </w:t>
      </w:r>
      <w:r w:rsidR="004C0553">
        <w:t>the Agency</w:t>
      </w:r>
      <w:r w:rsidRPr="004E57CD">
        <w:t xml:space="preserve"> share the common objective of delivering</w:t>
      </w:r>
      <w:r w:rsidR="00F34F87">
        <w:t xml:space="preserve"> safe</w:t>
      </w:r>
      <w:r w:rsidR="00E219A1">
        <w:t xml:space="preserve"> and </w:t>
      </w:r>
      <w:r w:rsidR="00F34F87">
        <w:t>effective</w:t>
      </w:r>
      <w:r w:rsidR="00E219A1">
        <w:t xml:space="preserve"> medical products which have been manufactured to sufficient quality. They are committed to enabling innovative products to reach patients as quickly as possible through the delivery of effective, risk-proportionate regulation which sets international standards and respects the expertise of equivalent regu</w:t>
      </w:r>
      <w:r w:rsidR="00A835B2">
        <w:t>l</w:t>
      </w:r>
      <w:r w:rsidR="00E219A1">
        <w:t>ators world-wide.</w:t>
      </w:r>
    </w:p>
    <w:p w14:paraId="1674B4CA" w14:textId="7C27A4EC" w:rsidR="004E57CD" w:rsidRPr="004E57CD" w:rsidRDefault="004E57CD" w:rsidP="00D239B5">
      <w:pPr>
        <w:pStyle w:val="ParagraphText-numbered"/>
      </w:pPr>
      <w:r w:rsidRPr="004E57CD">
        <w:t xml:space="preserve">To achieve this the </w:t>
      </w:r>
      <w:r w:rsidR="00751A52">
        <w:t>Agency</w:t>
      </w:r>
      <w:r w:rsidRPr="004E57CD">
        <w:t xml:space="preserve"> and the </w:t>
      </w:r>
      <w:r w:rsidR="00751A52">
        <w:t>Department</w:t>
      </w:r>
      <w:r w:rsidRPr="004E57CD">
        <w:t xml:space="preserve"> will work together in recognition of each other's roles and areas of expertise, providing an effective environment for the </w:t>
      </w:r>
      <w:r w:rsidR="000300DC">
        <w:t>Agency</w:t>
      </w:r>
      <w:r w:rsidRPr="004E57CD">
        <w:t xml:space="preserve"> to achieve its objectives through the promotion of partnership and </w:t>
      </w:r>
      <w:r w:rsidRPr="004E57CD">
        <w:lastRenderedPageBreak/>
        <w:t xml:space="preserve">trust and ensuring that </w:t>
      </w:r>
      <w:r w:rsidR="000300DC">
        <w:t xml:space="preserve">the Agency </w:t>
      </w:r>
      <w:r w:rsidRPr="004E57CD">
        <w:t xml:space="preserve">also supports the strategic aims and objective of the </w:t>
      </w:r>
      <w:r w:rsidR="000300DC">
        <w:t>D</w:t>
      </w:r>
      <w:r w:rsidRPr="004E57CD">
        <w:t>epartment and wider government as a whole.</w:t>
      </w:r>
    </w:p>
    <w:p w14:paraId="1EA19F75" w14:textId="32D73527" w:rsidR="008D1523" w:rsidRDefault="006F300D" w:rsidP="00D239B5">
      <w:pPr>
        <w:pStyle w:val="ParagraphText-numbered"/>
      </w:pPr>
      <w:r>
        <w:t>The</w:t>
      </w:r>
      <w:r w:rsidR="0035135F" w:rsidRPr="00DA7D41">
        <w:t xml:space="preserve"> </w:t>
      </w:r>
      <w:r w:rsidR="0035135F" w:rsidRPr="00014C02">
        <w:t>Agency</w:t>
      </w:r>
      <w:r w:rsidR="00EE6AE2" w:rsidRPr="00014C02">
        <w:t xml:space="preserve"> </w:t>
      </w:r>
      <w:r>
        <w:t xml:space="preserve">is responsible for </w:t>
      </w:r>
      <w:r w:rsidR="00EE6AE2" w:rsidRPr="00014C02">
        <w:t xml:space="preserve">delivering </w:t>
      </w:r>
      <w:r w:rsidR="008D1523" w:rsidRPr="00014C02">
        <w:t>the regulation of medicines, medical devices and blood products for transfusion in the United Kingdom (UK)</w:t>
      </w:r>
      <w:r w:rsidR="00FF504E">
        <w:t>, acting on behalf of the Secretary of State</w:t>
      </w:r>
      <w:r w:rsidR="00400952">
        <w:t xml:space="preserve"> for Health and Social Care (the “Secretary of State”)</w:t>
      </w:r>
      <w:r w:rsidR="00EE6AE2" w:rsidRPr="00014C02">
        <w:t xml:space="preserve">. </w:t>
      </w:r>
    </w:p>
    <w:p w14:paraId="44796F72" w14:textId="1A35B9F3" w:rsidR="006061CA" w:rsidRDefault="006061CA" w:rsidP="00D239B5">
      <w:pPr>
        <w:pStyle w:val="ParagraphText-numbered"/>
      </w:pPr>
      <w:r>
        <w:t xml:space="preserve">The Agency also plays a major national and international role in assuring the quality of biological medicines through development and provision of standards and reference materials, control testing, carrying out applied research and the provision of scientific advice. </w:t>
      </w:r>
    </w:p>
    <w:p w14:paraId="317E734E" w14:textId="65E687D3" w:rsidR="006F300D" w:rsidRPr="00470424" w:rsidRDefault="006F300D" w:rsidP="00D239B5">
      <w:pPr>
        <w:pStyle w:val="ParagraphText-numbered"/>
      </w:pPr>
      <w:r w:rsidRPr="00470424">
        <w:t xml:space="preserve">As an Executive Agency, the Agency is able to balance the needs for public health expertise, operational delivery, scientific integrity, independence in </w:t>
      </w:r>
      <w:r w:rsidR="00885B49">
        <w:t>regulatory decision-making</w:t>
      </w:r>
      <w:r w:rsidRPr="00470424">
        <w:t xml:space="preserve"> and the necessary level of ministerial oversight and accountability to command public confidence. Executive Agency status also supports sufficient flexibility to respond to change arising from a range of scenarios including future pandemics and other emergencies, in fulfilment of the Secretary of State’s statutory duties. </w:t>
      </w:r>
    </w:p>
    <w:p w14:paraId="4445E7CE" w14:textId="6A2B9736" w:rsidR="002473D1" w:rsidRDefault="00EE6AE2" w:rsidP="00796420">
      <w:pPr>
        <w:pStyle w:val="Heading2"/>
        <w:spacing w:line="276" w:lineRule="auto"/>
      </w:pPr>
      <w:bookmarkStart w:id="4" w:name="_Toc153466334"/>
      <w:r w:rsidRPr="00D000C2">
        <w:t>Classification</w:t>
      </w:r>
      <w:bookmarkEnd w:id="4"/>
      <w:r w:rsidRPr="00D000C2">
        <w:t xml:space="preserve"> </w:t>
      </w:r>
    </w:p>
    <w:p w14:paraId="070F53AE" w14:textId="58D2E82E" w:rsidR="00100104" w:rsidRPr="005767A9" w:rsidRDefault="00100104" w:rsidP="00D239B5">
      <w:pPr>
        <w:pStyle w:val="ParagraphText-numbered"/>
      </w:pPr>
      <w:r w:rsidRPr="005767A9">
        <w:t>For several years, the Agency had been operating as a trading fund</w:t>
      </w:r>
      <w:r w:rsidR="006E6F32" w:rsidRPr="005767A9">
        <w:t xml:space="preserve"> as established by the Medicines and Healthcare </w:t>
      </w:r>
      <w:r w:rsidR="003E0928" w:rsidRPr="005767A9">
        <w:t>P</w:t>
      </w:r>
      <w:r w:rsidR="006E6F32" w:rsidRPr="005767A9">
        <w:t>roducts Regulatory Agency Trading Fund Order 2003 (S</w:t>
      </w:r>
      <w:r w:rsidR="0052372C" w:rsidRPr="005767A9">
        <w:t>.</w:t>
      </w:r>
      <w:r w:rsidR="006E6F32" w:rsidRPr="005767A9">
        <w:t>I</w:t>
      </w:r>
      <w:r w:rsidR="0052372C" w:rsidRPr="005767A9">
        <w:t>.</w:t>
      </w:r>
      <w:r w:rsidR="006E6F32" w:rsidRPr="005767A9">
        <w:t xml:space="preserve"> 2003/1076</w:t>
      </w:r>
      <w:r w:rsidR="00414672" w:rsidRPr="005767A9">
        <w:t>, “the 2003 Order”</w:t>
      </w:r>
      <w:r w:rsidR="006E6F32" w:rsidRPr="005767A9">
        <w:t>), made under the Government Trading Funds Act 1973.</w:t>
      </w:r>
      <w:r w:rsidRPr="005767A9">
        <w:t xml:space="preserve"> </w:t>
      </w:r>
    </w:p>
    <w:p w14:paraId="720A00DE" w14:textId="2F263D53" w:rsidR="00100104" w:rsidRPr="005767A9" w:rsidRDefault="006E6F32" w:rsidP="00D239B5">
      <w:pPr>
        <w:pStyle w:val="ParagraphText-numbered"/>
      </w:pPr>
      <w:r w:rsidRPr="005767A9">
        <w:t>In 2019, the Agency was classified to the central government subsector by the Office for National Statistics (ONS</w:t>
      </w:r>
      <w:r w:rsidR="00437074" w:rsidRPr="005767A9">
        <w:t>)</w:t>
      </w:r>
      <w:r w:rsidR="00100104" w:rsidRPr="005767A9">
        <w:t xml:space="preserve">, with </w:t>
      </w:r>
      <w:r w:rsidR="00B9005B" w:rsidRPr="005767A9">
        <w:t xml:space="preserve">retrospective </w:t>
      </w:r>
      <w:r w:rsidR="00100104" w:rsidRPr="005767A9">
        <w:t xml:space="preserve">effect from 1 April 2003, the date it came into existence. </w:t>
      </w:r>
    </w:p>
    <w:p w14:paraId="19B8A5F5" w14:textId="07258C7B" w:rsidR="009804C1" w:rsidRPr="005767A9" w:rsidRDefault="00F24BA4" w:rsidP="00D239B5">
      <w:pPr>
        <w:pStyle w:val="ParagraphText-numbered"/>
      </w:pPr>
      <w:r>
        <w:t>T</w:t>
      </w:r>
      <w:r w:rsidR="0052372C" w:rsidRPr="005767A9">
        <w:t xml:space="preserve">he Medicines and Healthcare </w:t>
      </w:r>
      <w:r w:rsidR="000560E8">
        <w:t>p</w:t>
      </w:r>
      <w:r w:rsidR="0052372C" w:rsidRPr="005767A9">
        <w:t xml:space="preserve">roducts Regulatory Agency Trading Fund (Revocation) Order 2022 </w:t>
      </w:r>
      <w:r>
        <w:t>came into force on 1</w:t>
      </w:r>
      <w:r w:rsidRPr="00582007">
        <w:rPr>
          <w:vertAlign w:val="superscript"/>
        </w:rPr>
        <w:t>st</w:t>
      </w:r>
      <w:r>
        <w:t xml:space="preserve"> April 2022</w:t>
      </w:r>
      <w:r w:rsidR="00E77387" w:rsidRPr="005767A9">
        <w:t xml:space="preserve">. </w:t>
      </w:r>
      <w:r w:rsidR="009804C1" w:rsidRPr="005767A9">
        <w:t xml:space="preserve">This Order revoked the </w:t>
      </w:r>
      <w:r w:rsidR="00201113" w:rsidRPr="005767A9">
        <w:t xml:space="preserve">2003 </w:t>
      </w:r>
      <w:r w:rsidR="009804C1" w:rsidRPr="005767A9">
        <w:t>Order and all other amending Statutory Instruments or provisions that bec</w:t>
      </w:r>
      <w:r>
        <w:t>a</w:t>
      </w:r>
      <w:r w:rsidR="009804C1" w:rsidRPr="005767A9">
        <w:t xml:space="preserve">me spent when the 2003 Order </w:t>
      </w:r>
      <w:r>
        <w:t>wa</w:t>
      </w:r>
      <w:r w:rsidR="009804C1" w:rsidRPr="005767A9">
        <w:t>s revoked.</w:t>
      </w:r>
    </w:p>
    <w:p w14:paraId="04D02982" w14:textId="46EDE5EB" w:rsidR="00100104" w:rsidRPr="005767A9" w:rsidRDefault="00C7669F" w:rsidP="00D239B5">
      <w:pPr>
        <w:pStyle w:val="ParagraphText-numbered"/>
      </w:pPr>
      <w:r w:rsidRPr="005767A9">
        <w:t xml:space="preserve">The trading fund established by the 2003 Order </w:t>
      </w:r>
      <w:r w:rsidR="00414672" w:rsidRPr="005767A9">
        <w:t>has ceased</w:t>
      </w:r>
      <w:r w:rsidRPr="005767A9">
        <w:t xml:space="preserve"> to exist, the operations of </w:t>
      </w:r>
      <w:r w:rsidR="00BA049C" w:rsidRPr="005767A9">
        <w:t>the Agency</w:t>
      </w:r>
      <w:r w:rsidRPr="005767A9">
        <w:t xml:space="preserve"> as defined in Schedule 1 to the 2003 Order </w:t>
      </w:r>
      <w:r w:rsidR="00414672" w:rsidRPr="005767A9">
        <w:t>have</w:t>
      </w:r>
      <w:r w:rsidRPr="005767A9">
        <w:t xml:space="preserve"> cease</w:t>
      </w:r>
      <w:r w:rsidR="00414672" w:rsidRPr="005767A9">
        <w:t>d</w:t>
      </w:r>
      <w:r w:rsidRPr="005767A9">
        <w:t xml:space="preserve"> to be funded by means of a trading fund, and </w:t>
      </w:r>
      <w:r w:rsidR="00BA049C" w:rsidRPr="005767A9">
        <w:t>the Agency’</w:t>
      </w:r>
      <w:r w:rsidRPr="005767A9">
        <w:t xml:space="preserve">s assets and liabilities </w:t>
      </w:r>
      <w:r w:rsidR="00414672" w:rsidRPr="005767A9">
        <w:t>are</w:t>
      </w:r>
      <w:r w:rsidRPr="005767A9">
        <w:t xml:space="preserve"> no longer appropriated to a trading fund. </w:t>
      </w:r>
    </w:p>
    <w:p w14:paraId="52A80FFC" w14:textId="3E0677C6" w:rsidR="00BA049C" w:rsidRDefault="00BA049C" w:rsidP="00D239B5">
      <w:pPr>
        <w:pStyle w:val="ParagraphText-numbered"/>
      </w:pPr>
      <w:r w:rsidRPr="005767A9">
        <w:lastRenderedPageBreak/>
        <w:t xml:space="preserve">The Agency continues to be administratively classified by the Cabinet Office as an Executive Agency. The </w:t>
      </w:r>
      <w:r w:rsidR="0032545F" w:rsidRPr="005767A9">
        <w:t xml:space="preserve">cessation of </w:t>
      </w:r>
      <w:r w:rsidR="000560E8">
        <w:t xml:space="preserve">MHRA’s </w:t>
      </w:r>
      <w:r w:rsidR="0032545F" w:rsidRPr="005767A9">
        <w:t xml:space="preserve">trading fund </w:t>
      </w:r>
      <w:r w:rsidR="000560E8">
        <w:t xml:space="preserve">status </w:t>
      </w:r>
      <w:r w:rsidRPr="005767A9">
        <w:t xml:space="preserve">has no effect on </w:t>
      </w:r>
      <w:r w:rsidR="00CC1E8E" w:rsidRPr="005767A9">
        <w:t>this</w:t>
      </w:r>
      <w:r w:rsidRPr="005767A9">
        <w:t>.</w:t>
      </w:r>
    </w:p>
    <w:p w14:paraId="492EEC09" w14:textId="47C8CBAB" w:rsidR="001F1394" w:rsidRPr="005767A9" w:rsidRDefault="001F1394" w:rsidP="00D239B5">
      <w:pPr>
        <w:pStyle w:val="ParagraphText-numbered"/>
      </w:pPr>
      <w:r>
        <w:t>From 1 April 20</w:t>
      </w:r>
      <w:r w:rsidR="007074E5">
        <w:t xml:space="preserve">22 the Agency </w:t>
      </w:r>
      <w:r w:rsidR="000560E8">
        <w:t xml:space="preserve">is </w:t>
      </w:r>
      <w:r w:rsidR="007074E5">
        <w:t xml:space="preserve">designated </w:t>
      </w:r>
      <w:r w:rsidR="00723580">
        <w:t xml:space="preserve">by HM Treasury </w:t>
      </w:r>
      <w:r w:rsidR="007074E5">
        <w:t xml:space="preserve">within the </w:t>
      </w:r>
      <w:r w:rsidR="00136BD7">
        <w:t>Department</w:t>
      </w:r>
      <w:r w:rsidR="007074E5">
        <w:t xml:space="preserve"> group accounting </w:t>
      </w:r>
      <w:r w:rsidR="00723580">
        <w:t xml:space="preserve">boundary. </w:t>
      </w:r>
      <w:r w:rsidR="000560E8">
        <w:t>As a result</w:t>
      </w:r>
      <w:r w:rsidR="00723580">
        <w:t xml:space="preserve">, the Agency’s results will be incorporated within the Department’s </w:t>
      </w:r>
      <w:r w:rsidR="000B722F">
        <w:t xml:space="preserve">consolidated Annual Report and Accounts and its </w:t>
      </w:r>
      <w:r w:rsidR="00F6672F">
        <w:t>income and expenditure will be included within the Department’s supply estimate.</w:t>
      </w:r>
    </w:p>
    <w:p w14:paraId="38E547C7" w14:textId="4EFF7C3A" w:rsidR="007A3BE8" w:rsidRDefault="007A3BE8" w:rsidP="00D239B5">
      <w:pPr>
        <w:pStyle w:val="ParagraphText-numbered"/>
      </w:pPr>
    </w:p>
    <w:p w14:paraId="3CA15A82" w14:textId="77777777" w:rsidR="007A3BE8" w:rsidRDefault="007A3BE8" w:rsidP="00D239B5">
      <w:pPr>
        <w:pStyle w:val="ParagraphText-numbered"/>
      </w:pPr>
    </w:p>
    <w:p w14:paraId="3927BD13" w14:textId="708057F8" w:rsidR="008A3EBD" w:rsidRPr="00792A14" w:rsidRDefault="008A3EBD" w:rsidP="00796420">
      <w:pPr>
        <w:pStyle w:val="Heading1"/>
        <w:spacing w:line="276" w:lineRule="auto"/>
      </w:pPr>
      <w:bookmarkStart w:id="5" w:name="_Toc90388225"/>
      <w:bookmarkStart w:id="6" w:name="_Toc153466335"/>
      <w:bookmarkStart w:id="7" w:name="_Hlk84939635"/>
      <w:bookmarkEnd w:id="5"/>
      <w:r w:rsidRPr="00792A14">
        <w:t>Purposes, Aims and Duties</w:t>
      </w:r>
      <w:bookmarkEnd w:id="6"/>
    </w:p>
    <w:p w14:paraId="752D468E" w14:textId="63FE1287" w:rsidR="00765564" w:rsidRPr="00765564" w:rsidRDefault="00E86203" w:rsidP="00796420">
      <w:pPr>
        <w:pStyle w:val="Heading2"/>
        <w:spacing w:line="276" w:lineRule="auto"/>
      </w:pPr>
      <w:bookmarkStart w:id="8" w:name="_Toc153466336"/>
      <w:bookmarkEnd w:id="7"/>
      <w:r w:rsidRPr="00A117FE">
        <w:t>Purposes</w:t>
      </w:r>
      <w:bookmarkEnd w:id="8"/>
      <w:r w:rsidRPr="00A117FE">
        <w:t xml:space="preserve"> </w:t>
      </w:r>
    </w:p>
    <w:p w14:paraId="1D4809F2" w14:textId="77777777" w:rsidR="003F544E" w:rsidRDefault="00AC1653" w:rsidP="00D239B5">
      <w:pPr>
        <w:pStyle w:val="ParagraphText-numbered"/>
      </w:pPr>
      <w:r>
        <w:t xml:space="preserve">The Agency </w:t>
      </w:r>
      <w:r w:rsidRPr="00A22AAD">
        <w:t xml:space="preserve">has been established </w:t>
      </w:r>
      <w:r w:rsidR="00C24067">
        <w:t xml:space="preserve">by the Department </w:t>
      </w:r>
      <w:r w:rsidR="0090528A">
        <w:t xml:space="preserve">and, as an Executive Agency, </w:t>
      </w:r>
      <w:r w:rsidR="003F544E">
        <w:t xml:space="preserve">it does not have a separate legal personality to the Department. </w:t>
      </w:r>
    </w:p>
    <w:p w14:paraId="46F402C7" w14:textId="340AB4A7" w:rsidR="00AC1653" w:rsidRDefault="003F544E" w:rsidP="00D239B5">
      <w:pPr>
        <w:pStyle w:val="ParagraphText-numbered"/>
      </w:pPr>
      <w:r>
        <w:t>The Agency</w:t>
      </w:r>
      <w:r w:rsidR="00AC1653">
        <w:t xml:space="preserve"> perform</w:t>
      </w:r>
      <w:r>
        <w:t>s</w:t>
      </w:r>
      <w:r w:rsidR="00AC1653">
        <w:t xml:space="preserve"> the functions of the Secretary of State under UK legislation relating to the regulation of </w:t>
      </w:r>
      <w:r w:rsidR="00AC1653" w:rsidRPr="00B25237">
        <w:t>medicines, medical devices and blood products for transfusion</w:t>
      </w:r>
      <w:r w:rsidR="00B9005B">
        <w:t xml:space="preserve">. </w:t>
      </w:r>
      <w:r w:rsidR="00AC1653" w:rsidRPr="00B25237">
        <w:t xml:space="preserve"> The Agency has an important role in bringing innovation safely to patients as rapidly as possible. </w:t>
      </w:r>
    </w:p>
    <w:p w14:paraId="1A1B5E31" w14:textId="3AABEFE0" w:rsidR="00AC1653" w:rsidRDefault="00B959B0" w:rsidP="00D239B5">
      <w:pPr>
        <w:pStyle w:val="ParagraphText-numbered"/>
      </w:pPr>
      <w:r>
        <w:t>T</w:t>
      </w:r>
      <w:r w:rsidR="00AC1653" w:rsidRPr="00DA7D41">
        <w:t xml:space="preserve">he Agency </w:t>
      </w:r>
      <w:r w:rsidR="00AC1653">
        <w:t xml:space="preserve">also performs the functions of the Secretary of State in relation to </w:t>
      </w:r>
      <w:r w:rsidR="0044400A" w:rsidRPr="0044400A">
        <w:t>the standardisation and control of biological medicines including vaccines, blood products and other substances which cannot be characterised chemically and which require special testing measures to ensure their safety and efficacy</w:t>
      </w:r>
      <w:r w:rsidR="0044400A">
        <w:t xml:space="preserve">. </w:t>
      </w:r>
    </w:p>
    <w:p w14:paraId="34BB28D6" w14:textId="2EF4E95E" w:rsidR="003B102D" w:rsidRDefault="003B102D" w:rsidP="00D239B5">
      <w:pPr>
        <w:pStyle w:val="ParagraphText-numbered"/>
      </w:pPr>
      <w:r>
        <w:t>Toget</w:t>
      </w:r>
      <w:r w:rsidR="00B23A5C">
        <w:t xml:space="preserve">her with </w:t>
      </w:r>
      <w:r w:rsidR="00B23A5C" w:rsidRPr="00DA7D41">
        <w:t xml:space="preserve">the National Institute for Health Research (NIHR), the Agency funds the Clinical Practice Research Datalink (CPRD), </w:t>
      </w:r>
      <w:r w:rsidR="000560E8">
        <w:t xml:space="preserve">whose service are </w:t>
      </w:r>
      <w:r w:rsidR="00B23A5C">
        <w:t xml:space="preserve">delivered </w:t>
      </w:r>
      <w:r w:rsidR="00B23A5C" w:rsidRPr="00DA7D41">
        <w:t>as part of the Agency operations. CPRD is an observational data and interventional research service, designed to maximise the way anonymised NHS clinical data can be linked to enable many types of observational research and deliver research outputs that are beneficial to improving and safeguarding public health</w:t>
      </w:r>
      <w:r w:rsidR="00B23A5C">
        <w:t>.</w:t>
      </w:r>
      <w:r w:rsidR="00B23A5C" w:rsidRPr="00B23A5C">
        <w:t xml:space="preserve"> </w:t>
      </w:r>
      <w:r w:rsidR="00B23A5C">
        <w:t xml:space="preserve">The Agency also hosts the UK Stem Cell Bank </w:t>
      </w:r>
      <w:r w:rsidR="006B367B">
        <w:t xml:space="preserve">which </w:t>
      </w:r>
      <w:r w:rsidR="00B23A5C">
        <w:t>drive</w:t>
      </w:r>
      <w:r w:rsidR="006B367B">
        <w:t>s</w:t>
      </w:r>
      <w:r w:rsidR="00B23A5C">
        <w:t xml:space="preserve"> innovation through the provision of quality assured stem cell lines, </w:t>
      </w:r>
      <w:r w:rsidR="000560E8">
        <w:t xml:space="preserve">associated </w:t>
      </w:r>
      <w:r w:rsidR="00B23A5C">
        <w:t>guidelines, support and training to clinical and research communities.</w:t>
      </w:r>
    </w:p>
    <w:p w14:paraId="69CD0DD4" w14:textId="44A51ED3" w:rsidR="007914A7" w:rsidRPr="00647BFA" w:rsidRDefault="007914A7" w:rsidP="001618EE">
      <w:pPr>
        <w:pStyle w:val="Heading2"/>
      </w:pPr>
      <w:bookmarkStart w:id="9" w:name="_Toc153466337"/>
      <w:r w:rsidRPr="00647BFA">
        <w:lastRenderedPageBreak/>
        <w:t>Aims</w:t>
      </w:r>
      <w:bookmarkEnd w:id="9"/>
      <w:r w:rsidRPr="00647BFA">
        <w:t xml:space="preserve"> </w:t>
      </w:r>
    </w:p>
    <w:p w14:paraId="7A98621E" w14:textId="7CCFF2A6" w:rsidR="007914A7" w:rsidRDefault="007914A7" w:rsidP="00D239B5">
      <w:pPr>
        <w:pStyle w:val="ParagraphText-numbered"/>
      </w:pPr>
      <w:r w:rsidRPr="00DA7D41">
        <w:t xml:space="preserve">The Agency’s </w:t>
      </w:r>
      <w:r>
        <w:t xml:space="preserve">strategic aims are set out in the Agency’s corporate </w:t>
      </w:r>
      <w:r w:rsidR="000560E8">
        <w:t xml:space="preserve">and business </w:t>
      </w:r>
      <w:r>
        <w:t>plans. The aims include</w:t>
      </w:r>
      <w:r w:rsidRPr="00DA7D41">
        <w:t>:</w:t>
      </w:r>
    </w:p>
    <w:p w14:paraId="42F90C83" w14:textId="0F5D3090" w:rsidR="007914A7" w:rsidRDefault="007914A7" w:rsidP="00D239B5">
      <w:pPr>
        <w:pStyle w:val="Style8"/>
      </w:pPr>
      <w:r>
        <w:t xml:space="preserve">evolving and strengthening our regulatory framework to provide the basis for ensuring the safety of patients, and rapid access to innovative and established </w:t>
      </w:r>
      <w:r w:rsidR="000560E8">
        <w:t xml:space="preserve">healthcare </w:t>
      </w:r>
      <w:r>
        <w:t>products</w:t>
      </w:r>
      <w:r w:rsidR="00DA3DFA">
        <w:t xml:space="preserve">, </w:t>
      </w:r>
      <w:r>
        <w:t>support</w:t>
      </w:r>
      <w:r w:rsidR="00DA3DFA">
        <w:t>ing</w:t>
      </w:r>
      <w:r>
        <w:t xml:space="preserve"> the NHS in driving public health outcomes</w:t>
      </w:r>
      <w:r w:rsidR="00705E87">
        <w:t>;</w:t>
      </w:r>
      <w:r w:rsidR="00DA3DFA">
        <w:t xml:space="preserve"> </w:t>
      </w:r>
    </w:p>
    <w:p w14:paraId="6761E1EB" w14:textId="681932D9" w:rsidR="007914A7" w:rsidRDefault="007914A7" w:rsidP="00D239B5">
      <w:pPr>
        <w:pStyle w:val="Style8"/>
      </w:pPr>
      <w:r>
        <w:t>embedding changes into everyday practices to deliver the recommendations of the</w:t>
      </w:r>
      <w:r w:rsidR="007B6695" w:rsidRPr="007B6695">
        <w:t xml:space="preserve"> </w:t>
      </w:r>
      <w:r>
        <w:t>Independent Medicines and Medical Devices Safety Review</w:t>
      </w:r>
      <w:r w:rsidR="001F2AC8">
        <w:rPr>
          <w:rStyle w:val="FootnoteReference"/>
        </w:rPr>
        <w:footnoteReference w:id="2"/>
      </w:r>
      <w:r w:rsidR="00103431">
        <w:t xml:space="preserve"> to which the government has responded</w:t>
      </w:r>
      <w:r w:rsidR="001F2AC8">
        <w:rPr>
          <w:rStyle w:val="FootnoteReference"/>
        </w:rPr>
        <w:footnoteReference w:id="3"/>
      </w:r>
      <w:r>
        <w:t xml:space="preserve">, ensuring that patient </w:t>
      </w:r>
      <w:r w:rsidR="000560E8">
        <w:t xml:space="preserve">interests </w:t>
      </w:r>
      <w:r>
        <w:t xml:space="preserve">are at the heart of every action the Agency takes; </w:t>
      </w:r>
    </w:p>
    <w:p w14:paraId="3124D687" w14:textId="56BFF98C" w:rsidR="007914A7" w:rsidRDefault="007914A7" w:rsidP="00D239B5">
      <w:pPr>
        <w:pStyle w:val="Style8"/>
      </w:pPr>
      <w:r>
        <w:t>creating and capitalising on international regulatory relationships, enabling collaboration in different ways to support the overarching aims of safety and access for patients and public health; and</w:t>
      </w:r>
    </w:p>
    <w:p w14:paraId="6D46D0EE" w14:textId="375238B3" w:rsidR="007914A7" w:rsidRDefault="007914A7" w:rsidP="00D239B5">
      <w:pPr>
        <w:pStyle w:val="Style8"/>
      </w:pPr>
      <w:r>
        <w:t xml:space="preserve">developing and delivering a business model that drives the most effective use of resources to deliver the Agency’s functions and aims, allows the Agency to </w:t>
      </w:r>
      <w:r w:rsidR="006B367B">
        <w:t xml:space="preserve">develop </w:t>
      </w:r>
      <w:r>
        <w:t>and invest in pursuit of those functions, and aims and supports continual learning, iteration and innovation in how the Agency operates.</w:t>
      </w:r>
    </w:p>
    <w:p w14:paraId="5BF7E49D" w14:textId="151E3B18" w:rsidR="001B7109" w:rsidRPr="00647BFA" w:rsidRDefault="001B7109" w:rsidP="00705E87">
      <w:pPr>
        <w:pStyle w:val="Heading2"/>
      </w:pPr>
      <w:bookmarkStart w:id="10" w:name="_Toc153466338"/>
      <w:r w:rsidRPr="00647BFA">
        <w:t>Powers and Duties</w:t>
      </w:r>
      <w:bookmarkEnd w:id="10"/>
      <w:r w:rsidRPr="00647BFA">
        <w:t xml:space="preserve"> </w:t>
      </w:r>
    </w:p>
    <w:p w14:paraId="618D50BC" w14:textId="13212337" w:rsidR="000863CE" w:rsidRDefault="00185EE0" w:rsidP="00D239B5">
      <w:pPr>
        <w:pStyle w:val="ParagraphText-numbered"/>
      </w:pPr>
      <w:r>
        <w:t xml:space="preserve">The Agency </w:t>
      </w:r>
      <w:r w:rsidR="003E083B">
        <w:t xml:space="preserve">discharges, on behalf of the Secretary of State, </w:t>
      </w:r>
      <w:r>
        <w:t xml:space="preserve">the functions </w:t>
      </w:r>
      <w:r w:rsidR="003E083B">
        <w:t>that they exercise</w:t>
      </w:r>
      <w:r>
        <w:t xml:space="preserve"> </w:t>
      </w:r>
      <w:r w:rsidR="003E083B">
        <w:t xml:space="preserve">as the “licensing authority”, “the Ministers”, the “enforcement authority” and the “competent authority” </w:t>
      </w:r>
      <w:r>
        <w:t>under UK legislation relating to medicines, medical devices and blood products for transfusion</w:t>
      </w:r>
      <w:r w:rsidR="003E083B">
        <w:t>.</w:t>
      </w:r>
      <w:r>
        <w:t xml:space="preserve"> </w:t>
      </w:r>
      <w:r w:rsidR="000863CE">
        <w:t>The Agency will consult the Devolved Administrations on issues that relate to or affect them.</w:t>
      </w:r>
    </w:p>
    <w:p w14:paraId="7899777F" w14:textId="09ACCDA7" w:rsidR="00EE4890" w:rsidRDefault="00EE4890" w:rsidP="00D239B5">
      <w:pPr>
        <w:pStyle w:val="ParagraphText-numbered"/>
      </w:pPr>
      <w:r>
        <w:t>The Agency performs the functions of the Secretary of State under UK legislation relating to medicines, medical devices and blood</w:t>
      </w:r>
      <w:r w:rsidR="000560E8">
        <w:t xml:space="preserve"> products</w:t>
      </w:r>
      <w:r>
        <w:t xml:space="preserve">, amongst other things. From 1 April 2013, the Agency also performs the functions of the Secretary of State in relation to biological substances conferred under section 57 of the Health </w:t>
      </w:r>
      <w:r>
        <w:lastRenderedPageBreak/>
        <w:t>and Social Care Act 2012. These functions, which relate to ensuring the quality of biological medicines, were previously carried out by the Health Protection Agency through the non-statutory body, the National Institute of Biological Standards and Control (</w:t>
      </w:r>
      <w:r w:rsidR="006335C0">
        <w:t>“</w:t>
      </w:r>
      <w:r>
        <w:t>NIBSC</w:t>
      </w:r>
      <w:r w:rsidR="006335C0">
        <w:t>”</w:t>
      </w:r>
      <w:r>
        <w:t xml:space="preserve">). The </w:t>
      </w:r>
      <w:r w:rsidR="000560E8">
        <w:t xml:space="preserve">Agency </w:t>
      </w:r>
      <w:r>
        <w:t xml:space="preserve">continues to deliver these functions </w:t>
      </w:r>
      <w:r w:rsidR="000560E8">
        <w:t xml:space="preserve">via its laboratories </w:t>
      </w:r>
      <w:r>
        <w:t>on behalf of the Secretary of State.</w:t>
      </w:r>
    </w:p>
    <w:p w14:paraId="0B624A95" w14:textId="59346005" w:rsidR="00AF54F6" w:rsidRDefault="00AF54F6" w:rsidP="00D239B5">
      <w:pPr>
        <w:pStyle w:val="ParagraphText-numbered"/>
      </w:pPr>
      <w:r>
        <w:t xml:space="preserve">The </w:t>
      </w:r>
      <w:r w:rsidR="00754D4A">
        <w:t>A</w:t>
      </w:r>
      <w:r>
        <w:t xml:space="preserve">gency is responsible for </w:t>
      </w:r>
      <w:r w:rsidR="009655F9">
        <w:t>certain</w:t>
      </w:r>
      <w:r w:rsidR="0057057D">
        <w:t xml:space="preserve"> </w:t>
      </w:r>
      <w:r>
        <w:rPr>
          <w:b/>
        </w:rPr>
        <w:t>statutory functions</w:t>
      </w:r>
      <w:r w:rsidR="00075AAB" w:rsidRPr="00DC7C29">
        <w:rPr>
          <w:bCs/>
        </w:rPr>
        <w:t>, including</w:t>
      </w:r>
      <w:r w:rsidR="0057057D">
        <w:rPr>
          <w:bCs/>
        </w:rPr>
        <w:t xml:space="preserve"> the following</w:t>
      </w:r>
      <w:r>
        <w:t>:</w:t>
      </w:r>
    </w:p>
    <w:p w14:paraId="64A2D40E" w14:textId="31447ABA" w:rsidR="00FF7D94" w:rsidRPr="00AF54F6" w:rsidRDefault="0052265F" w:rsidP="00D239B5">
      <w:pPr>
        <w:pStyle w:val="Style8"/>
      </w:pPr>
      <w:bookmarkStart w:id="11" w:name="_Hlk119429953"/>
      <w:r>
        <w:t>discharging statutory obligations</w:t>
      </w:r>
      <w:r w:rsidR="00C25C84">
        <w:t xml:space="preserve"> of the licensing authority</w:t>
      </w:r>
      <w:r>
        <w:t xml:space="preserve"> set out in the Human Medicines Regulations 2012;</w:t>
      </w:r>
      <w:r w:rsidR="00FF7D94" w:rsidRPr="00FF7D94">
        <w:t xml:space="preserve"> </w:t>
      </w:r>
      <w:r w:rsidR="00FF7D94">
        <w:t>e</w:t>
      </w:r>
      <w:r w:rsidR="00FF7D94" w:rsidRPr="00AF54F6">
        <w:t>nsuring compliance in the UK with statutory obligations relating to the manufacture, distribution, sale, labelling, advertising and promotion of medicines;</w:t>
      </w:r>
    </w:p>
    <w:p w14:paraId="365FBE51" w14:textId="22FC62A4" w:rsidR="00FF7D94" w:rsidRDefault="00FF7D94" w:rsidP="00D239B5">
      <w:pPr>
        <w:pStyle w:val="Style8"/>
      </w:pPr>
      <w:r>
        <w:t>d</w:t>
      </w:r>
      <w:r w:rsidRPr="00AF54F6">
        <w:t xml:space="preserve">ischarging </w:t>
      </w:r>
      <w:r>
        <w:t>the S</w:t>
      </w:r>
      <w:r w:rsidR="003B1246">
        <w:t xml:space="preserve">ecretary </w:t>
      </w:r>
      <w:r>
        <w:t>o</w:t>
      </w:r>
      <w:r w:rsidR="003B1246">
        <w:t xml:space="preserve">f </w:t>
      </w:r>
      <w:r>
        <w:t>S</w:t>
      </w:r>
      <w:r w:rsidR="003B1246">
        <w:t>tate</w:t>
      </w:r>
      <w:r>
        <w:t xml:space="preserve">’s </w:t>
      </w:r>
      <w:r w:rsidRPr="00AF54F6">
        <w:t xml:space="preserve">statutory </w:t>
      </w:r>
      <w:r>
        <w:t>functions</w:t>
      </w:r>
      <w:r w:rsidRPr="005C40F8">
        <w:t xml:space="preserve"> </w:t>
      </w:r>
      <w:r>
        <w:t>set out in the Medical Device</w:t>
      </w:r>
      <w:r w:rsidR="003B1246">
        <w:t>s</w:t>
      </w:r>
      <w:r>
        <w:t xml:space="preserve"> Regulations 2002</w:t>
      </w:r>
      <w:r w:rsidRPr="00121FD0">
        <w:t xml:space="preserve"> </w:t>
      </w:r>
      <w:r w:rsidRPr="00AF54F6">
        <w:t>for medical devices</w:t>
      </w:r>
      <w:r>
        <w:t>, o</w:t>
      </w:r>
      <w:r w:rsidRPr="00AF54F6">
        <w:t xml:space="preserve">perating a system of monitoring and enforcement to ensure that </w:t>
      </w:r>
      <w:r>
        <w:t xml:space="preserve">medical devices </w:t>
      </w:r>
      <w:r w:rsidRPr="00AF54F6">
        <w:t>for human use, sold or supplied in the UK, are of an acceptable standard</w:t>
      </w:r>
      <w:r>
        <w:t xml:space="preserve"> of safety, quality and efficacy, whether accessed directly by the consumer or through the NHS or other healthcare systems</w:t>
      </w:r>
      <w:r w:rsidRPr="00AF54F6">
        <w:t>;</w:t>
      </w:r>
      <w:r w:rsidR="00DA0DBC">
        <w:t xml:space="preserve"> i</w:t>
      </w:r>
      <w:r>
        <w:t>ncluding post marketing surveillance of medical devices</w:t>
      </w:r>
      <w:r w:rsidRPr="00AF54F6">
        <w:t xml:space="preserve"> and contributing to developing the safety and performance standards that support this work;</w:t>
      </w:r>
    </w:p>
    <w:p w14:paraId="313FA1D8" w14:textId="77777777" w:rsidR="00DA0DBC" w:rsidRDefault="00DA0DBC" w:rsidP="00D239B5">
      <w:pPr>
        <w:pStyle w:val="Style8"/>
      </w:pPr>
      <w:r>
        <w:t>d</w:t>
      </w:r>
      <w:r w:rsidRPr="00AF54F6">
        <w:t xml:space="preserve">esignating and monitoring the performance of </w:t>
      </w:r>
      <w:r>
        <w:t>approved</w:t>
      </w:r>
      <w:r w:rsidRPr="00AF54F6">
        <w:t xml:space="preserve"> bodies that </w:t>
      </w:r>
      <w:r>
        <w:t xml:space="preserve">provide conformity assessments of </w:t>
      </w:r>
      <w:r w:rsidRPr="00AF54F6">
        <w:t>moderate and high-risk medical devices</w:t>
      </w:r>
      <w:r>
        <w:t xml:space="preserve">; </w:t>
      </w:r>
    </w:p>
    <w:p w14:paraId="2F87ED89" w14:textId="177536C8" w:rsidR="00DA0DBC" w:rsidRPr="00AF54F6" w:rsidRDefault="00DA0DBC" w:rsidP="00D239B5">
      <w:pPr>
        <w:pStyle w:val="Style8"/>
      </w:pPr>
      <w:r>
        <w:t>m</w:t>
      </w:r>
      <w:r w:rsidRPr="00AF54F6">
        <w:t>aintaining a register of all manufacturers placing medical devices on the UK market</w:t>
      </w:r>
      <w:r>
        <w:t xml:space="preserve"> and</w:t>
      </w:r>
      <w:r w:rsidR="003B1246">
        <w:t xml:space="preserve"> </w:t>
      </w:r>
      <w:r>
        <w:t>a register of all</w:t>
      </w:r>
      <w:r w:rsidR="003B1246">
        <w:t xml:space="preserve"> such</w:t>
      </w:r>
      <w:r>
        <w:t xml:space="preserve"> devices</w:t>
      </w:r>
      <w:r w:rsidRPr="00121FD0">
        <w:t>;</w:t>
      </w:r>
    </w:p>
    <w:p w14:paraId="4526189E" w14:textId="26449B39" w:rsidR="00AF54F6" w:rsidRPr="00AF54F6" w:rsidRDefault="00E21108" w:rsidP="00D239B5">
      <w:pPr>
        <w:pStyle w:val="Style8"/>
      </w:pPr>
      <w:r>
        <w:t>e</w:t>
      </w:r>
      <w:r w:rsidR="00AF54F6" w:rsidRPr="00784206">
        <w:t>nsuring c</w:t>
      </w:r>
      <w:r w:rsidR="00AF54F6" w:rsidRPr="009C33BE">
        <w:t xml:space="preserve">ompliance with statutory obligations relating to the investigation of medicines in clinical trials and assessing notifications or proposals for clinical </w:t>
      </w:r>
      <w:r w:rsidR="008D43DA">
        <w:t>investigations</w:t>
      </w:r>
      <w:r w:rsidR="008D43DA" w:rsidRPr="009C33BE">
        <w:t xml:space="preserve"> </w:t>
      </w:r>
      <w:r w:rsidR="00AF54F6" w:rsidRPr="009C33BE">
        <w:t>from m</w:t>
      </w:r>
      <w:r w:rsidR="00AF54F6" w:rsidRPr="00AF54F6">
        <w:t>anufacturers of medical devices</w:t>
      </w:r>
      <w:r w:rsidR="00231F6F">
        <w:t xml:space="preserve"> once new regulations take effect</w:t>
      </w:r>
      <w:r w:rsidR="00AF54F6" w:rsidRPr="00AF54F6">
        <w:t>;</w:t>
      </w:r>
    </w:p>
    <w:p w14:paraId="38FE1559" w14:textId="4C13C6F7" w:rsidR="00DA0DBC" w:rsidRPr="00AF54F6" w:rsidRDefault="00DA0DBC" w:rsidP="00D239B5">
      <w:pPr>
        <w:pStyle w:val="Style8"/>
      </w:pPr>
      <w:r>
        <w:t>discharging statutory obligations set out in the Health and Social Care Act 2012 in relation to biological substances (section 57)</w:t>
      </w:r>
      <w:r w:rsidR="003503B4">
        <w:t>;</w:t>
      </w:r>
    </w:p>
    <w:p w14:paraId="7F0DA3BC" w14:textId="5E7E1F30" w:rsidR="002F62D0" w:rsidRDefault="00E21108" w:rsidP="00D239B5">
      <w:pPr>
        <w:pStyle w:val="Style8"/>
      </w:pPr>
      <w:r>
        <w:lastRenderedPageBreak/>
        <w:t>d</w:t>
      </w:r>
      <w:r w:rsidR="00AF54F6" w:rsidRPr="00AF54F6">
        <w:t>evising and drawing up standards for the purity and potency of biological substances and designing appropriate test procedures;</w:t>
      </w:r>
      <w:r w:rsidR="00DA0DBC">
        <w:t xml:space="preserve"> </w:t>
      </w:r>
      <w:r w:rsidR="00844D94">
        <w:t xml:space="preserve">preparing, approving, holding and distributing standard preparations of biological substances; </w:t>
      </w:r>
    </w:p>
    <w:p w14:paraId="7E6FDFEA" w14:textId="6B8BE0B6" w:rsidR="00AF54F6" w:rsidRPr="00AF54F6" w:rsidRDefault="00E21108" w:rsidP="00D239B5">
      <w:pPr>
        <w:pStyle w:val="Style8"/>
      </w:pPr>
      <w:r>
        <w:t>p</w:t>
      </w:r>
      <w:r w:rsidR="00AF54F6" w:rsidRPr="00AF54F6">
        <w:t>roviding, or arranging for, the provision of laboratory testing facilities for the testing of biological substances, carrying out such tests, examining records of manufacture and quality control and reporting on the results;</w:t>
      </w:r>
      <w:r w:rsidR="00DA0DBC">
        <w:t xml:space="preserve"> </w:t>
      </w:r>
      <w:r>
        <w:t>c</w:t>
      </w:r>
      <w:r w:rsidR="00AF54F6" w:rsidRPr="00AF54F6">
        <w:t>arrying out, or arranging for the carrying out, of research in connection with biological standards and control function;</w:t>
      </w:r>
    </w:p>
    <w:p w14:paraId="24EE1EED" w14:textId="4B9BD0F8" w:rsidR="00AF54F6" w:rsidRPr="00AF54F6" w:rsidRDefault="00E21108" w:rsidP="00D239B5">
      <w:pPr>
        <w:pStyle w:val="Style8"/>
      </w:pPr>
      <w:r>
        <w:t>r</w:t>
      </w:r>
      <w:r w:rsidR="00AF54F6" w:rsidRPr="00AF54F6">
        <w:t>egulating the safety and quality of blood and blood components</w:t>
      </w:r>
      <w:r w:rsidR="00076777">
        <w:t xml:space="preserve"> for transfusion in the UK</w:t>
      </w:r>
      <w:r w:rsidR="00AF54F6" w:rsidRPr="00AF54F6">
        <w:t>;</w:t>
      </w:r>
    </w:p>
    <w:p w14:paraId="0B7F2B42" w14:textId="582B1E63" w:rsidR="00076777" w:rsidRDefault="001C149A" w:rsidP="00D239B5">
      <w:pPr>
        <w:pStyle w:val="Style8"/>
      </w:pPr>
      <w:r>
        <w:t>publishing</w:t>
      </w:r>
      <w:r w:rsidRPr="00AF54F6">
        <w:t xml:space="preserve"> </w:t>
      </w:r>
      <w:r w:rsidR="00AF54F6" w:rsidRPr="00AF54F6">
        <w:t xml:space="preserve">the activities of the British Pharmacopoeia (BP) and work undertaken relating to the European Pharmacopeia; </w:t>
      </w:r>
    </w:p>
    <w:p w14:paraId="5E253AF2" w14:textId="6D779F87" w:rsidR="00AF54F6" w:rsidRPr="00AF54F6" w:rsidRDefault="00E21108" w:rsidP="00D239B5">
      <w:pPr>
        <w:pStyle w:val="Style8"/>
      </w:pPr>
      <w:r>
        <w:t>d</w:t>
      </w:r>
      <w:r w:rsidR="00AF54F6" w:rsidRPr="00AF54F6">
        <w:t xml:space="preserve">ischarging the functions of the UK Good Laboratory Practice Monitoring Authority (GLPMA); </w:t>
      </w:r>
      <w:r>
        <w:t>a</w:t>
      </w:r>
      <w:r w:rsidR="00AF54F6" w:rsidRPr="00AF54F6">
        <w:t>nd</w:t>
      </w:r>
    </w:p>
    <w:p w14:paraId="55532F61" w14:textId="767B5C5A" w:rsidR="00AF54F6" w:rsidRPr="00AF54F6" w:rsidRDefault="00E21108" w:rsidP="00D239B5">
      <w:pPr>
        <w:pStyle w:val="Style8"/>
      </w:pPr>
      <w:r>
        <w:t>r</w:t>
      </w:r>
      <w:r w:rsidR="00AF54F6" w:rsidRPr="00AF54F6">
        <w:t xml:space="preserve">egulating consumer e-cigarettes in line with the </w:t>
      </w:r>
      <w:r w:rsidR="005544D2" w:rsidRPr="005544D2">
        <w:t>Tobacco and Related Products Regulations 2016</w:t>
      </w:r>
      <w:r w:rsidR="005544D2">
        <w:t xml:space="preserve"> and the </w:t>
      </w:r>
      <w:r w:rsidR="005544D2" w:rsidRPr="005544D2">
        <w:t>Standardised Packaging of Tobacco Products Regulations 2015</w:t>
      </w:r>
      <w:r w:rsidR="00AF54F6" w:rsidRPr="00AF54F6">
        <w:t>.</w:t>
      </w:r>
    </w:p>
    <w:bookmarkEnd w:id="11"/>
    <w:p w14:paraId="734D716E" w14:textId="7F024066" w:rsidR="00AF54F6" w:rsidRPr="00AF54F6" w:rsidRDefault="00AF54F6" w:rsidP="00D239B5">
      <w:pPr>
        <w:pStyle w:val="ParagraphText-numbered"/>
      </w:pPr>
      <w:r w:rsidRPr="00AF54F6">
        <w:t xml:space="preserve">The </w:t>
      </w:r>
      <w:r w:rsidR="00231F6F">
        <w:t>A</w:t>
      </w:r>
      <w:r w:rsidRPr="00AF54F6">
        <w:t xml:space="preserve">gency is also responsible for </w:t>
      </w:r>
      <w:r w:rsidR="0057057D">
        <w:t xml:space="preserve">certain </w:t>
      </w:r>
      <w:r w:rsidRPr="00AF54F6">
        <w:rPr>
          <w:b/>
        </w:rPr>
        <w:t>non-statutory functions</w:t>
      </w:r>
      <w:r w:rsidR="000608C3">
        <w:rPr>
          <w:b/>
        </w:rPr>
        <w:t>,</w:t>
      </w:r>
      <w:r w:rsidR="00075AAB">
        <w:rPr>
          <w:b/>
        </w:rPr>
        <w:t xml:space="preserve"> </w:t>
      </w:r>
      <w:r w:rsidR="00075AAB" w:rsidRPr="00CA0914">
        <w:rPr>
          <w:bCs/>
        </w:rPr>
        <w:t>including</w:t>
      </w:r>
      <w:r w:rsidRPr="00AF54F6">
        <w:t>:</w:t>
      </w:r>
    </w:p>
    <w:p w14:paraId="7D0576F4" w14:textId="28323B53" w:rsidR="00AF54F6" w:rsidRPr="00AF54F6" w:rsidRDefault="00E21108" w:rsidP="00D239B5">
      <w:pPr>
        <w:pStyle w:val="Style8"/>
      </w:pPr>
      <w:r>
        <w:t>m</w:t>
      </w:r>
      <w:r w:rsidR="00AF54F6" w:rsidRPr="00AF54F6">
        <w:t xml:space="preserve">anaging the activities of the Clinical Practice Research Datalink (CPRD) </w:t>
      </w:r>
      <w:r w:rsidR="00C459C5">
        <w:t xml:space="preserve">and its </w:t>
      </w:r>
      <w:r w:rsidR="00B959B0">
        <w:t>service</w:t>
      </w:r>
      <w:r w:rsidR="00C459C5">
        <w:t>s</w:t>
      </w:r>
      <w:r w:rsidR="00B959B0">
        <w:t xml:space="preserve"> </w:t>
      </w:r>
      <w:r w:rsidR="00AF54F6" w:rsidRPr="00AF54F6">
        <w:t>using anonymised clinical records in support of a range of public health activities;</w:t>
      </w:r>
      <w:r w:rsidR="00CA558D">
        <w:t xml:space="preserve"> and</w:t>
      </w:r>
    </w:p>
    <w:p w14:paraId="2FD24EAF" w14:textId="298432BA" w:rsidR="00076777" w:rsidRDefault="00E21108" w:rsidP="00D239B5">
      <w:pPr>
        <w:pStyle w:val="Style8"/>
      </w:pPr>
      <w:r>
        <w:t>r</w:t>
      </w:r>
      <w:r w:rsidR="00AF54F6" w:rsidRPr="00784206">
        <w:t>epresenting the United Kingdom a</w:t>
      </w:r>
      <w:r w:rsidR="00AF54F6" w:rsidRPr="009C33BE">
        <w:t>nd collaborating with international bodies, on mat</w:t>
      </w:r>
      <w:r w:rsidR="00AF54F6" w:rsidRPr="00754D4A">
        <w:t>ters concerning</w:t>
      </w:r>
      <w:r w:rsidR="00076777">
        <w:t>:</w:t>
      </w:r>
    </w:p>
    <w:p w14:paraId="55B1615B" w14:textId="4FBD0338" w:rsidR="00AF54F6" w:rsidRDefault="00AF54F6" w:rsidP="00D239B5">
      <w:pPr>
        <w:pStyle w:val="Style8"/>
        <w:numPr>
          <w:ilvl w:val="0"/>
          <w:numId w:val="26"/>
        </w:numPr>
      </w:pPr>
      <w:r w:rsidRPr="00754D4A">
        <w:t xml:space="preserve">the regulation of medicines and medical devices; </w:t>
      </w:r>
    </w:p>
    <w:p w14:paraId="021FB9CD" w14:textId="48B34EA8" w:rsidR="00076777" w:rsidRDefault="00E21108" w:rsidP="00D239B5">
      <w:pPr>
        <w:pStyle w:val="Style8"/>
        <w:numPr>
          <w:ilvl w:val="0"/>
          <w:numId w:val="26"/>
        </w:numPr>
      </w:pPr>
      <w:r>
        <w:t>the d</w:t>
      </w:r>
      <w:r w:rsidR="00AF54F6" w:rsidRPr="00754D4A">
        <w:t xml:space="preserve">evelopment of medicines and </w:t>
      </w:r>
      <w:r w:rsidR="00C459C5">
        <w:t xml:space="preserve">medical </w:t>
      </w:r>
      <w:r w:rsidR="00AF54F6" w:rsidRPr="00754D4A">
        <w:t xml:space="preserve">devices regulation; and </w:t>
      </w:r>
    </w:p>
    <w:p w14:paraId="496A2402" w14:textId="61A50419" w:rsidR="00DC2F4F" w:rsidRDefault="00AF54F6" w:rsidP="00D239B5">
      <w:pPr>
        <w:pStyle w:val="Style8"/>
        <w:numPr>
          <w:ilvl w:val="0"/>
          <w:numId w:val="26"/>
        </w:numPr>
      </w:pPr>
      <w:r w:rsidRPr="00754D4A">
        <w:lastRenderedPageBreak/>
        <w:t>in relation to the establishment of standards, for the provision of standard preparations of, and</w:t>
      </w:r>
      <w:r w:rsidRPr="005C40F8">
        <w:t xml:space="preserve"> the testing of biological substances.</w:t>
      </w:r>
    </w:p>
    <w:p w14:paraId="5BC67EDA" w14:textId="4545EFB0" w:rsidR="00DC4CD4" w:rsidRPr="003235D5" w:rsidRDefault="00DC4CD4" w:rsidP="003235D5">
      <w:pPr>
        <w:ind w:left="717"/>
        <w:rPr>
          <w:rFonts w:ascii="Arial" w:hAnsi="Arial" w:cs="Arial"/>
          <w:b/>
          <w:bCs/>
          <w:sz w:val="28"/>
          <w:szCs w:val="28"/>
        </w:rPr>
      </w:pPr>
      <w:r w:rsidRPr="003E2353">
        <w:rPr>
          <w:rFonts w:ascii="Arial" w:hAnsi="Arial" w:cs="Arial"/>
          <w:b/>
          <w:bCs/>
          <w:sz w:val="28"/>
          <w:szCs w:val="28"/>
        </w:rPr>
        <w:t>Medicines</w:t>
      </w:r>
    </w:p>
    <w:p w14:paraId="33FD8D5A" w14:textId="065D8CAC" w:rsidR="006E7AE7" w:rsidRDefault="00C84AB4" w:rsidP="00D239B5">
      <w:pPr>
        <w:pStyle w:val="ParagraphText-numbered"/>
      </w:pPr>
      <w:r>
        <w:t>The Human Medicines Regulations 2012</w:t>
      </w:r>
      <w:r w:rsidRPr="00003E46">
        <w:t xml:space="preserve"> provide for </w:t>
      </w:r>
      <w:r w:rsidR="001A42B3">
        <w:t>certain medicines functions to be carried out by the</w:t>
      </w:r>
      <w:r w:rsidRPr="00003E46">
        <w:t xml:space="preserve"> “licensing authority”</w:t>
      </w:r>
      <w:r w:rsidR="001A42B3">
        <w:t xml:space="preserve">. </w:t>
      </w:r>
      <w:r w:rsidR="00B02871">
        <w:t>The licensing authority</w:t>
      </w:r>
      <w:r w:rsidR="001A42B3">
        <w:t xml:space="preserve"> means </w:t>
      </w:r>
      <w:r w:rsidR="0052265F" w:rsidRPr="0052265F">
        <w:t>the Secretary of State, the Northern Ireland Health Minister, both acting jointly</w:t>
      </w:r>
      <w:r w:rsidR="00C20A88">
        <w:t>, or officials of the Agency acting on their behalf</w:t>
      </w:r>
      <w:r w:rsidRPr="00003E46">
        <w:t xml:space="preserve">. </w:t>
      </w:r>
      <w:r w:rsidR="009A3B88">
        <w:t xml:space="preserve">Medicines are a reserved subject matter as regards Scotland and Wales and, as such, the </w:t>
      </w:r>
      <w:r w:rsidR="006741FB">
        <w:t xml:space="preserve">Secretary of State </w:t>
      </w:r>
      <w:r w:rsidR="009A3B88">
        <w:t>accounts to Parliament on all matters concerning the regulation of human medicines in England, Scotland, and Wales. Medicines are transferred as regards Northern Ireland</w:t>
      </w:r>
      <w:r w:rsidR="004102F2">
        <w:t xml:space="preserve"> but, i</w:t>
      </w:r>
      <w:r w:rsidR="006E7AE7">
        <w:t>n practice,</w:t>
      </w:r>
      <w:r w:rsidR="00891C50">
        <w:t xml:space="preserve"> by agreement with the Devolved Administrations,</w:t>
      </w:r>
      <w:r w:rsidR="006E7AE7">
        <w:t xml:space="preserve"> </w:t>
      </w:r>
      <w:r w:rsidR="006E7AE7" w:rsidRPr="006E7AE7">
        <w:t xml:space="preserve">the </w:t>
      </w:r>
      <w:r w:rsidR="00891C50">
        <w:t>Agency</w:t>
      </w:r>
      <w:r w:rsidR="006E7AE7" w:rsidRPr="006E7AE7">
        <w:t xml:space="preserve"> covers medicines regulation </w:t>
      </w:r>
      <w:r w:rsidR="00891C50">
        <w:t>UK-wide,</w:t>
      </w:r>
      <w:r w:rsidR="00D96EF3">
        <w:t xml:space="preserve"> </w:t>
      </w:r>
      <w:r w:rsidR="0046002D">
        <w:t>which includes Northern Ireland</w:t>
      </w:r>
      <w:r w:rsidR="00C459C5">
        <w:t>,</w:t>
      </w:r>
      <w:r w:rsidR="0046002D">
        <w:t xml:space="preserve"> and regulates this </w:t>
      </w:r>
      <w:r w:rsidR="006E7AE7" w:rsidRPr="006E7AE7">
        <w:t xml:space="preserve">in line with any relevant laws. </w:t>
      </w:r>
    </w:p>
    <w:p w14:paraId="357A2973" w14:textId="3F13B46A" w:rsidR="00DC2F4F" w:rsidRDefault="00260370" w:rsidP="00D239B5">
      <w:pPr>
        <w:pStyle w:val="ParagraphText-numbered"/>
      </w:pPr>
      <w:r w:rsidRPr="00260370">
        <w:t xml:space="preserve">As regards enforcement of medicines legislation, the Agency performs the Secretary of State’s duty to enforce the Human Medicines Regulations 2012 in England, Scotland and Wales. In Scotland and Wales, enforcement of the Medicines Act 1968 is formally the responsibility of the Scottish Ministers and the </w:t>
      </w:r>
      <w:r w:rsidR="0012098C">
        <w:t>Welsh Ministers</w:t>
      </w:r>
      <w:r w:rsidRPr="00260370">
        <w:t xml:space="preserve"> (respectively), but both the </w:t>
      </w:r>
      <w:r>
        <w:t>D</w:t>
      </w:r>
      <w:r w:rsidRPr="00260370">
        <w:t xml:space="preserve">evolved </w:t>
      </w:r>
      <w:r>
        <w:t>A</w:t>
      </w:r>
      <w:r w:rsidRPr="00260370">
        <w:t xml:space="preserve">dministrations have agency arrangements with the Agency, under their respective devolution legislation, under which </w:t>
      </w:r>
      <w:r w:rsidR="000441CF">
        <w:t xml:space="preserve">the </w:t>
      </w:r>
      <w:r w:rsidRPr="00260370">
        <w:t>Agency carr</w:t>
      </w:r>
      <w:r w:rsidR="000441CF">
        <w:t>ies</w:t>
      </w:r>
      <w:r w:rsidRPr="00260370">
        <w:t xml:space="preserve"> out this role. Enforcement in Northern Ireland is entirely a matter for the </w:t>
      </w:r>
      <w:r w:rsidR="00925894">
        <w:t>Northern Ireland</w:t>
      </w:r>
      <w:r w:rsidRPr="00260370">
        <w:t xml:space="preserve"> </w:t>
      </w:r>
      <w:r w:rsidR="00925894">
        <w:t>H</w:t>
      </w:r>
      <w:r w:rsidRPr="00260370">
        <w:t xml:space="preserve">ealth </w:t>
      </w:r>
      <w:r w:rsidR="00925894">
        <w:t>M</w:t>
      </w:r>
      <w:r w:rsidRPr="00260370">
        <w:t>inister and the Department of Health</w:t>
      </w:r>
      <w:r w:rsidR="00AE3CE4">
        <w:t xml:space="preserve"> in Northern Ireland</w:t>
      </w:r>
      <w:r w:rsidRPr="00260370">
        <w:t xml:space="preserve">.  </w:t>
      </w:r>
    </w:p>
    <w:p w14:paraId="06497B71" w14:textId="662F5A91" w:rsidR="00DC2F4F" w:rsidRPr="003E2353" w:rsidRDefault="00DC2F4F" w:rsidP="00DC4CD4">
      <w:pPr>
        <w:ind w:left="717"/>
        <w:rPr>
          <w:rFonts w:ascii="Arial" w:hAnsi="Arial" w:cs="Arial"/>
          <w:b/>
          <w:bCs/>
          <w:sz w:val="28"/>
          <w:szCs w:val="28"/>
        </w:rPr>
      </w:pPr>
      <w:r w:rsidRPr="003E2353">
        <w:rPr>
          <w:rFonts w:ascii="Arial" w:hAnsi="Arial" w:cs="Arial"/>
          <w:b/>
          <w:bCs/>
          <w:sz w:val="28"/>
          <w:szCs w:val="28"/>
        </w:rPr>
        <w:t>Medical devices</w:t>
      </w:r>
    </w:p>
    <w:p w14:paraId="7FB27A5C" w14:textId="3DD489E0" w:rsidR="00C67E29" w:rsidRDefault="00F55383" w:rsidP="00D239B5">
      <w:pPr>
        <w:pStyle w:val="ParagraphText-numbered"/>
      </w:pPr>
      <w:r w:rsidRPr="00F55383">
        <w:t>The UK’s medical devices regulation is set out in the Medical Device</w:t>
      </w:r>
      <w:r w:rsidR="003B1246">
        <w:t>s</w:t>
      </w:r>
      <w:r w:rsidRPr="00F55383">
        <w:t xml:space="preserve"> Regulations 2002 (“the 2002 Regulations”). </w:t>
      </w:r>
      <w:r w:rsidR="00926006">
        <w:t>The Agency is also responsible for ensuring medical devices placed on the Northern Ireland market comply with the Medical Devices Regulation (Regulation (EU) 2017/745) and the in vitro Diagnostic Regulation</w:t>
      </w:r>
      <w:r w:rsidR="00C42981">
        <w:t xml:space="preserve"> (Regulation (EU) 2017/746). </w:t>
      </w:r>
      <w:r w:rsidR="009A3B88">
        <w:t>Medical devices are a reserved subject matter as regards Scotland, Wales and Northern Ireland</w:t>
      </w:r>
      <w:r w:rsidR="00913CD6">
        <w:t>, and t</w:t>
      </w:r>
      <w:r w:rsidR="006B1421">
        <w:t xml:space="preserve">he Agency discharges the functions of the Secretary of State under the 2002 Regulations on a UK-wide basis. This includes designating and monitoring “approved bodies” </w:t>
      </w:r>
      <w:r w:rsidR="00D476B7">
        <w:t xml:space="preserve">and </w:t>
      </w:r>
      <w:r w:rsidR="006B1421">
        <w:t>enforcing the 2002 Regulations on the Secretary of State’s behalf.</w:t>
      </w:r>
    </w:p>
    <w:p w14:paraId="63FC6A1E" w14:textId="77777777" w:rsidR="00494522" w:rsidRPr="003E2353" w:rsidRDefault="00C94F37" w:rsidP="00494522">
      <w:pPr>
        <w:ind w:left="717"/>
        <w:rPr>
          <w:rFonts w:ascii="Arial" w:hAnsi="Arial" w:cs="Arial"/>
          <w:b/>
          <w:bCs/>
          <w:sz w:val="28"/>
          <w:szCs w:val="28"/>
        </w:rPr>
      </w:pPr>
      <w:bookmarkStart w:id="12" w:name="_Hlk105524833"/>
      <w:r w:rsidRPr="003E2353">
        <w:rPr>
          <w:rFonts w:ascii="Arial" w:hAnsi="Arial" w:cs="Arial"/>
          <w:b/>
          <w:bCs/>
          <w:sz w:val="28"/>
          <w:szCs w:val="28"/>
        </w:rPr>
        <w:t>Human b</w:t>
      </w:r>
      <w:r w:rsidR="00C01047" w:rsidRPr="003E2353">
        <w:rPr>
          <w:rFonts w:ascii="Arial" w:hAnsi="Arial" w:cs="Arial"/>
          <w:b/>
          <w:bCs/>
          <w:sz w:val="28"/>
          <w:szCs w:val="28"/>
        </w:rPr>
        <w:t xml:space="preserve">lood </w:t>
      </w:r>
      <w:r w:rsidRPr="003E2353">
        <w:rPr>
          <w:rFonts w:ascii="Arial" w:hAnsi="Arial" w:cs="Arial"/>
          <w:b/>
          <w:bCs/>
          <w:sz w:val="28"/>
          <w:szCs w:val="28"/>
        </w:rPr>
        <w:t>and blood components</w:t>
      </w:r>
      <w:r w:rsidR="00480418" w:rsidRPr="003E2353">
        <w:rPr>
          <w:rFonts w:ascii="Arial" w:hAnsi="Arial" w:cs="Arial"/>
          <w:b/>
          <w:bCs/>
          <w:sz w:val="28"/>
          <w:szCs w:val="28"/>
        </w:rPr>
        <w:t xml:space="preserve"> </w:t>
      </w:r>
    </w:p>
    <w:p w14:paraId="7F891021" w14:textId="72A94D03" w:rsidR="009A3B88" w:rsidRDefault="009A3B88" w:rsidP="00D239B5">
      <w:pPr>
        <w:pStyle w:val="ParagraphText-numbered"/>
      </w:pPr>
      <w:r>
        <w:t xml:space="preserve">The regulation of blood is a reserved subject matter as regards Scotland and Wales. It is transferred as regards Northern Ireland; but in practice, by agreement </w:t>
      </w:r>
      <w:r>
        <w:lastRenderedPageBreak/>
        <w:t xml:space="preserve">with the Devolved Administrations, functions in relation to the regulation of blood are carried out by the Agency UK-wide. </w:t>
      </w:r>
    </w:p>
    <w:p w14:paraId="43BA3B04" w14:textId="69759524" w:rsidR="000863CE" w:rsidRDefault="007E0720" w:rsidP="00D239B5">
      <w:pPr>
        <w:pStyle w:val="ParagraphText-numbered"/>
      </w:pPr>
      <w:r>
        <w:t xml:space="preserve">The Blood Safety and Quality Regulations 2005 </w:t>
      </w:r>
      <w:r w:rsidR="000863CE">
        <w:t>provide for the regulation of the collection, testing, processing and storage of human blood and blood products. Broadly speaking, th</w:t>
      </w:r>
      <w:r>
        <w:t>ey</w:t>
      </w:r>
      <w:r w:rsidR="000863CE">
        <w:t xml:space="preserve"> cover the handling of blood from its donation by individuals, up to (but not including) its use either by way of transfusion or in the manufacture of a medicine or medical device. </w:t>
      </w:r>
    </w:p>
    <w:p w14:paraId="5A76DB66" w14:textId="764EB758" w:rsidR="000863CE" w:rsidRDefault="000863CE" w:rsidP="00D239B5">
      <w:pPr>
        <w:pStyle w:val="ParagraphText-numbered"/>
      </w:pPr>
      <w:r>
        <w:t xml:space="preserve">The 2005 Regulations designate the Secretary of State as the competent authority </w:t>
      </w:r>
      <w:r w:rsidR="009C5E40">
        <w:t xml:space="preserve">in relation to Northern Ireland </w:t>
      </w:r>
      <w:r>
        <w:t xml:space="preserve">for the purposes of Directive 2002/98/EC (the </w:t>
      </w:r>
      <w:r w:rsidR="00C459C5">
        <w:t>B</w:t>
      </w:r>
      <w:r>
        <w:t xml:space="preserve">lood Directive). </w:t>
      </w:r>
    </w:p>
    <w:bookmarkEnd w:id="12"/>
    <w:p w14:paraId="6A646B7C" w14:textId="12A802F1" w:rsidR="00C01047" w:rsidRPr="003E2353" w:rsidRDefault="00C01047" w:rsidP="00494522">
      <w:pPr>
        <w:ind w:left="717"/>
        <w:rPr>
          <w:rFonts w:ascii="Arial" w:hAnsi="Arial" w:cs="Arial"/>
          <w:b/>
          <w:bCs/>
          <w:sz w:val="28"/>
          <w:szCs w:val="28"/>
        </w:rPr>
      </w:pPr>
      <w:r w:rsidRPr="003E2353">
        <w:rPr>
          <w:rFonts w:ascii="Arial" w:hAnsi="Arial" w:cs="Arial"/>
          <w:b/>
          <w:bCs/>
          <w:sz w:val="28"/>
          <w:szCs w:val="28"/>
        </w:rPr>
        <w:t xml:space="preserve">British Pharmacopoeia </w:t>
      </w:r>
    </w:p>
    <w:p w14:paraId="23291398" w14:textId="7A937BC0" w:rsidR="00C01047" w:rsidRDefault="00456C30" w:rsidP="00D239B5">
      <w:pPr>
        <w:pStyle w:val="ParagraphText-numbered"/>
      </w:pPr>
      <w:r w:rsidRPr="00456C30">
        <w:t xml:space="preserve">The Agency is responsible for publication of the British Pharmacopoeia (BP)” </w:t>
      </w:r>
      <w:r w:rsidR="00C01047">
        <w:t xml:space="preserve">which provides the only authoritative official standards for the quality of pharmaceutical substances and medicinal products in the UK. </w:t>
      </w:r>
    </w:p>
    <w:p w14:paraId="570BD439" w14:textId="6C6E0CD9" w:rsidR="00C01047" w:rsidRDefault="00C01047" w:rsidP="00D239B5">
      <w:pPr>
        <w:pStyle w:val="ParagraphText-numbered"/>
      </w:pPr>
      <w:r>
        <w:t>The Human Medicines Regulations 2012 provide for the British Pharmacopoeia Commission</w:t>
      </w:r>
      <w:r w:rsidR="00931FB1">
        <w:t xml:space="preserve"> (BPC)</w:t>
      </w:r>
      <w:r>
        <w:t xml:space="preserve"> and the BP as the UK standard for medicinal products. The </w:t>
      </w:r>
      <w:r w:rsidR="00931FB1">
        <w:t>BPC</w:t>
      </w:r>
      <w:r>
        <w:t xml:space="preserve"> is responsible for preparing new editions of the BP and the BP (Veterinary) and for keeping them up to date. Under regulation 318 of the Human Medicines Regulations 2012, the </w:t>
      </w:r>
      <w:r w:rsidR="00931FB1">
        <w:t>BPC</w:t>
      </w:r>
      <w:r>
        <w:t xml:space="preserve"> is also responsible for selecting and devising British Approved Names (BANs). </w:t>
      </w:r>
    </w:p>
    <w:p w14:paraId="66363749" w14:textId="7235603B" w:rsidR="00807602" w:rsidRDefault="00807602" w:rsidP="00D239B5">
      <w:pPr>
        <w:pStyle w:val="ParagraphText-numbered"/>
      </w:pPr>
      <w:r>
        <w:t xml:space="preserve">The </w:t>
      </w:r>
      <w:r w:rsidR="00931FB1">
        <w:t>BP</w:t>
      </w:r>
      <w:r>
        <w:t xml:space="preserve"> also acts as the National Pharmacopoeia Authority to the European Pharmacopoeia and supports the United Kingdom Delegation to the European Pharmacopoeia Commission, administered by the European Directorate for the Quality of Medicines in the Council of Europe. The UK remains a member of the Council of Europe and signatory of the Convention on the Elaboration of a European Pharmacopoeia. Standards of the European Pharmacopoeia are brought into effect in the UK through their inclusion in the </w:t>
      </w:r>
      <w:r w:rsidR="006F21A1">
        <w:t>BP</w:t>
      </w:r>
      <w:r>
        <w:t xml:space="preserve">. </w:t>
      </w:r>
    </w:p>
    <w:p w14:paraId="5F054F19" w14:textId="206AFFC5" w:rsidR="00C01047" w:rsidRPr="003E2353" w:rsidRDefault="00C01047" w:rsidP="006F21A1">
      <w:pPr>
        <w:ind w:left="717"/>
        <w:rPr>
          <w:rFonts w:ascii="Arial" w:hAnsi="Arial" w:cs="Arial"/>
          <w:b/>
          <w:bCs/>
          <w:sz w:val="28"/>
          <w:szCs w:val="28"/>
        </w:rPr>
      </w:pPr>
      <w:bookmarkStart w:id="13" w:name="_Hlk105524937"/>
      <w:r w:rsidRPr="003E2353">
        <w:rPr>
          <w:rFonts w:ascii="Arial" w:hAnsi="Arial" w:cs="Arial"/>
          <w:b/>
          <w:bCs/>
          <w:sz w:val="28"/>
          <w:szCs w:val="28"/>
        </w:rPr>
        <w:t xml:space="preserve">UK Good Laboratory Practice Monitoring Authority </w:t>
      </w:r>
    </w:p>
    <w:p w14:paraId="43C6527E" w14:textId="1644DAA5" w:rsidR="00C01047" w:rsidRDefault="007E0720" w:rsidP="00D239B5">
      <w:pPr>
        <w:pStyle w:val="ParagraphText-numbered"/>
      </w:pPr>
      <w:r>
        <w:t xml:space="preserve">The Good </w:t>
      </w:r>
      <w:r w:rsidRPr="00E62BD3">
        <w:t xml:space="preserve">Laboratory Practice Regulations 1999 (“the 1999 Regulations”) </w:t>
      </w:r>
      <w:r w:rsidRPr="00E62BD3">
        <w:rPr>
          <w:rFonts w:cs="Arial"/>
        </w:rPr>
        <w:t xml:space="preserve">provide for the application of the principles of </w:t>
      </w:r>
      <w:r w:rsidR="00C01047">
        <w:t>good laboratory practice and the verification of their applications for tests on chemical substances</w:t>
      </w:r>
      <w:r>
        <w:t xml:space="preserve">. </w:t>
      </w:r>
    </w:p>
    <w:p w14:paraId="2A5788B0" w14:textId="70F10835" w:rsidR="00C01047" w:rsidRDefault="00C01047" w:rsidP="00D239B5">
      <w:pPr>
        <w:pStyle w:val="ParagraphText-numbered"/>
      </w:pPr>
      <w:r>
        <w:t xml:space="preserve">The 1999 Regulations establish the Good Laboratory Practice Monitoring Authority (GLPMA) to enforce the principles of good laboratory practice. As enforcement of good laboratory practice is a matter devolved to each of Wales, Scotland and Northern Ireland, the GLPMA consists of the Secretary of State </w:t>
      </w:r>
      <w:r w:rsidR="00D476B7">
        <w:t xml:space="preserve">for </w:t>
      </w:r>
      <w:r>
        <w:t>Health</w:t>
      </w:r>
      <w:r w:rsidR="00D476B7">
        <w:t xml:space="preserve"> and Social Care</w:t>
      </w:r>
      <w:r>
        <w:t xml:space="preserve">, the </w:t>
      </w:r>
      <w:r w:rsidR="00D476B7">
        <w:t>Welsh Ministers</w:t>
      </w:r>
      <w:r>
        <w:t xml:space="preserve">, the Scottish Ministers and the </w:t>
      </w:r>
      <w:r>
        <w:lastRenderedPageBreak/>
        <w:t xml:space="preserve">Department of Health </w:t>
      </w:r>
      <w:r w:rsidR="00AE3CE4">
        <w:t>in</w:t>
      </w:r>
      <w:r>
        <w:t xml:space="preserve"> Northern Ireland. Any one of the above acting alone or jointly may perform the GLPMA’s functions but in practice the GLPMA’s functions are carried out by the Agency. </w:t>
      </w:r>
    </w:p>
    <w:bookmarkEnd w:id="13"/>
    <w:p w14:paraId="561497AF" w14:textId="77777777" w:rsidR="00C01047" w:rsidRPr="003E2353" w:rsidRDefault="00C01047" w:rsidP="006F21A1">
      <w:pPr>
        <w:ind w:left="717"/>
        <w:rPr>
          <w:rFonts w:ascii="Arial" w:hAnsi="Arial" w:cs="Arial"/>
          <w:b/>
          <w:bCs/>
          <w:sz w:val="28"/>
          <w:szCs w:val="28"/>
        </w:rPr>
      </w:pPr>
      <w:r w:rsidRPr="003E2353">
        <w:rPr>
          <w:rFonts w:ascii="Arial" w:hAnsi="Arial" w:cs="Arial"/>
          <w:b/>
          <w:bCs/>
          <w:sz w:val="28"/>
          <w:szCs w:val="28"/>
        </w:rPr>
        <w:t xml:space="preserve">Biological Standards and Control </w:t>
      </w:r>
    </w:p>
    <w:p w14:paraId="336E4E88" w14:textId="458383BF" w:rsidR="00C01047" w:rsidRDefault="00C01047" w:rsidP="00D239B5">
      <w:pPr>
        <w:pStyle w:val="ParagraphText-numbered"/>
      </w:pPr>
      <w:r>
        <w:t>Section 57 of the Health and Social Care Act 2012 confers statutory functions in relation to biological substances on the Secretary of State. The</w:t>
      </w:r>
      <w:r w:rsidR="00B959B0">
        <w:t>se functions are performed through the</w:t>
      </w:r>
      <w:r w:rsidR="009070B1">
        <w:t xml:space="preserve"> Agency</w:t>
      </w:r>
      <w:r w:rsidR="00B959B0">
        <w:t xml:space="preserve">. </w:t>
      </w:r>
    </w:p>
    <w:p w14:paraId="29C78E8D" w14:textId="41763370" w:rsidR="00C01047" w:rsidRDefault="00C01047" w:rsidP="00D239B5">
      <w:pPr>
        <w:pStyle w:val="ParagraphText-numbered"/>
      </w:pPr>
      <w:r>
        <w:t xml:space="preserve">Biological substances are a reserved subject matter as regards Scotland and Wales, but transferred as regards Northern Ireland. In relation to Northern Ireland, section 57 confers the biological substances functions on Secretary of State and the Northern Ireland health minister acting alone or jointly. In practice, by agreement with the Northern Ireland health minister, </w:t>
      </w:r>
      <w:r w:rsidR="00C459C5">
        <w:t xml:space="preserve">the </w:t>
      </w:r>
      <w:r w:rsidR="00B959B0">
        <w:t>MHRA</w:t>
      </w:r>
      <w:r>
        <w:t xml:space="preserve"> performs these functions on a UK wide basis.</w:t>
      </w:r>
    </w:p>
    <w:p w14:paraId="2EA199F7" w14:textId="3427B126" w:rsidR="007A3BE8" w:rsidRPr="00C12B11" w:rsidRDefault="007A3BE8" w:rsidP="00C12B11">
      <w:pPr>
        <w:ind w:left="717"/>
        <w:rPr>
          <w:rFonts w:ascii="Arial" w:hAnsi="Arial" w:cs="Arial"/>
          <w:b/>
          <w:bCs/>
          <w:sz w:val="28"/>
          <w:szCs w:val="28"/>
        </w:rPr>
      </w:pPr>
      <w:r w:rsidRPr="00C12B11">
        <w:rPr>
          <w:rFonts w:ascii="Arial" w:hAnsi="Arial" w:cs="Arial"/>
          <w:b/>
          <w:bCs/>
          <w:sz w:val="28"/>
          <w:szCs w:val="28"/>
        </w:rPr>
        <w:t>Research</w:t>
      </w:r>
    </w:p>
    <w:p w14:paraId="27A3D357" w14:textId="5ACC1A8A" w:rsidR="00AA3227" w:rsidRPr="00747335" w:rsidRDefault="00195359" w:rsidP="00D239B5">
      <w:pPr>
        <w:pStyle w:val="ParagraphText-numbered"/>
      </w:pPr>
      <w:r>
        <w:t xml:space="preserve">The Agency </w:t>
      </w:r>
      <w:r w:rsidR="002D59AC">
        <w:t xml:space="preserve">has an active </w:t>
      </w:r>
      <w:r w:rsidR="00F50EC2">
        <w:t xml:space="preserve">public health focussed </w:t>
      </w:r>
      <w:r w:rsidR="002D59AC">
        <w:t xml:space="preserve">research programme and </w:t>
      </w:r>
      <w:r>
        <w:t xml:space="preserve">works with the Research and Innovation sector of the UK and internationally in a </w:t>
      </w:r>
      <w:r w:rsidR="00EC378F">
        <w:t xml:space="preserve">number of different ways to support its own aims and support the wider aims of the NHS, including the NHS in the </w:t>
      </w:r>
      <w:r w:rsidR="002D59AC">
        <w:t>devolved</w:t>
      </w:r>
      <w:r w:rsidR="00EC378F">
        <w:t xml:space="preserve"> administrations</w:t>
      </w:r>
      <w:r w:rsidR="002D59AC">
        <w:t>, in protecting public health.</w:t>
      </w:r>
      <w:r w:rsidR="00AA3227">
        <w:br w:type="page"/>
      </w:r>
    </w:p>
    <w:p w14:paraId="5F06753D" w14:textId="5EA9A608" w:rsidR="00BD4A4C" w:rsidRPr="00792A14" w:rsidRDefault="00BD4A4C" w:rsidP="00693CB3">
      <w:pPr>
        <w:pStyle w:val="Heading1"/>
      </w:pPr>
      <w:bookmarkStart w:id="14" w:name="_Toc153466339"/>
      <w:r w:rsidRPr="00792A14">
        <w:lastRenderedPageBreak/>
        <w:t xml:space="preserve">Role of the </w:t>
      </w:r>
      <w:r w:rsidR="004B28C3" w:rsidRPr="00792A14">
        <w:t>Department</w:t>
      </w:r>
      <w:bookmarkEnd w:id="14"/>
    </w:p>
    <w:p w14:paraId="56424195" w14:textId="14169E14" w:rsidR="008212C2" w:rsidRPr="00647BFA" w:rsidRDefault="008212C2" w:rsidP="00693CB3">
      <w:pPr>
        <w:pStyle w:val="Heading2"/>
      </w:pPr>
      <w:bookmarkStart w:id="15" w:name="_Toc153466340"/>
      <w:r w:rsidRPr="00647BFA">
        <w:t xml:space="preserve">The </w:t>
      </w:r>
      <w:r w:rsidR="00012505">
        <w:t>r</w:t>
      </w:r>
      <w:r w:rsidR="003C28AC">
        <w:t>esponsible</w:t>
      </w:r>
      <w:r w:rsidRPr="00647BFA">
        <w:t xml:space="preserve"> </w:t>
      </w:r>
      <w:r w:rsidR="00012505">
        <w:t>m</w:t>
      </w:r>
      <w:r w:rsidRPr="00647BFA">
        <w:t>inister</w:t>
      </w:r>
      <w:bookmarkEnd w:id="15"/>
      <w:r w:rsidRPr="00647BFA">
        <w:t xml:space="preserve"> </w:t>
      </w:r>
    </w:p>
    <w:p w14:paraId="52D5EC95" w14:textId="6A38C0CF" w:rsidR="004426FB" w:rsidRDefault="003970F9" w:rsidP="00D239B5">
      <w:pPr>
        <w:pStyle w:val="ParagraphText-numbered"/>
      </w:pPr>
      <w:r w:rsidRPr="002472AE">
        <w:t xml:space="preserve">The </w:t>
      </w:r>
      <w:r>
        <w:t>Secretary of State</w:t>
      </w:r>
      <w:r w:rsidR="00D06E9E">
        <w:t xml:space="preserve"> for Health and Social Care</w:t>
      </w:r>
      <w:r>
        <w:t xml:space="preserve"> </w:t>
      </w:r>
      <w:r w:rsidR="009E03E1">
        <w:t xml:space="preserve">is the responsible minister. They may delegate </w:t>
      </w:r>
      <w:r w:rsidR="003E6818">
        <w:t xml:space="preserve">functions to a Junior Minister. </w:t>
      </w:r>
    </w:p>
    <w:p w14:paraId="063ECA23" w14:textId="4F26037E" w:rsidR="003970F9" w:rsidRPr="002472AE" w:rsidRDefault="004426FB" w:rsidP="00D239B5">
      <w:pPr>
        <w:pStyle w:val="ParagraphText-numbered"/>
      </w:pPr>
      <w:r>
        <w:t xml:space="preserve">The Secretary of State </w:t>
      </w:r>
      <w:r w:rsidR="003970F9">
        <w:t>ha</w:t>
      </w:r>
      <w:r w:rsidR="00E75D40">
        <w:t>s</w:t>
      </w:r>
      <w:r w:rsidR="003970F9">
        <w:t xml:space="preserve"> ministerial responsibility for, and oversight of, the Agency’s delivery and performance. This includes being accountable to Parliament in relation to the functions and performance of the Agency. </w:t>
      </w:r>
      <w:r w:rsidR="003970F9" w:rsidRPr="00CE4955">
        <w:t xml:space="preserve">This is in the context of their responsibility for setting priorities and monitoring the whole system’s performance to ensure it delivers what patients, service users and the wider public need and value most – and determining resource allocations across the health system. </w:t>
      </w:r>
    </w:p>
    <w:p w14:paraId="46A58BB1" w14:textId="1B984646" w:rsidR="00625E64" w:rsidRDefault="00E44D1A" w:rsidP="00D239B5">
      <w:pPr>
        <w:pStyle w:val="ParagraphText-numbered"/>
      </w:pPr>
      <w:r>
        <w:t xml:space="preserve">The </w:t>
      </w:r>
      <w:r w:rsidR="008B0E7F">
        <w:t xml:space="preserve">specific </w:t>
      </w:r>
      <w:r w:rsidR="004426FB">
        <w:t xml:space="preserve">ministerial </w:t>
      </w:r>
      <w:r w:rsidR="008B0E7F">
        <w:t>responsibilit</w:t>
      </w:r>
      <w:r w:rsidR="002869D6">
        <w:t xml:space="preserve">ies </w:t>
      </w:r>
      <w:r w:rsidR="008B0E7F">
        <w:t>regarding the Agency include</w:t>
      </w:r>
      <w:r w:rsidR="002472AE" w:rsidRPr="002472AE">
        <w:t xml:space="preserve">: </w:t>
      </w:r>
    </w:p>
    <w:p w14:paraId="5BD3455F" w14:textId="7C4D2BA5" w:rsidR="00925C03" w:rsidRPr="00925C03" w:rsidRDefault="00925C03" w:rsidP="00D239B5">
      <w:pPr>
        <w:pStyle w:val="Style8"/>
      </w:pPr>
      <w:r w:rsidRPr="00925C03">
        <w:t xml:space="preserve">setting objectives for </w:t>
      </w:r>
      <w:r>
        <w:t>the Agency</w:t>
      </w:r>
      <w:r w:rsidRPr="00925C03">
        <w:t xml:space="preserve"> through approv</w:t>
      </w:r>
      <w:r w:rsidR="00CB3766">
        <w:t xml:space="preserve">al of </w:t>
      </w:r>
      <w:r w:rsidRPr="00925C03">
        <w:t xml:space="preserve">the </w:t>
      </w:r>
      <w:r>
        <w:t xml:space="preserve">corporate and </w:t>
      </w:r>
      <w:r w:rsidRPr="00925C03">
        <w:t>business plan</w:t>
      </w:r>
      <w:r>
        <w:t>s;</w:t>
      </w:r>
    </w:p>
    <w:p w14:paraId="53490164" w14:textId="77777777" w:rsidR="00731AFE" w:rsidRPr="00AB7182" w:rsidRDefault="00731AFE" w:rsidP="00D239B5">
      <w:pPr>
        <w:pStyle w:val="Style8"/>
      </w:pPr>
      <w:r w:rsidRPr="00AB7182">
        <w:t xml:space="preserve">setting budgets across the health system and determining the financial framework in which the Agency operates; </w:t>
      </w:r>
    </w:p>
    <w:p w14:paraId="777BE9E8" w14:textId="1A32A204" w:rsidR="003A7182" w:rsidRPr="00AB7182" w:rsidRDefault="003A7182" w:rsidP="00D239B5">
      <w:pPr>
        <w:pStyle w:val="Style8"/>
      </w:pPr>
      <w:r w:rsidRPr="00AB7182">
        <w:t xml:space="preserve">being responsible for the policy </w:t>
      </w:r>
      <w:r w:rsidR="003C1D8B">
        <w:t xml:space="preserve">and legislative </w:t>
      </w:r>
      <w:r w:rsidRPr="00AB7182">
        <w:t xml:space="preserve">framework within which the Agency operates; </w:t>
      </w:r>
    </w:p>
    <w:p w14:paraId="1B864691" w14:textId="289F0B3F" w:rsidR="00731AFE" w:rsidRPr="00AB7182" w:rsidRDefault="00731AFE" w:rsidP="00D239B5">
      <w:pPr>
        <w:pStyle w:val="Style8"/>
      </w:pPr>
      <w:r w:rsidRPr="00AB7182">
        <w:t>accounting to Parliament for the Agency’s performance and the effectiveness of the health and care system overall</w:t>
      </w:r>
      <w:r w:rsidR="003A7182">
        <w:t>;</w:t>
      </w:r>
    </w:p>
    <w:p w14:paraId="68A7D5BC" w14:textId="1E333214" w:rsidR="002472AE" w:rsidRDefault="003A7182" w:rsidP="00D239B5">
      <w:pPr>
        <w:pStyle w:val="Style8"/>
      </w:pPr>
      <w:r>
        <w:t>appointing</w:t>
      </w:r>
      <w:r w:rsidR="002472AE" w:rsidRPr="00AB7182">
        <w:t xml:space="preserve"> the </w:t>
      </w:r>
      <w:r w:rsidR="002877C1" w:rsidRPr="00AB7182">
        <w:t xml:space="preserve">Agency’s </w:t>
      </w:r>
      <w:r w:rsidR="002472AE" w:rsidRPr="00AB7182">
        <w:t>Chair</w:t>
      </w:r>
      <w:r w:rsidR="00D30243" w:rsidRPr="00AB7182">
        <w:t xml:space="preserve"> </w:t>
      </w:r>
      <w:r w:rsidR="00AB7182" w:rsidRPr="00AB7182">
        <w:t>and non-executive directors (NEDs)</w:t>
      </w:r>
      <w:r w:rsidR="002877C1" w:rsidRPr="00AB7182">
        <w:t>,</w:t>
      </w:r>
      <w:r w:rsidR="00910603">
        <w:t xml:space="preserve"> as well as </w:t>
      </w:r>
      <w:r w:rsidR="00872F25">
        <w:t>members of</w:t>
      </w:r>
      <w:r w:rsidR="006F28E1">
        <w:t xml:space="preserve"> the Commission on Human Medicines and British Pharmacope</w:t>
      </w:r>
      <w:r w:rsidR="00352C54">
        <w:t>i</w:t>
      </w:r>
      <w:r w:rsidR="006F28E1">
        <w:t xml:space="preserve">a Commission, </w:t>
      </w:r>
      <w:r w:rsidR="002472AE" w:rsidRPr="00AB7182">
        <w:t xml:space="preserve">in line with the Governance Code </w:t>
      </w:r>
      <w:r w:rsidR="00177330">
        <w:t>for</w:t>
      </w:r>
      <w:r w:rsidR="002472AE" w:rsidRPr="00AB7182">
        <w:t xml:space="preserve"> Public Appointments; </w:t>
      </w:r>
    </w:p>
    <w:p w14:paraId="3E54AC6F" w14:textId="7C9F8481" w:rsidR="001718C5" w:rsidRPr="00647BFA" w:rsidRDefault="001718C5" w:rsidP="00B97B5C">
      <w:pPr>
        <w:pStyle w:val="Heading2"/>
      </w:pPr>
      <w:bookmarkStart w:id="16" w:name="_Toc153466341"/>
      <w:r w:rsidRPr="00647BFA">
        <w:t>The Principal Accounting Officer</w:t>
      </w:r>
      <w:bookmarkEnd w:id="16"/>
      <w:r w:rsidRPr="00647BFA">
        <w:t xml:space="preserve"> </w:t>
      </w:r>
    </w:p>
    <w:p w14:paraId="5167E6B4" w14:textId="34827267" w:rsidR="001718C5" w:rsidRDefault="001718C5" w:rsidP="00D239B5">
      <w:pPr>
        <w:pStyle w:val="ParagraphText-numbered"/>
      </w:pPr>
      <w:r>
        <w:t>The Principal Accounting Officer</w:t>
      </w:r>
      <w:r w:rsidR="00444A3B">
        <w:t xml:space="preserve"> (PAO)</w:t>
      </w:r>
      <w:r>
        <w:t xml:space="preserve"> is the Permanent Secretary of the </w:t>
      </w:r>
      <w:r w:rsidR="004B28C3">
        <w:t>Department</w:t>
      </w:r>
      <w:r>
        <w:t>.</w:t>
      </w:r>
    </w:p>
    <w:p w14:paraId="03A211C0" w14:textId="66E9A340" w:rsidR="0002381B" w:rsidRPr="00D82186" w:rsidRDefault="00DE588D" w:rsidP="00D82186">
      <w:pPr>
        <w:ind w:left="717"/>
        <w:rPr>
          <w:rFonts w:ascii="Arial" w:hAnsi="Arial" w:cs="Arial"/>
          <w:b/>
          <w:bCs/>
          <w:sz w:val="28"/>
          <w:szCs w:val="28"/>
        </w:rPr>
      </w:pPr>
      <w:bookmarkStart w:id="17" w:name="_Toc83995097"/>
      <w:r>
        <w:rPr>
          <w:rFonts w:ascii="Arial" w:hAnsi="Arial" w:cs="Arial"/>
          <w:b/>
          <w:bCs/>
          <w:sz w:val="28"/>
          <w:szCs w:val="28"/>
        </w:rPr>
        <w:t>PAO</w:t>
      </w:r>
      <w:r w:rsidR="0002381B" w:rsidRPr="00D82186">
        <w:rPr>
          <w:rFonts w:ascii="Arial" w:hAnsi="Arial" w:cs="Arial"/>
          <w:b/>
          <w:bCs/>
          <w:sz w:val="28"/>
          <w:szCs w:val="28"/>
        </w:rPr>
        <w:t>'s specific accountabilities and responsibilities</w:t>
      </w:r>
      <w:bookmarkEnd w:id="17"/>
    </w:p>
    <w:p w14:paraId="64CE03EB" w14:textId="53331A65" w:rsidR="00F2586E" w:rsidRDefault="001718C5" w:rsidP="00D239B5">
      <w:pPr>
        <w:pStyle w:val="ParagraphText-numbered"/>
      </w:pPr>
      <w:r>
        <w:lastRenderedPageBreak/>
        <w:t xml:space="preserve">The </w:t>
      </w:r>
      <w:r w:rsidR="00444A3B">
        <w:t>PAO</w:t>
      </w:r>
      <w:r>
        <w:t xml:space="preserve"> </w:t>
      </w:r>
      <w:r w:rsidR="0023375B">
        <w:t xml:space="preserve">of the </w:t>
      </w:r>
      <w:r w:rsidR="004B28C3">
        <w:t>Department</w:t>
      </w:r>
      <w:r>
        <w:t xml:space="preserve"> </w:t>
      </w:r>
      <w:r w:rsidR="008D5B12">
        <w:t xml:space="preserve">has designated </w:t>
      </w:r>
      <w:r>
        <w:t xml:space="preserve">the </w:t>
      </w:r>
      <w:r w:rsidR="008D5B12">
        <w:t xml:space="preserve">Agency’s </w:t>
      </w:r>
      <w:r>
        <w:t xml:space="preserve">Chief Executive as </w:t>
      </w:r>
      <w:r w:rsidR="0023375B">
        <w:t>the Agency’s</w:t>
      </w:r>
      <w:r>
        <w:t xml:space="preserve"> </w:t>
      </w:r>
      <w:r w:rsidR="008D5B12">
        <w:t>A</w:t>
      </w:r>
      <w:r>
        <w:t xml:space="preserve">ccounting </w:t>
      </w:r>
      <w:r w:rsidR="008D5B12">
        <w:t>O</w:t>
      </w:r>
      <w:r>
        <w:t>fficer</w:t>
      </w:r>
      <w:r w:rsidR="008D5B12">
        <w:t xml:space="preserve">, ensuring </w:t>
      </w:r>
      <w:r>
        <w:t xml:space="preserve">that </w:t>
      </w:r>
      <w:r w:rsidR="0023375B">
        <w:t>they are</w:t>
      </w:r>
      <w:r>
        <w:t xml:space="preserve"> fully aware of </w:t>
      </w:r>
      <w:r w:rsidR="0023375B">
        <w:t>their</w:t>
      </w:r>
      <w:r>
        <w:t xml:space="preserve"> responsibilities. The PAO issues a letter appointing the Accounting Officer, setting out </w:t>
      </w:r>
      <w:r w:rsidR="001B0A3A">
        <w:t>their</w:t>
      </w:r>
      <w:r>
        <w:t xml:space="preserve"> responsibilities and delegated authorities.</w:t>
      </w:r>
    </w:p>
    <w:p w14:paraId="6CEACA02" w14:textId="02E14C13" w:rsidR="001718C5" w:rsidRDefault="001718C5" w:rsidP="00D239B5">
      <w:pPr>
        <w:pStyle w:val="ParagraphText-numbered"/>
      </w:pPr>
      <w:r>
        <w:t xml:space="preserve">The respective responsibilities of the PAO and accounting officers for ALBs are set out in Chapter 3 of </w:t>
      </w:r>
      <w:r w:rsidR="008C25B9">
        <w:t>MPM</w:t>
      </w:r>
      <w:r>
        <w:t>.</w:t>
      </w:r>
    </w:p>
    <w:p w14:paraId="0654A6B1" w14:textId="642B0758" w:rsidR="001718C5" w:rsidRDefault="001718C5" w:rsidP="00D239B5">
      <w:pPr>
        <w:pStyle w:val="ParagraphText-numbered"/>
      </w:pPr>
      <w:r>
        <w:t xml:space="preserve">The PAO is accountable to Parliament for the issue of </w:t>
      </w:r>
      <w:r w:rsidR="00C51B2B">
        <w:t>funding</w:t>
      </w:r>
      <w:r w:rsidR="00E949BF">
        <w:t xml:space="preserve"> </w:t>
      </w:r>
      <w:r>
        <w:t xml:space="preserve">to </w:t>
      </w:r>
      <w:r w:rsidR="00D5334F">
        <w:t>the Agency</w:t>
      </w:r>
      <w:r w:rsidR="00D27731">
        <w:t>, grant-in-aid or other</w:t>
      </w:r>
      <w:r w:rsidR="00D5334F">
        <w:t>.</w:t>
      </w:r>
    </w:p>
    <w:p w14:paraId="5A1C8559" w14:textId="77777777" w:rsidR="00A74A0F" w:rsidRDefault="00A74A0F" w:rsidP="00D239B5">
      <w:pPr>
        <w:pStyle w:val="ParagraphText-numbered"/>
      </w:pPr>
      <w:r w:rsidRPr="00243311">
        <w:t xml:space="preserve">The </w:t>
      </w:r>
      <w:r>
        <w:t>PAO</w:t>
      </w:r>
      <w:r w:rsidRPr="00243311">
        <w:t xml:space="preserve"> nominates </w:t>
      </w:r>
      <w:r>
        <w:t xml:space="preserve">a Senior Departmental Sponsor (SDS) </w:t>
      </w:r>
      <w:r w:rsidRPr="00243311">
        <w:t xml:space="preserve">who acts as the Agency’s designated, consistent point of contact within the Department. </w:t>
      </w:r>
    </w:p>
    <w:p w14:paraId="788B806E" w14:textId="4073FD20" w:rsidR="001718C5" w:rsidRDefault="001718C5" w:rsidP="00D239B5">
      <w:pPr>
        <w:pStyle w:val="ParagraphText-numbered"/>
      </w:pPr>
      <w:r>
        <w:t xml:space="preserve">The PAO is also responsible, usually via the sponsorship team, for advising the </w:t>
      </w:r>
      <w:r w:rsidR="004B6126">
        <w:t>responsible</w:t>
      </w:r>
      <w:r w:rsidR="00D5334F">
        <w:t xml:space="preserve"> minister</w:t>
      </w:r>
      <w:r>
        <w:t xml:space="preserve"> on:</w:t>
      </w:r>
    </w:p>
    <w:p w14:paraId="663B767E" w14:textId="4C4FC466" w:rsidR="00D52DBF" w:rsidRDefault="00D52DBF" w:rsidP="00D239B5">
      <w:pPr>
        <w:pStyle w:val="Style8"/>
      </w:pPr>
      <w:r>
        <w:t xml:space="preserve">the strategic aims and objectives of </w:t>
      </w:r>
      <w:r w:rsidR="0059792B">
        <w:t>the Agency</w:t>
      </w:r>
      <w:r>
        <w:t xml:space="preserve"> so that they are consistent with those of the department and government through the approval of the strategic plan and annual business plan;</w:t>
      </w:r>
    </w:p>
    <w:p w14:paraId="782489D5" w14:textId="5FAFA74A" w:rsidR="001718C5" w:rsidRPr="00D5334F" w:rsidRDefault="001718C5" w:rsidP="00D239B5">
      <w:pPr>
        <w:pStyle w:val="Style8"/>
      </w:pPr>
      <w:r w:rsidRPr="00D5334F">
        <w:t xml:space="preserve">an appropriate budget for the </w:t>
      </w:r>
      <w:r w:rsidR="00D019E0">
        <w:t>Agency</w:t>
      </w:r>
      <w:r w:rsidRPr="00D5334F">
        <w:t xml:space="preserve"> </w:t>
      </w:r>
      <w:r w:rsidR="00356338">
        <w:t xml:space="preserve">from the Department, </w:t>
      </w:r>
      <w:r w:rsidRPr="00D5334F">
        <w:t xml:space="preserve">in the light of the </w:t>
      </w:r>
      <w:r w:rsidR="004B28C3">
        <w:t>Department</w:t>
      </w:r>
      <w:r w:rsidRPr="00D5334F">
        <w:t>’s overall public expenditure priorities</w:t>
      </w:r>
      <w:r w:rsidR="001954E7">
        <w:t xml:space="preserve"> and objectives agreed for the Agency</w:t>
      </w:r>
      <w:r w:rsidRPr="00D5334F">
        <w:t>;</w:t>
      </w:r>
      <w:r w:rsidR="0059792B">
        <w:t xml:space="preserve"> </w:t>
      </w:r>
    </w:p>
    <w:p w14:paraId="2A8A1F08" w14:textId="67A8E62C" w:rsidR="00350E7F" w:rsidRDefault="001718C5" w:rsidP="00D239B5">
      <w:pPr>
        <w:pStyle w:val="Style8"/>
      </w:pPr>
      <w:r w:rsidRPr="00D5334F">
        <w:t xml:space="preserve">how well the </w:t>
      </w:r>
      <w:r w:rsidR="00D019E0">
        <w:t>Agency</w:t>
      </w:r>
      <w:r w:rsidRPr="00D5334F">
        <w:t xml:space="preserve"> is achieving its strategic </w:t>
      </w:r>
      <w:r w:rsidR="0087322D">
        <w:t>objectives</w:t>
      </w:r>
      <w:r w:rsidRPr="00D5334F">
        <w:t xml:space="preserve"> and whether it is delivering value for money</w:t>
      </w:r>
      <w:r w:rsidR="00350E7F">
        <w:t>; and</w:t>
      </w:r>
    </w:p>
    <w:p w14:paraId="2CC8A69E" w14:textId="7F2CAE0B" w:rsidR="001718C5" w:rsidRPr="00D5334F" w:rsidRDefault="00350E7F" w:rsidP="00D239B5">
      <w:pPr>
        <w:pStyle w:val="Style8"/>
      </w:pPr>
      <w:r>
        <w:t>the exercise of the ministers’ statutory responsibilities concerning the Agency as outlined above.</w:t>
      </w:r>
    </w:p>
    <w:p w14:paraId="0760EF26" w14:textId="49588177" w:rsidR="001718C5" w:rsidRDefault="001718C5" w:rsidP="00D239B5">
      <w:pPr>
        <w:pStyle w:val="ParagraphText-numbered"/>
      </w:pPr>
      <w:r>
        <w:t>The PAO</w:t>
      </w:r>
      <w:r w:rsidR="00C01167">
        <w:t>,</w:t>
      </w:r>
      <w:r>
        <w:t xml:space="preserve"> via the sponsorship team</w:t>
      </w:r>
      <w:r w:rsidR="00C01167">
        <w:t>,</w:t>
      </w:r>
      <w:r>
        <w:t xml:space="preserve"> is also responsible for ensuring arrangements are in place in order to:</w:t>
      </w:r>
    </w:p>
    <w:p w14:paraId="2CC33F53" w14:textId="6A992429" w:rsidR="001718C5" w:rsidRDefault="001718C5" w:rsidP="00D239B5">
      <w:pPr>
        <w:pStyle w:val="Style8"/>
      </w:pPr>
      <w:r>
        <w:t xml:space="preserve">monitor the </w:t>
      </w:r>
      <w:r w:rsidR="00D019E0">
        <w:t>Agency</w:t>
      </w:r>
      <w:r>
        <w:t>’s activities and performance;</w:t>
      </w:r>
    </w:p>
    <w:p w14:paraId="596127AC" w14:textId="54F6B578" w:rsidR="001718C5" w:rsidRDefault="001718C5" w:rsidP="00D239B5">
      <w:pPr>
        <w:pStyle w:val="Style8"/>
      </w:pPr>
      <w:r>
        <w:t xml:space="preserve">address significant problems in the </w:t>
      </w:r>
      <w:r w:rsidR="00D019E0">
        <w:t>Agency</w:t>
      </w:r>
      <w:r>
        <w:t>, making such interventions as are judged necessary;</w:t>
      </w:r>
    </w:p>
    <w:p w14:paraId="7F3BC720" w14:textId="30C6B641" w:rsidR="001718C5" w:rsidRDefault="001718C5" w:rsidP="00D239B5">
      <w:pPr>
        <w:pStyle w:val="Style8"/>
      </w:pPr>
      <w:r>
        <w:lastRenderedPageBreak/>
        <w:t>periodically</w:t>
      </w:r>
      <w:r w:rsidR="00C01167">
        <w:t>,</w:t>
      </w:r>
      <w:r>
        <w:t xml:space="preserve"> and at such frequency as is proportionate to the level of risk</w:t>
      </w:r>
      <w:r w:rsidR="00C01167">
        <w:t>,</w:t>
      </w:r>
      <w:r>
        <w:t xml:space="preserve"> carry out an assessment of the risks</w:t>
      </w:r>
      <w:r w:rsidR="00D019E0">
        <w:t>,</w:t>
      </w:r>
      <w:r>
        <w:t xml:space="preserve"> both to the </w:t>
      </w:r>
      <w:r w:rsidR="004B28C3">
        <w:t>Department</w:t>
      </w:r>
      <w:r>
        <w:t xml:space="preserve"> and the </w:t>
      </w:r>
      <w:r w:rsidR="00D019E0">
        <w:t>Agency</w:t>
      </w:r>
      <w:r>
        <w:t xml:space="preserve">’s </w:t>
      </w:r>
      <w:r w:rsidR="0087322D">
        <w:t>objectives</w:t>
      </w:r>
      <w:r>
        <w:t xml:space="preserve"> and activities</w:t>
      </w:r>
      <w:r w:rsidR="00D019E0">
        <w:t>,</w:t>
      </w:r>
      <w:r>
        <w:t xml:space="preserve"> in line with the wider </w:t>
      </w:r>
      <w:r w:rsidR="004B28C3">
        <w:t>Department</w:t>
      </w:r>
      <w:r>
        <w:t>al risk assessment process;</w:t>
      </w:r>
    </w:p>
    <w:p w14:paraId="33530811" w14:textId="7E395FDC" w:rsidR="001718C5" w:rsidRDefault="001718C5" w:rsidP="00D239B5">
      <w:pPr>
        <w:pStyle w:val="Style8"/>
      </w:pPr>
      <w:r>
        <w:t xml:space="preserve">inform the </w:t>
      </w:r>
      <w:r w:rsidR="00D019E0">
        <w:t>Agency</w:t>
      </w:r>
      <w:r>
        <w:t xml:space="preserve"> of relevant government policy in a timely manner; and</w:t>
      </w:r>
    </w:p>
    <w:p w14:paraId="659C41EF" w14:textId="3C17A2BF" w:rsidR="001718C5" w:rsidRDefault="001718C5" w:rsidP="00D239B5">
      <w:pPr>
        <w:pStyle w:val="Style8"/>
      </w:pPr>
      <w:r>
        <w:t xml:space="preserve">bring </w:t>
      </w:r>
      <w:r w:rsidR="00D019E0">
        <w:t>m</w:t>
      </w:r>
      <w:r>
        <w:t xml:space="preserve">inisterial or </w:t>
      </w:r>
      <w:r w:rsidR="004B28C3">
        <w:t>Department</w:t>
      </w:r>
      <w:r>
        <w:t xml:space="preserve">al concerns about the activities of the </w:t>
      </w:r>
      <w:r w:rsidR="00D019E0">
        <w:t>Agency</w:t>
      </w:r>
      <w:r>
        <w:t xml:space="preserve"> to the full </w:t>
      </w:r>
      <w:r w:rsidR="00D019E0">
        <w:t>Agency’s</w:t>
      </w:r>
      <w:r>
        <w:t xml:space="preserve"> </w:t>
      </w:r>
      <w:r w:rsidR="004B28C3">
        <w:t>Board</w:t>
      </w:r>
      <w:r>
        <w:t xml:space="preserve">, and, as appropriate to the </w:t>
      </w:r>
      <w:r w:rsidR="004B28C3">
        <w:t>Department</w:t>
      </w:r>
      <w:r>
        <w:t xml:space="preserve">al </w:t>
      </w:r>
      <w:r w:rsidR="004B28C3">
        <w:t>Board</w:t>
      </w:r>
      <w:r>
        <w:t xml:space="preserve"> requiring explanations and assurances that appropriate action has been taken.</w:t>
      </w:r>
    </w:p>
    <w:p w14:paraId="2F852F7C" w14:textId="08BD4727" w:rsidR="005825EE" w:rsidRPr="007C3E83" w:rsidRDefault="005825EE" w:rsidP="00E903BF">
      <w:pPr>
        <w:pStyle w:val="Heading2"/>
      </w:pPr>
      <w:bookmarkStart w:id="18" w:name="_Toc153466342"/>
      <w:r w:rsidRPr="007C3E83">
        <w:t xml:space="preserve">The </w:t>
      </w:r>
      <w:r w:rsidR="00C77C87">
        <w:t>r</w:t>
      </w:r>
      <w:r w:rsidRPr="007C3E83">
        <w:t xml:space="preserve">ole of the </w:t>
      </w:r>
      <w:r w:rsidR="00C77C87">
        <w:t>s</w:t>
      </w:r>
      <w:r w:rsidRPr="007C3E83">
        <w:t xml:space="preserve">ponsorship </w:t>
      </w:r>
      <w:r w:rsidR="00C77C87">
        <w:t>t</w:t>
      </w:r>
      <w:r w:rsidRPr="007C3E83">
        <w:t>eam</w:t>
      </w:r>
      <w:bookmarkEnd w:id="18"/>
    </w:p>
    <w:p w14:paraId="0CCBD785" w14:textId="36872CDB" w:rsidR="00101237" w:rsidRDefault="00101237" w:rsidP="00D239B5">
      <w:pPr>
        <w:pStyle w:val="ParagraphText-numbered"/>
      </w:pPr>
      <w:r w:rsidRPr="00486915">
        <w:t>The SDS acts as the link at executive level between the Agency and the senior officials of the Department, and also with Ministers.</w:t>
      </w:r>
      <w:r>
        <w:t xml:space="preserve"> The SDS for this relationship is the Director of Medicines. </w:t>
      </w:r>
    </w:p>
    <w:p w14:paraId="298609B8" w14:textId="50FA3DAA" w:rsidR="002C65CA" w:rsidRDefault="002C65CA" w:rsidP="00D239B5">
      <w:pPr>
        <w:pStyle w:val="ParagraphText-numbered"/>
      </w:pPr>
      <w:r w:rsidRPr="002C65CA">
        <w:t xml:space="preserve">Whilst the </w:t>
      </w:r>
      <w:r>
        <w:t>SDS</w:t>
      </w:r>
      <w:r w:rsidRPr="002C65CA">
        <w:t xml:space="preserve"> role is facilitative and recognises the need for direct engagement between </w:t>
      </w:r>
      <w:r>
        <w:t>the Agency</w:t>
      </w:r>
      <w:r w:rsidRPr="002C65CA">
        <w:t xml:space="preserve"> and other parts of the Department and ministers, it also supports the Secretary of State</w:t>
      </w:r>
      <w:r>
        <w:t>, Junior Minister</w:t>
      </w:r>
      <w:r w:rsidR="00C459C5">
        <w:t>s</w:t>
      </w:r>
      <w:r w:rsidRPr="002C65CA">
        <w:t xml:space="preserve"> and Permanent Secretary in holding </w:t>
      </w:r>
      <w:r>
        <w:t xml:space="preserve">the Agency </w:t>
      </w:r>
      <w:r w:rsidRPr="002C65CA">
        <w:t xml:space="preserve">to account. </w:t>
      </w:r>
    </w:p>
    <w:p w14:paraId="594B3F75" w14:textId="3EB7AC0B" w:rsidR="00F17D6A" w:rsidRDefault="00F17D6A" w:rsidP="00D239B5">
      <w:pPr>
        <w:pStyle w:val="ParagraphText-numbered"/>
      </w:pPr>
      <w:r>
        <w:t>The SDS will ensure that there is an annual objective setting and review process in place for the Chair, which is undertaken by the PAO, or their nominee</w:t>
      </w:r>
      <w:r w:rsidR="00521765">
        <w:t>, taking into account feedback from the Chief Executive</w:t>
      </w:r>
      <w:r>
        <w:t xml:space="preserve">. </w:t>
      </w:r>
    </w:p>
    <w:p w14:paraId="237B62B8" w14:textId="71AF46E2" w:rsidR="005825EE" w:rsidRDefault="007C3E83" w:rsidP="00D239B5">
      <w:pPr>
        <w:pStyle w:val="ParagraphText-numbered"/>
      </w:pPr>
      <w:r>
        <w:t xml:space="preserve">The sponsorship team </w:t>
      </w:r>
      <w:r w:rsidR="005825EE">
        <w:t xml:space="preserve">in the </w:t>
      </w:r>
      <w:r w:rsidR="004B28C3">
        <w:t>Department</w:t>
      </w:r>
      <w:r w:rsidR="005825EE">
        <w:t xml:space="preserve"> </w:t>
      </w:r>
      <w:r w:rsidR="00486915">
        <w:t>is the primary contact for the Agency and support</w:t>
      </w:r>
      <w:r w:rsidR="00D52E22">
        <w:t>s</w:t>
      </w:r>
      <w:r w:rsidR="00486915">
        <w:t xml:space="preserve"> the SDS by undertaking the principal day-to-day liaison between the Department and the Agency.</w:t>
      </w:r>
      <w:r w:rsidR="005825EE">
        <w:t xml:space="preserve"> They are the main source of advice to the </w:t>
      </w:r>
      <w:r w:rsidR="004B6126">
        <w:t>responsible</w:t>
      </w:r>
      <w:r w:rsidR="00014C02">
        <w:t xml:space="preserve"> minister </w:t>
      </w:r>
      <w:r w:rsidR="005825EE">
        <w:t xml:space="preserve">on the discharge of </w:t>
      </w:r>
      <w:r w:rsidR="009B3B60">
        <w:t>their</w:t>
      </w:r>
      <w:r w:rsidR="005825EE">
        <w:t xml:space="preserve"> responsibilities in respect of the </w:t>
      </w:r>
      <w:r w:rsidR="009B3B60">
        <w:t>Agency</w:t>
      </w:r>
      <w:r w:rsidR="005825EE">
        <w:t xml:space="preserve">. They also support the PAO on </w:t>
      </w:r>
      <w:r w:rsidR="009B3B60">
        <w:t>their</w:t>
      </w:r>
      <w:r w:rsidR="005825EE">
        <w:t xml:space="preserve"> responsibilities toward the </w:t>
      </w:r>
      <w:r w:rsidR="009B3B60">
        <w:t>Agency</w:t>
      </w:r>
      <w:r w:rsidR="005825EE">
        <w:t>.</w:t>
      </w:r>
    </w:p>
    <w:p w14:paraId="5BD3E452" w14:textId="111CA4AA" w:rsidR="00DC0019" w:rsidRDefault="00DC0019" w:rsidP="00D239B5">
      <w:pPr>
        <w:pStyle w:val="ParagraphText-numbered"/>
      </w:pPr>
      <w:r>
        <w:t xml:space="preserve">Officials of the sponsorship team in the Department will liaise regularly with the Agency’s officials to review performance against plans, achievement against targets and expenditure against its </w:t>
      </w:r>
      <w:r w:rsidR="009D4122">
        <w:t xml:space="preserve">funding </w:t>
      </w:r>
      <w:r>
        <w:t xml:space="preserve">allocations. The </w:t>
      </w:r>
      <w:r w:rsidR="009D4122">
        <w:t>sponsorship team</w:t>
      </w:r>
      <w:r>
        <w:t xml:space="preserve"> will also take the opportunity to </w:t>
      </w:r>
      <w:r w:rsidR="00D52E22">
        <w:t xml:space="preserve">proactively </w:t>
      </w:r>
      <w:r>
        <w:t xml:space="preserve">explain wider policy developments that might have an impact on the </w:t>
      </w:r>
      <w:r w:rsidR="009D4122">
        <w:t>Agency.</w:t>
      </w:r>
    </w:p>
    <w:p w14:paraId="646FDC9B" w14:textId="0532D394" w:rsidR="00CD3DC3" w:rsidRDefault="00D06A4F" w:rsidP="00D239B5">
      <w:pPr>
        <w:pStyle w:val="ParagraphText-numbered"/>
      </w:pPr>
      <w:bookmarkStart w:id="19" w:name="_Hlk94629100"/>
      <w:r>
        <w:t>The sponsorship team</w:t>
      </w:r>
      <w:r w:rsidR="00CD3DC3">
        <w:t xml:space="preserve"> will work alongside the Department’s finance directorate, which will act as the departmental Finance Business Partner to </w:t>
      </w:r>
      <w:r>
        <w:t>the Agency</w:t>
      </w:r>
      <w:r w:rsidR="00CD3DC3">
        <w:t xml:space="preserve">. </w:t>
      </w:r>
    </w:p>
    <w:bookmarkEnd w:id="19"/>
    <w:p w14:paraId="69652C74" w14:textId="245EED27" w:rsidR="00CD3DC3" w:rsidRDefault="00CD3DC3" w:rsidP="00D239B5">
      <w:pPr>
        <w:pStyle w:val="ParagraphText-numbered"/>
      </w:pPr>
      <w:r>
        <w:lastRenderedPageBreak/>
        <w:t xml:space="preserve">The </w:t>
      </w:r>
      <w:r w:rsidR="00777731">
        <w:t>sponsorship team’s</w:t>
      </w:r>
      <w:r>
        <w:t xml:space="preserve"> responsibilities include: </w:t>
      </w:r>
    </w:p>
    <w:p w14:paraId="6967593F" w14:textId="01567E0B" w:rsidR="00CD3DC3" w:rsidRDefault="00CD3DC3" w:rsidP="00D239B5">
      <w:pPr>
        <w:pStyle w:val="Style8"/>
      </w:pPr>
      <w:r>
        <w:t xml:space="preserve">enabling ministers and Parliament to have effective oversight of </w:t>
      </w:r>
      <w:r w:rsidR="00777731">
        <w:t>the Agency</w:t>
      </w:r>
      <w:r>
        <w:t>;</w:t>
      </w:r>
    </w:p>
    <w:p w14:paraId="3CD7B06F" w14:textId="671D6339" w:rsidR="00CD3DC3" w:rsidRDefault="00CD3DC3" w:rsidP="00D239B5">
      <w:pPr>
        <w:pStyle w:val="Style8"/>
      </w:pPr>
      <w:r>
        <w:t xml:space="preserve">supporting working relationships between the Department and </w:t>
      </w:r>
      <w:r w:rsidR="00777731">
        <w:t>the Agency</w:t>
      </w:r>
      <w:r>
        <w:t>, highlighting wider policy developments that may impact on them, facilitating policy discussions, troubleshooting and resolving live issues;</w:t>
      </w:r>
    </w:p>
    <w:p w14:paraId="39987767" w14:textId="798248CD" w:rsidR="00CD3DC3" w:rsidRDefault="00FB4CA2" w:rsidP="00D239B5">
      <w:pPr>
        <w:pStyle w:val="Style8"/>
      </w:pPr>
      <w:r>
        <w:t xml:space="preserve">helping the Agency to develop an annual business plan that reflects </w:t>
      </w:r>
      <w:r w:rsidR="00CD3DC3">
        <w:t xml:space="preserve">the government’s priorities for the organisation for the financial year; </w:t>
      </w:r>
    </w:p>
    <w:p w14:paraId="29298588" w14:textId="4774924A" w:rsidR="00CD3DC3" w:rsidRDefault="00CD3DC3" w:rsidP="00D239B5">
      <w:pPr>
        <w:pStyle w:val="Style8"/>
      </w:pPr>
      <w:r>
        <w:t xml:space="preserve">ensuring that clear accountability arrangements are in place between </w:t>
      </w:r>
      <w:r w:rsidR="00777731">
        <w:t>the Agency</w:t>
      </w:r>
      <w:r>
        <w:t xml:space="preserve"> and the Department; co-ordinating processes for assuring and constructively challenging progress against the </w:t>
      </w:r>
      <w:r w:rsidR="00777731">
        <w:t>Agency’s</w:t>
      </w:r>
      <w:r>
        <w:t xml:space="preserve"> Business Plan and effective management of finances and risks; and feeding into wider accountability and governance processes within the Department; </w:t>
      </w:r>
    </w:p>
    <w:p w14:paraId="75E4D81F" w14:textId="6305E062" w:rsidR="000D6153" w:rsidRDefault="00CD3DC3" w:rsidP="00D239B5">
      <w:pPr>
        <w:pStyle w:val="Style8"/>
      </w:pPr>
      <w:r>
        <w:t xml:space="preserve">championing </w:t>
      </w:r>
      <w:r w:rsidR="00777731">
        <w:t>the Agency</w:t>
      </w:r>
      <w:r>
        <w:t xml:space="preserve"> within the Department, across government and internationally, helping ensure that the </w:t>
      </w:r>
      <w:r w:rsidR="0047220A">
        <w:t>A</w:t>
      </w:r>
      <w:r>
        <w:t>gency builds</w:t>
      </w:r>
      <w:r w:rsidR="00D52E22">
        <w:t xml:space="preserve"> and maintain</w:t>
      </w:r>
      <w:r w:rsidR="00201113">
        <w:t>s</w:t>
      </w:r>
      <w:r>
        <w:t xml:space="preserve"> the right relationships and connections to allow it to deliver its remit effectively and efficiently</w:t>
      </w:r>
      <w:r w:rsidR="008D7A80">
        <w:t>; and</w:t>
      </w:r>
    </w:p>
    <w:p w14:paraId="3CAE82F8" w14:textId="7E5AC409" w:rsidR="00D52E22" w:rsidRDefault="00C8792B" w:rsidP="00D239B5">
      <w:pPr>
        <w:pStyle w:val="Style8"/>
      </w:pPr>
      <w:r>
        <w:t>h</w:t>
      </w:r>
      <w:r w:rsidR="00D52E22">
        <w:t xml:space="preserve">elping the Agency to identify and manage risks to its delivery that arise from wider government policy or other circumstances. </w:t>
      </w:r>
    </w:p>
    <w:p w14:paraId="25067756" w14:textId="77777777" w:rsidR="00AA3227" w:rsidRDefault="00AA3227" w:rsidP="00AA3227">
      <w:pPr>
        <w:pStyle w:val="Heading2"/>
      </w:pPr>
      <w:bookmarkStart w:id="20" w:name="_Toc153466343"/>
      <w:bookmarkStart w:id="21" w:name="_Hlk105523665"/>
      <w:r>
        <w:t>Roles and responsibilities within the policy framework</w:t>
      </w:r>
      <w:bookmarkEnd w:id="20"/>
      <w:r>
        <w:t xml:space="preserve"> </w:t>
      </w:r>
    </w:p>
    <w:p w14:paraId="041CD95D" w14:textId="6113FFFE" w:rsidR="00AA3227" w:rsidRDefault="00AA3227" w:rsidP="00D239B5">
      <w:pPr>
        <w:pStyle w:val="ParagraphText-numbered"/>
      </w:pPr>
      <w:r>
        <w:t xml:space="preserve">The </w:t>
      </w:r>
      <w:r w:rsidRPr="00DA7D41">
        <w:t xml:space="preserve">Agency and the </w:t>
      </w:r>
      <w:r>
        <w:t>Department</w:t>
      </w:r>
      <w:r w:rsidRPr="00DA7D41">
        <w:t xml:space="preserve"> will work together in recognition of each other's roles and areas of expertise, providing an effective environment for the Agency to achieve its </w:t>
      </w:r>
      <w:r>
        <w:t>objectives</w:t>
      </w:r>
      <w:r w:rsidRPr="00DA7D41">
        <w:t xml:space="preserve"> through the promotion of partnership and trust and ensuring that the Agency also supports the strategic aims and objective</w:t>
      </w:r>
      <w:r w:rsidR="00277F7E">
        <w:t>s</w:t>
      </w:r>
      <w:r w:rsidRPr="00DA7D41">
        <w:t xml:space="preserve"> of the </w:t>
      </w:r>
      <w:r>
        <w:t>Department</w:t>
      </w:r>
      <w:r w:rsidRPr="00DA7D41">
        <w:t xml:space="preserve"> and wider government as a whole.</w:t>
      </w:r>
    </w:p>
    <w:p w14:paraId="61CB8453" w14:textId="77777777" w:rsidR="00AA3227" w:rsidRDefault="00AA3227" w:rsidP="00D239B5">
      <w:pPr>
        <w:pStyle w:val="ParagraphText-numbered"/>
      </w:pPr>
      <w:r>
        <w:t xml:space="preserve">Ministers are responsible for the policy framework within which the Agency operates and are ultimately accountable for all decisions on the legislative and policy basis on which the Agency operates. </w:t>
      </w:r>
    </w:p>
    <w:p w14:paraId="57A03F30" w14:textId="50443275" w:rsidR="00AA3227" w:rsidRDefault="00AA3227" w:rsidP="00D239B5">
      <w:pPr>
        <w:pStyle w:val="ParagraphText-numbered"/>
      </w:pPr>
      <w:r>
        <w:t xml:space="preserve">In practice, </w:t>
      </w:r>
      <w:r w:rsidR="0047220A">
        <w:t>M</w:t>
      </w:r>
      <w:r>
        <w:t xml:space="preserve">inisters will be advised on those decisions by the Agency on a regular basis, given the expertise the Agency holds. Ministers will also be advised </w:t>
      </w:r>
      <w:r>
        <w:lastRenderedPageBreak/>
        <w:t xml:space="preserve">and supported in their decision-making role by officials in the Department. It is essential that officials in the Agency and the Department work productively together to support ministers with the best possible advice, in line with the Civil Service Code. This partnership approach relies on clear, proactive communication and an understanding that input from both sets of officials will produce the most robust and balanced policy advice. </w:t>
      </w:r>
    </w:p>
    <w:p w14:paraId="4F0ED8F5" w14:textId="4568A23A" w:rsidR="003C36A9" w:rsidRPr="00CA5E70" w:rsidRDefault="00AA3227" w:rsidP="00D239B5">
      <w:pPr>
        <w:pStyle w:val="ParagraphText-numbered"/>
      </w:pPr>
      <w:r w:rsidRPr="00F613E1" w:rsidDel="00F613E1">
        <w:t xml:space="preserve">Departmental officials with responsibility for medicines and </w:t>
      </w:r>
      <w:r>
        <w:t xml:space="preserve">medical devices </w:t>
      </w:r>
      <w:r w:rsidRPr="00F613E1" w:rsidDel="00F613E1">
        <w:t xml:space="preserve">will </w:t>
      </w:r>
      <w:r>
        <w:t xml:space="preserve">primarily </w:t>
      </w:r>
      <w:r w:rsidRPr="00F613E1" w:rsidDel="00F613E1">
        <w:t>lead on strategic areas of policy</w:t>
      </w:r>
      <w:r>
        <w:t xml:space="preserve"> to deliver on wider Government priorities</w:t>
      </w:r>
      <w:r w:rsidRPr="00F613E1" w:rsidDel="00F613E1">
        <w:t xml:space="preserve">, while the Agency will lead on more </w:t>
      </w:r>
      <w:r>
        <w:t xml:space="preserve">specialist </w:t>
      </w:r>
      <w:r w:rsidRPr="00F613E1" w:rsidDel="00F613E1">
        <w:t xml:space="preserve">policy </w:t>
      </w:r>
      <w:r>
        <w:t xml:space="preserve">on how regulation can support these priorities or </w:t>
      </w:r>
      <w:r w:rsidRPr="00F613E1" w:rsidDel="00F613E1">
        <w:t>how the objectives of effective regulation can be achieved in practice, either through legislation or its own activities.</w:t>
      </w:r>
      <w:r w:rsidDel="00F613E1">
        <w:t xml:space="preserve"> </w:t>
      </w:r>
      <w:r w:rsidR="003C36A9" w:rsidRPr="00FD4999">
        <w:t xml:space="preserve">Policy work related to the Agency’s functions can be commissioned </w:t>
      </w:r>
      <w:r w:rsidR="003C36A9">
        <w:t>from</w:t>
      </w:r>
      <w:r w:rsidR="003C36A9" w:rsidRPr="00FD4999">
        <w:t xml:space="preserve"> the Agency by the Department.</w:t>
      </w:r>
      <w:r w:rsidR="003C36A9" w:rsidRPr="003C36A9">
        <w:t xml:space="preserve"> </w:t>
      </w:r>
      <w:r w:rsidR="003C36A9" w:rsidRPr="00FD4999">
        <w:t xml:space="preserve">This will </w:t>
      </w:r>
      <w:r w:rsidR="003C36A9">
        <w:t>primarily</w:t>
      </w:r>
      <w:r w:rsidR="003C36A9" w:rsidRPr="00FD4999">
        <w:t xml:space="preserve"> be in highly specialist and/or technical areas of work.</w:t>
      </w:r>
      <w:r w:rsidR="003C36A9" w:rsidRPr="003C36A9">
        <w:t xml:space="preserve"> </w:t>
      </w:r>
      <w:r w:rsidR="003C36A9" w:rsidRPr="00FD4999">
        <w:t>Collaborative working means that</w:t>
      </w:r>
      <w:r w:rsidR="003C36A9">
        <w:t>,</w:t>
      </w:r>
      <w:r w:rsidR="003C36A9" w:rsidRPr="00FD4999">
        <w:t xml:space="preserve"> at all levels, the Agency and the Department will involve each other appropriately in areas of shared policy interest </w:t>
      </w:r>
      <w:r w:rsidR="003C36A9" w:rsidRPr="00CA5E70">
        <w:t xml:space="preserve">before senior sign-off decisions are made by </w:t>
      </w:r>
      <w:r w:rsidR="003C36A9">
        <w:t>each party.</w:t>
      </w:r>
    </w:p>
    <w:p w14:paraId="0B525D8F" w14:textId="7718DD18" w:rsidR="00AA3227" w:rsidRDefault="00AA3227" w:rsidP="00D239B5">
      <w:pPr>
        <w:pStyle w:val="ParagraphText-numbered"/>
      </w:pPr>
      <w:r w:rsidRPr="00597777">
        <w:t xml:space="preserve">The Agency operates independently in delivering its </w:t>
      </w:r>
      <w:r w:rsidR="00046C03">
        <w:t>functions</w:t>
      </w:r>
      <w:r w:rsidR="00BA6967">
        <w:t>,</w:t>
      </w:r>
      <w:r w:rsidR="00D241A7">
        <w:t xml:space="preserve"> notwithstanding </w:t>
      </w:r>
      <w:r w:rsidR="00046C03">
        <w:t>needing</w:t>
      </w:r>
      <w:r w:rsidR="00D241A7">
        <w:t xml:space="preserve"> to work in partnership </w:t>
      </w:r>
      <w:r w:rsidR="00BA6967">
        <w:t>with</w:t>
      </w:r>
      <w:r w:rsidR="00D241A7">
        <w:t xml:space="preserve"> the </w:t>
      </w:r>
      <w:r w:rsidR="00046C03">
        <w:t>department</w:t>
      </w:r>
      <w:r w:rsidR="008F60BC">
        <w:t xml:space="preserve"> as an Executive Agency, and</w:t>
      </w:r>
      <w:r w:rsidR="00D241A7">
        <w:t xml:space="preserve"> as set out in the F</w:t>
      </w:r>
      <w:r w:rsidR="008F60BC">
        <w:t xml:space="preserve">ramework </w:t>
      </w:r>
      <w:r w:rsidR="00D241A7">
        <w:t>A</w:t>
      </w:r>
      <w:r w:rsidR="008F60BC">
        <w:t>greement</w:t>
      </w:r>
      <w:r w:rsidR="00D241A7">
        <w:t>.</w:t>
      </w:r>
      <w:r w:rsidR="00046C03">
        <w:t xml:space="preserve"> </w:t>
      </w:r>
      <w:r w:rsidR="00BA6967">
        <w:t>T</w:t>
      </w:r>
      <w:r>
        <w:t>he Agency will share relevant intended actions with the Department as soon as possible to enable joint communications where necessary and for wider impacts, for example on supply chains</w:t>
      </w:r>
      <w:r w:rsidR="00277F7E">
        <w:t>,</w:t>
      </w:r>
      <w:r>
        <w:t xml:space="preserve"> to be understood and mitigated as needed. </w:t>
      </w:r>
    </w:p>
    <w:p w14:paraId="483C3299" w14:textId="1CDC4272" w:rsidR="005C5998" w:rsidRPr="00001449" w:rsidRDefault="005C5998" w:rsidP="00E903BF">
      <w:pPr>
        <w:pStyle w:val="Heading2"/>
      </w:pPr>
      <w:bookmarkStart w:id="22" w:name="_Toc153466344"/>
      <w:bookmarkEnd w:id="21"/>
      <w:r w:rsidRPr="00001449">
        <w:t>Agreed principles on ways of working</w:t>
      </w:r>
      <w:bookmarkEnd w:id="22"/>
    </w:p>
    <w:p w14:paraId="2F36AD1F" w14:textId="6B9F92C4" w:rsidR="00EA429F" w:rsidRDefault="00EA429F" w:rsidP="00D239B5">
      <w:pPr>
        <w:pStyle w:val="ParagraphText-numbered"/>
      </w:pPr>
      <w:r>
        <w:t xml:space="preserve">The Department, its executive agencies and ALBs share responsibility for </w:t>
      </w:r>
      <w:r w:rsidR="004744D9">
        <w:t xml:space="preserve">supporting ministers </w:t>
      </w:r>
      <w:r w:rsidR="00D52E22">
        <w:t xml:space="preserve">in accounting </w:t>
      </w:r>
      <w:r>
        <w:t>to the public and to Parliament for policies, decisions and activities across the health and care sector. Accountability to Parliament will often be demonstrated through parliamentary questions, MPs' letters and appearances before parliamentary committees. Accountability to the public may be through the publication of information on the Agency’s website, as well as through responses to letters from the public and responses to requests under the Freedom of Information Act</w:t>
      </w:r>
      <w:r w:rsidR="006F2D14">
        <w:t xml:space="preserve"> 2000</w:t>
      </w:r>
      <w:r>
        <w:t xml:space="preserve">. </w:t>
      </w:r>
    </w:p>
    <w:p w14:paraId="76EFC9EC" w14:textId="0D773D00" w:rsidR="00A460BC" w:rsidRPr="008A420B" w:rsidRDefault="00EA429F" w:rsidP="00D239B5">
      <w:pPr>
        <w:pStyle w:val="ParagraphText-numbered"/>
      </w:pPr>
      <w:r>
        <w:t xml:space="preserve">The Agency has its own responsibilities in accounting to the public and to Parliament and its way of handling these responsibilities will be agreed with the Department. In all matters of public and parliamentary accountability the Department and its ALBs and executive agencies will work together considerately, cooperatively and collaboratively, and any information provided by the Agency will be timely, accurate and, where appropriate, consistent with information provided by </w:t>
      </w:r>
      <w:r w:rsidRPr="00BA6BD7">
        <w:t xml:space="preserve">the Department. </w:t>
      </w:r>
      <w:r w:rsidRPr="00280CB6">
        <w:t xml:space="preserve">To facilitate this, the Department and the Agency have agreed a public and parliamentary accountability protocol that </w:t>
      </w:r>
      <w:r w:rsidRPr="00280CB6">
        <w:lastRenderedPageBreak/>
        <w:t>sets out how they will work together to secure the confidence of the public and Parliament, and to maintain the service levels that MPs and the public have come to expect</w:t>
      </w:r>
      <w:r w:rsidRPr="00AF21EA">
        <w:t>.</w:t>
      </w:r>
      <w:r w:rsidR="00A460BC" w:rsidRPr="00BA6BD7">
        <w:t xml:space="preserve"> This will be reviewed, as a minimum, </w:t>
      </w:r>
      <w:r w:rsidR="004B379C">
        <w:t xml:space="preserve">every three </w:t>
      </w:r>
      <w:r w:rsidR="00FB44FC">
        <w:t>years</w:t>
      </w:r>
      <w:r w:rsidR="00FB44FC" w:rsidRPr="00BA6BD7">
        <w:t>,</w:t>
      </w:r>
      <w:r w:rsidR="00A460BC" w:rsidRPr="00BA6BD7">
        <w:t xml:space="preserve"> alongside this Framework </w:t>
      </w:r>
      <w:r w:rsidR="0060068B" w:rsidRPr="008A420B">
        <w:t>Document</w:t>
      </w:r>
      <w:r w:rsidR="00A460BC" w:rsidRPr="008A420B">
        <w:t>.</w:t>
      </w:r>
    </w:p>
    <w:p w14:paraId="622D6AC7" w14:textId="2E7DE650" w:rsidR="005F7EE4" w:rsidRDefault="005F7EE4" w:rsidP="00D239B5">
      <w:pPr>
        <w:pStyle w:val="ParagraphText-numbered"/>
      </w:pPr>
      <w:r w:rsidRPr="00FC0617">
        <w:t>The Agency is an independent regulator and has operational autonomy</w:t>
      </w:r>
      <w:r w:rsidR="00141493" w:rsidRPr="00BA6BD7">
        <w:t xml:space="preserve"> </w:t>
      </w:r>
      <w:r w:rsidR="00141493" w:rsidRPr="00AF21EA">
        <w:t xml:space="preserve">in </w:t>
      </w:r>
      <w:r w:rsidR="00277F7E">
        <w:t xml:space="preserve">its </w:t>
      </w:r>
      <w:r w:rsidR="00141493" w:rsidRPr="00AF21EA">
        <w:t>regulatory decisions</w:t>
      </w:r>
      <w:r w:rsidRPr="00BA6BD7">
        <w:t>. It operates</w:t>
      </w:r>
      <w:r>
        <w:t xml:space="preserve"> transparently and proactively and provides government (including Ministers directly), the NHS, Parliament and MPs, industry, public health professionals and the public with expert and evidence-based information</w:t>
      </w:r>
      <w:r w:rsidR="00201113">
        <w:t xml:space="preserve"> and</w:t>
      </w:r>
      <w:r>
        <w:t xml:space="preserve"> advice on regulatory matters. </w:t>
      </w:r>
    </w:p>
    <w:p w14:paraId="03664CEE" w14:textId="77777777" w:rsidR="005F7EE4" w:rsidRDefault="005F7EE4" w:rsidP="00D239B5">
      <w:pPr>
        <w:pStyle w:val="ParagraphText-numbered"/>
      </w:pPr>
      <w:r>
        <w:t>The Agency can publicly set out its professional, scientific and objective judgement of the evidence base relating to regulatory matters. However, information and data shall not be published if to do so would contravene an express restriction in legislation or confidentiality obligations protected by common law.</w:t>
      </w:r>
    </w:p>
    <w:p w14:paraId="06A20AE0" w14:textId="4EA7CA8E" w:rsidR="005F7EE4" w:rsidRDefault="005F7EE4" w:rsidP="00D239B5">
      <w:pPr>
        <w:pStyle w:val="ParagraphText-numbered"/>
      </w:pPr>
      <w:r>
        <w:t>The Agency carries out its activities transparently. It demonstrates this by</w:t>
      </w:r>
      <w:r w:rsidR="00F424BB">
        <w:t>, as a minimum,</w:t>
      </w:r>
      <w:r>
        <w:t xml:space="preserve"> proactively publishing its annual report, business plan and accounts as well as information on areas </w:t>
      </w:r>
      <w:r w:rsidRPr="00D6271A">
        <w:t>including pay, diversity of the workforce, performance</w:t>
      </w:r>
      <w:r w:rsidR="00B25EB4" w:rsidRPr="00D6271A">
        <w:t xml:space="preserve"> and</w:t>
      </w:r>
      <w:r w:rsidRPr="00D6271A">
        <w:t xml:space="preserve"> the way it manages public money</w:t>
      </w:r>
      <w:r w:rsidR="00F424BB" w:rsidRPr="00D6271A">
        <w:t xml:space="preserve">. </w:t>
      </w:r>
      <w:r w:rsidRPr="00D6271A">
        <w:t xml:space="preserve"> </w:t>
      </w:r>
      <w:r w:rsidR="00B25EB4" w:rsidRPr="00D6271A">
        <w:t xml:space="preserve">It also supports those </w:t>
      </w:r>
      <w:r w:rsidRPr="00D6271A">
        <w:t xml:space="preserve">who wish to use </w:t>
      </w:r>
      <w:r w:rsidR="00B25EB4" w:rsidRPr="00D6271A">
        <w:t xml:space="preserve">its </w:t>
      </w:r>
      <w:r w:rsidRPr="00D6271A">
        <w:t>data by publishing information within guidelines set by the Cabinet Office and by holding board meetings in public</w:t>
      </w:r>
      <w:r w:rsidR="003A4211" w:rsidRPr="00D6271A">
        <w:t>, where appropriate</w:t>
      </w:r>
      <w:r>
        <w:t xml:space="preserve">. </w:t>
      </w:r>
    </w:p>
    <w:p w14:paraId="24C1759A" w14:textId="22293D14" w:rsidR="005F7EE4" w:rsidRDefault="005F7EE4" w:rsidP="00D239B5">
      <w:pPr>
        <w:pStyle w:val="ParagraphText-numbered"/>
      </w:pPr>
      <w:r w:rsidRPr="00B44517">
        <w:t xml:space="preserve">The Agency regularly deals with the media. </w:t>
      </w:r>
      <w:r w:rsidR="008A420B">
        <w:t>P</w:t>
      </w:r>
      <w:r w:rsidRPr="00B44517">
        <w:t xml:space="preserve">rior approval is not required for dealing </w:t>
      </w:r>
      <w:r w:rsidRPr="005C1CA7">
        <w:t xml:space="preserve">with the media </w:t>
      </w:r>
      <w:r w:rsidR="00AB7F99">
        <w:t>o</w:t>
      </w:r>
      <w:r w:rsidRPr="005C1CA7">
        <w:t>n matters of an operational, routine or technical nature. However, on matters concerning or affecting the Government, the Department and its ALBs, the Agency will liaise with the relevant communications teams in advance.</w:t>
      </w:r>
      <w:r>
        <w:t xml:space="preserve"> </w:t>
      </w:r>
    </w:p>
    <w:p w14:paraId="37B005C9" w14:textId="5EA39E86" w:rsidR="00F51D38" w:rsidRDefault="00F51D38" w:rsidP="00D239B5">
      <w:pPr>
        <w:pStyle w:val="ParagraphText-numbered"/>
      </w:pPr>
      <w:r>
        <w:t xml:space="preserve">The Agency and the Department’s communications teams shall have regular </w:t>
      </w:r>
      <w:r w:rsidDel="00ED4EA9">
        <w:t>check</w:t>
      </w:r>
      <w:r w:rsidR="00ED4EA9">
        <w:t>-</w:t>
      </w:r>
      <w:r>
        <w:t>in points, including for the heads of communications and media and marketing teams, including to agree communication plans where required. In particular, the Agency and the Department will give each other sufficient advance notice of public facing communications to allow for necessary clearances with the relevant teams as set out in the Communications and Marketing Guidance annex of the ALB Schedule of Delegations.</w:t>
      </w:r>
    </w:p>
    <w:p w14:paraId="78AC106F" w14:textId="7F774680" w:rsidR="00801FD2" w:rsidRDefault="00CA5A65" w:rsidP="00D239B5">
      <w:pPr>
        <w:pStyle w:val="ParagraphText-numbered"/>
      </w:pPr>
      <w:r>
        <w:t xml:space="preserve">The Agency is subject to Cabinet Office </w:t>
      </w:r>
      <w:r w:rsidR="00801FD2">
        <w:t xml:space="preserve">Advertising, Marketing and </w:t>
      </w:r>
      <w:r>
        <w:t>Communications Spend Control</w:t>
      </w:r>
      <w:r w:rsidR="00801FD2">
        <w:t>s</w:t>
      </w:r>
      <w:r>
        <w:t>. All proposed communications expenditure over £100,000 must be approved by the Cabinet Office, following prior approval by the Department. The Agency has delegated authority to approve communications expenditure up to £100,000 ex</w:t>
      </w:r>
      <w:r w:rsidR="00DC45C7">
        <w:t>c</w:t>
      </w:r>
      <w:r>
        <w:t>e</w:t>
      </w:r>
      <w:r w:rsidR="00DC45C7">
        <w:t>p</w:t>
      </w:r>
      <w:r>
        <w:t xml:space="preserve">t for that funded from Grant-In-Aid which requires business case approval for expenditure above £20,000. </w:t>
      </w:r>
    </w:p>
    <w:p w14:paraId="4D02076A" w14:textId="20B70CE5" w:rsidR="00CA5A65" w:rsidRDefault="00CA5A65" w:rsidP="00D239B5">
      <w:pPr>
        <w:pStyle w:val="ParagraphText-numbered"/>
      </w:pPr>
      <w:r>
        <w:lastRenderedPageBreak/>
        <w:t xml:space="preserve">The Agency will </w:t>
      </w:r>
      <w:r w:rsidR="00801FD2">
        <w:t xml:space="preserve">maintain an internal process to record relevant spend and to </w:t>
      </w:r>
      <w:r>
        <w:t xml:space="preserve">provide all necessary information to the Department, including periodic forward looks and logs of expenditure, headcount and other information as required to enable audits and reporting. </w:t>
      </w:r>
    </w:p>
    <w:p w14:paraId="42525926" w14:textId="3953D57E" w:rsidR="00801FD2" w:rsidRDefault="00CA5A65" w:rsidP="00D239B5">
      <w:pPr>
        <w:pStyle w:val="ParagraphText-numbered"/>
      </w:pPr>
      <w:r>
        <w:t xml:space="preserve">The Agency engages and communicates with a wide range of stakeholders nationally and internationally, including healthcare professionals, the public and industry. Specialist digital content or content targeted at professional audiences will, where it relates to the Agency’s regulatory activities, be delivered through the corporate websites of the Department and the Agency on Gov.UK. </w:t>
      </w:r>
    </w:p>
    <w:p w14:paraId="5513A886" w14:textId="4CAD5D87" w:rsidR="00CA5A65" w:rsidRDefault="00CA5A65" w:rsidP="00D239B5">
      <w:pPr>
        <w:pStyle w:val="ParagraphText-numbered"/>
      </w:pPr>
      <w:r>
        <w:t>Request</w:t>
      </w:r>
      <w:r w:rsidR="00801FD2">
        <w:t>s</w:t>
      </w:r>
      <w:r>
        <w:t xml:space="preserve"> for exemption from the use of </w:t>
      </w:r>
      <w:r w:rsidR="00801FD2">
        <w:t xml:space="preserve">consistent government branding for the MHRA and NIBSC were approved </w:t>
      </w:r>
      <w:r>
        <w:t>by Cabinet Office in 2012, while CPRD and the British Pharmacopeia were agreed as out of scope.</w:t>
      </w:r>
      <w:r w:rsidR="00801FD2">
        <w:t xml:space="preserve"> Following the rollout of the Government Identity System, a revised logo was created in 2014 and it was agreed that it would be used in a co-branded framework with the NIBSC, CPRD and BP identities. From 2022 the Agency will continue to operate the Government Identity system and retain the BP, CPRD</w:t>
      </w:r>
      <w:r w:rsidR="00F00E5F">
        <w:t>, Yellow Card</w:t>
      </w:r>
      <w:r w:rsidR="00801FD2">
        <w:t xml:space="preserve"> and NIBSC identities to use with the income-generating products and services they are connected to. These product and service identities also have</w:t>
      </w:r>
      <w:r w:rsidR="00DF26B7">
        <w:t xml:space="preserve"> supporting brand websites which have also been exempted from Gov.UK. </w:t>
      </w:r>
    </w:p>
    <w:p w14:paraId="486DFFBB" w14:textId="6E7D4B6C" w:rsidR="005C5998" w:rsidRDefault="005C5998" w:rsidP="00D239B5">
      <w:pPr>
        <w:pStyle w:val="ParagraphText-numbered"/>
      </w:pPr>
      <w:r>
        <w:t xml:space="preserve">To support the development of the relationship, the Department and the Agency agree to a set of shared principles: </w:t>
      </w:r>
    </w:p>
    <w:p w14:paraId="3EF89535" w14:textId="57C35B41" w:rsidR="005C5998" w:rsidRDefault="005C5998" w:rsidP="00D239B5">
      <w:pPr>
        <w:pStyle w:val="Style8"/>
      </w:pPr>
      <w:r>
        <w:t xml:space="preserve">working together for patients, people who use services and the public, demonstrating </w:t>
      </w:r>
      <w:r w:rsidR="0042123E">
        <w:t xml:space="preserve">a </w:t>
      </w:r>
      <w:r>
        <w:t xml:space="preserve">commitment, where appropriate, to the values of the NHS set out in its Constitution; </w:t>
      </w:r>
    </w:p>
    <w:p w14:paraId="6180D7C9" w14:textId="77777777" w:rsidR="005C5998" w:rsidRDefault="005C5998" w:rsidP="00D239B5">
      <w:pPr>
        <w:pStyle w:val="Style8"/>
      </w:pPr>
      <w:r>
        <w:t xml:space="preserve">respect for the importance of autonomy throughout the system, and the freedom of individual organisations to exercise their functions in the way they consider most appropriate; </w:t>
      </w:r>
    </w:p>
    <w:p w14:paraId="26E32971" w14:textId="77777777" w:rsidR="005C5998" w:rsidRDefault="005C5998" w:rsidP="00D239B5">
      <w:pPr>
        <w:pStyle w:val="Style8"/>
      </w:pPr>
      <w:r>
        <w:t xml:space="preserve">recognition that the Secretary of State is ultimately accountable to Parliament and the public for the system overall. The Agency will support the Department in the discharge of its accountability duties, and the Department will support the Agency in the same way; </w:t>
      </w:r>
    </w:p>
    <w:p w14:paraId="73B98B58" w14:textId="2AB26759" w:rsidR="005C5998" w:rsidRDefault="005C5998" w:rsidP="00D239B5">
      <w:pPr>
        <w:pStyle w:val="Style8"/>
      </w:pPr>
      <w:r>
        <w:t xml:space="preserve">working together, and with other Departments and ALBs where necessary, openly and positively. This includes sharing operational and planning </w:t>
      </w:r>
      <w:r>
        <w:lastRenderedPageBreak/>
        <w:t xml:space="preserve">information with appropriate ALBs and with the consent of relevant stakeholders to </w:t>
      </w:r>
      <w:r w:rsidR="00E777BA">
        <w:t>deliver public health outcomes, which include promoting faster</w:t>
      </w:r>
      <w:r w:rsidR="001C4975">
        <w:t>,</w:t>
      </w:r>
      <w:r w:rsidR="00E777BA">
        <w:t xml:space="preserve"> </w:t>
      </w:r>
      <w:r w:rsidR="008E4732">
        <w:t xml:space="preserve">safe </w:t>
      </w:r>
      <w:r w:rsidR="00E777BA">
        <w:t>patient access to medical products</w:t>
      </w:r>
      <w:r w:rsidR="00A16636">
        <w:t xml:space="preserve">; </w:t>
      </w:r>
    </w:p>
    <w:p w14:paraId="413F5EDC" w14:textId="20F3A5C6" w:rsidR="00A16636" w:rsidRDefault="00A16636" w:rsidP="00D239B5">
      <w:pPr>
        <w:pStyle w:val="Style8"/>
      </w:pPr>
      <w:r>
        <w:t xml:space="preserve">ensuring the sponsorship team </w:t>
      </w:r>
      <w:r w:rsidR="00535F42">
        <w:t xml:space="preserve">is </w:t>
      </w:r>
      <w:r w:rsidR="00B53E1C">
        <w:t>always aware of and copied into ministerial submissions</w:t>
      </w:r>
      <w:r w:rsidR="008F35FC">
        <w:t xml:space="preserve"> that the Agency submits</w:t>
      </w:r>
      <w:r w:rsidR="001D3A9F">
        <w:t xml:space="preserve">, having agreed in advance </w:t>
      </w:r>
      <w:r w:rsidR="008F35FC">
        <w:t>which ones will require clearance or approval by the sponsorship team before they are submitted</w:t>
      </w:r>
      <w:r w:rsidR="009825CB">
        <w:t>;</w:t>
      </w:r>
      <w:r w:rsidR="001C4975">
        <w:t xml:space="preserve"> and</w:t>
      </w:r>
    </w:p>
    <w:p w14:paraId="38B6328A" w14:textId="50069DEB" w:rsidR="009825CB" w:rsidRDefault="004D1586" w:rsidP="00D239B5">
      <w:pPr>
        <w:pStyle w:val="Style8"/>
      </w:pPr>
      <w:r>
        <w:t>applying the principles of good communication</w:t>
      </w:r>
      <w:r w:rsidR="00FE6E8A">
        <w:t xml:space="preserve"> and</w:t>
      </w:r>
      <w:r>
        <w:t xml:space="preserve"> </w:t>
      </w:r>
      <w:r w:rsidR="00FE6E8A">
        <w:t xml:space="preserve">transparency and following a </w:t>
      </w:r>
      <w:r>
        <w:t>“no</w:t>
      </w:r>
      <w:r w:rsidR="00FE6E8A">
        <w:t>-</w:t>
      </w:r>
      <w:r>
        <w:t xml:space="preserve">surprises” </w:t>
      </w:r>
      <w:r w:rsidR="00FE6E8A">
        <w:t xml:space="preserve">approach, thus </w:t>
      </w:r>
      <w:r w:rsidRPr="004D1586">
        <w:t>enabling cooperative and collaborative working between the Agency and the Department</w:t>
      </w:r>
      <w:r w:rsidR="001C4975">
        <w:t>.</w:t>
      </w:r>
    </w:p>
    <w:p w14:paraId="57BDB35E" w14:textId="7D9232C1" w:rsidR="00A5387D" w:rsidRPr="00835C63" w:rsidRDefault="00A5387D" w:rsidP="00561E6D">
      <w:pPr>
        <w:pStyle w:val="Heading2"/>
      </w:pPr>
      <w:bookmarkStart w:id="23" w:name="_Toc153466345"/>
      <w:r w:rsidRPr="00A5387D">
        <w:t xml:space="preserve">Resolution of disputes between the </w:t>
      </w:r>
      <w:r w:rsidR="001C31E1">
        <w:t>Agency</w:t>
      </w:r>
      <w:r w:rsidRPr="00A5387D">
        <w:t xml:space="preserve"> and</w:t>
      </w:r>
      <w:r w:rsidR="001C31E1">
        <w:t xml:space="preserve"> the </w:t>
      </w:r>
      <w:r w:rsidR="004B28C3">
        <w:t>Department</w:t>
      </w:r>
      <w:bookmarkEnd w:id="23"/>
    </w:p>
    <w:p w14:paraId="6A1E4BFB" w14:textId="77777777" w:rsidR="00A9148F" w:rsidRPr="00A9148F" w:rsidRDefault="00FF3EEF" w:rsidP="00D239B5">
      <w:pPr>
        <w:pStyle w:val="ParagraphText-numbered"/>
      </w:pPr>
      <w:r>
        <w:t>T</w:t>
      </w:r>
      <w:r w:rsidR="00A5387D">
        <w:t xml:space="preserve">he </w:t>
      </w:r>
      <w:r w:rsidR="004B28C3">
        <w:t>Department</w:t>
      </w:r>
      <w:r w:rsidR="00A5387D">
        <w:t xml:space="preserve"> and the </w:t>
      </w:r>
      <w:r w:rsidR="001C31E1">
        <w:t>Agency</w:t>
      </w:r>
      <w:r w:rsidR="00A5387D">
        <w:t xml:space="preserve"> will </w:t>
      </w:r>
      <w:r>
        <w:t xml:space="preserve">make all reasonable endeavours to resolve </w:t>
      </w:r>
      <w:r w:rsidR="00AA3227">
        <w:t xml:space="preserve">any </w:t>
      </w:r>
      <w:r>
        <w:t xml:space="preserve">disputes between them in a timely manner. </w:t>
      </w:r>
      <w:r w:rsidR="00A5387D">
        <w:t xml:space="preserve">The </w:t>
      </w:r>
      <w:r w:rsidR="004B28C3">
        <w:t>Department</w:t>
      </w:r>
      <w:r w:rsidR="00A5387D">
        <w:t xml:space="preserve"> and the </w:t>
      </w:r>
      <w:r w:rsidR="001C31E1">
        <w:t>Agency</w:t>
      </w:r>
      <w:r w:rsidR="00A5387D">
        <w:t xml:space="preserve"> will seek to resolve any disputes through an informal process in the first instance. </w:t>
      </w:r>
    </w:p>
    <w:p w14:paraId="2E8B73A9" w14:textId="77777777" w:rsidR="00A9148F" w:rsidRPr="00A9148F" w:rsidRDefault="00A9148F" w:rsidP="00D239B5">
      <w:pPr>
        <w:pStyle w:val="ParagraphText-numbered"/>
      </w:pPr>
      <w:r w:rsidRPr="00A9148F">
        <w:t xml:space="preserve">If this is not possible, then a formal process, overseen by the Senior Sponsor, will be used to resolve the issue. Failing this, the Senior Sponsor will ask the relevant policy Director General to oversee the dispute. They may then choose to ask the Permanent Secretary to nominate a non-executive member of the Department’s Board to review the dispute, mediate with both sides and reach an outcome, in consultation with the Secretary of State. </w:t>
      </w:r>
    </w:p>
    <w:p w14:paraId="40E84179" w14:textId="37CC80FD" w:rsidR="00A9148F" w:rsidRDefault="00303394" w:rsidP="00D239B5">
      <w:pPr>
        <w:pStyle w:val="ParagraphText-numbered"/>
      </w:pPr>
      <w:r w:rsidRPr="00303394">
        <w:t xml:space="preserve">. </w:t>
      </w:r>
    </w:p>
    <w:p w14:paraId="6AA9DB47" w14:textId="140F084B" w:rsidR="000B2CB7" w:rsidRDefault="000B2CB7" w:rsidP="00E23371">
      <w:pPr>
        <w:pStyle w:val="Heading2"/>
      </w:pPr>
      <w:bookmarkStart w:id="24" w:name="_Toc153466346"/>
      <w:r>
        <w:t xml:space="preserve">Action in the event of </w:t>
      </w:r>
      <w:r w:rsidR="009F265E">
        <w:t>underperformance</w:t>
      </w:r>
      <w:bookmarkEnd w:id="24"/>
      <w:r w:rsidR="009F265E">
        <w:t xml:space="preserve"> </w:t>
      </w:r>
    </w:p>
    <w:p w14:paraId="60C70FDD" w14:textId="77D27064" w:rsidR="005633D8" w:rsidRPr="00303394" w:rsidRDefault="001F38AC" w:rsidP="00D239B5">
      <w:pPr>
        <w:pStyle w:val="ParagraphText-numbered"/>
      </w:pPr>
      <w:r>
        <w:t>If the Secretary of State considers that the Agency is underperforming or significantly failing in the exercise of its functions, they are able to intervene</w:t>
      </w:r>
      <w:r w:rsidR="004E3BD6">
        <w:t xml:space="preserve">. </w:t>
      </w:r>
      <w:r w:rsidR="00151099">
        <w:t>D</w:t>
      </w:r>
      <w:r w:rsidR="00D828CA">
        <w:t xml:space="preserve">epending on the urgency and nature of the underperformance, the SDS </w:t>
      </w:r>
      <w:r w:rsidR="001C77BA">
        <w:t xml:space="preserve">will use the quarterly accountability meetings to assess the situation </w:t>
      </w:r>
      <w:r w:rsidR="007618BB">
        <w:t xml:space="preserve">with the Agency </w:t>
      </w:r>
      <w:r w:rsidR="001C77BA">
        <w:t>and may escalate to the Permanent Secretary and or ministers as and when required.</w:t>
      </w:r>
      <w:r w:rsidR="007618BB">
        <w:t xml:space="preserve"> Ministers may require the Agency to take certain steps to rec</w:t>
      </w:r>
      <w:r w:rsidR="00CF428D">
        <w:t xml:space="preserve">tify the situation. </w:t>
      </w:r>
      <w:r>
        <w:t xml:space="preserve">If the Agency fails to comply, the Secretary of State may make arrangements for another body to help exercise these functions on the Secretary of State’s behalf. </w:t>
      </w:r>
    </w:p>
    <w:p w14:paraId="246602BF" w14:textId="5E25312B" w:rsidR="00A5387D" w:rsidRPr="00A420D0" w:rsidRDefault="00A5387D" w:rsidP="00561E6D">
      <w:pPr>
        <w:pStyle w:val="Heading2"/>
      </w:pPr>
      <w:bookmarkStart w:id="25" w:name="_Toc153466347"/>
      <w:r w:rsidRPr="00A420D0">
        <w:lastRenderedPageBreak/>
        <w:t>Freedom of Information requests</w:t>
      </w:r>
      <w:bookmarkEnd w:id="25"/>
    </w:p>
    <w:p w14:paraId="32F48BFC" w14:textId="2FEA48E8" w:rsidR="00A83E85" w:rsidRDefault="00205AB2" w:rsidP="00D239B5">
      <w:pPr>
        <w:pStyle w:val="ParagraphText-numbered"/>
      </w:pPr>
      <w:r>
        <w:t>For FOI purposes the public authority is the Department, however for practical purposes</w:t>
      </w:r>
      <w:r w:rsidR="00530454">
        <w:t>, t</w:t>
      </w:r>
      <w:r w:rsidR="00A83E85">
        <w:t>he Agency</w:t>
      </w:r>
      <w:r w:rsidR="00A83E85" w:rsidRPr="00A83E85">
        <w:t xml:space="preserve"> is responsible for addressing all requests made to it under the Freedom of Information Act 2000, the Data Protection Act 2018 and associated statutory information access requests. </w:t>
      </w:r>
      <w:r w:rsidR="004E5BB2">
        <w:t>The Agency and the Department</w:t>
      </w:r>
      <w:r w:rsidR="00A83E85" w:rsidRPr="00A83E85">
        <w:t xml:space="preserve"> shall consult prior to any disclosure of information that may affect the other party’s responsibilities.</w:t>
      </w:r>
    </w:p>
    <w:p w14:paraId="197B6724" w14:textId="034694E7" w:rsidR="007A3BE8" w:rsidRPr="00CE4955" w:rsidRDefault="007A3BE8" w:rsidP="007A3BE8">
      <w:pPr>
        <w:pStyle w:val="Heading2"/>
      </w:pPr>
      <w:bookmarkStart w:id="26" w:name="_Toc83995093"/>
      <w:bookmarkStart w:id="27" w:name="_Toc153466348"/>
      <w:r w:rsidRPr="00CE4955">
        <w:t>Relationships with the Department's other arm's length bodies and delivery partners</w:t>
      </w:r>
      <w:bookmarkEnd w:id="26"/>
      <w:bookmarkEnd w:id="27"/>
    </w:p>
    <w:p w14:paraId="2E30971D" w14:textId="1617E198" w:rsidR="007A3BE8" w:rsidRDefault="007A3BE8" w:rsidP="00D239B5">
      <w:pPr>
        <w:pStyle w:val="ParagraphText-numbered"/>
      </w:pPr>
      <w:r>
        <w:t>The Chief Executive, supported by the Chair, is responsible for ensuring that there is proactive engagement across the wide range of its external stakeholders, including groups representing patients and users of healthcare products, professional organisations representing health and social care professionals and industry organisations representing manufacturers of pharmaceuticals and medical devices</w:t>
      </w:r>
      <w:r w:rsidR="00BE2ADC">
        <w:t>.</w:t>
      </w:r>
    </w:p>
    <w:p w14:paraId="1921EE82" w14:textId="77777777" w:rsidR="007A3BE8" w:rsidRDefault="007A3BE8" w:rsidP="00D239B5">
      <w:pPr>
        <w:pStyle w:val="ParagraphText-numbered"/>
      </w:pPr>
      <w:r>
        <w:t xml:space="preserve">To deliver its functions efficiently and effectively and to support alignment across the whole health and care system, the Agency works collaboratively with several stakeholders, most notably the following (for which Memorandums of Understanding may be put in place): </w:t>
      </w:r>
    </w:p>
    <w:p w14:paraId="45C7A2D4" w14:textId="00F9D2D3" w:rsidR="007A3BE8" w:rsidRDefault="007A3BE8" w:rsidP="00D239B5">
      <w:pPr>
        <w:pStyle w:val="Style8"/>
        <w:numPr>
          <w:ilvl w:val="1"/>
          <w:numId w:val="28"/>
        </w:numPr>
      </w:pPr>
      <w:r>
        <w:t xml:space="preserve">Devolved Administrations (DAs), as the Agency exercises its functions on behalf of the UK. </w:t>
      </w:r>
      <w:r w:rsidR="00DC1B88">
        <w:t>Whenever appropriate, i</w:t>
      </w:r>
      <w:r>
        <w:t xml:space="preserve">t consults the DAs on, and keeps them informed of, proposed changes to legislation, policy and practice that affects them as well as giving advance notice of (and the opportunity to observe) any investigations or inspections of manufacturers based in their country. </w:t>
      </w:r>
      <w:r w:rsidRPr="00BC1FD8">
        <w:t xml:space="preserve">The Agency will </w:t>
      </w:r>
      <w:r>
        <w:t xml:space="preserve">also </w:t>
      </w:r>
      <w:r w:rsidRPr="00BC1FD8">
        <w:t xml:space="preserve">continue to develop similar partnerships </w:t>
      </w:r>
      <w:r>
        <w:t xml:space="preserve">with DAs’ other healthcare bodies to </w:t>
      </w:r>
      <w:r w:rsidRPr="00BC1FD8">
        <w:t>support fast and safe access to new innovative products.</w:t>
      </w:r>
    </w:p>
    <w:p w14:paraId="16BE824C" w14:textId="757A637A" w:rsidR="007A3BE8" w:rsidRDefault="00535F42" w:rsidP="00D239B5">
      <w:pPr>
        <w:pStyle w:val="Style8"/>
      </w:pPr>
      <w:r>
        <w:t xml:space="preserve">The </w:t>
      </w:r>
      <w:r w:rsidR="007A3BE8" w:rsidRPr="0082198F">
        <w:t>National Institute for Health Research</w:t>
      </w:r>
      <w:r w:rsidR="007A3BE8">
        <w:t xml:space="preserve"> (NIHR), which funds CPRD, and with </w:t>
      </w:r>
      <w:r>
        <w:t xml:space="preserve">the </w:t>
      </w:r>
      <w:r w:rsidR="007A3BE8">
        <w:t>Health Research Authority (HRA), to deliver ethical and regulatory approval of clinical trials in the UK</w:t>
      </w:r>
      <w:r w:rsidR="00856FAB">
        <w:t>;</w:t>
      </w:r>
      <w:r w:rsidR="007A3BE8">
        <w:t xml:space="preserve"> </w:t>
      </w:r>
    </w:p>
    <w:p w14:paraId="25996AF0" w14:textId="743C8D23" w:rsidR="007A3BE8" w:rsidRDefault="00535F42" w:rsidP="00D239B5">
      <w:pPr>
        <w:pStyle w:val="Style8"/>
      </w:pPr>
      <w:r>
        <w:t xml:space="preserve">The </w:t>
      </w:r>
      <w:r w:rsidR="007A3BE8" w:rsidRPr="00196FA9">
        <w:t>National Institute for Health and Care Excellence (NICE)</w:t>
      </w:r>
      <w:r w:rsidR="007A3BE8">
        <w:t>,</w:t>
      </w:r>
      <w:r w:rsidR="007A3BE8" w:rsidRPr="00060607">
        <w:t xml:space="preserve"> </w:t>
      </w:r>
      <w:r w:rsidR="007A3BE8" w:rsidRPr="00196FA9">
        <w:t xml:space="preserve">such as </w:t>
      </w:r>
      <w:r w:rsidR="007A3BE8" w:rsidRPr="00900683">
        <w:t>in the delivery of the Innovative Licensing</w:t>
      </w:r>
      <w:r w:rsidR="0028265E">
        <w:t xml:space="preserve"> and</w:t>
      </w:r>
      <w:r w:rsidR="007A3BE8" w:rsidRPr="00900683">
        <w:t xml:space="preserve"> Ac</w:t>
      </w:r>
      <w:r w:rsidR="007A3BE8" w:rsidRPr="001B57BD">
        <w:t>cess Pathway (ILAP)</w:t>
      </w:r>
      <w:r w:rsidR="005F7BB1">
        <w:t xml:space="preserve"> to support </w:t>
      </w:r>
      <w:r w:rsidR="005D1D00">
        <w:t>rapid patient access to effective new medicines</w:t>
      </w:r>
      <w:r w:rsidR="007A3BE8">
        <w:t>;</w:t>
      </w:r>
      <w:r w:rsidR="007A3BE8" w:rsidRPr="00753B69">
        <w:t xml:space="preserve"> </w:t>
      </w:r>
      <w:r w:rsidR="00856FAB">
        <w:t>and</w:t>
      </w:r>
    </w:p>
    <w:p w14:paraId="09A83E0D" w14:textId="5A53E0F0" w:rsidR="007A3BE8" w:rsidRPr="001B57BD" w:rsidRDefault="007A3BE8" w:rsidP="00D239B5">
      <w:pPr>
        <w:pStyle w:val="Style8"/>
      </w:pPr>
      <w:r>
        <w:lastRenderedPageBreak/>
        <w:t xml:space="preserve">international organisations and regulators, such as </w:t>
      </w:r>
      <w:r w:rsidR="00482A39">
        <w:t xml:space="preserve">in collaboration with </w:t>
      </w:r>
      <w:r w:rsidR="00535F42">
        <w:t xml:space="preserve">the </w:t>
      </w:r>
      <w:r>
        <w:t xml:space="preserve">WHO, </w:t>
      </w:r>
      <w:r w:rsidR="00535F42">
        <w:t xml:space="preserve">the FDA’s </w:t>
      </w:r>
      <w:r>
        <w:t xml:space="preserve">Project Orbis, </w:t>
      </w:r>
      <w:r w:rsidR="008F78E2">
        <w:t>and Access</w:t>
      </w:r>
      <w:r w:rsidR="00535F42">
        <w:t xml:space="preserve"> (the work</w:t>
      </w:r>
      <w:r w:rsidR="008F78E2">
        <w:t>-</w:t>
      </w:r>
      <w:r w:rsidR="00535F42">
        <w:t>sharing consortium with the medicines regulators of Australia, Canada, Singapore and Switzerland)</w:t>
      </w:r>
      <w:r w:rsidR="00482A39">
        <w:t>.</w:t>
      </w:r>
    </w:p>
    <w:p w14:paraId="1661296E" w14:textId="30C24AE5" w:rsidR="007A3BE8" w:rsidRDefault="007A3BE8" w:rsidP="00D239B5">
      <w:pPr>
        <w:pStyle w:val="ParagraphText-numbered"/>
      </w:pPr>
      <w:r>
        <w:t xml:space="preserve">Outside of these formal collaborations, the Agency works with other health and care sector bodies in a number of different ways to support its own aims and support the wider aims of the NHS, including the NHS in the devolved administrations, in </w:t>
      </w:r>
      <w:r w:rsidRPr="00887CA2">
        <w:t>protect</w:t>
      </w:r>
      <w:r>
        <w:t>ing</w:t>
      </w:r>
      <w:r w:rsidRPr="00887CA2">
        <w:t xml:space="preserve"> public health, maximis</w:t>
      </w:r>
      <w:r>
        <w:t>ing</w:t>
      </w:r>
      <w:r w:rsidRPr="00887CA2">
        <w:t xml:space="preserve"> our impact and reach across clinical networks and more effectively shar</w:t>
      </w:r>
      <w:r>
        <w:t>ing</w:t>
      </w:r>
      <w:r w:rsidRPr="00887CA2">
        <w:t xml:space="preserve"> information to empower patients and the public to make informed decisions.</w:t>
      </w:r>
      <w:r>
        <w:t xml:space="preserve"> This work is supported by</w:t>
      </w:r>
      <w:r w:rsidR="00D3596E">
        <w:t>,</w:t>
      </w:r>
      <w:r>
        <w:t xml:space="preserve"> and where necessary overseen and co-ordinated by</w:t>
      </w:r>
      <w:r w:rsidR="00D3596E">
        <w:t>,</w:t>
      </w:r>
      <w:r>
        <w:t xml:space="preserve"> the Department. </w:t>
      </w:r>
    </w:p>
    <w:p w14:paraId="1B5B4AD6" w14:textId="77777777" w:rsidR="00F9655F" w:rsidRDefault="00F9655F" w:rsidP="00D239B5">
      <w:pPr>
        <w:pStyle w:val="ParagraphText-numbered"/>
        <w:sectPr w:rsidR="00F9655F" w:rsidSect="00DD1D01">
          <w:pgSz w:w="11906" w:h="16838"/>
          <w:pgMar w:top="1440" w:right="1080" w:bottom="1440" w:left="1080" w:header="708" w:footer="708" w:gutter="0"/>
          <w:cols w:space="708"/>
          <w:docGrid w:linePitch="360"/>
        </w:sectPr>
      </w:pPr>
    </w:p>
    <w:p w14:paraId="209C1F03" w14:textId="5C6ED14F" w:rsidR="00E80E68" w:rsidRPr="000426A5" w:rsidRDefault="000426A5" w:rsidP="005D5B59">
      <w:pPr>
        <w:pStyle w:val="Heading1"/>
      </w:pPr>
      <w:bookmarkStart w:id="28" w:name="_Toc153466349"/>
      <w:r w:rsidRPr="00792A14">
        <w:lastRenderedPageBreak/>
        <w:t xml:space="preserve">The Agency’s </w:t>
      </w:r>
      <w:r w:rsidR="00E80E68" w:rsidRPr="00792A14">
        <w:t xml:space="preserve">Governance </w:t>
      </w:r>
      <w:r w:rsidRPr="00792A14">
        <w:t>and</w:t>
      </w:r>
      <w:r>
        <w:t xml:space="preserve"> Structure</w:t>
      </w:r>
      <w:bookmarkEnd w:id="28"/>
    </w:p>
    <w:p w14:paraId="2A5BD616" w14:textId="3DC3A669" w:rsidR="00FC296F" w:rsidRPr="00FC296F" w:rsidRDefault="00FC296F" w:rsidP="00561E6D">
      <w:pPr>
        <w:pStyle w:val="Heading2"/>
      </w:pPr>
      <w:bookmarkStart w:id="29" w:name="_Toc153466350"/>
      <w:r w:rsidRPr="00FC296F">
        <w:t>Governance</w:t>
      </w:r>
      <w:r>
        <w:t xml:space="preserve"> </w:t>
      </w:r>
      <w:r w:rsidRPr="00FC296F">
        <w:t>and Accountability</w:t>
      </w:r>
      <w:bookmarkEnd w:id="29"/>
      <w:r w:rsidRPr="00FC296F">
        <w:t xml:space="preserve"> </w:t>
      </w:r>
    </w:p>
    <w:p w14:paraId="67E065D0" w14:textId="75D2AE4E" w:rsidR="00FC296F" w:rsidRPr="00FC296F" w:rsidRDefault="00FC296F" w:rsidP="00D239B5">
      <w:pPr>
        <w:pStyle w:val="ParagraphText-numbered"/>
      </w:pPr>
      <w:r w:rsidRPr="00FC296F">
        <w:t xml:space="preserve">The </w:t>
      </w:r>
      <w:r>
        <w:t>Agency</w:t>
      </w:r>
      <w:r w:rsidRPr="00FC296F">
        <w:t xml:space="preserve"> shall operate corporate governance arrangements that, so far as practicable and in the light of the other provisions of this </w:t>
      </w:r>
      <w:r w:rsidR="0073760E">
        <w:t>Framework Document</w:t>
      </w:r>
      <w:r w:rsidRPr="00FC296F">
        <w:t xml:space="preserve"> or as otherwise may be mutually agreed, accord with good corporate governance practice and applicable regulatory requirements and expectations. </w:t>
      </w:r>
    </w:p>
    <w:p w14:paraId="26AEDD11" w14:textId="41877ED5" w:rsidR="00FC296F" w:rsidRPr="00FC296F" w:rsidRDefault="00FC296F" w:rsidP="00D239B5">
      <w:pPr>
        <w:pStyle w:val="ParagraphText-numbered"/>
      </w:pPr>
      <w:r w:rsidRPr="00FC296F">
        <w:t xml:space="preserve">In particular (but without limitation), </w:t>
      </w:r>
      <w:r>
        <w:t>the Agency</w:t>
      </w:r>
      <w:r w:rsidRPr="00FC296F">
        <w:t xml:space="preserve"> should: </w:t>
      </w:r>
    </w:p>
    <w:p w14:paraId="18D36B62" w14:textId="72E64082" w:rsidR="009948C2" w:rsidRPr="009948C2" w:rsidRDefault="009948C2" w:rsidP="00D239B5">
      <w:pPr>
        <w:pStyle w:val="Style8"/>
      </w:pPr>
      <w:r w:rsidRPr="009948C2">
        <w:t xml:space="preserve">comply with the </w:t>
      </w:r>
      <w:r w:rsidR="00C315D1">
        <w:rPr>
          <w:rFonts w:cs="Arial"/>
        </w:rPr>
        <w:t>Partnerships with Arm</w:t>
      </w:r>
      <w:r w:rsidR="00FC065F">
        <w:rPr>
          <w:rFonts w:cs="Arial"/>
        </w:rPr>
        <w:t>’</w:t>
      </w:r>
      <w:r w:rsidR="00C315D1">
        <w:rPr>
          <w:rFonts w:cs="Arial"/>
        </w:rPr>
        <w:t>s</w:t>
      </w:r>
      <w:r w:rsidR="00FC065F">
        <w:rPr>
          <w:rFonts w:cs="Arial"/>
        </w:rPr>
        <w:t xml:space="preserve"> L</w:t>
      </w:r>
      <w:r w:rsidR="00C315D1">
        <w:rPr>
          <w:rFonts w:cs="Arial"/>
        </w:rPr>
        <w:t>ength Bodies Code of Good Practi</w:t>
      </w:r>
      <w:r w:rsidR="00FC065F">
        <w:rPr>
          <w:rFonts w:cs="Arial"/>
        </w:rPr>
        <w:t>c</w:t>
      </w:r>
      <w:r w:rsidR="00C315D1">
        <w:rPr>
          <w:rFonts w:cs="Arial"/>
        </w:rPr>
        <w:t>e</w:t>
      </w:r>
      <w:r w:rsidRPr="009948C2">
        <w:t>, which is based on the requirements set out in the Civil Service Code and the Civil Service Management Code</w:t>
      </w:r>
      <w:r w:rsidR="00E15250">
        <w:rPr>
          <w:rStyle w:val="FootnoteReference"/>
        </w:rPr>
        <w:footnoteReference w:id="4"/>
      </w:r>
      <w:r w:rsidRPr="009948C2">
        <w:t>, when conducting its official business;</w:t>
      </w:r>
    </w:p>
    <w:p w14:paraId="66CDEC3D" w14:textId="558C6350" w:rsidR="00FC296F" w:rsidRPr="00FC296F" w:rsidRDefault="00FC296F" w:rsidP="00D239B5">
      <w:pPr>
        <w:pStyle w:val="Style8"/>
      </w:pPr>
      <w:r w:rsidRPr="00FC296F">
        <w:t xml:space="preserve">comply with the </w:t>
      </w:r>
      <w:r w:rsidR="001F4165">
        <w:t xml:space="preserve">principles and provisions of the </w:t>
      </w:r>
      <w:r w:rsidRPr="00FC296F">
        <w:t xml:space="preserve">Corporate Governance </w:t>
      </w:r>
      <w:r w:rsidR="001F4165">
        <w:t>in Central Government Departments Code of Good Practice</w:t>
      </w:r>
      <w:r w:rsidR="00554B20">
        <w:rPr>
          <w:rStyle w:val="FootnoteReference"/>
        </w:rPr>
        <w:footnoteReference w:id="5"/>
      </w:r>
      <w:r w:rsidR="00B5080C">
        <w:t xml:space="preserve"> </w:t>
      </w:r>
      <w:r w:rsidR="0074722F">
        <w:t>(as amended from time to time)</w:t>
      </w:r>
      <w:r w:rsidR="005C3B08">
        <w:t>,</w:t>
      </w:r>
      <w:r w:rsidR="0074722F">
        <w:t xml:space="preserve"> to the extent appropriate and </w:t>
      </w:r>
      <w:r w:rsidRPr="00FC296F">
        <w:t>in line with their statutory duties</w:t>
      </w:r>
      <w:r w:rsidR="0044452F">
        <w:t>,</w:t>
      </w:r>
      <w:r w:rsidRPr="00FC296F">
        <w:t xml:space="preserve"> or specify and explain any non-compliance in its annual report; </w:t>
      </w:r>
    </w:p>
    <w:p w14:paraId="04ECC431" w14:textId="072AC2F4" w:rsidR="00FC296F" w:rsidRPr="00FC296F" w:rsidRDefault="00FC296F" w:rsidP="00D239B5">
      <w:pPr>
        <w:pStyle w:val="Style8"/>
      </w:pPr>
      <w:r w:rsidRPr="00FC296F">
        <w:t xml:space="preserve">comply with </w:t>
      </w:r>
      <w:r w:rsidR="008C25B9">
        <w:t>MPM</w:t>
      </w:r>
      <w:r w:rsidR="009D3DC0">
        <w:rPr>
          <w:rStyle w:val="FootnoteReference"/>
        </w:rPr>
        <w:footnoteReference w:id="6"/>
      </w:r>
      <w:r w:rsidRPr="00FC296F">
        <w:t xml:space="preserve">; </w:t>
      </w:r>
    </w:p>
    <w:p w14:paraId="0A2F5216" w14:textId="2B1D86BF" w:rsidR="00FC296F" w:rsidRPr="00FC296F" w:rsidRDefault="00FC296F" w:rsidP="00D239B5">
      <w:pPr>
        <w:pStyle w:val="Style8"/>
      </w:pPr>
      <w:r w:rsidRPr="00FC296F">
        <w:t xml:space="preserve">in line </w:t>
      </w:r>
      <w:r w:rsidR="008C25B9">
        <w:t>with MPM</w:t>
      </w:r>
      <w:r>
        <w:t>,</w:t>
      </w:r>
      <w:r w:rsidRPr="00FC296F">
        <w:t xml:space="preserve"> have regard to the relevant Functional Standards</w:t>
      </w:r>
      <w:r w:rsidR="00FC1EC3">
        <w:rPr>
          <w:rStyle w:val="FootnoteReference"/>
        </w:rPr>
        <w:footnoteReference w:id="7"/>
      </w:r>
      <w:r w:rsidRPr="00FC296F">
        <w:t xml:space="preserve"> as appropriate</w:t>
      </w:r>
      <w:r w:rsidR="00C275C0">
        <w:t>,</w:t>
      </w:r>
      <w:r w:rsidRPr="00FC296F">
        <w:t xml:space="preserve"> and in particular those concerning Finance, Commercial</w:t>
      </w:r>
      <w:r w:rsidR="00C275C0">
        <w:t>,</w:t>
      </w:r>
      <w:r w:rsidRPr="00FC296F">
        <w:t xml:space="preserve"> Counter Fraud</w:t>
      </w:r>
      <w:r w:rsidR="00CE138C">
        <w:t>,</w:t>
      </w:r>
      <w:r w:rsidR="00CE138C" w:rsidRPr="0001586D">
        <w:t xml:space="preserve"> </w:t>
      </w:r>
      <w:r w:rsidR="00CE138C">
        <w:t>Project Delivery, and Digital, Data and Technology</w:t>
      </w:r>
      <w:r w:rsidRPr="00FC296F">
        <w:t xml:space="preserve">; and </w:t>
      </w:r>
    </w:p>
    <w:p w14:paraId="4DDB067F" w14:textId="4AD668B0" w:rsidR="00912DD5" w:rsidRDefault="00FC296F" w:rsidP="00D239B5">
      <w:pPr>
        <w:pStyle w:val="Style8"/>
      </w:pPr>
      <w:r w:rsidRPr="00674948">
        <w:t xml:space="preserve">take into account the code of good practice and guidance set out in </w:t>
      </w:r>
      <w:r w:rsidR="00187BB8">
        <w:t>Annex A</w:t>
      </w:r>
      <w:r w:rsidRPr="00674948">
        <w:t xml:space="preserve"> of this </w:t>
      </w:r>
      <w:r w:rsidR="0073760E" w:rsidRPr="00674948">
        <w:t>Framework Document</w:t>
      </w:r>
      <w:r w:rsidRPr="00674948">
        <w:t xml:space="preserve">, as they apply to </w:t>
      </w:r>
      <w:r w:rsidR="00855CFD" w:rsidRPr="00674948">
        <w:t>ALBs.</w:t>
      </w:r>
    </w:p>
    <w:p w14:paraId="1E7B14E3" w14:textId="0AFE5EBA" w:rsidR="00912DD5" w:rsidRPr="00674948" w:rsidRDefault="00FC6FC1" w:rsidP="00D239B5">
      <w:pPr>
        <w:pStyle w:val="ParagraphText-numbered"/>
      </w:pPr>
      <w:r>
        <w:t>In addition</w:t>
      </w:r>
      <w:r w:rsidR="00FC065F">
        <w:t>,</w:t>
      </w:r>
      <w:r>
        <w:t xml:space="preserve"> t</w:t>
      </w:r>
      <w:r w:rsidR="003F4BC3">
        <w:t xml:space="preserve">he Agency will develop </w:t>
      </w:r>
      <w:r w:rsidR="003F4BC3" w:rsidRPr="003F4BC3">
        <w:t>a code of conduct for staff reconciling the Civil Service Code with the requirements of professional bodies’ codes of conduct.</w:t>
      </w:r>
    </w:p>
    <w:p w14:paraId="5A9CF665" w14:textId="00A5A2C7" w:rsidR="00B570BE" w:rsidRDefault="00FC296F" w:rsidP="00D239B5">
      <w:pPr>
        <w:pStyle w:val="ParagraphText-numbered"/>
      </w:pPr>
      <w:r w:rsidRPr="00FC296F">
        <w:lastRenderedPageBreak/>
        <w:t xml:space="preserve">In line with </w:t>
      </w:r>
      <w:r w:rsidR="00EE2668">
        <w:t>MPM</w:t>
      </w:r>
      <w:r w:rsidRPr="00FC296F">
        <w:t xml:space="preserve"> Annex 3.1</w:t>
      </w:r>
      <w:r w:rsidR="00FC1EC3">
        <w:t>,</w:t>
      </w:r>
      <w:r w:rsidRPr="00FC296F">
        <w:t xml:space="preserve"> the </w:t>
      </w:r>
      <w:r w:rsidR="00FC1EC3">
        <w:t>Agency</w:t>
      </w:r>
      <w:r w:rsidRPr="00FC296F">
        <w:t xml:space="preserve"> shall provide an account of corporate governance in its annual governance statement</w:t>
      </w:r>
      <w:r w:rsidR="00FC1EC3">
        <w:t>,</w:t>
      </w:r>
      <w:r w:rsidRPr="00FC296F">
        <w:t xml:space="preserve"> including the </w:t>
      </w:r>
      <w:r w:rsidR="004B28C3">
        <w:t>Board</w:t>
      </w:r>
      <w:r w:rsidRPr="00FC296F">
        <w:t xml:space="preserve">’s assessment of its compliance with the Code </w:t>
      </w:r>
      <w:r w:rsidR="00FE2325">
        <w:t xml:space="preserve">of Good Practice </w:t>
      </w:r>
      <w:r w:rsidRPr="00FC296F">
        <w:t xml:space="preserve">with explanations of any material departures. To the extent that the </w:t>
      </w:r>
      <w:r w:rsidR="00600708">
        <w:t>Agency</w:t>
      </w:r>
      <w:r w:rsidR="00600708" w:rsidRPr="00FC296F">
        <w:t xml:space="preserve"> </w:t>
      </w:r>
      <w:r w:rsidRPr="00FC296F">
        <w:t xml:space="preserve">does intend to materially depart from the Code, the </w:t>
      </w:r>
      <w:r w:rsidR="005431BC">
        <w:t>Department</w:t>
      </w:r>
      <w:r w:rsidR="005431BC" w:rsidRPr="00FC296F">
        <w:t xml:space="preserve"> </w:t>
      </w:r>
      <w:r w:rsidRPr="00FC296F">
        <w:t xml:space="preserve">should be notified in advance and their agreement sought to this approach. </w:t>
      </w:r>
    </w:p>
    <w:p w14:paraId="77BAF5FB" w14:textId="5E1189E1" w:rsidR="00ED67FF" w:rsidRDefault="00A11EAA" w:rsidP="00D239B5">
      <w:pPr>
        <w:pStyle w:val="ParagraphText-numbered"/>
      </w:pPr>
      <w:r w:rsidRPr="00DA7D41">
        <w:t xml:space="preserve">In addition to internal governance, cross-government clearance is required for major new policy decisions of the type set out in Cabinet Office guidance. As the Agency is part of the </w:t>
      </w:r>
      <w:r>
        <w:t>Department</w:t>
      </w:r>
      <w:r w:rsidRPr="00DA7D41">
        <w:t xml:space="preserve">, the Secretary of State </w:t>
      </w:r>
      <w:r w:rsidR="00114ACB">
        <w:t xml:space="preserve">(or responsible minister) </w:t>
      </w:r>
      <w:r w:rsidRPr="00DA7D41">
        <w:t xml:space="preserve">is responsible for obtaining clearance and the Agency will adhere to any conditions applied through the clearance process. There will also be cases where the Secretary of State </w:t>
      </w:r>
      <w:r w:rsidR="00623748">
        <w:t xml:space="preserve">(or responsible minister) </w:t>
      </w:r>
      <w:r w:rsidRPr="00DA7D41">
        <w:t xml:space="preserve">must consult Cabinet colleagues before giving the Government’s view, even if collective agreement is not required. In such cases, the Agency will supply the </w:t>
      </w:r>
      <w:r w:rsidR="00623748">
        <w:t>minister(s)</w:t>
      </w:r>
      <w:r w:rsidRPr="00DA7D41">
        <w:t xml:space="preserve"> with any information they need in a timely fashion. </w:t>
      </w:r>
    </w:p>
    <w:p w14:paraId="5F69B894" w14:textId="2E8F8652" w:rsidR="004053C4" w:rsidRDefault="004053C4" w:rsidP="005D5B59">
      <w:pPr>
        <w:pStyle w:val="Heading2"/>
      </w:pPr>
      <w:bookmarkStart w:id="30" w:name="_Toc153466351"/>
      <w:r w:rsidRPr="004053C4">
        <w:t>The Chief Executive</w:t>
      </w:r>
      <w:bookmarkEnd w:id="30"/>
    </w:p>
    <w:p w14:paraId="32A28016" w14:textId="512050D8" w:rsidR="00503B16" w:rsidRDefault="00503B16" w:rsidP="00D239B5">
      <w:pPr>
        <w:pStyle w:val="ParagraphText-numbered"/>
      </w:pPr>
      <w:r>
        <w:t xml:space="preserve">The Chief Executive of </w:t>
      </w:r>
      <w:r w:rsidR="00720E98">
        <w:t>the Agency</w:t>
      </w:r>
      <w:r>
        <w:t xml:space="preserve"> is responsible for the leadership and management of </w:t>
      </w:r>
      <w:r w:rsidR="00720E98">
        <w:t>the Agency</w:t>
      </w:r>
      <w:r>
        <w:t xml:space="preserve"> and the delivery of its objectives and shall put in place appropriate governance arrangements and regularly review them.</w:t>
      </w:r>
    </w:p>
    <w:p w14:paraId="1F18AD7A" w14:textId="61F927C0" w:rsidR="00503B16" w:rsidRDefault="00503B16" w:rsidP="00D239B5">
      <w:pPr>
        <w:pStyle w:val="ParagraphText-numbered"/>
      </w:pPr>
      <w:r>
        <w:t xml:space="preserve">The Chief Executive is supported by </w:t>
      </w:r>
      <w:r w:rsidR="00CC5D86">
        <w:t>a</w:t>
      </w:r>
      <w:r w:rsidR="00347748">
        <w:t xml:space="preserve"> unitary</w:t>
      </w:r>
      <w:r>
        <w:t xml:space="preserve"> </w:t>
      </w:r>
      <w:r w:rsidR="00347748">
        <w:t>b</w:t>
      </w:r>
      <w:r>
        <w:t>oard (“the Board”)</w:t>
      </w:r>
      <w:r w:rsidR="00347748">
        <w:t>.</w:t>
      </w:r>
    </w:p>
    <w:p w14:paraId="0A47E822" w14:textId="193D05FD" w:rsidR="00503B16" w:rsidRDefault="00503B16" w:rsidP="00D239B5">
      <w:pPr>
        <w:pStyle w:val="ParagraphText-numbered"/>
      </w:pPr>
      <w:r>
        <w:t xml:space="preserve">The Chief Executive has an unfettered right of access to the Secretary of State, </w:t>
      </w:r>
      <w:r w:rsidR="004164AF">
        <w:t>the m</w:t>
      </w:r>
      <w:r>
        <w:t xml:space="preserve">inister with responsibility for </w:t>
      </w:r>
      <w:r w:rsidR="004164AF">
        <w:t>MHRA</w:t>
      </w:r>
      <w:r w:rsidR="00964B30">
        <w:t>-related issues</w:t>
      </w:r>
      <w:r>
        <w:t xml:space="preserve"> and </w:t>
      </w:r>
      <w:r w:rsidR="004164AF">
        <w:t xml:space="preserve">the </w:t>
      </w:r>
      <w:r>
        <w:t xml:space="preserve">Chief Medical Officer to raise any matters or concerns and to respond personally to any issues they wish to raise.  </w:t>
      </w:r>
    </w:p>
    <w:p w14:paraId="75DAE419" w14:textId="77B612D5" w:rsidR="004053C4" w:rsidRPr="00DC2C52" w:rsidRDefault="004053C4" w:rsidP="00DC2C52">
      <w:pPr>
        <w:ind w:left="717"/>
        <w:rPr>
          <w:rFonts w:ascii="Arial" w:hAnsi="Arial" w:cs="Arial"/>
          <w:b/>
          <w:bCs/>
          <w:sz w:val="28"/>
          <w:szCs w:val="28"/>
        </w:rPr>
      </w:pPr>
      <w:r w:rsidRPr="00DC2C52">
        <w:rPr>
          <w:rFonts w:ascii="Arial" w:hAnsi="Arial" w:cs="Arial"/>
          <w:b/>
          <w:bCs/>
          <w:sz w:val="28"/>
          <w:szCs w:val="28"/>
        </w:rPr>
        <w:t xml:space="preserve">Appointment </w:t>
      </w:r>
    </w:p>
    <w:p w14:paraId="49CC3941" w14:textId="3F87557B" w:rsidR="00C70E6B" w:rsidRPr="00C6181E" w:rsidRDefault="00C70E6B" w:rsidP="00D239B5">
      <w:pPr>
        <w:pStyle w:val="ParagraphText-numbered"/>
      </w:pPr>
      <w:r w:rsidRPr="00C6181E">
        <w:t>The Chief Executive of the Agency is appointed</w:t>
      </w:r>
      <w:r>
        <w:t xml:space="preserve"> </w:t>
      </w:r>
      <w:r w:rsidRPr="00C6181E">
        <w:t>by the Department’s Permanent Secretary</w:t>
      </w:r>
      <w:r w:rsidR="003A26FC">
        <w:t xml:space="preserve"> </w:t>
      </w:r>
      <w:r w:rsidR="00FB5871" w:rsidRPr="002D3820">
        <w:t xml:space="preserve">in consultation with the </w:t>
      </w:r>
      <w:r w:rsidR="00B27396">
        <w:t xml:space="preserve">responsible minister and the </w:t>
      </w:r>
      <w:r w:rsidR="00FB5871" w:rsidRPr="002D3820">
        <w:t>Chair of the Agency’s Board</w:t>
      </w:r>
      <w:r w:rsidR="00FB5871">
        <w:t xml:space="preserve">. </w:t>
      </w:r>
      <w:r>
        <w:t xml:space="preserve">This appointment </w:t>
      </w:r>
      <w:r w:rsidR="00AB1CB7" w:rsidRPr="00AB1CB7">
        <w:t>follow</w:t>
      </w:r>
      <w:r w:rsidR="00AB1CB7">
        <w:t>s</w:t>
      </w:r>
      <w:r w:rsidR="00AB1CB7" w:rsidRPr="00AB1CB7">
        <w:t xml:space="preserve"> a recruitment process chaired by a Civil Service Commissioner</w:t>
      </w:r>
      <w:r w:rsidR="00BA2C56">
        <w:t>,</w:t>
      </w:r>
      <w:r>
        <w:t xml:space="preserve"> </w:t>
      </w:r>
      <w:r w:rsidRPr="00C6181E">
        <w:t>through fair and open competition</w:t>
      </w:r>
      <w:r w:rsidR="00BA2C56">
        <w:t>,</w:t>
      </w:r>
      <w:r w:rsidRPr="00C6181E">
        <w:t xml:space="preserve"> in line with the Civil Service Commission Recruitment Principles. </w:t>
      </w:r>
    </w:p>
    <w:p w14:paraId="72A31C16" w14:textId="79F1CBEE" w:rsidR="00B5189D" w:rsidRPr="00DC2C52" w:rsidRDefault="00B5189D" w:rsidP="00DC2C52">
      <w:pPr>
        <w:ind w:left="717"/>
        <w:rPr>
          <w:rFonts w:ascii="Arial" w:hAnsi="Arial" w:cs="Arial"/>
          <w:b/>
          <w:bCs/>
          <w:sz w:val="28"/>
          <w:szCs w:val="28"/>
        </w:rPr>
      </w:pPr>
      <w:r w:rsidRPr="00DC2C52">
        <w:rPr>
          <w:rFonts w:ascii="Arial" w:hAnsi="Arial" w:cs="Arial"/>
          <w:b/>
          <w:bCs/>
          <w:sz w:val="28"/>
          <w:szCs w:val="28"/>
        </w:rPr>
        <w:t xml:space="preserve">Responsibilities of the </w:t>
      </w:r>
      <w:r w:rsidR="00737C81" w:rsidRPr="00DC2C52">
        <w:rPr>
          <w:rFonts w:ascii="Arial" w:hAnsi="Arial" w:cs="Arial"/>
          <w:b/>
          <w:bCs/>
          <w:sz w:val="28"/>
          <w:szCs w:val="28"/>
        </w:rPr>
        <w:t>Agency</w:t>
      </w:r>
      <w:r w:rsidRPr="00DC2C52">
        <w:rPr>
          <w:rFonts w:ascii="Arial" w:hAnsi="Arial" w:cs="Arial"/>
          <w:b/>
          <w:bCs/>
          <w:sz w:val="28"/>
          <w:szCs w:val="28"/>
        </w:rPr>
        <w:t xml:space="preserve">’s Chief Executive as </w:t>
      </w:r>
      <w:r w:rsidR="00737C81" w:rsidRPr="00DC2C52">
        <w:rPr>
          <w:rFonts w:ascii="Arial" w:hAnsi="Arial" w:cs="Arial"/>
          <w:b/>
          <w:bCs/>
          <w:sz w:val="28"/>
          <w:szCs w:val="28"/>
        </w:rPr>
        <w:t>A</w:t>
      </w:r>
      <w:r w:rsidRPr="00DC2C52">
        <w:rPr>
          <w:rFonts w:ascii="Arial" w:hAnsi="Arial" w:cs="Arial"/>
          <w:b/>
          <w:bCs/>
          <w:sz w:val="28"/>
          <w:szCs w:val="28"/>
        </w:rPr>
        <w:t xml:space="preserve">ccounting </w:t>
      </w:r>
      <w:r w:rsidR="00737C81" w:rsidRPr="00DC2C52">
        <w:rPr>
          <w:rFonts w:ascii="Arial" w:hAnsi="Arial" w:cs="Arial"/>
          <w:b/>
          <w:bCs/>
          <w:sz w:val="28"/>
          <w:szCs w:val="28"/>
        </w:rPr>
        <w:t>O</w:t>
      </w:r>
      <w:r w:rsidRPr="00DC2C52">
        <w:rPr>
          <w:rFonts w:ascii="Arial" w:hAnsi="Arial" w:cs="Arial"/>
          <w:b/>
          <w:bCs/>
          <w:sz w:val="28"/>
          <w:szCs w:val="28"/>
        </w:rPr>
        <w:t xml:space="preserve">fficer </w:t>
      </w:r>
    </w:p>
    <w:p w14:paraId="517F6FBA" w14:textId="5A8CE0B5" w:rsidR="00D94226" w:rsidRDefault="004053C4" w:rsidP="00D239B5">
      <w:pPr>
        <w:pStyle w:val="ParagraphText-numbered"/>
      </w:pPr>
      <w:r w:rsidRPr="004053C4">
        <w:t xml:space="preserve">The Chief Executive as Accounting Officer </w:t>
      </w:r>
      <w:r w:rsidR="00D86A0B">
        <w:t xml:space="preserve">(AO) </w:t>
      </w:r>
      <w:r w:rsidRPr="004053C4">
        <w:t xml:space="preserve">is personally responsible for safeguarding the public funds for which they have charge; for ensuring propriety, regularity, value for money and feasibility in the handling of those public funds; and for the day-to-day operations and management of the </w:t>
      </w:r>
      <w:r w:rsidR="008E2378">
        <w:t>Agency</w:t>
      </w:r>
      <w:r w:rsidRPr="004053C4">
        <w:t xml:space="preserve">. In addition, </w:t>
      </w:r>
      <w:r w:rsidRPr="004053C4">
        <w:lastRenderedPageBreak/>
        <w:t xml:space="preserve">they should ensure that the </w:t>
      </w:r>
      <w:r w:rsidR="008E2378">
        <w:t>Agency</w:t>
      </w:r>
      <w:r w:rsidRPr="004053C4">
        <w:t xml:space="preserve"> as a whole is run on the basis of the standards, in terms of governance, decision-making and financial management, that are set out in Box 3.1 of </w:t>
      </w:r>
      <w:r w:rsidR="008C25B9">
        <w:t>MPM</w:t>
      </w:r>
      <w:r w:rsidRPr="004053C4">
        <w:t xml:space="preserve">. These responsibilities include the below and those that are set in the </w:t>
      </w:r>
      <w:r w:rsidR="008A3A2B">
        <w:t>AO</w:t>
      </w:r>
      <w:r w:rsidRPr="004053C4">
        <w:t xml:space="preserve"> appointment letter issued by the </w:t>
      </w:r>
      <w:r w:rsidR="00444A3B">
        <w:t>PAO</w:t>
      </w:r>
      <w:r w:rsidRPr="004053C4">
        <w:t xml:space="preserve"> of the </w:t>
      </w:r>
      <w:r w:rsidR="004B28C3">
        <w:t>Department</w:t>
      </w:r>
      <w:r w:rsidRPr="004053C4">
        <w:t xml:space="preserve">. </w:t>
      </w:r>
    </w:p>
    <w:p w14:paraId="1EBD5C03" w14:textId="6375DF13" w:rsidR="006128FE" w:rsidRDefault="006128FE" w:rsidP="00D239B5">
      <w:pPr>
        <w:pStyle w:val="ParagraphText-numbered"/>
      </w:pPr>
      <w:r>
        <w:t xml:space="preserve">The Chief Executive shall ensure </w:t>
      </w:r>
      <w:r w:rsidRPr="00DA7D41">
        <w:t xml:space="preserve">that </w:t>
      </w:r>
      <w:r>
        <w:t>the Agency</w:t>
      </w:r>
      <w:r w:rsidRPr="00DA7D41">
        <w:t xml:space="preserve"> has appropriate arrangements in place for the discharge of each of the statutory functions for which it is responsible and is clear about the legislative requirements associated with each of them, specifically any restrictions on the delegation of those functions. </w:t>
      </w:r>
      <w:r w:rsidR="00F00E5F">
        <w:t xml:space="preserve">They </w:t>
      </w:r>
      <w:r w:rsidRPr="00DA7D41">
        <w:t xml:space="preserve">ensure that it has the necessary capacity and capability to undertake those functions and ensures that it has the power to take on a function on behalf of another person or body before it does so. </w:t>
      </w:r>
    </w:p>
    <w:p w14:paraId="658FE5D5" w14:textId="53A18F5B" w:rsidR="00737C81" w:rsidRPr="00DC2C52" w:rsidRDefault="00737C81" w:rsidP="00DC2C52">
      <w:pPr>
        <w:ind w:left="717"/>
        <w:rPr>
          <w:rFonts w:ascii="Arial" w:hAnsi="Arial" w:cs="Arial"/>
          <w:b/>
          <w:bCs/>
          <w:sz w:val="28"/>
          <w:szCs w:val="28"/>
        </w:rPr>
      </w:pPr>
      <w:r w:rsidRPr="00DC2C52">
        <w:rPr>
          <w:rFonts w:ascii="Arial" w:hAnsi="Arial" w:cs="Arial"/>
          <w:b/>
          <w:bCs/>
          <w:sz w:val="28"/>
          <w:szCs w:val="28"/>
        </w:rPr>
        <w:t xml:space="preserve">Responsibilities for </w:t>
      </w:r>
      <w:r w:rsidR="009770F7" w:rsidRPr="00DC2C52">
        <w:rPr>
          <w:rFonts w:ascii="Arial" w:hAnsi="Arial" w:cs="Arial"/>
          <w:b/>
          <w:bCs/>
          <w:sz w:val="28"/>
          <w:szCs w:val="28"/>
        </w:rPr>
        <w:t>A</w:t>
      </w:r>
      <w:r w:rsidRPr="00DC2C52">
        <w:rPr>
          <w:rFonts w:ascii="Arial" w:hAnsi="Arial" w:cs="Arial"/>
          <w:b/>
          <w:bCs/>
          <w:sz w:val="28"/>
          <w:szCs w:val="28"/>
        </w:rPr>
        <w:t xml:space="preserve">ccounting to Parliament and the Public </w:t>
      </w:r>
    </w:p>
    <w:p w14:paraId="19896643" w14:textId="4FCCEE8C" w:rsidR="004053C4" w:rsidRDefault="009A49AD" w:rsidP="00D239B5">
      <w:pPr>
        <w:pStyle w:val="ParagraphText-numbered"/>
      </w:pPr>
      <w:r w:rsidRPr="009A49AD">
        <w:t xml:space="preserve">Accounting officer </w:t>
      </w:r>
      <w:r>
        <w:t>r</w:t>
      </w:r>
      <w:r w:rsidR="004053C4" w:rsidRPr="004053C4">
        <w:t xml:space="preserve">esponsibilities to Parliament and the public include: </w:t>
      </w:r>
    </w:p>
    <w:p w14:paraId="11DE460E" w14:textId="62AFB63A" w:rsidR="00254AB2" w:rsidRDefault="00254AB2" w:rsidP="00D239B5">
      <w:pPr>
        <w:pStyle w:val="Style8"/>
      </w:pPr>
      <w:r>
        <w:t xml:space="preserve">signing the accounts and ensuring that proper records are kept relating to the accounts and that the accounts are properly prepared and presented in accordance with any directions issued by the Secretary of State; </w:t>
      </w:r>
    </w:p>
    <w:p w14:paraId="17324CD9" w14:textId="6A15F98F" w:rsidR="00254AB2" w:rsidRDefault="00254AB2" w:rsidP="00D239B5">
      <w:pPr>
        <w:pStyle w:val="Style8"/>
      </w:pPr>
      <w:r>
        <w:t>preparing and signing</w:t>
      </w:r>
      <w:r w:rsidR="002553CA">
        <w:t>, for inclusion in the annual reports and accounts,</w:t>
      </w:r>
      <w:r>
        <w:t xml:space="preserve"> a </w:t>
      </w:r>
      <w:r w:rsidR="00DB0D16">
        <w:t>S</w:t>
      </w:r>
      <w:r w:rsidR="00AF7490">
        <w:t xml:space="preserve">tatement of </w:t>
      </w:r>
      <w:r w:rsidR="00DB0D16">
        <w:t>A</w:t>
      </w:r>
      <w:r w:rsidR="00AF7490">
        <w:t xml:space="preserve">ccounting </w:t>
      </w:r>
      <w:r w:rsidR="00DB0D16">
        <w:t>O</w:t>
      </w:r>
      <w:r w:rsidR="00AF7490">
        <w:t>fficer’s responsibilities</w:t>
      </w:r>
      <w:r w:rsidR="002553CA">
        <w:t xml:space="preserve">, and </w:t>
      </w:r>
      <w:r w:rsidR="00DB0D16">
        <w:t xml:space="preserve">a </w:t>
      </w:r>
      <w:r>
        <w:t>Governance Statement covering corporate governance,</w:t>
      </w:r>
      <w:r w:rsidR="00054D56">
        <w:t xml:space="preserve"> and financial and</w:t>
      </w:r>
      <w:r>
        <w:t xml:space="preserve"> risk management</w:t>
      </w:r>
      <w:r w:rsidR="002553CA">
        <w:t>;</w:t>
      </w:r>
      <w:r>
        <w:t xml:space="preserve"> </w:t>
      </w:r>
    </w:p>
    <w:p w14:paraId="7FBAD86D" w14:textId="7E3E792F" w:rsidR="00254AB2" w:rsidRPr="00F34899" w:rsidRDefault="00254AB2" w:rsidP="00D239B5">
      <w:pPr>
        <w:pStyle w:val="Style8"/>
      </w:pPr>
      <w:r w:rsidRPr="00F34899">
        <w:t xml:space="preserve">ensuring that effective procedures for handling complaints about the </w:t>
      </w:r>
      <w:r w:rsidR="004D7A3D" w:rsidRPr="00F34899">
        <w:t>Agency</w:t>
      </w:r>
      <w:r w:rsidR="008E18B9" w:rsidRPr="00F34899">
        <w:t>,</w:t>
      </w:r>
      <w:r w:rsidRPr="00F34899">
        <w:t xml:space="preserve"> in accordance with Parliamentary and Health Service Ombudsman’s Principles of Good Complaint Handling</w:t>
      </w:r>
      <w:r w:rsidR="008E18B9" w:rsidRPr="00F34899">
        <w:t>,</w:t>
      </w:r>
      <w:r w:rsidRPr="00F34899">
        <w:t xml:space="preserve"> are established and made widely known within the </w:t>
      </w:r>
      <w:r w:rsidR="004D7A3D" w:rsidRPr="00F34899">
        <w:t>Agency</w:t>
      </w:r>
      <w:r w:rsidRPr="00F34899">
        <w:t xml:space="preserve"> and published </w:t>
      </w:r>
      <w:r w:rsidR="008E18B9" w:rsidRPr="00F34899">
        <w:t xml:space="preserve">on </w:t>
      </w:r>
      <w:r w:rsidR="00F34899" w:rsidRPr="00F34899">
        <w:t>its website;</w:t>
      </w:r>
    </w:p>
    <w:p w14:paraId="3E0DC542" w14:textId="5EE42623" w:rsidR="00254AB2" w:rsidRDefault="00254AB2" w:rsidP="00D239B5">
      <w:pPr>
        <w:pStyle w:val="Style8"/>
      </w:pPr>
      <w:r>
        <w:t xml:space="preserve">acting in accordance with the terms of </w:t>
      </w:r>
      <w:r w:rsidR="008C25B9">
        <w:t>MPM</w:t>
      </w:r>
      <w:r>
        <w:t xml:space="preserve"> and other instructions and guidance issued from time to time by the </w:t>
      </w:r>
      <w:r w:rsidR="004B28C3">
        <w:t>Department</w:t>
      </w:r>
      <w:r>
        <w:t xml:space="preserve">, the </w:t>
      </w:r>
      <w:r w:rsidR="007A5C18">
        <w:t>HM Treasury</w:t>
      </w:r>
      <w:r>
        <w:t xml:space="preserve"> and the Cabinet Office; </w:t>
      </w:r>
    </w:p>
    <w:p w14:paraId="315551F7" w14:textId="7352F35A" w:rsidR="00254AB2" w:rsidRDefault="00254AB2" w:rsidP="00D239B5">
      <w:pPr>
        <w:pStyle w:val="Style8"/>
      </w:pPr>
      <w:r>
        <w:t xml:space="preserve">ensuring that as part of the above compliance they are familiar with and act in accordance with: </w:t>
      </w:r>
    </w:p>
    <w:p w14:paraId="7A1D17AF" w14:textId="77777777" w:rsidR="005332F2" w:rsidRDefault="005332F2" w:rsidP="000C2E21">
      <w:pPr>
        <w:pStyle w:val="Style12"/>
        <w:numPr>
          <w:ilvl w:val="0"/>
          <w:numId w:val="27"/>
        </w:numPr>
        <w:spacing w:before="240" w:after="0" w:line="276" w:lineRule="auto"/>
      </w:pPr>
      <w:r>
        <w:t xml:space="preserve">any governing legislation; </w:t>
      </w:r>
    </w:p>
    <w:p w14:paraId="49229F44" w14:textId="197587D7" w:rsidR="005332F2" w:rsidRDefault="005332F2">
      <w:pPr>
        <w:pStyle w:val="Style12"/>
        <w:numPr>
          <w:ilvl w:val="0"/>
          <w:numId w:val="27"/>
        </w:numPr>
        <w:spacing w:before="240" w:after="0" w:line="276" w:lineRule="auto"/>
      </w:pPr>
      <w:r>
        <w:t xml:space="preserve">this </w:t>
      </w:r>
      <w:r w:rsidR="0073760E">
        <w:t>Framework Document</w:t>
      </w:r>
      <w:r>
        <w:t>;</w:t>
      </w:r>
    </w:p>
    <w:p w14:paraId="5044D5EF" w14:textId="077F8610" w:rsidR="005332F2" w:rsidRDefault="005332F2">
      <w:pPr>
        <w:pStyle w:val="Style12"/>
        <w:numPr>
          <w:ilvl w:val="0"/>
          <w:numId w:val="27"/>
        </w:numPr>
        <w:spacing w:before="240" w:after="0" w:line="276" w:lineRule="auto"/>
      </w:pPr>
      <w:r>
        <w:t>any delegation letter issued to the Agency</w:t>
      </w:r>
      <w:r w:rsidR="005E60CA">
        <w:t>;</w:t>
      </w:r>
      <w:r>
        <w:t xml:space="preserve"> </w:t>
      </w:r>
    </w:p>
    <w:p w14:paraId="7BD010AE" w14:textId="17B25AAE" w:rsidR="005332F2" w:rsidRDefault="005332F2">
      <w:pPr>
        <w:pStyle w:val="Style12"/>
        <w:numPr>
          <w:ilvl w:val="0"/>
          <w:numId w:val="27"/>
        </w:numPr>
        <w:spacing w:before="240" w:after="0" w:line="276" w:lineRule="auto"/>
      </w:pPr>
      <w:r>
        <w:t xml:space="preserve">any elements of any settlement letter issued to the </w:t>
      </w:r>
      <w:r w:rsidR="004B28C3">
        <w:t>Department</w:t>
      </w:r>
      <w:r>
        <w:t xml:space="preserve"> that is relevant to the operation of the Agency; and </w:t>
      </w:r>
    </w:p>
    <w:p w14:paraId="781CE1C3" w14:textId="29F5E8C3" w:rsidR="005332F2" w:rsidRDefault="005332F2">
      <w:pPr>
        <w:pStyle w:val="Style12"/>
        <w:numPr>
          <w:ilvl w:val="0"/>
          <w:numId w:val="27"/>
        </w:numPr>
        <w:spacing w:before="240" w:after="0" w:line="276" w:lineRule="auto"/>
      </w:pPr>
      <w:r>
        <w:t xml:space="preserve">any separate settlement letter that is issued to the Agency from the </w:t>
      </w:r>
      <w:r w:rsidR="004B28C3">
        <w:t>Department</w:t>
      </w:r>
      <w:r>
        <w:t xml:space="preserve">. </w:t>
      </w:r>
    </w:p>
    <w:p w14:paraId="2AB313D3" w14:textId="42C6E505" w:rsidR="00254AB2" w:rsidRDefault="00254AB2" w:rsidP="00D239B5">
      <w:pPr>
        <w:pStyle w:val="Style8"/>
      </w:pPr>
      <w:r>
        <w:t xml:space="preserve">ensuring they have appropriate internal mechanisms for the monitoring, governance and external reporting regarding compliance </w:t>
      </w:r>
      <w:r w:rsidR="00231F6F">
        <w:t xml:space="preserve">with </w:t>
      </w:r>
      <w:r>
        <w:t>any conditions arising from the above documents</w:t>
      </w:r>
      <w:r w:rsidR="00F81290">
        <w:t>; and</w:t>
      </w:r>
      <w:r>
        <w:t xml:space="preserve"> </w:t>
      </w:r>
    </w:p>
    <w:p w14:paraId="3D006E8B" w14:textId="04BF443A" w:rsidR="00C007A2" w:rsidRDefault="00254AB2" w:rsidP="00D239B5">
      <w:pPr>
        <w:pStyle w:val="Style8"/>
      </w:pPr>
      <w:r>
        <w:t>giving evidence, normally with the PAO, when summoned before the P</w:t>
      </w:r>
      <w:r w:rsidR="00444A3B">
        <w:t xml:space="preserve">ublic </w:t>
      </w:r>
      <w:r>
        <w:t>A</w:t>
      </w:r>
      <w:r w:rsidR="00444A3B">
        <w:t xml:space="preserve">ccounts </w:t>
      </w:r>
      <w:r>
        <w:t>C</w:t>
      </w:r>
      <w:r w:rsidR="00444A3B">
        <w:t>ommittee (PAC)</w:t>
      </w:r>
      <w:r>
        <w:t xml:space="preserve"> on the </w:t>
      </w:r>
      <w:r w:rsidR="00F81290">
        <w:t>Agency</w:t>
      </w:r>
      <w:r>
        <w:t>’s stewardship of public funds</w:t>
      </w:r>
      <w:r w:rsidR="00F81290">
        <w:t>.</w:t>
      </w:r>
      <w:r>
        <w:t xml:space="preserve"> </w:t>
      </w:r>
    </w:p>
    <w:p w14:paraId="0F32214D" w14:textId="4CC1AA8A" w:rsidR="00F81290" w:rsidRPr="00DC2C52" w:rsidRDefault="00F81290" w:rsidP="00DC2C52">
      <w:pPr>
        <w:ind w:left="717"/>
        <w:rPr>
          <w:rFonts w:ascii="Arial" w:hAnsi="Arial" w:cs="Arial"/>
          <w:b/>
          <w:bCs/>
          <w:sz w:val="28"/>
          <w:szCs w:val="28"/>
        </w:rPr>
      </w:pPr>
      <w:r w:rsidRPr="00DC2C52">
        <w:rPr>
          <w:rFonts w:ascii="Arial" w:hAnsi="Arial" w:cs="Arial"/>
          <w:b/>
          <w:bCs/>
          <w:sz w:val="28"/>
          <w:szCs w:val="28"/>
        </w:rPr>
        <w:t xml:space="preserve">Responsibilities to the </w:t>
      </w:r>
      <w:r w:rsidR="004B28C3" w:rsidRPr="00DC2C52">
        <w:rPr>
          <w:rFonts w:ascii="Arial" w:hAnsi="Arial" w:cs="Arial"/>
          <w:b/>
          <w:bCs/>
          <w:sz w:val="28"/>
          <w:szCs w:val="28"/>
        </w:rPr>
        <w:t>Department</w:t>
      </w:r>
      <w:r w:rsidRPr="00DC2C52">
        <w:rPr>
          <w:rFonts w:ascii="Arial" w:hAnsi="Arial" w:cs="Arial"/>
          <w:b/>
          <w:bCs/>
          <w:sz w:val="28"/>
          <w:szCs w:val="28"/>
        </w:rPr>
        <w:t xml:space="preserve"> </w:t>
      </w:r>
    </w:p>
    <w:p w14:paraId="7D48B769" w14:textId="3E581F49" w:rsidR="00254AB2" w:rsidRPr="004053C4" w:rsidRDefault="00D4590F" w:rsidP="00D239B5">
      <w:pPr>
        <w:pStyle w:val="ParagraphText-numbered"/>
      </w:pPr>
      <w:r>
        <w:t>Particular r</w:t>
      </w:r>
      <w:r w:rsidR="00254AB2">
        <w:t xml:space="preserve">esponsibilities to </w:t>
      </w:r>
      <w:r w:rsidR="009F7C1E">
        <w:t xml:space="preserve">the </w:t>
      </w:r>
      <w:r w:rsidR="004B28C3">
        <w:t>Department</w:t>
      </w:r>
      <w:r w:rsidR="00F81290">
        <w:t xml:space="preserve"> </w:t>
      </w:r>
      <w:r w:rsidR="00254AB2">
        <w:t>include:</w:t>
      </w:r>
    </w:p>
    <w:p w14:paraId="724002A3" w14:textId="768A8071" w:rsidR="006109E3" w:rsidRDefault="00FB3A41" w:rsidP="00D239B5">
      <w:pPr>
        <w:pStyle w:val="Style8"/>
      </w:pPr>
      <w:r>
        <w:t>d</w:t>
      </w:r>
      <w:r w:rsidR="00513CC7">
        <w:t xml:space="preserve">eveloping </w:t>
      </w:r>
      <w:r>
        <w:t>with the Board, and</w:t>
      </w:r>
      <w:r w:rsidR="006109E3">
        <w:t xml:space="preserve"> in agreement with the </w:t>
      </w:r>
      <w:r w:rsidR="004B28C3">
        <w:t>Department</w:t>
      </w:r>
      <w:r w:rsidR="006109E3">
        <w:t xml:space="preserve">, the Agency’s corporate and business plans in the light of the </w:t>
      </w:r>
      <w:r w:rsidR="004B28C3">
        <w:t>Department</w:t>
      </w:r>
      <w:r w:rsidR="006109E3">
        <w:t xml:space="preserve">’s wider strategic aims and agreed priorities; </w:t>
      </w:r>
    </w:p>
    <w:p w14:paraId="27E94955" w14:textId="6B9E978A" w:rsidR="000718C5" w:rsidRDefault="006109E3" w:rsidP="00D239B5">
      <w:pPr>
        <w:pStyle w:val="Style8"/>
      </w:pPr>
      <w:r>
        <w:t xml:space="preserve">informing the </w:t>
      </w:r>
      <w:r w:rsidR="004B28C3">
        <w:t>Department</w:t>
      </w:r>
      <w:r>
        <w:t xml:space="preserve"> of progress in helping to achieve the </w:t>
      </w:r>
      <w:r w:rsidR="004B28C3">
        <w:t>Department</w:t>
      </w:r>
      <w:r>
        <w:t xml:space="preserve">’s policy </w:t>
      </w:r>
      <w:r w:rsidR="0087322D">
        <w:t>objectives</w:t>
      </w:r>
      <w:r w:rsidR="000718C5">
        <w:t>,</w:t>
      </w:r>
      <w:r>
        <w:t xml:space="preserve"> and in demonstrating how resources are being used to achieve those </w:t>
      </w:r>
      <w:r w:rsidR="0087322D">
        <w:t>objectives</w:t>
      </w:r>
      <w:r w:rsidR="000718C5">
        <w:t xml:space="preserve"> through discussions with the sponsorship team and at accountability meetings</w:t>
      </w:r>
      <w:r>
        <w:t xml:space="preserve">; </w:t>
      </w:r>
      <w:r w:rsidR="00576C06">
        <w:t>and</w:t>
      </w:r>
    </w:p>
    <w:p w14:paraId="76E349DC" w14:textId="5E06EC53" w:rsidR="00576C06" w:rsidRDefault="00576C06" w:rsidP="00D239B5">
      <w:pPr>
        <w:pStyle w:val="Style8"/>
      </w:pPr>
      <w:r>
        <w:t xml:space="preserve">ensuring </w:t>
      </w:r>
      <w:r w:rsidRPr="00576C06">
        <w:t xml:space="preserve">that timely forecasts and monitoring information on performance and finance are provided to the Department; </w:t>
      </w:r>
      <w:r w:rsidR="002F6230">
        <w:t xml:space="preserve">that </w:t>
      </w:r>
      <w:r w:rsidRPr="00576C06">
        <w:t xml:space="preserve">the Department is notified promptly if over or under spends are likely and that corrective action is taken; and </w:t>
      </w:r>
      <w:r w:rsidR="00D24498">
        <w:t xml:space="preserve">that </w:t>
      </w:r>
      <w:r w:rsidRPr="00576C06">
        <w:t>any significant problems whether financial or otherwise, and whether detected by internal audit or by other means, are notified to the Department in a timely fashion.</w:t>
      </w:r>
      <w:bookmarkStart w:id="31" w:name="_Hlk105683215"/>
      <w:r w:rsidR="006109E3">
        <w:t xml:space="preserve"> </w:t>
      </w:r>
      <w:bookmarkEnd w:id="31"/>
    </w:p>
    <w:p w14:paraId="22D29FB5" w14:textId="15CEEE0D" w:rsidR="001A207C" w:rsidRPr="00DC2C52" w:rsidRDefault="001A207C" w:rsidP="00DC2C52">
      <w:pPr>
        <w:ind w:left="717"/>
        <w:rPr>
          <w:rFonts w:ascii="Arial" w:hAnsi="Arial" w:cs="Arial"/>
          <w:b/>
          <w:bCs/>
          <w:sz w:val="28"/>
          <w:szCs w:val="28"/>
        </w:rPr>
      </w:pPr>
      <w:r w:rsidRPr="00DC2C52">
        <w:rPr>
          <w:rFonts w:ascii="Arial" w:hAnsi="Arial" w:cs="Arial"/>
          <w:b/>
          <w:bCs/>
          <w:sz w:val="28"/>
          <w:szCs w:val="28"/>
        </w:rPr>
        <w:t xml:space="preserve">Responsibilities to the </w:t>
      </w:r>
      <w:r w:rsidR="004B28C3" w:rsidRPr="00DC2C52">
        <w:rPr>
          <w:rFonts w:ascii="Arial" w:hAnsi="Arial" w:cs="Arial"/>
          <w:b/>
          <w:bCs/>
          <w:sz w:val="28"/>
          <w:szCs w:val="28"/>
        </w:rPr>
        <w:t>Board</w:t>
      </w:r>
      <w:r w:rsidRPr="00DC2C52">
        <w:rPr>
          <w:rFonts w:ascii="Arial" w:hAnsi="Arial" w:cs="Arial"/>
          <w:b/>
          <w:bCs/>
          <w:sz w:val="28"/>
          <w:szCs w:val="28"/>
        </w:rPr>
        <w:t xml:space="preserve"> </w:t>
      </w:r>
    </w:p>
    <w:p w14:paraId="1CF6AAC7" w14:textId="44B464E1" w:rsidR="004053C4" w:rsidRDefault="004053C4" w:rsidP="00D239B5">
      <w:pPr>
        <w:pStyle w:val="ParagraphText-numbered"/>
      </w:pPr>
      <w:r w:rsidRPr="00F81290">
        <w:t xml:space="preserve">The Chief Executive is responsible for: </w:t>
      </w:r>
    </w:p>
    <w:p w14:paraId="56B6433D" w14:textId="1B88D1C5" w:rsidR="001A207C" w:rsidRDefault="001A207C" w:rsidP="00D239B5">
      <w:pPr>
        <w:pStyle w:val="Style8"/>
      </w:pPr>
      <w:r>
        <w:t xml:space="preserve">advising the </w:t>
      </w:r>
      <w:r w:rsidR="004B28C3">
        <w:t>Board</w:t>
      </w:r>
      <w:r>
        <w:t xml:space="preserve"> on the discharge of the Agency’s </w:t>
      </w:r>
      <w:r w:rsidR="004B28C3">
        <w:t>Board</w:t>
      </w:r>
      <w:r>
        <w:t xml:space="preserve"> responsibilities as set out in this document, in the founding legislation and in any other relevant instructions and guidance that may be issued from time to time; </w:t>
      </w:r>
    </w:p>
    <w:p w14:paraId="293E5274" w14:textId="67870A0B" w:rsidR="001A207C" w:rsidRDefault="001A207C" w:rsidP="00D239B5">
      <w:pPr>
        <w:pStyle w:val="Style8"/>
      </w:pPr>
      <w:r>
        <w:t xml:space="preserve">advising the </w:t>
      </w:r>
      <w:r w:rsidR="004B28C3">
        <w:t>Board</w:t>
      </w:r>
      <w:r>
        <w:t xml:space="preserve"> on the Agency’s performance compared with its aims and </w:t>
      </w:r>
      <w:r w:rsidR="0087322D">
        <w:t>objectives</w:t>
      </w:r>
      <w:r>
        <w:t xml:space="preserve">; </w:t>
      </w:r>
    </w:p>
    <w:p w14:paraId="69134668" w14:textId="77777777" w:rsidR="00051D18" w:rsidRDefault="001A207C" w:rsidP="00D239B5">
      <w:pPr>
        <w:pStyle w:val="Style8"/>
      </w:pPr>
      <w:r>
        <w:t xml:space="preserve">ensuring that financial considerations are taken fully into account by the </w:t>
      </w:r>
      <w:r w:rsidR="004B28C3">
        <w:t>Board</w:t>
      </w:r>
      <w:r>
        <w:t xml:space="preserve"> at all stages in reaching and executing its decisions, and that financial appraisal techniques are followed</w:t>
      </w:r>
      <w:r w:rsidR="00051D18">
        <w:t>; and</w:t>
      </w:r>
    </w:p>
    <w:p w14:paraId="578EF47D" w14:textId="317D83FD" w:rsidR="001A207C" w:rsidRDefault="000F065C" w:rsidP="00D239B5">
      <w:pPr>
        <w:pStyle w:val="Style8"/>
      </w:pPr>
      <w:r>
        <w:t>b</w:t>
      </w:r>
      <w:r w:rsidR="00051D18" w:rsidRPr="00CE4955">
        <w:t xml:space="preserve">ringing to the attention of the Board any matters which give rise to a conflict with the Chief Executive’s responsibilities as </w:t>
      </w:r>
      <w:r w:rsidR="0022692C">
        <w:t>AO</w:t>
      </w:r>
      <w:r w:rsidR="00051D18">
        <w:t>.</w:t>
      </w:r>
    </w:p>
    <w:p w14:paraId="360896CA" w14:textId="77777777" w:rsidR="000B2F94" w:rsidRPr="00101FB1" w:rsidRDefault="000B2F94" w:rsidP="000B2F94">
      <w:pPr>
        <w:ind w:left="717"/>
        <w:rPr>
          <w:rFonts w:ascii="Arial" w:hAnsi="Arial" w:cs="Arial"/>
          <w:b/>
          <w:bCs/>
          <w:sz w:val="28"/>
          <w:szCs w:val="28"/>
        </w:rPr>
      </w:pPr>
      <w:r w:rsidRPr="00101FB1">
        <w:rPr>
          <w:rFonts w:ascii="Arial" w:hAnsi="Arial" w:cs="Arial"/>
          <w:b/>
          <w:bCs/>
          <w:sz w:val="28"/>
          <w:szCs w:val="28"/>
        </w:rPr>
        <w:t>Managing conflicts</w:t>
      </w:r>
    </w:p>
    <w:p w14:paraId="028D8DDE" w14:textId="74FCE875" w:rsidR="000B2F94" w:rsidRDefault="000B2F94" w:rsidP="00D239B5">
      <w:pPr>
        <w:pStyle w:val="ParagraphText-numbered"/>
      </w:pPr>
      <w:r>
        <w:t>In executive agencies, final decisions, responsibility and accountability rest with the Chief Executive as AO. However, the expectation is that the Chief Executive will follow the advice of the Board.</w:t>
      </w:r>
    </w:p>
    <w:p w14:paraId="0B881FE5" w14:textId="6CCC64D1" w:rsidR="000B2F94" w:rsidRDefault="000B2F94" w:rsidP="00D239B5">
      <w:pPr>
        <w:pStyle w:val="ParagraphText-numbered"/>
      </w:pPr>
      <w:r>
        <w:t>If the Board, or its chairperson, is contemplating a course of action involving a transaction which the Chief Executive considers would infringe upon the requirements of propriety or regularity or does not represent prudent or economical administration, efficiency or effectiveness, is of questionable feasibility, or is unethical</w:t>
      </w:r>
      <w:r w:rsidR="00FC065F">
        <w:t>,</w:t>
      </w:r>
      <w:r>
        <w:t xml:space="preserve"> the </w:t>
      </w:r>
      <w:r w:rsidR="00955ADB">
        <w:t>C</w:t>
      </w:r>
      <w:r>
        <w:t xml:space="preserve">hief </w:t>
      </w:r>
      <w:r w:rsidR="00955ADB">
        <w:t>E</w:t>
      </w:r>
      <w:r>
        <w:t>xecutive in their role as AO should reject that course of action.</w:t>
      </w:r>
    </w:p>
    <w:p w14:paraId="003C480C" w14:textId="5132DF72" w:rsidR="000B2F94" w:rsidRDefault="000B2F94" w:rsidP="00D239B5">
      <w:pPr>
        <w:pStyle w:val="ParagraphText-numbered"/>
      </w:pPr>
      <w:r>
        <w:t>The Chief Executive must ensure that the Board ha</w:t>
      </w:r>
      <w:r w:rsidR="00FC065F">
        <w:t>s</w:t>
      </w:r>
      <w:r>
        <w:t xml:space="preserve"> a full opportunity to discuss the rationale</w:t>
      </w:r>
      <w:r w:rsidR="00955ADB">
        <w:t xml:space="preserve"> for rejection of the proposed course of action</w:t>
      </w:r>
      <w:r>
        <w:t xml:space="preserve">. The Chief Executive should confirm the rationale for not following the advice of the Board in writing to the Chair of the Board and the </w:t>
      </w:r>
      <w:r w:rsidR="00057305">
        <w:t>PAO</w:t>
      </w:r>
      <w:r>
        <w:t xml:space="preserve"> and copy that to the Treasury Officer of Accounts.</w:t>
      </w:r>
    </w:p>
    <w:p w14:paraId="23A4B324" w14:textId="3A051A40" w:rsidR="000B2F94" w:rsidRDefault="000B2F94" w:rsidP="00D239B5">
      <w:pPr>
        <w:pStyle w:val="ParagraphText-numbered"/>
      </w:pPr>
      <w:r>
        <w:t xml:space="preserve">If the responsible </w:t>
      </w:r>
      <w:r w:rsidR="00057305">
        <w:t>m</w:t>
      </w:r>
      <w:r>
        <w:t xml:space="preserve">inister agrees with the proposed course of action of the Board, it may be appropriate for the </w:t>
      </w:r>
      <w:r w:rsidR="00057305">
        <w:t>m</w:t>
      </w:r>
      <w:r>
        <w:t>inister to direct the AO in the manner as set out in MPM paragraph 3.6.6 onwards.</w:t>
      </w:r>
    </w:p>
    <w:p w14:paraId="7A6526FA" w14:textId="00B89571" w:rsidR="0043586C" w:rsidRPr="0043586C" w:rsidRDefault="0043586C" w:rsidP="00AE0027">
      <w:pPr>
        <w:pStyle w:val="Heading2"/>
      </w:pPr>
      <w:bookmarkStart w:id="32" w:name="_Toc153466352"/>
      <w:r w:rsidRPr="0043586C">
        <w:t xml:space="preserve">The </w:t>
      </w:r>
      <w:r w:rsidR="004B28C3">
        <w:t>Board</w:t>
      </w:r>
      <w:bookmarkEnd w:id="32"/>
    </w:p>
    <w:p w14:paraId="7273780D" w14:textId="2CF2CF4B" w:rsidR="00500DA6" w:rsidRDefault="00500DA6" w:rsidP="00D239B5">
      <w:pPr>
        <w:pStyle w:val="ParagraphText-numbered"/>
      </w:pPr>
      <w:r>
        <w:t>The Agency</w:t>
      </w:r>
      <w:r w:rsidRPr="00B764D7">
        <w:t xml:space="preserve"> will comply fully with the principles and supporting provisions of good corporate governance</w:t>
      </w:r>
      <w:r w:rsidR="0085335A">
        <w:t>.</w:t>
      </w:r>
      <w:r w:rsidRPr="00B764D7">
        <w:t xml:space="preserve"> In line with Model 2 (set out in Cabinet Office guidance Public Bodies Handbook – Part 3), </w:t>
      </w:r>
      <w:r w:rsidR="00316A1C">
        <w:t>the Agency</w:t>
      </w:r>
      <w:r w:rsidRPr="00B764D7">
        <w:t xml:space="preserve"> </w:t>
      </w:r>
      <w:r w:rsidR="00AC5B42">
        <w:t>must</w:t>
      </w:r>
      <w:r w:rsidRPr="00B764D7">
        <w:t xml:space="preserve"> have </w:t>
      </w:r>
      <w:r w:rsidR="00316A1C">
        <w:t>a unitary bo</w:t>
      </w:r>
      <w:r w:rsidRPr="00B764D7">
        <w:t xml:space="preserve">ard with an </w:t>
      </w:r>
      <w:r w:rsidR="0085335A">
        <w:t>a</w:t>
      </w:r>
      <w:r w:rsidRPr="00B764D7">
        <w:t xml:space="preserve">dvisory Audit </w:t>
      </w:r>
      <w:r w:rsidR="0085335A">
        <w:t xml:space="preserve">Risk and Assurance </w:t>
      </w:r>
      <w:r w:rsidRPr="00B764D7">
        <w:t xml:space="preserve"> Committee (AR</w:t>
      </w:r>
      <w:r w:rsidR="00316A1C">
        <w:t>A</w:t>
      </w:r>
      <w:r w:rsidRPr="00B764D7">
        <w:t>C) that contains both non-executive members</w:t>
      </w:r>
      <w:r w:rsidR="00955ADB">
        <w:t xml:space="preserve"> and executive attendees</w:t>
      </w:r>
      <w:r w:rsidRPr="00B764D7">
        <w:t>. The Board will provide scrutiny and challenge to the Chief Executive and executive team, however non-executive members will not have decision making authority</w:t>
      </w:r>
      <w:r w:rsidR="00713B32">
        <w:t>,</w:t>
      </w:r>
      <w:r w:rsidRPr="00B764D7">
        <w:t xml:space="preserve"> as is the case with other </w:t>
      </w:r>
      <w:r w:rsidR="008A130F">
        <w:t>e</w:t>
      </w:r>
      <w:r w:rsidRPr="00B764D7">
        <w:t xml:space="preserve">xecutive </w:t>
      </w:r>
      <w:r w:rsidR="008A130F">
        <w:t>a</w:t>
      </w:r>
      <w:r w:rsidRPr="00B764D7">
        <w:t>gencies.</w:t>
      </w:r>
    </w:p>
    <w:p w14:paraId="5587C1E4" w14:textId="25E3F5ED" w:rsidR="00DC0914" w:rsidRDefault="004E77D0" w:rsidP="00D239B5">
      <w:pPr>
        <w:pStyle w:val="ParagraphText-numbered"/>
      </w:pPr>
      <w:r w:rsidRPr="0043586C">
        <w:t xml:space="preserve">Detailed </w:t>
      </w:r>
      <w:r>
        <w:t xml:space="preserve">roles and </w:t>
      </w:r>
      <w:r w:rsidRPr="0043586C">
        <w:t xml:space="preserve">responsibilities of the </w:t>
      </w:r>
      <w:r>
        <w:t>Board, as well as the principles that underpin these,</w:t>
      </w:r>
      <w:r w:rsidRPr="0043586C">
        <w:t xml:space="preserve"> shall be set out in the </w:t>
      </w:r>
      <w:r>
        <w:t>Board’s</w:t>
      </w:r>
      <w:r w:rsidRPr="0043586C">
        <w:t xml:space="preserve"> terms of reference</w:t>
      </w:r>
      <w:r>
        <w:t xml:space="preserve"> or operating framework</w:t>
      </w:r>
      <w:r w:rsidRPr="0043586C">
        <w:t xml:space="preserve">. </w:t>
      </w:r>
      <w:r>
        <w:t>R</w:t>
      </w:r>
      <w:r w:rsidRPr="0043586C">
        <w:t xml:space="preserve">emuneration of the </w:t>
      </w:r>
      <w:r>
        <w:t>Board</w:t>
      </w:r>
      <w:r w:rsidRPr="0043586C">
        <w:t xml:space="preserve"> will be disclosed in line with the guidance in the Government Financial Reporting </w:t>
      </w:r>
      <w:r>
        <w:t>M</w:t>
      </w:r>
      <w:r w:rsidRPr="0043586C">
        <w:t>anual (FReM)</w:t>
      </w:r>
      <w:r>
        <w:t>.</w:t>
      </w:r>
      <w:r w:rsidRPr="0043586C">
        <w:t xml:space="preserve"> </w:t>
      </w:r>
    </w:p>
    <w:p w14:paraId="131D863C" w14:textId="7C90B18A" w:rsidR="006E2242" w:rsidRDefault="006E2242" w:rsidP="00D239B5">
      <w:pPr>
        <w:pStyle w:val="ParagraphText-numbered"/>
      </w:pPr>
      <w:r w:rsidRPr="00DA7D41">
        <w:t xml:space="preserve">The </w:t>
      </w:r>
      <w:r>
        <w:t>Board</w:t>
      </w:r>
      <w:r w:rsidRPr="00DA7D41">
        <w:t xml:space="preserve"> may hold some of its proceedings in public each year. Minutes of </w:t>
      </w:r>
      <w:r>
        <w:t>these</w:t>
      </w:r>
      <w:r w:rsidRPr="00DA7D41">
        <w:t xml:space="preserve"> meetings are published on the Agency’s website</w:t>
      </w:r>
      <w:r w:rsidR="00CB5EA0">
        <w:rPr>
          <w:rStyle w:val="FootnoteReference"/>
        </w:rPr>
        <w:footnoteReference w:id="8"/>
      </w:r>
      <w:r w:rsidR="00CB5EA0">
        <w:t>.</w:t>
      </w:r>
      <w:r w:rsidRPr="00DA7D41">
        <w:t xml:space="preserve"> In particular, where there is call for it, the </w:t>
      </w:r>
      <w:r>
        <w:t>Board</w:t>
      </w:r>
      <w:r w:rsidRPr="00DA7D41">
        <w:t xml:space="preserve"> may hold a public Annual General Meeting and/or engagement sessions with stakeholders on specific topics. </w:t>
      </w:r>
    </w:p>
    <w:p w14:paraId="318B61D6" w14:textId="04F6E0A9" w:rsidR="00316A1C" w:rsidRDefault="00316A1C" w:rsidP="00D239B5">
      <w:pPr>
        <w:pStyle w:val="ParagraphText-numbered"/>
      </w:pPr>
      <w:r w:rsidRPr="008F66B3">
        <w:t xml:space="preserve">The </w:t>
      </w:r>
      <w:r w:rsidR="009734AA">
        <w:t>SDS</w:t>
      </w:r>
      <w:r w:rsidRPr="008F66B3">
        <w:t xml:space="preserve"> and representatives from the </w:t>
      </w:r>
      <w:r w:rsidR="009734AA">
        <w:t>DAs</w:t>
      </w:r>
      <w:r w:rsidRPr="008F66B3">
        <w:t xml:space="preserve"> shall have a standing invitation to attend </w:t>
      </w:r>
      <w:r w:rsidR="007E7B32">
        <w:t xml:space="preserve">all </w:t>
      </w:r>
      <w:r w:rsidRPr="008F66B3">
        <w:t xml:space="preserve">Board </w:t>
      </w:r>
      <w:r w:rsidR="0075180A">
        <w:t>m</w:t>
      </w:r>
      <w:r w:rsidRPr="008F66B3">
        <w:t xml:space="preserve">eetings. </w:t>
      </w:r>
    </w:p>
    <w:p w14:paraId="3880DB92" w14:textId="77777777" w:rsidR="00CF695A" w:rsidRPr="009601F9" w:rsidRDefault="00CF695A" w:rsidP="00CF695A">
      <w:pPr>
        <w:ind w:left="717"/>
        <w:rPr>
          <w:rFonts w:ascii="Arial" w:hAnsi="Arial" w:cs="Arial"/>
          <w:b/>
          <w:bCs/>
          <w:sz w:val="28"/>
          <w:szCs w:val="28"/>
        </w:rPr>
      </w:pPr>
      <w:r w:rsidRPr="009601F9">
        <w:rPr>
          <w:rFonts w:ascii="Arial" w:hAnsi="Arial" w:cs="Arial"/>
          <w:b/>
          <w:bCs/>
          <w:sz w:val="28"/>
          <w:szCs w:val="28"/>
        </w:rPr>
        <w:t>Role of the Board</w:t>
      </w:r>
    </w:p>
    <w:p w14:paraId="427436B2" w14:textId="2459700A" w:rsidR="00CF695A" w:rsidRPr="00475D83" w:rsidRDefault="00CF695A" w:rsidP="00D239B5">
      <w:pPr>
        <w:pStyle w:val="ParagraphText-numbered"/>
      </w:pPr>
      <w:r w:rsidRPr="00475D83">
        <w:t xml:space="preserve">The role of the Board is to support the Chief Executive in their responsibility for the successful operation of the Agency. The Board </w:t>
      </w:r>
      <w:r w:rsidR="009C6286" w:rsidRPr="00475D83">
        <w:t xml:space="preserve">is </w:t>
      </w:r>
      <w:r w:rsidRPr="00475D83">
        <w:t>responsible for:</w:t>
      </w:r>
    </w:p>
    <w:p w14:paraId="7F632F84" w14:textId="77777777" w:rsidR="00CF695A" w:rsidRPr="00475D83" w:rsidRDefault="00CF695A" w:rsidP="00D239B5">
      <w:pPr>
        <w:pStyle w:val="Style8"/>
      </w:pPr>
      <w:r w:rsidRPr="00475D83">
        <w:t xml:space="preserve">the strategic aims and objectives of the Agency, consistent with its overall strategic direction, corporate and business plans, and within the capital and resource budget limits set by the Department; </w:t>
      </w:r>
    </w:p>
    <w:p w14:paraId="1B22C787" w14:textId="77777777" w:rsidR="00CF695A" w:rsidRPr="00475D83" w:rsidRDefault="00CF695A" w:rsidP="00D239B5">
      <w:pPr>
        <w:pStyle w:val="Style8"/>
      </w:pPr>
      <w:r w:rsidRPr="00475D83">
        <w:t xml:space="preserve">the effective leadership of the Agency within a framework of prudent and effective controls, which enables risk to be assessed and managed; </w:t>
      </w:r>
    </w:p>
    <w:p w14:paraId="204D412A" w14:textId="77777777" w:rsidR="00CF695A" w:rsidRPr="00475D83" w:rsidRDefault="00CF695A" w:rsidP="00D239B5">
      <w:pPr>
        <w:pStyle w:val="Style8"/>
      </w:pPr>
      <w:r w:rsidRPr="00475D83">
        <w:t>the financial and human resources that are in place for the Agency to meet its objectives; and</w:t>
      </w:r>
    </w:p>
    <w:p w14:paraId="4EC9A7CC" w14:textId="77777777" w:rsidR="00CF695A" w:rsidRDefault="00CF695A" w:rsidP="00D239B5">
      <w:pPr>
        <w:pStyle w:val="Style8"/>
      </w:pPr>
      <w:r w:rsidRPr="005C1AC4">
        <w:t>reviewing management performance</w:t>
      </w:r>
      <w:r>
        <w:t>.</w:t>
      </w:r>
      <w:r w:rsidRPr="005C1AC4">
        <w:t xml:space="preserve"> </w:t>
      </w:r>
    </w:p>
    <w:p w14:paraId="29371826" w14:textId="77777777" w:rsidR="00CF695A" w:rsidRPr="005C1AC4" w:rsidRDefault="00CF695A" w:rsidP="00D239B5">
      <w:pPr>
        <w:pStyle w:val="ParagraphText-numbered"/>
      </w:pPr>
      <w:r>
        <w:t>The Board should ensure that effective arrangements are in place to provide assurance on risk management, governance and internal control, and will:</w:t>
      </w:r>
    </w:p>
    <w:p w14:paraId="41A637E1" w14:textId="77777777" w:rsidR="00CF695A" w:rsidRPr="005C1AC4" w:rsidRDefault="00CF695A" w:rsidP="00D239B5">
      <w:pPr>
        <w:pStyle w:val="Style8"/>
      </w:pPr>
      <w:r>
        <w:t>ensure it</w:t>
      </w:r>
      <w:r w:rsidRPr="005C1AC4">
        <w:t xml:space="preserve"> receives and reviews regular financial and management information concerning the management of the</w:t>
      </w:r>
      <w:r>
        <w:t xml:space="preserve"> Agency</w:t>
      </w:r>
      <w:r w:rsidRPr="005C1AC4">
        <w:t xml:space="preserve">; </w:t>
      </w:r>
    </w:p>
    <w:p w14:paraId="20BA96EB" w14:textId="77777777" w:rsidR="00CF695A" w:rsidRPr="005C1AC4" w:rsidRDefault="00CF695A" w:rsidP="00D239B5">
      <w:pPr>
        <w:pStyle w:val="Style8"/>
      </w:pPr>
      <w:r>
        <w:t>ensure</w:t>
      </w:r>
      <w:r w:rsidRPr="005C1AC4">
        <w:t xml:space="preserve"> that it is kept informed of any changes which are likely to impact on the strategic direction of the </w:t>
      </w:r>
      <w:r>
        <w:t>Agency’s Board</w:t>
      </w:r>
      <w:r w:rsidRPr="005C1AC4">
        <w:t xml:space="preserve"> or on the attainability of its targets, and determining the steps needed to deal with such changes and where appropriate bringing such matters to the attention of the </w:t>
      </w:r>
      <w:r>
        <w:t>responsible minister</w:t>
      </w:r>
      <w:r w:rsidRPr="005C1AC4">
        <w:t xml:space="preserve"> and </w:t>
      </w:r>
      <w:r>
        <w:t>PAO</w:t>
      </w:r>
      <w:r w:rsidRPr="005C1AC4">
        <w:t xml:space="preserve"> via the executive team, sponsorship team or directly; </w:t>
      </w:r>
    </w:p>
    <w:p w14:paraId="313C8997" w14:textId="77777777" w:rsidR="00CF695A" w:rsidRDefault="00CF695A" w:rsidP="00D239B5">
      <w:pPr>
        <w:pStyle w:val="Style8"/>
      </w:pPr>
      <w:r>
        <w:t>ensure</w:t>
      </w:r>
      <w:r w:rsidRPr="00CE4955">
        <w:t xml:space="preserve"> that any delegated authority is agreed with the Department, and is in accordance with any other conditions relating to the use of public funds; and that, in supporting decision-making, the Board takes into account guidance issued by the Department;</w:t>
      </w:r>
    </w:p>
    <w:p w14:paraId="7A7745FC" w14:textId="77777777" w:rsidR="00CF695A" w:rsidRDefault="00CF695A" w:rsidP="00D239B5">
      <w:pPr>
        <w:pStyle w:val="Style8"/>
      </w:pPr>
      <w:r>
        <w:t xml:space="preserve">endorse the Agency’s recommendations to Ministers on the Agency’s key financial and performance targets in the Agency’s annual business plans and corporate plans; </w:t>
      </w:r>
    </w:p>
    <w:p w14:paraId="19EAF29B" w14:textId="77777777" w:rsidR="00475D83" w:rsidRDefault="00CF695A" w:rsidP="00D239B5">
      <w:pPr>
        <w:pStyle w:val="Style8"/>
      </w:pPr>
      <w:r>
        <w:t xml:space="preserve">agree the content of the Agency’s annual report to be proposed to Ministers; </w:t>
      </w:r>
    </w:p>
    <w:p w14:paraId="4CC4D679" w14:textId="0FB12527" w:rsidR="00CF695A" w:rsidRDefault="00CF695A" w:rsidP="00D239B5">
      <w:pPr>
        <w:pStyle w:val="Style8"/>
      </w:pPr>
      <w:r w:rsidRPr="005C1AC4">
        <w:t>ensur</w:t>
      </w:r>
      <w:r>
        <w:t>e</w:t>
      </w:r>
      <w:r w:rsidRPr="005C1AC4">
        <w:t xml:space="preserve"> that</w:t>
      </w:r>
      <w:r>
        <w:t>,</w:t>
      </w:r>
      <w:r w:rsidRPr="005C1AC4">
        <w:t xml:space="preserve"> as part of the above compliance</w:t>
      </w:r>
      <w:r>
        <w:t xml:space="preserve">, it is </w:t>
      </w:r>
      <w:r w:rsidRPr="005C1AC4">
        <w:t xml:space="preserve">familiar with: </w:t>
      </w:r>
    </w:p>
    <w:p w14:paraId="3664B899" w14:textId="77777777" w:rsidR="00CF695A" w:rsidRPr="005C1AC4" w:rsidRDefault="00CF695A" w:rsidP="000C2E21">
      <w:pPr>
        <w:pStyle w:val="Style12"/>
        <w:numPr>
          <w:ilvl w:val="0"/>
          <w:numId w:val="27"/>
        </w:numPr>
        <w:spacing w:before="240" w:after="0" w:line="276" w:lineRule="auto"/>
      </w:pPr>
      <w:r w:rsidRPr="005C1AC4">
        <w:t xml:space="preserve">this </w:t>
      </w:r>
      <w:r>
        <w:t>Framework Document;</w:t>
      </w:r>
      <w:r w:rsidRPr="005C1AC4">
        <w:t xml:space="preserve"> </w:t>
      </w:r>
    </w:p>
    <w:p w14:paraId="510A9ADA" w14:textId="77777777" w:rsidR="00CF695A" w:rsidRPr="005C1AC4" w:rsidRDefault="00CF695A" w:rsidP="000C2E21">
      <w:pPr>
        <w:pStyle w:val="Style12"/>
        <w:numPr>
          <w:ilvl w:val="0"/>
          <w:numId w:val="27"/>
        </w:numPr>
        <w:spacing w:before="240" w:after="0" w:line="276" w:lineRule="auto"/>
      </w:pPr>
      <w:r w:rsidRPr="005C1AC4">
        <w:t xml:space="preserve">any delegation letter issued to </w:t>
      </w:r>
      <w:r>
        <w:t>the Agency;</w:t>
      </w:r>
    </w:p>
    <w:p w14:paraId="1EE36BCC" w14:textId="77777777" w:rsidR="00CF695A" w:rsidRPr="005C1AC4" w:rsidRDefault="00CF695A">
      <w:pPr>
        <w:pStyle w:val="Style12"/>
        <w:numPr>
          <w:ilvl w:val="0"/>
          <w:numId w:val="27"/>
        </w:numPr>
        <w:spacing w:before="240" w:after="0" w:line="276" w:lineRule="auto"/>
      </w:pPr>
      <w:r w:rsidRPr="005C1AC4">
        <w:t xml:space="preserve">any elements of any settlement letter issued to the </w:t>
      </w:r>
      <w:r>
        <w:t>Department</w:t>
      </w:r>
      <w:r w:rsidRPr="005C1AC4">
        <w:t xml:space="preserve"> that is relevant to the operation of the </w:t>
      </w:r>
      <w:r>
        <w:t>Agency</w:t>
      </w:r>
      <w:r w:rsidRPr="005C1AC4">
        <w:t xml:space="preserve">; </w:t>
      </w:r>
    </w:p>
    <w:p w14:paraId="15AB3958" w14:textId="77777777" w:rsidR="00CF695A" w:rsidRDefault="00CF695A">
      <w:pPr>
        <w:pStyle w:val="Style12"/>
        <w:numPr>
          <w:ilvl w:val="0"/>
          <w:numId w:val="27"/>
        </w:numPr>
        <w:spacing w:before="240" w:after="0" w:line="276" w:lineRule="auto"/>
      </w:pPr>
      <w:r w:rsidRPr="005C1AC4">
        <w:t xml:space="preserve">any separate settlement letter that is issued to the </w:t>
      </w:r>
      <w:r>
        <w:t>Agency</w:t>
      </w:r>
      <w:r w:rsidRPr="005C1AC4">
        <w:t xml:space="preserve"> from the </w:t>
      </w:r>
      <w:r>
        <w:t>Department;</w:t>
      </w:r>
    </w:p>
    <w:p w14:paraId="64C39C57" w14:textId="77777777" w:rsidR="00CF695A" w:rsidRDefault="00CF695A" w:rsidP="00D239B5">
      <w:pPr>
        <w:pStyle w:val="Style8"/>
      </w:pPr>
      <w:r>
        <w:t>ensure</w:t>
      </w:r>
      <w:r w:rsidRPr="005C1AC4">
        <w:t xml:space="preserve"> that</w:t>
      </w:r>
      <w:r>
        <w:t>,</w:t>
      </w:r>
      <w:r w:rsidRPr="005C1AC4">
        <w:t xml:space="preserve"> </w:t>
      </w:r>
      <w:r w:rsidRPr="0087322D">
        <w:t xml:space="preserve">in accordance with </w:t>
      </w:r>
      <w:r>
        <w:t>the</w:t>
      </w:r>
      <w:r w:rsidRPr="0087322D">
        <w:t xml:space="preserve"> obligations under the above documents</w:t>
      </w:r>
      <w:r>
        <w:t>, it has</w:t>
      </w:r>
      <w:r w:rsidRPr="005C1AC4">
        <w:t xml:space="preserve"> appropriate internal mechanisms for the monitoring, governance and external reporting regarding any conditions arising from the above documents</w:t>
      </w:r>
      <w:r>
        <w:t>, and t</w:t>
      </w:r>
      <w:r w:rsidRPr="005C1AC4">
        <w:t xml:space="preserve">hat the Chief Executive and </w:t>
      </w:r>
      <w:r>
        <w:t>the Agency</w:t>
      </w:r>
      <w:r w:rsidRPr="005C1AC4">
        <w:t xml:space="preserve"> as a whole act </w:t>
      </w:r>
      <w:r>
        <w:t>in accordance with their obligations under the above documents;</w:t>
      </w:r>
    </w:p>
    <w:p w14:paraId="3F51985C" w14:textId="78A873D1" w:rsidR="00CF695A" w:rsidRPr="005C1AC4" w:rsidRDefault="00CF695A" w:rsidP="00D239B5">
      <w:pPr>
        <w:pStyle w:val="Style8"/>
      </w:pPr>
      <w:r w:rsidRPr="005C1AC4">
        <w:t>demonstra</w:t>
      </w:r>
      <w:r>
        <w:t>te</w:t>
      </w:r>
      <w:r w:rsidRPr="005C1AC4">
        <w:t xml:space="preserve"> high standards of corporate governance at all times, including by using the independent audit </w:t>
      </w:r>
      <w:r w:rsidR="00F00E5F">
        <w:t xml:space="preserve">and risk </w:t>
      </w:r>
      <w:r w:rsidRPr="005C1AC4">
        <w:t xml:space="preserve">committee to help the </w:t>
      </w:r>
      <w:r>
        <w:t>Board</w:t>
      </w:r>
      <w:r w:rsidRPr="005C1AC4">
        <w:t xml:space="preserve"> to address key financial and other risks; </w:t>
      </w:r>
    </w:p>
    <w:p w14:paraId="384EEAB2" w14:textId="77777777" w:rsidR="00CF695A" w:rsidRPr="005C1AC4" w:rsidRDefault="00CF695A" w:rsidP="00D239B5">
      <w:pPr>
        <w:pStyle w:val="Style8"/>
      </w:pPr>
      <w:r w:rsidRPr="005C1AC4">
        <w:t xml:space="preserve">put in place mechanisms for independent appraisal and annual evaluation of the performance of the </w:t>
      </w:r>
      <w:r>
        <w:t>Chair</w:t>
      </w:r>
      <w:r w:rsidRPr="005C1AC4">
        <w:t xml:space="preserve"> by the </w:t>
      </w:r>
      <w:r>
        <w:t>NED</w:t>
      </w:r>
      <w:r w:rsidRPr="005C1AC4">
        <w:t xml:space="preserve">s, taking into account the views of relevant stakeholders. The outcome of that evaluation should be made available to the </w:t>
      </w:r>
      <w:r>
        <w:t>Department</w:t>
      </w:r>
      <w:r w:rsidRPr="005C1AC4">
        <w:t xml:space="preserve">; </w:t>
      </w:r>
      <w:r>
        <w:t>and</w:t>
      </w:r>
    </w:p>
    <w:p w14:paraId="468E905F" w14:textId="77777777" w:rsidR="00CF695A" w:rsidRDefault="00CF695A" w:rsidP="00D239B5">
      <w:pPr>
        <w:pStyle w:val="Style8"/>
      </w:pPr>
      <w:r w:rsidRPr="005C1AC4">
        <w:t>determin</w:t>
      </w:r>
      <w:r>
        <w:t>e</w:t>
      </w:r>
      <w:r w:rsidRPr="005C1AC4">
        <w:t xml:space="preserve"> all such other things </w:t>
      </w:r>
      <w:r>
        <w:t>that</w:t>
      </w:r>
      <w:r w:rsidRPr="005C1AC4">
        <w:t xml:space="preserve"> </w:t>
      </w:r>
      <w:r>
        <w:t>it</w:t>
      </w:r>
      <w:r w:rsidRPr="005C1AC4">
        <w:t xml:space="preserve"> considers ancillary or conducive to the attainment or fulfilment by the </w:t>
      </w:r>
      <w:r>
        <w:t>Agency</w:t>
      </w:r>
      <w:r w:rsidRPr="005C1AC4">
        <w:t xml:space="preserve"> of its </w:t>
      </w:r>
      <w:r>
        <w:t>objectives.</w:t>
      </w:r>
    </w:p>
    <w:p w14:paraId="7A3A9368" w14:textId="6F357194" w:rsidR="00CF695A" w:rsidRDefault="00CF695A" w:rsidP="00D239B5">
      <w:pPr>
        <w:pStyle w:val="ParagraphText-numbered"/>
      </w:pPr>
      <w:r w:rsidRPr="005C1AC4">
        <w:t xml:space="preserve">The </w:t>
      </w:r>
      <w:r>
        <w:t>Board</w:t>
      </w:r>
      <w:r w:rsidRPr="005C1AC4">
        <w:t xml:space="preserve"> should ensure that effective arrangements are in place to provide assurance over the design and operation of risk management, governance and internal control in line with the Management of Risk – Principles and Concepts (The Orange Book). </w:t>
      </w:r>
    </w:p>
    <w:p w14:paraId="6711D068" w14:textId="3D25C594" w:rsidR="0043586C" w:rsidRPr="00B86E79" w:rsidRDefault="0043586C" w:rsidP="00B86E79">
      <w:pPr>
        <w:ind w:left="717"/>
        <w:rPr>
          <w:rFonts w:ascii="Arial" w:hAnsi="Arial" w:cs="Arial"/>
          <w:b/>
          <w:bCs/>
          <w:sz w:val="28"/>
          <w:szCs w:val="28"/>
        </w:rPr>
      </w:pPr>
      <w:r w:rsidRPr="00B86E79">
        <w:rPr>
          <w:rFonts w:ascii="Arial" w:hAnsi="Arial" w:cs="Arial"/>
          <w:b/>
          <w:bCs/>
          <w:sz w:val="28"/>
          <w:szCs w:val="28"/>
        </w:rPr>
        <w:t xml:space="preserve">Composition of the </w:t>
      </w:r>
      <w:r w:rsidR="004B28C3" w:rsidRPr="00B86E79">
        <w:rPr>
          <w:rFonts w:ascii="Arial" w:hAnsi="Arial" w:cs="Arial"/>
          <w:b/>
          <w:bCs/>
          <w:sz w:val="28"/>
          <w:szCs w:val="28"/>
        </w:rPr>
        <w:t>Board</w:t>
      </w:r>
    </w:p>
    <w:p w14:paraId="53C6B55F" w14:textId="1F6E35CC" w:rsidR="00A306B3" w:rsidRPr="00E33AF1" w:rsidRDefault="00D24F0C" w:rsidP="00D239B5">
      <w:pPr>
        <w:pStyle w:val="ParagraphText-numbered"/>
      </w:pPr>
      <w:bookmarkStart w:id="33" w:name="_Hlk84941989"/>
      <w:r w:rsidRPr="0043586C">
        <w:t xml:space="preserve">The </w:t>
      </w:r>
      <w:r>
        <w:t>Agency’s Board</w:t>
      </w:r>
      <w:r w:rsidRPr="0043586C">
        <w:t xml:space="preserve"> </w:t>
      </w:r>
      <w:r>
        <w:t xml:space="preserve">is </w:t>
      </w:r>
      <w:r w:rsidR="002A2D95">
        <w:t>a</w:t>
      </w:r>
      <w:r w:rsidR="008045EF">
        <w:t xml:space="preserve">n </w:t>
      </w:r>
      <w:r w:rsidR="002A2D95">
        <w:t>advisory, unitary</w:t>
      </w:r>
      <w:r>
        <w:t xml:space="preserve"> Board, </w:t>
      </w:r>
      <w:r w:rsidR="00E13E91">
        <w:t>which requires an equal number of executive and non-executive members, plus a</w:t>
      </w:r>
      <w:r w:rsidRPr="0043586C">
        <w:t xml:space="preserve"> </w:t>
      </w:r>
      <w:r>
        <w:t>non-executive Chair</w:t>
      </w:r>
      <w:r w:rsidR="00E13E91">
        <w:t xml:space="preserve">. </w:t>
      </w:r>
      <w:r w:rsidRPr="0043586C">
        <w:t xml:space="preserve"> </w:t>
      </w:r>
      <w:r w:rsidR="00A306B3" w:rsidRPr="00A306B3">
        <w:t xml:space="preserve">There should be members who have experience of the Agency’s business, operational delivery, corporate services such as human resources, technology, property asset management, estate management, communications and performance management, as appropriate to their role. </w:t>
      </w:r>
      <w:r w:rsidR="00E33AF1">
        <w:t>This will include as an executive and voting board member an appropriately qualified finance director as described in Annex 4.1 of MPM. The Board should include a majority of independent non-executive members to ensure that executive members are supported and constructively challenged in their role.</w:t>
      </w:r>
    </w:p>
    <w:p w14:paraId="17C2B245" w14:textId="1D39BE5D" w:rsidR="00D24F0C" w:rsidRPr="008162B0" w:rsidRDefault="00D24F0C" w:rsidP="00D239B5">
      <w:pPr>
        <w:pStyle w:val="ParagraphText-numbered"/>
      </w:pPr>
      <w:r w:rsidRPr="008162B0">
        <w:t xml:space="preserve">The </w:t>
      </w:r>
      <w:r w:rsidR="009443ED" w:rsidRPr="008162B0">
        <w:t xml:space="preserve">Agency </w:t>
      </w:r>
      <w:r w:rsidRPr="008162B0">
        <w:t>Board supports the Chief Executive in the effective delivery of services and overall performance of the organisation by providing leadership, developing strategy, advising on the delivery of policies, maintaining high standards of corporate governance, scrutinising performance and ensuring that controls are in place to manage risk. The Agency Board collectively does not exercise any line management or executive functions, nor does it have a legal or constitutional role or any liability in respect of decisions of the Executive.</w:t>
      </w:r>
    </w:p>
    <w:p w14:paraId="41B9D129" w14:textId="77777777" w:rsidR="00CF695A" w:rsidRPr="00B86E79" w:rsidRDefault="00CF695A" w:rsidP="00CF695A">
      <w:pPr>
        <w:ind w:left="717"/>
        <w:rPr>
          <w:rFonts w:ascii="Arial" w:hAnsi="Arial" w:cs="Arial"/>
          <w:b/>
          <w:bCs/>
          <w:sz w:val="28"/>
          <w:szCs w:val="28"/>
        </w:rPr>
      </w:pPr>
      <w:r w:rsidRPr="00B86E79">
        <w:rPr>
          <w:rFonts w:ascii="Arial" w:hAnsi="Arial" w:cs="Arial"/>
          <w:b/>
          <w:bCs/>
          <w:sz w:val="28"/>
          <w:szCs w:val="28"/>
        </w:rPr>
        <w:t>Appointments to the Board</w:t>
      </w:r>
    </w:p>
    <w:p w14:paraId="1099F507" w14:textId="77777777" w:rsidR="00CF695A" w:rsidRPr="00B87F70" w:rsidRDefault="00CF695A" w:rsidP="00D239B5">
      <w:pPr>
        <w:pStyle w:val="ParagraphText-numbered"/>
      </w:pPr>
      <w:r w:rsidRPr="00B87F70">
        <w:t xml:space="preserve">The Chair of the Agency’s Board and all non-executive members are appointed by the Secretary of State or responsible minister. Appointments are transparent, made on merit, and managed in a way which follows the principles of the Commissioner for Public Appointments’ Code of Practice for Ministerial Appointments to Public Bodies. </w:t>
      </w:r>
    </w:p>
    <w:p w14:paraId="7D59CCEE" w14:textId="5E241DC6" w:rsidR="00CF695A" w:rsidRPr="00B87F70" w:rsidRDefault="00CF695A" w:rsidP="00D239B5">
      <w:pPr>
        <w:pStyle w:val="ParagraphText-numbered"/>
      </w:pPr>
      <w:r w:rsidRPr="00B87F70">
        <w:t>The</w:t>
      </w:r>
      <w:r w:rsidR="00F852B4">
        <w:t xml:space="preserve"> Chair and </w:t>
      </w:r>
      <w:r w:rsidR="0046702A">
        <w:t xml:space="preserve">non-executive </w:t>
      </w:r>
      <w:r w:rsidRPr="00B87F70">
        <w:t>appointments to the Board will be led and coordinated by the Department’s Appointment</w:t>
      </w:r>
      <w:r w:rsidR="00081975">
        <w:t>s</w:t>
      </w:r>
      <w:r w:rsidRPr="00B87F70">
        <w:t xml:space="preserve"> team with support from the sponsorship team, who may consult with the Agency’s Chair where appropriate.</w:t>
      </w:r>
    </w:p>
    <w:p w14:paraId="7917B9EC" w14:textId="77777777" w:rsidR="00CF695A" w:rsidRPr="00B87F70" w:rsidRDefault="00CF695A" w:rsidP="00D239B5">
      <w:pPr>
        <w:pStyle w:val="ParagraphText-numbered"/>
      </w:pPr>
      <w:r w:rsidRPr="00B87F70">
        <w:t xml:space="preserve">The Agency’s Chair may also appoint Associate NEDs, which are non-ministerial appointments, following agreement with the Department. The number of any additional Associate NEDs, and the range of experiences sought from its non-executive members, will be agreed between the Agency and the Department. </w:t>
      </w:r>
    </w:p>
    <w:p w14:paraId="1E448F7E" w14:textId="77777777" w:rsidR="00CF695A" w:rsidRDefault="00CF695A" w:rsidP="00D239B5">
      <w:pPr>
        <w:pStyle w:val="ParagraphText-numbered"/>
      </w:pPr>
      <w:r w:rsidRPr="00B87F70">
        <w:t xml:space="preserve">All such appointments should have regard to the principle that appointments should reflect the diversity of the society in which we live, and appointments should be made taking account of the need to appoint Boards which include a balance of skills and backgrounds. </w:t>
      </w:r>
    </w:p>
    <w:p w14:paraId="4B48C4FC" w14:textId="1FFD7F49" w:rsidR="00CF695A" w:rsidRPr="00CF695A" w:rsidRDefault="00CF695A" w:rsidP="00D239B5">
      <w:pPr>
        <w:pStyle w:val="ParagraphText-numbered"/>
      </w:pPr>
      <w:r w:rsidRPr="005A49AD">
        <w:t xml:space="preserve">The travel </w:t>
      </w:r>
      <w:r>
        <w:t xml:space="preserve">and subsistence </w:t>
      </w:r>
      <w:r w:rsidRPr="005A49AD">
        <w:t>expenses of Board members shall be</w:t>
      </w:r>
      <w:r>
        <w:t xml:space="preserve"> determined by the Agency’s respective policy.</w:t>
      </w:r>
      <w:r w:rsidRPr="005A49AD">
        <w:t xml:space="preserve"> </w:t>
      </w:r>
      <w:r w:rsidRPr="00C34164">
        <w:t xml:space="preserve">Members may claim reimbursement for reasonable </w:t>
      </w:r>
      <w:r w:rsidR="00DC61E9">
        <w:t xml:space="preserve">actual </w:t>
      </w:r>
      <w:r w:rsidRPr="00C34164">
        <w:t>expenses necessarily incurred on official business</w:t>
      </w:r>
      <w:r w:rsidR="00DC61E9">
        <w:t xml:space="preserve"> at the same</w:t>
      </w:r>
      <w:r w:rsidR="00AD7217">
        <w:t xml:space="preserve"> </w:t>
      </w:r>
      <w:r w:rsidR="00DC61E9" w:rsidRPr="00E3169C">
        <w:rPr>
          <w:color w:val="000000" w:themeColor="text1"/>
        </w:rPr>
        <w:t>rates allowed to senior staff.</w:t>
      </w:r>
      <w:r w:rsidR="00DC61E9">
        <w:rPr>
          <w:color w:val="FF0000"/>
        </w:rPr>
        <w:t xml:space="preserve"> </w:t>
      </w:r>
      <w:r w:rsidRPr="00C34164">
        <w:t>Payments for attending Board meetings are taxable as earnings and will be subject to tax and national insurance.</w:t>
      </w:r>
    </w:p>
    <w:p w14:paraId="529CA8D6" w14:textId="77777777" w:rsidR="0043586C" w:rsidRPr="00B86E79" w:rsidRDefault="004B28C3" w:rsidP="00B86E79">
      <w:pPr>
        <w:ind w:left="717"/>
        <w:rPr>
          <w:rFonts w:ascii="Arial" w:hAnsi="Arial" w:cs="Arial"/>
          <w:b/>
          <w:bCs/>
          <w:sz w:val="28"/>
          <w:szCs w:val="28"/>
        </w:rPr>
      </w:pPr>
      <w:r w:rsidRPr="00B86E79">
        <w:rPr>
          <w:rFonts w:ascii="Arial" w:hAnsi="Arial" w:cs="Arial"/>
          <w:b/>
          <w:bCs/>
          <w:sz w:val="28"/>
          <w:szCs w:val="28"/>
        </w:rPr>
        <w:t>Board</w:t>
      </w:r>
      <w:r w:rsidR="0043586C" w:rsidRPr="00B86E79">
        <w:rPr>
          <w:rFonts w:ascii="Arial" w:hAnsi="Arial" w:cs="Arial"/>
          <w:b/>
          <w:bCs/>
          <w:sz w:val="28"/>
          <w:szCs w:val="28"/>
        </w:rPr>
        <w:t xml:space="preserve"> </w:t>
      </w:r>
      <w:r w:rsidR="00200DFE" w:rsidRPr="00B86E79">
        <w:rPr>
          <w:rFonts w:ascii="Arial" w:hAnsi="Arial" w:cs="Arial"/>
          <w:b/>
          <w:bCs/>
          <w:sz w:val="28"/>
          <w:szCs w:val="28"/>
        </w:rPr>
        <w:t>C</w:t>
      </w:r>
      <w:r w:rsidR="0043586C" w:rsidRPr="00B86E79">
        <w:rPr>
          <w:rFonts w:ascii="Arial" w:hAnsi="Arial" w:cs="Arial"/>
          <w:b/>
          <w:bCs/>
          <w:sz w:val="28"/>
          <w:szCs w:val="28"/>
        </w:rPr>
        <w:t>ommittees</w:t>
      </w:r>
    </w:p>
    <w:bookmarkEnd w:id="33"/>
    <w:p w14:paraId="49DCC5D5" w14:textId="0A083C9B" w:rsidR="00153F02" w:rsidRPr="00153F02" w:rsidRDefault="00200DFE" w:rsidP="00D239B5">
      <w:pPr>
        <w:pStyle w:val="ParagraphText-numbered"/>
      </w:pPr>
      <w:r w:rsidRPr="00200DFE">
        <w:t xml:space="preserve">The </w:t>
      </w:r>
      <w:r w:rsidR="00DA2DB4" w:rsidRPr="00DA2DB4">
        <w:t xml:space="preserve">Chair </w:t>
      </w:r>
      <w:r w:rsidR="00DA2DB4">
        <w:t>may set up</w:t>
      </w:r>
      <w:r w:rsidR="00DA2DB4" w:rsidRPr="00DA2DB4">
        <w:t xml:space="preserve"> assurance committees to support the </w:t>
      </w:r>
      <w:r w:rsidR="009443ED">
        <w:t xml:space="preserve">Agency </w:t>
      </w:r>
      <w:r w:rsidR="00DA2DB4" w:rsidRPr="00DA2DB4">
        <w:t>Board</w:t>
      </w:r>
      <w:r w:rsidRPr="00200DFE">
        <w:t xml:space="preserve"> as necessary for it to fulfil its functions</w:t>
      </w:r>
      <w:r w:rsidR="002B114B">
        <w:t>,</w:t>
      </w:r>
      <w:r w:rsidR="002B114B" w:rsidRPr="002B114B">
        <w:t xml:space="preserve"> </w:t>
      </w:r>
      <w:r w:rsidR="002B114B" w:rsidRPr="00153F02">
        <w:t>each of which will provide advice, support and constructive challenge in its respective areas of responsibility and provide the Board with regular reporting</w:t>
      </w:r>
      <w:r w:rsidRPr="00200DFE">
        <w:t>. As is detailed below</w:t>
      </w:r>
      <w:r>
        <w:t>,</w:t>
      </w:r>
      <w:r w:rsidRPr="00200DFE">
        <w:t xml:space="preserve"> at a minimum</w:t>
      </w:r>
      <w:r>
        <w:t>,</w:t>
      </w:r>
      <w:r w:rsidRPr="00200DFE">
        <w:t xml:space="preserve"> this should include an Audit</w:t>
      </w:r>
      <w:r w:rsidR="00AE630C">
        <w:t xml:space="preserve">, </w:t>
      </w:r>
      <w:r w:rsidRPr="00200DFE">
        <w:t xml:space="preserve">Risk </w:t>
      </w:r>
      <w:r w:rsidR="00AE630C">
        <w:t xml:space="preserve">and </w:t>
      </w:r>
      <w:r w:rsidR="00C804E3">
        <w:t xml:space="preserve">Assurance </w:t>
      </w:r>
      <w:r w:rsidRPr="00200DFE">
        <w:t>Committee</w:t>
      </w:r>
      <w:r w:rsidR="002B114B">
        <w:t xml:space="preserve"> </w:t>
      </w:r>
      <w:r w:rsidR="00C02541">
        <w:t>(ARAC</w:t>
      </w:r>
      <w:r w:rsidR="004A58D0">
        <w:t xml:space="preserve">), </w:t>
      </w:r>
      <w:r w:rsidR="00153F02" w:rsidRPr="00153F02">
        <w:t>chaired by an appropriately qualified non-executive member of the Board</w:t>
      </w:r>
      <w:r w:rsidR="0057194A">
        <w:t>.</w:t>
      </w:r>
    </w:p>
    <w:p w14:paraId="210DB1FB" w14:textId="6150299A" w:rsidR="00200DFE" w:rsidRDefault="00200DFE" w:rsidP="00D239B5">
      <w:pPr>
        <w:pStyle w:val="ParagraphText-numbered"/>
      </w:pPr>
      <w:r w:rsidRPr="00200DFE">
        <w:t xml:space="preserve">While the </w:t>
      </w:r>
      <w:r w:rsidR="004B28C3">
        <w:t>Board</w:t>
      </w:r>
      <w:r w:rsidRPr="00200DFE">
        <w:t xml:space="preserve"> may make use of committees to assist its consideration of </w:t>
      </w:r>
      <w:r w:rsidR="006B189A">
        <w:t xml:space="preserve">relevant matters, such committees are advisory in nature and responsibility for decisions remain with the Board. The Board </w:t>
      </w:r>
      <w:r w:rsidRPr="00200DFE">
        <w:t>retains responsibility for, and endorses,</w:t>
      </w:r>
      <w:r w:rsidR="00C061A6" w:rsidRPr="00C061A6">
        <w:t xml:space="preserve"> </w:t>
      </w:r>
      <w:r w:rsidR="00C061A6" w:rsidRPr="00CE4955">
        <w:t>advice to the Chief Executive in all of these areas</w:t>
      </w:r>
      <w:r w:rsidRPr="00200DFE">
        <w:t xml:space="preserve">. The </w:t>
      </w:r>
      <w:r w:rsidR="00DA2DB4">
        <w:t>C</w:t>
      </w:r>
      <w:r w:rsidRPr="00200DFE">
        <w:t xml:space="preserve">hair should ensure that sufficient time is allowed at </w:t>
      </w:r>
      <w:r w:rsidR="004B28C3">
        <w:t>Board</w:t>
      </w:r>
      <w:r w:rsidRPr="00200DFE">
        <w:t xml:space="preserve"> </w:t>
      </w:r>
      <w:r w:rsidR="0028235C">
        <w:t>meetin</w:t>
      </w:r>
      <w:r w:rsidR="00435EB6">
        <w:t>g</w:t>
      </w:r>
      <w:r w:rsidR="0028235C">
        <w:t xml:space="preserve">s </w:t>
      </w:r>
      <w:r w:rsidRPr="00200DFE">
        <w:t xml:space="preserve">for committees to report on the nature and content of discussion, on recommendations, and </w:t>
      </w:r>
      <w:r w:rsidR="006B189A">
        <w:t xml:space="preserve">to agree </w:t>
      </w:r>
      <w:r w:rsidRPr="00200DFE">
        <w:t>on actions to be taken.</w:t>
      </w:r>
    </w:p>
    <w:p w14:paraId="5B58E477" w14:textId="36279558" w:rsidR="00D9112F" w:rsidRDefault="00D9112F" w:rsidP="00D239B5">
      <w:pPr>
        <w:pStyle w:val="ParagraphText-numbered"/>
      </w:pPr>
      <w:r>
        <w:t xml:space="preserve">Where there is disagreement between the relevant committee and the Board, adequate time should be made available for discussion of the issue with a view to resolving the disagreement. Where any such disagreement cannot be resolved, the committee concerned should have the right to report the issue to the sponsor team, PAO and responsible </w:t>
      </w:r>
      <w:r w:rsidR="00621D5A">
        <w:t>m</w:t>
      </w:r>
      <w:r>
        <w:t>inister. They may also seek to ensure the disagreement or concern is reflected as part of the report on its activities in the annual report.</w:t>
      </w:r>
    </w:p>
    <w:p w14:paraId="471D85A3" w14:textId="327FD325" w:rsidR="0043586C" w:rsidRDefault="00200DFE" w:rsidP="00D239B5">
      <w:pPr>
        <w:pStyle w:val="ParagraphText-numbered"/>
      </w:pPr>
      <w:r w:rsidRPr="00200DFE">
        <w:t xml:space="preserve">The </w:t>
      </w:r>
      <w:r w:rsidR="009443ED">
        <w:t>C</w:t>
      </w:r>
      <w:r w:rsidRPr="00200DFE">
        <w:t xml:space="preserve">hair </w:t>
      </w:r>
      <w:r w:rsidR="00112B55">
        <w:t>shall</w:t>
      </w:r>
      <w:r w:rsidR="00112B55" w:rsidRPr="00200DFE">
        <w:t xml:space="preserve"> </w:t>
      </w:r>
      <w:r w:rsidRPr="00200DFE">
        <w:t xml:space="preserve">ensure </w:t>
      </w:r>
      <w:r w:rsidR="004B28C3">
        <w:t>Board</w:t>
      </w:r>
      <w:r w:rsidRPr="00200DFE">
        <w:t xml:space="preserve"> committees are properly structured with appropriate terms of reference. The terms of each committee should set out its responsibilities </w:t>
      </w:r>
      <w:r w:rsidR="008515C2">
        <w:t>as set by the Board.</w:t>
      </w:r>
      <w:r w:rsidRPr="00200DFE">
        <w:t xml:space="preserve"> The </w:t>
      </w:r>
      <w:r w:rsidR="009443ED">
        <w:t>C</w:t>
      </w:r>
      <w:r w:rsidRPr="00200DFE">
        <w:t xml:space="preserve">hair </w:t>
      </w:r>
      <w:r w:rsidR="00F9483B">
        <w:t>shall</w:t>
      </w:r>
      <w:r w:rsidR="00F9483B" w:rsidRPr="00200DFE">
        <w:t xml:space="preserve"> </w:t>
      </w:r>
      <w:r w:rsidRPr="00200DFE">
        <w:t xml:space="preserve">ensure that committee membership is periodically refreshed and that individual </w:t>
      </w:r>
      <w:r w:rsidR="007337E0">
        <w:t>NEDs</w:t>
      </w:r>
      <w:r w:rsidRPr="00200DFE">
        <w:t xml:space="preserve"> are not over-burdened when deciding the chairs and membership of committees. </w:t>
      </w:r>
    </w:p>
    <w:p w14:paraId="41E146AF" w14:textId="73321099" w:rsidR="000D301B" w:rsidRPr="00B86E79" w:rsidRDefault="000D301B" w:rsidP="00B86E79">
      <w:pPr>
        <w:ind w:left="717"/>
        <w:rPr>
          <w:rFonts w:ascii="Arial" w:hAnsi="Arial" w:cs="Arial"/>
          <w:b/>
          <w:bCs/>
          <w:sz w:val="24"/>
          <w:szCs w:val="24"/>
        </w:rPr>
      </w:pPr>
      <w:r w:rsidRPr="00B86E79">
        <w:rPr>
          <w:rFonts w:ascii="Arial" w:hAnsi="Arial" w:cs="Arial"/>
          <w:b/>
          <w:bCs/>
          <w:sz w:val="24"/>
          <w:szCs w:val="24"/>
        </w:rPr>
        <w:t>The Audit</w:t>
      </w:r>
      <w:r w:rsidR="00AE630C">
        <w:rPr>
          <w:rFonts w:ascii="Arial" w:hAnsi="Arial" w:cs="Arial"/>
          <w:b/>
          <w:bCs/>
          <w:sz w:val="24"/>
          <w:szCs w:val="24"/>
        </w:rPr>
        <w:t xml:space="preserve">, Risk and </w:t>
      </w:r>
      <w:r w:rsidRPr="00B86E79">
        <w:rPr>
          <w:rFonts w:ascii="Arial" w:hAnsi="Arial" w:cs="Arial"/>
          <w:b/>
          <w:bCs/>
          <w:sz w:val="24"/>
          <w:szCs w:val="24"/>
        </w:rPr>
        <w:t>Assurance Committee</w:t>
      </w:r>
    </w:p>
    <w:p w14:paraId="7A618801" w14:textId="237C175B" w:rsidR="000D301B" w:rsidRDefault="000D301B" w:rsidP="00D239B5">
      <w:pPr>
        <w:pStyle w:val="ParagraphText-numbered"/>
      </w:pPr>
      <w:r w:rsidRPr="005C1AC4">
        <w:t xml:space="preserve">The </w:t>
      </w:r>
      <w:r>
        <w:t>Board</w:t>
      </w:r>
      <w:r w:rsidRPr="005C1AC4">
        <w:t xml:space="preserve"> must </w:t>
      </w:r>
      <w:r>
        <w:t>have</w:t>
      </w:r>
      <w:r w:rsidRPr="005C1AC4">
        <w:t xml:space="preserve"> an Audit and Risk Assurance Committee </w:t>
      </w:r>
      <w:r>
        <w:t xml:space="preserve">(ARAC) </w:t>
      </w:r>
      <w:r w:rsidRPr="005C1AC4">
        <w:t xml:space="preserve">chaired by an independent and appropriately qualified </w:t>
      </w:r>
      <w:r>
        <w:t>NED</w:t>
      </w:r>
      <w:r w:rsidRPr="005C1AC4">
        <w:t xml:space="preserve"> to provide independent advice </w:t>
      </w:r>
      <w:r w:rsidRPr="00484099">
        <w:t xml:space="preserve">and ensure that the Department’s Audit and Risk Committee </w:t>
      </w:r>
      <w:r w:rsidR="00081975">
        <w:t xml:space="preserve">is </w:t>
      </w:r>
      <w:r w:rsidRPr="00484099">
        <w:t>provided with routine assurances, with escalation of any significant limitations or concerns.</w:t>
      </w:r>
      <w:r w:rsidRPr="005C1AC4">
        <w:t xml:space="preserve"> The </w:t>
      </w:r>
      <w:r>
        <w:t>Board</w:t>
      </w:r>
      <w:r w:rsidRPr="005C1AC4">
        <w:t xml:space="preserve"> is expected to assure itself of the adequacy and effectiveness of the risk management framework and the operation of internal control</w:t>
      </w:r>
      <w:r>
        <w:t>.</w:t>
      </w:r>
    </w:p>
    <w:p w14:paraId="5792045E" w14:textId="77777777" w:rsidR="00867D05" w:rsidRDefault="00AC1625" w:rsidP="00D239B5">
      <w:pPr>
        <w:pStyle w:val="ParagraphText-numbered"/>
      </w:pPr>
      <w:r>
        <w:t xml:space="preserve">This committee shall report </w:t>
      </w:r>
      <w:r w:rsidRPr="00DA7D41">
        <w:t xml:space="preserve">independently to the AO and the Agency </w:t>
      </w:r>
      <w:r>
        <w:t>Board</w:t>
      </w:r>
      <w:r w:rsidRPr="00DA7D41">
        <w:t xml:space="preserve"> on the adequacy of the Agency’s governance arrangements, including: the risk management framework and the associated control environment; the Agency’s financial and non-financial performance to the extent that it affects the Agency’s exposure to risk and weakens the control environment; and oversight of the financial reporting process and scrutiny of the </w:t>
      </w:r>
      <w:r>
        <w:t>HM Treasury</w:t>
      </w:r>
      <w:r w:rsidRPr="00DA7D41">
        <w:t xml:space="preserve"> management strategy and policies. It has sight of the corporate risk register at each of its meetings. </w:t>
      </w:r>
    </w:p>
    <w:p w14:paraId="00D7C1B5" w14:textId="57EE0828" w:rsidR="00B86E79" w:rsidRPr="00B86E79" w:rsidRDefault="00AC1625" w:rsidP="00D239B5">
      <w:pPr>
        <w:pStyle w:val="ParagraphText-numbered"/>
      </w:pPr>
      <w:r w:rsidRPr="00DA7D41">
        <w:t xml:space="preserve">The risk register is also shared with the </w:t>
      </w:r>
      <w:r>
        <w:t>Department</w:t>
      </w:r>
      <w:r w:rsidRPr="00DA7D41">
        <w:t xml:space="preserve"> to enable the </w:t>
      </w:r>
      <w:r>
        <w:t>Department</w:t>
      </w:r>
      <w:r w:rsidRPr="00DA7D41">
        <w:t xml:space="preserve"> to assure itself on risk management. The internal and external auditors and the </w:t>
      </w:r>
      <w:r>
        <w:t>sponsorship team</w:t>
      </w:r>
      <w:r w:rsidRPr="00DA7D41">
        <w:t xml:space="preserve"> </w:t>
      </w:r>
      <w:r w:rsidR="0026083A">
        <w:t>are</w:t>
      </w:r>
      <w:r w:rsidRPr="00DA7D41">
        <w:t xml:space="preserve"> invited to all meetings and must </w:t>
      </w:r>
      <w:r w:rsidR="0026083A">
        <w:t xml:space="preserve">have access to </w:t>
      </w:r>
      <w:r w:rsidRPr="00DA7D41">
        <w:t>all the papers</w:t>
      </w:r>
      <w:r w:rsidR="007A6294" w:rsidRPr="00B86E79">
        <w:rPr>
          <w:b/>
          <w:bCs/>
        </w:rPr>
        <w:t xml:space="preserve">. </w:t>
      </w:r>
    </w:p>
    <w:p w14:paraId="18285811" w14:textId="5403C95F" w:rsidR="005C1AC4" w:rsidRPr="005C1AC4" w:rsidRDefault="005C1AC4" w:rsidP="00D02D7B">
      <w:pPr>
        <w:pStyle w:val="Heading2"/>
      </w:pPr>
      <w:bookmarkStart w:id="34" w:name="_Toc153466353"/>
      <w:r w:rsidRPr="00F21C11">
        <w:t>The Chair’s Role and Responsibilities</w:t>
      </w:r>
      <w:bookmarkEnd w:id="34"/>
    </w:p>
    <w:p w14:paraId="79A9AAEE" w14:textId="27F1FB36" w:rsidR="005C1AC4" w:rsidRDefault="005C1AC4" w:rsidP="00D239B5">
      <w:pPr>
        <w:pStyle w:val="ParagraphText-numbered"/>
      </w:pPr>
      <w:r>
        <w:t xml:space="preserve">The Chair is responsible for leading the </w:t>
      </w:r>
      <w:r w:rsidR="004B28C3">
        <w:t>Board</w:t>
      </w:r>
      <w:r>
        <w:t xml:space="preserve"> in the delivery of its responsibilities. Such responsibility should be exercised in the light of their duties and responsibilities as set out in the </w:t>
      </w:r>
      <w:r w:rsidR="004B28C3">
        <w:t>Chair</w:t>
      </w:r>
      <w:r>
        <w:t xml:space="preserve">’s contract of employment, any appointment letter, </w:t>
      </w:r>
      <w:r w:rsidR="003D7AE5">
        <w:t>the Framework Document</w:t>
      </w:r>
      <w:r>
        <w:t xml:space="preserve"> and the documents and guidance referred to within this document. </w:t>
      </w:r>
    </w:p>
    <w:p w14:paraId="7D0F5DAD" w14:textId="0C34B524" w:rsidR="005C1AC4" w:rsidRDefault="005C1AC4" w:rsidP="00D239B5">
      <w:pPr>
        <w:pStyle w:val="ParagraphText-numbered"/>
      </w:pPr>
      <w:r>
        <w:t xml:space="preserve">Communications between the </w:t>
      </w:r>
      <w:r w:rsidR="00D576CB">
        <w:t>Agency’s</w:t>
      </w:r>
      <w:r>
        <w:t xml:space="preserve"> </w:t>
      </w:r>
      <w:r w:rsidR="004B28C3">
        <w:t>Board</w:t>
      </w:r>
      <w:r>
        <w:t xml:space="preserve"> and the </w:t>
      </w:r>
      <w:r w:rsidR="004B6126">
        <w:t>responsible</w:t>
      </w:r>
      <w:r w:rsidR="00014C02">
        <w:t xml:space="preserve"> minister</w:t>
      </w:r>
      <w:r>
        <w:t xml:space="preserve"> should normally be through the Chair. </w:t>
      </w:r>
    </w:p>
    <w:p w14:paraId="780548AB" w14:textId="539F825E" w:rsidR="005C1AC4" w:rsidRDefault="005C1AC4" w:rsidP="00D239B5">
      <w:pPr>
        <w:pStyle w:val="ParagraphText-numbered"/>
      </w:pPr>
      <w:r>
        <w:t xml:space="preserve">The Chair </w:t>
      </w:r>
      <w:r w:rsidR="00D576CB">
        <w:t>i</w:t>
      </w:r>
      <w:r>
        <w:t xml:space="preserve">s bound by the Code of Conduct for </w:t>
      </w:r>
      <w:r w:rsidR="004B28C3">
        <w:t>Board</w:t>
      </w:r>
      <w:r>
        <w:t xml:space="preserve"> Members of Public Bodies, which covers conduct in the role and includes the Nolan Principles of Public Life.</w:t>
      </w:r>
    </w:p>
    <w:p w14:paraId="7DC1C03A" w14:textId="720156FF" w:rsidR="005C1AC4" w:rsidRDefault="001B26FF" w:rsidP="00D239B5">
      <w:pPr>
        <w:pStyle w:val="ParagraphText-numbered"/>
      </w:pPr>
      <w:r>
        <w:t>T</w:t>
      </w:r>
      <w:r w:rsidR="005C1AC4">
        <w:t xml:space="preserve">he Chair is responsible for: </w:t>
      </w:r>
    </w:p>
    <w:p w14:paraId="0CF877DF" w14:textId="1ADC17A5" w:rsidR="005C1AC4" w:rsidRDefault="00D576CB" w:rsidP="00D239B5">
      <w:pPr>
        <w:pStyle w:val="Style8"/>
      </w:pPr>
      <w:r>
        <w:t>e</w:t>
      </w:r>
      <w:r w:rsidR="005C1AC4">
        <w:t>nsuring</w:t>
      </w:r>
      <w:r>
        <w:t>,</w:t>
      </w:r>
      <w:r w:rsidR="005C1AC4">
        <w:t xml:space="preserve"> including by monitoring and engaging with appropriate governance arrangements</w:t>
      </w:r>
      <w:r>
        <w:t>,</w:t>
      </w:r>
      <w:r w:rsidR="005C1AC4">
        <w:t xml:space="preserve"> that the </w:t>
      </w:r>
      <w:r>
        <w:t>Agency’</w:t>
      </w:r>
      <w:r w:rsidR="005C1AC4">
        <w:t>s affairs are conducted with probity</w:t>
      </w:r>
      <w:r>
        <w:t>; and</w:t>
      </w:r>
    </w:p>
    <w:p w14:paraId="331B50CC" w14:textId="681AE42D" w:rsidR="005C1AC4" w:rsidRDefault="005C1AC4" w:rsidP="00D239B5">
      <w:pPr>
        <w:pStyle w:val="Style8"/>
      </w:pPr>
      <w:r>
        <w:t xml:space="preserve">ensuring that policies and actions support the </w:t>
      </w:r>
      <w:r w:rsidR="004B6126">
        <w:t>responsible</w:t>
      </w:r>
      <w:r w:rsidR="00014C02">
        <w:t xml:space="preserve"> minister</w:t>
      </w:r>
      <w:r>
        <w:t>’s</w:t>
      </w:r>
      <w:r w:rsidR="00D576CB">
        <w:t xml:space="preserve"> </w:t>
      </w:r>
      <w:r>
        <w:t>wider strategic policies and</w:t>
      </w:r>
      <w:r w:rsidR="00BB2C82">
        <w:t xml:space="preserve"> that</w:t>
      </w:r>
      <w:r w:rsidR="00D576CB">
        <w:t>,</w:t>
      </w:r>
      <w:r>
        <w:t xml:space="preserve"> where appropriate, these policies and actions should be clearly communicated and disseminated throughout the </w:t>
      </w:r>
      <w:r w:rsidR="00D576CB">
        <w:t>Agency</w:t>
      </w:r>
      <w:r>
        <w:t xml:space="preserve">. </w:t>
      </w:r>
    </w:p>
    <w:p w14:paraId="39F77116" w14:textId="37EED27E" w:rsidR="005C1AC4" w:rsidRDefault="005C1AC4" w:rsidP="00D239B5">
      <w:pPr>
        <w:pStyle w:val="ParagraphText-numbered"/>
      </w:pPr>
      <w:r>
        <w:t>The Chair has the following leadership responsibilities</w:t>
      </w:r>
      <w:r w:rsidR="00783236">
        <w:t>,</w:t>
      </w:r>
      <w:r w:rsidR="00D42106" w:rsidRPr="00D42106">
        <w:t xml:space="preserve"> in support of the Chief Executive who holds formal responsibility for </w:t>
      </w:r>
      <w:r w:rsidR="00D42106">
        <w:t>the Agency</w:t>
      </w:r>
      <w:r>
        <w:t xml:space="preserve">: </w:t>
      </w:r>
    </w:p>
    <w:p w14:paraId="7B127290" w14:textId="2B4193BC" w:rsidR="00783236" w:rsidRDefault="00234415" w:rsidP="00D239B5">
      <w:pPr>
        <w:pStyle w:val="Style8"/>
      </w:pPr>
      <w:r>
        <w:t>l</w:t>
      </w:r>
      <w:r w:rsidR="002B234B">
        <w:t xml:space="preserve">eading the Board in development of strategic approaches to the Agency’s objectives </w:t>
      </w:r>
      <w:r w:rsidR="00310A20" w:rsidRPr="00310A20">
        <w:t xml:space="preserve">and ensuring that, in reaching decisions, </w:t>
      </w:r>
      <w:r w:rsidR="00310A20">
        <w:t xml:space="preserve">it </w:t>
      </w:r>
      <w:r w:rsidR="00310A20" w:rsidRPr="00310A20">
        <w:t xml:space="preserve">takes proper account of guidance provided by the </w:t>
      </w:r>
      <w:r w:rsidR="00BC590E">
        <w:t>responsible minister</w:t>
      </w:r>
      <w:r w:rsidR="00310A20" w:rsidRPr="00310A20">
        <w:t xml:space="preserve"> or the Department</w:t>
      </w:r>
      <w:r w:rsidR="000A5F6E">
        <w:t>;</w:t>
      </w:r>
    </w:p>
    <w:p w14:paraId="1CFD4935" w14:textId="77777777" w:rsidR="00FE6B26" w:rsidRDefault="00FE6B26" w:rsidP="00D239B5">
      <w:pPr>
        <w:pStyle w:val="Style8"/>
      </w:pPr>
      <w:r w:rsidRPr="00C11A6A">
        <w:t xml:space="preserve">establishing sound governance for the Agency including through ensuring effective non-executive leadership of </w:t>
      </w:r>
      <w:r>
        <w:t>ARAC</w:t>
      </w:r>
      <w:r w:rsidRPr="00C11A6A">
        <w:t xml:space="preserve"> and establishing and maintaining other committees and sub-committees as needed;</w:t>
      </w:r>
    </w:p>
    <w:p w14:paraId="644DC976" w14:textId="77777777" w:rsidR="000A5F6E" w:rsidRPr="00F336A3" w:rsidRDefault="000A5F6E" w:rsidP="00D239B5">
      <w:pPr>
        <w:pStyle w:val="Style8"/>
      </w:pPr>
      <w:r w:rsidRPr="00F336A3">
        <w:t xml:space="preserve">developing and maintaining a diverse and high-performing non-executive Board team, helping to foster collaborative relationships at all levels within </w:t>
      </w:r>
      <w:r>
        <w:t>the Agency</w:t>
      </w:r>
      <w:r w:rsidRPr="00F336A3">
        <w:t>, with the Department, across government and Devolved Administrations, and with other key stakeholders;</w:t>
      </w:r>
    </w:p>
    <w:p w14:paraId="5A90EF38" w14:textId="68AC5124" w:rsidR="007340DF" w:rsidRPr="007340DF" w:rsidRDefault="005C1AC4" w:rsidP="00D239B5">
      <w:pPr>
        <w:pStyle w:val="Style8"/>
      </w:pPr>
      <w:r>
        <w:t>delivering high standards of regularity and propriety</w:t>
      </w:r>
      <w:r w:rsidR="007340DF">
        <w:t xml:space="preserve">, including that the </w:t>
      </w:r>
      <w:r w:rsidR="007340DF" w:rsidRPr="007340DF">
        <w:t>Agency adheres to good financial principles, as set out in MPM and the Cabinet Office’s Partnerships between Departments and Arm’s Length Bodies: Code of Good Practice;</w:t>
      </w:r>
    </w:p>
    <w:p w14:paraId="25E91F52" w14:textId="34152C66" w:rsidR="002C0AB1" w:rsidRDefault="00783236" w:rsidP="00D239B5">
      <w:pPr>
        <w:pStyle w:val="Style8"/>
      </w:pPr>
      <w:r>
        <w:t xml:space="preserve">ensuring the executives are supported and held to account for the Agency’s performance and delivery of the objectives as set out in the </w:t>
      </w:r>
      <w:r w:rsidR="00BC590E">
        <w:t xml:space="preserve">annual </w:t>
      </w:r>
      <w:r>
        <w:t xml:space="preserve">business </w:t>
      </w:r>
      <w:r w:rsidR="00BC590E">
        <w:t>plan</w:t>
      </w:r>
      <w:r w:rsidR="007340DF">
        <w:t>;</w:t>
      </w:r>
      <w:r w:rsidR="00217F65">
        <w:t xml:space="preserve"> and</w:t>
      </w:r>
    </w:p>
    <w:p w14:paraId="43CE86B0" w14:textId="237C6053" w:rsidR="00783236" w:rsidRDefault="002C0AB1" w:rsidP="00D239B5">
      <w:pPr>
        <w:pStyle w:val="Style8"/>
      </w:pPr>
      <w:r w:rsidRPr="002C0AB1">
        <w:t xml:space="preserve">supporting the Chief Executive in promoting the efficient and effective use of staff and other resources, and ensuring that the appropriate organisational culture, values, behaviours and capability are in place to enable </w:t>
      </w:r>
      <w:r>
        <w:t xml:space="preserve">the Agency </w:t>
      </w:r>
      <w:r w:rsidRPr="002C0AB1">
        <w:t>to fulfil its function and deliver its mission</w:t>
      </w:r>
      <w:r w:rsidR="00217F65">
        <w:t>.</w:t>
      </w:r>
    </w:p>
    <w:p w14:paraId="64BA1DB3" w14:textId="14816F24" w:rsidR="005C1AC4" w:rsidRDefault="005C1AC4" w:rsidP="00D239B5">
      <w:pPr>
        <w:pStyle w:val="ParagraphText-numbered"/>
      </w:pPr>
      <w:r>
        <w:t xml:space="preserve">The Chair also has an obligation to ensure that: </w:t>
      </w:r>
    </w:p>
    <w:p w14:paraId="53124B85" w14:textId="692AC3F6" w:rsidR="005C1AC4" w:rsidRDefault="005C1AC4" w:rsidP="00D239B5">
      <w:pPr>
        <w:pStyle w:val="Style8"/>
      </w:pPr>
      <w:r>
        <w:t xml:space="preserve">the work of the </w:t>
      </w:r>
      <w:r w:rsidR="004B28C3">
        <w:t>Board</w:t>
      </w:r>
      <w:r>
        <w:t xml:space="preserve"> and its members </w:t>
      </w:r>
      <w:r w:rsidR="00AF3AA4">
        <w:t xml:space="preserve">is </w:t>
      </w:r>
      <w:r>
        <w:t xml:space="preserve">reviewed and </w:t>
      </w:r>
      <w:r w:rsidR="00AF3AA4">
        <w:t xml:space="preserve">is </w:t>
      </w:r>
      <w:r>
        <w:t>working effectively</w:t>
      </w:r>
      <w:r w:rsidR="00AB2639">
        <w:t>,</w:t>
      </w:r>
      <w:r>
        <w:t xml:space="preserve"> including ongoing assessment of the performance of individual </w:t>
      </w:r>
      <w:r w:rsidR="004B28C3">
        <w:t>Board</w:t>
      </w:r>
      <w:r>
        <w:t xml:space="preserve"> members with a formal annual evaluation and more in-depth assessments of the performance of individual </w:t>
      </w:r>
      <w:r w:rsidR="004B28C3">
        <w:t>Board</w:t>
      </w:r>
      <w:r>
        <w:t xml:space="preserve"> members when being considered for re-appointment; </w:t>
      </w:r>
    </w:p>
    <w:p w14:paraId="705ABCDE" w14:textId="77777777" w:rsidR="001B4373" w:rsidRDefault="001B4373" w:rsidP="00D239B5">
      <w:pPr>
        <w:pStyle w:val="Style8"/>
      </w:pPr>
      <w:r w:rsidRPr="001B4373">
        <w:t xml:space="preserve">in conducting assessments, the views of relevant stakeholders including employees and the sponsor team are sought and considered; </w:t>
      </w:r>
    </w:p>
    <w:p w14:paraId="7FCD6168" w14:textId="77777777" w:rsidR="002B234B" w:rsidRDefault="00B64ED8" w:rsidP="00D239B5">
      <w:pPr>
        <w:pStyle w:val="Style8"/>
      </w:pPr>
      <w:r>
        <w:t xml:space="preserve">the Board has a balance of skills appropriate to directing the Agency’s business, </w:t>
      </w:r>
    </w:p>
    <w:p w14:paraId="1BDCD3AC" w14:textId="0D5329D7" w:rsidR="00B64ED8" w:rsidRDefault="00277C5A" w:rsidP="00D239B5">
      <w:pPr>
        <w:pStyle w:val="Style8"/>
      </w:pPr>
      <w:r>
        <w:t>NEDs</w:t>
      </w:r>
      <w:r w:rsidR="00B64ED8">
        <w:t xml:space="preserve"> continually update their skills, knowledge and familiarity with the Agency to fulfil their role both on the Board and committees. This will include, but not be limited to, skills and training in relation to financial management and reporting requirements, risk management and the requirements of Board membership within the public sector; </w:t>
      </w:r>
    </w:p>
    <w:p w14:paraId="7D91E324" w14:textId="6302CE26" w:rsidR="00B64ED8" w:rsidRDefault="00B50D29" w:rsidP="00D239B5">
      <w:pPr>
        <w:pStyle w:val="Style8"/>
      </w:pPr>
      <w:r>
        <w:t>NEDs</w:t>
      </w:r>
      <w:r w:rsidR="00B64ED8">
        <w:t xml:space="preserve"> are fully briefed on terms of appointment, duties, rights and responsibilities; </w:t>
      </w:r>
    </w:p>
    <w:p w14:paraId="1319E8D8" w14:textId="29B6A2CB" w:rsidR="004A0567" w:rsidRDefault="004A0567" w:rsidP="00D239B5">
      <w:pPr>
        <w:pStyle w:val="Style8"/>
      </w:pPr>
      <w:r>
        <w:t xml:space="preserve">together with the other Board members, </w:t>
      </w:r>
      <w:r w:rsidR="00AF3AA4">
        <w:t xml:space="preserve">they </w:t>
      </w:r>
      <w:r>
        <w:t xml:space="preserve">receive appropriate training on financial management and reporting requirements and on any differences that may exist between private and public sector practice; </w:t>
      </w:r>
    </w:p>
    <w:p w14:paraId="3E62496C" w14:textId="7DBEA4EC" w:rsidR="001B4373" w:rsidRDefault="001B4373" w:rsidP="00D239B5">
      <w:pPr>
        <w:pStyle w:val="Style8"/>
      </w:pPr>
      <w:r>
        <w:t>the responsible minister</w:t>
      </w:r>
      <w:r w:rsidR="004A0567">
        <w:t xml:space="preserve">, through the Department, </w:t>
      </w:r>
      <w:r>
        <w:t xml:space="preserve">is advised of the Agency’s needs when Board vacancies arise; </w:t>
      </w:r>
    </w:p>
    <w:p w14:paraId="71BA37F7" w14:textId="12FB0ABC" w:rsidR="005C1AC4" w:rsidRDefault="005C1AC4" w:rsidP="00D239B5">
      <w:pPr>
        <w:pStyle w:val="Style8"/>
      </w:pPr>
      <w:r>
        <w:t xml:space="preserve">there is a </w:t>
      </w:r>
      <w:r w:rsidR="004B28C3">
        <w:t>Board</w:t>
      </w:r>
      <w:r>
        <w:t xml:space="preserve"> Operating Framework</w:t>
      </w:r>
      <w:r w:rsidR="009B0708">
        <w:t xml:space="preserve"> and Board’s Terms of Reference</w:t>
      </w:r>
      <w:r>
        <w:t xml:space="preserve"> in place</w:t>
      </w:r>
      <w:r w:rsidR="00A81C97">
        <w:t>,</w:t>
      </w:r>
      <w:r>
        <w:t xml:space="preserve"> setting out the role and responsibilities of the </w:t>
      </w:r>
      <w:r w:rsidR="004B28C3">
        <w:t>Board</w:t>
      </w:r>
      <w:r w:rsidR="00A81C97">
        <w:t>, as well the principles that underpin these</w:t>
      </w:r>
      <w:r w:rsidR="00AB2639">
        <w:t>,</w:t>
      </w:r>
      <w:r>
        <w:t xml:space="preserve"> </w:t>
      </w:r>
      <w:r w:rsidR="00A81C97">
        <w:t xml:space="preserve">which should be </w:t>
      </w:r>
      <w:r>
        <w:t>consistent with the Government Code of Good Practice for Corporate Governance</w:t>
      </w:r>
      <w:r w:rsidR="00AB2639">
        <w:t>;</w:t>
      </w:r>
      <w:r>
        <w:t xml:space="preserve"> </w:t>
      </w:r>
      <w:r w:rsidR="00AB2639">
        <w:t>and</w:t>
      </w:r>
    </w:p>
    <w:p w14:paraId="46FBE6FA" w14:textId="43D77795" w:rsidR="005C1AC4" w:rsidRDefault="005C1AC4" w:rsidP="00D239B5">
      <w:pPr>
        <w:pStyle w:val="Style8"/>
      </w:pPr>
      <w:r>
        <w:t xml:space="preserve">there is a code of practice for </w:t>
      </w:r>
      <w:r w:rsidR="004B28C3">
        <w:t>Board</w:t>
      </w:r>
      <w:r>
        <w:t xml:space="preserve"> members in place, consistent with the Cabinet Office Code of Conduct for </w:t>
      </w:r>
      <w:r w:rsidR="004B28C3">
        <w:t>Board</w:t>
      </w:r>
      <w:r>
        <w:t xml:space="preserve"> Members of Public Bodies. </w:t>
      </w:r>
    </w:p>
    <w:p w14:paraId="165C3BE6" w14:textId="77777777" w:rsidR="00AB4DB9" w:rsidRDefault="00AB4DB9" w:rsidP="00D239B5">
      <w:pPr>
        <w:pStyle w:val="ParagraphText-numbered"/>
      </w:pPr>
      <w:r w:rsidRPr="00601926">
        <w:t xml:space="preserve">The Chair will meet the Secretary of State, or </w:t>
      </w:r>
      <w:r>
        <w:t>responsible minister</w:t>
      </w:r>
      <w:r w:rsidRPr="00601926">
        <w:t xml:space="preserve"> (or their nominee) at least once a year, including at an annual accountability meeting.</w:t>
      </w:r>
    </w:p>
    <w:p w14:paraId="30DBA1EE" w14:textId="2562A886" w:rsidR="00CF3AFA" w:rsidRPr="00CF3AFA" w:rsidRDefault="00CB72DD" w:rsidP="00D02D7B">
      <w:pPr>
        <w:pStyle w:val="Heading2"/>
      </w:pPr>
      <w:bookmarkStart w:id="35" w:name="_Toc153466354"/>
      <w:r>
        <w:t>N</w:t>
      </w:r>
      <w:r w:rsidR="00AE630C">
        <w:t>on-</w:t>
      </w:r>
      <w:r>
        <w:t>E</w:t>
      </w:r>
      <w:r w:rsidR="00AE630C">
        <w:t xml:space="preserve">xecutive </w:t>
      </w:r>
      <w:r>
        <w:t>D</w:t>
      </w:r>
      <w:r w:rsidR="00AE630C">
        <w:t>irector</w:t>
      </w:r>
      <w:r>
        <w:t>s</w:t>
      </w:r>
      <w:r w:rsidR="00CF3AFA" w:rsidRPr="00CF3AFA">
        <w:t>’ responsibilities</w:t>
      </w:r>
      <w:bookmarkEnd w:id="35"/>
    </w:p>
    <w:p w14:paraId="393F8EB1" w14:textId="785D64FA" w:rsidR="000C6B16" w:rsidRDefault="00AF3AA4" w:rsidP="00D239B5">
      <w:pPr>
        <w:pStyle w:val="ParagraphText-numbered"/>
      </w:pPr>
      <w:r>
        <w:t xml:space="preserve">The </w:t>
      </w:r>
      <w:r w:rsidR="0027617A">
        <w:t xml:space="preserve">NEDs </w:t>
      </w:r>
      <w:r w:rsidR="00AE11B8">
        <w:t xml:space="preserve">bring </w:t>
      </w:r>
      <w:r w:rsidR="004F29A7">
        <w:t xml:space="preserve">the skills and experience </w:t>
      </w:r>
      <w:r>
        <w:t xml:space="preserve">to the Board </w:t>
      </w:r>
      <w:r w:rsidR="004F29A7">
        <w:t xml:space="preserve">that are considered appropriate as agreed between the Agency and the Department. </w:t>
      </w:r>
      <w:r>
        <w:t xml:space="preserve">The </w:t>
      </w:r>
      <w:r w:rsidR="004F29A7">
        <w:t xml:space="preserve">NEDs </w:t>
      </w:r>
      <w:r w:rsidR="0027617A" w:rsidRPr="0027617A">
        <w:t xml:space="preserve">are appointed to provide independent and constructive challenge to enable the Board to </w:t>
      </w:r>
      <w:r w:rsidR="00133FCF">
        <w:t xml:space="preserve">deliver </w:t>
      </w:r>
      <w:r w:rsidR="0027617A" w:rsidRPr="0027617A">
        <w:t>its responsibilities</w:t>
      </w:r>
      <w:r w:rsidR="001A392C">
        <w:t>; in doing so, a</w:t>
      </w:r>
      <w:r w:rsidR="0027617A" w:rsidRPr="0027617A">
        <w:t xml:space="preserve">ll NEDs must be independent of management and must allocate sufficient time to the Agency Board to discharge their responsibilities effectively. This includes ensuring that high standards of corporate governance are observed at all times and ensuring that the Agency operates in an open, accountable and responsive way. </w:t>
      </w:r>
    </w:p>
    <w:p w14:paraId="408B55AF" w14:textId="6E6F2732" w:rsidR="00CF3AFA" w:rsidRPr="00CF3AFA" w:rsidRDefault="00CB72DD" w:rsidP="00D239B5">
      <w:pPr>
        <w:pStyle w:val="ParagraphText-numbered"/>
      </w:pPr>
      <w:r>
        <w:t>NEDs</w:t>
      </w:r>
      <w:r w:rsidR="00CF3AFA" w:rsidRPr="00CF3AFA">
        <w:t xml:space="preserve"> should: </w:t>
      </w:r>
    </w:p>
    <w:p w14:paraId="3C62F756" w14:textId="06C82388" w:rsidR="00CF3AFA" w:rsidRPr="00CF3AFA" w:rsidRDefault="00CF3AFA" w:rsidP="00D239B5">
      <w:pPr>
        <w:pStyle w:val="Style8"/>
      </w:pPr>
      <w:r w:rsidRPr="00CF3AFA">
        <w:t xml:space="preserve">comply at all times with the Code of Conduct for </w:t>
      </w:r>
      <w:r w:rsidR="004B28C3">
        <w:t>Board</w:t>
      </w:r>
      <w:r w:rsidRPr="00CF3AFA">
        <w:t xml:space="preserve"> Members of Public Bodies, which covers conduct in the role and includes the Nolan Principles of Public Life</w:t>
      </w:r>
      <w:r w:rsidR="00AB2639">
        <w:t>,</w:t>
      </w:r>
      <w:r w:rsidRPr="00CF3AFA">
        <w:t xml:space="preserve"> as well as rules relating to the use of public funds and to conflicts of interest; </w:t>
      </w:r>
    </w:p>
    <w:p w14:paraId="3BB77323" w14:textId="4707D2B3" w:rsidR="00CF3AFA" w:rsidRPr="00CF3AFA" w:rsidRDefault="00CF3AFA" w:rsidP="00D239B5">
      <w:pPr>
        <w:pStyle w:val="Style8"/>
      </w:pPr>
      <w:r w:rsidRPr="00CF3AFA">
        <w:t xml:space="preserve">demonstrate adherence to the 12 Principles of Governance for all Public Body Non-Executive Directors as appropriate; </w:t>
      </w:r>
    </w:p>
    <w:p w14:paraId="07C8D7D7" w14:textId="53500386" w:rsidR="00CF3AFA" w:rsidRPr="00CF3AFA" w:rsidRDefault="00CF3AFA" w:rsidP="00D239B5">
      <w:pPr>
        <w:pStyle w:val="Style8"/>
      </w:pPr>
      <w:r w:rsidRPr="00CF3AFA">
        <w:t xml:space="preserve">not misuse information gained in the course of their public service for personal gain or for political profit, nor seek to use the opportunity of public service to promote their private interests or those of connected persons or organisations; </w:t>
      </w:r>
    </w:p>
    <w:p w14:paraId="3F0D0994" w14:textId="2EA51E5D" w:rsidR="00CF3AFA" w:rsidRPr="00CF3AFA" w:rsidRDefault="00CF3AFA" w:rsidP="00D239B5">
      <w:pPr>
        <w:pStyle w:val="Style8"/>
      </w:pPr>
      <w:r w:rsidRPr="00CF3AFA">
        <w:t xml:space="preserve">comply with the </w:t>
      </w:r>
      <w:r w:rsidR="004B28C3">
        <w:t>Board</w:t>
      </w:r>
      <w:r w:rsidRPr="00CF3AFA">
        <w:t xml:space="preserve">’s rules on the acceptance of gifts and hospitality, and of business appointments; </w:t>
      </w:r>
    </w:p>
    <w:p w14:paraId="72354EA0" w14:textId="06B8195B" w:rsidR="00CF3AFA" w:rsidRDefault="00CF3AFA" w:rsidP="00D239B5">
      <w:pPr>
        <w:pStyle w:val="Style8"/>
      </w:pPr>
      <w:r w:rsidRPr="00CF3AFA">
        <w:t>act in good faith and in the best interests of the</w:t>
      </w:r>
      <w:r w:rsidR="00AB2639">
        <w:t xml:space="preserve"> Agency</w:t>
      </w:r>
      <w:r w:rsidRPr="00CF3AFA">
        <w:t xml:space="preserve">; </w:t>
      </w:r>
      <w:r w:rsidR="00AB2639">
        <w:t>and</w:t>
      </w:r>
    </w:p>
    <w:p w14:paraId="0216447E" w14:textId="50CAE366" w:rsidR="00CF3AFA" w:rsidRDefault="00CF3AFA" w:rsidP="00D239B5">
      <w:pPr>
        <w:pStyle w:val="Style8"/>
      </w:pPr>
      <w:r w:rsidRPr="00CF3AFA">
        <w:t xml:space="preserve">ensure they are familiar with any applicable guidance on the role of Public Sector </w:t>
      </w:r>
      <w:r w:rsidR="009955CC">
        <w:t>NEDs</w:t>
      </w:r>
      <w:r w:rsidRPr="00CF3AFA">
        <w:t xml:space="preserve"> and </w:t>
      </w:r>
      <w:r w:rsidR="004B28C3">
        <w:t>Board</w:t>
      </w:r>
      <w:r w:rsidRPr="00CF3AFA">
        <w:t xml:space="preserve">s that may be issued from time to time by the Cabinet Office, </w:t>
      </w:r>
      <w:r w:rsidR="007A5C18">
        <w:t>HM Treasury</w:t>
      </w:r>
      <w:r w:rsidRPr="00CF3AFA">
        <w:t xml:space="preserve"> or wider government. </w:t>
      </w:r>
    </w:p>
    <w:p w14:paraId="31F73C71" w14:textId="7CB64F2B" w:rsidR="00AD1B9F" w:rsidRDefault="00AD1B9F" w:rsidP="00D239B5">
      <w:pPr>
        <w:pStyle w:val="ParagraphText-numbered"/>
      </w:pPr>
      <w:r>
        <w:t>NEDs</w:t>
      </w:r>
      <w:r w:rsidRPr="00175657">
        <w:t xml:space="preserve"> </w:t>
      </w:r>
      <w:r w:rsidR="006B0023">
        <w:t>must</w:t>
      </w:r>
      <w:r w:rsidRPr="00175657">
        <w:t xml:space="preserve"> not represent any specific customer, sectoral or stakeholder interests. </w:t>
      </w:r>
      <w:r w:rsidR="004168B8">
        <w:t>NEDs are subject to the stringent MHRA Conflict of Interest policy</w:t>
      </w:r>
      <w:r w:rsidR="00632C4B">
        <w:rPr>
          <w:rStyle w:val="FootnoteReference"/>
        </w:rPr>
        <w:footnoteReference w:id="9"/>
      </w:r>
      <w:r w:rsidR="00860287">
        <w:t xml:space="preserve"> </w:t>
      </w:r>
      <w:r w:rsidR="004168B8">
        <w:t>in exercising their duties.</w:t>
      </w:r>
    </w:p>
    <w:p w14:paraId="7EADE476" w14:textId="16F66A97" w:rsidR="00CF695A" w:rsidRDefault="001F0EC8" w:rsidP="00D239B5">
      <w:pPr>
        <w:pStyle w:val="ParagraphText-numbered"/>
      </w:pPr>
      <w:r>
        <w:t>The Secretary of State may remove the Agency’s Chair and any NED from the Board on the grounds of misbehaviour or failure to carry out their duties.</w:t>
      </w:r>
    </w:p>
    <w:p w14:paraId="4432BB37" w14:textId="47EB7044" w:rsidR="00C156DE" w:rsidRPr="002662BE" w:rsidRDefault="00C156DE" w:rsidP="00D02D7B">
      <w:pPr>
        <w:pStyle w:val="Heading1"/>
      </w:pPr>
      <w:bookmarkStart w:id="36" w:name="_Toc153466355"/>
      <w:r w:rsidRPr="002662BE">
        <w:t>Management and financial responsibilities</w:t>
      </w:r>
      <w:r w:rsidR="00AB2639" w:rsidRPr="002662BE">
        <w:t xml:space="preserve"> </w:t>
      </w:r>
      <w:r w:rsidRPr="002662BE">
        <w:t>and controls</w:t>
      </w:r>
      <w:bookmarkEnd w:id="36"/>
    </w:p>
    <w:p w14:paraId="343B32C6" w14:textId="77777777" w:rsidR="00A30CB8" w:rsidRPr="00DD2328" w:rsidRDefault="00A30CB8" w:rsidP="00D02D7B">
      <w:pPr>
        <w:pStyle w:val="Heading2"/>
      </w:pPr>
      <w:bookmarkStart w:id="37" w:name="_Toc153466356"/>
      <w:r w:rsidRPr="00DD2328">
        <w:t>Income generation and fees</w:t>
      </w:r>
      <w:bookmarkEnd w:id="37"/>
    </w:p>
    <w:p w14:paraId="5E17B2D7" w14:textId="79081F5A" w:rsidR="00A30CB8" w:rsidRDefault="00A30CB8" w:rsidP="00D239B5">
      <w:pPr>
        <w:pStyle w:val="ParagraphText-numbered"/>
      </w:pPr>
      <w:r>
        <w:t xml:space="preserve">The Agency is funded mostly by income from fees for sales of products and services. Fees are charged by the Agency directly to organisations for the fulfilment of statutory or other regulatory obligations. Fees must be calculated in line with the principles as set out in MPM. </w:t>
      </w:r>
    </w:p>
    <w:p w14:paraId="56221590" w14:textId="7855A38A" w:rsidR="00A30CB8" w:rsidRDefault="00A30CB8" w:rsidP="00D239B5">
      <w:pPr>
        <w:pStyle w:val="ParagraphText-numbered"/>
      </w:pPr>
      <w:r>
        <w:t xml:space="preserve">The Department may provide funding and allocate budget to areas where fees cannot be charged. This is primarily agreed as part of the Spending Review process, on which the sponsorship team will have a coordinating role between the Agency and the </w:t>
      </w:r>
      <w:r w:rsidR="00764B05">
        <w:t xml:space="preserve">Department’s </w:t>
      </w:r>
      <w:r>
        <w:t>central Spending Review team.</w:t>
      </w:r>
    </w:p>
    <w:p w14:paraId="74A214C5" w14:textId="08DD38B8" w:rsidR="00A30CB8" w:rsidRDefault="00A30CB8" w:rsidP="00D239B5">
      <w:pPr>
        <w:pStyle w:val="ParagraphText-numbered"/>
      </w:pPr>
      <w:r>
        <w:t xml:space="preserve">In agreement with the Department, the Agency will ensure that income and expenditure related to statutory fees is aligned; this will include the process for setting and reviewing fees periodically. </w:t>
      </w:r>
    </w:p>
    <w:p w14:paraId="0903B325" w14:textId="77777777" w:rsidR="00A30CB8" w:rsidRDefault="00A30CB8" w:rsidP="00D239B5">
      <w:pPr>
        <w:pStyle w:val="ParagraphText-numbered"/>
      </w:pPr>
      <w:r>
        <w:t xml:space="preserve">Amendments to the fees for statutory services are the responsibility of the Secretary of State, who, with the consent of HM Treasury, will bring proposals before Parliament for approval. </w:t>
      </w:r>
    </w:p>
    <w:p w14:paraId="6DFC435E" w14:textId="06C7CB58" w:rsidR="00A30CB8" w:rsidRDefault="00A30CB8" w:rsidP="00D239B5">
      <w:pPr>
        <w:pStyle w:val="ParagraphText-numbered"/>
      </w:pPr>
      <w:r>
        <w:t xml:space="preserve">The Agency will consult the sponsorship team and </w:t>
      </w:r>
      <w:r w:rsidR="006B0023">
        <w:t>the public</w:t>
      </w:r>
      <w:r>
        <w:t xml:space="preserve"> before making proposals to change the level of these statutory fees. The Agency must operate within its resources. If it fails to do so, the Comptroller and Auditor General may qualify its annual accounts and refer the matter to the PAC. The Agency must also operate within the delegated authorities issued by the Department. </w:t>
      </w:r>
    </w:p>
    <w:p w14:paraId="01B15E72" w14:textId="1782EB41" w:rsidR="00A30CB8" w:rsidRPr="00274D90" w:rsidRDefault="00A30CB8" w:rsidP="00D239B5">
      <w:pPr>
        <w:pStyle w:val="ParagraphText-numbered"/>
      </w:pPr>
      <w:r>
        <w:t>The Agency, alongside the Department and the Cabinet Office, will review plans for income generation and the r</w:t>
      </w:r>
      <w:r w:rsidR="00AE630C">
        <w:t>elevant</w:t>
      </w:r>
      <w:r>
        <w:t xml:space="preserve"> risks involved.</w:t>
      </w:r>
    </w:p>
    <w:p w14:paraId="6185264F" w14:textId="0DD2409C" w:rsidR="00C156DE" w:rsidRPr="00AB2639" w:rsidRDefault="00C156DE" w:rsidP="00D02D7B">
      <w:pPr>
        <w:pStyle w:val="Heading2"/>
      </w:pPr>
      <w:bookmarkStart w:id="38" w:name="_Toc153466357"/>
      <w:r w:rsidRPr="00AB2639">
        <w:t>Delegated authorities</w:t>
      </w:r>
      <w:bookmarkEnd w:id="38"/>
    </w:p>
    <w:p w14:paraId="44448EC9" w14:textId="51A11A1E" w:rsidR="00C156DE" w:rsidRPr="00681744" w:rsidRDefault="00C156DE" w:rsidP="00D239B5">
      <w:pPr>
        <w:pStyle w:val="ParagraphText-numbered"/>
      </w:pPr>
      <w:r w:rsidRPr="00681744">
        <w:t xml:space="preserve">The </w:t>
      </w:r>
      <w:r w:rsidR="00681744">
        <w:t>Agency</w:t>
      </w:r>
      <w:r w:rsidRPr="00681744">
        <w:t>’s delegated authorities are set out in the delegation letter</w:t>
      </w:r>
      <w:r w:rsidR="00681744">
        <w:t>.</w:t>
      </w:r>
      <w:r w:rsidRPr="00681744">
        <w:t xml:space="preserve"> This delegation letter may be updated and superseded by later versions which may be issued by the </w:t>
      </w:r>
      <w:r w:rsidR="004B28C3" w:rsidRPr="00681744">
        <w:t>Department</w:t>
      </w:r>
      <w:r w:rsidRPr="00681744">
        <w:t xml:space="preserve"> in agreement with </w:t>
      </w:r>
      <w:r w:rsidR="007A5C18">
        <w:t>HM Treasury</w:t>
      </w:r>
      <w:r w:rsidRPr="00681744">
        <w:t xml:space="preserve">. </w:t>
      </w:r>
    </w:p>
    <w:p w14:paraId="05880579" w14:textId="42E3F2A5" w:rsidR="00C156DE" w:rsidRPr="00681744" w:rsidRDefault="00C156DE" w:rsidP="00D239B5">
      <w:pPr>
        <w:pStyle w:val="ParagraphText-numbered"/>
      </w:pPr>
      <w:r w:rsidRPr="00681744">
        <w:t xml:space="preserve">The </w:t>
      </w:r>
      <w:r w:rsidR="00681744">
        <w:t>Agency</w:t>
      </w:r>
      <w:r w:rsidRPr="00681744">
        <w:t xml:space="preserve"> shall obtain the </w:t>
      </w:r>
      <w:r w:rsidR="004B28C3" w:rsidRPr="00681744">
        <w:t>Department</w:t>
      </w:r>
      <w:r w:rsidRPr="00681744">
        <w:t>’s and</w:t>
      </w:r>
      <w:r w:rsidR="00822E79">
        <w:t>,</w:t>
      </w:r>
      <w:r w:rsidRPr="00681744">
        <w:t xml:space="preserve"> where appropriate</w:t>
      </w:r>
      <w:r w:rsidR="00822E79">
        <w:t>,</w:t>
      </w:r>
      <w:r w:rsidRPr="00681744">
        <w:t xml:space="preserve"> </w:t>
      </w:r>
      <w:r w:rsidR="007A5C18">
        <w:t>HM Treasury</w:t>
      </w:r>
      <w:r w:rsidRPr="00681744">
        <w:t>’s prior written approval</w:t>
      </w:r>
      <w:r w:rsidR="00822E79">
        <w:t>,</w:t>
      </w:r>
      <w:r w:rsidRPr="00681744">
        <w:t xml:space="preserve"> before: </w:t>
      </w:r>
    </w:p>
    <w:p w14:paraId="4E46B186" w14:textId="61DD68DB" w:rsidR="00C156DE" w:rsidRPr="00681744" w:rsidRDefault="00C156DE" w:rsidP="00D239B5">
      <w:pPr>
        <w:pStyle w:val="Style8"/>
      </w:pPr>
      <w:r w:rsidRPr="00681744">
        <w:t xml:space="preserve">entering into any undertaking to incur any expenditure </w:t>
      </w:r>
      <w:r w:rsidR="00322597" w:rsidRPr="00322597">
        <w:t>or recognising the risk of a contingent liability</w:t>
      </w:r>
      <w:r w:rsidR="00322597">
        <w:t xml:space="preserve"> </w:t>
      </w:r>
      <w:r w:rsidRPr="00681744">
        <w:t xml:space="preserve">that falls outside the delegations or which is not provided for in the </w:t>
      </w:r>
      <w:r w:rsidR="00681744">
        <w:t>Agency</w:t>
      </w:r>
      <w:r w:rsidRPr="00681744">
        <w:t xml:space="preserve">’s annual budget as approved by the </w:t>
      </w:r>
      <w:r w:rsidR="004B28C3" w:rsidRPr="00681744">
        <w:t>Department</w:t>
      </w:r>
      <w:r w:rsidRPr="00681744">
        <w:t xml:space="preserve">; </w:t>
      </w:r>
    </w:p>
    <w:p w14:paraId="09152EDC" w14:textId="32C786EE" w:rsidR="00C156DE" w:rsidRPr="00681744" w:rsidRDefault="00C156DE" w:rsidP="00D239B5">
      <w:pPr>
        <w:pStyle w:val="Style8"/>
      </w:pPr>
      <w:r w:rsidRPr="00681744">
        <w:t xml:space="preserve">incurring expenditure for any purpose that is or might be considered novel or contentious, or which has or could have significant future cost implications; </w:t>
      </w:r>
    </w:p>
    <w:p w14:paraId="0CB364D9" w14:textId="2B90154E" w:rsidR="00C156DE" w:rsidRPr="00681744" w:rsidRDefault="00C156DE" w:rsidP="00D239B5">
      <w:pPr>
        <w:pStyle w:val="Style8"/>
      </w:pPr>
      <w:r w:rsidRPr="00681744">
        <w:t xml:space="preserve">making any significant change in the scale of operation or funding of any initiative or particular scheme previously approved by the </w:t>
      </w:r>
      <w:r w:rsidR="004B28C3" w:rsidRPr="00681744">
        <w:t>Department</w:t>
      </w:r>
      <w:r w:rsidRPr="00681744">
        <w:t xml:space="preserve">; </w:t>
      </w:r>
    </w:p>
    <w:p w14:paraId="593091C7" w14:textId="518E17B1" w:rsidR="00C156DE" w:rsidRPr="00681744" w:rsidRDefault="00C156DE" w:rsidP="00D239B5">
      <w:pPr>
        <w:pStyle w:val="Style8"/>
      </w:pPr>
      <w:r w:rsidRPr="00681744">
        <w:t xml:space="preserve">making any change of policy or practice which has wider financial implications that might prove repercussive or which might significantly affect the future level of resources required; or </w:t>
      </w:r>
    </w:p>
    <w:p w14:paraId="37555AEE" w14:textId="76260AF6" w:rsidR="00C156DE" w:rsidRDefault="00C156DE" w:rsidP="00D239B5">
      <w:pPr>
        <w:pStyle w:val="Style8"/>
      </w:pPr>
      <w:r w:rsidRPr="00681744">
        <w:t xml:space="preserve">carrying out policies that go against the principles, rules, guidance and advice in </w:t>
      </w:r>
      <w:r w:rsidR="008C25B9" w:rsidRPr="00681744">
        <w:t>MPM</w:t>
      </w:r>
      <w:r w:rsidRPr="00681744">
        <w:t xml:space="preserve">. </w:t>
      </w:r>
    </w:p>
    <w:p w14:paraId="16D5D584" w14:textId="6D117475" w:rsidR="002B1F17" w:rsidRPr="00681744" w:rsidRDefault="002B1F17" w:rsidP="00D02D7B">
      <w:pPr>
        <w:pStyle w:val="Heading2"/>
      </w:pPr>
      <w:bookmarkStart w:id="39" w:name="_Toc153466358"/>
      <w:r w:rsidRPr="00681744">
        <w:t>Spending authority</w:t>
      </w:r>
      <w:bookmarkEnd w:id="39"/>
    </w:p>
    <w:p w14:paraId="01AE24F2" w14:textId="02CB9C60" w:rsidR="002B1F17" w:rsidRPr="00681744" w:rsidRDefault="002B1F17" w:rsidP="00D239B5">
      <w:pPr>
        <w:pStyle w:val="ParagraphText-numbered"/>
      </w:pPr>
      <w:r w:rsidRPr="00681744">
        <w:t xml:space="preserve">Once the budget has been approved by the </w:t>
      </w:r>
      <w:r w:rsidR="004B28C3" w:rsidRPr="00681744">
        <w:t>Department</w:t>
      </w:r>
      <w:r w:rsidRPr="00681744">
        <w:t xml:space="preserve">, the </w:t>
      </w:r>
      <w:r w:rsidR="00681744">
        <w:t>Agency</w:t>
      </w:r>
      <w:r w:rsidRPr="00681744">
        <w:t xml:space="preserve"> shall have authority to incur expenditure approved in the budget without further reference to the </w:t>
      </w:r>
      <w:r w:rsidR="004B28C3" w:rsidRPr="00681744">
        <w:t>Department</w:t>
      </w:r>
      <w:r w:rsidRPr="00681744">
        <w:t xml:space="preserve">, on the following conditions: </w:t>
      </w:r>
    </w:p>
    <w:p w14:paraId="10CC0207" w14:textId="196200FB" w:rsidR="002B1F17" w:rsidRPr="00681744" w:rsidRDefault="002B1F17" w:rsidP="00D239B5">
      <w:pPr>
        <w:pStyle w:val="Style8"/>
      </w:pPr>
      <w:r w:rsidRPr="00681744">
        <w:t xml:space="preserve">the </w:t>
      </w:r>
      <w:r w:rsidR="00681744">
        <w:t>Agency</w:t>
      </w:r>
      <w:r w:rsidRPr="00681744">
        <w:t xml:space="preserve"> shall comply with the delegations set out in the delegation letter. These delegations shall not be altered without the prior agreement of the </w:t>
      </w:r>
      <w:r w:rsidR="004B28C3" w:rsidRPr="00681744">
        <w:t>Department</w:t>
      </w:r>
      <w:r w:rsidRPr="00681744">
        <w:t xml:space="preserve"> and as agreed by </w:t>
      </w:r>
      <w:r w:rsidR="007A5C18">
        <w:t>HM Treasury</w:t>
      </w:r>
      <w:r w:rsidRPr="00681744">
        <w:t xml:space="preserve"> and Cabinet Office as appropriate; </w:t>
      </w:r>
    </w:p>
    <w:p w14:paraId="7D767D2A" w14:textId="78B43968" w:rsidR="002B1F17" w:rsidRPr="00681744" w:rsidRDefault="00BA2FA1" w:rsidP="00D239B5">
      <w:pPr>
        <w:pStyle w:val="Style8"/>
      </w:pPr>
      <w:r>
        <w:t>t</w:t>
      </w:r>
      <w:r w:rsidR="00A857B5">
        <w:t>he Agency</w:t>
      </w:r>
      <w:r w:rsidR="002B1F17" w:rsidRPr="00681744">
        <w:t xml:space="preserve"> shall comply with </w:t>
      </w:r>
      <w:r w:rsidR="008C25B9" w:rsidRPr="00681744">
        <w:t>MPM</w:t>
      </w:r>
      <w:r w:rsidR="002B1F17" w:rsidRPr="00681744">
        <w:t xml:space="preserve"> regarding novel, contentious or repercussive proposals; </w:t>
      </w:r>
    </w:p>
    <w:p w14:paraId="45ACB50F" w14:textId="06498B5C" w:rsidR="002B1F17" w:rsidRPr="00681744" w:rsidRDefault="002B1F17" w:rsidP="00D239B5">
      <w:pPr>
        <w:pStyle w:val="Style8"/>
      </w:pPr>
      <w:r w:rsidRPr="00681744">
        <w:t xml:space="preserve">inclusion of any planned and approved expenditure in the budget shall not remove the need to seek formal </w:t>
      </w:r>
      <w:r w:rsidR="004B28C3" w:rsidRPr="00681744">
        <w:t>Department</w:t>
      </w:r>
      <w:r w:rsidRPr="00681744">
        <w:t xml:space="preserve">al approval where any proposed expenditure is outside the delegated limits or is for new schemes not previously agreed; </w:t>
      </w:r>
      <w:r w:rsidR="00A857B5">
        <w:t>and</w:t>
      </w:r>
    </w:p>
    <w:p w14:paraId="00C6E8D3" w14:textId="011DF512" w:rsidR="002B1F17" w:rsidRDefault="00A857B5" w:rsidP="00D239B5">
      <w:pPr>
        <w:pStyle w:val="Style8"/>
      </w:pPr>
      <w:r>
        <w:t>the Agency</w:t>
      </w:r>
      <w:r w:rsidR="002B1F17" w:rsidRPr="00681744">
        <w:t xml:space="preserve"> shall provide the </w:t>
      </w:r>
      <w:r w:rsidR="004B28C3" w:rsidRPr="00681744">
        <w:t>Department</w:t>
      </w:r>
      <w:r w:rsidR="002B1F17" w:rsidRPr="00681744">
        <w:t xml:space="preserve"> with such information about its operations, performance, individual projects or other expenditure as the </w:t>
      </w:r>
      <w:r w:rsidR="004B28C3" w:rsidRPr="00681744">
        <w:t>Department</w:t>
      </w:r>
      <w:r w:rsidR="002B1F17" w:rsidRPr="00681744">
        <w:t xml:space="preserve"> may reasonably require. </w:t>
      </w:r>
    </w:p>
    <w:p w14:paraId="1D502876" w14:textId="3E701017" w:rsidR="002B1F17" w:rsidRPr="00A857B5" w:rsidRDefault="002B1F17" w:rsidP="00D02D7B">
      <w:pPr>
        <w:pStyle w:val="Heading2"/>
      </w:pPr>
      <w:bookmarkStart w:id="40" w:name="_Toc153466359"/>
      <w:r w:rsidRPr="00A857B5">
        <w:t>Banking and Managing Cash</w:t>
      </w:r>
      <w:bookmarkEnd w:id="40"/>
    </w:p>
    <w:p w14:paraId="272CFD9A" w14:textId="5F48D2FD" w:rsidR="002B1F17" w:rsidRPr="005E2362" w:rsidRDefault="00F708EC" w:rsidP="00D239B5">
      <w:pPr>
        <w:pStyle w:val="ParagraphText-numbered"/>
      </w:pPr>
      <w:r w:rsidRPr="005E2362">
        <w:t>The Agency</w:t>
      </w:r>
      <w:r w:rsidR="002B1F17" w:rsidRPr="005E2362">
        <w:t xml:space="preserve"> </w:t>
      </w:r>
      <w:r w:rsidR="002A5F7B">
        <w:t>must</w:t>
      </w:r>
      <w:r w:rsidR="002A5F7B" w:rsidRPr="005E2362">
        <w:t xml:space="preserve"> </w:t>
      </w:r>
      <w:r w:rsidR="002B1F17" w:rsidRPr="005E2362">
        <w:t>maximise the use of publicly procured banking services</w:t>
      </w:r>
      <w:r w:rsidR="00C44D70" w:rsidRPr="005E2362">
        <w:t xml:space="preserve"> </w:t>
      </w:r>
      <w:r w:rsidR="005E2362" w:rsidRPr="005E2362">
        <w:t>(</w:t>
      </w:r>
      <w:r w:rsidR="00C44D70" w:rsidRPr="005E2362">
        <w:t>accounts with central government commercial banks managed centrally by Government Banking</w:t>
      </w:r>
      <w:r w:rsidR="005E2362" w:rsidRPr="005E2362">
        <w:t>)</w:t>
      </w:r>
      <w:r w:rsidRPr="005E2362">
        <w:t>.</w:t>
      </w:r>
      <w:r w:rsidR="002B1F17" w:rsidRPr="005E2362">
        <w:t xml:space="preserve"> </w:t>
      </w:r>
    </w:p>
    <w:p w14:paraId="0409C268" w14:textId="477875E9" w:rsidR="002B1F17" w:rsidRPr="00F708EC" w:rsidRDefault="00F708EC" w:rsidP="00D239B5">
      <w:pPr>
        <w:pStyle w:val="ParagraphText-numbered"/>
      </w:pPr>
      <w:r>
        <w:t xml:space="preserve">The Agency </w:t>
      </w:r>
      <w:r w:rsidR="002A5F7B">
        <w:t>should</w:t>
      </w:r>
      <w:r w:rsidR="002A5F7B" w:rsidRPr="00F708EC">
        <w:t xml:space="preserve"> </w:t>
      </w:r>
      <w:r w:rsidR="002B1F17" w:rsidRPr="00F708EC">
        <w:t>only hold money outside Government Banking Service accounts where a good business case can made for doing so</w:t>
      </w:r>
      <w:r>
        <w:t>,</w:t>
      </w:r>
      <w:r w:rsidR="002B1F17" w:rsidRPr="00F708EC">
        <w:t xml:space="preserve"> and </w:t>
      </w:r>
      <w:r w:rsidR="007A5C18">
        <w:t>HM Treasury</w:t>
      </w:r>
      <w:r w:rsidR="002B1F17" w:rsidRPr="00F708EC">
        <w:t xml:space="preserve"> consent is required for each account to be established. Only commercial banks which are members of relevant UK clearing bodies may be considered for this purpose. </w:t>
      </w:r>
    </w:p>
    <w:p w14:paraId="0573D1DF" w14:textId="6CC74113" w:rsidR="002B1F17" w:rsidRPr="00F708EC" w:rsidRDefault="002B1F17" w:rsidP="00D239B5">
      <w:pPr>
        <w:pStyle w:val="ParagraphText-numbered"/>
      </w:pPr>
      <w:r w:rsidRPr="00F708EC">
        <w:t xml:space="preserve">Commercial Accounts where approved should be operated in line with the principles as set out in </w:t>
      </w:r>
      <w:r w:rsidR="008C25B9" w:rsidRPr="00F708EC">
        <w:t>MPM</w:t>
      </w:r>
      <w:r w:rsidRPr="00F708EC">
        <w:t xml:space="preserve">. </w:t>
      </w:r>
    </w:p>
    <w:p w14:paraId="4747136E" w14:textId="73505032" w:rsidR="002B1F17" w:rsidRPr="00F708EC" w:rsidRDefault="002B1F17" w:rsidP="00D239B5">
      <w:pPr>
        <w:pStyle w:val="ParagraphText-numbered"/>
      </w:pPr>
      <w:r w:rsidRPr="00F708EC">
        <w:t xml:space="preserve">The </w:t>
      </w:r>
      <w:r w:rsidR="008A3A2B">
        <w:t>AO</w:t>
      </w:r>
      <w:r w:rsidRPr="00F708EC">
        <w:t xml:space="preserve"> is responsible for ensuring </w:t>
      </w:r>
      <w:r w:rsidR="00F708EC">
        <w:t xml:space="preserve">the Agency </w:t>
      </w:r>
      <w:r w:rsidRPr="00F708EC">
        <w:t xml:space="preserve">has a </w:t>
      </w:r>
      <w:r w:rsidR="002A5F7B">
        <w:t>banking policy</w:t>
      </w:r>
      <w:r w:rsidRPr="00F708EC">
        <w:t xml:space="preserve"> as set out in </w:t>
      </w:r>
      <w:r w:rsidR="008C25B9" w:rsidRPr="00F708EC">
        <w:t>MPM</w:t>
      </w:r>
      <w:r w:rsidRPr="00F708EC">
        <w:t xml:space="preserve"> and ensuring that policy is complied with. </w:t>
      </w:r>
    </w:p>
    <w:p w14:paraId="5970B517" w14:textId="7547A85D" w:rsidR="002B1F17" w:rsidRPr="00A857B5" w:rsidRDefault="002B1F17" w:rsidP="00D02D7B">
      <w:pPr>
        <w:pStyle w:val="Heading2"/>
      </w:pPr>
      <w:bookmarkStart w:id="41" w:name="_Toc153466360"/>
      <w:r w:rsidRPr="00A857B5">
        <w:t>Procurement</w:t>
      </w:r>
      <w:bookmarkEnd w:id="41"/>
    </w:p>
    <w:p w14:paraId="663C1C5B" w14:textId="177C0E13" w:rsidR="002B1F17" w:rsidRPr="00973CFB" w:rsidRDefault="00973CFB" w:rsidP="00D239B5">
      <w:pPr>
        <w:pStyle w:val="ParagraphText-numbered"/>
      </w:pPr>
      <w:r>
        <w:t>The Agency</w:t>
      </w:r>
      <w:r w:rsidR="002B1F17" w:rsidRPr="00973CFB">
        <w:t xml:space="preserve"> shall ensure that its procurement policies are aligned with and comply with any relevant UK or other international procurement rules and in particular the Public Contracts Regulations 2015 </w:t>
      </w:r>
      <w:r w:rsidR="004368DC" w:rsidRPr="004368DC">
        <w:t xml:space="preserve">and their legal responsibilities within these regulations. </w:t>
      </w:r>
      <w:r w:rsidR="009749B1">
        <w:t>The Agency</w:t>
      </w:r>
      <w:r w:rsidR="004368DC" w:rsidRPr="004368DC">
        <w:t xml:space="preserve"> must ensure compliance with Cabinet Office controls policy, including commercial controls</w:t>
      </w:r>
      <w:r w:rsidR="009749B1">
        <w:t>.</w:t>
      </w:r>
    </w:p>
    <w:p w14:paraId="2B18B6FC" w14:textId="09A88D76" w:rsidR="002B1F17" w:rsidRPr="00973CFB" w:rsidRDefault="002B1F17" w:rsidP="00D239B5">
      <w:pPr>
        <w:pStyle w:val="ParagraphText-numbered"/>
      </w:pPr>
      <w:r w:rsidRPr="00973CFB">
        <w:t>The</w:t>
      </w:r>
      <w:r w:rsidR="00973CFB">
        <w:t xml:space="preserve"> Agency</w:t>
      </w:r>
      <w:r w:rsidRPr="00973CFB">
        <w:t xml:space="preserve"> shall establish its procurement policies and document these in a Procurement Policy and Procedures Manual. </w:t>
      </w:r>
    </w:p>
    <w:p w14:paraId="6E30B8E9" w14:textId="1DD691DA" w:rsidR="002B1F17" w:rsidRPr="00973CFB" w:rsidRDefault="002B1F17" w:rsidP="00D239B5">
      <w:pPr>
        <w:pStyle w:val="ParagraphText-numbered"/>
      </w:pPr>
      <w:r w:rsidRPr="00973CFB">
        <w:t>In procurement cases where the</w:t>
      </w:r>
      <w:r w:rsidR="00973CFB">
        <w:t xml:space="preserve"> Agency</w:t>
      </w:r>
      <w:r w:rsidRPr="00973CFB">
        <w:t xml:space="preserve"> is likely to exceed its delegated authority limit, procurement strategy approval for the specific planned purchase must be sought from the </w:t>
      </w:r>
      <w:r w:rsidR="004F57D5">
        <w:t>sponsorship</w:t>
      </w:r>
      <w:r w:rsidRPr="00973CFB">
        <w:t xml:space="preserve"> team. </w:t>
      </w:r>
    </w:p>
    <w:p w14:paraId="5E32BAE7" w14:textId="2D4843FB" w:rsidR="002B1F17" w:rsidRPr="007A5C18" w:rsidRDefault="002B1F17" w:rsidP="00D239B5">
      <w:pPr>
        <w:pStyle w:val="ParagraphText-numbered"/>
      </w:pPr>
      <w:r w:rsidRPr="007A5C18">
        <w:t xml:space="preserve">Goods, services, and works should be acquired by competition. Proposals to let single-tender or restricted contracts shall be limited and exceptional, and a quarterly report explaining those exceptions should be sent to the </w:t>
      </w:r>
      <w:r w:rsidR="004B28C3" w:rsidRPr="007A5C18">
        <w:t>Department</w:t>
      </w:r>
      <w:r w:rsidRPr="007A5C18">
        <w:t xml:space="preserve">. </w:t>
      </w:r>
    </w:p>
    <w:p w14:paraId="5B391E49" w14:textId="3B85FC48" w:rsidR="002B1F17" w:rsidRPr="007A5C18" w:rsidRDefault="002B1F17" w:rsidP="00D239B5">
      <w:pPr>
        <w:pStyle w:val="ParagraphText-numbered"/>
      </w:pPr>
      <w:r w:rsidRPr="007A5C18">
        <w:t>Procurement by the</w:t>
      </w:r>
      <w:r w:rsidR="00973CFB" w:rsidRPr="007A5C18">
        <w:t xml:space="preserve"> Agency</w:t>
      </w:r>
      <w:r w:rsidRPr="007A5C18">
        <w:t xml:space="preserve"> of works, equipment, goods, and services shall be based on a full option</w:t>
      </w:r>
      <w:r w:rsidR="006928DD">
        <w:t>s</w:t>
      </w:r>
      <w:r w:rsidRPr="007A5C18">
        <w:t xml:space="preserve"> appraisal and value for money (VfM), i.e. the optimum combination and whole life costs and quality</w:t>
      </w:r>
      <w:r w:rsidR="007A5C18">
        <w:t>.</w:t>
      </w:r>
      <w:r w:rsidRPr="007A5C18">
        <w:t xml:space="preserve"> </w:t>
      </w:r>
    </w:p>
    <w:p w14:paraId="57B6D119" w14:textId="77777777" w:rsidR="004D67C1" w:rsidRDefault="002B1F17" w:rsidP="00D239B5">
      <w:pPr>
        <w:pStyle w:val="ParagraphText-numbered"/>
      </w:pPr>
      <w:r w:rsidRPr="007A5C18">
        <w:t>The</w:t>
      </w:r>
      <w:r w:rsidR="00973CFB" w:rsidRPr="007A5C18">
        <w:t xml:space="preserve"> Agency</w:t>
      </w:r>
      <w:r w:rsidRPr="007A5C18">
        <w:t xml:space="preserve"> shall</w:t>
      </w:r>
      <w:r w:rsidR="004D67C1">
        <w:t>:</w:t>
      </w:r>
    </w:p>
    <w:p w14:paraId="2FDA97BD" w14:textId="37178E76" w:rsidR="004D67C1" w:rsidRDefault="002B1F17" w:rsidP="00D239B5">
      <w:pPr>
        <w:pStyle w:val="Style8"/>
      </w:pPr>
      <w:r w:rsidRPr="007A5C18">
        <w:t xml:space="preserve">engage fully with </w:t>
      </w:r>
      <w:r w:rsidR="004B28C3" w:rsidRPr="007A5C18">
        <w:t>Department</w:t>
      </w:r>
      <w:r w:rsidRPr="007A5C18">
        <w:t xml:space="preserve"> and Government</w:t>
      </w:r>
      <w:r w:rsidR="006928DD">
        <w:t>-</w:t>
      </w:r>
      <w:r w:rsidRPr="007A5C18">
        <w:t>wide procurement initiatives that seek to achieve VfM from collaborative projects</w:t>
      </w:r>
      <w:r w:rsidR="004D67C1">
        <w:t>;</w:t>
      </w:r>
    </w:p>
    <w:p w14:paraId="1C0C423F" w14:textId="77777777" w:rsidR="004D67C1" w:rsidRDefault="002B1F17" w:rsidP="00D239B5">
      <w:pPr>
        <w:pStyle w:val="Style8"/>
      </w:pPr>
      <w:r w:rsidRPr="007A5C18">
        <w:t>comply with all relevant Procurement Policy Notes issued by Cabinet Office</w:t>
      </w:r>
      <w:r w:rsidR="004D67C1">
        <w:t>;</w:t>
      </w:r>
      <w:r w:rsidRPr="007A5C18">
        <w:t xml:space="preserve"> and </w:t>
      </w:r>
    </w:p>
    <w:p w14:paraId="394BC5B7" w14:textId="637BB644" w:rsidR="002B1F17" w:rsidRPr="007A5C18" w:rsidRDefault="002B1F17" w:rsidP="00D239B5">
      <w:pPr>
        <w:pStyle w:val="Style8"/>
      </w:pPr>
      <w:r w:rsidRPr="007A5C18">
        <w:t xml:space="preserve">co-operate fully with initiatives to improve the availability of procurement data to facilitate the achievement of VfM. </w:t>
      </w:r>
    </w:p>
    <w:p w14:paraId="0CC13E60" w14:textId="7C400140" w:rsidR="002B1F17" w:rsidRDefault="002B1F17" w:rsidP="00D239B5">
      <w:pPr>
        <w:pStyle w:val="ParagraphText-numbered"/>
      </w:pPr>
      <w:r w:rsidRPr="007A5C18">
        <w:t>The</w:t>
      </w:r>
      <w:r w:rsidR="00973CFB" w:rsidRPr="007A5C18">
        <w:t xml:space="preserve"> Agency</w:t>
      </w:r>
      <w:r w:rsidRPr="007A5C18">
        <w:t xml:space="preserve"> shall comply with the </w:t>
      </w:r>
      <w:r w:rsidR="00D11581">
        <w:t>c</w:t>
      </w:r>
      <w:r w:rsidRPr="007A5C18">
        <w:t>ommercial</w:t>
      </w:r>
      <w:r w:rsidR="00D11581">
        <w:rPr>
          <w:rStyle w:val="FootnoteReference"/>
        </w:rPr>
        <w:footnoteReference w:id="10"/>
      </w:r>
      <w:r w:rsidRPr="007A5C18">
        <w:t xml:space="preserve"> and </w:t>
      </w:r>
      <w:r w:rsidR="00D11581">
        <w:t>g</w:t>
      </w:r>
      <w:r w:rsidRPr="007A5C18">
        <w:t xml:space="preserve">rants </w:t>
      </w:r>
      <w:r w:rsidR="00D11581">
        <w:t>s</w:t>
      </w:r>
      <w:r w:rsidRPr="007A5C18">
        <w:t>tandard</w:t>
      </w:r>
      <w:r w:rsidR="007A5C18">
        <w:t>s</w:t>
      </w:r>
      <w:r w:rsidR="00D11581">
        <w:rPr>
          <w:rStyle w:val="FootnoteReference"/>
        </w:rPr>
        <w:footnoteReference w:id="11"/>
      </w:r>
      <w:r w:rsidRPr="007A5C18">
        <w:t xml:space="preserve">. These standards apply to the planning, delivery, and management of government commercial activity, including management of grants in all </w:t>
      </w:r>
      <w:r w:rsidR="004B28C3" w:rsidRPr="007A5C18">
        <w:t>Department</w:t>
      </w:r>
      <w:r w:rsidRPr="007A5C18">
        <w:t xml:space="preserve">s, regardless of </w:t>
      </w:r>
      <w:r w:rsidR="007A5C18">
        <w:t xml:space="preserve">the </w:t>
      </w:r>
      <w:r w:rsidRPr="007A5C18">
        <w:t>commercial approach used</w:t>
      </w:r>
      <w:r w:rsidR="007A5C18">
        <w:t>,</w:t>
      </w:r>
      <w:r w:rsidRPr="007A5C18">
        <w:t xml:space="preserve"> and form part of a suite of functional standards that set expectations for management within government. </w:t>
      </w:r>
    </w:p>
    <w:p w14:paraId="6F5DDED0" w14:textId="77777777" w:rsidR="000503B2" w:rsidRPr="00DA7D41" w:rsidRDefault="000503B2" w:rsidP="00D239B5">
      <w:pPr>
        <w:pStyle w:val="ParagraphText-numbered"/>
      </w:pPr>
      <w:r w:rsidRPr="00DA7D41">
        <w:t xml:space="preserve">A shared or standardised value for money approach will also apply to the use of estate. </w:t>
      </w:r>
    </w:p>
    <w:p w14:paraId="2E37717D" w14:textId="203DEAD6" w:rsidR="002B1F17" w:rsidRPr="00A857B5" w:rsidRDefault="002B1F17" w:rsidP="00D02D7B">
      <w:pPr>
        <w:pStyle w:val="Heading2"/>
      </w:pPr>
      <w:bookmarkStart w:id="42" w:name="_Toc153466361"/>
      <w:r w:rsidRPr="00A857B5">
        <w:t xml:space="preserve">Risk </w:t>
      </w:r>
      <w:r w:rsidR="00BC35D7">
        <w:t>m</w:t>
      </w:r>
      <w:r w:rsidRPr="00A857B5">
        <w:t>anagement</w:t>
      </w:r>
      <w:bookmarkEnd w:id="42"/>
    </w:p>
    <w:p w14:paraId="3791C166" w14:textId="75520B90" w:rsidR="000575A8" w:rsidRDefault="002B1F17" w:rsidP="00D239B5">
      <w:pPr>
        <w:pStyle w:val="ParagraphText-numbered"/>
      </w:pPr>
      <w:r w:rsidRPr="007A5C18">
        <w:t xml:space="preserve">The </w:t>
      </w:r>
      <w:r w:rsidR="007A5C18">
        <w:t>Agency</w:t>
      </w:r>
      <w:r w:rsidRPr="007A5C18">
        <w:t xml:space="preserve"> shall ensure that the risks that it faces are dealt with in an appropriate manner, in accordance with relevant aspects of best practice in corporate governance, and develop a risk management strategy, in accordance with the </w:t>
      </w:r>
      <w:r w:rsidR="007A5C18">
        <w:t>HM Treasury</w:t>
      </w:r>
      <w:r w:rsidRPr="007A5C18">
        <w:t xml:space="preserve"> guidance Management of Risk: Principles and Concept</w:t>
      </w:r>
      <w:r w:rsidR="007A5C18">
        <w:t>s</w:t>
      </w:r>
      <w:r w:rsidR="00A42440">
        <w:rPr>
          <w:rStyle w:val="FootnoteReference"/>
        </w:rPr>
        <w:footnoteReference w:id="12"/>
      </w:r>
      <w:r w:rsidRPr="007A5C18">
        <w:t>.</w:t>
      </w:r>
    </w:p>
    <w:p w14:paraId="6FFB1712" w14:textId="56C6B284" w:rsidR="00E11B04" w:rsidRDefault="000575A8" w:rsidP="00D239B5">
      <w:pPr>
        <w:pStyle w:val="ParagraphText-numbered"/>
      </w:pPr>
      <w:r>
        <w:t>The Agency and the Department will work together to identify, assess and mitigate cross-</w:t>
      </w:r>
      <w:r w:rsidR="00D1611B">
        <w:t>organisational risks</w:t>
      </w:r>
      <w:r w:rsidR="00461351">
        <w:t>,</w:t>
      </w:r>
      <w:r w:rsidR="00D1611B">
        <w:t xml:space="preserve"> where neither party can</w:t>
      </w:r>
      <w:r w:rsidR="001D1C18">
        <w:t xml:space="preserve"> satisfactorily</w:t>
      </w:r>
      <w:r w:rsidR="00461351">
        <w:t xml:space="preserve"> mitigate the risks identified independently. </w:t>
      </w:r>
      <w:r w:rsidR="002B1F17" w:rsidRPr="007A5C18">
        <w:t xml:space="preserve"> </w:t>
      </w:r>
    </w:p>
    <w:p w14:paraId="6F577C6A" w14:textId="5B67BA04" w:rsidR="00E11B04" w:rsidRPr="00A857B5" w:rsidRDefault="00E11B04" w:rsidP="00E11B04">
      <w:pPr>
        <w:pStyle w:val="Heading2"/>
      </w:pPr>
      <w:bookmarkStart w:id="43" w:name="_Toc153466362"/>
      <w:r>
        <w:t>Reporting on legal risk and litigation</w:t>
      </w:r>
      <w:bookmarkEnd w:id="43"/>
    </w:p>
    <w:p w14:paraId="0A4CEE44" w14:textId="740CD6E3" w:rsidR="00E11B04" w:rsidRPr="00731571" w:rsidRDefault="0052265F" w:rsidP="00D239B5">
      <w:pPr>
        <w:pStyle w:val="ParagraphText-numbered"/>
      </w:pPr>
      <w:r>
        <w:t xml:space="preserve">The </w:t>
      </w:r>
      <w:r w:rsidR="00E11B04">
        <w:t>Government Legal Department (GLD) provide</w:t>
      </w:r>
      <w:r>
        <w:t>s</w:t>
      </w:r>
      <w:r w:rsidR="00E11B04">
        <w:t xml:space="preserve"> a </w:t>
      </w:r>
      <w:r>
        <w:t>monthly report</w:t>
      </w:r>
      <w:r w:rsidR="00E11B04">
        <w:t xml:space="preserve"> to the Department on the existence of any active litigation and any threatened or reasonably anticipated litigation, where such litigation involves significant legal or reputational risk to the Secretary of State, including judicial review. </w:t>
      </w:r>
      <w:r w:rsidR="006928DD">
        <w:t xml:space="preserve">The </w:t>
      </w:r>
      <w:r>
        <w:t xml:space="preserve">GLD also shares this report with the Agency for information. </w:t>
      </w:r>
      <w:r w:rsidR="00E11B04">
        <w:t>This recognises the importance of ensuring that legal risks are communicated appropriately to the Department in a timely manner.</w:t>
      </w:r>
      <w:r w:rsidR="00E11B04" w:rsidRPr="00731571">
        <w:t xml:space="preserve"> </w:t>
      </w:r>
    </w:p>
    <w:p w14:paraId="445D4EA4" w14:textId="0E3C8D22" w:rsidR="00E11B04" w:rsidRDefault="00E11B04" w:rsidP="00D239B5">
      <w:pPr>
        <w:pStyle w:val="ParagraphText-numbered"/>
      </w:pPr>
      <w:r>
        <w:t>In respect of each substantial piece of litigation involving the Agency, and</w:t>
      </w:r>
      <w:r w:rsidRPr="00721EBE">
        <w:t xml:space="preserve"> which is to be reported to the Department in accordance with </w:t>
      </w:r>
      <w:r w:rsidR="00256393">
        <w:t xml:space="preserve">Section </w:t>
      </w:r>
      <w:r w:rsidRPr="00465514">
        <w:t>11</w:t>
      </w:r>
      <w:r>
        <w:t>, the parties will agree a litigation protocol which will include specific provisions to ensure appropriate and timely reporting on the status of the litigation and the protection of legally privileged information transmitted to the Department to facilitate this. Until such time as a protocol is agreed, the parties will ensure that:</w:t>
      </w:r>
    </w:p>
    <w:p w14:paraId="4A9EBC4C" w14:textId="77777777" w:rsidR="00E11B04" w:rsidRDefault="00E11B04" w:rsidP="00D239B5">
      <w:pPr>
        <w:pStyle w:val="Style8"/>
      </w:pPr>
      <w:r>
        <w:t>material developments in the litigation are communicated to the Department in an appropriate and timely manner;</w:t>
      </w:r>
    </w:p>
    <w:p w14:paraId="46AA9DD4" w14:textId="77777777" w:rsidR="00E11B04" w:rsidRDefault="00E11B04" w:rsidP="00D239B5">
      <w:pPr>
        <w:pStyle w:val="Style8"/>
      </w:pPr>
      <w:r>
        <w:t>legally privileged documents and information are clearly marked as such;</w:t>
      </w:r>
    </w:p>
    <w:p w14:paraId="1A75AF46" w14:textId="77777777" w:rsidR="00E11B04" w:rsidRDefault="00E11B04" w:rsidP="00D239B5">
      <w:pPr>
        <w:pStyle w:val="Style8"/>
      </w:pPr>
      <w:r>
        <w:t>individual employees handling the legally privileged documents are familiar with principles to which they must adhere to protect legal privilege; and</w:t>
      </w:r>
    </w:p>
    <w:p w14:paraId="1FBB4BCB" w14:textId="30E465AD" w:rsidR="00E11B04" w:rsidRDefault="00E11B04" w:rsidP="00D239B5">
      <w:pPr>
        <w:pStyle w:val="Style8"/>
      </w:pPr>
      <w:r>
        <w:t>circulation of privileged information within government occurs only as necessary.</w:t>
      </w:r>
    </w:p>
    <w:p w14:paraId="6F508263" w14:textId="3B9DC8EE" w:rsidR="002B1F17" w:rsidRPr="00A857B5" w:rsidRDefault="002B1F17" w:rsidP="00D02D7B">
      <w:pPr>
        <w:pStyle w:val="Heading2"/>
      </w:pPr>
      <w:bookmarkStart w:id="44" w:name="_Toc153466363"/>
      <w:r w:rsidRPr="00A857B5">
        <w:t>Counter Fraud and Theft</w:t>
      </w:r>
      <w:bookmarkEnd w:id="44"/>
    </w:p>
    <w:p w14:paraId="6C2E3096" w14:textId="0000CDAD" w:rsidR="002B1F17" w:rsidRPr="007A5C18" w:rsidRDefault="00973CFB" w:rsidP="00D239B5">
      <w:pPr>
        <w:pStyle w:val="ParagraphText-numbered"/>
      </w:pPr>
      <w:r w:rsidRPr="007A5C18">
        <w:t>The Agency</w:t>
      </w:r>
      <w:r w:rsidR="002B1F17" w:rsidRPr="007A5C18">
        <w:t xml:space="preserve"> </w:t>
      </w:r>
      <w:r w:rsidR="00437B4C">
        <w:t>should</w:t>
      </w:r>
      <w:r w:rsidR="00437B4C" w:rsidRPr="007A5C18">
        <w:t xml:space="preserve"> </w:t>
      </w:r>
      <w:r w:rsidR="002B1F17" w:rsidRPr="007A5C18">
        <w:t xml:space="preserve">adopt and implement policies and practices to safeguard itself against fraud and theft. </w:t>
      </w:r>
    </w:p>
    <w:p w14:paraId="430AE3F3" w14:textId="2AAD804E" w:rsidR="002B1F17" w:rsidRPr="007A5C18" w:rsidRDefault="00973CFB" w:rsidP="00D239B5">
      <w:pPr>
        <w:pStyle w:val="ParagraphText-numbered"/>
      </w:pPr>
      <w:r w:rsidRPr="007A5C18">
        <w:t>The Agency</w:t>
      </w:r>
      <w:r w:rsidR="002B1F17" w:rsidRPr="007A5C18">
        <w:t xml:space="preserve"> </w:t>
      </w:r>
      <w:r w:rsidR="00437B4C">
        <w:t xml:space="preserve">should </w:t>
      </w:r>
      <w:r w:rsidR="002B1F17" w:rsidRPr="007A5C18">
        <w:t xml:space="preserve">act in line with guidance as issued by the Counter Fraud Function and in compliance with the procedures and considerations as set in in </w:t>
      </w:r>
      <w:r w:rsidR="008C25B9" w:rsidRPr="007A5C18">
        <w:t>MPM</w:t>
      </w:r>
      <w:r w:rsidR="002B1F17" w:rsidRPr="007A5C18">
        <w:t xml:space="preserve"> Annex 4.9 and the Counter Fraud Functional Standard</w:t>
      </w:r>
      <w:r w:rsidR="00683309">
        <w:rPr>
          <w:rStyle w:val="FootnoteReference"/>
        </w:rPr>
        <w:footnoteReference w:id="13"/>
      </w:r>
      <w:r w:rsidR="007A5C18">
        <w:t>.</w:t>
      </w:r>
      <w:r w:rsidR="002B1F17" w:rsidRPr="007A5C18">
        <w:t xml:space="preserve"> It </w:t>
      </w:r>
      <w:r w:rsidR="00592B22">
        <w:t>should</w:t>
      </w:r>
      <w:r w:rsidR="00592B22" w:rsidRPr="007A5C18">
        <w:t xml:space="preserve"> </w:t>
      </w:r>
      <w:r w:rsidR="002B1F17" w:rsidRPr="007A5C18">
        <w:t xml:space="preserve">also take all reasonable steps to appraise the financial standing of any firm or other body with which it intends to enter a contract or to provide grant </w:t>
      </w:r>
      <w:r w:rsidR="008E7ADC">
        <w:t>funding</w:t>
      </w:r>
      <w:r w:rsidR="002B1F17" w:rsidRPr="007A5C18">
        <w:t xml:space="preserve">. </w:t>
      </w:r>
    </w:p>
    <w:p w14:paraId="32A8EFDE" w14:textId="14D04AB2" w:rsidR="00200137" w:rsidRDefault="00200137" w:rsidP="00D239B5">
      <w:pPr>
        <w:pStyle w:val="ParagraphText-numbered"/>
      </w:pPr>
      <w:r>
        <w:t xml:space="preserve">The Agency should notify the </w:t>
      </w:r>
      <w:r w:rsidR="002379DC">
        <w:t xml:space="preserve">Department’s Anti-Fraud Unit of any unusual </w:t>
      </w:r>
      <w:r w:rsidR="00B76A02">
        <w:t>or major incident as soon as possible</w:t>
      </w:r>
      <w:r w:rsidR="00401ED7">
        <w:t xml:space="preserve">, seeking advice from their fraud specialists as required. The Agency may request that the Department’s Anti-Fraud </w:t>
      </w:r>
      <w:r w:rsidR="00666C72">
        <w:t xml:space="preserve">Unit </w:t>
      </w:r>
      <w:r w:rsidR="00401ED7">
        <w:t>consider</w:t>
      </w:r>
      <w:r w:rsidR="006928DD">
        <w:t>s</w:t>
      </w:r>
      <w:r w:rsidR="00401ED7">
        <w:t xml:space="preserve"> investigating a fraud </w:t>
      </w:r>
      <w:r w:rsidR="006C059D">
        <w:t xml:space="preserve">case on </w:t>
      </w:r>
      <w:r w:rsidR="006928DD">
        <w:t xml:space="preserve">its </w:t>
      </w:r>
      <w:r w:rsidR="006C059D">
        <w:t>behalf. The Department will share best practice and learning from case studies within the health family with the Agency.</w:t>
      </w:r>
    </w:p>
    <w:p w14:paraId="080BBBFF" w14:textId="2808F5FC" w:rsidR="00222BC8" w:rsidRDefault="00973CFB" w:rsidP="00D239B5">
      <w:pPr>
        <w:pStyle w:val="ParagraphText-numbered"/>
      </w:pPr>
      <w:r w:rsidRPr="007A5C18">
        <w:t>The Agency</w:t>
      </w:r>
      <w:r w:rsidR="002B1F17" w:rsidRPr="007A5C18">
        <w:t xml:space="preserve"> should keep records of</w:t>
      </w:r>
      <w:r w:rsidR="006928DD">
        <w:t>,</w:t>
      </w:r>
      <w:r w:rsidR="002B1F17" w:rsidRPr="007A5C18">
        <w:t xml:space="preserve"> and </w:t>
      </w:r>
      <w:r w:rsidR="000610FA">
        <w:t xml:space="preserve">submit </w:t>
      </w:r>
      <w:r w:rsidR="002B1F17" w:rsidRPr="007A5C18">
        <w:t xml:space="preserve">to the </w:t>
      </w:r>
      <w:r w:rsidR="004B28C3" w:rsidRPr="007A5C18">
        <w:t>Department</w:t>
      </w:r>
      <w:r w:rsidR="004770C6">
        <w:t>’s Anti-Fraud Unit</w:t>
      </w:r>
      <w:r w:rsidR="006928DD">
        <w:t>,</w:t>
      </w:r>
      <w:r w:rsidR="002B1F17" w:rsidRPr="007A5C18">
        <w:t xml:space="preserve"> </w:t>
      </w:r>
      <w:r w:rsidR="004770C6">
        <w:t>a quarterly</w:t>
      </w:r>
      <w:r w:rsidR="002B1F17" w:rsidRPr="007A5C18">
        <w:t xml:space="preserve"> report on </w:t>
      </w:r>
      <w:r w:rsidR="003F5A78">
        <w:t xml:space="preserve">detected loss from fraud and error alongside </w:t>
      </w:r>
      <w:r w:rsidR="00640DB5">
        <w:t>recovered and prevented losses, in line with agreed government definitions as set out in the Counter Fraud Functional Standard</w:t>
      </w:r>
      <w:r w:rsidR="00904CC3">
        <w:t xml:space="preserve">. </w:t>
      </w:r>
    </w:p>
    <w:p w14:paraId="36C5ECA3" w14:textId="36F713E0" w:rsidR="002B1F17" w:rsidRPr="00A857B5" w:rsidRDefault="002B1F17" w:rsidP="00D02D7B">
      <w:pPr>
        <w:pStyle w:val="Heading2"/>
      </w:pPr>
      <w:bookmarkStart w:id="45" w:name="_Toc153466364"/>
      <w:r w:rsidRPr="00A857B5">
        <w:t>Staff</w:t>
      </w:r>
      <w:bookmarkEnd w:id="45"/>
    </w:p>
    <w:p w14:paraId="6213F856" w14:textId="579633A3" w:rsidR="002B1F17" w:rsidRPr="006E13DC" w:rsidRDefault="002B1F17" w:rsidP="006E13DC">
      <w:pPr>
        <w:ind w:left="717"/>
        <w:rPr>
          <w:rFonts w:ascii="Arial" w:hAnsi="Arial" w:cs="Arial"/>
          <w:b/>
          <w:bCs/>
          <w:sz w:val="28"/>
          <w:szCs w:val="28"/>
        </w:rPr>
      </w:pPr>
      <w:bookmarkStart w:id="46" w:name="_Hlk115428400"/>
      <w:r w:rsidRPr="006E13DC">
        <w:rPr>
          <w:rFonts w:ascii="Arial" w:hAnsi="Arial" w:cs="Arial"/>
          <w:b/>
          <w:bCs/>
          <w:sz w:val="28"/>
          <w:szCs w:val="28"/>
        </w:rPr>
        <w:t>Broad responsibilities for staff</w:t>
      </w:r>
    </w:p>
    <w:p w14:paraId="6764238F" w14:textId="5EF0ECFB" w:rsidR="00971CDB" w:rsidRDefault="00971CDB" w:rsidP="00D239B5">
      <w:pPr>
        <w:pStyle w:val="ParagraphText-numbered"/>
      </w:pPr>
      <w:r>
        <w:t xml:space="preserve">The Agency employees are Departmental civil servants and the majority of staff are employed on civil service pay and pension arrangements. Some </w:t>
      </w:r>
      <w:r w:rsidR="00BC7340">
        <w:t>SRI</w:t>
      </w:r>
      <w:r>
        <w:t xml:space="preserve"> staff are currently employed on the NHS Agenda for Change terms or hybrid NIBSC terms and conditions. </w:t>
      </w:r>
      <w:r w:rsidR="004466C5">
        <w:t>The Chief Executive is responsible for the staffing and structure of the Agency</w:t>
      </w:r>
      <w:r w:rsidR="00AC5B10">
        <w:t xml:space="preserve"> subject to the points below</w:t>
      </w:r>
      <w:r w:rsidR="004466C5">
        <w:t xml:space="preserve">. </w:t>
      </w:r>
      <w:bookmarkStart w:id="47" w:name="_Hlk104471505"/>
    </w:p>
    <w:bookmarkEnd w:id="47"/>
    <w:p w14:paraId="06474E9D" w14:textId="7569D832" w:rsidR="002B1F17" w:rsidRPr="00FC6663" w:rsidRDefault="002B1F17" w:rsidP="00D239B5">
      <w:pPr>
        <w:pStyle w:val="ParagraphText-numbered"/>
      </w:pPr>
      <w:r w:rsidRPr="00FC6663">
        <w:t xml:space="preserve">Within the arrangements approved by the </w:t>
      </w:r>
      <w:r w:rsidR="004B6126">
        <w:t>responsible</w:t>
      </w:r>
      <w:r w:rsidR="00014C02" w:rsidRPr="00FC6663">
        <w:t xml:space="preserve"> minister</w:t>
      </w:r>
      <w:r w:rsidR="00D945D7">
        <w:t>,</w:t>
      </w:r>
      <w:r w:rsidRPr="00FC6663">
        <w:t xml:space="preserve"> </w:t>
      </w:r>
      <w:r w:rsidR="00A857B5" w:rsidRPr="00FC6663">
        <w:t>the Agency</w:t>
      </w:r>
      <w:r w:rsidRPr="00FC6663">
        <w:t xml:space="preserve"> </w:t>
      </w:r>
      <w:r w:rsidR="00B84BAC">
        <w:t>shall</w:t>
      </w:r>
      <w:r w:rsidR="00B84BAC" w:rsidRPr="00FC6663">
        <w:t xml:space="preserve"> </w:t>
      </w:r>
      <w:r w:rsidRPr="00FC6663">
        <w:t xml:space="preserve">have responsibility for the recruitment, retention and motivation of its staff. The broad responsibilities toward its staff are to ensure that: </w:t>
      </w:r>
    </w:p>
    <w:p w14:paraId="02B79CFC" w14:textId="6D7D2C9B" w:rsidR="00EF4A52" w:rsidRPr="00FC6663" w:rsidRDefault="00EF4A52" w:rsidP="00D239B5">
      <w:pPr>
        <w:pStyle w:val="Style8"/>
      </w:pPr>
      <w:r w:rsidRPr="00FC6663">
        <w:t xml:space="preserve">the rules for recruitment and management of staff </w:t>
      </w:r>
      <w:r>
        <w:t xml:space="preserve">are in line with Civil Service Commission Recruitment principles and </w:t>
      </w:r>
      <w:r w:rsidRPr="00FC6663">
        <w:t>create an inclusive culture in which diversity is valued</w:t>
      </w:r>
      <w:r w:rsidR="003B50F4">
        <w:t xml:space="preserve"> and promoted</w:t>
      </w:r>
      <w:r w:rsidRPr="00FC6663">
        <w:t xml:space="preserve">; appointment and advancement </w:t>
      </w:r>
      <w:r w:rsidR="006928DD">
        <w:t xml:space="preserve">are </w:t>
      </w:r>
      <w:r w:rsidRPr="00FC6663">
        <w:t xml:space="preserve"> based on merit</w:t>
      </w:r>
      <w:r w:rsidR="00453087">
        <w:t>;</w:t>
      </w:r>
      <w:r w:rsidRPr="00FC6663">
        <w:t xml:space="preserve"> </w:t>
      </w:r>
      <w:r w:rsidR="00453087">
        <w:t>there is no discrimination against employees with protected characteristics under the Equality Act 2010</w:t>
      </w:r>
    </w:p>
    <w:p w14:paraId="08212FDC" w14:textId="77777777" w:rsidR="003B50F4" w:rsidRPr="00FC6663" w:rsidRDefault="003B50F4" w:rsidP="00D239B5">
      <w:pPr>
        <w:pStyle w:val="Style8"/>
      </w:pPr>
      <w:r w:rsidRPr="00FC6663">
        <w:t xml:space="preserve">the level and structure of its staffing, including grading and staff numbers, are appropriate to its functions and the requirements of economy, efficiency and effectiveness; </w:t>
      </w:r>
    </w:p>
    <w:p w14:paraId="17FE7294" w14:textId="66EBF094" w:rsidR="002B1F17" w:rsidRPr="00FC6663" w:rsidRDefault="002B1F17" w:rsidP="00D239B5">
      <w:pPr>
        <w:pStyle w:val="Style8"/>
      </w:pPr>
      <w:r w:rsidRPr="00FC6663">
        <w:t xml:space="preserve">the performance of its staff at all levels is satisfactorily appraised and </w:t>
      </w:r>
      <w:r w:rsidR="00A857B5" w:rsidRPr="00FC6663">
        <w:t>the Agency</w:t>
      </w:r>
      <w:r w:rsidRPr="00FC6663">
        <w:t xml:space="preserve"> performance measurement systems are reviewed from time to time; </w:t>
      </w:r>
    </w:p>
    <w:p w14:paraId="177E4DDE" w14:textId="3CA14117" w:rsidR="002B1F17" w:rsidRPr="00FC6663" w:rsidRDefault="002B1F17" w:rsidP="00D239B5">
      <w:pPr>
        <w:pStyle w:val="Style8"/>
      </w:pPr>
      <w:r w:rsidRPr="00FC6663">
        <w:t xml:space="preserve">its staff are encouraged to acquire the appropriate professional, management and other expertise necessary to achieve </w:t>
      </w:r>
      <w:r w:rsidR="00A857B5" w:rsidRPr="00FC6663">
        <w:t>the Agency</w:t>
      </w:r>
      <w:r w:rsidRPr="00FC6663">
        <w:t xml:space="preserve">’s </w:t>
      </w:r>
      <w:r w:rsidR="0087322D" w:rsidRPr="00FC6663">
        <w:t>objectives</w:t>
      </w:r>
      <w:r w:rsidRPr="00FC6663">
        <w:t xml:space="preserve">; </w:t>
      </w:r>
    </w:p>
    <w:p w14:paraId="637DF6AB" w14:textId="70FA8A54" w:rsidR="002B1F17" w:rsidRPr="00FC6663" w:rsidRDefault="002B1F17" w:rsidP="00D239B5">
      <w:pPr>
        <w:pStyle w:val="Style8"/>
      </w:pPr>
      <w:r w:rsidRPr="00FC6663">
        <w:t>proper consultation with staff takes place on key issues affecting them</w:t>
      </w:r>
      <w:r w:rsidR="003B50F4">
        <w:t xml:space="preserve">, </w:t>
      </w:r>
      <w:r w:rsidR="003B50F4" w:rsidRPr="003B50F4">
        <w:t>including where that may be through recognised Trades Unions acting on behalf of staff</w:t>
      </w:r>
      <w:r w:rsidR="003B50F4">
        <w:t>.</w:t>
      </w:r>
    </w:p>
    <w:p w14:paraId="4B6F37F0" w14:textId="30ABE172" w:rsidR="002B1F17" w:rsidRPr="00FC6663" w:rsidRDefault="002B1F17" w:rsidP="00D239B5">
      <w:pPr>
        <w:pStyle w:val="Style8"/>
      </w:pPr>
      <w:r w:rsidRPr="00FC6663">
        <w:t xml:space="preserve">adequate grievance and disciplinary procedures are in place; </w:t>
      </w:r>
    </w:p>
    <w:p w14:paraId="5744B399" w14:textId="4DA55EF6" w:rsidR="00EE5B10" w:rsidRDefault="002B1F17" w:rsidP="00D239B5">
      <w:pPr>
        <w:pStyle w:val="Style8"/>
      </w:pPr>
      <w:r w:rsidRPr="00FC6663">
        <w:t>whistleblowing procedures consistent with the Public Interest Disclosure Act are in place</w:t>
      </w:r>
      <w:r w:rsidR="00EE5B10">
        <w:t xml:space="preserve">; </w:t>
      </w:r>
    </w:p>
    <w:p w14:paraId="01CC53FC" w14:textId="30A71C6C" w:rsidR="00EE5B10" w:rsidRDefault="00E9669E" w:rsidP="00D239B5">
      <w:pPr>
        <w:pStyle w:val="Style8"/>
      </w:pPr>
      <w:r>
        <w:t>all staff</w:t>
      </w:r>
      <w:r w:rsidR="001D5683">
        <w:t xml:space="preserve"> are aware of the provisions of the Civil Service Code, which forms part of their terms and conditions of employment. </w:t>
      </w:r>
      <w:r w:rsidR="00EE5B10">
        <w:t xml:space="preserve">  </w:t>
      </w:r>
    </w:p>
    <w:p w14:paraId="5D82BB05" w14:textId="77777777" w:rsidR="002B1F17" w:rsidRPr="006E13DC" w:rsidRDefault="002B1F17" w:rsidP="006E13DC">
      <w:pPr>
        <w:ind w:left="717"/>
        <w:rPr>
          <w:rFonts w:ascii="Arial" w:hAnsi="Arial" w:cs="Arial"/>
          <w:b/>
          <w:bCs/>
          <w:sz w:val="28"/>
          <w:szCs w:val="28"/>
        </w:rPr>
      </w:pPr>
      <w:r w:rsidRPr="006E13DC">
        <w:rPr>
          <w:rFonts w:ascii="Arial" w:hAnsi="Arial" w:cs="Arial"/>
          <w:b/>
          <w:bCs/>
          <w:sz w:val="28"/>
          <w:szCs w:val="28"/>
        </w:rPr>
        <w:t>Staff costs</w:t>
      </w:r>
    </w:p>
    <w:p w14:paraId="2BB6AFC0" w14:textId="6C78AB8B" w:rsidR="002B1F17" w:rsidRPr="00FC6663" w:rsidRDefault="002B1F17" w:rsidP="00D239B5">
      <w:pPr>
        <w:pStyle w:val="ParagraphText-numbered"/>
      </w:pPr>
      <w:r w:rsidRPr="00FC6663">
        <w:t xml:space="preserve">Subject to its delegated authorities, </w:t>
      </w:r>
      <w:r w:rsidR="00A857B5" w:rsidRPr="00FC6663">
        <w:t>the Agency</w:t>
      </w:r>
      <w:r w:rsidRPr="00FC6663">
        <w:t xml:space="preserve"> shall ensure that the creation of any additional posts does not incur forward commitments that will exceed its ability to pay for them. </w:t>
      </w:r>
    </w:p>
    <w:p w14:paraId="45CA5026" w14:textId="247EFFA3" w:rsidR="002B1F17" w:rsidRPr="006E13DC" w:rsidRDefault="002B1F17" w:rsidP="006E13DC">
      <w:pPr>
        <w:ind w:left="717"/>
        <w:rPr>
          <w:rFonts w:ascii="Arial" w:hAnsi="Arial" w:cs="Arial"/>
          <w:b/>
          <w:bCs/>
          <w:sz w:val="28"/>
          <w:szCs w:val="28"/>
        </w:rPr>
      </w:pPr>
      <w:r w:rsidRPr="006E13DC">
        <w:rPr>
          <w:rFonts w:ascii="Arial" w:hAnsi="Arial" w:cs="Arial"/>
          <w:b/>
          <w:bCs/>
          <w:sz w:val="28"/>
          <w:szCs w:val="28"/>
        </w:rPr>
        <w:t xml:space="preserve">Pay and conditions of service </w:t>
      </w:r>
    </w:p>
    <w:p w14:paraId="352AD274" w14:textId="09926FAC" w:rsidR="00996DCD" w:rsidRDefault="00A857B5" w:rsidP="00D239B5">
      <w:pPr>
        <w:pStyle w:val="ParagraphText-numbered"/>
      </w:pPr>
      <w:r w:rsidRPr="00FC6663">
        <w:t>The Agency</w:t>
      </w:r>
      <w:r w:rsidR="002B1F17" w:rsidRPr="00FC6663">
        <w:t xml:space="preserve">’s staff </w:t>
      </w:r>
      <w:r w:rsidR="007B23A7">
        <w:t>are</w:t>
      </w:r>
      <w:r w:rsidR="00CA1C36">
        <w:t xml:space="preserve"> subject to </w:t>
      </w:r>
      <w:r w:rsidR="00AF511A">
        <w:t xml:space="preserve">standard civil service </w:t>
      </w:r>
      <w:r w:rsidR="00CA1C36">
        <w:t>terms and conditions</w:t>
      </w:r>
      <w:r w:rsidR="00551B9A">
        <w:t xml:space="preserve"> </w:t>
      </w:r>
      <w:r w:rsidR="00996DCD">
        <w:t>of service (including pensions) within the general pay structure approved by the Department and HM Treasury</w:t>
      </w:r>
      <w:r w:rsidR="00340F1E">
        <w:t>, aside from any staff who may have transferred on legacy conditions as an exception</w:t>
      </w:r>
      <w:r w:rsidR="00996DCD">
        <w:t xml:space="preserve">. </w:t>
      </w:r>
      <w:r w:rsidR="00FC646E">
        <w:t xml:space="preserve">The Agency </w:t>
      </w:r>
      <w:r w:rsidR="00996DCD">
        <w:t>has no delegated power to amend these pay terms and conditions</w:t>
      </w:r>
      <w:r w:rsidR="00AF511A" w:rsidRPr="00AF511A">
        <w:t xml:space="preserve"> </w:t>
      </w:r>
      <w:r w:rsidR="00AF511A">
        <w:t>without the approval of the Secretary of State</w:t>
      </w:r>
      <w:r w:rsidR="00996DCD">
        <w:t xml:space="preserve">.  </w:t>
      </w:r>
    </w:p>
    <w:p w14:paraId="51D2BFFF" w14:textId="0EF564D2" w:rsidR="00932108" w:rsidRDefault="00932108" w:rsidP="00D239B5">
      <w:pPr>
        <w:pStyle w:val="ParagraphText-numbered"/>
      </w:pPr>
      <w:r>
        <w:t xml:space="preserve">If civil service terms and conditions of service apply to the rates of pay and non-pay allowances paid to the staff and to any other party entitled to payment in respect of travel expenses or other allowances, payment shall be made in accordance with the Civil Service Management </w:t>
      </w:r>
      <w:r w:rsidR="00AF6881">
        <w:t>Code</w:t>
      </w:r>
      <w:r w:rsidR="00AF6881">
        <w:rPr>
          <w:rStyle w:val="FootnoteReference"/>
        </w:rPr>
        <w:footnoteReference w:id="14"/>
      </w:r>
      <w:r>
        <w:t xml:space="preserve"> and the annual Civil Service Pay Remit Guidance, except where prior approval has been given by the department to vary such rates.</w:t>
      </w:r>
    </w:p>
    <w:p w14:paraId="0DC69671" w14:textId="77777777" w:rsidR="00932108" w:rsidRDefault="00932108" w:rsidP="00D239B5">
      <w:pPr>
        <w:pStyle w:val="ParagraphText-numbered"/>
      </w:pPr>
      <w:r>
        <w:t xml:space="preserve">SCS remuneration is subject to the recommendations of the Senior Salaries Review Body and related Cabinet Office and Treasury guidance. </w:t>
      </w:r>
    </w:p>
    <w:p w14:paraId="7F3FD5CD" w14:textId="57F2BFE0" w:rsidR="008B40C4" w:rsidRDefault="008B40C4" w:rsidP="00D239B5">
      <w:pPr>
        <w:pStyle w:val="ParagraphText-numbered"/>
      </w:pPr>
      <w:r>
        <w:t xml:space="preserve">In general terms, the Agency will adopt policies developed by Civil Service HR, which will be adapted where necessary to reflect the Agency’s business and workforce. </w:t>
      </w:r>
      <w:r w:rsidR="00932108">
        <w:t xml:space="preserve"> These should be accessible to all staff </w:t>
      </w:r>
      <w:r w:rsidR="006928DD">
        <w:t xml:space="preserve">and </w:t>
      </w:r>
      <w:r w:rsidR="00932108">
        <w:t>copies provided to the Department if requested.</w:t>
      </w:r>
    </w:p>
    <w:p w14:paraId="179ECD45" w14:textId="452EDC5F" w:rsidR="002B1F17" w:rsidRPr="00FC6663" w:rsidRDefault="00A857B5" w:rsidP="00D239B5">
      <w:pPr>
        <w:pStyle w:val="ParagraphText-numbered"/>
      </w:pPr>
      <w:r w:rsidRPr="00FC6663">
        <w:t>The Agency</w:t>
      </w:r>
      <w:r w:rsidR="002B1F17" w:rsidRPr="00FC6663">
        <w:t xml:space="preserve"> shall abide by public sector pay controls, including the relevant approvals process dependent on </w:t>
      </w:r>
      <w:r w:rsidR="00F36171">
        <w:t>its</w:t>
      </w:r>
      <w:r w:rsidR="002B1F17" w:rsidRPr="00FC6663">
        <w:t xml:space="preserve"> classification as detailed in the Senior Pay Guidance</w:t>
      </w:r>
      <w:r w:rsidR="0027011B">
        <w:rPr>
          <w:rStyle w:val="FootnoteReference"/>
        </w:rPr>
        <w:footnoteReference w:id="15"/>
      </w:r>
      <w:r w:rsidR="002B1F17" w:rsidRPr="00FC6663">
        <w:t xml:space="preserve"> and the </w:t>
      </w:r>
      <w:r w:rsidR="00BC7751">
        <w:t>P</w:t>
      </w:r>
      <w:r w:rsidR="002B1F17" w:rsidRPr="00FC6663">
        <w:t xml:space="preserve">ublic </w:t>
      </w:r>
      <w:r w:rsidR="00BC7751">
        <w:t>S</w:t>
      </w:r>
      <w:r w:rsidR="002B1F17" w:rsidRPr="00FC6663">
        <w:t xml:space="preserve">ector </w:t>
      </w:r>
      <w:r w:rsidR="00BC7751">
        <w:t>P</w:t>
      </w:r>
      <w:r w:rsidR="002B1F17" w:rsidRPr="00FC6663">
        <w:t xml:space="preserve">ay and </w:t>
      </w:r>
      <w:r w:rsidR="00BC7751">
        <w:t>T</w:t>
      </w:r>
      <w:r w:rsidR="002B1F17" w:rsidRPr="00FC6663">
        <w:t xml:space="preserve">erms </w:t>
      </w:r>
      <w:r w:rsidR="00BC7751">
        <w:t>G</w:t>
      </w:r>
      <w:r w:rsidR="002B1F17" w:rsidRPr="00FC6663">
        <w:t>uidance</w:t>
      </w:r>
      <w:r w:rsidR="00BC7751">
        <w:rPr>
          <w:rStyle w:val="FootnoteReference"/>
        </w:rPr>
        <w:footnoteReference w:id="16"/>
      </w:r>
      <w:r w:rsidR="002B1F17" w:rsidRPr="00FC6663">
        <w:t xml:space="preserve">. </w:t>
      </w:r>
    </w:p>
    <w:p w14:paraId="42357FF2" w14:textId="02373006" w:rsidR="002B1F17" w:rsidRDefault="00A857B5" w:rsidP="00D239B5">
      <w:pPr>
        <w:pStyle w:val="ParagraphText-numbered"/>
      </w:pPr>
      <w:r w:rsidRPr="005A49AD">
        <w:t>The Agency</w:t>
      </w:r>
      <w:r w:rsidR="002B1F17" w:rsidRPr="005A49AD">
        <w:t xml:space="preserve"> </w:t>
      </w:r>
      <w:r w:rsidR="0076250D">
        <w:t>shall</w:t>
      </w:r>
      <w:r w:rsidR="0076250D" w:rsidRPr="005A49AD">
        <w:t xml:space="preserve"> </w:t>
      </w:r>
      <w:r w:rsidR="002B1F17" w:rsidRPr="005A49AD">
        <w:t xml:space="preserve">operate a performance-related pay scheme that shall form part of the annual aggregate pay budget approved by the </w:t>
      </w:r>
      <w:r w:rsidR="004B28C3" w:rsidRPr="005A49AD">
        <w:t>Department</w:t>
      </w:r>
      <w:r w:rsidR="004606AB">
        <w:t>,</w:t>
      </w:r>
      <w:r w:rsidR="002B1F17" w:rsidRPr="005A49AD">
        <w:t xml:space="preserve"> or the general pay structure approved by the </w:t>
      </w:r>
      <w:r w:rsidR="004B28C3" w:rsidRPr="005A49AD">
        <w:t>Department</w:t>
      </w:r>
      <w:r w:rsidR="002B1F17" w:rsidRPr="005A49AD">
        <w:t xml:space="preserve"> and </w:t>
      </w:r>
      <w:r w:rsidR="007A5C18" w:rsidRPr="005A49AD">
        <w:t>HM Treasury</w:t>
      </w:r>
      <w:r w:rsidR="002B1F17" w:rsidRPr="005A49AD">
        <w:t xml:space="preserve"> </w:t>
      </w:r>
      <w:r w:rsidR="00F41AAF">
        <w:t xml:space="preserve">where relevant, </w:t>
      </w:r>
      <w:r w:rsidR="002B1F17" w:rsidRPr="005A49AD">
        <w:t>with due regard to the senior pay guidance</w:t>
      </w:r>
      <w:r w:rsidR="00F41AAF">
        <w:t xml:space="preserve"> and in line with Cabinet Office guidance</w:t>
      </w:r>
      <w:r w:rsidR="002B1F17" w:rsidRPr="005A49AD">
        <w:t xml:space="preserve">. </w:t>
      </w:r>
    </w:p>
    <w:p w14:paraId="06A8B1BC" w14:textId="1A6317DF" w:rsidR="002C2805" w:rsidRDefault="002C2805" w:rsidP="00D239B5">
      <w:pPr>
        <w:pStyle w:val="ParagraphText-numbered"/>
      </w:pPr>
      <w:r>
        <w:t>The travel expenses of board members shall be tied to the rates allowed to senior staff of the ALB. Reasonable actual costs shall be reimbursed.</w:t>
      </w:r>
    </w:p>
    <w:p w14:paraId="08B666CF" w14:textId="77777777" w:rsidR="00E26065" w:rsidRPr="004466C5" w:rsidRDefault="00E26065" w:rsidP="00E26065">
      <w:pPr>
        <w:pStyle w:val="Heading4"/>
        <w:shd w:val="clear" w:color="auto" w:fill="FFFFFF"/>
        <w:spacing w:before="525"/>
        <w:rPr>
          <w:rFonts w:ascii="Arial" w:hAnsi="Arial" w:cs="Arial"/>
          <w:b/>
          <w:bCs/>
          <w:i w:val="0"/>
          <w:iCs w:val="0"/>
          <w:color w:val="0B0C0C"/>
          <w:sz w:val="29"/>
          <w:szCs w:val="29"/>
        </w:rPr>
      </w:pPr>
      <w:r w:rsidRPr="004466C5">
        <w:rPr>
          <w:rFonts w:ascii="Arial" w:hAnsi="Arial" w:cs="Arial"/>
          <w:b/>
          <w:bCs/>
          <w:i w:val="0"/>
          <w:iCs w:val="0"/>
          <w:color w:val="0B0C0C"/>
          <w:sz w:val="29"/>
          <w:szCs w:val="29"/>
        </w:rPr>
        <w:t>Recruitment of senior staff</w:t>
      </w:r>
    </w:p>
    <w:p w14:paraId="694B4D51" w14:textId="3F79C446" w:rsidR="00E26065" w:rsidRDefault="00164D78" w:rsidP="00D239B5">
      <w:pPr>
        <w:pStyle w:val="ParagraphText-numbered"/>
      </w:pPr>
      <w:r w:rsidRPr="008B49AB">
        <w:t>While </w:t>
      </w:r>
      <w:r>
        <w:t>MHRA</w:t>
      </w:r>
      <w:r w:rsidRPr="008B49AB">
        <w:t xml:space="preserve"> is responsible for the structure and staffing of </w:t>
      </w:r>
      <w:r w:rsidR="004606AB">
        <w:t xml:space="preserve">its </w:t>
      </w:r>
      <w:r w:rsidRPr="008B49AB">
        <w:t xml:space="preserve">organisation, it will consult with the department when making decisions on the creation, regrading or reduction of Senior Civil Service (SCS) posts.  </w:t>
      </w:r>
      <w:r w:rsidR="00F3682C">
        <w:t>An</w:t>
      </w:r>
      <w:r w:rsidRPr="008B49AB">
        <w:t>y recruitment with a salary over £150,000 must be done in line with </w:t>
      </w:r>
      <w:hyperlink r:id="rId21" w:history="1">
        <w:r w:rsidRPr="008B49AB">
          <w:rPr>
            <w:rStyle w:val="Hyperlink"/>
            <w:rFonts w:eastAsiaTheme="majorEastAsia"/>
          </w:rPr>
          <w:t>senior pay guidance</w:t>
        </w:r>
      </w:hyperlink>
      <w:r w:rsidRPr="008B49AB">
        <w:t> and approval is required from DHSC in advance of seeking approval from HM</w:t>
      </w:r>
      <w:r w:rsidR="0088539A">
        <w:t xml:space="preserve"> </w:t>
      </w:r>
      <w:r w:rsidRPr="008B49AB">
        <w:t>T</w:t>
      </w:r>
      <w:r w:rsidR="0088539A">
        <w:t>reasury</w:t>
      </w:r>
      <w:r w:rsidRPr="008B49AB">
        <w:t>.</w:t>
      </w:r>
    </w:p>
    <w:p w14:paraId="116D1FA5" w14:textId="4036AC7C" w:rsidR="002B1F17" w:rsidRPr="006E13DC" w:rsidRDefault="002B1F17" w:rsidP="006E13DC">
      <w:pPr>
        <w:ind w:left="717"/>
        <w:rPr>
          <w:rFonts w:ascii="Arial" w:hAnsi="Arial" w:cs="Arial"/>
          <w:b/>
          <w:bCs/>
          <w:sz w:val="28"/>
          <w:szCs w:val="28"/>
        </w:rPr>
      </w:pPr>
      <w:r w:rsidRPr="006E13DC">
        <w:rPr>
          <w:rFonts w:ascii="Arial" w:hAnsi="Arial" w:cs="Arial"/>
          <w:b/>
          <w:bCs/>
          <w:sz w:val="28"/>
          <w:szCs w:val="28"/>
        </w:rPr>
        <w:t>Pensions, redundancy and compensation</w:t>
      </w:r>
    </w:p>
    <w:p w14:paraId="1B143191" w14:textId="531EF6B4" w:rsidR="00F97768" w:rsidRPr="00547684" w:rsidRDefault="00C96D34" w:rsidP="00D239B5">
      <w:pPr>
        <w:pStyle w:val="ParagraphText-numbered"/>
      </w:pPr>
      <w:r w:rsidRPr="00547684">
        <w:t>The Agency will operate in line with c</w:t>
      </w:r>
      <w:r w:rsidR="002B1F17" w:rsidRPr="00547684">
        <w:t>ompensation scheme rules</w:t>
      </w:r>
      <w:r w:rsidRPr="00547684">
        <w:t>,</w:t>
      </w:r>
      <w:r w:rsidR="002B1F17" w:rsidRPr="00547684">
        <w:t xml:space="preserve"> pension scheme rules </w:t>
      </w:r>
      <w:r w:rsidRPr="00547684">
        <w:t xml:space="preserve">and </w:t>
      </w:r>
      <w:r w:rsidR="00391C3F" w:rsidRPr="00547684">
        <w:t>legislative, Cabinet Office and H</w:t>
      </w:r>
      <w:r w:rsidR="007A5C18" w:rsidRPr="00547684">
        <w:t>M Treasury</w:t>
      </w:r>
      <w:r w:rsidR="002B1F17" w:rsidRPr="00547684">
        <w:t xml:space="preserve"> guidance requirements regarding exit payments. </w:t>
      </w:r>
    </w:p>
    <w:p w14:paraId="314AE5E4" w14:textId="3A306407" w:rsidR="002B1F17" w:rsidRPr="00FC6663" w:rsidRDefault="00FC6663" w:rsidP="00D239B5">
      <w:pPr>
        <w:pStyle w:val="ParagraphText-numbered"/>
      </w:pPr>
      <w:r w:rsidRPr="00BD0552">
        <w:t>The Agency’s</w:t>
      </w:r>
      <w:r w:rsidR="002B1F17" w:rsidRPr="00BD0552">
        <w:t xml:space="preserve"> staff shall normally be eligible for a pension provided by </w:t>
      </w:r>
      <w:r w:rsidR="00BD0552">
        <w:t>the Civil Service Pension Scheme</w:t>
      </w:r>
      <w:r w:rsidR="002B1F17" w:rsidRPr="00BD0552">
        <w:t xml:space="preserve">. Staff may opt out of the occupational pension scheme, but </w:t>
      </w:r>
      <w:r w:rsidR="00CE1E59">
        <w:t>the</w:t>
      </w:r>
      <w:r w:rsidR="00CE1E59" w:rsidRPr="00BD0552">
        <w:t xml:space="preserve"> </w:t>
      </w:r>
      <w:r w:rsidR="002B1F17" w:rsidRPr="00BD0552">
        <w:t>employers’ contribution to any personal pension arrangement, including stakeholder pension</w:t>
      </w:r>
      <w:r w:rsidR="001352E6">
        <w:t>,</w:t>
      </w:r>
      <w:r w:rsidR="002B1F17" w:rsidRPr="00BD0552">
        <w:t xml:space="preserve"> shall normally be limited to the national insurance rebate level. </w:t>
      </w:r>
    </w:p>
    <w:p w14:paraId="216237B1" w14:textId="076368C2" w:rsidR="002B1F17" w:rsidRDefault="002B1F17" w:rsidP="00D239B5">
      <w:pPr>
        <w:pStyle w:val="ParagraphText-numbered"/>
      </w:pPr>
      <w:r w:rsidRPr="00FC6663">
        <w:t xml:space="preserve">Any proposal by </w:t>
      </w:r>
      <w:r w:rsidR="00A857B5" w:rsidRPr="00FC6663">
        <w:t>the Agency</w:t>
      </w:r>
      <w:r w:rsidRPr="00FC6663">
        <w:t xml:space="preserve"> to move from the existing pension arrangements, or to pay any redundancy or compensation for loss of office, requires the prior approval of the </w:t>
      </w:r>
      <w:r w:rsidR="004B28C3" w:rsidRPr="00FC6663">
        <w:t>Department</w:t>
      </w:r>
      <w:r w:rsidRPr="00FC6663">
        <w:t xml:space="preserve">. Proposals on severance must comply with the rules in chapter 4 of </w:t>
      </w:r>
      <w:r w:rsidR="008C25B9" w:rsidRPr="00FC6663">
        <w:t>MPM</w:t>
      </w:r>
      <w:r w:rsidR="00A5313E">
        <w:t>.  For example, a</w:t>
      </w:r>
      <w:r w:rsidR="00A5313E" w:rsidRPr="00547684">
        <w:t xml:space="preserve">ll novel or contentious payments require Departmental and HM Treasury approval. Special severance payments are always considered novel or contentious.  </w:t>
      </w:r>
    </w:p>
    <w:bookmarkEnd w:id="46"/>
    <w:p w14:paraId="1BC27458" w14:textId="77777777" w:rsidR="00F9655F" w:rsidRDefault="00F9655F" w:rsidP="00D239B5">
      <w:pPr>
        <w:pStyle w:val="ParagraphText-numbered"/>
        <w:sectPr w:rsidR="00F9655F" w:rsidSect="00DD1D01">
          <w:pgSz w:w="11906" w:h="16838"/>
          <w:pgMar w:top="1440" w:right="1080" w:bottom="1440" w:left="1080" w:header="708" w:footer="708" w:gutter="0"/>
          <w:cols w:space="708"/>
          <w:docGrid w:linePitch="360"/>
        </w:sectPr>
      </w:pPr>
    </w:p>
    <w:p w14:paraId="5C6F80F1" w14:textId="09CB1F76" w:rsidR="00760AB1" w:rsidRDefault="00760AB1" w:rsidP="00D20FBF">
      <w:pPr>
        <w:pStyle w:val="Heading1"/>
      </w:pPr>
      <w:bookmarkStart w:id="48" w:name="_Toc153466365"/>
      <w:r w:rsidRPr="00FC6663">
        <w:t>Business Plans</w:t>
      </w:r>
      <w:r w:rsidR="00FC6663">
        <w:t>,</w:t>
      </w:r>
      <w:r w:rsidRPr="00FC6663">
        <w:t xml:space="preserve"> Financial Reporting and Management </w:t>
      </w:r>
      <w:r w:rsidR="00FC6663">
        <w:t>I</w:t>
      </w:r>
      <w:r w:rsidRPr="00FC6663">
        <w:t>nformation</w:t>
      </w:r>
      <w:bookmarkEnd w:id="48"/>
      <w:r w:rsidRPr="00FC6663">
        <w:t xml:space="preserve"> </w:t>
      </w:r>
    </w:p>
    <w:p w14:paraId="34857402" w14:textId="7E3D359D" w:rsidR="004F1B05" w:rsidRDefault="004F1B05" w:rsidP="004F1B05">
      <w:pPr>
        <w:pStyle w:val="Heading2"/>
      </w:pPr>
      <w:bookmarkStart w:id="49" w:name="_Toc153466366"/>
      <w:r w:rsidRPr="00A857B5">
        <w:t>Corporate plan</w:t>
      </w:r>
      <w:bookmarkEnd w:id="49"/>
    </w:p>
    <w:p w14:paraId="60D6199D" w14:textId="1A8D38E3" w:rsidR="00644145" w:rsidRDefault="00644145" w:rsidP="00D239B5">
      <w:pPr>
        <w:pStyle w:val="ParagraphText-numbered"/>
      </w:pPr>
      <w:r w:rsidRPr="00F940CF">
        <w:t xml:space="preserve">By </w:t>
      </w:r>
      <w:r w:rsidR="005149DA">
        <w:t>the start of the financial year</w:t>
      </w:r>
      <w:r w:rsidR="00187D48">
        <w:t xml:space="preserve"> every three years</w:t>
      </w:r>
      <w:r w:rsidR="00397DDB">
        <w:t xml:space="preserve"> (starting 2023)</w:t>
      </w:r>
      <w:r w:rsidRPr="00061127">
        <w:t>, the Agency shall submit to the Department a draft of the corporate plan</w:t>
      </w:r>
      <w:r w:rsidRPr="00F940CF">
        <w:t xml:space="preserve"> covering three years ahead</w:t>
      </w:r>
      <w:r>
        <w:t>.</w:t>
      </w:r>
      <w:r w:rsidRPr="00F940CF">
        <w:t xml:space="preserve"> </w:t>
      </w:r>
      <w:r w:rsidRPr="00FC6663">
        <w:t xml:space="preserve">The Agency shall agree with the Department the </w:t>
      </w:r>
      <w:r>
        <w:t xml:space="preserve">range of strategic </w:t>
      </w:r>
      <w:r w:rsidRPr="00FC6663">
        <w:t xml:space="preserve">issues to be addressed in the </w:t>
      </w:r>
      <w:r>
        <w:t xml:space="preserve">corporate </w:t>
      </w:r>
      <w:r w:rsidRPr="00FC6663">
        <w:t xml:space="preserve">plan and the timetable for its </w:t>
      </w:r>
      <w:r>
        <w:t>approval by the Department</w:t>
      </w:r>
      <w:r w:rsidRPr="00FC6663">
        <w:t xml:space="preserve">. </w:t>
      </w:r>
    </w:p>
    <w:p w14:paraId="68ED477A" w14:textId="7B246728" w:rsidR="00E72266" w:rsidRDefault="00526203" w:rsidP="00D239B5">
      <w:pPr>
        <w:pStyle w:val="ParagraphText-numbered"/>
      </w:pPr>
      <w:r w:rsidRPr="00526203">
        <w:t>The Chief Executive is responsible for preparing the corporate plan</w:t>
      </w:r>
      <w:r w:rsidR="0046147A">
        <w:t>, with input from the Agency Board</w:t>
      </w:r>
      <w:r w:rsidRPr="00526203">
        <w:t>. It</w:t>
      </w:r>
      <w:r w:rsidR="001A5236">
        <w:t xml:space="preserve"> shall reflect </w:t>
      </w:r>
      <w:r w:rsidR="001A5236" w:rsidRPr="00FC6663">
        <w:t xml:space="preserve">the Agency’s statutory and/or other duties and, within those duties, the priorities set from time to time by the </w:t>
      </w:r>
      <w:r w:rsidR="001A5236">
        <w:t>responsible</w:t>
      </w:r>
      <w:r w:rsidR="001A5236" w:rsidRPr="00FC6663">
        <w:t xml:space="preserve"> minister (including decisions taken on policy and resources in the light of wider public expenditure decisions). </w:t>
      </w:r>
    </w:p>
    <w:p w14:paraId="4C9D5B0A" w14:textId="4E4ED6EB" w:rsidR="002C79D8" w:rsidRDefault="00E77BDC" w:rsidP="00D239B5">
      <w:pPr>
        <w:pStyle w:val="ParagraphText-numbered"/>
      </w:pPr>
      <w:r>
        <w:t xml:space="preserve">The plan </w:t>
      </w:r>
      <w:r w:rsidR="00730283">
        <w:t>shall</w:t>
      </w:r>
      <w:r w:rsidR="00351A0D">
        <w:t xml:space="preserve"> form the agreed basis for detail</w:t>
      </w:r>
      <w:r w:rsidR="00E72266">
        <w:t>ed annual business planning. To do this, it shall:</w:t>
      </w:r>
    </w:p>
    <w:p w14:paraId="7CA9E4B1" w14:textId="1D7A4879" w:rsidR="00A622FD" w:rsidRDefault="00A622FD" w:rsidP="00D239B5">
      <w:pPr>
        <w:pStyle w:val="Style8"/>
      </w:pPr>
      <w:r>
        <w:t xml:space="preserve">set out how the Agency will deliver the functions delegated by the Secretary of State, in line with wider government priorities and objectives; </w:t>
      </w:r>
      <w:r w:rsidR="005600D6">
        <w:t>and</w:t>
      </w:r>
    </w:p>
    <w:p w14:paraId="1CB74A9F" w14:textId="30ED90E6" w:rsidR="00A622FD" w:rsidRDefault="00A622FD" w:rsidP="00D239B5">
      <w:pPr>
        <w:pStyle w:val="Style8"/>
      </w:pPr>
      <w:r>
        <w:t>describe the Agency’s longer-term aims and objectives</w:t>
      </w:r>
      <w:r w:rsidR="00351A0D">
        <w:t xml:space="preserve"> and set out a strategy for achieving these</w:t>
      </w:r>
      <w:r w:rsidR="005600D6">
        <w:t>.</w:t>
      </w:r>
    </w:p>
    <w:p w14:paraId="49B3AE6E" w14:textId="45970D46" w:rsidR="00E1112C" w:rsidRPr="00E1112C" w:rsidRDefault="00A1694A" w:rsidP="00D239B5">
      <w:pPr>
        <w:pStyle w:val="ParagraphText-numbered"/>
      </w:pPr>
      <w:r w:rsidRPr="00A1694A">
        <w:t xml:space="preserve">The plan shall </w:t>
      </w:r>
      <w:r w:rsidR="00733F9E">
        <w:t xml:space="preserve">also </w:t>
      </w:r>
      <w:r w:rsidRPr="00A1694A">
        <w:t>demonstrate how the Agency contributes to the achievement of the Department’s medium-term plan and priorities, with appropriate performance metrics and milestones, and how the Department is supporting the Agency to deliver, through appropriate funding and resources, risk management and policy support.</w:t>
      </w:r>
      <w:r>
        <w:t xml:space="preserve"> </w:t>
      </w:r>
    </w:p>
    <w:p w14:paraId="02828AD4" w14:textId="79F9C127" w:rsidR="00526203" w:rsidRDefault="00526203" w:rsidP="00D239B5">
      <w:pPr>
        <w:pStyle w:val="ParagraphText-numbered"/>
      </w:pPr>
      <w:r>
        <w:t xml:space="preserve">The </w:t>
      </w:r>
      <w:r w:rsidRPr="00526203">
        <w:t>Department and the Agency will review the Agency’s corporate plan at least annually. If, as a result of this review, the Agency’s corporate plan needs to be amended, these changes will be agreed with the Department.</w:t>
      </w:r>
    </w:p>
    <w:p w14:paraId="776290C8" w14:textId="11E648C9" w:rsidR="00A95158" w:rsidRDefault="00A95158" w:rsidP="00D239B5">
      <w:pPr>
        <w:pStyle w:val="ParagraphText-numbered"/>
      </w:pPr>
      <w:r w:rsidRPr="00FC6663">
        <w:t xml:space="preserve">The first year </w:t>
      </w:r>
      <w:r w:rsidRPr="00061127">
        <w:t>of the corporate plan, amplified as necessary, shall form the business plan. Su</w:t>
      </w:r>
      <w:r w:rsidRPr="00FC6663">
        <w:t>bject to any commercial considerations, the corporate and business plans should be published by the Agency on its website and separately be made available to staff.</w:t>
      </w:r>
    </w:p>
    <w:p w14:paraId="4A82FFF7" w14:textId="7FB6E1A9" w:rsidR="009D4B04" w:rsidRDefault="009D4B04" w:rsidP="00D239B5">
      <w:pPr>
        <w:pStyle w:val="ParagraphText-numbered"/>
      </w:pPr>
      <w:r>
        <w:t xml:space="preserve">The Department will contribute to the development of both the corporate and business plans through close collaboration and formal review at </w:t>
      </w:r>
      <w:r w:rsidR="00FD6898">
        <w:t>a</w:t>
      </w:r>
      <w:r>
        <w:t xml:space="preserve">ccountability </w:t>
      </w:r>
      <w:r w:rsidR="00FD6898">
        <w:t>m</w:t>
      </w:r>
      <w:r>
        <w:t xml:space="preserve">eetings ahead of submission of plans for </w:t>
      </w:r>
      <w:r w:rsidR="00FB5413">
        <w:t xml:space="preserve">SDS </w:t>
      </w:r>
      <w:r>
        <w:t>approval.</w:t>
      </w:r>
      <w:r w:rsidR="00FD6898">
        <w:t xml:space="preserve"> </w:t>
      </w:r>
      <w:r w:rsidR="00F0562B">
        <w:t>Although corporate and business plans do not</w:t>
      </w:r>
      <w:r w:rsidR="00A7792C">
        <w:t xml:space="preserve"> </w:t>
      </w:r>
      <w:r w:rsidR="00F0562B">
        <w:t>require ministerial approval</w:t>
      </w:r>
      <w:r w:rsidR="005C71B8">
        <w:t xml:space="preserve"> under current arrangements</w:t>
      </w:r>
      <w:r w:rsidR="00F0562B">
        <w:t>, t</w:t>
      </w:r>
      <w:r w:rsidR="00E67443">
        <w:t xml:space="preserve">he </w:t>
      </w:r>
      <w:r w:rsidR="00334E43">
        <w:t>Department</w:t>
      </w:r>
      <w:r w:rsidR="00E67443">
        <w:t xml:space="preserve"> and </w:t>
      </w:r>
      <w:r w:rsidR="00334E43">
        <w:t>Agency</w:t>
      </w:r>
      <w:r w:rsidR="00E67443">
        <w:t xml:space="preserve"> </w:t>
      </w:r>
      <w:r w:rsidR="00F0562B">
        <w:t xml:space="preserve">will consult </w:t>
      </w:r>
      <w:r w:rsidR="00334E43">
        <w:t>ministers as appropriate</w:t>
      </w:r>
      <w:r w:rsidR="00F0562B">
        <w:t xml:space="preserve">. </w:t>
      </w:r>
    </w:p>
    <w:p w14:paraId="2624F10B" w14:textId="290EAAB4" w:rsidR="00061127" w:rsidRPr="00FC6663" w:rsidRDefault="00061127" w:rsidP="00CA0E7D">
      <w:pPr>
        <w:pStyle w:val="Heading2"/>
      </w:pPr>
      <w:bookmarkStart w:id="50" w:name="_Toc153466367"/>
      <w:r>
        <w:t>Business plan</w:t>
      </w:r>
      <w:bookmarkEnd w:id="50"/>
    </w:p>
    <w:p w14:paraId="6E9FB24E" w14:textId="51B196EC" w:rsidR="004F1B05" w:rsidRDefault="00397DDB" w:rsidP="00D239B5">
      <w:pPr>
        <w:pStyle w:val="ParagraphText-numbered"/>
      </w:pPr>
      <w:r>
        <w:t xml:space="preserve">By </w:t>
      </w:r>
      <w:r w:rsidR="004F1B05">
        <w:t xml:space="preserve">the start of each financial year, the Chief Executive </w:t>
      </w:r>
      <w:r w:rsidR="004F1B05" w:rsidRPr="00C56171">
        <w:t xml:space="preserve">develops with the Board, and in agreement with the Department, </w:t>
      </w:r>
      <w:r w:rsidR="004F1B05">
        <w:t>a Business Plan which demonstrates how the Agency will deliver its objectives</w:t>
      </w:r>
      <w:r w:rsidR="0046147A">
        <w:t xml:space="preserve">, </w:t>
      </w:r>
      <w:r w:rsidR="004F1B05">
        <w:t xml:space="preserve">regulatory functions </w:t>
      </w:r>
      <w:r w:rsidR="0046147A">
        <w:t>and strategic priorities as set out in the Corporate Plan</w:t>
      </w:r>
      <w:r w:rsidR="004F1B05">
        <w:t xml:space="preserve">. Unless otherwise agreed with the Department, the Agency will produce new business plans on an annual basis.  </w:t>
      </w:r>
    </w:p>
    <w:p w14:paraId="49D32EEE" w14:textId="4BD4980C" w:rsidR="009D4B04" w:rsidRDefault="004F1B05" w:rsidP="00D239B5">
      <w:pPr>
        <w:pStyle w:val="ParagraphText-numbered"/>
      </w:pPr>
      <w:r>
        <w:t>The Business Plan sets out the Agency’s intended activity</w:t>
      </w:r>
      <w:r w:rsidR="004606AB">
        <w:t>, goals</w:t>
      </w:r>
      <w:r w:rsidR="0046147A">
        <w:t xml:space="preserve"> and </w:t>
      </w:r>
      <w:r>
        <w:t>anticipated resource requirements for the following financial year, including agreed resources from the Department for specific objectives.</w:t>
      </w:r>
      <w:r w:rsidR="00B21A4C" w:rsidRPr="00B21A4C">
        <w:t xml:space="preserve"> </w:t>
      </w:r>
    </w:p>
    <w:p w14:paraId="2AF549AD" w14:textId="77777777" w:rsidR="004F1B05" w:rsidRDefault="004F1B05" w:rsidP="00D239B5">
      <w:pPr>
        <w:pStyle w:val="ParagraphText-numbered"/>
      </w:pPr>
      <w:r>
        <w:t xml:space="preserve">The following key matters should be included in the business plan: </w:t>
      </w:r>
    </w:p>
    <w:p w14:paraId="1F18494B" w14:textId="77777777" w:rsidR="004F1B05" w:rsidRDefault="004F1B05" w:rsidP="00D239B5">
      <w:pPr>
        <w:pStyle w:val="Style8"/>
      </w:pPr>
      <w:r>
        <w:t xml:space="preserve">key objectives and associated key performance targets for the forward years, and the strategy for achieving those objectives; </w:t>
      </w:r>
    </w:p>
    <w:p w14:paraId="01C074C0" w14:textId="77777777" w:rsidR="004F1B05" w:rsidRDefault="004F1B05" w:rsidP="00D239B5">
      <w:pPr>
        <w:pStyle w:val="Style8"/>
      </w:pPr>
      <w:r>
        <w:t xml:space="preserve">key non-financial performance targets; </w:t>
      </w:r>
    </w:p>
    <w:p w14:paraId="4F4BAD8F" w14:textId="2A4B3612" w:rsidR="004F1B05" w:rsidRDefault="004F1B05" w:rsidP="00D239B5">
      <w:pPr>
        <w:pStyle w:val="Style8"/>
      </w:pPr>
      <w:r>
        <w:t xml:space="preserve">a review of performance in the preceding financial year, together with comparable outturns for the </w:t>
      </w:r>
      <w:r w:rsidRPr="00A41C95">
        <w:t xml:space="preserve">previous </w:t>
      </w:r>
      <w:r w:rsidR="000E0CBD" w:rsidRPr="00A41C95">
        <w:t>three</w:t>
      </w:r>
      <w:r w:rsidRPr="00A41C95">
        <w:t xml:space="preserve"> years</w:t>
      </w:r>
      <w:r>
        <w:t xml:space="preserve">, as applicable, and an estimate of performance in the current year; </w:t>
      </w:r>
    </w:p>
    <w:p w14:paraId="254E2F8E" w14:textId="77777777" w:rsidR="004F1B05" w:rsidRDefault="004F1B05" w:rsidP="00D239B5">
      <w:pPr>
        <w:pStyle w:val="Style8"/>
      </w:pPr>
      <w:r>
        <w:t xml:space="preserve">alternative scenarios and an assessment of the risk factors that may significantly affect the execution of the plan but that cannot be accurately forecast; and </w:t>
      </w:r>
    </w:p>
    <w:p w14:paraId="43831495" w14:textId="77777777" w:rsidR="004F1B05" w:rsidRDefault="004F1B05" w:rsidP="00D239B5">
      <w:pPr>
        <w:pStyle w:val="Style8"/>
      </w:pPr>
      <w:r>
        <w:t>other matters as agreed between the Department and the Agency.</w:t>
      </w:r>
    </w:p>
    <w:p w14:paraId="16B9623C" w14:textId="77777777" w:rsidR="004F1B05" w:rsidRDefault="004F1B05" w:rsidP="00D239B5">
      <w:pPr>
        <w:pStyle w:val="ParagraphText-numbered"/>
      </w:pPr>
      <w:r>
        <w:t xml:space="preserve">A draft business plan will be shared in sufficient time to facilitate comment from the Department prior to being submitted to SDS for approval. Once cleared by the Agency Board and the Department, the Agency publishes its annual business plan on its website. </w:t>
      </w:r>
    </w:p>
    <w:p w14:paraId="60FA63EC" w14:textId="4A0513DB" w:rsidR="004F1B05" w:rsidRDefault="004F1B05" w:rsidP="00D239B5">
      <w:pPr>
        <w:pStyle w:val="ParagraphText-numbered"/>
      </w:pPr>
      <w:r>
        <w:t xml:space="preserve">Progress against the objectives, targets and metrics in the Agency’s annual business plan is reviewed as part of accountability meetings. </w:t>
      </w:r>
    </w:p>
    <w:p w14:paraId="00D8438F" w14:textId="77777777" w:rsidR="004F1B05" w:rsidRDefault="004F1B05" w:rsidP="00D239B5">
      <w:pPr>
        <w:pStyle w:val="ParagraphText-numbered"/>
      </w:pPr>
      <w:r>
        <w:t xml:space="preserve">The Agency is responsible for the delivery of its objectives as agreed in its Business Plan, and the Department will limit the circumstances in which it will intervene in its activities. The following constraints do, however, apply: </w:t>
      </w:r>
    </w:p>
    <w:p w14:paraId="03A46ADE" w14:textId="77777777" w:rsidR="004F1B05" w:rsidRDefault="004F1B05" w:rsidP="00D239B5">
      <w:pPr>
        <w:pStyle w:val="Style8"/>
      </w:pPr>
      <w:r>
        <w:t xml:space="preserve">the Agency should charge fees in order to deliver its regulatory services as stipulated in legislation or to fulfil its functions; </w:t>
      </w:r>
    </w:p>
    <w:p w14:paraId="55A476AD" w14:textId="77777777" w:rsidR="004F1B05" w:rsidRDefault="004F1B05" w:rsidP="00D239B5">
      <w:pPr>
        <w:pStyle w:val="Style8"/>
      </w:pPr>
      <w:r>
        <w:t xml:space="preserve">any public money should be spent as specified; and </w:t>
      </w:r>
    </w:p>
    <w:p w14:paraId="2169C0BF" w14:textId="31864FD5" w:rsidR="004F1B05" w:rsidRDefault="004606AB" w:rsidP="00D239B5">
      <w:pPr>
        <w:pStyle w:val="Style8"/>
      </w:pPr>
      <w:r>
        <w:t>g</w:t>
      </w:r>
      <w:r w:rsidR="0053006D">
        <w:t xml:space="preserve">overnance structures and spending </w:t>
      </w:r>
      <w:r w:rsidR="004F1B05">
        <w:t xml:space="preserve">controls should be in place to support propriety and regularity. </w:t>
      </w:r>
    </w:p>
    <w:p w14:paraId="4C898B38" w14:textId="0C600DE0" w:rsidR="00760AB1" w:rsidRPr="00A857B5" w:rsidRDefault="00760AB1" w:rsidP="00D20FBF">
      <w:pPr>
        <w:pStyle w:val="Heading2"/>
      </w:pPr>
      <w:bookmarkStart w:id="51" w:name="_Toc153466368"/>
      <w:r w:rsidRPr="00A857B5">
        <w:t>Budgeting procedures</w:t>
      </w:r>
      <w:bookmarkEnd w:id="51"/>
    </w:p>
    <w:p w14:paraId="1B930893" w14:textId="38B80E57" w:rsidR="00760AB1" w:rsidRPr="00FC6663" w:rsidRDefault="00760AB1" w:rsidP="00D239B5">
      <w:pPr>
        <w:pStyle w:val="ParagraphText-numbered"/>
      </w:pPr>
      <w:r w:rsidRPr="00FC6663">
        <w:t>Each year</w:t>
      </w:r>
      <w:r w:rsidR="008954AB">
        <w:t xml:space="preserve"> and by an agreed date</w:t>
      </w:r>
      <w:r w:rsidRPr="00FC6663">
        <w:t xml:space="preserve">, in the light of </w:t>
      </w:r>
      <w:r w:rsidR="0046147A">
        <w:t xml:space="preserve">agreed </w:t>
      </w:r>
      <w:r w:rsidRPr="00FC6663">
        <w:t xml:space="preserve">decisions </w:t>
      </w:r>
      <w:r w:rsidR="0046147A">
        <w:t>between the</w:t>
      </w:r>
      <w:r w:rsidRPr="00FC6663">
        <w:t xml:space="preserve"> </w:t>
      </w:r>
      <w:r w:rsidR="004B28C3" w:rsidRPr="00FC6663">
        <w:t>Department</w:t>
      </w:r>
      <w:r w:rsidRPr="00FC6663">
        <w:t xml:space="preserve"> </w:t>
      </w:r>
      <w:r w:rsidR="0046147A">
        <w:t xml:space="preserve">and the Agency </w:t>
      </w:r>
      <w:r w:rsidRPr="00FC6663">
        <w:t xml:space="preserve">on the </w:t>
      </w:r>
      <w:r w:rsidR="0046147A">
        <w:t xml:space="preserve">progress against the </w:t>
      </w:r>
      <w:r w:rsidRPr="00FC6663">
        <w:t>corporate plan</w:t>
      </w:r>
      <w:r w:rsidR="004606AB">
        <w:t>,</w:t>
      </w:r>
      <w:r w:rsidR="008954AB">
        <w:t xml:space="preserve"> and to enable development of the business plan</w:t>
      </w:r>
      <w:r w:rsidR="00CF73D1">
        <w:t xml:space="preserve"> for the year </w:t>
      </w:r>
      <w:r w:rsidR="00CF73D1" w:rsidRPr="00787896">
        <w:t>ahead,</w:t>
      </w:r>
      <w:r w:rsidRPr="00787896">
        <w:t xml:space="preserve"> the </w:t>
      </w:r>
      <w:r w:rsidR="004B28C3" w:rsidRPr="00787896">
        <w:t>Department</w:t>
      </w:r>
      <w:r w:rsidRPr="00787896">
        <w:t xml:space="preserve"> will send to </w:t>
      </w:r>
      <w:r w:rsidR="00A857B5" w:rsidRPr="00787896">
        <w:t>the Agency</w:t>
      </w:r>
      <w:r w:rsidRPr="00787896">
        <w:t>:</w:t>
      </w:r>
      <w:r w:rsidRPr="00FC6663">
        <w:t xml:space="preserve"> </w:t>
      </w:r>
    </w:p>
    <w:p w14:paraId="72BCAECA" w14:textId="409BFEEC" w:rsidR="00760AB1" w:rsidRPr="00FC6663" w:rsidRDefault="00760AB1" w:rsidP="00D239B5">
      <w:pPr>
        <w:pStyle w:val="Style8"/>
      </w:pPr>
      <w:r w:rsidRPr="00FC6663">
        <w:t xml:space="preserve">a formal statement of the annual budgetary provision allocated by the </w:t>
      </w:r>
      <w:r w:rsidR="004B28C3" w:rsidRPr="00FC6663">
        <w:t>Department</w:t>
      </w:r>
      <w:r w:rsidRPr="00FC6663">
        <w:t xml:space="preserve"> in the light of competing priorities across the </w:t>
      </w:r>
      <w:r w:rsidR="004B28C3" w:rsidRPr="00FC6663">
        <w:t>Department</w:t>
      </w:r>
      <w:r w:rsidRPr="00FC6663">
        <w:t xml:space="preserve"> and of any forecast income approved by the </w:t>
      </w:r>
      <w:r w:rsidR="004B28C3" w:rsidRPr="00FC6663">
        <w:t>Department</w:t>
      </w:r>
      <w:r w:rsidRPr="00FC6663">
        <w:t xml:space="preserve">; and </w:t>
      </w:r>
    </w:p>
    <w:p w14:paraId="4B8A6ED9" w14:textId="3B8F6898" w:rsidR="00760AB1" w:rsidRPr="00FC6663" w:rsidRDefault="00760AB1" w:rsidP="00D239B5">
      <w:pPr>
        <w:pStyle w:val="Style8"/>
      </w:pPr>
      <w:r w:rsidRPr="00FC6663">
        <w:t xml:space="preserve">a statement of any planned change in policies affecting </w:t>
      </w:r>
      <w:r w:rsidR="00A857B5" w:rsidRPr="00FC6663">
        <w:t>the Agency</w:t>
      </w:r>
      <w:r w:rsidRPr="00FC6663">
        <w:t xml:space="preserve">. </w:t>
      </w:r>
    </w:p>
    <w:p w14:paraId="5A4FA29E" w14:textId="34E8C109" w:rsidR="00760AB1" w:rsidRDefault="00760AB1" w:rsidP="00D239B5">
      <w:pPr>
        <w:pStyle w:val="ParagraphText-numbered"/>
      </w:pPr>
      <w:r w:rsidRPr="00FC6663">
        <w:t xml:space="preserve">The approved annual business plan will take account both of approved funding provision and any forecast receipts </w:t>
      </w:r>
      <w:r w:rsidR="00FC6663">
        <w:t>a</w:t>
      </w:r>
      <w:r w:rsidRPr="00FC6663">
        <w:t xml:space="preserve">nd will include a budget of estimated payments and receipts together with a profile of expected expenditure and of draw-down of any </w:t>
      </w:r>
      <w:r w:rsidR="004B28C3" w:rsidRPr="00FC6663">
        <w:t>Department</w:t>
      </w:r>
      <w:r w:rsidRPr="00FC6663">
        <w:t xml:space="preserve">al funding and/or other income over the year. </w:t>
      </w:r>
    </w:p>
    <w:p w14:paraId="56C5B656" w14:textId="52A58B19" w:rsidR="00760AB1" w:rsidRPr="00A857B5" w:rsidRDefault="00760AB1" w:rsidP="00D20FBF">
      <w:pPr>
        <w:pStyle w:val="Heading2"/>
      </w:pPr>
      <w:bookmarkStart w:id="52" w:name="_Toc153466369"/>
      <w:bookmarkStart w:id="53" w:name="_Hlk109804682"/>
      <w:r w:rsidRPr="00A857B5">
        <w:t>Grant-in-aid and any ring-fenced grants</w:t>
      </w:r>
      <w:bookmarkEnd w:id="52"/>
    </w:p>
    <w:p w14:paraId="64E17E35" w14:textId="674393DC" w:rsidR="00165BAB" w:rsidRPr="00C55308" w:rsidRDefault="00165BAB" w:rsidP="00D239B5">
      <w:pPr>
        <w:pStyle w:val="ParagraphText-numbered"/>
      </w:pPr>
      <w:r w:rsidRPr="002E0C72">
        <w:t xml:space="preserve">The Agency does not </w:t>
      </w:r>
      <w:r>
        <w:t xml:space="preserve">currently </w:t>
      </w:r>
      <w:r w:rsidRPr="002E0C72">
        <w:t>give grants or grants</w:t>
      </w:r>
      <w:r>
        <w:t>-</w:t>
      </w:r>
      <w:r w:rsidRPr="002E0C72">
        <w:t>in</w:t>
      </w:r>
      <w:r>
        <w:t>-</w:t>
      </w:r>
      <w:r w:rsidRPr="002E0C72">
        <w:t xml:space="preserve">aid. </w:t>
      </w:r>
    </w:p>
    <w:p w14:paraId="2B4D610E" w14:textId="5251BB51" w:rsidR="00760AB1" w:rsidRPr="00FC6663" w:rsidRDefault="00273214" w:rsidP="00D239B5">
      <w:pPr>
        <w:pStyle w:val="ParagraphText-numbered"/>
      </w:pPr>
      <w:r>
        <w:t>G</w:t>
      </w:r>
      <w:r w:rsidR="00760AB1" w:rsidRPr="00FC6663">
        <w:t xml:space="preserve">rant-in-aid will normally be paid </w:t>
      </w:r>
      <w:r>
        <w:t xml:space="preserve">to the </w:t>
      </w:r>
      <w:r w:rsidR="00136BD7">
        <w:t>A</w:t>
      </w:r>
      <w:r>
        <w:t xml:space="preserve">gency </w:t>
      </w:r>
      <w:r w:rsidR="00760AB1" w:rsidRPr="00FC6663">
        <w:t xml:space="preserve">in monthly instalments on the basis of written applications showing evidence of need. The </w:t>
      </w:r>
      <w:r w:rsidR="00136BD7">
        <w:t>A</w:t>
      </w:r>
      <w:r w:rsidR="007A5C18" w:rsidRPr="00FC6663">
        <w:t>gency</w:t>
      </w:r>
      <w:r w:rsidR="00760AB1" w:rsidRPr="00FC6663">
        <w:t xml:space="preserve"> will comply with the general principle that there is no payment in advance of need. Cash balances accumulated during the course of the year from grant-in-aid or other Exchequer funds shall be kept to a minimum level consistent with the efficient operation of </w:t>
      </w:r>
      <w:r w:rsidR="00A857B5" w:rsidRPr="00FC6663">
        <w:t>the Agency</w:t>
      </w:r>
      <w:r w:rsidR="00760AB1" w:rsidRPr="00FC6663">
        <w:t xml:space="preserve">. Grant-in-aid not drawn down by the end of the financial year shall lapse. Subject to approval by Parliament of the relevant Estimates provision, where grant-in-aid is delayed to avoid excess cash balances at the year-end, the </w:t>
      </w:r>
      <w:r w:rsidR="004B28C3" w:rsidRPr="00FC6663">
        <w:t>Department</w:t>
      </w:r>
      <w:r w:rsidR="00760AB1" w:rsidRPr="00FC6663">
        <w:t xml:space="preserve"> will make available in the next financial year any such grant-in-aid that is required to meet any liabilities at the year end, such as creditors. </w:t>
      </w:r>
    </w:p>
    <w:bookmarkEnd w:id="53"/>
    <w:p w14:paraId="52913206" w14:textId="64EB625C" w:rsidR="00760AB1" w:rsidRPr="00FC6663" w:rsidRDefault="00760AB1" w:rsidP="00D239B5">
      <w:pPr>
        <w:pStyle w:val="ParagraphText-numbered"/>
      </w:pPr>
      <w:r w:rsidRPr="00FC6663">
        <w:t xml:space="preserve">In the event that the </w:t>
      </w:r>
      <w:r w:rsidR="004B28C3" w:rsidRPr="00FC6663">
        <w:t>Department</w:t>
      </w:r>
      <w:r w:rsidRPr="00FC6663">
        <w:t xml:space="preserve"> provides </w:t>
      </w:r>
      <w:r w:rsidR="00A857B5" w:rsidRPr="00FC6663">
        <w:t>the Agency</w:t>
      </w:r>
      <w:r w:rsidRPr="00FC6663">
        <w:t xml:space="preserve"> separate grants for specific</w:t>
      </w:r>
      <w:r w:rsidR="00FC6663">
        <w:t xml:space="preserve">, </w:t>
      </w:r>
      <w:r w:rsidRPr="00FC6663">
        <w:t xml:space="preserve">ring-fenced purposes, it would issue the grant as and when </w:t>
      </w:r>
      <w:r w:rsidR="00A857B5" w:rsidRPr="00FC6663">
        <w:t>the Agency</w:t>
      </w:r>
      <w:r w:rsidRPr="00FC6663">
        <w:t xml:space="preserve"> needed it on the basis of a written request. </w:t>
      </w:r>
      <w:r w:rsidR="00A857B5" w:rsidRPr="00FC6663">
        <w:t>The Agency</w:t>
      </w:r>
      <w:r w:rsidRPr="00FC6663">
        <w:t xml:space="preserve"> would provide evidence that the grant was used for the purposes authorised by the </w:t>
      </w:r>
      <w:r w:rsidR="004B28C3" w:rsidRPr="00FC6663">
        <w:t>Department</w:t>
      </w:r>
      <w:r w:rsidRPr="00FC6663">
        <w:t xml:space="preserve">. </w:t>
      </w:r>
      <w:r w:rsidR="00A857B5" w:rsidRPr="00FC6663">
        <w:t>The Agency</w:t>
      </w:r>
      <w:r w:rsidRPr="00FC6663">
        <w:t xml:space="preserve"> shall not have uncommitted grant funds in hand, nor carry grant funds over to another financial year. </w:t>
      </w:r>
    </w:p>
    <w:p w14:paraId="61AD07E7" w14:textId="7B37C267" w:rsidR="00760AB1" w:rsidRPr="00A857B5" w:rsidRDefault="00760AB1" w:rsidP="00D20FBF">
      <w:pPr>
        <w:pStyle w:val="Heading2"/>
      </w:pPr>
      <w:bookmarkStart w:id="54" w:name="_Toc153466370"/>
      <w:r w:rsidRPr="00A857B5">
        <w:t>Annual report and accounts</w:t>
      </w:r>
      <w:bookmarkEnd w:id="54"/>
    </w:p>
    <w:p w14:paraId="7B592CCA" w14:textId="40B96BF4" w:rsidR="005C12DC" w:rsidRPr="00894A71" w:rsidRDefault="00C37481" w:rsidP="00D239B5">
      <w:pPr>
        <w:pStyle w:val="ParagraphText-numbered"/>
      </w:pPr>
      <w:r w:rsidRPr="00E7045C">
        <w:t>The Agency’s Board</w:t>
      </w:r>
      <w:r w:rsidR="00760AB1" w:rsidRPr="00E7045C">
        <w:t xml:space="preserve"> must </w:t>
      </w:r>
      <w:r w:rsidR="007E3B8D" w:rsidRPr="00E7045C">
        <w:t xml:space="preserve">prepare and </w:t>
      </w:r>
      <w:r w:rsidR="00760AB1" w:rsidRPr="00E7045C">
        <w:t xml:space="preserve">publish </w:t>
      </w:r>
      <w:r w:rsidR="009A1A3A" w:rsidRPr="00E7045C">
        <w:t xml:space="preserve">on its website </w:t>
      </w:r>
      <w:r w:rsidR="00760AB1" w:rsidRPr="00E7045C">
        <w:t xml:space="preserve">an annual report of its activities together with its audited accounts after the end of each financial year. </w:t>
      </w:r>
      <w:r w:rsidR="00894A71" w:rsidRPr="00E7045C">
        <w:t>The report</w:t>
      </w:r>
      <w:r w:rsidR="00894A71">
        <w:t xml:space="preserve"> shall be approved and signed by the Agency’s Chief Executive as AO, prior to its </w:t>
      </w:r>
      <w:r w:rsidR="00894A71" w:rsidRPr="00894A71">
        <w:t xml:space="preserve">submission to Ministers and being laid before Parliament. </w:t>
      </w:r>
    </w:p>
    <w:p w14:paraId="46152287" w14:textId="264ED086" w:rsidR="00760AB1" w:rsidRPr="00C37481" w:rsidRDefault="00D949BF" w:rsidP="00D239B5">
      <w:pPr>
        <w:pStyle w:val="ParagraphText-numbered"/>
      </w:pPr>
      <w:r w:rsidRPr="00D949BF">
        <w:t xml:space="preserve">A draft of the report should be submitted to the Department at least two weeks before the proposed publication date. </w:t>
      </w:r>
      <w:r w:rsidRPr="00D74C8A">
        <w:t xml:space="preserve">The draft and finalised (audited) accounts should be provided to the Department in line with the agreed annual timetable established by the Department in order for the accounts to be consolidated within the Department's accounts. </w:t>
      </w:r>
      <w:r w:rsidR="00760AB1" w:rsidRPr="00894A71">
        <w:t>The accounts should be prepared in accordance with</w:t>
      </w:r>
      <w:r w:rsidR="00760AB1" w:rsidRPr="00C37481">
        <w:t xml:space="preserve"> the relevant statutes and specific accounts direction issued by the </w:t>
      </w:r>
      <w:r w:rsidR="004B28C3" w:rsidRPr="00C37481">
        <w:t>Department</w:t>
      </w:r>
      <w:r w:rsidR="00760AB1" w:rsidRPr="00C37481">
        <w:t xml:space="preserve"> as well as the </w:t>
      </w:r>
      <w:r w:rsidR="007A5C18" w:rsidRPr="00C37481">
        <w:t>HM Treasury</w:t>
      </w:r>
      <w:r w:rsidR="00760AB1" w:rsidRPr="00C37481">
        <w:t xml:space="preserve">’s Financial Reporting Manual (FReM). </w:t>
      </w:r>
    </w:p>
    <w:p w14:paraId="33DA6751" w14:textId="2DCA4024" w:rsidR="00760AB1" w:rsidRPr="00C37481" w:rsidRDefault="00603708" w:rsidP="00D239B5">
      <w:pPr>
        <w:pStyle w:val="ParagraphText-numbered"/>
      </w:pPr>
      <w:r>
        <w:t>The</w:t>
      </w:r>
      <w:r w:rsidR="00760AB1" w:rsidRPr="00C37481">
        <w:t xml:space="preserve"> annual report must: </w:t>
      </w:r>
    </w:p>
    <w:p w14:paraId="7308AF5C" w14:textId="29E94AAF" w:rsidR="00760AB1" w:rsidRPr="00506482" w:rsidRDefault="00760AB1" w:rsidP="00D239B5">
      <w:pPr>
        <w:pStyle w:val="Style8"/>
      </w:pPr>
      <w:r w:rsidRPr="00506482">
        <w:t xml:space="preserve">comply with the FreM and in particular have regard to the illustrative statements for an </w:t>
      </w:r>
      <w:r w:rsidR="00603708" w:rsidRPr="00506482">
        <w:t>Executive Agency</w:t>
      </w:r>
      <w:r w:rsidRPr="00506482">
        <w:t xml:space="preserve">; </w:t>
      </w:r>
      <w:r w:rsidR="005D0789">
        <w:t>and</w:t>
      </w:r>
    </w:p>
    <w:p w14:paraId="2F3C5189" w14:textId="52D9370D" w:rsidR="00760AB1" w:rsidRPr="00C37481" w:rsidRDefault="00760AB1" w:rsidP="00D239B5">
      <w:pPr>
        <w:pStyle w:val="Style8"/>
      </w:pPr>
      <w:r w:rsidRPr="00C37481">
        <w:t xml:space="preserve">outline main activities and performance </w:t>
      </w:r>
      <w:r w:rsidR="00AC496A">
        <w:t xml:space="preserve">against objectives and its use of public funds </w:t>
      </w:r>
      <w:r w:rsidRPr="00C37481">
        <w:t xml:space="preserve">during the previous financial year and set out in summary form forward plans. </w:t>
      </w:r>
    </w:p>
    <w:p w14:paraId="5272116C" w14:textId="5DB9ADB9" w:rsidR="00760AB1" w:rsidRPr="00C37481" w:rsidRDefault="00760AB1" w:rsidP="00D239B5">
      <w:pPr>
        <w:pStyle w:val="ParagraphText-numbered"/>
      </w:pPr>
      <w:r w:rsidRPr="00C37481">
        <w:t xml:space="preserve">Information on performance against key financial targets is within the scope of the audit and should be included </w:t>
      </w:r>
      <w:r w:rsidR="001424F2" w:rsidRPr="001424F2">
        <w:t>as part of the financial performance described in the annual report</w:t>
      </w:r>
      <w:r w:rsidRPr="00C37481">
        <w:t xml:space="preserve">. The report and accounts </w:t>
      </w:r>
      <w:r w:rsidR="00110005">
        <w:t>must</w:t>
      </w:r>
      <w:r w:rsidR="00110005" w:rsidRPr="00C37481">
        <w:t xml:space="preserve"> </w:t>
      </w:r>
      <w:r w:rsidRPr="00C37481">
        <w:t xml:space="preserve">be laid in Parliament and made available on the </w:t>
      </w:r>
      <w:r w:rsidR="00603708">
        <w:t xml:space="preserve">Agency’s </w:t>
      </w:r>
      <w:r w:rsidRPr="00C37481">
        <w:t xml:space="preserve">website, in accordance with the guidance in the FReM. </w:t>
      </w:r>
    </w:p>
    <w:p w14:paraId="0F807076" w14:textId="1AAD7232" w:rsidR="00760AB1" w:rsidRPr="00A857B5" w:rsidRDefault="00760AB1" w:rsidP="00D20FBF">
      <w:pPr>
        <w:pStyle w:val="Heading2"/>
      </w:pPr>
      <w:bookmarkStart w:id="55" w:name="_Toc153466371"/>
      <w:r w:rsidRPr="00A857B5">
        <w:t xml:space="preserve">Reporting performance to the </w:t>
      </w:r>
      <w:r w:rsidR="004B28C3" w:rsidRPr="00A857B5">
        <w:t>Department</w:t>
      </w:r>
      <w:bookmarkEnd w:id="55"/>
    </w:p>
    <w:p w14:paraId="4ABD2798" w14:textId="67FA12BA" w:rsidR="00760AB1" w:rsidRPr="00D95B08" w:rsidRDefault="00A857B5" w:rsidP="00D239B5">
      <w:pPr>
        <w:pStyle w:val="ParagraphText-numbered"/>
      </w:pPr>
      <w:r w:rsidRPr="007E1887">
        <w:t>The Agency</w:t>
      </w:r>
      <w:r w:rsidR="00760AB1" w:rsidRPr="007E1887">
        <w:t xml:space="preserve"> shall operate management, information and accounting systems that enable it to review in a timely and effective manner its financial and non-</w:t>
      </w:r>
      <w:r w:rsidR="00760AB1" w:rsidRPr="00D95B08">
        <w:t xml:space="preserve">financial performance against the budgets and targets set out in the corporate and business plans. </w:t>
      </w:r>
    </w:p>
    <w:p w14:paraId="55A4DB58" w14:textId="72020A2E" w:rsidR="00760AB1" w:rsidRDefault="00A857B5" w:rsidP="00D239B5">
      <w:pPr>
        <w:pStyle w:val="ParagraphText-numbered"/>
      </w:pPr>
      <w:r w:rsidRPr="00D95B08">
        <w:t>The Agency</w:t>
      </w:r>
      <w:r w:rsidR="00760AB1" w:rsidRPr="00D95B08">
        <w:t xml:space="preserve"> shall inform the </w:t>
      </w:r>
      <w:r w:rsidR="004B28C3" w:rsidRPr="00D95B08">
        <w:t>Department</w:t>
      </w:r>
      <w:r w:rsidR="00760AB1" w:rsidRPr="00D95B08">
        <w:t xml:space="preserve"> of any changes that make achievement of </w:t>
      </w:r>
      <w:r w:rsidR="0087322D" w:rsidRPr="00D95B08">
        <w:t>objectives</w:t>
      </w:r>
      <w:r w:rsidR="00760AB1" w:rsidRPr="00D95B08">
        <w:t xml:space="preserve"> more or less difficult. It shall report </w:t>
      </w:r>
      <w:r w:rsidR="00020ED5" w:rsidRPr="00D95B08">
        <w:t xml:space="preserve">quarterly, as part of quarterly accountability meetings, </w:t>
      </w:r>
      <w:r w:rsidR="00760AB1" w:rsidRPr="00D95B08">
        <w:t xml:space="preserve">financial and non-financial performance, including performance in helping to deliver Ministers’ policies, and the achievement of key </w:t>
      </w:r>
      <w:r w:rsidR="0087322D" w:rsidRPr="00D95B08">
        <w:t>objectives</w:t>
      </w:r>
      <w:r w:rsidR="00020ED5" w:rsidRPr="00D95B08">
        <w:t>.</w:t>
      </w:r>
      <w:r w:rsidR="00760AB1" w:rsidRPr="00D95B08">
        <w:t xml:space="preserve"> </w:t>
      </w:r>
    </w:p>
    <w:p w14:paraId="776820A3" w14:textId="77777777" w:rsidR="00661FC0" w:rsidRPr="00D95B08" w:rsidRDefault="00661FC0" w:rsidP="00D239B5">
      <w:pPr>
        <w:pStyle w:val="ParagraphText-numbered"/>
      </w:pPr>
      <w:r w:rsidRPr="00D95B08">
        <w:t xml:space="preserve">The information provided to the Department by the Agency includes (not an exhaustive list): </w:t>
      </w:r>
    </w:p>
    <w:p w14:paraId="5E058751" w14:textId="3F6CA744" w:rsidR="00CF695A" w:rsidRDefault="00661FC0" w:rsidP="00D239B5">
      <w:pPr>
        <w:pStyle w:val="Style8"/>
      </w:pPr>
      <w:r w:rsidRPr="00D95B08">
        <w:t>quarterly reports</w:t>
      </w:r>
      <w:r>
        <w:t xml:space="preserve"> on the Agency’s performance</w:t>
      </w:r>
      <w:r w:rsidR="00262711">
        <w:t>,</w:t>
      </w:r>
      <w:r>
        <w:t xml:space="preserve"> including</w:t>
      </w:r>
      <w:r w:rsidR="00262711">
        <w:t>,</w:t>
      </w:r>
      <w:r>
        <w:t xml:space="preserve"> as a minimum: </w:t>
      </w:r>
    </w:p>
    <w:p w14:paraId="1FBB1865" w14:textId="31AFAB11" w:rsidR="00127685" w:rsidRPr="00020ED5" w:rsidRDefault="00661FC0" w:rsidP="000C2E21">
      <w:pPr>
        <w:pStyle w:val="Style12"/>
        <w:numPr>
          <w:ilvl w:val="0"/>
          <w:numId w:val="27"/>
        </w:numPr>
        <w:spacing w:before="240" w:after="0" w:line="276" w:lineRule="auto"/>
      </w:pPr>
      <w:r>
        <w:t>finance report</w:t>
      </w:r>
      <w:r w:rsidR="005E0E5C">
        <w:t>s</w:t>
      </w:r>
      <w:r w:rsidR="00127685">
        <w:t>, including:</w:t>
      </w:r>
    </w:p>
    <w:p w14:paraId="67A39C1A" w14:textId="77777777" w:rsidR="00127685" w:rsidRPr="00020ED5" w:rsidRDefault="00127685" w:rsidP="000C2E21">
      <w:pPr>
        <w:pStyle w:val="Style12"/>
        <w:numPr>
          <w:ilvl w:val="1"/>
          <w:numId w:val="29"/>
        </w:numPr>
        <w:spacing w:before="240" w:after="0" w:line="276" w:lineRule="auto"/>
      </w:pPr>
      <w:r w:rsidRPr="00020ED5">
        <w:t xml:space="preserve">the Agency’s cash management; </w:t>
      </w:r>
    </w:p>
    <w:p w14:paraId="0AA8813E" w14:textId="77777777" w:rsidR="00127685" w:rsidRPr="00020ED5" w:rsidRDefault="00127685" w:rsidP="000C2E21">
      <w:pPr>
        <w:pStyle w:val="Style12"/>
        <w:numPr>
          <w:ilvl w:val="1"/>
          <w:numId w:val="29"/>
        </w:numPr>
        <w:spacing w:before="240" w:after="0" w:line="276" w:lineRule="auto"/>
      </w:pPr>
      <w:r w:rsidRPr="00020ED5">
        <w:t xml:space="preserve">its draw-down of grant-in-aid; </w:t>
      </w:r>
    </w:p>
    <w:p w14:paraId="7D72DB4C" w14:textId="77777777" w:rsidR="00127685" w:rsidRPr="00020ED5" w:rsidRDefault="00127685" w:rsidP="000C2E21">
      <w:pPr>
        <w:pStyle w:val="Style12"/>
        <w:numPr>
          <w:ilvl w:val="1"/>
          <w:numId w:val="29"/>
        </w:numPr>
        <w:spacing w:before="240" w:after="0" w:line="276" w:lineRule="auto"/>
      </w:pPr>
      <w:r w:rsidRPr="00020ED5">
        <w:t xml:space="preserve">forecast outturn by resource headings; </w:t>
      </w:r>
    </w:p>
    <w:p w14:paraId="3A53E028" w14:textId="77777777" w:rsidR="00127685" w:rsidRPr="00020ED5" w:rsidRDefault="00127685" w:rsidP="000C2E21">
      <w:pPr>
        <w:pStyle w:val="Style12"/>
        <w:numPr>
          <w:ilvl w:val="1"/>
          <w:numId w:val="29"/>
        </w:numPr>
        <w:spacing w:before="240" w:after="0" w:line="276" w:lineRule="auto"/>
      </w:pPr>
      <w:r w:rsidRPr="00020ED5">
        <w:t>other data required for the Online System for Central Accounting and Reporting (OSCAR)</w:t>
      </w:r>
      <w:r>
        <w:t>; and</w:t>
      </w:r>
    </w:p>
    <w:p w14:paraId="03E32F0A" w14:textId="111F6032" w:rsidR="00661FC0" w:rsidRDefault="00127685" w:rsidP="000C2E21">
      <w:pPr>
        <w:pStyle w:val="Style12"/>
        <w:numPr>
          <w:ilvl w:val="1"/>
          <w:numId w:val="29"/>
        </w:numPr>
        <w:spacing w:before="240" w:line="276" w:lineRule="auto"/>
      </w:pPr>
      <w:r w:rsidRPr="00020ED5">
        <w:t>data as required in respect of its compliance with any Cabinet Office Controls pipelines or required in order to meet any condition as set out in any settlement letter</w:t>
      </w:r>
      <w:r>
        <w:t>.</w:t>
      </w:r>
    </w:p>
    <w:p w14:paraId="7BBA1575" w14:textId="00FA8E05" w:rsidR="000065C2" w:rsidRDefault="000065C2" w:rsidP="000C2E21">
      <w:pPr>
        <w:pStyle w:val="Style12"/>
        <w:numPr>
          <w:ilvl w:val="0"/>
          <w:numId w:val="0"/>
        </w:numPr>
        <w:spacing w:before="240" w:line="276" w:lineRule="auto"/>
        <w:ind w:left="2160" w:hanging="360"/>
      </w:pPr>
      <w:r>
        <w:t>and</w:t>
      </w:r>
    </w:p>
    <w:p w14:paraId="46C4426C" w14:textId="1EB65E44" w:rsidR="00A21C52" w:rsidRDefault="005E0E5C" w:rsidP="000C2E21">
      <w:pPr>
        <w:pStyle w:val="Style12"/>
        <w:numPr>
          <w:ilvl w:val="0"/>
          <w:numId w:val="27"/>
        </w:numPr>
        <w:spacing w:before="240" w:after="0" w:line="276" w:lineRule="auto"/>
      </w:pPr>
      <w:r>
        <w:t>r</w:t>
      </w:r>
      <w:r w:rsidR="00661FC0">
        <w:t>eviews of risks and issues</w:t>
      </w:r>
      <w:r w:rsidR="000065C2">
        <w:t>.</w:t>
      </w:r>
    </w:p>
    <w:p w14:paraId="7A197D29" w14:textId="71F30051" w:rsidR="000F7594" w:rsidRDefault="009F2E79" w:rsidP="00D239B5">
      <w:pPr>
        <w:pStyle w:val="Style8"/>
      </w:pPr>
      <w:r>
        <w:t>key regulatory insights and developments, including emerging and developing proposals for legislative change</w:t>
      </w:r>
      <w:r w:rsidR="00896ECB">
        <w:t>;</w:t>
      </w:r>
    </w:p>
    <w:p w14:paraId="7D7FB477" w14:textId="77777777" w:rsidR="00661FC0" w:rsidRDefault="00661FC0" w:rsidP="00D239B5">
      <w:pPr>
        <w:pStyle w:val="Style8"/>
      </w:pPr>
      <w:r>
        <w:t xml:space="preserve">reports in support of Cabinet Office and Departmental spending controls; </w:t>
      </w:r>
    </w:p>
    <w:p w14:paraId="273B413A" w14:textId="77777777" w:rsidR="00661FC0" w:rsidRDefault="00661FC0" w:rsidP="00D239B5">
      <w:pPr>
        <w:pStyle w:val="Style8"/>
      </w:pPr>
      <w:r>
        <w:t>a full set of Board papers in advance of the Agency Board meetings; and</w:t>
      </w:r>
    </w:p>
    <w:p w14:paraId="27421B9F" w14:textId="77777777" w:rsidR="00661FC0" w:rsidRDefault="00661FC0" w:rsidP="00D239B5">
      <w:pPr>
        <w:pStyle w:val="Style8"/>
      </w:pPr>
      <w:r>
        <w:t xml:space="preserve">a full set of papers in advance of the quarterly ARAC meetings. </w:t>
      </w:r>
    </w:p>
    <w:p w14:paraId="2E2A7C87" w14:textId="77777777" w:rsidR="00661FC0" w:rsidRDefault="00661FC0" w:rsidP="00D239B5">
      <w:pPr>
        <w:pStyle w:val="ParagraphText-numbered"/>
      </w:pPr>
      <w:r w:rsidRPr="0012378A">
        <w:t xml:space="preserve">The Chief Executive will notify the Department promptly if over or underspends are likely and </w:t>
      </w:r>
      <w:r w:rsidRPr="00F77432">
        <w:t>that corrective action is taken</w:t>
      </w:r>
      <w:r w:rsidRPr="0012378A">
        <w:t xml:space="preserve">; and that any significant problems whether financial or otherwise, and whether detected by internal audit or other means, are notified to the Department in a timely fashion. </w:t>
      </w:r>
    </w:p>
    <w:p w14:paraId="2EF811BF" w14:textId="77777777" w:rsidR="00661FC0" w:rsidRDefault="00661FC0" w:rsidP="00D239B5">
      <w:pPr>
        <w:pStyle w:val="ParagraphText-numbered"/>
      </w:pPr>
      <w:r>
        <w:t xml:space="preserve">The processes in place to enable the Department and the Agency to review performance include: </w:t>
      </w:r>
    </w:p>
    <w:p w14:paraId="7DCDA9E5" w14:textId="77777777" w:rsidR="00661FC0" w:rsidRPr="007E1887" w:rsidRDefault="00661FC0" w:rsidP="00D239B5">
      <w:pPr>
        <w:pStyle w:val="Style8"/>
      </w:pPr>
      <w:r>
        <w:t xml:space="preserve">led by the responsible minister, an annual accountability review meeting with the Agency’s Chair and Chief Executive to formally review the Agency’s performance and strategic development, discuss the annual report and business plan, and inform the next set of annual objectives; </w:t>
      </w:r>
    </w:p>
    <w:p w14:paraId="55FBAA67" w14:textId="77777777" w:rsidR="00661FC0" w:rsidRDefault="00661FC0" w:rsidP="00D239B5">
      <w:pPr>
        <w:pStyle w:val="Style8"/>
      </w:pPr>
      <w:r>
        <w:t xml:space="preserve">on a regular basis, meetings between the Agency’s Chair and Chief Executive and: the </w:t>
      </w:r>
      <w:r w:rsidRPr="00C414F9">
        <w:t>PAO</w:t>
      </w:r>
      <w:r>
        <w:t>, or their nominee; the responsible minister, or their nominee; and the SDS;</w:t>
      </w:r>
    </w:p>
    <w:p w14:paraId="32C52722" w14:textId="2C4D98E3" w:rsidR="00661FC0" w:rsidRDefault="00661FC0" w:rsidP="00D239B5">
      <w:pPr>
        <w:pStyle w:val="Style8"/>
      </w:pPr>
      <w:r>
        <w:t>led by the SDS, quarterly accountability meetings</w:t>
      </w:r>
      <w:r w:rsidRPr="00420931">
        <w:t xml:space="preserve"> </w:t>
      </w:r>
      <w:r>
        <w:t>with the Agency’s Chair and Chief Executive, and other key Agency Directors and Departmental officials</w:t>
      </w:r>
      <w:r w:rsidR="006A0737">
        <w:t xml:space="preserve"> as necessary</w:t>
      </w:r>
      <w:r>
        <w:t xml:space="preserve">, to discuss strategic issues and any issues of delivery which </w:t>
      </w:r>
      <w:r w:rsidR="006A0737">
        <w:t xml:space="preserve">either organisation </w:t>
      </w:r>
      <w:r>
        <w:t>believes appropriate to bring to this meeting, including compliance with the Framework Document (secretariat is provided by the Department);</w:t>
      </w:r>
    </w:p>
    <w:p w14:paraId="507B048A" w14:textId="77777777" w:rsidR="00661FC0" w:rsidRDefault="00661FC0" w:rsidP="00D239B5">
      <w:pPr>
        <w:pStyle w:val="Style8"/>
      </w:pPr>
      <w:r>
        <w:t xml:space="preserve">regular contact between the sponsorship team and the Agency, whereby the following must be reviewed periodically or as part of the quarterly accountability meetings: </w:t>
      </w:r>
    </w:p>
    <w:p w14:paraId="1A69FD06" w14:textId="77777777" w:rsidR="00661FC0" w:rsidRDefault="00661FC0" w:rsidP="000C2E21">
      <w:pPr>
        <w:pStyle w:val="Style12"/>
        <w:numPr>
          <w:ilvl w:val="0"/>
          <w:numId w:val="27"/>
        </w:numPr>
        <w:spacing w:before="240" w:after="0" w:line="276" w:lineRule="auto"/>
      </w:pPr>
      <w:r>
        <w:t xml:space="preserve">the Agency’s contributions against the Department’s strategic objectives and progress against the Agency’s business plan; </w:t>
      </w:r>
    </w:p>
    <w:p w14:paraId="6F1C8F51" w14:textId="77777777" w:rsidR="00661FC0" w:rsidRDefault="00661FC0" w:rsidP="000C2E21">
      <w:pPr>
        <w:pStyle w:val="Style12"/>
        <w:numPr>
          <w:ilvl w:val="0"/>
          <w:numId w:val="27"/>
        </w:numPr>
        <w:spacing w:before="240" w:after="0" w:line="276" w:lineRule="auto"/>
      </w:pPr>
      <w:r>
        <w:t xml:space="preserve">performance against agreed key performance indicators and appropriate performance targets; </w:t>
      </w:r>
    </w:p>
    <w:p w14:paraId="35B302D9" w14:textId="77777777" w:rsidR="00661FC0" w:rsidRDefault="00661FC0" w:rsidP="000C2E21">
      <w:pPr>
        <w:pStyle w:val="Style12"/>
        <w:numPr>
          <w:ilvl w:val="0"/>
          <w:numId w:val="27"/>
        </w:numPr>
        <w:spacing w:before="240" w:after="0" w:line="276" w:lineRule="auto"/>
      </w:pPr>
      <w:r>
        <w:t xml:space="preserve">the Agency’s internal control arrangements; </w:t>
      </w:r>
    </w:p>
    <w:p w14:paraId="2F811261" w14:textId="77777777" w:rsidR="00661FC0" w:rsidRDefault="00661FC0" w:rsidP="000C2E21">
      <w:pPr>
        <w:pStyle w:val="Style12"/>
        <w:numPr>
          <w:ilvl w:val="0"/>
          <w:numId w:val="27"/>
        </w:numPr>
        <w:spacing w:before="240" w:after="0" w:line="276" w:lineRule="auto"/>
      </w:pPr>
      <w:r>
        <w:t>the Agency’s governance and risk management arrangements; and</w:t>
      </w:r>
    </w:p>
    <w:p w14:paraId="05AADB06" w14:textId="77777777" w:rsidR="00661FC0" w:rsidRDefault="00661FC0" w:rsidP="000C2E21">
      <w:pPr>
        <w:pStyle w:val="Style12"/>
        <w:numPr>
          <w:ilvl w:val="0"/>
          <w:numId w:val="27"/>
        </w:numPr>
        <w:spacing w:before="240" w:after="0" w:line="276" w:lineRule="auto"/>
      </w:pPr>
      <w:r>
        <w:t>the relationship between the Department and the Agency, and any other key issues identified in delivery of the Department’s strategic objectives.</w:t>
      </w:r>
    </w:p>
    <w:p w14:paraId="4137FDC7" w14:textId="1FC7DF42" w:rsidR="00760AB1" w:rsidRPr="00A857B5" w:rsidRDefault="00760AB1" w:rsidP="00D20FBF">
      <w:pPr>
        <w:pStyle w:val="Heading2"/>
      </w:pPr>
      <w:bookmarkStart w:id="56" w:name="_Toc153466372"/>
      <w:r w:rsidRPr="00A857B5">
        <w:t>Information Sharing</w:t>
      </w:r>
      <w:bookmarkEnd w:id="56"/>
    </w:p>
    <w:p w14:paraId="7C373BD3" w14:textId="3FC781ED" w:rsidR="00760AB1" w:rsidRPr="00020ED5" w:rsidRDefault="00760AB1" w:rsidP="00D239B5">
      <w:pPr>
        <w:pStyle w:val="ParagraphText-numbered"/>
      </w:pPr>
      <w:r w:rsidRPr="00020ED5">
        <w:t xml:space="preserve">The </w:t>
      </w:r>
      <w:r w:rsidR="004B28C3" w:rsidRPr="00020ED5">
        <w:t>Department</w:t>
      </w:r>
      <w:r w:rsidRPr="00020ED5">
        <w:t xml:space="preserve"> has the right of access to all </w:t>
      </w:r>
      <w:r w:rsidR="00020ED5">
        <w:t>the Agency’s</w:t>
      </w:r>
      <w:r w:rsidRPr="00020ED5">
        <w:t xml:space="preserve"> records and personnel for any purpose including, for example, sponsorship audits</w:t>
      </w:r>
      <w:r w:rsidR="007B24B3">
        <w:t xml:space="preserve">, </w:t>
      </w:r>
      <w:r w:rsidRPr="00020ED5">
        <w:t>operational investigations</w:t>
      </w:r>
      <w:r w:rsidR="00685344" w:rsidRPr="00685344">
        <w:t xml:space="preserve"> </w:t>
      </w:r>
      <w:r w:rsidR="00C04785">
        <w:t>and t</w:t>
      </w:r>
      <w:r w:rsidR="00C04785" w:rsidRPr="00685344">
        <w:t>o support the Secretary of State and the PAO in their accountability functions</w:t>
      </w:r>
      <w:r w:rsidR="00C04785" w:rsidRPr="00020ED5">
        <w:t>.</w:t>
      </w:r>
    </w:p>
    <w:p w14:paraId="5415BD87" w14:textId="437F3970" w:rsidR="00760AB1" w:rsidRDefault="00760AB1" w:rsidP="00D239B5">
      <w:pPr>
        <w:pStyle w:val="ParagraphText-numbered"/>
      </w:pPr>
      <w:r w:rsidRPr="00020ED5">
        <w:t xml:space="preserve">The </w:t>
      </w:r>
      <w:r w:rsidR="004B28C3" w:rsidRPr="00020ED5">
        <w:t>Department</w:t>
      </w:r>
      <w:r w:rsidRPr="00020ED5">
        <w:t xml:space="preserve"> and </w:t>
      </w:r>
      <w:r w:rsidR="007A5C18" w:rsidRPr="00020ED5">
        <w:t>HM Treasury</w:t>
      </w:r>
      <w:r w:rsidRPr="00020ED5">
        <w:t xml:space="preserve"> may request the </w:t>
      </w:r>
      <w:r w:rsidR="00AD71FA">
        <w:t xml:space="preserve">access to and where necessary copies of </w:t>
      </w:r>
      <w:r w:rsidRPr="00020ED5">
        <w:t xml:space="preserve">data held by </w:t>
      </w:r>
      <w:r w:rsidR="00A857B5" w:rsidRPr="00020ED5">
        <w:t>the Agency</w:t>
      </w:r>
      <w:r w:rsidRPr="00020ED5">
        <w:t xml:space="preserve"> in such a manner as set out in central guidance</w:t>
      </w:r>
      <w:r w:rsidR="00020ED5">
        <w:t>,</w:t>
      </w:r>
      <w:r w:rsidRPr="00020ED5">
        <w:t xml:space="preserve"> except insofar as it is prohibited by law. This may include requiring the appointment of a senior official to be responsible for the data sharing relationship</w:t>
      </w:r>
      <w:r w:rsidR="00E30610">
        <w:t>.</w:t>
      </w:r>
    </w:p>
    <w:p w14:paraId="55B19D4B" w14:textId="77777777" w:rsidR="00DF26B7" w:rsidRDefault="00DF26B7" w:rsidP="0016243E">
      <w:pPr>
        <w:pStyle w:val="Heading2"/>
      </w:pPr>
      <w:bookmarkStart w:id="57" w:name="_Toc153466373"/>
      <w:r>
        <w:t>Data protection, information risk and assurance</w:t>
      </w:r>
      <w:bookmarkEnd w:id="57"/>
    </w:p>
    <w:p w14:paraId="138EF28C" w14:textId="03722B06" w:rsidR="00DF26B7" w:rsidRDefault="00DF26B7" w:rsidP="00D239B5">
      <w:pPr>
        <w:pStyle w:val="ParagraphText-numbered"/>
      </w:pPr>
      <w:r>
        <w:t xml:space="preserve">The Department is the legal data controller for MHRA data and the department data protection officer (DPO) is legally accountable for the protection of data, and in particular personal data, handled by MHRA and will be named as data controller on the ICO registration. As such: </w:t>
      </w:r>
    </w:p>
    <w:p w14:paraId="4DE93462" w14:textId="48D674DB" w:rsidR="00DF26B7" w:rsidRDefault="00B64F4B" w:rsidP="00D239B5">
      <w:pPr>
        <w:pStyle w:val="Style8"/>
      </w:pPr>
      <w:r>
        <w:t>The Department DPO will delegate responsibility to MHRA, which may nominate its own SIRO and Caldicott Guardian, to conduct all low to medium risk level data actions and will require MHRA to seek advice from and to consult with the Department DPO before a decision is taken on high risk level data actions</w:t>
      </w:r>
    </w:p>
    <w:p w14:paraId="072E9A1C" w14:textId="042225AA" w:rsidR="00B64F4B" w:rsidRDefault="00B64F4B" w:rsidP="00D239B5">
      <w:pPr>
        <w:pStyle w:val="Style8"/>
      </w:pPr>
      <w:r>
        <w:t>The Department SIRO will delegate responsibility for</w:t>
      </w:r>
      <w:r w:rsidR="00305196">
        <w:t xml:space="preserve"> management of low to medium information risks across all data types </w:t>
      </w:r>
      <w:r>
        <w:t>but will require advice and consultation to be sought from the Department SIRO before an information risk is accepted for high risk activities</w:t>
      </w:r>
    </w:p>
    <w:p w14:paraId="48426B2F" w14:textId="1277E37F" w:rsidR="00B64F4B" w:rsidRDefault="002A07EF" w:rsidP="00D239B5">
      <w:pPr>
        <w:pStyle w:val="Style8"/>
      </w:pPr>
      <w:r>
        <w:t xml:space="preserve">The </w:t>
      </w:r>
      <w:r w:rsidR="00B64F4B">
        <w:t xml:space="preserve">MHRA will at </w:t>
      </w:r>
      <w:r w:rsidR="00850AA4">
        <w:t xml:space="preserve">a </w:t>
      </w:r>
      <w:r w:rsidR="00B64F4B">
        <w:t xml:space="preserve">minimum adhere to relevant departmental policies and standards across data protection, </w:t>
      </w:r>
      <w:r w:rsidR="000C2E21">
        <w:t>information</w:t>
      </w:r>
      <w:r w:rsidR="00B64F4B">
        <w:t xml:space="preserve"> risk management, information assurance, information security, information management and other data protection and information risk and assurance related compliance policies as they arise</w:t>
      </w:r>
      <w:r>
        <w:t>.</w:t>
      </w:r>
    </w:p>
    <w:p w14:paraId="39929B2F" w14:textId="0AF07091" w:rsidR="00B64F4B" w:rsidRDefault="00B64F4B" w:rsidP="00D239B5">
      <w:pPr>
        <w:pStyle w:val="ParagraphText-numbered"/>
      </w:pPr>
      <w:r>
        <w:t xml:space="preserve">The Department will seek periodic assurance that </w:t>
      </w:r>
      <w:r w:rsidR="002A07EF">
        <w:t xml:space="preserve">the </w:t>
      </w:r>
      <w:r>
        <w:t>MHRA is adhering to these policies and relevant standards</w:t>
      </w:r>
      <w:r w:rsidR="000C2E21">
        <w:t>.</w:t>
      </w:r>
    </w:p>
    <w:p w14:paraId="68163696" w14:textId="0CC022F2" w:rsidR="000C2E21" w:rsidRDefault="000C2E21" w:rsidP="00D239B5">
      <w:pPr>
        <w:pStyle w:val="ParagraphText-numbered"/>
      </w:pPr>
      <w:r>
        <w:t xml:space="preserve">The Department will ensure it shares all appropriate policies and standards with the Agency in good time to enable the Agency to discharge these responsibilities. It will also support the Agency in responding to emerging best practice across government. </w:t>
      </w:r>
    </w:p>
    <w:p w14:paraId="7F69E428" w14:textId="6733B111" w:rsidR="0056618E" w:rsidRPr="00E407E2" w:rsidRDefault="0056618E" w:rsidP="0016243E">
      <w:pPr>
        <w:pStyle w:val="Heading2"/>
      </w:pPr>
      <w:bookmarkStart w:id="58" w:name="_Toc153466374"/>
      <w:r w:rsidRPr="00E407E2">
        <w:t>Information Management</w:t>
      </w:r>
      <w:bookmarkEnd w:id="58"/>
    </w:p>
    <w:p w14:paraId="1C62DEF3" w14:textId="14D8D2C9" w:rsidR="0056618E" w:rsidRDefault="000C2E21" w:rsidP="00D239B5">
      <w:pPr>
        <w:pStyle w:val="ParagraphText-numbered"/>
      </w:pPr>
      <w:r>
        <w:t>In addition to the requirements laid out on both parties in paragraph 37, t</w:t>
      </w:r>
      <w:r w:rsidR="0056618E">
        <w:t xml:space="preserve">he Agency will </w:t>
      </w:r>
      <w:r>
        <w:t xml:space="preserve">also </w:t>
      </w:r>
      <w:r w:rsidR="0056618E">
        <w:t xml:space="preserve">take all necessary measures to ensure that: </w:t>
      </w:r>
    </w:p>
    <w:p w14:paraId="180FD30B" w14:textId="264A652F" w:rsidR="0056618E" w:rsidRDefault="0056618E" w:rsidP="00D239B5">
      <w:pPr>
        <w:pStyle w:val="Style8"/>
      </w:pPr>
      <w:r>
        <w:t>patient, personal and/or sensitive information within its care is well managed and protected through all stages of its use including through compliance with the Data Protection Act</w:t>
      </w:r>
      <w:r w:rsidR="00850AA4">
        <w:t xml:space="preserve"> 2018</w:t>
      </w:r>
      <w:r>
        <w:t xml:space="preserve">; </w:t>
      </w:r>
    </w:p>
    <w:p w14:paraId="321FFA67" w14:textId="77777777" w:rsidR="0056618E" w:rsidRDefault="0056618E" w:rsidP="00D239B5">
      <w:pPr>
        <w:pStyle w:val="Style8"/>
      </w:pPr>
      <w:r>
        <w:t>it provides public assurance in respect of its information governance practice by completing and publishing an annual information governance assessment using an agreed assessment mechanism; and</w:t>
      </w:r>
    </w:p>
    <w:p w14:paraId="0FD61E1C" w14:textId="77777777" w:rsidR="0056618E" w:rsidRDefault="0056618E" w:rsidP="00D239B5">
      <w:pPr>
        <w:pStyle w:val="Style8"/>
      </w:pPr>
      <w:r>
        <w:t xml:space="preserve">it meets its legal obligations for records management, accountability and public information by compliance with relevant standards, including government codes of practice on confidentiality, security and records management. </w:t>
      </w:r>
    </w:p>
    <w:p w14:paraId="244DBFBC" w14:textId="1D6A37C0" w:rsidR="0056618E" w:rsidRDefault="0056618E" w:rsidP="00D239B5">
      <w:pPr>
        <w:pStyle w:val="ParagraphText-numbered"/>
      </w:pPr>
      <w:r>
        <w:t>The Agency’s Senior Information Risk Owner and its Caldicott Guardian work together to ensure that both patient and other personal information are handled in line with best practice in government and the wider public sector.</w:t>
      </w:r>
    </w:p>
    <w:p w14:paraId="0EE98FA7" w14:textId="58E2DD7A" w:rsidR="00A21C52" w:rsidRPr="006751E3" w:rsidRDefault="00A21C52" w:rsidP="006751E3">
      <w:pPr>
        <w:spacing w:after="240"/>
        <w:ind w:left="717"/>
        <w:rPr>
          <w:rFonts w:ascii="Arial" w:hAnsi="Arial" w:cs="Arial"/>
          <w:b/>
          <w:bCs/>
          <w:sz w:val="28"/>
          <w:szCs w:val="28"/>
        </w:rPr>
      </w:pPr>
      <w:r w:rsidRPr="006751E3">
        <w:rPr>
          <w:rFonts w:ascii="Arial" w:hAnsi="Arial" w:cs="Arial"/>
          <w:b/>
          <w:bCs/>
          <w:sz w:val="28"/>
          <w:szCs w:val="28"/>
        </w:rPr>
        <w:t>Business continuity</w:t>
      </w:r>
    </w:p>
    <w:p w14:paraId="1257689D" w14:textId="22C14866" w:rsidR="00A21C52" w:rsidRDefault="00A21C52" w:rsidP="00D239B5">
      <w:pPr>
        <w:pStyle w:val="ParagraphText-numbered"/>
      </w:pPr>
      <w:r w:rsidRPr="00DA7D41">
        <w:t xml:space="preserve">The Agency </w:t>
      </w:r>
      <w:r w:rsidR="002A07EF">
        <w:t xml:space="preserve">must ensure it </w:t>
      </w:r>
      <w:r w:rsidRPr="00DA7D41">
        <w:t xml:space="preserve">has effective and tested business continuity management (BCM) arrangements in place to be able to respond to disruption to business and to recover time-critical functions where necessary. In line with Cabinet Office guidelines, the BCM system should aim to comply with ISO 22301 Societal Security – Business Continuity Management Systems. </w:t>
      </w:r>
    </w:p>
    <w:p w14:paraId="6AA01516" w14:textId="6D67738D" w:rsidR="004F4828" w:rsidRPr="00F21B2F" w:rsidRDefault="004F4828" w:rsidP="0016243E">
      <w:pPr>
        <w:pStyle w:val="Heading2"/>
      </w:pPr>
      <w:bookmarkStart w:id="59" w:name="_Toc153466375"/>
      <w:r w:rsidRPr="00F21B2F">
        <w:t>Sustainability</w:t>
      </w:r>
      <w:bookmarkEnd w:id="59"/>
      <w:r w:rsidRPr="00F21B2F">
        <w:t xml:space="preserve"> </w:t>
      </w:r>
    </w:p>
    <w:p w14:paraId="42C40C19" w14:textId="52AFBBCE" w:rsidR="00793DD1" w:rsidRDefault="00A728C1" w:rsidP="00D239B5">
      <w:pPr>
        <w:pStyle w:val="ParagraphText-numbered"/>
      </w:pPr>
      <w:r>
        <w:t>The Agency</w:t>
      </w:r>
      <w:r w:rsidR="00615B00">
        <w:t xml:space="preserve"> has a key role to play in driving forward the public sector commitment to sustainability and reaching net zero green</w:t>
      </w:r>
      <w:r>
        <w:t>house gas emissions. This includes by ensuring alignment with the Greening Government Commitments, which</w:t>
      </w:r>
      <w:r w:rsidR="00280010">
        <w:t xml:space="preserve"> the Agency will report on via the Department. Sustainability representatives</w:t>
      </w:r>
      <w:r w:rsidR="00195B7B">
        <w:t xml:space="preserve"> from the Agency will also attend quarterly Sustainable Development Forums, chaired by the Department, to share knowledge and best practice amongst other ALBs, and support progress towards these shared goals. </w:t>
      </w:r>
    </w:p>
    <w:p w14:paraId="6D56EA63" w14:textId="3CCCD0D4" w:rsidR="004F4828" w:rsidRPr="00F21B2F" w:rsidRDefault="004F4828" w:rsidP="0016243E">
      <w:pPr>
        <w:pStyle w:val="Heading2"/>
      </w:pPr>
      <w:bookmarkStart w:id="60" w:name="_Toc153466376"/>
      <w:r w:rsidRPr="00F21B2F">
        <w:t>Whistleblowing</w:t>
      </w:r>
      <w:bookmarkEnd w:id="60"/>
      <w:r w:rsidRPr="00F21B2F">
        <w:t xml:space="preserve"> </w:t>
      </w:r>
    </w:p>
    <w:p w14:paraId="3A6ABC72" w14:textId="44863744" w:rsidR="004F4828" w:rsidRDefault="004F4828" w:rsidP="00D239B5">
      <w:pPr>
        <w:pStyle w:val="ParagraphText-numbered"/>
      </w:pPr>
      <w:r>
        <w:t>The Agency</w:t>
      </w:r>
      <w:r w:rsidR="005F54DD">
        <w:t xml:space="preserve"> </w:t>
      </w:r>
      <w:r w:rsidR="006B6824">
        <w:t xml:space="preserve">must have </w:t>
      </w:r>
      <w:r>
        <w:t>whistleblowing policies and procedures in place that comply with the Public Interest Disclosure Act 1998</w:t>
      </w:r>
      <w:r w:rsidR="00A30780">
        <w:t xml:space="preserve"> and </w:t>
      </w:r>
      <w:r>
        <w:t>the Civil Service Code</w:t>
      </w:r>
      <w:r w:rsidR="00A30780">
        <w:t xml:space="preserve">. The internal Raising Concerns Policy and Procedure is modelled on the civil service best practice policy. </w:t>
      </w:r>
    </w:p>
    <w:p w14:paraId="24126C95" w14:textId="67190C67" w:rsidR="00CA34DC" w:rsidRDefault="00CA34DC" w:rsidP="00D239B5">
      <w:pPr>
        <w:pStyle w:val="ParagraphText-numbered"/>
      </w:pPr>
      <w:r>
        <w:t>The Agency encourages its staff to speak up about any concerns and provides a variety of routes in which to do so. A Non-Executive Director Raising Concerns Champion</w:t>
      </w:r>
      <w:r w:rsidR="004C4B56">
        <w:t xml:space="preserve"> must</w:t>
      </w:r>
      <w:r>
        <w:t xml:space="preserve"> oversee the application of the policy to ensure that internal mechanisms are working effectively to support staff in raising concerns, appropriate action is being taken, and any lessons are being learned.</w:t>
      </w:r>
    </w:p>
    <w:p w14:paraId="2BCC2B38" w14:textId="1068888A" w:rsidR="004F4828" w:rsidRPr="00B368B0" w:rsidRDefault="004F4828" w:rsidP="0016243E">
      <w:pPr>
        <w:pStyle w:val="Heading2"/>
      </w:pPr>
      <w:bookmarkStart w:id="61" w:name="_Toc153466377"/>
      <w:r w:rsidRPr="00B368B0">
        <w:t>Equality</w:t>
      </w:r>
      <w:bookmarkEnd w:id="61"/>
      <w:r w:rsidRPr="00B368B0">
        <w:t xml:space="preserve"> </w:t>
      </w:r>
    </w:p>
    <w:p w14:paraId="52A2D9F6" w14:textId="77777777" w:rsidR="004F4828" w:rsidRDefault="004F4828" w:rsidP="00D239B5">
      <w:pPr>
        <w:pStyle w:val="ParagraphText-numbered"/>
      </w:pPr>
      <w:r>
        <w:t xml:space="preserve">The Public Sector Equality Duty (PSED) requires the Agency (as a public body) to have due regard to the need to: </w:t>
      </w:r>
    </w:p>
    <w:p w14:paraId="4C908B4E" w14:textId="3AC4BDC8" w:rsidR="004F4828" w:rsidRDefault="004F4828" w:rsidP="00D239B5">
      <w:pPr>
        <w:pStyle w:val="Style8"/>
      </w:pPr>
      <w:r>
        <w:t>eliminate discrimination, harassment, victimisation and any other conduct that is prohibited by or under</w:t>
      </w:r>
      <w:r w:rsidR="009A7A2A">
        <w:t xml:space="preserve"> the Equality Act 2010</w:t>
      </w:r>
      <w:r>
        <w:t xml:space="preserve">; </w:t>
      </w:r>
    </w:p>
    <w:p w14:paraId="603D207A" w14:textId="77777777" w:rsidR="004F4828" w:rsidRDefault="004F4828" w:rsidP="00D239B5">
      <w:pPr>
        <w:pStyle w:val="Style8"/>
      </w:pPr>
      <w:r>
        <w:t>advance equality of opportunity between persons who share a relevant protected characteristic and persons who do not share it; and</w:t>
      </w:r>
    </w:p>
    <w:p w14:paraId="2413CCCD" w14:textId="77777777" w:rsidR="004F4828" w:rsidRDefault="004F4828" w:rsidP="00D239B5">
      <w:pPr>
        <w:pStyle w:val="Style8"/>
      </w:pPr>
      <w:r>
        <w:t xml:space="preserve">foster good relations between persons who share a relevant protected characteristic and persons who do not share it. </w:t>
      </w:r>
    </w:p>
    <w:p w14:paraId="26A49E34" w14:textId="28B1635F" w:rsidR="004F4828" w:rsidRDefault="004F4828" w:rsidP="00D239B5">
      <w:pPr>
        <w:pStyle w:val="ParagraphText-numbered"/>
      </w:pPr>
      <w:r>
        <w:t>The provisions of the Equality Act 2010 (Specific Duties</w:t>
      </w:r>
      <w:r w:rsidR="00F17705" w:rsidRPr="00F17705">
        <w:t xml:space="preserve"> and Public Authorities</w:t>
      </w:r>
      <w:r>
        <w:t>)</w:t>
      </w:r>
      <w:r w:rsidR="00A55747">
        <w:t xml:space="preserve"> 2017</w:t>
      </w:r>
      <w:r>
        <w:t xml:space="preserve"> require the Agency to: </w:t>
      </w:r>
    </w:p>
    <w:p w14:paraId="1456008B" w14:textId="48856C41" w:rsidR="004F4828" w:rsidRDefault="004F4828" w:rsidP="00D239B5">
      <w:pPr>
        <w:pStyle w:val="Style8"/>
      </w:pPr>
      <w:r>
        <w:t>annually publish information to demonstrate compliance with the PSED, which must include, in particular, information relating to persons who share a relevant protected characteristic</w:t>
      </w:r>
      <w:r w:rsidR="007462FB">
        <w:t xml:space="preserve"> who are its employees</w:t>
      </w:r>
      <w:r>
        <w:t xml:space="preserve"> and other persons affected by its policies and procedures; and</w:t>
      </w:r>
    </w:p>
    <w:p w14:paraId="425F8B32" w14:textId="4186AF83" w:rsidR="004F4828" w:rsidRDefault="004F4828" w:rsidP="00D239B5">
      <w:pPr>
        <w:pStyle w:val="Style8"/>
      </w:pPr>
      <w:r>
        <w:t xml:space="preserve">prepare and publish one or more objectives the Agency thinks it should achieve to meet the PSED. </w:t>
      </w:r>
    </w:p>
    <w:p w14:paraId="2A186DEC" w14:textId="77777777" w:rsidR="001F4730" w:rsidRDefault="001F4730" w:rsidP="00D239B5">
      <w:pPr>
        <w:pStyle w:val="Style8"/>
        <w:sectPr w:rsidR="001F4730" w:rsidSect="00DD1D01">
          <w:pgSz w:w="11906" w:h="16838"/>
          <w:pgMar w:top="1440" w:right="1080" w:bottom="1440" w:left="1080" w:header="708" w:footer="708" w:gutter="0"/>
          <w:cols w:space="708"/>
          <w:docGrid w:linePitch="360"/>
        </w:sectPr>
      </w:pPr>
    </w:p>
    <w:p w14:paraId="5F1BF1AF" w14:textId="601D2D8C" w:rsidR="00760AB1" w:rsidRPr="00020ED5" w:rsidRDefault="00760AB1" w:rsidP="0076730A">
      <w:pPr>
        <w:pStyle w:val="Heading1"/>
      </w:pPr>
      <w:bookmarkStart w:id="62" w:name="_Toc153466378"/>
      <w:bookmarkStart w:id="63" w:name="_Hlk105522906"/>
      <w:r w:rsidRPr="00020ED5">
        <w:t>Audit</w:t>
      </w:r>
      <w:bookmarkEnd w:id="62"/>
      <w:r w:rsidRPr="00020ED5">
        <w:t xml:space="preserve"> </w:t>
      </w:r>
    </w:p>
    <w:p w14:paraId="681723AC" w14:textId="0F712B17" w:rsidR="00760AB1" w:rsidRPr="00A857B5" w:rsidRDefault="00760AB1" w:rsidP="0016243E">
      <w:pPr>
        <w:pStyle w:val="Heading2"/>
      </w:pPr>
      <w:bookmarkStart w:id="64" w:name="_Toc153466379"/>
      <w:r w:rsidRPr="00A857B5">
        <w:t>Internal audit</w:t>
      </w:r>
      <w:bookmarkEnd w:id="64"/>
    </w:p>
    <w:p w14:paraId="4B3D8979" w14:textId="62F7742D" w:rsidR="00760AB1" w:rsidRPr="00020ED5" w:rsidRDefault="006F327D" w:rsidP="00D239B5">
      <w:pPr>
        <w:pStyle w:val="ParagraphText-numbered"/>
      </w:pPr>
      <w:r>
        <w:t xml:space="preserve">The </w:t>
      </w:r>
      <w:r w:rsidR="007A5C18" w:rsidRPr="00020ED5">
        <w:t>Agency</w:t>
      </w:r>
      <w:r w:rsidR="00760AB1" w:rsidRPr="00020ED5">
        <w:t xml:space="preserve"> </w:t>
      </w:r>
      <w:r w:rsidR="004C4B56">
        <w:t>must</w:t>
      </w:r>
      <w:r w:rsidR="00760AB1" w:rsidRPr="00020ED5">
        <w:t xml:space="preserve">: </w:t>
      </w:r>
    </w:p>
    <w:p w14:paraId="4A65BE47" w14:textId="0DF7881A" w:rsidR="00760AB1" w:rsidRPr="005243A3" w:rsidRDefault="00760AB1" w:rsidP="00D239B5">
      <w:pPr>
        <w:pStyle w:val="Style8"/>
      </w:pPr>
      <w:r w:rsidRPr="005243A3">
        <w:t>establish and maintain arrangements for internal audit in accordance with</w:t>
      </w:r>
      <w:r w:rsidR="000B7470">
        <w:t xml:space="preserve"> HM Treasury’s</w:t>
      </w:r>
      <w:r w:rsidRPr="005243A3">
        <w:t xml:space="preserve"> Public Sector Internal Audit Standards (PSIAS)</w:t>
      </w:r>
      <w:r w:rsidR="00031DED">
        <w:rPr>
          <w:rStyle w:val="FootnoteReference"/>
        </w:rPr>
        <w:footnoteReference w:id="17"/>
      </w:r>
      <w:r w:rsidR="000B7470">
        <w:t>;</w:t>
      </w:r>
    </w:p>
    <w:p w14:paraId="3C417D57" w14:textId="735B251B" w:rsidR="00760AB1" w:rsidRPr="005243A3" w:rsidRDefault="00760AB1" w:rsidP="00D239B5">
      <w:pPr>
        <w:pStyle w:val="Style8"/>
      </w:pPr>
      <w:r w:rsidRPr="005243A3">
        <w:t xml:space="preserve">ensure the </w:t>
      </w:r>
      <w:r w:rsidR="004B28C3" w:rsidRPr="005243A3">
        <w:t>Department</w:t>
      </w:r>
      <w:r w:rsidRPr="005243A3">
        <w:t xml:space="preserve"> is satisfied with the competence and qualifications of the Head of Internal Audit and the requirements for approving appointments in accordance with PSIAS; </w:t>
      </w:r>
    </w:p>
    <w:bookmarkEnd w:id="63"/>
    <w:p w14:paraId="37723A63" w14:textId="358C349D" w:rsidR="00760AB1" w:rsidRPr="005243A3" w:rsidRDefault="00760AB1" w:rsidP="00D239B5">
      <w:pPr>
        <w:pStyle w:val="Style8"/>
      </w:pPr>
      <w:r w:rsidRPr="005243A3">
        <w:t xml:space="preserve">set up an audit committee of its </w:t>
      </w:r>
      <w:r w:rsidR="004B28C3" w:rsidRPr="005243A3">
        <w:t>Board</w:t>
      </w:r>
      <w:r w:rsidRPr="005243A3">
        <w:t xml:space="preserve"> in accordance with the Code of Good Practice for Corporate Governance and the Audit and Risk Assurance Committee Handbook</w:t>
      </w:r>
      <w:r w:rsidR="005243A3">
        <w:t>;</w:t>
      </w:r>
      <w:r w:rsidRPr="005243A3">
        <w:t xml:space="preserve"> </w:t>
      </w:r>
    </w:p>
    <w:p w14:paraId="33C70CBC" w14:textId="6088BC0A" w:rsidR="00760AB1" w:rsidRPr="005243A3" w:rsidRDefault="00760AB1" w:rsidP="00D239B5">
      <w:pPr>
        <w:pStyle w:val="Style8"/>
      </w:pPr>
      <w:r w:rsidRPr="005243A3">
        <w:t xml:space="preserve">keep records of and prepare and forward to the </w:t>
      </w:r>
      <w:r w:rsidR="004B28C3" w:rsidRPr="005243A3">
        <w:t>Department</w:t>
      </w:r>
      <w:r w:rsidRPr="005243A3">
        <w:t xml:space="preserve"> an annual report on fraud and theft suffered by the </w:t>
      </w:r>
      <w:r w:rsidR="007A5C18" w:rsidRPr="005243A3">
        <w:t>Agency</w:t>
      </w:r>
      <w:r w:rsidRPr="005243A3">
        <w:t xml:space="preserve"> and notify the </w:t>
      </w:r>
      <w:r w:rsidR="004B28C3" w:rsidRPr="005243A3">
        <w:t>Department</w:t>
      </w:r>
      <w:r w:rsidRPr="005243A3">
        <w:t xml:space="preserve"> of any unusual or major incidents as soon as possible</w:t>
      </w:r>
      <w:r w:rsidR="005243A3">
        <w:t>;</w:t>
      </w:r>
      <w:r w:rsidRPr="005243A3">
        <w:t xml:space="preserve"> </w:t>
      </w:r>
      <w:r w:rsidR="005243A3">
        <w:t>and</w:t>
      </w:r>
    </w:p>
    <w:p w14:paraId="764048F5" w14:textId="357D2F74" w:rsidR="00760AB1" w:rsidRPr="005243A3" w:rsidRDefault="00760AB1" w:rsidP="00D239B5">
      <w:pPr>
        <w:pStyle w:val="Style8"/>
      </w:pPr>
      <w:r w:rsidRPr="005243A3">
        <w:t xml:space="preserve">share with the </w:t>
      </w:r>
      <w:r w:rsidR="004B28C3" w:rsidRPr="005243A3">
        <w:t>Department</w:t>
      </w:r>
      <w:r w:rsidRPr="005243A3">
        <w:t xml:space="preserve"> information identified during the audit process and the Annual Audit Opinion Report (together with any other outputs) at the end of the audit, in particular on issues impacting on the </w:t>
      </w:r>
      <w:r w:rsidR="004B28C3" w:rsidRPr="005243A3">
        <w:t>Department</w:t>
      </w:r>
      <w:r w:rsidRPr="005243A3">
        <w:t xml:space="preserve">'s responsibilities in relation to financial systems within the </w:t>
      </w:r>
      <w:r w:rsidR="007A5C18" w:rsidRPr="005243A3">
        <w:t>Agency</w:t>
      </w:r>
      <w:r w:rsidR="005243A3">
        <w:t>.</w:t>
      </w:r>
    </w:p>
    <w:p w14:paraId="2A25112A" w14:textId="4043959A" w:rsidR="00760AB1" w:rsidRPr="00A857B5" w:rsidRDefault="00760AB1" w:rsidP="00D12C96">
      <w:pPr>
        <w:pStyle w:val="Heading2"/>
      </w:pPr>
      <w:bookmarkStart w:id="65" w:name="_Toc153466380"/>
      <w:r w:rsidRPr="00A857B5">
        <w:t>External audit</w:t>
      </w:r>
      <w:bookmarkEnd w:id="65"/>
    </w:p>
    <w:p w14:paraId="6B2E49C1" w14:textId="6B727CA9" w:rsidR="00760AB1" w:rsidRPr="00151F0A" w:rsidRDefault="00760AB1" w:rsidP="00D239B5">
      <w:pPr>
        <w:pStyle w:val="ParagraphText-numbered"/>
      </w:pPr>
      <w:r w:rsidRPr="00151F0A">
        <w:t xml:space="preserve">The Comptroller &amp; Auditor General (C&amp;AG) audits the </w:t>
      </w:r>
      <w:r w:rsidR="005243A3" w:rsidRPr="00151F0A">
        <w:t>Agency’s</w:t>
      </w:r>
      <w:r w:rsidRPr="00151F0A">
        <w:t xml:space="preserve"> annual accounts and lays them before parliament, together with </w:t>
      </w:r>
      <w:r w:rsidR="00202DEF" w:rsidRPr="00151F0A">
        <w:t>their</w:t>
      </w:r>
      <w:r w:rsidRPr="00151F0A">
        <w:t xml:space="preserve"> report</w:t>
      </w:r>
      <w:r w:rsidR="00A83653">
        <w:t>.</w:t>
      </w:r>
      <w:r w:rsidR="009253A1">
        <w:t xml:space="preserve"> </w:t>
      </w:r>
    </w:p>
    <w:p w14:paraId="5A90CF92" w14:textId="702D3F89" w:rsidR="00760AB1" w:rsidRPr="005243A3" w:rsidRDefault="00760AB1" w:rsidP="00D239B5">
      <w:pPr>
        <w:pStyle w:val="ParagraphText-numbered"/>
      </w:pPr>
      <w:r w:rsidRPr="005243A3">
        <w:t xml:space="preserve">The C&amp;AG: </w:t>
      </w:r>
    </w:p>
    <w:p w14:paraId="0077EB69" w14:textId="5C51CB10" w:rsidR="00760AB1" w:rsidRPr="005243A3" w:rsidRDefault="00760AB1" w:rsidP="00D239B5">
      <w:pPr>
        <w:pStyle w:val="Style8"/>
      </w:pPr>
      <w:r w:rsidRPr="005243A3">
        <w:t xml:space="preserve">will consult the </w:t>
      </w:r>
      <w:r w:rsidR="004B28C3" w:rsidRPr="005243A3">
        <w:t>Department</w:t>
      </w:r>
      <w:r w:rsidRPr="005243A3">
        <w:t xml:space="preserve"> and </w:t>
      </w:r>
      <w:r w:rsidR="00A857B5" w:rsidRPr="005243A3">
        <w:t>the Agency</w:t>
      </w:r>
      <w:r w:rsidRPr="005243A3">
        <w:t xml:space="preserve"> on who  shall undertake the audit(s) on </w:t>
      </w:r>
      <w:r w:rsidR="005243A3">
        <w:t>their</w:t>
      </w:r>
      <w:r w:rsidRPr="005243A3">
        <w:t xml:space="preserve"> behalf</w:t>
      </w:r>
      <w:r w:rsidR="00E3169C">
        <w:t xml:space="preserve"> </w:t>
      </w:r>
      <w:r w:rsidR="00A46BDB" w:rsidRPr="005243A3">
        <w:t>– the NAO or a commercial auditor –</w:t>
      </w:r>
      <w:r w:rsidRPr="005243A3">
        <w:t xml:space="preserve"> though the final decision rests with the C&amp;AG; </w:t>
      </w:r>
    </w:p>
    <w:p w14:paraId="138EC6AE" w14:textId="5D889A29" w:rsidR="00760AB1" w:rsidRPr="005243A3" w:rsidRDefault="00760AB1" w:rsidP="00D239B5">
      <w:pPr>
        <w:pStyle w:val="Style8"/>
      </w:pPr>
      <w:r w:rsidRPr="005243A3">
        <w:t xml:space="preserve">has a statutory right of access to relevant documents, including by virtue of section 25(8) of the Government Resources and Accounts Act 2000, held by another party in receipt of payments or grants from </w:t>
      </w:r>
      <w:r w:rsidR="00973CFB" w:rsidRPr="005243A3">
        <w:t>the Agency</w:t>
      </w:r>
      <w:r w:rsidRPr="005243A3">
        <w:t xml:space="preserve">; </w:t>
      </w:r>
    </w:p>
    <w:p w14:paraId="6768C924" w14:textId="135428F0" w:rsidR="00760AB1" w:rsidRPr="005243A3" w:rsidRDefault="00760AB1" w:rsidP="00D239B5">
      <w:pPr>
        <w:pStyle w:val="Style8"/>
      </w:pPr>
      <w:r w:rsidRPr="005243A3">
        <w:t xml:space="preserve">will share with the </w:t>
      </w:r>
      <w:r w:rsidR="004B28C3" w:rsidRPr="005243A3">
        <w:t>Department</w:t>
      </w:r>
      <w:r w:rsidRPr="005243A3">
        <w:t xml:space="preserve"> information identified during the audit process and the audit report (together with any other outputs) at the end of the audit, in particular on issues impacting on the </w:t>
      </w:r>
      <w:r w:rsidR="004B28C3" w:rsidRPr="005243A3">
        <w:t>Department</w:t>
      </w:r>
      <w:r w:rsidRPr="005243A3">
        <w:t xml:space="preserve">'s responsibilities in relation to financial systems within the </w:t>
      </w:r>
      <w:r w:rsidR="007A5C18" w:rsidRPr="005243A3">
        <w:t>Agency</w:t>
      </w:r>
      <w:r w:rsidRPr="005243A3">
        <w:t xml:space="preserve">; </w:t>
      </w:r>
      <w:r w:rsidR="005243A3">
        <w:t>and</w:t>
      </w:r>
    </w:p>
    <w:p w14:paraId="39F95DCE" w14:textId="65474AAB" w:rsidR="00760AB1" w:rsidRPr="005243A3" w:rsidRDefault="00760AB1" w:rsidP="00D239B5">
      <w:pPr>
        <w:pStyle w:val="Style8"/>
      </w:pPr>
      <w:r w:rsidRPr="005243A3">
        <w:t xml:space="preserve">will consider requests from </w:t>
      </w:r>
      <w:r w:rsidR="004B28C3" w:rsidRPr="005243A3">
        <w:t>Department</w:t>
      </w:r>
      <w:r w:rsidRPr="005243A3">
        <w:t>s and other relevant bodies to provide Regulatory Compliance Reports and other similar reports at the commencement of the audit. Consistent with the C&amp;AG’s independent status, the provision of such reports is entirely at the C&amp;AG’s discretion</w:t>
      </w:r>
      <w:r w:rsidR="005243A3">
        <w:t>.</w:t>
      </w:r>
    </w:p>
    <w:p w14:paraId="2E908366" w14:textId="1BB49B01" w:rsidR="00760AB1" w:rsidRDefault="00760AB1" w:rsidP="00D239B5">
      <w:pPr>
        <w:pStyle w:val="ParagraphText-numbered"/>
      </w:pPr>
      <w:r w:rsidRPr="005243A3">
        <w:t xml:space="preserve">The C&amp;AG may carry out examinations into the economy, efficiency and effectiveness with which </w:t>
      </w:r>
      <w:r w:rsidR="00A857B5" w:rsidRPr="005243A3">
        <w:t>the Agency</w:t>
      </w:r>
      <w:r w:rsidRPr="005243A3">
        <w:t xml:space="preserve"> has used its resources in discharging its functions. For the purpose of these examinations the C&amp;AG has statutory access to documents as provided for under section 8 of the National Audit Act 1983. In addition, </w:t>
      </w:r>
      <w:r w:rsidR="00A857B5" w:rsidRPr="005243A3">
        <w:t>the Agency</w:t>
      </w:r>
      <w:r w:rsidRPr="005243A3">
        <w:t xml:space="preserve"> shall provide, in conditions to grants and contracts, for the C&amp;AG to exercise such access to documents held by grant recipients and contractors and sub-contractors as may be required for these examinations; and shall use its best endeavours to secure access for the C&amp;AG to any other documents required by the C&amp;AG which are held by other bodies. </w:t>
      </w:r>
    </w:p>
    <w:p w14:paraId="1A7088E5" w14:textId="77777777" w:rsidR="00650C18" w:rsidRDefault="00650C18" w:rsidP="00D239B5">
      <w:pPr>
        <w:pStyle w:val="ParagraphText-numbered"/>
        <w:sectPr w:rsidR="00650C18" w:rsidSect="00DD1D01">
          <w:pgSz w:w="11906" w:h="16838"/>
          <w:pgMar w:top="1440" w:right="1080" w:bottom="1440" w:left="1080" w:header="708" w:footer="708" w:gutter="0"/>
          <w:cols w:space="708"/>
          <w:docGrid w:linePitch="360"/>
        </w:sectPr>
      </w:pPr>
    </w:p>
    <w:p w14:paraId="4ADAE1F4" w14:textId="69E8588C" w:rsidR="00760AB1" w:rsidRPr="005243A3" w:rsidRDefault="00760AB1" w:rsidP="009B0985">
      <w:pPr>
        <w:pStyle w:val="Heading1"/>
      </w:pPr>
      <w:bookmarkStart w:id="66" w:name="_Toc153466381"/>
      <w:r w:rsidRPr="005243A3">
        <w:t xml:space="preserve">Reviews and </w:t>
      </w:r>
      <w:r w:rsidR="003720B7">
        <w:t>w</w:t>
      </w:r>
      <w:r w:rsidRPr="005243A3">
        <w:t>inding up arrangements</w:t>
      </w:r>
      <w:bookmarkEnd w:id="66"/>
      <w:r w:rsidRPr="005243A3">
        <w:t xml:space="preserve"> </w:t>
      </w:r>
    </w:p>
    <w:p w14:paraId="4A1B22E9" w14:textId="24AA9071" w:rsidR="00760AB1" w:rsidRPr="009B0985" w:rsidRDefault="00760AB1" w:rsidP="009B0985">
      <w:pPr>
        <w:pStyle w:val="Heading2"/>
      </w:pPr>
      <w:bookmarkStart w:id="67" w:name="_Toc153466382"/>
      <w:r w:rsidRPr="009B0985">
        <w:t xml:space="preserve">Review of </w:t>
      </w:r>
      <w:r w:rsidR="005243A3" w:rsidRPr="009B0985">
        <w:t>the Agency’s</w:t>
      </w:r>
      <w:r w:rsidRPr="009B0985">
        <w:t xml:space="preserve"> status</w:t>
      </w:r>
      <w:bookmarkEnd w:id="67"/>
      <w:r w:rsidRPr="009B0985">
        <w:t xml:space="preserve"> </w:t>
      </w:r>
    </w:p>
    <w:p w14:paraId="1C4AC884" w14:textId="199D78F2" w:rsidR="00574405" w:rsidRDefault="00574405" w:rsidP="00D239B5">
      <w:pPr>
        <w:pStyle w:val="ParagraphText-numbered"/>
      </w:pPr>
      <w:r>
        <w:t xml:space="preserve">The Agency will be reviewed as part of the wider Public Bodies Reviews programme, at a time determined by the </w:t>
      </w:r>
      <w:r w:rsidR="00395F05">
        <w:t>D</w:t>
      </w:r>
      <w:r>
        <w:t xml:space="preserve">epartment’s ministers and </w:t>
      </w:r>
      <w:r w:rsidR="00395F05">
        <w:t>the</w:t>
      </w:r>
      <w:r>
        <w:t xml:space="preserve"> PAO.</w:t>
      </w:r>
    </w:p>
    <w:p w14:paraId="2DEEB59C" w14:textId="590C6C36" w:rsidR="00760AB1" w:rsidRPr="009B0985" w:rsidRDefault="00760AB1" w:rsidP="009B0985">
      <w:pPr>
        <w:pStyle w:val="Heading2"/>
      </w:pPr>
      <w:bookmarkStart w:id="68" w:name="_Toc153466383"/>
      <w:r w:rsidRPr="009B0985">
        <w:t xml:space="preserve">Arrangements in the event that </w:t>
      </w:r>
      <w:r w:rsidR="00A857B5" w:rsidRPr="009B0985">
        <w:t>the Agency</w:t>
      </w:r>
      <w:r w:rsidRPr="009B0985">
        <w:t xml:space="preserve"> is </w:t>
      </w:r>
      <w:r w:rsidR="009B0985" w:rsidRPr="009B0985">
        <w:t>wound up</w:t>
      </w:r>
      <w:bookmarkEnd w:id="68"/>
      <w:r w:rsidR="009B0985" w:rsidRPr="009B0985">
        <w:t xml:space="preserve"> </w:t>
      </w:r>
    </w:p>
    <w:p w14:paraId="079C8BE3" w14:textId="6E31D5C9" w:rsidR="00760AB1" w:rsidRPr="005243A3" w:rsidRDefault="00760AB1" w:rsidP="00D239B5">
      <w:pPr>
        <w:pStyle w:val="ParagraphText-numbered"/>
      </w:pPr>
      <w:r w:rsidRPr="005243A3">
        <w:t xml:space="preserve">The </w:t>
      </w:r>
      <w:r w:rsidR="004B28C3" w:rsidRPr="005243A3">
        <w:t>Department</w:t>
      </w:r>
      <w:r w:rsidRPr="005243A3">
        <w:t xml:space="preserve"> shall put in place arrangements to ensure the orderly winding up of </w:t>
      </w:r>
      <w:r w:rsidR="00A857B5" w:rsidRPr="005243A3">
        <w:t>the Agency</w:t>
      </w:r>
      <w:r w:rsidRPr="005243A3">
        <w:t>. In particular</w:t>
      </w:r>
      <w:r w:rsidR="005243A3">
        <w:t>,</w:t>
      </w:r>
      <w:r w:rsidRPr="005243A3">
        <w:t xml:space="preserve"> it should ensure that the assets and liabilities of </w:t>
      </w:r>
      <w:r w:rsidR="00A857B5" w:rsidRPr="005243A3">
        <w:t>the Agency</w:t>
      </w:r>
      <w:r w:rsidRPr="005243A3">
        <w:t xml:space="preserve"> are passed to any successor organisation and accounted for properly. In the event that there is no successor organisation, the assets and liabilities should revert to the </w:t>
      </w:r>
      <w:r w:rsidR="004B28C3" w:rsidRPr="005243A3">
        <w:t>Department</w:t>
      </w:r>
      <w:r w:rsidRPr="005243A3">
        <w:t>.</w:t>
      </w:r>
      <w:r w:rsidR="005243A3">
        <w:t xml:space="preserve"> </w:t>
      </w:r>
      <w:r w:rsidRPr="005243A3">
        <w:t xml:space="preserve">To this end, the </w:t>
      </w:r>
      <w:r w:rsidR="004B28C3" w:rsidRPr="005243A3">
        <w:t>Department</w:t>
      </w:r>
      <w:r w:rsidRPr="005243A3">
        <w:t xml:space="preserve"> shall: </w:t>
      </w:r>
    </w:p>
    <w:p w14:paraId="5050F811" w14:textId="089423BD" w:rsidR="00760AB1" w:rsidRPr="005243A3" w:rsidRDefault="00760AB1" w:rsidP="00D239B5">
      <w:pPr>
        <w:pStyle w:val="Style8"/>
      </w:pPr>
      <w:r w:rsidRPr="005243A3">
        <w:t xml:space="preserve">have regard to Cabinet Office guidance on </w:t>
      </w:r>
      <w:r w:rsidR="002F12C3">
        <w:t>closing agencies and removing agency status</w:t>
      </w:r>
      <w:r w:rsidR="002F12C3">
        <w:rPr>
          <w:rStyle w:val="FootnoteReference"/>
        </w:rPr>
        <w:footnoteReference w:id="18"/>
      </w:r>
      <w:r w:rsidR="002F12C3">
        <w:t>;</w:t>
      </w:r>
      <w:r w:rsidRPr="005243A3">
        <w:t xml:space="preserve"> </w:t>
      </w:r>
    </w:p>
    <w:p w14:paraId="73959091" w14:textId="77777777" w:rsidR="006B5DFC" w:rsidRDefault="00760AB1" w:rsidP="00D239B5">
      <w:pPr>
        <w:pStyle w:val="Style8"/>
      </w:pPr>
      <w:r w:rsidRPr="005243A3">
        <w:t xml:space="preserve">ensure that procedures are in place in </w:t>
      </w:r>
      <w:r w:rsidR="00A857B5" w:rsidRPr="005243A3">
        <w:t>the Agency</w:t>
      </w:r>
      <w:r w:rsidRPr="005243A3">
        <w:t xml:space="preserve"> to gain independent assurance on key transactions, financial commitments, cash flows and other information needed to handle the wind-up effectively and to maintain the momentum of work inherited by any residuary body; </w:t>
      </w:r>
    </w:p>
    <w:p w14:paraId="4D498821" w14:textId="5898A8EE" w:rsidR="00760AB1" w:rsidRPr="005243A3" w:rsidRDefault="00760AB1" w:rsidP="00D239B5">
      <w:pPr>
        <w:pStyle w:val="Style8"/>
      </w:pPr>
      <w:r w:rsidRPr="005243A3">
        <w:t xml:space="preserve">specify the basis for the valuation and accounting treatment of </w:t>
      </w:r>
      <w:r w:rsidR="00A857B5" w:rsidRPr="005243A3">
        <w:t>the Agency</w:t>
      </w:r>
      <w:r w:rsidRPr="005243A3">
        <w:t xml:space="preserve">’s assets and liabilities; </w:t>
      </w:r>
    </w:p>
    <w:p w14:paraId="18F83FAB" w14:textId="3FC8106A" w:rsidR="00760AB1" w:rsidRPr="005243A3" w:rsidRDefault="00760AB1" w:rsidP="00D239B5">
      <w:pPr>
        <w:pStyle w:val="Style8"/>
      </w:pPr>
      <w:r w:rsidRPr="005243A3">
        <w:t>ensure that arrangements are in place to prepare closing accounts and pass to the C&amp;AG for external audit, and that, for non-Crown bodies</w:t>
      </w:r>
      <w:r w:rsidR="00A46BDB">
        <w:t>,</w:t>
      </w:r>
      <w:r w:rsidRPr="005243A3">
        <w:t xml:space="preserve"> funds are in place to pay for such audits. It shall be for the C&amp;AG to lay the final accounts in Parliament, together with </w:t>
      </w:r>
      <w:r w:rsidR="005243A3">
        <w:t>their</w:t>
      </w:r>
      <w:r w:rsidRPr="005243A3">
        <w:t xml:space="preserve"> report on the accounts; </w:t>
      </w:r>
      <w:r w:rsidR="005243A3">
        <w:t>and</w:t>
      </w:r>
    </w:p>
    <w:p w14:paraId="06AF4942" w14:textId="1C568189" w:rsidR="00760AB1" w:rsidRPr="005243A3" w:rsidRDefault="00760AB1" w:rsidP="00D239B5">
      <w:pPr>
        <w:pStyle w:val="Style8"/>
      </w:pPr>
      <w:r w:rsidRPr="005243A3">
        <w:t xml:space="preserve">arrange for the most appropriate person to sign the closing accounts. In the event that another ALB takes on the role, responsibilities, assets and liabilities, the succeeding ALB </w:t>
      </w:r>
      <w:r w:rsidR="008A3A2B">
        <w:t>AO</w:t>
      </w:r>
      <w:r w:rsidRPr="005243A3">
        <w:t xml:space="preserve"> should sign the closing accounts. In the event that the </w:t>
      </w:r>
      <w:r w:rsidR="004B28C3" w:rsidRPr="005243A3">
        <w:t>Department</w:t>
      </w:r>
      <w:r w:rsidRPr="005243A3">
        <w:t xml:space="preserve"> inherits the role, responsibilities, assets and liabilities, the </w:t>
      </w:r>
      <w:r w:rsidR="004B28C3" w:rsidRPr="005243A3">
        <w:t>Department</w:t>
      </w:r>
      <w:r w:rsidRPr="005243A3">
        <w:t xml:space="preserve">’s </w:t>
      </w:r>
      <w:r w:rsidR="008A3A2B">
        <w:t>AO</w:t>
      </w:r>
      <w:r w:rsidRPr="005243A3">
        <w:t xml:space="preserve"> should sign. </w:t>
      </w:r>
    </w:p>
    <w:p w14:paraId="5558620D" w14:textId="2BF30777" w:rsidR="00BE3702" w:rsidRDefault="00A857B5" w:rsidP="00D239B5">
      <w:pPr>
        <w:pStyle w:val="ParagraphText-numbered"/>
        <w:sectPr w:rsidR="00BE3702" w:rsidSect="00DD1D01">
          <w:pgSz w:w="11906" w:h="16838"/>
          <w:pgMar w:top="1440" w:right="1080" w:bottom="1440" w:left="1080" w:header="708" w:footer="708" w:gutter="0"/>
          <w:cols w:space="708"/>
          <w:docGrid w:linePitch="360"/>
        </w:sectPr>
      </w:pPr>
      <w:r w:rsidRPr="005243A3">
        <w:t>The Agency</w:t>
      </w:r>
      <w:r w:rsidR="00760AB1" w:rsidRPr="005243A3">
        <w:t xml:space="preserve"> shall provide the </w:t>
      </w:r>
      <w:r w:rsidR="004B28C3" w:rsidRPr="005243A3">
        <w:t>Department</w:t>
      </w:r>
      <w:r w:rsidR="00760AB1" w:rsidRPr="005243A3">
        <w:t xml:space="preserve"> with full details of all agreements where </w:t>
      </w:r>
      <w:r w:rsidRPr="005243A3">
        <w:t>the Agency</w:t>
      </w:r>
      <w:r w:rsidR="00760AB1" w:rsidRPr="005243A3">
        <w:t xml:space="preserve"> or its successors have a right to share in the financial gains of developers. It should also pass to the </w:t>
      </w:r>
      <w:r w:rsidR="004B28C3" w:rsidRPr="005243A3">
        <w:t>Department</w:t>
      </w:r>
      <w:r w:rsidR="00760AB1" w:rsidRPr="005243A3">
        <w:t xml:space="preserve"> details of any other forms of claw-back due to </w:t>
      </w:r>
      <w:r w:rsidRPr="005243A3">
        <w:t>the Agency</w:t>
      </w:r>
      <w:r w:rsidR="00760AB1" w:rsidRPr="005243A3">
        <w:t xml:space="preserve">. </w:t>
      </w:r>
    </w:p>
    <w:p w14:paraId="203112C6" w14:textId="0D78D4F9" w:rsidR="001E42E4" w:rsidRDefault="00BE3702" w:rsidP="00415C48">
      <w:pPr>
        <w:pStyle w:val="Heading1"/>
      </w:pPr>
      <w:bookmarkStart w:id="69" w:name="_Toc153466384"/>
      <w:r>
        <w:t>ANNEX A – Wider guidance</w:t>
      </w:r>
      <w:bookmarkEnd w:id="69"/>
    </w:p>
    <w:p w14:paraId="587F0B72" w14:textId="77777777" w:rsidR="00415C48" w:rsidRDefault="00415C48" w:rsidP="00796420">
      <w:pPr>
        <w:pStyle w:val="Default"/>
        <w:spacing w:line="276" w:lineRule="auto"/>
      </w:pPr>
    </w:p>
    <w:p w14:paraId="5E0AA3AA" w14:textId="27863968" w:rsidR="002C15F4" w:rsidRDefault="00C720A1" w:rsidP="00796420">
      <w:pPr>
        <w:pStyle w:val="Default"/>
        <w:spacing w:line="276" w:lineRule="auto"/>
      </w:pPr>
      <w:r>
        <w:t xml:space="preserve">The </w:t>
      </w:r>
      <w:r w:rsidR="001876CC">
        <w:t>Agency shall comply with</w:t>
      </w:r>
      <w:r w:rsidR="00D07D58" w:rsidRPr="00D07D58">
        <w:t xml:space="preserve"> </w:t>
      </w:r>
      <w:r w:rsidR="00D07D58">
        <w:t>a</w:t>
      </w:r>
      <w:r w:rsidR="00D07D58" w:rsidRPr="00D07D58">
        <w:t>ny statutory duties that are applicable to the Agency</w:t>
      </w:r>
      <w:r w:rsidR="00D07D58">
        <w:t>, and with</w:t>
      </w:r>
      <w:r w:rsidR="001876CC">
        <w:t xml:space="preserve"> the following guidance, documents and instructions:</w:t>
      </w:r>
    </w:p>
    <w:p w14:paraId="11124F9F" w14:textId="06853419" w:rsidR="0056700C" w:rsidRDefault="0056700C" w:rsidP="00796420">
      <w:pPr>
        <w:pStyle w:val="Default"/>
        <w:spacing w:line="276" w:lineRule="auto"/>
      </w:pPr>
    </w:p>
    <w:p w14:paraId="3F2C5270" w14:textId="605BE39C" w:rsidR="0056700C" w:rsidRPr="00875E7F" w:rsidRDefault="0056700C" w:rsidP="00415C48">
      <w:pPr>
        <w:pStyle w:val="Default"/>
        <w:spacing w:after="240" w:line="276" w:lineRule="auto"/>
        <w:rPr>
          <w:rFonts w:eastAsiaTheme="majorEastAsia" w:cstheme="majorBidi"/>
          <w:b/>
          <w:bCs/>
          <w:color w:val="A80000"/>
          <w:sz w:val="32"/>
          <w:szCs w:val="26"/>
        </w:rPr>
      </w:pPr>
      <w:r w:rsidRPr="00875E7F">
        <w:rPr>
          <w:rFonts w:eastAsiaTheme="majorEastAsia" w:cstheme="majorBidi"/>
          <w:b/>
          <w:bCs/>
          <w:color w:val="A80000"/>
          <w:sz w:val="32"/>
          <w:szCs w:val="26"/>
        </w:rPr>
        <w:t xml:space="preserve">Corporate </w:t>
      </w:r>
      <w:r w:rsidR="00F629C0" w:rsidRPr="00875E7F">
        <w:rPr>
          <w:rFonts w:eastAsiaTheme="majorEastAsia" w:cstheme="majorBidi"/>
          <w:b/>
          <w:bCs/>
          <w:color w:val="A80000"/>
          <w:sz w:val="32"/>
          <w:szCs w:val="26"/>
        </w:rPr>
        <w:t>governance</w:t>
      </w:r>
    </w:p>
    <w:p w14:paraId="4E4C3AFA" w14:textId="3491DC2F" w:rsidR="00415C48" w:rsidRPr="00AA4CA4" w:rsidRDefault="00415C48" w:rsidP="00415C48">
      <w:pPr>
        <w:pStyle w:val="Default"/>
        <w:numPr>
          <w:ilvl w:val="0"/>
          <w:numId w:val="38"/>
        </w:numPr>
        <w:spacing w:after="240" w:line="276" w:lineRule="auto"/>
        <w:rPr>
          <w:b/>
          <w:bCs/>
        </w:rPr>
      </w:pPr>
      <w:r>
        <w:t>This Framework Document</w:t>
      </w:r>
    </w:p>
    <w:p w14:paraId="5AB8CB11" w14:textId="345D0E72" w:rsidR="00AA4CA4" w:rsidRPr="00AA4CA4" w:rsidRDefault="00AA4CA4" w:rsidP="00415C48">
      <w:pPr>
        <w:pStyle w:val="Default"/>
        <w:numPr>
          <w:ilvl w:val="0"/>
          <w:numId w:val="38"/>
        </w:numPr>
        <w:spacing w:after="240" w:line="276" w:lineRule="auto"/>
      </w:pPr>
      <w:r w:rsidRPr="00AA4CA4">
        <w:t>Executive agencies: characteristics and governance</w:t>
      </w:r>
      <w:r>
        <w:t xml:space="preserve">: </w:t>
      </w:r>
      <w:hyperlink r:id="rId22" w:history="1">
        <w:r w:rsidR="00F1244F">
          <w:rPr>
            <w:rStyle w:val="Hyperlink"/>
          </w:rPr>
          <w:t>Executive agencies: characteristics and governance - GOV.UK (www.gov.uk)</w:t>
        </w:r>
      </w:hyperlink>
    </w:p>
    <w:p w14:paraId="5AF3474D" w14:textId="46BA8CED" w:rsidR="005809D1" w:rsidRPr="005809D1" w:rsidRDefault="005809D1" w:rsidP="00415C48">
      <w:pPr>
        <w:pStyle w:val="Default"/>
        <w:numPr>
          <w:ilvl w:val="0"/>
          <w:numId w:val="38"/>
        </w:numPr>
        <w:spacing w:after="240" w:line="276" w:lineRule="auto"/>
        <w:rPr>
          <w:b/>
          <w:bCs/>
        </w:rPr>
      </w:pPr>
      <w:r>
        <w:t xml:space="preserve">Corporate Governance Code for Central Government Departments (relevant to Arm’s Length Bodies) and supporting guidance: </w:t>
      </w:r>
      <w:hyperlink r:id="rId23" w:history="1">
        <w:r w:rsidR="00AA75E9">
          <w:rPr>
            <w:rStyle w:val="Hyperlink"/>
          </w:rPr>
          <w:t>Corporate governance code for central government departments 2017 - GOV.UK (www.gov.uk)</w:t>
        </w:r>
      </w:hyperlink>
    </w:p>
    <w:p w14:paraId="38D7C32A" w14:textId="30FBB54E" w:rsidR="005809D1" w:rsidRPr="005809D1" w:rsidRDefault="005809D1" w:rsidP="00415C48">
      <w:pPr>
        <w:pStyle w:val="Default"/>
        <w:numPr>
          <w:ilvl w:val="0"/>
          <w:numId w:val="38"/>
        </w:numPr>
        <w:spacing w:after="240" w:line="276" w:lineRule="auto"/>
        <w:rPr>
          <w:b/>
          <w:bCs/>
        </w:rPr>
      </w:pPr>
      <w:r>
        <w:t xml:space="preserve">Code of conduct for Board members of Public Bodies: </w:t>
      </w:r>
      <w:hyperlink r:id="rId24" w:history="1">
        <w:r w:rsidR="00D913C9">
          <w:rPr>
            <w:rStyle w:val="Hyperlink"/>
          </w:rPr>
          <w:t>Code of conduct for board members of public bodies - GOV.UK (www.gov.uk)</w:t>
        </w:r>
      </w:hyperlink>
    </w:p>
    <w:p w14:paraId="120A0131" w14:textId="1BDA5619" w:rsidR="00415C48" w:rsidRPr="005809D1" w:rsidRDefault="005809D1" w:rsidP="00415C48">
      <w:pPr>
        <w:pStyle w:val="Default"/>
        <w:numPr>
          <w:ilvl w:val="0"/>
          <w:numId w:val="38"/>
        </w:numPr>
        <w:spacing w:after="240" w:line="276" w:lineRule="auto"/>
        <w:rPr>
          <w:b/>
          <w:bCs/>
        </w:rPr>
      </w:pPr>
      <w:r>
        <w:t xml:space="preserve">Code of practice for partnerships between Departments and Arm’s Length Bodies: </w:t>
      </w:r>
      <w:hyperlink r:id="rId25" w:anchor=":~:text=This%20code%20of%20good%20practice,partnership%20approach%20to%20shaping%20relationships" w:history="1">
        <w:r w:rsidR="00D913C9">
          <w:rPr>
            <w:rStyle w:val="Hyperlink"/>
          </w:rPr>
          <w:t>Partnerships with arm's length bodies: code of good practice - GOV.UK (www.gov.uk)</w:t>
        </w:r>
      </w:hyperlink>
    </w:p>
    <w:p w14:paraId="5603C0EF" w14:textId="6FA1F068" w:rsidR="00F629C0" w:rsidRPr="00875E7F" w:rsidRDefault="00F629C0" w:rsidP="00F629C0">
      <w:pPr>
        <w:pStyle w:val="Default"/>
        <w:spacing w:after="240" w:line="276" w:lineRule="auto"/>
        <w:rPr>
          <w:rFonts w:eastAsiaTheme="majorEastAsia" w:cstheme="majorBidi"/>
          <w:b/>
          <w:bCs/>
          <w:color w:val="A80000"/>
          <w:sz w:val="32"/>
          <w:szCs w:val="26"/>
        </w:rPr>
      </w:pPr>
      <w:r w:rsidRPr="00875E7F">
        <w:rPr>
          <w:rFonts w:eastAsiaTheme="majorEastAsia" w:cstheme="majorBidi"/>
          <w:b/>
          <w:bCs/>
          <w:color w:val="A80000"/>
          <w:sz w:val="32"/>
          <w:szCs w:val="26"/>
        </w:rPr>
        <w:t>Financial management and reporting</w:t>
      </w:r>
    </w:p>
    <w:p w14:paraId="42EB53AF" w14:textId="4B83E32F" w:rsidR="00B74E8C" w:rsidRDefault="00B74E8C" w:rsidP="00B74E8C">
      <w:pPr>
        <w:pStyle w:val="Default"/>
        <w:numPr>
          <w:ilvl w:val="0"/>
          <w:numId w:val="38"/>
        </w:numPr>
        <w:spacing w:after="240" w:line="276" w:lineRule="auto"/>
      </w:pPr>
      <w:r>
        <w:t>Managing Public Money (MPM)</w:t>
      </w:r>
      <w:r w:rsidR="00163848">
        <w:t xml:space="preserve">, including </w:t>
      </w:r>
      <w:r w:rsidR="005F3438">
        <w:t xml:space="preserve">Fees and Charge Guide (chapter 6): </w:t>
      </w:r>
      <w:hyperlink r:id="rId26" w:history="1">
        <w:r w:rsidR="005F3438" w:rsidRPr="00021382">
          <w:rPr>
            <w:rStyle w:val="Hyperlink"/>
          </w:rPr>
          <w:t>https://www.gov.uk/government/publications/managing-public-money</w:t>
        </w:r>
      </w:hyperlink>
    </w:p>
    <w:p w14:paraId="65CE3F6E" w14:textId="77777777" w:rsidR="00086575" w:rsidRDefault="00086575" w:rsidP="00086575">
      <w:pPr>
        <w:pStyle w:val="Default"/>
        <w:numPr>
          <w:ilvl w:val="0"/>
          <w:numId w:val="38"/>
        </w:numPr>
        <w:spacing w:line="276" w:lineRule="auto"/>
      </w:pPr>
      <w:r w:rsidRPr="00DA7D41">
        <w:rPr>
          <w:rFonts w:eastAsia="Calibri"/>
          <w:color w:val="000000" w:themeColor="text1"/>
        </w:rPr>
        <w:t xml:space="preserve">Consolidated Budgeting Guidance (CBG). </w:t>
      </w:r>
      <w:hyperlink r:id="rId27" w:history="1">
        <w:r>
          <w:rPr>
            <w:rStyle w:val="Hyperlink"/>
          </w:rPr>
          <w:t>Consolidated budgeting guidance - GOV.UK (www.gov.uk)</w:t>
        </w:r>
      </w:hyperlink>
    </w:p>
    <w:p w14:paraId="3464520E" w14:textId="77777777" w:rsidR="00086575" w:rsidRDefault="00086575" w:rsidP="00086575">
      <w:pPr>
        <w:pStyle w:val="paragraph"/>
        <w:spacing w:before="0" w:beforeAutospacing="0" w:after="0" w:afterAutospacing="0" w:line="276" w:lineRule="auto"/>
        <w:ind w:left="855"/>
        <w:textAlignment w:val="baseline"/>
        <w:rPr>
          <w:rFonts w:ascii="Verdana" w:hAnsi="Verdana"/>
        </w:rPr>
      </w:pPr>
      <w:r>
        <w:rPr>
          <w:rStyle w:val="eop"/>
          <w:rFonts w:ascii="Arial" w:hAnsi="Arial" w:cs="Arial"/>
          <w:color w:val="003087"/>
        </w:rPr>
        <w:t> </w:t>
      </w:r>
    </w:p>
    <w:p w14:paraId="49C4AA41" w14:textId="7535A047" w:rsidR="00B74E8C" w:rsidRDefault="00B74E8C" w:rsidP="00B74E8C">
      <w:pPr>
        <w:pStyle w:val="Default"/>
        <w:numPr>
          <w:ilvl w:val="0"/>
          <w:numId w:val="38"/>
        </w:numPr>
        <w:spacing w:after="240" w:line="276" w:lineRule="auto"/>
      </w:pPr>
      <w:r>
        <w:t xml:space="preserve">Government Financial Reporting Manual (FReM): </w:t>
      </w:r>
      <w:hyperlink r:id="rId28" w:history="1">
        <w:r w:rsidRPr="00021382">
          <w:rPr>
            <w:rStyle w:val="Hyperlink"/>
          </w:rPr>
          <w:t>www.gov.uk/government/collections/government-financial-reporting-manualfrem</w:t>
        </w:r>
      </w:hyperlink>
    </w:p>
    <w:p w14:paraId="31F67725" w14:textId="113BB817" w:rsidR="00B74E8C" w:rsidRDefault="00B74E8C" w:rsidP="00B74E8C">
      <w:pPr>
        <w:pStyle w:val="Default"/>
        <w:numPr>
          <w:ilvl w:val="0"/>
          <w:numId w:val="38"/>
        </w:numPr>
        <w:spacing w:after="240" w:line="276" w:lineRule="auto"/>
      </w:pPr>
      <w:r>
        <w:t xml:space="preserve">Relevant Dear Accounting Officer (DAO) letters: </w:t>
      </w:r>
      <w:hyperlink r:id="rId29" w:history="1">
        <w:r w:rsidRPr="00021382">
          <w:rPr>
            <w:rStyle w:val="Hyperlink"/>
          </w:rPr>
          <w:t>www.gov.uk/government/collections/dao-letters</w:t>
        </w:r>
      </w:hyperlink>
    </w:p>
    <w:p w14:paraId="3CEDE43D" w14:textId="3A4A5E90" w:rsidR="00B74E8C" w:rsidRDefault="00B74E8C" w:rsidP="00B74E8C">
      <w:pPr>
        <w:pStyle w:val="Default"/>
        <w:numPr>
          <w:ilvl w:val="0"/>
          <w:numId w:val="38"/>
        </w:numPr>
        <w:spacing w:after="240" w:line="276" w:lineRule="auto"/>
      </w:pPr>
      <w:r>
        <w:t xml:space="preserve">Relevant guidance and instructions issued by the Treasury in respect of Whole of Government Accounts: </w:t>
      </w:r>
      <w:hyperlink r:id="rId30" w:history="1">
        <w:r w:rsidRPr="00021382">
          <w:rPr>
            <w:rStyle w:val="Hyperlink"/>
          </w:rPr>
          <w:t>https://www.gov.uk/government/collections/whole-ofgovernment-accounts</w:t>
        </w:r>
      </w:hyperlink>
    </w:p>
    <w:p w14:paraId="71F7B5A4" w14:textId="0CE658A9" w:rsidR="002C15F4" w:rsidRDefault="00B74E8C" w:rsidP="00B74E8C">
      <w:pPr>
        <w:pStyle w:val="Default"/>
        <w:numPr>
          <w:ilvl w:val="0"/>
          <w:numId w:val="38"/>
        </w:numPr>
        <w:spacing w:after="240" w:line="276" w:lineRule="auto"/>
      </w:pPr>
      <w:r>
        <w:t>The most recent letter setting out the delegated authorities, issued by the parent department.</w:t>
      </w:r>
    </w:p>
    <w:p w14:paraId="7BE40623" w14:textId="00577D0D" w:rsidR="00B74E8C" w:rsidRPr="00875E7F" w:rsidRDefault="00234D0A" w:rsidP="00B74E8C">
      <w:pPr>
        <w:pStyle w:val="Default"/>
        <w:spacing w:after="240" w:line="276" w:lineRule="auto"/>
        <w:rPr>
          <w:rFonts w:eastAsiaTheme="majorEastAsia" w:cstheme="majorBidi"/>
          <w:b/>
          <w:bCs/>
          <w:color w:val="A80000"/>
          <w:sz w:val="32"/>
          <w:szCs w:val="26"/>
        </w:rPr>
      </w:pPr>
      <w:r w:rsidRPr="00875E7F">
        <w:rPr>
          <w:rFonts w:eastAsiaTheme="majorEastAsia" w:cstheme="majorBidi"/>
          <w:b/>
          <w:bCs/>
          <w:color w:val="A80000"/>
          <w:sz w:val="32"/>
          <w:szCs w:val="26"/>
        </w:rPr>
        <w:t>Management of risk</w:t>
      </w:r>
    </w:p>
    <w:p w14:paraId="551C5CB6" w14:textId="687D794B" w:rsidR="00022677" w:rsidRDefault="00022677" w:rsidP="00B74E8C">
      <w:pPr>
        <w:pStyle w:val="Default"/>
        <w:numPr>
          <w:ilvl w:val="0"/>
          <w:numId w:val="38"/>
        </w:numPr>
        <w:spacing w:after="240" w:line="276" w:lineRule="auto"/>
      </w:pPr>
      <w:r>
        <w:t xml:space="preserve">Management of Risk: </w:t>
      </w:r>
      <w:hyperlink r:id="rId31" w:history="1">
        <w:r w:rsidR="00D83A51" w:rsidRPr="00021382">
          <w:rPr>
            <w:rStyle w:val="Hyperlink"/>
          </w:rPr>
          <w:t>www.gov.uk/government/publications/orange-book</w:t>
        </w:r>
      </w:hyperlink>
      <w:r w:rsidR="00D83A51">
        <w:t xml:space="preserve"> </w:t>
      </w:r>
      <w:r>
        <w:t xml:space="preserve">and </w:t>
      </w:r>
      <w:hyperlink r:id="rId32" w:history="1">
        <w:r w:rsidR="00D83A51">
          <w:rPr>
            <w:rStyle w:val="Hyperlink"/>
          </w:rPr>
          <w:t>Management of risk in government: framework - GOV.UK (www.gov.uk)</w:t>
        </w:r>
      </w:hyperlink>
    </w:p>
    <w:p w14:paraId="0F31D377" w14:textId="6346EAEA" w:rsidR="00022677" w:rsidRDefault="00022677" w:rsidP="00B74E8C">
      <w:pPr>
        <w:pStyle w:val="Default"/>
        <w:numPr>
          <w:ilvl w:val="0"/>
          <w:numId w:val="38"/>
        </w:numPr>
        <w:spacing w:after="240" w:line="276" w:lineRule="auto"/>
      </w:pPr>
      <w:r>
        <w:t xml:space="preserve">Public Sector Internal Audit Standards: </w:t>
      </w:r>
      <w:hyperlink r:id="rId33" w:history="1">
        <w:r w:rsidRPr="00021382">
          <w:rPr>
            <w:rStyle w:val="Hyperlink"/>
          </w:rPr>
          <w:t>www.gov.uk/government/publications/public-sector-internal-audit-standards</w:t>
        </w:r>
      </w:hyperlink>
    </w:p>
    <w:p w14:paraId="2AD55B7A" w14:textId="6E57D5F6" w:rsidR="00022677" w:rsidRDefault="00022677" w:rsidP="00B74E8C">
      <w:pPr>
        <w:pStyle w:val="Default"/>
        <w:numPr>
          <w:ilvl w:val="0"/>
          <w:numId w:val="38"/>
        </w:numPr>
        <w:spacing w:after="240" w:line="276" w:lineRule="auto"/>
      </w:pPr>
      <w:r>
        <w:t xml:space="preserve">HM Treasury approval processes for Major Projects above delegated limits: </w:t>
      </w:r>
      <w:hyperlink r:id="rId34" w:history="1">
        <w:r w:rsidR="00ED6D8D">
          <w:rPr>
            <w:rStyle w:val="Hyperlink"/>
          </w:rPr>
          <w:t>Treasury approvals process for programmes and projects - GOV.UK (www.gov.uk)</w:t>
        </w:r>
      </w:hyperlink>
    </w:p>
    <w:p w14:paraId="38561414" w14:textId="54250FE6" w:rsidR="00022677" w:rsidRDefault="00022677" w:rsidP="00B74E8C">
      <w:pPr>
        <w:pStyle w:val="Default"/>
        <w:numPr>
          <w:ilvl w:val="0"/>
          <w:numId w:val="38"/>
        </w:numPr>
        <w:spacing w:after="240" w:line="276" w:lineRule="auto"/>
      </w:pPr>
      <w:r>
        <w:t xml:space="preserve">The Government cyber-security strategy and cyber security guidance: </w:t>
      </w:r>
      <w:hyperlink r:id="rId35" w:history="1">
        <w:r w:rsidR="00B93D2A">
          <w:rPr>
            <w:rStyle w:val="Hyperlink"/>
          </w:rPr>
          <w:t>National Cyber Strategy 2022 (HTML) - GOV.UK (www.gov.uk)</w:t>
        </w:r>
      </w:hyperlink>
      <w:r w:rsidR="00B93D2A">
        <w:t xml:space="preserve"> </w:t>
      </w:r>
      <w:r>
        <w:t xml:space="preserve">and </w:t>
      </w:r>
      <w:hyperlink r:id="rId36" w:history="1">
        <w:r w:rsidR="00B93D2A">
          <w:rPr>
            <w:rStyle w:val="Hyperlink"/>
          </w:rPr>
          <w:t>Cyber security guidance for business - GOV.UK (www.gov.uk)</w:t>
        </w:r>
      </w:hyperlink>
    </w:p>
    <w:p w14:paraId="1B94A39C" w14:textId="4F9EA775" w:rsidR="00875E7F" w:rsidRPr="00875E7F" w:rsidRDefault="00875E7F" w:rsidP="00875E7F">
      <w:pPr>
        <w:pStyle w:val="Default"/>
        <w:spacing w:after="240" w:line="276" w:lineRule="auto"/>
        <w:rPr>
          <w:rFonts w:eastAsiaTheme="majorEastAsia" w:cstheme="majorBidi"/>
          <w:b/>
          <w:bCs/>
          <w:color w:val="A80000"/>
          <w:sz w:val="32"/>
          <w:szCs w:val="26"/>
        </w:rPr>
      </w:pPr>
      <w:r w:rsidRPr="00875E7F">
        <w:rPr>
          <w:rFonts w:eastAsiaTheme="majorEastAsia" w:cstheme="majorBidi"/>
          <w:b/>
          <w:bCs/>
          <w:color w:val="A80000"/>
          <w:sz w:val="32"/>
          <w:szCs w:val="26"/>
        </w:rPr>
        <w:t xml:space="preserve">Commercial management </w:t>
      </w:r>
    </w:p>
    <w:p w14:paraId="73BFEF54" w14:textId="3C0E2B6E" w:rsidR="00B2218B" w:rsidRPr="00B2218B" w:rsidRDefault="00B2218B" w:rsidP="00B2218B">
      <w:pPr>
        <w:pStyle w:val="ListParagraph"/>
        <w:numPr>
          <w:ilvl w:val="0"/>
          <w:numId w:val="38"/>
        </w:numPr>
        <w:spacing w:after="240" w:line="276" w:lineRule="auto"/>
        <w:contextualSpacing w:val="0"/>
        <w:rPr>
          <w:rFonts w:ascii="Arial" w:eastAsia="Times New Roman" w:hAnsi="Arial" w:cs="Arial"/>
          <w:color w:val="232323"/>
          <w:sz w:val="24"/>
          <w:szCs w:val="24"/>
          <w:lang w:eastAsia="en-GB"/>
        </w:rPr>
      </w:pPr>
      <w:r w:rsidRPr="00DA7D41">
        <w:rPr>
          <w:rFonts w:ascii="Arial" w:hAnsi="Arial" w:cs="Arial"/>
          <w:sz w:val="24"/>
          <w:szCs w:val="24"/>
        </w:rPr>
        <w:t xml:space="preserve">Relevant sections of the Public Procurement Policy, including the Public Contracts Regulations 2015. </w:t>
      </w:r>
      <w:hyperlink r:id="rId37" w:anchor=":~:text=The%20Public%20Contract%20Regulations%202015,already%20required%20of%20contracting%20authorities." w:history="1">
        <w:r w:rsidRPr="00DA7D41">
          <w:rPr>
            <w:rStyle w:val="Hyperlink"/>
            <w:rFonts w:ascii="Arial" w:hAnsi="Arial" w:cs="Arial"/>
            <w:sz w:val="24"/>
            <w:szCs w:val="24"/>
          </w:rPr>
          <w:t>Public procurement policy - GOV.UK (www.gov.uk)</w:t>
        </w:r>
      </w:hyperlink>
    </w:p>
    <w:p w14:paraId="487047D5" w14:textId="3D7CB1DB" w:rsidR="0062047E" w:rsidRDefault="0062047E" w:rsidP="0062047E">
      <w:pPr>
        <w:pStyle w:val="Default"/>
        <w:numPr>
          <w:ilvl w:val="0"/>
          <w:numId w:val="38"/>
        </w:numPr>
        <w:spacing w:after="240" w:line="276" w:lineRule="auto"/>
      </w:pPr>
      <w:r>
        <w:t xml:space="preserve">Procurement Policy Notes: </w:t>
      </w:r>
      <w:hyperlink r:id="rId38" w:history="1">
        <w:r w:rsidRPr="00021382">
          <w:rPr>
            <w:rStyle w:val="Hyperlink"/>
          </w:rPr>
          <w:t>https://www.gov.uk/government/collections/procurement-policy-notes</w:t>
        </w:r>
      </w:hyperlink>
    </w:p>
    <w:p w14:paraId="61AFC533" w14:textId="4029F4E0" w:rsidR="0062047E" w:rsidRDefault="0062047E" w:rsidP="0062047E">
      <w:pPr>
        <w:pStyle w:val="Default"/>
        <w:numPr>
          <w:ilvl w:val="0"/>
          <w:numId w:val="38"/>
        </w:numPr>
        <w:spacing w:after="240" w:line="276" w:lineRule="auto"/>
      </w:pPr>
      <w:r>
        <w:t xml:space="preserve">Cabinet Office spending controls: </w:t>
      </w:r>
      <w:hyperlink r:id="rId39" w:history="1">
        <w:r w:rsidRPr="00021382">
          <w:rPr>
            <w:rStyle w:val="Hyperlink"/>
          </w:rPr>
          <w:t>https://www.gov.uk/government/collections/cabinet-office-controls</w:t>
        </w:r>
      </w:hyperlink>
    </w:p>
    <w:p w14:paraId="7B195D4F" w14:textId="01F1273A" w:rsidR="00022677" w:rsidRDefault="0062047E" w:rsidP="0062047E">
      <w:pPr>
        <w:pStyle w:val="Default"/>
        <w:numPr>
          <w:ilvl w:val="0"/>
          <w:numId w:val="38"/>
        </w:numPr>
        <w:spacing w:after="240" w:line="276" w:lineRule="auto"/>
      </w:pPr>
      <w:r>
        <w:t xml:space="preserve">Transparency in supply chains - a practical guide: </w:t>
      </w:r>
      <w:hyperlink r:id="rId40" w:history="1">
        <w:r w:rsidR="00C511AD">
          <w:rPr>
            <w:rStyle w:val="Hyperlink"/>
          </w:rPr>
          <w:t>transparency in supply chains (publishing.service.gov.uk)</w:t>
        </w:r>
      </w:hyperlink>
    </w:p>
    <w:p w14:paraId="423EF8F4" w14:textId="24531CF0" w:rsidR="00036A47" w:rsidRPr="00875E7F" w:rsidRDefault="00036A47" w:rsidP="00036A47">
      <w:pPr>
        <w:pStyle w:val="Default"/>
        <w:spacing w:after="240" w:line="276" w:lineRule="auto"/>
        <w:rPr>
          <w:rFonts w:eastAsiaTheme="majorEastAsia" w:cstheme="majorBidi"/>
          <w:b/>
          <w:bCs/>
          <w:color w:val="A80000"/>
          <w:sz w:val="32"/>
          <w:szCs w:val="26"/>
        </w:rPr>
      </w:pPr>
      <w:r>
        <w:rPr>
          <w:rFonts w:eastAsiaTheme="majorEastAsia" w:cstheme="majorBidi"/>
          <w:b/>
          <w:bCs/>
          <w:color w:val="A80000"/>
          <w:sz w:val="32"/>
          <w:szCs w:val="26"/>
        </w:rPr>
        <w:t xml:space="preserve">Public appointments </w:t>
      </w:r>
      <w:r w:rsidRPr="00875E7F">
        <w:rPr>
          <w:rFonts w:eastAsiaTheme="majorEastAsia" w:cstheme="majorBidi"/>
          <w:b/>
          <w:bCs/>
          <w:color w:val="A80000"/>
          <w:sz w:val="32"/>
          <w:szCs w:val="26"/>
        </w:rPr>
        <w:t xml:space="preserve"> </w:t>
      </w:r>
    </w:p>
    <w:p w14:paraId="07BAB2FD" w14:textId="43A8CD98" w:rsidR="00036A47" w:rsidRDefault="00036A47" w:rsidP="00036A47">
      <w:pPr>
        <w:pStyle w:val="Default"/>
        <w:numPr>
          <w:ilvl w:val="0"/>
          <w:numId w:val="38"/>
        </w:numPr>
        <w:spacing w:after="240" w:line="276" w:lineRule="auto"/>
      </w:pPr>
      <w:r>
        <w:t xml:space="preserve">Guidance from the Commissioner for Public Appointments: </w:t>
      </w:r>
      <w:hyperlink r:id="rId41" w:history="1">
        <w:r w:rsidRPr="00021382">
          <w:rPr>
            <w:rStyle w:val="Hyperlink"/>
          </w:rPr>
          <w:t>https://publicappointmentscommissioner.independent.gov.uk/</w:t>
        </w:r>
      </w:hyperlink>
    </w:p>
    <w:p w14:paraId="5C1D8715" w14:textId="77777777" w:rsidR="00D45674" w:rsidRDefault="00036A47" w:rsidP="006F12E8">
      <w:pPr>
        <w:pStyle w:val="Default"/>
        <w:numPr>
          <w:ilvl w:val="0"/>
          <w:numId w:val="38"/>
        </w:numPr>
        <w:spacing w:after="240" w:line="276" w:lineRule="auto"/>
      </w:pPr>
      <w:r>
        <w:t xml:space="preserve">Governance Code on Public Appointments: </w:t>
      </w:r>
      <w:hyperlink r:id="rId42" w:history="1">
        <w:r w:rsidR="00D45674">
          <w:rPr>
            <w:rStyle w:val="Hyperlink"/>
          </w:rPr>
          <w:t>Governance Code for Public Appointments - GOV.UK (www.gov.uk)</w:t>
        </w:r>
      </w:hyperlink>
    </w:p>
    <w:p w14:paraId="663BB649" w14:textId="349F2EF0" w:rsidR="00022677" w:rsidRDefault="00036A47" w:rsidP="006F12E8">
      <w:pPr>
        <w:pStyle w:val="Default"/>
        <w:numPr>
          <w:ilvl w:val="0"/>
          <w:numId w:val="38"/>
        </w:numPr>
        <w:spacing w:after="240" w:line="276" w:lineRule="auto"/>
      </w:pPr>
      <w:r>
        <w:t xml:space="preserve">Procurement Policy Note 08/15 – Tax Arrangements of Public Appointees: </w:t>
      </w:r>
      <w:hyperlink r:id="rId43" w:history="1">
        <w:r w:rsidR="00CA1F04">
          <w:rPr>
            <w:rStyle w:val="Hyperlink"/>
          </w:rPr>
          <w:t>Procurement Policy Note 08/15: tax arrangements of appointees - GOV.UK (www.gov.uk)</w:t>
        </w:r>
      </w:hyperlink>
    </w:p>
    <w:p w14:paraId="59D88693" w14:textId="221379CC" w:rsidR="007469F5" w:rsidRPr="007469F5" w:rsidRDefault="007469F5" w:rsidP="007469F5">
      <w:pPr>
        <w:pStyle w:val="Default"/>
        <w:numPr>
          <w:ilvl w:val="0"/>
          <w:numId w:val="38"/>
        </w:numPr>
        <w:spacing w:after="240" w:line="276" w:lineRule="auto"/>
        <w:rPr>
          <w:color w:val="0563C1" w:themeColor="hyperlink"/>
          <w:u w:val="single"/>
        </w:rPr>
      </w:pPr>
      <w:r w:rsidRPr="00DA7D41">
        <w:t xml:space="preserve">12 Principles of Governance for all Public Body NEDs. </w:t>
      </w:r>
      <w:hyperlink r:id="rId44" w:history="1">
        <w:r w:rsidRPr="00DA7D41">
          <w:rPr>
            <w:rStyle w:val="Hyperlink"/>
          </w:rPr>
          <w:t>12 Principles of Governance for all Public Body NEDs - GOV.UK (www.gov.uk)</w:t>
        </w:r>
      </w:hyperlink>
    </w:p>
    <w:p w14:paraId="2711F9C8" w14:textId="77777777" w:rsidR="0011402F" w:rsidRPr="0011402F" w:rsidRDefault="0011402F" w:rsidP="0011402F">
      <w:pPr>
        <w:pStyle w:val="Default"/>
        <w:spacing w:after="240" w:line="276" w:lineRule="auto"/>
        <w:rPr>
          <w:rFonts w:eastAsiaTheme="majorEastAsia" w:cstheme="majorBidi"/>
          <w:b/>
          <w:bCs/>
          <w:color w:val="A80000"/>
          <w:sz w:val="32"/>
          <w:szCs w:val="26"/>
        </w:rPr>
      </w:pPr>
      <w:r w:rsidRPr="0011402F">
        <w:rPr>
          <w:rFonts w:eastAsiaTheme="majorEastAsia" w:cstheme="majorBidi"/>
          <w:b/>
          <w:bCs/>
          <w:color w:val="A80000"/>
          <w:sz w:val="32"/>
          <w:szCs w:val="26"/>
        </w:rPr>
        <w:t>Staff and remuneration</w:t>
      </w:r>
    </w:p>
    <w:p w14:paraId="012BCAEE" w14:textId="5A877B5F" w:rsidR="007A1DBA" w:rsidRDefault="007A1DBA" w:rsidP="0011402F">
      <w:pPr>
        <w:pStyle w:val="Default"/>
        <w:numPr>
          <w:ilvl w:val="0"/>
          <w:numId w:val="38"/>
        </w:numPr>
        <w:spacing w:after="240" w:line="276" w:lineRule="auto"/>
      </w:pPr>
      <w:r w:rsidRPr="007A1DBA">
        <w:t>Civil Service management code</w:t>
      </w:r>
      <w:r>
        <w:t xml:space="preserve">: </w:t>
      </w:r>
      <w:hyperlink r:id="rId45" w:history="1">
        <w:r w:rsidR="009C120B">
          <w:rPr>
            <w:rStyle w:val="Hyperlink"/>
          </w:rPr>
          <w:t>Civil Service management code - GOV.UK (www.gov.uk)</w:t>
        </w:r>
      </w:hyperlink>
    </w:p>
    <w:p w14:paraId="0C6734D9" w14:textId="6CAE98E0" w:rsidR="0011402F" w:rsidRDefault="0011402F" w:rsidP="0011402F">
      <w:pPr>
        <w:pStyle w:val="Default"/>
        <w:numPr>
          <w:ilvl w:val="0"/>
          <w:numId w:val="38"/>
        </w:numPr>
        <w:spacing w:after="240" w:line="276" w:lineRule="auto"/>
      </w:pPr>
      <w:r>
        <w:t xml:space="preserve">HM Treasury guidance on senior pay and reward: </w:t>
      </w:r>
      <w:hyperlink r:id="rId46" w:history="1">
        <w:r w:rsidRPr="00021382">
          <w:rPr>
            <w:rStyle w:val="Hyperlink"/>
          </w:rPr>
          <w:t>www.gov.uk/government/publications/senior-civil-service-pay-and-reward</w:t>
        </w:r>
      </w:hyperlink>
    </w:p>
    <w:p w14:paraId="6D0DBFAD" w14:textId="4C35D311" w:rsidR="0011402F" w:rsidRDefault="0011402F" w:rsidP="0011402F">
      <w:pPr>
        <w:pStyle w:val="Default"/>
        <w:numPr>
          <w:ilvl w:val="0"/>
          <w:numId w:val="38"/>
        </w:numPr>
        <w:spacing w:after="240" w:line="276" w:lineRule="auto"/>
      </w:pPr>
      <w:r>
        <w:t xml:space="preserve">Civil Service pay guidance (updated annually): </w:t>
      </w:r>
      <w:hyperlink r:id="rId47" w:history="1">
        <w:r w:rsidRPr="00021382">
          <w:rPr>
            <w:rStyle w:val="Hyperlink"/>
          </w:rPr>
          <w:t>www.gov.uk/government/collections/civil-service-pay-guidance</w:t>
        </w:r>
      </w:hyperlink>
    </w:p>
    <w:p w14:paraId="410C53D3" w14:textId="77777777" w:rsidR="003329FF" w:rsidRDefault="0011402F" w:rsidP="006F12E8">
      <w:pPr>
        <w:pStyle w:val="Default"/>
        <w:numPr>
          <w:ilvl w:val="0"/>
          <w:numId w:val="38"/>
        </w:numPr>
        <w:spacing w:after="240" w:line="276" w:lineRule="auto"/>
      </w:pPr>
      <w:r>
        <w:t xml:space="preserve">Public sector pay and terms: </w:t>
      </w:r>
      <w:hyperlink r:id="rId48" w:history="1">
        <w:r w:rsidR="003329FF">
          <w:rPr>
            <w:rStyle w:val="Hyperlink"/>
          </w:rPr>
          <w:t>Public sector pay and terms: guidance note - GOV.UK (www.gov.uk)</w:t>
        </w:r>
      </w:hyperlink>
    </w:p>
    <w:p w14:paraId="5E98226B" w14:textId="6206FC5D" w:rsidR="003329FF" w:rsidRDefault="0011402F" w:rsidP="006F12E8">
      <w:pPr>
        <w:pStyle w:val="Default"/>
        <w:numPr>
          <w:ilvl w:val="0"/>
          <w:numId w:val="38"/>
        </w:numPr>
        <w:spacing w:after="240" w:line="276" w:lineRule="auto"/>
      </w:pPr>
      <w:r>
        <w:t xml:space="preserve">Whistleblowing Guidance and Code of Practice: </w:t>
      </w:r>
      <w:hyperlink r:id="rId49" w:history="1">
        <w:r w:rsidR="003329FF">
          <w:rPr>
            <w:rStyle w:val="Hyperlink"/>
          </w:rPr>
          <w:t>Whistleblowing: guidance and code of practice for employers - GOV.UK (www.gov.uk)</w:t>
        </w:r>
      </w:hyperlink>
    </w:p>
    <w:p w14:paraId="4D8751C4" w14:textId="3833FB47" w:rsidR="0011402F" w:rsidRDefault="0011402F" w:rsidP="006F12E8">
      <w:pPr>
        <w:pStyle w:val="Default"/>
        <w:numPr>
          <w:ilvl w:val="0"/>
          <w:numId w:val="38"/>
        </w:numPr>
        <w:spacing w:after="240" w:line="276" w:lineRule="auto"/>
      </w:pPr>
      <w:r>
        <w:t xml:space="preserve">The Equalities Act 2010: </w:t>
      </w:r>
      <w:hyperlink r:id="rId50" w:history="1">
        <w:r w:rsidRPr="00021382">
          <w:rPr>
            <w:rStyle w:val="Hyperlink"/>
          </w:rPr>
          <w:t>www.gov.uk/guidance/equality-act-2010-guidance</w:t>
        </w:r>
      </w:hyperlink>
    </w:p>
    <w:p w14:paraId="7DB30400" w14:textId="6A67420E" w:rsidR="005A3BC7" w:rsidRPr="001D65EA" w:rsidRDefault="005A3BC7" w:rsidP="005A3BC7">
      <w:pPr>
        <w:pStyle w:val="Default"/>
        <w:spacing w:after="240" w:line="276" w:lineRule="auto"/>
        <w:rPr>
          <w:rFonts w:eastAsiaTheme="majorEastAsia" w:cstheme="majorBidi"/>
          <w:b/>
          <w:bCs/>
          <w:color w:val="A80000"/>
          <w:sz w:val="32"/>
          <w:szCs w:val="26"/>
        </w:rPr>
      </w:pPr>
      <w:r w:rsidRPr="001D65EA">
        <w:rPr>
          <w:rFonts w:eastAsiaTheme="majorEastAsia" w:cstheme="majorBidi"/>
          <w:b/>
          <w:bCs/>
          <w:color w:val="A80000"/>
          <w:sz w:val="32"/>
          <w:szCs w:val="26"/>
        </w:rPr>
        <w:t>Estates and Sustainability </w:t>
      </w:r>
    </w:p>
    <w:p w14:paraId="57AD5FE5" w14:textId="774F6F5D" w:rsidR="005A3BC7" w:rsidRPr="001D65EA" w:rsidRDefault="005A3BC7" w:rsidP="005A3BC7">
      <w:pPr>
        <w:pStyle w:val="Default"/>
        <w:numPr>
          <w:ilvl w:val="0"/>
          <w:numId w:val="38"/>
        </w:numPr>
        <w:spacing w:after="240" w:line="276" w:lineRule="auto"/>
      </w:pPr>
      <w:r w:rsidRPr="001D65EA">
        <w:t>Greening Government Commitments</w:t>
      </w:r>
      <w:r>
        <w:t xml:space="preserve">: </w:t>
      </w:r>
      <w:hyperlink w:history="1">
        <w:r w:rsidRPr="00021382">
          <w:rPr>
            <w:rStyle w:val="Hyperlink"/>
          </w:rPr>
          <w:t>Greening Government Commitments 2021 to 2025 - GOV.UK (www.gov.uk)</w:t>
        </w:r>
      </w:hyperlink>
    </w:p>
    <w:p w14:paraId="3144C39C" w14:textId="77777777" w:rsidR="005A3BC7" w:rsidRPr="001D65EA" w:rsidRDefault="005A3BC7" w:rsidP="005A3BC7">
      <w:pPr>
        <w:pStyle w:val="Default"/>
        <w:numPr>
          <w:ilvl w:val="0"/>
          <w:numId w:val="38"/>
        </w:numPr>
        <w:spacing w:after="240" w:line="276" w:lineRule="auto"/>
      </w:pPr>
      <w:r w:rsidRPr="001D65EA">
        <w:t>Office of Government Property Controls and standards for office accommodation (available from DHSC) </w:t>
      </w:r>
    </w:p>
    <w:p w14:paraId="36111555" w14:textId="77777777" w:rsidR="005A3BC7" w:rsidRPr="001D65EA" w:rsidRDefault="005A3BC7" w:rsidP="005A3BC7">
      <w:pPr>
        <w:pStyle w:val="Default"/>
        <w:numPr>
          <w:ilvl w:val="0"/>
          <w:numId w:val="38"/>
        </w:numPr>
        <w:spacing w:after="240" w:line="276" w:lineRule="auto"/>
      </w:pPr>
      <w:r w:rsidRPr="001D65EA">
        <w:t>The Department of Health &amp; Social Care Property Asset Management procedures (available from DHSC) </w:t>
      </w:r>
    </w:p>
    <w:p w14:paraId="486C39AA" w14:textId="77777777" w:rsidR="005A3BC7" w:rsidRPr="005A3BC7" w:rsidRDefault="005A3BC7" w:rsidP="005A3BC7">
      <w:pPr>
        <w:pStyle w:val="Default"/>
        <w:spacing w:after="240" w:line="276" w:lineRule="auto"/>
        <w:rPr>
          <w:rFonts w:eastAsiaTheme="majorEastAsia" w:cstheme="majorBidi"/>
          <w:b/>
          <w:bCs/>
          <w:color w:val="A80000"/>
          <w:sz w:val="32"/>
          <w:szCs w:val="26"/>
        </w:rPr>
      </w:pPr>
      <w:r w:rsidRPr="005A3BC7">
        <w:rPr>
          <w:rFonts w:eastAsiaTheme="majorEastAsia" w:cstheme="majorBidi"/>
          <w:b/>
          <w:bCs/>
          <w:color w:val="A80000"/>
          <w:sz w:val="32"/>
          <w:szCs w:val="26"/>
        </w:rPr>
        <w:t>Information Governance and Security </w:t>
      </w:r>
    </w:p>
    <w:p w14:paraId="7AED1C26" w14:textId="6FEF6C6E" w:rsidR="005A3BC7" w:rsidRPr="005A3BC7" w:rsidRDefault="005A3BC7" w:rsidP="005A3BC7">
      <w:pPr>
        <w:pStyle w:val="Default"/>
        <w:numPr>
          <w:ilvl w:val="0"/>
          <w:numId w:val="38"/>
        </w:numPr>
        <w:spacing w:after="240" w:line="276" w:lineRule="auto"/>
      </w:pPr>
      <w:r w:rsidRPr="005A3BC7">
        <w:t xml:space="preserve">All documents relating to </w:t>
      </w:r>
      <w:hyperlink r:id="rId51" w:tgtFrame="_blank" w:history="1">
        <w:r w:rsidRPr="005A3BC7">
          <w:t>Government security</w:t>
        </w:r>
      </w:hyperlink>
      <w:r w:rsidR="001C3135">
        <w:t xml:space="preserve">: </w:t>
      </w:r>
      <w:hyperlink r:id="rId52" w:history="1">
        <w:r w:rsidR="001C3135">
          <w:rPr>
            <w:rStyle w:val="Hyperlink"/>
          </w:rPr>
          <w:t>Government security - GOV.UK (www.gov.uk)</w:t>
        </w:r>
      </w:hyperlink>
    </w:p>
    <w:p w14:paraId="755DE57F" w14:textId="77777777" w:rsidR="005A3BC7" w:rsidRPr="005A3BC7" w:rsidRDefault="005A3BC7" w:rsidP="005A3BC7">
      <w:pPr>
        <w:pStyle w:val="Default"/>
        <w:numPr>
          <w:ilvl w:val="0"/>
          <w:numId w:val="38"/>
        </w:numPr>
        <w:spacing w:after="240" w:line="276" w:lineRule="auto"/>
      </w:pPr>
      <w:r w:rsidRPr="005A3BC7">
        <w:t>HMG IA Standard No. 6: Protecting Personal Data and Managing Information Risk (available from DHSC) </w:t>
      </w:r>
    </w:p>
    <w:p w14:paraId="0A719376" w14:textId="45E6075D" w:rsidR="005A3BC7" w:rsidRPr="005A3BC7" w:rsidRDefault="005A3BC7" w:rsidP="005A3BC7">
      <w:pPr>
        <w:pStyle w:val="Default"/>
        <w:numPr>
          <w:ilvl w:val="0"/>
          <w:numId w:val="38"/>
        </w:numPr>
        <w:spacing w:after="240" w:line="276" w:lineRule="auto"/>
      </w:pPr>
      <w:r w:rsidRPr="005A3BC7">
        <w:t xml:space="preserve">Confidentiality: </w:t>
      </w:r>
      <w:hyperlink r:id="rId53" w:tgtFrame="_blank" w:history="1">
        <w:r w:rsidRPr="005A3BC7">
          <w:t>NHS Code of Practice</w:t>
        </w:r>
      </w:hyperlink>
      <w:r w:rsidR="001A0C12">
        <w:t xml:space="preserve">: </w:t>
      </w:r>
      <w:hyperlink r:id="rId54" w:history="1">
        <w:r w:rsidR="001A0C12">
          <w:rPr>
            <w:rStyle w:val="Hyperlink"/>
          </w:rPr>
          <w:t>Confidentiality: NHS Code of Practice - GOV.UK (www.gov.uk)</w:t>
        </w:r>
      </w:hyperlink>
    </w:p>
    <w:p w14:paraId="4232BFAD" w14:textId="50683989" w:rsidR="005A3BC7" w:rsidRPr="005A3BC7" w:rsidRDefault="005A3BC7" w:rsidP="005A3BC7">
      <w:pPr>
        <w:pStyle w:val="Default"/>
        <w:numPr>
          <w:ilvl w:val="0"/>
          <w:numId w:val="38"/>
        </w:numPr>
        <w:spacing w:after="240" w:line="276" w:lineRule="auto"/>
      </w:pPr>
      <w:r w:rsidRPr="005A3BC7">
        <w:t>Records Management</w:t>
      </w:r>
      <w:r w:rsidR="00CC6259">
        <w:t>:</w:t>
      </w:r>
      <w:r w:rsidRPr="005A3BC7">
        <w:t xml:space="preserve"> </w:t>
      </w:r>
      <w:hyperlink r:id="rId55" w:anchor=":~:text=The%20Records%20Management%20Code%20of%20Practice%20provides%20a,provision%20has%20an%20element%20of%20NHS%20funded%20care." w:tgtFrame="_blank" w:history="1">
        <w:r w:rsidRPr="005A3BC7">
          <w:t xml:space="preserve">Code of </w:t>
        </w:r>
        <w:r w:rsidR="00CC6259">
          <w:t>p</w:t>
        </w:r>
        <w:r w:rsidRPr="005A3BC7">
          <w:t>ractice</w:t>
        </w:r>
      </w:hyperlink>
      <w:r w:rsidRPr="005A3BC7">
        <w:t> </w:t>
      </w:r>
      <w:r w:rsidR="00CC6259">
        <w:t>for health and social care</w:t>
      </w:r>
      <w:r w:rsidR="006A2E94">
        <w:t xml:space="preserve">: </w:t>
      </w:r>
      <w:hyperlink r:id="rId56" w:history="1">
        <w:r w:rsidR="006A2E94">
          <w:rPr>
            <w:rStyle w:val="Hyperlink"/>
          </w:rPr>
          <w:t>Records management: code of practice for health and social care - GOV.UK (www.gov.uk)</w:t>
        </w:r>
      </w:hyperlink>
    </w:p>
    <w:p w14:paraId="2FF03753" w14:textId="37D15549" w:rsidR="005A3BC7" w:rsidRPr="005A3BC7" w:rsidRDefault="005A3BC7" w:rsidP="005A3BC7">
      <w:pPr>
        <w:pStyle w:val="Default"/>
        <w:numPr>
          <w:ilvl w:val="0"/>
          <w:numId w:val="38"/>
        </w:numPr>
        <w:spacing w:after="240" w:line="276" w:lineRule="auto"/>
      </w:pPr>
      <w:r w:rsidRPr="005A3BC7">
        <w:t xml:space="preserve">Data Security and </w:t>
      </w:r>
      <w:r w:rsidR="006A2E94">
        <w:t xml:space="preserve">Protection </w:t>
      </w:r>
      <w:hyperlink r:id="rId57" w:tgtFrame="_blank" w:history="1">
        <w:r w:rsidRPr="005A3BC7">
          <w:t>Toolkit</w:t>
        </w:r>
      </w:hyperlink>
      <w:r w:rsidR="006A2E94">
        <w:t xml:space="preserve">: </w:t>
      </w:r>
      <w:hyperlink r:id="rId58" w:history="1">
        <w:r w:rsidR="00E54336">
          <w:rPr>
            <w:rStyle w:val="Hyperlink"/>
          </w:rPr>
          <w:t>Data Security and Protection Toolkit (dsptoolkit.nhs.uk)</w:t>
        </w:r>
      </w:hyperlink>
    </w:p>
    <w:p w14:paraId="370A8C75" w14:textId="77777777" w:rsidR="00C77117" w:rsidRDefault="00C77117" w:rsidP="0011402F">
      <w:pPr>
        <w:pStyle w:val="Default"/>
        <w:spacing w:after="240" w:line="276" w:lineRule="auto"/>
        <w:rPr>
          <w:rFonts w:eastAsiaTheme="majorEastAsia" w:cstheme="majorBidi"/>
          <w:b/>
          <w:bCs/>
          <w:color w:val="A80000"/>
          <w:sz w:val="32"/>
          <w:szCs w:val="26"/>
        </w:rPr>
      </w:pPr>
    </w:p>
    <w:p w14:paraId="5B589CF9" w14:textId="6D2B73E8" w:rsidR="0011402F" w:rsidRPr="0011402F" w:rsidRDefault="0011402F" w:rsidP="0011402F">
      <w:pPr>
        <w:pStyle w:val="Default"/>
        <w:spacing w:after="240" w:line="276" w:lineRule="auto"/>
        <w:rPr>
          <w:rFonts w:eastAsiaTheme="majorEastAsia" w:cstheme="majorBidi"/>
          <w:b/>
          <w:bCs/>
          <w:color w:val="A80000"/>
          <w:sz w:val="32"/>
          <w:szCs w:val="26"/>
        </w:rPr>
      </w:pPr>
      <w:r w:rsidRPr="0011402F">
        <w:rPr>
          <w:rFonts w:eastAsiaTheme="majorEastAsia" w:cstheme="majorBidi"/>
          <w:b/>
          <w:bCs/>
          <w:color w:val="A80000"/>
          <w:sz w:val="32"/>
          <w:szCs w:val="26"/>
        </w:rPr>
        <w:t>General</w:t>
      </w:r>
    </w:p>
    <w:p w14:paraId="7AF1FDBD" w14:textId="4C6EA724" w:rsidR="0011402F" w:rsidRDefault="0011402F" w:rsidP="001D4F2B">
      <w:pPr>
        <w:pStyle w:val="Default"/>
        <w:numPr>
          <w:ilvl w:val="0"/>
          <w:numId w:val="38"/>
        </w:numPr>
        <w:spacing w:after="240" w:line="276" w:lineRule="auto"/>
      </w:pPr>
      <w:r>
        <w:t>Freedom of Information Act guidance and instructions</w:t>
      </w:r>
      <w:r w:rsidR="00E32B95">
        <w:t>, as relevant</w:t>
      </w:r>
      <w:r>
        <w:t>:</w:t>
      </w:r>
      <w:r w:rsidR="001D4F2B">
        <w:t xml:space="preserve"> </w:t>
      </w:r>
      <w:hyperlink r:id="rId59" w:history="1">
        <w:r w:rsidR="001D4F2B" w:rsidRPr="00021382">
          <w:rPr>
            <w:rStyle w:val="Hyperlink"/>
          </w:rPr>
          <w:t>www.legislation.gov.uk/ukpga/2000/36/contents</w:t>
        </w:r>
      </w:hyperlink>
      <w:r w:rsidR="001D4F2B">
        <w:t xml:space="preserve"> </w:t>
      </w:r>
      <w:r w:rsidR="00E32B95">
        <w:t xml:space="preserve">, </w:t>
      </w:r>
      <w:hyperlink r:id="rId60" w:history="1">
        <w:r w:rsidR="00752EA0">
          <w:rPr>
            <w:rStyle w:val="Hyperlink"/>
          </w:rPr>
          <w:t>Guide to freedom of information | ICO</w:t>
        </w:r>
      </w:hyperlink>
      <w:r w:rsidR="00E32B95">
        <w:t xml:space="preserve"> and </w:t>
      </w:r>
      <w:hyperlink r:id="rId61" w:history="1">
        <w:r w:rsidR="00E32B95">
          <w:rPr>
            <w:rStyle w:val="Hyperlink"/>
          </w:rPr>
          <w:t>Freedom of Information Code of Practice - GOV.UK (www.gov.uk)</w:t>
        </w:r>
      </w:hyperlink>
    </w:p>
    <w:p w14:paraId="5BBDAA27" w14:textId="77777777" w:rsidR="00D65AE9" w:rsidRPr="00D65AE9" w:rsidRDefault="00D65AE9" w:rsidP="001D4F2B">
      <w:pPr>
        <w:pStyle w:val="Default"/>
        <w:numPr>
          <w:ilvl w:val="0"/>
          <w:numId w:val="38"/>
        </w:numPr>
        <w:spacing w:after="240" w:line="276" w:lineRule="auto"/>
        <w:rPr>
          <w:rStyle w:val="normaltextrun"/>
        </w:rPr>
      </w:pPr>
      <w:r w:rsidRPr="007572B0">
        <w:rPr>
          <w:rStyle w:val="normaltextrun"/>
          <w:color w:val="232323"/>
        </w:rPr>
        <w:t xml:space="preserve">Guidance on the keeping, management and destruction of records </w:t>
      </w:r>
      <w:hyperlink r:id="rId62" w:history="1">
        <w:r w:rsidRPr="00021382">
          <w:rPr>
            <w:rStyle w:val="Hyperlink"/>
          </w:rPr>
          <w:t>https://www.gov.uk/government/publications/code-of-practice-on-the-management-of-records-issued-under-section-46-the-freedom-of-information-act-2000</w:t>
        </w:r>
      </w:hyperlink>
      <w:r>
        <w:rPr>
          <w:rStyle w:val="normaltextrun"/>
          <w:color w:val="232323"/>
        </w:rPr>
        <w:t xml:space="preserve"> </w:t>
      </w:r>
    </w:p>
    <w:p w14:paraId="0B5C7F1C" w14:textId="26B3D34B" w:rsidR="0011402F" w:rsidRDefault="0011402F" w:rsidP="001D4F2B">
      <w:pPr>
        <w:pStyle w:val="Default"/>
        <w:numPr>
          <w:ilvl w:val="0"/>
          <w:numId w:val="38"/>
        </w:numPr>
        <w:spacing w:after="240" w:line="276" w:lineRule="auto"/>
      </w:pPr>
      <w:r>
        <w:t>The Parliamentary and Health Service Ombudsman’s Principles of Good</w:t>
      </w:r>
      <w:r w:rsidR="001D4F2B">
        <w:t xml:space="preserve"> </w:t>
      </w:r>
      <w:r>
        <w:t xml:space="preserve">Administration: </w:t>
      </w:r>
      <w:hyperlink r:id="rId63" w:history="1">
        <w:r w:rsidR="001D4F2B" w:rsidRPr="00021382">
          <w:rPr>
            <w:rStyle w:val="Hyperlink"/>
          </w:rPr>
          <w:t>https://www.ombudsman.org.uk/about-us/our-principles</w:t>
        </w:r>
      </w:hyperlink>
    </w:p>
    <w:p w14:paraId="6792C685" w14:textId="1BF1606D" w:rsidR="0011402F" w:rsidRDefault="0011402F" w:rsidP="001D4F2B">
      <w:pPr>
        <w:pStyle w:val="Default"/>
        <w:numPr>
          <w:ilvl w:val="0"/>
          <w:numId w:val="38"/>
        </w:numPr>
        <w:spacing w:after="240" w:line="276" w:lineRule="auto"/>
      </w:pPr>
      <w:r>
        <w:t>Other relevant instructions and guidance issued by the central Departments</w:t>
      </w:r>
      <w:r w:rsidR="001D4F2B">
        <w:t xml:space="preserve"> </w:t>
      </w:r>
      <w:r>
        <w:t>(Cabinet Office and HM Treasury)</w:t>
      </w:r>
    </w:p>
    <w:p w14:paraId="4C7FF752" w14:textId="3CB2F677" w:rsidR="0011402F" w:rsidRDefault="0011402F" w:rsidP="001D4F2B">
      <w:pPr>
        <w:pStyle w:val="Default"/>
        <w:numPr>
          <w:ilvl w:val="0"/>
          <w:numId w:val="38"/>
        </w:numPr>
        <w:spacing w:after="240" w:line="276" w:lineRule="auto"/>
      </w:pPr>
      <w:r>
        <w:t>Recommendations made by the Public Accounts Committee, or by other</w:t>
      </w:r>
      <w:r w:rsidR="001D4F2B">
        <w:t xml:space="preserve"> </w:t>
      </w:r>
      <w:r>
        <w:t>Parliamentary authority, that have been accepted by the Government and are</w:t>
      </w:r>
      <w:r w:rsidR="001D4F2B">
        <w:t xml:space="preserve"> </w:t>
      </w:r>
      <w:r>
        <w:t xml:space="preserve">relevant to </w:t>
      </w:r>
      <w:r w:rsidR="001D4F2B">
        <w:t>the Agency</w:t>
      </w:r>
    </w:p>
    <w:p w14:paraId="7FD9C8D7" w14:textId="36A54CEF" w:rsidR="0011402F" w:rsidRDefault="0011402F" w:rsidP="001D4F2B">
      <w:pPr>
        <w:pStyle w:val="Default"/>
        <w:numPr>
          <w:ilvl w:val="0"/>
          <w:numId w:val="38"/>
        </w:numPr>
        <w:spacing w:after="240" w:line="276" w:lineRule="auto"/>
      </w:pPr>
      <w:r>
        <w:t>Guidance from the Public Bodies team in Cabinet Office:</w:t>
      </w:r>
      <w:r w:rsidR="001D4F2B">
        <w:t xml:space="preserve"> </w:t>
      </w:r>
      <w:hyperlink r:id="rId64" w:history="1">
        <w:r w:rsidR="001D4F2B" w:rsidRPr="00021382">
          <w:rPr>
            <w:rStyle w:val="Hyperlink"/>
          </w:rPr>
          <w:t>www.gov.uk/government/publications/public-bodies-information-and-guidance</w:t>
        </w:r>
      </w:hyperlink>
    </w:p>
    <w:p w14:paraId="1AB783EF" w14:textId="77777777" w:rsidR="00CF3AE5" w:rsidRDefault="0011402F" w:rsidP="006F12E8">
      <w:pPr>
        <w:pStyle w:val="Default"/>
        <w:numPr>
          <w:ilvl w:val="0"/>
          <w:numId w:val="38"/>
        </w:numPr>
        <w:spacing w:after="240" w:line="276" w:lineRule="auto"/>
      </w:pPr>
      <w:r>
        <w:t>The Civil Service diversity and inclusion strategy (outlines the ambition, to which</w:t>
      </w:r>
      <w:r w:rsidR="001D4F2B">
        <w:t xml:space="preserve"> </w:t>
      </w:r>
      <w:r>
        <w:t>Arm’s Length Bodies can contribute):</w:t>
      </w:r>
      <w:r w:rsidR="001D4F2B">
        <w:t xml:space="preserve"> </w:t>
      </w:r>
      <w:hyperlink r:id="rId65" w:history="1">
        <w:r w:rsidR="00CF3AE5">
          <w:rPr>
            <w:rStyle w:val="Hyperlink"/>
          </w:rPr>
          <w:t>Civil Service Diversity and Inclusion Strategy: 2022 to 2025 - GOV.UK (www.gov.uk)</w:t>
        </w:r>
      </w:hyperlink>
    </w:p>
    <w:p w14:paraId="582DF949" w14:textId="63AA637C" w:rsidR="001D4F2B" w:rsidRDefault="0011402F" w:rsidP="006F12E8">
      <w:pPr>
        <w:pStyle w:val="Default"/>
        <w:numPr>
          <w:ilvl w:val="0"/>
          <w:numId w:val="38"/>
        </w:numPr>
        <w:spacing w:after="240" w:line="276" w:lineRule="auto"/>
      </w:pPr>
      <w:r>
        <w:t>Guidance produced by the Infrastructure and Projects Authority (IPA) on</w:t>
      </w:r>
      <w:r w:rsidR="001D4F2B">
        <w:t xml:space="preserve"> </w:t>
      </w:r>
      <w:r>
        <w:t>management of major projects:</w:t>
      </w:r>
      <w:r w:rsidR="001D4F2B">
        <w:t xml:space="preserve"> </w:t>
      </w:r>
      <w:hyperlink r:id="rId66" w:history="1">
        <w:r w:rsidR="001D4F2B" w:rsidRPr="00021382">
          <w:rPr>
            <w:rStyle w:val="Hyperlink"/>
          </w:rPr>
          <w:t>www.gov.uk/government/organisations/infrastructure-and-projects-authority</w:t>
        </w:r>
      </w:hyperlink>
    </w:p>
    <w:p w14:paraId="5E6697F6" w14:textId="5E2C9FDA" w:rsidR="0011402F" w:rsidRDefault="0011402F" w:rsidP="001D4F2B">
      <w:pPr>
        <w:pStyle w:val="Default"/>
        <w:numPr>
          <w:ilvl w:val="0"/>
          <w:numId w:val="38"/>
        </w:numPr>
        <w:spacing w:after="240" w:line="276" w:lineRule="auto"/>
      </w:pPr>
      <w:r>
        <w:t>The Government Digital Service:</w:t>
      </w:r>
      <w:r w:rsidR="001D4F2B">
        <w:t xml:space="preserve"> </w:t>
      </w:r>
      <w:hyperlink r:id="rId67" w:history="1">
        <w:r w:rsidR="001D4F2B" w:rsidRPr="00021382">
          <w:rPr>
            <w:rStyle w:val="Hyperlink"/>
          </w:rPr>
          <w:t>www.gov.uk/government/organisations/government-digital-service</w:t>
        </w:r>
      </w:hyperlink>
    </w:p>
    <w:p w14:paraId="43CA3AA5" w14:textId="491D49B0" w:rsidR="0011402F" w:rsidRDefault="0011402F" w:rsidP="001D4F2B">
      <w:pPr>
        <w:pStyle w:val="Default"/>
        <w:numPr>
          <w:ilvl w:val="0"/>
          <w:numId w:val="38"/>
        </w:numPr>
        <w:spacing w:after="240" w:line="276" w:lineRule="auto"/>
      </w:pPr>
      <w:r>
        <w:t>The Government Fraud, Error, Debt and Grant Efficiency function</w:t>
      </w:r>
      <w:r w:rsidR="001D4F2B">
        <w:t xml:space="preserve">: </w:t>
      </w:r>
      <w:hyperlink r:id="rId68" w:history="1">
        <w:r w:rsidR="001D4F2B" w:rsidRPr="00021382">
          <w:rPr>
            <w:rStyle w:val="Hyperlink"/>
          </w:rPr>
          <w:t>www.gov.uk/government/collections/fraud-error-debt-and-grants-function</w:t>
        </w:r>
      </w:hyperlink>
      <w:r w:rsidR="001D4F2B">
        <w:t xml:space="preserve"> </w:t>
      </w:r>
      <w:r>
        <w:t>and</w:t>
      </w:r>
      <w:r w:rsidR="001D4F2B">
        <w:t xml:space="preserve"> </w:t>
      </w:r>
      <w:hyperlink r:id="rId69" w:history="1">
        <w:r w:rsidR="001D4F2B" w:rsidRPr="00021382">
          <w:rPr>
            <w:rStyle w:val="Hyperlink"/>
          </w:rPr>
          <w:t>www.gov.uk/government/publications/grants-standards</w:t>
        </w:r>
      </w:hyperlink>
    </w:p>
    <w:p w14:paraId="0A30E371" w14:textId="2473B7B2" w:rsidR="0011402F" w:rsidRDefault="0011402F" w:rsidP="001D4F2B">
      <w:pPr>
        <w:pStyle w:val="Default"/>
        <w:numPr>
          <w:ilvl w:val="0"/>
          <w:numId w:val="38"/>
        </w:numPr>
        <w:spacing w:after="240" w:line="276" w:lineRule="auto"/>
      </w:pPr>
      <w:r>
        <w:t>Code of Practice for Official Statistics:</w:t>
      </w:r>
      <w:r w:rsidR="001D4F2B">
        <w:t xml:space="preserve"> </w:t>
      </w:r>
      <w:hyperlink r:id="rId70" w:anchor=":~:text=The%20Code%20of%20Practice%20for%20Statistics%20sets%20the,produced%20by%20people%20and%20organisations%20that%20are%20trustworthy" w:history="1">
        <w:r w:rsidR="00D07D58">
          <w:rPr>
            <w:rStyle w:val="Hyperlink"/>
          </w:rPr>
          <w:t>Code of Practice for Statistics (statisticsauthority.gov.uk)</w:t>
        </w:r>
      </w:hyperlink>
    </w:p>
    <w:p w14:paraId="22E2D0BB" w14:textId="41B47B57" w:rsidR="00036A47" w:rsidRDefault="0011402F" w:rsidP="001D4F2B">
      <w:pPr>
        <w:pStyle w:val="Default"/>
        <w:numPr>
          <w:ilvl w:val="0"/>
          <w:numId w:val="38"/>
        </w:numPr>
        <w:spacing w:after="240" w:line="276" w:lineRule="auto"/>
      </w:pPr>
      <w:r>
        <w:t>Accounting Officer System Statements (AOSS are produced by departments with</w:t>
      </w:r>
      <w:r w:rsidR="001D4F2B">
        <w:t xml:space="preserve"> </w:t>
      </w:r>
      <w:r>
        <w:t xml:space="preserve">input from ALBs): </w:t>
      </w:r>
      <w:hyperlink r:id="rId71" w:history="1">
        <w:r w:rsidR="00D07D58">
          <w:rPr>
            <w:rStyle w:val="Hyperlink"/>
          </w:rPr>
          <w:t>Accounting officer system statements - GOV.UK (www.gov.uk)</w:t>
        </w:r>
      </w:hyperlink>
    </w:p>
    <w:p w14:paraId="76B24BB3" w14:textId="310F0D49" w:rsidR="0011402F" w:rsidRDefault="0011402F" w:rsidP="0011402F">
      <w:pPr>
        <w:pStyle w:val="Default"/>
        <w:spacing w:after="240" w:line="276" w:lineRule="auto"/>
      </w:pPr>
    </w:p>
    <w:sectPr w:rsidR="0011402F" w:rsidSect="00DD1D0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EEF8" w14:textId="77777777" w:rsidR="009D77CF" w:rsidRDefault="009D77CF" w:rsidP="007E0A60">
      <w:r>
        <w:separator/>
      </w:r>
    </w:p>
  </w:endnote>
  <w:endnote w:type="continuationSeparator" w:id="0">
    <w:p w14:paraId="131B19EB" w14:textId="77777777" w:rsidR="009D77CF" w:rsidRDefault="009D77CF" w:rsidP="007E0A60">
      <w:r>
        <w:continuationSeparator/>
      </w:r>
    </w:p>
  </w:endnote>
  <w:endnote w:type="continuationNotice" w:id="1">
    <w:p w14:paraId="4142271D" w14:textId="77777777" w:rsidR="009D77CF" w:rsidRDefault="009D7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8B5A" w14:textId="77777777" w:rsidR="00B64BF4" w:rsidRDefault="00B64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315576"/>
      <w:docPartObj>
        <w:docPartGallery w:val="Page Numbers (Bottom of Page)"/>
        <w:docPartUnique/>
      </w:docPartObj>
    </w:sdtPr>
    <w:sdtEndPr>
      <w:rPr>
        <w:noProof/>
      </w:rPr>
    </w:sdtEndPr>
    <w:sdtContent>
      <w:p w14:paraId="5C7C3137" w14:textId="4CF61421" w:rsidR="00473B4D" w:rsidRDefault="00473B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E31DE6" w14:textId="77777777" w:rsidR="006F12E8" w:rsidRDefault="006F1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1DE0" w14:textId="77777777" w:rsidR="00B64BF4" w:rsidRDefault="00B6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1314" w14:textId="77777777" w:rsidR="009D77CF" w:rsidRDefault="009D77CF" w:rsidP="007E0A60">
      <w:r>
        <w:separator/>
      </w:r>
    </w:p>
  </w:footnote>
  <w:footnote w:type="continuationSeparator" w:id="0">
    <w:p w14:paraId="5413C6DD" w14:textId="77777777" w:rsidR="009D77CF" w:rsidRDefault="009D77CF" w:rsidP="007E0A60">
      <w:r>
        <w:continuationSeparator/>
      </w:r>
    </w:p>
  </w:footnote>
  <w:footnote w:type="continuationNotice" w:id="1">
    <w:p w14:paraId="28179F75" w14:textId="77777777" w:rsidR="009D77CF" w:rsidRDefault="009D77CF"/>
  </w:footnote>
  <w:footnote w:id="2">
    <w:p w14:paraId="4461DE7F" w14:textId="7F6F15AF" w:rsidR="001F2AC8" w:rsidRDefault="001F2AC8">
      <w:pPr>
        <w:pStyle w:val="FootnoteText"/>
      </w:pPr>
      <w:r>
        <w:rPr>
          <w:rStyle w:val="FootnoteReference"/>
        </w:rPr>
        <w:footnoteRef/>
      </w:r>
      <w:r>
        <w:t xml:space="preserve"> </w:t>
      </w:r>
      <w:hyperlink r:id="rId1" w:history="1">
        <w:r w:rsidR="002D0E52" w:rsidRPr="002E60E6">
          <w:rPr>
            <w:rStyle w:val="Hyperlink"/>
          </w:rPr>
          <w:t>https://immdsreview.org.uk/</w:t>
        </w:r>
      </w:hyperlink>
      <w:r w:rsidR="002D0E52">
        <w:t xml:space="preserve"> </w:t>
      </w:r>
    </w:p>
  </w:footnote>
  <w:footnote w:id="3">
    <w:p w14:paraId="74A42BC6" w14:textId="7BFA68F7" w:rsidR="001F2AC8" w:rsidRDefault="001F2AC8">
      <w:pPr>
        <w:pStyle w:val="FootnoteText"/>
      </w:pPr>
      <w:r>
        <w:rPr>
          <w:rStyle w:val="FootnoteReference"/>
        </w:rPr>
        <w:footnoteRef/>
      </w:r>
      <w:r>
        <w:t xml:space="preserve"> </w:t>
      </w:r>
      <w:hyperlink r:id="rId2" w:history="1">
        <w:r w:rsidR="002D0E52" w:rsidRPr="002E60E6">
          <w:rPr>
            <w:rStyle w:val="Hyperlink"/>
          </w:rPr>
          <w:t>https://www.gov.uk/government/publications/independent-medicines-and-medical-devices-safety-review-government-response</w:t>
        </w:r>
      </w:hyperlink>
      <w:r w:rsidR="002D0E52">
        <w:t xml:space="preserve"> </w:t>
      </w:r>
    </w:p>
  </w:footnote>
  <w:footnote w:id="4">
    <w:p w14:paraId="19F15D05" w14:textId="451B0914" w:rsidR="00E15250" w:rsidRDefault="00E15250">
      <w:pPr>
        <w:pStyle w:val="FootnoteText"/>
      </w:pPr>
      <w:r>
        <w:rPr>
          <w:rStyle w:val="FootnoteReference"/>
        </w:rPr>
        <w:footnoteRef/>
      </w:r>
      <w:r>
        <w:t xml:space="preserve"> </w:t>
      </w:r>
      <w:hyperlink r:id="rId3" w:history="1">
        <w:r>
          <w:rPr>
            <w:rStyle w:val="Hyperlink"/>
          </w:rPr>
          <w:t>https://www.gov.uk/government/publications/partnerships-with-arms-length-bodies-code-of-good-practice</w:t>
        </w:r>
      </w:hyperlink>
    </w:p>
  </w:footnote>
  <w:footnote w:id="5">
    <w:p w14:paraId="05CADEEA" w14:textId="5B1910DE" w:rsidR="00554B20" w:rsidRDefault="00554B20">
      <w:pPr>
        <w:pStyle w:val="FootnoteText"/>
      </w:pPr>
      <w:r>
        <w:rPr>
          <w:rStyle w:val="FootnoteReference"/>
        </w:rPr>
        <w:footnoteRef/>
      </w:r>
      <w:r>
        <w:t xml:space="preserve"> </w:t>
      </w:r>
      <w:hyperlink r:id="rId4" w:history="1">
        <w:r w:rsidR="002D0E52" w:rsidRPr="002E60E6">
          <w:rPr>
            <w:rStyle w:val="Hyperlink"/>
          </w:rPr>
          <w:t>https://www.gov.uk/government/publications/corporate-governance-code-for-central-government-departments-2017</w:t>
        </w:r>
      </w:hyperlink>
      <w:r w:rsidR="002D0E52">
        <w:t xml:space="preserve"> </w:t>
      </w:r>
    </w:p>
  </w:footnote>
  <w:footnote w:id="6">
    <w:p w14:paraId="0E85CD68" w14:textId="29407A12" w:rsidR="009D3DC0" w:rsidRDefault="009D3DC0">
      <w:pPr>
        <w:pStyle w:val="FootnoteText"/>
      </w:pPr>
      <w:r>
        <w:rPr>
          <w:rStyle w:val="FootnoteReference"/>
        </w:rPr>
        <w:footnoteRef/>
      </w:r>
      <w:r>
        <w:t xml:space="preserve"> </w:t>
      </w:r>
      <w:hyperlink r:id="rId5" w:history="1">
        <w:r w:rsidR="002D0E52" w:rsidRPr="002E60E6">
          <w:rPr>
            <w:rStyle w:val="Hyperlink"/>
          </w:rPr>
          <w:t>https://www.gov.uk/government/publications/managing-public-money</w:t>
        </w:r>
      </w:hyperlink>
      <w:r w:rsidR="002D0E52">
        <w:t xml:space="preserve"> </w:t>
      </w:r>
    </w:p>
  </w:footnote>
  <w:footnote w:id="7">
    <w:p w14:paraId="1F00A4B7" w14:textId="4876C11E" w:rsidR="006F12E8" w:rsidRDefault="006F12E8">
      <w:pPr>
        <w:pStyle w:val="FootnoteText"/>
      </w:pPr>
      <w:r>
        <w:rPr>
          <w:rStyle w:val="FootnoteReference"/>
        </w:rPr>
        <w:footnoteRef/>
      </w:r>
      <w:r>
        <w:t xml:space="preserve"> </w:t>
      </w:r>
      <w:hyperlink r:id="rId6" w:history="1">
        <w:r w:rsidR="002D0E52" w:rsidRPr="002E60E6">
          <w:rPr>
            <w:rStyle w:val="Hyperlink"/>
          </w:rPr>
          <w:t>https://www.gov.uk/government/collections/functional-standards</w:t>
        </w:r>
      </w:hyperlink>
      <w:r w:rsidR="002D0E52">
        <w:t xml:space="preserve"> </w:t>
      </w:r>
    </w:p>
  </w:footnote>
  <w:footnote w:id="8">
    <w:p w14:paraId="779E5B0E" w14:textId="5D4F694E" w:rsidR="00CB5EA0" w:rsidRDefault="00CB5EA0">
      <w:pPr>
        <w:pStyle w:val="FootnoteText"/>
      </w:pPr>
      <w:r>
        <w:rPr>
          <w:rStyle w:val="FootnoteReference"/>
        </w:rPr>
        <w:footnoteRef/>
      </w:r>
      <w:r>
        <w:t xml:space="preserve"> </w:t>
      </w:r>
      <w:r w:rsidRPr="00CB5EA0">
        <w:t>1.</w:t>
      </w:r>
      <w:r w:rsidRPr="00CB5EA0">
        <w:tab/>
      </w:r>
      <w:hyperlink r:id="rId7" w:anchor="the-board" w:history="1">
        <w:r w:rsidR="002D0E52" w:rsidRPr="002E60E6">
          <w:rPr>
            <w:rStyle w:val="Hyperlink"/>
          </w:rPr>
          <w:t>https://www.gov.uk/government/organisations/medicines-and-healthcare-products-regulatory-agency/about/our-governance#the-board</w:t>
        </w:r>
      </w:hyperlink>
      <w:r w:rsidR="002D0E52">
        <w:t xml:space="preserve"> </w:t>
      </w:r>
    </w:p>
  </w:footnote>
  <w:footnote w:id="9">
    <w:p w14:paraId="511D3832" w14:textId="4C6847B0" w:rsidR="00632C4B" w:rsidRDefault="00632C4B">
      <w:pPr>
        <w:pStyle w:val="FootnoteText"/>
      </w:pPr>
      <w:r>
        <w:rPr>
          <w:rStyle w:val="FootnoteReference"/>
        </w:rPr>
        <w:footnoteRef/>
      </w:r>
      <w:r>
        <w:t xml:space="preserve"> </w:t>
      </w:r>
      <w:r w:rsidRPr="00632C4B">
        <w:t>https://www.gov.uk/government/publications/mhra-policy-for-handling-conflicts-of-interest</w:t>
      </w:r>
    </w:p>
  </w:footnote>
  <w:footnote w:id="10">
    <w:p w14:paraId="71D75F97" w14:textId="61EC8588" w:rsidR="006F12E8" w:rsidRDefault="006F12E8">
      <w:pPr>
        <w:pStyle w:val="FootnoteText"/>
      </w:pPr>
      <w:r>
        <w:rPr>
          <w:rStyle w:val="FootnoteReference"/>
        </w:rPr>
        <w:footnoteRef/>
      </w:r>
      <w:r>
        <w:t xml:space="preserve"> </w:t>
      </w:r>
      <w:hyperlink r:id="rId8" w:history="1">
        <w:r>
          <w:rPr>
            <w:rStyle w:val="Hyperlink"/>
          </w:rPr>
          <w:t>Government Functional Standard GovS 008: Commercial and Commercial Continuous Improvement Assessment Framework - GOV.UK (www.gov.uk)</w:t>
        </w:r>
      </w:hyperlink>
    </w:p>
  </w:footnote>
  <w:footnote w:id="11">
    <w:p w14:paraId="3E7D0217" w14:textId="0A815681" w:rsidR="006F12E8" w:rsidRDefault="006F12E8">
      <w:pPr>
        <w:pStyle w:val="FootnoteText"/>
      </w:pPr>
      <w:r>
        <w:rPr>
          <w:rStyle w:val="FootnoteReference"/>
        </w:rPr>
        <w:footnoteRef/>
      </w:r>
      <w:r>
        <w:t xml:space="preserve"> </w:t>
      </w:r>
      <w:hyperlink r:id="rId9" w:history="1">
        <w:r>
          <w:rPr>
            <w:rStyle w:val="Hyperlink"/>
          </w:rPr>
          <w:t>Government Functional Standard GovS 015: Grants - GOV.UK (www.gov.uk)</w:t>
        </w:r>
      </w:hyperlink>
    </w:p>
  </w:footnote>
  <w:footnote w:id="12">
    <w:p w14:paraId="67927AB6" w14:textId="759787DF" w:rsidR="006F12E8" w:rsidRDefault="006F12E8">
      <w:pPr>
        <w:pStyle w:val="FootnoteText"/>
      </w:pPr>
      <w:r>
        <w:rPr>
          <w:rStyle w:val="FootnoteReference"/>
        </w:rPr>
        <w:footnoteRef/>
      </w:r>
      <w:r>
        <w:t xml:space="preserve"> </w:t>
      </w:r>
      <w:hyperlink r:id="rId10" w:history="1">
        <w:r>
          <w:rPr>
            <w:rStyle w:val="Hyperlink"/>
          </w:rPr>
          <w:t>Orange Book - GOV.UK (www.gov.uk)</w:t>
        </w:r>
      </w:hyperlink>
    </w:p>
  </w:footnote>
  <w:footnote w:id="13">
    <w:p w14:paraId="33AF1D78" w14:textId="5D5EB30D" w:rsidR="006F12E8" w:rsidRDefault="006F12E8">
      <w:pPr>
        <w:pStyle w:val="FootnoteText"/>
      </w:pPr>
      <w:r>
        <w:rPr>
          <w:rStyle w:val="FootnoteReference"/>
        </w:rPr>
        <w:footnoteRef/>
      </w:r>
      <w:r>
        <w:t xml:space="preserve"> </w:t>
      </w:r>
      <w:hyperlink r:id="rId11" w:history="1">
        <w:r>
          <w:rPr>
            <w:rStyle w:val="Hyperlink"/>
          </w:rPr>
          <w:t>Government Functional Standard GovS 013: Counter Fraud - GOV.UK (www.gov.uk)</w:t>
        </w:r>
      </w:hyperlink>
    </w:p>
  </w:footnote>
  <w:footnote w:id="14">
    <w:p w14:paraId="65D1B93E" w14:textId="65078E37" w:rsidR="00AF6881" w:rsidRDefault="00AF6881">
      <w:pPr>
        <w:pStyle w:val="FootnoteText"/>
      </w:pPr>
      <w:r>
        <w:rPr>
          <w:rStyle w:val="FootnoteReference"/>
        </w:rPr>
        <w:footnoteRef/>
      </w:r>
      <w:r>
        <w:t xml:space="preserve"> </w:t>
      </w:r>
      <w:hyperlink r:id="rId12" w:history="1">
        <w:r>
          <w:rPr>
            <w:rStyle w:val="Hyperlink"/>
          </w:rPr>
          <w:t>Civil Service management code - GOV.UK (www.gov.uk)</w:t>
        </w:r>
      </w:hyperlink>
    </w:p>
  </w:footnote>
  <w:footnote w:id="15">
    <w:p w14:paraId="7F43179E" w14:textId="5EEFA140" w:rsidR="006F12E8" w:rsidRDefault="006F12E8">
      <w:pPr>
        <w:pStyle w:val="FootnoteText"/>
      </w:pPr>
      <w:r>
        <w:rPr>
          <w:rStyle w:val="FootnoteReference"/>
        </w:rPr>
        <w:footnoteRef/>
      </w:r>
      <w:r>
        <w:t xml:space="preserve"> </w:t>
      </w:r>
      <w:hyperlink r:id="rId13" w:history="1">
        <w:r>
          <w:rPr>
            <w:rStyle w:val="Hyperlink"/>
          </w:rPr>
          <w:t>Guidance for approval of senior pay - GOV.UK (www.gov.uk)</w:t>
        </w:r>
      </w:hyperlink>
    </w:p>
  </w:footnote>
  <w:footnote w:id="16">
    <w:p w14:paraId="70B5FA2B" w14:textId="3B0C4022" w:rsidR="006F12E8" w:rsidRDefault="006F12E8">
      <w:pPr>
        <w:pStyle w:val="FootnoteText"/>
      </w:pPr>
      <w:r>
        <w:rPr>
          <w:rStyle w:val="FootnoteReference"/>
        </w:rPr>
        <w:footnoteRef/>
      </w:r>
      <w:r>
        <w:t xml:space="preserve"> </w:t>
      </w:r>
      <w:hyperlink r:id="rId14" w:history="1">
        <w:r>
          <w:rPr>
            <w:rStyle w:val="Hyperlink"/>
          </w:rPr>
          <w:t>Public sector pay and terms: guidance note - GOV.UK (www.gov.uk)</w:t>
        </w:r>
      </w:hyperlink>
    </w:p>
  </w:footnote>
  <w:footnote w:id="17">
    <w:p w14:paraId="6C2CFC6C" w14:textId="22D0CC07" w:rsidR="006F12E8" w:rsidRDefault="006F12E8">
      <w:pPr>
        <w:pStyle w:val="FootnoteText"/>
      </w:pPr>
      <w:r>
        <w:rPr>
          <w:rStyle w:val="FootnoteReference"/>
        </w:rPr>
        <w:footnoteRef/>
      </w:r>
      <w:r>
        <w:t xml:space="preserve"> </w:t>
      </w:r>
      <w:hyperlink r:id="rId15" w:history="1">
        <w:r>
          <w:rPr>
            <w:rStyle w:val="Hyperlink"/>
          </w:rPr>
          <w:t>Public Sector Internal Audit Standards - GOV.UK (www.gov.uk)</w:t>
        </w:r>
      </w:hyperlink>
    </w:p>
  </w:footnote>
  <w:footnote w:id="18">
    <w:p w14:paraId="362BBDE3" w14:textId="0182BBF5" w:rsidR="006F12E8" w:rsidRDefault="006F12E8">
      <w:pPr>
        <w:pStyle w:val="FootnoteText"/>
      </w:pPr>
      <w:r>
        <w:rPr>
          <w:rStyle w:val="FootnoteReference"/>
        </w:rPr>
        <w:footnoteRef/>
      </w:r>
      <w:r>
        <w:t xml:space="preserve"> </w:t>
      </w:r>
      <w:hyperlink r:id="rId16" w:history="1">
        <w:r>
          <w:rPr>
            <w:rStyle w:val="Hyperlink"/>
          </w:rPr>
          <w:t>Executive agencies: characteristics and governance - GOV.UK (www.gov.uk)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BAF2" w14:textId="0680F972" w:rsidR="006F12E8" w:rsidRDefault="006F1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D926" w14:textId="6F36C5FA" w:rsidR="006F12E8" w:rsidRPr="00242B95" w:rsidRDefault="006F12E8" w:rsidP="00AC1D13">
    <w:pPr>
      <w:pStyle w:val="Header"/>
    </w:pPr>
    <w:r>
      <w:t xml:space="preserve">DHSC-MHRA Framework Document                                                               </w:t>
    </w:r>
    <w:r>
      <w:tab/>
      <w:t xml:space="preserve">        </w:t>
    </w:r>
  </w:p>
  <w:p w14:paraId="56BD6221" w14:textId="77777777" w:rsidR="006F12E8" w:rsidRDefault="006F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8698" w14:textId="7D8F88D3" w:rsidR="006F12E8" w:rsidRDefault="006F1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097E"/>
    <w:multiLevelType w:val="multilevel"/>
    <w:tmpl w:val="C28E341E"/>
    <w:lvl w:ilvl="0">
      <w:start w:val="1"/>
      <w:numFmt w:val="decimal"/>
      <w:pStyle w:val="Style2"/>
      <w:lvlText w:val="%1."/>
      <w:lvlJc w:val="left"/>
      <w:pPr>
        <w:ind w:left="720" w:hanging="360"/>
      </w:pPr>
      <w:rPr>
        <w:rFonts w:hint="default"/>
      </w:rPr>
    </w:lvl>
    <w:lvl w:ilvl="1">
      <w:start w:val="1"/>
      <w:numFmt w:val="decimal"/>
      <w:pStyle w:val="Style2"/>
      <w:isLgl/>
      <w:lvlText w:val="%1.%2."/>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681C27"/>
    <w:multiLevelType w:val="multilevel"/>
    <w:tmpl w:val="9AD4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F04C9"/>
    <w:multiLevelType w:val="hybridMultilevel"/>
    <w:tmpl w:val="5F280D1E"/>
    <w:lvl w:ilvl="0" w:tplc="08090003">
      <w:start w:val="1"/>
      <w:numFmt w:val="bullet"/>
      <w:lvlText w:val="o"/>
      <w:lvlJc w:val="left"/>
      <w:pPr>
        <w:ind w:left="1800" w:hanging="360"/>
      </w:pPr>
      <w:rPr>
        <w:rFonts w:ascii="Courier New" w:hAnsi="Courier New" w:cs="Courier New" w:hint="default"/>
      </w:rPr>
    </w:lvl>
    <w:lvl w:ilvl="1" w:tplc="08090005">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C426170"/>
    <w:multiLevelType w:val="multilevel"/>
    <w:tmpl w:val="82A0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32AC5"/>
    <w:multiLevelType w:val="hybridMultilevel"/>
    <w:tmpl w:val="3AB23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40622"/>
    <w:multiLevelType w:val="hybridMultilevel"/>
    <w:tmpl w:val="D74C14AE"/>
    <w:lvl w:ilvl="0" w:tplc="D0DE50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37FF8"/>
    <w:multiLevelType w:val="multilevel"/>
    <w:tmpl w:val="6776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9900DA"/>
    <w:multiLevelType w:val="multilevel"/>
    <w:tmpl w:val="C6F8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045C54"/>
    <w:multiLevelType w:val="hybridMultilevel"/>
    <w:tmpl w:val="8076C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10" w15:restartNumberingAfterBreak="0">
    <w:nsid w:val="1D4213AC"/>
    <w:multiLevelType w:val="multilevel"/>
    <w:tmpl w:val="DD98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1A2F32"/>
    <w:multiLevelType w:val="hybridMultilevel"/>
    <w:tmpl w:val="98E891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10F6AD8"/>
    <w:multiLevelType w:val="hybridMultilevel"/>
    <w:tmpl w:val="778CB63A"/>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2BE033F"/>
    <w:multiLevelType w:val="multilevel"/>
    <w:tmpl w:val="525A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8F2D1A"/>
    <w:multiLevelType w:val="hybridMultilevel"/>
    <w:tmpl w:val="F13C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2E0EBA"/>
    <w:multiLevelType w:val="hybridMultilevel"/>
    <w:tmpl w:val="3154D834"/>
    <w:lvl w:ilvl="0" w:tplc="D0AE5B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730BB"/>
    <w:multiLevelType w:val="hybridMultilevel"/>
    <w:tmpl w:val="31CA9DF0"/>
    <w:lvl w:ilvl="0" w:tplc="37FE5FDA">
      <w:start w:val="1"/>
      <w:numFmt w:val="decimal"/>
      <w:pStyle w:val="Style4"/>
      <w:lvlText w:val="%1.1."/>
      <w:lvlJc w:val="left"/>
      <w:pPr>
        <w:ind w:left="720" w:hanging="360"/>
      </w:pPr>
      <w:rPr>
        <w:rFonts w:hint="default"/>
      </w:rPr>
    </w:lvl>
    <w:lvl w:ilvl="1" w:tplc="08090019">
      <w:start w:val="1"/>
      <w:numFmt w:val="lowerLetter"/>
      <w:pStyle w:val="Style4"/>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41573"/>
    <w:multiLevelType w:val="multilevel"/>
    <w:tmpl w:val="0C54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E37A92"/>
    <w:multiLevelType w:val="hybridMultilevel"/>
    <w:tmpl w:val="98128E5E"/>
    <w:lvl w:ilvl="0" w:tplc="2C3694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1616E"/>
    <w:multiLevelType w:val="hybridMultilevel"/>
    <w:tmpl w:val="324ACBF0"/>
    <w:lvl w:ilvl="0" w:tplc="5C78C3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E7C75"/>
    <w:multiLevelType w:val="hybridMultilevel"/>
    <w:tmpl w:val="C750E2E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1" w15:restartNumberingAfterBreak="0">
    <w:nsid w:val="3AD4124D"/>
    <w:multiLevelType w:val="multilevel"/>
    <w:tmpl w:val="E8C0AC88"/>
    <w:lvl w:ilvl="0">
      <w:start w:val="1"/>
      <w:numFmt w:val="bullet"/>
      <w:pStyle w:val="Style11"/>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2C53CCE"/>
    <w:multiLevelType w:val="multilevel"/>
    <w:tmpl w:val="B674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B838FC"/>
    <w:multiLevelType w:val="multilevel"/>
    <w:tmpl w:val="AC2EE73C"/>
    <w:lvl w:ilvl="0">
      <w:start w:val="1"/>
      <w:numFmt w:val="bullet"/>
      <w:lvlText w:val="o"/>
      <w:lvlJc w:val="left"/>
      <w:pPr>
        <w:ind w:left="1800" w:hanging="360"/>
      </w:pPr>
      <w:rPr>
        <w:rFonts w:ascii="Courier New" w:hAnsi="Courier New" w:cs="Courier New" w:hint="default"/>
      </w:rPr>
    </w:lvl>
    <w:lvl w:ilvl="1">
      <w:start w:val="1"/>
      <w:numFmt w:val="decimal"/>
      <w:isLgl/>
      <w:lvlText w:val="%1.%2."/>
      <w:lvlJc w:val="left"/>
      <w:pPr>
        <w:ind w:left="2160" w:hanging="72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4" w15:restartNumberingAfterBreak="0">
    <w:nsid w:val="443D2312"/>
    <w:multiLevelType w:val="hybridMultilevel"/>
    <w:tmpl w:val="0DFE4BF6"/>
    <w:lvl w:ilvl="0" w:tplc="8DF68D18">
      <w:start w:val="1"/>
      <w:numFmt w:val="bullet"/>
      <w:lvlText w:val=""/>
      <w:lvlJc w:val="left"/>
      <w:pPr>
        <w:ind w:left="855" w:hanging="360"/>
      </w:pPr>
      <w:rPr>
        <w:rFonts w:ascii="Symbol" w:hAnsi="Symbol" w:hint="default"/>
        <w:color w:val="auto"/>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5" w15:restartNumberingAfterBreak="0">
    <w:nsid w:val="4A6419AA"/>
    <w:multiLevelType w:val="multilevel"/>
    <w:tmpl w:val="7A08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3A3A12"/>
    <w:multiLevelType w:val="multilevel"/>
    <w:tmpl w:val="725CA8E8"/>
    <w:lvl w:ilvl="0">
      <w:start w:val="1"/>
      <w:numFmt w:val="decimal"/>
      <w:pStyle w:val="Heading2"/>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75F7A64"/>
    <w:multiLevelType w:val="multilevel"/>
    <w:tmpl w:val="06DA3514"/>
    <w:lvl w:ilvl="0">
      <w:start w:val="1"/>
      <w:numFmt w:val="decimal"/>
      <w:pStyle w:val="Heading1-numbered"/>
      <w:lvlText w:val="%1."/>
      <w:lvlJc w:val="left"/>
      <w:pPr>
        <w:ind w:left="720" w:hanging="360"/>
      </w:pPr>
    </w:lvl>
    <w:lvl w:ilvl="1">
      <w:start w:val="1"/>
      <w:numFmt w:val="decimal"/>
      <w:pStyle w:val="Style6"/>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65E56BE"/>
    <w:multiLevelType w:val="multilevel"/>
    <w:tmpl w:val="1396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E200CF"/>
    <w:multiLevelType w:val="hybridMultilevel"/>
    <w:tmpl w:val="86A4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4F7157"/>
    <w:multiLevelType w:val="multilevel"/>
    <w:tmpl w:val="53E4AD72"/>
    <w:lvl w:ilvl="0">
      <w:start w:val="1"/>
      <w:numFmt w:val="bullet"/>
      <w:pStyle w:val="Style8"/>
      <w:lvlText w:val=""/>
      <w:lvlJc w:val="left"/>
      <w:pPr>
        <w:ind w:left="1440" w:hanging="360"/>
      </w:pPr>
      <w:rPr>
        <w:rFonts w:ascii="Symbol" w:hAnsi="Symbol" w:hint="default"/>
      </w:rPr>
    </w:lvl>
    <w:lvl w:ilvl="1">
      <w:start w:val="1"/>
      <w:numFmt w:val="bullet"/>
      <w:pStyle w:val="Style8"/>
      <w:lvlText w:val=""/>
      <w:lvlJc w:val="left"/>
      <w:pPr>
        <w:ind w:left="1800" w:hanging="720"/>
      </w:pPr>
      <w:rPr>
        <w:rFonts w:ascii="Symbol" w:hAnsi="Symbol"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7C0A52E3"/>
    <w:multiLevelType w:val="hybridMultilevel"/>
    <w:tmpl w:val="4D4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8345077">
    <w:abstractNumId w:val="0"/>
  </w:num>
  <w:num w:numId="2" w16cid:durableId="1121344601">
    <w:abstractNumId w:val="30"/>
  </w:num>
  <w:num w:numId="3" w16cid:durableId="1566447824">
    <w:abstractNumId w:val="21"/>
  </w:num>
  <w:num w:numId="4" w16cid:durableId="325671166">
    <w:abstractNumId w:val="27"/>
  </w:num>
  <w:num w:numId="5" w16cid:durableId="1433211005">
    <w:abstractNumId w:val="16"/>
  </w:num>
  <w:num w:numId="6" w16cid:durableId="1226457177">
    <w:abstractNumId w:val="9"/>
  </w:num>
  <w:num w:numId="7" w16cid:durableId="842278300">
    <w:abstractNumId w:val="24"/>
  </w:num>
  <w:num w:numId="8" w16cid:durableId="2104957336">
    <w:abstractNumId w:val="20"/>
  </w:num>
  <w:num w:numId="9" w16cid:durableId="1136875062">
    <w:abstractNumId w:val="14"/>
  </w:num>
  <w:num w:numId="10" w16cid:durableId="2054573043">
    <w:abstractNumId w:val="15"/>
  </w:num>
  <w:num w:numId="11" w16cid:durableId="1476099222">
    <w:abstractNumId w:val="5"/>
  </w:num>
  <w:num w:numId="12" w16cid:durableId="482819157">
    <w:abstractNumId w:val="18"/>
  </w:num>
  <w:num w:numId="13" w16cid:durableId="1737511583">
    <w:abstractNumId w:val="31"/>
  </w:num>
  <w:num w:numId="14" w16cid:durableId="2039546672">
    <w:abstractNumId w:val="29"/>
  </w:num>
  <w:num w:numId="15" w16cid:durableId="2038003301">
    <w:abstractNumId w:val="22"/>
  </w:num>
  <w:num w:numId="16" w16cid:durableId="995379393">
    <w:abstractNumId w:val="25"/>
  </w:num>
  <w:num w:numId="17" w16cid:durableId="1005403888">
    <w:abstractNumId w:val="10"/>
  </w:num>
  <w:num w:numId="18" w16cid:durableId="1435440491">
    <w:abstractNumId w:val="1"/>
  </w:num>
  <w:num w:numId="19" w16cid:durableId="1965041008">
    <w:abstractNumId w:val="17"/>
  </w:num>
  <w:num w:numId="20" w16cid:durableId="936211032">
    <w:abstractNumId w:val="13"/>
  </w:num>
  <w:num w:numId="21" w16cid:durableId="938374532">
    <w:abstractNumId w:val="3"/>
  </w:num>
  <w:num w:numId="22" w16cid:durableId="1808401335">
    <w:abstractNumId w:val="7"/>
  </w:num>
  <w:num w:numId="23" w16cid:durableId="1944729085">
    <w:abstractNumId w:val="28"/>
  </w:num>
  <w:num w:numId="24" w16cid:durableId="2104959943">
    <w:abstractNumId w:val="6"/>
  </w:num>
  <w:num w:numId="25" w16cid:durableId="10686414">
    <w:abstractNumId w:val="26"/>
  </w:num>
  <w:num w:numId="26" w16cid:durableId="1288126302">
    <w:abstractNumId w:val="23"/>
  </w:num>
  <w:num w:numId="27" w16cid:durableId="2026206369">
    <w:abstractNumId w:val="12"/>
  </w:num>
  <w:num w:numId="28" w16cid:durableId="7053280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1887528">
    <w:abstractNumId w:val="2"/>
  </w:num>
  <w:num w:numId="30" w16cid:durableId="4127462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6070778">
    <w:abstractNumId w:val="26"/>
  </w:num>
  <w:num w:numId="32" w16cid:durableId="1653169111">
    <w:abstractNumId w:val="26"/>
  </w:num>
  <w:num w:numId="33" w16cid:durableId="1535969252">
    <w:abstractNumId w:val="26"/>
  </w:num>
  <w:num w:numId="34" w16cid:durableId="2135561601">
    <w:abstractNumId w:val="26"/>
  </w:num>
  <w:num w:numId="35" w16cid:durableId="1972058417">
    <w:abstractNumId w:val="21"/>
  </w:num>
  <w:num w:numId="36" w16cid:durableId="1840267223">
    <w:abstractNumId w:val="26"/>
  </w:num>
  <w:num w:numId="37" w16cid:durableId="23481766">
    <w:abstractNumId w:val="26"/>
  </w:num>
  <w:num w:numId="38" w16cid:durableId="2121871532">
    <w:abstractNumId w:val="19"/>
  </w:num>
  <w:num w:numId="39" w16cid:durableId="31660713">
    <w:abstractNumId w:val="8"/>
  </w:num>
  <w:num w:numId="40" w16cid:durableId="1414472292">
    <w:abstractNumId w:val="26"/>
  </w:num>
  <w:num w:numId="41" w16cid:durableId="89784524">
    <w:abstractNumId w:val="4"/>
  </w:num>
  <w:num w:numId="42" w16cid:durableId="1794901668">
    <w:abstractNumId w:val="11"/>
  </w:num>
  <w:num w:numId="43" w16cid:durableId="749154424">
    <w:abstractNumId w:val="30"/>
  </w:num>
  <w:num w:numId="44" w16cid:durableId="57629098">
    <w:abstractNumId w:val="26"/>
  </w:num>
  <w:num w:numId="45" w16cid:durableId="910583078">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68"/>
    <w:rsid w:val="0000136B"/>
    <w:rsid w:val="00001449"/>
    <w:rsid w:val="00001C96"/>
    <w:rsid w:val="000032FE"/>
    <w:rsid w:val="00003E46"/>
    <w:rsid w:val="0000574E"/>
    <w:rsid w:val="000065C2"/>
    <w:rsid w:val="00007D43"/>
    <w:rsid w:val="00007E45"/>
    <w:rsid w:val="00010C6B"/>
    <w:rsid w:val="00010E64"/>
    <w:rsid w:val="00011264"/>
    <w:rsid w:val="00012505"/>
    <w:rsid w:val="0001391F"/>
    <w:rsid w:val="00014C02"/>
    <w:rsid w:val="00015282"/>
    <w:rsid w:val="0001586D"/>
    <w:rsid w:val="00016966"/>
    <w:rsid w:val="000176D4"/>
    <w:rsid w:val="00020CD7"/>
    <w:rsid w:val="00020D2F"/>
    <w:rsid w:val="00020ED5"/>
    <w:rsid w:val="0002100C"/>
    <w:rsid w:val="000217D6"/>
    <w:rsid w:val="00022677"/>
    <w:rsid w:val="0002381B"/>
    <w:rsid w:val="00024F15"/>
    <w:rsid w:val="00026197"/>
    <w:rsid w:val="0002637B"/>
    <w:rsid w:val="000300DC"/>
    <w:rsid w:val="000303D0"/>
    <w:rsid w:val="00031210"/>
    <w:rsid w:val="00031787"/>
    <w:rsid w:val="00031A48"/>
    <w:rsid w:val="00031DED"/>
    <w:rsid w:val="000321E0"/>
    <w:rsid w:val="000323E3"/>
    <w:rsid w:val="0003302E"/>
    <w:rsid w:val="00033E68"/>
    <w:rsid w:val="00036A47"/>
    <w:rsid w:val="0004015C"/>
    <w:rsid w:val="00040A49"/>
    <w:rsid w:val="00040F86"/>
    <w:rsid w:val="000426A5"/>
    <w:rsid w:val="00043FBC"/>
    <w:rsid w:val="000441CF"/>
    <w:rsid w:val="0004480E"/>
    <w:rsid w:val="0004590B"/>
    <w:rsid w:val="00046C03"/>
    <w:rsid w:val="00046D32"/>
    <w:rsid w:val="000503B2"/>
    <w:rsid w:val="00050762"/>
    <w:rsid w:val="00050F3B"/>
    <w:rsid w:val="00051D18"/>
    <w:rsid w:val="0005225F"/>
    <w:rsid w:val="000535DB"/>
    <w:rsid w:val="00054D56"/>
    <w:rsid w:val="00054E0A"/>
    <w:rsid w:val="00055AA6"/>
    <w:rsid w:val="00055F75"/>
    <w:rsid w:val="000560E8"/>
    <w:rsid w:val="0005637E"/>
    <w:rsid w:val="000570F8"/>
    <w:rsid w:val="00057305"/>
    <w:rsid w:val="000575A8"/>
    <w:rsid w:val="00060607"/>
    <w:rsid w:val="000608C3"/>
    <w:rsid w:val="000610FA"/>
    <w:rsid w:val="00061127"/>
    <w:rsid w:val="00061909"/>
    <w:rsid w:val="00061C2B"/>
    <w:rsid w:val="000621F4"/>
    <w:rsid w:val="000641B8"/>
    <w:rsid w:val="00064729"/>
    <w:rsid w:val="00064DE1"/>
    <w:rsid w:val="000656C0"/>
    <w:rsid w:val="00065BA8"/>
    <w:rsid w:val="00066935"/>
    <w:rsid w:val="00067F70"/>
    <w:rsid w:val="00070155"/>
    <w:rsid w:val="000701F8"/>
    <w:rsid w:val="0007040E"/>
    <w:rsid w:val="000710F4"/>
    <w:rsid w:val="00071700"/>
    <w:rsid w:val="000718C5"/>
    <w:rsid w:val="00072651"/>
    <w:rsid w:val="00072C9F"/>
    <w:rsid w:val="00075AAB"/>
    <w:rsid w:val="00076093"/>
    <w:rsid w:val="00076777"/>
    <w:rsid w:val="00077C05"/>
    <w:rsid w:val="00077CD8"/>
    <w:rsid w:val="000800EA"/>
    <w:rsid w:val="00080E02"/>
    <w:rsid w:val="00080F39"/>
    <w:rsid w:val="00081975"/>
    <w:rsid w:val="000824E6"/>
    <w:rsid w:val="000833FB"/>
    <w:rsid w:val="00083FE0"/>
    <w:rsid w:val="00084E74"/>
    <w:rsid w:val="00085AD2"/>
    <w:rsid w:val="00085F90"/>
    <w:rsid w:val="000861E7"/>
    <w:rsid w:val="000863CE"/>
    <w:rsid w:val="00086575"/>
    <w:rsid w:val="00087249"/>
    <w:rsid w:val="00087E41"/>
    <w:rsid w:val="00090F23"/>
    <w:rsid w:val="00092238"/>
    <w:rsid w:val="00092EE4"/>
    <w:rsid w:val="00093B74"/>
    <w:rsid w:val="00095056"/>
    <w:rsid w:val="00095789"/>
    <w:rsid w:val="00095B6D"/>
    <w:rsid w:val="000961B2"/>
    <w:rsid w:val="00096AAE"/>
    <w:rsid w:val="00097014"/>
    <w:rsid w:val="000972C1"/>
    <w:rsid w:val="000A02C4"/>
    <w:rsid w:val="000A0ECE"/>
    <w:rsid w:val="000A2211"/>
    <w:rsid w:val="000A273F"/>
    <w:rsid w:val="000A2ABD"/>
    <w:rsid w:val="000A2C47"/>
    <w:rsid w:val="000A3387"/>
    <w:rsid w:val="000A4261"/>
    <w:rsid w:val="000A48FA"/>
    <w:rsid w:val="000A4BCE"/>
    <w:rsid w:val="000A4C32"/>
    <w:rsid w:val="000A5EF5"/>
    <w:rsid w:val="000A5F6E"/>
    <w:rsid w:val="000A6E3B"/>
    <w:rsid w:val="000A7107"/>
    <w:rsid w:val="000B1099"/>
    <w:rsid w:val="000B2CB7"/>
    <w:rsid w:val="000B2F94"/>
    <w:rsid w:val="000B3396"/>
    <w:rsid w:val="000B4A1A"/>
    <w:rsid w:val="000B4C38"/>
    <w:rsid w:val="000B4E07"/>
    <w:rsid w:val="000B5175"/>
    <w:rsid w:val="000B5E8F"/>
    <w:rsid w:val="000B62DF"/>
    <w:rsid w:val="000B66AA"/>
    <w:rsid w:val="000B722F"/>
    <w:rsid w:val="000B7470"/>
    <w:rsid w:val="000B78BF"/>
    <w:rsid w:val="000C0065"/>
    <w:rsid w:val="000C125D"/>
    <w:rsid w:val="000C2E18"/>
    <w:rsid w:val="000C2E21"/>
    <w:rsid w:val="000C33C6"/>
    <w:rsid w:val="000C34C3"/>
    <w:rsid w:val="000C54D8"/>
    <w:rsid w:val="000C674E"/>
    <w:rsid w:val="000C6B16"/>
    <w:rsid w:val="000C784E"/>
    <w:rsid w:val="000D13C6"/>
    <w:rsid w:val="000D18DF"/>
    <w:rsid w:val="000D1E2F"/>
    <w:rsid w:val="000D20B6"/>
    <w:rsid w:val="000D2F43"/>
    <w:rsid w:val="000D301B"/>
    <w:rsid w:val="000D505F"/>
    <w:rsid w:val="000D5257"/>
    <w:rsid w:val="000D6153"/>
    <w:rsid w:val="000D6523"/>
    <w:rsid w:val="000D67C9"/>
    <w:rsid w:val="000D7086"/>
    <w:rsid w:val="000D7789"/>
    <w:rsid w:val="000D78D1"/>
    <w:rsid w:val="000E03B9"/>
    <w:rsid w:val="000E0C87"/>
    <w:rsid w:val="000E0CBD"/>
    <w:rsid w:val="000E0EE4"/>
    <w:rsid w:val="000E1210"/>
    <w:rsid w:val="000E238B"/>
    <w:rsid w:val="000E2D21"/>
    <w:rsid w:val="000E502D"/>
    <w:rsid w:val="000E52E3"/>
    <w:rsid w:val="000E5B3F"/>
    <w:rsid w:val="000E69C9"/>
    <w:rsid w:val="000E6BBB"/>
    <w:rsid w:val="000E7F9E"/>
    <w:rsid w:val="000F065C"/>
    <w:rsid w:val="000F09AF"/>
    <w:rsid w:val="000F164E"/>
    <w:rsid w:val="000F1A61"/>
    <w:rsid w:val="000F26F0"/>
    <w:rsid w:val="000F41CC"/>
    <w:rsid w:val="000F5A24"/>
    <w:rsid w:val="000F60BA"/>
    <w:rsid w:val="000F60EB"/>
    <w:rsid w:val="000F7594"/>
    <w:rsid w:val="000F7AD3"/>
    <w:rsid w:val="000F7C8E"/>
    <w:rsid w:val="000F7DB8"/>
    <w:rsid w:val="00100104"/>
    <w:rsid w:val="00100989"/>
    <w:rsid w:val="00101237"/>
    <w:rsid w:val="001017F4"/>
    <w:rsid w:val="00101FB1"/>
    <w:rsid w:val="00102660"/>
    <w:rsid w:val="001028EB"/>
    <w:rsid w:val="00103431"/>
    <w:rsid w:val="00103AA8"/>
    <w:rsid w:val="00103DE8"/>
    <w:rsid w:val="00103F33"/>
    <w:rsid w:val="00105FAC"/>
    <w:rsid w:val="00106051"/>
    <w:rsid w:val="00107505"/>
    <w:rsid w:val="001076A8"/>
    <w:rsid w:val="00110005"/>
    <w:rsid w:val="0011024A"/>
    <w:rsid w:val="0011298C"/>
    <w:rsid w:val="00112B55"/>
    <w:rsid w:val="00113C78"/>
    <w:rsid w:val="0011402F"/>
    <w:rsid w:val="00114ACB"/>
    <w:rsid w:val="001153D0"/>
    <w:rsid w:val="0011593C"/>
    <w:rsid w:val="001171F2"/>
    <w:rsid w:val="0011734F"/>
    <w:rsid w:val="00117C4A"/>
    <w:rsid w:val="00117FEB"/>
    <w:rsid w:val="0012098C"/>
    <w:rsid w:val="00120B2B"/>
    <w:rsid w:val="001210BF"/>
    <w:rsid w:val="00121FD0"/>
    <w:rsid w:val="00122E35"/>
    <w:rsid w:val="0012357A"/>
    <w:rsid w:val="0012378A"/>
    <w:rsid w:val="00124953"/>
    <w:rsid w:val="00124D4C"/>
    <w:rsid w:val="00125ADD"/>
    <w:rsid w:val="00126435"/>
    <w:rsid w:val="00126861"/>
    <w:rsid w:val="00126D3F"/>
    <w:rsid w:val="00127685"/>
    <w:rsid w:val="00127948"/>
    <w:rsid w:val="0013146A"/>
    <w:rsid w:val="00131A2A"/>
    <w:rsid w:val="00132A7D"/>
    <w:rsid w:val="00132D4F"/>
    <w:rsid w:val="00133FCF"/>
    <w:rsid w:val="00134FC7"/>
    <w:rsid w:val="001352E6"/>
    <w:rsid w:val="00135540"/>
    <w:rsid w:val="001362E3"/>
    <w:rsid w:val="00136BD7"/>
    <w:rsid w:val="0013713C"/>
    <w:rsid w:val="00137550"/>
    <w:rsid w:val="00137C4A"/>
    <w:rsid w:val="0014024C"/>
    <w:rsid w:val="00141493"/>
    <w:rsid w:val="00141952"/>
    <w:rsid w:val="00142465"/>
    <w:rsid w:val="001424F2"/>
    <w:rsid w:val="00142A37"/>
    <w:rsid w:val="00143880"/>
    <w:rsid w:val="00143E6D"/>
    <w:rsid w:val="00143F08"/>
    <w:rsid w:val="0014595A"/>
    <w:rsid w:val="0014642F"/>
    <w:rsid w:val="001465AB"/>
    <w:rsid w:val="001478E6"/>
    <w:rsid w:val="00147A06"/>
    <w:rsid w:val="00151075"/>
    <w:rsid w:val="00151099"/>
    <w:rsid w:val="00151F0A"/>
    <w:rsid w:val="00153442"/>
    <w:rsid w:val="0015389A"/>
    <w:rsid w:val="00153F02"/>
    <w:rsid w:val="0015410E"/>
    <w:rsid w:val="00154ABB"/>
    <w:rsid w:val="00155758"/>
    <w:rsid w:val="00156C70"/>
    <w:rsid w:val="0015771D"/>
    <w:rsid w:val="001578D1"/>
    <w:rsid w:val="00160587"/>
    <w:rsid w:val="001618EE"/>
    <w:rsid w:val="0016243E"/>
    <w:rsid w:val="001634E6"/>
    <w:rsid w:val="00163848"/>
    <w:rsid w:val="00163CD1"/>
    <w:rsid w:val="00164B9C"/>
    <w:rsid w:val="00164C45"/>
    <w:rsid w:val="00164D78"/>
    <w:rsid w:val="0016545A"/>
    <w:rsid w:val="001657C2"/>
    <w:rsid w:val="00165BAB"/>
    <w:rsid w:val="00167417"/>
    <w:rsid w:val="001718C5"/>
    <w:rsid w:val="001720F1"/>
    <w:rsid w:val="00173980"/>
    <w:rsid w:val="00173C03"/>
    <w:rsid w:val="00174079"/>
    <w:rsid w:val="00175657"/>
    <w:rsid w:val="0017648E"/>
    <w:rsid w:val="00176749"/>
    <w:rsid w:val="00177330"/>
    <w:rsid w:val="00177342"/>
    <w:rsid w:val="00180558"/>
    <w:rsid w:val="001806E0"/>
    <w:rsid w:val="00180A72"/>
    <w:rsid w:val="00182C6D"/>
    <w:rsid w:val="00183A9B"/>
    <w:rsid w:val="001848FD"/>
    <w:rsid w:val="00185EE0"/>
    <w:rsid w:val="00186654"/>
    <w:rsid w:val="001867AE"/>
    <w:rsid w:val="001876CC"/>
    <w:rsid w:val="00187BB8"/>
    <w:rsid w:val="00187D48"/>
    <w:rsid w:val="00187F21"/>
    <w:rsid w:val="00192838"/>
    <w:rsid w:val="00192E10"/>
    <w:rsid w:val="001948CB"/>
    <w:rsid w:val="00195359"/>
    <w:rsid w:val="001954E7"/>
    <w:rsid w:val="00195B44"/>
    <w:rsid w:val="00195B7B"/>
    <w:rsid w:val="00195EAD"/>
    <w:rsid w:val="00196FA9"/>
    <w:rsid w:val="0019723C"/>
    <w:rsid w:val="001972B2"/>
    <w:rsid w:val="0019742D"/>
    <w:rsid w:val="001975BC"/>
    <w:rsid w:val="001A0868"/>
    <w:rsid w:val="001A0C12"/>
    <w:rsid w:val="001A0F7E"/>
    <w:rsid w:val="001A148D"/>
    <w:rsid w:val="001A207C"/>
    <w:rsid w:val="001A392C"/>
    <w:rsid w:val="001A42B3"/>
    <w:rsid w:val="001A49C1"/>
    <w:rsid w:val="001A5236"/>
    <w:rsid w:val="001A55ED"/>
    <w:rsid w:val="001A6D02"/>
    <w:rsid w:val="001B0A3A"/>
    <w:rsid w:val="001B22C5"/>
    <w:rsid w:val="001B26FF"/>
    <w:rsid w:val="001B290A"/>
    <w:rsid w:val="001B2E96"/>
    <w:rsid w:val="001B3EB0"/>
    <w:rsid w:val="001B4373"/>
    <w:rsid w:val="001B4536"/>
    <w:rsid w:val="001B5453"/>
    <w:rsid w:val="001B5700"/>
    <w:rsid w:val="001B57BD"/>
    <w:rsid w:val="001B67AD"/>
    <w:rsid w:val="001B7109"/>
    <w:rsid w:val="001B710A"/>
    <w:rsid w:val="001B7645"/>
    <w:rsid w:val="001B7CF4"/>
    <w:rsid w:val="001C149A"/>
    <w:rsid w:val="001C22F3"/>
    <w:rsid w:val="001C3135"/>
    <w:rsid w:val="001C31E1"/>
    <w:rsid w:val="001C4975"/>
    <w:rsid w:val="001C6F9D"/>
    <w:rsid w:val="001C77BA"/>
    <w:rsid w:val="001D0509"/>
    <w:rsid w:val="001D107E"/>
    <w:rsid w:val="001D1170"/>
    <w:rsid w:val="001D1486"/>
    <w:rsid w:val="001D15B6"/>
    <w:rsid w:val="001D1C18"/>
    <w:rsid w:val="001D2C7E"/>
    <w:rsid w:val="001D38EC"/>
    <w:rsid w:val="001D3A9F"/>
    <w:rsid w:val="001D3FD9"/>
    <w:rsid w:val="001D4F2B"/>
    <w:rsid w:val="001D5683"/>
    <w:rsid w:val="001D579D"/>
    <w:rsid w:val="001D65EA"/>
    <w:rsid w:val="001D6AD8"/>
    <w:rsid w:val="001E0BF6"/>
    <w:rsid w:val="001E12C1"/>
    <w:rsid w:val="001E1595"/>
    <w:rsid w:val="001E1D7E"/>
    <w:rsid w:val="001E2292"/>
    <w:rsid w:val="001E232F"/>
    <w:rsid w:val="001E24B0"/>
    <w:rsid w:val="001E33DF"/>
    <w:rsid w:val="001E3F27"/>
    <w:rsid w:val="001E42E4"/>
    <w:rsid w:val="001E4FDF"/>
    <w:rsid w:val="001E567E"/>
    <w:rsid w:val="001E5875"/>
    <w:rsid w:val="001E5911"/>
    <w:rsid w:val="001E6019"/>
    <w:rsid w:val="001E742F"/>
    <w:rsid w:val="001E75AF"/>
    <w:rsid w:val="001E7779"/>
    <w:rsid w:val="001E7BE1"/>
    <w:rsid w:val="001F0EC8"/>
    <w:rsid w:val="001F1394"/>
    <w:rsid w:val="001F139A"/>
    <w:rsid w:val="001F184F"/>
    <w:rsid w:val="001F1B28"/>
    <w:rsid w:val="001F241B"/>
    <w:rsid w:val="001F2AC8"/>
    <w:rsid w:val="001F356C"/>
    <w:rsid w:val="001F38AC"/>
    <w:rsid w:val="001F3919"/>
    <w:rsid w:val="001F4165"/>
    <w:rsid w:val="001F4730"/>
    <w:rsid w:val="001F549B"/>
    <w:rsid w:val="001F586D"/>
    <w:rsid w:val="001F6D97"/>
    <w:rsid w:val="001F71C3"/>
    <w:rsid w:val="00200137"/>
    <w:rsid w:val="00200B1D"/>
    <w:rsid w:val="00200D3B"/>
    <w:rsid w:val="00200DFE"/>
    <w:rsid w:val="00200E59"/>
    <w:rsid w:val="00201113"/>
    <w:rsid w:val="00202DEF"/>
    <w:rsid w:val="00205324"/>
    <w:rsid w:val="00205AB2"/>
    <w:rsid w:val="00205E35"/>
    <w:rsid w:val="002065F5"/>
    <w:rsid w:val="00206CA4"/>
    <w:rsid w:val="00210633"/>
    <w:rsid w:val="00210996"/>
    <w:rsid w:val="00210CF2"/>
    <w:rsid w:val="00211277"/>
    <w:rsid w:val="00211C97"/>
    <w:rsid w:val="0021241C"/>
    <w:rsid w:val="002124F7"/>
    <w:rsid w:val="002128F8"/>
    <w:rsid w:val="002144EB"/>
    <w:rsid w:val="00214517"/>
    <w:rsid w:val="00216EA5"/>
    <w:rsid w:val="002175EB"/>
    <w:rsid w:val="00217726"/>
    <w:rsid w:val="00217EEC"/>
    <w:rsid w:val="00217F65"/>
    <w:rsid w:val="00220248"/>
    <w:rsid w:val="00221F3D"/>
    <w:rsid w:val="00222BC8"/>
    <w:rsid w:val="002232C2"/>
    <w:rsid w:val="0022377D"/>
    <w:rsid w:val="0022434A"/>
    <w:rsid w:val="00224579"/>
    <w:rsid w:val="002245A8"/>
    <w:rsid w:val="00225D71"/>
    <w:rsid w:val="002260F7"/>
    <w:rsid w:val="002266E9"/>
    <w:rsid w:val="0022692C"/>
    <w:rsid w:val="00226D5A"/>
    <w:rsid w:val="00227FF9"/>
    <w:rsid w:val="002316A0"/>
    <w:rsid w:val="00231F6F"/>
    <w:rsid w:val="00232049"/>
    <w:rsid w:val="0023375B"/>
    <w:rsid w:val="00233CAC"/>
    <w:rsid w:val="00234415"/>
    <w:rsid w:val="00234A3A"/>
    <w:rsid w:val="00234D0A"/>
    <w:rsid w:val="00235FED"/>
    <w:rsid w:val="002379DC"/>
    <w:rsid w:val="00240206"/>
    <w:rsid w:val="00240403"/>
    <w:rsid w:val="00241D4E"/>
    <w:rsid w:val="0024296B"/>
    <w:rsid w:val="00242F54"/>
    <w:rsid w:val="00243311"/>
    <w:rsid w:val="002435A6"/>
    <w:rsid w:val="00243F25"/>
    <w:rsid w:val="002442E7"/>
    <w:rsid w:val="00247293"/>
    <w:rsid w:val="002472AE"/>
    <w:rsid w:val="002473D1"/>
    <w:rsid w:val="002476B3"/>
    <w:rsid w:val="00247D2E"/>
    <w:rsid w:val="002514C4"/>
    <w:rsid w:val="002523F2"/>
    <w:rsid w:val="00254AB2"/>
    <w:rsid w:val="00254F78"/>
    <w:rsid w:val="002553CA"/>
    <w:rsid w:val="00255B00"/>
    <w:rsid w:val="002562A0"/>
    <w:rsid w:val="00256393"/>
    <w:rsid w:val="0025657B"/>
    <w:rsid w:val="002565DA"/>
    <w:rsid w:val="00260370"/>
    <w:rsid w:val="0026071A"/>
    <w:rsid w:val="0026083A"/>
    <w:rsid w:val="00260917"/>
    <w:rsid w:val="00262711"/>
    <w:rsid w:val="00262C3B"/>
    <w:rsid w:val="00262C8E"/>
    <w:rsid w:val="00262F58"/>
    <w:rsid w:val="0026334A"/>
    <w:rsid w:val="002637DC"/>
    <w:rsid w:val="00263A43"/>
    <w:rsid w:val="00264F59"/>
    <w:rsid w:val="00265A07"/>
    <w:rsid w:val="00265AE4"/>
    <w:rsid w:val="002662BE"/>
    <w:rsid w:val="00267C6F"/>
    <w:rsid w:val="00270013"/>
    <w:rsid w:val="0027011B"/>
    <w:rsid w:val="00271E9D"/>
    <w:rsid w:val="00273214"/>
    <w:rsid w:val="00274D90"/>
    <w:rsid w:val="00275368"/>
    <w:rsid w:val="0027565E"/>
    <w:rsid w:val="00275BEB"/>
    <w:rsid w:val="00275BF8"/>
    <w:rsid w:val="0027617A"/>
    <w:rsid w:val="0027634C"/>
    <w:rsid w:val="0027753C"/>
    <w:rsid w:val="00277C5A"/>
    <w:rsid w:val="00277DDC"/>
    <w:rsid w:val="00277F7E"/>
    <w:rsid w:val="00280010"/>
    <w:rsid w:val="002805AC"/>
    <w:rsid w:val="00280CB6"/>
    <w:rsid w:val="0028235C"/>
    <w:rsid w:val="0028265E"/>
    <w:rsid w:val="00284F3C"/>
    <w:rsid w:val="002865EB"/>
    <w:rsid w:val="002869D6"/>
    <w:rsid w:val="00286CE0"/>
    <w:rsid w:val="00286FCB"/>
    <w:rsid w:val="002877C1"/>
    <w:rsid w:val="002878BA"/>
    <w:rsid w:val="002904C2"/>
    <w:rsid w:val="002907ED"/>
    <w:rsid w:val="002913E4"/>
    <w:rsid w:val="002927D3"/>
    <w:rsid w:val="0029434F"/>
    <w:rsid w:val="002952F6"/>
    <w:rsid w:val="00296944"/>
    <w:rsid w:val="00296B99"/>
    <w:rsid w:val="00297D06"/>
    <w:rsid w:val="00297D59"/>
    <w:rsid w:val="002A05A9"/>
    <w:rsid w:val="002A06FC"/>
    <w:rsid w:val="002A07EF"/>
    <w:rsid w:val="002A1E04"/>
    <w:rsid w:val="002A2C0A"/>
    <w:rsid w:val="002A2D95"/>
    <w:rsid w:val="002A36D2"/>
    <w:rsid w:val="002A3D92"/>
    <w:rsid w:val="002A4593"/>
    <w:rsid w:val="002A49C1"/>
    <w:rsid w:val="002A5071"/>
    <w:rsid w:val="002A580B"/>
    <w:rsid w:val="002A5D9C"/>
    <w:rsid w:val="002A5F7B"/>
    <w:rsid w:val="002A7464"/>
    <w:rsid w:val="002B0A48"/>
    <w:rsid w:val="002B114B"/>
    <w:rsid w:val="002B1C96"/>
    <w:rsid w:val="002B1F17"/>
    <w:rsid w:val="002B1FF3"/>
    <w:rsid w:val="002B234B"/>
    <w:rsid w:val="002B2E50"/>
    <w:rsid w:val="002B46B2"/>
    <w:rsid w:val="002B4817"/>
    <w:rsid w:val="002B4FBD"/>
    <w:rsid w:val="002B635C"/>
    <w:rsid w:val="002B6B5B"/>
    <w:rsid w:val="002B7D69"/>
    <w:rsid w:val="002C0AB1"/>
    <w:rsid w:val="002C1383"/>
    <w:rsid w:val="002C15F4"/>
    <w:rsid w:val="002C2805"/>
    <w:rsid w:val="002C37BB"/>
    <w:rsid w:val="002C4DFC"/>
    <w:rsid w:val="002C58FE"/>
    <w:rsid w:val="002C5E9B"/>
    <w:rsid w:val="002C65CA"/>
    <w:rsid w:val="002C7298"/>
    <w:rsid w:val="002C74AE"/>
    <w:rsid w:val="002C79D8"/>
    <w:rsid w:val="002D0AA8"/>
    <w:rsid w:val="002D0E52"/>
    <w:rsid w:val="002D210F"/>
    <w:rsid w:val="002D3212"/>
    <w:rsid w:val="002D3678"/>
    <w:rsid w:val="002D3820"/>
    <w:rsid w:val="002D5473"/>
    <w:rsid w:val="002D59AC"/>
    <w:rsid w:val="002D6825"/>
    <w:rsid w:val="002D6A2D"/>
    <w:rsid w:val="002D6C62"/>
    <w:rsid w:val="002D6E5C"/>
    <w:rsid w:val="002D6FDC"/>
    <w:rsid w:val="002E0C72"/>
    <w:rsid w:val="002E0D6F"/>
    <w:rsid w:val="002E2F36"/>
    <w:rsid w:val="002E2F5D"/>
    <w:rsid w:val="002E30F2"/>
    <w:rsid w:val="002E3545"/>
    <w:rsid w:val="002E463D"/>
    <w:rsid w:val="002E5B5A"/>
    <w:rsid w:val="002E64DB"/>
    <w:rsid w:val="002E73CA"/>
    <w:rsid w:val="002F014B"/>
    <w:rsid w:val="002F0258"/>
    <w:rsid w:val="002F0B78"/>
    <w:rsid w:val="002F12C3"/>
    <w:rsid w:val="002F1C7E"/>
    <w:rsid w:val="002F20CB"/>
    <w:rsid w:val="002F2933"/>
    <w:rsid w:val="002F37E8"/>
    <w:rsid w:val="002F3C1E"/>
    <w:rsid w:val="002F4D9B"/>
    <w:rsid w:val="002F4F1C"/>
    <w:rsid w:val="002F56A0"/>
    <w:rsid w:val="002F5A50"/>
    <w:rsid w:val="002F6230"/>
    <w:rsid w:val="002F62D0"/>
    <w:rsid w:val="002F6EA0"/>
    <w:rsid w:val="002F72BA"/>
    <w:rsid w:val="002F760E"/>
    <w:rsid w:val="00300248"/>
    <w:rsid w:val="00301982"/>
    <w:rsid w:val="003024F7"/>
    <w:rsid w:val="00302B43"/>
    <w:rsid w:val="00303394"/>
    <w:rsid w:val="00303747"/>
    <w:rsid w:val="003038A6"/>
    <w:rsid w:val="00303A35"/>
    <w:rsid w:val="00304297"/>
    <w:rsid w:val="00304400"/>
    <w:rsid w:val="00305196"/>
    <w:rsid w:val="0030663E"/>
    <w:rsid w:val="00307516"/>
    <w:rsid w:val="00310528"/>
    <w:rsid w:val="00310A20"/>
    <w:rsid w:val="00310A41"/>
    <w:rsid w:val="00310DA2"/>
    <w:rsid w:val="003115AC"/>
    <w:rsid w:val="00312EB4"/>
    <w:rsid w:val="003132F0"/>
    <w:rsid w:val="003135B5"/>
    <w:rsid w:val="003138EF"/>
    <w:rsid w:val="0031393F"/>
    <w:rsid w:val="00314A41"/>
    <w:rsid w:val="00315449"/>
    <w:rsid w:val="00316A1C"/>
    <w:rsid w:val="00320610"/>
    <w:rsid w:val="00321EF0"/>
    <w:rsid w:val="003223EB"/>
    <w:rsid w:val="00322597"/>
    <w:rsid w:val="00322961"/>
    <w:rsid w:val="003235D5"/>
    <w:rsid w:val="00323F1D"/>
    <w:rsid w:val="00324957"/>
    <w:rsid w:val="0032545F"/>
    <w:rsid w:val="00325530"/>
    <w:rsid w:val="00325FC0"/>
    <w:rsid w:val="00326045"/>
    <w:rsid w:val="00326525"/>
    <w:rsid w:val="00326784"/>
    <w:rsid w:val="00327672"/>
    <w:rsid w:val="00330B41"/>
    <w:rsid w:val="003315E3"/>
    <w:rsid w:val="0033231F"/>
    <w:rsid w:val="003323ED"/>
    <w:rsid w:val="003328E3"/>
    <w:rsid w:val="003329FF"/>
    <w:rsid w:val="003330FE"/>
    <w:rsid w:val="00333F3F"/>
    <w:rsid w:val="00334499"/>
    <w:rsid w:val="00334E43"/>
    <w:rsid w:val="0033703F"/>
    <w:rsid w:val="00337250"/>
    <w:rsid w:val="00340A12"/>
    <w:rsid w:val="00340F1E"/>
    <w:rsid w:val="00342231"/>
    <w:rsid w:val="00343D26"/>
    <w:rsid w:val="00344B15"/>
    <w:rsid w:val="003457AD"/>
    <w:rsid w:val="00345BD4"/>
    <w:rsid w:val="00345D4D"/>
    <w:rsid w:val="00347748"/>
    <w:rsid w:val="00347F49"/>
    <w:rsid w:val="003502FB"/>
    <w:rsid w:val="003503B4"/>
    <w:rsid w:val="0035094B"/>
    <w:rsid w:val="00350E7F"/>
    <w:rsid w:val="0035135F"/>
    <w:rsid w:val="00351621"/>
    <w:rsid w:val="0035195B"/>
    <w:rsid w:val="00351A0D"/>
    <w:rsid w:val="00351AE0"/>
    <w:rsid w:val="0035275F"/>
    <w:rsid w:val="00352C54"/>
    <w:rsid w:val="00353452"/>
    <w:rsid w:val="00354EFD"/>
    <w:rsid w:val="00355371"/>
    <w:rsid w:val="00356194"/>
    <w:rsid w:val="00356338"/>
    <w:rsid w:val="00357D33"/>
    <w:rsid w:val="00357FE0"/>
    <w:rsid w:val="00360091"/>
    <w:rsid w:val="0036062E"/>
    <w:rsid w:val="00360F77"/>
    <w:rsid w:val="00361A27"/>
    <w:rsid w:val="00361F9B"/>
    <w:rsid w:val="00362BC2"/>
    <w:rsid w:val="00363EE0"/>
    <w:rsid w:val="00367803"/>
    <w:rsid w:val="00370060"/>
    <w:rsid w:val="00370B11"/>
    <w:rsid w:val="00370E78"/>
    <w:rsid w:val="003710CE"/>
    <w:rsid w:val="003720B7"/>
    <w:rsid w:val="00372134"/>
    <w:rsid w:val="00372AFD"/>
    <w:rsid w:val="00372F5B"/>
    <w:rsid w:val="003732C8"/>
    <w:rsid w:val="00373D10"/>
    <w:rsid w:val="00373D5A"/>
    <w:rsid w:val="00374E14"/>
    <w:rsid w:val="003752D2"/>
    <w:rsid w:val="00375613"/>
    <w:rsid w:val="00376675"/>
    <w:rsid w:val="00376B2B"/>
    <w:rsid w:val="003771E5"/>
    <w:rsid w:val="0037740E"/>
    <w:rsid w:val="00377517"/>
    <w:rsid w:val="00377934"/>
    <w:rsid w:val="0038046D"/>
    <w:rsid w:val="00382406"/>
    <w:rsid w:val="00382D5B"/>
    <w:rsid w:val="0038367A"/>
    <w:rsid w:val="00383E23"/>
    <w:rsid w:val="003848F6"/>
    <w:rsid w:val="0038609A"/>
    <w:rsid w:val="003862C1"/>
    <w:rsid w:val="00386EE6"/>
    <w:rsid w:val="0038766C"/>
    <w:rsid w:val="003879B8"/>
    <w:rsid w:val="0039035F"/>
    <w:rsid w:val="003913C8"/>
    <w:rsid w:val="00391C3F"/>
    <w:rsid w:val="00392668"/>
    <w:rsid w:val="0039392D"/>
    <w:rsid w:val="003943BA"/>
    <w:rsid w:val="00394620"/>
    <w:rsid w:val="0039494D"/>
    <w:rsid w:val="00394F28"/>
    <w:rsid w:val="003954FD"/>
    <w:rsid w:val="00395BE0"/>
    <w:rsid w:val="00395F05"/>
    <w:rsid w:val="00396881"/>
    <w:rsid w:val="003970F9"/>
    <w:rsid w:val="00397DDB"/>
    <w:rsid w:val="003A03B4"/>
    <w:rsid w:val="003A0462"/>
    <w:rsid w:val="003A1682"/>
    <w:rsid w:val="003A1840"/>
    <w:rsid w:val="003A25F6"/>
    <w:rsid w:val="003A26FC"/>
    <w:rsid w:val="003A31D6"/>
    <w:rsid w:val="003A4172"/>
    <w:rsid w:val="003A4211"/>
    <w:rsid w:val="003A5097"/>
    <w:rsid w:val="003A5FF0"/>
    <w:rsid w:val="003A6F37"/>
    <w:rsid w:val="003A7182"/>
    <w:rsid w:val="003B102D"/>
    <w:rsid w:val="003B1246"/>
    <w:rsid w:val="003B133D"/>
    <w:rsid w:val="003B1DBC"/>
    <w:rsid w:val="003B30C2"/>
    <w:rsid w:val="003B4770"/>
    <w:rsid w:val="003B50F4"/>
    <w:rsid w:val="003B6505"/>
    <w:rsid w:val="003B7992"/>
    <w:rsid w:val="003C0894"/>
    <w:rsid w:val="003C0C13"/>
    <w:rsid w:val="003C1408"/>
    <w:rsid w:val="003C1B56"/>
    <w:rsid w:val="003C1D8B"/>
    <w:rsid w:val="003C23D8"/>
    <w:rsid w:val="003C28AC"/>
    <w:rsid w:val="003C2F8C"/>
    <w:rsid w:val="003C3382"/>
    <w:rsid w:val="003C3477"/>
    <w:rsid w:val="003C3567"/>
    <w:rsid w:val="003C36A9"/>
    <w:rsid w:val="003C3C99"/>
    <w:rsid w:val="003C6E12"/>
    <w:rsid w:val="003C73D3"/>
    <w:rsid w:val="003C7507"/>
    <w:rsid w:val="003C7AD3"/>
    <w:rsid w:val="003D0291"/>
    <w:rsid w:val="003D03C1"/>
    <w:rsid w:val="003D0F30"/>
    <w:rsid w:val="003D10C2"/>
    <w:rsid w:val="003D1952"/>
    <w:rsid w:val="003D2861"/>
    <w:rsid w:val="003D2910"/>
    <w:rsid w:val="003D3DC9"/>
    <w:rsid w:val="003D48C3"/>
    <w:rsid w:val="003D4BC7"/>
    <w:rsid w:val="003D4EDB"/>
    <w:rsid w:val="003D59D9"/>
    <w:rsid w:val="003D7AE5"/>
    <w:rsid w:val="003E00A9"/>
    <w:rsid w:val="003E0300"/>
    <w:rsid w:val="003E083B"/>
    <w:rsid w:val="003E0928"/>
    <w:rsid w:val="003E1064"/>
    <w:rsid w:val="003E12C7"/>
    <w:rsid w:val="003E1D24"/>
    <w:rsid w:val="003E21D2"/>
    <w:rsid w:val="003E2316"/>
    <w:rsid w:val="003E2353"/>
    <w:rsid w:val="003E2D37"/>
    <w:rsid w:val="003E35A5"/>
    <w:rsid w:val="003E421D"/>
    <w:rsid w:val="003E446F"/>
    <w:rsid w:val="003E484C"/>
    <w:rsid w:val="003E5A79"/>
    <w:rsid w:val="003E6818"/>
    <w:rsid w:val="003F04DE"/>
    <w:rsid w:val="003F0823"/>
    <w:rsid w:val="003F09E2"/>
    <w:rsid w:val="003F13CD"/>
    <w:rsid w:val="003F1BC3"/>
    <w:rsid w:val="003F2995"/>
    <w:rsid w:val="003F4BC3"/>
    <w:rsid w:val="003F544E"/>
    <w:rsid w:val="003F5A78"/>
    <w:rsid w:val="003F7023"/>
    <w:rsid w:val="003F7037"/>
    <w:rsid w:val="003F7908"/>
    <w:rsid w:val="00400952"/>
    <w:rsid w:val="004014D6"/>
    <w:rsid w:val="004017DA"/>
    <w:rsid w:val="00401E14"/>
    <w:rsid w:val="00401ED7"/>
    <w:rsid w:val="00402E7D"/>
    <w:rsid w:val="004053C4"/>
    <w:rsid w:val="00406559"/>
    <w:rsid w:val="00406602"/>
    <w:rsid w:val="0040662B"/>
    <w:rsid w:val="0040705B"/>
    <w:rsid w:val="00407454"/>
    <w:rsid w:val="004102F2"/>
    <w:rsid w:val="00410389"/>
    <w:rsid w:val="00410A27"/>
    <w:rsid w:val="00411F29"/>
    <w:rsid w:val="00412268"/>
    <w:rsid w:val="00413A55"/>
    <w:rsid w:val="00413F82"/>
    <w:rsid w:val="00414672"/>
    <w:rsid w:val="004147B4"/>
    <w:rsid w:val="004148CC"/>
    <w:rsid w:val="00415B7B"/>
    <w:rsid w:val="00415C48"/>
    <w:rsid w:val="00415C53"/>
    <w:rsid w:val="00415D73"/>
    <w:rsid w:val="00416310"/>
    <w:rsid w:val="00416425"/>
    <w:rsid w:val="004164AF"/>
    <w:rsid w:val="004168B8"/>
    <w:rsid w:val="0041764C"/>
    <w:rsid w:val="00417A44"/>
    <w:rsid w:val="00417D09"/>
    <w:rsid w:val="00417FBB"/>
    <w:rsid w:val="00420210"/>
    <w:rsid w:val="00420931"/>
    <w:rsid w:val="004211B6"/>
    <w:rsid w:val="0042123E"/>
    <w:rsid w:val="00421B10"/>
    <w:rsid w:val="00425EEA"/>
    <w:rsid w:val="00427198"/>
    <w:rsid w:val="004278BC"/>
    <w:rsid w:val="00431056"/>
    <w:rsid w:val="00431089"/>
    <w:rsid w:val="004311F3"/>
    <w:rsid w:val="0043203E"/>
    <w:rsid w:val="00432A27"/>
    <w:rsid w:val="004332DA"/>
    <w:rsid w:val="004335A9"/>
    <w:rsid w:val="0043381D"/>
    <w:rsid w:val="00433FC1"/>
    <w:rsid w:val="0043586C"/>
    <w:rsid w:val="00435AF2"/>
    <w:rsid w:val="00435C83"/>
    <w:rsid w:val="00435E3D"/>
    <w:rsid w:val="00435EB6"/>
    <w:rsid w:val="004368D3"/>
    <w:rsid w:val="004368DC"/>
    <w:rsid w:val="004369F2"/>
    <w:rsid w:val="00437074"/>
    <w:rsid w:val="004379A7"/>
    <w:rsid w:val="00437B4C"/>
    <w:rsid w:val="0044189A"/>
    <w:rsid w:val="00441A2F"/>
    <w:rsid w:val="004426FB"/>
    <w:rsid w:val="0044400A"/>
    <w:rsid w:val="0044452F"/>
    <w:rsid w:val="00444A3B"/>
    <w:rsid w:val="004464DE"/>
    <w:rsid w:val="004466C5"/>
    <w:rsid w:val="00447E2E"/>
    <w:rsid w:val="00450211"/>
    <w:rsid w:val="0045101F"/>
    <w:rsid w:val="00451036"/>
    <w:rsid w:val="00451100"/>
    <w:rsid w:val="0045237A"/>
    <w:rsid w:val="00453087"/>
    <w:rsid w:val="0045342A"/>
    <w:rsid w:val="00456C30"/>
    <w:rsid w:val="00456E80"/>
    <w:rsid w:val="0046002D"/>
    <w:rsid w:val="004606AB"/>
    <w:rsid w:val="0046099B"/>
    <w:rsid w:val="00460A36"/>
    <w:rsid w:val="00461351"/>
    <w:rsid w:val="0046147A"/>
    <w:rsid w:val="00462849"/>
    <w:rsid w:val="00463DFD"/>
    <w:rsid w:val="00463FCD"/>
    <w:rsid w:val="00465514"/>
    <w:rsid w:val="00466B5C"/>
    <w:rsid w:val="0046702A"/>
    <w:rsid w:val="00470208"/>
    <w:rsid w:val="00470424"/>
    <w:rsid w:val="00470846"/>
    <w:rsid w:val="00470FC1"/>
    <w:rsid w:val="0047220A"/>
    <w:rsid w:val="00472A10"/>
    <w:rsid w:val="00473B22"/>
    <w:rsid w:val="00473B4D"/>
    <w:rsid w:val="00473F4E"/>
    <w:rsid w:val="004744D9"/>
    <w:rsid w:val="0047498C"/>
    <w:rsid w:val="00474FB0"/>
    <w:rsid w:val="00475D83"/>
    <w:rsid w:val="004764E6"/>
    <w:rsid w:val="004770C6"/>
    <w:rsid w:val="00480418"/>
    <w:rsid w:val="0048093E"/>
    <w:rsid w:val="00480CA6"/>
    <w:rsid w:val="00481584"/>
    <w:rsid w:val="00481615"/>
    <w:rsid w:val="00481E28"/>
    <w:rsid w:val="00482A39"/>
    <w:rsid w:val="0048386F"/>
    <w:rsid w:val="00484099"/>
    <w:rsid w:val="00484DBE"/>
    <w:rsid w:val="004851A4"/>
    <w:rsid w:val="004866FA"/>
    <w:rsid w:val="00486915"/>
    <w:rsid w:val="00486F9E"/>
    <w:rsid w:val="00487B56"/>
    <w:rsid w:val="004938D7"/>
    <w:rsid w:val="004943A2"/>
    <w:rsid w:val="00494522"/>
    <w:rsid w:val="004945ED"/>
    <w:rsid w:val="00495537"/>
    <w:rsid w:val="00495EF3"/>
    <w:rsid w:val="0049623F"/>
    <w:rsid w:val="00497536"/>
    <w:rsid w:val="004A009B"/>
    <w:rsid w:val="004A0567"/>
    <w:rsid w:val="004A05A3"/>
    <w:rsid w:val="004A0E46"/>
    <w:rsid w:val="004A45EA"/>
    <w:rsid w:val="004A4E69"/>
    <w:rsid w:val="004A58D0"/>
    <w:rsid w:val="004A58FB"/>
    <w:rsid w:val="004A69A9"/>
    <w:rsid w:val="004A7E81"/>
    <w:rsid w:val="004B0320"/>
    <w:rsid w:val="004B0E82"/>
    <w:rsid w:val="004B1D23"/>
    <w:rsid w:val="004B2155"/>
    <w:rsid w:val="004B2301"/>
    <w:rsid w:val="004B28C3"/>
    <w:rsid w:val="004B2910"/>
    <w:rsid w:val="004B379C"/>
    <w:rsid w:val="004B4A77"/>
    <w:rsid w:val="004B4FAD"/>
    <w:rsid w:val="004B5E45"/>
    <w:rsid w:val="004B6126"/>
    <w:rsid w:val="004B73ED"/>
    <w:rsid w:val="004B7C3B"/>
    <w:rsid w:val="004B7F33"/>
    <w:rsid w:val="004C0553"/>
    <w:rsid w:val="004C14E7"/>
    <w:rsid w:val="004C162E"/>
    <w:rsid w:val="004C3307"/>
    <w:rsid w:val="004C399C"/>
    <w:rsid w:val="004C39DF"/>
    <w:rsid w:val="004C3E55"/>
    <w:rsid w:val="004C42D3"/>
    <w:rsid w:val="004C4B56"/>
    <w:rsid w:val="004C5BA1"/>
    <w:rsid w:val="004C5E0A"/>
    <w:rsid w:val="004C6A81"/>
    <w:rsid w:val="004C6B70"/>
    <w:rsid w:val="004C6E31"/>
    <w:rsid w:val="004D1586"/>
    <w:rsid w:val="004D1AE9"/>
    <w:rsid w:val="004D1EDE"/>
    <w:rsid w:val="004D2785"/>
    <w:rsid w:val="004D336C"/>
    <w:rsid w:val="004D38BC"/>
    <w:rsid w:val="004D3D76"/>
    <w:rsid w:val="004D4AD0"/>
    <w:rsid w:val="004D5896"/>
    <w:rsid w:val="004D5F5D"/>
    <w:rsid w:val="004D6477"/>
    <w:rsid w:val="004D67C1"/>
    <w:rsid w:val="004D686A"/>
    <w:rsid w:val="004D6E82"/>
    <w:rsid w:val="004D738A"/>
    <w:rsid w:val="004D7A3D"/>
    <w:rsid w:val="004D7BC0"/>
    <w:rsid w:val="004E09CC"/>
    <w:rsid w:val="004E0B1C"/>
    <w:rsid w:val="004E213A"/>
    <w:rsid w:val="004E2700"/>
    <w:rsid w:val="004E2884"/>
    <w:rsid w:val="004E3BD6"/>
    <w:rsid w:val="004E3C2E"/>
    <w:rsid w:val="004E41D3"/>
    <w:rsid w:val="004E4807"/>
    <w:rsid w:val="004E4C59"/>
    <w:rsid w:val="004E57CD"/>
    <w:rsid w:val="004E5BB2"/>
    <w:rsid w:val="004E5FB4"/>
    <w:rsid w:val="004E6934"/>
    <w:rsid w:val="004E70DB"/>
    <w:rsid w:val="004E77D0"/>
    <w:rsid w:val="004F0E36"/>
    <w:rsid w:val="004F1B05"/>
    <w:rsid w:val="004F1D94"/>
    <w:rsid w:val="004F29A7"/>
    <w:rsid w:val="004F38F2"/>
    <w:rsid w:val="004F3B4F"/>
    <w:rsid w:val="004F3B78"/>
    <w:rsid w:val="004F4432"/>
    <w:rsid w:val="004F449E"/>
    <w:rsid w:val="004F4828"/>
    <w:rsid w:val="004F491F"/>
    <w:rsid w:val="004F57D5"/>
    <w:rsid w:val="004F7423"/>
    <w:rsid w:val="004F760F"/>
    <w:rsid w:val="004F7B71"/>
    <w:rsid w:val="004F7FF2"/>
    <w:rsid w:val="00500DA6"/>
    <w:rsid w:val="00500F05"/>
    <w:rsid w:val="00501221"/>
    <w:rsid w:val="00503910"/>
    <w:rsid w:val="00503B16"/>
    <w:rsid w:val="005048EC"/>
    <w:rsid w:val="0050566E"/>
    <w:rsid w:val="00506482"/>
    <w:rsid w:val="005076B5"/>
    <w:rsid w:val="00511793"/>
    <w:rsid w:val="00512A95"/>
    <w:rsid w:val="0051364D"/>
    <w:rsid w:val="00513CC7"/>
    <w:rsid w:val="00513CD9"/>
    <w:rsid w:val="005149DA"/>
    <w:rsid w:val="00514FFC"/>
    <w:rsid w:val="00516EFE"/>
    <w:rsid w:val="00517453"/>
    <w:rsid w:val="0051796B"/>
    <w:rsid w:val="00517EFD"/>
    <w:rsid w:val="00520897"/>
    <w:rsid w:val="00521765"/>
    <w:rsid w:val="00522547"/>
    <w:rsid w:val="0052265F"/>
    <w:rsid w:val="00523588"/>
    <w:rsid w:val="0052372C"/>
    <w:rsid w:val="00523AE9"/>
    <w:rsid w:val="00523FA6"/>
    <w:rsid w:val="005243A3"/>
    <w:rsid w:val="00524FE9"/>
    <w:rsid w:val="00525E71"/>
    <w:rsid w:val="0052603C"/>
    <w:rsid w:val="00526203"/>
    <w:rsid w:val="00526844"/>
    <w:rsid w:val="00527E2E"/>
    <w:rsid w:val="0053006D"/>
    <w:rsid w:val="00530454"/>
    <w:rsid w:val="005332F2"/>
    <w:rsid w:val="005332FA"/>
    <w:rsid w:val="00534181"/>
    <w:rsid w:val="005350FF"/>
    <w:rsid w:val="00535F42"/>
    <w:rsid w:val="005367DF"/>
    <w:rsid w:val="0053692B"/>
    <w:rsid w:val="00536CE2"/>
    <w:rsid w:val="005378D3"/>
    <w:rsid w:val="00540213"/>
    <w:rsid w:val="00540233"/>
    <w:rsid w:val="005418E6"/>
    <w:rsid w:val="00541C3A"/>
    <w:rsid w:val="00541F16"/>
    <w:rsid w:val="005431BC"/>
    <w:rsid w:val="00543297"/>
    <w:rsid w:val="00544CEA"/>
    <w:rsid w:val="00544F1D"/>
    <w:rsid w:val="005457B6"/>
    <w:rsid w:val="00545CAA"/>
    <w:rsid w:val="00546D7E"/>
    <w:rsid w:val="00547684"/>
    <w:rsid w:val="00547791"/>
    <w:rsid w:val="005501A4"/>
    <w:rsid w:val="00550344"/>
    <w:rsid w:val="00550BE5"/>
    <w:rsid w:val="00551B9A"/>
    <w:rsid w:val="005526E0"/>
    <w:rsid w:val="00552AA3"/>
    <w:rsid w:val="00553243"/>
    <w:rsid w:val="0055405E"/>
    <w:rsid w:val="005544D2"/>
    <w:rsid w:val="00554B20"/>
    <w:rsid w:val="00554D17"/>
    <w:rsid w:val="00555642"/>
    <w:rsid w:val="005600C8"/>
    <w:rsid w:val="005600D6"/>
    <w:rsid w:val="0056092B"/>
    <w:rsid w:val="005613A9"/>
    <w:rsid w:val="00561E6D"/>
    <w:rsid w:val="0056240C"/>
    <w:rsid w:val="0056253D"/>
    <w:rsid w:val="00562BD4"/>
    <w:rsid w:val="005633D8"/>
    <w:rsid w:val="00563EC6"/>
    <w:rsid w:val="00564607"/>
    <w:rsid w:val="0056482A"/>
    <w:rsid w:val="00564AA6"/>
    <w:rsid w:val="00564B9B"/>
    <w:rsid w:val="00565B25"/>
    <w:rsid w:val="0056618E"/>
    <w:rsid w:val="00566684"/>
    <w:rsid w:val="0056700C"/>
    <w:rsid w:val="0057057D"/>
    <w:rsid w:val="0057131C"/>
    <w:rsid w:val="0057194A"/>
    <w:rsid w:val="00571DAD"/>
    <w:rsid w:val="005725CB"/>
    <w:rsid w:val="005727BA"/>
    <w:rsid w:val="0057330B"/>
    <w:rsid w:val="00574213"/>
    <w:rsid w:val="00574405"/>
    <w:rsid w:val="00575FF3"/>
    <w:rsid w:val="005764F9"/>
    <w:rsid w:val="00576531"/>
    <w:rsid w:val="005767A9"/>
    <w:rsid w:val="005769C7"/>
    <w:rsid w:val="00576C06"/>
    <w:rsid w:val="00576CE8"/>
    <w:rsid w:val="00580767"/>
    <w:rsid w:val="005809D1"/>
    <w:rsid w:val="00580FB6"/>
    <w:rsid w:val="00582007"/>
    <w:rsid w:val="005825EE"/>
    <w:rsid w:val="0058471E"/>
    <w:rsid w:val="0058486E"/>
    <w:rsid w:val="00586086"/>
    <w:rsid w:val="005871E1"/>
    <w:rsid w:val="00587325"/>
    <w:rsid w:val="00591810"/>
    <w:rsid w:val="00591CB2"/>
    <w:rsid w:val="00591FDB"/>
    <w:rsid w:val="00592B22"/>
    <w:rsid w:val="005933EC"/>
    <w:rsid w:val="0059396D"/>
    <w:rsid w:val="0059406F"/>
    <w:rsid w:val="005942AE"/>
    <w:rsid w:val="00595A09"/>
    <w:rsid w:val="00595AB8"/>
    <w:rsid w:val="005969E8"/>
    <w:rsid w:val="00597777"/>
    <w:rsid w:val="0059792B"/>
    <w:rsid w:val="005A04C2"/>
    <w:rsid w:val="005A2033"/>
    <w:rsid w:val="005A25F8"/>
    <w:rsid w:val="005A2C39"/>
    <w:rsid w:val="005A3046"/>
    <w:rsid w:val="005A3BC7"/>
    <w:rsid w:val="005A3D49"/>
    <w:rsid w:val="005A3EC4"/>
    <w:rsid w:val="005A47CD"/>
    <w:rsid w:val="005A49AD"/>
    <w:rsid w:val="005A5453"/>
    <w:rsid w:val="005A557E"/>
    <w:rsid w:val="005A6B64"/>
    <w:rsid w:val="005A7524"/>
    <w:rsid w:val="005A7AD1"/>
    <w:rsid w:val="005A7EA7"/>
    <w:rsid w:val="005B0627"/>
    <w:rsid w:val="005B0AA2"/>
    <w:rsid w:val="005B1BEC"/>
    <w:rsid w:val="005B1DE4"/>
    <w:rsid w:val="005B263F"/>
    <w:rsid w:val="005B3CD2"/>
    <w:rsid w:val="005B50EC"/>
    <w:rsid w:val="005B6911"/>
    <w:rsid w:val="005B76A8"/>
    <w:rsid w:val="005C0C9C"/>
    <w:rsid w:val="005C10D6"/>
    <w:rsid w:val="005C12DC"/>
    <w:rsid w:val="005C1A31"/>
    <w:rsid w:val="005C1AC4"/>
    <w:rsid w:val="005C1CA7"/>
    <w:rsid w:val="005C20EB"/>
    <w:rsid w:val="005C367E"/>
    <w:rsid w:val="005C3744"/>
    <w:rsid w:val="005C3B08"/>
    <w:rsid w:val="005C3E77"/>
    <w:rsid w:val="005C40F8"/>
    <w:rsid w:val="005C44C4"/>
    <w:rsid w:val="005C5998"/>
    <w:rsid w:val="005C628D"/>
    <w:rsid w:val="005C6DEE"/>
    <w:rsid w:val="005C71B8"/>
    <w:rsid w:val="005D0789"/>
    <w:rsid w:val="005D0D33"/>
    <w:rsid w:val="005D0E0F"/>
    <w:rsid w:val="005D1D00"/>
    <w:rsid w:val="005D3CAD"/>
    <w:rsid w:val="005D4836"/>
    <w:rsid w:val="005D5B59"/>
    <w:rsid w:val="005D5D31"/>
    <w:rsid w:val="005D6D54"/>
    <w:rsid w:val="005D70C4"/>
    <w:rsid w:val="005D7220"/>
    <w:rsid w:val="005E0042"/>
    <w:rsid w:val="005E0749"/>
    <w:rsid w:val="005E0D5D"/>
    <w:rsid w:val="005E0DB8"/>
    <w:rsid w:val="005E0E5C"/>
    <w:rsid w:val="005E148B"/>
    <w:rsid w:val="005E1E46"/>
    <w:rsid w:val="005E2362"/>
    <w:rsid w:val="005E41FE"/>
    <w:rsid w:val="005E55AE"/>
    <w:rsid w:val="005E60AE"/>
    <w:rsid w:val="005E60CA"/>
    <w:rsid w:val="005E6AC3"/>
    <w:rsid w:val="005E7CAA"/>
    <w:rsid w:val="005E7EF9"/>
    <w:rsid w:val="005F0186"/>
    <w:rsid w:val="005F1EA5"/>
    <w:rsid w:val="005F31DD"/>
    <w:rsid w:val="005F342B"/>
    <w:rsid w:val="005F3438"/>
    <w:rsid w:val="005F34EF"/>
    <w:rsid w:val="005F4BB8"/>
    <w:rsid w:val="005F4F13"/>
    <w:rsid w:val="005F4FA3"/>
    <w:rsid w:val="005F51A8"/>
    <w:rsid w:val="005F54DD"/>
    <w:rsid w:val="005F5FD0"/>
    <w:rsid w:val="005F60C3"/>
    <w:rsid w:val="005F7BB1"/>
    <w:rsid w:val="005F7CAC"/>
    <w:rsid w:val="005F7EE4"/>
    <w:rsid w:val="0060068B"/>
    <w:rsid w:val="00600708"/>
    <w:rsid w:val="00601926"/>
    <w:rsid w:val="00601E31"/>
    <w:rsid w:val="00603708"/>
    <w:rsid w:val="00604649"/>
    <w:rsid w:val="00605423"/>
    <w:rsid w:val="00605452"/>
    <w:rsid w:val="006058BC"/>
    <w:rsid w:val="00605C37"/>
    <w:rsid w:val="006061CA"/>
    <w:rsid w:val="0060631A"/>
    <w:rsid w:val="006103FF"/>
    <w:rsid w:val="00610596"/>
    <w:rsid w:val="006107B0"/>
    <w:rsid w:val="006109E3"/>
    <w:rsid w:val="006119FE"/>
    <w:rsid w:val="00611B28"/>
    <w:rsid w:val="0061208C"/>
    <w:rsid w:val="006128FE"/>
    <w:rsid w:val="00612C3E"/>
    <w:rsid w:val="00614C8B"/>
    <w:rsid w:val="00615269"/>
    <w:rsid w:val="00615B00"/>
    <w:rsid w:val="00615B63"/>
    <w:rsid w:val="00615EA1"/>
    <w:rsid w:val="006164CD"/>
    <w:rsid w:val="006169A2"/>
    <w:rsid w:val="006201B5"/>
    <w:rsid w:val="0062047E"/>
    <w:rsid w:val="00620776"/>
    <w:rsid w:val="00620ACC"/>
    <w:rsid w:val="0062130D"/>
    <w:rsid w:val="006215E1"/>
    <w:rsid w:val="00621D5A"/>
    <w:rsid w:val="00622434"/>
    <w:rsid w:val="00622458"/>
    <w:rsid w:val="00623748"/>
    <w:rsid w:val="00623B41"/>
    <w:rsid w:val="00623EE1"/>
    <w:rsid w:val="00625E64"/>
    <w:rsid w:val="00627889"/>
    <w:rsid w:val="00630D3A"/>
    <w:rsid w:val="006314E2"/>
    <w:rsid w:val="006318C8"/>
    <w:rsid w:val="00631A57"/>
    <w:rsid w:val="00632715"/>
    <w:rsid w:val="00632C4B"/>
    <w:rsid w:val="00632E9E"/>
    <w:rsid w:val="006335C0"/>
    <w:rsid w:val="00633E9E"/>
    <w:rsid w:val="00634144"/>
    <w:rsid w:val="006354AF"/>
    <w:rsid w:val="00636F7F"/>
    <w:rsid w:val="00637824"/>
    <w:rsid w:val="006400F7"/>
    <w:rsid w:val="00640479"/>
    <w:rsid w:val="00640C94"/>
    <w:rsid w:val="00640DB5"/>
    <w:rsid w:val="00640EEB"/>
    <w:rsid w:val="0064232C"/>
    <w:rsid w:val="006437FB"/>
    <w:rsid w:val="00643872"/>
    <w:rsid w:val="00644145"/>
    <w:rsid w:val="00644F75"/>
    <w:rsid w:val="0064559C"/>
    <w:rsid w:val="00645E1A"/>
    <w:rsid w:val="006464D7"/>
    <w:rsid w:val="00647BFA"/>
    <w:rsid w:val="00647C8D"/>
    <w:rsid w:val="006507E4"/>
    <w:rsid w:val="00650B71"/>
    <w:rsid w:val="00650C18"/>
    <w:rsid w:val="006512DB"/>
    <w:rsid w:val="00652315"/>
    <w:rsid w:val="00653453"/>
    <w:rsid w:val="0065404E"/>
    <w:rsid w:val="006542FB"/>
    <w:rsid w:val="0065580F"/>
    <w:rsid w:val="00655C27"/>
    <w:rsid w:val="00655F5A"/>
    <w:rsid w:val="006563C8"/>
    <w:rsid w:val="00656C28"/>
    <w:rsid w:val="00657563"/>
    <w:rsid w:val="006579EE"/>
    <w:rsid w:val="00661FC0"/>
    <w:rsid w:val="00662C5E"/>
    <w:rsid w:val="00662D5E"/>
    <w:rsid w:val="00662FA0"/>
    <w:rsid w:val="006630A2"/>
    <w:rsid w:val="00664273"/>
    <w:rsid w:val="0066532F"/>
    <w:rsid w:val="006655B7"/>
    <w:rsid w:val="00665BDA"/>
    <w:rsid w:val="00666342"/>
    <w:rsid w:val="00666C72"/>
    <w:rsid w:val="00670959"/>
    <w:rsid w:val="0067105A"/>
    <w:rsid w:val="006710B4"/>
    <w:rsid w:val="00671D24"/>
    <w:rsid w:val="00671F3D"/>
    <w:rsid w:val="006741FB"/>
    <w:rsid w:val="00674948"/>
    <w:rsid w:val="006751E3"/>
    <w:rsid w:val="006758DE"/>
    <w:rsid w:val="00675F93"/>
    <w:rsid w:val="006765CE"/>
    <w:rsid w:val="006806A9"/>
    <w:rsid w:val="00680843"/>
    <w:rsid w:val="00680BEB"/>
    <w:rsid w:val="00681744"/>
    <w:rsid w:val="0068265D"/>
    <w:rsid w:val="00682D37"/>
    <w:rsid w:val="00682EE1"/>
    <w:rsid w:val="00683309"/>
    <w:rsid w:val="006835C0"/>
    <w:rsid w:val="0068474B"/>
    <w:rsid w:val="006847A1"/>
    <w:rsid w:val="00685344"/>
    <w:rsid w:val="00685688"/>
    <w:rsid w:val="006864EA"/>
    <w:rsid w:val="00687F9D"/>
    <w:rsid w:val="006905E1"/>
    <w:rsid w:val="00690D1C"/>
    <w:rsid w:val="00691250"/>
    <w:rsid w:val="00691269"/>
    <w:rsid w:val="006928DD"/>
    <w:rsid w:val="00693B59"/>
    <w:rsid w:val="00693CB3"/>
    <w:rsid w:val="00695E0F"/>
    <w:rsid w:val="006960E1"/>
    <w:rsid w:val="00696FD5"/>
    <w:rsid w:val="006A064E"/>
    <w:rsid w:val="006A0737"/>
    <w:rsid w:val="006A0AAA"/>
    <w:rsid w:val="006A2307"/>
    <w:rsid w:val="006A2371"/>
    <w:rsid w:val="006A2E94"/>
    <w:rsid w:val="006A340A"/>
    <w:rsid w:val="006A37BB"/>
    <w:rsid w:val="006A4B84"/>
    <w:rsid w:val="006A4E80"/>
    <w:rsid w:val="006A51AA"/>
    <w:rsid w:val="006A58C3"/>
    <w:rsid w:val="006A5C80"/>
    <w:rsid w:val="006A6AD4"/>
    <w:rsid w:val="006A6CFB"/>
    <w:rsid w:val="006A6F86"/>
    <w:rsid w:val="006A70EF"/>
    <w:rsid w:val="006B0023"/>
    <w:rsid w:val="006B0839"/>
    <w:rsid w:val="006B0DC3"/>
    <w:rsid w:val="006B1421"/>
    <w:rsid w:val="006B1674"/>
    <w:rsid w:val="006B189A"/>
    <w:rsid w:val="006B20E2"/>
    <w:rsid w:val="006B367B"/>
    <w:rsid w:val="006B3D96"/>
    <w:rsid w:val="006B411E"/>
    <w:rsid w:val="006B583F"/>
    <w:rsid w:val="006B5DFC"/>
    <w:rsid w:val="006B6824"/>
    <w:rsid w:val="006B6F81"/>
    <w:rsid w:val="006B7C40"/>
    <w:rsid w:val="006C01B0"/>
    <w:rsid w:val="006C036E"/>
    <w:rsid w:val="006C059D"/>
    <w:rsid w:val="006C0782"/>
    <w:rsid w:val="006C2884"/>
    <w:rsid w:val="006C2E74"/>
    <w:rsid w:val="006C3988"/>
    <w:rsid w:val="006C56FD"/>
    <w:rsid w:val="006C5CFB"/>
    <w:rsid w:val="006C696D"/>
    <w:rsid w:val="006C6DC4"/>
    <w:rsid w:val="006C6F75"/>
    <w:rsid w:val="006C75E4"/>
    <w:rsid w:val="006C7776"/>
    <w:rsid w:val="006C7A69"/>
    <w:rsid w:val="006D09CE"/>
    <w:rsid w:val="006D19A6"/>
    <w:rsid w:val="006D2731"/>
    <w:rsid w:val="006D287E"/>
    <w:rsid w:val="006D2E54"/>
    <w:rsid w:val="006D3270"/>
    <w:rsid w:val="006D32AA"/>
    <w:rsid w:val="006D41A3"/>
    <w:rsid w:val="006D4346"/>
    <w:rsid w:val="006D5058"/>
    <w:rsid w:val="006D5B14"/>
    <w:rsid w:val="006D679E"/>
    <w:rsid w:val="006D7190"/>
    <w:rsid w:val="006D7204"/>
    <w:rsid w:val="006D7675"/>
    <w:rsid w:val="006D7930"/>
    <w:rsid w:val="006D7E7C"/>
    <w:rsid w:val="006D7F82"/>
    <w:rsid w:val="006E13DC"/>
    <w:rsid w:val="006E1802"/>
    <w:rsid w:val="006E19F9"/>
    <w:rsid w:val="006E1A18"/>
    <w:rsid w:val="006E2242"/>
    <w:rsid w:val="006E2419"/>
    <w:rsid w:val="006E27B6"/>
    <w:rsid w:val="006E2AD6"/>
    <w:rsid w:val="006E33C9"/>
    <w:rsid w:val="006E4062"/>
    <w:rsid w:val="006E4283"/>
    <w:rsid w:val="006E44CB"/>
    <w:rsid w:val="006E48E0"/>
    <w:rsid w:val="006E5689"/>
    <w:rsid w:val="006E647B"/>
    <w:rsid w:val="006E6F32"/>
    <w:rsid w:val="006E7AE7"/>
    <w:rsid w:val="006F0013"/>
    <w:rsid w:val="006F0C23"/>
    <w:rsid w:val="006F12E8"/>
    <w:rsid w:val="006F21A1"/>
    <w:rsid w:val="006F28E1"/>
    <w:rsid w:val="006F2D14"/>
    <w:rsid w:val="006F300D"/>
    <w:rsid w:val="006F327D"/>
    <w:rsid w:val="006F4183"/>
    <w:rsid w:val="006F4414"/>
    <w:rsid w:val="006F5035"/>
    <w:rsid w:val="006F5AD5"/>
    <w:rsid w:val="006F5FDF"/>
    <w:rsid w:val="006F63F6"/>
    <w:rsid w:val="006F6655"/>
    <w:rsid w:val="006F6AF1"/>
    <w:rsid w:val="006F7848"/>
    <w:rsid w:val="007005B7"/>
    <w:rsid w:val="007008B2"/>
    <w:rsid w:val="00700CD5"/>
    <w:rsid w:val="00701006"/>
    <w:rsid w:val="007019B9"/>
    <w:rsid w:val="0070414F"/>
    <w:rsid w:val="00704BC9"/>
    <w:rsid w:val="00704CA9"/>
    <w:rsid w:val="00704D14"/>
    <w:rsid w:val="007055A4"/>
    <w:rsid w:val="00705E87"/>
    <w:rsid w:val="00706AFB"/>
    <w:rsid w:val="007074E5"/>
    <w:rsid w:val="00707600"/>
    <w:rsid w:val="00710B49"/>
    <w:rsid w:val="0071111E"/>
    <w:rsid w:val="00713457"/>
    <w:rsid w:val="007138CF"/>
    <w:rsid w:val="00713B32"/>
    <w:rsid w:val="00714B3E"/>
    <w:rsid w:val="00714BE1"/>
    <w:rsid w:val="00717352"/>
    <w:rsid w:val="00717E7A"/>
    <w:rsid w:val="00717ED4"/>
    <w:rsid w:val="0072029C"/>
    <w:rsid w:val="00720E98"/>
    <w:rsid w:val="007214B5"/>
    <w:rsid w:val="00721EBE"/>
    <w:rsid w:val="00723580"/>
    <w:rsid w:val="007239D1"/>
    <w:rsid w:val="00724003"/>
    <w:rsid w:val="0072525C"/>
    <w:rsid w:val="00725595"/>
    <w:rsid w:val="00725A7F"/>
    <w:rsid w:val="00726212"/>
    <w:rsid w:val="00730283"/>
    <w:rsid w:val="00731227"/>
    <w:rsid w:val="007312AF"/>
    <w:rsid w:val="00731571"/>
    <w:rsid w:val="007315CD"/>
    <w:rsid w:val="00731AFE"/>
    <w:rsid w:val="007337E0"/>
    <w:rsid w:val="00733C5C"/>
    <w:rsid w:val="00733DCA"/>
    <w:rsid w:val="00733F9E"/>
    <w:rsid w:val="007340DF"/>
    <w:rsid w:val="00734126"/>
    <w:rsid w:val="00735044"/>
    <w:rsid w:val="007359FE"/>
    <w:rsid w:val="00737007"/>
    <w:rsid w:val="007370E1"/>
    <w:rsid w:val="0073760E"/>
    <w:rsid w:val="00737AB4"/>
    <w:rsid w:val="00737C81"/>
    <w:rsid w:val="007409F5"/>
    <w:rsid w:val="0074274A"/>
    <w:rsid w:val="00743ACB"/>
    <w:rsid w:val="00744F23"/>
    <w:rsid w:val="007453B1"/>
    <w:rsid w:val="00745A93"/>
    <w:rsid w:val="007462FB"/>
    <w:rsid w:val="007469F5"/>
    <w:rsid w:val="0074722F"/>
    <w:rsid w:val="0074724C"/>
    <w:rsid w:val="00747335"/>
    <w:rsid w:val="00750B5B"/>
    <w:rsid w:val="00750C51"/>
    <w:rsid w:val="00750CBA"/>
    <w:rsid w:val="0075180A"/>
    <w:rsid w:val="007518F5"/>
    <w:rsid w:val="00751A52"/>
    <w:rsid w:val="00751FAA"/>
    <w:rsid w:val="0075233B"/>
    <w:rsid w:val="00752695"/>
    <w:rsid w:val="00752EA0"/>
    <w:rsid w:val="00753B3F"/>
    <w:rsid w:val="00753B69"/>
    <w:rsid w:val="0075444F"/>
    <w:rsid w:val="00754D4A"/>
    <w:rsid w:val="00755BF5"/>
    <w:rsid w:val="00756FA3"/>
    <w:rsid w:val="00760AB1"/>
    <w:rsid w:val="0076137E"/>
    <w:rsid w:val="007618BB"/>
    <w:rsid w:val="00762443"/>
    <w:rsid w:val="007624C0"/>
    <w:rsid w:val="0076250D"/>
    <w:rsid w:val="00762BD2"/>
    <w:rsid w:val="00763A51"/>
    <w:rsid w:val="00763E42"/>
    <w:rsid w:val="00764075"/>
    <w:rsid w:val="007640FF"/>
    <w:rsid w:val="00764B05"/>
    <w:rsid w:val="00764C23"/>
    <w:rsid w:val="00765564"/>
    <w:rsid w:val="007665CD"/>
    <w:rsid w:val="00766B3B"/>
    <w:rsid w:val="0076730A"/>
    <w:rsid w:val="0077193A"/>
    <w:rsid w:val="007730BC"/>
    <w:rsid w:val="00775EB3"/>
    <w:rsid w:val="00777724"/>
    <w:rsid w:val="00777731"/>
    <w:rsid w:val="00780653"/>
    <w:rsid w:val="00780E16"/>
    <w:rsid w:val="007810AC"/>
    <w:rsid w:val="00781615"/>
    <w:rsid w:val="0078257E"/>
    <w:rsid w:val="00783236"/>
    <w:rsid w:val="00783560"/>
    <w:rsid w:val="00784206"/>
    <w:rsid w:val="007848DE"/>
    <w:rsid w:val="00785AD8"/>
    <w:rsid w:val="00787896"/>
    <w:rsid w:val="0079032D"/>
    <w:rsid w:val="00790B7B"/>
    <w:rsid w:val="007914A7"/>
    <w:rsid w:val="007914B1"/>
    <w:rsid w:val="0079196B"/>
    <w:rsid w:val="00791CCF"/>
    <w:rsid w:val="00792924"/>
    <w:rsid w:val="007929AA"/>
    <w:rsid w:val="00792A14"/>
    <w:rsid w:val="00793DD1"/>
    <w:rsid w:val="007942C4"/>
    <w:rsid w:val="0079507E"/>
    <w:rsid w:val="00796420"/>
    <w:rsid w:val="007968C1"/>
    <w:rsid w:val="007979D2"/>
    <w:rsid w:val="007A0897"/>
    <w:rsid w:val="007A16C5"/>
    <w:rsid w:val="007A1A54"/>
    <w:rsid w:val="007A1DBA"/>
    <w:rsid w:val="007A22F5"/>
    <w:rsid w:val="007A257C"/>
    <w:rsid w:val="007A2649"/>
    <w:rsid w:val="007A3BE8"/>
    <w:rsid w:val="007A4556"/>
    <w:rsid w:val="007A5C18"/>
    <w:rsid w:val="007A6294"/>
    <w:rsid w:val="007A678A"/>
    <w:rsid w:val="007B0A46"/>
    <w:rsid w:val="007B0FA2"/>
    <w:rsid w:val="007B12D5"/>
    <w:rsid w:val="007B23A7"/>
    <w:rsid w:val="007B24B3"/>
    <w:rsid w:val="007B33E0"/>
    <w:rsid w:val="007B41B4"/>
    <w:rsid w:val="007B468C"/>
    <w:rsid w:val="007B57FF"/>
    <w:rsid w:val="007B5995"/>
    <w:rsid w:val="007B5F21"/>
    <w:rsid w:val="007B6695"/>
    <w:rsid w:val="007B6F92"/>
    <w:rsid w:val="007B7680"/>
    <w:rsid w:val="007C058A"/>
    <w:rsid w:val="007C39F7"/>
    <w:rsid w:val="007C3E83"/>
    <w:rsid w:val="007C5D99"/>
    <w:rsid w:val="007C6BCE"/>
    <w:rsid w:val="007C7934"/>
    <w:rsid w:val="007C7BA1"/>
    <w:rsid w:val="007D0398"/>
    <w:rsid w:val="007D0A33"/>
    <w:rsid w:val="007D2190"/>
    <w:rsid w:val="007D286D"/>
    <w:rsid w:val="007D2BE7"/>
    <w:rsid w:val="007D354E"/>
    <w:rsid w:val="007D4F99"/>
    <w:rsid w:val="007D79B9"/>
    <w:rsid w:val="007E0720"/>
    <w:rsid w:val="007E0A60"/>
    <w:rsid w:val="007E1887"/>
    <w:rsid w:val="007E195C"/>
    <w:rsid w:val="007E1CDA"/>
    <w:rsid w:val="007E1D1F"/>
    <w:rsid w:val="007E31E4"/>
    <w:rsid w:val="007E36A9"/>
    <w:rsid w:val="007E3B8D"/>
    <w:rsid w:val="007E3E87"/>
    <w:rsid w:val="007E3EF3"/>
    <w:rsid w:val="007E4023"/>
    <w:rsid w:val="007E58B5"/>
    <w:rsid w:val="007E6F6F"/>
    <w:rsid w:val="007E7B2B"/>
    <w:rsid w:val="007E7B32"/>
    <w:rsid w:val="007E7E92"/>
    <w:rsid w:val="007F0704"/>
    <w:rsid w:val="007F11D6"/>
    <w:rsid w:val="007F2293"/>
    <w:rsid w:val="007F24AF"/>
    <w:rsid w:val="007F3707"/>
    <w:rsid w:val="007F4A12"/>
    <w:rsid w:val="007F6427"/>
    <w:rsid w:val="007F6DB6"/>
    <w:rsid w:val="007F7AC5"/>
    <w:rsid w:val="00800692"/>
    <w:rsid w:val="00801C7B"/>
    <w:rsid w:val="00801FD2"/>
    <w:rsid w:val="00803B7B"/>
    <w:rsid w:val="00803C9C"/>
    <w:rsid w:val="008045EF"/>
    <w:rsid w:val="00804A8A"/>
    <w:rsid w:val="00804FC2"/>
    <w:rsid w:val="008055E4"/>
    <w:rsid w:val="00805D65"/>
    <w:rsid w:val="00806040"/>
    <w:rsid w:val="00806075"/>
    <w:rsid w:val="00807602"/>
    <w:rsid w:val="00812D70"/>
    <w:rsid w:val="00812D7A"/>
    <w:rsid w:val="008134E4"/>
    <w:rsid w:val="0081504C"/>
    <w:rsid w:val="00815F84"/>
    <w:rsid w:val="008162B0"/>
    <w:rsid w:val="0081743D"/>
    <w:rsid w:val="0081760B"/>
    <w:rsid w:val="008210BC"/>
    <w:rsid w:val="008212C2"/>
    <w:rsid w:val="0082198F"/>
    <w:rsid w:val="00822E79"/>
    <w:rsid w:val="00822FA7"/>
    <w:rsid w:val="00824ACD"/>
    <w:rsid w:val="00825038"/>
    <w:rsid w:val="00825501"/>
    <w:rsid w:val="00825DBC"/>
    <w:rsid w:val="0082758E"/>
    <w:rsid w:val="0083024D"/>
    <w:rsid w:val="00830B43"/>
    <w:rsid w:val="008313A0"/>
    <w:rsid w:val="0083157D"/>
    <w:rsid w:val="0083229E"/>
    <w:rsid w:val="00832498"/>
    <w:rsid w:val="00833C0F"/>
    <w:rsid w:val="00835318"/>
    <w:rsid w:val="00835C63"/>
    <w:rsid w:val="00836772"/>
    <w:rsid w:val="00836EF2"/>
    <w:rsid w:val="00837581"/>
    <w:rsid w:val="00840E51"/>
    <w:rsid w:val="00843845"/>
    <w:rsid w:val="0084474D"/>
    <w:rsid w:val="00844CB2"/>
    <w:rsid w:val="00844D94"/>
    <w:rsid w:val="00845488"/>
    <w:rsid w:val="0084575C"/>
    <w:rsid w:val="00846765"/>
    <w:rsid w:val="00847E96"/>
    <w:rsid w:val="00850A13"/>
    <w:rsid w:val="00850AA4"/>
    <w:rsid w:val="008515C2"/>
    <w:rsid w:val="0085234E"/>
    <w:rsid w:val="0085335A"/>
    <w:rsid w:val="00853B6B"/>
    <w:rsid w:val="00855315"/>
    <w:rsid w:val="00855621"/>
    <w:rsid w:val="00855C32"/>
    <w:rsid w:val="00855CFD"/>
    <w:rsid w:val="00856CBE"/>
    <w:rsid w:val="00856FAB"/>
    <w:rsid w:val="00860094"/>
    <w:rsid w:val="00860206"/>
    <w:rsid w:val="00860287"/>
    <w:rsid w:val="00860361"/>
    <w:rsid w:val="008614CA"/>
    <w:rsid w:val="00861918"/>
    <w:rsid w:val="008619D2"/>
    <w:rsid w:val="00863475"/>
    <w:rsid w:val="0086418C"/>
    <w:rsid w:val="00864236"/>
    <w:rsid w:val="00865A25"/>
    <w:rsid w:val="0086707F"/>
    <w:rsid w:val="00867D05"/>
    <w:rsid w:val="00871024"/>
    <w:rsid w:val="0087287C"/>
    <w:rsid w:val="00872D9E"/>
    <w:rsid w:val="00872F25"/>
    <w:rsid w:val="0087322D"/>
    <w:rsid w:val="00875133"/>
    <w:rsid w:val="00875140"/>
    <w:rsid w:val="0087556F"/>
    <w:rsid w:val="00875981"/>
    <w:rsid w:val="00875D6E"/>
    <w:rsid w:val="00875E7F"/>
    <w:rsid w:val="0087608F"/>
    <w:rsid w:val="008763A1"/>
    <w:rsid w:val="00883D8E"/>
    <w:rsid w:val="0088431D"/>
    <w:rsid w:val="00884A01"/>
    <w:rsid w:val="00884DAD"/>
    <w:rsid w:val="0088539A"/>
    <w:rsid w:val="008859A0"/>
    <w:rsid w:val="00885B49"/>
    <w:rsid w:val="00885CF6"/>
    <w:rsid w:val="00886C6D"/>
    <w:rsid w:val="00887AA9"/>
    <w:rsid w:val="00887CA2"/>
    <w:rsid w:val="00891506"/>
    <w:rsid w:val="008917A4"/>
    <w:rsid w:val="00891C50"/>
    <w:rsid w:val="00892B4D"/>
    <w:rsid w:val="00893BE1"/>
    <w:rsid w:val="00893D2A"/>
    <w:rsid w:val="0089497A"/>
    <w:rsid w:val="00894A71"/>
    <w:rsid w:val="00894FF1"/>
    <w:rsid w:val="00895192"/>
    <w:rsid w:val="008954AB"/>
    <w:rsid w:val="008955FE"/>
    <w:rsid w:val="00896E22"/>
    <w:rsid w:val="00896E4B"/>
    <w:rsid w:val="00896ECB"/>
    <w:rsid w:val="00897F6D"/>
    <w:rsid w:val="008A0F29"/>
    <w:rsid w:val="008A130F"/>
    <w:rsid w:val="008A1B0E"/>
    <w:rsid w:val="008A2102"/>
    <w:rsid w:val="008A24B0"/>
    <w:rsid w:val="008A2856"/>
    <w:rsid w:val="008A2EC2"/>
    <w:rsid w:val="008A3A2B"/>
    <w:rsid w:val="008A3EBD"/>
    <w:rsid w:val="008A420B"/>
    <w:rsid w:val="008A4E94"/>
    <w:rsid w:val="008A52E3"/>
    <w:rsid w:val="008A55CD"/>
    <w:rsid w:val="008A61FC"/>
    <w:rsid w:val="008A627C"/>
    <w:rsid w:val="008A7090"/>
    <w:rsid w:val="008B0E7F"/>
    <w:rsid w:val="008B0EE2"/>
    <w:rsid w:val="008B1807"/>
    <w:rsid w:val="008B287F"/>
    <w:rsid w:val="008B28A5"/>
    <w:rsid w:val="008B2A46"/>
    <w:rsid w:val="008B31A1"/>
    <w:rsid w:val="008B384F"/>
    <w:rsid w:val="008B3D08"/>
    <w:rsid w:val="008B3D26"/>
    <w:rsid w:val="008B3DFC"/>
    <w:rsid w:val="008B40C4"/>
    <w:rsid w:val="008B46D1"/>
    <w:rsid w:val="008B46D5"/>
    <w:rsid w:val="008B5F7A"/>
    <w:rsid w:val="008B62CC"/>
    <w:rsid w:val="008B6765"/>
    <w:rsid w:val="008B68FD"/>
    <w:rsid w:val="008B6CE8"/>
    <w:rsid w:val="008B7D84"/>
    <w:rsid w:val="008C08EB"/>
    <w:rsid w:val="008C0B26"/>
    <w:rsid w:val="008C12BF"/>
    <w:rsid w:val="008C15C3"/>
    <w:rsid w:val="008C17D4"/>
    <w:rsid w:val="008C25B9"/>
    <w:rsid w:val="008C2759"/>
    <w:rsid w:val="008C2B70"/>
    <w:rsid w:val="008C32F1"/>
    <w:rsid w:val="008C3683"/>
    <w:rsid w:val="008C455F"/>
    <w:rsid w:val="008C5EC9"/>
    <w:rsid w:val="008C73AB"/>
    <w:rsid w:val="008C7C71"/>
    <w:rsid w:val="008C7CE2"/>
    <w:rsid w:val="008D0202"/>
    <w:rsid w:val="008D0CF4"/>
    <w:rsid w:val="008D1523"/>
    <w:rsid w:val="008D43DA"/>
    <w:rsid w:val="008D572D"/>
    <w:rsid w:val="008D5B12"/>
    <w:rsid w:val="008D5EA5"/>
    <w:rsid w:val="008D642A"/>
    <w:rsid w:val="008D68F4"/>
    <w:rsid w:val="008D7A80"/>
    <w:rsid w:val="008E11BE"/>
    <w:rsid w:val="008E18B9"/>
    <w:rsid w:val="008E2378"/>
    <w:rsid w:val="008E2911"/>
    <w:rsid w:val="008E3A4C"/>
    <w:rsid w:val="008E3BBA"/>
    <w:rsid w:val="008E4348"/>
    <w:rsid w:val="008E441C"/>
    <w:rsid w:val="008E466C"/>
    <w:rsid w:val="008E46DB"/>
    <w:rsid w:val="008E4732"/>
    <w:rsid w:val="008E6E01"/>
    <w:rsid w:val="008E7ADC"/>
    <w:rsid w:val="008F030B"/>
    <w:rsid w:val="008F0366"/>
    <w:rsid w:val="008F04A8"/>
    <w:rsid w:val="008F0B48"/>
    <w:rsid w:val="008F0EB3"/>
    <w:rsid w:val="008F1CD0"/>
    <w:rsid w:val="008F21E6"/>
    <w:rsid w:val="008F303B"/>
    <w:rsid w:val="008F35FC"/>
    <w:rsid w:val="008F41F7"/>
    <w:rsid w:val="008F45DE"/>
    <w:rsid w:val="008F5323"/>
    <w:rsid w:val="008F6054"/>
    <w:rsid w:val="008F60BC"/>
    <w:rsid w:val="008F6212"/>
    <w:rsid w:val="008F66B3"/>
    <w:rsid w:val="008F78E2"/>
    <w:rsid w:val="008F7D17"/>
    <w:rsid w:val="00900683"/>
    <w:rsid w:val="00901C75"/>
    <w:rsid w:val="0090319A"/>
    <w:rsid w:val="00903D23"/>
    <w:rsid w:val="00903EA7"/>
    <w:rsid w:val="00904CC3"/>
    <w:rsid w:val="0090528A"/>
    <w:rsid w:val="00905BDE"/>
    <w:rsid w:val="009070B1"/>
    <w:rsid w:val="00907F28"/>
    <w:rsid w:val="00910603"/>
    <w:rsid w:val="0091067F"/>
    <w:rsid w:val="0091155B"/>
    <w:rsid w:val="00911B50"/>
    <w:rsid w:val="0091279A"/>
    <w:rsid w:val="00912DD5"/>
    <w:rsid w:val="00913CD6"/>
    <w:rsid w:val="0091459A"/>
    <w:rsid w:val="009146ED"/>
    <w:rsid w:val="0091490E"/>
    <w:rsid w:val="00914B2E"/>
    <w:rsid w:val="00915D92"/>
    <w:rsid w:val="009206FD"/>
    <w:rsid w:val="0092087F"/>
    <w:rsid w:val="00920D5E"/>
    <w:rsid w:val="00921DF9"/>
    <w:rsid w:val="00922C18"/>
    <w:rsid w:val="00923401"/>
    <w:rsid w:val="0092381B"/>
    <w:rsid w:val="00923AB5"/>
    <w:rsid w:val="00924409"/>
    <w:rsid w:val="00924FE1"/>
    <w:rsid w:val="009253A1"/>
    <w:rsid w:val="00925894"/>
    <w:rsid w:val="00925C03"/>
    <w:rsid w:val="00926006"/>
    <w:rsid w:val="009265CE"/>
    <w:rsid w:val="00927211"/>
    <w:rsid w:val="00927C35"/>
    <w:rsid w:val="0093062F"/>
    <w:rsid w:val="00931656"/>
    <w:rsid w:val="009316EC"/>
    <w:rsid w:val="00931FB1"/>
    <w:rsid w:val="00932108"/>
    <w:rsid w:val="00932627"/>
    <w:rsid w:val="009343A8"/>
    <w:rsid w:val="009346A8"/>
    <w:rsid w:val="00935C36"/>
    <w:rsid w:val="009367FF"/>
    <w:rsid w:val="00937848"/>
    <w:rsid w:val="00937CAD"/>
    <w:rsid w:val="00941620"/>
    <w:rsid w:val="009430C7"/>
    <w:rsid w:val="009436CD"/>
    <w:rsid w:val="009443ED"/>
    <w:rsid w:val="009445E1"/>
    <w:rsid w:val="009451DD"/>
    <w:rsid w:val="00945FA9"/>
    <w:rsid w:val="00950C73"/>
    <w:rsid w:val="009515B1"/>
    <w:rsid w:val="00951BAB"/>
    <w:rsid w:val="00952D27"/>
    <w:rsid w:val="00953270"/>
    <w:rsid w:val="00954158"/>
    <w:rsid w:val="00954EF3"/>
    <w:rsid w:val="0095507A"/>
    <w:rsid w:val="00955ADB"/>
    <w:rsid w:val="00955DEE"/>
    <w:rsid w:val="00956120"/>
    <w:rsid w:val="009561FA"/>
    <w:rsid w:val="00956251"/>
    <w:rsid w:val="00956EED"/>
    <w:rsid w:val="009576BD"/>
    <w:rsid w:val="009601F9"/>
    <w:rsid w:val="00960314"/>
    <w:rsid w:val="009610CE"/>
    <w:rsid w:val="009627E3"/>
    <w:rsid w:val="0096288E"/>
    <w:rsid w:val="009629D1"/>
    <w:rsid w:val="0096453B"/>
    <w:rsid w:val="00964B30"/>
    <w:rsid w:val="00964F16"/>
    <w:rsid w:val="00965034"/>
    <w:rsid w:val="009655F9"/>
    <w:rsid w:val="0096621B"/>
    <w:rsid w:val="00966B5A"/>
    <w:rsid w:val="00967F12"/>
    <w:rsid w:val="00971B79"/>
    <w:rsid w:val="00971CDB"/>
    <w:rsid w:val="00972D69"/>
    <w:rsid w:val="00972DE4"/>
    <w:rsid w:val="009734AA"/>
    <w:rsid w:val="00973CFB"/>
    <w:rsid w:val="009749B1"/>
    <w:rsid w:val="009759A5"/>
    <w:rsid w:val="00975F2E"/>
    <w:rsid w:val="00976279"/>
    <w:rsid w:val="009770F7"/>
    <w:rsid w:val="00977143"/>
    <w:rsid w:val="00977F58"/>
    <w:rsid w:val="009803FF"/>
    <w:rsid w:val="009804C1"/>
    <w:rsid w:val="0098088F"/>
    <w:rsid w:val="009809C5"/>
    <w:rsid w:val="009815CC"/>
    <w:rsid w:val="009825CB"/>
    <w:rsid w:val="00983B2A"/>
    <w:rsid w:val="0098456F"/>
    <w:rsid w:val="009850CB"/>
    <w:rsid w:val="00985403"/>
    <w:rsid w:val="0098561F"/>
    <w:rsid w:val="009859FA"/>
    <w:rsid w:val="00987514"/>
    <w:rsid w:val="0099103B"/>
    <w:rsid w:val="009921F5"/>
    <w:rsid w:val="0099481B"/>
    <w:rsid w:val="009948C2"/>
    <w:rsid w:val="00994932"/>
    <w:rsid w:val="00995254"/>
    <w:rsid w:val="009955CC"/>
    <w:rsid w:val="009962B3"/>
    <w:rsid w:val="00996DCD"/>
    <w:rsid w:val="009977EC"/>
    <w:rsid w:val="00997DDB"/>
    <w:rsid w:val="009A18AF"/>
    <w:rsid w:val="009A1A3A"/>
    <w:rsid w:val="009A1DDF"/>
    <w:rsid w:val="009A1E30"/>
    <w:rsid w:val="009A24B4"/>
    <w:rsid w:val="009A27C8"/>
    <w:rsid w:val="009A28C4"/>
    <w:rsid w:val="009A3134"/>
    <w:rsid w:val="009A3B88"/>
    <w:rsid w:val="009A4323"/>
    <w:rsid w:val="009A49AD"/>
    <w:rsid w:val="009A55BC"/>
    <w:rsid w:val="009A5600"/>
    <w:rsid w:val="009A5A9B"/>
    <w:rsid w:val="009A60B9"/>
    <w:rsid w:val="009A68B7"/>
    <w:rsid w:val="009A7167"/>
    <w:rsid w:val="009A7A2A"/>
    <w:rsid w:val="009A7E03"/>
    <w:rsid w:val="009B0708"/>
    <w:rsid w:val="009B0985"/>
    <w:rsid w:val="009B0B97"/>
    <w:rsid w:val="009B26A9"/>
    <w:rsid w:val="009B3465"/>
    <w:rsid w:val="009B3B60"/>
    <w:rsid w:val="009B41AB"/>
    <w:rsid w:val="009B4285"/>
    <w:rsid w:val="009B52A0"/>
    <w:rsid w:val="009B6076"/>
    <w:rsid w:val="009B73EE"/>
    <w:rsid w:val="009B762E"/>
    <w:rsid w:val="009B7F6F"/>
    <w:rsid w:val="009C091E"/>
    <w:rsid w:val="009C120B"/>
    <w:rsid w:val="009C253C"/>
    <w:rsid w:val="009C339D"/>
    <w:rsid w:val="009C33BE"/>
    <w:rsid w:val="009C4636"/>
    <w:rsid w:val="009C4999"/>
    <w:rsid w:val="009C4EAD"/>
    <w:rsid w:val="009C5C38"/>
    <w:rsid w:val="009C5E40"/>
    <w:rsid w:val="009C6286"/>
    <w:rsid w:val="009C636B"/>
    <w:rsid w:val="009C6C96"/>
    <w:rsid w:val="009C7307"/>
    <w:rsid w:val="009C75F2"/>
    <w:rsid w:val="009C7D9B"/>
    <w:rsid w:val="009D007C"/>
    <w:rsid w:val="009D0623"/>
    <w:rsid w:val="009D0AA1"/>
    <w:rsid w:val="009D34EC"/>
    <w:rsid w:val="009D35E7"/>
    <w:rsid w:val="009D3C5A"/>
    <w:rsid w:val="009D3DC0"/>
    <w:rsid w:val="009D3ED9"/>
    <w:rsid w:val="009D4122"/>
    <w:rsid w:val="009D448E"/>
    <w:rsid w:val="009D49A9"/>
    <w:rsid w:val="009D4A4E"/>
    <w:rsid w:val="009D4B04"/>
    <w:rsid w:val="009D5004"/>
    <w:rsid w:val="009D5B20"/>
    <w:rsid w:val="009D77CF"/>
    <w:rsid w:val="009D78C5"/>
    <w:rsid w:val="009E000C"/>
    <w:rsid w:val="009E03E1"/>
    <w:rsid w:val="009E16FE"/>
    <w:rsid w:val="009E1CDF"/>
    <w:rsid w:val="009E1CE7"/>
    <w:rsid w:val="009E2B48"/>
    <w:rsid w:val="009E32B9"/>
    <w:rsid w:val="009E41F1"/>
    <w:rsid w:val="009E5E9A"/>
    <w:rsid w:val="009E707A"/>
    <w:rsid w:val="009E7BE5"/>
    <w:rsid w:val="009E7CBD"/>
    <w:rsid w:val="009F06B6"/>
    <w:rsid w:val="009F078B"/>
    <w:rsid w:val="009F143A"/>
    <w:rsid w:val="009F14BA"/>
    <w:rsid w:val="009F213B"/>
    <w:rsid w:val="009F265E"/>
    <w:rsid w:val="009F2E79"/>
    <w:rsid w:val="009F42C4"/>
    <w:rsid w:val="009F5D94"/>
    <w:rsid w:val="009F6B00"/>
    <w:rsid w:val="009F6CB2"/>
    <w:rsid w:val="009F7C1E"/>
    <w:rsid w:val="00A0146B"/>
    <w:rsid w:val="00A01A37"/>
    <w:rsid w:val="00A01C04"/>
    <w:rsid w:val="00A03419"/>
    <w:rsid w:val="00A035FA"/>
    <w:rsid w:val="00A04A87"/>
    <w:rsid w:val="00A05442"/>
    <w:rsid w:val="00A05792"/>
    <w:rsid w:val="00A06E52"/>
    <w:rsid w:val="00A06EBB"/>
    <w:rsid w:val="00A07463"/>
    <w:rsid w:val="00A109F4"/>
    <w:rsid w:val="00A114D3"/>
    <w:rsid w:val="00A117FE"/>
    <w:rsid w:val="00A11EAA"/>
    <w:rsid w:val="00A1222F"/>
    <w:rsid w:val="00A12335"/>
    <w:rsid w:val="00A149C9"/>
    <w:rsid w:val="00A149E7"/>
    <w:rsid w:val="00A15F2D"/>
    <w:rsid w:val="00A164C2"/>
    <w:rsid w:val="00A16636"/>
    <w:rsid w:val="00A1694A"/>
    <w:rsid w:val="00A16C00"/>
    <w:rsid w:val="00A2114B"/>
    <w:rsid w:val="00A21C52"/>
    <w:rsid w:val="00A223B7"/>
    <w:rsid w:val="00A22AAD"/>
    <w:rsid w:val="00A22CD7"/>
    <w:rsid w:val="00A22D88"/>
    <w:rsid w:val="00A235E4"/>
    <w:rsid w:val="00A244F3"/>
    <w:rsid w:val="00A24DC1"/>
    <w:rsid w:val="00A259C5"/>
    <w:rsid w:val="00A279DF"/>
    <w:rsid w:val="00A3045B"/>
    <w:rsid w:val="00A306B3"/>
    <w:rsid w:val="00A30780"/>
    <w:rsid w:val="00A30CB8"/>
    <w:rsid w:val="00A31A57"/>
    <w:rsid w:val="00A320D0"/>
    <w:rsid w:val="00A33E8F"/>
    <w:rsid w:val="00A349B6"/>
    <w:rsid w:val="00A359A6"/>
    <w:rsid w:val="00A359ED"/>
    <w:rsid w:val="00A35EE3"/>
    <w:rsid w:val="00A3696F"/>
    <w:rsid w:val="00A37B80"/>
    <w:rsid w:val="00A40954"/>
    <w:rsid w:val="00A4152C"/>
    <w:rsid w:val="00A41C95"/>
    <w:rsid w:val="00A420D0"/>
    <w:rsid w:val="00A42440"/>
    <w:rsid w:val="00A425A6"/>
    <w:rsid w:val="00A42916"/>
    <w:rsid w:val="00A42CE0"/>
    <w:rsid w:val="00A42E02"/>
    <w:rsid w:val="00A434B6"/>
    <w:rsid w:val="00A43868"/>
    <w:rsid w:val="00A4412A"/>
    <w:rsid w:val="00A4521D"/>
    <w:rsid w:val="00A460BC"/>
    <w:rsid w:val="00A46BDB"/>
    <w:rsid w:val="00A47135"/>
    <w:rsid w:val="00A476C5"/>
    <w:rsid w:val="00A516CA"/>
    <w:rsid w:val="00A51DD9"/>
    <w:rsid w:val="00A527D4"/>
    <w:rsid w:val="00A52D60"/>
    <w:rsid w:val="00A5313E"/>
    <w:rsid w:val="00A5387D"/>
    <w:rsid w:val="00A53BF2"/>
    <w:rsid w:val="00A53D18"/>
    <w:rsid w:val="00A540A0"/>
    <w:rsid w:val="00A54735"/>
    <w:rsid w:val="00A54C75"/>
    <w:rsid w:val="00A55747"/>
    <w:rsid w:val="00A55AD8"/>
    <w:rsid w:val="00A55FD9"/>
    <w:rsid w:val="00A56AA2"/>
    <w:rsid w:val="00A56DF0"/>
    <w:rsid w:val="00A570E2"/>
    <w:rsid w:val="00A57FE1"/>
    <w:rsid w:val="00A610D5"/>
    <w:rsid w:val="00A61415"/>
    <w:rsid w:val="00A614F5"/>
    <w:rsid w:val="00A622FD"/>
    <w:rsid w:val="00A62EDE"/>
    <w:rsid w:val="00A64A97"/>
    <w:rsid w:val="00A64E60"/>
    <w:rsid w:val="00A64F2E"/>
    <w:rsid w:val="00A65166"/>
    <w:rsid w:val="00A651B8"/>
    <w:rsid w:val="00A658E4"/>
    <w:rsid w:val="00A66645"/>
    <w:rsid w:val="00A6755B"/>
    <w:rsid w:val="00A70A61"/>
    <w:rsid w:val="00A70F64"/>
    <w:rsid w:val="00A71ABB"/>
    <w:rsid w:val="00A728C1"/>
    <w:rsid w:val="00A72E69"/>
    <w:rsid w:val="00A73B4A"/>
    <w:rsid w:val="00A74A0F"/>
    <w:rsid w:val="00A767F4"/>
    <w:rsid w:val="00A7792C"/>
    <w:rsid w:val="00A77C07"/>
    <w:rsid w:val="00A8009D"/>
    <w:rsid w:val="00A81139"/>
    <w:rsid w:val="00A81C97"/>
    <w:rsid w:val="00A835B2"/>
    <w:rsid w:val="00A83653"/>
    <w:rsid w:val="00A83799"/>
    <w:rsid w:val="00A838C9"/>
    <w:rsid w:val="00A83E85"/>
    <w:rsid w:val="00A83EFD"/>
    <w:rsid w:val="00A84250"/>
    <w:rsid w:val="00A857B5"/>
    <w:rsid w:val="00A86677"/>
    <w:rsid w:val="00A86FC2"/>
    <w:rsid w:val="00A90387"/>
    <w:rsid w:val="00A90642"/>
    <w:rsid w:val="00A9148F"/>
    <w:rsid w:val="00A91D75"/>
    <w:rsid w:val="00A938CE"/>
    <w:rsid w:val="00A94133"/>
    <w:rsid w:val="00A9475B"/>
    <w:rsid w:val="00A94A30"/>
    <w:rsid w:val="00A95158"/>
    <w:rsid w:val="00A956A0"/>
    <w:rsid w:val="00AA1253"/>
    <w:rsid w:val="00AA1661"/>
    <w:rsid w:val="00AA19B2"/>
    <w:rsid w:val="00AA3227"/>
    <w:rsid w:val="00AA3657"/>
    <w:rsid w:val="00AA3FBD"/>
    <w:rsid w:val="00AA406D"/>
    <w:rsid w:val="00AA4BC6"/>
    <w:rsid w:val="00AA4CA4"/>
    <w:rsid w:val="00AA50C6"/>
    <w:rsid w:val="00AA5C1E"/>
    <w:rsid w:val="00AA6BC4"/>
    <w:rsid w:val="00AA75E9"/>
    <w:rsid w:val="00AA7811"/>
    <w:rsid w:val="00AB022A"/>
    <w:rsid w:val="00AB16A1"/>
    <w:rsid w:val="00AB1C5B"/>
    <w:rsid w:val="00AB1CB7"/>
    <w:rsid w:val="00AB25BB"/>
    <w:rsid w:val="00AB2639"/>
    <w:rsid w:val="00AB438C"/>
    <w:rsid w:val="00AB4DB9"/>
    <w:rsid w:val="00AB7182"/>
    <w:rsid w:val="00AB7F99"/>
    <w:rsid w:val="00AC04A9"/>
    <w:rsid w:val="00AC1625"/>
    <w:rsid w:val="00AC1653"/>
    <w:rsid w:val="00AC1D13"/>
    <w:rsid w:val="00AC2195"/>
    <w:rsid w:val="00AC21BA"/>
    <w:rsid w:val="00AC496A"/>
    <w:rsid w:val="00AC5B10"/>
    <w:rsid w:val="00AC5B42"/>
    <w:rsid w:val="00AC5E53"/>
    <w:rsid w:val="00AC5E73"/>
    <w:rsid w:val="00AC6A66"/>
    <w:rsid w:val="00AC7103"/>
    <w:rsid w:val="00AC75E3"/>
    <w:rsid w:val="00AD0885"/>
    <w:rsid w:val="00AD0BAD"/>
    <w:rsid w:val="00AD0E9E"/>
    <w:rsid w:val="00AD1B9F"/>
    <w:rsid w:val="00AD2AE5"/>
    <w:rsid w:val="00AD33F4"/>
    <w:rsid w:val="00AD4313"/>
    <w:rsid w:val="00AD4BDC"/>
    <w:rsid w:val="00AD5764"/>
    <w:rsid w:val="00AD68FC"/>
    <w:rsid w:val="00AD71FA"/>
    <w:rsid w:val="00AD7217"/>
    <w:rsid w:val="00AD7F30"/>
    <w:rsid w:val="00AE0027"/>
    <w:rsid w:val="00AE0B86"/>
    <w:rsid w:val="00AE11B8"/>
    <w:rsid w:val="00AE1B73"/>
    <w:rsid w:val="00AE2C8C"/>
    <w:rsid w:val="00AE30A3"/>
    <w:rsid w:val="00AE3752"/>
    <w:rsid w:val="00AE3CE4"/>
    <w:rsid w:val="00AE3E8D"/>
    <w:rsid w:val="00AE42E4"/>
    <w:rsid w:val="00AE4386"/>
    <w:rsid w:val="00AE630C"/>
    <w:rsid w:val="00AE67F2"/>
    <w:rsid w:val="00AE6EF0"/>
    <w:rsid w:val="00AE7783"/>
    <w:rsid w:val="00AF0598"/>
    <w:rsid w:val="00AF20F9"/>
    <w:rsid w:val="00AF21EA"/>
    <w:rsid w:val="00AF2980"/>
    <w:rsid w:val="00AF2D19"/>
    <w:rsid w:val="00AF2D6A"/>
    <w:rsid w:val="00AF3271"/>
    <w:rsid w:val="00AF33E5"/>
    <w:rsid w:val="00AF3AA4"/>
    <w:rsid w:val="00AF3C59"/>
    <w:rsid w:val="00AF476D"/>
    <w:rsid w:val="00AF4D48"/>
    <w:rsid w:val="00AF511A"/>
    <w:rsid w:val="00AF541B"/>
    <w:rsid w:val="00AF54F6"/>
    <w:rsid w:val="00AF558D"/>
    <w:rsid w:val="00AF6881"/>
    <w:rsid w:val="00AF71FB"/>
    <w:rsid w:val="00AF7490"/>
    <w:rsid w:val="00AF7882"/>
    <w:rsid w:val="00AF7EE2"/>
    <w:rsid w:val="00B02871"/>
    <w:rsid w:val="00B04A75"/>
    <w:rsid w:val="00B04C73"/>
    <w:rsid w:val="00B0799C"/>
    <w:rsid w:val="00B10400"/>
    <w:rsid w:val="00B10749"/>
    <w:rsid w:val="00B10B53"/>
    <w:rsid w:val="00B119C8"/>
    <w:rsid w:val="00B135D4"/>
    <w:rsid w:val="00B13934"/>
    <w:rsid w:val="00B15347"/>
    <w:rsid w:val="00B1684A"/>
    <w:rsid w:val="00B16A4F"/>
    <w:rsid w:val="00B16D94"/>
    <w:rsid w:val="00B17C8C"/>
    <w:rsid w:val="00B203CD"/>
    <w:rsid w:val="00B20DCD"/>
    <w:rsid w:val="00B21A4C"/>
    <w:rsid w:val="00B21F55"/>
    <w:rsid w:val="00B2218B"/>
    <w:rsid w:val="00B23286"/>
    <w:rsid w:val="00B23519"/>
    <w:rsid w:val="00B23A5C"/>
    <w:rsid w:val="00B23F49"/>
    <w:rsid w:val="00B24817"/>
    <w:rsid w:val="00B25206"/>
    <w:rsid w:val="00B25237"/>
    <w:rsid w:val="00B2582B"/>
    <w:rsid w:val="00B25EB4"/>
    <w:rsid w:val="00B270B2"/>
    <w:rsid w:val="00B27396"/>
    <w:rsid w:val="00B27D29"/>
    <w:rsid w:val="00B31258"/>
    <w:rsid w:val="00B31F3F"/>
    <w:rsid w:val="00B3230A"/>
    <w:rsid w:val="00B33327"/>
    <w:rsid w:val="00B34EF4"/>
    <w:rsid w:val="00B365BB"/>
    <w:rsid w:val="00B368B0"/>
    <w:rsid w:val="00B36BB0"/>
    <w:rsid w:val="00B36E2D"/>
    <w:rsid w:val="00B373A2"/>
    <w:rsid w:val="00B37706"/>
    <w:rsid w:val="00B37C7A"/>
    <w:rsid w:val="00B40D23"/>
    <w:rsid w:val="00B41DC1"/>
    <w:rsid w:val="00B41E95"/>
    <w:rsid w:val="00B44517"/>
    <w:rsid w:val="00B4517B"/>
    <w:rsid w:val="00B4566C"/>
    <w:rsid w:val="00B457B0"/>
    <w:rsid w:val="00B460AE"/>
    <w:rsid w:val="00B46D4F"/>
    <w:rsid w:val="00B46F86"/>
    <w:rsid w:val="00B500C8"/>
    <w:rsid w:val="00B505EB"/>
    <w:rsid w:val="00B5080C"/>
    <w:rsid w:val="00B50D29"/>
    <w:rsid w:val="00B50FC8"/>
    <w:rsid w:val="00B5126A"/>
    <w:rsid w:val="00B513F3"/>
    <w:rsid w:val="00B5189D"/>
    <w:rsid w:val="00B51AE6"/>
    <w:rsid w:val="00B51B32"/>
    <w:rsid w:val="00B52690"/>
    <w:rsid w:val="00B53E1C"/>
    <w:rsid w:val="00B53E2C"/>
    <w:rsid w:val="00B5535E"/>
    <w:rsid w:val="00B562AF"/>
    <w:rsid w:val="00B570BE"/>
    <w:rsid w:val="00B57EFB"/>
    <w:rsid w:val="00B62987"/>
    <w:rsid w:val="00B63AA2"/>
    <w:rsid w:val="00B64BF4"/>
    <w:rsid w:val="00B64ED8"/>
    <w:rsid w:val="00B64F4B"/>
    <w:rsid w:val="00B65EDF"/>
    <w:rsid w:val="00B67A5C"/>
    <w:rsid w:val="00B67D34"/>
    <w:rsid w:val="00B701B5"/>
    <w:rsid w:val="00B71207"/>
    <w:rsid w:val="00B7148C"/>
    <w:rsid w:val="00B71AFF"/>
    <w:rsid w:val="00B72EFE"/>
    <w:rsid w:val="00B73881"/>
    <w:rsid w:val="00B74E8C"/>
    <w:rsid w:val="00B752D9"/>
    <w:rsid w:val="00B7589B"/>
    <w:rsid w:val="00B764D7"/>
    <w:rsid w:val="00B769B6"/>
    <w:rsid w:val="00B76A02"/>
    <w:rsid w:val="00B80785"/>
    <w:rsid w:val="00B80F64"/>
    <w:rsid w:val="00B8124A"/>
    <w:rsid w:val="00B833C9"/>
    <w:rsid w:val="00B83B53"/>
    <w:rsid w:val="00B84207"/>
    <w:rsid w:val="00B84BAC"/>
    <w:rsid w:val="00B85824"/>
    <w:rsid w:val="00B85ABA"/>
    <w:rsid w:val="00B85C3B"/>
    <w:rsid w:val="00B86E79"/>
    <w:rsid w:val="00B87F70"/>
    <w:rsid w:val="00B87F92"/>
    <w:rsid w:val="00B9005B"/>
    <w:rsid w:val="00B90A1F"/>
    <w:rsid w:val="00B92B98"/>
    <w:rsid w:val="00B93D2A"/>
    <w:rsid w:val="00B944FA"/>
    <w:rsid w:val="00B959B0"/>
    <w:rsid w:val="00B95B9E"/>
    <w:rsid w:val="00B97ACE"/>
    <w:rsid w:val="00B97B5C"/>
    <w:rsid w:val="00BA03F1"/>
    <w:rsid w:val="00BA049C"/>
    <w:rsid w:val="00BA0817"/>
    <w:rsid w:val="00BA0908"/>
    <w:rsid w:val="00BA2009"/>
    <w:rsid w:val="00BA269F"/>
    <w:rsid w:val="00BA2C56"/>
    <w:rsid w:val="00BA2FA1"/>
    <w:rsid w:val="00BA46D2"/>
    <w:rsid w:val="00BA4D8F"/>
    <w:rsid w:val="00BA55CF"/>
    <w:rsid w:val="00BA567E"/>
    <w:rsid w:val="00BA5DBF"/>
    <w:rsid w:val="00BA6967"/>
    <w:rsid w:val="00BA6BD7"/>
    <w:rsid w:val="00BB23E2"/>
    <w:rsid w:val="00BB2C82"/>
    <w:rsid w:val="00BB2DA6"/>
    <w:rsid w:val="00BB2F6E"/>
    <w:rsid w:val="00BB7FD2"/>
    <w:rsid w:val="00BC1262"/>
    <w:rsid w:val="00BC32CF"/>
    <w:rsid w:val="00BC35D7"/>
    <w:rsid w:val="00BC369C"/>
    <w:rsid w:val="00BC3EDD"/>
    <w:rsid w:val="00BC3F0A"/>
    <w:rsid w:val="00BC49DD"/>
    <w:rsid w:val="00BC4ED4"/>
    <w:rsid w:val="00BC55D8"/>
    <w:rsid w:val="00BC5792"/>
    <w:rsid w:val="00BC590E"/>
    <w:rsid w:val="00BC5BA9"/>
    <w:rsid w:val="00BC6CBA"/>
    <w:rsid w:val="00BC7340"/>
    <w:rsid w:val="00BC7751"/>
    <w:rsid w:val="00BD0257"/>
    <w:rsid w:val="00BD0552"/>
    <w:rsid w:val="00BD0821"/>
    <w:rsid w:val="00BD0BFE"/>
    <w:rsid w:val="00BD0C4A"/>
    <w:rsid w:val="00BD0EE7"/>
    <w:rsid w:val="00BD207F"/>
    <w:rsid w:val="00BD2FE8"/>
    <w:rsid w:val="00BD39F1"/>
    <w:rsid w:val="00BD425B"/>
    <w:rsid w:val="00BD44DE"/>
    <w:rsid w:val="00BD47AE"/>
    <w:rsid w:val="00BD4A4C"/>
    <w:rsid w:val="00BD4C93"/>
    <w:rsid w:val="00BD4D0F"/>
    <w:rsid w:val="00BD5866"/>
    <w:rsid w:val="00BD5E5E"/>
    <w:rsid w:val="00BD6BC9"/>
    <w:rsid w:val="00BE22BB"/>
    <w:rsid w:val="00BE2ADC"/>
    <w:rsid w:val="00BE3702"/>
    <w:rsid w:val="00BE5013"/>
    <w:rsid w:val="00BE6FCC"/>
    <w:rsid w:val="00BF349E"/>
    <w:rsid w:val="00BF38A4"/>
    <w:rsid w:val="00BF38B9"/>
    <w:rsid w:val="00BF41FA"/>
    <w:rsid w:val="00BF5239"/>
    <w:rsid w:val="00BF6356"/>
    <w:rsid w:val="00BF66C0"/>
    <w:rsid w:val="00BF6D62"/>
    <w:rsid w:val="00BF7B38"/>
    <w:rsid w:val="00C0060C"/>
    <w:rsid w:val="00C007A2"/>
    <w:rsid w:val="00C01047"/>
    <w:rsid w:val="00C01167"/>
    <w:rsid w:val="00C0186F"/>
    <w:rsid w:val="00C02541"/>
    <w:rsid w:val="00C0377D"/>
    <w:rsid w:val="00C037E8"/>
    <w:rsid w:val="00C04785"/>
    <w:rsid w:val="00C04D7F"/>
    <w:rsid w:val="00C04F39"/>
    <w:rsid w:val="00C054BD"/>
    <w:rsid w:val="00C061A6"/>
    <w:rsid w:val="00C06E4D"/>
    <w:rsid w:val="00C06FA1"/>
    <w:rsid w:val="00C10040"/>
    <w:rsid w:val="00C10EB1"/>
    <w:rsid w:val="00C11A59"/>
    <w:rsid w:val="00C11A6A"/>
    <w:rsid w:val="00C12B11"/>
    <w:rsid w:val="00C13068"/>
    <w:rsid w:val="00C13FA9"/>
    <w:rsid w:val="00C14590"/>
    <w:rsid w:val="00C14694"/>
    <w:rsid w:val="00C156DE"/>
    <w:rsid w:val="00C15A86"/>
    <w:rsid w:val="00C16F44"/>
    <w:rsid w:val="00C173C0"/>
    <w:rsid w:val="00C17602"/>
    <w:rsid w:val="00C17986"/>
    <w:rsid w:val="00C202C0"/>
    <w:rsid w:val="00C20841"/>
    <w:rsid w:val="00C20A4B"/>
    <w:rsid w:val="00C20A88"/>
    <w:rsid w:val="00C21656"/>
    <w:rsid w:val="00C21796"/>
    <w:rsid w:val="00C21BF9"/>
    <w:rsid w:val="00C21D4C"/>
    <w:rsid w:val="00C24067"/>
    <w:rsid w:val="00C24757"/>
    <w:rsid w:val="00C25B13"/>
    <w:rsid w:val="00C25C84"/>
    <w:rsid w:val="00C26CD8"/>
    <w:rsid w:val="00C26F0B"/>
    <w:rsid w:val="00C275C0"/>
    <w:rsid w:val="00C30815"/>
    <w:rsid w:val="00C315D1"/>
    <w:rsid w:val="00C321B2"/>
    <w:rsid w:val="00C326CD"/>
    <w:rsid w:val="00C34164"/>
    <w:rsid w:val="00C343D2"/>
    <w:rsid w:val="00C34C8B"/>
    <w:rsid w:val="00C363B2"/>
    <w:rsid w:val="00C36BC8"/>
    <w:rsid w:val="00C3712D"/>
    <w:rsid w:val="00C3726E"/>
    <w:rsid w:val="00C37481"/>
    <w:rsid w:val="00C40438"/>
    <w:rsid w:val="00C409C5"/>
    <w:rsid w:val="00C414F9"/>
    <w:rsid w:val="00C41E96"/>
    <w:rsid w:val="00C42688"/>
    <w:rsid w:val="00C42981"/>
    <w:rsid w:val="00C42A77"/>
    <w:rsid w:val="00C43BA5"/>
    <w:rsid w:val="00C43C58"/>
    <w:rsid w:val="00C44418"/>
    <w:rsid w:val="00C44D70"/>
    <w:rsid w:val="00C45307"/>
    <w:rsid w:val="00C459C5"/>
    <w:rsid w:val="00C46249"/>
    <w:rsid w:val="00C47161"/>
    <w:rsid w:val="00C4771A"/>
    <w:rsid w:val="00C47E4F"/>
    <w:rsid w:val="00C50A60"/>
    <w:rsid w:val="00C50ED1"/>
    <w:rsid w:val="00C511AD"/>
    <w:rsid w:val="00C51B2B"/>
    <w:rsid w:val="00C51F5E"/>
    <w:rsid w:val="00C52B22"/>
    <w:rsid w:val="00C53904"/>
    <w:rsid w:val="00C53D83"/>
    <w:rsid w:val="00C55308"/>
    <w:rsid w:val="00C55887"/>
    <w:rsid w:val="00C56171"/>
    <w:rsid w:val="00C56268"/>
    <w:rsid w:val="00C57422"/>
    <w:rsid w:val="00C577DB"/>
    <w:rsid w:val="00C57C39"/>
    <w:rsid w:val="00C60F2F"/>
    <w:rsid w:val="00C6181E"/>
    <w:rsid w:val="00C62158"/>
    <w:rsid w:val="00C62BE3"/>
    <w:rsid w:val="00C62D01"/>
    <w:rsid w:val="00C62F97"/>
    <w:rsid w:val="00C6314F"/>
    <w:rsid w:val="00C631DE"/>
    <w:rsid w:val="00C63745"/>
    <w:rsid w:val="00C6395B"/>
    <w:rsid w:val="00C64B6F"/>
    <w:rsid w:val="00C64BF5"/>
    <w:rsid w:val="00C64C29"/>
    <w:rsid w:val="00C64E28"/>
    <w:rsid w:val="00C65844"/>
    <w:rsid w:val="00C67442"/>
    <w:rsid w:val="00C67E29"/>
    <w:rsid w:val="00C700AA"/>
    <w:rsid w:val="00C7033D"/>
    <w:rsid w:val="00C70E6B"/>
    <w:rsid w:val="00C71311"/>
    <w:rsid w:val="00C71B90"/>
    <w:rsid w:val="00C720A1"/>
    <w:rsid w:val="00C7490E"/>
    <w:rsid w:val="00C74EEE"/>
    <w:rsid w:val="00C7669F"/>
    <w:rsid w:val="00C769D4"/>
    <w:rsid w:val="00C77117"/>
    <w:rsid w:val="00C77C87"/>
    <w:rsid w:val="00C77F93"/>
    <w:rsid w:val="00C804E3"/>
    <w:rsid w:val="00C80D18"/>
    <w:rsid w:val="00C84779"/>
    <w:rsid w:val="00C84AB4"/>
    <w:rsid w:val="00C85A49"/>
    <w:rsid w:val="00C85DAF"/>
    <w:rsid w:val="00C8605A"/>
    <w:rsid w:val="00C87522"/>
    <w:rsid w:val="00C8753B"/>
    <w:rsid w:val="00C8755D"/>
    <w:rsid w:val="00C8792B"/>
    <w:rsid w:val="00C87C73"/>
    <w:rsid w:val="00C900B3"/>
    <w:rsid w:val="00C92823"/>
    <w:rsid w:val="00C940CC"/>
    <w:rsid w:val="00C94937"/>
    <w:rsid w:val="00C94F37"/>
    <w:rsid w:val="00C9570A"/>
    <w:rsid w:val="00C957FA"/>
    <w:rsid w:val="00C95B67"/>
    <w:rsid w:val="00C96D34"/>
    <w:rsid w:val="00C96DDF"/>
    <w:rsid w:val="00C97298"/>
    <w:rsid w:val="00C97A42"/>
    <w:rsid w:val="00CA0734"/>
    <w:rsid w:val="00CA0914"/>
    <w:rsid w:val="00CA0AD7"/>
    <w:rsid w:val="00CA0E7D"/>
    <w:rsid w:val="00CA121D"/>
    <w:rsid w:val="00CA1C36"/>
    <w:rsid w:val="00CA1F04"/>
    <w:rsid w:val="00CA1F95"/>
    <w:rsid w:val="00CA224A"/>
    <w:rsid w:val="00CA24C8"/>
    <w:rsid w:val="00CA2A33"/>
    <w:rsid w:val="00CA34DC"/>
    <w:rsid w:val="00CA384C"/>
    <w:rsid w:val="00CA427A"/>
    <w:rsid w:val="00CA558D"/>
    <w:rsid w:val="00CA5A65"/>
    <w:rsid w:val="00CA5BF6"/>
    <w:rsid w:val="00CA62D2"/>
    <w:rsid w:val="00CA7636"/>
    <w:rsid w:val="00CB0AA1"/>
    <w:rsid w:val="00CB17C7"/>
    <w:rsid w:val="00CB1D2F"/>
    <w:rsid w:val="00CB2F52"/>
    <w:rsid w:val="00CB367D"/>
    <w:rsid w:val="00CB3766"/>
    <w:rsid w:val="00CB41C1"/>
    <w:rsid w:val="00CB43C1"/>
    <w:rsid w:val="00CB5EA0"/>
    <w:rsid w:val="00CB5F24"/>
    <w:rsid w:val="00CB6E6A"/>
    <w:rsid w:val="00CB72DD"/>
    <w:rsid w:val="00CC0072"/>
    <w:rsid w:val="00CC05DC"/>
    <w:rsid w:val="00CC0CE8"/>
    <w:rsid w:val="00CC19AA"/>
    <w:rsid w:val="00CC1DDA"/>
    <w:rsid w:val="00CC1E8E"/>
    <w:rsid w:val="00CC2956"/>
    <w:rsid w:val="00CC2968"/>
    <w:rsid w:val="00CC3343"/>
    <w:rsid w:val="00CC33EE"/>
    <w:rsid w:val="00CC3661"/>
    <w:rsid w:val="00CC3BCF"/>
    <w:rsid w:val="00CC4428"/>
    <w:rsid w:val="00CC53B0"/>
    <w:rsid w:val="00CC5D86"/>
    <w:rsid w:val="00CC6239"/>
    <w:rsid w:val="00CC6259"/>
    <w:rsid w:val="00CC7951"/>
    <w:rsid w:val="00CC7ED8"/>
    <w:rsid w:val="00CD0207"/>
    <w:rsid w:val="00CD03CA"/>
    <w:rsid w:val="00CD2220"/>
    <w:rsid w:val="00CD25C8"/>
    <w:rsid w:val="00CD3095"/>
    <w:rsid w:val="00CD3DC3"/>
    <w:rsid w:val="00CD4BBA"/>
    <w:rsid w:val="00CD4F05"/>
    <w:rsid w:val="00CD5407"/>
    <w:rsid w:val="00CD7C72"/>
    <w:rsid w:val="00CE09BF"/>
    <w:rsid w:val="00CE0C16"/>
    <w:rsid w:val="00CE0C82"/>
    <w:rsid w:val="00CE138C"/>
    <w:rsid w:val="00CE1A6C"/>
    <w:rsid w:val="00CE1E59"/>
    <w:rsid w:val="00CE225E"/>
    <w:rsid w:val="00CE235D"/>
    <w:rsid w:val="00CE30B3"/>
    <w:rsid w:val="00CE386C"/>
    <w:rsid w:val="00CE3EBC"/>
    <w:rsid w:val="00CE4AF9"/>
    <w:rsid w:val="00CE4C88"/>
    <w:rsid w:val="00CE589A"/>
    <w:rsid w:val="00CE5DD2"/>
    <w:rsid w:val="00CE630C"/>
    <w:rsid w:val="00CE661F"/>
    <w:rsid w:val="00CE7B4E"/>
    <w:rsid w:val="00CF0607"/>
    <w:rsid w:val="00CF092F"/>
    <w:rsid w:val="00CF1363"/>
    <w:rsid w:val="00CF205C"/>
    <w:rsid w:val="00CF3788"/>
    <w:rsid w:val="00CF3AE5"/>
    <w:rsid w:val="00CF3AFA"/>
    <w:rsid w:val="00CF428D"/>
    <w:rsid w:val="00CF5850"/>
    <w:rsid w:val="00CF5C61"/>
    <w:rsid w:val="00CF695A"/>
    <w:rsid w:val="00CF73D1"/>
    <w:rsid w:val="00D000C2"/>
    <w:rsid w:val="00D00EC9"/>
    <w:rsid w:val="00D019E0"/>
    <w:rsid w:val="00D01D4A"/>
    <w:rsid w:val="00D0217F"/>
    <w:rsid w:val="00D024E8"/>
    <w:rsid w:val="00D028D9"/>
    <w:rsid w:val="00D02D7B"/>
    <w:rsid w:val="00D035E1"/>
    <w:rsid w:val="00D042B1"/>
    <w:rsid w:val="00D04DE9"/>
    <w:rsid w:val="00D06A4F"/>
    <w:rsid w:val="00D06BCE"/>
    <w:rsid w:val="00D06D4D"/>
    <w:rsid w:val="00D06E9E"/>
    <w:rsid w:val="00D07D58"/>
    <w:rsid w:val="00D10A2D"/>
    <w:rsid w:val="00D10D33"/>
    <w:rsid w:val="00D110CB"/>
    <w:rsid w:val="00D11581"/>
    <w:rsid w:val="00D124FF"/>
    <w:rsid w:val="00D12C96"/>
    <w:rsid w:val="00D1361C"/>
    <w:rsid w:val="00D13AA0"/>
    <w:rsid w:val="00D150FA"/>
    <w:rsid w:val="00D1611B"/>
    <w:rsid w:val="00D1691C"/>
    <w:rsid w:val="00D16942"/>
    <w:rsid w:val="00D176C4"/>
    <w:rsid w:val="00D20FBF"/>
    <w:rsid w:val="00D21EE0"/>
    <w:rsid w:val="00D239B5"/>
    <w:rsid w:val="00D23BC6"/>
    <w:rsid w:val="00D23DE3"/>
    <w:rsid w:val="00D241A7"/>
    <w:rsid w:val="00D24254"/>
    <w:rsid w:val="00D24498"/>
    <w:rsid w:val="00D24F0C"/>
    <w:rsid w:val="00D257F8"/>
    <w:rsid w:val="00D25CBC"/>
    <w:rsid w:val="00D25E3A"/>
    <w:rsid w:val="00D262A5"/>
    <w:rsid w:val="00D2726C"/>
    <w:rsid w:val="00D27731"/>
    <w:rsid w:val="00D30243"/>
    <w:rsid w:val="00D3117B"/>
    <w:rsid w:val="00D3119A"/>
    <w:rsid w:val="00D320E9"/>
    <w:rsid w:val="00D33E9F"/>
    <w:rsid w:val="00D34C72"/>
    <w:rsid w:val="00D3596E"/>
    <w:rsid w:val="00D36224"/>
    <w:rsid w:val="00D377B7"/>
    <w:rsid w:val="00D410AB"/>
    <w:rsid w:val="00D41161"/>
    <w:rsid w:val="00D415FD"/>
    <w:rsid w:val="00D42106"/>
    <w:rsid w:val="00D422BE"/>
    <w:rsid w:val="00D434A0"/>
    <w:rsid w:val="00D441F9"/>
    <w:rsid w:val="00D44294"/>
    <w:rsid w:val="00D45674"/>
    <w:rsid w:val="00D4590F"/>
    <w:rsid w:val="00D45B0B"/>
    <w:rsid w:val="00D45BBB"/>
    <w:rsid w:val="00D460E1"/>
    <w:rsid w:val="00D465F7"/>
    <w:rsid w:val="00D46895"/>
    <w:rsid w:val="00D46E26"/>
    <w:rsid w:val="00D476B7"/>
    <w:rsid w:val="00D47702"/>
    <w:rsid w:val="00D47F7B"/>
    <w:rsid w:val="00D50FC9"/>
    <w:rsid w:val="00D511E8"/>
    <w:rsid w:val="00D51DE6"/>
    <w:rsid w:val="00D523B0"/>
    <w:rsid w:val="00D52AFB"/>
    <w:rsid w:val="00D52DBF"/>
    <w:rsid w:val="00D52E22"/>
    <w:rsid w:val="00D5334F"/>
    <w:rsid w:val="00D54462"/>
    <w:rsid w:val="00D54BFF"/>
    <w:rsid w:val="00D56722"/>
    <w:rsid w:val="00D56801"/>
    <w:rsid w:val="00D576CB"/>
    <w:rsid w:val="00D60F38"/>
    <w:rsid w:val="00D6271A"/>
    <w:rsid w:val="00D64311"/>
    <w:rsid w:val="00D64CBE"/>
    <w:rsid w:val="00D650C4"/>
    <w:rsid w:val="00D65A04"/>
    <w:rsid w:val="00D65AE9"/>
    <w:rsid w:val="00D6747A"/>
    <w:rsid w:val="00D67C05"/>
    <w:rsid w:val="00D70AD5"/>
    <w:rsid w:val="00D70F00"/>
    <w:rsid w:val="00D726F6"/>
    <w:rsid w:val="00D735D3"/>
    <w:rsid w:val="00D74945"/>
    <w:rsid w:val="00D74C8A"/>
    <w:rsid w:val="00D77481"/>
    <w:rsid w:val="00D77FEE"/>
    <w:rsid w:val="00D802E5"/>
    <w:rsid w:val="00D8052E"/>
    <w:rsid w:val="00D813C5"/>
    <w:rsid w:val="00D81621"/>
    <w:rsid w:val="00D82186"/>
    <w:rsid w:val="00D828CA"/>
    <w:rsid w:val="00D834A6"/>
    <w:rsid w:val="00D83568"/>
    <w:rsid w:val="00D83A51"/>
    <w:rsid w:val="00D84A47"/>
    <w:rsid w:val="00D84FB5"/>
    <w:rsid w:val="00D8517C"/>
    <w:rsid w:val="00D852CF"/>
    <w:rsid w:val="00D86464"/>
    <w:rsid w:val="00D868F1"/>
    <w:rsid w:val="00D86A0B"/>
    <w:rsid w:val="00D87E05"/>
    <w:rsid w:val="00D9112F"/>
    <w:rsid w:val="00D913C9"/>
    <w:rsid w:val="00D93774"/>
    <w:rsid w:val="00D94226"/>
    <w:rsid w:val="00D942AE"/>
    <w:rsid w:val="00D945D7"/>
    <w:rsid w:val="00D9467E"/>
    <w:rsid w:val="00D947B7"/>
    <w:rsid w:val="00D949BF"/>
    <w:rsid w:val="00D95B08"/>
    <w:rsid w:val="00D95DBD"/>
    <w:rsid w:val="00D96EF3"/>
    <w:rsid w:val="00D97374"/>
    <w:rsid w:val="00D9795E"/>
    <w:rsid w:val="00D97FB9"/>
    <w:rsid w:val="00DA04B1"/>
    <w:rsid w:val="00DA0635"/>
    <w:rsid w:val="00DA0DBC"/>
    <w:rsid w:val="00DA1979"/>
    <w:rsid w:val="00DA2501"/>
    <w:rsid w:val="00DA2ACC"/>
    <w:rsid w:val="00DA2DB4"/>
    <w:rsid w:val="00DA320E"/>
    <w:rsid w:val="00DA3DFA"/>
    <w:rsid w:val="00DA430E"/>
    <w:rsid w:val="00DA5DA8"/>
    <w:rsid w:val="00DA619D"/>
    <w:rsid w:val="00DA7061"/>
    <w:rsid w:val="00DA7D41"/>
    <w:rsid w:val="00DB0D16"/>
    <w:rsid w:val="00DB2306"/>
    <w:rsid w:val="00DB382B"/>
    <w:rsid w:val="00DB38CF"/>
    <w:rsid w:val="00DB3AA6"/>
    <w:rsid w:val="00DB4870"/>
    <w:rsid w:val="00DB56CF"/>
    <w:rsid w:val="00DC0019"/>
    <w:rsid w:val="00DC0810"/>
    <w:rsid w:val="00DC0914"/>
    <w:rsid w:val="00DC0ECC"/>
    <w:rsid w:val="00DC11CF"/>
    <w:rsid w:val="00DC199B"/>
    <w:rsid w:val="00DC1B88"/>
    <w:rsid w:val="00DC2C52"/>
    <w:rsid w:val="00DC2DE5"/>
    <w:rsid w:val="00DC2F4F"/>
    <w:rsid w:val="00DC2FA7"/>
    <w:rsid w:val="00DC45C7"/>
    <w:rsid w:val="00DC4CD4"/>
    <w:rsid w:val="00DC5407"/>
    <w:rsid w:val="00DC5F99"/>
    <w:rsid w:val="00DC61E9"/>
    <w:rsid w:val="00DC6343"/>
    <w:rsid w:val="00DC634B"/>
    <w:rsid w:val="00DC6616"/>
    <w:rsid w:val="00DC67BF"/>
    <w:rsid w:val="00DC7C29"/>
    <w:rsid w:val="00DD0128"/>
    <w:rsid w:val="00DD1D01"/>
    <w:rsid w:val="00DD2328"/>
    <w:rsid w:val="00DD2E8B"/>
    <w:rsid w:val="00DD37F5"/>
    <w:rsid w:val="00DD3D87"/>
    <w:rsid w:val="00DD5999"/>
    <w:rsid w:val="00DD6C36"/>
    <w:rsid w:val="00DD7042"/>
    <w:rsid w:val="00DE017B"/>
    <w:rsid w:val="00DE0399"/>
    <w:rsid w:val="00DE0C08"/>
    <w:rsid w:val="00DE1088"/>
    <w:rsid w:val="00DE13BA"/>
    <w:rsid w:val="00DE1683"/>
    <w:rsid w:val="00DE231A"/>
    <w:rsid w:val="00DE296E"/>
    <w:rsid w:val="00DE2BFD"/>
    <w:rsid w:val="00DE37A0"/>
    <w:rsid w:val="00DE4019"/>
    <w:rsid w:val="00DE5782"/>
    <w:rsid w:val="00DE588D"/>
    <w:rsid w:val="00DE7E19"/>
    <w:rsid w:val="00DF1A9D"/>
    <w:rsid w:val="00DF26B7"/>
    <w:rsid w:val="00DF4D7E"/>
    <w:rsid w:val="00DF6771"/>
    <w:rsid w:val="00DF67CA"/>
    <w:rsid w:val="00DF791C"/>
    <w:rsid w:val="00E0036D"/>
    <w:rsid w:val="00E00475"/>
    <w:rsid w:val="00E004A5"/>
    <w:rsid w:val="00E016CD"/>
    <w:rsid w:val="00E020DA"/>
    <w:rsid w:val="00E02BF1"/>
    <w:rsid w:val="00E04321"/>
    <w:rsid w:val="00E0797D"/>
    <w:rsid w:val="00E1112C"/>
    <w:rsid w:val="00E11B04"/>
    <w:rsid w:val="00E133E0"/>
    <w:rsid w:val="00E13D84"/>
    <w:rsid w:val="00E13E2B"/>
    <w:rsid w:val="00E13E91"/>
    <w:rsid w:val="00E1403C"/>
    <w:rsid w:val="00E148BF"/>
    <w:rsid w:val="00E15250"/>
    <w:rsid w:val="00E15574"/>
    <w:rsid w:val="00E15984"/>
    <w:rsid w:val="00E20B29"/>
    <w:rsid w:val="00E21108"/>
    <w:rsid w:val="00E21668"/>
    <w:rsid w:val="00E219A1"/>
    <w:rsid w:val="00E21FA0"/>
    <w:rsid w:val="00E2299B"/>
    <w:rsid w:val="00E23291"/>
    <w:rsid w:val="00E23371"/>
    <w:rsid w:val="00E23ED9"/>
    <w:rsid w:val="00E242BC"/>
    <w:rsid w:val="00E243AE"/>
    <w:rsid w:val="00E24B5E"/>
    <w:rsid w:val="00E24C15"/>
    <w:rsid w:val="00E24C2A"/>
    <w:rsid w:val="00E2525B"/>
    <w:rsid w:val="00E25F86"/>
    <w:rsid w:val="00E26065"/>
    <w:rsid w:val="00E260F3"/>
    <w:rsid w:val="00E271DA"/>
    <w:rsid w:val="00E278F6"/>
    <w:rsid w:val="00E30610"/>
    <w:rsid w:val="00E308BA"/>
    <w:rsid w:val="00E3159C"/>
    <w:rsid w:val="00E3169C"/>
    <w:rsid w:val="00E324ED"/>
    <w:rsid w:val="00E32B95"/>
    <w:rsid w:val="00E33435"/>
    <w:rsid w:val="00E334B2"/>
    <w:rsid w:val="00E335E5"/>
    <w:rsid w:val="00E33AF1"/>
    <w:rsid w:val="00E35320"/>
    <w:rsid w:val="00E365B6"/>
    <w:rsid w:val="00E36AB6"/>
    <w:rsid w:val="00E370EB"/>
    <w:rsid w:val="00E374D7"/>
    <w:rsid w:val="00E400B6"/>
    <w:rsid w:val="00E407E2"/>
    <w:rsid w:val="00E4097F"/>
    <w:rsid w:val="00E40A72"/>
    <w:rsid w:val="00E41521"/>
    <w:rsid w:val="00E430A6"/>
    <w:rsid w:val="00E44D1A"/>
    <w:rsid w:val="00E467E7"/>
    <w:rsid w:val="00E46948"/>
    <w:rsid w:val="00E4756D"/>
    <w:rsid w:val="00E47730"/>
    <w:rsid w:val="00E47A96"/>
    <w:rsid w:val="00E47D82"/>
    <w:rsid w:val="00E5048F"/>
    <w:rsid w:val="00E50A60"/>
    <w:rsid w:val="00E529CD"/>
    <w:rsid w:val="00E5323B"/>
    <w:rsid w:val="00E53D74"/>
    <w:rsid w:val="00E53F77"/>
    <w:rsid w:val="00E54336"/>
    <w:rsid w:val="00E549F7"/>
    <w:rsid w:val="00E56DB3"/>
    <w:rsid w:val="00E60098"/>
    <w:rsid w:val="00E60123"/>
    <w:rsid w:val="00E60686"/>
    <w:rsid w:val="00E607CE"/>
    <w:rsid w:val="00E621E6"/>
    <w:rsid w:val="00E62BD3"/>
    <w:rsid w:val="00E64D74"/>
    <w:rsid w:val="00E65723"/>
    <w:rsid w:val="00E657B4"/>
    <w:rsid w:val="00E65E31"/>
    <w:rsid w:val="00E66653"/>
    <w:rsid w:val="00E66C0C"/>
    <w:rsid w:val="00E67443"/>
    <w:rsid w:val="00E674EF"/>
    <w:rsid w:val="00E676A0"/>
    <w:rsid w:val="00E677BA"/>
    <w:rsid w:val="00E703C2"/>
    <w:rsid w:val="00E7045C"/>
    <w:rsid w:val="00E704FE"/>
    <w:rsid w:val="00E72006"/>
    <w:rsid w:val="00E7214D"/>
    <w:rsid w:val="00E72266"/>
    <w:rsid w:val="00E7252B"/>
    <w:rsid w:val="00E727B0"/>
    <w:rsid w:val="00E72818"/>
    <w:rsid w:val="00E72940"/>
    <w:rsid w:val="00E7324B"/>
    <w:rsid w:val="00E75D40"/>
    <w:rsid w:val="00E77387"/>
    <w:rsid w:val="00E777BA"/>
    <w:rsid w:val="00E77BDC"/>
    <w:rsid w:val="00E80BE9"/>
    <w:rsid w:val="00E80E68"/>
    <w:rsid w:val="00E80E99"/>
    <w:rsid w:val="00E83F87"/>
    <w:rsid w:val="00E86203"/>
    <w:rsid w:val="00E87121"/>
    <w:rsid w:val="00E903BF"/>
    <w:rsid w:val="00E90953"/>
    <w:rsid w:val="00E90CDC"/>
    <w:rsid w:val="00E90FDC"/>
    <w:rsid w:val="00E9182A"/>
    <w:rsid w:val="00E9452E"/>
    <w:rsid w:val="00E949BF"/>
    <w:rsid w:val="00E95AB4"/>
    <w:rsid w:val="00E9669E"/>
    <w:rsid w:val="00E966FC"/>
    <w:rsid w:val="00E97C9E"/>
    <w:rsid w:val="00E97FB0"/>
    <w:rsid w:val="00EA12D6"/>
    <w:rsid w:val="00EA1F09"/>
    <w:rsid w:val="00EA241D"/>
    <w:rsid w:val="00EA429F"/>
    <w:rsid w:val="00EA443E"/>
    <w:rsid w:val="00EA451D"/>
    <w:rsid w:val="00EA45E7"/>
    <w:rsid w:val="00EA4773"/>
    <w:rsid w:val="00EA4D10"/>
    <w:rsid w:val="00EA6844"/>
    <w:rsid w:val="00EA73BD"/>
    <w:rsid w:val="00EA7B88"/>
    <w:rsid w:val="00EB0202"/>
    <w:rsid w:val="00EB0370"/>
    <w:rsid w:val="00EB2625"/>
    <w:rsid w:val="00EB2810"/>
    <w:rsid w:val="00EB29AC"/>
    <w:rsid w:val="00EB3BF9"/>
    <w:rsid w:val="00EB400F"/>
    <w:rsid w:val="00EB4CBB"/>
    <w:rsid w:val="00EB6DAE"/>
    <w:rsid w:val="00EB73F8"/>
    <w:rsid w:val="00EB7A7C"/>
    <w:rsid w:val="00EC1777"/>
    <w:rsid w:val="00EC1F71"/>
    <w:rsid w:val="00EC3254"/>
    <w:rsid w:val="00EC378F"/>
    <w:rsid w:val="00EC48C4"/>
    <w:rsid w:val="00EC4E5A"/>
    <w:rsid w:val="00EC69CB"/>
    <w:rsid w:val="00EC6FE9"/>
    <w:rsid w:val="00EC766E"/>
    <w:rsid w:val="00ED1501"/>
    <w:rsid w:val="00ED1F9C"/>
    <w:rsid w:val="00ED2D7B"/>
    <w:rsid w:val="00ED4371"/>
    <w:rsid w:val="00ED4EA9"/>
    <w:rsid w:val="00ED5CC5"/>
    <w:rsid w:val="00ED67FF"/>
    <w:rsid w:val="00ED6D8D"/>
    <w:rsid w:val="00ED7946"/>
    <w:rsid w:val="00ED7AD0"/>
    <w:rsid w:val="00EE0244"/>
    <w:rsid w:val="00EE09CB"/>
    <w:rsid w:val="00EE160B"/>
    <w:rsid w:val="00EE1974"/>
    <w:rsid w:val="00EE1C62"/>
    <w:rsid w:val="00EE1D1D"/>
    <w:rsid w:val="00EE2668"/>
    <w:rsid w:val="00EE2CB9"/>
    <w:rsid w:val="00EE2D07"/>
    <w:rsid w:val="00EE3206"/>
    <w:rsid w:val="00EE399D"/>
    <w:rsid w:val="00EE3B0B"/>
    <w:rsid w:val="00EE472A"/>
    <w:rsid w:val="00EE4890"/>
    <w:rsid w:val="00EE4E56"/>
    <w:rsid w:val="00EE50C0"/>
    <w:rsid w:val="00EE5B10"/>
    <w:rsid w:val="00EE6AE2"/>
    <w:rsid w:val="00EE6BB0"/>
    <w:rsid w:val="00EE6DAB"/>
    <w:rsid w:val="00EE7614"/>
    <w:rsid w:val="00EE7B7D"/>
    <w:rsid w:val="00EE7E26"/>
    <w:rsid w:val="00EF1552"/>
    <w:rsid w:val="00EF2A74"/>
    <w:rsid w:val="00EF2EEB"/>
    <w:rsid w:val="00EF2F90"/>
    <w:rsid w:val="00EF3BC8"/>
    <w:rsid w:val="00EF4874"/>
    <w:rsid w:val="00EF4A52"/>
    <w:rsid w:val="00EF691D"/>
    <w:rsid w:val="00EF6968"/>
    <w:rsid w:val="00EF6FCD"/>
    <w:rsid w:val="00EF7A37"/>
    <w:rsid w:val="00F00B98"/>
    <w:rsid w:val="00F00E5F"/>
    <w:rsid w:val="00F02A2B"/>
    <w:rsid w:val="00F030A6"/>
    <w:rsid w:val="00F040DC"/>
    <w:rsid w:val="00F0562B"/>
    <w:rsid w:val="00F06077"/>
    <w:rsid w:val="00F0773A"/>
    <w:rsid w:val="00F10AC2"/>
    <w:rsid w:val="00F11726"/>
    <w:rsid w:val="00F1244F"/>
    <w:rsid w:val="00F1268F"/>
    <w:rsid w:val="00F13073"/>
    <w:rsid w:val="00F14CE2"/>
    <w:rsid w:val="00F15072"/>
    <w:rsid w:val="00F16A5D"/>
    <w:rsid w:val="00F17705"/>
    <w:rsid w:val="00F17860"/>
    <w:rsid w:val="00F17D6A"/>
    <w:rsid w:val="00F17ED3"/>
    <w:rsid w:val="00F20379"/>
    <w:rsid w:val="00F20D6D"/>
    <w:rsid w:val="00F20F6D"/>
    <w:rsid w:val="00F21B2F"/>
    <w:rsid w:val="00F21C11"/>
    <w:rsid w:val="00F21D1F"/>
    <w:rsid w:val="00F228B7"/>
    <w:rsid w:val="00F230E4"/>
    <w:rsid w:val="00F23251"/>
    <w:rsid w:val="00F23721"/>
    <w:rsid w:val="00F237F1"/>
    <w:rsid w:val="00F23BE9"/>
    <w:rsid w:val="00F23C69"/>
    <w:rsid w:val="00F23EBA"/>
    <w:rsid w:val="00F24BA4"/>
    <w:rsid w:val="00F24C3F"/>
    <w:rsid w:val="00F2586E"/>
    <w:rsid w:val="00F26136"/>
    <w:rsid w:val="00F262C1"/>
    <w:rsid w:val="00F262C7"/>
    <w:rsid w:val="00F270C4"/>
    <w:rsid w:val="00F278E7"/>
    <w:rsid w:val="00F27D96"/>
    <w:rsid w:val="00F300EA"/>
    <w:rsid w:val="00F31458"/>
    <w:rsid w:val="00F32351"/>
    <w:rsid w:val="00F336A3"/>
    <w:rsid w:val="00F338D7"/>
    <w:rsid w:val="00F3399E"/>
    <w:rsid w:val="00F33FE9"/>
    <w:rsid w:val="00F344A3"/>
    <w:rsid w:val="00F34899"/>
    <w:rsid w:val="00F34F87"/>
    <w:rsid w:val="00F36171"/>
    <w:rsid w:val="00F3682C"/>
    <w:rsid w:val="00F401A2"/>
    <w:rsid w:val="00F4188B"/>
    <w:rsid w:val="00F41AAF"/>
    <w:rsid w:val="00F42054"/>
    <w:rsid w:val="00F424BB"/>
    <w:rsid w:val="00F427CE"/>
    <w:rsid w:val="00F42998"/>
    <w:rsid w:val="00F42CD4"/>
    <w:rsid w:val="00F43747"/>
    <w:rsid w:val="00F43BAF"/>
    <w:rsid w:val="00F43E5E"/>
    <w:rsid w:val="00F45261"/>
    <w:rsid w:val="00F453F0"/>
    <w:rsid w:val="00F45EC7"/>
    <w:rsid w:val="00F46637"/>
    <w:rsid w:val="00F4779F"/>
    <w:rsid w:val="00F47DF1"/>
    <w:rsid w:val="00F50EC2"/>
    <w:rsid w:val="00F51D38"/>
    <w:rsid w:val="00F52D0E"/>
    <w:rsid w:val="00F5302C"/>
    <w:rsid w:val="00F53781"/>
    <w:rsid w:val="00F538BF"/>
    <w:rsid w:val="00F53F9C"/>
    <w:rsid w:val="00F54B5C"/>
    <w:rsid w:val="00F54F54"/>
    <w:rsid w:val="00F55383"/>
    <w:rsid w:val="00F55C8E"/>
    <w:rsid w:val="00F562C4"/>
    <w:rsid w:val="00F564F7"/>
    <w:rsid w:val="00F568A5"/>
    <w:rsid w:val="00F61252"/>
    <w:rsid w:val="00F613E1"/>
    <w:rsid w:val="00F61612"/>
    <w:rsid w:val="00F623AC"/>
    <w:rsid w:val="00F629C0"/>
    <w:rsid w:val="00F633B3"/>
    <w:rsid w:val="00F634BB"/>
    <w:rsid w:val="00F6672F"/>
    <w:rsid w:val="00F66A5F"/>
    <w:rsid w:val="00F6733C"/>
    <w:rsid w:val="00F708EC"/>
    <w:rsid w:val="00F70A4D"/>
    <w:rsid w:val="00F71039"/>
    <w:rsid w:val="00F7265B"/>
    <w:rsid w:val="00F7397C"/>
    <w:rsid w:val="00F73F7A"/>
    <w:rsid w:val="00F74730"/>
    <w:rsid w:val="00F75D8E"/>
    <w:rsid w:val="00F76358"/>
    <w:rsid w:val="00F76B07"/>
    <w:rsid w:val="00F77432"/>
    <w:rsid w:val="00F774DE"/>
    <w:rsid w:val="00F810FC"/>
    <w:rsid w:val="00F81290"/>
    <w:rsid w:val="00F81586"/>
    <w:rsid w:val="00F82D3F"/>
    <w:rsid w:val="00F83566"/>
    <w:rsid w:val="00F83803"/>
    <w:rsid w:val="00F84522"/>
    <w:rsid w:val="00F845E5"/>
    <w:rsid w:val="00F852B4"/>
    <w:rsid w:val="00F861B9"/>
    <w:rsid w:val="00F875AC"/>
    <w:rsid w:val="00F879A3"/>
    <w:rsid w:val="00F918BB"/>
    <w:rsid w:val="00F91F40"/>
    <w:rsid w:val="00F92119"/>
    <w:rsid w:val="00F921DB"/>
    <w:rsid w:val="00F92ED3"/>
    <w:rsid w:val="00F937C0"/>
    <w:rsid w:val="00F9392A"/>
    <w:rsid w:val="00F93C6B"/>
    <w:rsid w:val="00F940CF"/>
    <w:rsid w:val="00F9483B"/>
    <w:rsid w:val="00F94EAF"/>
    <w:rsid w:val="00F94FB0"/>
    <w:rsid w:val="00F95B23"/>
    <w:rsid w:val="00F961C1"/>
    <w:rsid w:val="00F96556"/>
    <w:rsid w:val="00F9655F"/>
    <w:rsid w:val="00F97768"/>
    <w:rsid w:val="00F97E94"/>
    <w:rsid w:val="00FA05FB"/>
    <w:rsid w:val="00FA2950"/>
    <w:rsid w:val="00FA2E72"/>
    <w:rsid w:val="00FA3FFC"/>
    <w:rsid w:val="00FA42EE"/>
    <w:rsid w:val="00FA4FB9"/>
    <w:rsid w:val="00FA555C"/>
    <w:rsid w:val="00FA6E80"/>
    <w:rsid w:val="00FA7103"/>
    <w:rsid w:val="00FA73D9"/>
    <w:rsid w:val="00FA7EC4"/>
    <w:rsid w:val="00FB135D"/>
    <w:rsid w:val="00FB2071"/>
    <w:rsid w:val="00FB220F"/>
    <w:rsid w:val="00FB2297"/>
    <w:rsid w:val="00FB3853"/>
    <w:rsid w:val="00FB3A41"/>
    <w:rsid w:val="00FB44FC"/>
    <w:rsid w:val="00FB4CA2"/>
    <w:rsid w:val="00FB4FB7"/>
    <w:rsid w:val="00FB5235"/>
    <w:rsid w:val="00FB5413"/>
    <w:rsid w:val="00FB5871"/>
    <w:rsid w:val="00FB60FF"/>
    <w:rsid w:val="00FB6B94"/>
    <w:rsid w:val="00FB6C25"/>
    <w:rsid w:val="00FC0617"/>
    <w:rsid w:val="00FC065F"/>
    <w:rsid w:val="00FC144B"/>
    <w:rsid w:val="00FC1EC3"/>
    <w:rsid w:val="00FC21F7"/>
    <w:rsid w:val="00FC296F"/>
    <w:rsid w:val="00FC32B3"/>
    <w:rsid w:val="00FC3A4A"/>
    <w:rsid w:val="00FC45C6"/>
    <w:rsid w:val="00FC46F2"/>
    <w:rsid w:val="00FC562D"/>
    <w:rsid w:val="00FC5897"/>
    <w:rsid w:val="00FC59BC"/>
    <w:rsid w:val="00FC6036"/>
    <w:rsid w:val="00FC6436"/>
    <w:rsid w:val="00FC646E"/>
    <w:rsid w:val="00FC6663"/>
    <w:rsid w:val="00FC6FC1"/>
    <w:rsid w:val="00FC71C4"/>
    <w:rsid w:val="00FC767A"/>
    <w:rsid w:val="00FC7726"/>
    <w:rsid w:val="00FD25CF"/>
    <w:rsid w:val="00FD36C1"/>
    <w:rsid w:val="00FD4AAA"/>
    <w:rsid w:val="00FD4FD3"/>
    <w:rsid w:val="00FD56CB"/>
    <w:rsid w:val="00FD6004"/>
    <w:rsid w:val="00FD6203"/>
    <w:rsid w:val="00FD64F8"/>
    <w:rsid w:val="00FD66C8"/>
    <w:rsid w:val="00FD6898"/>
    <w:rsid w:val="00FE11C2"/>
    <w:rsid w:val="00FE1311"/>
    <w:rsid w:val="00FE2325"/>
    <w:rsid w:val="00FE24B3"/>
    <w:rsid w:val="00FE334B"/>
    <w:rsid w:val="00FE4B9E"/>
    <w:rsid w:val="00FE5231"/>
    <w:rsid w:val="00FE5D95"/>
    <w:rsid w:val="00FE6145"/>
    <w:rsid w:val="00FE6B26"/>
    <w:rsid w:val="00FE6E8A"/>
    <w:rsid w:val="00FE7075"/>
    <w:rsid w:val="00FF09F9"/>
    <w:rsid w:val="00FF0F09"/>
    <w:rsid w:val="00FF1372"/>
    <w:rsid w:val="00FF220B"/>
    <w:rsid w:val="00FF24C8"/>
    <w:rsid w:val="00FF2CFD"/>
    <w:rsid w:val="00FF3EA1"/>
    <w:rsid w:val="00FF3EEF"/>
    <w:rsid w:val="00FF42B9"/>
    <w:rsid w:val="00FF46BA"/>
    <w:rsid w:val="00FF495B"/>
    <w:rsid w:val="00FF504E"/>
    <w:rsid w:val="00FF601C"/>
    <w:rsid w:val="00FF65EE"/>
    <w:rsid w:val="00FF7069"/>
    <w:rsid w:val="00FF7D94"/>
    <w:rsid w:val="00FF7FD4"/>
    <w:rsid w:val="0B33CD26"/>
    <w:rsid w:val="1BE0C387"/>
    <w:rsid w:val="1D118C92"/>
    <w:rsid w:val="25DDA5BD"/>
    <w:rsid w:val="322FDD07"/>
    <w:rsid w:val="3CA21845"/>
    <w:rsid w:val="47902871"/>
    <w:rsid w:val="4CF81AD3"/>
    <w:rsid w:val="4D4F0EA6"/>
    <w:rsid w:val="50D231F5"/>
    <w:rsid w:val="5C6CA5A7"/>
    <w:rsid w:val="771F8640"/>
    <w:rsid w:val="7D73BF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DED70"/>
  <w15:chartTrackingRefBased/>
  <w15:docId w15:val="{D0950B2A-C191-418C-9F21-E08D9FCF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 heading 1"/>
    <w:qFormat/>
    <w:pPr>
      <w:spacing w:after="0" w:line="240" w:lineRule="auto"/>
    </w:pPr>
  </w:style>
  <w:style w:type="paragraph" w:styleId="Heading1">
    <w:name w:val="heading 1"/>
    <w:basedOn w:val="Normal"/>
    <w:next w:val="Normal"/>
    <w:link w:val="Heading1Char"/>
    <w:uiPriority w:val="9"/>
    <w:qFormat/>
    <w:rsid w:val="007239D1"/>
    <w:pPr>
      <w:keepNext/>
      <w:keepLines/>
      <w:spacing w:before="360" w:after="120"/>
      <w:outlineLvl w:val="0"/>
    </w:pPr>
    <w:rPr>
      <w:rFonts w:ascii="Arial" w:eastAsiaTheme="majorEastAsia" w:hAnsi="Arial" w:cstheme="majorBidi"/>
      <w:b/>
      <w:color w:val="A80000"/>
      <w:sz w:val="44"/>
      <w:szCs w:val="32"/>
    </w:rPr>
  </w:style>
  <w:style w:type="paragraph" w:styleId="Heading2">
    <w:name w:val="heading 2"/>
    <w:basedOn w:val="Normal"/>
    <w:next w:val="Normal"/>
    <w:link w:val="Heading2Char"/>
    <w:uiPriority w:val="9"/>
    <w:unhideWhenUsed/>
    <w:qFormat/>
    <w:rsid w:val="007239D1"/>
    <w:pPr>
      <w:keepNext/>
      <w:keepLines/>
      <w:numPr>
        <w:numId w:val="25"/>
      </w:numPr>
      <w:spacing w:before="160" w:after="120"/>
      <w:outlineLvl w:val="1"/>
    </w:pPr>
    <w:rPr>
      <w:rFonts w:ascii="Arial" w:eastAsiaTheme="majorEastAsia" w:hAnsi="Arial" w:cstheme="majorBidi"/>
      <w:color w:val="A80000"/>
      <w:sz w:val="32"/>
      <w:szCs w:val="26"/>
    </w:rPr>
  </w:style>
  <w:style w:type="paragraph" w:styleId="Heading3">
    <w:name w:val="heading 3"/>
    <w:basedOn w:val="Normal"/>
    <w:next w:val="Normal"/>
    <w:link w:val="Heading3Char"/>
    <w:uiPriority w:val="9"/>
    <w:unhideWhenUsed/>
    <w:qFormat/>
    <w:rsid w:val="00C85A4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949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9D1"/>
    <w:rPr>
      <w:rFonts w:ascii="Arial" w:eastAsiaTheme="majorEastAsia" w:hAnsi="Arial" w:cstheme="majorBidi"/>
      <w:b/>
      <w:color w:val="A80000"/>
      <w:sz w:val="44"/>
      <w:szCs w:val="32"/>
    </w:rPr>
  </w:style>
  <w:style w:type="character" w:customStyle="1" w:styleId="Heading2Char">
    <w:name w:val="Heading 2 Char"/>
    <w:basedOn w:val="DefaultParagraphFont"/>
    <w:link w:val="Heading2"/>
    <w:uiPriority w:val="9"/>
    <w:rsid w:val="007239D1"/>
    <w:rPr>
      <w:rFonts w:ascii="Arial" w:eastAsiaTheme="majorEastAsia" w:hAnsi="Arial" w:cstheme="majorBidi"/>
      <w:color w:val="A80000"/>
      <w:sz w:val="32"/>
      <w:szCs w:val="26"/>
    </w:rPr>
  </w:style>
  <w:style w:type="character" w:customStyle="1" w:styleId="Heading3Char">
    <w:name w:val="Heading 3 Char"/>
    <w:basedOn w:val="DefaultParagraphFont"/>
    <w:link w:val="Heading3"/>
    <w:uiPriority w:val="9"/>
    <w:rsid w:val="00C85A4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94932"/>
    <w:rPr>
      <w:rFonts w:asciiTheme="majorHAnsi" w:eastAsiaTheme="majorEastAsia" w:hAnsiTheme="majorHAnsi" w:cstheme="majorBidi"/>
      <w:i/>
      <w:iCs/>
      <w:color w:val="2F5496" w:themeColor="accent1" w:themeShade="BF"/>
    </w:rPr>
  </w:style>
  <w:style w:type="paragraph" w:customStyle="1" w:styleId="Default">
    <w:name w:val="Default"/>
    <w:link w:val="DefaultChar"/>
    <w:rsid w:val="00E80E68"/>
    <w:pPr>
      <w:autoSpaceDE w:val="0"/>
      <w:autoSpaceDN w:val="0"/>
      <w:adjustRightInd w:val="0"/>
      <w:spacing w:after="0" w:line="240" w:lineRule="auto"/>
      <w:ind w:left="0" w:firstLine="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7E0A60"/>
    <w:rPr>
      <w:sz w:val="20"/>
      <w:szCs w:val="20"/>
    </w:rPr>
  </w:style>
  <w:style w:type="character" w:customStyle="1" w:styleId="FootnoteTextChar">
    <w:name w:val="Footnote Text Char"/>
    <w:basedOn w:val="DefaultParagraphFont"/>
    <w:link w:val="FootnoteText"/>
    <w:uiPriority w:val="99"/>
    <w:semiHidden/>
    <w:rsid w:val="007E0A60"/>
    <w:rPr>
      <w:sz w:val="20"/>
      <w:szCs w:val="20"/>
    </w:rPr>
  </w:style>
  <w:style w:type="character" w:styleId="FootnoteReference">
    <w:name w:val="footnote reference"/>
    <w:basedOn w:val="DefaultParagraphFont"/>
    <w:uiPriority w:val="99"/>
    <w:semiHidden/>
    <w:unhideWhenUsed/>
    <w:rsid w:val="007E0A60"/>
    <w:rPr>
      <w:vertAlign w:val="superscript"/>
    </w:rPr>
  </w:style>
  <w:style w:type="character" w:styleId="Hyperlink">
    <w:name w:val="Hyperlink"/>
    <w:basedOn w:val="DefaultParagraphFont"/>
    <w:uiPriority w:val="99"/>
    <w:unhideWhenUsed/>
    <w:rsid w:val="00CF5C61"/>
    <w:rPr>
      <w:color w:val="0563C1" w:themeColor="hyperlink"/>
      <w:u w:val="single"/>
    </w:rPr>
  </w:style>
  <w:style w:type="character" w:styleId="UnresolvedMention">
    <w:name w:val="Unresolved Mention"/>
    <w:basedOn w:val="DefaultParagraphFont"/>
    <w:uiPriority w:val="99"/>
    <w:unhideWhenUsed/>
    <w:rsid w:val="00CF5C61"/>
    <w:rPr>
      <w:color w:val="605E5C"/>
      <w:shd w:val="clear" w:color="auto" w:fill="E1DFDD"/>
    </w:rPr>
  </w:style>
  <w:style w:type="paragraph" w:styleId="ListParagraph">
    <w:name w:val="List Paragraph"/>
    <w:aliases w:val="Numbered Para 1,Dot pt,No Spacing1,List Paragraph Char Char Char,Indicator Text,List Paragraph1,Bullet Points,MAIN CONTENT,List Paragraph12,List Paragraph11,List Paragraph2,Bullet 1,F5 List Paragraph,Colorful List - Accent 11,OBC Bullet,L"/>
    <w:basedOn w:val="Normal"/>
    <w:link w:val="ListParagraphChar"/>
    <w:uiPriority w:val="34"/>
    <w:qFormat/>
    <w:rsid w:val="00D70F00"/>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List Paragraph11 Char,List Paragraph2 Char"/>
    <w:link w:val="ListParagraph"/>
    <w:uiPriority w:val="34"/>
    <w:qFormat/>
    <w:locked/>
    <w:rsid w:val="00855621"/>
  </w:style>
  <w:style w:type="character" w:styleId="CommentReference">
    <w:name w:val="annotation reference"/>
    <w:basedOn w:val="DefaultParagraphFont"/>
    <w:uiPriority w:val="99"/>
    <w:unhideWhenUsed/>
    <w:rsid w:val="00FE11C2"/>
    <w:rPr>
      <w:sz w:val="16"/>
      <w:szCs w:val="16"/>
    </w:rPr>
  </w:style>
  <w:style w:type="paragraph" w:styleId="CommentText">
    <w:name w:val="annotation text"/>
    <w:basedOn w:val="Normal"/>
    <w:link w:val="CommentTextChar"/>
    <w:uiPriority w:val="99"/>
    <w:unhideWhenUsed/>
    <w:rsid w:val="00FE11C2"/>
    <w:rPr>
      <w:sz w:val="20"/>
      <w:szCs w:val="20"/>
    </w:rPr>
  </w:style>
  <w:style w:type="character" w:customStyle="1" w:styleId="CommentTextChar">
    <w:name w:val="Comment Text Char"/>
    <w:basedOn w:val="DefaultParagraphFont"/>
    <w:link w:val="CommentText"/>
    <w:uiPriority w:val="99"/>
    <w:rsid w:val="00FE11C2"/>
    <w:rPr>
      <w:sz w:val="20"/>
      <w:szCs w:val="20"/>
    </w:rPr>
  </w:style>
  <w:style w:type="paragraph" w:styleId="CommentSubject">
    <w:name w:val="annotation subject"/>
    <w:basedOn w:val="CommentText"/>
    <w:next w:val="CommentText"/>
    <w:link w:val="CommentSubjectChar"/>
    <w:uiPriority w:val="99"/>
    <w:semiHidden/>
    <w:unhideWhenUsed/>
    <w:rsid w:val="00FE11C2"/>
    <w:rPr>
      <w:b/>
      <w:bCs/>
    </w:rPr>
  </w:style>
  <w:style w:type="character" w:customStyle="1" w:styleId="CommentSubjectChar">
    <w:name w:val="Comment Subject Char"/>
    <w:basedOn w:val="CommentTextChar"/>
    <w:link w:val="CommentSubject"/>
    <w:uiPriority w:val="99"/>
    <w:semiHidden/>
    <w:rsid w:val="00FE11C2"/>
    <w:rPr>
      <w:b/>
      <w:bCs/>
      <w:sz w:val="20"/>
      <w:szCs w:val="20"/>
    </w:rPr>
  </w:style>
  <w:style w:type="paragraph" w:styleId="BalloonText">
    <w:name w:val="Balloon Text"/>
    <w:basedOn w:val="Normal"/>
    <w:link w:val="BalloonTextChar"/>
    <w:uiPriority w:val="99"/>
    <w:semiHidden/>
    <w:unhideWhenUsed/>
    <w:rsid w:val="00FE1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C2"/>
    <w:rPr>
      <w:rFonts w:ascii="Segoe UI" w:hAnsi="Segoe UI" w:cs="Segoe UI"/>
      <w:sz w:val="18"/>
      <w:szCs w:val="18"/>
    </w:rPr>
  </w:style>
  <w:style w:type="paragraph" w:customStyle="1" w:styleId="legclearfix">
    <w:name w:val="legclearfix"/>
    <w:basedOn w:val="Normal"/>
    <w:rsid w:val="0011593C"/>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legsubstitution">
    <w:name w:val="legsubstitution"/>
    <w:basedOn w:val="DefaultParagraphFont"/>
    <w:rsid w:val="0011593C"/>
  </w:style>
  <w:style w:type="paragraph" w:styleId="Header">
    <w:name w:val="header"/>
    <w:basedOn w:val="Normal"/>
    <w:link w:val="HeaderChar"/>
    <w:uiPriority w:val="99"/>
    <w:unhideWhenUsed/>
    <w:rsid w:val="001F356C"/>
    <w:pPr>
      <w:tabs>
        <w:tab w:val="center" w:pos="4513"/>
        <w:tab w:val="right" w:pos="9026"/>
      </w:tabs>
    </w:pPr>
  </w:style>
  <w:style w:type="character" w:customStyle="1" w:styleId="HeaderChar">
    <w:name w:val="Header Char"/>
    <w:basedOn w:val="DefaultParagraphFont"/>
    <w:link w:val="Header"/>
    <w:uiPriority w:val="99"/>
    <w:rsid w:val="001F356C"/>
  </w:style>
  <w:style w:type="paragraph" w:styleId="Footer">
    <w:name w:val="footer"/>
    <w:basedOn w:val="Normal"/>
    <w:link w:val="FooterChar"/>
    <w:uiPriority w:val="99"/>
    <w:unhideWhenUsed/>
    <w:rsid w:val="001F356C"/>
    <w:pPr>
      <w:tabs>
        <w:tab w:val="center" w:pos="4513"/>
        <w:tab w:val="right" w:pos="9026"/>
      </w:tabs>
    </w:pPr>
  </w:style>
  <w:style w:type="character" w:customStyle="1" w:styleId="FooterChar">
    <w:name w:val="Footer Char"/>
    <w:basedOn w:val="DefaultParagraphFont"/>
    <w:link w:val="Footer"/>
    <w:uiPriority w:val="99"/>
    <w:rsid w:val="001F356C"/>
  </w:style>
  <w:style w:type="character" w:styleId="Mention">
    <w:name w:val="Mention"/>
    <w:basedOn w:val="DefaultParagraphFont"/>
    <w:uiPriority w:val="99"/>
    <w:unhideWhenUsed/>
    <w:rsid w:val="002D6E5C"/>
    <w:rPr>
      <w:color w:val="2B579A"/>
      <w:shd w:val="clear" w:color="auto" w:fill="E1DFDD"/>
    </w:rPr>
  </w:style>
  <w:style w:type="character" w:customStyle="1" w:styleId="legds">
    <w:name w:val="legds"/>
    <w:basedOn w:val="DefaultParagraphFont"/>
    <w:rsid w:val="00945FA9"/>
  </w:style>
  <w:style w:type="character" w:styleId="FollowedHyperlink">
    <w:name w:val="FollowedHyperlink"/>
    <w:basedOn w:val="DefaultParagraphFont"/>
    <w:uiPriority w:val="99"/>
    <w:semiHidden/>
    <w:unhideWhenUsed/>
    <w:rsid w:val="0055405E"/>
    <w:rPr>
      <w:color w:val="954F72" w:themeColor="followedHyperlink"/>
      <w:u w:val="single"/>
    </w:rPr>
  </w:style>
  <w:style w:type="paragraph" w:styleId="Revision">
    <w:name w:val="Revision"/>
    <w:hidden/>
    <w:uiPriority w:val="99"/>
    <w:semiHidden/>
    <w:rsid w:val="0099481B"/>
    <w:pPr>
      <w:spacing w:after="0" w:line="240" w:lineRule="auto"/>
      <w:ind w:left="0" w:firstLine="0"/>
    </w:pPr>
  </w:style>
  <w:style w:type="paragraph" w:styleId="TOCHeading">
    <w:name w:val="TOC Heading"/>
    <w:basedOn w:val="Heading1"/>
    <w:next w:val="Normal"/>
    <w:uiPriority w:val="39"/>
    <w:unhideWhenUsed/>
    <w:qFormat/>
    <w:rsid w:val="00994932"/>
    <w:pPr>
      <w:spacing w:line="259" w:lineRule="auto"/>
      <w:ind w:left="0" w:firstLine="0"/>
      <w:outlineLvl w:val="9"/>
    </w:pPr>
    <w:rPr>
      <w:lang w:val="en-US"/>
    </w:rPr>
  </w:style>
  <w:style w:type="paragraph" w:styleId="TOC1">
    <w:name w:val="toc 1"/>
    <w:basedOn w:val="Normal"/>
    <w:next w:val="Normal"/>
    <w:autoRedefine/>
    <w:uiPriority w:val="39"/>
    <w:unhideWhenUsed/>
    <w:qFormat/>
    <w:rsid w:val="00473B4D"/>
    <w:pPr>
      <w:tabs>
        <w:tab w:val="right" w:leader="dot" w:pos="9736"/>
      </w:tabs>
      <w:spacing w:after="100"/>
      <w:ind w:left="0"/>
    </w:pPr>
    <w:rPr>
      <w:b/>
    </w:rPr>
  </w:style>
  <w:style w:type="paragraph" w:styleId="TOC2">
    <w:name w:val="toc 2"/>
    <w:basedOn w:val="Normal"/>
    <w:next w:val="Normal"/>
    <w:autoRedefine/>
    <w:uiPriority w:val="39"/>
    <w:unhideWhenUsed/>
    <w:rsid w:val="00994932"/>
    <w:pPr>
      <w:spacing w:after="100"/>
      <w:ind w:left="220"/>
    </w:pPr>
  </w:style>
  <w:style w:type="paragraph" w:styleId="TOC3">
    <w:name w:val="toc 3"/>
    <w:basedOn w:val="Normal"/>
    <w:next w:val="Normal"/>
    <w:autoRedefine/>
    <w:uiPriority w:val="39"/>
    <w:unhideWhenUsed/>
    <w:rsid w:val="00C0060C"/>
    <w:pPr>
      <w:tabs>
        <w:tab w:val="right" w:leader="dot" w:pos="9016"/>
      </w:tabs>
      <w:spacing w:after="100"/>
      <w:ind w:left="577"/>
    </w:pPr>
  </w:style>
  <w:style w:type="paragraph" w:customStyle="1" w:styleId="Heading-contents">
    <w:name w:val="Heading - contents"/>
    <w:next w:val="Normal"/>
    <w:uiPriority w:val="1"/>
    <w:rsid w:val="009A18AF"/>
    <w:pPr>
      <w:spacing w:after="360" w:line="240" w:lineRule="auto"/>
      <w:ind w:left="0" w:firstLine="0"/>
    </w:pPr>
    <w:rPr>
      <w:rFonts w:ascii="Arial" w:eastAsia="Times New Roman" w:hAnsi="Arial" w:cs="Times New Roman"/>
      <w:b/>
      <w:sz w:val="48"/>
      <w:szCs w:val="20"/>
      <w:lang w:eastAsia="en-GB"/>
    </w:rPr>
  </w:style>
  <w:style w:type="paragraph" w:customStyle="1" w:styleId="Heading1-numbered">
    <w:name w:val="Heading 1 - numbered"/>
    <w:basedOn w:val="Normal"/>
    <w:next w:val="Normal"/>
    <w:link w:val="Heading1-numberedChar"/>
    <w:qFormat/>
    <w:rsid w:val="00792A14"/>
    <w:pPr>
      <w:keepNext/>
      <w:pageBreakBefore/>
      <w:numPr>
        <w:numId w:val="4"/>
      </w:numPr>
      <w:spacing w:after="284" w:line="360" w:lineRule="auto"/>
      <w:outlineLvl w:val="0"/>
    </w:pPr>
    <w:rPr>
      <w:rFonts w:ascii="Arial" w:eastAsia="Times New Roman" w:hAnsi="Arial" w:cs="Times New Roman"/>
      <w:b/>
      <w:sz w:val="48"/>
      <w:szCs w:val="20"/>
      <w:lang w:eastAsia="en-GB"/>
    </w:rPr>
  </w:style>
  <w:style w:type="paragraph" w:customStyle="1" w:styleId="ParagraphText-numbered">
    <w:name w:val="Paragraph Text - numbered"/>
    <w:basedOn w:val="Heading1-numbered"/>
    <w:link w:val="ParagraphText-numberedChar"/>
    <w:autoRedefine/>
    <w:qFormat/>
    <w:rsid w:val="00D239B5"/>
    <w:pPr>
      <w:keepNext w:val="0"/>
      <w:pageBreakBefore w:val="0"/>
      <w:numPr>
        <w:numId w:val="0"/>
      </w:numPr>
      <w:spacing w:before="240" w:line="276" w:lineRule="auto"/>
      <w:ind w:left="1080"/>
      <w:outlineLvl w:val="9"/>
    </w:pPr>
    <w:rPr>
      <w:b w:val="0"/>
      <w:sz w:val="24"/>
    </w:rPr>
  </w:style>
  <w:style w:type="paragraph" w:customStyle="1" w:styleId="ParagraphText-numbered-level3">
    <w:name w:val="Paragraph Text - numbered - level 3"/>
    <w:basedOn w:val="Heading1-numbered"/>
    <w:uiPriority w:val="1"/>
    <w:rsid w:val="00CC19AA"/>
    <w:pPr>
      <w:keepNext w:val="0"/>
      <w:pageBreakBefore w:val="0"/>
      <w:spacing w:line="324" w:lineRule="exact"/>
      <w:outlineLvl w:val="9"/>
    </w:pPr>
    <w:rPr>
      <w:b w:val="0"/>
      <w:sz w:val="24"/>
    </w:rPr>
  </w:style>
  <w:style w:type="paragraph" w:customStyle="1" w:styleId="ParagraphText-numbered-level4">
    <w:name w:val="Paragraph Text - numbered - level 4"/>
    <w:basedOn w:val="Heading1-numbered"/>
    <w:uiPriority w:val="1"/>
    <w:rsid w:val="00CC19AA"/>
    <w:pPr>
      <w:keepNext w:val="0"/>
      <w:pageBreakBefore w:val="0"/>
      <w:spacing w:line="324" w:lineRule="exact"/>
      <w:outlineLvl w:val="9"/>
    </w:pPr>
    <w:rPr>
      <w:b w:val="0"/>
      <w:sz w:val="24"/>
    </w:rPr>
  </w:style>
  <w:style w:type="paragraph" w:customStyle="1" w:styleId="Style1">
    <w:name w:val="Style1"/>
    <w:basedOn w:val="Normal"/>
    <w:link w:val="Style1Char"/>
    <w:qFormat/>
    <w:rsid w:val="006E2AD6"/>
    <w:pPr>
      <w:keepNext/>
      <w:keepLines/>
      <w:spacing w:before="240" w:after="240" w:line="360" w:lineRule="auto"/>
      <w:ind w:left="0" w:firstLine="0"/>
      <w:outlineLvl w:val="1"/>
    </w:pPr>
    <w:rPr>
      <w:rFonts w:ascii="Arial" w:eastAsia="Times New Roman" w:hAnsi="Arial" w:cs="Times New Roman"/>
      <w:b/>
      <w:sz w:val="33"/>
      <w:szCs w:val="20"/>
      <w:lang w:eastAsia="en-GB"/>
    </w:rPr>
  </w:style>
  <w:style w:type="paragraph" w:customStyle="1" w:styleId="Style2">
    <w:name w:val="Style2"/>
    <w:basedOn w:val="ParagraphText-numbered"/>
    <w:next w:val="Style1"/>
    <w:link w:val="Style2Char"/>
    <w:rsid w:val="006E2AD6"/>
    <w:pPr>
      <w:numPr>
        <w:numId w:val="1"/>
      </w:numPr>
      <w:spacing w:line="360" w:lineRule="auto"/>
      <w:jc w:val="both"/>
    </w:pPr>
  </w:style>
  <w:style w:type="character" w:customStyle="1" w:styleId="Style1Char">
    <w:name w:val="Style1 Char"/>
    <w:basedOn w:val="DefaultParagraphFont"/>
    <w:link w:val="Style1"/>
    <w:rsid w:val="006E2AD6"/>
    <w:rPr>
      <w:rFonts w:ascii="Arial" w:eastAsia="Times New Roman" w:hAnsi="Arial" w:cs="Times New Roman"/>
      <w:b/>
      <w:sz w:val="33"/>
      <w:szCs w:val="20"/>
      <w:lang w:eastAsia="en-GB"/>
    </w:rPr>
  </w:style>
  <w:style w:type="paragraph" w:customStyle="1" w:styleId="Style3">
    <w:name w:val="Style3"/>
    <w:basedOn w:val="Style2"/>
    <w:link w:val="Style3Char"/>
    <w:autoRedefine/>
    <w:rsid w:val="001E5875"/>
  </w:style>
  <w:style w:type="character" w:customStyle="1" w:styleId="Heading1-numberedChar">
    <w:name w:val="Heading 1 - numbered Char"/>
    <w:basedOn w:val="DefaultParagraphFont"/>
    <w:link w:val="Heading1-numbered"/>
    <w:rsid w:val="00792A14"/>
    <w:rPr>
      <w:rFonts w:ascii="Arial" w:eastAsia="Times New Roman" w:hAnsi="Arial" w:cs="Times New Roman"/>
      <w:b/>
      <w:sz w:val="48"/>
      <w:szCs w:val="20"/>
      <w:lang w:eastAsia="en-GB"/>
    </w:rPr>
  </w:style>
  <w:style w:type="character" w:customStyle="1" w:styleId="ParagraphText-numberedChar">
    <w:name w:val="Paragraph Text - numbered Char"/>
    <w:basedOn w:val="Heading1-numberedChar"/>
    <w:link w:val="ParagraphText-numbered"/>
    <w:rsid w:val="00D239B5"/>
    <w:rPr>
      <w:rFonts w:ascii="Arial" w:eastAsia="Times New Roman" w:hAnsi="Arial" w:cs="Times New Roman"/>
      <w:b w:val="0"/>
      <w:sz w:val="24"/>
      <w:szCs w:val="20"/>
      <w:lang w:eastAsia="en-GB"/>
    </w:rPr>
  </w:style>
  <w:style w:type="character" w:customStyle="1" w:styleId="Style2Char">
    <w:name w:val="Style2 Char"/>
    <w:basedOn w:val="ParagraphText-numberedChar"/>
    <w:link w:val="Style2"/>
    <w:rsid w:val="006E2AD6"/>
    <w:rPr>
      <w:rFonts w:ascii="Arial" w:eastAsia="Times New Roman" w:hAnsi="Arial" w:cs="Times New Roman"/>
      <w:b w:val="0"/>
      <w:sz w:val="24"/>
      <w:szCs w:val="20"/>
      <w:lang w:eastAsia="en-GB"/>
    </w:rPr>
  </w:style>
  <w:style w:type="paragraph" w:customStyle="1" w:styleId="Style4">
    <w:name w:val="Style4"/>
    <w:basedOn w:val="ParagraphText-numbered"/>
    <w:link w:val="Style4Char"/>
    <w:rsid w:val="009D5004"/>
    <w:pPr>
      <w:numPr>
        <w:numId w:val="5"/>
      </w:numPr>
      <w:spacing w:line="360" w:lineRule="auto"/>
      <w:jc w:val="both"/>
    </w:pPr>
  </w:style>
  <w:style w:type="character" w:customStyle="1" w:styleId="Style3Char">
    <w:name w:val="Style3 Char"/>
    <w:basedOn w:val="Style2Char"/>
    <w:link w:val="Style3"/>
    <w:rsid w:val="001E5875"/>
    <w:rPr>
      <w:rFonts w:ascii="Arial" w:eastAsia="Times New Roman" w:hAnsi="Arial" w:cs="Times New Roman"/>
      <w:b w:val="0"/>
      <w:sz w:val="24"/>
      <w:szCs w:val="20"/>
      <w:lang w:eastAsia="en-GB"/>
    </w:rPr>
  </w:style>
  <w:style w:type="character" w:customStyle="1" w:styleId="Style4Char">
    <w:name w:val="Style4 Char"/>
    <w:basedOn w:val="ParagraphText-numberedChar"/>
    <w:link w:val="Style4"/>
    <w:rsid w:val="009D5004"/>
    <w:rPr>
      <w:rFonts w:ascii="Arial" w:eastAsia="Times New Roman" w:hAnsi="Arial" w:cs="Times New Roman"/>
      <w:b w:val="0"/>
      <w:sz w:val="24"/>
      <w:szCs w:val="20"/>
      <w:lang w:eastAsia="en-GB"/>
    </w:rPr>
  </w:style>
  <w:style w:type="paragraph" w:customStyle="1" w:styleId="Style5">
    <w:name w:val="Style5"/>
    <w:basedOn w:val="ParagraphText-numbered"/>
    <w:link w:val="Style5Char"/>
    <w:rsid w:val="00546D7E"/>
    <w:pPr>
      <w:ind w:left="851" w:hanging="851"/>
    </w:pPr>
  </w:style>
  <w:style w:type="paragraph" w:customStyle="1" w:styleId="Style6">
    <w:name w:val="Style6"/>
    <w:basedOn w:val="Style5"/>
    <w:link w:val="Style6Char"/>
    <w:rsid w:val="00546D7E"/>
    <w:pPr>
      <w:numPr>
        <w:numId w:val="4"/>
      </w:numPr>
      <w:spacing w:line="360" w:lineRule="auto"/>
    </w:pPr>
  </w:style>
  <w:style w:type="paragraph" w:customStyle="1" w:styleId="Style7">
    <w:name w:val="Style7"/>
    <w:basedOn w:val="Style6"/>
    <w:rsid w:val="00CF1363"/>
  </w:style>
  <w:style w:type="character" w:customStyle="1" w:styleId="Style5Char">
    <w:name w:val="Style5 Char"/>
    <w:basedOn w:val="ParagraphText-numberedChar"/>
    <w:link w:val="Style5"/>
    <w:rsid w:val="00546D7E"/>
    <w:rPr>
      <w:rFonts w:ascii="Arial" w:eastAsia="Times New Roman" w:hAnsi="Arial" w:cs="Times New Roman"/>
      <w:b w:val="0"/>
      <w:sz w:val="24"/>
      <w:szCs w:val="20"/>
      <w:lang w:eastAsia="en-GB"/>
    </w:rPr>
  </w:style>
  <w:style w:type="character" w:customStyle="1" w:styleId="Style6Char">
    <w:name w:val="Style6 Char"/>
    <w:basedOn w:val="Style5Char"/>
    <w:link w:val="Style6"/>
    <w:rsid w:val="00546D7E"/>
    <w:rPr>
      <w:rFonts w:ascii="Arial" w:eastAsia="Times New Roman" w:hAnsi="Arial" w:cs="Times New Roman"/>
      <w:b w:val="0"/>
      <w:sz w:val="24"/>
      <w:szCs w:val="20"/>
      <w:lang w:eastAsia="en-GB"/>
    </w:rPr>
  </w:style>
  <w:style w:type="paragraph" w:customStyle="1" w:styleId="Style8">
    <w:name w:val="Style8"/>
    <w:basedOn w:val="ParagraphText-numbered"/>
    <w:link w:val="Style8Char"/>
    <w:qFormat/>
    <w:rsid w:val="00C06FA1"/>
    <w:pPr>
      <w:numPr>
        <w:numId w:val="2"/>
      </w:numPr>
      <w:spacing w:line="360" w:lineRule="auto"/>
    </w:pPr>
  </w:style>
  <w:style w:type="paragraph" w:customStyle="1" w:styleId="Style9">
    <w:name w:val="Style9"/>
    <w:basedOn w:val="Style1"/>
    <w:link w:val="Style9Char"/>
    <w:rsid w:val="009A60B9"/>
    <w:rPr>
      <w:sz w:val="29"/>
      <w:szCs w:val="29"/>
    </w:rPr>
  </w:style>
  <w:style w:type="character" w:customStyle="1" w:styleId="Style8Char">
    <w:name w:val="Style8 Char"/>
    <w:basedOn w:val="ParagraphText-numberedChar"/>
    <w:link w:val="Style8"/>
    <w:rsid w:val="00C06FA1"/>
    <w:rPr>
      <w:rFonts w:ascii="Arial" w:eastAsia="Times New Roman" w:hAnsi="Arial" w:cs="Times New Roman"/>
      <w:b w:val="0"/>
      <w:sz w:val="24"/>
      <w:szCs w:val="20"/>
      <w:lang w:eastAsia="en-GB"/>
    </w:rPr>
  </w:style>
  <w:style w:type="paragraph" w:customStyle="1" w:styleId="Style10">
    <w:name w:val="Style10"/>
    <w:basedOn w:val="Heading3"/>
    <w:link w:val="Style10Char"/>
    <w:qFormat/>
    <w:rsid w:val="004C5E0A"/>
    <w:pPr>
      <w:spacing w:before="0" w:after="240" w:line="360" w:lineRule="auto"/>
      <w:ind w:left="360" w:firstLine="0"/>
    </w:pPr>
    <w:rPr>
      <w:rFonts w:ascii="Arial" w:hAnsi="Arial" w:cs="Arial"/>
      <w:b/>
      <w:bCs/>
      <w:color w:val="auto"/>
      <w:sz w:val="29"/>
      <w:szCs w:val="29"/>
    </w:rPr>
  </w:style>
  <w:style w:type="character" w:customStyle="1" w:styleId="Style9Char">
    <w:name w:val="Style9 Char"/>
    <w:basedOn w:val="Style1Char"/>
    <w:link w:val="Style9"/>
    <w:rsid w:val="009A60B9"/>
    <w:rPr>
      <w:rFonts w:ascii="Arial" w:eastAsia="Times New Roman" w:hAnsi="Arial" w:cs="Times New Roman"/>
      <w:b/>
      <w:sz w:val="29"/>
      <w:szCs w:val="29"/>
      <w:lang w:eastAsia="en-GB"/>
    </w:rPr>
  </w:style>
  <w:style w:type="paragraph" w:customStyle="1" w:styleId="Style11">
    <w:name w:val="Style11"/>
    <w:basedOn w:val="Default"/>
    <w:link w:val="Style11Char"/>
    <w:rsid w:val="00835318"/>
    <w:pPr>
      <w:numPr>
        <w:numId w:val="3"/>
      </w:numPr>
      <w:spacing w:after="240" w:line="276" w:lineRule="auto"/>
    </w:pPr>
  </w:style>
  <w:style w:type="character" w:customStyle="1" w:styleId="Style10Char">
    <w:name w:val="Style10 Char"/>
    <w:basedOn w:val="Heading3Char"/>
    <w:link w:val="Style10"/>
    <w:rsid w:val="004C5E0A"/>
    <w:rPr>
      <w:rFonts w:ascii="Arial" w:eastAsiaTheme="majorEastAsia" w:hAnsi="Arial" w:cs="Arial"/>
      <w:b/>
      <w:bCs/>
      <w:color w:val="1F3763" w:themeColor="accent1" w:themeShade="7F"/>
      <w:sz w:val="29"/>
      <w:szCs w:val="29"/>
    </w:rPr>
  </w:style>
  <w:style w:type="paragraph" w:customStyle="1" w:styleId="Style12">
    <w:name w:val="Style12"/>
    <w:basedOn w:val="Style11"/>
    <w:link w:val="Style12Char"/>
    <w:qFormat/>
    <w:rsid w:val="00835318"/>
    <w:pPr>
      <w:spacing w:line="360" w:lineRule="auto"/>
    </w:pPr>
  </w:style>
  <w:style w:type="character" w:customStyle="1" w:styleId="DefaultChar">
    <w:name w:val="Default Char"/>
    <w:basedOn w:val="DefaultParagraphFont"/>
    <w:link w:val="Default"/>
    <w:rsid w:val="00835318"/>
    <w:rPr>
      <w:rFonts w:ascii="Arial" w:hAnsi="Arial" w:cs="Arial"/>
      <w:color w:val="000000"/>
      <w:sz w:val="24"/>
      <w:szCs w:val="24"/>
    </w:rPr>
  </w:style>
  <w:style w:type="character" w:customStyle="1" w:styleId="Style11Char">
    <w:name w:val="Style11 Char"/>
    <w:basedOn w:val="DefaultChar"/>
    <w:link w:val="Style11"/>
    <w:rsid w:val="00835318"/>
    <w:rPr>
      <w:rFonts w:ascii="Arial" w:hAnsi="Arial" w:cs="Arial"/>
      <w:color w:val="000000"/>
      <w:sz w:val="24"/>
      <w:szCs w:val="24"/>
    </w:rPr>
  </w:style>
  <w:style w:type="paragraph" w:customStyle="1" w:styleId="Style13">
    <w:name w:val="Style13"/>
    <w:basedOn w:val="Heading4"/>
    <w:link w:val="Style13Char"/>
    <w:qFormat/>
    <w:rsid w:val="002435A6"/>
    <w:pPr>
      <w:spacing w:before="0" w:after="240" w:line="360" w:lineRule="auto"/>
      <w:ind w:left="360" w:firstLine="0"/>
    </w:pPr>
    <w:rPr>
      <w:rFonts w:ascii="Arial" w:hAnsi="Arial" w:cs="Arial"/>
      <w:b/>
      <w:bCs/>
      <w:i w:val="0"/>
      <w:iCs w:val="0"/>
      <w:color w:val="auto"/>
      <w:sz w:val="25"/>
      <w:szCs w:val="25"/>
    </w:rPr>
  </w:style>
  <w:style w:type="character" w:customStyle="1" w:styleId="Style12Char">
    <w:name w:val="Style12 Char"/>
    <w:basedOn w:val="Style11Char"/>
    <w:link w:val="Style12"/>
    <w:rsid w:val="00835318"/>
    <w:rPr>
      <w:rFonts w:ascii="Arial" w:hAnsi="Arial" w:cs="Arial"/>
      <w:color w:val="000000"/>
      <w:sz w:val="24"/>
      <w:szCs w:val="24"/>
    </w:rPr>
  </w:style>
  <w:style w:type="character" w:customStyle="1" w:styleId="Style13Char">
    <w:name w:val="Style13 Char"/>
    <w:basedOn w:val="Heading4Char"/>
    <w:link w:val="Style13"/>
    <w:rsid w:val="002435A6"/>
    <w:rPr>
      <w:rFonts w:ascii="Arial" w:eastAsiaTheme="majorEastAsia" w:hAnsi="Arial" w:cs="Arial"/>
      <w:b/>
      <w:bCs/>
      <w:i w:val="0"/>
      <w:iCs w:val="0"/>
      <w:color w:val="2F5496" w:themeColor="accent1" w:themeShade="BF"/>
      <w:sz w:val="25"/>
      <w:szCs w:val="25"/>
    </w:rPr>
  </w:style>
  <w:style w:type="paragraph" w:customStyle="1" w:styleId="Reporttitle">
    <w:name w:val="Report title"/>
    <w:basedOn w:val="Normal"/>
    <w:uiPriority w:val="1"/>
    <w:qFormat/>
    <w:rsid w:val="0012357A"/>
    <w:pPr>
      <w:spacing w:after="480"/>
      <w:ind w:left="0" w:firstLine="0"/>
    </w:pPr>
    <w:rPr>
      <w:rFonts w:ascii="Arial" w:eastAsia="Times New Roman" w:hAnsi="Arial" w:cs="Arial"/>
      <w:b/>
      <w:sz w:val="56"/>
      <w:szCs w:val="60"/>
      <w:lang w:eastAsia="en-GB"/>
    </w:rPr>
  </w:style>
  <w:style w:type="paragraph" w:customStyle="1" w:styleId="Reportsubtitle">
    <w:name w:val="Report subtitle"/>
    <w:basedOn w:val="Normal"/>
    <w:uiPriority w:val="1"/>
    <w:qFormat/>
    <w:rsid w:val="0012357A"/>
    <w:pPr>
      <w:spacing w:after="960"/>
      <w:ind w:left="0" w:firstLine="0"/>
    </w:pPr>
    <w:rPr>
      <w:rFonts w:ascii="Arial" w:eastAsia="Times New Roman" w:hAnsi="Arial" w:cs="Arial"/>
      <w:b/>
      <w:sz w:val="36"/>
      <w:szCs w:val="36"/>
      <w:lang w:eastAsia="en-GB"/>
    </w:rPr>
  </w:style>
  <w:style w:type="character" w:customStyle="1" w:styleId="ParagraphText-unnumberedChar">
    <w:name w:val="Paragraph Text - unnumbered Char"/>
    <w:basedOn w:val="DefaultParagraphFont"/>
    <w:link w:val="ParagraphText-unnumbered"/>
    <w:rsid w:val="006B0DC3"/>
    <w:rPr>
      <w:rFonts w:ascii="Arial" w:hAnsi="Arial"/>
      <w:sz w:val="24"/>
    </w:rPr>
  </w:style>
  <w:style w:type="paragraph" w:customStyle="1" w:styleId="ParagraphText-unnumbered">
    <w:name w:val="Paragraph Text - unnumbered"/>
    <w:link w:val="ParagraphText-unnumberedChar"/>
    <w:qFormat/>
    <w:rsid w:val="006B0DC3"/>
    <w:pPr>
      <w:spacing w:after="284" w:line="324" w:lineRule="exact"/>
      <w:ind w:left="0" w:firstLine="0"/>
    </w:pPr>
    <w:rPr>
      <w:rFonts w:ascii="Arial" w:hAnsi="Arial"/>
      <w:sz w:val="24"/>
    </w:rPr>
  </w:style>
  <w:style w:type="paragraph" w:customStyle="1" w:styleId="Bulletundernumberedlist">
    <w:name w:val="Bullet (under numbered list)"/>
    <w:uiPriority w:val="1"/>
    <w:qFormat/>
    <w:rsid w:val="00051D18"/>
    <w:pPr>
      <w:numPr>
        <w:numId w:val="6"/>
      </w:numPr>
      <w:spacing w:after="284" w:line="324" w:lineRule="exact"/>
    </w:pPr>
    <w:rPr>
      <w:rFonts w:ascii="Arial" w:eastAsia="Times New Roman" w:hAnsi="Arial" w:cs="Times New Roman"/>
      <w:sz w:val="24"/>
      <w:szCs w:val="20"/>
      <w:lang w:eastAsia="en-GB"/>
    </w:rPr>
  </w:style>
  <w:style w:type="paragraph" w:customStyle="1" w:styleId="Bulletundernumberedparagraph">
    <w:name w:val="Bullet (under numbered paragraph)"/>
    <w:basedOn w:val="Bulletundernumberedlist"/>
    <w:uiPriority w:val="1"/>
    <w:qFormat/>
    <w:rsid w:val="00051D18"/>
    <w:pPr>
      <w:ind w:left="1276"/>
    </w:pPr>
  </w:style>
  <w:style w:type="character" w:customStyle="1" w:styleId="normaltextrun">
    <w:name w:val="normaltextrun"/>
    <w:basedOn w:val="DefaultParagraphFont"/>
    <w:rsid w:val="004464DE"/>
  </w:style>
  <w:style w:type="character" w:customStyle="1" w:styleId="eop">
    <w:name w:val="eop"/>
    <w:basedOn w:val="DefaultParagraphFont"/>
    <w:rsid w:val="004464DE"/>
  </w:style>
  <w:style w:type="paragraph" w:customStyle="1" w:styleId="paragraph">
    <w:name w:val="paragraph"/>
    <w:basedOn w:val="Normal"/>
    <w:rsid w:val="00F00B98"/>
    <w:pPr>
      <w:spacing w:before="100" w:beforeAutospacing="1" w:after="100" w:afterAutospacing="1"/>
      <w:ind w:left="0" w:firstLine="0"/>
    </w:pPr>
    <w:rPr>
      <w:rFonts w:ascii="Times New Roman" w:eastAsia="Times New Roman" w:hAnsi="Times New Roman" w:cs="Times New Roman"/>
      <w:sz w:val="24"/>
      <w:szCs w:val="24"/>
      <w:lang w:eastAsia="en-GB"/>
    </w:rPr>
  </w:style>
  <w:style w:type="paragraph" w:customStyle="1" w:styleId="Heading1DA">
    <w:name w:val="Heading 1_DA"/>
    <w:basedOn w:val="Heading1-numbered"/>
    <w:link w:val="Heading1DAChar"/>
    <w:qFormat/>
    <w:rsid w:val="003E1D24"/>
    <w:pPr>
      <w:numPr>
        <w:numId w:val="0"/>
      </w:numPr>
    </w:pPr>
  </w:style>
  <w:style w:type="character" w:customStyle="1" w:styleId="Heading1DAChar">
    <w:name w:val="Heading 1_DA Char"/>
    <w:basedOn w:val="Heading1-numberedChar"/>
    <w:link w:val="Heading1DA"/>
    <w:rsid w:val="003E1D24"/>
    <w:rPr>
      <w:rFonts w:ascii="Arial" w:eastAsia="Times New Roman" w:hAnsi="Arial" w:cs="Times New Roman"/>
      <w:b/>
      <w:sz w:val="48"/>
      <w:szCs w:val="20"/>
      <w:lang w:eastAsia="en-GB"/>
    </w:rPr>
  </w:style>
  <w:style w:type="table" w:styleId="TableGrid">
    <w:name w:val="Table Grid"/>
    <w:basedOn w:val="TableNormal"/>
    <w:uiPriority w:val="39"/>
    <w:rsid w:val="00E6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065"/>
    <w:pPr>
      <w:spacing w:before="100" w:beforeAutospacing="1" w:after="100" w:afterAutospacing="1"/>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3847">
      <w:bodyDiv w:val="1"/>
      <w:marLeft w:val="0"/>
      <w:marRight w:val="0"/>
      <w:marTop w:val="0"/>
      <w:marBottom w:val="0"/>
      <w:divBdr>
        <w:top w:val="none" w:sz="0" w:space="0" w:color="auto"/>
        <w:left w:val="none" w:sz="0" w:space="0" w:color="auto"/>
        <w:bottom w:val="none" w:sz="0" w:space="0" w:color="auto"/>
        <w:right w:val="none" w:sz="0" w:space="0" w:color="auto"/>
      </w:divBdr>
    </w:div>
    <w:div w:id="236208001">
      <w:bodyDiv w:val="1"/>
      <w:marLeft w:val="0"/>
      <w:marRight w:val="0"/>
      <w:marTop w:val="0"/>
      <w:marBottom w:val="0"/>
      <w:divBdr>
        <w:top w:val="none" w:sz="0" w:space="0" w:color="auto"/>
        <w:left w:val="none" w:sz="0" w:space="0" w:color="auto"/>
        <w:bottom w:val="none" w:sz="0" w:space="0" w:color="auto"/>
        <w:right w:val="none" w:sz="0" w:space="0" w:color="auto"/>
      </w:divBdr>
    </w:div>
    <w:div w:id="303512899">
      <w:bodyDiv w:val="1"/>
      <w:marLeft w:val="0"/>
      <w:marRight w:val="0"/>
      <w:marTop w:val="0"/>
      <w:marBottom w:val="0"/>
      <w:divBdr>
        <w:top w:val="none" w:sz="0" w:space="0" w:color="auto"/>
        <w:left w:val="none" w:sz="0" w:space="0" w:color="auto"/>
        <w:bottom w:val="none" w:sz="0" w:space="0" w:color="auto"/>
        <w:right w:val="none" w:sz="0" w:space="0" w:color="auto"/>
      </w:divBdr>
    </w:div>
    <w:div w:id="311643803">
      <w:bodyDiv w:val="1"/>
      <w:marLeft w:val="0"/>
      <w:marRight w:val="0"/>
      <w:marTop w:val="0"/>
      <w:marBottom w:val="0"/>
      <w:divBdr>
        <w:top w:val="none" w:sz="0" w:space="0" w:color="auto"/>
        <w:left w:val="none" w:sz="0" w:space="0" w:color="auto"/>
        <w:bottom w:val="none" w:sz="0" w:space="0" w:color="auto"/>
        <w:right w:val="none" w:sz="0" w:space="0" w:color="auto"/>
      </w:divBdr>
      <w:divsChild>
        <w:div w:id="97601683">
          <w:marLeft w:val="0"/>
          <w:marRight w:val="0"/>
          <w:marTop w:val="0"/>
          <w:marBottom w:val="0"/>
          <w:divBdr>
            <w:top w:val="none" w:sz="0" w:space="0" w:color="auto"/>
            <w:left w:val="none" w:sz="0" w:space="0" w:color="auto"/>
            <w:bottom w:val="none" w:sz="0" w:space="0" w:color="auto"/>
            <w:right w:val="none" w:sz="0" w:space="0" w:color="auto"/>
          </w:divBdr>
        </w:div>
        <w:div w:id="1120762832">
          <w:marLeft w:val="0"/>
          <w:marRight w:val="0"/>
          <w:marTop w:val="0"/>
          <w:marBottom w:val="0"/>
          <w:divBdr>
            <w:top w:val="none" w:sz="0" w:space="0" w:color="auto"/>
            <w:left w:val="none" w:sz="0" w:space="0" w:color="auto"/>
            <w:bottom w:val="none" w:sz="0" w:space="0" w:color="auto"/>
            <w:right w:val="none" w:sz="0" w:space="0" w:color="auto"/>
          </w:divBdr>
        </w:div>
      </w:divsChild>
    </w:div>
    <w:div w:id="347485090">
      <w:bodyDiv w:val="1"/>
      <w:marLeft w:val="0"/>
      <w:marRight w:val="0"/>
      <w:marTop w:val="0"/>
      <w:marBottom w:val="0"/>
      <w:divBdr>
        <w:top w:val="none" w:sz="0" w:space="0" w:color="auto"/>
        <w:left w:val="none" w:sz="0" w:space="0" w:color="auto"/>
        <w:bottom w:val="none" w:sz="0" w:space="0" w:color="auto"/>
        <w:right w:val="none" w:sz="0" w:space="0" w:color="auto"/>
      </w:divBdr>
    </w:div>
    <w:div w:id="476336681">
      <w:bodyDiv w:val="1"/>
      <w:marLeft w:val="0"/>
      <w:marRight w:val="0"/>
      <w:marTop w:val="0"/>
      <w:marBottom w:val="0"/>
      <w:divBdr>
        <w:top w:val="none" w:sz="0" w:space="0" w:color="auto"/>
        <w:left w:val="none" w:sz="0" w:space="0" w:color="auto"/>
        <w:bottom w:val="none" w:sz="0" w:space="0" w:color="auto"/>
        <w:right w:val="none" w:sz="0" w:space="0" w:color="auto"/>
      </w:divBdr>
    </w:div>
    <w:div w:id="593823799">
      <w:bodyDiv w:val="1"/>
      <w:marLeft w:val="0"/>
      <w:marRight w:val="0"/>
      <w:marTop w:val="0"/>
      <w:marBottom w:val="0"/>
      <w:divBdr>
        <w:top w:val="none" w:sz="0" w:space="0" w:color="auto"/>
        <w:left w:val="none" w:sz="0" w:space="0" w:color="auto"/>
        <w:bottom w:val="none" w:sz="0" w:space="0" w:color="auto"/>
        <w:right w:val="none" w:sz="0" w:space="0" w:color="auto"/>
      </w:divBdr>
    </w:div>
    <w:div w:id="686444650">
      <w:bodyDiv w:val="1"/>
      <w:marLeft w:val="0"/>
      <w:marRight w:val="0"/>
      <w:marTop w:val="0"/>
      <w:marBottom w:val="0"/>
      <w:divBdr>
        <w:top w:val="none" w:sz="0" w:space="0" w:color="auto"/>
        <w:left w:val="none" w:sz="0" w:space="0" w:color="auto"/>
        <w:bottom w:val="none" w:sz="0" w:space="0" w:color="auto"/>
        <w:right w:val="none" w:sz="0" w:space="0" w:color="auto"/>
      </w:divBdr>
      <w:divsChild>
        <w:div w:id="457066102">
          <w:marLeft w:val="0"/>
          <w:marRight w:val="0"/>
          <w:marTop w:val="0"/>
          <w:marBottom w:val="0"/>
          <w:divBdr>
            <w:top w:val="none" w:sz="0" w:space="0" w:color="auto"/>
            <w:left w:val="none" w:sz="0" w:space="0" w:color="auto"/>
            <w:bottom w:val="none" w:sz="0" w:space="0" w:color="auto"/>
            <w:right w:val="none" w:sz="0" w:space="0" w:color="auto"/>
          </w:divBdr>
        </w:div>
        <w:div w:id="784036353">
          <w:marLeft w:val="0"/>
          <w:marRight w:val="0"/>
          <w:marTop w:val="0"/>
          <w:marBottom w:val="0"/>
          <w:divBdr>
            <w:top w:val="none" w:sz="0" w:space="0" w:color="auto"/>
            <w:left w:val="none" w:sz="0" w:space="0" w:color="auto"/>
            <w:bottom w:val="none" w:sz="0" w:space="0" w:color="auto"/>
            <w:right w:val="none" w:sz="0" w:space="0" w:color="auto"/>
          </w:divBdr>
        </w:div>
        <w:div w:id="801003798">
          <w:marLeft w:val="0"/>
          <w:marRight w:val="0"/>
          <w:marTop w:val="0"/>
          <w:marBottom w:val="0"/>
          <w:divBdr>
            <w:top w:val="none" w:sz="0" w:space="0" w:color="auto"/>
            <w:left w:val="none" w:sz="0" w:space="0" w:color="auto"/>
            <w:bottom w:val="none" w:sz="0" w:space="0" w:color="auto"/>
            <w:right w:val="none" w:sz="0" w:space="0" w:color="auto"/>
          </w:divBdr>
        </w:div>
        <w:div w:id="897864188">
          <w:marLeft w:val="0"/>
          <w:marRight w:val="0"/>
          <w:marTop w:val="0"/>
          <w:marBottom w:val="0"/>
          <w:divBdr>
            <w:top w:val="none" w:sz="0" w:space="0" w:color="auto"/>
            <w:left w:val="none" w:sz="0" w:space="0" w:color="auto"/>
            <w:bottom w:val="none" w:sz="0" w:space="0" w:color="auto"/>
            <w:right w:val="none" w:sz="0" w:space="0" w:color="auto"/>
          </w:divBdr>
        </w:div>
        <w:div w:id="954794669">
          <w:marLeft w:val="0"/>
          <w:marRight w:val="0"/>
          <w:marTop w:val="0"/>
          <w:marBottom w:val="0"/>
          <w:divBdr>
            <w:top w:val="none" w:sz="0" w:space="0" w:color="auto"/>
            <w:left w:val="none" w:sz="0" w:space="0" w:color="auto"/>
            <w:bottom w:val="none" w:sz="0" w:space="0" w:color="auto"/>
            <w:right w:val="none" w:sz="0" w:space="0" w:color="auto"/>
          </w:divBdr>
        </w:div>
        <w:div w:id="1450129490">
          <w:marLeft w:val="0"/>
          <w:marRight w:val="0"/>
          <w:marTop w:val="0"/>
          <w:marBottom w:val="0"/>
          <w:divBdr>
            <w:top w:val="none" w:sz="0" w:space="0" w:color="auto"/>
            <w:left w:val="none" w:sz="0" w:space="0" w:color="auto"/>
            <w:bottom w:val="none" w:sz="0" w:space="0" w:color="auto"/>
            <w:right w:val="none" w:sz="0" w:space="0" w:color="auto"/>
          </w:divBdr>
        </w:div>
        <w:div w:id="1746684288">
          <w:marLeft w:val="0"/>
          <w:marRight w:val="0"/>
          <w:marTop w:val="0"/>
          <w:marBottom w:val="0"/>
          <w:divBdr>
            <w:top w:val="none" w:sz="0" w:space="0" w:color="auto"/>
            <w:left w:val="none" w:sz="0" w:space="0" w:color="auto"/>
            <w:bottom w:val="none" w:sz="0" w:space="0" w:color="auto"/>
            <w:right w:val="none" w:sz="0" w:space="0" w:color="auto"/>
          </w:divBdr>
        </w:div>
        <w:div w:id="1957787441">
          <w:marLeft w:val="0"/>
          <w:marRight w:val="0"/>
          <w:marTop w:val="0"/>
          <w:marBottom w:val="0"/>
          <w:divBdr>
            <w:top w:val="none" w:sz="0" w:space="0" w:color="auto"/>
            <w:left w:val="none" w:sz="0" w:space="0" w:color="auto"/>
            <w:bottom w:val="none" w:sz="0" w:space="0" w:color="auto"/>
            <w:right w:val="none" w:sz="0" w:space="0" w:color="auto"/>
          </w:divBdr>
        </w:div>
        <w:div w:id="1983998142">
          <w:marLeft w:val="0"/>
          <w:marRight w:val="0"/>
          <w:marTop w:val="0"/>
          <w:marBottom w:val="0"/>
          <w:divBdr>
            <w:top w:val="none" w:sz="0" w:space="0" w:color="auto"/>
            <w:left w:val="none" w:sz="0" w:space="0" w:color="auto"/>
            <w:bottom w:val="none" w:sz="0" w:space="0" w:color="auto"/>
            <w:right w:val="none" w:sz="0" w:space="0" w:color="auto"/>
          </w:divBdr>
        </w:div>
      </w:divsChild>
    </w:div>
    <w:div w:id="716321693">
      <w:bodyDiv w:val="1"/>
      <w:marLeft w:val="0"/>
      <w:marRight w:val="0"/>
      <w:marTop w:val="0"/>
      <w:marBottom w:val="0"/>
      <w:divBdr>
        <w:top w:val="none" w:sz="0" w:space="0" w:color="auto"/>
        <w:left w:val="none" w:sz="0" w:space="0" w:color="auto"/>
        <w:bottom w:val="none" w:sz="0" w:space="0" w:color="auto"/>
        <w:right w:val="none" w:sz="0" w:space="0" w:color="auto"/>
      </w:divBdr>
    </w:div>
    <w:div w:id="735978929">
      <w:bodyDiv w:val="1"/>
      <w:marLeft w:val="0"/>
      <w:marRight w:val="0"/>
      <w:marTop w:val="0"/>
      <w:marBottom w:val="0"/>
      <w:divBdr>
        <w:top w:val="none" w:sz="0" w:space="0" w:color="auto"/>
        <w:left w:val="none" w:sz="0" w:space="0" w:color="auto"/>
        <w:bottom w:val="none" w:sz="0" w:space="0" w:color="auto"/>
        <w:right w:val="none" w:sz="0" w:space="0" w:color="auto"/>
      </w:divBdr>
      <w:divsChild>
        <w:div w:id="1153528927">
          <w:marLeft w:val="0"/>
          <w:marRight w:val="0"/>
          <w:marTop w:val="0"/>
          <w:marBottom w:val="0"/>
          <w:divBdr>
            <w:top w:val="none" w:sz="0" w:space="0" w:color="auto"/>
            <w:left w:val="none" w:sz="0" w:space="0" w:color="auto"/>
            <w:bottom w:val="none" w:sz="0" w:space="0" w:color="auto"/>
            <w:right w:val="none" w:sz="0" w:space="0" w:color="auto"/>
          </w:divBdr>
          <w:divsChild>
            <w:div w:id="681787471">
              <w:marLeft w:val="0"/>
              <w:marRight w:val="0"/>
              <w:marTop w:val="0"/>
              <w:marBottom w:val="0"/>
              <w:divBdr>
                <w:top w:val="none" w:sz="0" w:space="0" w:color="auto"/>
                <w:left w:val="none" w:sz="0" w:space="0" w:color="auto"/>
                <w:bottom w:val="none" w:sz="0" w:space="0" w:color="auto"/>
                <w:right w:val="none" w:sz="0" w:space="0" w:color="auto"/>
              </w:divBdr>
            </w:div>
          </w:divsChild>
        </w:div>
        <w:div w:id="1304196703">
          <w:marLeft w:val="0"/>
          <w:marRight w:val="0"/>
          <w:marTop w:val="0"/>
          <w:marBottom w:val="0"/>
          <w:divBdr>
            <w:top w:val="none" w:sz="0" w:space="0" w:color="auto"/>
            <w:left w:val="none" w:sz="0" w:space="0" w:color="auto"/>
            <w:bottom w:val="none" w:sz="0" w:space="0" w:color="auto"/>
            <w:right w:val="none" w:sz="0" w:space="0" w:color="auto"/>
          </w:divBdr>
          <w:divsChild>
            <w:div w:id="213153234">
              <w:marLeft w:val="0"/>
              <w:marRight w:val="0"/>
              <w:marTop w:val="0"/>
              <w:marBottom w:val="0"/>
              <w:divBdr>
                <w:top w:val="none" w:sz="0" w:space="0" w:color="auto"/>
                <w:left w:val="none" w:sz="0" w:space="0" w:color="auto"/>
                <w:bottom w:val="none" w:sz="0" w:space="0" w:color="auto"/>
                <w:right w:val="none" w:sz="0" w:space="0" w:color="auto"/>
              </w:divBdr>
            </w:div>
            <w:div w:id="874729584">
              <w:marLeft w:val="0"/>
              <w:marRight w:val="0"/>
              <w:marTop w:val="0"/>
              <w:marBottom w:val="0"/>
              <w:divBdr>
                <w:top w:val="none" w:sz="0" w:space="0" w:color="auto"/>
                <w:left w:val="none" w:sz="0" w:space="0" w:color="auto"/>
                <w:bottom w:val="none" w:sz="0" w:space="0" w:color="auto"/>
                <w:right w:val="none" w:sz="0" w:space="0" w:color="auto"/>
              </w:divBdr>
            </w:div>
            <w:div w:id="18107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2934">
      <w:bodyDiv w:val="1"/>
      <w:marLeft w:val="0"/>
      <w:marRight w:val="0"/>
      <w:marTop w:val="0"/>
      <w:marBottom w:val="0"/>
      <w:divBdr>
        <w:top w:val="none" w:sz="0" w:space="0" w:color="auto"/>
        <w:left w:val="none" w:sz="0" w:space="0" w:color="auto"/>
        <w:bottom w:val="none" w:sz="0" w:space="0" w:color="auto"/>
        <w:right w:val="none" w:sz="0" w:space="0" w:color="auto"/>
      </w:divBdr>
    </w:div>
    <w:div w:id="806704798">
      <w:bodyDiv w:val="1"/>
      <w:marLeft w:val="0"/>
      <w:marRight w:val="0"/>
      <w:marTop w:val="0"/>
      <w:marBottom w:val="0"/>
      <w:divBdr>
        <w:top w:val="none" w:sz="0" w:space="0" w:color="auto"/>
        <w:left w:val="none" w:sz="0" w:space="0" w:color="auto"/>
        <w:bottom w:val="none" w:sz="0" w:space="0" w:color="auto"/>
        <w:right w:val="none" w:sz="0" w:space="0" w:color="auto"/>
      </w:divBdr>
    </w:div>
    <w:div w:id="828179823">
      <w:bodyDiv w:val="1"/>
      <w:marLeft w:val="0"/>
      <w:marRight w:val="0"/>
      <w:marTop w:val="0"/>
      <w:marBottom w:val="0"/>
      <w:divBdr>
        <w:top w:val="none" w:sz="0" w:space="0" w:color="auto"/>
        <w:left w:val="none" w:sz="0" w:space="0" w:color="auto"/>
        <w:bottom w:val="none" w:sz="0" w:space="0" w:color="auto"/>
        <w:right w:val="none" w:sz="0" w:space="0" w:color="auto"/>
      </w:divBdr>
    </w:div>
    <w:div w:id="941374125">
      <w:bodyDiv w:val="1"/>
      <w:marLeft w:val="0"/>
      <w:marRight w:val="0"/>
      <w:marTop w:val="0"/>
      <w:marBottom w:val="0"/>
      <w:divBdr>
        <w:top w:val="none" w:sz="0" w:space="0" w:color="auto"/>
        <w:left w:val="none" w:sz="0" w:space="0" w:color="auto"/>
        <w:bottom w:val="none" w:sz="0" w:space="0" w:color="auto"/>
        <w:right w:val="none" w:sz="0" w:space="0" w:color="auto"/>
      </w:divBdr>
      <w:divsChild>
        <w:div w:id="261963105">
          <w:marLeft w:val="0"/>
          <w:marRight w:val="0"/>
          <w:marTop w:val="0"/>
          <w:marBottom w:val="0"/>
          <w:divBdr>
            <w:top w:val="none" w:sz="0" w:space="0" w:color="auto"/>
            <w:left w:val="none" w:sz="0" w:space="0" w:color="auto"/>
            <w:bottom w:val="none" w:sz="0" w:space="0" w:color="auto"/>
            <w:right w:val="none" w:sz="0" w:space="0" w:color="auto"/>
          </w:divBdr>
        </w:div>
        <w:div w:id="950667754">
          <w:marLeft w:val="0"/>
          <w:marRight w:val="0"/>
          <w:marTop w:val="0"/>
          <w:marBottom w:val="0"/>
          <w:divBdr>
            <w:top w:val="none" w:sz="0" w:space="0" w:color="auto"/>
            <w:left w:val="none" w:sz="0" w:space="0" w:color="auto"/>
            <w:bottom w:val="none" w:sz="0" w:space="0" w:color="auto"/>
            <w:right w:val="none" w:sz="0" w:space="0" w:color="auto"/>
          </w:divBdr>
        </w:div>
        <w:div w:id="1087923038">
          <w:marLeft w:val="0"/>
          <w:marRight w:val="0"/>
          <w:marTop w:val="0"/>
          <w:marBottom w:val="0"/>
          <w:divBdr>
            <w:top w:val="none" w:sz="0" w:space="0" w:color="auto"/>
            <w:left w:val="none" w:sz="0" w:space="0" w:color="auto"/>
            <w:bottom w:val="none" w:sz="0" w:space="0" w:color="auto"/>
            <w:right w:val="none" w:sz="0" w:space="0" w:color="auto"/>
          </w:divBdr>
        </w:div>
      </w:divsChild>
    </w:div>
    <w:div w:id="990521406">
      <w:bodyDiv w:val="1"/>
      <w:marLeft w:val="0"/>
      <w:marRight w:val="0"/>
      <w:marTop w:val="0"/>
      <w:marBottom w:val="0"/>
      <w:divBdr>
        <w:top w:val="none" w:sz="0" w:space="0" w:color="auto"/>
        <w:left w:val="none" w:sz="0" w:space="0" w:color="auto"/>
        <w:bottom w:val="none" w:sz="0" w:space="0" w:color="auto"/>
        <w:right w:val="none" w:sz="0" w:space="0" w:color="auto"/>
      </w:divBdr>
    </w:div>
    <w:div w:id="1043746542">
      <w:bodyDiv w:val="1"/>
      <w:marLeft w:val="0"/>
      <w:marRight w:val="0"/>
      <w:marTop w:val="0"/>
      <w:marBottom w:val="0"/>
      <w:divBdr>
        <w:top w:val="none" w:sz="0" w:space="0" w:color="auto"/>
        <w:left w:val="none" w:sz="0" w:space="0" w:color="auto"/>
        <w:bottom w:val="none" w:sz="0" w:space="0" w:color="auto"/>
        <w:right w:val="none" w:sz="0" w:space="0" w:color="auto"/>
      </w:divBdr>
    </w:div>
    <w:div w:id="1290669877">
      <w:bodyDiv w:val="1"/>
      <w:marLeft w:val="0"/>
      <w:marRight w:val="0"/>
      <w:marTop w:val="0"/>
      <w:marBottom w:val="0"/>
      <w:divBdr>
        <w:top w:val="none" w:sz="0" w:space="0" w:color="auto"/>
        <w:left w:val="none" w:sz="0" w:space="0" w:color="auto"/>
        <w:bottom w:val="none" w:sz="0" w:space="0" w:color="auto"/>
        <w:right w:val="none" w:sz="0" w:space="0" w:color="auto"/>
      </w:divBdr>
    </w:div>
    <w:div w:id="1439327366">
      <w:bodyDiv w:val="1"/>
      <w:marLeft w:val="0"/>
      <w:marRight w:val="0"/>
      <w:marTop w:val="0"/>
      <w:marBottom w:val="0"/>
      <w:divBdr>
        <w:top w:val="none" w:sz="0" w:space="0" w:color="auto"/>
        <w:left w:val="none" w:sz="0" w:space="0" w:color="auto"/>
        <w:bottom w:val="none" w:sz="0" w:space="0" w:color="auto"/>
        <w:right w:val="none" w:sz="0" w:space="0" w:color="auto"/>
      </w:divBdr>
    </w:div>
    <w:div w:id="1512064043">
      <w:bodyDiv w:val="1"/>
      <w:marLeft w:val="0"/>
      <w:marRight w:val="0"/>
      <w:marTop w:val="0"/>
      <w:marBottom w:val="0"/>
      <w:divBdr>
        <w:top w:val="none" w:sz="0" w:space="0" w:color="auto"/>
        <w:left w:val="none" w:sz="0" w:space="0" w:color="auto"/>
        <w:bottom w:val="none" w:sz="0" w:space="0" w:color="auto"/>
        <w:right w:val="none" w:sz="0" w:space="0" w:color="auto"/>
      </w:divBdr>
    </w:div>
    <w:div w:id="1532496302">
      <w:bodyDiv w:val="1"/>
      <w:marLeft w:val="0"/>
      <w:marRight w:val="0"/>
      <w:marTop w:val="0"/>
      <w:marBottom w:val="0"/>
      <w:divBdr>
        <w:top w:val="none" w:sz="0" w:space="0" w:color="auto"/>
        <w:left w:val="none" w:sz="0" w:space="0" w:color="auto"/>
        <w:bottom w:val="none" w:sz="0" w:space="0" w:color="auto"/>
        <w:right w:val="none" w:sz="0" w:space="0" w:color="auto"/>
      </w:divBdr>
    </w:div>
    <w:div w:id="1556893893">
      <w:bodyDiv w:val="1"/>
      <w:marLeft w:val="0"/>
      <w:marRight w:val="0"/>
      <w:marTop w:val="0"/>
      <w:marBottom w:val="0"/>
      <w:divBdr>
        <w:top w:val="none" w:sz="0" w:space="0" w:color="auto"/>
        <w:left w:val="none" w:sz="0" w:space="0" w:color="auto"/>
        <w:bottom w:val="none" w:sz="0" w:space="0" w:color="auto"/>
        <w:right w:val="none" w:sz="0" w:space="0" w:color="auto"/>
      </w:divBdr>
    </w:div>
    <w:div w:id="1568491498">
      <w:bodyDiv w:val="1"/>
      <w:marLeft w:val="0"/>
      <w:marRight w:val="0"/>
      <w:marTop w:val="0"/>
      <w:marBottom w:val="0"/>
      <w:divBdr>
        <w:top w:val="none" w:sz="0" w:space="0" w:color="auto"/>
        <w:left w:val="none" w:sz="0" w:space="0" w:color="auto"/>
        <w:bottom w:val="none" w:sz="0" w:space="0" w:color="auto"/>
        <w:right w:val="none" w:sz="0" w:space="0" w:color="auto"/>
      </w:divBdr>
    </w:div>
    <w:div w:id="1590575042">
      <w:bodyDiv w:val="1"/>
      <w:marLeft w:val="0"/>
      <w:marRight w:val="0"/>
      <w:marTop w:val="0"/>
      <w:marBottom w:val="0"/>
      <w:divBdr>
        <w:top w:val="none" w:sz="0" w:space="0" w:color="auto"/>
        <w:left w:val="none" w:sz="0" w:space="0" w:color="auto"/>
        <w:bottom w:val="none" w:sz="0" w:space="0" w:color="auto"/>
        <w:right w:val="none" w:sz="0" w:space="0" w:color="auto"/>
      </w:divBdr>
    </w:div>
    <w:div w:id="1700201084">
      <w:bodyDiv w:val="1"/>
      <w:marLeft w:val="0"/>
      <w:marRight w:val="0"/>
      <w:marTop w:val="0"/>
      <w:marBottom w:val="0"/>
      <w:divBdr>
        <w:top w:val="none" w:sz="0" w:space="0" w:color="auto"/>
        <w:left w:val="none" w:sz="0" w:space="0" w:color="auto"/>
        <w:bottom w:val="none" w:sz="0" w:space="0" w:color="auto"/>
        <w:right w:val="none" w:sz="0" w:space="0" w:color="auto"/>
      </w:divBdr>
    </w:div>
    <w:div w:id="1927764912">
      <w:bodyDiv w:val="1"/>
      <w:marLeft w:val="0"/>
      <w:marRight w:val="0"/>
      <w:marTop w:val="0"/>
      <w:marBottom w:val="0"/>
      <w:divBdr>
        <w:top w:val="none" w:sz="0" w:space="0" w:color="auto"/>
        <w:left w:val="none" w:sz="0" w:space="0" w:color="auto"/>
        <w:bottom w:val="none" w:sz="0" w:space="0" w:color="auto"/>
        <w:right w:val="none" w:sz="0" w:space="0" w:color="auto"/>
      </w:divBdr>
    </w:div>
    <w:div w:id="1933776891">
      <w:bodyDiv w:val="1"/>
      <w:marLeft w:val="0"/>
      <w:marRight w:val="0"/>
      <w:marTop w:val="0"/>
      <w:marBottom w:val="0"/>
      <w:divBdr>
        <w:top w:val="none" w:sz="0" w:space="0" w:color="auto"/>
        <w:left w:val="none" w:sz="0" w:space="0" w:color="auto"/>
        <w:bottom w:val="none" w:sz="0" w:space="0" w:color="auto"/>
        <w:right w:val="none" w:sz="0" w:space="0" w:color="auto"/>
      </w:divBdr>
    </w:div>
    <w:div w:id="1948998110">
      <w:bodyDiv w:val="1"/>
      <w:marLeft w:val="0"/>
      <w:marRight w:val="0"/>
      <w:marTop w:val="0"/>
      <w:marBottom w:val="0"/>
      <w:divBdr>
        <w:top w:val="none" w:sz="0" w:space="0" w:color="auto"/>
        <w:left w:val="none" w:sz="0" w:space="0" w:color="auto"/>
        <w:bottom w:val="none" w:sz="0" w:space="0" w:color="auto"/>
        <w:right w:val="none" w:sz="0" w:space="0" w:color="auto"/>
      </w:divBdr>
      <w:divsChild>
        <w:div w:id="29767096">
          <w:marLeft w:val="0"/>
          <w:marRight w:val="0"/>
          <w:marTop w:val="0"/>
          <w:marBottom w:val="0"/>
          <w:divBdr>
            <w:top w:val="none" w:sz="0" w:space="0" w:color="auto"/>
            <w:left w:val="none" w:sz="0" w:space="0" w:color="auto"/>
            <w:bottom w:val="none" w:sz="0" w:space="0" w:color="auto"/>
            <w:right w:val="none" w:sz="0" w:space="0" w:color="auto"/>
          </w:divBdr>
          <w:divsChild>
            <w:div w:id="1873883890">
              <w:marLeft w:val="0"/>
              <w:marRight w:val="0"/>
              <w:marTop w:val="0"/>
              <w:marBottom w:val="0"/>
              <w:divBdr>
                <w:top w:val="none" w:sz="0" w:space="0" w:color="auto"/>
                <w:left w:val="none" w:sz="0" w:space="0" w:color="auto"/>
                <w:bottom w:val="none" w:sz="0" w:space="0" w:color="auto"/>
                <w:right w:val="none" w:sz="0" w:space="0" w:color="auto"/>
              </w:divBdr>
            </w:div>
          </w:divsChild>
        </w:div>
        <w:div w:id="30614167">
          <w:marLeft w:val="0"/>
          <w:marRight w:val="0"/>
          <w:marTop w:val="0"/>
          <w:marBottom w:val="0"/>
          <w:divBdr>
            <w:top w:val="none" w:sz="0" w:space="0" w:color="auto"/>
            <w:left w:val="none" w:sz="0" w:space="0" w:color="auto"/>
            <w:bottom w:val="none" w:sz="0" w:space="0" w:color="auto"/>
            <w:right w:val="none" w:sz="0" w:space="0" w:color="auto"/>
          </w:divBdr>
          <w:divsChild>
            <w:div w:id="340353671">
              <w:marLeft w:val="0"/>
              <w:marRight w:val="0"/>
              <w:marTop w:val="0"/>
              <w:marBottom w:val="0"/>
              <w:divBdr>
                <w:top w:val="none" w:sz="0" w:space="0" w:color="auto"/>
                <w:left w:val="none" w:sz="0" w:space="0" w:color="auto"/>
                <w:bottom w:val="none" w:sz="0" w:space="0" w:color="auto"/>
                <w:right w:val="none" w:sz="0" w:space="0" w:color="auto"/>
              </w:divBdr>
            </w:div>
          </w:divsChild>
        </w:div>
        <w:div w:id="46416328">
          <w:marLeft w:val="0"/>
          <w:marRight w:val="0"/>
          <w:marTop w:val="0"/>
          <w:marBottom w:val="0"/>
          <w:divBdr>
            <w:top w:val="none" w:sz="0" w:space="0" w:color="auto"/>
            <w:left w:val="none" w:sz="0" w:space="0" w:color="auto"/>
            <w:bottom w:val="none" w:sz="0" w:space="0" w:color="auto"/>
            <w:right w:val="none" w:sz="0" w:space="0" w:color="auto"/>
          </w:divBdr>
          <w:divsChild>
            <w:div w:id="1657298650">
              <w:marLeft w:val="0"/>
              <w:marRight w:val="0"/>
              <w:marTop w:val="0"/>
              <w:marBottom w:val="0"/>
              <w:divBdr>
                <w:top w:val="none" w:sz="0" w:space="0" w:color="auto"/>
                <w:left w:val="none" w:sz="0" w:space="0" w:color="auto"/>
                <w:bottom w:val="none" w:sz="0" w:space="0" w:color="auto"/>
                <w:right w:val="none" w:sz="0" w:space="0" w:color="auto"/>
              </w:divBdr>
            </w:div>
          </w:divsChild>
        </w:div>
        <w:div w:id="54394970">
          <w:marLeft w:val="0"/>
          <w:marRight w:val="0"/>
          <w:marTop w:val="0"/>
          <w:marBottom w:val="0"/>
          <w:divBdr>
            <w:top w:val="none" w:sz="0" w:space="0" w:color="auto"/>
            <w:left w:val="none" w:sz="0" w:space="0" w:color="auto"/>
            <w:bottom w:val="none" w:sz="0" w:space="0" w:color="auto"/>
            <w:right w:val="none" w:sz="0" w:space="0" w:color="auto"/>
          </w:divBdr>
          <w:divsChild>
            <w:div w:id="96414439">
              <w:marLeft w:val="0"/>
              <w:marRight w:val="0"/>
              <w:marTop w:val="0"/>
              <w:marBottom w:val="0"/>
              <w:divBdr>
                <w:top w:val="none" w:sz="0" w:space="0" w:color="auto"/>
                <w:left w:val="none" w:sz="0" w:space="0" w:color="auto"/>
                <w:bottom w:val="none" w:sz="0" w:space="0" w:color="auto"/>
                <w:right w:val="none" w:sz="0" w:space="0" w:color="auto"/>
              </w:divBdr>
            </w:div>
          </w:divsChild>
        </w:div>
        <w:div w:id="86849549">
          <w:marLeft w:val="0"/>
          <w:marRight w:val="0"/>
          <w:marTop w:val="0"/>
          <w:marBottom w:val="0"/>
          <w:divBdr>
            <w:top w:val="none" w:sz="0" w:space="0" w:color="auto"/>
            <w:left w:val="none" w:sz="0" w:space="0" w:color="auto"/>
            <w:bottom w:val="none" w:sz="0" w:space="0" w:color="auto"/>
            <w:right w:val="none" w:sz="0" w:space="0" w:color="auto"/>
          </w:divBdr>
          <w:divsChild>
            <w:div w:id="1547528867">
              <w:marLeft w:val="0"/>
              <w:marRight w:val="0"/>
              <w:marTop w:val="0"/>
              <w:marBottom w:val="0"/>
              <w:divBdr>
                <w:top w:val="none" w:sz="0" w:space="0" w:color="auto"/>
                <w:left w:val="none" w:sz="0" w:space="0" w:color="auto"/>
                <w:bottom w:val="none" w:sz="0" w:space="0" w:color="auto"/>
                <w:right w:val="none" w:sz="0" w:space="0" w:color="auto"/>
              </w:divBdr>
            </w:div>
          </w:divsChild>
        </w:div>
        <w:div w:id="117649971">
          <w:marLeft w:val="0"/>
          <w:marRight w:val="0"/>
          <w:marTop w:val="0"/>
          <w:marBottom w:val="0"/>
          <w:divBdr>
            <w:top w:val="none" w:sz="0" w:space="0" w:color="auto"/>
            <w:left w:val="none" w:sz="0" w:space="0" w:color="auto"/>
            <w:bottom w:val="none" w:sz="0" w:space="0" w:color="auto"/>
            <w:right w:val="none" w:sz="0" w:space="0" w:color="auto"/>
          </w:divBdr>
          <w:divsChild>
            <w:div w:id="1355955178">
              <w:marLeft w:val="0"/>
              <w:marRight w:val="0"/>
              <w:marTop w:val="0"/>
              <w:marBottom w:val="0"/>
              <w:divBdr>
                <w:top w:val="none" w:sz="0" w:space="0" w:color="auto"/>
                <w:left w:val="none" w:sz="0" w:space="0" w:color="auto"/>
                <w:bottom w:val="none" w:sz="0" w:space="0" w:color="auto"/>
                <w:right w:val="none" w:sz="0" w:space="0" w:color="auto"/>
              </w:divBdr>
            </w:div>
          </w:divsChild>
        </w:div>
        <w:div w:id="136344521">
          <w:marLeft w:val="0"/>
          <w:marRight w:val="0"/>
          <w:marTop w:val="0"/>
          <w:marBottom w:val="0"/>
          <w:divBdr>
            <w:top w:val="none" w:sz="0" w:space="0" w:color="auto"/>
            <w:left w:val="none" w:sz="0" w:space="0" w:color="auto"/>
            <w:bottom w:val="none" w:sz="0" w:space="0" w:color="auto"/>
            <w:right w:val="none" w:sz="0" w:space="0" w:color="auto"/>
          </w:divBdr>
          <w:divsChild>
            <w:div w:id="1732848887">
              <w:marLeft w:val="0"/>
              <w:marRight w:val="0"/>
              <w:marTop w:val="0"/>
              <w:marBottom w:val="0"/>
              <w:divBdr>
                <w:top w:val="none" w:sz="0" w:space="0" w:color="auto"/>
                <w:left w:val="none" w:sz="0" w:space="0" w:color="auto"/>
                <w:bottom w:val="none" w:sz="0" w:space="0" w:color="auto"/>
                <w:right w:val="none" w:sz="0" w:space="0" w:color="auto"/>
              </w:divBdr>
            </w:div>
          </w:divsChild>
        </w:div>
        <w:div w:id="142619771">
          <w:marLeft w:val="0"/>
          <w:marRight w:val="0"/>
          <w:marTop w:val="0"/>
          <w:marBottom w:val="0"/>
          <w:divBdr>
            <w:top w:val="none" w:sz="0" w:space="0" w:color="auto"/>
            <w:left w:val="none" w:sz="0" w:space="0" w:color="auto"/>
            <w:bottom w:val="none" w:sz="0" w:space="0" w:color="auto"/>
            <w:right w:val="none" w:sz="0" w:space="0" w:color="auto"/>
          </w:divBdr>
          <w:divsChild>
            <w:div w:id="767581234">
              <w:marLeft w:val="0"/>
              <w:marRight w:val="0"/>
              <w:marTop w:val="0"/>
              <w:marBottom w:val="0"/>
              <w:divBdr>
                <w:top w:val="none" w:sz="0" w:space="0" w:color="auto"/>
                <w:left w:val="none" w:sz="0" w:space="0" w:color="auto"/>
                <w:bottom w:val="none" w:sz="0" w:space="0" w:color="auto"/>
                <w:right w:val="none" w:sz="0" w:space="0" w:color="auto"/>
              </w:divBdr>
            </w:div>
          </w:divsChild>
        </w:div>
        <w:div w:id="152913238">
          <w:marLeft w:val="0"/>
          <w:marRight w:val="0"/>
          <w:marTop w:val="0"/>
          <w:marBottom w:val="0"/>
          <w:divBdr>
            <w:top w:val="none" w:sz="0" w:space="0" w:color="auto"/>
            <w:left w:val="none" w:sz="0" w:space="0" w:color="auto"/>
            <w:bottom w:val="none" w:sz="0" w:space="0" w:color="auto"/>
            <w:right w:val="none" w:sz="0" w:space="0" w:color="auto"/>
          </w:divBdr>
          <w:divsChild>
            <w:div w:id="1783912918">
              <w:marLeft w:val="0"/>
              <w:marRight w:val="0"/>
              <w:marTop w:val="0"/>
              <w:marBottom w:val="0"/>
              <w:divBdr>
                <w:top w:val="none" w:sz="0" w:space="0" w:color="auto"/>
                <w:left w:val="none" w:sz="0" w:space="0" w:color="auto"/>
                <w:bottom w:val="none" w:sz="0" w:space="0" w:color="auto"/>
                <w:right w:val="none" w:sz="0" w:space="0" w:color="auto"/>
              </w:divBdr>
            </w:div>
          </w:divsChild>
        </w:div>
        <w:div w:id="161285617">
          <w:marLeft w:val="0"/>
          <w:marRight w:val="0"/>
          <w:marTop w:val="0"/>
          <w:marBottom w:val="0"/>
          <w:divBdr>
            <w:top w:val="none" w:sz="0" w:space="0" w:color="auto"/>
            <w:left w:val="none" w:sz="0" w:space="0" w:color="auto"/>
            <w:bottom w:val="none" w:sz="0" w:space="0" w:color="auto"/>
            <w:right w:val="none" w:sz="0" w:space="0" w:color="auto"/>
          </w:divBdr>
          <w:divsChild>
            <w:div w:id="1105809821">
              <w:marLeft w:val="0"/>
              <w:marRight w:val="0"/>
              <w:marTop w:val="0"/>
              <w:marBottom w:val="0"/>
              <w:divBdr>
                <w:top w:val="none" w:sz="0" w:space="0" w:color="auto"/>
                <w:left w:val="none" w:sz="0" w:space="0" w:color="auto"/>
                <w:bottom w:val="none" w:sz="0" w:space="0" w:color="auto"/>
                <w:right w:val="none" w:sz="0" w:space="0" w:color="auto"/>
              </w:divBdr>
            </w:div>
          </w:divsChild>
        </w:div>
        <w:div w:id="171913948">
          <w:marLeft w:val="0"/>
          <w:marRight w:val="0"/>
          <w:marTop w:val="0"/>
          <w:marBottom w:val="0"/>
          <w:divBdr>
            <w:top w:val="none" w:sz="0" w:space="0" w:color="auto"/>
            <w:left w:val="none" w:sz="0" w:space="0" w:color="auto"/>
            <w:bottom w:val="none" w:sz="0" w:space="0" w:color="auto"/>
            <w:right w:val="none" w:sz="0" w:space="0" w:color="auto"/>
          </w:divBdr>
          <w:divsChild>
            <w:div w:id="1741514603">
              <w:marLeft w:val="0"/>
              <w:marRight w:val="0"/>
              <w:marTop w:val="0"/>
              <w:marBottom w:val="0"/>
              <w:divBdr>
                <w:top w:val="none" w:sz="0" w:space="0" w:color="auto"/>
                <w:left w:val="none" w:sz="0" w:space="0" w:color="auto"/>
                <w:bottom w:val="none" w:sz="0" w:space="0" w:color="auto"/>
                <w:right w:val="none" w:sz="0" w:space="0" w:color="auto"/>
              </w:divBdr>
            </w:div>
          </w:divsChild>
        </w:div>
        <w:div w:id="173541300">
          <w:marLeft w:val="0"/>
          <w:marRight w:val="0"/>
          <w:marTop w:val="0"/>
          <w:marBottom w:val="0"/>
          <w:divBdr>
            <w:top w:val="none" w:sz="0" w:space="0" w:color="auto"/>
            <w:left w:val="none" w:sz="0" w:space="0" w:color="auto"/>
            <w:bottom w:val="none" w:sz="0" w:space="0" w:color="auto"/>
            <w:right w:val="none" w:sz="0" w:space="0" w:color="auto"/>
          </w:divBdr>
          <w:divsChild>
            <w:div w:id="949896417">
              <w:marLeft w:val="0"/>
              <w:marRight w:val="0"/>
              <w:marTop w:val="0"/>
              <w:marBottom w:val="0"/>
              <w:divBdr>
                <w:top w:val="none" w:sz="0" w:space="0" w:color="auto"/>
                <w:left w:val="none" w:sz="0" w:space="0" w:color="auto"/>
                <w:bottom w:val="none" w:sz="0" w:space="0" w:color="auto"/>
                <w:right w:val="none" w:sz="0" w:space="0" w:color="auto"/>
              </w:divBdr>
            </w:div>
          </w:divsChild>
        </w:div>
        <w:div w:id="216625458">
          <w:marLeft w:val="0"/>
          <w:marRight w:val="0"/>
          <w:marTop w:val="0"/>
          <w:marBottom w:val="0"/>
          <w:divBdr>
            <w:top w:val="none" w:sz="0" w:space="0" w:color="auto"/>
            <w:left w:val="none" w:sz="0" w:space="0" w:color="auto"/>
            <w:bottom w:val="none" w:sz="0" w:space="0" w:color="auto"/>
            <w:right w:val="none" w:sz="0" w:space="0" w:color="auto"/>
          </w:divBdr>
          <w:divsChild>
            <w:div w:id="1827629534">
              <w:marLeft w:val="0"/>
              <w:marRight w:val="0"/>
              <w:marTop w:val="0"/>
              <w:marBottom w:val="0"/>
              <w:divBdr>
                <w:top w:val="none" w:sz="0" w:space="0" w:color="auto"/>
                <w:left w:val="none" w:sz="0" w:space="0" w:color="auto"/>
                <w:bottom w:val="none" w:sz="0" w:space="0" w:color="auto"/>
                <w:right w:val="none" w:sz="0" w:space="0" w:color="auto"/>
              </w:divBdr>
            </w:div>
          </w:divsChild>
        </w:div>
        <w:div w:id="231356951">
          <w:marLeft w:val="0"/>
          <w:marRight w:val="0"/>
          <w:marTop w:val="0"/>
          <w:marBottom w:val="0"/>
          <w:divBdr>
            <w:top w:val="none" w:sz="0" w:space="0" w:color="auto"/>
            <w:left w:val="none" w:sz="0" w:space="0" w:color="auto"/>
            <w:bottom w:val="none" w:sz="0" w:space="0" w:color="auto"/>
            <w:right w:val="none" w:sz="0" w:space="0" w:color="auto"/>
          </w:divBdr>
          <w:divsChild>
            <w:div w:id="764880916">
              <w:marLeft w:val="0"/>
              <w:marRight w:val="0"/>
              <w:marTop w:val="0"/>
              <w:marBottom w:val="0"/>
              <w:divBdr>
                <w:top w:val="none" w:sz="0" w:space="0" w:color="auto"/>
                <w:left w:val="none" w:sz="0" w:space="0" w:color="auto"/>
                <w:bottom w:val="none" w:sz="0" w:space="0" w:color="auto"/>
                <w:right w:val="none" w:sz="0" w:space="0" w:color="auto"/>
              </w:divBdr>
            </w:div>
          </w:divsChild>
        </w:div>
        <w:div w:id="276256116">
          <w:marLeft w:val="0"/>
          <w:marRight w:val="0"/>
          <w:marTop w:val="0"/>
          <w:marBottom w:val="0"/>
          <w:divBdr>
            <w:top w:val="none" w:sz="0" w:space="0" w:color="auto"/>
            <w:left w:val="none" w:sz="0" w:space="0" w:color="auto"/>
            <w:bottom w:val="none" w:sz="0" w:space="0" w:color="auto"/>
            <w:right w:val="none" w:sz="0" w:space="0" w:color="auto"/>
          </w:divBdr>
          <w:divsChild>
            <w:div w:id="1625228702">
              <w:marLeft w:val="0"/>
              <w:marRight w:val="0"/>
              <w:marTop w:val="0"/>
              <w:marBottom w:val="0"/>
              <w:divBdr>
                <w:top w:val="none" w:sz="0" w:space="0" w:color="auto"/>
                <w:left w:val="none" w:sz="0" w:space="0" w:color="auto"/>
                <w:bottom w:val="none" w:sz="0" w:space="0" w:color="auto"/>
                <w:right w:val="none" w:sz="0" w:space="0" w:color="auto"/>
              </w:divBdr>
            </w:div>
          </w:divsChild>
        </w:div>
        <w:div w:id="353852041">
          <w:marLeft w:val="0"/>
          <w:marRight w:val="0"/>
          <w:marTop w:val="0"/>
          <w:marBottom w:val="0"/>
          <w:divBdr>
            <w:top w:val="none" w:sz="0" w:space="0" w:color="auto"/>
            <w:left w:val="none" w:sz="0" w:space="0" w:color="auto"/>
            <w:bottom w:val="none" w:sz="0" w:space="0" w:color="auto"/>
            <w:right w:val="none" w:sz="0" w:space="0" w:color="auto"/>
          </w:divBdr>
          <w:divsChild>
            <w:div w:id="1496800943">
              <w:marLeft w:val="0"/>
              <w:marRight w:val="0"/>
              <w:marTop w:val="0"/>
              <w:marBottom w:val="0"/>
              <w:divBdr>
                <w:top w:val="none" w:sz="0" w:space="0" w:color="auto"/>
                <w:left w:val="none" w:sz="0" w:space="0" w:color="auto"/>
                <w:bottom w:val="none" w:sz="0" w:space="0" w:color="auto"/>
                <w:right w:val="none" w:sz="0" w:space="0" w:color="auto"/>
              </w:divBdr>
            </w:div>
          </w:divsChild>
        </w:div>
        <w:div w:id="362243927">
          <w:marLeft w:val="0"/>
          <w:marRight w:val="0"/>
          <w:marTop w:val="0"/>
          <w:marBottom w:val="0"/>
          <w:divBdr>
            <w:top w:val="none" w:sz="0" w:space="0" w:color="auto"/>
            <w:left w:val="none" w:sz="0" w:space="0" w:color="auto"/>
            <w:bottom w:val="none" w:sz="0" w:space="0" w:color="auto"/>
            <w:right w:val="none" w:sz="0" w:space="0" w:color="auto"/>
          </w:divBdr>
          <w:divsChild>
            <w:div w:id="1599219135">
              <w:marLeft w:val="0"/>
              <w:marRight w:val="0"/>
              <w:marTop w:val="0"/>
              <w:marBottom w:val="0"/>
              <w:divBdr>
                <w:top w:val="none" w:sz="0" w:space="0" w:color="auto"/>
                <w:left w:val="none" w:sz="0" w:space="0" w:color="auto"/>
                <w:bottom w:val="none" w:sz="0" w:space="0" w:color="auto"/>
                <w:right w:val="none" w:sz="0" w:space="0" w:color="auto"/>
              </w:divBdr>
            </w:div>
          </w:divsChild>
        </w:div>
        <w:div w:id="368914616">
          <w:marLeft w:val="0"/>
          <w:marRight w:val="0"/>
          <w:marTop w:val="0"/>
          <w:marBottom w:val="0"/>
          <w:divBdr>
            <w:top w:val="none" w:sz="0" w:space="0" w:color="auto"/>
            <w:left w:val="none" w:sz="0" w:space="0" w:color="auto"/>
            <w:bottom w:val="none" w:sz="0" w:space="0" w:color="auto"/>
            <w:right w:val="none" w:sz="0" w:space="0" w:color="auto"/>
          </w:divBdr>
          <w:divsChild>
            <w:div w:id="370881430">
              <w:marLeft w:val="0"/>
              <w:marRight w:val="0"/>
              <w:marTop w:val="0"/>
              <w:marBottom w:val="0"/>
              <w:divBdr>
                <w:top w:val="none" w:sz="0" w:space="0" w:color="auto"/>
                <w:left w:val="none" w:sz="0" w:space="0" w:color="auto"/>
                <w:bottom w:val="none" w:sz="0" w:space="0" w:color="auto"/>
                <w:right w:val="none" w:sz="0" w:space="0" w:color="auto"/>
              </w:divBdr>
            </w:div>
          </w:divsChild>
        </w:div>
        <w:div w:id="368991982">
          <w:marLeft w:val="0"/>
          <w:marRight w:val="0"/>
          <w:marTop w:val="0"/>
          <w:marBottom w:val="0"/>
          <w:divBdr>
            <w:top w:val="none" w:sz="0" w:space="0" w:color="auto"/>
            <w:left w:val="none" w:sz="0" w:space="0" w:color="auto"/>
            <w:bottom w:val="none" w:sz="0" w:space="0" w:color="auto"/>
            <w:right w:val="none" w:sz="0" w:space="0" w:color="auto"/>
          </w:divBdr>
          <w:divsChild>
            <w:div w:id="1074232856">
              <w:marLeft w:val="0"/>
              <w:marRight w:val="0"/>
              <w:marTop w:val="0"/>
              <w:marBottom w:val="0"/>
              <w:divBdr>
                <w:top w:val="none" w:sz="0" w:space="0" w:color="auto"/>
                <w:left w:val="none" w:sz="0" w:space="0" w:color="auto"/>
                <w:bottom w:val="none" w:sz="0" w:space="0" w:color="auto"/>
                <w:right w:val="none" w:sz="0" w:space="0" w:color="auto"/>
              </w:divBdr>
            </w:div>
          </w:divsChild>
        </w:div>
        <w:div w:id="388310645">
          <w:marLeft w:val="0"/>
          <w:marRight w:val="0"/>
          <w:marTop w:val="0"/>
          <w:marBottom w:val="0"/>
          <w:divBdr>
            <w:top w:val="none" w:sz="0" w:space="0" w:color="auto"/>
            <w:left w:val="none" w:sz="0" w:space="0" w:color="auto"/>
            <w:bottom w:val="none" w:sz="0" w:space="0" w:color="auto"/>
            <w:right w:val="none" w:sz="0" w:space="0" w:color="auto"/>
          </w:divBdr>
          <w:divsChild>
            <w:div w:id="1831098962">
              <w:marLeft w:val="0"/>
              <w:marRight w:val="0"/>
              <w:marTop w:val="0"/>
              <w:marBottom w:val="0"/>
              <w:divBdr>
                <w:top w:val="none" w:sz="0" w:space="0" w:color="auto"/>
                <w:left w:val="none" w:sz="0" w:space="0" w:color="auto"/>
                <w:bottom w:val="none" w:sz="0" w:space="0" w:color="auto"/>
                <w:right w:val="none" w:sz="0" w:space="0" w:color="auto"/>
              </w:divBdr>
            </w:div>
          </w:divsChild>
        </w:div>
        <w:div w:id="397214081">
          <w:marLeft w:val="0"/>
          <w:marRight w:val="0"/>
          <w:marTop w:val="0"/>
          <w:marBottom w:val="0"/>
          <w:divBdr>
            <w:top w:val="none" w:sz="0" w:space="0" w:color="auto"/>
            <w:left w:val="none" w:sz="0" w:space="0" w:color="auto"/>
            <w:bottom w:val="none" w:sz="0" w:space="0" w:color="auto"/>
            <w:right w:val="none" w:sz="0" w:space="0" w:color="auto"/>
          </w:divBdr>
          <w:divsChild>
            <w:div w:id="665788692">
              <w:marLeft w:val="0"/>
              <w:marRight w:val="0"/>
              <w:marTop w:val="0"/>
              <w:marBottom w:val="0"/>
              <w:divBdr>
                <w:top w:val="none" w:sz="0" w:space="0" w:color="auto"/>
                <w:left w:val="none" w:sz="0" w:space="0" w:color="auto"/>
                <w:bottom w:val="none" w:sz="0" w:space="0" w:color="auto"/>
                <w:right w:val="none" w:sz="0" w:space="0" w:color="auto"/>
              </w:divBdr>
            </w:div>
          </w:divsChild>
        </w:div>
        <w:div w:id="403602240">
          <w:marLeft w:val="0"/>
          <w:marRight w:val="0"/>
          <w:marTop w:val="0"/>
          <w:marBottom w:val="0"/>
          <w:divBdr>
            <w:top w:val="none" w:sz="0" w:space="0" w:color="auto"/>
            <w:left w:val="none" w:sz="0" w:space="0" w:color="auto"/>
            <w:bottom w:val="none" w:sz="0" w:space="0" w:color="auto"/>
            <w:right w:val="none" w:sz="0" w:space="0" w:color="auto"/>
          </w:divBdr>
          <w:divsChild>
            <w:div w:id="944388150">
              <w:marLeft w:val="0"/>
              <w:marRight w:val="0"/>
              <w:marTop w:val="0"/>
              <w:marBottom w:val="0"/>
              <w:divBdr>
                <w:top w:val="none" w:sz="0" w:space="0" w:color="auto"/>
                <w:left w:val="none" w:sz="0" w:space="0" w:color="auto"/>
                <w:bottom w:val="none" w:sz="0" w:space="0" w:color="auto"/>
                <w:right w:val="none" w:sz="0" w:space="0" w:color="auto"/>
              </w:divBdr>
            </w:div>
          </w:divsChild>
        </w:div>
        <w:div w:id="426973029">
          <w:marLeft w:val="0"/>
          <w:marRight w:val="0"/>
          <w:marTop w:val="0"/>
          <w:marBottom w:val="0"/>
          <w:divBdr>
            <w:top w:val="none" w:sz="0" w:space="0" w:color="auto"/>
            <w:left w:val="none" w:sz="0" w:space="0" w:color="auto"/>
            <w:bottom w:val="none" w:sz="0" w:space="0" w:color="auto"/>
            <w:right w:val="none" w:sz="0" w:space="0" w:color="auto"/>
          </w:divBdr>
          <w:divsChild>
            <w:div w:id="155075256">
              <w:marLeft w:val="0"/>
              <w:marRight w:val="0"/>
              <w:marTop w:val="0"/>
              <w:marBottom w:val="0"/>
              <w:divBdr>
                <w:top w:val="none" w:sz="0" w:space="0" w:color="auto"/>
                <w:left w:val="none" w:sz="0" w:space="0" w:color="auto"/>
                <w:bottom w:val="none" w:sz="0" w:space="0" w:color="auto"/>
                <w:right w:val="none" w:sz="0" w:space="0" w:color="auto"/>
              </w:divBdr>
            </w:div>
          </w:divsChild>
        </w:div>
        <w:div w:id="430704857">
          <w:marLeft w:val="0"/>
          <w:marRight w:val="0"/>
          <w:marTop w:val="0"/>
          <w:marBottom w:val="0"/>
          <w:divBdr>
            <w:top w:val="none" w:sz="0" w:space="0" w:color="auto"/>
            <w:left w:val="none" w:sz="0" w:space="0" w:color="auto"/>
            <w:bottom w:val="none" w:sz="0" w:space="0" w:color="auto"/>
            <w:right w:val="none" w:sz="0" w:space="0" w:color="auto"/>
          </w:divBdr>
          <w:divsChild>
            <w:div w:id="1441026091">
              <w:marLeft w:val="0"/>
              <w:marRight w:val="0"/>
              <w:marTop w:val="0"/>
              <w:marBottom w:val="0"/>
              <w:divBdr>
                <w:top w:val="none" w:sz="0" w:space="0" w:color="auto"/>
                <w:left w:val="none" w:sz="0" w:space="0" w:color="auto"/>
                <w:bottom w:val="none" w:sz="0" w:space="0" w:color="auto"/>
                <w:right w:val="none" w:sz="0" w:space="0" w:color="auto"/>
              </w:divBdr>
            </w:div>
          </w:divsChild>
        </w:div>
        <w:div w:id="443110116">
          <w:marLeft w:val="0"/>
          <w:marRight w:val="0"/>
          <w:marTop w:val="0"/>
          <w:marBottom w:val="0"/>
          <w:divBdr>
            <w:top w:val="none" w:sz="0" w:space="0" w:color="auto"/>
            <w:left w:val="none" w:sz="0" w:space="0" w:color="auto"/>
            <w:bottom w:val="none" w:sz="0" w:space="0" w:color="auto"/>
            <w:right w:val="none" w:sz="0" w:space="0" w:color="auto"/>
          </w:divBdr>
          <w:divsChild>
            <w:div w:id="1220632220">
              <w:marLeft w:val="0"/>
              <w:marRight w:val="0"/>
              <w:marTop w:val="0"/>
              <w:marBottom w:val="0"/>
              <w:divBdr>
                <w:top w:val="none" w:sz="0" w:space="0" w:color="auto"/>
                <w:left w:val="none" w:sz="0" w:space="0" w:color="auto"/>
                <w:bottom w:val="none" w:sz="0" w:space="0" w:color="auto"/>
                <w:right w:val="none" w:sz="0" w:space="0" w:color="auto"/>
              </w:divBdr>
            </w:div>
          </w:divsChild>
        </w:div>
        <w:div w:id="466316058">
          <w:marLeft w:val="0"/>
          <w:marRight w:val="0"/>
          <w:marTop w:val="0"/>
          <w:marBottom w:val="0"/>
          <w:divBdr>
            <w:top w:val="none" w:sz="0" w:space="0" w:color="auto"/>
            <w:left w:val="none" w:sz="0" w:space="0" w:color="auto"/>
            <w:bottom w:val="none" w:sz="0" w:space="0" w:color="auto"/>
            <w:right w:val="none" w:sz="0" w:space="0" w:color="auto"/>
          </w:divBdr>
          <w:divsChild>
            <w:div w:id="1906715842">
              <w:marLeft w:val="0"/>
              <w:marRight w:val="0"/>
              <w:marTop w:val="0"/>
              <w:marBottom w:val="0"/>
              <w:divBdr>
                <w:top w:val="none" w:sz="0" w:space="0" w:color="auto"/>
                <w:left w:val="none" w:sz="0" w:space="0" w:color="auto"/>
                <w:bottom w:val="none" w:sz="0" w:space="0" w:color="auto"/>
                <w:right w:val="none" w:sz="0" w:space="0" w:color="auto"/>
              </w:divBdr>
            </w:div>
          </w:divsChild>
        </w:div>
        <w:div w:id="474765514">
          <w:marLeft w:val="0"/>
          <w:marRight w:val="0"/>
          <w:marTop w:val="0"/>
          <w:marBottom w:val="0"/>
          <w:divBdr>
            <w:top w:val="none" w:sz="0" w:space="0" w:color="auto"/>
            <w:left w:val="none" w:sz="0" w:space="0" w:color="auto"/>
            <w:bottom w:val="none" w:sz="0" w:space="0" w:color="auto"/>
            <w:right w:val="none" w:sz="0" w:space="0" w:color="auto"/>
          </w:divBdr>
          <w:divsChild>
            <w:div w:id="959993496">
              <w:marLeft w:val="0"/>
              <w:marRight w:val="0"/>
              <w:marTop w:val="0"/>
              <w:marBottom w:val="0"/>
              <w:divBdr>
                <w:top w:val="none" w:sz="0" w:space="0" w:color="auto"/>
                <w:left w:val="none" w:sz="0" w:space="0" w:color="auto"/>
                <w:bottom w:val="none" w:sz="0" w:space="0" w:color="auto"/>
                <w:right w:val="none" w:sz="0" w:space="0" w:color="auto"/>
              </w:divBdr>
            </w:div>
          </w:divsChild>
        </w:div>
        <w:div w:id="477654004">
          <w:marLeft w:val="0"/>
          <w:marRight w:val="0"/>
          <w:marTop w:val="0"/>
          <w:marBottom w:val="0"/>
          <w:divBdr>
            <w:top w:val="none" w:sz="0" w:space="0" w:color="auto"/>
            <w:left w:val="none" w:sz="0" w:space="0" w:color="auto"/>
            <w:bottom w:val="none" w:sz="0" w:space="0" w:color="auto"/>
            <w:right w:val="none" w:sz="0" w:space="0" w:color="auto"/>
          </w:divBdr>
          <w:divsChild>
            <w:div w:id="712776590">
              <w:marLeft w:val="0"/>
              <w:marRight w:val="0"/>
              <w:marTop w:val="0"/>
              <w:marBottom w:val="0"/>
              <w:divBdr>
                <w:top w:val="none" w:sz="0" w:space="0" w:color="auto"/>
                <w:left w:val="none" w:sz="0" w:space="0" w:color="auto"/>
                <w:bottom w:val="none" w:sz="0" w:space="0" w:color="auto"/>
                <w:right w:val="none" w:sz="0" w:space="0" w:color="auto"/>
              </w:divBdr>
            </w:div>
          </w:divsChild>
        </w:div>
        <w:div w:id="481507660">
          <w:marLeft w:val="0"/>
          <w:marRight w:val="0"/>
          <w:marTop w:val="0"/>
          <w:marBottom w:val="0"/>
          <w:divBdr>
            <w:top w:val="none" w:sz="0" w:space="0" w:color="auto"/>
            <w:left w:val="none" w:sz="0" w:space="0" w:color="auto"/>
            <w:bottom w:val="none" w:sz="0" w:space="0" w:color="auto"/>
            <w:right w:val="none" w:sz="0" w:space="0" w:color="auto"/>
          </w:divBdr>
          <w:divsChild>
            <w:div w:id="1880899285">
              <w:marLeft w:val="0"/>
              <w:marRight w:val="0"/>
              <w:marTop w:val="0"/>
              <w:marBottom w:val="0"/>
              <w:divBdr>
                <w:top w:val="none" w:sz="0" w:space="0" w:color="auto"/>
                <w:left w:val="none" w:sz="0" w:space="0" w:color="auto"/>
                <w:bottom w:val="none" w:sz="0" w:space="0" w:color="auto"/>
                <w:right w:val="none" w:sz="0" w:space="0" w:color="auto"/>
              </w:divBdr>
            </w:div>
          </w:divsChild>
        </w:div>
        <w:div w:id="482353947">
          <w:marLeft w:val="0"/>
          <w:marRight w:val="0"/>
          <w:marTop w:val="0"/>
          <w:marBottom w:val="0"/>
          <w:divBdr>
            <w:top w:val="none" w:sz="0" w:space="0" w:color="auto"/>
            <w:left w:val="none" w:sz="0" w:space="0" w:color="auto"/>
            <w:bottom w:val="none" w:sz="0" w:space="0" w:color="auto"/>
            <w:right w:val="none" w:sz="0" w:space="0" w:color="auto"/>
          </w:divBdr>
          <w:divsChild>
            <w:div w:id="509487788">
              <w:marLeft w:val="0"/>
              <w:marRight w:val="0"/>
              <w:marTop w:val="0"/>
              <w:marBottom w:val="0"/>
              <w:divBdr>
                <w:top w:val="none" w:sz="0" w:space="0" w:color="auto"/>
                <w:left w:val="none" w:sz="0" w:space="0" w:color="auto"/>
                <w:bottom w:val="none" w:sz="0" w:space="0" w:color="auto"/>
                <w:right w:val="none" w:sz="0" w:space="0" w:color="auto"/>
              </w:divBdr>
            </w:div>
          </w:divsChild>
        </w:div>
        <w:div w:id="497965079">
          <w:marLeft w:val="0"/>
          <w:marRight w:val="0"/>
          <w:marTop w:val="0"/>
          <w:marBottom w:val="0"/>
          <w:divBdr>
            <w:top w:val="none" w:sz="0" w:space="0" w:color="auto"/>
            <w:left w:val="none" w:sz="0" w:space="0" w:color="auto"/>
            <w:bottom w:val="none" w:sz="0" w:space="0" w:color="auto"/>
            <w:right w:val="none" w:sz="0" w:space="0" w:color="auto"/>
          </w:divBdr>
          <w:divsChild>
            <w:div w:id="2099910225">
              <w:marLeft w:val="0"/>
              <w:marRight w:val="0"/>
              <w:marTop w:val="0"/>
              <w:marBottom w:val="0"/>
              <w:divBdr>
                <w:top w:val="none" w:sz="0" w:space="0" w:color="auto"/>
                <w:left w:val="none" w:sz="0" w:space="0" w:color="auto"/>
                <w:bottom w:val="none" w:sz="0" w:space="0" w:color="auto"/>
                <w:right w:val="none" w:sz="0" w:space="0" w:color="auto"/>
              </w:divBdr>
            </w:div>
          </w:divsChild>
        </w:div>
        <w:div w:id="527792101">
          <w:marLeft w:val="0"/>
          <w:marRight w:val="0"/>
          <w:marTop w:val="0"/>
          <w:marBottom w:val="0"/>
          <w:divBdr>
            <w:top w:val="none" w:sz="0" w:space="0" w:color="auto"/>
            <w:left w:val="none" w:sz="0" w:space="0" w:color="auto"/>
            <w:bottom w:val="none" w:sz="0" w:space="0" w:color="auto"/>
            <w:right w:val="none" w:sz="0" w:space="0" w:color="auto"/>
          </w:divBdr>
          <w:divsChild>
            <w:div w:id="1174803872">
              <w:marLeft w:val="0"/>
              <w:marRight w:val="0"/>
              <w:marTop w:val="0"/>
              <w:marBottom w:val="0"/>
              <w:divBdr>
                <w:top w:val="none" w:sz="0" w:space="0" w:color="auto"/>
                <w:left w:val="none" w:sz="0" w:space="0" w:color="auto"/>
                <w:bottom w:val="none" w:sz="0" w:space="0" w:color="auto"/>
                <w:right w:val="none" w:sz="0" w:space="0" w:color="auto"/>
              </w:divBdr>
            </w:div>
          </w:divsChild>
        </w:div>
        <w:div w:id="535583035">
          <w:marLeft w:val="0"/>
          <w:marRight w:val="0"/>
          <w:marTop w:val="0"/>
          <w:marBottom w:val="0"/>
          <w:divBdr>
            <w:top w:val="none" w:sz="0" w:space="0" w:color="auto"/>
            <w:left w:val="none" w:sz="0" w:space="0" w:color="auto"/>
            <w:bottom w:val="none" w:sz="0" w:space="0" w:color="auto"/>
            <w:right w:val="none" w:sz="0" w:space="0" w:color="auto"/>
          </w:divBdr>
          <w:divsChild>
            <w:div w:id="1820003349">
              <w:marLeft w:val="0"/>
              <w:marRight w:val="0"/>
              <w:marTop w:val="0"/>
              <w:marBottom w:val="0"/>
              <w:divBdr>
                <w:top w:val="none" w:sz="0" w:space="0" w:color="auto"/>
                <w:left w:val="none" w:sz="0" w:space="0" w:color="auto"/>
                <w:bottom w:val="none" w:sz="0" w:space="0" w:color="auto"/>
                <w:right w:val="none" w:sz="0" w:space="0" w:color="auto"/>
              </w:divBdr>
            </w:div>
          </w:divsChild>
        </w:div>
        <w:div w:id="563831801">
          <w:marLeft w:val="0"/>
          <w:marRight w:val="0"/>
          <w:marTop w:val="0"/>
          <w:marBottom w:val="0"/>
          <w:divBdr>
            <w:top w:val="none" w:sz="0" w:space="0" w:color="auto"/>
            <w:left w:val="none" w:sz="0" w:space="0" w:color="auto"/>
            <w:bottom w:val="none" w:sz="0" w:space="0" w:color="auto"/>
            <w:right w:val="none" w:sz="0" w:space="0" w:color="auto"/>
          </w:divBdr>
          <w:divsChild>
            <w:div w:id="1996105451">
              <w:marLeft w:val="0"/>
              <w:marRight w:val="0"/>
              <w:marTop w:val="0"/>
              <w:marBottom w:val="0"/>
              <w:divBdr>
                <w:top w:val="none" w:sz="0" w:space="0" w:color="auto"/>
                <w:left w:val="none" w:sz="0" w:space="0" w:color="auto"/>
                <w:bottom w:val="none" w:sz="0" w:space="0" w:color="auto"/>
                <w:right w:val="none" w:sz="0" w:space="0" w:color="auto"/>
              </w:divBdr>
            </w:div>
          </w:divsChild>
        </w:div>
        <w:div w:id="585068905">
          <w:marLeft w:val="0"/>
          <w:marRight w:val="0"/>
          <w:marTop w:val="0"/>
          <w:marBottom w:val="0"/>
          <w:divBdr>
            <w:top w:val="none" w:sz="0" w:space="0" w:color="auto"/>
            <w:left w:val="none" w:sz="0" w:space="0" w:color="auto"/>
            <w:bottom w:val="none" w:sz="0" w:space="0" w:color="auto"/>
            <w:right w:val="none" w:sz="0" w:space="0" w:color="auto"/>
          </w:divBdr>
          <w:divsChild>
            <w:div w:id="1768887795">
              <w:marLeft w:val="0"/>
              <w:marRight w:val="0"/>
              <w:marTop w:val="0"/>
              <w:marBottom w:val="0"/>
              <w:divBdr>
                <w:top w:val="none" w:sz="0" w:space="0" w:color="auto"/>
                <w:left w:val="none" w:sz="0" w:space="0" w:color="auto"/>
                <w:bottom w:val="none" w:sz="0" w:space="0" w:color="auto"/>
                <w:right w:val="none" w:sz="0" w:space="0" w:color="auto"/>
              </w:divBdr>
            </w:div>
          </w:divsChild>
        </w:div>
        <w:div w:id="612905135">
          <w:marLeft w:val="0"/>
          <w:marRight w:val="0"/>
          <w:marTop w:val="0"/>
          <w:marBottom w:val="0"/>
          <w:divBdr>
            <w:top w:val="none" w:sz="0" w:space="0" w:color="auto"/>
            <w:left w:val="none" w:sz="0" w:space="0" w:color="auto"/>
            <w:bottom w:val="none" w:sz="0" w:space="0" w:color="auto"/>
            <w:right w:val="none" w:sz="0" w:space="0" w:color="auto"/>
          </w:divBdr>
          <w:divsChild>
            <w:div w:id="591010328">
              <w:marLeft w:val="0"/>
              <w:marRight w:val="0"/>
              <w:marTop w:val="0"/>
              <w:marBottom w:val="0"/>
              <w:divBdr>
                <w:top w:val="none" w:sz="0" w:space="0" w:color="auto"/>
                <w:left w:val="none" w:sz="0" w:space="0" w:color="auto"/>
                <w:bottom w:val="none" w:sz="0" w:space="0" w:color="auto"/>
                <w:right w:val="none" w:sz="0" w:space="0" w:color="auto"/>
              </w:divBdr>
            </w:div>
          </w:divsChild>
        </w:div>
        <w:div w:id="615717398">
          <w:marLeft w:val="0"/>
          <w:marRight w:val="0"/>
          <w:marTop w:val="0"/>
          <w:marBottom w:val="0"/>
          <w:divBdr>
            <w:top w:val="none" w:sz="0" w:space="0" w:color="auto"/>
            <w:left w:val="none" w:sz="0" w:space="0" w:color="auto"/>
            <w:bottom w:val="none" w:sz="0" w:space="0" w:color="auto"/>
            <w:right w:val="none" w:sz="0" w:space="0" w:color="auto"/>
          </w:divBdr>
          <w:divsChild>
            <w:div w:id="318851101">
              <w:marLeft w:val="0"/>
              <w:marRight w:val="0"/>
              <w:marTop w:val="0"/>
              <w:marBottom w:val="0"/>
              <w:divBdr>
                <w:top w:val="none" w:sz="0" w:space="0" w:color="auto"/>
                <w:left w:val="none" w:sz="0" w:space="0" w:color="auto"/>
                <w:bottom w:val="none" w:sz="0" w:space="0" w:color="auto"/>
                <w:right w:val="none" w:sz="0" w:space="0" w:color="auto"/>
              </w:divBdr>
            </w:div>
          </w:divsChild>
        </w:div>
        <w:div w:id="620109818">
          <w:marLeft w:val="0"/>
          <w:marRight w:val="0"/>
          <w:marTop w:val="0"/>
          <w:marBottom w:val="0"/>
          <w:divBdr>
            <w:top w:val="none" w:sz="0" w:space="0" w:color="auto"/>
            <w:left w:val="none" w:sz="0" w:space="0" w:color="auto"/>
            <w:bottom w:val="none" w:sz="0" w:space="0" w:color="auto"/>
            <w:right w:val="none" w:sz="0" w:space="0" w:color="auto"/>
          </w:divBdr>
          <w:divsChild>
            <w:div w:id="1158183008">
              <w:marLeft w:val="0"/>
              <w:marRight w:val="0"/>
              <w:marTop w:val="0"/>
              <w:marBottom w:val="0"/>
              <w:divBdr>
                <w:top w:val="none" w:sz="0" w:space="0" w:color="auto"/>
                <w:left w:val="none" w:sz="0" w:space="0" w:color="auto"/>
                <w:bottom w:val="none" w:sz="0" w:space="0" w:color="auto"/>
                <w:right w:val="none" w:sz="0" w:space="0" w:color="auto"/>
              </w:divBdr>
            </w:div>
          </w:divsChild>
        </w:div>
        <w:div w:id="632566152">
          <w:marLeft w:val="0"/>
          <w:marRight w:val="0"/>
          <w:marTop w:val="0"/>
          <w:marBottom w:val="0"/>
          <w:divBdr>
            <w:top w:val="none" w:sz="0" w:space="0" w:color="auto"/>
            <w:left w:val="none" w:sz="0" w:space="0" w:color="auto"/>
            <w:bottom w:val="none" w:sz="0" w:space="0" w:color="auto"/>
            <w:right w:val="none" w:sz="0" w:space="0" w:color="auto"/>
          </w:divBdr>
          <w:divsChild>
            <w:div w:id="408499331">
              <w:marLeft w:val="0"/>
              <w:marRight w:val="0"/>
              <w:marTop w:val="0"/>
              <w:marBottom w:val="0"/>
              <w:divBdr>
                <w:top w:val="none" w:sz="0" w:space="0" w:color="auto"/>
                <w:left w:val="none" w:sz="0" w:space="0" w:color="auto"/>
                <w:bottom w:val="none" w:sz="0" w:space="0" w:color="auto"/>
                <w:right w:val="none" w:sz="0" w:space="0" w:color="auto"/>
              </w:divBdr>
            </w:div>
          </w:divsChild>
        </w:div>
        <w:div w:id="635793981">
          <w:marLeft w:val="0"/>
          <w:marRight w:val="0"/>
          <w:marTop w:val="0"/>
          <w:marBottom w:val="0"/>
          <w:divBdr>
            <w:top w:val="none" w:sz="0" w:space="0" w:color="auto"/>
            <w:left w:val="none" w:sz="0" w:space="0" w:color="auto"/>
            <w:bottom w:val="none" w:sz="0" w:space="0" w:color="auto"/>
            <w:right w:val="none" w:sz="0" w:space="0" w:color="auto"/>
          </w:divBdr>
          <w:divsChild>
            <w:div w:id="813176548">
              <w:marLeft w:val="0"/>
              <w:marRight w:val="0"/>
              <w:marTop w:val="0"/>
              <w:marBottom w:val="0"/>
              <w:divBdr>
                <w:top w:val="none" w:sz="0" w:space="0" w:color="auto"/>
                <w:left w:val="none" w:sz="0" w:space="0" w:color="auto"/>
                <w:bottom w:val="none" w:sz="0" w:space="0" w:color="auto"/>
                <w:right w:val="none" w:sz="0" w:space="0" w:color="auto"/>
              </w:divBdr>
            </w:div>
          </w:divsChild>
        </w:div>
        <w:div w:id="653801300">
          <w:marLeft w:val="0"/>
          <w:marRight w:val="0"/>
          <w:marTop w:val="0"/>
          <w:marBottom w:val="0"/>
          <w:divBdr>
            <w:top w:val="none" w:sz="0" w:space="0" w:color="auto"/>
            <w:left w:val="none" w:sz="0" w:space="0" w:color="auto"/>
            <w:bottom w:val="none" w:sz="0" w:space="0" w:color="auto"/>
            <w:right w:val="none" w:sz="0" w:space="0" w:color="auto"/>
          </w:divBdr>
          <w:divsChild>
            <w:div w:id="46341807">
              <w:marLeft w:val="0"/>
              <w:marRight w:val="0"/>
              <w:marTop w:val="0"/>
              <w:marBottom w:val="0"/>
              <w:divBdr>
                <w:top w:val="none" w:sz="0" w:space="0" w:color="auto"/>
                <w:left w:val="none" w:sz="0" w:space="0" w:color="auto"/>
                <w:bottom w:val="none" w:sz="0" w:space="0" w:color="auto"/>
                <w:right w:val="none" w:sz="0" w:space="0" w:color="auto"/>
              </w:divBdr>
            </w:div>
          </w:divsChild>
        </w:div>
        <w:div w:id="675423690">
          <w:marLeft w:val="0"/>
          <w:marRight w:val="0"/>
          <w:marTop w:val="0"/>
          <w:marBottom w:val="0"/>
          <w:divBdr>
            <w:top w:val="none" w:sz="0" w:space="0" w:color="auto"/>
            <w:left w:val="none" w:sz="0" w:space="0" w:color="auto"/>
            <w:bottom w:val="none" w:sz="0" w:space="0" w:color="auto"/>
            <w:right w:val="none" w:sz="0" w:space="0" w:color="auto"/>
          </w:divBdr>
          <w:divsChild>
            <w:div w:id="1913736485">
              <w:marLeft w:val="0"/>
              <w:marRight w:val="0"/>
              <w:marTop w:val="0"/>
              <w:marBottom w:val="0"/>
              <w:divBdr>
                <w:top w:val="none" w:sz="0" w:space="0" w:color="auto"/>
                <w:left w:val="none" w:sz="0" w:space="0" w:color="auto"/>
                <w:bottom w:val="none" w:sz="0" w:space="0" w:color="auto"/>
                <w:right w:val="none" w:sz="0" w:space="0" w:color="auto"/>
              </w:divBdr>
            </w:div>
          </w:divsChild>
        </w:div>
        <w:div w:id="678583513">
          <w:marLeft w:val="0"/>
          <w:marRight w:val="0"/>
          <w:marTop w:val="0"/>
          <w:marBottom w:val="0"/>
          <w:divBdr>
            <w:top w:val="none" w:sz="0" w:space="0" w:color="auto"/>
            <w:left w:val="none" w:sz="0" w:space="0" w:color="auto"/>
            <w:bottom w:val="none" w:sz="0" w:space="0" w:color="auto"/>
            <w:right w:val="none" w:sz="0" w:space="0" w:color="auto"/>
          </w:divBdr>
          <w:divsChild>
            <w:div w:id="203755819">
              <w:marLeft w:val="0"/>
              <w:marRight w:val="0"/>
              <w:marTop w:val="0"/>
              <w:marBottom w:val="0"/>
              <w:divBdr>
                <w:top w:val="none" w:sz="0" w:space="0" w:color="auto"/>
                <w:left w:val="none" w:sz="0" w:space="0" w:color="auto"/>
                <w:bottom w:val="none" w:sz="0" w:space="0" w:color="auto"/>
                <w:right w:val="none" w:sz="0" w:space="0" w:color="auto"/>
              </w:divBdr>
            </w:div>
          </w:divsChild>
        </w:div>
        <w:div w:id="696199711">
          <w:marLeft w:val="0"/>
          <w:marRight w:val="0"/>
          <w:marTop w:val="0"/>
          <w:marBottom w:val="0"/>
          <w:divBdr>
            <w:top w:val="none" w:sz="0" w:space="0" w:color="auto"/>
            <w:left w:val="none" w:sz="0" w:space="0" w:color="auto"/>
            <w:bottom w:val="none" w:sz="0" w:space="0" w:color="auto"/>
            <w:right w:val="none" w:sz="0" w:space="0" w:color="auto"/>
          </w:divBdr>
          <w:divsChild>
            <w:div w:id="1271160546">
              <w:marLeft w:val="0"/>
              <w:marRight w:val="0"/>
              <w:marTop w:val="0"/>
              <w:marBottom w:val="0"/>
              <w:divBdr>
                <w:top w:val="none" w:sz="0" w:space="0" w:color="auto"/>
                <w:left w:val="none" w:sz="0" w:space="0" w:color="auto"/>
                <w:bottom w:val="none" w:sz="0" w:space="0" w:color="auto"/>
                <w:right w:val="none" w:sz="0" w:space="0" w:color="auto"/>
              </w:divBdr>
            </w:div>
          </w:divsChild>
        </w:div>
        <w:div w:id="700280419">
          <w:marLeft w:val="0"/>
          <w:marRight w:val="0"/>
          <w:marTop w:val="0"/>
          <w:marBottom w:val="0"/>
          <w:divBdr>
            <w:top w:val="none" w:sz="0" w:space="0" w:color="auto"/>
            <w:left w:val="none" w:sz="0" w:space="0" w:color="auto"/>
            <w:bottom w:val="none" w:sz="0" w:space="0" w:color="auto"/>
            <w:right w:val="none" w:sz="0" w:space="0" w:color="auto"/>
          </w:divBdr>
          <w:divsChild>
            <w:div w:id="1505709116">
              <w:marLeft w:val="0"/>
              <w:marRight w:val="0"/>
              <w:marTop w:val="0"/>
              <w:marBottom w:val="0"/>
              <w:divBdr>
                <w:top w:val="none" w:sz="0" w:space="0" w:color="auto"/>
                <w:left w:val="none" w:sz="0" w:space="0" w:color="auto"/>
                <w:bottom w:val="none" w:sz="0" w:space="0" w:color="auto"/>
                <w:right w:val="none" w:sz="0" w:space="0" w:color="auto"/>
              </w:divBdr>
            </w:div>
          </w:divsChild>
        </w:div>
        <w:div w:id="749816870">
          <w:marLeft w:val="0"/>
          <w:marRight w:val="0"/>
          <w:marTop w:val="0"/>
          <w:marBottom w:val="0"/>
          <w:divBdr>
            <w:top w:val="none" w:sz="0" w:space="0" w:color="auto"/>
            <w:left w:val="none" w:sz="0" w:space="0" w:color="auto"/>
            <w:bottom w:val="none" w:sz="0" w:space="0" w:color="auto"/>
            <w:right w:val="none" w:sz="0" w:space="0" w:color="auto"/>
          </w:divBdr>
          <w:divsChild>
            <w:div w:id="227617863">
              <w:marLeft w:val="0"/>
              <w:marRight w:val="0"/>
              <w:marTop w:val="0"/>
              <w:marBottom w:val="0"/>
              <w:divBdr>
                <w:top w:val="none" w:sz="0" w:space="0" w:color="auto"/>
                <w:left w:val="none" w:sz="0" w:space="0" w:color="auto"/>
                <w:bottom w:val="none" w:sz="0" w:space="0" w:color="auto"/>
                <w:right w:val="none" w:sz="0" w:space="0" w:color="auto"/>
              </w:divBdr>
            </w:div>
          </w:divsChild>
        </w:div>
        <w:div w:id="750156291">
          <w:marLeft w:val="0"/>
          <w:marRight w:val="0"/>
          <w:marTop w:val="0"/>
          <w:marBottom w:val="0"/>
          <w:divBdr>
            <w:top w:val="none" w:sz="0" w:space="0" w:color="auto"/>
            <w:left w:val="none" w:sz="0" w:space="0" w:color="auto"/>
            <w:bottom w:val="none" w:sz="0" w:space="0" w:color="auto"/>
            <w:right w:val="none" w:sz="0" w:space="0" w:color="auto"/>
          </w:divBdr>
          <w:divsChild>
            <w:div w:id="262038446">
              <w:marLeft w:val="0"/>
              <w:marRight w:val="0"/>
              <w:marTop w:val="0"/>
              <w:marBottom w:val="0"/>
              <w:divBdr>
                <w:top w:val="none" w:sz="0" w:space="0" w:color="auto"/>
                <w:left w:val="none" w:sz="0" w:space="0" w:color="auto"/>
                <w:bottom w:val="none" w:sz="0" w:space="0" w:color="auto"/>
                <w:right w:val="none" w:sz="0" w:space="0" w:color="auto"/>
              </w:divBdr>
            </w:div>
          </w:divsChild>
        </w:div>
        <w:div w:id="752237696">
          <w:marLeft w:val="0"/>
          <w:marRight w:val="0"/>
          <w:marTop w:val="0"/>
          <w:marBottom w:val="0"/>
          <w:divBdr>
            <w:top w:val="none" w:sz="0" w:space="0" w:color="auto"/>
            <w:left w:val="none" w:sz="0" w:space="0" w:color="auto"/>
            <w:bottom w:val="none" w:sz="0" w:space="0" w:color="auto"/>
            <w:right w:val="none" w:sz="0" w:space="0" w:color="auto"/>
          </w:divBdr>
          <w:divsChild>
            <w:div w:id="1569801098">
              <w:marLeft w:val="0"/>
              <w:marRight w:val="0"/>
              <w:marTop w:val="0"/>
              <w:marBottom w:val="0"/>
              <w:divBdr>
                <w:top w:val="none" w:sz="0" w:space="0" w:color="auto"/>
                <w:left w:val="none" w:sz="0" w:space="0" w:color="auto"/>
                <w:bottom w:val="none" w:sz="0" w:space="0" w:color="auto"/>
                <w:right w:val="none" w:sz="0" w:space="0" w:color="auto"/>
              </w:divBdr>
            </w:div>
          </w:divsChild>
        </w:div>
        <w:div w:id="779641507">
          <w:marLeft w:val="0"/>
          <w:marRight w:val="0"/>
          <w:marTop w:val="0"/>
          <w:marBottom w:val="0"/>
          <w:divBdr>
            <w:top w:val="none" w:sz="0" w:space="0" w:color="auto"/>
            <w:left w:val="none" w:sz="0" w:space="0" w:color="auto"/>
            <w:bottom w:val="none" w:sz="0" w:space="0" w:color="auto"/>
            <w:right w:val="none" w:sz="0" w:space="0" w:color="auto"/>
          </w:divBdr>
          <w:divsChild>
            <w:div w:id="280499603">
              <w:marLeft w:val="0"/>
              <w:marRight w:val="0"/>
              <w:marTop w:val="0"/>
              <w:marBottom w:val="0"/>
              <w:divBdr>
                <w:top w:val="none" w:sz="0" w:space="0" w:color="auto"/>
                <w:left w:val="none" w:sz="0" w:space="0" w:color="auto"/>
                <w:bottom w:val="none" w:sz="0" w:space="0" w:color="auto"/>
                <w:right w:val="none" w:sz="0" w:space="0" w:color="auto"/>
              </w:divBdr>
            </w:div>
          </w:divsChild>
        </w:div>
        <w:div w:id="784348139">
          <w:marLeft w:val="0"/>
          <w:marRight w:val="0"/>
          <w:marTop w:val="0"/>
          <w:marBottom w:val="0"/>
          <w:divBdr>
            <w:top w:val="none" w:sz="0" w:space="0" w:color="auto"/>
            <w:left w:val="none" w:sz="0" w:space="0" w:color="auto"/>
            <w:bottom w:val="none" w:sz="0" w:space="0" w:color="auto"/>
            <w:right w:val="none" w:sz="0" w:space="0" w:color="auto"/>
          </w:divBdr>
          <w:divsChild>
            <w:div w:id="1736733111">
              <w:marLeft w:val="0"/>
              <w:marRight w:val="0"/>
              <w:marTop w:val="0"/>
              <w:marBottom w:val="0"/>
              <w:divBdr>
                <w:top w:val="none" w:sz="0" w:space="0" w:color="auto"/>
                <w:left w:val="none" w:sz="0" w:space="0" w:color="auto"/>
                <w:bottom w:val="none" w:sz="0" w:space="0" w:color="auto"/>
                <w:right w:val="none" w:sz="0" w:space="0" w:color="auto"/>
              </w:divBdr>
            </w:div>
          </w:divsChild>
        </w:div>
        <w:div w:id="844829185">
          <w:marLeft w:val="0"/>
          <w:marRight w:val="0"/>
          <w:marTop w:val="0"/>
          <w:marBottom w:val="0"/>
          <w:divBdr>
            <w:top w:val="none" w:sz="0" w:space="0" w:color="auto"/>
            <w:left w:val="none" w:sz="0" w:space="0" w:color="auto"/>
            <w:bottom w:val="none" w:sz="0" w:space="0" w:color="auto"/>
            <w:right w:val="none" w:sz="0" w:space="0" w:color="auto"/>
          </w:divBdr>
          <w:divsChild>
            <w:div w:id="1335111891">
              <w:marLeft w:val="0"/>
              <w:marRight w:val="0"/>
              <w:marTop w:val="0"/>
              <w:marBottom w:val="0"/>
              <w:divBdr>
                <w:top w:val="none" w:sz="0" w:space="0" w:color="auto"/>
                <w:left w:val="none" w:sz="0" w:space="0" w:color="auto"/>
                <w:bottom w:val="none" w:sz="0" w:space="0" w:color="auto"/>
                <w:right w:val="none" w:sz="0" w:space="0" w:color="auto"/>
              </w:divBdr>
            </w:div>
          </w:divsChild>
        </w:div>
        <w:div w:id="848954191">
          <w:marLeft w:val="0"/>
          <w:marRight w:val="0"/>
          <w:marTop w:val="0"/>
          <w:marBottom w:val="0"/>
          <w:divBdr>
            <w:top w:val="none" w:sz="0" w:space="0" w:color="auto"/>
            <w:left w:val="none" w:sz="0" w:space="0" w:color="auto"/>
            <w:bottom w:val="none" w:sz="0" w:space="0" w:color="auto"/>
            <w:right w:val="none" w:sz="0" w:space="0" w:color="auto"/>
          </w:divBdr>
          <w:divsChild>
            <w:div w:id="2115129024">
              <w:marLeft w:val="0"/>
              <w:marRight w:val="0"/>
              <w:marTop w:val="0"/>
              <w:marBottom w:val="0"/>
              <w:divBdr>
                <w:top w:val="none" w:sz="0" w:space="0" w:color="auto"/>
                <w:left w:val="none" w:sz="0" w:space="0" w:color="auto"/>
                <w:bottom w:val="none" w:sz="0" w:space="0" w:color="auto"/>
                <w:right w:val="none" w:sz="0" w:space="0" w:color="auto"/>
              </w:divBdr>
            </w:div>
          </w:divsChild>
        </w:div>
        <w:div w:id="856775615">
          <w:marLeft w:val="0"/>
          <w:marRight w:val="0"/>
          <w:marTop w:val="0"/>
          <w:marBottom w:val="0"/>
          <w:divBdr>
            <w:top w:val="none" w:sz="0" w:space="0" w:color="auto"/>
            <w:left w:val="none" w:sz="0" w:space="0" w:color="auto"/>
            <w:bottom w:val="none" w:sz="0" w:space="0" w:color="auto"/>
            <w:right w:val="none" w:sz="0" w:space="0" w:color="auto"/>
          </w:divBdr>
          <w:divsChild>
            <w:div w:id="1687366126">
              <w:marLeft w:val="0"/>
              <w:marRight w:val="0"/>
              <w:marTop w:val="0"/>
              <w:marBottom w:val="0"/>
              <w:divBdr>
                <w:top w:val="none" w:sz="0" w:space="0" w:color="auto"/>
                <w:left w:val="none" w:sz="0" w:space="0" w:color="auto"/>
                <w:bottom w:val="none" w:sz="0" w:space="0" w:color="auto"/>
                <w:right w:val="none" w:sz="0" w:space="0" w:color="auto"/>
              </w:divBdr>
            </w:div>
          </w:divsChild>
        </w:div>
        <w:div w:id="898634783">
          <w:marLeft w:val="0"/>
          <w:marRight w:val="0"/>
          <w:marTop w:val="0"/>
          <w:marBottom w:val="0"/>
          <w:divBdr>
            <w:top w:val="none" w:sz="0" w:space="0" w:color="auto"/>
            <w:left w:val="none" w:sz="0" w:space="0" w:color="auto"/>
            <w:bottom w:val="none" w:sz="0" w:space="0" w:color="auto"/>
            <w:right w:val="none" w:sz="0" w:space="0" w:color="auto"/>
          </w:divBdr>
          <w:divsChild>
            <w:div w:id="2085301226">
              <w:marLeft w:val="0"/>
              <w:marRight w:val="0"/>
              <w:marTop w:val="0"/>
              <w:marBottom w:val="0"/>
              <w:divBdr>
                <w:top w:val="none" w:sz="0" w:space="0" w:color="auto"/>
                <w:left w:val="none" w:sz="0" w:space="0" w:color="auto"/>
                <w:bottom w:val="none" w:sz="0" w:space="0" w:color="auto"/>
                <w:right w:val="none" w:sz="0" w:space="0" w:color="auto"/>
              </w:divBdr>
            </w:div>
          </w:divsChild>
        </w:div>
        <w:div w:id="903636622">
          <w:marLeft w:val="0"/>
          <w:marRight w:val="0"/>
          <w:marTop w:val="0"/>
          <w:marBottom w:val="0"/>
          <w:divBdr>
            <w:top w:val="none" w:sz="0" w:space="0" w:color="auto"/>
            <w:left w:val="none" w:sz="0" w:space="0" w:color="auto"/>
            <w:bottom w:val="none" w:sz="0" w:space="0" w:color="auto"/>
            <w:right w:val="none" w:sz="0" w:space="0" w:color="auto"/>
          </w:divBdr>
          <w:divsChild>
            <w:div w:id="1933539047">
              <w:marLeft w:val="0"/>
              <w:marRight w:val="0"/>
              <w:marTop w:val="0"/>
              <w:marBottom w:val="0"/>
              <w:divBdr>
                <w:top w:val="none" w:sz="0" w:space="0" w:color="auto"/>
                <w:left w:val="none" w:sz="0" w:space="0" w:color="auto"/>
                <w:bottom w:val="none" w:sz="0" w:space="0" w:color="auto"/>
                <w:right w:val="none" w:sz="0" w:space="0" w:color="auto"/>
              </w:divBdr>
            </w:div>
          </w:divsChild>
        </w:div>
        <w:div w:id="917328780">
          <w:marLeft w:val="0"/>
          <w:marRight w:val="0"/>
          <w:marTop w:val="0"/>
          <w:marBottom w:val="0"/>
          <w:divBdr>
            <w:top w:val="none" w:sz="0" w:space="0" w:color="auto"/>
            <w:left w:val="none" w:sz="0" w:space="0" w:color="auto"/>
            <w:bottom w:val="none" w:sz="0" w:space="0" w:color="auto"/>
            <w:right w:val="none" w:sz="0" w:space="0" w:color="auto"/>
          </w:divBdr>
          <w:divsChild>
            <w:div w:id="49572446">
              <w:marLeft w:val="0"/>
              <w:marRight w:val="0"/>
              <w:marTop w:val="0"/>
              <w:marBottom w:val="0"/>
              <w:divBdr>
                <w:top w:val="none" w:sz="0" w:space="0" w:color="auto"/>
                <w:left w:val="none" w:sz="0" w:space="0" w:color="auto"/>
                <w:bottom w:val="none" w:sz="0" w:space="0" w:color="auto"/>
                <w:right w:val="none" w:sz="0" w:space="0" w:color="auto"/>
              </w:divBdr>
            </w:div>
          </w:divsChild>
        </w:div>
        <w:div w:id="936981937">
          <w:marLeft w:val="0"/>
          <w:marRight w:val="0"/>
          <w:marTop w:val="0"/>
          <w:marBottom w:val="0"/>
          <w:divBdr>
            <w:top w:val="none" w:sz="0" w:space="0" w:color="auto"/>
            <w:left w:val="none" w:sz="0" w:space="0" w:color="auto"/>
            <w:bottom w:val="none" w:sz="0" w:space="0" w:color="auto"/>
            <w:right w:val="none" w:sz="0" w:space="0" w:color="auto"/>
          </w:divBdr>
          <w:divsChild>
            <w:div w:id="2099669938">
              <w:marLeft w:val="0"/>
              <w:marRight w:val="0"/>
              <w:marTop w:val="0"/>
              <w:marBottom w:val="0"/>
              <w:divBdr>
                <w:top w:val="none" w:sz="0" w:space="0" w:color="auto"/>
                <w:left w:val="none" w:sz="0" w:space="0" w:color="auto"/>
                <w:bottom w:val="none" w:sz="0" w:space="0" w:color="auto"/>
                <w:right w:val="none" w:sz="0" w:space="0" w:color="auto"/>
              </w:divBdr>
            </w:div>
          </w:divsChild>
        </w:div>
        <w:div w:id="945505815">
          <w:marLeft w:val="0"/>
          <w:marRight w:val="0"/>
          <w:marTop w:val="0"/>
          <w:marBottom w:val="0"/>
          <w:divBdr>
            <w:top w:val="none" w:sz="0" w:space="0" w:color="auto"/>
            <w:left w:val="none" w:sz="0" w:space="0" w:color="auto"/>
            <w:bottom w:val="none" w:sz="0" w:space="0" w:color="auto"/>
            <w:right w:val="none" w:sz="0" w:space="0" w:color="auto"/>
          </w:divBdr>
          <w:divsChild>
            <w:div w:id="1010373595">
              <w:marLeft w:val="0"/>
              <w:marRight w:val="0"/>
              <w:marTop w:val="0"/>
              <w:marBottom w:val="0"/>
              <w:divBdr>
                <w:top w:val="none" w:sz="0" w:space="0" w:color="auto"/>
                <w:left w:val="none" w:sz="0" w:space="0" w:color="auto"/>
                <w:bottom w:val="none" w:sz="0" w:space="0" w:color="auto"/>
                <w:right w:val="none" w:sz="0" w:space="0" w:color="auto"/>
              </w:divBdr>
            </w:div>
          </w:divsChild>
        </w:div>
        <w:div w:id="993218778">
          <w:marLeft w:val="0"/>
          <w:marRight w:val="0"/>
          <w:marTop w:val="0"/>
          <w:marBottom w:val="0"/>
          <w:divBdr>
            <w:top w:val="none" w:sz="0" w:space="0" w:color="auto"/>
            <w:left w:val="none" w:sz="0" w:space="0" w:color="auto"/>
            <w:bottom w:val="none" w:sz="0" w:space="0" w:color="auto"/>
            <w:right w:val="none" w:sz="0" w:space="0" w:color="auto"/>
          </w:divBdr>
          <w:divsChild>
            <w:div w:id="771902464">
              <w:marLeft w:val="0"/>
              <w:marRight w:val="0"/>
              <w:marTop w:val="0"/>
              <w:marBottom w:val="0"/>
              <w:divBdr>
                <w:top w:val="none" w:sz="0" w:space="0" w:color="auto"/>
                <w:left w:val="none" w:sz="0" w:space="0" w:color="auto"/>
                <w:bottom w:val="none" w:sz="0" w:space="0" w:color="auto"/>
                <w:right w:val="none" w:sz="0" w:space="0" w:color="auto"/>
              </w:divBdr>
            </w:div>
          </w:divsChild>
        </w:div>
        <w:div w:id="1011881027">
          <w:marLeft w:val="0"/>
          <w:marRight w:val="0"/>
          <w:marTop w:val="0"/>
          <w:marBottom w:val="0"/>
          <w:divBdr>
            <w:top w:val="none" w:sz="0" w:space="0" w:color="auto"/>
            <w:left w:val="none" w:sz="0" w:space="0" w:color="auto"/>
            <w:bottom w:val="none" w:sz="0" w:space="0" w:color="auto"/>
            <w:right w:val="none" w:sz="0" w:space="0" w:color="auto"/>
          </w:divBdr>
          <w:divsChild>
            <w:div w:id="1048652915">
              <w:marLeft w:val="0"/>
              <w:marRight w:val="0"/>
              <w:marTop w:val="0"/>
              <w:marBottom w:val="0"/>
              <w:divBdr>
                <w:top w:val="none" w:sz="0" w:space="0" w:color="auto"/>
                <w:left w:val="none" w:sz="0" w:space="0" w:color="auto"/>
                <w:bottom w:val="none" w:sz="0" w:space="0" w:color="auto"/>
                <w:right w:val="none" w:sz="0" w:space="0" w:color="auto"/>
              </w:divBdr>
            </w:div>
          </w:divsChild>
        </w:div>
        <w:div w:id="1020351120">
          <w:marLeft w:val="0"/>
          <w:marRight w:val="0"/>
          <w:marTop w:val="0"/>
          <w:marBottom w:val="0"/>
          <w:divBdr>
            <w:top w:val="none" w:sz="0" w:space="0" w:color="auto"/>
            <w:left w:val="none" w:sz="0" w:space="0" w:color="auto"/>
            <w:bottom w:val="none" w:sz="0" w:space="0" w:color="auto"/>
            <w:right w:val="none" w:sz="0" w:space="0" w:color="auto"/>
          </w:divBdr>
          <w:divsChild>
            <w:div w:id="509760683">
              <w:marLeft w:val="0"/>
              <w:marRight w:val="0"/>
              <w:marTop w:val="0"/>
              <w:marBottom w:val="0"/>
              <w:divBdr>
                <w:top w:val="none" w:sz="0" w:space="0" w:color="auto"/>
                <w:left w:val="none" w:sz="0" w:space="0" w:color="auto"/>
                <w:bottom w:val="none" w:sz="0" w:space="0" w:color="auto"/>
                <w:right w:val="none" w:sz="0" w:space="0" w:color="auto"/>
              </w:divBdr>
            </w:div>
          </w:divsChild>
        </w:div>
        <w:div w:id="1032997727">
          <w:marLeft w:val="0"/>
          <w:marRight w:val="0"/>
          <w:marTop w:val="0"/>
          <w:marBottom w:val="0"/>
          <w:divBdr>
            <w:top w:val="none" w:sz="0" w:space="0" w:color="auto"/>
            <w:left w:val="none" w:sz="0" w:space="0" w:color="auto"/>
            <w:bottom w:val="none" w:sz="0" w:space="0" w:color="auto"/>
            <w:right w:val="none" w:sz="0" w:space="0" w:color="auto"/>
          </w:divBdr>
          <w:divsChild>
            <w:div w:id="1203130832">
              <w:marLeft w:val="0"/>
              <w:marRight w:val="0"/>
              <w:marTop w:val="0"/>
              <w:marBottom w:val="0"/>
              <w:divBdr>
                <w:top w:val="none" w:sz="0" w:space="0" w:color="auto"/>
                <w:left w:val="none" w:sz="0" w:space="0" w:color="auto"/>
                <w:bottom w:val="none" w:sz="0" w:space="0" w:color="auto"/>
                <w:right w:val="none" w:sz="0" w:space="0" w:color="auto"/>
              </w:divBdr>
            </w:div>
          </w:divsChild>
        </w:div>
        <w:div w:id="1036657124">
          <w:marLeft w:val="0"/>
          <w:marRight w:val="0"/>
          <w:marTop w:val="0"/>
          <w:marBottom w:val="0"/>
          <w:divBdr>
            <w:top w:val="none" w:sz="0" w:space="0" w:color="auto"/>
            <w:left w:val="none" w:sz="0" w:space="0" w:color="auto"/>
            <w:bottom w:val="none" w:sz="0" w:space="0" w:color="auto"/>
            <w:right w:val="none" w:sz="0" w:space="0" w:color="auto"/>
          </w:divBdr>
          <w:divsChild>
            <w:div w:id="632828873">
              <w:marLeft w:val="0"/>
              <w:marRight w:val="0"/>
              <w:marTop w:val="0"/>
              <w:marBottom w:val="0"/>
              <w:divBdr>
                <w:top w:val="none" w:sz="0" w:space="0" w:color="auto"/>
                <w:left w:val="none" w:sz="0" w:space="0" w:color="auto"/>
                <w:bottom w:val="none" w:sz="0" w:space="0" w:color="auto"/>
                <w:right w:val="none" w:sz="0" w:space="0" w:color="auto"/>
              </w:divBdr>
            </w:div>
          </w:divsChild>
        </w:div>
        <w:div w:id="1046680212">
          <w:marLeft w:val="0"/>
          <w:marRight w:val="0"/>
          <w:marTop w:val="0"/>
          <w:marBottom w:val="0"/>
          <w:divBdr>
            <w:top w:val="none" w:sz="0" w:space="0" w:color="auto"/>
            <w:left w:val="none" w:sz="0" w:space="0" w:color="auto"/>
            <w:bottom w:val="none" w:sz="0" w:space="0" w:color="auto"/>
            <w:right w:val="none" w:sz="0" w:space="0" w:color="auto"/>
          </w:divBdr>
          <w:divsChild>
            <w:div w:id="300580574">
              <w:marLeft w:val="0"/>
              <w:marRight w:val="0"/>
              <w:marTop w:val="0"/>
              <w:marBottom w:val="0"/>
              <w:divBdr>
                <w:top w:val="none" w:sz="0" w:space="0" w:color="auto"/>
                <w:left w:val="none" w:sz="0" w:space="0" w:color="auto"/>
                <w:bottom w:val="none" w:sz="0" w:space="0" w:color="auto"/>
                <w:right w:val="none" w:sz="0" w:space="0" w:color="auto"/>
              </w:divBdr>
            </w:div>
          </w:divsChild>
        </w:div>
        <w:div w:id="1053580442">
          <w:marLeft w:val="0"/>
          <w:marRight w:val="0"/>
          <w:marTop w:val="0"/>
          <w:marBottom w:val="0"/>
          <w:divBdr>
            <w:top w:val="none" w:sz="0" w:space="0" w:color="auto"/>
            <w:left w:val="none" w:sz="0" w:space="0" w:color="auto"/>
            <w:bottom w:val="none" w:sz="0" w:space="0" w:color="auto"/>
            <w:right w:val="none" w:sz="0" w:space="0" w:color="auto"/>
          </w:divBdr>
          <w:divsChild>
            <w:div w:id="427774416">
              <w:marLeft w:val="0"/>
              <w:marRight w:val="0"/>
              <w:marTop w:val="0"/>
              <w:marBottom w:val="0"/>
              <w:divBdr>
                <w:top w:val="none" w:sz="0" w:space="0" w:color="auto"/>
                <w:left w:val="none" w:sz="0" w:space="0" w:color="auto"/>
                <w:bottom w:val="none" w:sz="0" w:space="0" w:color="auto"/>
                <w:right w:val="none" w:sz="0" w:space="0" w:color="auto"/>
              </w:divBdr>
            </w:div>
          </w:divsChild>
        </w:div>
        <w:div w:id="1100643747">
          <w:marLeft w:val="0"/>
          <w:marRight w:val="0"/>
          <w:marTop w:val="0"/>
          <w:marBottom w:val="0"/>
          <w:divBdr>
            <w:top w:val="none" w:sz="0" w:space="0" w:color="auto"/>
            <w:left w:val="none" w:sz="0" w:space="0" w:color="auto"/>
            <w:bottom w:val="none" w:sz="0" w:space="0" w:color="auto"/>
            <w:right w:val="none" w:sz="0" w:space="0" w:color="auto"/>
          </w:divBdr>
          <w:divsChild>
            <w:div w:id="210265861">
              <w:marLeft w:val="0"/>
              <w:marRight w:val="0"/>
              <w:marTop w:val="0"/>
              <w:marBottom w:val="0"/>
              <w:divBdr>
                <w:top w:val="none" w:sz="0" w:space="0" w:color="auto"/>
                <w:left w:val="none" w:sz="0" w:space="0" w:color="auto"/>
                <w:bottom w:val="none" w:sz="0" w:space="0" w:color="auto"/>
                <w:right w:val="none" w:sz="0" w:space="0" w:color="auto"/>
              </w:divBdr>
            </w:div>
          </w:divsChild>
        </w:div>
        <w:div w:id="1106535112">
          <w:marLeft w:val="0"/>
          <w:marRight w:val="0"/>
          <w:marTop w:val="0"/>
          <w:marBottom w:val="0"/>
          <w:divBdr>
            <w:top w:val="none" w:sz="0" w:space="0" w:color="auto"/>
            <w:left w:val="none" w:sz="0" w:space="0" w:color="auto"/>
            <w:bottom w:val="none" w:sz="0" w:space="0" w:color="auto"/>
            <w:right w:val="none" w:sz="0" w:space="0" w:color="auto"/>
          </w:divBdr>
          <w:divsChild>
            <w:div w:id="472143890">
              <w:marLeft w:val="0"/>
              <w:marRight w:val="0"/>
              <w:marTop w:val="0"/>
              <w:marBottom w:val="0"/>
              <w:divBdr>
                <w:top w:val="none" w:sz="0" w:space="0" w:color="auto"/>
                <w:left w:val="none" w:sz="0" w:space="0" w:color="auto"/>
                <w:bottom w:val="none" w:sz="0" w:space="0" w:color="auto"/>
                <w:right w:val="none" w:sz="0" w:space="0" w:color="auto"/>
              </w:divBdr>
            </w:div>
          </w:divsChild>
        </w:div>
        <w:div w:id="1110197166">
          <w:marLeft w:val="0"/>
          <w:marRight w:val="0"/>
          <w:marTop w:val="0"/>
          <w:marBottom w:val="0"/>
          <w:divBdr>
            <w:top w:val="none" w:sz="0" w:space="0" w:color="auto"/>
            <w:left w:val="none" w:sz="0" w:space="0" w:color="auto"/>
            <w:bottom w:val="none" w:sz="0" w:space="0" w:color="auto"/>
            <w:right w:val="none" w:sz="0" w:space="0" w:color="auto"/>
          </w:divBdr>
          <w:divsChild>
            <w:div w:id="1791851283">
              <w:marLeft w:val="0"/>
              <w:marRight w:val="0"/>
              <w:marTop w:val="0"/>
              <w:marBottom w:val="0"/>
              <w:divBdr>
                <w:top w:val="none" w:sz="0" w:space="0" w:color="auto"/>
                <w:left w:val="none" w:sz="0" w:space="0" w:color="auto"/>
                <w:bottom w:val="none" w:sz="0" w:space="0" w:color="auto"/>
                <w:right w:val="none" w:sz="0" w:space="0" w:color="auto"/>
              </w:divBdr>
            </w:div>
          </w:divsChild>
        </w:div>
        <w:div w:id="1119102408">
          <w:marLeft w:val="0"/>
          <w:marRight w:val="0"/>
          <w:marTop w:val="0"/>
          <w:marBottom w:val="0"/>
          <w:divBdr>
            <w:top w:val="none" w:sz="0" w:space="0" w:color="auto"/>
            <w:left w:val="none" w:sz="0" w:space="0" w:color="auto"/>
            <w:bottom w:val="none" w:sz="0" w:space="0" w:color="auto"/>
            <w:right w:val="none" w:sz="0" w:space="0" w:color="auto"/>
          </w:divBdr>
          <w:divsChild>
            <w:div w:id="871305659">
              <w:marLeft w:val="0"/>
              <w:marRight w:val="0"/>
              <w:marTop w:val="0"/>
              <w:marBottom w:val="0"/>
              <w:divBdr>
                <w:top w:val="none" w:sz="0" w:space="0" w:color="auto"/>
                <w:left w:val="none" w:sz="0" w:space="0" w:color="auto"/>
                <w:bottom w:val="none" w:sz="0" w:space="0" w:color="auto"/>
                <w:right w:val="none" w:sz="0" w:space="0" w:color="auto"/>
              </w:divBdr>
            </w:div>
          </w:divsChild>
        </w:div>
        <w:div w:id="1119687269">
          <w:marLeft w:val="0"/>
          <w:marRight w:val="0"/>
          <w:marTop w:val="0"/>
          <w:marBottom w:val="0"/>
          <w:divBdr>
            <w:top w:val="none" w:sz="0" w:space="0" w:color="auto"/>
            <w:left w:val="none" w:sz="0" w:space="0" w:color="auto"/>
            <w:bottom w:val="none" w:sz="0" w:space="0" w:color="auto"/>
            <w:right w:val="none" w:sz="0" w:space="0" w:color="auto"/>
          </w:divBdr>
          <w:divsChild>
            <w:div w:id="427431596">
              <w:marLeft w:val="0"/>
              <w:marRight w:val="0"/>
              <w:marTop w:val="0"/>
              <w:marBottom w:val="0"/>
              <w:divBdr>
                <w:top w:val="none" w:sz="0" w:space="0" w:color="auto"/>
                <w:left w:val="none" w:sz="0" w:space="0" w:color="auto"/>
                <w:bottom w:val="none" w:sz="0" w:space="0" w:color="auto"/>
                <w:right w:val="none" w:sz="0" w:space="0" w:color="auto"/>
              </w:divBdr>
            </w:div>
          </w:divsChild>
        </w:div>
        <w:div w:id="1132166100">
          <w:marLeft w:val="0"/>
          <w:marRight w:val="0"/>
          <w:marTop w:val="0"/>
          <w:marBottom w:val="0"/>
          <w:divBdr>
            <w:top w:val="none" w:sz="0" w:space="0" w:color="auto"/>
            <w:left w:val="none" w:sz="0" w:space="0" w:color="auto"/>
            <w:bottom w:val="none" w:sz="0" w:space="0" w:color="auto"/>
            <w:right w:val="none" w:sz="0" w:space="0" w:color="auto"/>
          </w:divBdr>
          <w:divsChild>
            <w:div w:id="1193759695">
              <w:marLeft w:val="0"/>
              <w:marRight w:val="0"/>
              <w:marTop w:val="0"/>
              <w:marBottom w:val="0"/>
              <w:divBdr>
                <w:top w:val="none" w:sz="0" w:space="0" w:color="auto"/>
                <w:left w:val="none" w:sz="0" w:space="0" w:color="auto"/>
                <w:bottom w:val="none" w:sz="0" w:space="0" w:color="auto"/>
                <w:right w:val="none" w:sz="0" w:space="0" w:color="auto"/>
              </w:divBdr>
            </w:div>
          </w:divsChild>
        </w:div>
        <w:div w:id="1170484134">
          <w:marLeft w:val="0"/>
          <w:marRight w:val="0"/>
          <w:marTop w:val="0"/>
          <w:marBottom w:val="0"/>
          <w:divBdr>
            <w:top w:val="none" w:sz="0" w:space="0" w:color="auto"/>
            <w:left w:val="none" w:sz="0" w:space="0" w:color="auto"/>
            <w:bottom w:val="none" w:sz="0" w:space="0" w:color="auto"/>
            <w:right w:val="none" w:sz="0" w:space="0" w:color="auto"/>
          </w:divBdr>
          <w:divsChild>
            <w:div w:id="1225487353">
              <w:marLeft w:val="0"/>
              <w:marRight w:val="0"/>
              <w:marTop w:val="0"/>
              <w:marBottom w:val="0"/>
              <w:divBdr>
                <w:top w:val="none" w:sz="0" w:space="0" w:color="auto"/>
                <w:left w:val="none" w:sz="0" w:space="0" w:color="auto"/>
                <w:bottom w:val="none" w:sz="0" w:space="0" w:color="auto"/>
                <w:right w:val="none" w:sz="0" w:space="0" w:color="auto"/>
              </w:divBdr>
            </w:div>
          </w:divsChild>
        </w:div>
        <w:div w:id="1192063979">
          <w:marLeft w:val="0"/>
          <w:marRight w:val="0"/>
          <w:marTop w:val="0"/>
          <w:marBottom w:val="0"/>
          <w:divBdr>
            <w:top w:val="none" w:sz="0" w:space="0" w:color="auto"/>
            <w:left w:val="none" w:sz="0" w:space="0" w:color="auto"/>
            <w:bottom w:val="none" w:sz="0" w:space="0" w:color="auto"/>
            <w:right w:val="none" w:sz="0" w:space="0" w:color="auto"/>
          </w:divBdr>
          <w:divsChild>
            <w:div w:id="1944026833">
              <w:marLeft w:val="0"/>
              <w:marRight w:val="0"/>
              <w:marTop w:val="0"/>
              <w:marBottom w:val="0"/>
              <w:divBdr>
                <w:top w:val="none" w:sz="0" w:space="0" w:color="auto"/>
                <w:left w:val="none" w:sz="0" w:space="0" w:color="auto"/>
                <w:bottom w:val="none" w:sz="0" w:space="0" w:color="auto"/>
                <w:right w:val="none" w:sz="0" w:space="0" w:color="auto"/>
              </w:divBdr>
            </w:div>
          </w:divsChild>
        </w:div>
        <w:div w:id="1209337216">
          <w:marLeft w:val="0"/>
          <w:marRight w:val="0"/>
          <w:marTop w:val="0"/>
          <w:marBottom w:val="0"/>
          <w:divBdr>
            <w:top w:val="none" w:sz="0" w:space="0" w:color="auto"/>
            <w:left w:val="none" w:sz="0" w:space="0" w:color="auto"/>
            <w:bottom w:val="none" w:sz="0" w:space="0" w:color="auto"/>
            <w:right w:val="none" w:sz="0" w:space="0" w:color="auto"/>
          </w:divBdr>
          <w:divsChild>
            <w:div w:id="123237543">
              <w:marLeft w:val="0"/>
              <w:marRight w:val="0"/>
              <w:marTop w:val="0"/>
              <w:marBottom w:val="0"/>
              <w:divBdr>
                <w:top w:val="none" w:sz="0" w:space="0" w:color="auto"/>
                <w:left w:val="none" w:sz="0" w:space="0" w:color="auto"/>
                <w:bottom w:val="none" w:sz="0" w:space="0" w:color="auto"/>
                <w:right w:val="none" w:sz="0" w:space="0" w:color="auto"/>
              </w:divBdr>
            </w:div>
          </w:divsChild>
        </w:div>
        <w:div w:id="1269386746">
          <w:marLeft w:val="0"/>
          <w:marRight w:val="0"/>
          <w:marTop w:val="0"/>
          <w:marBottom w:val="0"/>
          <w:divBdr>
            <w:top w:val="none" w:sz="0" w:space="0" w:color="auto"/>
            <w:left w:val="none" w:sz="0" w:space="0" w:color="auto"/>
            <w:bottom w:val="none" w:sz="0" w:space="0" w:color="auto"/>
            <w:right w:val="none" w:sz="0" w:space="0" w:color="auto"/>
          </w:divBdr>
          <w:divsChild>
            <w:div w:id="404377547">
              <w:marLeft w:val="0"/>
              <w:marRight w:val="0"/>
              <w:marTop w:val="0"/>
              <w:marBottom w:val="0"/>
              <w:divBdr>
                <w:top w:val="none" w:sz="0" w:space="0" w:color="auto"/>
                <w:left w:val="none" w:sz="0" w:space="0" w:color="auto"/>
                <w:bottom w:val="none" w:sz="0" w:space="0" w:color="auto"/>
                <w:right w:val="none" w:sz="0" w:space="0" w:color="auto"/>
              </w:divBdr>
            </w:div>
          </w:divsChild>
        </w:div>
        <w:div w:id="1314988193">
          <w:marLeft w:val="0"/>
          <w:marRight w:val="0"/>
          <w:marTop w:val="0"/>
          <w:marBottom w:val="0"/>
          <w:divBdr>
            <w:top w:val="none" w:sz="0" w:space="0" w:color="auto"/>
            <w:left w:val="none" w:sz="0" w:space="0" w:color="auto"/>
            <w:bottom w:val="none" w:sz="0" w:space="0" w:color="auto"/>
            <w:right w:val="none" w:sz="0" w:space="0" w:color="auto"/>
          </w:divBdr>
          <w:divsChild>
            <w:div w:id="1387485652">
              <w:marLeft w:val="0"/>
              <w:marRight w:val="0"/>
              <w:marTop w:val="0"/>
              <w:marBottom w:val="0"/>
              <w:divBdr>
                <w:top w:val="none" w:sz="0" w:space="0" w:color="auto"/>
                <w:left w:val="none" w:sz="0" w:space="0" w:color="auto"/>
                <w:bottom w:val="none" w:sz="0" w:space="0" w:color="auto"/>
                <w:right w:val="none" w:sz="0" w:space="0" w:color="auto"/>
              </w:divBdr>
            </w:div>
          </w:divsChild>
        </w:div>
        <w:div w:id="1316910307">
          <w:marLeft w:val="0"/>
          <w:marRight w:val="0"/>
          <w:marTop w:val="0"/>
          <w:marBottom w:val="0"/>
          <w:divBdr>
            <w:top w:val="none" w:sz="0" w:space="0" w:color="auto"/>
            <w:left w:val="none" w:sz="0" w:space="0" w:color="auto"/>
            <w:bottom w:val="none" w:sz="0" w:space="0" w:color="auto"/>
            <w:right w:val="none" w:sz="0" w:space="0" w:color="auto"/>
          </w:divBdr>
          <w:divsChild>
            <w:div w:id="13921353">
              <w:marLeft w:val="0"/>
              <w:marRight w:val="0"/>
              <w:marTop w:val="0"/>
              <w:marBottom w:val="0"/>
              <w:divBdr>
                <w:top w:val="none" w:sz="0" w:space="0" w:color="auto"/>
                <w:left w:val="none" w:sz="0" w:space="0" w:color="auto"/>
                <w:bottom w:val="none" w:sz="0" w:space="0" w:color="auto"/>
                <w:right w:val="none" w:sz="0" w:space="0" w:color="auto"/>
              </w:divBdr>
            </w:div>
          </w:divsChild>
        </w:div>
        <w:div w:id="1344548707">
          <w:marLeft w:val="0"/>
          <w:marRight w:val="0"/>
          <w:marTop w:val="0"/>
          <w:marBottom w:val="0"/>
          <w:divBdr>
            <w:top w:val="none" w:sz="0" w:space="0" w:color="auto"/>
            <w:left w:val="none" w:sz="0" w:space="0" w:color="auto"/>
            <w:bottom w:val="none" w:sz="0" w:space="0" w:color="auto"/>
            <w:right w:val="none" w:sz="0" w:space="0" w:color="auto"/>
          </w:divBdr>
          <w:divsChild>
            <w:div w:id="1612398281">
              <w:marLeft w:val="0"/>
              <w:marRight w:val="0"/>
              <w:marTop w:val="0"/>
              <w:marBottom w:val="0"/>
              <w:divBdr>
                <w:top w:val="none" w:sz="0" w:space="0" w:color="auto"/>
                <w:left w:val="none" w:sz="0" w:space="0" w:color="auto"/>
                <w:bottom w:val="none" w:sz="0" w:space="0" w:color="auto"/>
                <w:right w:val="none" w:sz="0" w:space="0" w:color="auto"/>
              </w:divBdr>
            </w:div>
          </w:divsChild>
        </w:div>
        <w:div w:id="1348826913">
          <w:marLeft w:val="0"/>
          <w:marRight w:val="0"/>
          <w:marTop w:val="0"/>
          <w:marBottom w:val="0"/>
          <w:divBdr>
            <w:top w:val="none" w:sz="0" w:space="0" w:color="auto"/>
            <w:left w:val="none" w:sz="0" w:space="0" w:color="auto"/>
            <w:bottom w:val="none" w:sz="0" w:space="0" w:color="auto"/>
            <w:right w:val="none" w:sz="0" w:space="0" w:color="auto"/>
          </w:divBdr>
          <w:divsChild>
            <w:div w:id="794758901">
              <w:marLeft w:val="0"/>
              <w:marRight w:val="0"/>
              <w:marTop w:val="0"/>
              <w:marBottom w:val="0"/>
              <w:divBdr>
                <w:top w:val="none" w:sz="0" w:space="0" w:color="auto"/>
                <w:left w:val="none" w:sz="0" w:space="0" w:color="auto"/>
                <w:bottom w:val="none" w:sz="0" w:space="0" w:color="auto"/>
                <w:right w:val="none" w:sz="0" w:space="0" w:color="auto"/>
              </w:divBdr>
            </w:div>
          </w:divsChild>
        </w:div>
        <w:div w:id="1363244335">
          <w:marLeft w:val="0"/>
          <w:marRight w:val="0"/>
          <w:marTop w:val="0"/>
          <w:marBottom w:val="0"/>
          <w:divBdr>
            <w:top w:val="none" w:sz="0" w:space="0" w:color="auto"/>
            <w:left w:val="none" w:sz="0" w:space="0" w:color="auto"/>
            <w:bottom w:val="none" w:sz="0" w:space="0" w:color="auto"/>
            <w:right w:val="none" w:sz="0" w:space="0" w:color="auto"/>
          </w:divBdr>
          <w:divsChild>
            <w:div w:id="865219676">
              <w:marLeft w:val="0"/>
              <w:marRight w:val="0"/>
              <w:marTop w:val="0"/>
              <w:marBottom w:val="0"/>
              <w:divBdr>
                <w:top w:val="none" w:sz="0" w:space="0" w:color="auto"/>
                <w:left w:val="none" w:sz="0" w:space="0" w:color="auto"/>
                <w:bottom w:val="none" w:sz="0" w:space="0" w:color="auto"/>
                <w:right w:val="none" w:sz="0" w:space="0" w:color="auto"/>
              </w:divBdr>
            </w:div>
          </w:divsChild>
        </w:div>
        <w:div w:id="1363508869">
          <w:marLeft w:val="0"/>
          <w:marRight w:val="0"/>
          <w:marTop w:val="0"/>
          <w:marBottom w:val="0"/>
          <w:divBdr>
            <w:top w:val="none" w:sz="0" w:space="0" w:color="auto"/>
            <w:left w:val="none" w:sz="0" w:space="0" w:color="auto"/>
            <w:bottom w:val="none" w:sz="0" w:space="0" w:color="auto"/>
            <w:right w:val="none" w:sz="0" w:space="0" w:color="auto"/>
          </w:divBdr>
          <w:divsChild>
            <w:div w:id="103624522">
              <w:marLeft w:val="0"/>
              <w:marRight w:val="0"/>
              <w:marTop w:val="0"/>
              <w:marBottom w:val="0"/>
              <w:divBdr>
                <w:top w:val="none" w:sz="0" w:space="0" w:color="auto"/>
                <w:left w:val="none" w:sz="0" w:space="0" w:color="auto"/>
                <w:bottom w:val="none" w:sz="0" w:space="0" w:color="auto"/>
                <w:right w:val="none" w:sz="0" w:space="0" w:color="auto"/>
              </w:divBdr>
            </w:div>
          </w:divsChild>
        </w:div>
        <w:div w:id="1384864549">
          <w:marLeft w:val="0"/>
          <w:marRight w:val="0"/>
          <w:marTop w:val="0"/>
          <w:marBottom w:val="0"/>
          <w:divBdr>
            <w:top w:val="none" w:sz="0" w:space="0" w:color="auto"/>
            <w:left w:val="none" w:sz="0" w:space="0" w:color="auto"/>
            <w:bottom w:val="none" w:sz="0" w:space="0" w:color="auto"/>
            <w:right w:val="none" w:sz="0" w:space="0" w:color="auto"/>
          </w:divBdr>
          <w:divsChild>
            <w:div w:id="1638366906">
              <w:marLeft w:val="0"/>
              <w:marRight w:val="0"/>
              <w:marTop w:val="0"/>
              <w:marBottom w:val="0"/>
              <w:divBdr>
                <w:top w:val="none" w:sz="0" w:space="0" w:color="auto"/>
                <w:left w:val="none" w:sz="0" w:space="0" w:color="auto"/>
                <w:bottom w:val="none" w:sz="0" w:space="0" w:color="auto"/>
                <w:right w:val="none" w:sz="0" w:space="0" w:color="auto"/>
              </w:divBdr>
            </w:div>
          </w:divsChild>
        </w:div>
        <w:div w:id="1402561957">
          <w:marLeft w:val="0"/>
          <w:marRight w:val="0"/>
          <w:marTop w:val="0"/>
          <w:marBottom w:val="0"/>
          <w:divBdr>
            <w:top w:val="none" w:sz="0" w:space="0" w:color="auto"/>
            <w:left w:val="none" w:sz="0" w:space="0" w:color="auto"/>
            <w:bottom w:val="none" w:sz="0" w:space="0" w:color="auto"/>
            <w:right w:val="none" w:sz="0" w:space="0" w:color="auto"/>
          </w:divBdr>
          <w:divsChild>
            <w:div w:id="1356232734">
              <w:marLeft w:val="0"/>
              <w:marRight w:val="0"/>
              <w:marTop w:val="0"/>
              <w:marBottom w:val="0"/>
              <w:divBdr>
                <w:top w:val="none" w:sz="0" w:space="0" w:color="auto"/>
                <w:left w:val="none" w:sz="0" w:space="0" w:color="auto"/>
                <w:bottom w:val="none" w:sz="0" w:space="0" w:color="auto"/>
                <w:right w:val="none" w:sz="0" w:space="0" w:color="auto"/>
              </w:divBdr>
            </w:div>
          </w:divsChild>
        </w:div>
        <w:div w:id="1449281379">
          <w:marLeft w:val="0"/>
          <w:marRight w:val="0"/>
          <w:marTop w:val="0"/>
          <w:marBottom w:val="0"/>
          <w:divBdr>
            <w:top w:val="none" w:sz="0" w:space="0" w:color="auto"/>
            <w:left w:val="none" w:sz="0" w:space="0" w:color="auto"/>
            <w:bottom w:val="none" w:sz="0" w:space="0" w:color="auto"/>
            <w:right w:val="none" w:sz="0" w:space="0" w:color="auto"/>
          </w:divBdr>
          <w:divsChild>
            <w:div w:id="2087457458">
              <w:marLeft w:val="0"/>
              <w:marRight w:val="0"/>
              <w:marTop w:val="0"/>
              <w:marBottom w:val="0"/>
              <w:divBdr>
                <w:top w:val="none" w:sz="0" w:space="0" w:color="auto"/>
                <w:left w:val="none" w:sz="0" w:space="0" w:color="auto"/>
                <w:bottom w:val="none" w:sz="0" w:space="0" w:color="auto"/>
                <w:right w:val="none" w:sz="0" w:space="0" w:color="auto"/>
              </w:divBdr>
            </w:div>
          </w:divsChild>
        </w:div>
        <w:div w:id="1465923077">
          <w:marLeft w:val="0"/>
          <w:marRight w:val="0"/>
          <w:marTop w:val="0"/>
          <w:marBottom w:val="0"/>
          <w:divBdr>
            <w:top w:val="none" w:sz="0" w:space="0" w:color="auto"/>
            <w:left w:val="none" w:sz="0" w:space="0" w:color="auto"/>
            <w:bottom w:val="none" w:sz="0" w:space="0" w:color="auto"/>
            <w:right w:val="none" w:sz="0" w:space="0" w:color="auto"/>
          </w:divBdr>
          <w:divsChild>
            <w:div w:id="883175109">
              <w:marLeft w:val="0"/>
              <w:marRight w:val="0"/>
              <w:marTop w:val="0"/>
              <w:marBottom w:val="0"/>
              <w:divBdr>
                <w:top w:val="none" w:sz="0" w:space="0" w:color="auto"/>
                <w:left w:val="none" w:sz="0" w:space="0" w:color="auto"/>
                <w:bottom w:val="none" w:sz="0" w:space="0" w:color="auto"/>
                <w:right w:val="none" w:sz="0" w:space="0" w:color="auto"/>
              </w:divBdr>
            </w:div>
          </w:divsChild>
        </w:div>
        <w:div w:id="1471705555">
          <w:marLeft w:val="0"/>
          <w:marRight w:val="0"/>
          <w:marTop w:val="0"/>
          <w:marBottom w:val="0"/>
          <w:divBdr>
            <w:top w:val="none" w:sz="0" w:space="0" w:color="auto"/>
            <w:left w:val="none" w:sz="0" w:space="0" w:color="auto"/>
            <w:bottom w:val="none" w:sz="0" w:space="0" w:color="auto"/>
            <w:right w:val="none" w:sz="0" w:space="0" w:color="auto"/>
          </w:divBdr>
          <w:divsChild>
            <w:div w:id="1313174899">
              <w:marLeft w:val="0"/>
              <w:marRight w:val="0"/>
              <w:marTop w:val="0"/>
              <w:marBottom w:val="0"/>
              <w:divBdr>
                <w:top w:val="none" w:sz="0" w:space="0" w:color="auto"/>
                <w:left w:val="none" w:sz="0" w:space="0" w:color="auto"/>
                <w:bottom w:val="none" w:sz="0" w:space="0" w:color="auto"/>
                <w:right w:val="none" w:sz="0" w:space="0" w:color="auto"/>
              </w:divBdr>
            </w:div>
          </w:divsChild>
        </w:div>
        <w:div w:id="1472209285">
          <w:marLeft w:val="0"/>
          <w:marRight w:val="0"/>
          <w:marTop w:val="0"/>
          <w:marBottom w:val="0"/>
          <w:divBdr>
            <w:top w:val="none" w:sz="0" w:space="0" w:color="auto"/>
            <w:left w:val="none" w:sz="0" w:space="0" w:color="auto"/>
            <w:bottom w:val="none" w:sz="0" w:space="0" w:color="auto"/>
            <w:right w:val="none" w:sz="0" w:space="0" w:color="auto"/>
          </w:divBdr>
          <w:divsChild>
            <w:div w:id="2089618755">
              <w:marLeft w:val="0"/>
              <w:marRight w:val="0"/>
              <w:marTop w:val="0"/>
              <w:marBottom w:val="0"/>
              <w:divBdr>
                <w:top w:val="none" w:sz="0" w:space="0" w:color="auto"/>
                <w:left w:val="none" w:sz="0" w:space="0" w:color="auto"/>
                <w:bottom w:val="none" w:sz="0" w:space="0" w:color="auto"/>
                <w:right w:val="none" w:sz="0" w:space="0" w:color="auto"/>
              </w:divBdr>
            </w:div>
          </w:divsChild>
        </w:div>
        <w:div w:id="1594239616">
          <w:marLeft w:val="0"/>
          <w:marRight w:val="0"/>
          <w:marTop w:val="0"/>
          <w:marBottom w:val="0"/>
          <w:divBdr>
            <w:top w:val="none" w:sz="0" w:space="0" w:color="auto"/>
            <w:left w:val="none" w:sz="0" w:space="0" w:color="auto"/>
            <w:bottom w:val="none" w:sz="0" w:space="0" w:color="auto"/>
            <w:right w:val="none" w:sz="0" w:space="0" w:color="auto"/>
          </w:divBdr>
          <w:divsChild>
            <w:div w:id="293489271">
              <w:marLeft w:val="0"/>
              <w:marRight w:val="0"/>
              <w:marTop w:val="0"/>
              <w:marBottom w:val="0"/>
              <w:divBdr>
                <w:top w:val="none" w:sz="0" w:space="0" w:color="auto"/>
                <w:left w:val="none" w:sz="0" w:space="0" w:color="auto"/>
                <w:bottom w:val="none" w:sz="0" w:space="0" w:color="auto"/>
                <w:right w:val="none" w:sz="0" w:space="0" w:color="auto"/>
              </w:divBdr>
            </w:div>
          </w:divsChild>
        </w:div>
        <w:div w:id="1595045455">
          <w:marLeft w:val="0"/>
          <w:marRight w:val="0"/>
          <w:marTop w:val="0"/>
          <w:marBottom w:val="0"/>
          <w:divBdr>
            <w:top w:val="none" w:sz="0" w:space="0" w:color="auto"/>
            <w:left w:val="none" w:sz="0" w:space="0" w:color="auto"/>
            <w:bottom w:val="none" w:sz="0" w:space="0" w:color="auto"/>
            <w:right w:val="none" w:sz="0" w:space="0" w:color="auto"/>
          </w:divBdr>
          <w:divsChild>
            <w:div w:id="337123055">
              <w:marLeft w:val="0"/>
              <w:marRight w:val="0"/>
              <w:marTop w:val="0"/>
              <w:marBottom w:val="0"/>
              <w:divBdr>
                <w:top w:val="none" w:sz="0" w:space="0" w:color="auto"/>
                <w:left w:val="none" w:sz="0" w:space="0" w:color="auto"/>
                <w:bottom w:val="none" w:sz="0" w:space="0" w:color="auto"/>
                <w:right w:val="none" w:sz="0" w:space="0" w:color="auto"/>
              </w:divBdr>
            </w:div>
          </w:divsChild>
        </w:div>
        <w:div w:id="1600288447">
          <w:marLeft w:val="0"/>
          <w:marRight w:val="0"/>
          <w:marTop w:val="0"/>
          <w:marBottom w:val="0"/>
          <w:divBdr>
            <w:top w:val="none" w:sz="0" w:space="0" w:color="auto"/>
            <w:left w:val="none" w:sz="0" w:space="0" w:color="auto"/>
            <w:bottom w:val="none" w:sz="0" w:space="0" w:color="auto"/>
            <w:right w:val="none" w:sz="0" w:space="0" w:color="auto"/>
          </w:divBdr>
          <w:divsChild>
            <w:div w:id="1837727488">
              <w:marLeft w:val="0"/>
              <w:marRight w:val="0"/>
              <w:marTop w:val="0"/>
              <w:marBottom w:val="0"/>
              <w:divBdr>
                <w:top w:val="none" w:sz="0" w:space="0" w:color="auto"/>
                <w:left w:val="none" w:sz="0" w:space="0" w:color="auto"/>
                <w:bottom w:val="none" w:sz="0" w:space="0" w:color="auto"/>
                <w:right w:val="none" w:sz="0" w:space="0" w:color="auto"/>
              </w:divBdr>
            </w:div>
          </w:divsChild>
        </w:div>
        <w:div w:id="1613903278">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0"/>
              <w:divBdr>
                <w:top w:val="none" w:sz="0" w:space="0" w:color="auto"/>
                <w:left w:val="none" w:sz="0" w:space="0" w:color="auto"/>
                <w:bottom w:val="none" w:sz="0" w:space="0" w:color="auto"/>
                <w:right w:val="none" w:sz="0" w:space="0" w:color="auto"/>
              </w:divBdr>
            </w:div>
          </w:divsChild>
        </w:div>
        <w:div w:id="1616519906">
          <w:marLeft w:val="0"/>
          <w:marRight w:val="0"/>
          <w:marTop w:val="0"/>
          <w:marBottom w:val="0"/>
          <w:divBdr>
            <w:top w:val="none" w:sz="0" w:space="0" w:color="auto"/>
            <w:left w:val="none" w:sz="0" w:space="0" w:color="auto"/>
            <w:bottom w:val="none" w:sz="0" w:space="0" w:color="auto"/>
            <w:right w:val="none" w:sz="0" w:space="0" w:color="auto"/>
          </w:divBdr>
          <w:divsChild>
            <w:div w:id="1851024110">
              <w:marLeft w:val="0"/>
              <w:marRight w:val="0"/>
              <w:marTop w:val="0"/>
              <w:marBottom w:val="0"/>
              <w:divBdr>
                <w:top w:val="none" w:sz="0" w:space="0" w:color="auto"/>
                <w:left w:val="none" w:sz="0" w:space="0" w:color="auto"/>
                <w:bottom w:val="none" w:sz="0" w:space="0" w:color="auto"/>
                <w:right w:val="none" w:sz="0" w:space="0" w:color="auto"/>
              </w:divBdr>
            </w:div>
          </w:divsChild>
        </w:div>
        <w:div w:id="1619986388">
          <w:marLeft w:val="0"/>
          <w:marRight w:val="0"/>
          <w:marTop w:val="0"/>
          <w:marBottom w:val="0"/>
          <w:divBdr>
            <w:top w:val="none" w:sz="0" w:space="0" w:color="auto"/>
            <w:left w:val="none" w:sz="0" w:space="0" w:color="auto"/>
            <w:bottom w:val="none" w:sz="0" w:space="0" w:color="auto"/>
            <w:right w:val="none" w:sz="0" w:space="0" w:color="auto"/>
          </w:divBdr>
          <w:divsChild>
            <w:div w:id="319961975">
              <w:marLeft w:val="0"/>
              <w:marRight w:val="0"/>
              <w:marTop w:val="0"/>
              <w:marBottom w:val="0"/>
              <w:divBdr>
                <w:top w:val="none" w:sz="0" w:space="0" w:color="auto"/>
                <w:left w:val="none" w:sz="0" w:space="0" w:color="auto"/>
                <w:bottom w:val="none" w:sz="0" w:space="0" w:color="auto"/>
                <w:right w:val="none" w:sz="0" w:space="0" w:color="auto"/>
              </w:divBdr>
            </w:div>
          </w:divsChild>
        </w:div>
        <w:div w:id="1628269615">
          <w:marLeft w:val="0"/>
          <w:marRight w:val="0"/>
          <w:marTop w:val="0"/>
          <w:marBottom w:val="0"/>
          <w:divBdr>
            <w:top w:val="none" w:sz="0" w:space="0" w:color="auto"/>
            <w:left w:val="none" w:sz="0" w:space="0" w:color="auto"/>
            <w:bottom w:val="none" w:sz="0" w:space="0" w:color="auto"/>
            <w:right w:val="none" w:sz="0" w:space="0" w:color="auto"/>
          </w:divBdr>
          <w:divsChild>
            <w:div w:id="1165053673">
              <w:marLeft w:val="0"/>
              <w:marRight w:val="0"/>
              <w:marTop w:val="0"/>
              <w:marBottom w:val="0"/>
              <w:divBdr>
                <w:top w:val="none" w:sz="0" w:space="0" w:color="auto"/>
                <w:left w:val="none" w:sz="0" w:space="0" w:color="auto"/>
                <w:bottom w:val="none" w:sz="0" w:space="0" w:color="auto"/>
                <w:right w:val="none" w:sz="0" w:space="0" w:color="auto"/>
              </w:divBdr>
            </w:div>
          </w:divsChild>
        </w:div>
        <w:div w:id="1629045518">
          <w:marLeft w:val="0"/>
          <w:marRight w:val="0"/>
          <w:marTop w:val="0"/>
          <w:marBottom w:val="0"/>
          <w:divBdr>
            <w:top w:val="none" w:sz="0" w:space="0" w:color="auto"/>
            <w:left w:val="none" w:sz="0" w:space="0" w:color="auto"/>
            <w:bottom w:val="none" w:sz="0" w:space="0" w:color="auto"/>
            <w:right w:val="none" w:sz="0" w:space="0" w:color="auto"/>
          </w:divBdr>
          <w:divsChild>
            <w:div w:id="878083624">
              <w:marLeft w:val="0"/>
              <w:marRight w:val="0"/>
              <w:marTop w:val="0"/>
              <w:marBottom w:val="0"/>
              <w:divBdr>
                <w:top w:val="none" w:sz="0" w:space="0" w:color="auto"/>
                <w:left w:val="none" w:sz="0" w:space="0" w:color="auto"/>
                <w:bottom w:val="none" w:sz="0" w:space="0" w:color="auto"/>
                <w:right w:val="none" w:sz="0" w:space="0" w:color="auto"/>
              </w:divBdr>
            </w:div>
          </w:divsChild>
        </w:div>
        <w:div w:id="1656298740">
          <w:marLeft w:val="0"/>
          <w:marRight w:val="0"/>
          <w:marTop w:val="0"/>
          <w:marBottom w:val="0"/>
          <w:divBdr>
            <w:top w:val="none" w:sz="0" w:space="0" w:color="auto"/>
            <w:left w:val="none" w:sz="0" w:space="0" w:color="auto"/>
            <w:bottom w:val="none" w:sz="0" w:space="0" w:color="auto"/>
            <w:right w:val="none" w:sz="0" w:space="0" w:color="auto"/>
          </w:divBdr>
          <w:divsChild>
            <w:div w:id="1450394111">
              <w:marLeft w:val="0"/>
              <w:marRight w:val="0"/>
              <w:marTop w:val="0"/>
              <w:marBottom w:val="0"/>
              <w:divBdr>
                <w:top w:val="none" w:sz="0" w:space="0" w:color="auto"/>
                <w:left w:val="none" w:sz="0" w:space="0" w:color="auto"/>
                <w:bottom w:val="none" w:sz="0" w:space="0" w:color="auto"/>
                <w:right w:val="none" w:sz="0" w:space="0" w:color="auto"/>
              </w:divBdr>
            </w:div>
          </w:divsChild>
        </w:div>
        <w:div w:id="1660502920">
          <w:marLeft w:val="0"/>
          <w:marRight w:val="0"/>
          <w:marTop w:val="0"/>
          <w:marBottom w:val="0"/>
          <w:divBdr>
            <w:top w:val="none" w:sz="0" w:space="0" w:color="auto"/>
            <w:left w:val="none" w:sz="0" w:space="0" w:color="auto"/>
            <w:bottom w:val="none" w:sz="0" w:space="0" w:color="auto"/>
            <w:right w:val="none" w:sz="0" w:space="0" w:color="auto"/>
          </w:divBdr>
          <w:divsChild>
            <w:div w:id="677317812">
              <w:marLeft w:val="0"/>
              <w:marRight w:val="0"/>
              <w:marTop w:val="0"/>
              <w:marBottom w:val="0"/>
              <w:divBdr>
                <w:top w:val="none" w:sz="0" w:space="0" w:color="auto"/>
                <w:left w:val="none" w:sz="0" w:space="0" w:color="auto"/>
                <w:bottom w:val="none" w:sz="0" w:space="0" w:color="auto"/>
                <w:right w:val="none" w:sz="0" w:space="0" w:color="auto"/>
              </w:divBdr>
            </w:div>
          </w:divsChild>
        </w:div>
        <w:div w:id="1662466136">
          <w:marLeft w:val="0"/>
          <w:marRight w:val="0"/>
          <w:marTop w:val="0"/>
          <w:marBottom w:val="0"/>
          <w:divBdr>
            <w:top w:val="none" w:sz="0" w:space="0" w:color="auto"/>
            <w:left w:val="none" w:sz="0" w:space="0" w:color="auto"/>
            <w:bottom w:val="none" w:sz="0" w:space="0" w:color="auto"/>
            <w:right w:val="none" w:sz="0" w:space="0" w:color="auto"/>
          </w:divBdr>
          <w:divsChild>
            <w:div w:id="1442602140">
              <w:marLeft w:val="0"/>
              <w:marRight w:val="0"/>
              <w:marTop w:val="0"/>
              <w:marBottom w:val="0"/>
              <w:divBdr>
                <w:top w:val="none" w:sz="0" w:space="0" w:color="auto"/>
                <w:left w:val="none" w:sz="0" w:space="0" w:color="auto"/>
                <w:bottom w:val="none" w:sz="0" w:space="0" w:color="auto"/>
                <w:right w:val="none" w:sz="0" w:space="0" w:color="auto"/>
              </w:divBdr>
            </w:div>
          </w:divsChild>
        </w:div>
        <w:div w:id="1679648890">
          <w:marLeft w:val="0"/>
          <w:marRight w:val="0"/>
          <w:marTop w:val="0"/>
          <w:marBottom w:val="0"/>
          <w:divBdr>
            <w:top w:val="none" w:sz="0" w:space="0" w:color="auto"/>
            <w:left w:val="none" w:sz="0" w:space="0" w:color="auto"/>
            <w:bottom w:val="none" w:sz="0" w:space="0" w:color="auto"/>
            <w:right w:val="none" w:sz="0" w:space="0" w:color="auto"/>
          </w:divBdr>
          <w:divsChild>
            <w:div w:id="132333048">
              <w:marLeft w:val="0"/>
              <w:marRight w:val="0"/>
              <w:marTop w:val="0"/>
              <w:marBottom w:val="0"/>
              <w:divBdr>
                <w:top w:val="none" w:sz="0" w:space="0" w:color="auto"/>
                <w:left w:val="none" w:sz="0" w:space="0" w:color="auto"/>
                <w:bottom w:val="none" w:sz="0" w:space="0" w:color="auto"/>
                <w:right w:val="none" w:sz="0" w:space="0" w:color="auto"/>
              </w:divBdr>
            </w:div>
          </w:divsChild>
        </w:div>
        <w:div w:id="1692489793">
          <w:marLeft w:val="0"/>
          <w:marRight w:val="0"/>
          <w:marTop w:val="0"/>
          <w:marBottom w:val="0"/>
          <w:divBdr>
            <w:top w:val="none" w:sz="0" w:space="0" w:color="auto"/>
            <w:left w:val="none" w:sz="0" w:space="0" w:color="auto"/>
            <w:bottom w:val="none" w:sz="0" w:space="0" w:color="auto"/>
            <w:right w:val="none" w:sz="0" w:space="0" w:color="auto"/>
          </w:divBdr>
          <w:divsChild>
            <w:div w:id="1850095042">
              <w:marLeft w:val="0"/>
              <w:marRight w:val="0"/>
              <w:marTop w:val="0"/>
              <w:marBottom w:val="0"/>
              <w:divBdr>
                <w:top w:val="none" w:sz="0" w:space="0" w:color="auto"/>
                <w:left w:val="none" w:sz="0" w:space="0" w:color="auto"/>
                <w:bottom w:val="none" w:sz="0" w:space="0" w:color="auto"/>
                <w:right w:val="none" w:sz="0" w:space="0" w:color="auto"/>
              </w:divBdr>
            </w:div>
          </w:divsChild>
        </w:div>
        <w:div w:id="1722054230">
          <w:marLeft w:val="0"/>
          <w:marRight w:val="0"/>
          <w:marTop w:val="0"/>
          <w:marBottom w:val="0"/>
          <w:divBdr>
            <w:top w:val="none" w:sz="0" w:space="0" w:color="auto"/>
            <w:left w:val="none" w:sz="0" w:space="0" w:color="auto"/>
            <w:bottom w:val="none" w:sz="0" w:space="0" w:color="auto"/>
            <w:right w:val="none" w:sz="0" w:space="0" w:color="auto"/>
          </w:divBdr>
          <w:divsChild>
            <w:div w:id="432867778">
              <w:marLeft w:val="0"/>
              <w:marRight w:val="0"/>
              <w:marTop w:val="0"/>
              <w:marBottom w:val="0"/>
              <w:divBdr>
                <w:top w:val="none" w:sz="0" w:space="0" w:color="auto"/>
                <w:left w:val="none" w:sz="0" w:space="0" w:color="auto"/>
                <w:bottom w:val="none" w:sz="0" w:space="0" w:color="auto"/>
                <w:right w:val="none" w:sz="0" w:space="0" w:color="auto"/>
              </w:divBdr>
            </w:div>
          </w:divsChild>
        </w:div>
        <w:div w:id="1739357551">
          <w:marLeft w:val="0"/>
          <w:marRight w:val="0"/>
          <w:marTop w:val="0"/>
          <w:marBottom w:val="0"/>
          <w:divBdr>
            <w:top w:val="none" w:sz="0" w:space="0" w:color="auto"/>
            <w:left w:val="none" w:sz="0" w:space="0" w:color="auto"/>
            <w:bottom w:val="none" w:sz="0" w:space="0" w:color="auto"/>
            <w:right w:val="none" w:sz="0" w:space="0" w:color="auto"/>
          </w:divBdr>
          <w:divsChild>
            <w:div w:id="640034828">
              <w:marLeft w:val="0"/>
              <w:marRight w:val="0"/>
              <w:marTop w:val="0"/>
              <w:marBottom w:val="0"/>
              <w:divBdr>
                <w:top w:val="none" w:sz="0" w:space="0" w:color="auto"/>
                <w:left w:val="none" w:sz="0" w:space="0" w:color="auto"/>
                <w:bottom w:val="none" w:sz="0" w:space="0" w:color="auto"/>
                <w:right w:val="none" w:sz="0" w:space="0" w:color="auto"/>
              </w:divBdr>
            </w:div>
          </w:divsChild>
        </w:div>
        <w:div w:id="1747412368">
          <w:marLeft w:val="0"/>
          <w:marRight w:val="0"/>
          <w:marTop w:val="0"/>
          <w:marBottom w:val="0"/>
          <w:divBdr>
            <w:top w:val="none" w:sz="0" w:space="0" w:color="auto"/>
            <w:left w:val="none" w:sz="0" w:space="0" w:color="auto"/>
            <w:bottom w:val="none" w:sz="0" w:space="0" w:color="auto"/>
            <w:right w:val="none" w:sz="0" w:space="0" w:color="auto"/>
          </w:divBdr>
          <w:divsChild>
            <w:div w:id="2027636583">
              <w:marLeft w:val="0"/>
              <w:marRight w:val="0"/>
              <w:marTop w:val="0"/>
              <w:marBottom w:val="0"/>
              <w:divBdr>
                <w:top w:val="none" w:sz="0" w:space="0" w:color="auto"/>
                <w:left w:val="none" w:sz="0" w:space="0" w:color="auto"/>
                <w:bottom w:val="none" w:sz="0" w:space="0" w:color="auto"/>
                <w:right w:val="none" w:sz="0" w:space="0" w:color="auto"/>
              </w:divBdr>
            </w:div>
          </w:divsChild>
        </w:div>
        <w:div w:id="1758163624">
          <w:marLeft w:val="0"/>
          <w:marRight w:val="0"/>
          <w:marTop w:val="0"/>
          <w:marBottom w:val="0"/>
          <w:divBdr>
            <w:top w:val="none" w:sz="0" w:space="0" w:color="auto"/>
            <w:left w:val="none" w:sz="0" w:space="0" w:color="auto"/>
            <w:bottom w:val="none" w:sz="0" w:space="0" w:color="auto"/>
            <w:right w:val="none" w:sz="0" w:space="0" w:color="auto"/>
          </w:divBdr>
          <w:divsChild>
            <w:div w:id="666715293">
              <w:marLeft w:val="0"/>
              <w:marRight w:val="0"/>
              <w:marTop w:val="0"/>
              <w:marBottom w:val="0"/>
              <w:divBdr>
                <w:top w:val="none" w:sz="0" w:space="0" w:color="auto"/>
                <w:left w:val="none" w:sz="0" w:space="0" w:color="auto"/>
                <w:bottom w:val="none" w:sz="0" w:space="0" w:color="auto"/>
                <w:right w:val="none" w:sz="0" w:space="0" w:color="auto"/>
              </w:divBdr>
            </w:div>
          </w:divsChild>
        </w:div>
        <w:div w:id="1760172417">
          <w:marLeft w:val="0"/>
          <w:marRight w:val="0"/>
          <w:marTop w:val="0"/>
          <w:marBottom w:val="0"/>
          <w:divBdr>
            <w:top w:val="none" w:sz="0" w:space="0" w:color="auto"/>
            <w:left w:val="none" w:sz="0" w:space="0" w:color="auto"/>
            <w:bottom w:val="none" w:sz="0" w:space="0" w:color="auto"/>
            <w:right w:val="none" w:sz="0" w:space="0" w:color="auto"/>
          </w:divBdr>
          <w:divsChild>
            <w:div w:id="825169404">
              <w:marLeft w:val="0"/>
              <w:marRight w:val="0"/>
              <w:marTop w:val="0"/>
              <w:marBottom w:val="0"/>
              <w:divBdr>
                <w:top w:val="none" w:sz="0" w:space="0" w:color="auto"/>
                <w:left w:val="none" w:sz="0" w:space="0" w:color="auto"/>
                <w:bottom w:val="none" w:sz="0" w:space="0" w:color="auto"/>
                <w:right w:val="none" w:sz="0" w:space="0" w:color="auto"/>
              </w:divBdr>
            </w:div>
          </w:divsChild>
        </w:div>
        <w:div w:id="1772966042">
          <w:marLeft w:val="0"/>
          <w:marRight w:val="0"/>
          <w:marTop w:val="0"/>
          <w:marBottom w:val="0"/>
          <w:divBdr>
            <w:top w:val="none" w:sz="0" w:space="0" w:color="auto"/>
            <w:left w:val="none" w:sz="0" w:space="0" w:color="auto"/>
            <w:bottom w:val="none" w:sz="0" w:space="0" w:color="auto"/>
            <w:right w:val="none" w:sz="0" w:space="0" w:color="auto"/>
          </w:divBdr>
          <w:divsChild>
            <w:div w:id="2005162116">
              <w:marLeft w:val="0"/>
              <w:marRight w:val="0"/>
              <w:marTop w:val="0"/>
              <w:marBottom w:val="0"/>
              <w:divBdr>
                <w:top w:val="none" w:sz="0" w:space="0" w:color="auto"/>
                <w:left w:val="none" w:sz="0" w:space="0" w:color="auto"/>
                <w:bottom w:val="none" w:sz="0" w:space="0" w:color="auto"/>
                <w:right w:val="none" w:sz="0" w:space="0" w:color="auto"/>
              </w:divBdr>
            </w:div>
          </w:divsChild>
        </w:div>
        <w:div w:id="1787582753">
          <w:marLeft w:val="0"/>
          <w:marRight w:val="0"/>
          <w:marTop w:val="0"/>
          <w:marBottom w:val="0"/>
          <w:divBdr>
            <w:top w:val="none" w:sz="0" w:space="0" w:color="auto"/>
            <w:left w:val="none" w:sz="0" w:space="0" w:color="auto"/>
            <w:bottom w:val="none" w:sz="0" w:space="0" w:color="auto"/>
            <w:right w:val="none" w:sz="0" w:space="0" w:color="auto"/>
          </w:divBdr>
          <w:divsChild>
            <w:div w:id="884030164">
              <w:marLeft w:val="0"/>
              <w:marRight w:val="0"/>
              <w:marTop w:val="0"/>
              <w:marBottom w:val="0"/>
              <w:divBdr>
                <w:top w:val="none" w:sz="0" w:space="0" w:color="auto"/>
                <w:left w:val="none" w:sz="0" w:space="0" w:color="auto"/>
                <w:bottom w:val="none" w:sz="0" w:space="0" w:color="auto"/>
                <w:right w:val="none" w:sz="0" w:space="0" w:color="auto"/>
              </w:divBdr>
            </w:div>
          </w:divsChild>
        </w:div>
        <w:div w:id="1790934841">
          <w:marLeft w:val="0"/>
          <w:marRight w:val="0"/>
          <w:marTop w:val="0"/>
          <w:marBottom w:val="0"/>
          <w:divBdr>
            <w:top w:val="none" w:sz="0" w:space="0" w:color="auto"/>
            <w:left w:val="none" w:sz="0" w:space="0" w:color="auto"/>
            <w:bottom w:val="none" w:sz="0" w:space="0" w:color="auto"/>
            <w:right w:val="none" w:sz="0" w:space="0" w:color="auto"/>
          </w:divBdr>
          <w:divsChild>
            <w:div w:id="1239484739">
              <w:marLeft w:val="0"/>
              <w:marRight w:val="0"/>
              <w:marTop w:val="0"/>
              <w:marBottom w:val="0"/>
              <w:divBdr>
                <w:top w:val="none" w:sz="0" w:space="0" w:color="auto"/>
                <w:left w:val="none" w:sz="0" w:space="0" w:color="auto"/>
                <w:bottom w:val="none" w:sz="0" w:space="0" w:color="auto"/>
                <w:right w:val="none" w:sz="0" w:space="0" w:color="auto"/>
              </w:divBdr>
            </w:div>
          </w:divsChild>
        </w:div>
        <w:div w:id="1792750017">
          <w:marLeft w:val="0"/>
          <w:marRight w:val="0"/>
          <w:marTop w:val="0"/>
          <w:marBottom w:val="0"/>
          <w:divBdr>
            <w:top w:val="none" w:sz="0" w:space="0" w:color="auto"/>
            <w:left w:val="none" w:sz="0" w:space="0" w:color="auto"/>
            <w:bottom w:val="none" w:sz="0" w:space="0" w:color="auto"/>
            <w:right w:val="none" w:sz="0" w:space="0" w:color="auto"/>
          </w:divBdr>
          <w:divsChild>
            <w:div w:id="447965304">
              <w:marLeft w:val="0"/>
              <w:marRight w:val="0"/>
              <w:marTop w:val="0"/>
              <w:marBottom w:val="0"/>
              <w:divBdr>
                <w:top w:val="none" w:sz="0" w:space="0" w:color="auto"/>
                <w:left w:val="none" w:sz="0" w:space="0" w:color="auto"/>
                <w:bottom w:val="none" w:sz="0" w:space="0" w:color="auto"/>
                <w:right w:val="none" w:sz="0" w:space="0" w:color="auto"/>
              </w:divBdr>
            </w:div>
          </w:divsChild>
        </w:div>
        <w:div w:id="1801067653">
          <w:marLeft w:val="0"/>
          <w:marRight w:val="0"/>
          <w:marTop w:val="0"/>
          <w:marBottom w:val="0"/>
          <w:divBdr>
            <w:top w:val="none" w:sz="0" w:space="0" w:color="auto"/>
            <w:left w:val="none" w:sz="0" w:space="0" w:color="auto"/>
            <w:bottom w:val="none" w:sz="0" w:space="0" w:color="auto"/>
            <w:right w:val="none" w:sz="0" w:space="0" w:color="auto"/>
          </w:divBdr>
          <w:divsChild>
            <w:div w:id="1521359863">
              <w:marLeft w:val="0"/>
              <w:marRight w:val="0"/>
              <w:marTop w:val="0"/>
              <w:marBottom w:val="0"/>
              <w:divBdr>
                <w:top w:val="none" w:sz="0" w:space="0" w:color="auto"/>
                <w:left w:val="none" w:sz="0" w:space="0" w:color="auto"/>
                <w:bottom w:val="none" w:sz="0" w:space="0" w:color="auto"/>
                <w:right w:val="none" w:sz="0" w:space="0" w:color="auto"/>
              </w:divBdr>
            </w:div>
          </w:divsChild>
        </w:div>
        <w:div w:id="1822429184">
          <w:marLeft w:val="0"/>
          <w:marRight w:val="0"/>
          <w:marTop w:val="0"/>
          <w:marBottom w:val="0"/>
          <w:divBdr>
            <w:top w:val="none" w:sz="0" w:space="0" w:color="auto"/>
            <w:left w:val="none" w:sz="0" w:space="0" w:color="auto"/>
            <w:bottom w:val="none" w:sz="0" w:space="0" w:color="auto"/>
            <w:right w:val="none" w:sz="0" w:space="0" w:color="auto"/>
          </w:divBdr>
          <w:divsChild>
            <w:div w:id="1386875254">
              <w:marLeft w:val="0"/>
              <w:marRight w:val="0"/>
              <w:marTop w:val="0"/>
              <w:marBottom w:val="0"/>
              <w:divBdr>
                <w:top w:val="none" w:sz="0" w:space="0" w:color="auto"/>
                <w:left w:val="none" w:sz="0" w:space="0" w:color="auto"/>
                <w:bottom w:val="none" w:sz="0" w:space="0" w:color="auto"/>
                <w:right w:val="none" w:sz="0" w:space="0" w:color="auto"/>
              </w:divBdr>
            </w:div>
          </w:divsChild>
        </w:div>
        <w:div w:id="1837646815">
          <w:marLeft w:val="0"/>
          <w:marRight w:val="0"/>
          <w:marTop w:val="0"/>
          <w:marBottom w:val="0"/>
          <w:divBdr>
            <w:top w:val="none" w:sz="0" w:space="0" w:color="auto"/>
            <w:left w:val="none" w:sz="0" w:space="0" w:color="auto"/>
            <w:bottom w:val="none" w:sz="0" w:space="0" w:color="auto"/>
            <w:right w:val="none" w:sz="0" w:space="0" w:color="auto"/>
          </w:divBdr>
          <w:divsChild>
            <w:div w:id="1350136616">
              <w:marLeft w:val="0"/>
              <w:marRight w:val="0"/>
              <w:marTop w:val="0"/>
              <w:marBottom w:val="0"/>
              <w:divBdr>
                <w:top w:val="none" w:sz="0" w:space="0" w:color="auto"/>
                <w:left w:val="none" w:sz="0" w:space="0" w:color="auto"/>
                <w:bottom w:val="none" w:sz="0" w:space="0" w:color="auto"/>
                <w:right w:val="none" w:sz="0" w:space="0" w:color="auto"/>
              </w:divBdr>
            </w:div>
          </w:divsChild>
        </w:div>
        <w:div w:id="1847548820">
          <w:marLeft w:val="0"/>
          <w:marRight w:val="0"/>
          <w:marTop w:val="0"/>
          <w:marBottom w:val="0"/>
          <w:divBdr>
            <w:top w:val="none" w:sz="0" w:space="0" w:color="auto"/>
            <w:left w:val="none" w:sz="0" w:space="0" w:color="auto"/>
            <w:bottom w:val="none" w:sz="0" w:space="0" w:color="auto"/>
            <w:right w:val="none" w:sz="0" w:space="0" w:color="auto"/>
          </w:divBdr>
          <w:divsChild>
            <w:div w:id="1896430799">
              <w:marLeft w:val="0"/>
              <w:marRight w:val="0"/>
              <w:marTop w:val="0"/>
              <w:marBottom w:val="0"/>
              <w:divBdr>
                <w:top w:val="none" w:sz="0" w:space="0" w:color="auto"/>
                <w:left w:val="none" w:sz="0" w:space="0" w:color="auto"/>
                <w:bottom w:val="none" w:sz="0" w:space="0" w:color="auto"/>
                <w:right w:val="none" w:sz="0" w:space="0" w:color="auto"/>
              </w:divBdr>
            </w:div>
          </w:divsChild>
        </w:div>
        <w:div w:id="1865049411">
          <w:marLeft w:val="0"/>
          <w:marRight w:val="0"/>
          <w:marTop w:val="0"/>
          <w:marBottom w:val="0"/>
          <w:divBdr>
            <w:top w:val="none" w:sz="0" w:space="0" w:color="auto"/>
            <w:left w:val="none" w:sz="0" w:space="0" w:color="auto"/>
            <w:bottom w:val="none" w:sz="0" w:space="0" w:color="auto"/>
            <w:right w:val="none" w:sz="0" w:space="0" w:color="auto"/>
          </w:divBdr>
          <w:divsChild>
            <w:div w:id="1765492310">
              <w:marLeft w:val="0"/>
              <w:marRight w:val="0"/>
              <w:marTop w:val="0"/>
              <w:marBottom w:val="0"/>
              <w:divBdr>
                <w:top w:val="none" w:sz="0" w:space="0" w:color="auto"/>
                <w:left w:val="none" w:sz="0" w:space="0" w:color="auto"/>
                <w:bottom w:val="none" w:sz="0" w:space="0" w:color="auto"/>
                <w:right w:val="none" w:sz="0" w:space="0" w:color="auto"/>
              </w:divBdr>
            </w:div>
          </w:divsChild>
        </w:div>
        <w:div w:id="1901404171">
          <w:marLeft w:val="0"/>
          <w:marRight w:val="0"/>
          <w:marTop w:val="0"/>
          <w:marBottom w:val="0"/>
          <w:divBdr>
            <w:top w:val="none" w:sz="0" w:space="0" w:color="auto"/>
            <w:left w:val="none" w:sz="0" w:space="0" w:color="auto"/>
            <w:bottom w:val="none" w:sz="0" w:space="0" w:color="auto"/>
            <w:right w:val="none" w:sz="0" w:space="0" w:color="auto"/>
          </w:divBdr>
          <w:divsChild>
            <w:div w:id="1656883367">
              <w:marLeft w:val="0"/>
              <w:marRight w:val="0"/>
              <w:marTop w:val="0"/>
              <w:marBottom w:val="0"/>
              <w:divBdr>
                <w:top w:val="none" w:sz="0" w:space="0" w:color="auto"/>
                <w:left w:val="none" w:sz="0" w:space="0" w:color="auto"/>
                <w:bottom w:val="none" w:sz="0" w:space="0" w:color="auto"/>
                <w:right w:val="none" w:sz="0" w:space="0" w:color="auto"/>
              </w:divBdr>
            </w:div>
          </w:divsChild>
        </w:div>
        <w:div w:id="1918634383">
          <w:marLeft w:val="0"/>
          <w:marRight w:val="0"/>
          <w:marTop w:val="0"/>
          <w:marBottom w:val="0"/>
          <w:divBdr>
            <w:top w:val="none" w:sz="0" w:space="0" w:color="auto"/>
            <w:left w:val="none" w:sz="0" w:space="0" w:color="auto"/>
            <w:bottom w:val="none" w:sz="0" w:space="0" w:color="auto"/>
            <w:right w:val="none" w:sz="0" w:space="0" w:color="auto"/>
          </w:divBdr>
          <w:divsChild>
            <w:div w:id="1483430070">
              <w:marLeft w:val="0"/>
              <w:marRight w:val="0"/>
              <w:marTop w:val="0"/>
              <w:marBottom w:val="0"/>
              <w:divBdr>
                <w:top w:val="none" w:sz="0" w:space="0" w:color="auto"/>
                <w:left w:val="none" w:sz="0" w:space="0" w:color="auto"/>
                <w:bottom w:val="none" w:sz="0" w:space="0" w:color="auto"/>
                <w:right w:val="none" w:sz="0" w:space="0" w:color="auto"/>
              </w:divBdr>
            </w:div>
          </w:divsChild>
        </w:div>
        <w:div w:id="1958170641">
          <w:marLeft w:val="0"/>
          <w:marRight w:val="0"/>
          <w:marTop w:val="0"/>
          <w:marBottom w:val="0"/>
          <w:divBdr>
            <w:top w:val="none" w:sz="0" w:space="0" w:color="auto"/>
            <w:left w:val="none" w:sz="0" w:space="0" w:color="auto"/>
            <w:bottom w:val="none" w:sz="0" w:space="0" w:color="auto"/>
            <w:right w:val="none" w:sz="0" w:space="0" w:color="auto"/>
          </w:divBdr>
          <w:divsChild>
            <w:div w:id="783236367">
              <w:marLeft w:val="0"/>
              <w:marRight w:val="0"/>
              <w:marTop w:val="0"/>
              <w:marBottom w:val="0"/>
              <w:divBdr>
                <w:top w:val="none" w:sz="0" w:space="0" w:color="auto"/>
                <w:left w:val="none" w:sz="0" w:space="0" w:color="auto"/>
                <w:bottom w:val="none" w:sz="0" w:space="0" w:color="auto"/>
                <w:right w:val="none" w:sz="0" w:space="0" w:color="auto"/>
              </w:divBdr>
            </w:div>
          </w:divsChild>
        </w:div>
        <w:div w:id="1963226466">
          <w:marLeft w:val="0"/>
          <w:marRight w:val="0"/>
          <w:marTop w:val="0"/>
          <w:marBottom w:val="0"/>
          <w:divBdr>
            <w:top w:val="none" w:sz="0" w:space="0" w:color="auto"/>
            <w:left w:val="none" w:sz="0" w:space="0" w:color="auto"/>
            <w:bottom w:val="none" w:sz="0" w:space="0" w:color="auto"/>
            <w:right w:val="none" w:sz="0" w:space="0" w:color="auto"/>
          </w:divBdr>
          <w:divsChild>
            <w:div w:id="1468860846">
              <w:marLeft w:val="0"/>
              <w:marRight w:val="0"/>
              <w:marTop w:val="0"/>
              <w:marBottom w:val="0"/>
              <w:divBdr>
                <w:top w:val="none" w:sz="0" w:space="0" w:color="auto"/>
                <w:left w:val="none" w:sz="0" w:space="0" w:color="auto"/>
                <w:bottom w:val="none" w:sz="0" w:space="0" w:color="auto"/>
                <w:right w:val="none" w:sz="0" w:space="0" w:color="auto"/>
              </w:divBdr>
            </w:div>
          </w:divsChild>
        </w:div>
        <w:div w:id="2015912598">
          <w:marLeft w:val="0"/>
          <w:marRight w:val="0"/>
          <w:marTop w:val="0"/>
          <w:marBottom w:val="0"/>
          <w:divBdr>
            <w:top w:val="none" w:sz="0" w:space="0" w:color="auto"/>
            <w:left w:val="none" w:sz="0" w:space="0" w:color="auto"/>
            <w:bottom w:val="none" w:sz="0" w:space="0" w:color="auto"/>
            <w:right w:val="none" w:sz="0" w:space="0" w:color="auto"/>
          </w:divBdr>
          <w:divsChild>
            <w:div w:id="1638954099">
              <w:marLeft w:val="0"/>
              <w:marRight w:val="0"/>
              <w:marTop w:val="0"/>
              <w:marBottom w:val="0"/>
              <w:divBdr>
                <w:top w:val="none" w:sz="0" w:space="0" w:color="auto"/>
                <w:left w:val="none" w:sz="0" w:space="0" w:color="auto"/>
                <w:bottom w:val="none" w:sz="0" w:space="0" w:color="auto"/>
                <w:right w:val="none" w:sz="0" w:space="0" w:color="auto"/>
              </w:divBdr>
            </w:div>
          </w:divsChild>
        </w:div>
        <w:div w:id="2016372257">
          <w:marLeft w:val="0"/>
          <w:marRight w:val="0"/>
          <w:marTop w:val="0"/>
          <w:marBottom w:val="0"/>
          <w:divBdr>
            <w:top w:val="none" w:sz="0" w:space="0" w:color="auto"/>
            <w:left w:val="none" w:sz="0" w:space="0" w:color="auto"/>
            <w:bottom w:val="none" w:sz="0" w:space="0" w:color="auto"/>
            <w:right w:val="none" w:sz="0" w:space="0" w:color="auto"/>
          </w:divBdr>
          <w:divsChild>
            <w:div w:id="961886025">
              <w:marLeft w:val="0"/>
              <w:marRight w:val="0"/>
              <w:marTop w:val="0"/>
              <w:marBottom w:val="0"/>
              <w:divBdr>
                <w:top w:val="none" w:sz="0" w:space="0" w:color="auto"/>
                <w:left w:val="none" w:sz="0" w:space="0" w:color="auto"/>
                <w:bottom w:val="none" w:sz="0" w:space="0" w:color="auto"/>
                <w:right w:val="none" w:sz="0" w:space="0" w:color="auto"/>
              </w:divBdr>
            </w:div>
          </w:divsChild>
        </w:div>
        <w:div w:id="2024739640">
          <w:marLeft w:val="0"/>
          <w:marRight w:val="0"/>
          <w:marTop w:val="0"/>
          <w:marBottom w:val="0"/>
          <w:divBdr>
            <w:top w:val="none" w:sz="0" w:space="0" w:color="auto"/>
            <w:left w:val="none" w:sz="0" w:space="0" w:color="auto"/>
            <w:bottom w:val="none" w:sz="0" w:space="0" w:color="auto"/>
            <w:right w:val="none" w:sz="0" w:space="0" w:color="auto"/>
          </w:divBdr>
          <w:divsChild>
            <w:div w:id="1749888733">
              <w:marLeft w:val="0"/>
              <w:marRight w:val="0"/>
              <w:marTop w:val="0"/>
              <w:marBottom w:val="0"/>
              <w:divBdr>
                <w:top w:val="none" w:sz="0" w:space="0" w:color="auto"/>
                <w:left w:val="none" w:sz="0" w:space="0" w:color="auto"/>
                <w:bottom w:val="none" w:sz="0" w:space="0" w:color="auto"/>
                <w:right w:val="none" w:sz="0" w:space="0" w:color="auto"/>
              </w:divBdr>
            </w:div>
          </w:divsChild>
        </w:div>
        <w:div w:id="2026783632">
          <w:marLeft w:val="0"/>
          <w:marRight w:val="0"/>
          <w:marTop w:val="0"/>
          <w:marBottom w:val="0"/>
          <w:divBdr>
            <w:top w:val="none" w:sz="0" w:space="0" w:color="auto"/>
            <w:left w:val="none" w:sz="0" w:space="0" w:color="auto"/>
            <w:bottom w:val="none" w:sz="0" w:space="0" w:color="auto"/>
            <w:right w:val="none" w:sz="0" w:space="0" w:color="auto"/>
          </w:divBdr>
          <w:divsChild>
            <w:div w:id="112677944">
              <w:marLeft w:val="0"/>
              <w:marRight w:val="0"/>
              <w:marTop w:val="0"/>
              <w:marBottom w:val="0"/>
              <w:divBdr>
                <w:top w:val="none" w:sz="0" w:space="0" w:color="auto"/>
                <w:left w:val="none" w:sz="0" w:space="0" w:color="auto"/>
                <w:bottom w:val="none" w:sz="0" w:space="0" w:color="auto"/>
                <w:right w:val="none" w:sz="0" w:space="0" w:color="auto"/>
              </w:divBdr>
            </w:div>
          </w:divsChild>
        </w:div>
        <w:div w:id="2040813141">
          <w:marLeft w:val="0"/>
          <w:marRight w:val="0"/>
          <w:marTop w:val="0"/>
          <w:marBottom w:val="0"/>
          <w:divBdr>
            <w:top w:val="none" w:sz="0" w:space="0" w:color="auto"/>
            <w:left w:val="none" w:sz="0" w:space="0" w:color="auto"/>
            <w:bottom w:val="none" w:sz="0" w:space="0" w:color="auto"/>
            <w:right w:val="none" w:sz="0" w:space="0" w:color="auto"/>
          </w:divBdr>
          <w:divsChild>
            <w:div w:id="1886410294">
              <w:marLeft w:val="0"/>
              <w:marRight w:val="0"/>
              <w:marTop w:val="0"/>
              <w:marBottom w:val="0"/>
              <w:divBdr>
                <w:top w:val="none" w:sz="0" w:space="0" w:color="auto"/>
                <w:left w:val="none" w:sz="0" w:space="0" w:color="auto"/>
                <w:bottom w:val="none" w:sz="0" w:space="0" w:color="auto"/>
                <w:right w:val="none" w:sz="0" w:space="0" w:color="auto"/>
              </w:divBdr>
            </w:div>
          </w:divsChild>
        </w:div>
        <w:div w:id="2042128819">
          <w:marLeft w:val="0"/>
          <w:marRight w:val="0"/>
          <w:marTop w:val="0"/>
          <w:marBottom w:val="0"/>
          <w:divBdr>
            <w:top w:val="none" w:sz="0" w:space="0" w:color="auto"/>
            <w:left w:val="none" w:sz="0" w:space="0" w:color="auto"/>
            <w:bottom w:val="none" w:sz="0" w:space="0" w:color="auto"/>
            <w:right w:val="none" w:sz="0" w:space="0" w:color="auto"/>
          </w:divBdr>
          <w:divsChild>
            <w:div w:id="696582758">
              <w:marLeft w:val="0"/>
              <w:marRight w:val="0"/>
              <w:marTop w:val="0"/>
              <w:marBottom w:val="0"/>
              <w:divBdr>
                <w:top w:val="none" w:sz="0" w:space="0" w:color="auto"/>
                <w:left w:val="none" w:sz="0" w:space="0" w:color="auto"/>
                <w:bottom w:val="none" w:sz="0" w:space="0" w:color="auto"/>
                <w:right w:val="none" w:sz="0" w:space="0" w:color="auto"/>
              </w:divBdr>
            </w:div>
          </w:divsChild>
        </w:div>
        <w:div w:id="2053848628">
          <w:marLeft w:val="0"/>
          <w:marRight w:val="0"/>
          <w:marTop w:val="0"/>
          <w:marBottom w:val="0"/>
          <w:divBdr>
            <w:top w:val="none" w:sz="0" w:space="0" w:color="auto"/>
            <w:left w:val="none" w:sz="0" w:space="0" w:color="auto"/>
            <w:bottom w:val="none" w:sz="0" w:space="0" w:color="auto"/>
            <w:right w:val="none" w:sz="0" w:space="0" w:color="auto"/>
          </w:divBdr>
          <w:divsChild>
            <w:div w:id="1384477307">
              <w:marLeft w:val="0"/>
              <w:marRight w:val="0"/>
              <w:marTop w:val="0"/>
              <w:marBottom w:val="0"/>
              <w:divBdr>
                <w:top w:val="none" w:sz="0" w:space="0" w:color="auto"/>
                <w:left w:val="none" w:sz="0" w:space="0" w:color="auto"/>
                <w:bottom w:val="none" w:sz="0" w:space="0" w:color="auto"/>
                <w:right w:val="none" w:sz="0" w:space="0" w:color="auto"/>
              </w:divBdr>
            </w:div>
          </w:divsChild>
        </w:div>
        <w:div w:id="2079817470">
          <w:marLeft w:val="0"/>
          <w:marRight w:val="0"/>
          <w:marTop w:val="0"/>
          <w:marBottom w:val="0"/>
          <w:divBdr>
            <w:top w:val="none" w:sz="0" w:space="0" w:color="auto"/>
            <w:left w:val="none" w:sz="0" w:space="0" w:color="auto"/>
            <w:bottom w:val="none" w:sz="0" w:space="0" w:color="auto"/>
            <w:right w:val="none" w:sz="0" w:space="0" w:color="auto"/>
          </w:divBdr>
          <w:divsChild>
            <w:div w:id="1591770961">
              <w:marLeft w:val="0"/>
              <w:marRight w:val="0"/>
              <w:marTop w:val="0"/>
              <w:marBottom w:val="0"/>
              <w:divBdr>
                <w:top w:val="none" w:sz="0" w:space="0" w:color="auto"/>
                <w:left w:val="none" w:sz="0" w:space="0" w:color="auto"/>
                <w:bottom w:val="none" w:sz="0" w:space="0" w:color="auto"/>
                <w:right w:val="none" w:sz="0" w:space="0" w:color="auto"/>
              </w:divBdr>
            </w:div>
          </w:divsChild>
        </w:div>
        <w:div w:id="2094662659">
          <w:marLeft w:val="0"/>
          <w:marRight w:val="0"/>
          <w:marTop w:val="0"/>
          <w:marBottom w:val="0"/>
          <w:divBdr>
            <w:top w:val="none" w:sz="0" w:space="0" w:color="auto"/>
            <w:left w:val="none" w:sz="0" w:space="0" w:color="auto"/>
            <w:bottom w:val="none" w:sz="0" w:space="0" w:color="auto"/>
            <w:right w:val="none" w:sz="0" w:space="0" w:color="auto"/>
          </w:divBdr>
          <w:divsChild>
            <w:div w:id="470710374">
              <w:marLeft w:val="0"/>
              <w:marRight w:val="0"/>
              <w:marTop w:val="0"/>
              <w:marBottom w:val="0"/>
              <w:divBdr>
                <w:top w:val="none" w:sz="0" w:space="0" w:color="auto"/>
                <w:left w:val="none" w:sz="0" w:space="0" w:color="auto"/>
                <w:bottom w:val="none" w:sz="0" w:space="0" w:color="auto"/>
                <w:right w:val="none" w:sz="0" w:space="0" w:color="auto"/>
              </w:divBdr>
            </w:div>
          </w:divsChild>
        </w:div>
        <w:div w:id="2111582299">
          <w:marLeft w:val="0"/>
          <w:marRight w:val="0"/>
          <w:marTop w:val="0"/>
          <w:marBottom w:val="0"/>
          <w:divBdr>
            <w:top w:val="none" w:sz="0" w:space="0" w:color="auto"/>
            <w:left w:val="none" w:sz="0" w:space="0" w:color="auto"/>
            <w:bottom w:val="none" w:sz="0" w:space="0" w:color="auto"/>
            <w:right w:val="none" w:sz="0" w:space="0" w:color="auto"/>
          </w:divBdr>
          <w:divsChild>
            <w:div w:id="3160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7366">
      <w:bodyDiv w:val="1"/>
      <w:marLeft w:val="0"/>
      <w:marRight w:val="0"/>
      <w:marTop w:val="0"/>
      <w:marBottom w:val="0"/>
      <w:divBdr>
        <w:top w:val="none" w:sz="0" w:space="0" w:color="auto"/>
        <w:left w:val="none" w:sz="0" w:space="0" w:color="auto"/>
        <w:bottom w:val="none" w:sz="0" w:space="0" w:color="auto"/>
        <w:right w:val="none" w:sz="0" w:space="0" w:color="auto"/>
      </w:divBdr>
    </w:div>
    <w:div w:id="211065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nationalarchives.gov.uk/doc/open-government-licence/version/3/" TargetMode="External"/><Relationship Id="rId26" Type="http://schemas.openxmlformats.org/officeDocument/2006/relationships/hyperlink" Target="https://www.gov.uk/government/publications/managing-public-money" TargetMode="External"/><Relationship Id="rId39" Type="http://schemas.openxmlformats.org/officeDocument/2006/relationships/hyperlink" Target="https://www.gov.uk/government/collections/cabinet-office-controls" TargetMode="External"/><Relationship Id="rId21" Type="http://schemas.openxmlformats.org/officeDocument/2006/relationships/hyperlink" Target="https://www.gov.uk/government/publications/senior-civil-service-pay-and-reward" TargetMode="External"/><Relationship Id="rId34" Type="http://schemas.openxmlformats.org/officeDocument/2006/relationships/hyperlink" Target="https://www.gov.uk/government/publications/treasury-approvals-process-for-programmes-and-projects" TargetMode="External"/><Relationship Id="rId42" Type="http://schemas.openxmlformats.org/officeDocument/2006/relationships/hyperlink" Target="https://www.gov.uk/government/publications/governance-code-for-public-appointments" TargetMode="External"/><Relationship Id="rId47" Type="http://schemas.openxmlformats.org/officeDocument/2006/relationships/hyperlink" Target="http://www.gov.uk/government/collections/civil-service-pay-guidance" TargetMode="External"/><Relationship Id="rId50" Type="http://schemas.openxmlformats.org/officeDocument/2006/relationships/hyperlink" Target="http://www.gov.uk/guidance/equality-act-2010-guidance" TargetMode="External"/><Relationship Id="rId55" Type="http://schemas.openxmlformats.org/officeDocument/2006/relationships/hyperlink" Target="https://www.nhsx.nhs.uk/information-governance/guidance/records-management-code/" TargetMode="External"/><Relationship Id="rId63" Type="http://schemas.openxmlformats.org/officeDocument/2006/relationships/hyperlink" Target="https://www.ombudsman.org.uk/about-us/our-principles" TargetMode="External"/><Relationship Id="rId68" Type="http://schemas.openxmlformats.org/officeDocument/2006/relationships/hyperlink" Target="http://www.gov.uk/government/collections/fraud-error-debt-and-grants-function" TargetMode="External"/><Relationship Id="rId7" Type="http://schemas.openxmlformats.org/officeDocument/2006/relationships/settings" Target="settings.xml"/><Relationship Id="rId71" Type="http://schemas.openxmlformats.org/officeDocument/2006/relationships/hyperlink" Target="https://www.gov.uk/government/publications/accounting-officer-system-statements"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gov.uk/government/collections/dao-letters" TargetMode="External"/><Relationship Id="rId11" Type="http://schemas.openxmlformats.org/officeDocument/2006/relationships/image" Target="media/image1.png"/><Relationship Id="rId24" Type="http://schemas.openxmlformats.org/officeDocument/2006/relationships/hyperlink" Target="https://www.gov.uk/government/publications/code-of-conduct-for-board-members-of-public-bodies" TargetMode="External"/><Relationship Id="rId32" Type="http://schemas.openxmlformats.org/officeDocument/2006/relationships/hyperlink" Target="https://www.gov.uk/government/publications/management-of-risk-in-government-framework" TargetMode="External"/><Relationship Id="rId37" Type="http://schemas.openxmlformats.org/officeDocument/2006/relationships/hyperlink" Target="https://www.gov.uk/guidance/public-sector-procurement-policy" TargetMode="External"/><Relationship Id="rId40" Type="http://schemas.openxmlformats.org/officeDocument/2006/relationships/hyperlink" Target="https://assets.publishing.service.gov.uk/government/uploads/system/uploads/attachment_data/file/1040283/Transparency_in_Supply_Chains_A_Practical_Guide_2017_final.pdf" TargetMode="External"/><Relationship Id="rId45" Type="http://schemas.openxmlformats.org/officeDocument/2006/relationships/hyperlink" Target="https://www.gov.uk/government/publications/civil-servants-terms-and-conditions" TargetMode="External"/><Relationship Id="rId53" Type="http://schemas.openxmlformats.org/officeDocument/2006/relationships/hyperlink" Target="https://www.gov.uk/government/publications/confidentiality-nhs-code-of-practice" TargetMode="External"/><Relationship Id="rId58" Type="http://schemas.openxmlformats.org/officeDocument/2006/relationships/hyperlink" Target="https://www.dsptoolkit.nhs.uk/" TargetMode="External"/><Relationship Id="rId66" Type="http://schemas.openxmlformats.org/officeDocument/2006/relationships/hyperlink" Target="http://www.gov.uk/government/organisations/infrastructure-and-projects-authority"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gov.uk/government/publications/corporate-governance-code-for-central-government-departments-2017" TargetMode="External"/><Relationship Id="rId28" Type="http://schemas.openxmlformats.org/officeDocument/2006/relationships/hyperlink" Target="http://www.gov.uk/government/collections/government-financial-reporting-manualfrem" TargetMode="External"/><Relationship Id="rId36" Type="http://schemas.openxmlformats.org/officeDocument/2006/relationships/hyperlink" Target="https://www.gov.uk/government/collections/cyber-security-guidance-for-business" TargetMode="External"/><Relationship Id="rId49" Type="http://schemas.openxmlformats.org/officeDocument/2006/relationships/hyperlink" Target="https://www.gov.uk/government/publications/whistleblowing-guidance-and-code-of-practice-for-employers" TargetMode="External"/><Relationship Id="rId57" Type="http://schemas.openxmlformats.org/officeDocument/2006/relationships/hyperlink" Target="https://www.dsptoolkit.nhs.uk/" TargetMode="External"/><Relationship Id="rId61" Type="http://schemas.openxmlformats.org/officeDocument/2006/relationships/hyperlink" Target="https://www.gov.uk/government/publications/freedom-of-information-code-of-practice" TargetMode="External"/><Relationship Id="rId10" Type="http://schemas.openxmlformats.org/officeDocument/2006/relationships/endnotes" Target="endnotes.xml"/><Relationship Id="rId19" Type="http://schemas.openxmlformats.org/officeDocument/2006/relationships/hyperlink" Target="https://www.gov.uk/dhsc" TargetMode="External"/><Relationship Id="rId31" Type="http://schemas.openxmlformats.org/officeDocument/2006/relationships/hyperlink" Target="http://www.gov.uk/government/publications/orange-book" TargetMode="External"/><Relationship Id="rId44" Type="http://schemas.openxmlformats.org/officeDocument/2006/relationships/hyperlink" Target="https://www.gov.uk/government/publications/public-bodies-non-executive-director-principles/12-principles-of-governance-for-all-public-body-neds" TargetMode="External"/><Relationship Id="rId52" Type="http://schemas.openxmlformats.org/officeDocument/2006/relationships/hyperlink" Target="https://www.gov.uk/government/collections/government-security" TargetMode="External"/><Relationship Id="rId60" Type="http://schemas.openxmlformats.org/officeDocument/2006/relationships/hyperlink" Target="https://ico.org.uk/for-organisations/guide-to-freedom-of-information/" TargetMode="External"/><Relationship Id="rId65" Type="http://schemas.openxmlformats.org/officeDocument/2006/relationships/hyperlink" Target="https://www.gov.uk/government/publications/civil-service-diversity-and-inclusion-strategy-2022-to-2025"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ov.uk/government/publications/executive-agencies-characteristics-and-governance" TargetMode="External"/><Relationship Id="rId27" Type="http://schemas.openxmlformats.org/officeDocument/2006/relationships/hyperlink" Target="https://www.gov.uk/government/collections/consolidated-budgeting-guidance" TargetMode="External"/><Relationship Id="rId30" Type="http://schemas.openxmlformats.org/officeDocument/2006/relationships/hyperlink" Target="https://www.gov.uk/government/collections/whole-ofgovernment-accounts" TargetMode="External"/><Relationship Id="rId35" Type="http://schemas.openxmlformats.org/officeDocument/2006/relationships/hyperlink" Target="https://www.gov.uk/government/publications/national-cyber-strategy-2022/national-cyber-security-strategy-2022" TargetMode="External"/><Relationship Id="rId43" Type="http://schemas.openxmlformats.org/officeDocument/2006/relationships/hyperlink" Target="https://www.gov.uk/government/publications/procurement-policy-note-0815-tax-arrangements-of-appointees" TargetMode="External"/><Relationship Id="rId48" Type="http://schemas.openxmlformats.org/officeDocument/2006/relationships/hyperlink" Target="https://www.gov.uk/government/publications/public-sector-pay-and-terms-guidance-note" TargetMode="External"/><Relationship Id="rId56" Type="http://schemas.openxmlformats.org/officeDocument/2006/relationships/hyperlink" Target="https://www.gov.uk/government/publications/records-management-code-of-practice-for-health-and-social-care" TargetMode="External"/><Relationship Id="rId64" Type="http://schemas.openxmlformats.org/officeDocument/2006/relationships/hyperlink" Target="http://www.gov.uk/government/publications/public-bodies-information-and-guidance" TargetMode="External"/><Relationship Id="rId69" Type="http://schemas.openxmlformats.org/officeDocument/2006/relationships/hyperlink" Target="http://www.gov.uk/government/publications/grants-standards" TargetMode="External"/><Relationship Id="rId8" Type="http://schemas.openxmlformats.org/officeDocument/2006/relationships/webSettings" Target="webSettings.xml"/><Relationship Id="rId51" Type="http://schemas.openxmlformats.org/officeDocument/2006/relationships/hyperlink" Target="https://www.gov.uk/government/collections/government-security"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v.uk/government/publications/partnerships-with-arms-length-bodies-code-of-good-practice" TargetMode="External"/><Relationship Id="rId33" Type="http://schemas.openxmlformats.org/officeDocument/2006/relationships/hyperlink" Target="http://www.gov.uk/government/publications/public-sector-internal-audit-standards" TargetMode="External"/><Relationship Id="rId38" Type="http://schemas.openxmlformats.org/officeDocument/2006/relationships/hyperlink" Target="https://www.gov.uk/government/collections/procurement-policy-notes" TargetMode="External"/><Relationship Id="rId46" Type="http://schemas.openxmlformats.org/officeDocument/2006/relationships/hyperlink" Target="http://www.gov.uk/government/publications/senior-civil-service-pay-and-reward" TargetMode="External"/><Relationship Id="rId59" Type="http://schemas.openxmlformats.org/officeDocument/2006/relationships/hyperlink" Target="http://www.legislation.gov.uk/ukpga/2000/36/contents" TargetMode="External"/><Relationship Id="rId67" Type="http://schemas.openxmlformats.org/officeDocument/2006/relationships/hyperlink" Target="http://www.gov.uk/government/organisations/government-digital-service" TargetMode="External"/><Relationship Id="rId20" Type="http://schemas.openxmlformats.org/officeDocument/2006/relationships/image" Target="media/image2.png"/><Relationship Id="rId41" Type="http://schemas.openxmlformats.org/officeDocument/2006/relationships/hyperlink" Target="https://publicappointmentscommissioner.independent.gov.uk/" TargetMode="External"/><Relationship Id="rId54" Type="http://schemas.openxmlformats.org/officeDocument/2006/relationships/hyperlink" Target="https://www.gov.uk/government/publications/confidentiality-nhs-code-of-practice" TargetMode="External"/><Relationship Id="rId62" Type="http://schemas.openxmlformats.org/officeDocument/2006/relationships/hyperlink" Target="https://www.gov.uk/government/publications/code-of-practice-on-the-management-of-records-issued-under-section-46-the-freedom-of-information-act-2000" TargetMode="External"/><Relationship Id="rId70" Type="http://schemas.openxmlformats.org/officeDocument/2006/relationships/hyperlink" Target="https://code.statisticsauthority.gov.uk/"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commercial-operating-standards-for-government" TargetMode="External"/><Relationship Id="rId13" Type="http://schemas.openxmlformats.org/officeDocument/2006/relationships/hyperlink" Target="https://www.gov.uk/government/publications/senior-civil-service-pay-and-reward" TargetMode="External"/><Relationship Id="rId3" Type="http://schemas.openxmlformats.org/officeDocument/2006/relationships/hyperlink" Target="https://eur03.safelinks.protection.outlook.com/?url=https%3A%2F%2Fwww.gov.uk%2Fgovernment%2Fpublications%2Fpartnerships-with-arms-length-bodies-code-of-good-practice&amp;data=05%7C01%7CAndrew.Haines%40dhsc.gov.uk%7C80b4f41f32e140f837a708dac19e2df4%7C61278c3091a84c318c1fef4de8973a1c%7C1%7C0%7C638035182357403053%7CUnknown%7CTWFpbGZsb3d8eyJWIjoiMC4wLjAwMDAiLCJQIjoiV2luMzIiLCJBTiI6Ik1haWwiLCJXVCI6Mn0%3D%7C3000%7C%7C%7C&amp;sdata=UgBC6FJeHUFUiR81sPToi%2BIX8FhA4JP7oDR71Q3K4sA%3D&amp;reserved=0" TargetMode="External"/><Relationship Id="rId7" Type="http://schemas.openxmlformats.org/officeDocument/2006/relationships/hyperlink" Target="https://www.gov.uk/government/organisations/medicines-and-healthcare-products-regulatory-agency/about/our-governance" TargetMode="External"/><Relationship Id="rId12" Type="http://schemas.openxmlformats.org/officeDocument/2006/relationships/hyperlink" Target="https://www.gov.uk/government/publications/civil-servants-terms-and-conditions" TargetMode="External"/><Relationship Id="rId2" Type="http://schemas.openxmlformats.org/officeDocument/2006/relationships/hyperlink" Target="https://www.gov.uk/government/publications/independent-medicines-and-medical-devices-safety-review-government-response" TargetMode="External"/><Relationship Id="rId16" Type="http://schemas.openxmlformats.org/officeDocument/2006/relationships/hyperlink" Target="https://www.gov.uk/government/publications/executive-agencies-characteristics-and-governance" TargetMode="External"/><Relationship Id="rId1" Type="http://schemas.openxmlformats.org/officeDocument/2006/relationships/hyperlink" Target="https://immdsreview.org.uk/" TargetMode="External"/><Relationship Id="rId6" Type="http://schemas.openxmlformats.org/officeDocument/2006/relationships/hyperlink" Target="https://www.gov.uk/government/collections/functional-standards" TargetMode="External"/><Relationship Id="rId11" Type="http://schemas.openxmlformats.org/officeDocument/2006/relationships/hyperlink" Target="https://www.gov.uk/government/publications/government-functional-standard-govs-013-counter-fraud" TargetMode="External"/><Relationship Id="rId5" Type="http://schemas.openxmlformats.org/officeDocument/2006/relationships/hyperlink" Target="https://www.gov.uk/government/publications/managing-public-money" TargetMode="External"/><Relationship Id="rId15" Type="http://schemas.openxmlformats.org/officeDocument/2006/relationships/hyperlink" Target="https://www.gov.uk/government/publications/public-sector-internal-audit-standards" TargetMode="External"/><Relationship Id="rId10" Type="http://schemas.openxmlformats.org/officeDocument/2006/relationships/hyperlink" Target="https://www.gov.uk/government/publications/orange-book" TargetMode="External"/><Relationship Id="rId4" Type="http://schemas.openxmlformats.org/officeDocument/2006/relationships/hyperlink" Target="https://www.gov.uk/government/publications/corporate-governance-code-for-central-government-departments-2017" TargetMode="External"/><Relationship Id="rId9" Type="http://schemas.openxmlformats.org/officeDocument/2006/relationships/hyperlink" Target="https://www.gov.uk/government/publications/grants-standards" TargetMode="External"/><Relationship Id="rId14" Type="http://schemas.openxmlformats.org/officeDocument/2006/relationships/hyperlink" Target="https://www.gov.uk/government/publications/public-sector-pay-and-terms-guidance-n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521D7F4453F4D8193168157C34577" ma:contentTypeVersion="14" ma:contentTypeDescription="Create a new document." ma:contentTypeScope="" ma:versionID="23eeb105e7fc4fdbe972981b59f60282">
  <xsd:schema xmlns:xsd="http://www.w3.org/2001/XMLSchema" xmlns:xs="http://www.w3.org/2001/XMLSchema" xmlns:p="http://schemas.microsoft.com/office/2006/metadata/properties" xmlns:ns3="d29d1ae8-8839-4cd5-a00f-8d0d031ff1de" xmlns:ns4="7c3606d2-6915-4a62-b554-398541799c6a" targetNamespace="http://schemas.microsoft.com/office/2006/metadata/properties" ma:root="true" ma:fieldsID="f2ff1ad2ee7c7b22d9e9b7a05849f89e" ns3:_="" ns4:_="">
    <xsd:import namespace="d29d1ae8-8839-4cd5-a00f-8d0d031ff1de"/>
    <xsd:import namespace="7c3606d2-6915-4a62-b554-398541799c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element ref="ns3:MediaServiceOCR"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d1ae8-8839-4cd5-a00f-8d0d031ff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606d2-6915-4a62-b554-398541799c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29d1ae8-8839-4cd5-a00f-8d0d031ff1d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6D2D3-A417-44FB-8414-8B3EBA0BE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d1ae8-8839-4cd5-a00f-8d0d031ff1de"/>
    <ds:schemaRef ds:uri="7c3606d2-6915-4a62-b554-398541799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77E20-B572-4B23-ACDB-1B0C65ABB06C}">
  <ds:schemaRefs>
    <ds:schemaRef ds:uri="http://schemas.microsoft.com/sharepoint/v3/contenttype/forms"/>
  </ds:schemaRefs>
</ds:datastoreItem>
</file>

<file path=customXml/itemProps3.xml><?xml version="1.0" encoding="utf-8"?>
<ds:datastoreItem xmlns:ds="http://schemas.openxmlformats.org/officeDocument/2006/customXml" ds:itemID="{DD765981-E489-4081-9F32-544884B4A320}">
  <ds:schemaRefs>
    <ds:schemaRef ds:uri="http://purl.org/dc/dcmitype/"/>
    <ds:schemaRef ds:uri="7c3606d2-6915-4a62-b554-398541799c6a"/>
    <ds:schemaRef ds:uri="d29d1ae8-8839-4cd5-a00f-8d0d031ff1d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9A780C8-518D-4E39-A04D-25929B62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17723</Words>
  <Characters>101026</Characters>
  <Application>Microsoft Office Word</Application>
  <DocSecurity>4</DocSecurity>
  <Lines>841</Lines>
  <Paragraphs>237</Paragraphs>
  <ScaleCrop>false</ScaleCrop>
  <HeadingPairs>
    <vt:vector size="2" baseType="variant">
      <vt:variant>
        <vt:lpstr>Title</vt:lpstr>
      </vt:variant>
      <vt:variant>
        <vt:i4>1</vt:i4>
      </vt:variant>
    </vt:vector>
  </HeadingPairs>
  <TitlesOfParts>
    <vt:vector size="1" baseType="lpstr">
      <vt:lpstr>2023.07.28 2022 MHRA Framework Agreement v0.93 - GB.docx</vt:lpstr>
    </vt:vector>
  </TitlesOfParts>
  <Company/>
  <LinksUpToDate>false</LinksUpToDate>
  <CharactersWithSpaces>118512</CharactersWithSpaces>
  <SharedDoc>false</SharedDoc>
  <HLinks>
    <vt:vector size="696" baseType="variant">
      <vt:variant>
        <vt:i4>4063347</vt:i4>
      </vt:variant>
      <vt:variant>
        <vt:i4>477</vt:i4>
      </vt:variant>
      <vt:variant>
        <vt:i4>0</vt:i4>
      </vt:variant>
      <vt:variant>
        <vt:i4>5</vt:i4>
      </vt:variant>
      <vt:variant>
        <vt:lpwstr>https://www.gov.uk/government/publications/accounting-officer-system-statements</vt:lpwstr>
      </vt:variant>
      <vt:variant>
        <vt:lpwstr/>
      </vt:variant>
      <vt:variant>
        <vt:i4>2687082</vt:i4>
      </vt:variant>
      <vt:variant>
        <vt:i4>474</vt:i4>
      </vt:variant>
      <vt:variant>
        <vt:i4>0</vt:i4>
      </vt:variant>
      <vt:variant>
        <vt:i4>5</vt:i4>
      </vt:variant>
      <vt:variant>
        <vt:lpwstr>https://code.statisticsauthority.gov.uk/</vt:lpwstr>
      </vt:variant>
      <vt:variant>
        <vt:lpwstr>:~:text=The%20Code%20of%20Practice%20for%20Statistics%20sets%20the,produced%20by%20people%20and%20organisations%20that%20are%20trustworthy</vt:lpwstr>
      </vt:variant>
      <vt:variant>
        <vt:i4>4128871</vt:i4>
      </vt:variant>
      <vt:variant>
        <vt:i4>471</vt:i4>
      </vt:variant>
      <vt:variant>
        <vt:i4>0</vt:i4>
      </vt:variant>
      <vt:variant>
        <vt:i4>5</vt:i4>
      </vt:variant>
      <vt:variant>
        <vt:lpwstr>http://www.gov.uk/government/publications/grants-standards</vt:lpwstr>
      </vt:variant>
      <vt:variant>
        <vt:lpwstr/>
      </vt:variant>
      <vt:variant>
        <vt:i4>327763</vt:i4>
      </vt:variant>
      <vt:variant>
        <vt:i4>468</vt:i4>
      </vt:variant>
      <vt:variant>
        <vt:i4>0</vt:i4>
      </vt:variant>
      <vt:variant>
        <vt:i4>5</vt:i4>
      </vt:variant>
      <vt:variant>
        <vt:lpwstr>http://www.gov.uk/government/collections/fraud-error-debt-and-grants-function</vt:lpwstr>
      </vt:variant>
      <vt:variant>
        <vt:lpwstr/>
      </vt:variant>
      <vt:variant>
        <vt:i4>1638400</vt:i4>
      </vt:variant>
      <vt:variant>
        <vt:i4>465</vt:i4>
      </vt:variant>
      <vt:variant>
        <vt:i4>0</vt:i4>
      </vt:variant>
      <vt:variant>
        <vt:i4>5</vt:i4>
      </vt:variant>
      <vt:variant>
        <vt:lpwstr>http://www.gov.uk/government/organisations/government-digital-service</vt:lpwstr>
      </vt:variant>
      <vt:variant>
        <vt:lpwstr/>
      </vt:variant>
      <vt:variant>
        <vt:i4>852053</vt:i4>
      </vt:variant>
      <vt:variant>
        <vt:i4>462</vt:i4>
      </vt:variant>
      <vt:variant>
        <vt:i4>0</vt:i4>
      </vt:variant>
      <vt:variant>
        <vt:i4>5</vt:i4>
      </vt:variant>
      <vt:variant>
        <vt:lpwstr>http://www.gov.uk/government/organisations/infrastructure-and-projects-authority</vt:lpwstr>
      </vt:variant>
      <vt:variant>
        <vt:lpwstr/>
      </vt:variant>
      <vt:variant>
        <vt:i4>2555937</vt:i4>
      </vt:variant>
      <vt:variant>
        <vt:i4>459</vt:i4>
      </vt:variant>
      <vt:variant>
        <vt:i4>0</vt:i4>
      </vt:variant>
      <vt:variant>
        <vt:i4>5</vt:i4>
      </vt:variant>
      <vt:variant>
        <vt:lpwstr>https://www.gov.uk/government/publications/civil-service-diversity-and-inclusion-strategy-2022-to-2025</vt:lpwstr>
      </vt:variant>
      <vt:variant>
        <vt:lpwstr/>
      </vt:variant>
      <vt:variant>
        <vt:i4>1048598</vt:i4>
      </vt:variant>
      <vt:variant>
        <vt:i4>456</vt:i4>
      </vt:variant>
      <vt:variant>
        <vt:i4>0</vt:i4>
      </vt:variant>
      <vt:variant>
        <vt:i4>5</vt:i4>
      </vt:variant>
      <vt:variant>
        <vt:lpwstr>http://www.gov.uk/government/publications/public-bodies-information-and-guidance</vt:lpwstr>
      </vt:variant>
      <vt:variant>
        <vt:lpwstr/>
      </vt:variant>
      <vt:variant>
        <vt:i4>4784195</vt:i4>
      </vt:variant>
      <vt:variant>
        <vt:i4>453</vt:i4>
      </vt:variant>
      <vt:variant>
        <vt:i4>0</vt:i4>
      </vt:variant>
      <vt:variant>
        <vt:i4>5</vt:i4>
      </vt:variant>
      <vt:variant>
        <vt:lpwstr>https://www.ombudsman.org.uk/about-us/our-principles</vt:lpwstr>
      </vt:variant>
      <vt:variant>
        <vt:lpwstr/>
      </vt:variant>
      <vt:variant>
        <vt:i4>4653086</vt:i4>
      </vt:variant>
      <vt:variant>
        <vt:i4>450</vt:i4>
      </vt:variant>
      <vt:variant>
        <vt:i4>0</vt:i4>
      </vt:variant>
      <vt:variant>
        <vt:i4>5</vt:i4>
      </vt:variant>
      <vt:variant>
        <vt:lpwstr>https://www.gov.uk/government/publications/code-of-practice-on-the-management-of-records-issued-under-section-46-the-freedom-of-information-act-2000</vt:lpwstr>
      </vt:variant>
      <vt:variant>
        <vt:lpwstr/>
      </vt:variant>
      <vt:variant>
        <vt:i4>7864366</vt:i4>
      </vt:variant>
      <vt:variant>
        <vt:i4>447</vt:i4>
      </vt:variant>
      <vt:variant>
        <vt:i4>0</vt:i4>
      </vt:variant>
      <vt:variant>
        <vt:i4>5</vt:i4>
      </vt:variant>
      <vt:variant>
        <vt:lpwstr>https://www.gov.uk/government/publications/freedom-of-information-code-of-practice</vt:lpwstr>
      </vt:variant>
      <vt:variant>
        <vt:lpwstr/>
      </vt:variant>
      <vt:variant>
        <vt:i4>1572873</vt:i4>
      </vt:variant>
      <vt:variant>
        <vt:i4>444</vt:i4>
      </vt:variant>
      <vt:variant>
        <vt:i4>0</vt:i4>
      </vt:variant>
      <vt:variant>
        <vt:i4>5</vt:i4>
      </vt:variant>
      <vt:variant>
        <vt:lpwstr>https://ico.org.uk/for-organisations/guide-to-freedom-of-information/</vt:lpwstr>
      </vt:variant>
      <vt:variant>
        <vt:lpwstr/>
      </vt:variant>
      <vt:variant>
        <vt:i4>4653132</vt:i4>
      </vt:variant>
      <vt:variant>
        <vt:i4>441</vt:i4>
      </vt:variant>
      <vt:variant>
        <vt:i4>0</vt:i4>
      </vt:variant>
      <vt:variant>
        <vt:i4>5</vt:i4>
      </vt:variant>
      <vt:variant>
        <vt:lpwstr>http://www.legislation.gov.uk/ukpga/2000/36/contents</vt:lpwstr>
      </vt:variant>
      <vt:variant>
        <vt:lpwstr/>
      </vt:variant>
      <vt:variant>
        <vt:i4>7864381</vt:i4>
      </vt:variant>
      <vt:variant>
        <vt:i4>438</vt:i4>
      </vt:variant>
      <vt:variant>
        <vt:i4>0</vt:i4>
      </vt:variant>
      <vt:variant>
        <vt:i4>5</vt:i4>
      </vt:variant>
      <vt:variant>
        <vt:lpwstr>https://www.dsptoolkit.nhs.uk/</vt:lpwstr>
      </vt:variant>
      <vt:variant>
        <vt:lpwstr/>
      </vt:variant>
      <vt:variant>
        <vt:i4>7864381</vt:i4>
      </vt:variant>
      <vt:variant>
        <vt:i4>435</vt:i4>
      </vt:variant>
      <vt:variant>
        <vt:i4>0</vt:i4>
      </vt:variant>
      <vt:variant>
        <vt:i4>5</vt:i4>
      </vt:variant>
      <vt:variant>
        <vt:lpwstr>https://www.dsptoolkit.nhs.uk/</vt:lpwstr>
      </vt:variant>
      <vt:variant>
        <vt:lpwstr/>
      </vt:variant>
      <vt:variant>
        <vt:i4>4980743</vt:i4>
      </vt:variant>
      <vt:variant>
        <vt:i4>432</vt:i4>
      </vt:variant>
      <vt:variant>
        <vt:i4>0</vt:i4>
      </vt:variant>
      <vt:variant>
        <vt:i4>5</vt:i4>
      </vt:variant>
      <vt:variant>
        <vt:lpwstr>https://www.gov.uk/government/publications/records-management-code-of-practice-for-health-and-social-care</vt:lpwstr>
      </vt:variant>
      <vt:variant>
        <vt:lpwstr/>
      </vt:variant>
      <vt:variant>
        <vt:i4>7274547</vt:i4>
      </vt:variant>
      <vt:variant>
        <vt:i4>429</vt:i4>
      </vt:variant>
      <vt:variant>
        <vt:i4>0</vt:i4>
      </vt:variant>
      <vt:variant>
        <vt:i4>5</vt:i4>
      </vt:variant>
      <vt:variant>
        <vt:lpwstr>https://www.nhsx.nhs.uk/information-governance/guidance/records-management-code/</vt:lpwstr>
      </vt:variant>
      <vt:variant>
        <vt:lpwstr>:~:text=The%20Records%20Management%20Code%20of%20Practice%20provides%20a,provision%20has%20an%20element%20of%20NHS%20funded%20care.</vt:lpwstr>
      </vt:variant>
      <vt:variant>
        <vt:i4>7077990</vt:i4>
      </vt:variant>
      <vt:variant>
        <vt:i4>426</vt:i4>
      </vt:variant>
      <vt:variant>
        <vt:i4>0</vt:i4>
      </vt:variant>
      <vt:variant>
        <vt:i4>5</vt:i4>
      </vt:variant>
      <vt:variant>
        <vt:lpwstr>https://www.gov.uk/government/publications/confidentiality-nhs-code-of-practice</vt:lpwstr>
      </vt:variant>
      <vt:variant>
        <vt:lpwstr/>
      </vt:variant>
      <vt:variant>
        <vt:i4>7077990</vt:i4>
      </vt:variant>
      <vt:variant>
        <vt:i4>423</vt:i4>
      </vt:variant>
      <vt:variant>
        <vt:i4>0</vt:i4>
      </vt:variant>
      <vt:variant>
        <vt:i4>5</vt:i4>
      </vt:variant>
      <vt:variant>
        <vt:lpwstr>https://www.gov.uk/government/publications/confidentiality-nhs-code-of-practice</vt:lpwstr>
      </vt:variant>
      <vt:variant>
        <vt:lpwstr/>
      </vt:variant>
      <vt:variant>
        <vt:i4>393288</vt:i4>
      </vt:variant>
      <vt:variant>
        <vt:i4>420</vt:i4>
      </vt:variant>
      <vt:variant>
        <vt:i4>0</vt:i4>
      </vt:variant>
      <vt:variant>
        <vt:i4>5</vt:i4>
      </vt:variant>
      <vt:variant>
        <vt:lpwstr>https://www.gov.uk/government/collections/government-security</vt:lpwstr>
      </vt:variant>
      <vt:variant>
        <vt:lpwstr/>
      </vt:variant>
      <vt:variant>
        <vt:i4>393288</vt:i4>
      </vt:variant>
      <vt:variant>
        <vt:i4>417</vt:i4>
      </vt:variant>
      <vt:variant>
        <vt:i4>0</vt:i4>
      </vt:variant>
      <vt:variant>
        <vt:i4>5</vt:i4>
      </vt:variant>
      <vt:variant>
        <vt:lpwstr>https://www.gov.uk/government/collections/government-security</vt:lpwstr>
      </vt:variant>
      <vt:variant>
        <vt:lpwstr/>
      </vt:variant>
      <vt:variant>
        <vt:i4>1900573</vt:i4>
      </vt:variant>
      <vt:variant>
        <vt:i4>411</vt:i4>
      </vt:variant>
      <vt:variant>
        <vt:i4>0</vt:i4>
      </vt:variant>
      <vt:variant>
        <vt:i4>5</vt:i4>
      </vt:variant>
      <vt:variant>
        <vt:lpwstr>http://www.gov.uk/guidance/equality-act-2010-guidance</vt:lpwstr>
      </vt:variant>
      <vt:variant>
        <vt:lpwstr/>
      </vt:variant>
      <vt:variant>
        <vt:i4>5767172</vt:i4>
      </vt:variant>
      <vt:variant>
        <vt:i4>408</vt:i4>
      </vt:variant>
      <vt:variant>
        <vt:i4>0</vt:i4>
      </vt:variant>
      <vt:variant>
        <vt:i4>5</vt:i4>
      </vt:variant>
      <vt:variant>
        <vt:lpwstr>https://www.gov.uk/government/publications/whistleblowing-guidance-and-code-of-practice-for-employers</vt:lpwstr>
      </vt:variant>
      <vt:variant>
        <vt:lpwstr/>
      </vt:variant>
      <vt:variant>
        <vt:i4>5767246</vt:i4>
      </vt:variant>
      <vt:variant>
        <vt:i4>405</vt:i4>
      </vt:variant>
      <vt:variant>
        <vt:i4>0</vt:i4>
      </vt:variant>
      <vt:variant>
        <vt:i4>5</vt:i4>
      </vt:variant>
      <vt:variant>
        <vt:lpwstr>https://www.gov.uk/government/publications/public-sector-pay-and-terms-guidance-note</vt:lpwstr>
      </vt:variant>
      <vt:variant>
        <vt:lpwstr/>
      </vt:variant>
      <vt:variant>
        <vt:i4>6684734</vt:i4>
      </vt:variant>
      <vt:variant>
        <vt:i4>402</vt:i4>
      </vt:variant>
      <vt:variant>
        <vt:i4>0</vt:i4>
      </vt:variant>
      <vt:variant>
        <vt:i4>5</vt:i4>
      </vt:variant>
      <vt:variant>
        <vt:lpwstr>http://www.gov.uk/government/collections/civil-service-pay-guidance</vt:lpwstr>
      </vt:variant>
      <vt:variant>
        <vt:lpwstr/>
      </vt:variant>
      <vt:variant>
        <vt:i4>5636099</vt:i4>
      </vt:variant>
      <vt:variant>
        <vt:i4>399</vt:i4>
      </vt:variant>
      <vt:variant>
        <vt:i4>0</vt:i4>
      </vt:variant>
      <vt:variant>
        <vt:i4>5</vt:i4>
      </vt:variant>
      <vt:variant>
        <vt:lpwstr>http://www.gov.uk/government/publications/senior-civil-service-pay-and-reward</vt:lpwstr>
      </vt:variant>
      <vt:variant>
        <vt:lpwstr/>
      </vt:variant>
      <vt:variant>
        <vt:i4>7995516</vt:i4>
      </vt:variant>
      <vt:variant>
        <vt:i4>396</vt:i4>
      </vt:variant>
      <vt:variant>
        <vt:i4>0</vt:i4>
      </vt:variant>
      <vt:variant>
        <vt:i4>5</vt:i4>
      </vt:variant>
      <vt:variant>
        <vt:lpwstr>https://www.gov.uk/government/publications/civil-servants-terms-and-conditions</vt:lpwstr>
      </vt:variant>
      <vt:variant>
        <vt:lpwstr/>
      </vt:variant>
      <vt:variant>
        <vt:i4>3145769</vt:i4>
      </vt:variant>
      <vt:variant>
        <vt:i4>393</vt:i4>
      </vt:variant>
      <vt:variant>
        <vt:i4>0</vt:i4>
      </vt:variant>
      <vt:variant>
        <vt:i4>5</vt:i4>
      </vt:variant>
      <vt:variant>
        <vt:lpwstr>https://www.gov.uk/government/publications/public-bodies-non-executive-director-principles/12-principles-of-governance-for-all-public-body-neds</vt:lpwstr>
      </vt:variant>
      <vt:variant>
        <vt:lpwstr/>
      </vt:variant>
      <vt:variant>
        <vt:i4>3670115</vt:i4>
      </vt:variant>
      <vt:variant>
        <vt:i4>390</vt:i4>
      </vt:variant>
      <vt:variant>
        <vt:i4>0</vt:i4>
      </vt:variant>
      <vt:variant>
        <vt:i4>5</vt:i4>
      </vt:variant>
      <vt:variant>
        <vt:lpwstr>https://www.gov.uk/government/publications/procurement-policy-note-0815-tax-arrangements-of-appointees</vt:lpwstr>
      </vt:variant>
      <vt:variant>
        <vt:lpwstr/>
      </vt:variant>
      <vt:variant>
        <vt:i4>3801132</vt:i4>
      </vt:variant>
      <vt:variant>
        <vt:i4>387</vt:i4>
      </vt:variant>
      <vt:variant>
        <vt:i4>0</vt:i4>
      </vt:variant>
      <vt:variant>
        <vt:i4>5</vt:i4>
      </vt:variant>
      <vt:variant>
        <vt:lpwstr>https://www.gov.uk/government/publications/governance-code-for-public-appointments</vt:lpwstr>
      </vt:variant>
      <vt:variant>
        <vt:lpwstr/>
      </vt:variant>
      <vt:variant>
        <vt:i4>2556022</vt:i4>
      </vt:variant>
      <vt:variant>
        <vt:i4>384</vt:i4>
      </vt:variant>
      <vt:variant>
        <vt:i4>0</vt:i4>
      </vt:variant>
      <vt:variant>
        <vt:i4>5</vt:i4>
      </vt:variant>
      <vt:variant>
        <vt:lpwstr>https://publicappointmentscommissioner.independent.gov.uk/</vt:lpwstr>
      </vt:variant>
      <vt:variant>
        <vt:lpwstr/>
      </vt:variant>
      <vt:variant>
        <vt:i4>6881309</vt:i4>
      </vt:variant>
      <vt:variant>
        <vt:i4>381</vt:i4>
      </vt:variant>
      <vt:variant>
        <vt:i4>0</vt:i4>
      </vt:variant>
      <vt:variant>
        <vt:i4>5</vt:i4>
      </vt:variant>
      <vt:variant>
        <vt:lpwstr>https://assets.publishing.service.gov.uk/government/uploads/system/uploads/attachment_data/file/1040283/Transparency_in_Supply_Chains_A_Practical_Guide_2017_final.pdf</vt:lpwstr>
      </vt:variant>
      <vt:variant>
        <vt:lpwstr/>
      </vt:variant>
      <vt:variant>
        <vt:i4>6029396</vt:i4>
      </vt:variant>
      <vt:variant>
        <vt:i4>378</vt:i4>
      </vt:variant>
      <vt:variant>
        <vt:i4>0</vt:i4>
      </vt:variant>
      <vt:variant>
        <vt:i4>5</vt:i4>
      </vt:variant>
      <vt:variant>
        <vt:lpwstr>https://www.gov.uk/government/collections/cabinet-office-controls</vt:lpwstr>
      </vt:variant>
      <vt:variant>
        <vt:lpwstr/>
      </vt:variant>
      <vt:variant>
        <vt:i4>4063290</vt:i4>
      </vt:variant>
      <vt:variant>
        <vt:i4>375</vt:i4>
      </vt:variant>
      <vt:variant>
        <vt:i4>0</vt:i4>
      </vt:variant>
      <vt:variant>
        <vt:i4>5</vt:i4>
      </vt:variant>
      <vt:variant>
        <vt:lpwstr>https://www.gov.uk/government/collections/procurement-policy-notes</vt:lpwstr>
      </vt:variant>
      <vt:variant>
        <vt:lpwstr/>
      </vt:variant>
      <vt:variant>
        <vt:i4>1048596</vt:i4>
      </vt:variant>
      <vt:variant>
        <vt:i4>372</vt:i4>
      </vt:variant>
      <vt:variant>
        <vt:i4>0</vt:i4>
      </vt:variant>
      <vt:variant>
        <vt:i4>5</vt:i4>
      </vt:variant>
      <vt:variant>
        <vt:lpwstr>https://www.gov.uk/guidance/public-sector-procurement-policy</vt:lpwstr>
      </vt:variant>
      <vt:variant>
        <vt:lpwstr>:~:text=The%20Public%20Contract%20Regulations%202015,already%20required%20of%20contracting%20authorities.</vt:lpwstr>
      </vt:variant>
      <vt:variant>
        <vt:i4>3997750</vt:i4>
      </vt:variant>
      <vt:variant>
        <vt:i4>369</vt:i4>
      </vt:variant>
      <vt:variant>
        <vt:i4>0</vt:i4>
      </vt:variant>
      <vt:variant>
        <vt:i4>5</vt:i4>
      </vt:variant>
      <vt:variant>
        <vt:lpwstr>https://www.gov.uk/government/collections/cyber-security-guidance-for-business</vt:lpwstr>
      </vt:variant>
      <vt:variant>
        <vt:lpwstr/>
      </vt:variant>
      <vt:variant>
        <vt:i4>5898255</vt:i4>
      </vt:variant>
      <vt:variant>
        <vt:i4>366</vt:i4>
      </vt:variant>
      <vt:variant>
        <vt:i4>0</vt:i4>
      </vt:variant>
      <vt:variant>
        <vt:i4>5</vt:i4>
      </vt:variant>
      <vt:variant>
        <vt:lpwstr>https://www.gov.uk/government/publications/national-cyber-strategy-2022/national-cyber-security-strategy-2022</vt:lpwstr>
      </vt:variant>
      <vt:variant>
        <vt:lpwstr/>
      </vt:variant>
      <vt:variant>
        <vt:i4>5963858</vt:i4>
      </vt:variant>
      <vt:variant>
        <vt:i4>363</vt:i4>
      </vt:variant>
      <vt:variant>
        <vt:i4>0</vt:i4>
      </vt:variant>
      <vt:variant>
        <vt:i4>5</vt:i4>
      </vt:variant>
      <vt:variant>
        <vt:lpwstr>https://www.gov.uk/government/publications/treasury-approvals-process-for-programmes-and-projects</vt:lpwstr>
      </vt:variant>
      <vt:variant>
        <vt:lpwstr/>
      </vt:variant>
      <vt:variant>
        <vt:i4>31</vt:i4>
      </vt:variant>
      <vt:variant>
        <vt:i4>360</vt:i4>
      </vt:variant>
      <vt:variant>
        <vt:i4>0</vt:i4>
      </vt:variant>
      <vt:variant>
        <vt:i4>5</vt:i4>
      </vt:variant>
      <vt:variant>
        <vt:lpwstr>http://www.gov.uk/government/publications/public-sector-internal-audit-standards</vt:lpwstr>
      </vt:variant>
      <vt:variant>
        <vt:lpwstr/>
      </vt:variant>
      <vt:variant>
        <vt:i4>393284</vt:i4>
      </vt:variant>
      <vt:variant>
        <vt:i4>357</vt:i4>
      </vt:variant>
      <vt:variant>
        <vt:i4>0</vt:i4>
      </vt:variant>
      <vt:variant>
        <vt:i4>5</vt:i4>
      </vt:variant>
      <vt:variant>
        <vt:lpwstr>https://www.gov.uk/government/publications/management-of-risk-in-government-framework</vt:lpwstr>
      </vt:variant>
      <vt:variant>
        <vt:lpwstr/>
      </vt:variant>
      <vt:variant>
        <vt:i4>5439500</vt:i4>
      </vt:variant>
      <vt:variant>
        <vt:i4>354</vt:i4>
      </vt:variant>
      <vt:variant>
        <vt:i4>0</vt:i4>
      </vt:variant>
      <vt:variant>
        <vt:i4>5</vt:i4>
      </vt:variant>
      <vt:variant>
        <vt:lpwstr>http://www.gov.uk/government/publications/orange-book</vt:lpwstr>
      </vt:variant>
      <vt:variant>
        <vt:lpwstr/>
      </vt:variant>
      <vt:variant>
        <vt:i4>6029377</vt:i4>
      </vt:variant>
      <vt:variant>
        <vt:i4>351</vt:i4>
      </vt:variant>
      <vt:variant>
        <vt:i4>0</vt:i4>
      </vt:variant>
      <vt:variant>
        <vt:i4>5</vt:i4>
      </vt:variant>
      <vt:variant>
        <vt:lpwstr>https://www.gov.uk/government/collections/whole-ofgovernment-accounts</vt:lpwstr>
      </vt:variant>
      <vt:variant>
        <vt:lpwstr/>
      </vt:variant>
      <vt:variant>
        <vt:i4>1179730</vt:i4>
      </vt:variant>
      <vt:variant>
        <vt:i4>348</vt:i4>
      </vt:variant>
      <vt:variant>
        <vt:i4>0</vt:i4>
      </vt:variant>
      <vt:variant>
        <vt:i4>5</vt:i4>
      </vt:variant>
      <vt:variant>
        <vt:lpwstr>http://www.gov.uk/government/collections/dao-letters</vt:lpwstr>
      </vt:variant>
      <vt:variant>
        <vt:lpwstr/>
      </vt:variant>
      <vt:variant>
        <vt:i4>2556020</vt:i4>
      </vt:variant>
      <vt:variant>
        <vt:i4>345</vt:i4>
      </vt:variant>
      <vt:variant>
        <vt:i4>0</vt:i4>
      </vt:variant>
      <vt:variant>
        <vt:i4>5</vt:i4>
      </vt:variant>
      <vt:variant>
        <vt:lpwstr>http://www.gov.uk/government/collections/government-financial-reporting-manualfrem</vt:lpwstr>
      </vt:variant>
      <vt:variant>
        <vt:lpwstr/>
      </vt:variant>
      <vt:variant>
        <vt:i4>4</vt:i4>
      </vt:variant>
      <vt:variant>
        <vt:i4>342</vt:i4>
      </vt:variant>
      <vt:variant>
        <vt:i4>0</vt:i4>
      </vt:variant>
      <vt:variant>
        <vt:i4>5</vt:i4>
      </vt:variant>
      <vt:variant>
        <vt:lpwstr>https://www.gov.uk/government/collections/consolidated-budgeting-guidance</vt:lpwstr>
      </vt:variant>
      <vt:variant>
        <vt:lpwstr/>
      </vt:variant>
      <vt:variant>
        <vt:i4>1572894</vt:i4>
      </vt:variant>
      <vt:variant>
        <vt:i4>339</vt:i4>
      </vt:variant>
      <vt:variant>
        <vt:i4>0</vt:i4>
      </vt:variant>
      <vt:variant>
        <vt:i4>5</vt:i4>
      </vt:variant>
      <vt:variant>
        <vt:lpwstr>https://www.gov.uk/government/publications/managing-public-money</vt:lpwstr>
      </vt:variant>
      <vt:variant>
        <vt:lpwstr/>
      </vt:variant>
      <vt:variant>
        <vt:i4>5636178</vt:i4>
      </vt:variant>
      <vt:variant>
        <vt:i4>336</vt:i4>
      </vt:variant>
      <vt:variant>
        <vt:i4>0</vt:i4>
      </vt:variant>
      <vt:variant>
        <vt:i4>5</vt:i4>
      </vt:variant>
      <vt:variant>
        <vt:lpwstr>https://www.gov.uk/government/publications/partnerships-with-arms-length-bodies-code-of-good-practice</vt:lpwstr>
      </vt:variant>
      <vt:variant>
        <vt:lpwstr>:~:text=This%20code%20of%20good%20practice,partnership%20approach%20to%20shaping%20relationships</vt:lpwstr>
      </vt:variant>
      <vt:variant>
        <vt:i4>4259933</vt:i4>
      </vt:variant>
      <vt:variant>
        <vt:i4>333</vt:i4>
      </vt:variant>
      <vt:variant>
        <vt:i4>0</vt:i4>
      </vt:variant>
      <vt:variant>
        <vt:i4>5</vt:i4>
      </vt:variant>
      <vt:variant>
        <vt:lpwstr>https://www.gov.uk/government/publications/code-of-conduct-for-board-members-of-public-bodies</vt:lpwstr>
      </vt:variant>
      <vt:variant>
        <vt:lpwstr/>
      </vt:variant>
      <vt:variant>
        <vt:i4>131138</vt:i4>
      </vt:variant>
      <vt:variant>
        <vt:i4>330</vt:i4>
      </vt:variant>
      <vt:variant>
        <vt:i4>0</vt:i4>
      </vt:variant>
      <vt:variant>
        <vt:i4>5</vt:i4>
      </vt:variant>
      <vt:variant>
        <vt:lpwstr>https://www.gov.uk/government/publications/corporate-governance-code-for-central-government-departments-2017</vt:lpwstr>
      </vt:variant>
      <vt:variant>
        <vt:lpwstr/>
      </vt:variant>
      <vt:variant>
        <vt:i4>655363</vt:i4>
      </vt:variant>
      <vt:variant>
        <vt:i4>327</vt:i4>
      </vt:variant>
      <vt:variant>
        <vt:i4>0</vt:i4>
      </vt:variant>
      <vt:variant>
        <vt:i4>5</vt:i4>
      </vt:variant>
      <vt:variant>
        <vt:lpwstr>https://www.gov.uk/government/publications/executive-agencies-characteristics-and-governance</vt:lpwstr>
      </vt:variant>
      <vt:variant>
        <vt:lpwstr/>
      </vt:variant>
      <vt:variant>
        <vt:i4>1638454</vt:i4>
      </vt:variant>
      <vt:variant>
        <vt:i4>320</vt:i4>
      </vt:variant>
      <vt:variant>
        <vt:i4>0</vt:i4>
      </vt:variant>
      <vt:variant>
        <vt:i4>5</vt:i4>
      </vt:variant>
      <vt:variant>
        <vt:lpwstr/>
      </vt:variant>
      <vt:variant>
        <vt:lpwstr>_Toc107329243</vt:lpwstr>
      </vt:variant>
      <vt:variant>
        <vt:i4>1638454</vt:i4>
      </vt:variant>
      <vt:variant>
        <vt:i4>314</vt:i4>
      </vt:variant>
      <vt:variant>
        <vt:i4>0</vt:i4>
      </vt:variant>
      <vt:variant>
        <vt:i4>5</vt:i4>
      </vt:variant>
      <vt:variant>
        <vt:lpwstr/>
      </vt:variant>
      <vt:variant>
        <vt:lpwstr>_Toc107329242</vt:lpwstr>
      </vt:variant>
      <vt:variant>
        <vt:i4>1638454</vt:i4>
      </vt:variant>
      <vt:variant>
        <vt:i4>308</vt:i4>
      </vt:variant>
      <vt:variant>
        <vt:i4>0</vt:i4>
      </vt:variant>
      <vt:variant>
        <vt:i4>5</vt:i4>
      </vt:variant>
      <vt:variant>
        <vt:lpwstr/>
      </vt:variant>
      <vt:variant>
        <vt:lpwstr>_Toc107329241</vt:lpwstr>
      </vt:variant>
      <vt:variant>
        <vt:i4>1638454</vt:i4>
      </vt:variant>
      <vt:variant>
        <vt:i4>302</vt:i4>
      </vt:variant>
      <vt:variant>
        <vt:i4>0</vt:i4>
      </vt:variant>
      <vt:variant>
        <vt:i4>5</vt:i4>
      </vt:variant>
      <vt:variant>
        <vt:lpwstr/>
      </vt:variant>
      <vt:variant>
        <vt:lpwstr>_Toc107329240</vt:lpwstr>
      </vt:variant>
      <vt:variant>
        <vt:i4>1966134</vt:i4>
      </vt:variant>
      <vt:variant>
        <vt:i4>296</vt:i4>
      </vt:variant>
      <vt:variant>
        <vt:i4>0</vt:i4>
      </vt:variant>
      <vt:variant>
        <vt:i4>5</vt:i4>
      </vt:variant>
      <vt:variant>
        <vt:lpwstr/>
      </vt:variant>
      <vt:variant>
        <vt:lpwstr>_Toc107329239</vt:lpwstr>
      </vt:variant>
      <vt:variant>
        <vt:i4>1966134</vt:i4>
      </vt:variant>
      <vt:variant>
        <vt:i4>290</vt:i4>
      </vt:variant>
      <vt:variant>
        <vt:i4>0</vt:i4>
      </vt:variant>
      <vt:variant>
        <vt:i4>5</vt:i4>
      </vt:variant>
      <vt:variant>
        <vt:lpwstr/>
      </vt:variant>
      <vt:variant>
        <vt:lpwstr>_Toc107329238</vt:lpwstr>
      </vt:variant>
      <vt:variant>
        <vt:i4>1966134</vt:i4>
      </vt:variant>
      <vt:variant>
        <vt:i4>284</vt:i4>
      </vt:variant>
      <vt:variant>
        <vt:i4>0</vt:i4>
      </vt:variant>
      <vt:variant>
        <vt:i4>5</vt:i4>
      </vt:variant>
      <vt:variant>
        <vt:lpwstr/>
      </vt:variant>
      <vt:variant>
        <vt:lpwstr>_Toc107329237</vt:lpwstr>
      </vt:variant>
      <vt:variant>
        <vt:i4>1966134</vt:i4>
      </vt:variant>
      <vt:variant>
        <vt:i4>278</vt:i4>
      </vt:variant>
      <vt:variant>
        <vt:i4>0</vt:i4>
      </vt:variant>
      <vt:variant>
        <vt:i4>5</vt:i4>
      </vt:variant>
      <vt:variant>
        <vt:lpwstr/>
      </vt:variant>
      <vt:variant>
        <vt:lpwstr>_Toc107329236</vt:lpwstr>
      </vt:variant>
      <vt:variant>
        <vt:i4>1966134</vt:i4>
      </vt:variant>
      <vt:variant>
        <vt:i4>272</vt:i4>
      </vt:variant>
      <vt:variant>
        <vt:i4>0</vt:i4>
      </vt:variant>
      <vt:variant>
        <vt:i4>5</vt:i4>
      </vt:variant>
      <vt:variant>
        <vt:lpwstr/>
      </vt:variant>
      <vt:variant>
        <vt:lpwstr>_Toc107329235</vt:lpwstr>
      </vt:variant>
      <vt:variant>
        <vt:i4>1966134</vt:i4>
      </vt:variant>
      <vt:variant>
        <vt:i4>266</vt:i4>
      </vt:variant>
      <vt:variant>
        <vt:i4>0</vt:i4>
      </vt:variant>
      <vt:variant>
        <vt:i4>5</vt:i4>
      </vt:variant>
      <vt:variant>
        <vt:lpwstr/>
      </vt:variant>
      <vt:variant>
        <vt:lpwstr>_Toc107329234</vt:lpwstr>
      </vt:variant>
      <vt:variant>
        <vt:i4>1966134</vt:i4>
      </vt:variant>
      <vt:variant>
        <vt:i4>260</vt:i4>
      </vt:variant>
      <vt:variant>
        <vt:i4>0</vt:i4>
      </vt:variant>
      <vt:variant>
        <vt:i4>5</vt:i4>
      </vt:variant>
      <vt:variant>
        <vt:lpwstr/>
      </vt:variant>
      <vt:variant>
        <vt:lpwstr>_Toc107329233</vt:lpwstr>
      </vt:variant>
      <vt:variant>
        <vt:i4>1966134</vt:i4>
      </vt:variant>
      <vt:variant>
        <vt:i4>254</vt:i4>
      </vt:variant>
      <vt:variant>
        <vt:i4>0</vt:i4>
      </vt:variant>
      <vt:variant>
        <vt:i4>5</vt:i4>
      </vt:variant>
      <vt:variant>
        <vt:lpwstr/>
      </vt:variant>
      <vt:variant>
        <vt:lpwstr>_Toc107329232</vt:lpwstr>
      </vt:variant>
      <vt:variant>
        <vt:i4>1966134</vt:i4>
      </vt:variant>
      <vt:variant>
        <vt:i4>248</vt:i4>
      </vt:variant>
      <vt:variant>
        <vt:i4>0</vt:i4>
      </vt:variant>
      <vt:variant>
        <vt:i4>5</vt:i4>
      </vt:variant>
      <vt:variant>
        <vt:lpwstr/>
      </vt:variant>
      <vt:variant>
        <vt:lpwstr>_Toc107329231</vt:lpwstr>
      </vt:variant>
      <vt:variant>
        <vt:i4>1966134</vt:i4>
      </vt:variant>
      <vt:variant>
        <vt:i4>242</vt:i4>
      </vt:variant>
      <vt:variant>
        <vt:i4>0</vt:i4>
      </vt:variant>
      <vt:variant>
        <vt:i4>5</vt:i4>
      </vt:variant>
      <vt:variant>
        <vt:lpwstr/>
      </vt:variant>
      <vt:variant>
        <vt:lpwstr>_Toc107329230</vt:lpwstr>
      </vt:variant>
      <vt:variant>
        <vt:i4>2031670</vt:i4>
      </vt:variant>
      <vt:variant>
        <vt:i4>236</vt:i4>
      </vt:variant>
      <vt:variant>
        <vt:i4>0</vt:i4>
      </vt:variant>
      <vt:variant>
        <vt:i4>5</vt:i4>
      </vt:variant>
      <vt:variant>
        <vt:lpwstr/>
      </vt:variant>
      <vt:variant>
        <vt:lpwstr>_Toc107329229</vt:lpwstr>
      </vt:variant>
      <vt:variant>
        <vt:i4>2031670</vt:i4>
      </vt:variant>
      <vt:variant>
        <vt:i4>230</vt:i4>
      </vt:variant>
      <vt:variant>
        <vt:i4>0</vt:i4>
      </vt:variant>
      <vt:variant>
        <vt:i4>5</vt:i4>
      </vt:variant>
      <vt:variant>
        <vt:lpwstr/>
      </vt:variant>
      <vt:variant>
        <vt:lpwstr>_Toc107329228</vt:lpwstr>
      </vt:variant>
      <vt:variant>
        <vt:i4>2031670</vt:i4>
      </vt:variant>
      <vt:variant>
        <vt:i4>224</vt:i4>
      </vt:variant>
      <vt:variant>
        <vt:i4>0</vt:i4>
      </vt:variant>
      <vt:variant>
        <vt:i4>5</vt:i4>
      </vt:variant>
      <vt:variant>
        <vt:lpwstr/>
      </vt:variant>
      <vt:variant>
        <vt:lpwstr>_Toc107329227</vt:lpwstr>
      </vt:variant>
      <vt:variant>
        <vt:i4>2031670</vt:i4>
      </vt:variant>
      <vt:variant>
        <vt:i4>218</vt:i4>
      </vt:variant>
      <vt:variant>
        <vt:i4>0</vt:i4>
      </vt:variant>
      <vt:variant>
        <vt:i4>5</vt:i4>
      </vt:variant>
      <vt:variant>
        <vt:lpwstr/>
      </vt:variant>
      <vt:variant>
        <vt:lpwstr>_Toc107329226</vt:lpwstr>
      </vt:variant>
      <vt:variant>
        <vt:i4>2031670</vt:i4>
      </vt:variant>
      <vt:variant>
        <vt:i4>212</vt:i4>
      </vt:variant>
      <vt:variant>
        <vt:i4>0</vt:i4>
      </vt:variant>
      <vt:variant>
        <vt:i4>5</vt:i4>
      </vt:variant>
      <vt:variant>
        <vt:lpwstr/>
      </vt:variant>
      <vt:variant>
        <vt:lpwstr>_Toc107329225</vt:lpwstr>
      </vt:variant>
      <vt:variant>
        <vt:i4>2031670</vt:i4>
      </vt:variant>
      <vt:variant>
        <vt:i4>206</vt:i4>
      </vt:variant>
      <vt:variant>
        <vt:i4>0</vt:i4>
      </vt:variant>
      <vt:variant>
        <vt:i4>5</vt:i4>
      </vt:variant>
      <vt:variant>
        <vt:lpwstr/>
      </vt:variant>
      <vt:variant>
        <vt:lpwstr>_Toc107329224</vt:lpwstr>
      </vt:variant>
      <vt:variant>
        <vt:i4>2031670</vt:i4>
      </vt:variant>
      <vt:variant>
        <vt:i4>200</vt:i4>
      </vt:variant>
      <vt:variant>
        <vt:i4>0</vt:i4>
      </vt:variant>
      <vt:variant>
        <vt:i4>5</vt:i4>
      </vt:variant>
      <vt:variant>
        <vt:lpwstr/>
      </vt:variant>
      <vt:variant>
        <vt:lpwstr>_Toc107329223</vt:lpwstr>
      </vt:variant>
      <vt:variant>
        <vt:i4>2031670</vt:i4>
      </vt:variant>
      <vt:variant>
        <vt:i4>194</vt:i4>
      </vt:variant>
      <vt:variant>
        <vt:i4>0</vt:i4>
      </vt:variant>
      <vt:variant>
        <vt:i4>5</vt:i4>
      </vt:variant>
      <vt:variant>
        <vt:lpwstr/>
      </vt:variant>
      <vt:variant>
        <vt:lpwstr>_Toc107329222</vt:lpwstr>
      </vt:variant>
      <vt:variant>
        <vt:i4>2031670</vt:i4>
      </vt:variant>
      <vt:variant>
        <vt:i4>188</vt:i4>
      </vt:variant>
      <vt:variant>
        <vt:i4>0</vt:i4>
      </vt:variant>
      <vt:variant>
        <vt:i4>5</vt:i4>
      </vt:variant>
      <vt:variant>
        <vt:lpwstr/>
      </vt:variant>
      <vt:variant>
        <vt:lpwstr>_Toc107329221</vt:lpwstr>
      </vt:variant>
      <vt:variant>
        <vt:i4>2031670</vt:i4>
      </vt:variant>
      <vt:variant>
        <vt:i4>182</vt:i4>
      </vt:variant>
      <vt:variant>
        <vt:i4>0</vt:i4>
      </vt:variant>
      <vt:variant>
        <vt:i4>5</vt:i4>
      </vt:variant>
      <vt:variant>
        <vt:lpwstr/>
      </vt:variant>
      <vt:variant>
        <vt:lpwstr>_Toc107329220</vt:lpwstr>
      </vt:variant>
      <vt:variant>
        <vt:i4>1835062</vt:i4>
      </vt:variant>
      <vt:variant>
        <vt:i4>176</vt:i4>
      </vt:variant>
      <vt:variant>
        <vt:i4>0</vt:i4>
      </vt:variant>
      <vt:variant>
        <vt:i4>5</vt:i4>
      </vt:variant>
      <vt:variant>
        <vt:lpwstr/>
      </vt:variant>
      <vt:variant>
        <vt:lpwstr>_Toc107329219</vt:lpwstr>
      </vt:variant>
      <vt:variant>
        <vt:i4>1835062</vt:i4>
      </vt:variant>
      <vt:variant>
        <vt:i4>170</vt:i4>
      </vt:variant>
      <vt:variant>
        <vt:i4>0</vt:i4>
      </vt:variant>
      <vt:variant>
        <vt:i4>5</vt:i4>
      </vt:variant>
      <vt:variant>
        <vt:lpwstr/>
      </vt:variant>
      <vt:variant>
        <vt:lpwstr>_Toc107329218</vt:lpwstr>
      </vt:variant>
      <vt:variant>
        <vt:i4>1835062</vt:i4>
      </vt:variant>
      <vt:variant>
        <vt:i4>164</vt:i4>
      </vt:variant>
      <vt:variant>
        <vt:i4>0</vt:i4>
      </vt:variant>
      <vt:variant>
        <vt:i4>5</vt:i4>
      </vt:variant>
      <vt:variant>
        <vt:lpwstr/>
      </vt:variant>
      <vt:variant>
        <vt:lpwstr>_Toc107329217</vt:lpwstr>
      </vt:variant>
      <vt:variant>
        <vt:i4>1835062</vt:i4>
      </vt:variant>
      <vt:variant>
        <vt:i4>158</vt:i4>
      </vt:variant>
      <vt:variant>
        <vt:i4>0</vt:i4>
      </vt:variant>
      <vt:variant>
        <vt:i4>5</vt:i4>
      </vt:variant>
      <vt:variant>
        <vt:lpwstr/>
      </vt:variant>
      <vt:variant>
        <vt:lpwstr>_Toc107329216</vt:lpwstr>
      </vt:variant>
      <vt:variant>
        <vt:i4>1835062</vt:i4>
      </vt:variant>
      <vt:variant>
        <vt:i4>152</vt:i4>
      </vt:variant>
      <vt:variant>
        <vt:i4>0</vt:i4>
      </vt:variant>
      <vt:variant>
        <vt:i4>5</vt:i4>
      </vt:variant>
      <vt:variant>
        <vt:lpwstr/>
      </vt:variant>
      <vt:variant>
        <vt:lpwstr>_Toc107329215</vt:lpwstr>
      </vt:variant>
      <vt:variant>
        <vt:i4>1835062</vt:i4>
      </vt:variant>
      <vt:variant>
        <vt:i4>146</vt:i4>
      </vt:variant>
      <vt:variant>
        <vt:i4>0</vt:i4>
      </vt:variant>
      <vt:variant>
        <vt:i4>5</vt:i4>
      </vt:variant>
      <vt:variant>
        <vt:lpwstr/>
      </vt:variant>
      <vt:variant>
        <vt:lpwstr>_Toc107329214</vt:lpwstr>
      </vt:variant>
      <vt:variant>
        <vt:i4>1835062</vt:i4>
      </vt:variant>
      <vt:variant>
        <vt:i4>140</vt:i4>
      </vt:variant>
      <vt:variant>
        <vt:i4>0</vt:i4>
      </vt:variant>
      <vt:variant>
        <vt:i4>5</vt:i4>
      </vt:variant>
      <vt:variant>
        <vt:lpwstr/>
      </vt:variant>
      <vt:variant>
        <vt:lpwstr>_Toc107329213</vt:lpwstr>
      </vt:variant>
      <vt:variant>
        <vt:i4>1835062</vt:i4>
      </vt:variant>
      <vt:variant>
        <vt:i4>134</vt:i4>
      </vt:variant>
      <vt:variant>
        <vt:i4>0</vt:i4>
      </vt:variant>
      <vt:variant>
        <vt:i4>5</vt:i4>
      </vt:variant>
      <vt:variant>
        <vt:lpwstr/>
      </vt:variant>
      <vt:variant>
        <vt:lpwstr>_Toc107329212</vt:lpwstr>
      </vt:variant>
      <vt:variant>
        <vt:i4>1835062</vt:i4>
      </vt:variant>
      <vt:variant>
        <vt:i4>128</vt:i4>
      </vt:variant>
      <vt:variant>
        <vt:i4>0</vt:i4>
      </vt:variant>
      <vt:variant>
        <vt:i4>5</vt:i4>
      </vt:variant>
      <vt:variant>
        <vt:lpwstr/>
      </vt:variant>
      <vt:variant>
        <vt:lpwstr>_Toc107329211</vt:lpwstr>
      </vt:variant>
      <vt:variant>
        <vt:i4>1835062</vt:i4>
      </vt:variant>
      <vt:variant>
        <vt:i4>122</vt:i4>
      </vt:variant>
      <vt:variant>
        <vt:i4>0</vt:i4>
      </vt:variant>
      <vt:variant>
        <vt:i4>5</vt:i4>
      </vt:variant>
      <vt:variant>
        <vt:lpwstr/>
      </vt:variant>
      <vt:variant>
        <vt:lpwstr>_Toc107329210</vt:lpwstr>
      </vt:variant>
      <vt:variant>
        <vt:i4>1900598</vt:i4>
      </vt:variant>
      <vt:variant>
        <vt:i4>116</vt:i4>
      </vt:variant>
      <vt:variant>
        <vt:i4>0</vt:i4>
      </vt:variant>
      <vt:variant>
        <vt:i4>5</vt:i4>
      </vt:variant>
      <vt:variant>
        <vt:lpwstr/>
      </vt:variant>
      <vt:variant>
        <vt:lpwstr>_Toc107329209</vt:lpwstr>
      </vt:variant>
      <vt:variant>
        <vt:i4>1900598</vt:i4>
      </vt:variant>
      <vt:variant>
        <vt:i4>110</vt:i4>
      </vt:variant>
      <vt:variant>
        <vt:i4>0</vt:i4>
      </vt:variant>
      <vt:variant>
        <vt:i4>5</vt:i4>
      </vt:variant>
      <vt:variant>
        <vt:lpwstr/>
      </vt:variant>
      <vt:variant>
        <vt:lpwstr>_Toc107329208</vt:lpwstr>
      </vt:variant>
      <vt:variant>
        <vt:i4>1900598</vt:i4>
      </vt:variant>
      <vt:variant>
        <vt:i4>104</vt:i4>
      </vt:variant>
      <vt:variant>
        <vt:i4>0</vt:i4>
      </vt:variant>
      <vt:variant>
        <vt:i4>5</vt:i4>
      </vt:variant>
      <vt:variant>
        <vt:lpwstr/>
      </vt:variant>
      <vt:variant>
        <vt:lpwstr>_Toc107329207</vt:lpwstr>
      </vt:variant>
      <vt:variant>
        <vt:i4>1900598</vt:i4>
      </vt:variant>
      <vt:variant>
        <vt:i4>98</vt:i4>
      </vt:variant>
      <vt:variant>
        <vt:i4>0</vt:i4>
      </vt:variant>
      <vt:variant>
        <vt:i4>5</vt:i4>
      </vt:variant>
      <vt:variant>
        <vt:lpwstr/>
      </vt:variant>
      <vt:variant>
        <vt:lpwstr>_Toc107329206</vt:lpwstr>
      </vt:variant>
      <vt:variant>
        <vt:i4>1900598</vt:i4>
      </vt:variant>
      <vt:variant>
        <vt:i4>92</vt:i4>
      </vt:variant>
      <vt:variant>
        <vt:i4>0</vt:i4>
      </vt:variant>
      <vt:variant>
        <vt:i4>5</vt:i4>
      </vt:variant>
      <vt:variant>
        <vt:lpwstr/>
      </vt:variant>
      <vt:variant>
        <vt:lpwstr>_Toc107329205</vt:lpwstr>
      </vt:variant>
      <vt:variant>
        <vt:i4>1900598</vt:i4>
      </vt:variant>
      <vt:variant>
        <vt:i4>86</vt:i4>
      </vt:variant>
      <vt:variant>
        <vt:i4>0</vt:i4>
      </vt:variant>
      <vt:variant>
        <vt:i4>5</vt:i4>
      </vt:variant>
      <vt:variant>
        <vt:lpwstr/>
      </vt:variant>
      <vt:variant>
        <vt:lpwstr>_Toc107329204</vt:lpwstr>
      </vt:variant>
      <vt:variant>
        <vt:i4>1900598</vt:i4>
      </vt:variant>
      <vt:variant>
        <vt:i4>80</vt:i4>
      </vt:variant>
      <vt:variant>
        <vt:i4>0</vt:i4>
      </vt:variant>
      <vt:variant>
        <vt:i4>5</vt:i4>
      </vt:variant>
      <vt:variant>
        <vt:lpwstr/>
      </vt:variant>
      <vt:variant>
        <vt:lpwstr>_Toc107329203</vt:lpwstr>
      </vt:variant>
      <vt:variant>
        <vt:i4>1900598</vt:i4>
      </vt:variant>
      <vt:variant>
        <vt:i4>74</vt:i4>
      </vt:variant>
      <vt:variant>
        <vt:i4>0</vt:i4>
      </vt:variant>
      <vt:variant>
        <vt:i4>5</vt:i4>
      </vt:variant>
      <vt:variant>
        <vt:lpwstr/>
      </vt:variant>
      <vt:variant>
        <vt:lpwstr>_Toc107329202</vt:lpwstr>
      </vt:variant>
      <vt:variant>
        <vt:i4>1900598</vt:i4>
      </vt:variant>
      <vt:variant>
        <vt:i4>68</vt:i4>
      </vt:variant>
      <vt:variant>
        <vt:i4>0</vt:i4>
      </vt:variant>
      <vt:variant>
        <vt:i4>5</vt:i4>
      </vt:variant>
      <vt:variant>
        <vt:lpwstr/>
      </vt:variant>
      <vt:variant>
        <vt:lpwstr>_Toc107329201</vt:lpwstr>
      </vt:variant>
      <vt:variant>
        <vt:i4>1900598</vt:i4>
      </vt:variant>
      <vt:variant>
        <vt:i4>62</vt:i4>
      </vt:variant>
      <vt:variant>
        <vt:i4>0</vt:i4>
      </vt:variant>
      <vt:variant>
        <vt:i4>5</vt:i4>
      </vt:variant>
      <vt:variant>
        <vt:lpwstr/>
      </vt:variant>
      <vt:variant>
        <vt:lpwstr>_Toc107329200</vt:lpwstr>
      </vt:variant>
      <vt:variant>
        <vt:i4>1310773</vt:i4>
      </vt:variant>
      <vt:variant>
        <vt:i4>56</vt:i4>
      </vt:variant>
      <vt:variant>
        <vt:i4>0</vt:i4>
      </vt:variant>
      <vt:variant>
        <vt:i4>5</vt:i4>
      </vt:variant>
      <vt:variant>
        <vt:lpwstr/>
      </vt:variant>
      <vt:variant>
        <vt:lpwstr>_Toc107329199</vt:lpwstr>
      </vt:variant>
      <vt:variant>
        <vt:i4>1310773</vt:i4>
      </vt:variant>
      <vt:variant>
        <vt:i4>50</vt:i4>
      </vt:variant>
      <vt:variant>
        <vt:i4>0</vt:i4>
      </vt:variant>
      <vt:variant>
        <vt:i4>5</vt:i4>
      </vt:variant>
      <vt:variant>
        <vt:lpwstr/>
      </vt:variant>
      <vt:variant>
        <vt:lpwstr>_Toc107329198</vt:lpwstr>
      </vt:variant>
      <vt:variant>
        <vt:i4>1310773</vt:i4>
      </vt:variant>
      <vt:variant>
        <vt:i4>44</vt:i4>
      </vt:variant>
      <vt:variant>
        <vt:i4>0</vt:i4>
      </vt:variant>
      <vt:variant>
        <vt:i4>5</vt:i4>
      </vt:variant>
      <vt:variant>
        <vt:lpwstr/>
      </vt:variant>
      <vt:variant>
        <vt:lpwstr>_Toc107329197</vt:lpwstr>
      </vt:variant>
      <vt:variant>
        <vt:i4>1310773</vt:i4>
      </vt:variant>
      <vt:variant>
        <vt:i4>38</vt:i4>
      </vt:variant>
      <vt:variant>
        <vt:i4>0</vt:i4>
      </vt:variant>
      <vt:variant>
        <vt:i4>5</vt:i4>
      </vt:variant>
      <vt:variant>
        <vt:lpwstr/>
      </vt:variant>
      <vt:variant>
        <vt:lpwstr>_Toc107329196</vt:lpwstr>
      </vt:variant>
      <vt:variant>
        <vt:i4>1310773</vt:i4>
      </vt:variant>
      <vt:variant>
        <vt:i4>32</vt:i4>
      </vt:variant>
      <vt:variant>
        <vt:i4>0</vt:i4>
      </vt:variant>
      <vt:variant>
        <vt:i4>5</vt:i4>
      </vt:variant>
      <vt:variant>
        <vt:lpwstr/>
      </vt:variant>
      <vt:variant>
        <vt:lpwstr>_Toc107329195</vt:lpwstr>
      </vt:variant>
      <vt:variant>
        <vt:i4>1310773</vt:i4>
      </vt:variant>
      <vt:variant>
        <vt:i4>26</vt:i4>
      </vt:variant>
      <vt:variant>
        <vt:i4>0</vt:i4>
      </vt:variant>
      <vt:variant>
        <vt:i4>5</vt:i4>
      </vt:variant>
      <vt:variant>
        <vt:lpwstr/>
      </vt:variant>
      <vt:variant>
        <vt:lpwstr>_Toc107329194</vt:lpwstr>
      </vt:variant>
      <vt:variant>
        <vt:i4>1310773</vt:i4>
      </vt:variant>
      <vt:variant>
        <vt:i4>20</vt:i4>
      </vt:variant>
      <vt:variant>
        <vt:i4>0</vt:i4>
      </vt:variant>
      <vt:variant>
        <vt:i4>5</vt:i4>
      </vt:variant>
      <vt:variant>
        <vt:lpwstr/>
      </vt:variant>
      <vt:variant>
        <vt:lpwstr>_Toc107329193</vt:lpwstr>
      </vt:variant>
      <vt:variant>
        <vt:i4>1310773</vt:i4>
      </vt:variant>
      <vt:variant>
        <vt:i4>14</vt:i4>
      </vt:variant>
      <vt:variant>
        <vt:i4>0</vt:i4>
      </vt:variant>
      <vt:variant>
        <vt:i4>5</vt:i4>
      </vt:variant>
      <vt:variant>
        <vt:lpwstr/>
      </vt:variant>
      <vt:variant>
        <vt:lpwstr>_Toc107329192</vt:lpwstr>
      </vt:variant>
      <vt:variant>
        <vt:i4>1310773</vt:i4>
      </vt:variant>
      <vt:variant>
        <vt:i4>8</vt:i4>
      </vt:variant>
      <vt:variant>
        <vt:i4>0</vt:i4>
      </vt:variant>
      <vt:variant>
        <vt:i4>5</vt:i4>
      </vt:variant>
      <vt:variant>
        <vt:lpwstr/>
      </vt:variant>
      <vt:variant>
        <vt:lpwstr>_Toc107329191</vt:lpwstr>
      </vt:variant>
      <vt:variant>
        <vt:i4>7667811</vt:i4>
      </vt:variant>
      <vt:variant>
        <vt:i4>3</vt:i4>
      </vt:variant>
      <vt:variant>
        <vt:i4>0</vt:i4>
      </vt:variant>
      <vt:variant>
        <vt:i4>5</vt:i4>
      </vt:variant>
      <vt:variant>
        <vt:lpwstr>https://www.gov.uk/dhsc</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ariant>
        <vt:i4>655363</vt:i4>
      </vt:variant>
      <vt:variant>
        <vt:i4>27</vt:i4>
      </vt:variant>
      <vt:variant>
        <vt:i4>0</vt:i4>
      </vt:variant>
      <vt:variant>
        <vt:i4>5</vt:i4>
      </vt:variant>
      <vt:variant>
        <vt:lpwstr>https://www.gov.uk/government/publications/executive-agencies-characteristics-and-governance</vt:lpwstr>
      </vt:variant>
      <vt:variant>
        <vt:lpwstr/>
      </vt:variant>
      <vt:variant>
        <vt:i4>458776</vt:i4>
      </vt:variant>
      <vt:variant>
        <vt:i4>24</vt:i4>
      </vt:variant>
      <vt:variant>
        <vt:i4>0</vt:i4>
      </vt:variant>
      <vt:variant>
        <vt:i4>5</vt:i4>
      </vt:variant>
      <vt:variant>
        <vt:lpwstr>https://www.gov.uk/government/publications/public-sector-internal-audit-standards</vt:lpwstr>
      </vt:variant>
      <vt:variant>
        <vt:lpwstr/>
      </vt:variant>
      <vt:variant>
        <vt:i4>5767246</vt:i4>
      </vt:variant>
      <vt:variant>
        <vt:i4>21</vt:i4>
      </vt:variant>
      <vt:variant>
        <vt:i4>0</vt:i4>
      </vt:variant>
      <vt:variant>
        <vt:i4>5</vt:i4>
      </vt:variant>
      <vt:variant>
        <vt:lpwstr>https://www.gov.uk/government/publications/public-sector-pay-and-terms-guidance-note</vt:lpwstr>
      </vt:variant>
      <vt:variant>
        <vt:lpwstr/>
      </vt:variant>
      <vt:variant>
        <vt:i4>8323133</vt:i4>
      </vt:variant>
      <vt:variant>
        <vt:i4>18</vt:i4>
      </vt:variant>
      <vt:variant>
        <vt:i4>0</vt:i4>
      </vt:variant>
      <vt:variant>
        <vt:i4>5</vt:i4>
      </vt:variant>
      <vt:variant>
        <vt:lpwstr>https://www.gov.uk/government/publications/senior-civil-service-pay-and-reward</vt:lpwstr>
      </vt:variant>
      <vt:variant>
        <vt:lpwstr/>
      </vt:variant>
      <vt:variant>
        <vt:i4>7995516</vt:i4>
      </vt:variant>
      <vt:variant>
        <vt:i4>15</vt:i4>
      </vt:variant>
      <vt:variant>
        <vt:i4>0</vt:i4>
      </vt:variant>
      <vt:variant>
        <vt:i4>5</vt:i4>
      </vt:variant>
      <vt:variant>
        <vt:lpwstr>https://www.gov.uk/government/publications/civil-servants-terms-and-conditions</vt:lpwstr>
      </vt:variant>
      <vt:variant>
        <vt:lpwstr/>
      </vt:variant>
      <vt:variant>
        <vt:i4>4849687</vt:i4>
      </vt:variant>
      <vt:variant>
        <vt:i4>12</vt:i4>
      </vt:variant>
      <vt:variant>
        <vt:i4>0</vt:i4>
      </vt:variant>
      <vt:variant>
        <vt:i4>5</vt:i4>
      </vt:variant>
      <vt:variant>
        <vt:lpwstr>https://www.gov.uk/government/publications/government-functional-standard-govs-013-counter-fraud</vt:lpwstr>
      </vt:variant>
      <vt:variant>
        <vt:lpwstr/>
      </vt:variant>
      <vt:variant>
        <vt:i4>8323128</vt:i4>
      </vt:variant>
      <vt:variant>
        <vt:i4>9</vt:i4>
      </vt:variant>
      <vt:variant>
        <vt:i4>0</vt:i4>
      </vt:variant>
      <vt:variant>
        <vt:i4>5</vt:i4>
      </vt:variant>
      <vt:variant>
        <vt:lpwstr>https://www.gov.uk/government/publications/orange-book</vt:lpwstr>
      </vt:variant>
      <vt:variant>
        <vt:lpwstr/>
      </vt:variant>
      <vt:variant>
        <vt:i4>8323111</vt:i4>
      </vt:variant>
      <vt:variant>
        <vt:i4>6</vt:i4>
      </vt:variant>
      <vt:variant>
        <vt:i4>0</vt:i4>
      </vt:variant>
      <vt:variant>
        <vt:i4>5</vt:i4>
      </vt:variant>
      <vt:variant>
        <vt:lpwstr>https://www.gov.uk/government/publications/grants-standards</vt:lpwstr>
      </vt:variant>
      <vt:variant>
        <vt:lpwstr/>
      </vt:variant>
      <vt:variant>
        <vt:i4>4915295</vt:i4>
      </vt:variant>
      <vt:variant>
        <vt:i4>3</vt:i4>
      </vt:variant>
      <vt:variant>
        <vt:i4>0</vt:i4>
      </vt:variant>
      <vt:variant>
        <vt:i4>5</vt:i4>
      </vt:variant>
      <vt:variant>
        <vt:lpwstr>https://www.gov.uk/government/publications/commercial-operating-standards-for-government</vt:lpwstr>
      </vt:variant>
      <vt:variant>
        <vt:lpwstr/>
      </vt:variant>
      <vt:variant>
        <vt:i4>7274556</vt:i4>
      </vt:variant>
      <vt:variant>
        <vt:i4>0</vt:i4>
      </vt:variant>
      <vt:variant>
        <vt:i4>0</vt:i4>
      </vt:variant>
      <vt:variant>
        <vt:i4>5</vt:i4>
      </vt:variant>
      <vt:variant>
        <vt:lpwstr>https://www.gov.uk/government/collections/functional-standards</vt:lpwstr>
      </vt:variant>
      <vt:variant>
        <vt:lpwstr/>
      </vt:variant>
      <vt:variant>
        <vt:i4>7602260</vt:i4>
      </vt:variant>
      <vt:variant>
        <vt:i4>0</vt:i4>
      </vt:variant>
      <vt:variant>
        <vt:i4>0</vt:i4>
      </vt:variant>
      <vt:variant>
        <vt:i4>5</vt:i4>
      </vt:variant>
      <vt:variant>
        <vt:lpwstr>mailto:philippa.weare@dhsc.gov.uk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2023.07.28 2022 MHRA Framework Agreement v0.93 - GB.docx</dc:title>
  <dc:subject/>
  <dc:creator>Alameddine, Dunia</dc:creator>
  <cp:keywords/>
  <dc:description/>
  <cp:lastModifiedBy>TOMPKINS, Sam</cp:lastModifiedBy>
  <cp:revision>2</cp:revision>
  <dcterms:created xsi:type="dcterms:W3CDTF">2024-02-01T20:15:00Z</dcterms:created>
  <dcterms:modified xsi:type="dcterms:W3CDTF">2024-02-01T20:15:00Z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0x0101008EB521D7F4453F4D8193168157C34577</vt:lpwstr>
  </property>
  <property fmtid="{D5CDD505-2E9C-101B-9397-08002B2CF9AE}" pid="3" name="HMT_Group">
    <vt:lpwstr>2;#Public Services|200a2968-f57d-4757-93d0-f532b12fee42</vt:lpwstr>
  </property>
  <property fmtid="{D5CDD505-2E9C-101B-9397-08002B2CF9AE}" pid="4" name="MediaServiceImageTags">
    <vt:lpwstr/>
  </property>
  <property fmtid="{D5CDD505-2E9C-101B-9397-08002B2CF9AE}" pid="5" name="HMT_Classification">
    <vt:lpwstr>5;#Official|0c3401bb-744b-4660-997f-fc50d910db48</vt:lpwstr>
  </property>
  <property fmtid="{D5CDD505-2E9C-101B-9397-08002B2CF9AE}" pid="6" name="HMT_SubTeam">
    <vt:lpwstr/>
  </property>
  <property fmtid="{D5CDD505-2E9C-101B-9397-08002B2CF9AE}" pid="7" name="HMT_Review">
    <vt:bool>false</vt:bool>
  </property>
  <property fmtid="{D5CDD505-2E9C-101B-9397-08002B2CF9AE}" pid="8" name="HMT_DocumentType">
    <vt:lpwstr>6;#Other|c235b5c2-f697-427b-a70a-43d69599f998</vt:lpwstr>
  </property>
  <property fmtid="{D5CDD505-2E9C-101B-9397-08002B2CF9AE}" pid="9" name="HMT_Team">
    <vt:lpwstr>85;#Treasury Officer of Accounts|d3c599de-ee76-4626-bd8d-0439044cb0da</vt:lpwstr>
  </property>
  <property fmtid="{D5CDD505-2E9C-101B-9397-08002B2CF9AE}" pid="10" name="HMT_Category">
    <vt:lpwstr>8;#Policy Document Types|bd4325a7-7f6a-48f9-b0dc-cc3aef626e65</vt:lpwstr>
  </property>
  <property fmtid="{D5CDD505-2E9C-101B-9397-08002B2CF9AE}" pid="11" name="_dlc_DocIdItemGuid">
    <vt:lpwstr>db79b566-6b1c-4d6a-9e7c-1724a75fc2b9</vt:lpwstr>
  </property>
  <property fmtid="{D5CDD505-2E9C-101B-9397-08002B2CF9AE}" pid="12" name="MSIP_Label_a8f77787-5df4-43b6-a2a8-8d8b678a318b_Enabled">
    <vt:lpwstr>true</vt:lpwstr>
  </property>
  <property fmtid="{D5CDD505-2E9C-101B-9397-08002B2CF9AE}" pid="13" name="MSIP_Label_a8f77787-5df4-43b6-a2a8-8d8b678a318b_SetDate">
    <vt:lpwstr>2024-02-01T20:15:57Z</vt:lpwstr>
  </property>
  <property fmtid="{D5CDD505-2E9C-101B-9397-08002B2CF9AE}" pid="14" name="MSIP_Label_a8f77787-5df4-43b6-a2a8-8d8b678a318b_Method">
    <vt:lpwstr>Standard</vt:lpwstr>
  </property>
  <property fmtid="{D5CDD505-2E9C-101B-9397-08002B2CF9AE}" pid="15" name="MSIP_Label_a8f77787-5df4-43b6-a2a8-8d8b678a318b_Name">
    <vt:lpwstr>a8f77787-5df4-43b6-a2a8-8d8b678a318b</vt:lpwstr>
  </property>
  <property fmtid="{D5CDD505-2E9C-101B-9397-08002B2CF9AE}" pid="16" name="MSIP_Label_a8f77787-5df4-43b6-a2a8-8d8b678a318b_SiteId">
    <vt:lpwstr>1ce6dd9e-b337-4088-be5e-8dbbec04b34a</vt:lpwstr>
  </property>
  <property fmtid="{D5CDD505-2E9C-101B-9397-08002B2CF9AE}" pid="17" name="MSIP_Label_a8f77787-5df4-43b6-a2a8-8d8b678a318b_ActionId">
    <vt:lpwstr>82b16a44-b3f5-4240-ada4-6462ff02f2e3</vt:lpwstr>
  </property>
  <property fmtid="{D5CDD505-2E9C-101B-9397-08002B2CF9AE}" pid="18" name="MSIP_Label_a8f77787-5df4-43b6-a2a8-8d8b678a318b_ContentBits">
    <vt:lpwstr>0</vt:lpwstr>
  </property>
</Properties>
</file>