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2CAA" w14:textId="47B987A6" w:rsidR="2B4ADA86" w:rsidRDefault="2B4ADA86" w:rsidP="2B4ADA86">
      <w:pPr>
        <w:sectPr w:rsidR="2B4ADA86" w:rsidSect="00B72132">
          <w:headerReference w:type="default" r:id="rId11"/>
          <w:headerReference w:type="first" r:id="rId12"/>
          <w:footerReference w:type="first" r:id="rId13"/>
          <w:pgSz w:w="11906" w:h="16838"/>
          <w:pgMar w:top="2268" w:right="1021" w:bottom="1021" w:left="1021" w:header="454" w:footer="556" w:gutter="0"/>
          <w:cols w:space="708"/>
          <w:titlePg/>
          <w:docGrid w:linePitch="360"/>
        </w:sectPr>
      </w:pPr>
    </w:p>
    <w:p w14:paraId="7F7338B9" w14:textId="50344069" w:rsidR="00F126B3" w:rsidRPr="00496A09" w:rsidRDefault="00622390" w:rsidP="00D85BC3">
      <w:pPr>
        <w:pStyle w:val="Subheading"/>
      </w:pPr>
      <w:r w:rsidRPr="00496A09">
        <w:t>Shaping the future delivery of NHS vaccination services</w:t>
      </w:r>
      <w:r w:rsidR="00B72132" w:rsidRPr="00496A09">
        <w:t xml:space="preserve"> </w:t>
      </w:r>
    </w:p>
    <w:p w14:paraId="47C0585F" w14:textId="5AD0D49F" w:rsidR="0064127F" w:rsidRPr="00496A09" w:rsidRDefault="275E950A" w:rsidP="0064127F">
      <w:pPr>
        <w:rPr>
          <w:sz w:val="28"/>
          <w:szCs w:val="28"/>
        </w:rPr>
      </w:pPr>
      <w:r w:rsidRPr="00496A09">
        <w:rPr>
          <w:color w:val="auto"/>
          <w:sz w:val="28"/>
          <w:szCs w:val="28"/>
        </w:rPr>
        <w:t>13</w:t>
      </w:r>
      <w:r w:rsidR="0064127F" w:rsidRPr="00496A09">
        <w:rPr>
          <w:color w:val="auto"/>
          <w:sz w:val="28"/>
          <w:szCs w:val="28"/>
        </w:rPr>
        <w:t xml:space="preserve"> </w:t>
      </w:r>
      <w:r w:rsidR="00563B09" w:rsidRPr="00496A09">
        <w:rPr>
          <w:sz w:val="28"/>
          <w:szCs w:val="28"/>
        </w:rPr>
        <w:t>December</w:t>
      </w:r>
      <w:r w:rsidR="0064127F" w:rsidRPr="00496A09">
        <w:rPr>
          <w:sz w:val="28"/>
          <w:szCs w:val="28"/>
        </w:rPr>
        <w:t xml:space="preserve"> 202</w:t>
      </w:r>
      <w:r w:rsidR="00131F3A" w:rsidRPr="00496A09">
        <w:rPr>
          <w:sz w:val="28"/>
          <w:szCs w:val="28"/>
        </w:rPr>
        <w:t>3</w:t>
      </w:r>
    </w:p>
    <w:p w14:paraId="02540B45" w14:textId="1DC513E8" w:rsidR="007375BC" w:rsidRPr="00496A09" w:rsidRDefault="007375BC" w:rsidP="007375BC">
      <w:r w:rsidRPr="00496A09">
        <w:rPr>
          <w:noProof/>
        </w:rPr>
        <w:drawing>
          <wp:inline distT="0" distB="0" distL="0" distR="0" wp14:anchorId="7B7A356E" wp14:editId="5E7ACB59">
            <wp:extent cx="6263640" cy="4720846"/>
            <wp:effectExtent l="0" t="0" r="3810" b="3810"/>
            <wp:docPr id="1872496100" name="Picture 1872496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263640" cy="4720846"/>
                    </a:xfrm>
                    <a:prstGeom prst="rect">
                      <a:avLst/>
                    </a:prstGeom>
                  </pic:spPr>
                </pic:pic>
              </a:graphicData>
            </a:graphic>
          </wp:inline>
        </w:drawing>
      </w:r>
    </w:p>
    <w:p w14:paraId="6D41057E" w14:textId="77777777" w:rsidR="007375BC" w:rsidRPr="00496A09" w:rsidRDefault="007375BC" w:rsidP="007375BC">
      <w:pPr>
        <w:sectPr w:rsidR="007375BC" w:rsidRPr="00496A09" w:rsidSect="00B72132">
          <w:footerReference w:type="default" r:id="rId15"/>
          <w:type w:val="continuous"/>
          <w:pgSz w:w="11906" w:h="16838"/>
          <w:pgMar w:top="1021" w:right="1021" w:bottom="1021" w:left="1021" w:header="454" w:footer="556" w:gutter="0"/>
          <w:cols w:space="708"/>
          <w:titlePg/>
          <w:docGrid w:linePitch="360"/>
        </w:sectPr>
      </w:pPr>
    </w:p>
    <w:sdt>
      <w:sdtPr>
        <w:rPr>
          <w:rFonts w:ascii="Arial" w:eastAsia="Times New Roman" w:hAnsi="Arial" w:cs="Times New Roman"/>
          <w:color w:val="000000"/>
          <w:sz w:val="24"/>
          <w:szCs w:val="24"/>
          <w:lang w:val="en-GB" w:eastAsia="en-US"/>
        </w:rPr>
        <w:id w:val="-843625442"/>
        <w:docPartObj>
          <w:docPartGallery w:val="Table of Contents"/>
          <w:docPartUnique/>
        </w:docPartObj>
      </w:sdtPr>
      <w:sdtEndPr>
        <w:rPr>
          <w:b/>
          <w:bCs/>
        </w:rPr>
      </w:sdtEndPr>
      <w:sdtContent>
        <w:p w14:paraId="7C33C81C" w14:textId="3C0E68AA" w:rsidR="00D572FD" w:rsidRPr="00496A09" w:rsidRDefault="00D572FD" w:rsidP="0038206F">
          <w:pPr>
            <w:pStyle w:val="TOCHeading"/>
            <w:numPr>
              <w:ilvl w:val="0"/>
              <w:numId w:val="0"/>
            </w:numPr>
            <w:ind w:left="360" w:hanging="360"/>
          </w:pPr>
          <w:r w:rsidRPr="00496A09">
            <w:t>Contents</w:t>
          </w:r>
        </w:p>
        <w:p w14:paraId="7C31189F" w14:textId="7BD3ECB1" w:rsidR="00ED262C" w:rsidRDefault="00D572FD">
          <w:pPr>
            <w:pStyle w:val="TOC2"/>
            <w:rPr>
              <w:rFonts w:asciiTheme="minorHAnsi" w:eastAsiaTheme="minorEastAsia" w:hAnsiTheme="minorHAnsi" w:cstheme="minorBidi"/>
              <w:color w:val="auto"/>
              <w:kern w:val="2"/>
              <w:sz w:val="22"/>
              <w:szCs w:val="22"/>
              <w:lang w:eastAsia="en-GB"/>
              <w14:ligatures w14:val="standardContextual"/>
            </w:rPr>
          </w:pPr>
          <w:r w:rsidRPr="00496A09">
            <w:fldChar w:fldCharType="begin"/>
          </w:r>
          <w:r w:rsidRPr="00496A09">
            <w:instrText xml:space="preserve"> TOC \o "1-3" \h \z \u </w:instrText>
          </w:r>
          <w:r w:rsidRPr="00496A09">
            <w:fldChar w:fldCharType="separate"/>
          </w:r>
          <w:hyperlink w:anchor="_Toc153264050" w:history="1">
            <w:r w:rsidR="00ED262C" w:rsidRPr="00DA7FA5">
              <w:rPr>
                <w:rStyle w:val="Hyperlink"/>
              </w:rPr>
              <w:t>Foreword</w:t>
            </w:r>
            <w:r w:rsidR="00ED262C">
              <w:rPr>
                <w:webHidden/>
              </w:rPr>
              <w:tab/>
            </w:r>
            <w:r w:rsidR="00ED262C">
              <w:rPr>
                <w:webHidden/>
              </w:rPr>
              <w:fldChar w:fldCharType="begin"/>
            </w:r>
            <w:r w:rsidR="00ED262C">
              <w:rPr>
                <w:webHidden/>
              </w:rPr>
              <w:instrText xml:space="preserve"> PAGEREF _Toc153264050 \h </w:instrText>
            </w:r>
            <w:r w:rsidR="00ED262C">
              <w:rPr>
                <w:webHidden/>
              </w:rPr>
            </w:r>
            <w:r w:rsidR="00ED262C">
              <w:rPr>
                <w:webHidden/>
              </w:rPr>
              <w:fldChar w:fldCharType="separate"/>
            </w:r>
            <w:r w:rsidR="00026E33">
              <w:rPr>
                <w:webHidden/>
              </w:rPr>
              <w:t>3</w:t>
            </w:r>
            <w:r w:rsidR="00ED262C">
              <w:rPr>
                <w:webHidden/>
              </w:rPr>
              <w:fldChar w:fldCharType="end"/>
            </w:r>
          </w:hyperlink>
        </w:p>
        <w:p w14:paraId="028A86DF" w14:textId="1FEBEACB" w:rsidR="00ED262C" w:rsidRDefault="002F5C0D">
          <w:pPr>
            <w:pStyle w:val="TOC2"/>
            <w:rPr>
              <w:rFonts w:asciiTheme="minorHAnsi" w:eastAsiaTheme="minorEastAsia" w:hAnsiTheme="minorHAnsi" w:cstheme="minorBidi"/>
              <w:color w:val="auto"/>
              <w:kern w:val="2"/>
              <w:sz w:val="22"/>
              <w:szCs w:val="22"/>
              <w:lang w:eastAsia="en-GB"/>
              <w14:ligatures w14:val="standardContextual"/>
            </w:rPr>
          </w:pPr>
          <w:hyperlink w:anchor="_Toc153264051" w:history="1">
            <w:r w:rsidR="00ED262C" w:rsidRPr="00DA7FA5">
              <w:rPr>
                <w:rStyle w:val="Hyperlink"/>
              </w:rPr>
              <w:t>Summary</w:t>
            </w:r>
            <w:r w:rsidR="00ED262C">
              <w:rPr>
                <w:webHidden/>
              </w:rPr>
              <w:tab/>
            </w:r>
            <w:r w:rsidR="00ED262C">
              <w:rPr>
                <w:webHidden/>
              </w:rPr>
              <w:fldChar w:fldCharType="begin"/>
            </w:r>
            <w:r w:rsidR="00ED262C">
              <w:rPr>
                <w:webHidden/>
              </w:rPr>
              <w:instrText xml:space="preserve"> PAGEREF _Toc153264051 \h </w:instrText>
            </w:r>
            <w:r w:rsidR="00ED262C">
              <w:rPr>
                <w:webHidden/>
              </w:rPr>
            </w:r>
            <w:r w:rsidR="00ED262C">
              <w:rPr>
                <w:webHidden/>
              </w:rPr>
              <w:fldChar w:fldCharType="separate"/>
            </w:r>
            <w:r w:rsidR="00026E33">
              <w:rPr>
                <w:webHidden/>
              </w:rPr>
              <w:t>7</w:t>
            </w:r>
            <w:r w:rsidR="00ED262C">
              <w:rPr>
                <w:webHidden/>
              </w:rPr>
              <w:fldChar w:fldCharType="end"/>
            </w:r>
          </w:hyperlink>
        </w:p>
        <w:p w14:paraId="1764DD46" w14:textId="36CB860A" w:rsidR="00ED262C" w:rsidRDefault="002F5C0D">
          <w:pPr>
            <w:pStyle w:val="TOC2"/>
            <w:rPr>
              <w:rFonts w:asciiTheme="minorHAnsi" w:eastAsiaTheme="minorEastAsia" w:hAnsiTheme="minorHAnsi" w:cstheme="minorBidi"/>
              <w:color w:val="auto"/>
              <w:kern w:val="2"/>
              <w:sz w:val="22"/>
              <w:szCs w:val="22"/>
              <w:lang w:eastAsia="en-GB"/>
              <w14:ligatures w14:val="standardContextual"/>
            </w:rPr>
          </w:pPr>
          <w:hyperlink w:anchor="_Toc153264052" w:history="1">
            <w:r w:rsidR="00ED262C" w:rsidRPr="00DA7FA5">
              <w:rPr>
                <w:rStyle w:val="Hyperlink"/>
              </w:rPr>
              <w:t>Our proposals</w:t>
            </w:r>
            <w:r w:rsidR="00ED262C">
              <w:rPr>
                <w:webHidden/>
              </w:rPr>
              <w:tab/>
            </w:r>
            <w:r w:rsidR="00ED262C">
              <w:rPr>
                <w:webHidden/>
              </w:rPr>
              <w:fldChar w:fldCharType="begin"/>
            </w:r>
            <w:r w:rsidR="00ED262C">
              <w:rPr>
                <w:webHidden/>
              </w:rPr>
              <w:instrText xml:space="preserve"> PAGEREF _Toc153264052 \h </w:instrText>
            </w:r>
            <w:r w:rsidR="00ED262C">
              <w:rPr>
                <w:webHidden/>
              </w:rPr>
            </w:r>
            <w:r w:rsidR="00ED262C">
              <w:rPr>
                <w:webHidden/>
              </w:rPr>
              <w:fldChar w:fldCharType="separate"/>
            </w:r>
            <w:r w:rsidR="00026E33">
              <w:rPr>
                <w:webHidden/>
              </w:rPr>
              <w:t>10</w:t>
            </w:r>
            <w:r w:rsidR="00ED262C">
              <w:rPr>
                <w:webHidden/>
              </w:rPr>
              <w:fldChar w:fldCharType="end"/>
            </w:r>
          </w:hyperlink>
        </w:p>
        <w:p w14:paraId="13898C1E" w14:textId="4E7CCA36" w:rsidR="00ED262C" w:rsidRDefault="002F5C0D">
          <w:pPr>
            <w:pStyle w:val="TOC2"/>
            <w:rPr>
              <w:rFonts w:asciiTheme="minorHAnsi" w:eastAsiaTheme="minorEastAsia" w:hAnsiTheme="minorHAnsi" w:cstheme="minorBidi"/>
              <w:color w:val="auto"/>
              <w:kern w:val="2"/>
              <w:sz w:val="22"/>
              <w:szCs w:val="22"/>
              <w:lang w:eastAsia="en-GB"/>
              <w14:ligatures w14:val="standardContextual"/>
            </w:rPr>
          </w:pPr>
          <w:hyperlink w:anchor="_Toc153264053" w:history="1">
            <w:r w:rsidR="00ED262C" w:rsidRPr="00DA7FA5">
              <w:rPr>
                <w:rStyle w:val="Hyperlink"/>
              </w:rPr>
              <w:t>1. Introduction</w:t>
            </w:r>
            <w:r w:rsidR="00ED262C">
              <w:rPr>
                <w:webHidden/>
              </w:rPr>
              <w:tab/>
            </w:r>
            <w:r w:rsidR="00ED262C">
              <w:rPr>
                <w:webHidden/>
              </w:rPr>
              <w:fldChar w:fldCharType="begin"/>
            </w:r>
            <w:r w:rsidR="00ED262C">
              <w:rPr>
                <w:webHidden/>
              </w:rPr>
              <w:instrText xml:space="preserve"> PAGEREF _Toc153264053 \h </w:instrText>
            </w:r>
            <w:r w:rsidR="00ED262C">
              <w:rPr>
                <w:webHidden/>
              </w:rPr>
            </w:r>
            <w:r w:rsidR="00ED262C">
              <w:rPr>
                <w:webHidden/>
              </w:rPr>
              <w:fldChar w:fldCharType="separate"/>
            </w:r>
            <w:r w:rsidR="00026E33">
              <w:rPr>
                <w:webHidden/>
              </w:rPr>
              <w:t>15</w:t>
            </w:r>
            <w:r w:rsidR="00ED262C">
              <w:rPr>
                <w:webHidden/>
              </w:rPr>
              <w:fldChar w:fldCharType="end"/>
            </w:r>
          </w:hyperlink>
        </w:p>
        <w:p w14:paraId="1ED12288" w14:textId="05B354A3" w:rsidR="00ED262C" w:rsidRDefault="002F5C0D">
          <w:pPr>
            <w:pStyle w:val="TOC3"/>
            <w:tabs>
              <w:tab w:val="left" w:pos="1100"/>
              <w:tab w:val="right" w:pos="9854"/>
            </w:tabs>
            <w:rPr>
              <w:noProof/>
              <w:color w:val="auto"/>
              <w:kern w:val="2"/>
              <w:sz w:val="22"/>
              <w:lang w:val="en-GB" w:eastAsia="en-GB"/>
              <w14:ligatures w14:val="standardContextual"/>
            </w:rPr>
          </w:pPr>
          <w:hyperlink w:anchor="_Toc153264054" w:history="1">
            <w:r w:rsidR="00ED262C" w:rsidRPr="00DA7FA5">
              <w:rPr>
                <w:rStyle w:val="Hyperlink"/>
                <w:noProof/>
              </w:rPr>
              <w:t>1.1</w:t>
            </w:r>
            <w:r w:rsidR="00ED262C">
              <w:rPr>
                <w:noProof/>
                <w:color w:val="auto"/>
                <w:kern w:val="2"/>
                <w:sz w:val="22"/>
                <w:lang w:val="en-GB" w:eastAsia="en-GB"/>
                <w14:ligatures w14:val="standardContextual"/>
              </w:rPr>
              <w:tab/>
            </w:r>
            <w:r w:rsidR="00ED262C" w:rsidRPr="00DA7FA5">
              <w:rPr>
                <w:rStyle w:val="Hyperlink"/>
                <w:noProof/>
              </w:rPr>
              <w:t>How we have developed this strategy</w:t>
            </w:r>
            <w:r w:rsidR="00ED262C">
              <w:rPr>
                <w:noProof/>
                <w:webHidden/>
              </w:rPr>
              <w:tab/>
            </w:r>
            <w:r w:rsidR="00ED262C">
              <w:rPr>
                <w:noProof/>
                <w:webHidden/>
              </w:rPr>
              <w:fldChar w:fldCharType="begin"/>
            </w:r>
            <w:r w:rsidR="00ED262C">
              <w:rPr>
                <w:noProof/>
                <w:webHidden/>
              </w:rPr>
              <w:instrText xml:space="preserve"> PAGEREF _Toc153264054 \h </w:instrText>
            </w:r>
            <w:r w:rsidR="00ED262C">
              <w:rPr>
                <w:noProof/>
                <w:webHidden/>
              </w:rPr>
            </w:r>
            <w:r w:rsidR="00ED262C">
              <w:rPr>
                <w:noProof/>
                <w:webHidden/>
              </w:rPr>
              <w:fldChar w:fldCharType="separate"/>
            </w:r>
            <w:r w:rsidR="00026E33">
              <w:rPr>
                <w:noProof/>
                <w:webHidden/>
              </w:rPr>
              <w:t>15</w:t>
            </w:r>
            <w:r w:rsidR="00ED262C">
              <w:rPr>
                <w:noProof/>
                <w:webHidden/>
              </w:rPr>
              <w:fldChar w:fldCharType="end"/>
            </w:r>
          </w:hyperlink>
        </w:p>
        <w:p w14:paraId="582687C2" w14:textId="02B9A88F" w:rsidR="00ED262C" w:rsidRDefault="002F5C0D">
          <w:pPr>
            <w:pStyle w:val="TOC3"/>
            <w:tabs>
              <w:tab w:val="left" w:pos="1100"/>
              <w:tab w:val="right" w:pos="9854"/>
            </w:tabs>
            <w:rPr>
              <w:noProof/>
              <w:color w:val="auto"/>
              <w:kern w:val="2"/>
              <w:sz w:val="22"/>
              <w:lang w:val="en-GB" w:eastAsia="en-GB"/>
              <w14:ligatures w14:val="standardContextual"/>
            </w:rPr>
          </w:pPr>
          <w:hyperlink w:anchor="_Toc153264055" w:history="1">
            <w:r w:rsidR="00ED262C" w:rsidRPr="00DA7FA5">
              <w:rPr>
                <w:rStyle w:val="Hyperlink"/>
                <w:noProof/>
              </w:rPr>
              <w:t>1.2</w:t>
            </w:r>
            <w:r w:rsidR="00ED262C">
              <w:rPr>
                <w:noProof/>
                <w:color w:val="auto"/>
                <w:kern w:val="2"/>
                <w:sz w:val="22"/>
                <w:lang w:val="en-GB" w:eastAsia="en-GB"/>
                <w14:ligatures w14:val="standardContextual"/>
              </w:rPr>
              <w:tab/>
            </w:r>
            <w:r w:rsidR="00ED262C" w:rsidRPr="00DA7FA5">
              <w:rPr>
                <w:rStyle w:val="Hyperlink"/>
                <w:noProof/>
              </w:rPr>
              <w:t>Terminology</w:t>
            </w:r>
            <w:r w:rsidR="00ED262C">
              <w:rPr>
                <w:noProof/>
                <w:webHidden/>
              </w:rPr>
              <w:tab/>
            </w:r>
            <w:r w:rsidR="00ED262C">
              <w:rPr>
                <w:noProof/>
                <w:webHidden/>
              </w:rPr>
              <w:fldChar w:fldCharType="begin"/>
            </w:r>
            <w:r w:rsidR="00ED262C">
              <w:rPr>
                <w:noProof/>
                <w:webHidden/>
              </w:rPr>
              <w:instrText xml:space="preserve"> PAGEREF _Toc153264055 \h </w:instrText>
            </w:r>
            <w:r w:rsidR="00ED262C">
              <w:rPr>
                <w:noProof/>
                <w:webHidden/>
              </w:rPr>
            </w:r>
            <w:r w:rsidR="00ED262C">
              <w:rPr>
                <w:noProof/>
                <w:webHidden/>
              </w:rPr>
              <w:fldChar w:fldCharType="separate"/>
            </w:r>
            <w:r w:rsidR="00026E33">
              <w:rPr>
                <w:noProof/>
                <w:webHidden/>
              </w:rPr>
              <w:t>15</w:t>
            </w:r>
            <w:r w:rsidR="00ED262C">
              <w:rPr>
                <w:noProof/>
                <w:webHidden/>
              </w:rPr>
              <w:fldChar w:fldCharType="end"/>
            </w:r>
          </w:hyperlink>
        </w:p>
        <w:p w14:paraId="5932FAD6" w14:textId="12A67E40" w:rsidR="00ED262C" w:rsidRDefault="002F5C0D">
          <w:pPr>
            <w:pStyle w:val="TOC2"/>
            <w:rPr>
              <w:rFonts w:asciiTheme="minorHAnsi" w:eastAsiaTheme="minorEastAsia" w:hAnsiTheme="minorHAnsi" w:cstheme="minorBidi"/>
              <w:color w:val="auto"/>
              <w:kern w:val="2"/>
              <w:sz w:val="22"/>
              <w:szCs w:val="22"/>
              <w:lang w:eastAsia="en-GB"/>
              <w14:ligatures w14:val="standardContextual"/>
            </w:rPr>
          </w:pPr>
          <w:hyperlink w:anchor="_Toc153264056" w:history="1">
            <w:r w:rsidR="00ED262C" w:rsidRPr="00DA7FA5">
              <w:rPr>
                <w:rStyle w:val="Hyperlink"/>
              </w:rPr>
              <w:t>2. Why do we need a strategy for the delivery of vaccination services?</w:t>
            </w:r>
            <w:r w:rsidR="00ED262C">
              <w:rPr>
                <w:webHidden/>
              </w:rPr>
              <w:tab/>
            </w:r>
            <w:r w:rsidR="00ED262C">
              <w:rPr>
                <w:webHidden/>
              </w:rPr>
              <w:fldChar w:fldCharType="begin"/>
            </w:r>
            <w:r w:rsidR="00ED262C">
              <w:rPr>
                <w:webHidden/>
              </w:rPr>
              <w:instrText xml:space="preserve"> PAGEREF _Toc153264056 \h </w:instrText>
            </w:r>
            <w:r w:rsidR="00ED262C">
              <w:rPr>
                <w:webHidden/>
              </w:rPr>
            </w:r>
            <w:r w:rsidR="00ED262C">
              <w:rPr>
                <w:webHidden/>
              </w:rPr>
              <w:fldChar w:fldCharType="separate"/>
            </w:r>
            <w:r w:rsidR="00026E33">
              <w:rPr>
                <w:webHidden/>
              </w:rPr>
              <w:t>16</w:t>
            </w:r>
            <w:r w:rsidR="00ED262C">
              <w:rPr>
                <w:webHidden/>
              </w:rPr>
              <w:fldChar w:fldCharType="end"/>
            </w:r>
          </w:hyperlink>
        </w:p>
        <w:p w14:paraId="13CDCA06" w14:textId="55F91ED7" w:rsidR="00ED262C" w:rsidRDefault="002F5C0D">
          <w:pPr>
            <w:pStyle w:val="TOC3"/>
            <w:tabs>
              <w:tab w:val="left" w:pos="1100"/>
              <w:tab w:val="right" w:pos="9854"/>
            </w:tabs>
            <w:rPr>
              <w:noProof/>
              <w:color w:val="auto"/>
              <w:kern w:val="2"/>
              <w:sz w:val="22"/>
              <w:lang w:val="en-GB" w:eastAsia="en-GB"/>
              <w14:ligatures w14:val="standardContextual"/>
            </w:rPr>
          </w:pPr>
          <w:hyperlink w:anchor="_Toc153264057" w:history="1">
            <w:r w:rsidR="00ED262C" w:rsidRPr="00DA7FA5">
              <w:rPr>
                <w:rStyle w:val="Hyperlink"/>
                <w:noProof/>
              </w:rPr>
              <w:t>2.1</w:t>
            </w:r>
            <w:r w:rsidR="00ED262C">
              <w:rPr>
                <w:noProof/>
                <w:color w:val="auto"/>
                <w:kern w:val="2"/>
                <w:sz w:val="22"/>
                <w:lang w:val="en-GB" w:eastAsia="en-GB"/>
                <w14:ligatures w14:val="standardContextual"/>
              </w:rPr>
              <w:tab/>
            </w:r>
            <w:r w:rsidR="00ED262C" w:rsidRPr="00DA7FA5">
              <w:rPr>
                <w:rStyle w:val="Hyperlink"/>
                <w:noProof/>
              </w:rPr>
              <w:t>The importance of vaccination</w:t>
            </w:r>
            <w:r w:rsidR="00ED262C">
              <w:rPr>
                <w:noProof/>
                <w:webHidden/>
              </w:rPr>
              <w:tab/>
            </w:r>
            <w:r w:rsidR="00ED262C">
              <w:rPr>
                <w:noProof/>
                <w:webHidden/>
              </w:rPr>
              <w:fldChar w:fldCharType="begin"/>
            </w:r>
            <w:r w:rsidR="00ED262C">
              <w:rPr>
                <w:noProof/>
                <w:webHidden/>
              </w:rPr>
              <w:instrText xml:space="preserve"> PAGEREF _Toc153264057 \h </w:instrText>
            </w:r>
            <w:r w:rsidR="00ED262C">
              <w:rPr>
                <w:noProof/>
                <w:webHidden/>
              </w:rPr>
            </w:r>
            <w:r w:rsidR="00ED262C">
              <w:rPr>
                <w:noProof/>
                <w:webHidden/>
              </w:rPr>
              <w:fldChar w:fldCharType="separate"/>
            </w:r>
            <w:r w:rsidR="00026E33">
              <w:rPr>
                <w:noProof/>
                <w:webHidden/>
              </w:rPr>
              <w:t>16</w:t>
            </w:r>
            <w:r w:rsidR="00ED262C">
              <w:rPr>
                <w:noProof/>
                <w:webHidden/>
              </w:rPr>
              <w:fldChar w:fldCharType="end"/>
            </w:r>
          </w:hyperlink>
        </w:p>
        <w:p w14:paraId="58CBF955" w14:textId="7B36352A" w:rsidR="00ED262C" w:rsidRDefault="002F5C0D">
          <w:pPr>
            <w:pStyle w:val="TOC3"/>
            <w:tabs>
              <w:tab w:val="left" w:pos="1100"/>
              <w:tab w:val="right" w:pos="9854"/>
            </w:tabs>
            <w:rPr>
              <w:noProof/>
              <w:color w:val="auto"/>
              <w:kern w:val="2"/>
              <w:sz w:val="22"/>
              <w:lang w:val="en-GB" w:eastAsia="en-GB"/>
              <w14:ligatures w14:val="standardContextual"/>
            </w:rPr>
          </w:pPr>
          <w:hyperlink w:anchor="_Toc153264058" w:history="1">
            <w:r w:rsidR="00ED262C" w:rsidRPr="00DA7FA5">
              <w:rPr>
                <w:rStyle w:val="Hyperlink"/>
                <w:noProof/>
              </w:rPr>
              <w:t>2.2</w:t>
            </w:r>
            <w:r w:rsidR="00ED262C">
              <w:rPr>
                <w:noProof/>
                <w:color w:val="auto"/>
                <w:kern w:val="2"/>
                <w:sz w:val="22"/>
                <w:lang w:val="en-GB" w:eastAsia="en-GB"/>
                <w14:ligatures w14:val="standardContextual"/>
              </w:rPr>
              <w:tab/>
            </w:r>
            <w:r w:rsidR="00ED262C" w:rsidRPr="00DA7FA5">
              <w:rPr>
                <w:rStyle w:val="Hyperlink"/>
                <w:noProof/>
              </w:rPr>
              <w:t>Building on our successes</w:t>
            </w:r>
            <w:r w:rsidR="00ED262C">
              <w:rPr>
                <w:noProof/>
                <w:webHidden/>
              </w:rPr>
              <w:tab/>
            </w:r>
            <w:r w:rsidR="00ED262C">
              <w:rPr>
                <w:noProof/>
                <w:webHidden/>
              </w:rPr>
              <w:fldChar w:fldCharType="begin"/>
            </w:r>
            <w:r w:rsidR="00ED262C">
              <w:rPr>
                <w:noProof/>
                <w:webHidden/>
              </w:rPr>
              <w:instrText xml:space="preserve"> PAGEREF _Toc153264058 \h </w:instrText>
            </w:r>
            <w:r w:rsidR="00ED262C">
              <w:rPr>
                <w:noProof/>
                <w:webHidden/>
              </w:rPr>
            </w:r>
            <w:r w:rsidR="00ED262C">
              <w:rPr>
                <w:noProof/>
                <w:webHidden/>
              </w:rPr>
              <w:fldChar w:fldCharType="separate"/>
            </w:r>
            <w:r w:rsidR="00026E33">
              <w:rPr>
                <w:noProof/>
                <w:webHidden/>
              </w:rPr>
              <w:t>17</w:t>
            </w:r>
            <w:r w:rsidR="00ED262C">
              <w:rPr>
                <w:noProof/>
                <w:webHidden/>
              </w:rPr>
              <w:fldChar w:fldCharType="end"/>
            </w:r>
          </w:hyperlink>
        </w:p>
        <w:p w14:paraId="242911B7" w14:textId="1D2F8E64" w:rsidR="00ED262C" w:rsidRDefault="002F5C0D">
          <w:pPr>
            <w:pStyle w:val="TOC3"/>
            <w:tabs>
              <w:tab w:val="left" w:pos="1100"/>
              <w:tab w:val="right" w:pos="9854"/>
            </w:tabs>
            <w:rPr>
              <w:noProof/>
              <w:color w:val="auto"/>
              <w:kern w:val="2"/>
              <w:sz w:val="22"/>
              <w:lang w:val="en-GB" w:eastAsia="en-GB"/>
              <w14:ligatures w14:val="standardContextual"/>
            </w:rPr>
          </w:pPr>
          <w:hyperlink w:anchor="_Toc153264059" w:history="1">
            <w:r w:rsidR="00ED262C" w:rsidRPr="00DA7FA5">
              <w:rPr>
                <w:rStyle w:val="Hyperlink"/>
                <w:noProof/>
              </w:rPr>
              <w:t>2.3</w:t>
            </w:r>
            <w:r w:rsidR="00ED262C">
              <w:rPr>
                <w:noProof/>
                <w:color w:val="auto"/>
                <w:kern w:val="2"/>
                <w:sz w:val="22"/>
                <w:lang w:val="en-GB" w:eastAsia="en-GB"/>
                <w14:ligatures w14:val="standardContextual"/>
              </w:rPr>
              <w:tab/>
            </w:r>
            <w:r w:rsidR="00ED262C" w:rsidRPr="00DA7FA5">
              <w:rPr>
                <w:rStyle w:val="Hyperlink"/>
                <w:noProof/>
              </w:rPr>
              <w:t>What we have heard</w:t>
            </w:r>
            <w:r w:rsidR="00ED262C">
              <w:rPr>
                <w:noProof/>
                <w:webHidden/>
              </w:rPr>
              <w:tab/>
            </w:r>
            <w:r w:rsidR="00ED262C">
              <w:rPr>
                <w:noProof/>
                <w:webHidden/>
              </w:rPr>
              <w:fldChar w:fldCharType="begin"/>
            </w:r>
            <w:r w:rsidR="00ED262C">
              <w:rPr>
                <w:noProof/>
                <w:webHidden/>
              </w:rPr>
              <w:instrText xml:space="preserve"> PAGEREF _Toc153264059 \h </w:instrText>
            </w:r>
            <w:r w:rsidR="00ED262C">
              <w:rPr>
                <w:noProof/>
                <w:webHidden/>
              </w:rPr>
            </w:r>
            <w:r w:rsidR="00ED262C">
              <w:rPr>
                <w:noProof/>
                <w:webHidden/>
              </w:rPr>
              <w:fldChar w:fldCharType="separate"/>
            </w:r>
            <w:r w:rsidR="00026E33">
              <w:rPr>
                <w:noProof/>
                <w:webHidden/>
              </w:rPr>
              <w:t>19</w:t>
            </w:r>
            <w:r w:rsidR="00ED262C">
              <w:rPr>
                <w:noProof/>
                <w:webHidden/>
              </w:rPr>
              <w:fldChar w:fldCharType="end"/>
            </w:r>
          </w:hyperlink>
        </w:p>
        <w:p w14:paraId="5699592B" w14:textId="0A690A1A" w:rsidR="00ED262C" w:rsidRDefault="002F5C0D">
          <w:pPr>
            <w:pStyle w:val="TOC2"/>
            <w:rPr>
              <w:rFonts w:asciiTheme="minorHAnsi" w:eastAsiaTheme="minorEastAsia" w:hAnsiTheme="minorHAnsi" w:cstheme="minorBidi"/>
              <w:color w:val="auto"/>
              <w:kern w:val="2"/>
              <w:sz w:val="22"/>
              <w:szCs w:val="22"/>
              <w:lang w:eastAsia="en-GB"/>
              <w14:ligatures w14:val="standardContextual"/>
            </w:rPr>
          </w:pPr>
          <w:hyperlink w:anchor="_Toc153264060" w:history="1">
            <w:r w:rsidR="00ED262C" w:rsidRPr="00DA7FA5">
              <w:rPr>
                <w:rStyle w:val="Hyperlink"/>
              </w:rPr>
              <w:t>3. Vaccination delivery networks</w:t>
            </w:r>
            <w:r w:rsidR="00ED262C">
              <w:rPr>
                <w:webHidden/>
              </w:rPr>
              <w:tab/>
            </w:r>
            <w:r w:rsidR="00ED262C">
              <w:rPr>
                <w:webHidden/>
              </w:rPr>
              <w:fldChar w:fldCharType="begin"/>
            </w:r>
            <w:r w:rsidR="00ED262C">
              <w:rPr>
                <w:webHidden/>
              </w:rPr>
              <w:instrText xml:space="preserve"> PAGEREF _Toc153264060 \h </w:instrText>
            </w:r>
            <w:r w:rsidR="00ED262C">
              <w:rPr>
                <w:webHidden/>
              </w:rPr>
            </w:r>
            <w:r w:rsidR="00ED262C">
              <w:rPr>
                <w:webHidden/>
              </w:rPr>
              <w:fldChar w:fldCharType="separate"/>
            </w:r>
            <w:r w:rsidR="00026E33">
              <w:rPr>
                <w:webHidden/>
              </w:rPr>
              <w:t>21</w:t>
            </w:r>
            <w:r w:rsidR="00ED262C">
              <w:rPr>
                <w:webHidden/>
              </w:rPr>
              <w:fldChar w:fldCharType="end"/>
            </w:r>
          </w:hyperlink>
        </w:p>
        <w:p w14:paraId="53FEAF98" w14:textId="18C43D54" w:rsidR="00ED262C" w:rsidRDefault="002F5C0D">
          <w:pPr>
            <w:pStyle w:val="TOC3"/>
            <w:tabs>
              <w:tab w:val="left" w:pos="1100"/>
              <w:tab w:val="right" w:pos="9854"/>
            </w:tabs>
            <w:rPr>
              <w:noProof/>
              <w:color w:val="auto"/>
              <w:kern w:val="2"/>
              <w:sz w:val="22"/>
              <w:lang w:val="en-GB" w:eastAsia="en-GB"/>
              <w14:ligatures w14:val="standardContextual"/>
            </w:rPr>
          </w:pPr>
          <w:hyperlink w:anchor="_Toc153264061" w:history="1">
            <w:r w:rsidR="00ED262C" w:rsidRPr="00DA7FA5">
              <w:rPr>
                <w:rStyle w:val="Hyperlink"/>
                <w:noProof/>
              </w:rPr>
              <w:t>3.1</w:t>
            </w:r>
            <w:r w:rsidR="00ED262C">
              <w:rPr>
                <w:noProof/>
                <w:color w:val="auto"/>
                <w:kern w:val="2"/>
                <w:sz w:val="22"/>
                <w:lang w:val="en-GB" w:eastAsia="en-GB"/>
                <w14:ligatures w14:val="standardContextual"/>
              </w:rPr>
              <w:tab/>
            </w:r>
            <w:r w:rsidR="00ED262C" w:rsidRPr="00DA7FA5">
              <w:rPr>
                <w:rStyle w:val="Hyperlink"/>
                <w:noProof/>
              </w:rPr>
              <w:t>A simple and convenient vaccination ‘front door’</w:t>
            </w:r>
            <w:r w:rsidR="00ED262C">
              <w:rPr>
                <w:noProof/>
                <w:webHidden/>
              </w:rPr>
              <w:tab/>
            </w:r>
            <w:r w:rsidR="00ED262C">
              <w:rPr>
                <w:noProof/>
                <w:webHidden/>
              </w:rPr>
              <w:fldChar w:fldCharType="begin"/>
            </w:r>
            <w:r w:rsidR="00ED262C">
              <w:rPr>
                <w:noProof/>
                <w:webHidden/>
              </w:rPr>
              <w:instrText xml:space="preserve"> PAGEREF _Toc153264061 \h </w:instrText>
            </w:r>
            <w:r w:rsidR="00ED262C">
              <w:rPr>
                <w:noProof/>
                <w:webHidden/>
              </w:rPr>
            </w:r>
            <w:r w:rsidR="00ED262C">
              <w:rPr>
                <w:noProof/>
                <w:webHidden/>
              </w:rPr>
              <w:fldChar w:fldCharType="separate"/>
            </w:r>
            <w:r w:rsidR="00026E33">
              <w:rPr>
                <w:noProof/>
                <w:webHidden/>
              </w:rPr>
              <w:t>21</w:t>
            </w:r>
            <w:r w:rsidR="00ED262C">
              <w:rPr>
                <w:noProof/>
                <w:webHidden/>
              </w:rPr>
              <w:fldChar w:fldCharType="end"/>
            </w:r>
          </w:hyperlink>
        </w:p>
        <w:p w14:paraId="6CA3466A" w14:textId="0A720AA8" w:rsidR="00ED262C" w:rsidRDefault="002F5C0D">
          <w:pPr>
            <w:pStyle w:val="TOC3"/>
            <w:tabs>
              <w:tab w:val="left" w:pos="1100"/>
              <w:tab w:val="right" w:pos="9854"/>
            </w:tabs>
            <w:rPr>
              <w:noProof/>
              <w:color w:val="auto"/>
              <w:kern w:val="2"/>
              <w:sz w:val="22"/>
              <w:lang w:val="en-GB" w:eastAsia="en-GB"/>
              <w14:ligatures w14:val="standardContextual"/>
            </w:rPr>
          </w:pPr>
          <w:hyperlink w:anchor="_Toc153264062" w:history="1">
            <w:r w:rsidR="00ED262C" w:rsidRPr="00DA7FA5">
              <w:rPr>
                <w:rStyle w:val="Hyperlink"/>
                <w:noProof/>
              </w:rPr>
              <w:t>3.2</w:t>
            </w:r>
            <w:r w:rsidR="00ED262C">
              <w:rPr>
                <w:noProof/>
                <w:color w:val="auto"/>
                <w:kern w:val="2"/>
                <w:sz w:val="22"/>
                <w:lang w:val="en-GB" w:eastAsia="en-GB"/>
                <w14:ligatures w14:val="standardContextual"/>
              </w:rPr>
              <w:tab/>
            </w:r>
            <w:r w:rsidR="00ED262C" w:rsidRPr="00DA7FA5">
              <w:rPr>
                <w:rStyle w:val="Hyperlink"/>
                <w:noProof/>
              </w:rPr>
              <w:t>Targeted outreach services for underserved populations</w:t>
            </w:r>
            <w:r w:rsidR="00ED262C">
              <w:rPr>
                <w:noProof/>
                <w:webHidden/>
              </w:rPr>
              <w:tab/>
            </w:r>
            <w:r w:rsidR="00ED262C">
              <w:rPr>
                <w:noProof/>
                <w:webHidden/>
              </w:rPr>
              <w:fldChar w:fldCharType="begin"/>
            </w:r>
            <w:r w:rsidR="00ED262C">
              <w:rPr>
                <w:noProof/>
                <w:webHidden/>
              </w:rPr>
              <w:instrText xml:space="preserve"> PAGEREF _Toc153264062 \h </w:instrText>
            </w:r>
            <w:r w:rsidR="00ED262C">
              <w:rPr>
                <w:noProof/>
                <w:webHidden/>
              </w:rPr>
            </w:r>
            <w:r w:rsidR="00ED262C">
              <w:rPr>
                <w:noProof/>
                <w:webHidden/>
              </w:rPr>
              <w:fldChar w:fldCharType="separate"/>
            </w:r>
            <w:r w:rsidR="00026E33">
              <w:rPr>
                <w:noProof/>
                <w:webHidden/>
              </w:rPr>
              <w:t>29</w:t>
            </w:r>
            <w:r w:rsidR="00ED262C">
              <w:rPr>
                <w:noProof/>
                <w:webHidden/>
              </w:rPr>
              <w:fldChar w:fldCharType="end"/>
            </w:r>
          </w:hyperlink>
        </w:p>
        <w:p w14:paraId="4ED13570" w14:textId="71900C96" w:rsidR="00ED262C" w:rsidRDefault="002F5C0D">
          <w:pPr>
            <w:pStyle w:val="TOC3"/>
            <w:tabs>
              <w:tab w:val="left" w:pos="1100"/>
              <w:tab w:val="right" w:pos="9854"/>
            </w:tabs>
            <w:rPr>
              <w:noProof/>
              <w:color w:val="auto"/>
              <w:kern w:val="2"/>
              <w:sz w:val="22"/>
              <w:lang w:val="en-GB" w:eastAsia="en-GB"/>
              <w14:ligatures w14:val="standardContextual"/>
            </w:rPr>
          </w:pPr>
          <w:hyperlink w:anchor="_Toc153264063" w:history="1">
            <w:r w:rsidR="00ED262C" w:rsidRPr="00DA7FA5">
              <w:rPr>
                <w:rStyle w:val="Hyperlink"/>
                <w:noProof/>
              </w:rPr>
              <w:t>3.3</w:t>
            </w:r>
            <w:r w:rsidR="00ED262C">
              <w:rPr>
                <w:noProof/>
                <w:color w:val="auto"/>
                <w:kern w:val="2"/>
                <w:sz w:val="22"/>
                <w:lang w:val="en-GB" w:eastAsia="en-GB"/>
                <w14:ligatures w14:val="standardContextual"/>
              </w:rPr>
              <w:tab/>
            </w:r>
            <w:r w:rsidR="00ED262C" w:rsidRPr="00DA7FA5">
              <w:rPr>
                <w:rStyle w:val="Hyperlink"/>
                <w:noProof/>
              </w:rPr>
              <w:t>Integrated teams who put vaccination at the heart of prevention and wellbeing</w:t>
            </w:r>
            <w:r w:rsidR="00ED262C">
              <w:rPr>
                <w:noProof/>
                <w:webHidden/>
              </w:rPr>
              <w:tab/>
            </w:r>
            <w:r w:rsidR="00ED262C">
              <w:rPr>
                <w:noProof/>
                <w:webHidden/>
              </w:rPr>
              <w:fldChar w:fldCharType="begin"/>
            </w:r>
            <w:r w:rsidR="00ED262C">
              <w:rPr>
                <w:noProof/>
                <w:webHidden/>
              </w:rPr>
              <w:instrText xml:space="preserve"> PAGEREF _Toc153264063 \h </w:instrText>
            </w:r>
            <w:r w:rsidR="00ED262C">
              <w:rPr>
                <w:noProof/>
                <w:webHidden/>
              </w:rPr>
            </w:r>
            <w:r w:rsidR="00ED262C">
              <w:rPr>
                <w:noProof/>
                <w:webHidden/>
              </w:rPr>
              <w:fldChar w:fldCharType="separate"/>
            </w:r>
            <w:r w:rsidR="00026E33">
              <w:rPr>
                <w:noProof/>
                <w:webHidden/>
              </w:rPr>
              <w:t>35</w:t>
            </w:r>
            <w:r w:rsidR="00ED262C">
              <w:rPr>
                <w:noProof/>
                <w:webHidden/>
              </w:rPr>
              <w:fldChar w:fldCharType="end"/>
            </w:r>
          </w:hyperlink>
        </w:p>
        <w:p w14:paraId="4AFBD6F0" w14:textId="30788F4B" w:rsidR="00ED262C" w:rsidRDefault="002F5C0D">
          <w:pPr>
            <w:pStyle w:val="TOC2"/>
            <w:rPr>
              <w:rFonts w:asciiTheme="minorHAnsi" w:eastAsiaTheme="minorEastAsia" w:hAnsiTheme="minorHAnsi" w:cstheme="minorBidi"/>
              <w:color w:val="auto"/>
              <w:kern w:val="2"/>
              <w:sz w:val="22"/>
              <w:szCs w:val="22"/>
              <w:lang w:eastAsia="en-GB"/>
              <w14:ligatures w14:val="standardContextual"/>
            </w:rPr>
          </w:pPr>
          <w:hyperlink w:anchor="_Toc153264064" w:history="1">
            <w:r w:rsidR="00ED262C" w:rsidRPr="00DA7FA5">
              <w:rPr>
                <w:rStyle w:val="Hyperlink"/>
              </w:rPr>
              <w:t>4. How we will collaboratively deliver</w:t>
            </w:r>
            <w:r w:rsidR="00ED262C">
              <w:rPr>
                <w:webHidden/>
              </w:rPr>
              <w:tab/>
            </w:r>
            <w:r w:rsidR="00ED262C">
              <w:rPr>
                <w:webHidden/>
              </w:rPr>
              <w:fldChar w:fldCharType="begin"/>
            </w:r>
            <w:r w:rsidR="00ED262C">
              <w:rPr>
                <w:webHidden/>
              </w:rPr>
              <w:instrText xml:space="preserve"> PAGEREF _Toc153264064 \h </w:instrText>
            </w:r>
            <w:r w:rsidR="00ED262C">
              <w:rPr>
                <w:webHidden/>
              </w:rPr>
            </w:r>
            <w:r w:rsidR="00ED262C">
              <w:rPr>
                <w:webHidden/>
              </w:rPr>
              <w:fldChar w:fldCharType="separate"/>
            </w:r>
            <w:r w:rsidR="00026E33">
              <w:rPr>
                <w:webHidden/>
              </w:rPr>
              <w:t>38</w:t>
            </w:r>
            <w:r w:rsidR="00ED262C">
              <w:rPr>
                <w:webHidden/>
              </w:rPr>
              <w:fldChar w:fldCharType="end"/>
            </w:r>
          </w:hyperlink>
        </w:p>
        <w:p w14:paraId="3A719971" w14:textId="469E295D" w:rsidR="00ED262C" w:rsidRDefault="002F5C0D">
          <w:pPr>
            <w:pStyle w:val="TOC3"/>
            <w:tabs>
              <w:tab w:val="left" w:pos="1100"/>
              <w:tab w:val="right" w:pos="9854"/>
            </w:tabs>
            <w:rPr>
              <w:noProof/>
              <w:color w:val="auto"/>
              <w:kern w:val="2"/>
              <w:sz w:val="22"/>
              <w:lang w:val="en-GB" w:eastAsia="en-GB"/>
              <w14:ligatures w14:val="standardContextual"/>
            </w:rPr>
          </w:pPr>
          <w:hyperlink w:anchor="_Toc153264065" w:history="1">
            <w:r w:rsidR="00ED262C" w:rsidRPr="00DA7FA5">
              <w:rPr>
                <w:rStyle w:val="Hyperlink"/>
                <w:noProof/>
              </w:rPr>
              <w:t>4.1</w:t>
            </w:r>
            <w:r w:rsidR="00ED262C">
              <w:rPr>
                <w:noProof/>
                <w:color w:val="auto"/>
                <w:kern w:val="2"/>
                <w:sz w:val="22"/>
                <w:lang w:val="en-GB" w:eastAsia="en-GB"/>
                <w14:ligatures w14:val="standardContextual"/>
              </w:rPr>
              <w:tab/>
            </w:r>
            <w:r w:rsidR="00ED262C" w:rsidRPr="00DA7FA5">
              <w:rPr>
                <w:rStyle w:val="Hyperlink"/>
                <w:noProof/>
              </w:rPr>
              <w:t>Strong system leadership</w:t>
            </w:r>
            <w:r w:rsidR="00ED262C">
              <w:rPr>
                <w:noProof/>
                <w:webHidden/>
              </w:rPr>
              <w:tab/>
            </w:r>
            <w:r w:rsidR="00ED262C">
              <w:rPr>
                <w:noProof/>
                <w:webHidden/>
              </w:rPr>
              <w:fldChar w:fldCharType="begin"/>
            </w:r>
            <w:r w:rsidR="00ED262C">
              <w:rPr>
                <w:noProof/>
                <w:webHidden/>
              </w:rPr>
              <w:instrText xml:space="preserve"> PAGEREF _Toc153264065 \h </w:instrText>
            </w:r>
            <w:r w:rsidR="00ED262C">
              <w:rPr>
                <w:noProof/>
                <w:webHidden/>
              </w:rPr>
            </w:r>
            <w:r w:rsidR="00ED262C">
              <w:rPr>
                <w:noProof/>
                <w:webHidden/>
              </w:rPr>
              <w:fldChar w:fldCharType="separate"/>
            </w:r>
            <w:r w:rsidR="00026E33">
              <w:rPr>
                <w:noProof/>
                <w:webHidden/>
              </w:rPr>
              <w:t>38</w:t>
            </w:r>
            <w:r w:rsidR="00ED262C">
              <w:rPr>
                <w:noProof/>
                <w:webHidden/>
              </w:rPr>
              <w:fldChar w:fldCharType="end"/>
            </w:r>
          </w:hyperlink>
        </w:p>
        <w:p w14:paraId="33185F3D" w14:textId="3B6B1ED3" w:rsidR="00ED262C" w:rsidRDefault="002F5C0D">
          <w:pPr>
            <w:pStyle w:val="TOC3"/>
            <w:tabs>
              <w:tab w:val="left" w:pos="1100"/>
              <w:tab w:val="right" w:pos="9854"/>
            </w:tabs>
            <w:rPr>
              <w:noProof/>
              <w:color w:val="auto"/>
              <w:kern w:val="2"/>
              <w:sz w:val="22"/>
              <w:lang w:val="en-GB" w:eastAsia="en-GB"/>
              <w14:ligatures w14:val="standardContextual"/>
            </w:rPr>
          </w:pPr>
          <w:hyperlink w:anchor="_Toc153264066" w:history="1">
            <w:r w:rsidR="00ED262C" w:rsidRPr="00DA7FA5">
              <w:rPr>
                <w:rStyle w:val="Hyperlink"/>
                <w:noProof/>
              </w:rPr>
              <w:t>4.2</w:t>
            </w:r>
            <w:r w:rsidR="00ED262C">
              <w:rPr>
                <w:noProof/>
                <w:color w:val="auto"/>
                <w:kern w:val="2"/>
                <w:sz w:val="22"/>
                <w:lang w:val="en-GB" w:eastAsia="en-GB"/>
                <w14:ligatures w14:val="standardContextual"/>
              </w:rPr>
              <w:tab/>
            </w:r>
            <w:r w:rsidR="00ED262C" w:rsidRPr="00DA7FA5">
              <w:rPr>
                <w:rStyle w:val="Hyperlink"/>
                <w:noProof/>
              </w:rPr>
              <w:t>A new commissioning and financial framework</w:t>
            </w:r>
            <w:r w:rsidR="00ED262C">
              <w:rPr>
                <w:noProof/>
                <w:webHidden/>
              </w:rPr>
              <w:tab/>
            </w:r>
            <w:r w:rsidR="00ED262C">
              <w:rPr>
                <w:noProof/>
                <w:webHidden/>
              </w:rPr>
              <w:fldChar w:fldCharType="begin"/>
            </w:r>
            <w:r w:rsidR="00ED262C">
              <w:rPr>
                <w:noProof/>
                <w:webHidden/>
              </w:rPr>
              <w:instrText xml:space="preserve"> PAGEREF _Toc153264066 \h </w:instrText>
            </w:r>
            <w:r w:rsidR="00ED262C">
              <w:rPr>
                <w:noProof/>
                <w:webHidden/>
              </w:rPr>
            </w:r>
            <w:r w:rsidR="00ED262C">
              <w:rPr>
                <w:noProof/>
                <w:webHidden/>
              </w:rPr>
              <w:fldChar w:fldCharType="separate"/>
            </w:r>
            <w:r w:rsidR="00026E33">
              <w:rPr>
                <w:noProof/>
                <w:webHidden/>
              </w:rPr>
              <w:t>43</w:t>
            </w:r>
            <w:r w:rsidR="00ED262C">
              <w:rPr>
                <w:noProof/>
                <w:webHidden/>
              </w:rPr>
              <w:fldChar w:fldCharType="end"/>
            </w:r>
          </w:hyperlink>
        </w:p>
        <w:p w14:paraId="490A832C" w14:textId="2F91D964" w:rsidR="00ED262C" w:rsidRDefault="002F5C0D">
          <w:pPr>
            <w:pStyle w:val="TOC3"/>
            <w:tabs>
              <w:tab w:val="left" w:pos="1100"/>
              <w:tab w:val="right" w:pos="9854"/>
            </w:tabs>
            <w:rPr>
              <w:noProof/>
              <w:color w:val="auto"/>
              <w:kern w:val="2"/>
              <w:sz w:val="22"/>
              <w:lang w:val="en-GB" w:eastAsia="en-GB"/>
              <w14:ligatures w14:val="standardContextual"/>
            </w:rPr>
          </w:pPr>
          <w:hyperlink w:anchor="_Toc153264067" w:history="1">
            <w:r w:rsidR="00ED262C" w:rsidRPr="00DA7FA5">
              <w:rPr>
                <w:rStyle w:val="Hyperlink"/>
                <w:noProof/>
              </w:rPr>
              <w:t>4.3</w:t>
            </w:r>
            <w:r w:rsidR="00ED262C">
              <w:rPr>
                <w:noProof/>
                <w:color w:val="auto"/>
                <w:kern w:val="2"/>
                <w:sz w:val="22"/>
                <w:lang w:val="en-GB" w:eastAsia="en-GB"/>
                <w14:ligatures w14:val="standardContextual"/>
              </w:rPr>
              <w:tab/>
            </w:r>
            <w:r w:rsidR="00ED262C" w:rsidRPr="00DA7FA5">
              <w:rPr>
                <w:rStyle w:val="Hyperlink"/>
                <w:noProof/>
              </w:rPr>
              <w:t>A diverse, integrated, flexible and skilled vaccination workforce</w:t>
            </w:r>
            <w:r w:rsidR="00ED262C">
              <w:rPr>
                <w:noProof/>
                <w:webHidden/>
              </w:rPr>
              <w:tab/>
            </w:r>
            <w:r w:rsidR="00ED262C">
              <w:rPr>
                <w:noProof/>
                <w:webHidden/>
              </w:rPr>
              <w:fldChar w:fldCharType="begin"/>
            </w:r>
            <w:r w:rsidR="00ED262C">
              <w:rPr>
                <w:noProof/>
                <w:webHidden/>
              </w:rPr>
              <w:instrText xml:space="preserve"> PAGEREF _Toc153264067 \h </w:instrText>
            </w:r>
            <w:r w:rsidR="00ED262C">
              <w:rPr>
                <w:noProof/>
                <w:webHidden/>
              </w:rPr>
            </w:r>
            <w:r w:rsidR="00ED262C">
              <w:rPr>
                <w:noProof/>
                <w:webHidden/>
              </w:rPr>
              <w:fldChar w:fldCharType="separate"/>
            </w:r>
            <w:r w:rsidR="00026E33">
              <w:rPr>
                <w:noProof/>
                <w:webHidden/>
              </w:rPr>
              <w:t>45</w:t>
            </w:r>
            <w:r w:rsidR="00ED262C">
              <w:rPr>
                <w:noProof/>
                <w:webHidden/>
              </w:rPr>
              <w:fldChar w:fldCharType="end"/>
            </w:r>
          </w:hyperlink>
        </w:p>
        <w:p w14:paraId="33570AEC" w14:textId="00EC21FB" w:rsidR="00ED262C" w:rsidRDefault="002F5C0D">
          <w:pPr>
            <w:pStyle w:val="TOC3"/>
            <w:tabs>
              <w:tab w:val="left" w:pos="1100"/>
              <w:tab w:val="right" w:pos="9854"/>
            </w:tabs>
            <w:rPr>
              <w:noProof/>
              <w:color w:val="auto"/>
              <w:kern w:val="2"/>
              <w:sz w:val="22"/>
              <w:lang w:val="en-GB" w:eastAsia="en-GB"/>
              <w14:ligatures w14:val="standardContextual"/>
            </w:rPr>
          </w:pPr>
          <w:hyperlink w:anchor="_Toc153264068" w:history="1">
            <w:r w:rsidR="00ED262C" w:rsidRPr="00DA7FA5">
              <w:rPr>
                <w:rStyle w:val="Hyperlink"/>
                <w:noProof/>
              </w:rPr>
              <w:t>4.4</w:t>
            </w:r>
            <w:r w:rsidR="00ED262C">
              <w:rPr>
                <w:noProof/>
                <w:color w:val="auto"/>
                <w:kern w:val="2"/>
                <w:sz w:val="22"/>
                <w:lang w:val="en-GB" w:eastAsia="en-GB"/>
                <w14:ligatures w14:val="standardContextual"/>
              </w:rPr>
              <w:tab/>
            </w:r>
            <w:r w:rsidR="00ED262C" w:rsidRPr="00DA7FA5">
              <w:rPr>
                <w:rStyle w:val="Hyperlink"/>
                <w:noProof/>
              </w:rPr>
              <w:t>Timely and accurate data</w:t>
            </w:r>
            <w:r w:rsidR="00ED262C">
              <w:rPr>
                <w:noProof/>
                <w:webHidden/>
              </w:rPr>
              <w:tab/>
            </w:r>
            <w:r w:rsidR="00ED262C">
              <w:rPr>
                <w:noProof/>
                <w:webHidden/>
              </w:rPr>
              <w:fldChar w:fldCharType="begin"/>
            </w:r>
            <w:r w:rsidR="00ED262C">
              <w:rPr>
                <w:noProof/>
                <w:webHidden/>
              </w:rPr>
              <w:instrText xml:space="preserve"> PAGEREF _Toc153264068 \h </w:instrText>
            </w:r>
            <w:r w:rsidR="00ED262C">
              <w:rPr>
                <w:noProof/>
                <w:webHidden/>
              </w:rPr>
            </w:r>
            <w:r w:rsidR="00ED262C">
              <w:rPr>
                <w:noProof/>
                <w:webHidden/>
              </w:rPr>
              <w:fldChar w:fldCharType="separate"/>
            </w:r>
            <w:r w:rsidR="00026E33">
              <w:rPr>
                <w:noProof/>
                <w:webHidden/>
              </w:rPr>
              <w:t>48</w:t>
            </w:r>
            <w:r w:rsidR="00ED262C">
              <w:rPr>
                <w:noProof/>
                <w:webHidden/>
              </w:rPr>
              <w:fldChar w:fldCharType="end"/>
            </w:r>
          </w:hyperlink>
        </w:p>
        <w:p w14:paraId="2D4AD4B4" w14:textId="22D369C4" w:rsidR="00ED262C" w:rsidRDefault="002F5C0D">
          <w:pPr>
            <w:pStyle w:val="TOC3"/>
            <w:tabs>
              <w:tab w:val="left" w:pos="1100"/>
              <w:tab w:val="right" w:pos="9854"/>
            </w:tabs>
            <w:rPr>
              <w:noProof/>
              <w:color w:val="auto"/>
              <w:kern w:val="2"/>
              <w:sz w:val="22"/>
              <w:lang w:val="en-GB" w:eastAsia="en-GB"/>
              <w14:ligatures w14:val="standardContextual"/>
            </w:rPr>
          </w:pPr>
          <w:hyperlink w:anchor="_Toc153264069" w:history="1">
            <w:r w:rsidR="00ED262C" w:rsidRPr="00DA7FA5">
              <w:rPr>
                <w:rStyle w:val="Hyperlink"/>
                <w:noProof/>
              </w:rPr>
              <w:t>4.5</w:t>
            </w:r>
            <w:r w:rsidR="00ED262C">
              <w:rPr>
                <w:noProof/>
                <w:color w:val="auto"/>
                <w:kern w:val="2"/>
                <w:sz w:val="22"/>
                <w:lang w:val="en-GB" w:eastAsia="en-GB"/>
                <w14:ligatures w14:val="standardContextual"/>
              </w:rPr>
              <w:tab/>
            </w:r>
            <w:r w:rsidR="00ED262C" w:rsidRPr="00DA7FA5">
              <w:rPr>
                <w:rStyle w:val="Hyperlink"/>
                <w:noProof/>
              </w:rPr>
              <w:t>Efficient and responsive vaccine supply</w:t>
            </w:r>
            <w:r w:rsidR="00ED262C">
              <w:rPr>
                <w:noProof/>
                <w:webHidden/>
              </w:rPr>
              <w:tab/>
            </w:r>
            <w:r w:rsidR="00ED262C">
              <w:rPr>
                <w:noProof/>
                <w:webHidden/>
              </w:rPr>
              <w:fldChar w:fldCharType="begin"/>
            </w:r>
            <w:r w:rsidR="00ED262C">
              <w:rPr>
                <w:noProof/>
                <w:webHidden/>
              </w:rPr>
              <w:instrText xml:space="preserve"> PAGEREF _Toc153264069 \h </w:instrText>
            </w:r>
            <w:r w:rsidR="00ED262C">
              <w:rPr>
                <w:noProof/>
                <w:webHidden/>
              </w:rPr>
            </w:r>
            <w:r w:rsidR="00ED262C">
              <w:rPr>
                <w:noProof/>
                <w:webHidden/>
              </w:rPr>
              <w:fldChar w:fldCharType="separate"/>
            </w:r>
            <w:r w:rsidR="00026E33">
              <w:rPr>
                <w:noProof/>
                <w:webHidden/>
              </w:rPr>
              <w:t>50</w:t>
            </w:r>
            <w:r w:rsidR="00ED262C">
              <w:rPr>
                <w:noProof/>
                <w:webHidden/>
              </w:rPr>
              <w:fldChar w:fldCharType="end"/>
            </w:r>
          </w:hyperlink>
        </w:p>
        <w:p w14:paraId="2ACED67B" w14:textId="7E1083B0" w:rsidR="00ED262C" w:rsidRDefault="002F5C0D">
          <w:pPr>
            <w:pStyle w:val="TOC3"/>
            <w:tabs>
              <w:tab w:val="left" w:pos="1100"/>
              <w:tab w:val="right" w:pos="9854"/>
            </w:tabs>
            <w:rPr>
              <w:noProof/>
              <w:color w:val="auto"/>
              <w:kern w:val="2"/>
              <w:sz w:val="22"/>
              <w:lang w:val="en-GB" w:eastAsia="en-GB"/>
              <w14:ligatures w14:val="standardContextual"/>
            </w:rPr>
          </w:pPr>
          <w:hyperlink w:anchor="_Toc153264070" w:history="1">
            <w:r w:rsidR="00ED262C" w:rsidRPr="00DA7FA5">
              <w:rPr>
                <w:rStyle w:val="Hyperlink"/>
                <w:noProof/>
              </w:rPr>
              <w:t>4.6</w:t>
            </w:r>
            <w:r w:rsidR="00ED262C">
              <w:rPr>
                <w:noProof/>
                <w:color w:val="auto"/>
                <w:kern w:val="2"/>
                <w:sz w:val="22"/>
                <w:lang w:val="en-GB" w:eastAsia="en-GB"/>
                <w14:ligatures w14:val="standardContextual"/>
              </w:rPr>
              <w:tab/>
            </w:r>
            <w:r w:rsidR="00ED262C" w:rsidRPr="00DA7FA5">
              <w:rPr>
                <w:rStyle w:val="Hyperlink"/>
                <w:noProof/>
              </w:rPr>
              <w:t>Outbreak response capability and pandemic preparedness</w:t>
            </w:r>
            <w:r w:rsidR="00ED262C">
              <w:rPr>
                <w:noProof/>
                <w:webHidden/>
              </w:rPr>
              <w:tab/>
            </w:r>
            <w:r w:rsidR="00ED262C">
              <w:rPr>
                <w:noProof/>
                <w:webHidden/>
              </w:rPr>
              <w:fldChar w:fldCharType="begin"/>
            </w:r>
            <w:r w:rsidR="00ED262C">
              <w:rPr>
                <w:noProof/>
                <w:webHidden/>
              </w:rPr>
              <w:instrText xml:space="preserve"> PAGEREF _Toc153264070 \h </w:instrText>
            </w:r>
            <w:r w:rsidR="00ED262C">
              <w:rPr>
                <w:noProof/>
                <w:webHidden/>
              </w:rPr>
            </w:r>
            <w:r w:rsidR="00ED262C">
              <w:rPr>
                <w:noProof/>
                <w:webHidden/>
              </w:rPr>
              <w:fldChar w:fldCharType="separate"/>
            </w:r>
            <w:r w:rsidR="00026E33">
              <w:rPr>
                <w:noProof/>
                <w:webHidden/>
              </w:rPr>
              <w:t>52</w:t>
            </w:r>
            <w:r w:rsidR="00ED262C">
              <w:rPr>
                <w:noProof/>
                <w:webHidden/>
              </w:rPr>
              <w:fldChar w:fldCharType="end"/>
            </w:r>
          </w:hyperlink>
        </w:p>
        <w:p w14:paraId="5C070566" w14:textId="36D58E47" w:rsidR="00ED262C" w:rsidRDefault="002F5C0D">
          <w:pPr>
            <w:pStyle w:val="TOC2"/>
            <w:rPr>
              <w:rFonts w:asciiTheme="minorHAnsi" w:eastAsiaTheme="minorEastAsia" w:hAnsiTheme="minorHAnsi" w:cstheme="minorBidi"/>
              <w:color w:val="auto"/>
              <w:kern w:val="2"/>
              <w:sz w:val="22"/>
              <w:szCs w:val="22"/>
              <w:lang w:eastAsia="en-GB"/>
              <w14:ligatures w14:val="standardContextual"/>
            </w:rPr>
          </w:pPr>
          <w:hyperlink w:anchor="_Toc153264071" w:history="1">
            <w:r w:rsidR="00ED262C" w:rsidRPr="00DA7FA5">
              <w:rPr>
                <w:rStyle w:val="Hyperlink"/>
              </w:rPr>
              <w:t>5. Next steps</w:t>
            </w:r>
            <w:r w:rsidR="00ED262C">
              <w:rPr>
                <w:webHidden/>
              </w:rPr>
              <w:tab/>
            </w:r>
            <w:r w:rsidR="00ED262C">
              <w:rPr>
                <w:webHidden/>
              </w:rPr>
              <w:fldChar w:fldCharType="begin"/>
            </w:r>
            <w:r w:rsidR="00ED262C">
              <w:rPr>
                <w:webHidden/>
              </w:rPr>
              <w:instrText xml:space="preserve"> PAGEREF _Toc153264071 \h </w:instrText>
            </w:r>
            <w:r w:rsidR="00ED262C">
              <w:rPr>
                <w:webHidden/>
              </w:rPr>
            </w:r>
            <w:r w:rsidR="00ED262C">
              <w:rPr>
                <w:webHidden/>
              </w:rPr>
              <w:fldChar w:fldCharType="separate"/>
            </w:r>
            <w:r w:rsidR="00026E33">
              <w:rPr>
                <w:webHidden/>
              </w:rPr>
              <w:t>54</w:t>
            </w:r>
            <w:r w:rsidR="00ED262C">
              <w:rPr>
                <w:webHidden/>
              </w:rPr>
              <w:fldChar w:fldCharType="end"/>
            </w:r>
          </w:hyperlink>
        </w:p>
        <w:p w14:paraId="1466F64B" w14:textId="179BAC97" w:rsidR="00ED262C" w:rsidRDefault="002F5C0D">
          <w:pPr>
            <w:pStyle w:val="TOC3"/>
            <w:tabs>
              <w:tab w:val="left" w:pos="1100"/>
              <w:tab w:val="right" w:pos="9854"/>
            </w:tabs>
            <w:rPr>
              <w:noProof/>
              <w:color w:val="auto"/>
              <w:kern w:val="2"/>
              <w:sz w:val="22"/>
              <w:lang w:val="en-GB" w:eastAsia="en-GB"/>
              <w14:ligatures w14:val="standardContextual"/>
            </w:rPr>
          </w:pPr>
          <w:hyperlink w:anchor="_Toc153264072" w:history="1">
            <w:r w:rsidR="00ED262C" w:rsidRPr="00DA7FA5">
              <w:rPr>
                <w:rStyle w:val="Hyperlink"/>
                <w:noProof/>
              </w:rPr>
              <w:t>5.1</w:t>
            </w:r>
            <w:r w:rsidR="00ED262C">
              <w:rPr>
                <w:noProof/>
                <w:color w:val="auto"/>
                <w:kern w:val="2"/>
                <w:sz w:val="22"/>
                <w:lang w:val="en-GB" w:eastAsia="en-GB"/>
                <w14:ligatures w14:val="standardContextual"/>
              </w:rPr>
              <w:tab/>
            </w:r>
            <w:r w:rsidR="00ED262C" w:rsidRPr="00DA7FA5">
              <w:rPr>
                <w:rStyle w:val="Hyperlink"/>
                <w:noProof/>
              </w:rPr>
              <w:t>Implementation timescale</w:t>
            </w:r>
            <w:r w:rsidR="00ED262C">
              <w:rPr>
                <w:noProof/>
                <w:webHidden/>
              </w:rPr>
              <w:tab/>
            </w:r>
            <w:r w:rsidR="00ED262C">
              <w:rPr>
                <w:noProof/>
                <w:webHidden/>
              </w:rPr>
              <w:fldChar w:fldCharType="begin"/>
            </w:r>
            <w:r w:rsidR="00ED262C">
              <w:rPr>
                <w:noProof/>
                <w:webHidden/>
              </w:rPr>
              <w:instrText xml:space="preserve"> PAGEREF _Toc153264072 \h </w:instrText>
            </w:r>
            <w:r w:rsidR="00ED262C">
              <w:rPr>
                <w:noProof/>
                <w:webHidden/>
              </w:rPr>
            </w:r>
            <w:r w:rsidR="00ED262C">
              <w:rPr>
                <w:noProof/>
                <w:webHidden/>
              </w:rPr>
              <w:fldChar w:fldCharType="separate"/>
            </w:r>
            <w:r w:rsidR="00026E33">
              <w:rPr>
                <w:noProof/>
                <w:webHidden/>
              </w:rPr>
              <w:t>54</w:t>
            </w:r>
            <w:r w:rsidR="00ED262C">
              <w:rPr>
                <w:noProof/>
                <w:webHidden/>
              </w:rPr>
              <w:fldChar w:fldCharType="end"/>
            </w:r>
          </w:hyperlink>
        </w:p>
        <w:p w14:paraId="4D0365B9" w14:textId="7FAE8948" w:rsidR="00ED262C" w:rsidRDefault="002F5C0D">
          <w:pPr>
            <w:pStyle w:val="TOC3"/>
            <w:tabs>
              <w:tab w:val="left" w:pos="1100"/>
              <w:tab w:val="right" w:pos="9854"/>
            </w:tabs>
            <w:rPr>
              <w:noProof/>
              <w:color w:val="auto"/>
              <w:kern w:val="2"/>
              <w:sz w:val="22"/>
              <w:lang w:val="en-GB" w:eastAsia="en-GB"/>
              <w14:ligatures w14:val="standardContextual"/>
            </w:rPr>
          </w:pPr>
          <w:hyperlink w:anchor="_Toc153264073" w:history="1">
            <w:r w:rsidR="00ED262C" w:rsidRPr="00DA7FA5">
              <w:rPr>
                <w:rStyle w:val="Hyperlink"/>
                <w:noProof/>
              </w:rPr>
              <w:t>5.2</w:t>
            </w:r>
            <w:r w:rsidR="00ED262C">
              <w:rPr>
                <w:noProof/>
                <w:color w:val="auto"/>
                <w:kern w:val="2"/>
                <w:sz w:val="22"/>
                <w:lang w:val="en-GB" w:eastAsia="en-GB"/>
                <w14:ligatures w14:val="standardContextual"/>
              </w:rPr>
              <w:tab/>
            </w:r>
            <w:r w:rsidR="00ED262C" w:rsidRPr="00DA7FA5">
              <w:rPr>
                <w:rStyle w:val="Hyperlink"/>
                <w:noProof/>
              </w:rPr>
              <w:t>Providing feedback</w:t>
            </w:r>
            <w:r w:rsidR="00ED262C">
              <w:rPr>
                <w:noProof/>
                <w:webHidden/>
              </w:rPr>
              <w:tab/>
            </w:r>
            <w:r w:rsidR="00ED262C">
              <w:rPr>
                <w:noProof/>
                <w:webHidden/>
              </w:rPr>
              <w:fldChar w:fldCharType="begin"/>
            </w:r>
            <w:r w:rsidR="00ED262C">
              <w:rPr>
                <w:noProof/>
                <w:webHidden/>
              </w:rPr>
              <w:instrText xml:space="preserve"> PAGEREF _Toc153264073 \h </w:instrText>
            </w:r>
            <w:r w:rsidR="00ED262C">
              <w:rPr>
                <w:noProof/>
                <w:webHidden/>
              </w:rPr>
            </w:r>
            <w:r w:rsidR="00ED262C">
              <w:rPr>
                <w:noProof/>
                <w:webHidden/>
              </w:rPr>
              <w:fldChar w:fldCharType="separate"/>
            </w:r>
            <w:r w:rsidR="00026E33">
              <w:rPr>
                <w:noProof/>
                <w:webHidden/>
              </w:rPr>
              <w:t>55</w:t>
            </w:r>
            <w:r w:rsidR="00ED262C">
              <w:rPr>
                <w:noProof/>
                <w:webHidden/>
              </w:rPr>
              <w:fldChar w:fldCharType="end"/>
            </w:r>
          </w:hyperlink>
        </w:p>
        <w:p w14:paraId="1662592E" w14:textId="4C5CB495" w:rsidR="00ED262C" w:rsidRDefault="002F5C0D">
          <w:pPr>
            <w:pStyle w:val="TOC2"/>
            <w:rPr>
              <w:rFonts w:asciiTheme="minorHAnsi" w:eastAsiaTheme="minorEastAsia" w:hAnsiTheme="minorHAnsi" w:cstheme="minorBidi"/>
              <w:color w:val="auto"/>
              <w:kern w:val="2"/>
              <w:sz w:val="22"/>
              <w:szCs w:val="22"/>
              <w:lang w:eastAsia="en-GB"/>
              <w14:ligatures w14:val="standardContextual"/>
            </w:rPr>
          </w:pPr>
          <w:hyperlink w:anchor="_Toc153264074" w:history="1">
            <w:r w:rsidR="00ED262C" w:rsidRPr="00DA7FA5">
              <w:rPr>
                <w:rStyle w:val="Hyperlink"/>
              </w:rPr>
              <w:t>Annex A: Draft vaccination outcomes framework</w:t>
            </w:r>
            <w:r w:rsidR="00ED262C">
              <w:rPr>
                <w:webHidden/>
              </w:rPr>
              <w:tab/>
            </w:r>
            <w:r w:rsidR="00ED262C">
              <w:rPr>
                <w:webHidden/>
              </w:rPr>
              <w:fldChar w:fldCharType="begin"/>
            </w:r>
            <w:r w:rsidR="00ED262C">
              <w:rPr>
                <w:webHidden/>
              </w:rPr>
              <w:instrText xml:space="preserve"> PAGEREF _Toc153264074 \h </w:instrText>
            </w:r>
            <w:r w:rsidR="00ED262C">
              <w:rPr>
                <w:webHidden/>
              </w:rPr>
            </w:r>
            <w:r w:rsidR="00ED262C">
              <w:rPr>
                <w:webHidden/>
              </w:rPr>
              <w:fldChar w:fldCharType="separate"/>
            </w:r>
            <w:r w:rsidR="00026E33">
              <w:rPr>
                <w:webHidden/>
              </w:rPr>
              <w:t>57</w:t>
            </w:r>
            <w:r w:rsidR="00ED262C">
              <w:rPr>
                <w:webHidden/>
              </w:rPr>
              <w:fldChar w:fldCharType="end"/>
            </w:r>
          </w:hyperlink>
        </w:p>
        <w:p w14:paraId="6990D594" w14:textId="76172715" w:rsidR="00D572FD" w:rsidRPr="00496A09" w:rsidRDefault="00D572FD">
          <w:r w:rsidRPr="00496A09">
            <w:rPr>
              <w:b/>
              <w:bCs/>
            </w:rPr>
            <w:fldChar w:fldCharType="end"/>
          </w:r>
        </w:p>
      </w:sdtContent>
    </w:sdt>
    <w:p w14:paraId="6F9BBEF3" w14:textId="77777777" w:rsidR="00622390" w:rsidRPr="00496A09" w:rsidRDefault="00622390" w:rsidP="00F126B3">
      <w:pPr>
        <w:sectPr w:rsidR="00622390" w:rsidRPr="00496A09" w:rsidSect="008A3E2F">
          <w:headerReference w:type="first" r:id="rId16"/>
          <w:footerReference w:type="first" r:id="rId17"/>
          <w:pgSz w:w="11906" w:h="16838"/>
          <w:pgMar w:top="1021" w:right="1021" w:bottom="1021" w:left="1021" w:header="454" w:footer="556" w:gutter="0"/>
          <w:cols w:space="708"/>
          <w:docGrid w:linePitch="360"/>
        </w:sectPr>
      </w:pPr>
    </w:p>
    <w:p w14:paraId="6635DEC6" w14:textId="131C87EC" w:rsidR="0031220E" w:rsidRPr="00496A09" w:rsidRDefault="0031220E" w:rsidP="00BB6E34">
      <w:pPr>
        <w:pStyle w:val="Heading2Numbered"/>
        <w:rPr>
          <w:color w:val="auto"/>
        </w:rPr>
      </w:pPr>
      <w:bookmarkStart w:id="0" w:name="_Toc153264050"/>
      <w:bookmarkStart w:id="1" w:name="_Toc123637837"/>
      <w:r w:rsidRPr="00496A09">
        <w:rPr>
          <w:rStyle w:val="SubtitleChar"/>
        </w:rPr>
        <w:lastRenderedPageBreak/>
        <w:t>Foreword</w:t>
      </w:r>
      <w:bookmarkEnd w:id="0"/>
    </w:p>
    <w:p w14:paraId="156C23C2" w14:textId="5150FFB4" w:rsidR="00F066DC" w:rsidRPr="00496A09" w:rsidRDefault="0031220E" w:rsidP="00C34CC0">
      <w:pPr>
        <w:spacing w:after="180" w:line="276" w:lineRule="auto"/>
        <w:rPr>
          <w:b/>
          <w:bCs/>
          <w:color w:val="auto"/>
        </w:rPr>
      </w:pPr>
      <w:r w:rsidRPr="00496A09">
        <w:rPr>
          <w:b/>
          <w:bCs/>
          <w:color w:val="auto"/>
        </w:rPr>
        <w:t>From Steve Russell, Chief Delivery Officer and National Director for Vaccinations and Screening, NHS England</w:t>
      </w:r>
      <w:r w:rsidR="003D71FD" w:rsidRPr="00496A09">
        <w:rPr>
          <w:b/>
          <w:bCs/>
          <w:color w:val="auto"/>
        </w:rPr>
        <w:t xml:space="preserve"> </w:t>
      </w:r>
    </w:p>
    <w:p w14:paraId="46745BB3" w14:textId="77777777" w:rsidR="000365C7" w:rsidRPr="000365C7" w:rsidRDefault="000365C7" w:rsidP="000365C7">
      <w:pPr>
        <w:spacing w:after="0" w:line="240" w:lineRule="auto"/>
        <w:textboxTightWrap w:val="none"/>
        <w:rPr>
          <w:rFonts w:eastAsia="Calibri" w:cs="Arial"/>
          <w:color w:val="auto"/>
          <w:lang w:eastAsia="en-GB"/>
        </w:rPr>
      </w:pPr>
      <w:r w:rsidRPr="000365C7">
        <w:rPr>
          <w:rFonts w:eastAsia="Calibri" w:cs="Arial"/>
          <w:color w:val="auto"/>
          <w:lang w:eastAsia="en-GB"/>
        </w:rPr>
        <w:t>I am very pleased to be able to share with you the NHS’ Vaccination Strategy which brings together all vaccination programmes, for the first time, to protect communities and save lives.</w:t>
      </w:r>
    </w:p>
    <w:p w14:paraId="78EECCA6" w14:textId="77777777" w:rsidR="000365C7" w:rsidRPr="000365C7" w:rsidRDefault="000365C7" w:rsidP="000365C7">
      <w:pPr>
        <w:spacing w:after="0" w:line="240" w:lineRule="auto"/>
        <w:textboxTightWrap w:val="none"/>
        <w:rPr>
          <w:rFonts w:eastAsia="Calibri" w:cs="Arial"/>
          <w:color w:val="auto"/>
          <w:lang w:eastAsia="en-GB"/>
        </w:rPr>
      </w:pPr>
    </w:p>
    <w:p w14:paraId="7C2DE859" w14:textId="77777777" w:rsidR="000365C7" w:rsidRPr="000365C7" w:rsidRDefault="000365C7" w:rsidP="000365C7">
      <w:pPr>
        <w:spacing w:after="0" w:line="240" w:lineRule="auto"/>
        <w:textboxTightWrap w:val="none"/>
        <w:rPr>
          <w:rFonts w:eastAsia="Calibri" w:cs="Arial"/>
          <w:color w:val="auto"/>
          <w:lang w:eastAsia="en-GB"/>
        </w:rPr>
      </w:pPr>
      <w:r w:rsidRPr="000365C7">
        <w:rPr>
          <w:rFonts w:eastAsia="Calibri" w:cs="Arial"/>
          <w:color w:val="auto"/>
          <w:lang w:eastAsia="en-GB"/>
        </w:rPr>
        <w:t>In my previous role as chief executive of an acute hospital trust, I saw the consequences of disease and ill health every day. I saw how some populations experienced inequalities in their access to and outcomes from healthcare. I also understood the enormous impact that vaccination had on people’s lives and the importance of the NHS’s work in delivering them, alongside our partners. That is why I’m so excited that we have worked with such a wide range of skilled and passionate stakeholders to develop an NHS strategy to further harness the power of this extraordinary intervention, for all communities. </w:t>
      </w:r>
    </w:p>
    <w:p w14:paraId="08379BD7" w14:textId="77777777" w:rsidR="000365C7" w:rsidRPr="000365C7" w:rsidRDefault="000365C7" w:rsidP="000365C7">
      <w:pPr>
        <w:spacing w:after="0" w:line="240" w:lineRule="auto"/>
        <w:textboxTightWrap w:val="none"/>
        <w:rPr>
          <w:rFonts w:eastAsia="Calibri" w:cs="Arial"/>
          <w:color w:val="auto"/>
          <w:lang w:eastAsia="en-GB"/>
        </w:rPr>
      </w:pPr>
    </w:p>
    <w:p w14:paraId="5862442C" w14:textId="77777777" w:rsidR="000365C7" w:rsidRPr="000365C7" w:rsidRDefault="000365C7" w:rsidP="000365C7">
      <w:pPr>
        <w:spacing w:after="0" w:line="240" w:lineRule="auto"/>
        <w:textboxTightWrap w:val="none"/>
        <w:rPr>
          <w:rFonts w:eastAsia="Calibri" w:cs="Arial"/>
          <w:color w:val="auto"/>
          <w:lang w:eastAsia="en-GB"/>
        </w:rPr>
      </w:pPr>
      <w:r w:rsidRPr="000365C7">
        <w:rPr>
          <w:rFonts w:eastAsia="Calibri" w:cs="Arial"/>
          <w:color w:val="auto"/>
          <w:lang w:eastAsia="en-GB"/>
        </w:rPr>
        <w:t>The strategy was borne from several different drivers. Our world-leading NHS COVID-19 vaccination programme allowed us to be transformative in our approach, engaging with communities in a way that we had never done before. We also have the opportunity to learn from our other immunisation programmes – to reduce the decline in take-up of life-course vaccinations, such as MMR. We must do this in a way that gives local systems the ability to build an effective, flexible, integrated, local delivery network for vaccination in collaboration with a range of local partners.</w:t>
      </w:r>
    </w:p>
    <w:p w14:paraId="4CDE273F" w14:textId="77777777" w:rsidR="000365C7" w:rsidRPr="000365C7" w:rsidRDefault="000365C7" w:rsidP="000365C7">
      <w:pPr>
        <w:spacing w:after="0" w:line="240" w:lineRule="auto"/>
        <w:textboxTightWrap w:val="none"/>
        <w:rPr>
          <w:rFonts w:eastAsia="Calibri" w:cs="Arial"/>
          <w:color w:val="auto"/>
          <w:lang w:eastAsia="en-GB"/>
        </w:rPr>
      </w:pPr>
    </w:p>
    <w:p w14:paraId="01947EDF" w14:textId="77777777" w:rsidR="000365C7" w:rsidRPr="000365C7" w:rsidRDefault="000365C7" w:rsidP="000365C7">
      <w:pPr>
        <w:spacing w:after="0" w:line="240" w:lineRule="auto"/>
        <w:textboxTightWrap w:val="none"/>
        <w:rPr>
          <w:rFonts w:eastAsia="Calibri" w:cs="Arial"/>
          <w:color w:val="auto"/>
          <w:lang w:eastAsia="en-GB"/>
        </w:rPr>
      </w:pPr>
      <w:r w:rsidRPr="000365C7">
        <w:rPr>
          <w:rFonts w:eastAsia="Calibri" w:cs="Arial"/>
          <w:color w:val="auto"/>
          <w:lang w:eastAsia="en-GB"/>
        </w:rPr>
        <w:t>I want the publication of this strategy to start a conversation, within integrated care boards (ICBs) and the wider health and care system, about how we can use vaccination to deliver holistic, person-centred, preventative care via flexible teams that span primary and community care as well as other sectors. This should be an opportunity for all of us to consider how well we are meeting the needs of our whole populations including adults and children that may be underserved by current services, and use vaccination to help address health inequalities.</w:t>
      </w:r>
    </w:p>
    <w:p w14:paraId="38D3E277" w14:textId="77777777" w:rsidR="000365C7" w:rsidRPr="000365C7" w:rsidRDefault="000365C7" w:rsidP="000365C7">
      <w:pPr>
        <w:spacing w:after="0" w:line="240" w:lineRule="auto"/>
        <w:textboxTightWrap w:val="none"/>
        <w:rPr>
          <w:rFonts w:eastAsia="Calibri" w:cs="Arial"/>
          <w:color w:val="auto"/>
          <w:kern w:val="2"/>
          <w14:ligatures w14:val="standardContextual"/>
        </w:rPr>
      </w:pPr>
    </w:p>
    <w:p w14:paraId="33A3C493" w14:textId="77777777" w:rsidR="000365C7" w:rsidRPr="000365C7" w:rsidRDefault="000365C7" w:rsidP="000365C7">
      <w:pPr>
        <w:spacing w:after="0" w:line="240" w:lineRule="auto"/>
        <w:textboxTightWrap w:val="none"/>
        <w:rPr>
          <w:rFonts w:eastAsia="Calibri" w:cs="Arial"/>
          <w:color w:val="auto"/>
          <w:kern w:val="2"/>
          <w14:ligatures w14:val="standardContextual"/>
        </w:rPr>
      </w:pPr>
      <w:r w:rsidRPr="000365C7">
        <w:rPr>
          <w:rFonts w:eastAsia="Calibri" w:cs="Arial"/>
          <w:color w:val="auto"/>
          <w:kern w:val="2"/>
          <w14:ligatures w14:val="standardContextual"/>
        </w:rPr>
        <w:t>There is more we need to do with our partners to build confidence and encourage people to come forward for these life-saving services.  Our vaccination strategy builds on our collective learning and outlines three clear priority areas, including:</w:t>
      </w:r>
    </w:p>
    <w:p w14:paraId="2CB91C70" w14:textId="77777777" w:rsidR="000365C7" w:rsidRPr="000365C7" w:rsidRDefault="000365C7" w:rsidP="000365C7">
      <w:pPr>
        <w:spacing w:after="0" w:line="240" w:lineRule="auto"/>
        <w:textboxTightWrap w:val="none"/>
        <w:rPr>
          <w:rFonts w:eastAsia="Calibri" w:cs="Arial"/>
          <w:color w:val="auto"/>
          <w:kern w:val="2"/>
          <w14:ligatures w14:val="standardContextual"/>
        </w:rPr>
      </w:pPr>
    </w:p>
    <w:p w14:paraId="5484B0C7" w14:textId="77777777" w:rsidR="000365C7" w:rsidRPr="000365C7" w:rsidRDefault="000365C7" w:rsidP="000365C7">
      <w:pPr>
        <w:numPr>
          <w:ilvl w:val="0"/>
          <w:numId w:val="52"/>
        </w:numPr>
        <w:spacing w:after="0" w:line="240" w:lineRule="auto"/>
        <w:ind w:right="57"/>
        <w:contextualSpacing/>
        <w:textboxTightWrap w:val="none"/>
        <w:rPr>
          <w:rFonts w:cs="Arial"/>
          <w:color w:val="auto"/>
          <w:lang w:eastAsia="en-GB"/>
        </w:rPr>
      </w:pPr>
      <w:r w:rsidRPr="000365C7">
        <w:rPr>
          <w:rFonts w:cs="Arial"/>
          <w:b/>
          <w:bCs/>
          <w:color w:val="auto"/>
          <w:lang w:eastAsia="en-GB"/>
        </w:rPr>
        <w:t xml:space="preserve">Improving access including an expansion of online services: </w:t>
      </w:r>
      <w:r w:rsidRPr="000365C7">
        <w:rPr>
          <w:rFonts w:cs="Arial"/>
          <w:color w:val="auto"/>
          <w:lang w:eastAsia="en-GB"/>
        </w:rPr>
        <w:t>The ‘front door’ to vaccination services should be simple to understand.  Many more people will be able to book their vaccines online quickly and easily, including via the NHS App. Families will be able to view their full vaccination record with clear information and guidance on what vaccinations they should have to keep them well.</w:t>
      </w:r>
    </w:p>
    <w:p w14:paraId="017EB610" w14:textId="77777777" w:rsidR="000365C7" w:rsidRPr="000365C7" w:rsidRDefault="000365C7" w:rsidP="000365C7">
      <w:pPr>
        <w:spacing w:after="0" w:line="240" w:lineRule="auto"/>
        <w:ind w:left="720" w:right="57"/>
        <w:textboxTightWrap w:val="none"/>
        <w:rPr>
          <w:rFonts w:eastAsia="Calibri" w:cs="Arial"/>
          <w:color w:val="auto"/>
          <w:lang w:eastAsia="en-GB"/>
        </w:rPr>
      </w:pPr>
    </w:p>
    <w:p w14:paraId="751B2946" w14:textId="77777777" w:rsidR="000365C7" w:rsidRPr="000365C7" w:rsidRDefault="000365C7" w:rsidP="000365C7">
      <w:pPr>
        <w:numPr>
          <w:ilvl w:val="0"/>
          <w:numId w:val="52"/>
        </w:numPr>
        <w:spacing w:after="0" w:line="240" w:lineRule="auto"/>
        <w:ind w:right="57"/>
        <w:contextualSpacing/>
        <w:textboxTightWrap w:val="none"/>
        <w:rPr>
          <w:rFonts w:cs="Arial"/>
          <w:color w:val="auto"/>
          <w:lang w:eastAsia="en-GB"/>
        </w:rPr>
      </w:pPr>
      <w:r w:rsidRPr="000365C7">
        <w:rPr>
          <w:rFonts w:cs="Arial"/>
          <w:b/>
          <w:bCs/>
          <w:color w:val="auto"/>
          <w:lang w:eastAsia="en-GB"/>
        </w:rPr>
        <w:t xml:space="preserve">Vaccination delivery in convenient local places, with targeted outreach to support uptake in underserved populations: </w:t>
      </w:r>
      <w:r w:rsidRPr="000365C7">
        <w:rPr>
          <w:rFonts w:cs="Arial"/>
          <w:color w:val="auto"/>
          <w:lang w:eastAsia="en-GB"/>
        </w:rPr>
        <w:t>It should be</w:t>
      </w:r>
      <w:r w:rsidRPr="000365C7">
        <w:rPr>
          <w:rFonts w:cs="Arial"/>
          <w:b/>
          <w:bCs/>
          <w:color w:val="auto"/>
          <w:lang w:eastAsia="en-GB"/>
        </w:rPr>
        <w:t xml:space="preserve"> </w:t>
      </w:r>
      <w:r w:rsidRPr="000365C7">
        <w:rPr>
          <w:rFonts w:cs="Arial"/>
          <w:color w:val="auto"/>
          <w:lang w:eastAsia="en-GB"/>
        </w:rPr>
        <w:t>easy for people to take up the vaccination offer, with sites at GP practices and pharmacies as well as shopping centres, supermarkets and community centres.  Bespoke outreach services should be tailored to communities that are un- or under-vaccinated, building trust and confidence.</w:t>
      </w:r>
    </w:p>
    <w:p w14:paraId="2E0B5BBE" w14:textId="77777777" w:rsidR="000365C7" w:rsidRPr="000365C7" w:rsidRDefault="000365C7" w:rsidP="000365C7">
      <w:pPr>
        <w:spacing w:after="0" w:line="240" w:lineRule="auto"/>
        <w:ind w:left="720"/>
        <w:textboxTightWrap w:val="none"/>
        <w:rPr>
          <w:rFonts w:eastAsia="Calibri" w:cs="Arial"/>
          <w:color w:val="auto"/>
          <w:lang w:eastAsia="en-GB"/>
        </w:rPr>
      </w:pPr>
    </w:p>
    <w:p w14:paraId="04CB4A0A" w14:textId="77777777" w:rsidR="000365C7" w:rsidRPr="000365C7" w:rsidRDefault="000365C7" w:rsidP="000365C7">
      <w:pPr>
        <w:numPr>
          <w:ilvl w:val="0"/>
          <w:numId w:val="52"/>
        </w:numPr>
        <w:spacing w:after="0" w:line="240" w:lineRule="auto"/>
        <w:ind w:right="57"/>
        <w:contextualSpacing/>
        <w:textboxTightWrap w:val="none"/>
        <w:rPr>
          <w:rFonts w:cs="Arial"/>
          <w:color w:val="auto"/>
          <w:lang w:eastAsia="en-GB"/>
        </w:rPr>
      </w:pPr>
      <w:r w:rsidRPr="000365C7">
        <w:rPr>
          <w:rFonts w:cs="Arial"/>
          <w:b/>
          <w:bCs/>
          <w:color w:val="auto"/>
          <w:lang w:eastAsia="en-GB"/>
        </w:rPr>
        <w:t xml:space="preserve">A more joined-up prevention and vaccination offer: </w:t>
      </w:r>
      <w:r w:rsidRPr="000365C7">
        <w:rPr>
          <w:rFonts w:cs="Arial"/>
          <w:color w:val="auto"/>
          <w:lang w:eastAsia="en-GB"/>
        </w:rPr>
        <w:t>Vaccination</w:t>
      </w:r>
      <w:r w:rsidRPr="000365C7">
        <w:rPr>
          <w:rFonts w:cs="Arial"/>
          <w:b/>
          <w:bCs/>
          <w:color w:val="auto"/>
          <w:lang w:eastAsia="en-GB"/>
        </w:rPr>
        <w:t xml:space="preserve"> </w:t>
      </w:r>
      <w:r w:rsidRPr="000365C7">
        <w:rPr>
          <w:rFonts w:cs="Arial"/>
          <w:color w:val="auto"/>
          <w:lang w:eastAsia="en-GB"/>
        </w:rPr>
        <w:t>services and activities should be holistic, offering multiple vaccinations for the whole family where appropriate, including covid and flu alongside, for example, opportunistic MMR and HPV catch up.  Multidisciplinary teams could offer wider health advice and interventions such as blood pressure, diabetes and heart checks, or mental health and dental information.</w:t>
      </w:r>
    </w:p>
    <w:p w14:paraId="05E41616" w14:textId="77777777" w:rsidR="000365C7" w:rsidRPr="000365C7" w:rsidRDefault="000365C7" w:rsidP="000365C7">
      <w:pPr>
        <w:spacing w:after="0" w:line="240" w:lineRule="auto"/>
        <w:textboxTightWrap w:val="none"/>
        <w:rPr>
          <w:rFonts w:eastAsia="Calibri" w:cs="Arial"/>
          <w:color w:val="auto"/>
          <w:lang w:eastAsia="en-GB"/>
        </w:rPr>
      </w:pPr>
    </w:p>
    <w:p w14:paraId="1A30032A" w14:textId="77777777" w:rsidR="000365C7" w:rsidRPr="000365C7" w:rsidRDefault="000365C7" w:rsidP="000365C7">
      <w:pPr>
        <w:spacing w:after="0" w:line="240" w:lineRule="auto"/>
        <w:textboxTightWrap w:val="none"/>
        <w:rPr>
          <w:rFonts w:eastAsia="Calibri" w:cs="Arial"/>
          <w:color w:val="auto"/>
          <w:lang w:eastAsia="en-GB"/>
        </w:rPr>
      </w:pPr>
      <w:r w:rsidRPr="000365C7">
        <w:rPr>
          <w:rFonts w:eastAsia="Calibri" w:cs="Arial"/>
          <w:color w:val="auto"/>
          <w:lang w:eastAsia="en-GB"/>
        </w:rPr>
        <w:t>We want to work with our partners to further develop the proposals in our report and ensure they improve access, experience and outcomes whilst building on what already works well locally. But I hope that all stakeholders will be inspired by the strategy to start conversations and to make improvements, immediately.</w:t>
      </w:r>
    </w:p>
    <w:p w14:paraId="3EF62C70" w14:textId="77777777" w:rsidR="000365C7" w:rsidRPr="000365C7" w:rsidRDefault="000365C7" w:rsidP="000365C7">
      <w:pPr>
        <w:spacing w:after="0" w:line="240" w:lineRule="auto"/>
        <w:textboxTightWrap w:val="none"/>
        <w:rPr>
          <w:rFonts w:eastAsia="Calibri" w:cs="Arial"/>
          <w:color w:val="auto"/>
          <w:lang w:eastAsia="en-GB"/>
        </w:rPr>
      </w:pPr>
    </w:p>
    <w:p w14:paraId="051397C9" w14:textId="77777777" w:rsidR="000365C7" w:rsidRPr="000365C7" w:rsidRDefault="000365C7" w:rsidP="000365C7">
      <w:pPr>
        <w:spacing w:after="0" w:line="240" w:lineRule="auto"/>
        <w:textboxTightWrap w:val="none"/>
        <w:rPr>
          <w:rFonts w:eastAsia="Calibri" w:cs="Arial"/>
          <w:color w:val="auto"/>
          <w:lang w:eastAsia="en-GB"/>
        </w:rPr>
      </w:pPr>
      <w:r w:rsidRPr="000365C7">
        <w:rPr>
          <w:rFonts w:eastAsia="Calibri" w:cs="Arial"/>
          <w:color w:val="auto"/>
          <w:lang w:eastAsia="en-GB"/>
        </w:rPr>
        <w:t>I am clear that the proof of our vaccination strategy’s success will be in its ability to stop the spread of infections such as measles, bring us one step closer in our efforts to eliminate cervical cancer, and in helping to prevent as many people as possible becoming seriously unwell and hospitalised over winter. </w:t>
      </w:r>
    </w:p>
    <w:p w14:paraId="5BB2BE5A" w14:textId="77777777" w:rsidR="000365C7" w:rsidRPr="000365C7" w:rsidRDefault="000365C7" w:rsidP="000365C7">
      <w:pPr>
        <w:spacing w:after="0" w:line="240" w:lineRule="auto"/>
        <w:textboxTightWrap w:val="none"/>
        <w:rPr>
          <w:rFonts w:eastAsia="Calibri" w:cs="Arial"/>
          <w:color w:val="auto"/>
          <w:lang w:eastAsia="en-GB"/>
        </w:rPr>
      </w:pPr>
    </w:p>
    <w:p w14:paraId="733D75B5" w14:textId="77777777" w:rsidR="000365C7" w:rsidRPr="000365C7" w:rsidRDefault="000365C7" w:rsidP="000365C7">
      <w:pPr>
        <w:spacing w:after="0" w:line="240" w:lineRule="auto"/>
        <w:textboxTightWrap w:val="none"/>
        <w:rPr>
          <w:rFonts w:eastAsia="Calibri" w:cs="Arial"/>
          <w:color w:val="auto"/>
          <w:lang w:eastAsia="en-GB"/>
        </w:rPr>
      </w:pPr>
      <w:r w:rsidRPr="000365C7">
        <w:rPr>
          <w:rFonts w:eastAsia="Calibri" w:cs="Arial"/>
          <w:color w:val="auto"/>
          <w:lang w:eastAsia="en-GB"/>
        </w:rPr>
        <w:t xml:space="preserve">The development of the strategy would not have been possible without the expertise of our collaborative partners and a wide-range of stakeholders involved in designing and delivering vaccination services in local communities, including the public. The detailed engagement we received helped us shape our proposals. In addition, my colleagues in NHS England regional teams were pivotal to the development of the recommendations, including working with their ICB colleagues to gather views and examples of good practice. </w:t>
      </w:r>
    </w:p>
    <w:p w14:paraId="17D999FE" w14:textId="77777777" w:rsidR="000365C7" w:rsidRPr="000365C7" w:rsidRDefault="000365C7" w:rsidP="000365C7">
      <w:pPr>
        <w:spacing w:after="0" w:line="240" w:lineRule="auto"/>
        <w:textboxTightWrap w:val="none"/>
        <w:rPr>
          <w:rFonts w:eastAsia="Calibri" w:cs="Arial"/>
          <w:color w:val="auto"/>
          <w:lang w:eastAsia="en-GB"/>
        </w:rPr>
      </w:pPr>
    </w:p>
    <w:p w14:paraId="11F554DB" w14:textId="77777777" w:rsidR="000365C7" w:rsidRPr="000365C7" w:rsidRDefault="000365C7" w:rsidP="000365C7">
      <w:pPr>
        <w:spacing w:after="0" w:line="240" w:lineRule="auto"/>
        <w:textboxTightWrap w:val="none"/>
        <w:rPr>
          <w:rFonts w:eastAsia="Calibri" w:cs="Arial"/>
          <w:color w:val="auto"/>
          <w:lang w:eastAsia="en-GB"/>
        </w:rPr>
      </w:pPr>
      <w:r w:rsidRPr="000365C7">
        <w:rPr>
          <w:rFonts w:eastAsia="Calibri" w:cs="Arial"/>
          <w:color w:val="auto"/>
          <w:lang w:eastAsia="en-GB"/>
        </w:rPr>
        <w:t>Local health and care systems will be key to delivering this vision and I am looking forward to working together to implement this strategy, and to help people live longer, healthier lives.</w:t>
      </w:r>
    </w:p>
    <w:p w14:paraId="0E411451" w14:textId="40DDBB6D" w:rsidR="001B07AC" w:rsidRPr="000365C7" w:rsidRDefault="001B07AC" w:rsidP="003D71FD">
      <w:pPr>
        <w:spacing w:afterLines="180" w:after="432" w:line="276" w:lineRule="auto"/>
        <w:rPr>
          <w:b/>
          <w:bCs/>
          <w:color w:val="auto"/>
        </w:rPr>
      </w:pPr>
      <w:r w:rsidRPr="000365C7">
        <w:br w:type="page"/>
      </w:r>
    </w:p>
    <w:p w14:paraId="38E0B223" w14:textId="15044F86" w:rsidR="00D36A12" w:rsidRPr="00496A09" w:rsidRDefault="00200E57" w:rsidP="003D71FD">
      <w:pPr>
        <w:spacing w:after="180" w:line="276" w:lineRule="auto"/>
        <w:textboxTightWrap w:val="none"/>
        <w:rPr>
          <w:b/>
          <w:bCs/>
          <w:color w:val="auto"/>
        </w:rPr>
      </w:pPr>
      <w:r w:rsidRPr="00496A09">
        <w:rPr>
          <w:b/>
          <w:bCs/>
          <w:color w:val="auto"/>
        </w:rPr>
        <w:t>From</w:t>
      </w:r>
      <w:r w:rsidR="00421B51" w:rsidRPr="00496A09">
        <w:rPr>
          <w:b/>
          <w:bCs/>
          <w:color w:val="auto"/>
        </w:rPr>
        <w:t xml:space="preserve"> Dame Professor</w:t>
      </w:r>
      <w:r w:rsidR="006964DF" w:rsidRPr="00496A09">
        <w:rPr>
          <w:b/>
          <w:bCs/>
          <w:color w:val="auto"/>
        </w:rPr>
        <w:t xml:space="preserve"> Jenny Harries, </w:t>
      </w:r>
      <w:r w:rsidR="00793065" w:rsidRPr="00496A09">
        <w:rPr>
          <w:b/>
          <w:bCs/>
          <w:color w:val="auto"/>
        </w:rPr>
        <w:t>Chief Executive</w:t>
      </w:r>
      <w:r w:rsidR="0079202F" w:rsidRPr="00496A09">
        <w:rPr>
          <w:b/>
          <w:bCs/>
          <w:color w:val="auto"/>
        </w:rPr>
        <w:t xml:space="preserve"> of the</w:t>
      </w:r>
      <w:r w:rsidR="00793065" w:rsidRPr="00496A09">
        <w:rPr>
          <w:b/>
          <w:bCs/>
          <w:color w:val="auto"/>
        </w:rPr>
        <w:t xml:space="preserve"> UK Health </w:t>
      </w:r>
      <w:r w:rsidR="00D36A12" w:rsidRPr="00496A09">
        <w:rPr>
          <w:b/>
          <w:bCs/>
          <w:color w:val="auto"/>
        </w:rPr>
        <w:t>Security Agency</w:t>
      </w:r>
    </w:p>
    <w:p w14:paraId="52255DB8" w14:textId="76E12AB3" w:rsidR="00954ECE" w:rsidRPr="00496A09" w:rsidRDefault="00954ECE" w:rsidP="00954ECE">
      <w:pPr>
        <w:spacing w:after="180" w:line="276" w:lineRule="auto"/>
        <w:textboxTightWrap w:val="none"/>
        <w:rPr>
          <w:color w:val="auto"/>
        </w:rPr>
      </w:pPr>
      <w:r w:rsidRPr="00496A09">
        <w:rPr>
          <w:color w:val="auto"/>
        </w:rPr>
        <w:t xml:space="preserve">Vaccination is one of the most effective public health interventions in the modern era. Childhood vaccines alone prevent between 3.5 and 5 million deaths every year across the globe. The UK has much to be proud of – our immunisation programmes are some of the most comprehensive in the world, protecting </w:t>
      </w:r>
      <w:r w:rsidR="007B44CD">
        <w:rPr>
          <w:color w:val="auto"/>
        </w:rPr>
        <w:t>people</w:t>
      </w:r>
      <w:r w:rsidRPr="00496A09">
        <w:rPr>
          <w:color w:val="auto"/>
        </w:rPr>
        <w:t xml:space="preserve"> through every stage of their lives from birth to old age, and preventing deaths from deadly infectious disease. </w:t>
      </w:r>
    </w:p>
    <w:p w14:paraId="7E894471" w14:textId="77777777" w:rsidR="00954ECE" w:rsidRPr="00496A09" w:rsidRDefault="00954ECE" w:rsidP="00954ECE">
      <w:pPr>
        <w:spacing w:after="180" w:line="276" w:lineRule="auto"/>
        <w:textboxTightWrap w:val="none"/>
        <w:rPr>
          <w:color w:val="auto"/>
        </w:rPr>
      </w:pPr>
      <w:r w:rsidRPr="00496A09">
        <w:rPr>
          <w:color w:val="auto"/>
        </w:rPr>
        <w:t>UKHSA welcomes this new strategy, and it arrives at an important time. Over the past decade, uptake of most vaccination programmes in England has fallen, with our highest immediate concern being the decline in MMR vaccine coverage. Reversing these downward trends and addressing challenges around vaccine confidence and accessibility are critical to preventing deaths and hospitalisations from vaccine-preventable diseases. I am therefore excited to see this strategy’s renewed focus on innovative delivery approaches that respond to local people’s needs.</w:t>
      </w:r>
    </w:p>
    <w:p w14:paraId="731392C4" w14:textId="0BA216E3" w:rsidR="00954ECE" w:rsidRPr="00496A09" w:rsidRDefault="00954ECE" w:rsidP="00954ECE">
      <w:pPr>
        <w:spacing w:after="180" w:line="276" w:lineRule="auto"/>
        <w:textboxTightWrap w:val="none"/>
        <w:rPr>
          <w:color w:val="auto"/>
        </w:rPr>
      </w:pPr>
      <w:r w:rsidRPr="00496A09">
        <w:rPr>
          <w:color w:val="auto"/>
        </w:rPr>
        <w:t xml:space="preserve">Within UKHSA we will continue to have a relentless focus on realising the potential of vaccines to transform the nation’s health, working hand in hand with new NHS delivery approaches. UKHSA’s scientific and research functions will work to drive innovation, </w:t>
      </w:r>
      <w:r w:rsidR="004C6869" w:rsidRPr="00496A09">
        <w:rPr>
          <w:color w:val="auto"/>
        </w:rPr>
        <w:t xml:space="preserve">and vaccine development collaborating with industrial partners </w:t>
      </w:r>
      <w:r w:rsidRPr="00496A09">
        <w:rPr>
          <w:color w:val="auto"/>
        </w:rPr>
        <w:t xml:space="preserve">help inform future evidence-based vaccine policy and promote effective programme implementation. Through our Vaccine Development and Evaluation Centre we are simultaneously supporting the development of the vaccines of the future and increasing the nation’s preparedness for future health threats. </w:t>
      </w:r>
    </w:p>
    <w:p w14:paraId="50F262D0" w14:textId="60C217E8" w:rsidR="00954ECE" w:rsidRPr="00496A09" w:rsidRDefault="00954ECE" w:rsidP="00C34CC0">
      <w:pPr>
        <w:spacing w:after="180" w:line="276" w:lineRule="auto"/>
        <w:textboxTightWrap w:val="none"/>
        <w:rPr>
          <w:color w:val="auto"/>
        </w:rPr>
      </w:pPr>
      <w:r w:rsidRPr="00496A09">
        <w:rPr>
          <w:color w:val="auto"/>
        </w:rPr>
        <w:t xml:space="preserve">UKHSA will continue to support the NHS through provision of authoritative clinical guidance and coordinated procurement and supply of these life-saving vaccines. Our surveillance and analysis functions will help to ensure we use the best vaccines, at the optimal schedule, and continue to shine a spotlight where poor health outcomes can be reversed. We are committed to tackling the challenge of health inequalities, working with communities and colleagues in local government to develop tailored outreach services, and harnessing the new focus within ICBs. </w:t>
      </w:r>
    </w:p>
    <w:p w14:paraId="69D3F423" w14:textId="01E17E68" w:rsidR="006964DF" w:rsidRPr="00496A09" w:rsidRDefault="00954ECE" w:rsidP="00C34CC0">
      <w:pPr>
        <w:spacing w:after="180" w:line="276" w:lineRule="auto"/>
        <w:textboxTightWrap w:val="none"/>
        <w:rPr>
          <w:b/>
          <w:bCs/>
          <w:color w:val="auto"/>
        </w:rPr>
      </w:pPr>
      <w:r w:rsidRPr="00496A09">
        <w:rPr>
          <w:color w:val="auto"/>
        </w:rPr>
        <w:t>The development of our vaccination programmes is a key priority for UKHSA and will take a concerted effort across the entire health system. We will continue to work with NHS England to achieve this goal, and I urge colleagues at all levels, nationally and locally, to join forces with us to do the same.</w:t>
      </w:r>
      <w:r w:rsidR="006964DF" w:rsidRPr="00496A09">
        <w:rPr>
          <w:b/>
          <w:bCs/>
          <w:color w:val="auto"/>
        </w:rPr>
        <w:br w:type="page"/>
      </w:r>
    </w:p>
    <w:p w14:paraId="4845E489" w14:textId="64F6C442" w:rsidR="00336E50" w:rsidRPr="00496A09" w:rsidRDefault="001D2A98" w:rsidP="001B07AC">
      <w:pPr>
        <w:spacing w:before="360" w:line="276" w:lineRule="auto"/>
        <w:rPr>
          <w:b/>
          <w:bCs/>
          <w:color w:val="auto"/>
        </w:rPr>
      </w:pPr>
      <w:r w:rsidRPr="00496A09">
        <w:rPr>
          <w:b/>
          <w:bCs/>
          <w:color w:val="auto"/>
        </w:rPr>
        <w:t xml:space="preserve">Note from </w:t>
      </w:r>
      <w:r w:rsidR="00336E50" w:rsidRPr="00496A09">
        <w:rPr>
          <w:b/>
          <w:bCs/>
          <w:color w:val="auto"/>
        </w:rPr>
        <w:t>Rt Hon Patricia Hewitt</w:t>
      </w:r>
      <w:r w:rsidR="0038206F" w:rsidRPr="00496A09">
        <w:rPr>
          <w:b/>
          <w:bCs/>
          <w:color w:val="auto"/>
        </w:rPr>
        <w:t xml:space="preserve">, </w:t>
      </w:r>
      <w:r w:rsidR="00336E50" w:rsidRPr="00496A09">
        <w:rPr>
          <w:b/>
          <w:bCs/>
          <w:color w:val="auto"/>
        </w:rPr>
        <w:t>Chair, NHS Norfolk &amp; Waveney Integrated Care Board</w:t>
      </w:r>
      <w:r w:rsidR="0038206F" w:rsidRPr="00496A09">
        <w:rPr>
          <w:b/>
          <w:bCs/>
          <w:color w:val="auto"/>
        </w:rPr>
        <w:t xml:space="preserve">, </w:t>
      </w:r>
      <w:r w:rsidR="00336E50" w:rsidRPr="00496A09">
        <w:rPr>
          <w:b/>
          <w:bCs/>
          <w:color w:val="auto"/>
        </w:rPr>
        <w:t xml:space="preserve">and </w:t>
      </w:r>
      <w:r w:rsidR="00681124" w:rsidRPr="00496A09">
        <w:rPr>
          <w:b/>
          <w:bCs/>
          <w:color w:val="auto"/>
        </w:rPr>
        <w:t>Adam Doyle</w:t>
      </w:r>
      <w:r w:rsidR="0038206F" w:rsidRPr="00496A09">
        <w:rPr>
          <w:b/>
          <w:bCs/>
          <w:color w:val="auto"/>
        </w:rPr>
        <w:t>,</w:t>
      </w:r>
      <w:r w:rsidR="007F6E54" w:rsidRPr="00496A09">
        <w:rPr>
          <w:b/>
          <w:bCs/>
          <w:color w:val="auto"/>
        </w:rPr>
        <w:t xml:space="preserve"> </w:t>
      </w:r>
      <w:r w:rsidR="00681124" w:rsidRPr="00496A09">
        <w:rPr>
          <w:b/>
          <w:bCs/>
          <w:color w:val="auto"/>
        </w:rPr>
        <w:t>Chief Executive Officer</w:t>
      </w:r>
      <w:r w:rsidR="007F6E54" w:rsidRPr="00496A09">
        <w:rPr>
          <w:b/>
          <w:bCs/>
          <w:color w:val="auto"/>
        </w:rPr>
        <w:t xml:space="preserve">, </w:t>
      </w:r>
      <w:r w:rsidR="00681124" w:rsidRPr="00496A09">
        <w:rPr>
          <w:b/>
          <w:bCs/>
          <w:color w:val="auto"/>
        </w:rPr>
        <w:t>NHS Sussex</w:t>
      </w:r>
      <w:r w:rsidR="007F6E54" w:rsidRPr="00496A09">
        <w:rPr>
          <w:b/>
          <w:bCs/>
          <w:color w:val="auto"/>
        </w:rPr>
        <w:t xml:space="preserve"> and </w:t>
      </w:r>
      <w:r w:rsidR="00681124" w:rsidRPr="00496A09">
        <w:rPr>
          <w:b/>
          <w:bCs/>
          <w:color w:val="auto"/>
        </w:rPr>
        <w:t>National Director for System Development</w:t>
      </w:r>
      <w:r w:rsidR="007F6E54" w:rsidRPr="00496A09">
        <w:rPr>
          <w:b/>
          <w:bCs/>
          <w:color w:val="auto"/>
        </w:rPr>
        <w:t xml:space="preserve">, </w:t>
      </w:r>
      <w:r w:rsidR="00681124" w:rsidRPr="00496A09">
        <w:rPr>
          <w:b/>
          <w:bCs/>
          <w:color w:val="auto"/>
        </w:rPr>
        <w:t>NHS England</w:t>
      </w:r>
    </w:p>
    <w:p w14:paraId="620D878A" w14:textId="4408E9FB" w:rsidR="00336E50" w:rsidRPr="00496A09" w:rsidRDefault="00336E50" w:rsidP="00D00502">
      <w:pPr>
        <w:spacing w:after="180" w:line="276" w:lineRule="auto"/>
        <w:rPr>
          <w:color w:val="auto"/>
        </w:rPr>
      </w:pPr>
      <w:r w:rsidRPr="00496A09">
        <w:rPr>
          <w:color w:val="auto"/>
        </w:rPr>
        <w:t xml:space="preserve">Since </w:t>
      </w:r>
      <w:r w:rsidR="00D00502" w:rsidRPr="00496A09">
        <w:rPr>
          <w:color w:val="auto"/>
        </w:rPr>
        <w:t xml:space="preserve">integrated care systems </w:t>
      </w:r>
      <w:r w:rsidR="00283003" w:rsidRPr="00496A09">
        <w:rPr>
          <w:color w:val="auto"/>
        </w:rPr>
        <w:t xml:space="preserve">(ICSs) </w:t>
      </w:r>
      <w:r w:rsidRPr="00496A09">
        <w:rPr>
          <w:color w:val="auto"/>
        </w:rPr>
        <w:t>were placed on a statutory footing, we have both seen first</w:t>
      </w:r>
      <w:r w:rsidR="001B589E" w:rsidRPr="00496A09">
        <w:rPr>
          <w:color w:val="auto"/>
        </w:rPr>
        <w:t>-</w:t>
      </w:r>
      <w:r w:rsidRPr="00496A09">
        <w:rPr>
          <w:color w:val="auto"/>
        </w:rPr>
        <w:t xml:space="preserve">hand the significant progress that systems are making. When the </w:t>
      </w:r>
      <w:r w:rsidRPr="00AA10A5">
        <w:rPr>
          <w:i/>
          <w:iCs/>
          <w:color w:val="auto"/>
        </w:rPr>
        <w:t>Fuller Stocktake,</w:t>
      </w:r>
      <w:r w:rsidR="0038206F" w:rsidRPr="00AA10A5">
        <w:rPr>
          <w:b/>
          <w:bCs/>
          <w:i/>
          <w:iCs/>
          <w:color w:val="auto"/>
        </w:rPr>
        <w:t xml:space="preserve"> </w:t>
      </w:r>
      <w:r w:rsidRPr="00AA10A5">
        <w:rPr>
          <w:i/>
          <w:iCs/>
          <w:color w:val="auto"/>
        </w:rPr>
        <w:t>Next steps for integrating primary care</w:t>
      </w:r>
      <w:r w:rsidR="0038206F" w:rsidRPr="00496A09">
        <w:rPr>
          <w:color w:val="auto"/>
        </w:rPr>
        <w:t>,</w:t>
      </w:r>
      <w:r w:rsidR="009D5153" w:rsidRPr="00496A09">
        <w:rPr>
          <w:rStyle w:val="FootnoteReference"/>
          <w:color w:val="auto"/>
        </w:rPr>
        <w:footnoteReference w:id="2"/>
      </w:r>
      <w:r w:rsidR="0038206F" w:rsidRPr="00496A09">
        <w:rPr>
          <w:b/>
          <w:bCs/>
          <w:i/>
          <w:iCs/>
          <w:color w:val="auto"/>
        </w:rPr>
        <w:t xml:space="preserve"> </w:t>
      </w:r>
      <w:r w:rsidRPr="00496A09">
        <w:rPr>
          <w:color w:val="auto"/>
        </w:rPr>
        <w:t xml:space="preserve">and the </w:t>
      </w:r>
      <w:r w:rsidRPr="00AA10A5">
        <w:rPr>
          <w:i/>
          <w:iCs/>
          <w:color w:val="auto"/>
        </w:rPr>
        <w:t>Hewitt Review,</w:t>
      </w:r>
      <w:r w:rsidR="0038206F" w:rsidRPr="00AA10A5">
        <w:rPr>
          <w:i/>
          <w:iCs/>
          <w:color w:val="auto"/>
        </w:rPr>
        <w:t xml:space="preserve"> </w:t>
      </w:r>
      <w:r w:rsidR="0070657C">
        <w:rPr>
          <w:i/>
          <w:iCs/>
          <w:color w:val="auto"/>
        </w:rPr>
        <w:t>a</w:t>
      </w:r>
      <w:r w:rsidRPr="00AA10A5">
        <w:rPr>
          <w:i/>
          <w:iCs/>
          <w:color w:val="auto"/>
        </w:rPr>
        <w:t>n independent review of integrated care systems</w:t>
      </w:r>
      <w:r w:rsidR="0038206F" w:rsidRPr="00496A09">
        <w:rPr>
          <w:color w:val="auto"/>
        </w:rPr>
        <w:t>,</w:t>
      </w:r>
      <w:r w:rsidR="00373E81" w:rsidRPr="00496A09">
        <w:rPr>
          <w:rStyle w:val="FootnoteReference"/>
          <w:color w:val="auto"/>
        </w:rPr>
        <w:footnoteReference w:id="3"/>
      </w:r>
      <w:r w:rsidR="0038206F" w:rsidRPr="00496A09">
        <w:rPr>
          <w:color w:val="auto"/>
        </w:rPr>
        <w:t xml:space="preserve"> </w:t>
      </w:r>
      <w:r w:rsidRPr="00496A09">
        <w:rPr>
          <w:color w:val="auto"/>
        </w:rPr>
        <w:t xml:space="preserve">were first published, we knew that significant change would be required from all parts of the health and care system. Change is never easy, particularly in these challenging times. But we have both been struck by how much this </w:t>
      </w:r>
      <w:r w:rsidR="001A3503" w:rsidRPr="00496A09">
        <w:rPr>
          <w:color w:val="auto"/>
        </w:rPr>
        <w:t>s</w:t>
      </w:r>
      <w:r w:rsidRPr="00496A09">
        <w:rPr>
          <w:color w:val="auto"/>
        </w:rPr>
        <w:t>trategy,</w:t>
      </w:r>
      <w:r w:rsidR="0038206F" w:rsidRPr="00496A09">
        <w:rPr>
          <w:color w:val="auto"/>
        </w:rPr>
        <w:t xml:space="preserve"> </w:t>
      </w:r>
      <w:r w:rsidRPr="00496A09">
        <w:rPr>
          <w:color w:val="auto"/>
        </w:rPr>
        <w:t>Shaping the future delivery of NHS vaccination services, builds on the delivery models of Fuller and the ways of working through systems proposed by Hewitt. We particularly welcome the way this approach to vaccination services has been developed through significant and far-reaching engagement with partners in local systems committed to meeting the needs of their populations, provide proactive, personalised care and help people stay well for longer.</w:t>
      </w:r>
    </w:p>
    <w:p w14:paraId="272C38A9" w14:textId="06BD4D83" w:rsidR="00336E50" w:rsidRPr="00496A09" w:rsidRDefault="00336E50" w:rsidP="00D00502">
      <w:pPr>
        <w:spacing w:line="276" w:lineRule="auto"/>
        <w:rPr>
          <w:color w:val="auto"/>
        </w:rPr>
      </w:pPr>
      <w:r w:rsidRPr="00496A09">
        <w:rPr>
          <w:color w:val="auto"/>
        </w:rPr>
        <w:t xml:space="preserve">The recommendations in this strategy build on work already underway in systems across the country. They offer the opportunity to deliver life-saving vaccination programmes through integrated neighbourhood, place and system teams, with primary care at their heart. By bringing together the full range of partners in ICSs, these integrated teams can support the delivery of an even wider set of prevention services and help us prepare for future pandemics. We are particularly pleased to see the emphasis on working with underserved and marginalised communities </w:t>
      </w:r>
      <w:r w:rsidR="0038206F" w:rsidRPr="00496A09">
        <w:rPr>
          <w:color w:val="auto"/>
        </w:rPr>
        <w:t xml:space="preserve">– </w:t>
      </w:r>
      <w:r w:rsidRPr="00496A09">
        <w:rPr>
          <w:color w:val="auto"/>
        </w:rPr>
        <w:t xml:space="preserve">vital if we are to tackle persistent and unacceptable health inequalities </w:t>
      </w:r>
      <w:r w:rsidR="0038206F" w:rsidRPr="00496A09">
        <w:rPr>
          <w:color w:val="auto"/>
        </w:rPr>
        <w:t xml:space="preserve">– </w:t>
      </w:r>
      <w:r w:rsidRPr="00496A09">
        <w:rPr>
          <w:color w:val="auto"/>
        </w:rPr>
        <w:t xml:space="preserve">as well as the intention to delegate commissioning to </w:t>
      </w:r>
      <w:r w:rsidR="0038206F" w:rsidRPr="00496A09">
        <w:rPr>
          <w:color w:val="auto"/>
        </w:rPr>
        <w:t>integrated care boards.</w:t>
      </w:r>
    </w:p>
    <w:p w14:paraId="4D4B532A" w14:textId="02C33F8B" w:rsidR="00336E50" w:rsidRPr="00496A09" w:rsidRDefault="00336E50" w:rsidP="00D00502">
      <w:pPr>
        <w:spacing w:line="276" w:lineRule="auto"/>
        <w:rPr>
          <w:color w:val="auto"/>
        </w:rPr>
      </w:pPr>
      <w:r w:rsidRPr="00496A09">
        <w:rPr>
          <w:color w:val="auto"/>
        </w:rPr>
        <w:t xml:space="preserve">We hope that colleagues in England’s 42 </w:t>
      </w:r>
      <w:r w:rsidR="006F5225" w:rsidRPr="00496A09">
        <w:rPr>
          <w:color w:val="auto"/>
        </w:rPr>
        <w:t>ICSs</w:t>
      </w:r>
      <w:r w:rsidR="0038206F" w:rsidRPr="00496A09">
        <w:rPr>
          <w:color w:val="auto"/>
        </w:rPr>
        <w:t xml:space="preserve"> </w:t>
      </w:r>
      <w:r w:rsidRPr="00496A09">
        <w:rPr>
          <w:color w:val="auto"/>
        </w:rPr>
        <w:t>will welcome this opportunity for local leaders and partners to make an even bigger difference to the people they serve. </w:t>
      </w:r>
    </w:p>
    <w:p w14:paraId="79E62048" w14:textId="77777777" w:rsidR="0031220E" w:rsidRPr="00496A09" w:rsidRDefault="0031220E" w:rsidP="0031220E">
      <w:pPr>
        <w:rPr>
          <w:color w:val="auto"/>
        </w:rPr>
      </w:pPr>
      <w:r w:rsidRPr="00496A09">
        <w:rPr>
          <w:color w:val="auto"/>
        </w:rPr>
        <w:br w:type="page"/>
      </w:r>
    </w:p>
    <w:p w14:paraId="36B606E3" w14:textId="1F414297" w:rsidR="00A4118C" w:rsidRPr="00496A09" w:rsidRDefault="0031220E" w:rsidP="00D00502">
      <w:pPr>
        <w:pStyle w:val="Heading2Numbered"/>
        <w:ind w:left="578" w:hanging="578"/>
        <w:rPr>
          <w:sz w:val="18"/>
          <w:szCs w:val="18"/>
        </w:rPr>
      </w:pPr>
      <w:bookmarkStart w:id="2" w:name="_Toc153264051"/>
      <w:r w:rsidRPr="00496A09">
        <w:t>Summary</w:t>
      </w:r>
      <w:bookmarkEnd w:id="1"/>
      <w:bookmarkEnd w:id="2"/>
    </w:p>
    <w:p w14:paraId="6D7C4304" w14:textId="589E0206" w:rsidR="0031220E" w:rsidRPr="00496A09" w:rsidRDefault="0031220E" w:rsidP="00D00502">
      <w:pPr>
        <w:spacing w:after="180" w:line="276" w:lineRule="auto"/>
        <w:ind w:right="57"/>
      </w:pPr>
      <w:r w:rsidRPr="00496A09">
        <w:t>Vaccination saves lives and protects people’s health. It ranks second only to clean water as the most effective public health intervention to prevent disease</w:t>
      </w:r>
      <w:r w:rsidR="0038206F" w:rsidRPr="00496A09">
        <w:t>.</w:t>
      </w:r>
      <w:r w:rsidRPr="00496A09">
        <w:rPr>
          <w:rStyle w:val="FootnoteReference"/>
        </w:rPr>
        <w:footnoteReference w:id="4"/>
      </w:r>
      <w:r w:rsidRPr="00496A09">
        <w:t xml:space="preserve"> Through vaccination, diseases that were previously common are now rare, and millions of people each year are protected from severe illness and death. In the last two and a half years, COVID-19 vaccines have saved tens of thousands of lives in England. </w:t>
      </w:r>
    </w:p>
    <w:p w14:paraId="22674AB7" w14:textId="2ADD7087" w:rsidR="0031220E" w:rsidRPr="00496A09" w:rsidRDefault="0031220E" w:rsidP="00D00502">
      <w:pPr>
        <w:spacing w:after="180" w:line="276" w:lineRule="auto"/>
        <w:ind w:right="57"/>
      </w:pPr>
      <w:r w:rsidRPr="00496A09">
        <w:t>England has historically performed well across both life-course and seasonal vaccinations and has effectively responded to outbreaks of vaccine-preventable disease. We achieve among the highest rates of flu vaccination in the world</w:t>
      </w:r>
      <w:r w:rsidR="0038206F" w:rsidRPr="00496A09">
        <w:t>;</w:t>
      </w:r>
      <w:r w:rsidRPr="00496A09">
        <w:rPr>
          <w:rStyle w:val="FootnoteReference"/>
        </w:rPr>
        <w:footnoteReference w:id="5"/>
      </w:r>
      <w:r w:rsidRPr="00496A09">
        <w:t xml:space="preserve"> our NHS COVID-19 vaccination programme is rightly held up as a success after delivering over </w:t>
      </w:r>
      <w:r w:rsidR="00F43FDC" w:rsidRPr="00496A09">
        <w:t>15</w:t>
      </w:r>
      <w:r w:rsidR="00131A2C" w:rsidRPr="00496A09">
        <w:t>6</w:t>
      </w:r>
      <w:r w:rsidRPr="00496A09">
        <w:t xml:space="preserve"> million vaccinations to date;</w:t>
      </w:r>
      <w:r w:rsidRPr="00496A09">
        <w:rPr>
          <w:rStyle w:val="FootnoteReference"/>
        </w:rPr>
        <w:footnoteReference w:id="6"/>
      </w:r>
      <w:r w:rsidRPr="00496A09">
        <w:t xml:space="preserve"> and it is estimated that the introduction of HPV vaccination for school children could prevent over 110,000 cases of cancer by 2058.</w:t>
      </w:r>
      <w:r w:rsidRPr="00496A09">
        <w:rPr>
          <w:rStyle w:val="FootnoteReference"/>
        </w:rPr>
        <w:footnoteReference w:id="7"/>
      </w:r>
    </w:p>
    <w:p w14:paraId="6A3EECF9" w14:textId="1284960B" w:rsidR="0031220E" w:rsidRPr="00496A09" w:rsidRDefault="0031220E" w:rsidP="00D00502">
      <w:pPr>
        <w:spacing w:after="180" w:line="276" w:lineRule="auto"/>
        <w:ind w:right="57"/>
      </w:pPr>
      <w:r w:rsidRPr="00496A09">
        <w:t xml:space="preserve">In recent years, however, </w:t>
      </w:r>
      <w:r w:rsidR="00DF12D0" w:rsidRPr="00496A09">
        <w:rPr>
          <w:rFonts w:cs="Arial"/>
          <w:color w:val="auto"/>
        </w:rPr>
        <w:t xml:space="preserve">our performance has been in decline. </w:t>
      </w:r>
      <w:r w:rsidR="00DF12D0" w:rsidRPr="00496A09">
        <w:t>W</w:t>
      </w:r>
      <w:r w:rsidRPr="00496A09">
        <w:t xml:space="preserve">e have not hit population coverage targets for childhood </w:t>
      </w:r>
      <w:r w:rsidR="00D146EF">
        <w:t>immunisations</w:t>
      </w:r>
      <w:r w:rsidRPr="00496A09">
        <w:t>. The World Health Organization (WHO) declared that the UK had eliminated measles in 2016 but we have since lost this status.</w:t>
      </w:r>
      <w:r w:rsidRPr="00496A09">
        <w:rPr>
          <w:rStyle w:val="FootnoteReference"/>
        </w:rPr>
        <w:footnoteReference w:id="8"/>
      </w:r>
      <w:r w:rsidRPr="00496A09">
        <w:t xml:space="preserve"> We do not perform well everywhere, with significant variation in uptake and coverage between different communities that can often reflect wider health inequalities. For example, MMR vaccination rates across local authority areas in England vary by as much as </w:t>
      </w:r>
      <w:r w:rsidR="005B55A4" w:rsidRPr="00496A09">
        <w:t>22</w:t>
      </w:r>
      <w:r w:rsidR="0002373F" w:rsidRPr="00496A09">
        <w:t>%</w:t>
      </w:r>
      <w:r w:rsidRPr="00496A09">
        <w:rPr>
          <w:rStyle w:val="FootnoteReference"/>
        </w:rPr>
        <w:footnoteReference w:id="9"/>
      </w:r>
      <w:r w:rsidR="00302A31" w:rsidRPr="00496A09">
        <w:t>. Urgent action is required on the part of local health and care systems</w:t>
      </w:r>
      <w:r w:rsidR="00DD3BFD" w:rsidRPr="00496A09">
        <w:t xml:space="preserve"> to bring parity to all vaccination programmes, given that in recent years the population and the NHS has necessarily focussed on COVID-19 vaccinations</w:t>
      </w:r>
      <w:r w:rsidR="00302A31" w:rsidRPr="00496A09">
        <w:t>.</w:t>
      </w:r>
    </w:p>
    <w:p w14:paraId="64E863FC" w14:textId="119590D7" w:rsidR="0031220E" w:rsidRPr="00496A09" w:rsidRDefault="0031220E" w:rsidP="00D00502">
      <w:pPr>
        <w:spacing w:after="180" w:line="276" w:lineRule="auto"/>
        <w:ind w:right="57"/>
      </w:pPr>
      <w:r w:rsidRPr="00496A09">
        <w:t xml:space="preserve">NHS England is now considering how it integrates the NHS COVID-19 vaccination programme with more longstanding vaccination programmes to create a more cohesive approach, building on many decades of successful immunisation delivery as well as lessons of the last three years. In doing so, we will aim to not only increase overall uptake and coverage of vaccinations, but to reduce </w:t>
      </w:r>
      <w:r w:rsidR="00AF7CF7" w:rsidRPr="00496A09">
        <w:t>disparity</w:t>
      </w:r>
      <w:r w:rsidR="00FC3339" w:rsidRPr="00496A09">
        <w:t xml:space="preserve"> </w:t>
      </w:r>
      <w:r w:rsidRPr="00496A09">
        <w:t xml:space="preserve">in uptake, so that every community in the country has the protection it needs. We also need the flexibility to respond to future challenges, recognising that the nature of the diseases we face will evolve. This will be underpinned by a technology and data infrastructure </w:t>
      </w:r>
      <w:r w:rsidR="00A40864" w:rsidRPr="00496A09">
        <w:t>that</w:t>
      </w:r>
      <w:r w:rsidRPr="00496A09">
        <w:t xml:space="preserve"> enables the public and healthcare providers to understand vaccination status and take action to improve it.</w:t>
      </w:r>
    </w:p>
    <w:p w14:paraId="284DEC28" w14:textId="31E2355D" w:rsidR="0031220E" w:rsidRPr="00496A09" w:rsidRDefault="00EF03E8" w:rsidP="00D00502">
      <w:pPr>
        <w:spacing w:after="180" w:line="276" w:lineRule="auto"/>
        <w:ind w:right="57"/>
      </w:pPr>
      <w:r w:rsidRPr="00496A09">
        <w:t>In 2019 the Government's manifesto committed to continue to promote the uptake of vaccines via a national vaccination strategy</w:t>
      </w:r>
      <w:r w:rsidR="00A16530" w:rsidRPr="00496A09">
        <w:t>.</w:t>
      </w:r>
      <w:r w:rsidRPr="00496A09">
        <w:t xml:space="preserve"> </w:t>
      </w:r>
      <w:r w:rsidR="0031220E" w:rsidRPr="00496A09">
        <w:t xml:space="preserve">In developing </w:t>
      </w:r>
      <w:r w:rsidRPr="00496A09">
        <w:t>that</w:t>
      </w:r>
      <w:r w:rsidR="0031220E" w:rsidRPr="00496A09">
        <w:t xml:space="preserve"> strategy, </w:t>
      </w:r>
      <w:r w:rsidR="002F3868" w:rsidRPr="00496A09">
        <w:t>NHS England has</w:t>
      </w:r>
      <w:r w:rsidR="0031220E" w:rsidRPr="00496A09">
        <w:t xml:space="preserve"> sought the views of a wide range of stakeholders and the public. Their input has been invaluable in describing what we need to retain from our current approach, and how we can improve and adapt it to ensure it meets everyone’s needs. Different approaches will be needed for vaccines </w:t>
      </w:r>
      <w:r w:rsidR="006F77EC" w:rsidRPr="00496A09">
        <w:t xml:space="preserve">that are </w:t>
      </w:r>
      <w:r w:rsidR="0031220E" w:rsidRPr="00496A09">
        <w:t>given every year to eligible people, those given to everyone at a certain age or point in their life</w:t>
      </w:r>
      <w:r w:rsidR="006933D8" w:rsidRPr="00496A09">
        <w:t>,</w:t>
      </w:r>
      <w:r w:rsidR="0031220E" w:rsidRPr="00496A09">
        <w:t xml:space="preserve"> and those given in response to outbreaks of infection and disease. </w:t>
      </w:r>
    </w:p>
    <w:p w14:paraId="7A1538B8" w14:textId="77777777" w:rsidR="0031220E" w:rsidRPr="00496A09" w:rsidRDefault="0031220E" w:rsidP="00D00502">
      <w:pPr>
        <w:spacing w:after="180" w:line="276" w:lineRule="auto"/>
        <w:ind w:right="57"/>
      </w:pPr>
      <w:r w:rsidRPr="00496A09">
        <w:t xml:space="preserve">Our future approach to vaccination will focus on outcomes </w:t>
      </w:r>
      <w:r w:rsidRPr="00496A09" w:rsidDel="00D07905">
        <w:t xml:space="preserve">– reducing morbidity and mortality </w:t>
      </w:r>
      <w:r w:rsidRPr="00496A09">
        <w:t>by increasing vaccination uptake and coverage. To achieve this goal, every system in the country will need vaccination services that:</w:t>
      </w:r>
    </w:p>
    <w:p w14:paraId="4B9EFD1B" w14:textId="77777777" w:rsidR="0031220E" w:rsidRPr="00496A09" w:rsidRDefault="0031220E" w:rsidP="00D00502">
      <w:pPr>
        <w:spacing w:after="180" w:line="276" w:lineRule="auto"/>
        <w:ind w:right="57"/>
        <w:rPr>
          <w:b/>
          <w:bCs/>
        </w:rPr>
      </w:pPr>
      <w:r w:rsidRPr="00496A09">
        <w:t>…</w:t>
      </w:r>
      <w:r w:rsidRPr="00496A09">
        <w:rPr>
          <w:b/>
          <w:bCs/>
        </w:rPr>
        <w:t>are high quality, convenient to access and tailored to the needs of local people</w:t>
      </w:r>
    </w:p>
    <w:p w14:paraId="76DE9CB9" w14:textId="77777777" w:rsidR="0031220E" w:rsidRPr="00496A09" w:rsidRDefault="0031220E" w:rsidP="00D00502">
      <w:pPr>
        <w:spacing w:after="180" w:line="276" w:lineRule="auto"/>
        <w:ind w:right="57"/>
      </w:pPr>
      <w:r w:rsidRPr="00496A09">
        <w:t xml:space="preserve">The ‘front door’ to vaccination services should be simple to understand. Everyone should have easy access to safe, high quality vaccination services in convenient settings that are designed to meet the needs of the local population. People should be supported to understand the vaccinations for which they are eligible, consent to receive them, and be able to book an appointment quickly and easily, either online or over the phone. </w:t>
      </w:r>
    </w:p>
    <w:p w14:paraId="1444367C" w14:textId="77777777" w:rsidR="0031220E" w:rsidRPr="00496A09" w:rsidRDefault="0031220E" w:rsidP="00D00502">
      <w:pPr>
        <w:spacing w:after="180" w:line="276" w:lineRule="auto"/>
        <w:ind w:right="57"/>
        <w:rPr>
          <w:b/>
          <w:bCs/>
        </w:rPr>
      </w:pPr>
      <w:r w:rsidRPr="00496A09">
        <w:rPr>
          <w:b/>
          <w:bCs/>
        </w:rPr>
        <w:t>…are supplemented by targeted outreach to increase uptake in underserved populations</w:t>
      </w:r>
    </w:p>
    <w:p w14:paraId="2D51E98C" w14:textId="518FB34B" w:rsidR="0031220E" w:rsidRPr="00496A09" w:rsidRDefault="0031220E" w:rsidP="00D00502">
      <w:pPr>
        <w:spacing w:after="180" w:line="276" w:lineRule="auto"/>
        <w:ind w:right="57"/>
      </w:pPr>
      <w:r w:rsidRPr="00496A09">
        <w:t>Outreach services should actively seek those people and communities with low vaccine uptake and coverage, building trust and providing services that meet the needs of communities, in particular those experiencing health inequalities.</w:t>
      </w:r>
    </w:p>
    <w:p w14:paraId="5DFA1F55" w14:textId="77777777" w:rsidR="0031220E" w:rsidRPr="00496A09" w:rsidRDefault="0031220E" w:rsidP="00D00502">
      <w:pPr>
        <w:spacing w:after="180" w:line="276" w:lineRule="auto"/>
        <w:ind w:right="57"/>
        <w:rPr>
          <w:b/>
          <w:bCs/>
        </w:rPr>
      </w:pPr>
      <w:r w:rsidRPr="00496A09">
        <w:rPr>
          <w:b/>
          <w:bCs/>
        </w:rPr>
        <w:t>…are delivered in a joined-up way by integrated teams, working across the NHS and other organisations, to improve patient experience and deliver value for money</w:t>
      </w:r>
    </w:p>
    <w:p w14:paraId="546A4917" w14:textId="0C4680FF" w:rsidR="0031220E" w:rsidRPr="00496A09" w:rsidRDefault="0031220E" w:rsidP="00D00502">
      <w:pPr>
        <w:spacing w:after="180" w:line="276" w:lineRule="auto"/>
        <w:ind w:right="57"/>
      </w:pPr>
      <w:r w:rsidRPr="00496A09">
        <w:t>Making vaccination a central role of integrated neighbourhood teams (as described in the Fuller Stocktake</w:t>
      </w:r>
      <w:r w:rsidR="006459B0" w:rsidRPr="00496A09">
        <w:rPr>
          <w:rStyle w:val="FootnoteReference"/>
        </w:rPr>
        <w:footnoteReference w:id="10"/>
      </w:r>
      <w:r w:rsidRPr="00496A09">
        <w:t>) could support a more joined-up offer to the public, alignment with other prevention services and joint working with other sectors. The vaccination event could play a greater role in promoting and delivering other evidence-based public health interventions to adults, children and young people; similarly, other contacts with health and care services could be used to promote vaccination, aligned with wider person-centred healthcare delivery.</w:t>
      </w:r>
    </w:p>
    <w:p w14:paraId="139D05F3" w14:textId="77777777" w:rsidR="0031220E" w:rsidRPr="00496A09" w:rsidRDefault="0031220E" w:rsidP="00D00502">
      <w:pPr>
        <w:spacing w:after="180" w:line="276" w:lineRule="auto"/>
        <w:ind w:right="57"/>
      </w:pPr>
      <w:r w:rsidRPr="00496A09">
        <w:t xml:space="preserve">This approach will need clear leadership and a strong and engaged workforce. </w:t>
      </w:r>
      <w:bookmarkStart w:id="3" w:name="_Hlk132272356"/>
      <w:r w:rsidRPr="00496A09">
        <w:t xml:space="preserve">Systems should be given responsibility and flexibility to design and deliver vaccination services to meet their population needs, commissioning the optimal provider network and continuing to use the expertise of primary care. </w:t>
      </w:r>
      <w:bookmarkEnd w:id="3"/>
    </w:p>
    <w:p w14:paraId="5423D577" w14:textId="60C06876" w:rsidR="0031220E" w:rsidRPr="00496A09" w:rsidRDefault="0031220E" w:rsidP="00D00502">
      <w:pPr>
        <w:spacing w:after="180" w:line="276" w:lineRule="auto"/>
        <w:ind w:right="57"/>
      </w:pPr>
      <w:r w:rsidRPr="00496A09">
        <w:t xml:space="preserve">We will continue to work with stakeholders to refine a streamlined set of outcomes and standards so that systems know what they need to achieve and determine the financial and contractual frameworks required to support delivery. </w:t>
      </w:r>
    </w:p>
    <w:p w14:paraId="74C89ABB" w14:textId="072DF254" w:rsidR="0031220E" w:rsidRPr="00496A09" w:rsidRDefault="0031220E" w:rsidP="00D00502">
      <w:pPr>
        <w:spacing w:after="180" w:line="276" w:lineRule="auto"/>
        <w:ind w:right="57"/>
      </w:pPr>
      <w:r w:rsidRPr="00496A09">
        <w:t xml:space="preserve">Working with partner organisations, we will ensure that vaccine supply works in a way that is efficient and convenient for </w:t>
      </w:r>
      <w:r w:rsidR="00155876" w:rsidRPr="00496A09">
        <w:t>providers and</w:t>
      </w:r>
      <w:r w:rsidRPr="00496A09">
        <w:t xml:space="preserve"> supports greater co-administration of vaccines where appropriate. </w:t>
      </w:r>
    </w:p>
    <w:p w14:paraId="401333D8" w14:textId="516B43A4" w:rsidR="0031220E" w:rsidRPr="00496A09" w:rsidRDefault="0031220E" w:rsidP="00564A7D">
      <w:pPr>
        <w:spacing w:after="180" w:line="276" w:lineRule="auto"/>
        <w:ind w:right="57"/>
      </w:pPr>
      <w:r w:rsidRPr="00496A09">
        <w:t xml:space="preserve">We will continue to enhance digital services, improving access to timely, </w:t>
      </w:r>
      <w:r w:rsidR="00155876" w:rsidRPr="00496A09">
        <w:t>high-quality</w:t>
      </w:r>
      <w:r w:rsidRPr="00496A09">
        <w:t xml:space="preserve"> data, expanding the use of national booking systems and creating a national vaccination data record.</w:t>
      </w:r>
    </w:p>
    <w:p w14:paraId="37654455" w14:textId="463CB343" w:rsidR="0031220E" w:rsidRPr="00496A09" w:rsidRDefault="0031220E" w:rsidP="00D00502">
      <w:pPr>
        <w:spacing w:after="180" w:line="276" w:lineRule="auto"/>
        <w:ind w:right="57"/>
        <w:rPr>
          <w:color w:val="auto"/>
        </w:rPr>
      </w:pPr>
      <w:r w:rsidRPr="00496A09">
        <w:t xml:space="preserve">As well as improving population health, every additional vaccination is a potential illness averted or life saved. Our offer needs to be as efficient, cost-effective and sustainable as possible, while recognising that these highly effective preventative services deliver considerable downstream benefits. </w:t>
      </w:r>
      <w:r w:rsidR="00A4295F" w:rsidRPr="00496A09">
        <w:rPr>
          <w:rFonts w:cs="Arial"/>
          <w:color w:val="auto"/>
        </w:rPr>
        <w:t xml:space="preserve">The way that vaccines are made, supplied and administered will change – for example combination vaccines – and this requires a new model and a fresh approach, delivered through local systems using </w:t>
      </w:r>
      <w:r w:rsidRPr="00496A09">
        <w:rPr>
          <w:color w:val="auto"/>
        </w:rPr>
        <w:t>their allocated resources to address public health and inequalities</w:t>
      </w:r>
      <w:r w:rsidR="00C52BFF" w:rsidRPr="00496A09">
        <w:rPr>
          <w:color w:val="auto"/>
        </w:rPr>
        <w:t>.</w:t>
      </w:r>
      <w:r w:rsidRPr="00496A09">
        <w:rPr>
          <w:color w:val="auto"/>
        </w:rPr>
        <w:t xml:space="preserve"> </w:t>
      </w:r>
    </w:p>
    <w:p w14:paraId="3BD33903" w14:textId="2A9960BA" w:rsidR="00BA11E5" w:rsidRPr="00496A09" w:rsidRDefault="0031220E" w:rsidP="00D00502">
      <w:pPr>
        <w:spacing w:after="180" w:line="276" w:lineRule="auto"/>
        <w:ind w:right="57"/>
      </w:pPr>
      <w:r w:rsidRPr="00496A09">
        <w:rPr>
          <w:color w:val="auto"/>
        </w:rPr>
        <w:t xml:space="preserve">We intend to progress these proposals at pace and </w:t>
      </w:r>
      <w:r w:rsidRPr="00496A09">
        <w:t>fully implement the strategy by 2025/26. Some proposals will require further discussion with partners and/or legislative change. Others will require testing, and we will continue working with integrated care systems (ICSs) to further assess and evaluate them. We look forward to working with all our partners – in the NHS, local government and beyond – to take our proposals forward.</w:t>
      </w:r>
    </w:p>
    <w:p w14:paraId="2CB364A2" w14:textId="77777777" w:rsidR="00BA11E5" w:rsidRPr="00496A09" w:rsidRDefault="00BA11E5">
      <w:pPr>
        <w:spacing w:after="0" w:line="240" w:lineRule="auto"/>
        <w:textboxTightWrap w:val="none"/>
      </w:pPr>
      <w:r w:rsidRPr="00496A09">
        <w:br w:type="page"/>
      </w:r>
    </w:p>
    <w:p w14:paraId="557CA433" w14:textId="77777777" w:rsidR="0031220E" w:rsidRPr="00496A09" w:rsidRDefault="0031220E" w:rsidP="00BB6E34">
      <w:pPr>
        <w:pStyle w:val="Heading2Numbered"/>
      </w:pPr>
      <w:bookmarkStart w:id="4" w:name="_Toc153264052"/>
      <w:r w:rsidRPr="00496A09">
        <w:t>Our proposals</w:t>
      </w:r>
      <w:bookmarkEnd w:id="4"/>
    </w:p>
    <w:p w14:paraId="29B40927" w14:textId="27358DB1" w:rsidR="0031220E" w:rsidRPr="00496A09" w:rsidRDefault="0031220E" w:rsidP="00564A7D">
      <w:pPr>
        <w:spacing w:after="180" w:line="276" w:lineRule="auto"/>
        <w:ind w:right="57"/>
        <w:rPr>
          <w:color w:val="auto"/>
        </w:rPr>
      </w:pPr>
      <w:r w:rsidRPr="00496A09">
        <w:rPr>
          <w:color w:val="auto"/>
        </w:rPr>
        <w:t xml:space="preserve">This strategy is for people and organisations involved in the commissioning, planning and delivery of NHS vaccination services in </w:t>
      </w:r>
      <w:r w:rsidR="006445E0" w:rsidRPr="00496A09">
        <w:rPr>
          <w:color w:val="auto"/>
        </w:rPr>
        <w:t>England.</w:t>
      </w:r>
    </w:p>
    <w:p w14:paraId="14137E21" w14:textId="77777777" w:rsidR="0031220E" w:rsidRPr="00496A09" w:rsidRDefault="0031220E" w:rsidP="00564A7D">
      <w:pPr>
        <w:spacing w:after="480" w:line="276" w:lineRule="auto"/>
        <w:ind w:right="57"/>
        <w:rPr>
          <w:color w:val="auto"/>
        </w:rPr>
      </w:pPr>
      <w:r w:rsidRPr="00496A09">
        <w:rPr>
          <w:color w:val="auto"/>
        </w:rPr>
        <w:t xml:space="preserve">The table below summarises the proposals we set out in this strategy, together with the responsible organisation. Note that where an action is stated for integrated care boards (ICBs), in some cases this is subject to the delegation of the appropriate functions and powers from NHS England. </w:t>
      </w:r>
    </w:p>
    <w:tbl>
      <w:tblPr>
        <w:tblStyle w:val="GridTable6Colorful-Accent6"/>
        <w:tblW w:w="9918" w:type="dxa"/>
        <w:tblLayout w:type="fixed"/>
        <w:tblLook w:val="04A0" w:firstRow="1" w:lastRow="0" w:firstColumn="1" w:lastColumn="0" w:noHBand="0" w:noVBand="1"/>
      </w:tblPr>
      <w:tblGrid>
        <w:gridCol w:w="1271"/>
        <w:gridCol w:w="5670"/>
        <w:gridCol w:w="1134"/>
        <w:gridCol w:w="1843"/>
      </w:tblGrid>
      <w:tr w:rsidR="0031220E" w:rsidRPr="00496A09" w14:paraId="300B5E69" w14:textId="77777777" w:rsidTr="0070560B">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3DCAC52" w14:textId="4539BA53" w:rsidR="0031220E" w:rsidRPr="00496A09" w:rsidRDefault="0031220E" w:rsidP="001725DC">
            <w:pPr>
              <w:pStyle w:val="BodyText"/>
              <w:spacing w:after="0"/>
              <w:ind w:left="0"/>
              <w:jc w:val="center"/>
              <w:rPr>
                <w:rFonts w:cs="Arial"/>
                <w:b w:val="0"/>
                <w:bCs w:val="0"/>
              </w:rPr>
            </w:pPr>
            <w:r w:rsidRPr="00496A09">
              <w:rPr>
                <w:i/>
                <w:iCs/>
              </w:rPr>
              <w:br w:type="page"/>
            </w:r>
            <w:bookmarkStart w:id="5" w:name="_Toc123637839"/>
            <w:r w:rsidRPr="00496A09">
              <w:rPr>
                <w:rFonts w:cs="Arial"/>
              </w:rPr>
              <w:t>Theme</w:t>
            </w:r>
          </w:p>
        </w:tc>
        <w:tc>
          <w:tcPr>
            <w:tcW w:w="5670" w:type="dxa"/>
            <w:vAlign w:val="center"/>
          </w:tcPr>
          <w:p w14:paraId="63CB80D5" w14:textId="77777777" w:rsidR="0031220E" w:rsidRPr="00496A09" w:rsidRDefault="0031220E" w:rsidP="001725DC">
            <w:pPr>
              <w:pStyle w:val="BodyText"/>
              <w:spacing w:after="0"/>
              <w:ind w:left="0"/>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496A09">
              <w:rPr>
                <w:rFonts w:cs="Arial"/>
              </w:rPr>
              <w:t>Proposal</w:t>
            </w:r>
          </w:p>
        </w:tc>
        <w:tc>
          <w:tcPr>
            <w:tcW w:w="1134" w:type="dxa"/>
            <w:vAlign w:val="center"/>
          </w:tcPr>
          <w:p w14:paraId="111A4A51" w14:textId="77777777" w:rsidR="0031220E" w:rsidRPr="00496A09" w:rsidRDefault="0031220E" w:rsidP="001725DC">
            <w:pPr>
              <w:pStyle w:val="BodyText"/>
              <w:spacing w:after="0"/>
              <w:ind w:left="0"/>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496A09">
              <w:rPr>
                <w:rFonts w:cs="Arial"/>
              </w:rPr>
              <w:t>Section</w:t>
            </w:r>
          </w:p>
        </w:tc>
        <w:tc>
          <w:tcPr>
            <w:tcW w:w="1843" w:type="dxa"/>
            <w:vAlign w:val="center"/>
          </w:tcPr>
          <w:p w14:paraId="38A1BE39" w14:textId="77777777" w:rsidR="0031220E" w:rsidRPr="00496A09" w:rsidRDefault="0031220E" w:rsidP="001725DC">
            <w:pPr>
              <w:pStyle w:val="BodyText"/>
              <w:spacing w:after="0"/>
              <w:ind w:left="0"/>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496A09">
              <w:rPr>
                <w:rFonts w:cs="Arial"/>
              </w:rPr>
              <w:t>Action by:</w:t>
            </w:r>
            <w:r w:rsidRPr="00496A09">
              <w:rPr>
                <w:rStyle w:val="FootnoteReference"/>
                <w:rFonts w:cs="Arial"/>
              </w:rPr>
              <w:footnoteReference w:id="11"/>
            </w:r>
          </w:p>
        </w:tc>
      </w:tr>
      <w:tr w:rsidR="0031220E" w:rsidRPr="00496A09" w14:paraId="60A3D196" w14:textId="77777777" w:rsidTr="0070560B">
        <w:trPr>
          <w:cnfStyle w:val="000000100000" w:firstRow="0" w:lastRow="0" w:firstColumn="0" w:lastColumn="0" w:oddVBand="0" w:evenVBand="0" w:oddHBand="1" w:evenHBand="0"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1271" w:type="dxa"/>
            <w:vMerge w:val="restart"/>
            <w:textDirection w:val="btLr"/>
            <w:vAlign w:val="center"/>
          </w:tcPr>
          <w:p w14:paraId="3F31A37B" w14:textId="6731FE8D" w:rsidR="0031220E" w:rsidRPr="00496A09" w:rsidRDefault="0031220E" w:rsidP="001725DC">
            <w:pPr>
              <w:spacing w:after="0" w:line="240" w:lineRule="auto"/>
              <w:ind w:left="113" w:right="113"/>
              <w:jc w:val="center"/>
              <w:textAlignment w:val="center"/>
              <w:rPr>
                <w:rFonts w:cs="Arial"/>
                <w:b w:val="0"/>
                <w:bCs w:val="0"/>
                <w:lang w:eastAsia="en-GB"/>
              </w:rPr>
            </w:pPr>
            <w:r w:rsidRPr="00496A09">
              <w:rPr>
                <w:rFonts w:cs="Arial"/>
                <w:lang w:eastAsia="en-GB"/>
              </w:rPr>
              <w:t xml:space="preserve">Simple, convenient and efficient front door </w:t>
            </w:r>
            <w:r w:rsidR="004E0BD0" w:rsidRPr="00496A09">
              <w:rPr>
                <w:rFonts w:cs="Arial"/>
                <w:lang w:eastAsia="en-GB"/>
              </w:rPr>
              <w:t xml:space="preserve">to </w:t>
            </w:r>
            <w:r w:rsidRPr="00496A09">
              <w:rPr>
                <w:rFonts w:cs="Arial"/>
                <w:lang w:eastAsia="en-GB"/>
              </w:rPr>
              <w:t>servic</w:t>
            </w:r>
            <w:r w:rsidR="00782E4B" w:rsidRPr="00496A09">
              <w:rPr>
                <w:rFonts w:cs="Arial"/>
                <w:lang w:eastAsia="en-GB"/>
              </w:rPr>
              <w:t>e</w:t>
            </w:r>
          </w:p>
        </w:tc>
        <w:tc>
          <w:tcPr>
            <w:tcW w:w="5670" w:type="dxa"/>
            <w:vAlign w:val="center"/>
          </w:tcPr>
          <w:p w14:paraId="6E598E81" w14:textId="7D708516" w:rsidR="0031220E" w:rsidRPr="00496A09" w:rsidRDefault="0031220E" w:rsidP="00AE2135">
            <w:pPr>
              <w:spacing w:after="18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en-GB"/>
              </w:rPr>
            </w:pPr>
            <w:r w:rsidRPr="00496A09">
              <w:rPr>
                <w:rFonts w:cs="Arial"/>
                <w:lang w:eastAsia="en-GB"/>
              </w:rPr>
              <w:t xml:space="preserve">Help people understand why they or their families need a vaccination and how to access it, working at national and local level to build trust and confidence, </w:t>
            </w:r>
            <w:r w:rsidR="00155876" w:rsidRPr="00496A09">
              <w:rPr>
                <w:rFonts w:cs="Arial"/>
                <w:lang w:eastAsia="en-GB"/>
              </w:rPr>
              <w:t>e.g.,</w:t>
            </w:r>
            <w:r w:rsidRPr="00496A09">
              <w:rPr>
                <w:rFonts w:cs="Arial"/>
                <w:lang w:eastAsia="en-GB"/>
              </w:rPr>
              <w:t xml:space="preserve"> making booking invitations and reminders more personalised and accessible, and using nationally co</w:t>
            </w:r>
            <w:r w:rsidR="0038206F" w:rsidRPr="00496A09">
              <w:rPr>
                <w:rFonts w:cs="Arial"/>
                <w:lang w:eastAsia="en-GB"/>
              </w:rPr>
              <w:t>-</w:t>
            </w:r>
            <w:r w:rsidRPr="00496A09">
              <w:rPr>
                <w:rFonts w:cs="Arial"/>
                <w:lang w:eastAsia="en-GB"/>
              </w:rPr>
              <w:t>ordinated invitations to complement local activity where appropriate.</w:t>
            </w:r>
          </w:p>
        </w:tc>
        <w:tc>
          <w:tcPr>
            <w:tcW w:w="1134" w:type="dxa"/>
            <w:vAlign w:val="center"/>
          </w:tcPr>
          <w:p w14:paraId="7CBCEF7C"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3.1.1 to 3.1.3</w:t>
            </w:r>
          </w:p>
        </w:tc>
        <w:tc>
          <w:tcPr>
            <w:tcW w:w="1843" w:type="dxa"/>
            <w:vAlign w:val="center"/>
          </w:tcPr>
          <w:p w14:paraId="773C555D"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NHS England, DHSC, UKHSA and ICBs</w:t>
            </w:r>
          </w:p>
        </w:tc>
      </w:tr>
      <w:tr w:rsidR="0031220E" w:rsidRPr="00496A09" w14:paraId="354A09B8" w14:textId="77777777" w:rsidTr="0070560B">
        <w:trPr>
          <w:trHeight w:val="461"/>
        </w:trPr>
        <w:tc>
          <w:tcPr>
            <w:cnfStyle w:val="001000000000" w:firstRow="0" w:lastRow="0" w:firstColumn="1" w:lastColumn="0" w:oddVBand="0" w:evenVBand="0" w:oddHBand="0" w:evenHBand="0" w:firstRowFirstColumn="0" w:firstRowLastColumn="0" w:lastRowFirstColumn="0" w:lastRowLastColumn="0"/>
            <w:tcW w:w="1271" w:type="dxa"/>
            <w:vMerge/>
            <w:textDirection w:val="btLr"/>
            <w:vAlign w:val="center"/>
          </w:tcPr>
          <w:p w14:paraId="07AC4AA0"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77B79B83" w14:textId="22BFEE06" w:rsidR="0031220E" w:rsidRPr="00496A09" w:rsidRDefault="0031220E" w:rsidP="00AE2135">
            <w:pPr>
              <w:spacing w:after="180" w:line="276" w:lineRule="auto"/>
              <w:textAlignment w:val="center"/>
              <w:cnfStyle w:val="000000000000" w:firstRow="0" w:lastRow="0" w:firstColumn="0" w:lastColumn="0" w:oddVBand="0" w:evenVBand="0" w:oddHBand="0" w:evenHBand="0" w:firstRowFirstColumn="0" w:firstRowLastColumn="0" w:lastRowFirstColumn="0" w:lastRowLastColumn="0"/>
              <w:rPr>
                <w:rFonts w:cs="Arial"/>
                <w:lang w:eastAsia="en-GB"/>
              </w:rPr>
            </w:pPr>
            <w:r w:rsidRPr="00496A09">
              <w:rPr>
                <w:rFonts w:cs="Arial"/>
                <w:lang w:eastAsia="en-GB"/>
              </w:rPr>
              <w:t xml:space="preserve">Explore use of the NHS App to </w:t>
            </w:r>
            <w:r w:rsidR="000B6FA3" w:rsidRPr="00496A09">
              <w:rPr>
                <w:rFonts w:cs="Arial"/>
                <w:lang w:eastAsia="en-GB"/>
              </w:rPr>
              <w:t>improve the experience of booking a vaccination and understanding individual vaccine histories</w:t>
            </w:r>
            <w:r w:rsidR="00AD6A01">
              <w:rPr>
                <w:rFonts w:cs="Arial"/>
                <w:lang w:eastAsia="en-GB"/>
              </w:rPr>
              <w:t>.</w:t>
            </w:r>
          </w:p>
        </w:tc>
        <w:tc>
          <w:tcPr>
            <w:tcW w:w="1134" w:type="dxa"/>
            <w:vAlign w:val="center"/>
          </w:tcPr>
          <w:p w14:paraId="59D5E40E"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3.1.4</w:t>
            </w:r>
          </w:p>
        </w:tc>
        <w:tc>
          <w:tcPr>
            <w:tcW w:w="1843" w:type="dxa"/>
            <w:vAlign w:val="center"/>
          </w:tcPr>
          <w:p w14:paraId="7D9AC37A"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NHS England</w:t>
            </w:r>
          </w:p>
        </w:tc>
      </w:tr>
      <w:tr w:rsidR="0031220E" w:rsidRPr="00496A09" w14:paraId="25845211" w14:textId="77777777" w:rsidTr="00776F0A">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1271" w:type="dxa"/>
            <w:vMerge/>
            <w:textDirection w:val="btLr"/>
            <w:vAlign w:val="center"/>
          </w:tcPr>
          <w:p w14:paraId="7463AEFC"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2F3CDCE7" w14:textId="501C28EC" w:rsidR="0031220E" w:rsidRPr="00496A09" w:rsidRDefault="0031220E" w:rsidP="00AE2135">
            <w:pPr>
              <w:spacing w:after="18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en-GB"/>
              </w:rPr>
            </w:pPr>
            <w:r w:rsidRPr="00496A09">
              <w:rPr>
                <w:rFonts w:cs="Arial"/>
                <w:lang w:eastAsia="en-GB"/>
              </w:rPr>
              <w:t xml:space="preserve">Test the viability of extending </w:t>
            </w:r>
            <w:r w:rsidR="006403F7" w:rsidRPr="00496A09">
              <w:rPr>
                <w:rFonts w:cs="Arial"/>
                <w:lang w:eastAsia="en-GB"/>
              </w:rPr>
              <w:t>online booking</w:t>
            </w:r>
            <w:r w:rsidRPr="00496A09">
              <w:rPr>
                <w:rFonts w:cs="Arial"/>
                <w:lang w:eastAsia="en-GB"/>
              </w:rPr>
              <w:t xml:space="preserve"> further – initially to adult life-course vaccinations – and expanding </w:t>
            </w:r>
            <w:r w:rsidR="00C44C18" w:rsidRPr="00496A09">
              <w:rPr>
                <w:rFonts w:cs="Arial"/>
                <w:lang w:eastAsia="en-GB"/>
              </w:rPr>
              <w:t>National Booking Service (</w:t>
            </w:r>
            <w:r w:rsidR="006403F7" w:rsidRPr="00496A09">
              <w:rPr>
                <w:rFonts w:cs="Arial"/>
                <w:lang w:eastAsia="en-GB"/>
              </w:rPr>
              <w:t>NBS</w:t>
            </w:r>
            <w:r w:rsidR="00C44C18" w:rsidRPr="00496A09">
              <w:rPr>
                <w:rFonts w:cs="Arial"/>
                <w:lang w:eastAsia="en-GB"/>
              </w:rPr>
              <w:t>)</w:t>
            </w:r>
            <w:r w:rsidR="006403F7" w:rsidRPr="00496A09">
              <w:rPr>
                <w:rFonts w:cs="Arial"/>
                <w:lang w:eastAsia="en-GB"/>
              </w:rPr>
              <w:t xml:space="preserve"> </w:t>
            </w:r>
            <w:r w:rsidRPr="00496A09">
              <w:rPr>
                <w:rFonts w:cs="Arial"/>
                <w:lang w:eastAsia="en-GB"/>
              </w:rPr>
              <w:t>to provide information on walk-in services.</w:t>
            </w:r>
          </w:p>
        </w:tc>
        <w:tc>
          <w:tcPr>
            <w:tcW w:w="1134" w:type="dxa"/>
            <w:vAlign w:val="center"/>
          </w:tcPr>
          <w:p w14:paraId="4CF35E5D"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3.1.5 to 3.1.6</w:t>
            </w:r>
          </w:p>
        </w:tc>
        <w:tc>
          <w:tcPr>
            <w:tcW w:w="1843" w:type="dxa"/>
            <w:vAlign w:val="center"/>
          </w:tcPr>
          <w:p w14:paraId="2F77E476"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NHS England</w:t>
            </w:r>
          </w:p>
        </w:tc>
      </w:tr>
      <w:tr w:rsidR="0031220E" w:rsidRPr="00496A09" w14:paraId="1C4797DC" w14:textId="77777777" w:rsidTr="0070560B">
        <w:trPr>
          <w:trHeight w:val="250"/>
        </w:trPr>
        <w:tc>
          <w:tcPr>
            <w:cnfStyle w:val="001000000000" w:firstRow="0" w:lastRow="0" w:firstColumn="1" w:lastColumn="0" w:oddVBand="0" w:evenVBand="0" w:oddHBand="0" w:evenHBand="0" w:firstRowFirstColumn="0" w:firstRowLastColumn="0" w:lastRowFirstColumn="0" w:lastRowLastColumn="0"/>
            <w:tcW w:w="1271" w:type="dxa"/>
            <w:vMerge/>
            <w:textDirection w:val="btLr"/>
            <w:vAlign w:val="center"/>
          </w:tcPr>
          <w:p w14:paraId="604D2FCA"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0C2F3B84" w14:textId="77777777" w:rsidR="0031220E" w:rsidRPr="00496A09" w:rsidRDefault="0031220E" w:rsidP="00AE2135">
            <w:pPr>
              <w:spacing w:after="180" w:line="276" w:lineRule="auto"/>
              <w:textAlignment w:val="center"/>
              <w:cnfStyle w:val="000000000000" w:firstRow="0" w:lastRow="0" w:firstColumn="0" w:lastColumn="0" w:oddVBand="0" w:evenVBand="0" w:oddHBand="0" w:evenHBand="0" w:firstRowFirstColumn="0" w:firstRowLastColumn="0" w:lastRowFirstColumn="0" w:lastRowLastColumn="0"/>
              <w:rPr>
                <w:rFonts w:cs="Arial"/>
                <w:lang w:eastAsia="en-GB"/>
              </w:rPr>
            </w:pPr>
            <w:r w:rsidRPr="00496A09">
              <w:rPr>
                <w:rFonts w:cs="Arial"/>
                <w:lang w:eastAsia="en-GB"/>
              </w:rPr>
              <w:t>Explore alignment of providers' existing clinic booking systems with a national system to simplify access to appointments.</w:t>
            </w:r>
          </w:p>
        </w:tc>
        <w:tc>
          <w:tcPr>
            <w:tcW w:w="1134" w:type="dxa"/>
            <w:vAlign w:val="center"/>
          </w:tcPr>
          <w:p w14:paraId="0B0AF659"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3.1.6 to 3.1.7</w:t>
            </w:r>
          </w:p>
        </w:tc>
        <w:tc>
          <w:tcPr>
            <w:tcW w:w="1843" w:type="dxa"/>
            <w:vAlign w:val="center"/>
          </w:tcPr>
          <w:p w14:paraId="3E995B12"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NHS England</w:t>
            </w:r>
          </w:p>
        </w:tc>
      </w:tr>
      <w:tr w:rsidR="0031220E" w:rsidRPr="00496A09" w14:paraId="15A74D29" w14:textId="77777777" w:rsidTr="0070560B">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271" w:type="dxa"/>
            <w:vMerge/>
            <w:textDirection w:val="btLr"/>
            <w:vAlign w:val="center"/>
          </w:tcPr>
          <w:p w14:paraId="01998FFE"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7B35B82B" w14:textId="77777777" w:rsidR="0031220E" w:rsidRPr="00496A09" w:rsidRDefault="0031220E" w:rsidP="00AE2135">
            <w:pPr>
              <w:spacing w:after="18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en-GB"/>
              </w:rPr>
            </w:pPr>
            <w:r w:rsidRPr="00496A09">
              <w:rPr>
                <w:rFonts w:cs="Arial"/>
                <w:lang w:eastAsia="en-GB"/>
              </w:rPr>
              <w:t>Where clinically appropriate and operationally feasible, make co-administration of seasonal vaccinations the default model and more cost-effective, resulting in increased uptake.</w:t>
            </w:r>
          </w:p>
        </w:tc>
        <w:tc>
          <w:tcPr>
            <w:tcW w:w="1134" w:type="dxa"/>
            <w:vAlign w:val="center"/>
          </w:tcPr>
          <w:p w14:paraId="56E752F7"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3.1.8</w:t>
            </w:r>
          </w:p>
        </w:tc>
        <w:tc>
          <w:tcPr>
            <w:tcW w:w="1843" w:type="dxa"/>
            <w:vAlign w:val="center"/>
          </w:tcPr>
          <w:p w14:paraId="0366B12A"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ICBs</w:t>
            </w:r>
          </w:p>
        </w:tc>
      </w:tr>
      <w:tr w:rsidR="0031220E" w:rsidRPr="00496A09" w14:paraId="5A3A196C" w14:textId="77777777" w:rsidTr="0070560B">
        <w:trPr>
          <w:trHeight w:val="250"/>
        </w:trPr>
        <w:tc>
          <w:tcPr>
            <w:cnfStyle w:val="001000000000" w:firstRow="0" w:lastRow="0" w:firstColumn="1" w:lastColumn="0" w:oddVBand="0" w:evenVBand="0" w:oddHBand="0" w:evenHBand="0" w:firstRowFirstColumn="0" w:firstRowLastColumn="0" w:lastRowFirstColumn="0" w:lastRowLastColumn="0"/>
            <w:tcW w:w="1271" w:type="dxa"/>
            <w:vMerge/>
            <w:textDirection w:val="btLr"/>
            <w:vAlign w:val="center"/>
          </w:tcPr>
          <w:p w14:paraId="4E47DA83"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3596AB68" w14:textId="77777777" w:rsidR="0031220E" w:rsidRPr="00496A09" w:rsidRDefault="0031220E" w:rsidP="00AE2135">
            <w:pPr>
              <w:spacing w:after="180" w:line="276" w:lineRule="auto"/>
              <w:textAlignment w:val="center"/>
              <w:cnfStyle w:val="000000000000" w:firstRow="0" w:lastRow="0" w:firstColumn="0" w:lastColumn="0" w:oddVBand="0" w:evenVBand="0" w:oddHBand="0" w:evenHBand="0" w:firstRowFirstColumn="0" w:firstRowLastColumn="0" w:lastRowFirstColumn="0" w:lastRowLastColumn="0"/>
              <w:rPr>
                <w:rFonts w:cs="Arial"/>
                <w:lang w:eastAsia="en-GB"/>
              </w:rPr>
            </w:pPr>
            <w:r w:rsidRPr="00496A09">
              <w:rPr>
                <w:rFonts w:cs="Arial"/>
                <w:lang w:eastAsia="en-GB"/>
              </w:rPr>
              <w:t>Provide a universal, core offer in a consistent location/setting to increase efficiency and capitalise on public understanding of 'where to go' for vaccinations.</w:t>
            </w:r>
          </w:p>
        </w:tc>
        <w:tc>
          <w:tcPr>
            <w:tcW w:w="1134" w:type="dxa"/>
            <w:vAlign w:val="center"/>
          </w:tcPr>
          <w:p w14:paraId="703A8A1F"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3.1.9 to 3.1.13</w:t>
            </w:r>
          </w:p>
        </w:tc>
        <w:tc>
          <w:tcPr>
            <w:tcW w:w="1843" w:type="dxa"/>
            <w:vAlign w:val="center"/>
          </w:tcPr>
          <w:p w14:paraId="10D1C332" w14:textId="16698B86"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NHS England and ICBs</w:t>
            </w:r>
          </w:p>
        </w:tc>
      </w:tr>
      <w:tr w:rsidR="0031220E" w:rsidRPr="00496A09" w14:paraId="63D3682C" w14:textId="77777777" w:rsidTr="0070560B">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271" w:type="dxa"/>
            <w:vMerge/>
            <w:textDirection w:val="btLr"/>
            <w:vAlign w:val="center"/>
          </w:tcPr>
          <w:p w14:paraId="01EE3049"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29BF1126" w14:textId="77777777" w:rsidR="0031220E" w:rsidRPr="00496A09" w:rsidRDefault="0031220E" w:rsidP="00AE2135">
            <w:pPr>
              <w:spacing w:after="18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en-GB"/>
              </w:rPr>
            </w:pPr>
            <w:r w:rsidRPr="00496A09">
              <w:rPr>
                <w:rFonts w:cs="Arial"/>
                <w:lang w:eastAsia="en-GB"/>
              </w:rPr>
              <w:t>Tailor the core offer for the local population and ensure core settings are not the only place to get vaccinated.</w:t>
            </w:r>
          </w:p>
        </w:tc>
        <w:tc>
          <w:tcPr>
            <w:tcW w:w="1134" w:type="dxa"/>
            <w:vAlign w:val="center"/>
          </w:tcPr>
          <w:p w14:paraId="2201B43A"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3.1.14 to 3.1.15</w:t>
            </w:r>
          </w:p>
        </w:tc>
        <w:tc>
          <w:tcPr>
            <w:tcW w:w="1843" w:type="dxa"/>
            <w:vAlign w:val="center"/>
          </w:tcPr>
          <w:p w14:paraId="366BE23F" w14:textId="6A1A5970"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ICBs</w:t>
            </w:r>
          </w:p>
        </w:tc>
      </w:tr>
      <w:tr w:rsidR="0031220E" w:rsidRPr="00496A09" w14:paraId="38D4D2E6" w14:textId="77777777" w:rsidTr="0070560B">
        <w:trPr>
          <w:trHeight w:val="250"/>
        </w:trPr>
        <w:tc>
          <w:tcPr>
            <w:cnfStyle w:val="001000000000" w:firstRow="0" w:lastRow="0" w:firstColumn="1" w:lastColumn="0" w:oddVBand="0" w:evenVBand="0" w:oddHBand="0" w:evenHBand="0" w:firstRowFirstColumn="0" w:firstRowLastColumn="0" w:lastRowFirstColumn="0" w:lastRowLastColumn="0"/>
            <w:tcW w:w="1271" w:type="dxa"/>
            <w:vMerge/>
            <w:textDirection w:val="btLr"/>
            <w:vAlign w:val="center"/>
          </w:tcPr>
          <w:p w14:paraId="40503F4B"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6198FBE2" w14:textId="77777777" w:rsidR="0031220E" w:rsidRPr="00496A09" w:rsidRDefault="0031220E" w:rsidP="00AE2135">
            <w:pPr>
              <w:spacing w:after="180" w:line="276" w:lineRule="auto"/>
              <w:textAlignment w:val="center"/>
              <w:cnfStyle w:val="000000000000" w:firstRow="0" w:lastRow="0" w:firstColumn="0" w:lastColumn="0" w:oddVBand="0" w:evenVBand="0" w:oddHBand="0" w:evenHBand="0" w:firstRowFirstColumn="0" w:firstRowLastColumn="0" w:lastRowFirstColumn="0" w:lastRowLastColumn="0"/>
              <w:rPr>
                <w:rFonts w:cs="Arial"/>
                <w:lang w:eastAsia="en-GB"/>
              </w:rPr>
            </w:pPr>
            <w:r w:rsidRPr="00496A09">
              <w:rPr>
                <w:rFonts w:cs="Arial"/>
                <w:lang w:eastAsia="en-GB"/>
              </w:rPr>
              <w:t>Enable local flexibility to determine the provider network that delivers this offer.</w:t>
            </w:r>
          </w:p>
        </w:tc>
        <w:tc>
          <w:tcPr>
            <w:tcW w:w="1134" w:type="dxa"/>
            <w:vAlign w:val="center"/>
          </w:tcPr>
          <w:p w14:paraId="4503EC8F"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3.1.17</w:t>
            </w:r>
          </w:p>
        </w:tc>
        <w:tc>
          <w:tcPr>
            <w:tcW w:w="1843" w:type="dxa"/>
            <w:vAlign w:val="center"/>
          </w:tcPr>
          <w:p w14:paraId="42971386"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NHS England and ICBs</w:t>
            </w:r>
          </w:p>
        </w:tc>
      </w:tr>
      <w:tr w:rsidR="0031220E" w:rsidRPr="00496A09" w14:paraId="469E2768" w14:textId="77777777" w:rsidTr="0070560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auto"/>
            <w:textDirection w:val="btLr"/>
            <w:vAlign w:val="center"/>
          </w:tcPr>
          <w:p w14:paraId="57AB8583" w14:textId="5FA672E9" w:rsidR="0031220E" w:rsidRPr="00496A09" w:rsidRDefault="0031220E" w:rsidP="001725DC">
            <w:pPr>
              <w:ind w:left="113" w:right="113"/>
              <w:jc w:val="center"/>
              <w:textAlignment w:val="center"/>
              <w:rPr>
                <w:rFonts w:cs="Arial"/>
                <w:lang w:eastAsia="en-GB"/>
              </w:rPr>
            </w:pPr>
            <w:r w:rsidRPr="00496A09">
              <w:rPr>
                <w:rFonts w:cs="Arial"/>
                <w:lang w:eastAsia="en-GB"/>
              </w:rPr>
              <w:t>Targets underserved populations</w:t>
            </w:r>
            <w:r w:rsidR="0070560B" w:rsidRPr="00496A09">
              <w:rPr>
                <w:rFonts w:cs="Arial"/>
                <w:lang w:eastAsia="en-GB"/>
              </w:rPr>
              <w:br/>
            </w:r>
            <w:r w:rsidRPr="00496A09">
              <w:rPr>
                <w:rFonts w:cs="Arial"/>
                <w:lang w:eastAsia="en-GB"/>
              </w:rPr>
              <w:t xml:space="preserve"> through data-driven, focused outreach</w:t>
            </w:r>
          </w:p>
        </w:tc>
        <w:tc>
          <w:tcPr>
            <w:tcW w:w="5670" w:type="dxa"/>
            <w:vAlign w:val="center"/>
          </w:tcPr>
          <w:p w14:paraId="6A2DE920" w14:textId="6635470E" w:rsidR="0031220E" w:rsidRPr="00496A09" w:rsidRDefault="0031220E" w:rsidP="00AE2135">
            <w:pPr>
              <w:spacing w:after="18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en-GB"/>
              </w:rPr>
            </w:pPr>
            <w:r w:rsidRPr="00496A09">
              <w:rPr>
                <w:rFonts w:cs="Arial"/>
                <w:lang w:eastAsia="en-GB"/>
              </w:rPr>
              <w:t xml:space="preserve">Work with local authorities, directors of public health and voluntary organisations to take responsibility for planning outreach services that meet the needs of their underserved populations and address </w:t>
            </w:r>
            <w:r w:rsidR="00F4095C" w:rsidRPr="00496A09">
              <w:rPr>
                <w:rFonts w:cs="Arial"/>
                <w:lang w:eastAsia="en-GB"/>
              </w:rPr>
              <w:t xml:space="preserve">wider </w:t>
            </w:r>
            <w:r w:rsidRPr="00496A09">
              <w:rPr>
                <w:rFonts w:cs="Arial"/>
                <w:lang w:eastAsia="en-GB"/>
              </w:rPr>
              <w:t>health inequalities.</w:t>
            </w:r>
          </w:p>
        </w:tc>
        <w:tc>
          <w:tcPr>
            <w:tcW w:w="1134" w:type="dxa"/>
            <w:vAlign w:val="center"/>
          </w:tcPr>
          <w:p w14:paraId="7E555819"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3.2.2</w:t>
            </w:r>
          </w:p>
        </w:tc>
        <w:tc>
          <w:tcPr>
            <w:tcW w:w="1843" w:type="dxa"/>
            <w:vAlign w:val="center"/>
          </w:tcPr>
          <w:p w14:paraId="2B21B15E" w14:textId="0FE5FBA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ICBs</w:t>
            </w:r>
          </w:p>
        </w:tc>
      </w:tr>
      <w:tr w:rsidR="0031220E" w:rsidRPr="00496A09" w14:paraId="308EF22C" w14:textId="77777777" w:rsidTr="0070560B">
        <w:trPr>
          <w:trHeight w:val="530"/>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textDirection w:val="btLr"/>
            <w:vAlign w:val="center"/>
          </w:tcPr>
          <w:p w14:paraId="3C5AACD4"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7DA51801" w14:textId="77777777" w:rsidR="0031220E" w:rsidRPr="00496A09" w:rsidRDefault="0031220E" w:rsidP="00AE2135">
            <w:pPr>
              <w:spacing w:after="180" w:line="276" w:lineRule="auto"/>
              <w:textAlignment w:val="center"/>
              <w:cnfStyle w:val="000000000000" w:firstRow="0" w:lastRow="0" w:firstColumn="0" w:lastColumn="0" w:oddVBand="0" w:evenVBand="0" w:oddHBand="0" w:evenHBand="0" w:firstRowFirstColumn="0" w:firstRowLastColumn="0" w:lastRowFirstColumn="0" w:lastRowLastColumn="0"/>
              <w:rPr>
                <w:rFonts w:cs="Arial"/>
                <w:lang w:eastAsia="en-GB"/>
              </w:rPr>
            </w:pPr>
            <w:r w:rsidRPr="00496A09">
              <w:rPr>
                <w:rFonts w:cs="Arial"/>
                <w:lang w:eastAsia="en-GB"/>
              </w:rPr>
              <w:t>Ensure the outreach offer is an integrated part of a system's vaccination delivery network to enable co-ordination and oversight across all services.</w:t>
            </w:r>
          </w:p>
        </w:tc>
        <w:tc>
          <w:tcPr>
            <w:tcW w:w="1134" w:type="dxa"/>
            <w:vAlign w:val="center"/>
          </w:tcPr>
          <w:p w14:paraId="4196DA25"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3.2.5</w:t>
            </w:r>
          </w:p>
        </w:tc>
        <w:tc>
          <w:tcPr>
            <w:tcW w:w="1843" w:type="dxa"/>
            <w:vAlign w:val="center"/>
          </w:tcPr>
          <w:p w14:paraId="533B99FA" w14:textId="04F3E09B"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ICBs</w:t>
            </w:r>
          </w:p>
        </w:tc>
      </w:tr>
      <w:tr w:rsidR="0031220E" w:rsidRPr="00496A09" w14:paraId="7EE253D5" w14:textId="77777777" w:rsidTr="0070560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textDirection w:val="btLr"/>
            <w:vAlign w:val="center"/>
          </w:tcPr>
          <w:p w14:paraId="76ED6077"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0B9AB74F" w14:textId="4B54B2EC" w:rsidR="0031220E" w:rsidRPr="00496A09" w:rsidRDefault="0031220E" w:rsidP="00AE2135">
            <w:pPr>
              <w:spacing w:after="18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en-GB"/>
              </w:rPr>
            </w:pPr>
            <w:r w:rsidRPr="00496A09">
              <w:rPr>
                <w:rFonts w:cs="Arial"/>
                <w:lang w:eastAsia="en-GB"/>
              </w:rPr>
              <w:t>Continue to evaluate the impact on uptake, cost-effectiveness and patient experience of different outreach approaches, seeking to define value for money.</w:t>
            </w:r>
          </w:p>
        </w:tc>
        <w:tc>
          <w:tcPr>
            <w:tcW w:w="1134" w:type="dxa"/>
            <w:vAlign w:val="center"/>
          </w:tcPr>
          <w:p w14:paraId="497711C3"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3.2.7</w:t>
            </w:r>
          </w:p>
        </w:tc>
        <w:tc>
          <w:tcPr>
            <w:tcW w:w="1843" w:type="dxa"/>
            <w:vAlign w:val="center"/>
          </w:tcPr>
          <w:p w14:paraId="77F14B4A"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NHS England and ICBs</w:t>
            </w:r>
          </w:p>
        </w:tc>
      </w:tr>
      <w:tr w:rsidR="0031220E" w:rsidRPr="00496A09" w14:paraId="33031FC0" w14:textId="77777777" w:rsidTr="0070560B">
        <w:trPr>
          <w:trHeight w:val="336"/>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textDirection w:val="btLr"/>
            <w:vAlign w:val="center"/>
          </w:tcPr>
          <w:p w14:paraId="4BB71F9E"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4B44D95F" w14:textId="77777777" w:rsidR="0031220E" w:rsidRPr="00496A09" w:rsidRDefault="0031220E" w:rsidP="00AE2135">
            <w:pPr>
              <w:spacing w:after="180" w:line="276" w:lineRule="auto"/>
              <w:textAlignment w:val="center"/>
              <w:cnfStyle w:val="000000000000" w:firstRow="0" w:lastRow="0" w:firstColumn="0" w:lastColumn="0" w:oddVBand="0" w:evenVBand="0" w:oddHBand="0" w:evenHBand="0" w:firstRowFirstColumn="0" w:firstRowLastColumn="0" w:lastRowFirstColumn="0" w:lastRowLastColumn="0"/>
              <w:rPr>
                <w:rFonts w:cs="Arial"/>
                <w:lang w:eastAsia="en-GB"/>
              </w:rPr>
            </w:pPr>
            <w:r w:rsidRPr="00496A09">
              <w:rPr>
                <w:rFonts w:cs="Arial"/>
                <w:lang w:eastAsia="en-GB"/>
              </w:rPr>
              <w:t>Ensure timely and accurate data is available from GPs and other providers to improve availability of uptake and coverage data for all vaccinations and timely data flows.</w:t>
            </w:r>
          </w:p>
        </w:tc>
        <w:tc>
          <w:tcPr>
            <w:tcW w:w="1134" w:type="dxa"/>
            <w:vAlign w:val="center"/>
          </w:tcPr>
          <w:p w14:paraId="2B53FDB6"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3.2.8</w:t>
            </w:r>
          </w:p>
        </w:tc>
        <w:tc>
          <w:tcPr>
            <w:tcW w:w="1843" w:type="dxa"/>
            <w:vAlign w:val="center"/>
          </w:tcPr>
          <w:p w14:paraId="5038EDAF"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NHS England</w:t>
            </w:r>
          </w:p>
        </w:tc>
      </w:tr>
      <w:tr w:rsidR="0031220E" w:rsidRPr="00496A09" w14:paraId="3A73BFF3" w14:textId="77777777" w:rsidTr="0070560B">
        <w:trPr>
          <w:cnfStyle w:val="000000100000" w:firstRow="0" w:lastRow="0" w:firstColumn="0" w:lastColumn="0" w:oddVBand="0" w:evenVBand="0" w:oddHBand="1"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textDirection w:val="btLr"/>
            <w:vAlign w:val="center"/>
          </w:tcPr>
          <w:p w14:paraId="19E5E60A" w14:textId="77777777" w:rsidR="0031220E" w:rsidRPr="00496A09" w:rsidRDefault="0031220E" w:rsidP="001725DC">
            <w:pPr>
              <w:ind w:left="113" w:right="113"/>
              <w:jc w:val="center"/>
              <w:rPr>
                <w:rFonts w:cs="Arial"/>
                <w:lang w:eastAsia="en-GB"/>
              </w:rPr>
            </w:pPr>
          </w:p>
        </w:tc>
        <w:tc>
          <w:tcPr>
            <w:tcW w:w="5670" w:type="dxa"/>
            <w:vAlign w:val="center"/>
          </w:tcPr>
          <w:p w14:paraId="23B6C695" w14:textId="1AFC50DC" w:rsidR="0031220E" w:rsidRPr="00496A09" w:rsidRDefault="0031220E" w:rsidP="00AE2135">
            <w:pPr>
              <w:spacing w:after="180" w:line="276" w:lineRule="auto"/>
              <w:cnfStyle w:val="000000100000" w:firstRow="0" w:lastRow="0" w:firstColumn="0" w:lastColumn="0" w:oddVBand="0" w:evenVBand="0" w:oddHBand="1" w:evenHBand="0" w:firstRowFirstColumn="0" w:firstRowLastColumn="0" w:lastRowFirstColumn="0" w:lastRowLastColumn="0"/>
              <w:rPr>
                <w:rFonts w:cs="Arial"/>
                <w:lang w:eastAsia="en-GB"/>
              </w:rPr>
            </w:pPr>
            <w:r w:rsidRPr="00496A09">
              <w:rPr>
                <w:rFonts w:cs="Arial"/>
                <w:lang w:eastAsia="en-GB"/>
              </w:rPr>
              <w:t>Consider, in local vaccination strategies developed with local government, how to use community assets and facilities to maximise vaccination uptake in underserved populations and reach into local communities, considering vaccination alongside wider health, care or social issues.</w:t>
            </w:r>
          </w:p>
        </w:tc>
        <w:tc>
          <w:tcPr>
            <w:tcW w:w="1134" w:type="dxa"/>
            <w:vAlign w:val="center"/>
          </w:tcPr>
          <w:p w14:paraId="35ECF767"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3.2.9 to 3.2.14</w:t>
            </w:r>
          </w:p>
        </w:tc>
        <w:tc>
          <w:tcPr>
            <w:tcW w:w="1843" w:type="dxa"/>
            <w:vAlign w:val="center"/>
          </w:tcPr>
          <w:p w14:paraId="5EDC09E0"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ICBs</w:t>
            </w:r>
          </w:p>
        </w:tc>
      </w:tr>
      <w:tr w:rsidR="0031220E" w:rsidRPr="00496A09" w14:paraId="10235E47" w14:textId="77777777" w:rsidTr="0070560B">
        <w:trPr>
          <w:trHeight w:val="524"/>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textDirection w:val="btLr"/>
            <w:vAlign w:val="center"/>
          </w:tcPr>
          <w:p w14:paraId="0597A47F" w14:textId="77777777" w:rsidR="0031220E" w:rsidRPr="00496A09" w:rsidRDefault="0031220E" w:rsidP="001725DC">
            <w:pPr>
              <w:ind w:left="113" w:right="113"/>
              <w:jc w:val="center"/>
              <w:rPr>
                <w:rFonts w:cs="Arial"/>
                <w:lang w:eastAsia="en-GB"/>
              </w:rPr>
            </w:pPr>
          </w:p>
        </w:tc>
        <w:tc>
          <w:tcPr>
            <w:tcW w:w="5670" w:type="dxa"/>
            <w:vAlign w:val="center"/>
          </w:tcPr>
          <w:p w14:paraId="258E6019" w14:textId="77777777" w:rsidR="0031220E" w:rsidRPr="00496A09" w:rsidRDefault="0031220E" w:rsidP="00AE2135">
            <w:pPr>
              <w:spacing w:after="180" w:line="276" w:lineRule="auto"/>
              <w:cnfStyle w:val="000000000000" w:firstRow="0" w:lastRow="0" w:firstColumn="0" w:lastColumn="0" w:oddVBand="0" w:evenVBand="0" w:oddHBand="0" w:evenHBand="0" w:firstRowFirstColumn="0" w:firstRowLastColumn="0" w:lastRowFirstColumn="0" w:lastRowLastColumn="0"/>
              <w:rPr>
                <w:rFonts w:cs="Arial"/>
                <w:lang w:eastAsia="en-GB"/>
              </w:rPr>
            </w:pPr>
            <w:r w:rsidRPr="00496A09">
              <w:rPr>
                <w:rFonts w:cs="Arial"/>
                <w:lang w:eastAsia="en-GB"/>
              </w:rPr>
              <w:t>Build on the partnerships with underserved communities developed during the COVID-19 pandemic to ensure communication strategies are informed by community insight.</w:t>
            </w:r>
          </w:p>
        </w:tc>
        <w:tc>
          <w:tcPr>
            <w:tcW w:w="1134" w:type="dxa"/>
            <w:vAlign w:val="center"/>
          </w:tcPr>
          <w:p w14:paraId="62096F41"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3.2.15</w:t>
            </w:r>
          </w:p>
        </w:tc>
        <w:tc>
          <w:tcPr>
            <w:tcW w:w="1843" w:type="dxa"/>
            <w:vAlign w:val="center"/>
          </w:tcPr>
          <w:p w14:paraId="1EFDF817"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NHS England and ICBs</w:t>
            </w:r>
          </w:p>
        </w:tc>
      </w:tr>
      <w:tr w:rsidR="0031220E" w:rsidRPr="00496A09" w14:paraId="4021C9AF" w14:textId="77777777" w:rsidTr="0070560B">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271" w:type="dxa"/>
            <w:vMerge w:val="restart"/>
            <w:textDirection w:val="btLr"/>
            <w:vAlign w:val="center"/>
          </w:tcPr>
          <w:p w14:paraId="37E48E0E" w14:textId="5CFA39FE" w:rsidR="0031220E" w:rsidRPr="00496A09" w:rsidRDefault="0031220E" w:rsidP="001725DC">
            <w:pPr>
              <w:ind w:left="113" w:right="113"/>
              <w:jc w:val="center"/>
              <w:textAlignment w:val="center"/>
              <w:rPr>
                <w:rFonts w:cs="Arial"/>
                <w:lang w:eastAsia="en-GB"/>
              </w:rPr>
            </w:pPr>
            <w:r w:rsidRPr="00496A09">
              <w:rPr>
                <w:rFonts w:cs="Arial"/>
                <w:lang w:eastAsia="en-GB"/>
              </w:rPr>
              <w:t>Integrated, multidisciplinary teams</w:t>
            </w:r>
          </w:p>
        </w:tc>
        <w:tc>
          <w:tcPr>
            <w:tcW w:w="5670" w:type="dxa"/>
            <w:vAlign w:val="center"/>
          </w:tcPr>
          <w:p w14:paraId="562A74C5" w14:textId="77777777" w:rsidR="0031220E" w:rsidRPr="00496A09" w:rsidRDefault="0031220E" w:rsidP="00AE2135">
            <w:pPr>
              <w:spacing w:after="18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en-GB"/>
              </w:rPr>
            </w:pPr>
            <w:r w:rsidRPr="00496A09">
              <w:rPr>
                <w:rFonts w:cs="Arial"/>
                <w:lang w:eastAsia="en-GB"/>
              </w:rPr>
              <w:t>Make vaccination a fundamental part of primary care network (PCN)-level integrated, multidisciplinary, flexible teams, as proposed in the Fuller Stocktake, with these working collaboratively across the whole vaccination network and delivering other healthcare interventions alongside vaccination and when not vaccinating.</w:t>
            </w:r>
          </w:p>
        </w:tc>
        <w:tc>
          <w:tcPr>
            <w:tcW w:w="1134" w:type="dxa"/>
            <w:vAlign w:val="center"/>
          </w:tcPr>
          <w:p w14:paraId="35CE808F"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3.3.1 to 3.3.4</w:t>
            </w:r>
          </w:p>
        </w:tc>
        <w:tc>
          <w:tcPr>
            <w:tcW w:w="1843" w:type="dxa"/>
            <w:vAlign w:val="center"/>
          </w:tcPr>
          <w:p w14:paraId="4E26C35E" w14:textId="5CB6C463"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ICBs</w:t>
            </w:r>
          </w:p>
        </w:tc>
      </w:tr>
      <w:tr w:rsidR="0031220E" w:rsidRPr="00496A09" w14:paraId="2460CBC0" w14:textId="77777777" w:rsidTr="00254613">
        <w:trPr>
          <w:trHeight w:val="695"/>
        </w:trPr>
        <w:tc>
          <w:tcPr>
            <w:cnfStyle w:val="001000000000" w:firstRow="0" w:lastRow="0" w:firstColumn="1" w:lastColumn="0" w:oddVBand="0" w:evenVBand="0" w:oddHBand="0" w:evenHBand="0" w:firstRowFirstColumn="0" w:firstRowLastColumn="0" w:lastRowFirstColumn="0" w:lastRowLastColumn="0"/>
            <w:tcW w:w="1271" w:type="dxa"/>
            <w:vMerge/>
            <w:textDirection w:val="btLr"/>
            <w:vAlign w:val="center"/>
          </w:tcPr>
          <w:p w14:paraId="6B4324ED"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09EC7696" w14:textId="77777777" w:rsidR="0031220E" w:rsidRPr="00496A09" w:rsidRDefault="0031220E" w:rsidP="00AE2135">
            <w:pPr>
              <w:spacing w:after="180" w:line="276" w:lineRule="auto"/>
              <w:textAlignment w:val="center"/>
              <w:cnfStyle w:val="000000000000" w:firstRow="0" w:lastRow="0" w:firstColumn="0" w:lastColumn="0" w:oddVBand="0" w:evenVBand="0" w:oddHBand="0" w:evenHBand="0" w:firstRowFirstColumn="0" w:firstRowLastColumn="0" w:lastRowFirstColumn="0" w:lastRowLastColumn="0"/>
              <w:rPr>
                <w:rFonts w:cs="Arial"/>
                <w:lang w:eastAsia="en-GB"/>
              </w:rPr>
            </w:pPr>
            <w:r w:rsidRPr="00496A09">
              <w:rPr>
                <w:rFonts w:cs="Arial"/>
                <w:lang w:eastAsia="en-GB"/>
              </w:rPr>
              <w:t>Structure vaccination delivery in a way that promotes health and allows those delivering vaccination to offer a wider set of preventative interventions, such as blood pressure checks, based on population need.</w:t>
            </w:r>
          </w:p>
        </w:tc>
        <w:tc>
          <w:tcPr>
            <w:tcW w:w="1134" w:type="dxa"/>
            <w:vAlign w:val="center"/>
          </w:tcPr>
          <w:p w14:paraId="4F8E0DEA"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3.3.6 and 3.3.7</w:t>
            </w:r>
          </w:p>
        </w:tc>
        <w:tc>
          <w:tcPr>
            <w:tcW w:w="1843" w:type="dxa"/>
            <w:vAlign w:val="center"/>
          </w:tcPr>
          <w:p w14:paraId="17B8B768"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ICBs</w:t>
            </w:r>
          </w:p>
        </w:tc>
      </w:tr>
      <w:tr w:rsidR="0031220E" w:rsidRPr="00496A09" w14:paraId="09E040C1" w14:textId="77777777" w:rsidTr="0070560B">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1271" w:type="dxa"/>
            <w:vMerge/>
            <w:textDirection w:val="btLr"/>
            <w:vAlign w:val="center"/>
          </w:tcPr>
          <w:p w14:paraId="30755CB8"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2172BBC3" w14:textId="2356519F" w:rsidR="0031220E" w:rsidRPr="00496A09" w:rsidRDefault="0031220E" w:rsidP="00AE2135">
            <w:pPr>
              <w:spacing w:after="18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en-GB"/>
              </w:rPr>
            </w:pPr>
            <w:r w:rsidRPr="00496A09">
              <w:rPr>
                <w:rFonts w:cs="Arial"/>
                <w:lang w:eastAsia="en-GB"/>
              </w:rPr>
              <w:t>Integrate vaccination in existing clinical pathways through joint working with local providers</w:t>
            </w:r>
            <w:r w:rsidR="008E0512" w:rsidRPr="00496A09">
              <w:rPr>
                <w:rFonts w:cs="Arial"/>
                <w:lang w:eastAsia="en-GB"/>
              </w:rPr>
              <w:t>,</w:t>
            </w:r>
            <w:r w:rsidRPr="00496A09">
              <w:rPr>
                <w:rFonts w:cs="Arial"/>
                <w:lang w:eastAsia="en-GB"/>
              </w:rPr>
              <w:t xml:space="preserve"> including primary care, acute, community, mental health/learning disability and local authorities.</w:t>
            </w:r>
          </w:p>
        </w:tc>
        <w:tc>
          <w:tcPr>
            <w:tcW w:w="1134" w:type="dxa"/>
            <w:vAlign w:val="center"/>
          </w:tcPr>
          <w:p w14:paraId="4999F52A"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3.3.8</w:t>
            </w:r>
          </w:p>
        </w:tc>
        <w:tc>
          <w:tcPr>
            <w:tcW w:w="1843" w:type="dxa"/>
            <w:vAlign w:val="center"/>
          </w:tcPr>
          <w:p w14:paraId="325F377B"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ICBs</w:t>
            </w:r>
          </w:p>
        </w:tc>
      </w:tr>
      <w:tr w:rsidR="0031220E" w:rsidRPr="00496A09" w14:paraId="27DD3486" w14:textId="77777777" w:rsidTr="0070560B">
        <w:trPr>
          <w:trHeight w:val="1551"/>
        </w:trPr>
        <w:tc>
          <w:tcPr>
            <w:cnfStyle w:val="001000000000" w:firstRow="0" w:lastRow="0" w:firstColumn="1" w:lastColumn="0" w:oddVBand="0" w:evenVBand="0" w:oddHBand="0" w:evenHBand="0" w:firstRowFirstColumn="0" w:firstRowLastColumn="0" w:lastRowFirstColumn="0" w:lastRowLastColumn="0"/>
            <w:tcW w:w="1271" w:type="dxa"/>
            <w:vMerge/>
            <w:tcBorders>
              <w:bottom w:val="single" w:sz="4" w:space="0" w:color="829AAC" w:themeColor="accent6" w:themeTint="99"/>
            </w:tcBorders>
            <w:textDirection w:val="btLr"/>
            <w:vAlign w:val="center"/>
          </w:tcPr>
          <w:p w14:paraId="7B20E222" w14:textId="77777777" w:rsidR="0031220E" w:rsidRPr="00496A09" w:rsidRDefault="0031220E" w:rsidP="001725DC">
            <w:pPr>
              <w:ind w:left="113" w:right="113"/>
              <w:jc w:val="center"/>
              <w:textAlignment w:val="center"/>
              <w:rPr>
                <w:rFonts w:cs="Arial"/>
                <w:lang w:eastAsia="en-GB"/>
              </w:rPr>
            </w:pPr>
          </w:p>
        </w:tc>
        <w:tc>
          <w:tcPr>
            <w:tcW w:w="5670" w:type="dxa"/>
            <w:tcBorders>
              <w:bottom w:val="single" w:sz="4" w:space="0" w:color="829AAC" w:themeColor="accent6" w:themeTint="99"/>
            </w:tcBorders>
            <w:vAlign w:val="center"/>
          </w:tcPr>
          <w:p w14:paraId="37903122" w14:textId="77777777" w:rsidR="0031220E" w:rsidRPr="00496A09" w:rsidRDefault="0031220E" w:rsidP="00AE2135">
            <w:pPr>
              <w:spacing w:after="180" w:line="276" w:lineRule="auto"/>
              <w:textAlignment w:val="center"/>
              <w:cnfStyle w:val="000000000000" w:firstRow="0" w:lastRow="0" w:firstColumn="0" w:lastColumn="0" w:oddVBand="0" w:evenVBand="0" w:oddHBand="0" w:evenHBand="0" w:firstRowFirstColumn="0" w:firstRowLastColumn="0" w:lastRowFirstColumn="0" w:lastRowLastColumn="0"/>
              <w:rPr>
                <w:rFonts w:cs="Arial"/>
                <w:lang w:eastAsia="en-GB"/>
              </w:rPr>
            </w:pPr>
            <w:r w:rsidRPr="00496A09">
              <w:rPr>
                <w:rFonts w:cs="Arial"/>
                <w:lang w:eastAsia="en-GB"/>
              </w:rPr>
              <w:t>Help make vaccination the business of everyone working in patient-facing roles through training and awareness campaigns and widening the roles that can vaccinate to increase the number of vaccinators.</w:t>
            </w:r>
          </w:p>
        </w:tc>
        <w:tc>
          <w:tcPr>
            <w:tcW w:w="1134" w:type="dxa"/>
            <w:tcBorders>
              <w:bottom w:val="single" w:sz="4" w:space="0" w:color="829AAC" w:themeColor="accent6" w:themeTint="99"/>
            </w:tcBorders>
            <w:vAlign w:val="center"/>
          </w:tcPr>
          <w:p w14:paraId="31B9A5B7"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3.3.8</w:t>
            </w:r>
          </w:p>
        </w:tc>
        <w:tc>
          <w:tcPr>
            <w:tcW w:w="1843" w:type="dxa"/>
            <w:tcBorders>
              <w:bottom w:val="single" w:sz="4" w:space="0" w:color="829AAC" w:themeColor="accent6" w:themeTint="99"/>
            </w:tcBorders>
            <w:vAlign w:val="center"/>
          </w:tcPr>
          <w:p w14:paraId="3A173872"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NHS England and ICBs</w:t>
            </w:r>
          </w:p>
        </w:tc>
      </w:tr>
      <w:tr w:rsidR="0031220E" w:rsidRPr="00496A09" w14:paraId="6F21BB75" w14:textId="77777777" w:rsidTr="0070560B">
        <w:trPr>
          <w:cnfStyle w:val="000000100000" w:firstRow="0" w:lastRow="0" w:firstColumn="0" w:lastColumn="0" w:oddVBand="0" w:evenVBand="0" w:oddHBand="1" w:evenHBand="0" w:firstRowFirstColumn="0" w:firstRowLastColumn="0" w:lastRowFirstColumn="0" w:lastRowLastColumn="0"/>
          <w:trHeight w:val="1774"/>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auto"/>
            <w:textDirection w:val="btLr"/>
            <w:vAlign w:val="center"/>
          </w:tcPr>
          <w:p w14:paraId="6C34BA9D" w14:textId="77777777" w:rsidR="0031220E" w:rsidRPr="00496A09" w:rsidRDefault="0031220E" w:rsidP="001725DC">
            <w:pPr>
              <w:ind w:left="113" w:right="113"/>
              <w:jc w:val="center"/>
              <w:textAlignment w:val="center"/>
              <w:rPr>
                <w:rFonts w:cs="Arial"/>
                <w:b w:val="0"/>
                <w:bCs w:val="0"/>
                <w:lang w:eastAsia="en-GB"/>
              </w:rPr>
            </w:pPr>
            <w:r w:rsidRPr="00496A09">
              <w:rPr>
                <w:rFonts w:cs="Arial"/>
                <w:lang w:eastAsia="en-GB"/>
              </w:rPr>
              <w:t>Strong system leadership</w:t>
            </w:r>
          </w:p>
        </w:tc>
        <w:tc>
          <w:tcPr>
            <w:tcW w:w="5670" w:type="dxa"/>
            <w:vAlign w:val="center"/>
          </w:tcPr>
          <w:p w14:paraId="3DE8133E" w14:textId="21B5EBC8" w:rsidR="0031220E" w:rsidRPr="00496A09" w:rsidRDefault="0031220E" w:rsidP="00AE2135">
            <w:pPr>
              <w:spacing w:after="18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en-GB"/>
              </w:rPr>
            </w:pPr>
            <w:r w:rsidRPr="00496A09">
              <w:rPr>
                <w:rFonts w:cs="Arial"/>
                <w:lang w:eastAsia="en-GB"/>
              </w:rPr>
              <w:t>Clarify responsibility for vaccination strategy and delivery across ICBs and integrated care partnerships (ICPs), working with local authority partners</w:t>
            </w:r>
            <w:r w:rsidR="00864251" w:rsidRPr="00496A09">
              <w:rPr>
                <w:rFonts w:cs="Arial"/>
                <w:lang w:eastAsia="en-GB"/>
              </w:rPr>
              <w:t>, UKHSA</w:t>
            </w:r>
            <w:r w:rsidRPr="00496A09">
              <w:rPr>
                <w:rFonts w:cs="Arial"/>
                <w:lang w:eastAsia="en-GB"/>
              </w:rPr>
              <w:t xml:space="preserve"> and other experts to ensure all eligible people receive a meaningful vaccination offer.</w:t>
            </w:r>
          </w:p>
        </w:tc>
        <w:tc>
          <w:tcPr>
            <w:tcW w:w="1134" w:type="dxa"/>
            <w:vAlign w:val="center"/>
          </w:tcPr>
          <w:p w14:paraId="0B371542"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4.1.2</w:t>
            </w:r>
          </w:p>
        </w:tc>
        <w:tc>
          <w:tcPr>
            <w:tcW w:w="1843" w:type="dxa"/>
            <w:vAlign w:val="center"/>
          </w:tcPr>
          <w:p w14:paraId="5B372F62"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NHS England and ICBs</w:t>
            </w:r>
          </w:p>
        </w:tc>
      </w:tr>
      <w:tr w:rsidR="0031220E" w:rsidRPr="00496A09" w14:paraId="77D162C6" w14:textId="77777777" w:rsidTr="0070560B">
        <w:trPr>
          <w:trHeight w:val="529"/>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textDirection w:val="btLr"/>
            <w:vAlign w:val="center"/>
          </w:tcPr>
          <w:p w14:paraId="7C21772E"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2AE60D55" w14:textId="10535A33" w:rsidR="0031220E" w:rsidRPr="00496A09" w:rsidRDefault="0031220E" w:rsidP="00AE2135">
            <w:pPr>
              <w:spacing w:after="180" w:line="276" w:lineRule="auto"/>
              <w:textAlignment w:val="center"/>
              <w:cnfStyle w:val="000000000000" w:firstRow="0" w:lastRow="0" w:firstColumn="0" w:lastColumn="0" w:oddVBand="0" w:evenVBand="0" w:oddHBand="0" w:evenHBand="0" w:firstRowFirstColumn="0" w:firstRowLastColumn="0" w:lastRowFirstColumn="0" w:lastRowLastColumn="0"/>
              <w:rPr>
                <w:rFonts w:cs="Arial"/>
                <w:lang w:eastAsia="en-GB"/>
              </w:rPr>
            </w:pPr>
            <w:r w:rsidRPr="00496A09">
              <w:rPr>
                <w:rFonts w:cs="Arial"/>
                <w:lang w:eastAsia="en-GB"/>
              </w:rPr>
              <w:t>Include vaccination in integrated care strategies and joint forward plans</w:t>
            </w:r>
            <w:r w:rsidR="00D048B2">
              <w:rPr>
                <w:rFonts w:cs="Arial"/>
                <w:lang w:eastAsia="en-GB"/>
              </w:rPr>
              <w:t>.</w:t>
            </w:r>
          </w:p>
        </w:tc>
        <w:tc>
          <w:tcPr>
            <w:tcW w:w="1134" w:type="dxa"/>
            <w:vAlign w:val="center"/>
          </w:tcPr>
          <w:p w14:paraId="569A45D4"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4.1.2</w:t>
            </w:r>
          </w:p>
        </w:tc>
        <w:tc>
          <w:tcPr>
            <w:tcW w:w="1843" w:type="dxa"/>
            <w:vAlign w:val="center"/>
          </w:tcPr>
          <w:p w14:paraId="7775A895"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ICPs and ICBs</w:t>
            </w:r>
          </w:p>
        </w:tc>
      </w:tr>
      <w:tr w:rsidR="0031220E" w:rsidRPr="00496A09" w14:paraId="3D0A7D39" w14:textId="77777777" w:rsidTr="0070560B">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auto"/>
            <w:textDirection w:val="btLr"/>
            <w:vAlign w:val="center"/>
          </w:tcPr>
          <w:p w14:paraId="36C72F81" w14:textId="77777777" w:rsidR="0031220E" w:rsidRPr="00496A09" w:rsidRDefault="0031220E" w:rsidP="001725DC">
            <w:pPr>
              <w:ind w:left="113" w:right="113"/>
              <w:jc w:val="center"/>
              <w:textAlignment w:val="center"/>
              <w:rPr>
                <w:rFonts w:cs="Arial"/>
                <w:b w:val="0"/>
                <w:bCs w:val="0"/>
                <w:lang w:eastAsia="en-GB"/>
              </w:rPr>
            </w:pPr>
          </w:p>
        </w:tc>
        <w:tc>
          <w:tcPr>
            <w:tcW w:w="5670" w:type="dxa"/>
            <w:vAlign w:val="center"/>
          </w:tcPr>
          <w:p w14:paraId="12763F28" w14:textId="67C83153" w:rsidR="0031220E" w:rsidRPr="00496A09" w:rsidRDefault="0031220E" w:rsidP="00AE2135">
            <w:pPr>
              <w:spacing w:after="18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en-GB"/>
              </w:rPr>
            </w:pPr>
            <w:r w:rsidRPr="00496A09">
              <w:rPr>
                <w:rFonts w:cs="Arial"/>
                <w:lang w:eastAsia="en-GB"/>
              </w:rPr>
              <w:t>Pursue, subject to the appropriate processes</w:t>
            </w:r>
            <w:r w:rsidR="006C7B8B" w:rsidRPr="00496A09">
              <w:rPr>
                <w:rFonts w:cs="Arial"/>
                <w:lang w:eastAsia="en-GB"/>
              </w:rPr>
              <w:t xml:space="preserve"> and assessment of readiness</w:t>
            </w:r>
            <w:r w:rsidRPr="00496A09">
              <w:rPr>
                <w:rFonts w:cs="Arial"/>
                <w:lang w:eastAsia="en-GB"/>
              </w:rPr>
              <w:t>, delegation of vaccination commissioning responsibility to ICBs, with the intention that all ICBs take this on by April 2025.</w:t>
            </w:r>
          </w:p>
        </w:tc>
        <w:tc>
          <w:tcPr>
            <w:tcW w:w="1134" w:type="dxa"/>
            <w:vAlign w:val="center"/>
          </w:tcPr>
          <w:p w14:paraId="5D61AC75"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4.1.3 and 4.1.4</w:t>
            </w:r>
          </w:p>
        </w:tc>
        <w:tc>
          <w:tcPr>
            <w:tcW w:w="1843" w:type="dxa"/>
            <w:vAlign w:val="center"/>
          </w:tcPr>
          <w:p w14:paraId="0721F6EC"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NHS England and ICBs</w:t>
            </w:r>
          </w:p>
        </w:tc>
      </w:tr>
      <w:tr w:rsidR="0031220E" w:rsidRPr="00496A09" w14:paraId="39177181" w14:textId="77777777" w:rsidTr="0070560B">
        <w:trPr>
          <w:trHeight w:val="1136"/>
        </w:trPr>
        <w:tc>
          <w:tcPr>
            <w:cnfStyle w:val="001000000000" w:firstRow="0" w:lastRow="0" w:firstColumn="1" w:lastColumn="0" w:oddVBand="0" w:evenVBand="0" w:oddHBand="0" w:evenHBand="0" w:firstRowFirstColumn="0" w:firstRowLastColumn="0" w:lastRowFirstColumn="0" w:lastRowLastColumn="0"/>
            <w:tcW w:w="1271" w:type="dxa"/>
            <w:vMerge/>
            <w:tcBorders>
              <w:bottom w:val="single" w:sz="4" w:space="0" w:color="005EB8" w:themeColor="text2"/>
            </w:tcBorders>
            <w:shd w:val="clear" w:color="auto" w:fill="auto"/>
            <w:textDirection w:val="btLr"/>
            <w:vAlign w:val="center"/>
          </w:tcPr>
          <w:p w14:paraId="5672C41B" w14:textId="77777777" w:rsidR="0031220E" w:rsidRPr="00496A09" w:rsidRDefault="0031220E" w:rsidP="001725DC">
            <w:pPr>
              <w:ind w:left="113" w:right="113"/>
              <w:jc w:val="center"/>
              <w:textAlignment w:val="center"/>
              <w:rPr>
                <w:rFonts w:cs="Arial"/>
                <w:lang w:eastAsia="en-GB"/>
              </w:rPr>
            </w:pPr>
          </w:p>
        </w:tc>
        <w:tc>
          <w:tcPr>
            <w:tcW w:w="5670" w:type="dxa"/>
            <w:tcBorders>
              <w:bottom w:val="single" w:sz="4" w:space="0" w:color="005EB8" w:themeColor="text2"/>
            </w:tcBorders>
            <w:vAlign w:val="center"/>
          </w:tcPr>
          <w:p w14:paraId="0BDA15D4" w14:textId="6A98FA35" w:rsidR="0031220E" w:rsidRPr="00496A09" w:rsidRDefault="0031220E" w:rsidP="00AE2135">
            <w:pPr>
              <w:spacing w:after="180" w:line="276" w:lineRule="auto"/>
              <w:textAlignment w:val="center"/>
              <w:cnfStyle w:val="000000000000" w:firstRow="0" w:lastRow="0" w:firstColumn="0" w:lastColumn="0" w:oddVBand="0" w:evenVBand="0" w:oddHBand="0" w:evenHBand="0" w:firstRowFirstColumn="0" w:firstRowLastColumn="0" w:lastRowFirstColumn="0" w:lastRowLastColumn="0"/>
              <w:rPr>
                <w:rFonts w:cs="Arial"/>
                <w:lang w:eastAsia="en-GB"/>
              </w:rPr>
            </w:pPr>
            <w:r w:rsidRPr="00496A09">
              <w:rPr>
                <w:rFonts w:cs="Arial"/>
                <w:lang w:eastAsia="en-GB"/>
              </w:rPr>
              <w:t>Maintain overall accountability for vaccination services within NHS England and retain national responsibility for functions that are best 'done once'.</w:t>
            </w:r>
          </w:p>
        </w:tc>
        <w:tc>
          <w:tcPr>
            <w:tcW w:w="1134" w:type="dxa"/>
            <w:tcBorders>
              <w:bottom w:val="single" w:sz="4" w:space="0" w:color="005EB8" w:themeColor="text2"/>
            </w:tcBorders>
            <w:vAlign w:val="center"/>
          </w:tcPr>
          <w:p w14:paraId="48842D92"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4.1.5</w:t>
            </w:r>
          </w:p>
        </w:tc>
        <w:tc>
          <w:tcPr>
            <w:tcW w:w="1843" w:type="dxa"/>
            <w:tcBorders>
              <w:bottom w:val="single" w:sz="4" w:space="0" w:color="005EB8" w:themeColor="text2"/>
            </w:tcBorders>
            <w:vAlign w:val="center"/>
          </w:tcPr>
          <w:p w14:paraId="11D525CA"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NHS England</w:t>
            </w:r>
          </w:p>
        </w:tc>
      </w:tr>
      <w:tr w:rsidR="0070560B" w:rsidRPr="00496A09" w14:paraId="120D2E23" w14:textId="77777777" w:rsidTr="0070560B">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1271" w:type="dxa"/>
            <w:vMerge w:val="restart"/>
            <w:tcBorders>
              <w:top w:val="nil"/>
            </w:tcBorders>
            <w:textDirection w:val="btLr"/>
            <w:vAlign w:val="center"/>
          </w:tcPr>
          <w:p w14:paraId="536A2167" w14:textId="08A76E04" w:rsidR="0031220E" w:rsidRPr="00496A09" w:rsidRDefault="0031220E" w:rsidP="00BA11E5">
            <w:pPr>
              <w:spacing w:after="0" w:line="240" w:lineRule="auto"/>
              <w:ind w:left="113" w:right="113"/>
              <w:jc w:val="center"/>
              <w:textAlignment w:val="center"/>
              <w:rPr>
                <w:rFonts w:cs="Arial"/>
                <w:b w:val="0"/>
                <w:bCs w:val="0"/>
                <w:lang w:eastAsia="en-GB"/>
              </w:rPr>
            </w:pPr>
            <w:r w:rsidRPr="00496A09">
              <w:rPr>
                <w:rFonts w:cs="Arial"/>
                <w:lang w:eastAsia="en-GB"/>
              </w:rPr>
              <w:t>A new commissioning and financial framework</w:t>
            </w:r>
          </w:p>
        </w:tc>
        <w:tc>
          <w:tcPr>
            <w:tcW w:w="5670" w:type="dxa"/>
            <w:tcBorders>
              <w:top w:val="nil"/>
            </w:tcBorders>
            <w:vAlign w:val="center"/>
          </w:tcPr>
          <w:p w14:paraId="29904775" w14:textId="1435CCAF" w:rsidR="0031220E" w:rsidRPr="00496A09" w:rsidRDefault="0031220E" w:rsidP="00AE2135">
            <w:pPr>
              <w:spacing w:after="18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en-GB"/>
              </w:rPr>
            </w:pPr>
            <w:r w:rsidRPr="00496A09">
              <w:rPr>
                <w:rFonts w:cs="Arial"/>
                <w:lang w:eastAsia="en-GB"/>
              </w:rPr>
              <w:t xml:space="preserve">Provide common outcomes and standards for systems to meet that maximise uptake and coverage in the general population and address </w:t>
            </w:r>
            <w:r w:rsidR="00BD03BC" w:rsidRPr="00496A09">
              <w:rPr>
                <w:rFonts w:cs="Arial"/>
                <w:lang w:eastAsia="en-GB"/>
              </w:rPr>
              <w:t xml:space="preserve">access disparity in </w:t>
            </w:r>
            <w:r w:rsidRPr="00496A09">
              <w:rPr>
                <w:rFonts w:cs="Arial"/>
                <w:lang w:eastAsia="en-GB"/>
              </w:rPr>
              <w:t>underserved communities.</w:t>
            </w:r>
          </w:p>
        </w:tc>
        <w:tc>
          <w:tcPr>
            <w:tcW w:w="1134" w:type="dxa"/>
            <w:tcBorders>
              <w:top w:val="nil"/>
            </w:tcBorders>
            <w:vAlign w:val="center"/>
          </w:tcPr>
          <w:p w14:paraId="1F122195"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4.2.2 and 4.2.3</w:t>
            </w:r>
          </w:p>
        </w:tc>
        <w:tc>
          <w:tcPr>
            <w:tcW w:w="1843" w:type="dxa"/>
            <w:tcBorders>
              <w:top w:val="nil"/>
            </w:tcBorders>
            <w:vAlign w:val="center"/>
          </w:tcPr>
          <w:p w14:paraId="159F0EF3"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NHS England</w:t>
            </w:r>
          </w:p>
        </w:tc>
      </w:tr>
      <w:tr w:rsidR="0031220E" w:rsidRPr="00496A09" w14:paraId="3DCF00B3" w14:textId="77777777" w:rsidTr="0070560B">
        <w:trPr>
          <w:trHeight w:val="840"/>
        </w:trPr>
        <w:tc>
          <w:tcPr>
            <w:cnfStyle w:val="001000000000" w:firstRow="0" w:lastRow="0" w:firstColumn="1" w:lastColumn="0" w:oddVBand="0" w:evenVBand="0" w:oddHBand="0" w:evenHBand="0" w:firstRowFirstColumn="0" w:firstRowLastColumn="0" w:lastRowFirstColumn="0" w:lastRowLastColumn="0"/>
            <w:tcW w:w="1271" w:type="dxa"/>
            <w:vMerge/>
            <w:textDirection w:val="btLr"/>
            <w:vAlign w:val="center"/>
          </w:tcPr>
          <w:p w14:paraId="1EAFAE7D"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54C5A69C" w14:textId="77777777" w:rsidR="0031220E" w:rsidRPr="00496A09" w:rsidRDefault="0031220E" w:rsidP="00AE2135">
            <w:pPr>
              <w:spacing w:after="180" w:line="276" w:lineRule="auto"/>
              <w:textAlignment w:val="center"/>
              <w:cnfStyle w:val="000000000000" w:firstRow="0" w:lastRow="0" w:firstColumn="0" w:lastColumn="0" w:oddVBand="0" w:evenVBand="0" w:oddHBand="0" w:evenHBand="0" w:firstRowFirstColumn="0" w:firstRowLastColumn="0" w:lastRowFirstColumn="0" w:lastRowLastColumn="0"/>
              <w:rPr>
                <w:rFonts w:cs="Arial"/>
                <w:lang w:eastAsia="en-GB"/>
              </w:rPr>
            </w:pPr>
            <w:r w:rsidRPr="00496A09">
              <w:rPr>
                <w:rFonts w:cs="Arial"/>
                <w:lang w:eastAsia="en-GB"/>
              </w:rPr>
              <w:t>Streamline quality assurance processes to reduce the burden on providers.</w:t>
            </w:r>
          </w:p>
        </w:tc>
        <w:tc>
          <w:tcPr>
            <w:tcW w:w="1134" w:type="dxa"/>
            <w:vAlign w:val="center"/>
          </w:tcPr>
          <w:p w14:paraId="3D95872A"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4.2.4</w:t>
            </w:r>
          </w:p>
        </w:tc>
        <w:tc>
          <w:tcPr>
            <w:tcW w:w="1843" w:type="dxa"/>
            <w:vAlign w:val="center"/>
          </w:tcPr>
          <w:p w14:paraId="2C6F1D97"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NHS England</w:t>
            </w:r>
          </w:p>
        </w:tc>
      </w:tr>
      <w:tr w:rsidR="0031220E" w:rsidRPr="00496A09" w14:paraId="01BAA48A" w14:textId="77777777" w:rsidTr="0070560B">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271" w:type="dxa"/>
            <w:vMerge/>
            <w:textDirection w:val="btLr"/>
            <w:vAlign w:val="center"/>
          </w:tcPr>
          <w:p w14:paraId="495A9A82"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33E65202" w14:textId="77777777" w:rsidR="0031220E" w:rsidRPr="00496A09" w:rsidRDefault="0031220E" w:rsidP="00AE2135">
            <w:pPr>
              <w:spacing w:after="18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en-GB"/>
              </w:rPr>
            </w:pPr>
            <w:r w:rsidRPr="00496A09">
              <w:rPr>
                <w:rFonts w:cs="Arial"/>
                <w:lang w:eastAsia="en-GB"/>
              </w:rPr>
              <w:t>Give systems flexibility to commission an integrated, collaborative vaccination delivery network across all vaccinations, including seasonal, life-course and outbreak response, that best meets the needs of their population.</w:t>
            </w:r>
          </w:p>
        </w:tc>
        <w:tc>
          <w:tcPr>
            <w:tcW w:w="1134" w:type="dxa"/>
            <w:vAlign w:val="center"/>
          </w:tcPr>
          <w:p w14:paraId="25E4D5F8"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4.2.5 and 4.2.6</w:t>
            </w:r>
          </w:p>
        </w:tc>
        <w:tc>
          <w:tcPr>
            <w:tcW w:w="1843" w:type="dxa"/>
            <w:vAlign w:val="center"/>
          </w:tcPr>
          <w:p w14:paraId="56F14A42"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NHS England and ICBs</w:t>
            </w:r>
          </w:p>
        </w:tc>
      </w:tr>
      <w:tr w:rsidR="0031220E" w:rsidRPr="00496A09" w14:paraId="337222CC" w14:textId="77777777" w:rsidTr="0070560B">
        <w:trPr>
          <w:trHeight w:val="865"/>
        </w:trPr>
        <w:tc>
          <w:tcPr>
            <w:cnfStyle w:val="001000000000" w:firstRow="0" w:lastRow="0" w:firstColumn="1" w:lastColumn="0" w:oddVBand="0" w:evenVBand="0" w:oddHBand="0" w:evenHBand="0" w:firstRowFirstColumn="0" w:firstRowLastColumn="0" w:lastRowFirstColumn="0" w:lastRowLastColumn="0"/>
            <w:tcW w:w="1271" w:type="dxa"/>
            <w:vMerge/>
            <w:textDirection w:val="btLr"/>
            <w:vAlign w:val="center"/>
          </w:tcPr>
          <w:p w14:paraId="7046FE73"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6E9C6415" w14:textId="509FF2E9" w:rsidR="0031220E" w:rsidRPr="00496A09" w:rsidRDefault="00685B94" w:rsidP="00AE2135">
            <w:pPr>
              <w:spacing w:after="180" w:line="276" w:lineRule="auto"/>
              <w:textAlignment w:val="center"/>
              <w:cnfStyle w:val="000000000000" w:firstRow="0" w:lastRow="0" w:firstColumn="0" w:lastColumn="0" w:oddVBand="0" w:evenVBand="0" w:oddHBand="0" w:evenHBand="0" w:firstRowFirstColumn="0" w:firstRowLastColumn="0" w:lastRowFirstColumn="0" w:lastRowLastColumn="0"/>
              <w:rPr>
                <w:rFonts w:cs="Arial"/>
                <w:lang w:eastAsia="en-GB"/>
              </w:rPr>
            </w:pPr>
            <w:r w:rsidRPr="00496A09">
              <w:rPr>
                <w:rFonts w:cs="Arial"/>
                <w:lang w:eastAsia="en-GB"/>
              </w:rPr>
              <w:t>Develop materials to support the commissioning and contracting changes that underpin the proposals in this strategy</w:t>
            </w:r>
            <w:r w:rsidR="00F157D5">
              <w:rPr>
                <w:rFonts w:cs="Arial"/>
                <w:lang w:eastAsia="en-GB"/>
              </w:rPr>
              <w:t>.</w:t>
            </w:r>
          </w:p>
        </w:tc>
        <w:tc>
          <w:tcPr>
            <w:tcW w:w="1134" w:type="dxa"/>
            <w:vAlign w:val="center"/>
          </w:tcPr>
          <w:p w14:paraId="00B8768A"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4.2.7</w:t>
            </w:r>
          </w:p>
        </w:tc>
        <w:tc>
          <w:tcPr>
            <w:tcW w:w="1843" w:type="dxa"/>
            <w:vAlign w:val="center"/>
          </w:tcPr>
          <w:p w14:paraId="3FA837D1"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NHS England</w:t>
            </w:r>
          </w:p>
        </w:tc>
      </w:tr>
      <w:tr w:rsidR="0031220E" w:rsidRPr="00496A09" w14:paraId="68AEA5DF" w14:textId="77777777" w:rsidTr="0070560B">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271" w:type="dxa"/>
            <w:vMerge/>
            <w:textDirection w:val="btLr"/>
            <w:vAlign w:val="center"/>
          </w:tcPr>
          <w:p w14:paraId="3CADB132"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6E7390C5" w14:textId="77777777" w:rsidR="0031220E" w:rsidRPr="00496A09" w:rsidRDefault="0031220E" w:rsidP="00AE2135">
            <w:pPr>
              <w:spacing w:after="18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en-GB"/>
              </w:rPr>
            </w:pPr>
            <w:r w:rsidRPr="00496A09">
              <w:rPr>
                <w:rFonts w:cs="Arial"/>
                <w:lang w:eastAsia="en-GB"/>
              </w:rPr>
              <w:t>Explore and engage on changes to vaccination financial arrangements that increase system-level flexibility.</w:t>
            </w:r>
          </w:p>
        </w:tc>
        <w:tc>
          <w:tcPr>
            <w:tcW w:w="1134" w:type="dxa"/>
            <w:vAlign w:val="center"/>
          </w:tcPr>
          <w:p w14:paraId="6285CBF4" w14:textId="0E158E72"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4.2.10 to 4.2.1</w:t>
            </w:r>
            <w:r w:rsidR="00075CDF" w:rsidRPr="00496A09">
              <w:rPr>
                <w:rFonts w:cs="Arial"/>
              </w:rPr>
              <w:t>5</w:t>
            </w:r>
          </w:p>
        </w:tc>
        <w:tc>
          <w:tcPr>
            <w:tcW w:w="1843" w:type="dxa"/>
            <w:vAlign w:val="center"/>
          </w:tcPr>
          <w:p w14:paraId="41EE292E"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NHS England</w:t>
            </w:r>
          </w:p>
        </w:tc>
      </w:tr>
      <w:tr w:rsidR="0031220E" w:rsidRPr="00496A09" w14:paraId="425D04A4" w14:textId="77777777" w:rsidTr="0070560B">
        <w:trPr>
          <w:trHeight w:val="1334"/>
        </w:trPr>
        <w:tc>
          <w:tcPr>
            <w:cnfStyle w:val="001000000000" w:firstRow="0" w:lastRow="0" w:firstColumn="1" w:lastColumn="0" w:oddVBand="0" w:evenVBand="0" w:oddHBand="0" w:evenHBand="0" w:firstRowFirstColumn="0" w:firstRowLastColumn="0" w:lastRowFirstColumn="0" w:lastRowLastColumn="0"/>
            <w:tcW w:w="1271" w:type="dxa"/>
            <w:vMerge w:val="restart"/>
            <w:textDirection w:val="btLr"/>
            <w:vAlign w:val="center"/>
          </w:tcPr>
          <w:p w14:paraId="0F1E45E4" w14:textId="77777777" w:rsidR="0031220E" w:rsidRPr="00496A09" w:rsidRDefault="0031220E" w:rsidP="0070560B">
            <w:pPr>
              <w:ind w:left="113" w:right="113"/>
              <w:jc w:val="center"/>
              <w:textAlignment w:val="center"/>
              <w:rPr>
                <w:rFonts w:cs="Arial"/>
                <w:b w:val="0"/>
                <w:bCs w:val="0"/>
                <w:lang w:eastAsia="en-GB"/>
              </w:rPr>
            </w:pPr>
            <w:r w:rsidRPr="00496A09">
              <w:rPr>
                <w:rFonts w:cs="Arial"/>
                <w:lang w:eastAsia="en-GB"/>
              </w:rPr>
              <w:t>An integrated flexible vaccination workforce</w:t>
            </w:r>
          </w:p>
        </w:tc>
        <w:tc>
          <w:tcPr>
            <w:tcW w:w="5670" w:type="dxa"/>
            <w:vAlign w:val="center"/>
          </w:tcPr>
          <w:p w14:paraId="176BE232" w14:textId="42C73A53" w:rsidR="0031220E" w:rsidRPr="00496A09" w:rsidRDefault="0031220E" w:rsidP="00AE2135">
            <w:pPr>
              <w:spacing w:after="180" w:line="276" w:lineRule="auto"/>
              <w:textAlignment w:val="center"/>
              <w:cnfStyle w:val="000000000000" w:firstRow="0" w:lastRow="0" w:firstColumn="0" w:lastColumn="0" w:oddVBand="0" w:evenVBand="0" w:oddHBand="0" w:evenHBand="0" w:firstRowFirstColumn="0" w:firstRowLastColumn="0" w:lastRowFirstColumn="0" w:lastRowLastColumn="0"/>
              <w:rPr>
                <w:rFonts w:cs="Arial"/>
                <w:lang w:eastAsia="en-GB"/>
              </w:rPr>
            </w:pPr>
            <w:r w:rsidRPr="00496A09">
              <w:rPr>
                <w:rFonts w:cs="Arial"/>
                <w:lang w:eastAsia="en-GB"/>
              </w:rPr>
              <w:t>Develop a vaccination workforce with a skill mix that makes best use of trained, unregistered staff where clinically appropriate and subject to the appropriate legislation, and focuses registered staff on activities where they can bring most benefits including delivering other health and wellbeing interventions alongside vaccination</w:t>
            </w:r>
            <w:r w:rsidR="00644184">
              <w:rPr>
                <w:rFonts w:cs="Arial"/>
                <w:lang w:eastAsia="en-GB"/>
              </w:rPr>
              <w:t>.</w:t>
            </w:r>
          </w:p>
        </w:tc>
        <w:tc>
          <w:tcPr>
            <w:tcW w:w="1134" w:type="dxa"/>
            <w:vAlign w:val="center"/>
          </w:tcPr>
          <w:p w14:paraId="20D14BA4" w14:textId="220E4B41"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4.3.2 to 4.3.4</w:t>
            </w:r>
          </w:p>
        </w:tc>
        <w:tc>
          <w:tcPr>
            <w:tcW w:w="1843" w:type="dxa"/>
            <w:vAlign w:val="center"/>
          </w:tcPr>
          <w:p w14:paraId="184FA441"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ICBs</w:t>
            </w:r>
          </w:p>
        </w:tc>
      </w:tr>
      <w:tr w:rsidR="0031220E" w:rsidRPr="00496A09" w14:paraId="3772FDDC" w14:textId="77777777" w:rsidTr="0070560B">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1271" w:type="dxa"/>
            <w:vMerge/>
            <w:textDirection w:val="btLr"/>
            <w:vAlign w:val="center"/>
          </w:tcPr>
          <w:p w14:paraId="0587D5CF"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47220B97" w14:textId="77777777" w:rsidR="0031220E" w:rsidRPr="00496A09" w:rsidRDefault="0031220E" w:rsidP="00AE2135">
            <w:pPr>
              <w:spacing w:after="18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en-GB"/>
              </w:rPr>
            </w:pPr>
            <w:r w:rsidRPr="00496A09">
              <w:rPr>
                <w:rFonts w:cs="Arial"/>
                <w:lang w:eastAsia="en-GB"/>
              </w:rPr>
              <w:t>Support the wider use of the national workforce protocol for seasonal vaccination.</w:t>
            </w:r>
          </w:p>
        </w:tc>
        <w:tc>
          <w:tcPr>
            <w:tcW w:w="1134" w:type="dxa"/>
            <w:vAlign w:val="center"/>
          </w:tcPr>
          <w:p w14:paraId="00236BD6"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4.3.5</w:t>
            </w:r>
          </w:p>
        </w:tc>
        <w:tc>
          <w:tcPr>
            <w:tcW w:w="1843" w:type="dxa"/>
            <w:vAlign w:val="center"/>
          </w:tcPr>
          <w:p w14:paraId="69ECAB42"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NHS England</w:t>
            </w:r>
          </w:p>
        </w:tc>
      </w:tr>
      <w:tr w:rsidR="0031220E" w:rsidRPr="00496A09" w14:paraId="64B786F3" w14:textId="77777777" w:rsidTr="0070560B">
        <w:trPr>
          <w:trHeight w:val="826"/>
        </w:trPr>
        <w:tc>
          <w:tcPr>
            <w:cnfStyle w:val="001000000000" w:firstRow="0" w:lastRow="0" w:firstColumn="1" w:lastColumn="0" w:oddVBand="0" w:evenVBand="0" w:oddHBand="0" w:evenHBand="0" w:firstRowFirstColumn="0" w:firstRowLastColumn="0" w:lastRowFirstColumn="0" w:lastRowLastColumn="0"/>
            <w:tcW w:w="1271" w:type="dxa"/>
            <w:vMerge/>
            <w:textDirection w:val="btLr"/>
            <w:vAlign w:val="center"/>
          </w:tcPr>
          <w:p w14:paraId="5181C4F3"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7A6D8AEC" w14:textId="6CAE3E1B" w:rsidR="0031220E" w:rsidRPr="00496A09" w:rsidRDefault="0031220E" w:rsidP="00AE2135">
            <w:pPr>
              <w:spacing w:after="180" w:line="276" w:lineRule="auto"/>
              <w:textAlignment w:val="center"/>
              <w:cnfStyle w:val="000000000000" w:firstRow="0" w:lastRow="0" w:firstColumn="0" w:lastColumn="0" w:oddVBand="0" w:evenVBand="0" w:oddHBand="0" w:evenHBand="0" w:firstRowFirstColumn="0" w:firstRowLastColumn="0" w:lastRowFirstColumn="0" w:lastRowLastColumn="0"/>
              <w:rPr>
                <w:rFonts w:cs="Arial"/>
                <w:lang w:eastAsia="en-GB"/>
              </w:rPr>
            </w:pPr>
            <w:r w:rsidRPr="00496A09">
              <w:rPr>
                <w:rFonts w:cs="Arial"/>
                <w:lang w:eastAsia="en-GB"/>
              </w:rPr>
              <w:t>Explore options to revise regulations that may widen opportunities for experienced, non-prescribing healthcare professionals to vaccinate by allowing delegation of vaccination to unregistered staff.</w:t>
            </w:r>
          </w:p>
        </w:tc>
        <w:tc>
          <w:tcPr>
            <w:tcW w:w="1134" w:type="dxa"/>
            <w:vAlign w:val="center"/>
          </w:tcPr>
          <w:p w14:paraId="5777681C"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4.3.5</w:t>
            </w:r>
          </w:p>
        </w:tc>
        <w:tc>
          <w:tcPr>
            <w:tcW w:w="1843" w:type="dxa"/>
            <w:vAlign w:val="center"/>
          </w:tcPr>
          <w:p w14:paraId="1AE1D510"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NHS England with UKHSA, DHSC and MHRA</w:t>
            </w:r>
          </w:p>
        </w:tc>
      </w:tr>
      <w:tr w:rsidR="0031220E" w:rsidRPr="00496A09" w14:paraId="6961827B" w14:textId="77777777" w:rsidTr="0070560B">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1271" w:type="dxa"/>
            <w:vMerge/>
            <w:textDirection w:val="btLr"/>
            <w:vAlign w:val="center"/>
          </w:tcPr>
          <w:p w14:paraId="6FC104B2"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5ADE1A7F" w14:textId="7DA16B53" w:rsidR="0031220E" w:rsidRPr="00496A09" w:rsidRDefault="0031220E" w:rsidP="00AE2135">
            <w:pPr>
              <w:spacing w:after="18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en-GB"/>
              </w:rPr>
            </w:pPr>
            <w:r w:rsidRPr="00496A09">
              <w:rPr>
                <w:rFonts w:cs="Arial"/>
                <w:lang w:eastAsia="en-GB"/>
              </w:rPr>
              <w:t>Work with the royal colleges, GMC, other relevant bodies and local authorities to explore how vaccination can be a more prominent part of training for all staff.</w:t>
            </w:r>
          </w:p>
        </w:tc>
        <w:tc>
          <w:tcPr>
            <w:tcW w:w="1134" w:type="dxa"/>
            <w:vAlign w:val="center"/>
          </w:tcPr>
          <w:p w14:paraId="15AB6177"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4.3.5</w:t>
            </w:r>
          </w:p>
        </w:tc>
        <w:tc>
          <w:tcPr>
            <w:tcW w:w="1843" w:type="dxa"/>
            <w:vAlign w:val="center"/>
          </w:tcPr>
          <w:p w14:paraId="6AC6D836" w14:textId="07A647BF"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NHS England</w:t>
            </w:r>
          </w:p>
        </w:tc>
      </w:tr>
      <w:tr w:rsidR="0031220E" w:rsidRPr="00496A09" w14:paraId="548EA471" w14:textId="77777777" w:rsidTr="0070560B">
        <w:trPr>
          <w:trHeight w:val="1136"/>
        </w:trPr>
        <w:tc>
          <w:tcPr>
            <w:cnfStyle w:val="001000000000" w:firstRow="0" w:lastRow="0" w:firstColumn="1" w:lastColumn="0" w:oddVBand="0" w:evenVBand="0" w:oddHBand="0" w:evenHBand="0" w:firstRowFirstColumn="0" w:firstRowLastColumn="0" w:lastRowFirstColumn="0" w:lastRowLastColumn="0"/>
            <w:tcW w:w="1271" w:type="dxa"/>
            <w:vMerge/>
            <w:textDirection w:val="btLr"/>
            <w:vAlign w:val="center"/>
          </w:tcPr>
          <w:p w14:paraId="5CD7940E"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5557C217" w14:textId="111B158C" w:rsidR="0031220E" w:rsidRPr="00496A09" w:rsidRDefault="0031220E" w:rsidP="00AE2135">
            <w:pPr>
              <w:spacing w:after="180" w:line="276" w:lineRule="auto"/>
              <w:textAlignment w:val="center"/>
              <w:cnfStyle w:val="000000000000" w:firstRow="0" w:lastRow="0" w:firstColumn="0" w:lastColumn="0" w:oddVBand="0" w:evenVBand="0" w:oddHBand="0" w:evenHBand="0" w:firstRowFirstColumn="0" w:firstRowLastColumn="0" w:lastRowFirstColumn="0" w:lastRowLastColumn="0"/>
              <w:rPr>
                <w:rFonts w:cs="Arial"/>
                <w:lang w:eastAsia="en-GB"/>
              </w:rPr>
            </w:pPr>
            <w:r w:rsidRPr="00496A09">
              <w:rPr>
                <w:rFonts w:cs="Arial"/>
                <w:lang w:eastAsia="en-GB"/>
              </w:rPr>
              <w:t>Grow a diverse workforce that reflects the community it serves, provides NHS career entry points, including for volunteers, and enables career progression to support retention.</w:t>
            </w:r>
          </w:p>
        </w:tc>
        <w:tc>
          <w:tcPr>
            <w:tcW w:w="1134" w:type="dxa"/>
            <w:vAlign w:val="center"/>
          </w:tcPr>
          <w:p w14:paraId="22BDC081"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4.3.6 to 4.3.8</w:t>
            </w:r>
          </w:p>
        </w:tc>
        <w:tc>
          <w:tcPr>
            <w:tcW w:w="1843" w:type="dxa"/>
            <w:vAlign w:val="center"/>
          </w:tcPr>
          <w:p w14:paraId="648EC7AA"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ICBs</w:t>
            </w:r>
          </w:p>
        </w:tc>
      </w:tr>
      <w:tr w:rsidR="0031220E" w:rsidRPr="00496A09" w14:paraId="044CD11E" w14:textId="77777777" w:rsidTr="0070560B">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1271" w:type="dxa"/>
            <w:vMerge/>
            <w:textDirection w:val="btLr"/>
            <w:vAlign w:val="center"/>
          </w:tcPr>
          <w:p w14:paraId="7F475B2A"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6F814B79" w14:textId="77777777" w:rsidR="0031220E" w:rsidRPr="00496A09" w:rsidRDefault="0031220E" w:rsidP="00AE2135">
            <w:pPr>
              <w:spacing w:after="18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en-GB"/>
              </w:rPr>
            </w:pPr>
            <w:r w:rsidRPr="00496A09">
              <w:rPr>
                <w:rFonts w:cs="Arial"/>
                <w:lang w:eastAsia="en-GB"/>
              </w:rPr>
              <w:t>Develop workforce management arrangements that enable staff to work flexibly across the vaccination delivery network and ensure there are sufficient trained staff to manage outbreaks and surge.</w:t>
            </w:r>
          </w:p>
        </w:tc>
        <w:tc>
          <w:tcPr>
            <w:tcW w:w="1134" w:type="dxa"/>
            <w:vAlign w:val="center"/>
          </w:tcPr>
          <w:p w14:paraId="4E394C7B"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4.3.9</w:t>
            </w:r>
          </w:p>
        </w:tc>
        <w:tc>
          <w:tcPr>
            <w:tcW w:w="1843" w:type="dxa"/>
            <w:vAlign w:val="center"/>
          </w:tcPr>
          <w:p w14:paraId="0737D757"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ICBs</w:t>
            </w:r>
          </w:p>
        </w:tc>
      </w:tr>
      <w:tr w:rsidR="0031220E" w:rsidRPr="00496A09" w14:paraId="2D4F3527" w14:textId="77777777" w:rsidTr="0070560B">
        <w:trPr>
          <w:trHeight w:val="684"/>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D5DDE3" w:themeFill="accent6" w:themeFillTint="33"/>
            <w:textDirection w:val="btLr"/>
            <w:vAlign w:val="center"/>
          </w:tcPr>
          <w:p w14:paraId="11FF1B55" w14:textId="6098A74F" w:rsidR="0031220E" w:rsidRPr="00496A09" w:rsidRDefault="0031220E" w:rsidP="001725DC">
            <w:pPr>
              <w:ind w:left="113" w:right="113"/>
              <w:jc w:val="center"/>
              <w:textAlignment w:val="center"/>
              <w:rPr>
                <w:rFonts w:cs="Arial"/>
                <w:b w:val="0"/>
                <w:bCs w:val="0"/>
                <w:lang w:eastAsia="en-GB"/>
              </w:rPr>
            </w:pPr>
            <w:r w:rsidRPr="00496A09">
              <w:rPr>
                <w:rFonts w:cs="Arial"/>
                <w:lang w:eastAsia="en-GB"/>
              </w:rPr>
              <w:t>Timely and accurate dat</w:t>
            </w:r>
            <w:r w:rsidR="001B2BA5" w:rsidRPr="00496A09">
              <w:rPr>
                <w:rFonts w:cs="Arial"/>
                <w:lang w:eastAsia="en-GB"/>
              </w:rPr>
              <w:t>a</w:t>
            </w:r>
          </w:p>
        </w:tc>
        <w:tc>
          <w:tcPr>
            <w:tcW w:w="5670" w:type="dxa"/>
            <w:vAlign w:val="center"/>
          </w:tcPr>
          <w:p w14:paraId="02C83E89" w14:textId="57166750" w:rsidR="0031220E" w:rsidRPr="00496A09" w:rsidRDefault="0031220E" w:rsidP="00AE2135">
            <w:pPr>
              <w:spacing w:after="180" w:line="276" w:lineRule="auto"/>
              <w:textAlignment w:val="center"/>
              <w:cnfStyle w:val="000000000000" w:firstRow="0" w:lastRow="0" w:firstColumn="0" w:lastColumn="0" w:oddVBand="0" w:evenVBand="0" w:oddHBand="0" w:evenHBand="0" w:firstRowFirstColumn="0" w:firstRowLastColumn="0" w:lastRowFirstColumn="0" w:lastRowLastColumn="0"/>
              <w:rPr>
                <w:rFonts w:cs="Arial"/>
                <w:lang w:eastAsia="en-GB"/>
              </w:rPr>
            </w:pPr>
            <w:r w:rsidRPr="00496A09">
              <w:rPr>
                <w:rFonts w:cs="Arial"/>
                <w:lang w:eastAsia="en-GB"/>
              </w:rPr>
              <w:t>Create a national vaccination data record to improve availability of timely, accurate data across all vaccination programmes and enable use of national capabilities, such as invitations and bookings, for a wider set of vaccinations and outbreak response.</w:t>
            </w:r>
          </w:p>
        </w:tc>
        <w:tc>
          <w:tcPr>
            <w:tcW w:w="1134" w:type="dxa"/>
            <w:vAlign w:val="center"/>
          </w:tcPr>
          <w:p w14:paraId="5713B927"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4.4.5</w:t>
            </w:r>
          </w:p>
        </w:tc>
        <w:tc>
          <w:tcPr>
            <w:tcW w:w="1843" w:type="dxa"/>
            <w:vAlign w:val="center"/>
          </w:tcPr>
          <w:p w14:paraId="2AB2ED88"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NHS England</w:t>
            </w:r>
          </w:p>
        </w:tc>
      </w:tr>
      <w:tr w:rsidR="0031220E" w:rsidRPr="00496A09" w14:paraId="75B6C127" w14:textId="77777777" w:rsidTr="0070560B">
        <w:trPr>
          <w:cnfStyle w:val="000000100000" w:firstRow="0" w:lastRow="0" w:firstColumn="0" w:lastColumn="0" w:oddVBand="0" w:evenVBand="0" w:oddHBand="1"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1271" w:type="dxa"/>
            <w:vMerge/>
            <w:textDirection w:val="btLr"/>
            <w:vAlign w:val="center"/>
          </w:tcPr>
          <w:p w14:paraId="52B6DC3A"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4C2B8CB7" w14:textId="77777777" w:rsidR="0031220E" w:rsidRPr="00496A09" w:rsidRDefault="0031220E" w:rsidP="00AE2135">
            <w:pPr>
              <w:spacing w:after="18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en-GB"/>
              </w:rPr>
            </w:pPr>
            <w:r w:rsidRPr="00496A09">
              <w:rPr>
                <w:rFonts w:cs="Arial"/>
                <w:lang w:eastAsia="en-GB"/>
              </w:rPr>
              <w:t>Make it easier for healthcare workers to capture vaccination event data, including increased automation.</w:t>
            </w:r>
          </w:p>
        </w:tc>
        <w:tc>
          <w:tcPr>
            <w:tcW w:w="1134" w:type="dxa"/>
            <w:vAlign w:val="center"/>
          </w:tcPr>
          <w:p w14:paraId="3DC214AF"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4.4.6</w:t>
            </w:r>
          </w:p>
        </w:tc>
        <w:tc>
          <w:tcPr>
            <w:tcW w:w="1843" w:type="dxa"/>
            <w:vAlign w:val="center"/>
          </w:tcPr>
          <w:p w14:paraId="59A04CFF"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NHS England</w:t>
            </w:r>
          </w:p>
        </w:tc>
      </w:tr>
      <w:tr w:rsidR="0031220E" w:rsidRPr="00496A09" w14:paraId="362E666D" w14:textId="77777777" w:rsidTr="0070560B">
        <w:trPr>
          <w:trHeight w:val="697"/>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D5DDE3" w:themeFill="accent6" w:themeFillTint="33"/>
            <w:textDirection w:val="btLr"/>
            <w:vAlign w:val="center"/>
          </w:tcPr>
          <w:p w14:paraId="7F1CF24B"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148834A4" w14:textId="77777777" w:rsidR="0031220E" w:rsidRPr="00496A09" w:rsidRDefault="0031220E" w:rsidP="00AE2135">
            <w:pPr>
              <w:spacing w:after="180" w:line="276" w:lineRule="auto"/>
              <w:textAlignment w:val="center"/>
              <w:cnfStyle w:val="000000000000" w:firstRow="0" w:lastRow="0" w:firstColumn="0" w:lastColumn="0" w:oddVBand="0" w:evenVBand="0" w:oddHBand="0" w:evenHBand="0" w:firstRowFirstColumn="0" w:firstRowLastColumn="0" w:lastRowFirstColumn="0" w:lastRowLastColumn="0"/>
              <w:rPr>
                <w:rFonts w:cs="Arial"/>
                <w:lang w:eastAsia="en-GB"/>
              </w:rPr>
            </w:pPr>
            <w:r w:rsidRPr="00496A09">
              <w:rPr>
                <w:rFonts w:cs="Arial"/>
                <w:lang w:eastAsia="en-GB"/>
              </w:rPr>
              <w:t>Increasingly enable people to access their own vaccination data via the NHS App.</w:t>
            </w:r>
          </w:p>
        </w:tc>
        <w:tc>
          <w:tcPr>
            <w:tcW w:w="1134" w:type="dxa"/>
            <w:vAlign w:val="center"/>
          </w:tcPr>
          <w:p w14:paraId="485821C3"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4.4.7</w:t>
            </w:r>
          </w:p>
        </w:tc>
        <w:tc>
          <w:tcPr>
            <w:tcW w:w="1843" w:type="dxa"/>
            <w:vAlign w:val="center"/>
          </w:tcPr>
          <w:p w14:paraId="781419CB"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NHS England</w:t>
            </w:r>
          </w:p>
        </w:tc>
      </w:tr>
      <w:tr w:rsidR="00087F35" w:rsidRPr="00496A09" w14:paraId="6E7E1C75" w14:textId="77777777" w:rsidTr="0070560B">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FFFFFF" w:themeFill="text1"/>
            <w:textDirection w:val="btLr"/>
            <w:vAlign w:val="center"/>
          </w:tcPr>
          <w:p w14:paraId="2D1C29CF" w14:textId="77777777" w:rsidR="00087F35" w:rsidRPr="00496A09" w:rsidRDefault="00087F35" w:rsidP="001725DC">
            <w:pPr>
              <w:ind w:left="113" w:right="113"/>
              <w:jc w:val="center"/>
              <w:textAlignment w:val="center"/>
              <w:rPr>
                <w:rFonts w:cs="Arial"/>
                <w:b w:val="0"/>
                <w:bCs w:val="0"/>
                <w:lang w:eastAsia="en-GB"/>
              </w:rPr>
            </w:pPr>
            <w:r w:rsidRPr="00496A09">
              <w:rPr>
                <w:rFonts w:cs="Arial"/>
                <w:lang w:eastAsia="en-GB"/>
              </w:rPr>
              <w:t>Efficient and responsive vaccine supply</w:t>
            </w:r>
          </w:p>
        </w:tc>
        <w:tc>
          <w:tcPr>
            <w:tcW w:w="5670" w:type="dxa"/>
            <w:vAlign w:val="center"/>
          </w:tcPr>
          <w:p w14:paraId="2C7CA53F" w14:textId="77777777" w:rsidR="00087F35" w:rsidRPr="00496A09" w:rsidRDefault="00087F35" w:rsidP="00AE2135">
            <w:pPr>
              <w:spacing w:after="18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en-GB"/>
              </w:rPr>
            </w:pPr>
            <w:r w:rsidRPr="00496A09">
              <w:rPr>
                <w:rFonts w:cs="Arial"/>
                <w:lang w:eastAsia="en-GB"/>
              </w:rPr>
              <w:t>Explore consolidation and alignment of vaccine supply chains to support greater uptake and efficiency where beneficial.</w:t>
            </w:r>
          </w:p>
        </w:tc>
        <w:tc>
          <w:tcPr>
            <w:tcW w:w="1134" w:type="dxa"/>
            <w:vAlign w:val="center"/>
          </w:tcPr>
          <w:p w14:paraId="44DC1A75" w14:textId="77777777" w:rsidR="00087F35" w:rsidRPr="00496A09" w:rsidRDefault="00087F35"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4.5.5</w:t>
            </w:r>
          </w:p>
        </w:tc>
        <w:tc>
          <w:tcPr>
            <w:tcW w:w="1843" w:type="dxa"/>
            <w:vAlign w:val="center"/>
          </w:tcPr>
          <w:p w14:paraId="4AEFD9AA" w14:textId="77777777" w:rsidR="00087F35" w:rsidRPr="00496A09" w:rsidRDefault="00087F35"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NHS England working with DHSC, UKHSA and ICBs</w:t>
            </w:r>
          </w:p>
        </w:tc>
      </w:tr>
      <w:tr w:rsidR="00087F35" w:rsidRPr="00496A09" w14:paraId="5C85F9B2" w14:textId="77777777" w:rsidTr="0070560B">
        <w:trPr>
          <w:trHeight w:val="542"/>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FFFFFF" w:themeFill="text1"/>
            <w:textDirection w:val="btLr"/>
            <w:vAlign w:val="center"/>
          </w:tcPr>
          <w:p w14:paraId="77169C34" w14:textId="77777777" w:rsidR="00087F35" w:rsidRPr="00496A09" w:rsidRDefault="00087F35" w:rsidP="001725DC">
            <w:pPr>
              <w:ind w:left="113" w:right="113"/>
              <w:jc w:val="center"/>
              <w:textAlignment w:val="center"/>
              <w:rPr>
                <w:rFonts w:cs="Arial"/>
                <w:lang w:eastAsia="en-GB"/>
              </w:rPr>
            </w:pPr>
          </w:p>
        </w:tc>
        <w:tc>
          <w:tcPr>
            <w:tcW w:w="5670" w:type="dxa"/>
            <w:vAlign w:val="center"/>
          </w:tcPr>
          <w:p w14:paraId="39735FB7" w14:textId="11863E88" w:rsidR="00087F35" w:rsidRPr="00496A09" w:rsidRDefault="00087F35" w:rsidP="00AE2135">
            <w:pPr>
              <w:spacing w:after="180" w:line="276" w:lineRule="auto"/>
              <w:textAlignment w:val="center"/>
              <w:cnfStyle w:val="000000000000" w:firstRow="0" w:lastRow="0" w:firstColumn="0" w:lastColumn="0" w:oddVBand="0" w:evenVBand="0" w:oddHBand="0" w:evenHBand="0" w:firstRowFirstColumn="0" w:firstRowLastColumn="0" w:lastRowFirstColumn="0" w:lastRowLastColumn="0"/>
              <w:rPr>
                <w:rFonts w:cs="Arial"/>
                <w:lang w:eastAsia="en-GB"/>
              </w:rPr>
            </w:pPr>
            <w:r w:rsidRPr="00496A09">
              <w:rPr>
                <w:rFonts w:cs="Arial"/>
                <w:lang w:eastAsia="en-GB"/>
              </w:rPr>
              <w:t>Consider the potential impact of centralising the procurement of adult flu vaccine on systems' ability to flex their delivery network.</w:t>
            </w:r>
          </w:p>
        </w:tc>
        <w:tc>
          <w:tcPr>
            <w:tcW w:w="1134" w:type="dxa"/>
            <w:vAlign w:val="center"/>
          </w:tcPr>
          <w:p w14:paraId="1A2BCDD1" w14:textId="77777777" w:rsidR="00087F35" w:rsidRPr="00496A09" w:rsidRDefault="00087F35"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4.5.6</w:t>
            </w:r>
          </w:p>
        </w:tc>
        <w:tc>
          <w:tcPr>
            <w:tcW w:w="1843" w:type="dxa"/>
            <w:vAlign w:val="center"/>
          </w:tcPr>
          <w:p w14:paraId="1D8398B4" w14:textId="77777777" w:rsidR="00087F35" w:rsidRPr="00496A09" w:rsidRDefault="00087F35"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NHS England with DHSC and UKHSA</w:t>
            </w:r>
          </w:p>
        </w:tc>
      </w:tr>
      <w:tr w:rsidR="00087F35" w:rsidRPr="00496A09" w14:paraId="32C1D950" w14:textId="77777777" w:rsidTr="0070560B">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FFFFFF" w:themeFill="text1"/>
            <w:textDirection w:val="btLr"/>
            <w:vAlign w:val="center"/>
          </w:tcPr>
          <w:p w14:paraId="27DDDE3A" w14:textId="77777777" w:rsidR="00087F35" w:rsidRPr="00496A09" w:rsidRDefault="00087F35" w:rsidP="001725DC">
            <w:pPr>
              <w:ind w:left="113" w:right="113"/>
              <w:jc w:val="center"/>
              <w:textAlignment w:val="center"/>
              <w:rPr>
                <w:rFonts w:cs="Arial"/>
                <w:lang w:eastAsia="en-GB"/>
              </w:rPr>
            </w:pPr>
          </w:p>
        </w:tc>
        <w:tc>
          <w:tcPr>
            <w:tcW w:w="5670" w:type="dxa"/>
            <w:vAlign w:val="center"/>
          </w:tcPr>
          <w:p w14:paraId="05A31F9B" w14:textId="2B3A8002" w:rsidR="00087F35" w:rsidRPr="00496A09" w:rsidRDefault="00052954" w:rsidP="00AE2135">
            <w:pPr>
              <w:spacing w:after="18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en-GB"/>
              </w:rPr>
            </w:pPr>
            <w:r w:rsidRPr="00496A09">
              <w:rPr>
                <w:rFonts w:cs="Arial"/>
                <w:lang w:eastAsia="en-GB"/>
              </w:rPr>
              <w:t>Support the future vaccine pipeline by maximising NHS support for vaccine clinical trials, includ</w:t>
            </w:r>
            <w:r w:rsidR="00561742" w:rsidRPr="00496A09">
              <w:rPr>
                <w:rFonts w:cs="Arial"/>
                <w:lang w:eastAsia="en-GB"/>
              </w:rPr>
              <w:t>ing</w:t>
            </w:r>
            <w:r w:rsidRPr="00496A09">
              <w:rPr>
                <w:rFonts w:cs="Arial"/>
                <w:lang w:eastAsia="en-GB"/>
              </w:rPr>
              <w:t xml:space="preserve"> working with the new Clinical Trials Delivery Accelerators </w:t>
            </w:r>
            <w:r w:rsidR="00561742" w:rsidRPr="00496A09">
              <w:rPr>
                <w:rFonts w:cs="Arial"/>
                <w:lang w:eastAsia="en-GB"/>
              </w:rPr>
              <w:t>and exploring</w:t>
            </w:r>
            <w:r w:rsidRPr="00496A09">
              <w:rPr>
                <w:rFonts w:cs="Arial"/>
                <w:lang w:eastAsia="en-GB"/>
              </w:rPr>
              <w:t xml:space="preserve"> strategic partnerships with the commercial sector to strengthen our onshore supply and pandemic response</w:t>
            </w:r>
            <w:r w:rsidR="00BD72D2" w:rsidRPr="00496A09">
              <w:rPr>
                <w:rFonts w:cs="Arial"/>
                <w:lang w:eastAsia="en-GB"/>
              </w:rPr>
              <w:t>.</w:t>
            </w:r>
          </w:p>
        </w:tc>
        <w:tc>
          <w:tcPr>
            <w:tcW w:w="1134" w:type="dxa"/>
            <w:vAlign w:val="center"/>
          </w:tcPr>
          <w:p w14:paraId="5E002A30" w14:textId="6FFC6A1A" w:rsidR="00087F35" w:rsidRPr="00496A09" w:rsidRDefault="00087F35"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4.5.8</w:t>
            </w:r>
          </w:p>
        </w:tc>
        <w:tc>
          <w:tcPr>
            <w:tcW w:w="1843" w:type="dxa"/>
            <w:vAlign w:val="center"/>
          </w:tcPr>
          <w:p w14:paraId="475F6C12" w14:textId="52DED3A3" w:rsidR="00087F35" w:rsidRPr="00496A09" w:rsidRDefault="00561742"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NHS England with DHSC and UKHSA</w:t>
            </w:r>
          </w:p>
        </w:tc>
      </w:tr>
      <w:tr w:rsidR="0031220E" w:rsidRPr="00496A09" w14:paraId="65548684" w14:textId="77777777" w:rsidTr="0070560B">
        <w:trPr>
          <w:trHeight w:val="806"/>
        </w:trPr>
        <w:tc>
          <w:tcPr>
            <w:cnfStyle w:val="001000000000" w:firstRow="0" w:lastRow="0" w:firstColumn="1" w:lastColumn="0" w:oddVBand="0" w:evenVBand="0" w:oddHBand="0" w:evenHBand="0" w:firstRowFirstColumn="0" w:firstRowLastColumn="0" w:lastRowFirstColumn="0" w:lastRowLastColumn="0"/>
            <w:tcW w:w="1271" w:type="dxa"/>
            <w:vMerge w:val="restart"/>
            <w:textDirection w:val="btLr"/>
            <w:vAlign w:val="center"/>
          </w:tcPr>
          <w:p w14:paraId="1AC9065F" w14:textId="77777777" w:rsidR="0031220E" w:rsidRPr="00496A09" w:rsidRDefault="0031220E" w:rsidP="001725DC">
            <w:pPr>
              <w:ind w:left="113" w:right="113"/>
              <w:jc w:val="center"/>
              <w:textAlignment w:val="center"/>
              <w:rPr>
                <w:rFonts w:cs="Arial"/>
                <w:b w:val="0"/>
                <w:bCs w:val="0"/>
                <w:lang w:eastAsia="en-GB"/>
              </w:rPr>
            </w:pPr>
            <w:r w:rsidRPr="00496A09">
              <w:rPr>
                <w:rFonts w:cs="Arial"/>
                <w:lang w:eastAsia="en-GB"/>
              </w:rPr>
              <w:t>Outbreak response capability</w:t>
            </w:r>
          </w:p>
        </w:tc>
        <w:tc>
          <w:tcPr>
            <w:tcW w:w="5670" w:type="dxa"/>
            <w:vAlign w:val="center"/>
          </w:tcPr>
          <w:p w14:paraId="2D0622C9" w14:textId="77777777" w:rsidR="0031220E" w:rsidRPr="00496A09" w:rsidRDefault="0031220E" w:rsidP="00AE2135">
            <w:pPr>
              <w:spacing w:after="180" w:line="276" w:lineRule="auto"/>
              <w:textAlignment w:val="center"/>
              <w:cnfStyle w:val="000000000000" w:firstRow="0" w:lastRow="0" w:firstColumn="0" w:lastColumn="0" w:oddVBand="0" w:evenVBand="0" w:oddHBand="0" w:evenHBand="0" w:firstRowFirstColumn="0" w:firstRowLastColumn="0" w:lastRowFirstColumn="0" w:lastRowLastColumn="0"/>
              <w:rPr>
                <w:rFonts w:cs="Arial"/>
                <w:lang w:eastAsia="en-GB"/>
              </w:rPr>
            </w:pPr>
            <w:r w:rsidRPr="00496A09">
              <w:rPr>
                <w:rFonts w:cs="Arial"/>
                <w:lang w:eastAsia="en-GB"/>
              </w:rPr>
              <w:t>Ensure ongoing ability to respond to outbreaks and pandemics through integrated neighbourhood teams.</w:t>
            </w:r>
          </w:p>
        </w:tc>
        <w:tc>
          <w:tcPr>
            <w:tcW w:w="1134" w:type="dxa"/>
            <w:vAlign w:val="center"/>
          </w:tcPr>
          <w:p w14:paraId="5F713C4E"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4.6.13</w:t>
            </w:r>
          </w:p>
        </w:tc>
        <w:tc>
          <w:tcPr>
            <w:tcW w:w="1843" w:type="dxa"/>
            <w:vAlign w:val="center"/>
          </w:tcPr>
          <w:p w14:paraId="16235A86"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ICBs</w:t>
            </w:r>
          </w:p>
        </w:tc>
      </w:tr>
      <w:tr w:rsidR="0031220E" w:rsidRPr="00496A09" w14:paraId="6BEC5F87" w14:textId="77777777" w:rsidTr="0070560B">
        <w:trPr>
          <w:cnfStyle w:val="000000100000" w:firstRow="0" w:lastRow="0" w:firstColumn="0" w:lastColumn="0" w:oddVBand="0" w:evenVBand="0" w:oddHBand="1" w:evenHBand="0" w:firstRowFirstColumn="0" w:firstRowLastColumn="0" w:lastRowFirstColumn="0" w:lastRowLastColumn="0"/>
          <w:trHeight w:val="1499"/>
        </w:trPr>
        <w:tc>
          <w:tcPr>
            <w:cnfStyle w:val="001000000000" w:firstRow="0" w:lastRow="0" w:firstColumn="1" w:lastColumn="0" w:oddVBand="0" w:evenVBand="0" w:oddHBand="0" w:evenHBand="0" w:firstRowFirstColumn="0" w:firstRowLastColumn="0" w:lastRowFirstColumn="0" w:lastRowLastColumn="0"/>
            <w:tcW w:w="1271" w:type="dxa"/>
            <w:vMerge/>
            <w:textDirection w:val="btLr"/>
            <w:vAlign w:val="center"/>
          </w:tcPr>
          <w:p w14:paraId="76B96CDC"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42923E3D" w14:textId="753860F8" w:rsidR="0031220E" w:rsidRPr="00496A09" w:rsidRDefault="0031220E" w:rsidP="00AE2135">
            <w:pPr>
              <w:spacing w:after="180" w:line="276" w:lineRule="auto"/>
              <w:textAlignment w:val="center"/>
              <w:cnfStyle w:val="000000100000" w:firstRow="0" w:lastRow="0" w:firstColumn="0" w:lastColumn="0" w:oddVBand="0" w:evenVBand="0" w:oddHBand="1" w:evenHBand="0" w:firstRowFirstColumn="0" w:firstRowLastColumn="0" w:lastRowFirstColumn="0" w:lastRowLastColumn="0"/>
              <w:rPr>
                <w:rFonts w:cs="Arial"/>
                <w:lang w:eastAsia="en-GB"/>
              </w:rPr>
            </w:pPr>
            <w:r w:rsidRPr="00496A09">
              <w:rPr>
                <w:rFonts w:cs="Arial"/>
                <w:lang w:eastAsia="en-GB"/>
              </w:rPr>
              <w:t xml:space="preserve">Develop a robust, multi-agency plan for disease outbreaks </w:t>
            </w:r>
            <w:r w:rsidR="008B5257" w:rsidRPr="00496A09">
              <w:rPr>
                <w:rFonts w:cs="Arial"/>
                <w:lang w:eastAsia="en-GB"/>
              </w:rPr>
              <w:t xml:space="preserve">(including vaccine-preventable </w:t>
            </w:r>
            <w:r w:rsidR="00BF440F" w:rsidRPr="00496A09">
              <w:rPr>
                <w:rFonts w:cs="Arial"/>
                <w:lang w:eastAsia="en-GB"/>
              </w:rPr>
              <w:t>diseases</w:t>
            </w:r>
            <w:r w:rsidR="008B5257" w:rsidRPr="00496A09">
              <w:rPr>
                <w:rFonts w:cs="Arial"/>
                <w:lang w:eastAsia="en-GB"/>
              </w:rPr>
              <w:t xml:space="preserve">) </w:t>
            </w:r>
            <w:r w:rsidRPr="00496A09">
              <w:rPr>
                <w:rFonts w:cs="Arial"/>
                <w:lang w:eastAsia="en-GB"/>
              </w:rPr>
              <w:t>so systems can rapidly and efficiently mobilise increased capacity and limit impact on other services.</w:t>
            </w:r>
          </w:p>
        </w:tc>
        <w:tc>
          <w:tcPr>
            <w:tcW w:w="1134" w:type="dxa"/>
            <w:vAlign w:val="center"/>
          </w:tcPr>
          <w:p w14:paraId="7F6A8FFC" w14:textId="7777777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4.6.13</w:t>
            </w:r>
          </w:p>
        </w:tc>
        <w:tc>
          <w:tcPr>
            <w:tcW w:w="1843" w:type="dxa"/>
            <w:vAlign w:val="center"/>
          </w:tcPr>
          <w:p w14:paraId="3622B0FB" w14:textId="75F28DD7" w:rsidR="0031220E" w:rsidRPr="00496A09" w:rsidRDefault="0031220E" w:rsidP="00AE2135">
            <w:pPr>
              <w:pStyle w:val="BodyText"/>
              <w:spacing w:after="180" w:line="276" w:lineRule="auto"/>
              <w:ind w:left="0"/>
              <w:cnfStyle w:val="000000100000" w:firstRow="0" w:lastRow="0" w:firstColumn="0" w:lastColumn="0" w:oddVBand="0" w:evenVBand="0" w:oddHBand="1" w:evenHBand="0" w:firstRowFirstColumn="0" w:firstRowLastColumn="0" w:lastRowFirstColumn="0" w:lastRowLastColumn="0"/>
              <w:rPr>
                <w:rFonts w:cs="Arial"/>
              </w:rPr>
            </w:pPr>
            <w:r w:rsidRPr="00496A09">
              <w:rPr>
                <w:rFonts w:cs="Arial"/>
              </w:rPr>
              <w:t>ICBs with UKHSA and other partners</w:t>
            </w:r>
          </w:p>
        </w:tc>
      </w:tr>
      <w:tr w:rsidR="0031220E" w:rsidRPr="00496A09" w14:paraId="6708D426" w14:textId="77777777" w:rsidTr="0070560B">
        <w:trPr>
          <w:trHeight w:val="1136"/>
        </w:trPr>
        <w:tc>
          <w:tcPr>
            <w:cnfStyle w:val="001000000000" w:firstRow="0" w:lastRow="0" w:firstColumn="1" w:lastColumn="0" w:oddVBand="0" w:evenVBand="0" w:oddHBand="0" w:evenHBand="0" w:firstRowFirstColumn="0" w:firstRowLastColumn="0" w:lastRowFirstColumn="0" w:lastRowLastColumn="0"/>
            <w:tcW w:w="1271" w:type="dxa"/>
            <w:vMerge/>
            <w:textDirection w:val="btLr"/>
            <w:vAlign w:val="center"/>
          </w:tcPr>
          <w:p w14:paraId="1454B373" w14:textId="77777777" w:rsidR="0031220E" w:rsidRPr="00496A09" w:rsidRDefault="0031220E" w:rsidP="001725DC">
            <w:pPr>
              <w:ind w:left="113" w:right="113"/>
              <w:jc w:val="center"/>
              <w:textAlignment w:val="center"/>
              <w:rPr>
                <w:rFonts w:cs="Arial"/>
                <w:lang w:eastAsia="en-GB"/>
              </w:rPr>
            </w:pPr>
          </w:p>
        </w:tc>
        <w:tc>
          <w:tcPr>
            <w:tcW w:w="5670" w:type="dxa"/>
            <w:vAlign w:val="center"/>
          </w:tcPr>
          <w:p w14:paraId="1074FF96" w14:textId="7A09CEAA" w:rsidR="0031220E" w:rsidRPr="00496A09" w:rsidRDefault="0031220E" w:rsidP="00AE2135">
            <w:pPr>
              <w:spacing w:after="180" w:line="276" w:lineRule="auto"/>
              <w:textAlignment w:val="center"/>
              <w:cnfStyle w:val="000000000000" w:firstRow="0" w:lastRow="0" w:firstColumn="0" w:lastColumn="0" w:oddVBand="0" w:evenVBand="0" w:oddHBand="0" w:evenHBand="0" w:firstRowFirstColumn="0" w:firstRowLastColumn="0" w:lastRowFirstColumn="0" w:lastRowLastColumn="0"/>
              <w:rPr>
                <w:rFonts w:cs="Arial"/>
                <w:lang w:eastAsia="en-GB"/>
              </w:rPr>
            </w:pPr>
            <w:r w:rsidRPr="00496A09">
              <w:rPr>
                <w:rFonts w:cs="Arial"/>
                <w:lang w:eastAsia="en-GB"/>
              </w:rPr>
              <w:t>Develop service specifications, tools and guidance for dealing with outbreaks</w:t>
            </w:r>
            <w:r w:rsidR="00EF785E" w:rsidRPr="00496A09">
              <w:rPr>
                <w:rFonts w:cs="Arial"/>
                <w:lang w:eastAsia="en-GB"/>
              </w:rPr>
              <w:t>.</w:t>
            </w:r>
          </w:p>
        </w:tc>
        <w:tc>
          <w:tcPr>
            <w:tcW w:w="1134" w:type="dxa"/>
            <w:vAlign w:val="center"/>
          </w:tcPr>
          <w:p w14:paraId="737DCD2E"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4.6.14</w:t>
            </w:r>
          </w:p>
        </w:tc>
        <w:tc>
          <w:tcPr>
            <w:tcW w:w="1843" w:type="dxa"/>
            <w:vAlign w:val="center"/>
          </w:tcPr>
          <w:p w14:paraId="3C35624C" w14:textId="77777777" w:rsidR="0031220E" w:rsidRPr="00496A09" w:rsidRDefault="0031220E" w:rsidP="00AE2135">
            <w:pPr>
              <w:pStyle w:val="BodyText"/>
              <w:spacing w:after="180" w:line="276" w:lineRule="auto"/>
              <w:ind w:left="0"/>
              <w:cnfStyle w:val="000000000000" w:firstRow="0" w:lastRow="0" w:firstColumn="0" w:lastColumn="0" w:oddVBand="0" w:evenVBand="0" w:oddHBand="0" w:evenHBand="0" w:firstRowFirstColumn="0" w:firstRowLastColumn="0" w:lastRowFirstColumn="0" w:lastRowLastColumn="0"/>
              <w:rPr>
                <w:rFonts w:cs="Arial"/>
              </w:rPr>
            </w:pPr>
            <w:r w:rsidRPr="00496A09">
              <w:rPr>
                <w:rFonts w:cs="Arial"/>
              </w:rPr>
              <w:t>NHS England with UKHSA</w:t>
            </w:r>
          </w:p>
        </w:tc>
      </w:tr>
    </w:tbl>
    <w:p w14:paraId="28567FED" w14:textId="77777777" w:rsidR="0031220E" w:rsidRPr="00496A09" w:rsidRDefault="0031220E" w:rsidP="0031220E">
      <w:pPr>
        <w:rPr>
          <w:color w:val="005EB8" w:themeColor="text2"/>
          <w:sz w:val="48"/>
          <w:szCs w:val="48"/>
        </w:rPr>
      </w:pPr>
      <w:r w:rsidRPr="00496A09">
        <w:rPr>
          <w:color w:val="005EB8" w:themeColor="text2"/>
          <w:sz w:val="48"/>
          <w:szCs w:val="48"/>
        </w:rPr>
        <w:br w:type="page"/>
      </w:r>
    </w:p>
    <w:p w14:paraId="470B2B91" w14:textId="1BCA10D8" w:rsidR="004A27AF" w:rsidRPr="00496A09" w:rsidRDefault="004A27AF" w:rsidP="001D4782">
      <w:pPr>
        <w:pStyle w:val="h2numbered"/>
        <w:keepNext/>
        <w:keepLines/>
        <w:ind w:left="567" w:hanging="567"/>
        <w:rPr>
          <w:szCs w:val="48"/>
        </w:rPr>
      </w:pPr>
      <w:bookmarkStart w:id="6" w:name="_Toc153264053"/>
      <w:bookmarkEnd w:id="5"/>
      <w:r w:rsidRPr="00496A09">
        <w:rPr>
          <w:szCs w:val="48"/>
        </w:rPr>
        <w:t>Introduction</w:t>
      </w:r>
      <w:bookmarkEnd w:id="6"/>
    </w:p>
    <w:p w14:paraId="12933E4F" w14:textId="697D1007" w:rsidR="004A27AF" w:rsidRPr="00496A09" w:rsidRDefault="004A27AF" w:rsidP="004A6173">
      <w:pPr>
        <w:pStyle w:val="h3numbered"/>
        <w:spacing w:after="180"/>
      </w:pPr>
      <w:bookmarkStart w:id="7" w:name="_Toc153264054"/>
      <w:r w:rsidRPr="00496A09">
        <w:t>How we have developed this strategy</w:t>
      </w:r>
      <w:bookmarkEnd w:id="7"/>
    </w:p>
    <w:p w14:paraId="238803C6" w14:textId="4CA8C598" w:rsidR="004A27AF" w:rsidRPr="00496A09" w:rsidRDefault="004A27AF" w:rsidP="0070560B">
      <w:pPr>
        <w:pStyle w:val="h4numbered"/>
        <w:keepLines/>
        <w:spacing w:after="180" w:line="276" w:lineRule="auto"/>
        <w:ind w:left="794"/>
      </w:pPr>
      <w:r w:rsidRPr="00496A09">
        <w:t>We have engaged widely with integrated care systems (ICSs), general practice and community pharmacy, NHS trusts, professional bodies, charities, private sector organisations, clinicians, local authorities, directors of public health</w:t>
      </w:r>
      <w:r w:rsidR="00822AB8" w:rsidRPr="00496A09">
        <w:t>, UKHSA</w:t>
      </w:r>
      <w:r w:rsidRPr="00496A09">
        <w:t xml:space="preserve"> and the public via a citizen survey. </w:t>
      </w:r>
    </w:p>
    <w:p w14:paraId="5E88C0C6" w14:textId="78962DB1" w:rsidR="00D4064D" w:rsidRPr="00496A09" w:rsidRDefault="00D4064D" w:rsidP="0070560B">
      <w:pPr>
        <w:pStyle w:val="h4numbered"/>
        <w:keepLines/>
        <w:spacing w:after="180" w:line="276" w:lineRule="auto"/>
        <w:ind w:left="794"/>
      </w:pPr>
      <w:r w:rsidRPr="00496A09">
        <w:t xml:space="preserve">This strategy sets out our proposals in view of this engagement. It also builds on the </w:t>
      </w:r>
      <w:hyperlink r:id="rId18" w:history="1">
        <w:r w:rsidRPr="00496A09">
          <w:rPr>
            <w:rStyle w:val="Hyperlink"/>
          </w:rPr>
          <w:t>2019 Vaccinations and Immunisations Review</w:t>
        </w:r>
      </w:hyperlink>
      <w:r w:rsidRPr="00496A09">
        <w:t xml:space="preserve">, recommendations from professional bodies such as the </w:t>
      </w:r>
      <w:hyperlink r:id="rId19" w:history="1">
        <w:r w:rsidRPr="00496A09">
          <w:rPr>
            <w:rStyle w:val="Hyperlink"/>
          </w:rPr>
          <w:t>National Institute for Health and Care Excellence (NICE)</w:t>
        </w:r>
      </w:hyperlink>
      <w:r w:rsidRPr="00496A09">
        <w:t xml:space="preserve">, and the </w:t>
      </w:r>
      <w:hyperlink r:id="rId20" w:history="1">
        <w:r w:rsidRPr="00496A09">
          <w:rPr>
            <w:rStyle w:val="Hyperlink"/>
          </w:rPr>
          <w:t>UK Health Security Agency (UKHSA) strategic plan</w:t>
        </w:r>
      </w:hyperlink>
      <w:r w:rsidRPr="00496A09">
        <w:t xml:space="preserve"> which outlines UKHSA’s overarching priority of achieving improved health outcomes through immunisation</w:t>
      </w:r>
      <w:r w:rsidR="00634E2F" w:rsidRPr="00496A09">
        <w:t>, including driving innovation and growth in the life sciences industry.</w:t>
      </w:r>
    </w:p>
    <w:p w14:paraId="7549AB7E" w14:textId="7D4245F6" w:rsidR="00611637" w:rsidRPr="00496A09" w:rsidRDefault="00611637" w:rsidP="0070560B">
      <w:pPr>
        <w:pStyle w:val="h4numbered"/>
        <w:keepLines/>
        <w:spacing w:after="180" w:line="276" w:lineRule="auto"/>
        <w:ind w:left="794"/>
        <w:rPr>
          <w:color w:val="005EB8" w:themeColor="text2"/>
        </w:rPr>
      </w:pPr>
      <w:r w:rsidRPr="00496A09">
        <w:t>The strategy covers vaccinations for which the NHS has delivery responsibility, including all those in the routine immunisation schedule</w:t>
      </w:r>
      <w:r w:rsidR="009C2116" w:rsidRPr="009C2116">
        <w:t xml:space="preserve"> </w:t>
      </w:r>
      <w:r w:rsidR="00300500" w:rsidRPr="00496A09">
        <w:t xml:space="preserve">for infants, children, </w:t>
      </w:r>
      <w:r w:rsidR="00FE2746" w:rsidRPr="00496A09">
        <w:t xml:space="preserve">young people, </w:t>
      </w:r>
      <w:r w:rsidR="00300500" w:rsidRPr="00496A09">
        <w:t>adults and pregnant women</w:t>
      </w:r>
      <w:r w:rsidRPr="00496A09">
        <w:t>, selective vaccinations for those at risk, COVID-19 vaccinations and seasonal influenza vaccinations. Other</w:t>
      </w:r>
      <w:r w:rsidR="003179CD" w:rsidRPr="00496A09">
        <w:t xml:space="preserve"> vaccines in development</w:t>
      </w:r>
      <w:r w:rsidRPr="00496A09">
        <w:t xml:space="preserve"> including </w:t>
      </w:r>
      <w:r w:rsidR="003179CD" w:rsidRPr="00496A09">
        <w:t xml:space="preserve">those for </w:t>
      </w:r>
      <w:r w:rsidRPr="00496A09">
        <w:t>cancer</w:t>
      </w:r>
      <w:r w:rsidR="003179CD" w:rsidRPr="00496A09">
        <w:t xml:space="preserve"> and</w:t>
      </w:r>
      <w:r w:rsidRPr="00496A09">
        <w:t xml:space="preserve"> personalised, </w:t>
      </w:r>
      <w:r w:rsidR="00285109" w:rsidRPr="00AD6547">
        <w:rPr>
          <w:rFonts w:ascii="Arial" w:eastAsia="Times New Roman" w:hAnsi="Arial" w:cs="Arial"/>
          <w:color w:val="auto"/>
          <w:kern w:val="0"/>
          <w14:ligatures w14:val="none"/>
        </w:rPr>
        <w:t xml:space="preserve">and those currently deployed for travel or in a private market </w:t>
      </w:r>
      <w:r w:rsidRPr="00496A09">
        <w:t xml:space="preserve">are not covered. </w:t>
      </w:r>
    </w:p>
    <w:p w14:paraId="6A584C73" w14:textId="77777777" w:rsidR="00173E8C" w:rsidRPr="00496A09" w:rsidRDefault="00611637" w:rsidP="00E57858">
      <w:pPr>
        <w:pStyle w:val="h3numbered"/>
        <w:spacing w:after="180"/>
      </w:pPr>
      <w:bookmarkStart w:id="8" w:name="_Toc153264055"/>
      <w:r w:rsidRPr="00496A09">
        <w:t>Terminology</w:t>
      </w:r>
      <w:bookmarkEnd w:id="8"/>
    </w:p>
    <w:p w14:paraId="56A590BE" w14:textId="6A6FED65" w:rsidR="006B69DE" w:rsidRPr="00496A09" w:rsidRDefault="007F687B" w:rsidP="0070560B">
      <w:pPr>
        <w:pStyle w:val="h4numbered"/>
        <w:keepLines/>
        <w:spacing w:before="180" w:after="180" w:line="276" w:lineRule="auto"/>
        <w:ind w:left="794"/>
      </w:pPr>
      <w:r w:rsidRPr="00496A09">
        <w:t>We refer to ‘vaccination’ or ‘immunisation’. Vaccination is the act of administering the vaccine, while immunisation is the process by which an individual achieves immunity. Whil</w:t>
      </w:r>
      <w:r w:rsidR="00AE3EAD" w:rsidRPr="00496A09">
        <w:t>e</w:t>
      </w:r>
      <w:r w:rsidRPr="00496A09">
        <w:t xml:space="preserve"> the two terms are not interchangeable, ‘vaccination’ is more meaningful to the public and we have used it in much of our engagement work to date.</w:t>
      </w:r>
      <w:r w:rsidRPr="00496A09">
        <w:rPr>
          <w:rStyle w:val="FootnoteReference"/>
        </w:rPr>
        <w:footnoteReference w:id="12"/>
      </w:r>
    </w:p>
    <w:p w14:paraId="25F9E78E" w14:textId="2A01C6FA" w:rsidR="006B69DE" w:rsidRPr="00496A09" w:rsidRDefault="00D76CC4" w:rsidP="0070560B">
      <w:pPr>
        <w:pStyle w:val="h4numbered"/>
        <w:spacing w:before="180" w:after="180" w:line="276" w:lineRule="auto"/>
        <w:ind w:left="794"/>
      </w:pPr>
      <w:r w:rsidRPr="00496A09">
        <w:t xml:space="preserve">The term ‘seasonal vaccinations’ includes flu vaccination and COVID-19 vaccination. We do not yet know whether COVID-19 will be a seasonal vaccination in future but include it within this term to differentiate it from life-course vaccinations. </w:t>
      </w:r>
    </w:p>
    <w:p w14:paraId="1AD64C2E" w14:textId="6A04F462" w:rsidR="006B69DE" w:rsidRPr="00496A09" w:rsidRDefault="00D76CC4" w:rsidP="0070560B">
      <w:pPr>
        <w:pStyle w:val="h4numbered"/>
        <w:keepLines/>
        <w:spacing w:before="180" w:after="180" w:line="276" w:lineRule="auto"/>
        <w:ind w:left="794"/>
      </w:pPr>
      <w:r w:rsidRPr="00496A09">
        <w:t xml:space="preserve">The term ‘life-course vaccinations’ refers to those in the </w:t>
      </w:r>
      <w:hyperlink r:id="rId21" w:history="1">
        <w:r w:rsidRPr="00496A09">
          <w:t>UKHSA complete routine immunisation schedule</w:t>
        </w:r>
      </w:hyperlink>
      <w:r w:rsidRPr="00496A09">
        <w:t xml:space="preserve"> for all ages, which includes routine immunisations, selective immunisations and additional vaccinations for individuals with underlying medical conditions.</w:t>
      </w:r>
    </w:p>
    <w:p w14:paraId="1BFED1F2" w14:textId="6AD42AE2" w:rsidR="00D76CC4" w:rsidRPr="00496A09" w:rsidRDefault="00D76CC4" w:rsidP="0070560B">
      <w:pPr>
        <w:pStyle w:val="h4numbered"/>
        <w:spacing w:before="180" w:after="180" w:line="276" w:lineRule="auto"/>
        <w:ind w:left="794"/>
      </w:pPr>
      <w:r w:rsidRPr="00496A09">
        <w:t>Co-administration means providing more than one vaccine in the same appointment.</w:t>
      </w:r>
    </w:p>
    <w:p w14:paraId="5DBBC29C" w14:textId="0775FF00" w:rsidR="00D93DFC" w:rsidRPr="00496A09" w:rsidRDefault="00D76CC4" w:rsidP="0070560B">
      <w:pPr>
        <w:pStyle w:val="h4numbered"/>
        <w:spacing w:before="180"/>
        <w:ind w:left="794" w:right="57"/>
        <w:contextualSpacing/>
        <w:rPr>
          <w:color w:val="005EB8" w:themeColor="text2"/>
          <w:sz w:val="36"/>
          <w:szCs w:val="36"/>
        </w:rPr>
      </w:pPr>
      <w:r w:rsidRPr="00496A09">
        <w:t>‘Outbreak’ refers to vaccine-preventable disease (VPD) outbreaks.</w:t>
      </w:r>
      <w:bookmarkStart w:id="9" w:name="_Toc123637840"/>
      <w:r w:rsidR="00D93DFC" w:rsidRPr="00496A09">
        <w:br w:type="page"/>
      </w:r>
    </w:p>
    <w:p w14:paraId="59330F16" w14:textId="444D1F6F" w:rsidR="00615D62" w:rsidRPr="00496A09" w:rsidRDefault="006E0C16" w:rsidP="001D4782">
      <w:pPr>
        <w:pStyle w:val="h2numbered"/>
        <w:spacing w:after="280"/>
        <w:contextualSpacing w:val="0"/>
        <w:rPr>
          <w:szCs w:val="48"/>
        </w:rPr>
      </w:pPr>
      <w:bookmarkStart w:id="10" w:name="_Toc153264056"/>
      <w:r w:rsidRPr="00496A09">
        <w:rPr>
          <w:szCs w:val="48"/>
        </w:rPr>
        <w:t>Why do we need a strategy for the</w:t>
      </w:r>
      <w:r w:rsidR="00F34B08" w:rsidRPr="00496A09">
        <w:rPr>
          <w:szCs w:val="48"/>
        </w:rPr>
        <w:t xml:space="preserve"> </w:t>
      </w:r>
      <w:r w:rsidRPr="00496A09">
        <w:rPr>
          <w:szCs w:val="48"/>
        </w:rPr>
        <w:t>delivery of vaccination</w:t>
      </w:r>
      <w:r w:rsidR="003203AC" w:rsidRPr="00496A09">
        <w:rPr>
          <w:szCs w:val="48"/>
        </w:rPr>
        <w:t xml:space="preserve"> </w:t>
      </w:r>
      <w:r w:rsidR="00F34B08" w:rsidRPr="00496A09">
        <w:rPr>
          <w:szCs w:val="48"/>
        </w:rPr>
        <w:t>s</w:t>
      </w:r>
      <w:r w:rsidRPr="00496A09">
        <w:rPr>
          <w:szCs w:val="48"/>
        </w:rPr>
        <w:t>ervices?</w:t>
      </w:r>
      <w:bookmarkEnd w:id="9"/>
      <w:bookmarkEnd w:id="10"/>
    </w:p>
    <w:p w14:paraId="55A87EC4" w14:textId="3DD3E68E" w:rsidR="006E0C16" w:rsidRPr="00496A09" w:rsidRDefault="006E0C16" w:rsidP="00564A7D">
      <w:pPr>
        <w:pStyle w:val="h3numbered"/>
        <w:spacing w:after="120"/>
      </w:pPr>
      <w:bookmarkStart w:id="11" w:name="_Toc153264057"/>
      <w:r w:rsidRPr="00496A09">
        <w:t>The importance of vaccination</w:t>
      </w:r>
      <w:bookmarkEnd w:id="11"/>
    </w:p>
    <w:p w14:paraId="69A73293" w14:textId="72152878" w:rsidR="006E0C16" w:rsidRPr="00496A09" w:rsidRDefault="006E0C16" w:rsidP="0070560B">
      <w:pPr>
        <w:pStyle w:val="h4numbered"/>
        <w:spacing w:before="180" w:after="180" w:line="276" w:lineRule="auto"/>
        <w:ind w:left="794"/>
        <w:rPr>
          <w:color w:val="005EB8" w:themeColor="text2"/>
        </w:rPr>
      </w:pPr>
      <w:r w:rsidRPr="00496A09">
        <w:t>Vaccinations prevent up to three million deaths worldwide every year and help many more people to avoid a stay in hospital.</w:t>
      </w:r>
      <w:r w:rsidRPr="00496A09">
        <w:rPr>
          <w:vertAlign w:val="superscript"/>
        </w:rPr>
        <w:footnoteReference w:id="13"/>
      </w:r>
      <w:r w:rsidRPr="00496A09">
        <w:rPr>
          <w:vertAlign w:val="superscript"/>
        </w:rPr>
        <w:t xml:space="preserve"> </w:t>
      </w:r>
    </w:p>
    <w:p w14:paraId="5A4BEDAC" w14:textId="56098453" w:rsidR="006E0C16" w:rsidRPr="00496A09" w:rsidRDefault="006E0C16" w:rsidP="0070560B">
      <w:pPr>
        <w:pStyle w:val="h4numbered"/>
        <w:spacing w:before="180" w:after="180" w:line="276" w:lineRule="auto"/>
        <w:ind w:left="794"/>
      </w:pPr>
      <w:r w:rsidRPr="00496A09">
        <w:t xml:space="preserve">VPDs can cause long-term illness, hospitalisation and death. Infections such as polio, Hib and measles have been, and still have the potential to be, serious health problems in this country, causing complications and early death in children and adults. </w:t>
      </w:r>
    </w:p>
    <w:p w14:paraId="74BEBD42" w14:textId="3802D553" w:rsidR="00B578D8" w:rsidRPr="00496A09" w:rsidRDefault="006E0C16" w:rsidP="0070560B">
      <w:pPr>
        <w:pStyle w:val="h4numbered"/>
        <w:spacing w:before="180" w:after="180" w:line="276" w:lineRule="auto"/>
        <w:ind w:left="794"/>
      </w:pPr>
      <w:r w:rsidRPr="00496A09">
        <w:t>High vaccination rates prevent the spread of these diseases and protect vulnerable individuals for whom</w:t>
      </w:r>
      <w:r w:rsidRPr="00496A09" w:rsidDel="00A6128F">
        <w:t xml:space="preserve"> </w:t>
      </w:r>
      <w:r w:rsidRPr="00496A09">
        <w:t>vaccination is not safe and/or effective. Wider benefits include helping children to stay in school and freeing up NHS resources to support other patients.</w:t>
      </w:r>
    </w:p>
    <w:p w14:paraId="7B7A2B2E" w14:textId="36E0F8FB" w:rsidR="006E0C16" w:rsidRPr="00496A09" w:rsidRDefault="006E0C16" w:rsidP="00212060">
      <w:pPr>
        <w:pStyle w:val="h4numbered"/>
        <w:keepNext w:val="0"/>
        <w:spacing w:before="180" w:after="180" w:line="276" w:lineRule="auto"/>
        <w:ind w:left="794"/>
      </w:pPr>
      <w:r w:rsidRPr="00496A09">
        <w:t>Some vaccines, such as for HPV, also prevent cancer.</w:t>
      </w:r>
      <w:r w:rsidR="00B578D8" w:rsidRPr="00496A09">
        <w:t xml:space="preserve"> Increasing uptake of HPV vaccination in young people is critical to </w:t>
      </w:r>
      <w:r w:rsidR="009F6CEF" w:rsidRPr="00496A09">
        <w:t xml:space="preserve">our </w:t>
      </w:r>
      <w:r w:rsidR="006E285A" w:rsidRPr="00496A09">
        <w:t>ambition</w:t>
      </w:r>
      <w:r w:rsidR="009F6CEF" w:rsidRPr="00496A09">
        <w:t xml:space="preserve"> to eliminate cervical cancer</w:t>
      </w:r>
      <w:r w:rsidR="00573B38" w:rsidRPr="00496A09">
        <w:t xml:space="preserve"> </w:t>
      </w:r>
      <w:r w:rsidR="006E285A" w:rsidRPr="00496A09">
        <w:t xml:space="preserve">by 2040, </w:t>
      </w:r>
      <w:r w:rsidR="00573B38" w:rsidRPr="00496A09">
        <w:t>and we know it has already</w:t>
      </w:r>
      <w:r w:rsidRPr="00496A09">
        <w:t xml:space="preserve"> </w:t>
      </w:r>
      <w:r w:rsidR="00BA4146" w:rsidRPr="00496A09">
        <w:t xml:space="preserve">helped to </w:t>
      </w:r>
      <w:r w:rsidR="007D4351" w:rsidRPr="00496A09">
        <w:t>drastically reduce</w:t>
      </w:r>
      <w:r w:rsidR="00BA4146" w:rsidRPr="00496A09">
        <w:t xml:space="preserve"> the incidence of this disease. </w:t>
      </w:r>
    </w:p>
    <w:p w14:paraId="20C3E48C" w14:textId="33DCF4DA" w:rsidR="006E0C16" w:rsidRPr="00496A09" w:rsidRDefault="006E0C16" w:rsidP="00212060">
      <w:pPr>
        <w:pStyle w:val="h4numbered"/>
        <w:keepNext w:val="0"/>
        <w:spacing w:before="180" w:after="180" w:line="276" w:lineRule="auto"/>
        <w:ind w:left="794"/>
      </w:pPr>
      <w:r w:rsidRPr="00496A09">
        <w:t>Our population benefits from vaccination services that are safe and effective. The UKHSA routine immunisation schedule, as well as selective NHS immunisation programmes, now protect against diseases that were once responsible for significant morbidity and mortality.</w:t>
      </w:r>
      <w:r w:rsidRPr="00496A09">
        <w:rPr>
          <w:vertAlign w:val="superscript"/>
        </w:rPr>
        <w:footnoteReference w:id="14"/>
      </w:r>
      <w:r w:rsidRPr="00496A09">
        <w:rPr>
          <w:vertAlign w:val="superscript"/>
        </w:rPr>
        <w:t xml:space="preserve"> </w:t>
      </w:r>
    </w:p>
    <w:p w14:paraId="6E796A50" w14:textId="3EAA2B22" w:rsidR="006E0C16" w:rsidRPr="00496A09" w:rsidRDefault="006E0C16" w:rsidP="00212060">
      <w:pPr>
        <w:pStyle w:val="h4numbered"/>
        <w:keepNext w:val="0"/>
        <w:spacing w:before="180" w:after="180" w:line="276" w:lineRule="auto"/>
        <w:ind w:left="794"/>
        <w:rPr>
          <w:color w:val="005EB8" w:themeColor="text2"/>
        </w:rPr>
      </w:pPr>
      <w:r w:rsidRPr="00496A09">
        <w:t>All healthcare workers and many sections of the public, including certain age categories, pregnant women and people with some medical conditions, are offered a free flu vaccine to protect them in the winter months.</w:t>
      </w:r>
    </w:p>
    <w:p w14:paraId="04251740" w14:textId="5A6E01E9" w:rsidR="005E33D6" w:rsidRPr="00496A09" w:rsidRDefault="006E0C16" w:rsidP="00212060">
      <w:pPr>
        <w:pStyle w:val="h4numbered"/>
        <w:keepNext w:val="0"/>
        <w:spacing w:before="180" w:after="180" w:line="276" w:lineRule="auto"/>
        <w:ind w:left="794"/>
      </w:pPr>
      <w:r w:rsidRPr="00496A09">
        <w:t>Overall, tens of millions of people each year receive vaccinations when they need them, delivered by a range of trusted providers, including general practice, community pharmacy and school aged-immunisation services (SAIS) providers.</w:t>
      </w:r>
    </w:p>
    <w:p w14:paraId="4258DE21" w14:textId="77777777" w:rsidR="00212060" w:rsidRPr="00496A09" w:rsidRDefault="00212060" w:rsidP="00212060">
      <w:pPr>
        <w:pStyle w:val="h4numbered"/>
        <w:keepNext w:val="0"/>
        <w:numPr>
          <w:ilvl w:val="0"/>
          <w:numId w:val="0"/>
        </w:numPr>
        <w:spacing w:before="180" w:after="180" w:line="276" w:lineRule="auto"/>
        <w:ind w:left="794"/>
      </w:pPr>
    </w:p>
    <w:p w14:paraId="5946514C" w14:textId="77777777" w:rsidR="00212060" w:rsidRPr="00496A09" w:rsidRDefault="00212060" w:rsidP="00212060">
      <w:pPr>
        <w:pStyle w:val="h4numbered"/>
        <w:keepNext w:val="0"/>
        <w:numPr>
          <w:ilvl w:val="0"/>
          <w:numId w:val="0"/>
        </w:numPr>
        <w:spacing w:before="180" w:after="180" w:line="276" w:lineRule="auto"/>
        <w:ind w:left="794"/>
      </w:pPr>
    </w:p>
    <w:p w14:paraId="30ADDF4C" w14:textId="77777777" w:rsidR="00212060" w:rsidRPr="00496A09" w:rsidRDefault="00212060" w:rsidP="00212060">
      <w:pPr>
        <w:pStyle w:val="h4numbered"/>
        <w:keepNext w:val="0"/>
        <w:numPr>
          <w:ilvl w:val="0"/>
          <w:numId w:val="0"/>
        </w:numPr>
        <w:spacing w:before="180" w:after="180" w:line="276" w:lineRule="auto"/>
        <w:ind w:left="794"/>
      </w:pPr>
    </w:p>
    <w:p w14:paraId="2C74D122" w14:textId="77777777" w:rsidR="003D71FD" w:rsidRPr="00496A09" w:rsidRDefault="003D71FD" w:rsidP="00212060">
      <w:pPr>
        <w:pStyle w:val="h4numbered"/>
        <w:keepNext w:val="0"/>
        <w:numPr>
          <w:ilvl w:val="0"/>
          <w:numId w:val="0"/>
        </w:numPr>
        <w:spacing w:before="180" w:after="180" w:line="276" w:lineRule="auto"/>
        <w:ind w:left="794"/>
      </w:pPr>
    </w:p>
    <w:p w14:paraId="2EFDB282" w14:textId="77777777" w:rsidR="00212060" w:rsidRPr="00496A09" w:rsidRDefault="00212060" w:rsidP="00212060">
      <w:pPr>
        <w:pStyle w:val="h4numbered"/>
        <w:keepNext w:val="0"/>
        <w:numPr>
          <w:ilvl w:val="0"/>
          <w:numId w:val="0"/>
        </w:numPr>
        <w:spacing w:before="180" w:after="180" w:line="276" w:lineRule="auto"/>
        <w:ind w:left="794"/>
      </w:pPr>
    </w:p>
    <w:p w14:paraId="51B5C493" w14:textId="77777777" w:rsidR="00D826E1" w:rsidRPr="00496A09" w:rsidRDefault="006E0C16" w:rsidP="00212060">
      <w:pPr>
        <w:pStyle w:val="h3numbered"/>
        <w:keepNext w:val="0"/>
        <w:spacing w:after="120"/>
        <w:ind w:right="57"/>
      </w:pPr>
      <w:bookmarkStart w:id="12" w:name="_Toc153264058"/>
      <w:r w:rsidRPr="00496A09">
        <w:t>Building on our successes</w:t>
      </w:r>
      <w:bookmarkEnd w:id="12"/>
    </w:p>
    <w:p w14:paraId="1A2DDDA7" w14:textId="21458C53" w:rsidR="007E047F" w:rsidRPr="00496A09" w:rsidRDefault="006E0C16" w:rsidP="000B1F11">
      <w:pPr>
        <w:pStyle w:val="h4numbered"/>
        <w:keepNext w:val="0"/>
        <w:widowControl w:val="0"/>
        <w:spacing w:before="180" w:after="180" w:line="276" w:lineRule="auto"/>
        <w:ind w:left="794"/>
      </w:pPr>
      <w:r w:rsidRPr="00496A09">
        <w:t>In England we achieve high uptake for both life-course and seasonal vaccinations – over 90% for pre-school diphtheria, tetanus and pertussis and among the highest in the world for flu vaccination.</w:t>
      </w:r>
      <w:r w:rsidRPr="00496A09">
        <w:rPr>
          <w:rStyle w:val="FootnoteReference"/>
        </w:rPr>
        <w:footnoteReference w:id="15"/>
      </w:r>
      <w:r w:rsidRPr="00496A09">
        <w:rPr>
          <w:vertAlign w:val="superscript"/>
        </w:rPr>
        <w:t xml:space="preserve">, </w:t>
      </w:r>
      <w:r w:rsidRPr="00496A09">
        <w:rPr>
          <w:rStyle w:val="FootnoteReference"/>
        </w:rPr>
        <w:footnoteReference w:id="16"/>
      </w:r>
      <w:r w:rsidRPr="00496A09">
        <w:rPr>
          <w:i/>
          <w:iCs/>
        </w:rPr>
        <w:t xml:space="preserve"> </w:t>
      </w:r>
      <w:r w:rsidRPr="00496A09">
        <w:t>The NHS COVID-19 vaccination programme has been the biggest vaccine drive in the history of the NHS – implementing the largest volume of novel vaccines in the shortest time, and repeatedly with boosters</w:t>
      </w:r>
      <w:r w:rsidR="00AE730F" w:rsidRPr="00496A09">
        <w:t>.</w:t>
      </w:r>
      <w:r w:rsidRPr="00496A09">
        <w:t xml:space="preserve"> </w:t>
      </w:r>
      <w:r w:rsidR="00AE730F" w:rsidRPr="00496A09">
        <w:t>A</w:t>
      </w:r>
      <w:r w:rsidRPr="00496A09">
        <w:t>s of</w:t>
      </w:r>
      <w:r w:rsidR="001C5041" w:rsidRPr="00496A09">
        <w:t xml:space="preserve"> </w:t>
      </w:r>
      <w:r w:rsidR="005E75BA" w:rsidRPr="00496A09">
        <w:t>November</w:t>
      </w:r>
      <w:r w:rsidRPr="00496A09">
        <w:t xml:space="preserve"> 2023, it has delivered over </w:t>
      </w:r>
      <w:r w:rsidR="002C2EF5" w:rsidRPr="00496A09">
        <w:t>15</w:t>
      </w:r>
      <w:r w:rsidR="00131A2C" w:rsidRPr="00496A09">
        <w:t>6</w:t>
      </w:r>
      <w:r w:rsidRPr="00496A09">
        <w:t xml:space="preserve"> million</w:t>
      </w:r>
      <w:r w:rsidRPr="00496A09">
        <w:rPr>
          <w:rStyle w:val="FootnoteReference"/>
        </w:rPr>
        <w:footnoteReference w:id="17"/>
      </w:r>
      <w:r w:rsidRPr="00496A09">
        <w:t xml:space="preserve"> total vaccine doses and saved many lives.</w:t>
      </w:r>
    </w:p>
    <w:p w14:paraId="23631C0E" w14:textId="028B3842" w:rsidR="007E047F" w:rsidRPr="00496A09" w:rsidRDefault="006E0C16" w:rsidP="002B77D2">
      <w:pPr>
        <w:pStyle w:val="h4numbered"/>
        <w:spacing w:after="180" w:line="276" w:lineRule="auto"/>
        <w:ind w:left="794" w:right="57"/>
        <w:rPr>
          <w:color w:val="auto"/>
        </w:rPr>
      </w:pPr>
      <w:r w:rsidRPr="00496A09">
        <w:t xml:space="preserve">The NHS COVID-19 vaccination programme required new roles, responsibilities and operational processes, and succeeded through the hard work of the NHS, local government, the voluntary sector and other partners. It also drove innovation and investment in service delivery, including the use of pop-up and walk-in sites, maximising the contribution of volunteers, working with community leaders to build trust and creating national booking systems. </w:t>
      </w:r>
    </w:p>
    <w:p w14:paraId="2D316083" w14:textId="0D91EAF1" w:rsidR="006E0C16" w:rsidRPr="00496A09" w:rsidRDefault="006E0C16" w:rsidP="002B77D2">
      <w:pPr>
        <w:pStyle w:val="h4numbered"/>
        <w:spacing w:after="180" w:line="276" w:lineRule="auto"/>
        <w:ind w:left="794" w:right="57"/>
        <w:rPr>
          <w:color w:val="auto"/>
        </w:rPr>
      </w:pPr>
      <w:r w:rsidRPr="00496A09">
        <w:rPr>
          <w:color w:val="auto"/>
        </w:rPr>
        <w:t>We need to consider where there is room for us to improve:</w:t>
      </w:r>
    </w:p>
    <w:p w14:paraId="5763218C" w14:textId="1A52D675" w:rsidR="006E0C16" w:rsidRPr="00496A09" w:rsidRDefault="006E0C16" w:rsidP="002B77D2">
      <w:pPr>
        <w:pStyle w:val="ListParagraph"/>
        <w:numPr>
          <w:ilvl w:val="0"/>
          <w:numId w:val="12"/>
        </w:numPr>
        <w:spacing w:after="120" w:line="276" w:lineRule="auto"/>
        <w:ind w:left="1418" w:right="57" w:hanging="284"/>
        <w:textboxTightWrap w:val="none"/>
        <w:rPr>
          <w:color w:val="auto"/>
        </w:rPr>
      </w:pPr>
      <w:r w:rsidRPr="00496A09">
        <w:t xml:space="preserve">Nationally we have seen a 10-year decline in pre-school immunisations and coverage </w:t>
      </w:r>
      <w:r w:rsidR="00DF2DC1" w:rsidRPr="00496A09">
        <w:t xml:space="preserve">and </w:t>
      </w:r>
      <w:r w:rsidRPr="00496A09">
        <w:t>while remaining high</w:t>
      </w:r>
      <w:r w:rsidR="002F7584" w:rsidRPr="00496A09">
        <w:t xml:space="preserve"> rates are</w:t>
      </w:r>
      <w:r w:rsidRPr="00496A09">
        <w:t xml:space="preserve"> lower than the WHO-specified threshold for many vaccines and lower than in other advanced economies (see Figure 1</w:t>
      </w:r>
      <w:r w:rsidR="001D4782" w:rsidRPr="00496A09">
        <w:t xml:space="preserve"> below</w:t>
      </w:r>
      <w:r w:rsidRPr="00496A09">
        <w:t>). Below-threshold coverage risks outbreaks, as we have seen for measles, and the return of diseases not seen in the UK for a generation.</w:t>
      </w:r>
      <w:r w:rsidRPr="00496A09">
        <w:rPr>
          <w:noProof/>
        </w:rPr>
        <w:t xml:space="preserve"> </w:t>
      </w:r>
    </w:p>
    <w:p w14:paraId="110AD466" w14:textId="2619F075" w:rsidR="006E0C16" w:rsidRPr="00496A09" w:rsidRDefault="006E0C16" w:rsidP="002B77D2">
      <w:pPr>
        <w:pStyle w:val="ListParagraph"/>
        <w:numPr>
          <w:ilvl w:val="0"/>
          <w:numId w:val="12"/>
        </w:numPr>
        <w:spacing w:after="240" w:line="276" w:lineRule="auto"/>
        <w:ind w:left="1418" w:right="57" w:hanging="284"/>
        <w:textboxTightWrap w:val="none"/>
      </w:pPr>
      <w:r w:rsidRPr="00496A09">
        <w:t xml:space="preserve">We know that the headline data masks significant </w:t>
      </w:r>
      <w:r w:rsidR="00FC3339" w:rsidRPr="00496A09">
        <w:t>disparit</w:t>
      </w:r>
      <w:r w:rsidR="0054751B">
        <w:t>ies</w:t>
      </w:r>
      <w:r w:rsidR="00BD03BC" w:rsidRPr="00496A09">
        <w:t xml:space="preserve"> </w:t>
      </w:r>
      <w:r w:rsidRPr="00496A09">
        <w:t>in uptake. We need to maximise uptake and coverage in every area of the country for all communities, particularly among deprived communities, minority ethnic groups (see Figure 2 below), inclusion health groups such as people who experience homelessness and Gypsy, Roma and Traveller communities, and those not registered with healthcare providers. We also need to ensure we support people with weakened immune systems to receive the vaccinations they need.</w:t>
      </w:r>
    </w:p>
    <w:p w14:paraId="1100CE3F" w14:textId="77777777" w:rsidR="008F2B55" w:rsidRPr="00496A09" w:rsidRDefault="008F2B55" w:rsidP="001D4782">
      <w:pPr>
        <w:spacing w:after="120" w:line="276" w:lineRule="auto"/>
        <w:ind w:right="57"/>
        <w:rPr>
          <w:b/>
          <w:bCs/>
          <w:color w:val="auto"/>
        </w:rPr>
      </w:pPr>
    </w:p>
    <w:p w14:paraId="5F9803E9" w14:textId="0F81195C" w:rsidR="008F2B55" w:rsidRPr="00496A09" w:rsidRDefault="00252960" w:rsidP="00252960">
      <w:pPr>
        <w:tabs>
          <w:tab w:val="left" w:pos="1155"/>
        </w:tabs>
        <w:spacing w:after="120" w:line="276" w:lineRule="auto"/>
        <w:ind w:right="57"/>
        <w:rPr>
          <w:b/>
          <w:bCs/>
          <w:color w:val="auto"/>
        </w:rPr>
      </w:pPr>
      <w:r>
        <w:rPr>
          <w:b/>
          <w:bCs/>
          <w:color w:val="auto"/>
        </w:rPr>
        <w:tab/>
      </w:r>
    </w:p>
    <w:p w14:paraId="4F6D2822" w14:textId="77777777" w:rsidR="008F2B55" w:rsidRPr="00496A09" w:rsidRDefault="008F2B55" w:rsidP="001D4782">
      <w:pPr>
        <w:spacing w:after="120" w:line="276" w:lineRule="auto"/>
        <w:ind w:right="57"/>
        <w:rPr>
          <w:b/>
          <w:bCs/>
          <w:color w:val="auto"/>
        </w:rPr>
      </w:pPr>
    </w:p>
    <w:p w14:paraId="1BA4EF72" w14:textId="77777777" w:rsidR="008F2B55" w:rsidRPr="00496A09" w:rsidRDefault="008F2B55" w:rsidP="001D4782">
      <w:pPr>
        <w:spacing w:after="120" w:line="276" w:lineRule="auto"/>
        <w:ind w:right="57"/>
        <w:rPr>
          <w:b/>
          <w:bCs/>
          <w:color w:val="auto"/>
        </w:rPr>
      </w:pPr>
    </w:p>
    <w:p w14:paraId="4B9240E9" w14:textId="77777777" w:rsidR="008F2B55" w:rsidRPr="00496A09" w:rsidRDefault="008F2B55" w:rsidP="001D4782">
      <w:pPr>
        <w:spacing w:after="120" w:line="276" w:lineRule="auto"/>
        <w:ind w:right="57"/>
        <w:rPr>
          <w:b/>
          <w:bCs/>
          <w:color w:val="auto"/>
        </w:rPr>
      </w:pPr>
    </w:p>
    <w:p w14:paraId="31461846" w14:textId="77777777" w:rsidR="008F2B55" w:rsidRPr="00496A09" w:rsidRDefault="008F2B55" w:rsidP="001D4782">
      <w:pPr>
        <w:spacing w:after="120" w:line="276" w:lineRule="auto"/>
        <w:ind w:right="57"/>
        <w:rPr>
          <w:b/>
          <w:bCs/>
          <w:color w:val="auto"/>
        </w:rPr>
      </w:pPr>
    </w:p>
    <w:p w14:paraId="61F223A3" w14:textId="0DE4EA03" w:rsidR="001D4782" w:rsidRPr="00496A09" w:rsidRDefault="00685762" w:rsidP="001D4782">
      <w:pPr>
        <w:spacing w:after="120" w:line="276" w:lineRule="auto"/>
        <w:ind w:right="57"/>
        <w:rPr>
          <w:b/>
          <w:bCs/>
          <w:color w:val="auto"/>
        </w:rPr>
      </w:pPr>
      <w:r w:rsidRPr="00496A09">
        <w:rPr>
          <w:b/>
          <w:bCs/>
          <w:color w:val="auto"/>
        </w:rPr>
        <w:t>Figure 1: Child</w:t>
      </w:r>
      <w:r w:rsidRPr="00496A09" w:rsidDel="005E5D84">
        <w:rPr>
          <w:b/>
          <w:bCs/>
          <w:color w:val="auto"/>
        </w:rPr>
        <w:t>hood</w:t>
      </w:r>
      <w:r w:rsidRPr="00496A09">
        <w:rPr>
          <w:b/>
          <w:bCs/>
          <w:color w:val="auto"/>
        </w:rPr>
        <w:t xml:space="preserve"> vaccination rates for </w:t>
      </w:r>
      <w:r w:rsidR="001D4782" w:rsidRPr="00496A09">
        <w:rPr>
          <w:b/>
          <w:bCs/>
          <w:color w:val="auto"/>
        </w:rPr>
        <w:t xml:space="preserve">diphtheria, tetanus and pertussis </w:t>
      </w:r>
      <w:r w:rsidRPr="00496A09">
        <w:rPr>
          <w:b/>
          <w:bCs/>
          <w:color w:val="auto"/>
        </w:rPr>
        <w:t>among OECD countries in 2022</w:t>
      </w:r>
      <w:r w:rsidRPr="00496A09">
        <w:rPr>
          <w:rStyle w:val="FootnoteReference"/>
          <w:b/>
          <w:bCs/>
        </w:rPr>
        <w:footnoteReference w:id="18"/>
      </w:r>
      <w:r w:rsidR="00AB360C" w:rsidRPr="00496A09">
        <w:rPr>
          <w:b/>
          <w:bCs/>
          <w:color w:val="auto"/>
        </w:rPr>
        <w:t xml:space="preserve"> </w:t>
      </w:r>
    </w:p>
    <w:p w14:paraId="4CDBF6ED" w14:textId="2E252466" w:rsidR="006E0C16" w:rsidRPr="00496A09" w:rsidRDefault="00AB360C" w:rsidP="001D4782">
      <w:pPr>
        <w:spacing w:after="120" w:line="276" w:lineRule="auto"/>
        <w:ind w:right="57"/>
      </w:pPr>
      <w:r w:rsidRPr="00496A09">
        <w:rPr>
          <w:noProof/>
        </w:rPr>
        <w:drawing>
          <wp:inline distT="0" distB="0" distL="0" distR="0" wp14:anchorId="306091D0" wp14:editId="7AB63BFA">
            <wp:extent cx="5449456" cy="3280410"/>
            <wp:effectExtent l="19050" t="19050" r="18415" b="15240"/>
            <wp:docPr id="12" name="Picture 12" descr="A graph of the number of countries/reg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aph of the number of countries/regions&#10;&#10;Description automatically generated"/>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49456" cy="3280410"/>
                    </a:xfrm>
                    <a:prstGeom prst="rect">
                      <a:avLst/>
                    </a:prstGeom>
                    <a:noFill/>
                    <a:ln>
                      <a:solidFill>
                        <a:schemeClr val="accent2"/>
                      </a:solidFill>
                    </a:ln>
                  </pic:spPr>
                </pic:pic>
              </a:graphicData>
            </a:graphic>
          </wp:inline>
        </w:drawing>
      </w:r>
    </w:p>
    <w:p w14:paraId="3A5EBE56" w14:textId="77777777" w:rsidR="001D4782" w:rsidRPr="00496A09" w:rsidRDefault="000E10A2" w:rsidP="008A4A24">
      <w:pPr>
        <w:spacing w:after="0" w:line="240" w:lineRule="auto"/>
        <w:ind w:right="57"/>
        <w:contextualSpacing/>
        <w:textboxTightWrap w:val="none"/>
        <w:rPr>
          <w:rFonts w:cs="Arial"/>
          <w:b/>
          <w:bCs/>
          <w:color w:val="auto"/>
        </w:rPr>
      </w:pPr>
      <w:r w:rsidRPr="00496A09">
        <w:rPr>
          <w:rFonts w:cs="Arial"/>
          <w:b/>
          <w:bCs/>
          <w:color w:val="auto"/>
        </w:rPr>
        <w:t>Figure 2: Over 65 uptake of flu vaccination by ethnic group in England, 2022/23</w:t>
      </w:r>
      <w:r w:rsidRPr="00496A09">
        <w:rPr>
          <w:rStyle w:val="FootnoteReference"/>
          <w:rFonts w:cs="Arial"/>
          <w:b/>
          <w:bCs/>
          <w:color w:val="auto"/>
        </w:rPr>
        <w:footnoteReference w:id="19"/>
      </w:r>
      <w:r w:rsidRPr="00496A09">
        <w:rPr>
          <w:rFonts w:cs="Arial"/>
          <w:b/>
          <w:bCs/>
          <w:color w:val="auto"/>
        </w:rPr>
        <w:t xml:space="preserve"> </w:t>
      </w:r>
    </w:p>
    <w:p w14:paraId="4F0C83B2" w14:textId="77777777" w:rsidR="001D4782" w:rsidRPr="00496A09" w:rsidRDefault="001D4782" w:rsidP="008A4A24">
      <w:pPr>
        <w:spacing w:after="0" w:line="240" w:lineRule="auto"/>
        <w:ind w:right="57"/>
        <w:contextualSpacing/>
        <w:textboxTightWrap w:val="none"/>
        <w:rPr>
          <w:rFonts w:cs="Arial"/>
          <w:b/>
          <w:bCs/>
          <w:color w:val="auto"/>
        </w:rPr>
      </w:pPr>
    </w:p>
    <w:p w14:paraId="7506F253" w14:textId="5FB8C939" w:rsidR="008A4A24" w:rsidRPr="00496A09" w:rsidRDefault="00B74DDC" w:rsidP="00AD3B2E">
      <w:pPr>
        <w:spacing w:after="360" w:line="240" w:lineRule="auto"/>
        <w:ind w:right="57"/>
        <w:textboxTightWrap w:val="none"/>
      </w:pPr>
      <w:r w:rsidRPr="00496A09">
        <w:rPr>
          <w:noProof/>
          <w14:ligatures w14:val="standardContextual"/>
        </w:rPr>
        <w:drawing>
          <wp:inline distT="0" distB="0" distL="0" distR="0" wp14:anchorId="7175D63C" wp14:editId="3F101F3C">
            <wp:extent cx="6209030" cy="3732530"/>
            <wp:effectExtent l="0" t="0" r="1270" b="1270"/>
            <wp:docPr id="11" name="Chart 11">
              <a:extLst xmlns:a="http://schemas.openxmlformats.org/drawingml/2006/main">
                <a:ext uri="{FF2B5EF4-FFF2-40B4-BE49-F238E27FC236}">
                  <a16:creationId xmlns:a16="http://schemas.microsoft.com/office/drawing/2014/main" id="{7CEFC7D8-1319-F60A-18A4-B0D822CB96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8A4A24" w:rsidRPr="00496A09">
        <w:t xml:space="preserve"> </w:t>
      </w:r>
    </w:p>
    <w:p w14:paraId="080DFB6E" w14:textId="1AC1F945" w:rsidR="008A4A24" w:rsidRPr="00496A09" w:rsidRDefault="008A4A24" w:rsidP="002B77D2">
      <w:pPr>
        <w:pStyle w:val="h4numbered"/>
        <w:spacing w:before="180" w:after="180" w:line="276" w:lineRule="auto"/>
        <w:ind w:left="794"/>
      </w:pPr>
      <w:r w:rsidRPr="00496A09">
        <w:t xml:space="preserve">Recent outbreaks, including of lesser-known diseases such as mpox, remind us of the ever-evolving nature of infectious disease. We need to ensure that – across the NHS and other national and local organisations – we are prepared to respond effectively to new threats, as well as to implement new vaccines and other technologies as </w:t>
      </w:r>
      <w:r w:rsidRPr="00496A09" w:rsidDel="00C74C4D">
        <w:t>they are</w:t>
      </w:r>
      <w:r w:rsidRPr="00496A09">
        <w:t xml:space="preserve"> </w:t>
      </w:r>
      <w:r w:rsidR="00155876" w:rsidRPr="00496A09">
        <w:t>developed,</w:t>
      </w:r>
      <w:r w:rsidR="00632395" w:rsidRPr="00496A09">
        <w:t xml:space="preserve"> for example</w:t>
      </w:r>
      <w:r w:rsidR="00D070F3" w:rsidRPr="00496A09">
        <w:t>,</w:t>
      </w:r>
      <w:r w:rsidR="00632395" w:rsidRPr="00496A09">
        <w:t xml:space="preserve"> options for potential RSV and varicella programmes.</w:t>
      </w:r>
    </w:p>
    <w:p w14:paraId="1B735958" w14:textId="1C909E0F" w:rsidR="008A4A24" w:rsidRPr="00496A09" w:rsidRDefault="008A4A24" w:rsidP="002B77D2">
      <w:pPr>
        <w:pStyle w:val="h4numbered"/>
        <w:spacing w:before="180" w:after="180" w:line="276" w:lineRule="auto"/>
        <w:ind w:left="794"/>
      </w:pPr>
      <w:r w:rsidRPr="00496A09">
        <w:t xml:space="preserve">The emergency response to COVID-19 meant that the NHS vaccine deployment programme needed to operate relatively independently from other NHS vaccination programmes. We now need to bring the operating model for COVID-19 vaccination alongside our other programmes, in particular for flu, which may be offered to similar cohorts at a similar time of year. And in doing so, we will take account of both our experience providing vaccinations over many decades and what we have learnt since administering the world’s first COVID-19 vaccine outside a clinical trial in December 2020. </w:t>
      </w:r>
    </w:p>
    <w:p w14:paraId="37404600" w14:textId="2EC85AB8" w:rsidR="008A4A24" w:rsidRPr="00496A09" w:rsidRDefault="008A4A24" w:rsidP="002B77D2">
      <w:pPr>
        <w:pStyle w:val="h4numbered"/>
        <w:keepNext w:val="0"/>
        <w:widowControl w:val="0"/>
        <w:spacing w:before="180" w:after="180" w:line="276" w:lineRule="auto"/>
        <w:ind w:left="794"/>
      </w:pPr>
      <w:r w:rsidRPr="00496A09">
        <w:t xml:space="preserve">The public will expect us to achieve the maximum value for every pound we spend on vaccination, optimising investment, supporting innovation and delivering continuous improvement. If we are to innovate and invest in some areas, we need to consider collectively how we can be more efficient in others while still addressing local population health needs. </w:t>
      </w:r>
    </w:p>
    <w:p w14:paraId="657ADD0D" w14:textId="7FA2CBFC" w:rsidR="008A4A24" w:rsidRPr="00496A09" w:rsidRDefault="008A4A24" w:rsidP="002B77D2">
      <w:pPr>
        <w:pStyle w:val="h4numbered"/>
        <w:spacing w:before="180" w:after="180" w:line="276" w:lineRule="auto"/>
        <w:ind w:left="794"/>
      </w:pPr>
      <w:r w:rsidRPr="00496A09">
        <w:t>To make a real impact on uptake and coverage, we will need to:</w:t>
      </w:r>
    </w:p>
    <w:p w14:paraId="357F36AE" w14:textId="1E849712" w:rsidR="008A4A24" w:rsidRPr="00496A09" w:rsidRDefault="008A4A24" w:rsidP="002B77D2">
      <w:pPr>
        <w:pStyle w:val="ListParagraph"/>
        <w:numPr>
          <w:ilvl w:val="0"/>
          <w:numId w:val="13"/>
        </w:numPr>
        <w:spacing w:after="120" w:line="276" w:lineRule="auto"/>
        <w:ind w:left="1418" w:right="57" w:hanging="284"/>
        <w:textboxTightWrap w:val="none"/>
        <w:rPr>
          <w:color w:val="auto"/>
        </w:rPr>
      </w:pPr>
      <w:r w:rsidRPr="00496A09">
        <w:t>build on what has been working well – continuing to provide</w:t>
      </w:r>
      <w:r w:rsidRPr="00496A09" w:rsidDel="005D6794">
        <w:t xml:space="preserve"> </w:t>
      </w:r>
      <w:r w:rsidRPr="00496A09">
        <w:t>accessible and convenient services, making sure the fundamentals are in place everywhere and driving efficiency wherever possible</w:t>
      </w:r>
      <w:r w:rsidR="00155876">
        <w:t>.</w:t>
      </w:r>
    </w:p>
    <w:p w14:paraId="6C618DD2" w14:textId="20C17605" w:rsidR="008A4A24" w:rsidRPr="00496A09" w:rsidRDefault="008A4A24" w:rsidP="002B77D2">
      <w:pPr>
        <w:pStyle w:val="ListParagraph"/>
        <w:numPr>
          <w:ilvl w:val="0"/>
          <w:numId w:val="13"/>
        </w:numPr>
        <w:spacing w:before="120" w:after="280" w:line="276" w:lineRule="auto"/>
        <w:ind w:left="1418" w:right="57" w:hanging="284"/>
        <w:textboxTightWrap w:val="none"/>
        <w:rPr>
          <w:color w:val="auto"/>
        </w:rPr>
      </w:pPr>
      <w:r w:rsidRPr="00496A09">
        <w:t>do more to reach those who are currently underserved, including through new service models, better targeting of resources to local needs</w:t>
      </w:r>
      <w:r w:rsidR="00A959C5" w:rsidRPr="00496A09">
        <w:t>,</w:t>
      </w:r>
      <w:r w:rsidRPr="00496A09">
        <w:t xml:space="preserve"> and action across the NHS and its partners to build trust. </w:t>
      </w:r>
    </w:p>
    <w:p w14:paraId="28D3B8EF" w14:textId="77777777" w:rsidR="00E951F7" w:rsidRPr="00496A09" w:rsidRDefault="00E951F7" w:rsidP="00A959C5">
      <w:pPr>
        <w:pStyle w:val="h3numbered"/>
        <w:spacing w:after="180"/>
      </w:pPr>
      <w:bookmarkStart w:id="14" w:name="_Toc153264059"/>
      <w:r w:rsidRPr="00496A09">
        <w:t>What we have heard</w:t>
      </w:r>
      <w:bookmarkEnd w:id="14"/>
    </w:p>
    <w:p w14:paraId="25F3C6F9" w14:textId="6C695008" w:rsidR="00E951F7" w:rsidRPr="00496A09" w:rsidRDefault="00E951F7" w:rsidP="00A959C5">
      <w:pPr>
        <w:pStyle w:val="h4numbered"/>
        <w:spacing w:before="180" w:after="180" w:line="276" w:lineRule="auto"/>
        <w:ind w:left="709" w:right="57" w:hanging="709"/>
        <w:rPr>
          <w:color w:val="auto"/>
        </w:rPr>
      </w:pPr>
      <w:r w:rsidRPr="00496A09">
        <w:t xml:space="preserve">We asked stakeholders what the key components of a future vaccination offer should be. </w:t>
      </w:r>
      <w:r w:rsidRPr="00496A09">
        <w:rPr>
          <w:color w:val="auto"/>
        </w:rPr>
        <w:t>The feedback we received covered support for:</w:t>
      </w:r>
    </w:p>
    <w:p w14:paraId="1424FA1A" w14:textId="7FBA5E98" w:rsidR="00E951F7" w:rsidRPr="00496A09" w:rsidRDefault="00E951F7" w:rsidP="002B77D2">
      <w:pPr>
        <w:pStyle w:val="ListParagraph"/>
        <w:numPr>
          <w:ilvl w:val="0"/>
          <w:numId w:val="40"/>
        </w:numPr>
        <w:spacing w:after="120" w:line="276" w:lineRule="auto"/>
        <w:ind w:left="1418" w:right="57" w:hanging="284"/>
        <w:textboxTightWrap w:val="none"/>
        <w:rPr>
          <w:color w:val="auto"/>
        </w:rPr>
      </w:pPr>
      <w:r w:rsidRPr="00496A09">
        <w:t xml:space="preserve">A continued, concerted effort to reduce </w:t>
      </w:r>
      <w:r w:rsidR="00BD03BC" w:rsidRPr="00496A09">
        <w:t xml:space="preserve">disparities </w:t>
      </w:r>
      <w:r w:rsidRPr="00496A09">
        <w:t xml:space="preserve">in uptake and coverage. </w:t>
      </w:r>
    </w:p>
    <w:p w14:paraId="699B8166" w14:textId="77777777" w:rsidR="00E951F7" w:rsidRPr="00496A09" w:rsidRDefault="00E951F7" w:rsidP="002B77D2">
      <w:pPr>
        <w:pStyle w:val="ListParagraph"/>
        <w:numPr>
          <w:ilvl w:val="0"/>
          <w:numId w:val="40"/>
        </w:numPr>
        <w:spacing w:before="120" w:after="120" w:line="276" w:lineRule="auto"/>
        <w:ind w:left="1418" w:right="57" w:hanging="284"/>
        <w:textboxTightWrap w:val="none"/>
        <w:rPr>
          <w:color w:val="auto"/>
        </w:rPr>
      </w:pPr>
      <w:r w:rsidRPr="00496A09">
        <w:t>An offer that is convenient for the public, including easily accessible locations, flexible opening hours, systematic call and recall, and streamlined and flexible booking.</w:t>
      </w:r>
    </w:p>
    <w:p w14:paraId="0DC00A9D" w14:textId="6CF27A0D" w:rsidR="00E951F7" w:rsidRPr="00496A09" w:rsidRDefault="00E951F7" w:rsidP="002B77D2">
      <w:pPr>
        <w:pStyle w:val="ListParagraph"/>
        <w:numPr>
          <w:ilvl w:val="0"/>
          <w:numId w:val="40"/>
        </w:numPr>
        <w:spacing w:before="120" w:after="120" w:line="276" w:lineRule="auto"/>
        <w:ind w:left="1418" w:right="57" w:hanging="284"/>
        <w:textboxTightWrap w:val="none"/>
        <w:rPr>
          <w:color w:val="auto"/>
        </w:rPr>
      </w:pPr>
      <w:r w:rsidRPr="00496A09">
        <w:t>Outreach services as part of a wider health and care offer, and a sustained effort to build trust with underserved communities.</w:t>
      </w:r>
    </w:p>
    <w:p w14:paraId="528D4C95" w14:textId="1DD90372" w:rsidR="007236E3" w:rsidRPr="00496A09" w:rsidRDefault="00E951F7" w:rsidP="002B77D2">
      <w:pPr>
        <w:pStyle w:val="ListParagraph"/>
        <w:numPr>
          <w:ilvl w:val="0"/>
          <w:numId w:val="40"/>
        </w:numPr>
        <w:spacing w:before="120" w:after="120" w:line="276" w:lineRule="auto"/>
        <w:ind w:left="1418" w:right="57" w:hanging="284"/>
        <w:textboxTightWrap w:val="none"/>
        <w:rPr>
          <w:color w:val="auto"/>
        </w:rPr>
      </w:pPr>
      <w:r w:rsidRPr="00496A09">
        <w:t>Strong local leadership for vaccination and flexibility to design services that are culturally sensitive, meet the needs of local populations with expert public health input</w:t>
      </w:r>
      <w:r w:rsidR="00BD3FA0" w:rsidRPr="00496A09">
        <w:t>,</w:t>
      </w:r>
      <w:r w:rsidRPr="00496A09">
        <w:t xml:space="preserve"> and delivering clearly defined outcomes.</w:t>
      </w:r>
    </w:p>
    <w:p w14:paraId="5FB0AF0A" w14:textId="7D76D318" w:rsidR="00E951F7" w:rsidRPr="00496A09" w:rsidRDefault="00E951F7" w:rsidP="002B77D2">
      <w:pPr>
        <w:pStyle w:val="ListParagraph"/>
        <w:numPr>
          <w:ilvl w:val="0"/>
          <w:numId w:val="40"/>
        </w:numPr>
        <w:spacing w:before="120" w:after="120" w:line="276" w:lineRule="auto"/>
        <w:ind w:left="1418" w:right="57" w:hanging="284"/>
        <w:textboxTightWrap w:val="none"/>
        <w:rPr>
          <w:color w:val="auto"/>
        </w:rPr>
      </w:pPr>
      <w:r w:rsidRPr="00496A09">
        <w:t>Clear and balanced national and local communication, tailored to individual needs where appropriate, to explain the value of vaccinations and what is available to people, and address vaccine hesitancy.</w:t>
      </w:r>
    </w:p>
    <w:p w14:paraId="1837F012" w14:textId="77777777" w:rsidR="00E951F7" w:rsidRPr="00496A09" w:rsidRDefault="00E951F7" w:rsidP="002B77D2">
      <w:pPr>
        <w:pStyle w:val="ListParagraph"/>
        <w:numPr>
          <w:ilvl w:val="0"/>
          <w:numId w:val="40"/>
        </w:numPr>
        <w:spacing w:before="120" w:after="120" w:line="276" w:lineRule="auto"/>
        <w:ind w:left="1418" w:right="57" w:hanging="284"/>
        <w:textboxTightWrap w:val="none"/>
        <w:rPr>
          <w:color w:val="auto"/>
        </w:rPr>
      </w:pPr>
      <w:r w:rsidRPr="00496A09">
        <w:t xml:space="preserve">A sustainable multidisciplinary workforce that can adapt through the annual vaccination cycle, making use of registered and unregistered practitioners as appropriate. Staff who reflect the population they serve and have the confidence and training to answer questions from the public. </w:t>
      </w:r>
    </w:p>
    <w:p w14:paraId="3501A96C" w14:textId="77777777" w:rsidR="00E951F7" w:rsidRPr="00496A09" w:rsidRDefault="00E951F7" w:rsidP="002B77D2">
      <w:pPr>
        <w:pStyle w:val="ListParagraph"/>
        <w:numPr>
          <w:ilvl w:val="0"/>
          <w:numId w:val="40"/>
        </w:numPr>
        <w:spacing w:before="120" w:after="120" w:line="276" w:lineRule="auto"/>
        <w:ind w:left="1418" w:right="57" w:hanging="284"/>
        <w:textboxTightWrap w:val="none"/>
        <w:rPr>
          <w:color w:val="auto"/>
        </w:rPr>
      </w:pPr>
      <w:r w:rsidRPr="00496A09">
        <w:t>Data and technology use to improve services, including with the flow of timely data across all vaccination services.</w:t>
      </w:r>
    </w:p>
    <w:p w14:paraId="1BCD67A2" w14:textId="1DCCD564" w:rsidR="00E951F7" w:rsidRPr="00496A09" w:rsidRDefault="00E951F7" w:rsidP="002B77D2">
      <w:pPr>
        <w:pStyle w:val="ListParagraph"/>
        <w:numPr>
          <w:ilvl w:val="0"/>
          <w:numId w:val="40"/>
        </w:numPr>
        <w:spacing w:before="120" w:after="120" w:line="276" w:lineRule="auto"/>
        <w:ind w:left="1418" w:right="57" w:hanging="284"/>
        <w:textboxTightWrap w:val="none"/>
        <w:rPr>
          <w:color w:val="auto"/>
        </w:rPr>
      </w:pPr>
      <w:r w:rsidRPr="00496A09">
        <w:t>More joined</w:t>
      </w:r>
      <w:r w:rsidR="00034D5D" w:rsidRPr="00496A09">
        <w:t>-</w:t>
      </w:r>
      <w:r w:rsidRPr="00496A09">
        <w:t>up, collaborative working between NHS providers and the wider NHS, local government and other partners to support delivery to all parts of local populations.</w:t>
      </w:r>
    </w:p>
    <w:p w14:paraId="4E5811EE" w14:textId="58DE3758" w:rsidR="000E10A2" w:rsidRPr="00496A09" w:rsidRDefault="00E951F7" w:rsidP="002B77D2">
      <w:pPr>
        <w:pStyle w:val="ListParagraph"/>
        <w:numPr>
          <w:ilvl w:val="0"/>
          <w:numId w:val="40"/>
        </w:numPr>
        <w:spacing w:before="120" w:after="0" w:line="276" w:lineRule="auto"/>
        <w:ind w:left="1418" w:right="57" w:hanging="284"/>
        <w:textboxTightWrap w:val="none"/>
      </w:pPr>
      <w:r w:rsidRPr="00496A09">
        <w:t xml:space="preserve">Development of further enablers for the above, including a commissioning and financial framework that supports the delivery approach (subject to usual engagement with professional bodies and other bodies) and an efficient and effective supply of vaccines. </w:t>
      </w:r>
      <w:r w:rsidR="00915EA8" w:rsidRPr="00496A09">
        <w:br w:type="page"/>
      </w:r>
    </w:p>
    <w:p w14:paraId="4E525C94" w14:textId="2AC57594" w:rsidR="00BE11E1" w:rsidRPr="00496A09" w:rsidRDefault="00D707EF" w:rsidP="00631B3D">
      <w:pPr>
        <w:pStyle w:val="h2numbered"/>
        <w:spacing w:after="280"/>
        <w:contextualSpacing w:val="0"/>
        <w:rPr>
          <w:color w:val="auto"/>
          <w:szCs w:val="48"/>
        </w:rPr>
      </w:pPr>
      <w:bookmarkStart w:id="15" w:name="_Toc153264060"/>
      <w:r w:rsidRPr="00496A09">
        <w:rPr>
          <w:szCs w:val="48"/>
        </w:rPr>
        <w:t>Vaccination delivery networks</w:t>
      </w:r>
      <w:bookmarkEnd w:id="15"/>
    </w:p>
    <w:p w14:paraId="2EDBF067" w14:textId="072594BE" w:rsidR="00FD1967" w:rsidRPr="00496A09" w:rsidRDefault="00D707EF" w:rsidP="00F347D1">
      <w:pPr>
        <w:pStyle w:val="h3numbered"/>
        <w:spacing w:after="180"/>
        <w:rPr>
          <w:color w:val="auto"/>
        </w:rPr>
      </w:pPr>
      <w:bookmarkStart w:id="16" w:name="_Toc153264061"/>
      <w:r w:rsidRPr="00496A09">
        <w:t>A simple and convenient vaccination ‘front door’</w:t>
      </w:r>
      <w:bookmarkEnd w:id="16"/>
    </w:p>
    <w:p w14:paraId="2BC78980" w14:textId="6C813974" w:rsidR="00631B3D" w:rsidRPr="00496A09" w:rsidRDefault="00D707EF" w:rsidP="00631B3D">
      <w:pPr>
        <w:pStyle w:val="h4numbered"/>
        <w:spacing w:line="276" w:lineRule="auto"/>
        <w:ind w:left="709" w:right="57" w:hanging="709"/>
      </w:pPr>
      <w:r w:rsidRPr="00496A09">
        <w:t xml:space="preserve">Members of the public told us how important it is that vaccination services are accessible and convenient. </w:t>
      </w:r>
      <w:bookmarkStart w:id="17" w:name="_Hlk130307500"/>
      <w:r w:rsidRPr="00496A09">
        <w:t>The evidence also tells us that convenience can overcome vaccine hesitancy and promote access by underserved groups.</w:t>
      </w:r>
      <w:r w:rsidRPr="00496A09">
        <w:rPr>
          <w:rStyle w:val="FootnoteReference"/>
        </w:rPr>
        <w:footnoteReference w:id="20"/>
      </w:r>
      <w:r w:rsidRPr="00496A09">
        <w:rPr>
          <w:vertAlign w:val="superscript"/>
        </w:rPr>
        <w:t xml:space="preserve">, </w:t>
      </w:r>
      <w:r w:rsidRPr="00496A09">
        <w:rPr>
          <w:rStyle w:val="FootnoteReference"/>
        </w:rPr>
        <w:footnoteReference w:id="21"/>
      </w:r>
      <w:r w:rsidRPr="00496A09">
        <w:t xml:space="preserve"> This </w:t>
      </w:r>
      <w:bookmarkEnd w:id="17"/>
      <w:r w:rsidRPr="00496A09">
        <w:t xml:space="preserve">means providing a ‘front door’ to vaccination that makes it as easy as possible for people to understand why they should have a vaccine, know where and how to get it, book an appointment if one is necessary and get to the location of the services. This applies to routine vaccinations such as pre-school, seasonal </w:t>
      </w:r>
      <w:r w:rsidR="00024BFC" w:rsidRPr="00496A09">
        <w:t xml:space="preserve">vaccinations </w:t>
      </w:r>
      <w:r w:rsidRPr="00496A09">
        <w:t>such as flu, as well as selective programmes such as hepatitis B vaccination for babies of mothers with chronic hepatitis B infection.</w:t>
      </w:r>
      <w:r w:rsidR="00631B3D" w:rsidRPr="00496A09">
        <w:rPr>
          <w:rFonts w:eastAsia="Calibri" w:cs="Arial"/>
          <w:noProof/>
        </w:rPr>
        <w:t xml:space="preserve"> </w:t>
      </w:r>
    </w:p>
    <w:p w14:paraId="1B4C9058" w14:textId="3485F8D9" w:rsidR="00631B3D" w:rsidRPr="00496A09" w:rsidRDefault="00F96437">
      <w:pPr>
        <w:spacing w:after="0" w:line="240" w:lineRule="auto"/>
        <w:textboxTightWrap w:val="none"/>
        <w:rPr>
          <w:rFonts w:asciiTheme="minorHAnsi" w:eastAsia="MS Mincho" w:hAnsiTheme="minorHAnsi"/>
          <w:color w:val="231F20" w:themeColor="background1"/>
          <w:kern w:val="28"/>
          <w:szCs w:val="20"/>
          <w14:ligatures w14:val="standardContextual"/>
        </w:rPr>
      </w:pPr>
      <w:r w:rsidRPr="00496A09">
        <w:rPr>
          <w:rFonts w:eastAsia="Calibri" w:cs="Arial"/>
          <w:noProof/>
        </w:rPr>
        <mc:AlternateContent>
          <mc:Choice Requires="wps">
            <w:drawing>
              <wp:anchor distT="228600" distB="228600" distL="228600" distR="228600" simplePos="0" relativeHeight="251658249" behindDoc="1" locked="0" layoutInCell="1" allowOverlap="1" wp14:anchorId="73C3C853" wp14:editId="509D0335">
                <wp:simplePos x="0" y="0"/>
                <wp:positionH relativeFrom="margin">
                  <wp:posOffset>-635</wp:posOffset>
                </wp:positionH>
                <wp:positionV relativeFrom="page">
                  <wp:posOffset>3957320</wp:posOffset>
                </wp:positionV>
                <wp:extent cx="6120130" cy="4325620"/>
                <wp:effectExtent l="0" t="0" r="13970" b="17780"/>
                <wp:wrapTight wrapText="bothSides">
                  <wp:wrapPolygon edited="0">
                    <wp:start x="0" y="0"/>
                    <wp:lineTo x="0" y="21594"/>
                    <wp:lineTo x="21582" y="21594"/>
                    <wp:lineTo x="21582"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6120130" cy="4325620"/>
                        </a:xfrm>
                        <a:prstGeom prst="rect">
                          <a:avLst/>
                        </a:prstGeom>
                        <a:gradFill rotWithShape="1">
                          <a:gsLst>
                            <a:gs pos="0">
                              <a:srgbClr val="CCDFF1">
                                <a:tint val="90000"/>
                                <a:satMod val="92000"/>
                                <a:lumMod val="120000"/>
                              </a:srgbClr>
                            </a:gs>
                            <a:gs pos="100000">
                              <a:srgbClr val="CCDFF1">
                                <a:shade val="98000"/>
                                <a:satMod val="120000"/>
                                <a:lumMod val="98000"/>
                              </a:srgbClr>
                            </a:gs>
                          </a:gsLst>
                          <a:path path="circle">
                            <a:fillToRect l="50000" t="50000" r="100000" b="100000"/>
                          </a:path>
                        </a:gradFill>
                        <a:ln w="6350">
                          <a:solidFill>
                            <a:schemeClr val="bg1"/>
                          </a:solidFill>
                        </a:ln>
                        <a:effectLst/>
                      </wps:spPr>
                      <wps:txbx>
                        <w:txbxContent>
                          <w:p w14:paraId="564C4C23" w14:textId="6C8A2D2B" w:rsidR="00631B3D" w:rsidRPr="00FA0F4E" w:rsidRDefault="00631B3D" w:rsidP="00C4396A">
                            <w:pPr>
                              <w:spacing w:after="180" w:line="276" w:lineRule="auto"/>
                              <w:rPr>
                                <w:rFonts w:cs="Arial"/>
                                <w:b/>
                                <w:bCs/>
                                <w:color w:val="auto"/>
                              </w:rPr>
                            </w:pPr>
                            <w:r w:rsidRPr="00FA0F4E">
                              <w:rPr>
                                <w:rFonts w:cs="Arial"/>
                                <w:b/>
                                <w:bCs/>
                                <w:color w:val="auto"/>
                              </w:rPr>
                              <w:t xml:space="preserve">Case study: Increasing uptake of pre-school </w:t>
                            </w:r>
                            <w:r w:rsidR="00D146EF">
                              <w:rPr>
                                <w:rFonts w:cs="Arial"/>
                                <w:b/>
                                <w:bCs/>
                                <w:color w:val="auto"/>
                              </w:rPr>
                              <w:t>vaccination</w:t>
                            </w:r>
                            <w:r w:rsidRPr="00FA0F4E">
                              <w:rPr>
                                <w:rFonts w:cs="Arial"/>
                                <w:b/>
                                <w:bCs/>
                                <w:color w:val="auto"/>
                              </w:rPr>
                              <w:t>s in Thames Valley</w:t>
                            </w:r>
                          </w:p>
                          <w:p w14:paraId="4811B0CF" w14:textId="77777777" w:rsidR="00631B3D" w:rsidRDefault="00631B3D" w:rsidP="00631B3D">
                            <w:pPr>
                              <w:spacing w:after="180" w:line="276" w:lineRule="auto"/>
                              <w:rPr>
                                <w:rFonts w:cs="Arial"/>
                                <w:color w:val="auto"/>
                              </w:rPr>
                            </w:pPr>
                            <w:r w:rsidRPr="00FA0F4E">
                              <w:rPr>
                                <w:rFonts w:cs="Arial"/>
                                <w:color w:val="auto"/>
                              </w:rPr>
                              <w:t>In January 2020, uptake levels for pre-school booster vaccinations were low across GP practices in Thames Valley, with 27 practices having &lt;80% uptake. Working with local pr</w:t>
                            </w:r>
                            <w:r>
                              <w:rPr>
                                <w:rFonts w:cs="Arial"/>
                                <w:color w:val="auto"/>
                              </w:rPr>
                              <w:t>actices</w:t>
                            </w:r>
                            <w:r w:rsidRPr="00FA0F4E">
                              <w:rPr>
                                <w:rFonts w:cs="Arial"/>
                                <w:color w:val="auto"/>
                              </w:rPr>
                              <w:t xml:space="preserve">, </w:t>
                            </w:r>
                            <w:r>
                              <w:rPr>
                                <w:rFonts w:cs="Arial"/>
                                <w:color w:val="auto"/>
                              </w:rPr>
                              <w:t>SILS and local public health consultants</w:t>
                            </w:r>
                            <w:r w:rsidRPr="00FA0F4E">
                              <w:rPr>
                                <w:rFonts w:cs="Arial"/>
                                <w:color w:val="auto"/>
                              </w:rPr>
                              <w:t xml:space="preserve">, </w:t>
                            </w:r>
                            <w:r>
                              <w:rPr>
                                <w:rFonts w:cs="Arial"/>
                                <w:color w:val="auto"/>
                              </w:rPr>
                              <w:t>NHS South Central and West’s</w:t>
                            </w:r>
                            <w:r w:rsidRPr="00FA0F4E">
                              <w:rPr>
                                <w:rFonts w:cs="Arial"/>
                                <w:color w:val="auto"/>
                              </w:rPr>
                              <w:t xml:space="preserve"> Improving Immunisation Uptake (IIU) and Child Health Information Services (CHIS) </w:t>
                            </w:r>
                            <w:r>
                              <w:rPr>
                                <w:rFonts w:cs="Arial"/>
                                <w:color w:val="auto"/>
                              </w:rPr>
                              <w:t xml:space="preserve">teams </w:t>
                            </w:r>
                            <w:r w:rsidRPr="00FA0F4E">
                              <w:rPr>
                                <w:rFonts w:cs="Arial"/>
                                <w:color w:val="auto"/>
                              </w:rPr>
                              <w:t xml:space="preserve">identified communication and accessibility as the main barriers to uptake. </w:t>
                            </w:r>
                          </w:p>
                          <w:p w14:paraId="69B8C3B9" w14:textId="312BC541" w:rsidR="00631B3D" w:rsidRPr="00FA0F4E" w:rsidRDefault="00631B3D" w:rsidP="00631B3D">
                            <w:pPr>
                              <w:spacing w:after="180" w:line="276" w:lineRule="auto"/>
                              <w:rPr>
                                <w:rFonts w:cs="Arial"/>
                                <w:color w:val="auto"/>
                              </w:rPr>
                            </w:pPr>
                            <w:r w:rsidRPr="00FA0F4E">
                              <w:rPr>
                                <w:rFonts w:cs="Arial"/>
                                <w:color w:val="auto"/>
                              </w:rPr>
                              <w:t xml:space="preserve">To tackle these </w:t>
                            </w:r>
                            <w:r>
                              <w:rPr>
                                <w:rFonts w:cs="Arial"/>
                                <w:color w:val="auto"/>
                              </w:rPr>
                              <w:t xml:space="preserve">access </w:t>
                            </w:r>
                            <w:r w:rsidRPr="00FA0F4E">
                              <w:rPr>
                                <w:rFonts w:cs="Arial"/>
                                <w:color w:val="auto"/>
                              </w:rPr>
                              <w:t>challenges, GP practices extended appointment times to make it easier for parents to attend appointments with their children</w:t>
                            </w:r>
                            <w:r w:rsidR="00546966">
                              <w:rPr>
                                <w:rFonts w:cs="Arial"/>
                                <w:color w:val="auto"/>
                              </w:rPr>
                              <w:t>,</w:t>
                            </w:r>
                            <w:r w:rsidRPr="00FA0F4E">
                              <w:rPr>
                                <w:rFonts w:cs="Arial"/>
                                <w:color w:val="auto"/>
                              </w:rPr>
                              <w:t xml:space="preserve"> and called parents the day before their child’s appointment, reassuring them that it would be safe to come to the clinic during lockdown. Clinic staff contacted parents who missed their child’s appointment, to talk through any concerns about the vaccinations and to offer an alternative slot. </w:t>
                            </w:r>
                          </w:p>
                          <w:p w14:paraId="703977D5" w14:textId="77777777" w:rsidR="00631B3D" w:rsidRPr="00FA0F4E" w:rsidRDefault="00631B3D" w:rsidP="00631B3D">
                            <w:pPr>
                              <w:spacing w:after="180" w:line="276" w:lineRule="auto"/>
                              <w:rPr>
                                <w:rFonts w:cs="Arial"/>
                                <w:color w:val="auto"/>
                              </w:rPr>
                            </w:pPr>
                            <w:r w:rsidRPr="00FA0F4E">
                              <w:rPr>
                                <w:rFonts w:cs="Arial"/>
                                <w:color w:val="auto"/>
                              </w:rPr>
                              <w:t xml:space="preserve">By building touchpoints with parents, including those who missed their child’s appointment, GP practices simplified the vaccination service for local families. Between January and November 2020, the number of GP practices with &gt;90% uptake for pre-school age boosters increased from 74 to 97, and those with &lt;80% uptake decreased from 27 to 5. </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3C853" id="_x0000_t202" coordsize="21600,21600" o:spt="202" path="m,l,21600r21600,l21600,xe">
                <v:stroke joinstyle="miter"/>
                <v:path gradientshapeok="t" o:connecttype="rect"/>
              </v:shapetype>
              <v:shape id="Text Box 16" o:spid="_x0000_s1026" type="#_x0000_t202" style="position:absolute;margin-left:-.05pt;margin-top:311.6pt;width:481.9pt;height:340.6pt;z-index:-251658231;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" strokecolor="#231f20 [3212]" strokeweight=".5pt">
                <v:fill color2="#bfd9f1" rotate="t" focusposition=".5,.5" focussize="-.5,-.5" focus="100%" type="gradientRadial"/>
                <v:textbox inset="14.4pt,14.4pt,14.4pt,14.4pt">
                  <w:txbxContent>
                    <w:p w14:paraId="564C4C23" w14:textId="6C8A2D2B" w:rsidR="00631B3D" w:rsidRPr="00FA0F4E" w:rsidRDefault="00631B3D" w:rsidP="00C4396A">
                      <w:pPr>
                        <w:spacing w:after="180" w:line="276" w:lineRule="auto"/>
                        <w:rPr>
                          <w:rFonts w:cs="Arial"/>
                          <w:b/>
                          <w:bCs/>
                          <w:color w:val="auto"/>
                        </w:rPr>
                      </w:pPr>
                      <w:r w:rsidRPr="00FA0F4E">
                        <w:rPr>
                          <w:rFonts w:cs="Arial"/>
                          <w:b/>
                          <w:bCs/>
                          <w:color w:val="auto"/>
                        </w:rPr>
                        <w:t xml:space="preserve">Case study: Increasing uptake of pre-school </w:t>
                      </w:r>
                      <w:r w:rsidR="00D146EF">
                        <w:rPr>
                          <w:rFonts w:cs="Arial"/>
                          <w:b/>
                          <w:bCs/>
                          <w:color w:val="auto"/>
                        </w:rPr>
                        <w:t>vaccination</w:t>
                      </w:r>
                      <w:r w:rsidRPr="00FA0F4E">
                        <w:rPr>
                          <w:rFonts w:cs="Arial"/>
                          <w:b/>
                          <w:bCs/>
                          <w:color w:val="auto"/>
                        </w:rPr>
                        <w:t>s in Thames Valley</w:t>
                      </w:r>
                    </w:p>
                    <w:p w14:paraId="4811B0CF" w14:textId="77777777" w:rsidR="00631B3D" w:rsidRDefault="00631B3D" w:rsidP="00631B3D">
                      <w:pPr>
                        <w:spacing w:after="180" w:line="276" w:lineRule="auto"/>
                        <w:rPr>
                          <w:rFonts w:cs="Arial"/>
                          <w:color w:val="auto"/>
                        </w:rPr>
                      </w:pPr>
                      <w:r w:rsidRPr="00FA0F4E">
                        <w:rPr>
                          <w:rFonts w:cs="Arial"/>
                          <w:color w:val="auto"/>
                        </w:rPr>
                        <w:t>In January 2020, uptake levels for pre-school booster vaccinations were low across GP practices in Thames Valley, with 27 practices having &lt;80% uptake. Working with local pr</w:t>
                      </w:r>
                      <w:r>
                        <w:rPr>
                          <w:rFonts w:cs="Arial"/>
                          <w:color w:val="auto"/>
                        </w:rPr>
                        <w:t>actices</w:t>
                      </w:r>
                      <w:r w:rsidRPr="00FA0F4E">
                        <w:rPr>
                          <w:rFonts w:cs="Arial"/>
                          <w:color w:val="auto"/>
                        </w:rPr>
                        <w:t xml:space="preserve">, </w:t>
                      </w:r>
                      <w:r>
                        <w:rPr>
                          <w:rFonts w:cs="Arial"/>
                          <w:color w:val="auto"/>
                        </w:rPr>
                        <w:t>SILS and local public health consultants</w:t>
                      </w:r>
                      <w:r w:rsidRPr="00FA0F4E">
                        <w:rPr>
                          <w:rFonts w:cs="Arial"/>
                          <w:color w:val="auto"/>
                        </w:rPr>
                        <w:t xml:space="preserve">, </w:t>
                      </w:r>
                      <w:r>
                        <w:rPr>
                          <w:rFonts w:cs="Arial"/>
                          <w:color w:val="auto"/>
                        </w:rPr>
                        <w:t>NHS South Central and West’s</w:t>
                      </w:r>
                      <w:r w:rsidRPr="00FA0F4E">
                        <w:rPr>
                          <w:rFonts w:cs="Arial"/>
                          <w:color w:val="auto"/>
                        </w:rPr>
                        <w:t xml:space="preserve"> Improving Immunisation Uptake (IIU) and Child Health Information Services (CHIS) </w:t>
                      </w:r>
                      <w:r>
                        <w:rPr>
                          <w:rFonts w:cs="Arial"/>
                          <w:color w:val="auto"/>
                        </w:rPr>
                        <w:t xml:space="preserve">teams </w:t>
                      </w:r>
                      <w:r w:rsidRPr="00FA0F4E">
                        <w:rPr>
                          <w:rFonts w:cs="Arial"/>
                          <w:color w:val="auto"/>
                        </w:rPr>
                        <w:t xml:space="preserve">identified communication and accessibility as the main barriers to uptake. </w:t>
                      </w:r>
                    </w:p>
                    <w:p w14:paraId="69B8C3B9" w14:textId="312BC541" w:rsidR="00631B3D" w:rsidRPr="00FA0F4E" w:rsidRDefault="00631B3D" w:rsidP="00631B3D">
                      <w:pPr>
                        <w:spacing w:after="180" w:line="276" w:lineRule="auto"/>
                        <w:rPr>
                          <w:rFonts w:cs="Arial"/>
                          <w:color w:val="auto"/>
                        </w:rPr>
                      </w:pPr>
                      <w:r w:rsidRPr="00FA0F4E">
                        <w:rPr>
                          <w:rFonts w:cs="Arial"/>
                          <w:color w:val="auto"/>
                        </w:rPr>
                        <w:t xml:space="preserve">To tackle these </w:t>
                      </w:r>
                      <w:r>
                        <w:rPr>
                          <w:rFonts w:cs="Arial"/>
                          <w:color w:val="auto"/>
                        </w:rPr>
                        <w:t xml:space="preserve">access </w:t>
                      </w:r>
                      <w:r w:rsidRPr="00FA0F4E">
                        <w:rPr>
                          <w:rFonts w:cs="Arial"/>
                          <w:color w:val="auto"/>
                        </w:rPr>
                        <w:t>challenges, GP practices extended appointment times to make it easier for parents to attend appointments with their children</w:t>
                      </w:r>
                      <w:r w:rsidR="00546966">
                        <w:rPr>
                          <w:rFonts w:cs="Arial"/>
                          <w:color w:val="auto"/>
                        </w:rPr>
                        <w:t>,</w:t>
                      </w:r>
                      <w:r w:rsidRPr="00FA0F4E">
                        <w:rPr>
                          <w:rFonts w:cs="Arial"/>
                          <w:color w:val="auto"/>
                        </w:rPr>
                        <w:t xml:space="preserve"> and called parents the day before their child’s appointment, reassuring them that it would be safe to come to the clinic during lockdown. Clinic staff contacted parents who missed their child’s appointment, to talk through any concerns about the vaccinations and to offer an alternative slot. </w:t>
                      </w:r>
                    </w:p>
                    <w:p w14:paraId="703977D5" w14:textId="77777777" w:rsidR="00631B3D" w:rsidRPr="00FA0F4E" w:rsidRDefault="00631B3D" w:rsidP="00631B3D">
                      <w:pPr>
                        <w:spacing w:after="180" w:line="276" w:lineRule="auto"/>
                        <w:rPr>
                          <w:rFonts w:cs="Arial"/>
                          <w:color w:val="auto"/>
                        </w:rPr>
                      </w:pPr>
                      <w:r w:rsidRPr="00FA0F4E">
                        <w:rPr>
                          <w:rFonts w:cs="Arial"/>
                          <w:color w:val="auto"/>
                        </w:rPr>
                        <w:t xml:space="preserve">By building touchpoints with parents, including those who missed their child’s appointment, GP practices simplified the vaccination service for local families. Between January and November 2020, the number of GP practices with &gt;90% uptake for pre-school age boosters increased from 74 to 97, and those with &lt;80% uptake decreased from 27 to 5. </w:t>
                      </w:r>
                    </w:p>
                  </w:txbxContent>
                </v:textbox>
                <w10:wrap type="tight" anchorx="margin" anchory="page"/>
              </v:shape>
            </w:pict>
          </mc:Fallback>
        </mc:AlternateContent>
      </w:r>
      <w:r w:rsidR="00631B3D" w:rsidRPr="00496A09">
        <w:br w:type="page"/>
      </w:r>
    </w:p>
    <w:p w14:paraId="7A27C930" w14:textId="1F63F5B6" w:rsidR="00D35E3A" w:rsidRPr="00496A09" w:rsidRDefault="00D35E3A" w:rsidP="00A921EE">
      <w:pPr>
        <w:spacing w:after="180"/>
        <w:ind w:right="57"/>
        <w:rPr>
          <w:color w:val="auto"/>
        </w:rPr>
      </w:pPr>
      <w:r w:rsidRPr="00496A09">
        <w:rPr>
          <w:b/>
          <w:bCs/>
        </w:rPr>
        <w:t xml:space="preserve">Understanding benefits of and eligibility for vaccination </w:t>
      </w:r>
    </w:p>
    <w:p w14:paraId="635E1D2A" w14:textId="1EFFED2F" w:rsidR="00D35E3A" w:rsidRPr="00496A09" w:rsidRDefault="00D35E3A" w:rsidP="002B77D2">
      <w:pPr>
        <w:pStyle w:val="h4numbered"/>
        <w:spacing w:before="180" w:after="180" w:line="276" w:lineRule="auto"/>
        <w:ind w:left="794"/>
        <w:rPr>
          <w:color w:val="auto"/>
        </w:rPr>
      </w:pPr>
      <w:r w:rsidRPr="00496A09">
        <w:t>People told us that they wanted information about vaccines from trusted sources that helped them make informed choices and feel confident about vaccination.</w:t>
      </w:r>
      <w:r w:rsidRPr="00496A09">
        <w:rPr>
          <w:rStyle w:val="FootnoteReference"/>
          <w:color w:val="auto"/>
        </w:rPr>
        <w:footnoteReference w:id="22"/>
      </w:r>
    </w:p>
    <w:p w14:paraId="6BFEC4AF" w14:textId="5B3AE0B1" w:rsidR="00D35E3A" w:rsidRPr="00496A09" w:rsidRDefault="00D35E3A" w:rsidP="002B77D2">
      <w:pPr>
        <w:pStyle w:val="h4numbered"/>
        <w:spacing w:before="180" w:after="180" w:line="276" w:lineRule="auto"/>
        <w:ind w:left="794"/>
        <w:rPr>
          <w:color w:val="auto"/>
        </w:rPr>
      </w:pPr>
      <w:r w:rsidRPr="00496A09">
        <w:t>We will explain to people the benefits of vaccinations and how they can access them, through clear and consistent communication. Nationally, this will include:</w:t>
      </w:r>
    </w:p>
    <w:p w14:paraId="2C3FFAE8" w14:textId="6669FD92" w:rsidR="005F6DCB" w:rsidRPr="00496A09" w:rsidRDefault="005F6DCB" w:rsidP="002B77D2">
      <w:pPr>
        <w:pStyle w:val="ListParagraph"/>
        <w:numPr>
          <w:ilvl w:val="0"/>
          <w:numId w:val="39"/>
        </w:numPr>
        <w:spacing w:before="180" w:after="120" w:line="276" w:lineRule="auto"/>
        <w:ind w:left="1418" w:right="57" w:hanging="284"/>
        <w:textboxTightWrap w:val="none"/>
        <w:rPr>
          <w:color w:val="auto"/>
        </w:rPr>
      </w:pPr>
      <w:r w:rsidRPr="00496A09">
        <w:t>Expanding the use of national invitations and reminders to more vaccinations, where operationally appropriate and good value for money.</w:t>
      </w:r>
    </w:p>
    <w:p w14:paraId="2D895872" w14:textId="4B880126" w:rsidR="005F6DCB" w:rsidRPr="00496A09" w:rsidRDefault="005F6DCB" w:rsidP="002B77D2">
      <w:pPr>
        <w:pStyle w:val="ListParagraph"/>
        <w:numPr>
          <w:ilvl w:val="0"/>
          <w:numId w:val="39"/>
        </w:numPr>
        <w:spacing w:before="120" w:after="120" w:line="276" w:lineRule="auto"/>
        <w:ind w:left="1418" w:right="57" w:hanging="284"/>
        <w:textboxTightWrap w:val="none"/>
        <w:rPr>
          <w:color w:val="auto"/>
        </w:rPr>
      </w:pPr>
      <w:r w:rsidRPr="00496A09">
        <w:t>Increasing and improving the use of personalised and accessible content in invitations and other vaccination materials</w:t>
      </w:r>
      <w:r w:rsidR="00C21B1D" w:rsidRPr="00496A09">
        <w:t>;</w:t>
      </w:r>
      <w:r w:rsidRPr="00496A09">
        <w:t xml:space="preserve"> for example</w:t>
      </w:r>
      <w:r w:rsidR="00C21B1D" w:rsidRPr="00496A09">
        <w:t>,</w:t>
      </w:r>
      <w:r w:rsidRPr="00496A09">
        <w:t xml:space="preserve"> in </w:t>
      </w:r>
      <w:r w:rsidR="00E327AE" w:rsidRPr="00496A09">
        <w:t>alternative</w:t>
      </w:r>
      <w:r w:rsidRPr="00496A09">
        <w:t xml:space="preserve"> languages or recorded audio format.</w:t>
      </w:r>
    </w:p>
    <w:p w14:paraId="0912CFCE" w14:textId="2445F0E2" w:rsidR="005F6DCB" w:rsidRPr="00496A09" w:rsidRDefault="005F6DCB" w:rsidP="002B77D2">
      <w:pPr>
        <w:pStyle w:val="ListParagraph"/>
        <w:numPr>
          <w:ilvl w:val="0"/>
          <w:numId w:val="39"/>
        </w:numPr>
        <w:spacing w:before="120" w:after="120" w:line="276" w:lineRule="auto"/>
        <w:ind w:left="1418" w:right="57" w:hanging="284"/>
        <w:textboxTightWrap w:val="none"/>
        <w:rPr>
          <w:color w:val="auto"/>
        </w:rPr>
      </w:pPr>
      <w:r w:rsidRPr="00496A09">
        <w:t>Working with government and other agencies to promote understanding of the importance of vaccination, building on increased awareness of vaccination following the COVID-19 pandemic and targeting vaccine mis- and dis-information.</w:t>
      </w:r>
    </w:p>
    <w:p w14:paraId="31BAC2C4" w14:textId="69C5D0E9" w:rsidR="005F6DCB" w:rsidRPr="00496A09" w:rsidRDefault="005F6DCB" w:rsidP="002B77D2">
      <w:pPr>
        <w:pStyle w:val="ListParagraph"/>
        <w:numPr>
          <w:ilvl w:val="0"/>
          <w:numId w:val="39"/>
        </w:numPr>
        <w:spacing w:before="120" w:after="120" w:line="276" w:lineRule="auto"/>
        <w:ind w:left="1418" w:right="57" w:hanging="284"/>
        <w:textboxTightWrap w:val="none"/>
        <w:rPr>
          <w:color w:val="auto"/>
        </w:rPr>
      </w:pPr>
      <w:r w:rsidRPr="00496A09">
        <w:t>Identifying barriers to vaccination including among parents in relation to childhood vaccination</w:t>
      </w:r>
      <w:r w:rsidR="002A7DC4" w:rsidRPr="00496A09">
        <w:t>s including HPV</w:t>
      </w:r>
      <w:r w:rsidRPr="00496A09">
        <w:t>.</w:t>
      </w:r>
    </w:p>
    <w:p w14:paraId="64CEA421" w14:textId="48A3A41B" w:rsidR="005F6DCB" w:rsidRPr="00496A09" w:rsidRDefault="005F6DCB" w:rsidP="002B77D2">
      <w:pPr>
        <w:pStyle w:val="ListParagraph"/>
        <w:numPr>
          <w:ilvl w:val="0"/>
          <w:numId w:val="39"/>
        </w:numPr>
        <w:spacing w:before="120" w:after="120" w:line="276" w:lineRule="auto"/>
        <w:ind w:left="1418" w:right="57" w:hanging="284"/>
        <w:textboxTightWrap w:val="none"/>
        <w:rPr>
          <w:color w:val="auto"/>
        </w:rPr>
      </w:pPr>
      <w:r w:rsidRPr="00496A09">
        <w:t>Streamlining communications about seasonal vaccinations, learning from the joint flu/COVID-19 campaign in autumn 2022/23, and raising awareness among other audiences including pregnant women and families with young children.</w:t>
      </w:r>
    </w:p>
    <w:p w14:paraId="667B7867" w14:textId="0F3E81FC" w:rsidR="005F6DCB" w:rsidRPr="00496A09" w:rsidRDefault="005F6DCB" w:rsidP="002B77D2">
      <w:pPr>
        <w:pStyle w:val="ListParagraph"/>
        <w:numPr>
          <w:ilvl w:val="0"/>
          <w:numId w:val="39"/>
        </w:numPr>
        <w:spacing w:before="120" w:after="120" w:line="276" w:lineRule="auto"/>
        <w:ind w:left="1418" w:right="57" w:hanging="284"/>
        <w:textboxTightWrap w:val="none"/>
        <w:rPr>
          <w:color w:val="auto"/>
        </w:rPr>
      </w:pPr>
      <w:r w:rsidRPr="00496A09">
        <w:t>Looking at how e-consent can be used more extensively in some settings to make it easier for parents and carers to give consent for their children to be vaccinated.</w:t>
      </w:r>
    </w:p>
    <w:p w14:paraId="29C6EF45" w14:textId="6DCF331D" w:rsidR="00466D53" w:rsidRPr="00496A09" w:rsidRDefault="005F6DCB" w:rsidP="002B77D2">
      <w:pPr>
        <w:pStyle w:val="ListParagraph"/>
        <w:numPr>
          <w:ilvl w:val="0"/>
          <w:numId w:val="39"/>
        </w:numPr>
        <w:spacing w:before="120" w:after="240" w:line="276" w:lineRule="auto"/>
        <w:ind w:left="1418" w:right="57" w:hanging="284"/>
        <w:textboxTightWrap w:val="none"/>
        <w:rPr>
          <w:color w:val="auto"/>
        </w:rPr>
      </w:pPr>
      <w:r w:rsidRPr="00496A09">
        <w:rPr>
          <w:color w:val="auto"/>
        </w:rPr>
        <w:t>Supporting the role of Child Health Information Services (CHIS) in promoting understanding of children’s eligibility for vaccinations, digitising Personal Child Health Records and signposting to further information on vaccine eligibility.</w:t>
      </w:r>
    </w:p>
    <w:p w14:paraId="6819C787" w14:textId="6FA1A758" w:rsidR="00C4396A" w:rsidRPr="00496A09" w:rsidRDefault="00C4396A" w:rsidP="002B77D2">
      <w:pPr>
        <w:pStyle w:val="h4numbered"/>
        <w:spacing w:before="180" w:line="276" w:lineRule="auto"/>
        <w:ind w:left="794"/>
        <w:rPr>
          <w:color w:val="auto"/>
        </w:rPr>
      </w:pPr>
      <w:r w:rsidRPr="00496A09">
        <w:t>We will explore how we can use the NHS App to join up user journeys for adults, children and young people, including access to vaccination records, invitations to book a vaccination, in-app bookings and appointment notifications.</w:t>
      </w:r>
    </w:p>
    <w:p w14:paraId="78159584" w14:textId="1C065353" w:rsidR="005F6DCB" w:rsidRPr="00496A09" w:rsidRDefault="00466D53" w:rsidP="00466D53">
      <w:pPr>
        <w:spacing w:after="0" w:line="240" w:lineRule="auto"/>
        <w:textboxTightWrap w:val="none"/>
        <w:rPr>
          <w:color w:val="auto"/>
        </w:rPr>
      </w:pPr>
      <w:r w:rsidRPr="00496A09">
        <w:rPr>
          <w:color w:val="auto"/>
        </w:rPr>
        <w:br w:type="page"/>
      </w:r>
    </w:p>
    <w:p w14:paraId="08BE54DF" w14:textId="5255781F" w:rsidR="009F160A" w:rsidRPr="00496A09" w:rsidRDefault="009F160A" w:rsidP="005F6DCB">
      <w:pPr>
        <w:pStyle w:val="ListParagraph"/>
        <w:ind w:right="57"/>
      </w:pPr>
      <w:r w:rsidRPr="00496A09">
        <w:rPr>
          <w:rFonts w:eastAsia="Calibri" w:cs="Arial"/>
          <w:noProof/>
        </w:rPr>
        <mc:AlternateContent>
          <mc:Choice Requires="wps">
            <w:drawing>
              <wp:anchor distT="228600" distB="228600" distL="228600" distR="228600" simplePos="0" relativeHeight="251658242" behindDoc="0" locked="0" layoutInCell="1" allowOverlap="1" wp14:anchorId="5EF67D3F" wp14:editId="2E6C4021">
                <wp:simplePos x="0" y="0"/>
                <wp:positionH relativeFrom="margin">
                  <wp:posOffset>40005</wp:posOffset>
                </wp:positionH>
                <wp:positionV relativeFrom="paragraph">
                  <wp:posOffset>64135</wp:posOffset>
                </wp:positionV>
                <wp:extent cx="6126480" cy="4756150"/>
                <wp:effectExtent l="0" t="0" r="26670" b="25400"/>
                <wp:wrapNone/>
                <wp:docPr id="1802211622" name="Text Box 1802211622"/>
                <wp:cNvGraphicFramePr/>
                <a:graphic xmlns:a="http://schemas.openxmlformats.org/drawingml/2006/main">
                  <a:graphicData uri="http://schemas.microsoft.com/office/word/2010/wordprocessingShape">
                    <wps:wsp>
                      <wps:cNvSpPr txBox="1"/>
                      <wps:spPr>
                        <a:xfrm>
                          <a:off x="0" y="0"/>
                          <a:ext cx="6126480" cy="4756150"/>
                        </a:xfrm>
                        <a:prstGeom prst="rect">
                          <a:avLst/>
                        </a:prstGeom>
                        <a:gradFill rotWithShape="1">
                          <a:gsLst>
                            <a:gs pos="0">
                              <a:srgbClr val="CCDFF1">
                                <a:tint val="90000"/>
                                <a:satMod val="92000"/>
                                <a:lumMod val="120000"/>
                              </a:srgbClr>
                            </a:gs>
                            <a:gs pos="100000">
                              <a:srgbClr val="CCDFF1">
                                <a:shade val="98000"/>
                                <a:satMod val="120000"/>
                                <a:lumMod val="98000"/>
                              </a:srgbClr>
                            </a:gs>
                          </a:gsLst>
                          <a:path path="circle">
                            <a:fillToRect l="50000" t="50000" r="100000" b="100000"/>
                          </a:path>
                        </a:gradFill>
                        <a:ln w="6350">
                          <a:solidFill>
                            <a:schemeClr val="bg1"/>
                          </a:solidFill>
                        </a:ln>
                        <a:effectLst/>
                      </wps:spPr>
                      <wps:txbx>
                        <w:txbxContent>
                          <w:p w14:paraId="3CA30E42" w14:textId="21C02818" w:rsidR="005F6DCB" w:rsidRDefault="005F6DCB" w:rsidP="0009270B">
                            <w:pPr>
                              <w:spacing w:after="180"/>
                              <w:rPr>
                                <w:rFonts w:cs="Arial"/>
                                <w:b/>
                                <w:bCs/>
                              </w:rPr>
                            </w:pPr>
                            <w:r w:rsidRPr="00D23E71">
                              <w:rPr>
                                <w:rFonts w:cs="Arial"/>
                                <w:b/>
                                <w:bCs/>
                                <w:color w:val="auto"/>
                              </w:rPr>
                              <w:t xml:space="preserve">Case study: </w:t>
                            </w:r>
                            <w:r w:rsidR="004912EB">
                              <w:rPr>
                                <w:rFonts w:cs="Arial"/>
                                <w:b/>
                                <w:bCs/>
                                <w:color w:val="auto"/>
                              </w:rPr>
                              <w:t xml:space="preserve">HPV, </w:t>
                            </w:r>
                            <w:r w:rsidR="00F40A18">
                              <w:rPr>
                                <w:rFonts w:cs="Arial"/>
                                <w:b/>
                                <w:bCs/>
                                <w:color w:val="auto"/>
                              </w:rPr>
                              <w:t>p</w:t>
                            </w:r>
                            <w:r w:rsidR="004912EB">
                              <w:rPr>
                                <w:rFonts w:cs="Arial"/>
                                <w:b/>
                                <w:bCs/>
                                <w:color w:val="auto"/>
                              </w:rPr>
                              <w:t xml:space="preserve">olio and </w:t>
                            </w:r>
                            <w:r w:rsidR="00F40A18">
                              <w:rPr>
                                <w:rFonts w:cs="Arial"/>
                                <w:b/>
                                <w:bCs/>
                                <w:color w:val="auto"/>
                              </w:rPr>
                              <w:t>t</w:t>
                            </w:r>
                            <w:r w:rsidR="004912EB">
                              <w:rPr>
                                <w:rFonts w:cs="Arial"/>
                                <w:b/>
                                <w:bCs/>
                                <w:color w:val="auto"/>
                              </w:rPr>
                              <w:t>etanus</w:t>
                            </w:r>
                            <w:r w:rsidRPr="00D23E71">
                              <w:rPr>
                                <w:rFonts w:cs="Arial"/>
                                <w:b/>
                                <w:bCs/>
                              </w:rPr>
                              <w:t xml:space="preserve"> school vaccinations in Trafford</w:t>
                            </w:r>
                          </w:p>
                          <w:p w14:paraId="4082B9FD" w14:textId="6C7EA4B4" w:rsidR="005F6DCB" w:rsidRPr="00D23E71" w:rsidRDefault="005F6DCB" w:rsidP="00C4396A">
                            <w:pPr>
                              <w:pStyle w:val="paragraph"/>
                              <w:spacing w:before="0" w:beforeAutospacing="0" w:after="180" w:afterAutospacing="0" w:line="276" w:lineRule="auto"/>
                              <w:textAlignment w:val="baseline"/>
                              <w:rPr>
                                <w:rStyle w:val="eop"/>
                                <w:rFonts w:ascii="Arial" w:eastAsiaTheme="majorEastAsia" w:hAnsi="Arial" w:cs="Arial"/>
                              </w:rPr>
                            </w:pPr>
                            <w:r w:rsidRPr="00D23E71">
                              <w:rPr>
                                <w:rStyle w:val="normaltextrun"/>
                                <w:rFonts w:ascii="Arial" w:eastAsiaTheme="majorEastAsia" w:hAnsi="Arial" w:cs="Arial"/>
                              </w:rPr>
                              <w:t>The School Health Service in Trafford Local Care Organisation (TLCO) provides community services for Manchester University NHS Foundation Trust, including delivering vaccinations to year 8 and 9 children at schools in Trafford. This covers vaccinations to around 21,000 pupils across 19 secondary schools.</w:t>
                            </w:r>
                            <w:r w:rsidR="00EC1F1C">
                              <w:rPr>
                                <w:rStyle w:val="eop"/>
                                <w:rFonts w:ascii="Arial" w:eastAsiaTheme="majorEastAsia" w:hAnsi="Arial" w:cs="Arial"/>
                              </w:rPr>
                              <w:t xml:space="preserve"> </w:t>
                            </w:r>
                            <w:r w:rsidRPr="00D23E71">
                              <w:rPr>
                                <w:rStyle w:val="normaltextrun"/>
                                <w:rFonts w:ascii="Arial" w:eastAsiaTheme="majorEastAsia" w:hAnsi="Arial" w:cs="Arial"/>
                              </w:rPr>
                              <w:t>One TLCO team based in a school noticed that they were consistently receiving low numbers of consent forms from parents allowing their children to be vaccinated at school (30 out of c170, approximately 17%).</w:t>
                            </w:r>
                            <w:r>
                              <w:rPr>
                                <w:rStyle w:val="normaltextrun"/>
                                <w:rFonts w:ascii="Arial" w:eastAsiaTheme="majorEastAsia" w:hAnsi="Arial" w:cs="Arial"/>
                              </w:rPr>
                              <w:t xml:space="preserve"> </w:t>
                            </w:r>
                            <w:r w:rsidRPr="00D23E71">
                              <w:rPr>
                                <w:rStyle w:val="normaltextrun"/>
                                <w:rFonts w:ascii="Arial" w:eastAsiaTheme="majorEastAsia" w:hAnsi="Arial" w:cs="Arial"/>
                              </w:rPr>
                              <w:t>Following nudge calls to outstanding parents in 2022/23, the school and public health nurse team heard many parents say that they didn’t understand what HPV, tetanus and polio vaccines were for and why their child needed them. Language barriers were also an issue, with many families across the school’s catchment area speaking Urdu, Punjabi and Farsi.</w:t>
                            </w:r>
                          </w:p>
                          <w:p w14:paraId="34745E8E" w14:textId="23327836" w:rsidR="005F6DCB" w:rsidRPr="00D23E71" w:rsidRDefault="005F6DCB" w:rsidP="00C4396A">
                            <w:pPr>
                              <w:pStyle w:val="paragraph"/>
                              <w:spacing w:before="0" w:beforeAutospacing="0" w:after="180" w:afterAutospacing="0" w:line="276" w:lineRule="auto"/>
                              <w:textAlignment w:val="baseline"/>
                              <w:rPr>
                                <w:rStyle w:val="eop"/>
                                <w:rFonts w:ascii="Arial" w:eastAsiaTheme="majorEastAsia" w:hAnsi="Arial" w:cs="Arial"/>
                              </w:rPr>
                            </w:pPr>
                            <w:r w:rsidRPr="00D23E71">
                              <w:rPr>
                                <w:rStyle w:val="normaltextrun"/>
                                <w:rFonts w:ascii="Arial" w:eastAsiaTheme="majorEastAsia" w:hAnsi="Arial" w:cs="Arial"/>
                              </w:rPr>
                              <w:t>To tackle this, the school and TLCO team attended a parents evening in May 2023 at the school to provide information on the vaccinations available for teenagers</w:t>
                            </w:r>
                            <w:r w:rsidR="00E6369A">
                              <w:rPr>
                                <w:rStyle w:val="normaltextrun"/>
                                <w:rFonts w:ascii="Arial" w:eastAsiaTheme="majorEastAsia" w:hAnsi="Arial" w:cs="Arial"/>
                              </w:rPr>
                              <w:t xml:space="preserve"> and</w:t>
                            </w:r>
                            <w:r w:rsidRPr="00D23E71">
                              <w:rPr>
                                <w:rStyle w:val="normaltextrun"/>
                                <w:rFonts w:ascii="Arial" w:eastAsiaTheme="majorEastAsia" w:hAnsi="Arial" w:cs="Arial"/>
                              </w:rPr>
                              <w:t xml:space="preserve"> why they are important</w:t>
                            </w:r>
                            <w:r w:rsidR="00E6369A">
                              <w:rPr>
                                <w:rStyle w:val="normaltextrun"/>
                                <w:rFonts w:ascii="Arial" w:eastAsiaTheme="majorEastAsia" w:hAnsi="Arial" w:cs="Arial"/>
                              </w:rPr>
                              <w:t>,</w:t>
                            </w:r>
                            <w:r w:rsidRPr="00D23E71">
                              <w:rPr>
                                <w:rStyle w:val="normaltextrun"/>
                                <w:rFonts w:ascii="Arial" w:eastAsiaTheme="majorEastAsia" w:hAnsi="Arial" w:cs="Arial"/>
                              </w:rPr>
                              <w:t xml:space="preserve"> and consent forms for parents to complete at the event. Posters and leaflets in </w:t>
                            </w:r>
                            <w:r w:rsidR="0000436D">
                              <w:rPr>
                                <w:rStyle w:val="normaltextrun"/>
                                <w:rFonts w:ascii="Arial" w:eastAsiaTheme="majorEastAsia" w:hAnsi="Arial" w:cs="Arial"/>
                              </w:rPr>
                              <w:t>alternative languages</w:t>
                            </w:r>
                            <w:r w:rsidRPr="00D23E71">
                              <w:rPr>
                                <w:rStyle w:val="normaltextrun"/>
                                <w:rFonts w:ascii="Arial" w:eastAsiaTheme="majorEastAsia" w:hAnsi="Arial" w:cs="Arial"/>
                              </w:rPr>
                              <w:t xml:space="preserve"> (Urdu, Punjabi and Farsi) were displayed and interpreters were on hand to translate.</w:t>
                            </w:r>
                          </w:p>
                          <w:p w14:paraId="772D9F2A" w14:textId="0DF5A624" w:rsidR="005F6DCB" w:rsidRPr="00D23E71" w:rsidRDefault="005F6DCB" w:rsidP="00C4396A">
                            <w:pPr>
                              <w:pStyle w:val="paragraph"/>
                              <w:spacing w:before="0" w:beforeAutospacing="0" w:after="180" w:afterAutospacing="0" w:line="276" w:lineRule="auto"/>
                              <w:textAlignment w:val="baseline"/>
                              <w:rPr>
                                <w:rFonts w:cs="Arial"/>
                              </w:rPr>
                            </w:pPr>
                            <w:r w:rsidRPr="00D23E71">
                              <w:rPr>
                                <w:rStyle w:val="normaltextrun"/>
                                <w:rFonts w:ascii="Arial" w:eastAsiaTheme="majorEastAsia" w:hAnsi="Arial" w:cs="Arial"/>
                              </w:rPr>
                              <w:t xml:space="preserve">Providing this targeted support to parents proved to </w:t>
                            </w:r>
                            <w:r w:rsidR="009D2E2F">
                              <w:rPr>
                                <w:rStyle w:val="normaltextrun"/>
                                <w:rFonts w:ascii="Arial" w:eastAsiaTheme="majorEastAsia" w:hAnsi="Arial" w:cs="Arial"/>
                              </w:rPr>
                              <w:t>be</w:t>
                            </w:r>
                            <w:r w:rsidRPr="00D23E71">
                              <w:rPr>
                                <w:rStyle w:val="normaltextrun"/>
                                <w:rFonts w:ascii="Arial" w:eastAsiaTheme="majorEastAsia" w:hAnsi="Arial" w:cs="Arial"/>
                              </w:rPr>
                              <w:t xml:space="preserve"> successful, with 47 consent forms completed on the evening alone. This approach will be replicated in other schools in Trafford </w:t>
                            </w:r>
                            <w:r w:rsidR="005A6D03">
                              <w:rPr>
                                <w:rStyle w:val="normaltextrun"/>
                                <w:rFonts w:ascii="Arial" w:eastAsiaTheme="majorEastAsia" w:hAnsi="Arial" w:cs="Arial"/>
                              </w:rPr>
                              <w:t>that</w:t>
                            </w:r>
                            <w:r w:rsidRPr="00D23E71">
                              <w:rPr>
                                <w:rStyle w:val="normaltextrun"/>
                                <w:rFonts w:ascii="Arial" w:eastAsiaTheme="majorEastAsia" w:hAnsi="Arial" w:cs="Arial"/>
                              </w:rPr>
                              <w:t xml:space="preserve"> have a low </w:t>
                            </w:r>
                            <w:r w:rsidR="00D146EF">
                              <w:rPr>
                                <w:rStyle w:val="normaltextrun"/>
                                <w:rFonts w:ascii="Arial" w:eastAsiaTheme="majorEastAsia" w:hAnsi="Arial" w:cs="Arial"/>
                              </w:rPr>
                              <w:t>vaccination</w:t>
                            </w:r>
                            <w:r w:rsidRPr="00D23E71">
                              <w:rPr>
                                <w:rStyle w:val="normaltextrun"/>
                                <w:rFonts w:ascii="Arial" w:eastAsiaTheme="majorEastAsia" w:hAnsi="Arial" w:cs="Arial"/>
                              </w:rPr>
                              <w:t xml:space="preserve"> uptake.</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67D3F" id="Text Box 1802211622" o:spid="_x0000_s1027" type="#_x0000_t202" style="position:absolute;left:0;text-align:left;margin-left:3.15pt;margin-top:5.05pt;width:482.4pt;height:374.5pt;z-index:25165824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" strokecolor="#231f20 [3212]" strokeweight=".5pt">
                <v:fill color2="#bfd9f1" rotate="t" focusposition=".5,.5" focussize="-.5,-.5" focus="100%" type="gradientRadial"/>
                <v:textbox inset="14.4pt,14.4pt,14.4pt,14.4pt">
                  <w:txbxContent>
                    <w:p w14:paraId="3CA30E42" w14:textId="21C02818" w:rsidR="005F6DCB" w:rsidRDefault="005F6DCB" w:rsidP="0009270B">
                      <w:pPr>
                        <w:spacing w:after="180"/>
                        <w:rPr>
                          <w:rFonts w:cs="Arial"/>
                          <w:b/>
                          <w:bCs/>
                        </w:rPr>
                      </w:pPr>
                      <w:r w:rsidRPr="00D23E71">
                        <w:rPr>
                          <w:rFonts w:cs="Arial"/>
                          <w:b/>
                          <w:bCs/>
                          <w:color w:val="auto"/>
                        </w:rPr>
                        <w:t xml:space="preserve">Case study: </w:t>
                      </w:r>
                      <w:r w:rsidR="004912EB">
                        <w:rPr>
                          <w:rFonts w:cs="Arial"/>
                          <w:b/>
                          <w:bCs/>
                          <w:color w:val="auto"/>
                        </w:rPr>
                        <w:t xml:space="preserve">HPV, </w:t>
                      </w:r>
                      <w:r w:rsidR="00F40A18">
                        <w:rPr>
                          <w:rFonts w:cs="Arial"/>
                          <w:b/>
                          <w:bCs/>
                          <w:color w:val="auto"/>
                        </w:rPr>
                        <w:t>p</w:t>
                      </w:r>
                      <w:r w:rsidR="004912EB">
                        <w:rPr>
                          <w:rFonts w:cs="Arial"/>
                          <w:b/>
                          <w:bCs/>
                          <w:color w:val="auto"/>
                        </w:rPr>
                        <w:t xml:space="preserve">olio and </w:t>
                      </w:r>
                      <w:r w:rsidR="00F40A18">
                        <w:rPr>
                          <w:rFonts w:cs="Arial"/>
                          <w:b/>
                          <w:bCs/>
                          <w:color w:val="auto"/>
                        </w:rPr>
                        <w:t>t</w:t>
                      </w:r>
                      <w:r w:rsidR="004912EB">
                        <w:rPr>
                          <w:rFonts w:cs="Arial"/>
                          <w:b/>
                          <w:bCs/>
                          <w:color w:val="auto"/>
                        </w:rPr>
                        <w:t>etanus</w:t>
                      </w:r>
                      <w:r w:rsidRPr="00D23E71">
                        <w:rPr>
                          <w:rFonts w:cs="Arial"/>
                          <w:b/>
                          <w:bCs/>
                        </w:rPr>
                        <w:t xml:space="preserve"> school vaccinations in Trafford</w:t>
                      </w:r>
                    </w:p>
                    <w:p w14:paraId="4082B9FD" w14:textId="6C7EA4B4" w:rsidR="005F6DCB" w:rsidRPr="00D23E71" w:rsidRDefault="005F6DCB" w:rsidP="00C4396A">
                      <w:pPr>
                        <w:pStyle w:val="paragraph"/>
                        <w:spacing w:before="0" w:beforeAutospacing="0" w:after="180" w:afterAutospacing="0" w:line="276" w:lineRule="auto"/>
                        <w:textAlignment w:val="baseline"/>
                        <w:rPr>
                          <w:rStyle w:val="eop"/>
                          <w:rFonts w:ascii="Arial" w:eastAsiaTheme="majorEastAsia" w:hAnsi="Arial" w:cs="Arial"/>
                        </w:rPr>
                      </w:pPr>
                      <w:r w:rsidRPr="00D23E71">
                        <w:rPr>
                          <w:rStyle w:val="normaltextrun"/>
                          <w:rFonts w:ascii="Arial" w:eastAsiaTheme="majorEastAsia" w:hAnsi="Arial" w:cs="Arial"/>
                        </w:rPr>
                        <w:t>The School Health Service in Trafford Local Care Organisation (TLCO) provides community services for Manchester University NHS Foundation Trust, including delivering vaccinations to year 8 and 9 children at schools in Trafford. This covers vaccinations to around 21,000 pupils across 19 secondary schools.</w:t>
                      </w:r>
                      <w:r w:rsidR="00EC1F1C">
                        <w:rPr>
                          <w:rStyle w:val="eop"/>
                          <w:rFonts w:ascii="Arial" w:eastAsiaTheme="majorEastAsia" w:hAnsi="Arial" w:cs="Arial"/>
                        </w:rPr>
                        <w:t xml:space="preserve"> </w:t>
                      </w:r>
                      <w:r w:rsidRPr="00D23E71">
                        <w:rPr>
                          <w:rStyle w:val="normaltextrun"/>
                          <w:rFonts w:ascii="Arial" w:eastAsiaTheme="majorEastAsia" w:hAnsi="Arial" w:cs="Arial"/>
                        </w:rPr>
                        <w:t>One TLCO team based in a school noticed that they were consistently receiving low numbers of consent forms from parents allowing their children to be vaccinated at school (30 out of c170, approximately 17%).</w:t>
                      </w:r>
                      <w:r>
                        <w:rPr>
                          <w:rStyle w:val="normaltextrun"/>
                          <w:rFonts w:ascii="Arial" w:eastAsiaTheme="majorEastAsia" w:hAnsi="Arial" w:cs="Arial"/>
                        </w:rPr>
                        <w:t xml:space="preserve"> </w:t>
                      </w:r>
                      <w:r w:rsidRPr="00D23E71">
                        <w:rPr>
                          <w:rStyle w:val="normaltextrun"/>
                          <w:rFonts w:ascii="Arial" w:eastAsiaTheme="majorEastAsia" w:hAnsi="Arial" w:cs="Arial"/>
                        </w:rPr>
                        <w:t>Following nudge calls to outstanding parents in 2022/23, the school and public health nurse team heard many parents say that they didn’t understand what HPV, tetanus and polio vaccines were for and why their child needed them. Language barriers were also an issue, with many families across the school’s catchment area speaking Urdu, Punjabi and Farsi.</w:t>
                      </w:r>
                    </w:p>
                    <w:p w14:paraId="34745E8E" w14:textId="23327836" w:rsidR="005F6DCB" w:rsidRPr="00D23E71" w:rsidRDefault="005F6DCB" w:rsidP="00C4396A">
                      <w:pPr>
                        <w:pStyle w:val="paragraph"/>
                        <w:spacing w:before="0" w:beforeAutospacing="0" w:after="180" w:afterAutospacing="0" w:line="276" w:lineRule="auto"/>
                        <w:textAlignment w:val="baseline"/>
                        <w:rPr>
                          <w:rStyle w:val="eop"/>
                          <w:rFonts w:ascii="Arial" w:eastAsiaTheme="majorEastAsia" w:hAnsi="Arial" w:cs="Arial"/>
                        </w:rPr>
                      </w:pPr>
                      <w:r w:rsidRPr="00D23E71">
                        <w:rPr>
                          <w:rStyle w:val="normaltextrun"/>
                          <w:rFonts w:ascii="Arial" w:eastAsiaTheme="majorEastAsia" w:hAnsi="Arial" w:cs="Arial"/>
                        </w:rPr>
                        <w:t>To tackle this, the school and TLCO team attended a parents evening in May 2023 at the school to provide information on the vaccinations available for teenagers</w:t>
                      </w:r>
                      <w:r w:rsidR="00E6369A">
                        <w:rPr>
                          <w:rStyle w:val="normaltextrun"/>
                          <w:rFonts w:ascii="Arial" w:eastAsiaTheme="majorEastAsia" w:hAnsi="Arial" w:cs="Arial"/>
                        </w:rPr>
                        <w:t xml:space="preserve"> and</w:t>
                      </w:r>
                      <w:r w:rsidRPr="00D23E71">
                        <w:rPr>
                          <w:rStyle w:val="normaltextrun"/>
                          <w:rFonts w:ascii="Arial" w:eastAsiaTheme="majorEastAsia" w:hAnsi="Arial" w:cs="Arial"/>
                        </w:rPr>
                        <w:t xml:space="preserve"> why they are important</w:t>
                      </w:r>
                      <w:r w:rsidR="00E6369A">
                        <w:rPr>
                          <w:rStyle w:val="normaltextrun"/>
                          <w:rFonts w:ascii="Arial" w:eastAsiaTheme="majorEastAsia" w:hAnsi="Arial" w:cs="Arial"/>
                        </w:rPr>
                        <w:t>,</w:t>
                      </w:r>
                      <w:r w:rsidRPr="00D23E71">
                        <w:rPr>
                          <w:rStyle w:val="normaltextrun"/>
                          <w:rFonts w:ascii="Arial" w:eastAsiaTheme="majorEastAsia" w:hAnsi="Arial" w:cs="Arial"/>
                        </w:rPr>
                        <w:t xml:space="preserve"> and consent forms for parents to complete at the event. Posters and leaflets in </w:t>
                      </w:r>
                      <w:r w:rsidR="0000436D">
                        <w:rPr>
                          <w:rStyle w:val="normaltextrun"/>
                          <w:rFonts w:ascii="Arial" w:eastAsiaTheme="majorEastAsia" w:hAnsi="Arial" w:cs="Arial"/>
                        </w:rPr>
                        <w:t>alternative languages</w:t>
                      </w:r>
                      <w:r w:rsidRPr="00D23E71">
                        <w:rPr>
                          <w:rStyle w:val="normaltextrun"/>
                          <w:rFonts w:ascii="Arial" w:eastAsiaTheme="majorEastAsia" w:hAnsi="Arial" w:cs="Arial"/>
                        </w:rPr>
                        <w:t xml:space="preserve"> (Urdu, Punjabi and Farsi) were displayed and interpreters were on hand to translate.</w:t>
                      </w:r>
                    </w:p>
                    <w:p w14:paraId="772D9F2A" w14:textId="0DF5A624" w:rsidR="005F6DCB" w:rsidRPr="00D23E71" w:rsidRDefault="005F6DCB" w:rsidP="00C4396A">
                      <w:pPr>
                        <w:pStyle w:val="paragraph"/>
                        <w:spacing w:before="0" w:beforeAutospacing="0" w:after="180" w:afterAutospacing="0" w:line="276" w:lineRule="auto"/>
                        <w:textAlignment w:val="baseline"/>
                        <w:rPr>
                          <w:rFonts w:cs="Arial"/>
                        </w:rPr>
                      </w:pPr>
                      <w:r w:rsidRPr="00D23E71">
                        <w:rPr>
                          <w:rStyle w:val="normaltextrun"/>
                          <w:rFonts w:ascii="Arial" w:eastAsiaTheme="majorEastAsia" w:hAnsi="Arial" w:cs="Arial"/>
                        </w:rPr>
                        <w:t xml:space="preserve">Providing this targeted support to parents proved to </w:t>
                      </w:r>
                      <w:r w:rsidR="009D2E2F">
                        <w:rPr>
                          <w:rStyle w:val="normaltextrun"/>
                          <w:rFonts w:ascii="Arial" w:eastAsiaTheme="majorEastAsia" w:hAnsi="Arial" w:cs="Arial"/>
                        </w:rPr>
                        <w:t>be</w:t>
                      </w:r>
                      <w:r w:rsidRPr="00D23E71">
                        <w:rPr>
                          <w:rStyle w:val="normaltextrun"/>
                          <w:rFonts w:ascii="Arial" w:eastAsiaTheme="majorEastAsia" w:hAnsi="Arial" w:cs="Arial"/>
                        </w:rPr>
                        <w:t xml:space="preserve"> successful, with 47 consent forms completed on the evening alone. This approach will be replicated in other schools in Trafford </w:t>
                      </w:r>
                      <w:r w:rsidR="005A6D03">
                        <w:rPr>
                          <w:rStyle w:val="normaltextrun"/>
                          <w:rFonts w:ascii="Arial" w:eastAsiaTheme="majorEastAsia" w:hAnsi="Arial" w:cs="Arial"/>
                        </w:rPr>
                        <w:t>that</w:t>
                      </w:r>
                      <w:r w:rsidRPr="00D23E71">
                        <w:rPr>
                          <w:rStyle w:val="normaltextrun"/>
                          <w:rFonts w:ascii="Arial" w:eastAsiaTheme="majorEastAsia" w:hAnsi="Arial" w:cs="Arial"/>
                        </w:rPr>
                        <w:t xml:space="preserve"> have a low </w:t>
                      </w:r>
                      <w:r w:rsidR="00D146EF">
                        <w:rPr>
                          <w:rStyle w:val="normaltextrun"/>
                          <w:rFonts w:ascii="Arial" w:eastAsiaTheme="majorEastAsia" w:hAnsi="Arial" w:cs="Arial"/>
                        </w:rPr>
                        <w:t>vaccination</w:t>
                      </w:r>
                      <w:r w:rsidRPr="00D23E71">
                        <w:rPr>
                          <w:rStyle w:val="normaltextrun"/>
                          <w:rFonts w:ascii="Arial" w:eastAsiaTheme="majorEastAsia" w:hAnsi="Arial" w:cs="Arial"/>
                        </w:rPr>
                        <w:t xml:space="preserve"> uptake.</w:t>
                      </w:r>
                    </w:p>
                  </w:txbxContent>
                </v:textbox>
                <w10:wrap anchorx="margin"/>
              </v:shape>
            </w:pict>
          </mc:Fallback>
        </mc:AlternateContent>
      </w:r>
    </w:p>
    <w:p w14:paraId="6135A22A" w14:textId="3BE5E009" w:rsidR="009F160A" w:rsidRPr="00496A09" w:rsidRDefault="009F160A" w:rsidP="005F6DCB">
      <w:pPr>
        <w:pStyle w:val="ListParagraph"/>
        <w:ind w:right="57"/>
      </w:pPr>
    </w:p>
    <w:p w14:paraId="176EF7C0" w14:textId="77777777" w:rsidR="009F160A" w:rsidRPr="00496A09" w:rsidRDefault="009F160A" w:rsidP="005F6DCB">
      <w:pPr>
        <w:pStyle w:val="ListParagraph"/>
        <w:ind w:right="57"/>
      </w:pPr>
    </w:p>
    <w:p w14:paraId="4EABA11E" w14:textId="77777777" w:rsidR="009F160A" w:rsidRPr="00496A09" w:rsidRDefault="009F160A" w:rsidP="005F6DCB">
      <w:pPr>
        <w:pStyle w:val="ListParagraph"/>
        <w:ind w:right="57"/>
      </w:pPr>
    </w:p>
    <w:p w14:paraId="23F357DF" w14:textId="77777777" w:rsidR="009F160A" w:rsidRPr="00496A09" w:rsidRDefault="009F160A" w:rsidP="005F6DCB">
      <w:pPr>
        <w:pStyle w:val="ListParagraph"/>
        <w:ind w:right="57"/>
      </w:pPr>
    </w:p>
    <w:p w14:paraId="1E371B3B" w14:textId="77777777" w:rsidR="009F160A" w:rsidRPr="00496A09" w:rsidRDefault="009F160A" w:rsidP="005F6DCB">
      <w:pPr>
        <w:pStyle w:val="ListParagraph"/>
        <w:ind w:right="57"/>
      </w:pPr>
    </w:p>
    <w:p w14:paraId="66CC64B7" w14:textId="77777777" w:rsidR="009F160A" w:rsidRPr="00496A09" w:rsidRDefault="009F160A" w:rsidP="005F6DCB">
      <w:pPr>
        <w:pStyle w:val="ListParagraph"/>
        <w:ind w:right="57"/>
      </w:pPr>
    </w:p>
    <w:p w14:paraId="3038763D" w14:textId="77777777" w:rsidR="009F160A" w:rsidRPr="00496A09" w:rsidRDefault="009F160A" w:rsidP="005F6DCB">
      <w:pPr>
        <w:pStyle w:val="ListParagraph"/>
        <w:ind w:right="57"/>
      </w:pPr>
    </w:p>
    <w:p w14:paraId="33641DCA" w14:textId="77777777" w:rsidR="009F160A" w:rsidRPr="00496A09" w:rsidRDefault="009F160A" w:rsidP="005F6DCB">
      <w:pPr>
        <w:pStyle w:val="ListParagraph"/>
        <w:ind w:right="57"/>
      </w:pPr>
    </w:p>
    <w:p w14:paraId="450753C5" w14:textId="77777777" w:rsidR="009F160A" w:rsidRPr="00496A09" w:rsidRDefault="009F160A" w:rsidP="005F6DCB">
      <w:pPr>
        <w:pStyle w:val="ListParagraph"/>
        <w:ind w:right="57"/>
      </w:pPr>
    </w:p>
    <w:p w14:paraId="4A51C495" w14:textId="77777777" w:rsidR="009F160A" w:rsidRPr="00496A09" w:rsidRDefault="009F160A" w:rsidP="005F6DCB">
      <w:pPr>
        <w:pStyle w:val="ListParagraph"/>
        <w:ind w:right="57"/>
      </w:pPr>
    </w:p>
    <w:p w14:paraId="26C173E9" w14:textId="77777777" w:rsidR="009F160A" w:rsidRPr="00496A09" w:rsidRDefault="009F160A" w:rsidP="005F6DCB">
      <w:pPr>
        <w:pStyle w:val="ListParagraph"/>
        <w:ind w:right="57"/>
      </w:pPr>
    </w:p>
    <w:p w14:paraId="1BC12F3C" w14:textId="77777777" w:rsidR="009F160A" w:rsidRPr="00496A09" w:rsidRDefault="009F160A" w:rsidP="005F6DCB">
      <w:pPr>
        <w:pStyle w:val="ListParagraph"/>
        <w:ind w:right="57"/>
      </w:pPr>
    </w:p>
    <w:p w14:paraId="1FF2CF17" w14:textId="18460C60" w:rsidR="00466D53" w:rsidRPr="00496A09" w:rsidRDefault="00466D53" w:rsidP="005F6DCB">
      <w:pPr>
        <w:pStyle w:val="ListParagraph"/>
        <w:ind w:right="57"/>
      </w:pPr>
    </w:p>
    <w:p w14:paraId="6A974089" w14:textId="5CAC78DC" w:rsidR="00E554BE" w:rsidRPr="00496A09" w:rsidRDefault="00E554BE" w:rsidP="00C4396A">
      <w:pPr>
        <w:spacing w:before="480"/>
        <w:ind w:right="57"/>
        <w:rPr>
          <w:color w:val="auto"/>
        </w:rPr>
      </w:pPr>
      <w:r w:rsidRPr="00496A09">
        <w:rPr>
          <w:b/>
          <w:bCs/>
        </w:rPr>
        <w:t>Booking an appointment</w:t>
      </w:r>
    </w:p>
    <w:p w14:paraId="7AF62DEC" w14:textId="77777777" w:rsidR="00E75DFF" w:rsidRPr="00496A09" w:rsidRDefault="00E554BE" w:rsidP="002B77D2">
      <w:pPr>
        <w:pStyle w:val="h4numbered"/>
        <w:spacing w:after="180" w:line="276" w:lineRule="auto"/>
        <w:ind w:left="794" w:right="57"/>
        <w:rPr>
          <w:color w:val="auto"/>
        </w:rPr>
      </w:pPr>
      <w:r w:rsidRPr="00496A09">
        <w:t>The ability to book vaccinations easily, including through a national digital service, contributed to the high uptake of the COVID-19 vaccination.</w:t>
      </w:r>
      <w:r w:rsidRPr="00496A09">
        <w:rPr>
          <w:rStyle w:val="FootnoteReference"/>
        </w:rPr>
        <w:footnoteReference w:id="23"/>
      </w:r>
      <w:r w:rsidRPr="00496A09">
        <w:t xml:space="preserve"> Given other demands on their time, many people will only prioritise vaccination if it is easy for them to book an appointment.</w:t>
      </w:r>
      <w:r w:rsidRPr="00496A09">
        <w:rPr>
          <w:rStyle w:val="FootnoteReference"/>
        </w:rPr>
        <w:footnoteReference w:id="24"/>
      </w:r>
      <w:r w:rsidRPr="00496A09">
        <w:t xml:space="preserve"> </w:t>
      </w:r>
    </w:p>
    <w:p w14:paraId="4F6C7F6C" w14:textId="0A445825" w:rsidR="00E776B6" w:rsidRPr="00496A09" w:rsidRDefault="00E776B6" w:rsidP="002B77D2">
      <w:pPr>
        <w:pStyle w:val="h4numbered"/>
        <w:spacing w:after="180" w:line="276" w:lineRule="auto"/>
        <w:ind w:left="794" w:right="57"/>
        <w:rPr>
          <w:color w:val="auto"/>
        </w:rPr>
      </w:pPr>
      <w:r w:rsidRPr="00496A09">
        <w:t>To help people find appointments for vaccinations, we will work with general practice and community pharmacy to test the further extension of the existing online booking capability used for COVID-19 vaccination:</w:t>
      </w:r>
    </w:p>
    <w:p w14:paraId="0DFCA1C1" w14:textId="3BA0FD8D" w:rsidR="004408D1" w:rsidRPr="00496A09" w:rsidRDefault="00CD3FCB" w:rsidP="004408D1">
      <w:pPr>
        <w:pStyle w:val="ListParagraph"/>
        <w:numPr>
          <w:ilvl w:val="0"/>
          <w:numId w:val="46"/>
        </w:numPr>
      </w:pPr>
      <w:r w:rsidRPr="00496A09">
        <w:t xml:space="preserve">We have already extended the National Booking Service (NBS) to support people to book a flu </w:t>
      </w:r>
      <w:r w:rsidRPr="00496A09">
        <w:rPr>
          <w:color w:val="auto"/>
        </w:rPr>
        <w:t>vaccination</w:t>
      </w:r>
      <w:r w:rsidR="007715B2" w:rsidRPr="00496A09">
        <w:rPr>
          <w:color w:val="auto"/>
        </w:rPr>
        <w:t>,</w:t>
      </w:r>
      <w:r w:rsidRPr="00496A09">
        <w:rPr>
          <w:color w:val="auto"/>
        </w:rPr>
        <w:t xml:space="preserve"> </w:t>
      </w:r>
      <w:r w:rsidR="00623A41" w:rsidRPr="00496A09">
        <w:rPr>
          <w:rFonts w:cs="Arial"/>
          <w:color w:val="auto"/>
        </w:rPr>
        <w:t>and provided combined</w:t>
      </w:r>
      <w:r w:rsidR="00623A41" w:rsidRPr="00496A09" w:rsidDel="00623A41">
        <w:rPr>
          <w:color w:val="auto"/>
        </w:rPr>
        <w:t xml:space="preserve"> </w:t>
      </w:r>
      <w:r w:rsidRPr="00496A09">
        <w:rPr>
          <w:color w:val="auto"/>
        </w:rPr>
        <w:t>COVID</w:t>
      </w:r>
      <w:r w:rsidRPr="00496A09">
        <w:t xml:space="preserve">-19 and flu </w:t>
      </w:r>
      <w:r w:rsidR="004408D1" w:rsidRPr="00496A09">
        <w:t>co-administration appointments and made the</w:t>
      </w:r>
      <w:r w:rsidR="002B5EA2" w:rsidRPr="00496A09">
        <w:t>se</w:t>
      </w:r>
      <w:r w:rsidR="004408D1" w:rsidRPr="00496A09">
        <w:t xml:space="preserve"> available on the NHS App. An additional 2,000 community pharmacies are also now using NBS to provider greater access to vaccination.</w:t>
      </w:r>
    </w:p>
    <w:p w14:paraId="5A08A1A9" w14:textId="2A2BCF88" w:rsidR="00F71AB8" w:rsidRPr="00496A09" w:rsidRDefault="00CD3FCB" w:rsidP="002B77D2">
      <w:pPr>
        <w:pStyle w:val="ListParagraph"/>
        <w:numPr>
          <w:ilvl w:val="0"/>
          <w:numId w:val="46"/>
        </w:numPr>
        <w:spacing w:after="120" w:line="276" w:lineRule="auto"/>
        <w:ind w:left="1418" w:right="57" w:hanging="284"/>
        <w:textboxTightWrap w:val="none"/>
        <w:rPr>
          <w:color w:val="auto"/>
        </w:rPr>
      </w:pPr>
      <w:r w:rsidRPr="00496A09">
        <w:rPr>
          <w:color w:val="auto"/>
        </w:rPr>
        <w:t>We will go further</w:t>
      </w:r>
      <w:r w:rsidR="00680AB0" w:rsidRPr="00496A09">
        <w:rPr>
          <w:color w:val="auto"/>
        </w:rPr>
        <w:t xml:space="preserve"> in 2024/25</w:t>
      </w:r>
      <w:r w:rsidRPr="00496A09">
        <w:rPr>
          <w:color w:val="auto"/>
        </w:rPr>
        <w:t>, extending online booking to adult life</w:t>
      </w:r>
      <w:r w:rsidR="0020797F" w:rsidRPr="00496A09">
        <w:rPr>
          <w:color w:val="auto"/>
        </w:rPr>
        <w:t>-</w:t>
      </w:r>
      <w:r w:rsidRPr="00496A09">
        <w:rPr>
          <w:color w:val="auto"/>
        </w:rPr>
        <w:t>course vaccinations in the first instance</w:t>
      </w:r>
      <w:r w:rsidR="00F71AB8" w:rsidRPr="00496A09">
        <w:rPr>
          <w:color w:val="auto"/>
        </w:rPr>
        <w:t xml:space="preserve"> </w:t>
      </w:r>
      <w:r w:rsidR="00F71AB8" w:rsidRPr="00496A09">
        <w:rPr>
          <w:rFonts w:cs="Arial"/>
          <w:color w:val="auto"/>
        </w:rPr>
        <w:t>and enabling people to book on someone else’s behalf or for a family group</w:t>
      </w:r>
      <w:r w:rsidRPr="00496A09">
        <w:rPr>
          <w:color w:val="auto"/>
        </w:rPr>
        <w:t>.</w:t>
      </w:r>
    </w:p>
    <w:p w14:paraId="36D33710" w14:textId="03F88983" w:rsidR="00CD3FCB" w:rsidRPr="00496A09" w:rsidRDefault="00CD3FCB" w:rsidP="002B77D2">
      <w:pPr>
        <w:pStyle w:val="ListParagraph"/>
        <w:numPr>
          <w:ilvl w:val="0"/>
          <w:numId w:val="46"/>
        </w:numPr>
        <w:spacing w:after="120" w:line="276" w:lineRule="auto"/>
        <w:ind w:left="1418" w:right="57" w:hanging="284"/>
        <w:textboxTightWrap w:val="none"/>
        <w:rPr>
          <w:color w:val="auto"/>
        </w:rPr>
      </w:pPr>
      <w:r w:rsidRPr="00496A09">
        <w:rPr>
          <w:color w:val="auto"/>
        </w:rPr>
        <w:t>We will involve the public and providers in this process to ensure appointments are easy to access whil</w:t>
      </w:r>
      <w:r w:rsidR="00AE3EAD" w:rsidRPr="00496A09">
        <w:rPr>
          <w:color w:val="auto"/>
        </w:rPr>
        <w:t>e</w:t>
      </w:r>
      <w:r w:rsidRPr="00496A09">
        <w:rPr>
          <w:color w:val="auto"/>
        </w:rPr>
        <w:t xml:space="preserve"> minimising administrative burden. In parallel we will </w:t>
      </w:r>
      <w:r w:rsidR="00E96510" w:rsidRPr="00496A09">
        <w:rPr>
          <w:color w:val="auto"/>
        </w:rPr>
        <w:t xml:space="preserve">ensure the availability and </w:t>
      </w:r>
      <w:r w:rsidRPr="00496A09">
        <w:rPr>
          <w:color w:val="auto"/>
        </w:rPr>
        <w:t>explore the expansion of alternative services for those who prefer not to or cannot use online services.</w:t>
      </w:r>
    </w:p>
    <w:p w14:paraId="5FF43674" w14:textId="3FAA67F2" w:rsidR="00CD3FCB" w:rsidRPr="00496A09" w:rsidRDefault="00C84A34" w:rsidP="002B77D2">
      <w:pPr>
        <w:pStyle w:val="ListParagraph"/>
        <w:numPr>
          <w:ilvl w:val="0"/>
          <w:numId w:val="46"/>
        </w:numPr>
        <w:spacing w:after="120" w:line="276" w:lineRule="auto"/>
        <w:ind w:left="1418" w:right="57" w:hanging="284"/>
        <w:textboxTightWrap w:val="none"/>
        <w:rPr>
          <w:color w:val="auto"/>
        </w:rPr>
      </w:pPr>
      <w:r w:rsidRPr="00496A09">
        <w:rPr>
          <w:rFonts w:cs="Arial"/>
          <w:color w:val="auto"/>
        </w:rPr>
        <w:t xml:space="preserve">In 2025/26 our ambition is to </w:t>
      </w:r>
      <w:r w:rsidR="00CD3FCB" w:rsidRPr="00496A09">
        <w:rPr>
          <w:color w:val="auto"/>
        </w:rPr>
        <w:t xml:space="preserve">use the NHS App </w:t>
      </w:r>
      <w:r w:rsidR="00A576EC" w:rsidRPr="00496A09">
        <w:rPr>
          <w:color w:val="auto"/>
        </w:rPr>
        <w:t xml:space="preserve">to </w:t>
      </w:r>
      <w:r w:rsidR="00A576EC" w:rsidRPr="00496A09">
        <w:rPr>
          <w:rFonts w:cs="Arial"/>
          <w:color w:val="auto"/>
        </w:rPr>
        <w:t xml:space="preserve">streamline access to a wider group of vaccinations </w:t>
      </w:r>
      <w:r w:rsidR="00CD3FCB" w:rsidRPr="00496A09">
        <w:rPr>
          <w:color w:val="auto"/>
        </w:rPr>
        <w:t>for adult</w:t>
      </w:r>
      <w:r w:rsidR="002E5F07" w:rsidRPr="00496A09">
        <w:rPr>
          <w:color w:val="auto"/>
        </w:rPr>
        <w:t>s</w:t>
      </w:r>
      <w:r w:rsidR="00CD3FCB" w:rsidRPr="00496A09">
        <w:rPr>
          <w:color w:val="auto"/>
        </w:rPr>
        <w:t>, children and young people, including invitations to book a vaccination, in-app bookings, appointment notifications and access to vaccination records.</w:t>
      </w:r>
    </w:p>
    <w:p w14:paraId="0DB85787" w14:textId="44737955" w:rsidR="0074319D" w:rsidRPr="00496A09" w:rsidRDefault="00E554BE" w:rsidP="002B77D2">
      <w:pPr>
        <w:pStyle w:val="ListParagraph"/>
        <w:numPr>
          <w:ilvl w:val="0"/>
          <w:numId w:val="46"/>
        </w:numPr>
        <w:spacing w:after="120" w:line="276" w:lineRule="auto"/>
        <w:ind w:left="1418" w:right="57" w:hanging="284"/>
        <w:textboxTightWrap w:val="none"/>
      </w:pPr>
      <w:r w:rsidRPr="00496A09">
        <w:rPr>
          <w:color w:val="auto"/>
        </w:rPr>
        <w:t xml:space="preserve">We will improve user experience by simplifying </w:t>
      </w:r>
      <w:r w:rsidRPr="00496A09">
        <w:t>access to appointments, supporting group bookings and same day cancellations, and better meeting accessibility requirements. We will explore aligning providers' existing clinic booking systems with a national system to simplify access to appointments.</w:t>
      </w:r>
    </w:p>
    <w:p w14:paraId="20BBA0FB" w14:textId="2C1AEB38" w:rsidR="00E554BE" w:rsidRPr="00496A09" w:rsidRDefault="00E554BE" w:rsidP="002B77D2">
      <w:pPr>
        <w:pStyle w:val="ListParagraph"/>
        <w:numPr>
          <w:ilvl w:val="0"/>
          <w:numId w:val="46"/>
        </w:numPr>
        <w:spacing w:after="240" w:line="276" w:lineRule="auto"/>
        <w:ind w:left="1418" w:right="57" w:hanging="284"/>
        <w:textboxTightWrap w:val="none"/>
      </w:pPr>
      <w:r w:rsidRPr="00496A09">
        <w:t>We will publish information on availability of walk-in services on the NBS website.</w:t>
      </w:r>
    </w:p>
    <w:p w14:paraId="1089695C" w14:textId="4574F081" w:rsidR="00E554BE" w:rsidRPr="00496A09" w:rsidRDefault="00E554BE" w:rsidP="002B77D2">
      <w:pPr>
        <w:pStyle w:val="h4numbered"/>
        <w:spacing w:after="180" w:line="276" w:lineRule="auto"/>
        <w:ind w:left="794"/>
        <w:rPr>
          <w:color w:val="auto"/>
        </w:rPr>
      </w:pPr>
      <w:r w:rsidRPr="00496A09">
        <w:t>We will support people to find and arrange local appointments for vaccinations that can be accessed year-round, such as childhood vaccinations and catch-up of missed vaccinations:</w:t>
      </w:r>
    </w:p>
    <w:p w14:paraId="029B959D" w14:textId="323B61A0" w:rsidR="00E554BE" w:rsidRPr="00496A09" w:rsidRDefault="00E554BE" w:rsidP="002B77D2">
      <w:pPr>
        <w:pStyle w:val="ListParagraph"/>
        <w:numPr>
          <w:ilvl w:val="0"/>
          <w:numId w:val="37"/>
        </w:numPr>
        <w:spacing w:after="120" w:line="276" w:lineRule="auto"/>
        <w:ind w:left="1418" w:right="57" w:hanging="284"/>
        <w:textboxTightWrap w:val="none"/>
        <w:rPr>
          <w:color w:val="auto"/>
        </w:rPr>
      </w:pPr>
      <w:r w:rsidRPr="00496A09">
        <w:t>We know existing providers often use local booking platforms for their wider services and want to support continuity and consistency of appointment management for the workforce. As such, we propose that national booking should complement, not replace, local booking services in the short-term.</w:t>
      </w:r>
    </w:p>
    <w:p w14:paraId="1561CAD8" w14:textId="2B1D0C05" w:rsidR="00E554BE" w:rsidRPr="00496A09" w:rsidRDefault="00E554BE" w:rsidP="002B77D2">
      <w:pPr>
        <w:pStyle w:val="ListParagraph"/>
        <w:numPr>
          <w:ilvl w:val="0"/>
          <w:numId w:val="37"/>
        </w:numPr>
        <w:spacing w:after="240" w:line="276" w:lineRule="auto"/>
        <w:ind w:left="1418" w:right="57" w:hanging="284"/>
        <w:textboxTightWrap w:val="none"/>
        <w:rPr>
          <w:color w:val="auto"/>
        </w:rPr>
      </w:pPr>
      <w:r w:rsidRPr="00496A09">
        <w:t>We will explore aligning our national booking platform to a common standard, creating the opportunity for a single channel to present appointments from different booking services (whether national or local), making public access to local appointments easier.</w:t>
      </w:r>
    </w:p>
    <w:p w14:paraId="63AF8553" w14:textId="7B757F63" w:rsidR="00E554BE" w:rsidRPr="00496A09" w:rsidRDefault="00E554BE" w:rsidP="001D4AAF">
      <w:pPr>
        <w:pStyle w:val="h4numbered"/>
        <w:spacing w:before="180" w:after="180" w:line="276" w:lineRule="auto"/>
        <w:ind w:left="794"/>
        <w:rPr>
          <w:color w:val="auto"/>
        </w:rPr>
      </w:pPr>
      <w:r w:rsidRPr="00496A09">
        <w:t>Where clinically appropriate, operationally feasible and preferred by patients, co-administration of vaccines should be the default model.</w:t>
      </w:r>
      <w:r w:rsidRPr="00496A09">
        <w:rPr>
          <w:rStyle w:val="FootnoteReference"/>
        </w:rPr>
        <w:footnoteReference w:id="25"/>
      </w:r>
      <w:r w:rsidRPr="00496A09">
        <w:t xml:space="preserve"> This is already the case for many childhood vaccines and should be so for flu and COVID-19. We will also explore the potential to apply this to other vaccinations in future, increasing efficiency, streamlining the experience for the public and providing opportunities to maximise uptake.</w:t>
      </w:r>
    </w:p>
    <w:p w14:paraId="1F11ED3E" w14:textId="77777777" w:rsidR="00085831" w:rsidRPr="00496A09" w:rsidRDefault="00085831" w:rsidP="001D4AAF">
      <w:pPr>
        <w:spacing w:after="180"/>
        <w:rPr>
          <w:b/>
          <w:bCs/>
        </w:rPr>
      </w:pPr>
    </w:p>
    <w:p w14:paraId="2B42BBBB" w14:textId="77777777" w:rsidR="00085831" w:rsidRPr="00496A09" w:rsidRDefault="00085831" w:rsidP="001D4AAF">
      <w:pPr>
        <w:spacing w:after="180"/>
        <w:rPr>
          <w:b/>
          <w:bCs/>
        </w:rPr>
      </w:pPr>
    </w:p>
    <w:p w14:paraId="34519C8C" w14:textId="0DC720D1" w:rsidR="005D582B" w:rsidRPr="00496A09" w:rsidRDefault="005D582B" w:rsidP="001D4AAF">
      <w:pPr>
        <w:spacing w:after="180"/>
        <w:rPr>
          <w:b/>
          <w:bCs/>
        </w:rPr>
      </w:pPr>
      <w:r w:rsidRPr="00496A09">
        <w:rPr>
          <w:b/>
          <w:bCs/>
        </w:rPr>
        <w:t>Accessing vaccination</w:t>
      </w:r>
    </w:p>
    <w:p w14:paraId="488C254F" w14:textId="172BDFD5" w:rsidR="005D582B" w:rsidRPr="00496A09" w:rsidRDefault="005D582B" w:rsidP="002B77D2">
      <w:pPr>
        <w:pStyle w:val="h4numbered"/>
        <w:keepNext w:val="0"/>
        <w:keepLines/>
        <w:widowControl w:val="0"/>
        <w:spacing w:after="180" w:line="276" w:lineRule="auto"/>
        <w:ind w:left="794"/>
        <w:rPr>
          <w:color w:val="auto"/>
        </w:rPr>
      </w:pPr>
      <w:r w:rsidRPr="00496A09">
        <w:t xml:space="preserve">We propose that systems design a vaccination delivery network or networks that deliver life-course and seasonal vaccinations, as well as outbreak response and catch-up campaigns, through the locations and settings that will best meet the needs of their population. </w:t>
      </w:r>
    </w:p>
    <w:p w14:paraId="4380267C" w14:textId="09369CA7" w:rsidR="005D582B" w:rsidRPr="00496A09" w:rsidRDefault="005D582B" w:rsidP="002B77D2">
      <w:pPr>
        <w:pStyle w:val="h4numbered"/>
        <w:spacing w:after="180" w:line="276" w:lineRule="auto"/>
        <w:ind w:left="794"/>
      </w:pPr>
      <w:r w:rsidRPr="00496A09">
        <w:t>We propose that this network has several linked components:</w:t>
      </w:r>
    </w:p>
    <w:p w14:paraId="144F1103" w14:textId="0F245939" w:rsidR="005D582B" w:rsidRPr="00496A09" w:rsidRDefault="005D582B" w:rsidP="002B77D2">
      <w:pPr>
        <w:pStyle w:val="ListParagraph"/>
        <w:numPr>
          <w:ilvl w:val="0"/>
          <w:numId w:val="41"/>
        </w:numPr>
        <w:spacing w:after="120" w:line="276" w:lineRule="auto"/>
        <w:ind w:left="1418" w:right="57" w:hanging="284"/>
        <w:textboxTightWrap w:val="none"/>
        <w:rPr>
          <w:color w:val="auto"/>
        </w:rPr>
      </w:pPr>
      <w:r w:rsidRPr="00496A09">
        <w:rPr>
          <w:color w:val="auto"/>
        </w:rPr>
        <w:t>A ‘standard’ core vaccination offer that will reach most of the population efficiently and is...</w:t>
      </w:r>
    </w:p>
    <w:p w14:paraId="384C60AE" w14:textId="007F916D" w:rsidR="005D582B" w:rsidRPr="00496A09" w:rsidRDefault="005D582B" w:rsidP="002B77D2">
      <w:pPr>
        <w:pStyle w:val="ListParagraph"/>
        <w:numPr>
          <w:ilvl w:val="0"/>
          <w:numId w:val="41"/>
        </w:numPr>
        <w:spacing w:after="120" w:line="276" w:lineRule="auto"/>
        <w:ind w:left="1418" w:right="57" w:hanging="284"/>
        <w:textboxTightWrap w:val="none"/>
        <w:rPr>
          <w:color w:val="auto"/>
        </w:rPr>
      </w:pPr>
      <w:r w:rsidRPr="00496A09">
        <w:rPr>
          <w:color w:val="auto"/>
        </w:rPr>
        <w:t xml:space="preserve">Tailored to local communities to widen the places in which vaccination is available and ensure everyone eligible is </w:t>
      </w:r>
      <w:r w:rsidR="00AA20E5" w:rsidRPr="00496A09">
        <w:rPr>
          <w:color w:val="auto"/>
        </w:rPr>
        <w:t>reached.</w:t>
      </w:r>
    </w:p>
    <w:p w14:paraId="6525BCB7" w14:textId="77777777" w:rsidR="005D582B" w:rsidRPr="00496A09" w:rsidRDefault="005D582B" w:rsidP="00DB703E">
      <w:pPr>
        <w:pStyle w:val="ListParagraph"/>
        <w:numPr>
          <w:ilvl w:val="0"/>
          <w:numId w:val="41"/>
        </w:numPr>
        <w:spacing w:after="240" w:line="276" w:lineRule="auto"/>
        <w:ind w:left="1418" w:right="57" w:hanging="284"/>
        <w:textboxTightWrap w:val="none"/>
        <w:rPr>
          <w:color w:val="auto"/>
        </w:rPr>
      </w:pPr>
      <w:r w:rsidRPr="00496A09">
        <w:rPr>
          <w:color w:val="auto"/>
        </w:rPr>
        <w:t>Supplemented by bespoke, targeted outreach interventions for specific populations currently underserved by vaccination services.</w:t>
      </w:r>
    </w:p>
    <w:p w14:paraId="3A31F89C" w14:textId="77777777" w:rsidR="000C73C1" w:rsidRPr="00496A09" w:rsidRDefault="000C73C1" w:rsidP="002B77D2">
      <w:pPr>
        <w:spacing w:after="240" w:line="276" w:lineRule="auto"/>
        <w:ind w:right="57"/>
        <w:rPr>
          <w:b/>
          <w:bCs/>
          <w:color w:val="auto"/>
        </w:rPr>
      </w:pPr>
      <w:r w:rsidRPr="00496A09">
        <w:rPr>
          <w:b/>
          <w:bCs/>
          <w:color w:val="auto"/>
        </w:rPr>
        <w:t>Figure 3: Core offer, tailored to the local population, supplemented by outreach services</w:t>
      </w:r>
    </w:p>
    <w:p w14:paraId="785A138B" w14:textId="168E8D6C" w:rsidR="000C73C1" w:rsidRPr="00496A09" w:rsidRDefault="00B93945" w:rsidP="00EC1F1C">
      <w:pPr>
        <w:pStyle w:val="ListParagraph"/>
        <w:spacing w:after="120"/>
        <w:ind w:right="57" w:firstLine="0"/>
      </w:pPr>
      <w:r w:rsidRPr="00496A09">
        <w:rPr>
          <w:noProof/>
        </w:rPr>
        <w:drawing>
          <wp:inline distT="0" distB="0" distL="0" distR="0" wp14:anchorId="40B6B839" wp14:editId="553E4309">
            <wp:extent cx="6018179" cy="3443411"/>
            <wp:effectExtent l="0" t="0" r="1905" b="5080"/>
            <wp:docPr id="15" name="Picture 15"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diagram of a diagram&#10;&#10;Description automatically generated"/>
                    <pic:cNvPicPr/>
                  </pic:nvPicPr>
                  <pic:blipFill rotWithShape="1">
                    <a:blip r:embed="rId25"/>
                    <a:srcRect t="5092" b="1500"/>
                    <a:stretch/>
                  </pic:blipFill>
                  <pic:spPr bwMode="auto">
                    <a:xfrm>
                      <a:off x="0" y="0"/>
                      <a:ext cx="6057459" cy="3465886"/>
                    </a:xfrm>
                    <a:prstGeom prst="rect">
                      <a:avLst/>
                    </a:prstGeom>
                    <a:ln>
                      <a:noFill/>
                    </a:ln>
                    <a:extLst>
                      <a:ext uri="{53640926-AAD7-44D8-BBD7-CCE9431645EC}">
                        <a14:shadowObscured xmlns:a14="http://schemas.microsoft.com/office/drawing/2010/main"/>
                      </a:ext>
                    </a:extLst>
                  </pic:spPr>
                </pic:pic>
              </a:graphicData>
            </a:graphic>
          </wp:inline>
        </w:drawing>
      </w:r>
    </w:p>
    <w:p w14:paraId="1AF58805" w14:textId="7FEB0DF5" w:rsidR="00EC1F1C" w:rsidRPr="00496A09" w:rsidRDefault="00EC1F1C" w:rsidP="002B77D2">
      <w:pPr>
        <w:pStyle w:val="h4numbered"/>
        <w:keepLines/>
        <w:spacing w:before="360" w:after="180" w:line="276" w:lineRule="auto"/>
        <w:ind w:left="794"/>
      </w:pPr>
      <w:r w:rsidRPr="00496A09">
        <w:t>Many networks will be able to reach most of the eligible population through a consistent, core location or setting where the public can expect to go to access certain types of vaccination. The core offer refers to the physical setting where the vaccination is administered rather than provider type.</w:t>
      </w:r>
    </w:p>
    <w:p w14:paraId="0CC5AADB" w14:textId="2EE77F30" w:rsidR="005C6A1F" w:rsidRPr="00496A09" w:rsidRDefault="005C6A1F" w:rsidP="002B77D2">
      <w:pPr>
        <w:pStyle w:val="h4numbered"/>
        <w:spacing w:after="180" w:line="276" w:lineRule="auto"/>
        <w:ind w:left="794"/>
        <w:rPr>
          <w:color w:val="auto"/>
        </w:rPr>
      </w:pPr>
      <w:r w:rsidRPr="00496A09">
        <w:t>Specifying a consistent location or setting for the core offer can help by:</w:t>
      </w:r>
    </w:p>
    <w:p w14:paraId="1638405E" w14:textId="77777777" w:rsidR="005C6A1F" w:rsidRPr="00496A09" w:rsidRDefault="005C6A1F" w:rsidP="002B77D2">
      <w:pPr>
        <w:pStyle w:val="ListParagraph"/>
        <w:numPr>
          <w:ilvl w:val="0"/>
          <w:numId w:val="42"/>
        </w:numPr>
        <w:spacing w:after="120" w:line="276" w:lineRule="auto"/>
        <w:ind w:left="1418" w:right="57" w:hanging="284"/>
        <w:textboxTightWrap w:val="none"/>
      </w:pPr>
      <w:r w:rsidRPr="00496A09">
        <w:t>Making it clear to people where they can consistently access individual vaccinations, because the setting will be broadly the same across the country.</w:t>
      </w:r>
    </w:p>
    <w:p w14:paraId="070A2175" w14:textId="016BACA9" w:rsidR="005C6A1F" w:rsidRPr="00496A09" w:rsidRDefault="005C6A1F" w:rsidP="002B77D2">
      <w:pPr>
        <w:pStyle w:val="ListParagraph"/>
        <w:numPr>
          <w:ilvl w:val="0"/>
          <w:numId w:val="42"/>
        </w:numPr>
        <w:spacing w:after="120" w:line="276" w:lineRule="auto"/>
        <w:ind w:left="1418" w:right="57" w:hanging="284"/>
        <w:textboxTightWrap w:val="none"/>
      </w:pPr>
      <w:r w:rsidRPr="00496A09">
        <w:t>Using locations where people are already accessing services (such as GP surgeries) or where large numbers of people who are eligible for particular vaccinations come together (such as schools).</w:t>
      </w:r>
    </w:p>
    <w:p w14:paraId="2AB227AC" w14:textId="77777777" w:rsidR="005C6A1F" w:rsidRPr="00496A09" w:rsidRDefault="005C6A1F" w:rsidP="002B77D2">
      <w:pPr>
        <w:pStyle w:val="ListParagraph"/>
        <w:widowControl w:val="0"/>
        <w:numPr>
          <w:ilvl w:val="0"/>
          <w:numId w:val="42"/>
        </w:numPr>
        <w:spacing w:after="120" w:line="276" w:lineRule="auto"/>
        <w:ind w:left="1418" w:right="57" w:hanging="284"/>
        <w:textboxTightWrap w:val="none"/>
      </w:pPr>
      <w:r w:rsidRPr="00496A09">
        <w:t>Enabling more efficient staffing models and vaccine supply routes.</w:t>
      </w:r>
    </w:p>
    <w:p w14:paraId="13EA6025" w14:textId="0D5FAB91" w:rsidR="006C7280" w:rsidRPr="00496A09" w:rsidRDefault="005C6A1F" w:rsidP="00564A7D">
      <w:pPr>
        <w:pStyle w:val="ListParagraph"/>
        <w:numPr>
          <w:ilvl w:val="0"/>
          <w:numId w:val="42"/>
        </w:numPr>
        <w:spacing w:line="276" w:lineRule="auto"/>
        <w:ind w:left="1418" w:right="482" w:hanging="284"/>
        <w:textboxTightWrap w:val="none"/>
      </w:pPr>
      <w:r w:rsidRPr="00496A09">
        <w:t>Keeping, and building on, current expertise in vaccination delivery</w:t>
      </w:r>
      <w:r w:rsidR="00056983" w:rsidRPr="00496A09">
        <w:t>;</w:t>
      </w:r>
      <w:r w:rsidRPr="00496A09">
        <w:t xml:space="preserve"> for example</w:t>
      </w:r>
      <w:r w:rsidR="00056983" w:rsidRPr="00496A09">
        <w:t>,</w:t>
      </w:r>
      <w:r w:rsidRPr="00496A09">
        <w:t xml:space="preserve"> the expertise of practice nurses in vaccinating babies and young children.</w:t>
      </w:r>
    </w:p>
    <w:p w14:paraId="293111AA" w14:textId="6F70D701" w:rsidR="005C6A1F" w:rsidRPr="00496A09" w:rsidRDefault="005C6A1F" w:rsidP="002B77D2">
      <w:pPr>
        <w:pStyle w:val="h4numbered"/>
        <w:spacing w:after="180" w:line="276" w:lineRule="auto"/>
        <w:ind w:left="794"/>
        <w:rPr>
          <w:color w:val="auto"/>
        </w:rPr>
      </w:pPr>
      <w:r w:rsidRPr="00496A09">
        <w:t>Most systems are likely to use the following ‘core’ settings for each group of vaccinations</w:t>
      </w:r>
      <w:r w:rsidR="0004497A" w:rsidRPr="00496A09">
        <w:t>.</w:t>
      </w:r>
    </w:p>
    <w:p w14:paraId="4DC580A8" w14:textId="6C66BC30" w:rsidR="0006188B" w:rsidRPr="00496A09" w:rsidRDefault="0006188B" w:rsidP="00953B84">
      <w:pPr>
        <w:pStyle w:val="ListParagraph"/>
        <w:ind w:right="57" w:firstLine="0"/>
        <w:rPr>
          <w:b/>
          <w:bCs/>
          <w:sz w:val="32"/>
          <w:szCs w:val="32"/>
        </w:rPr>
      </w:pPr>
      <w:r w:rsidRPr="00496A09">
        <w:rPr>
          <w:b/>
          <w:bCs/>
        </w:rPr>
        <w:t>Table 1: Core settings for vaccination groups</w:t>
      </w:r>
    </w:p>
    <w:p w14:paraId="42F2ED8D" w14:textId="3E3F174F" w:rsidR="006C7280" w:rsidRPr="00496A09" w:rsidRDefault="006C7280" w:rsidP="0009270B">
      <w:pPr>
        <w:pStyle w:val="ListParagraph"/>
        <w:spacing w:after="0"/>
        <w:ind w:right="57" w:firstLine="0"/>
        <w:rPr>
          <w:b/>
          <w:bCs/>
          <w:sz w:val="32"/>
          <w:szCs w:val="32"/>
        </w:rPr>
      </w:pPr>
      <w:r w:rsidRPr="00496A09">
        <w:rPr>
          <w:noProof/>
        </w:rPr>
        <w:drawing>
          <wp:inline distT="0" distB="0" distL="0" distR="0" wp14:anchorId="3EB7977A" wp14:editId="6CBA9187">
            <wp:extent cx="5992238" cy="3133441"/>
            <wp:effectExtent l="0" t="0" r="8890" b="0"/>
            <wp:docPr id="1349894242" name="Picture 1349894242" descr="A char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894242" name="Picture 1349894242" descr="A chart with black tex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6005637" cy="3140448"/>
                    </a:xfrm>
                    <a:prstGeom prst="rect">
                      <a:avLst/>
                    </a:prstGeom>
                  </pic:spPr>
                </pic:pic>
              </a:graphicData>
            </a:graphic>
          </wp:inline>
        </w:drawing>
      </w:r>
    </w:p>
    <w:p w14:paraId="6DC79992" w14:textId="77777777" w:rsidR="0006188B" w:rsidRPr="00496A09" w:rsidRDefault="0006188B" w:rsidP="00564A7D">
      <w:pPr>
        <w:pStyle w:val="ListParagraph"/>
        <w:spacing w:after="0"/>
        <w:ind w:right="57" w:firstLine="0"/>
        <w:rPr>
          <w:b/>
          <w:bCs/>
          <w:sz w:val="32"/>
          <w:szCs w:val="32"/>
        </w:rPr>
      </w:pPr>
    </w:p>
    <w:p w14:paraId="3CA77F45" w14:textId="45F51B8D" w:rsidR="00181E9D" w:rsidRPr="00496A09" w:rsidRDefault="00181E9D" w:rsidP="002B77D2">
      <w:pPr>
        <w:pStyle w:val="h4numbered"/>
        <w:keepNext w:val="0"/>
        <w:widowControl w:val="0"/>
        <w:spacing w:before="0" w:after="180" w:line="276" w:lineRule="auto"/>
        <w:ind w:left="794"/>
        <w:rPr>
          <w:color w:val="auto"/>
        </w:rPr>
      </w:pPr>
      <w:r w:rsidRPr="00496A09">
        <w:t xml:space="preserve">As set out in </w:t>
      </w:r>
      <w:r w:rsidR="00485BB9" w:rsidRPr="00496A09">
        <w:t>F</w:t>
      </w:r>
      <w:r w:rsidRPr="00496A09">
        <w:t>igure 3, even the core offer should be tailored as far as possible to meet the needs of the local population, and the locations</w:t>
      </w:r>
      <w:r w:rsidR="004E09F2" w:rsidRPr="00496A09">
        <w:t xml:space="preserve"> in Table 1</w:t>
      </w:r>
      <w:r w:rsidRPr="00496A09">
        <w:t xml:space="preserve"> should not be the only place to access vaccination. If parents, for example, do not respond to invitations from the GP surgery to make an appointment for their baby to be vaccinated, it should be possible for that vaccination to be carried out, if appropriate, on a visit to an emergency department or outpatient clinic or during a stay on a paediatric ward. </w:t>
      </w:r>
    </w:p>
    <w:p w14:paraId="710B3897" w14:textId="4F988D83" w:rsidR="0030110B" w:rsidRPr="00496A09" w:rsidRDefault="00181E9D" w:rsidP="002B77D2">
      <w:pPr>
        <w:pStyle w:val="h4numbered"/>
        <w:keepNext w:val="0"/>
        <w:spacing w:after="180" w:line="276" w:lineRule="auto"/>
        <w:ind w:left="794"/>
        <w:rPr>
          <w:color w:val="auto"/>
        </w:rPr>
      </w:pPr>
      <w:r w:rsidRPr="00496A09">
        <w:t>Systems may want to consider the following actions to increase the reach of the core offer:</w:t>
      </w:r>
    </w:p>
    <w:p w14:paraId="4CEBE0B4" w14:textId="12627123" w:rsidR="0030110B" w:rsidRPr="00496A09" w:rsidRDefault="0030110B" w:rsidP="0046735F">
      <w:pPr>
        <w:pStyle w:val="ListParagraph"/>
        <w:numPr>
          <w:ilvl w:val="0"/>
          <w:numId w:val="43"/>
        </w:numPr>
        <w:spacing w:after="120" w:line="276" w:lineRule="auto"/>
        <w:ind w:left="1418" w:right="57" w:hanging="284"/>
        <w:textboxTightWrap w:val="none"/>
      </w:pPr>
      <w:r w:rsidRPr="00496A09">
        <w:t>Enabling vaccinations to be provided in secondary care settings for adults, young people and children where this will improve uptake of vaccination.</w:t>
      </w:r>
    </w:p>
    <w:p w14:paraId="1018418B" w14:textId="1B6940A7" w:rsidR="0030110B" w:rsidRPr="00496A09" w:rsidRDefault="0030110B" w:rsidP="0046735F">
      <w:pPr>
        <w:pStyle w:val="ListParagraph"/>
        <w:numPr>
          <w:ilvl w:val="0"/>
          <w:numId w:val="43"/>
        </w:numPr>
        <w:spacing w:after="120" w:line="276" w:lineRule="auto"/>
        <w:ind w:left="1418" w:right="57" w:hanging="284"/>
        <w:textboxTightWrap w:val="none"/>
      </w:pPr>
      <w:r w:rsidRPr="00496A09">
        <w:t>Running walk-in clinics, and clinics at different times of the day and out of hours.</w:t>
      </w:r>
    </w:p>
    <w:p w14:paraId="0D973768" w14:textId="77777777" w:rsidR="0030110B" w:rsidRPr="00496A09" w:rsidRDefault="0030110B" w:rsidP="00DB703E">
      <w:pPr>
        <w:pStyle w:val="ListParagraph"/>
        <w:numPr>
          <w:ilvl w:val="0"/>
          <w:numId w:val="43"/>
        </w:numPr>
        <w:spacing w:after="120" w:line="276" w:lineRule="auto"/>
        <w:ind w:left="1418" w:right="57" w:hanging="284"/>
        <w:textboxTightWrap w:val="none"/>
      </w:pPr>
      <w:r w:rsidRPr="00496A09">
        <w:t>Providing national and local invitations to, and information on, vaccinations in an individual’s first language.</w:t>
      </w:r>
    </w:p>
    <w:p w14:paraId="7D355650" w14:textId="450B1981" w:rsidR="0030110B" w:rsidRPr="00496A09" w:rsidRDefault="0030110B" w:rsidP="00DB703E">
      <w:pPr>
        <w:pStyle w:val="ListParagraph"/>
        <w:widowControl w:val="0"/>
        <w:numPr>
          <w:ilvl w:val="0"/>
          <w:numId w:val="43"/>
        </w:numPr>
        <w:spacing w:after="120" w:line="276" w:lineRule="auto"/>
        <w:ind w:left="1418" w:right="57" w:hanging="284"/>
        <w:textboxTightWrap w:val="none"/>
      </w:pPr>
      <w:r w:rsidRPr="00496A09">
        <w:t>Choosing locations for clinics that are convenient for the population, including those using public transport, and using the full range of local community assets to concentrate delivery in areas of low uptake.</w:t>
      </w:r>
    </w:p>
    <w:p w14:paraId="64D596E8" w14:textId="62B09D99" w:rsidR="0030110B" w:rsidRPr="00496A09" w:rsidRDefault="0030110B" w:rsidP="000C73C1">
      <w:pPr>
        <w:pStyle w:val="ListParagraph"/>
        <w:numPr>
          <w:ilvl w:val="0"/>
          <w:numId w:val="43"/>
        </w:numPr>
        <w:spacing w:line="276" w:lineRule="auto"/>
        <w:ind w:left="1418" w:right="57" w:hanging="284"/>
        <w:textboxTightWrap w:val="none"/>
        <w:rPr>
          <w:color w:val="auto"/>
        </w:rPr>
      </w:pPr>
      <w:r w:rsidRPr="00496A09">
        <w:t>Providing services for those who cannot travel to vaccination sites, such as housebound people and care home residents.</w:t>
      </w:r>
    </w:p>
    <w:p w14:paraId="16E4EE66" w14:textId="28C84C87" w:rsidR="00B938D1" w:rsidRPr="00496A09" w:rsidRDefault="00AC6AFA" w:rsidP="00C1792C">
      <w:pPr>
        <w:pStyle w:val="h4numbered"/>
        <w:spacing w:before="0" w:after="120" w:line="276" w:lineRule="auto"/>
        <w:ind w:left="794"/>
        <w:rPr>
          <w:color w:val="auto"/>
        </w:rPr>
      </w:pPr>
      <w:r w:rsidRPr="00496A09">
        <w:t>We have heard strong support for primary care’s role in delivering vaccinations: general practice in particular for childhood immunisations and as the principal provider of infant vaccinations such as MenB and rotavirus; and both general practice and community pharmacy as instrumental in the delivery of COVID-19 and flu vaccinations</w:t>
      </w:r>
      <w:r w:rsidRPr="00496A09">
        <w:rPr>
          <w:rStyle w:val="FootnoteReference"/>
        </w:rPr>
        <w:footnoteReference w:id="26"/>
      </w:r>
      <w:r w:rsidR="00256AB1" w:rsidRPr="00496A09">
        <w:t>.</w:t>
      </w:r>
      <w:r w:rsidRPr="00496A09">
        <w:t xml:space="preserve"> </w:t>
      </w:r>
      <w:r w:rsidR="00BD46F6" w:rsidRPr="00496A09">
        <w:t xml:space="preserve">We also heard that, for many primary care providers, vaccination has become an important part of their overall sustainability. </w:t>
      </w:r>
      <w:r w:rsidRPr="00496A09">
        <w:rPr>
          <w:color w:val="auto"/>
        </w:rPr>
        <w:t>At the same time,</w:t>
      </w:r>
      <w:r w:rsidR="00B62809" w:rsidRPr="00496A09">
        <w:rPr>
          <w:color w:val="auto"/>
        </w:rPr>
        <w:t xml:space="preserve"> however,</w:t>
      </w:r>
      <w:r w:rsidRPr="00496A09">
        <w:rPr>
          <w:color w:val="auto"/>
        </w:rPr>
        <w:t xml:space="preserve"> data </w:t>
      </w:r>
      <w:r w:rsidR="00843D62" w:rsidRPr="00496A09">
        <w:rPr>
          <w:color w:val="auto"/>
        </w:rPr>
        <w:t xml:space="preserve">on uptake in different communities </w:t>
      </w:r>
      <w:r w:rsidRPr="00496A09">
        <w:rPr>
          <w:color w:val="auto"/>
        </w:rPr>
        <w:t xml:space="preserve">suggests </w:t>
      </w:r>
      <w:r w:rsidR="00DA4762" w:rsidRPr="00496A09">
        <w:rPr>
          <w:color w:val="auto"/>
        </w:rPr>
        <w:t>that these delivery models do not have the same level of success everywhere</w:t>
      </w:r>
      <w:r w:rsidRPr="00496A09">
        <w:rPr>
          <w:color w:val="auto"/>
        </w:rPr>
        <w:t xml:space="preserve">.  </w:t>
      </w:r>
    </w:p>
    <w:p w14:paraId="4C183475" w14:textId="29337049" w:rsidR="00B938D1" w:rsidRPr="00496A09" w:rsidRDefault="00563B09" w:rsidP="00C1792C">
      <w:pPr>
        <w:pStyle w:val="h4numbered"/>
        <w:numPr>
          <w:ilvl w:val="0"/>
          <w:numId w:val="0"/>
        </w:numPr>
        <w:spacing w:before="0" w:after="180" w:line="276" w:lineRule="auto"/>
        <w:ind w:left="794"/>
        <w:rPr>
          <w:color w:val="auto"/>
        </w:rPr>
      </w:pPr>
      <w:r w:rsidRPr="00496A09">
        <w:rPr>
          <w:noProof/>
        </w:rPr>
        <mc:AlternateContent>
          <mc:Choice Requires="wps">
            <w:drawing>
              <wp:anchor distT="228600" distB="228600" distL="228600" distR="228600" simplePos="0" relativeHeight="251658250" behindDoc="0" locked="0" layoutInCell="1" allowOverlap="1" wp14:anchorId="35A4288D" wp14:editId="35676BE6">
                <wp:simplePos x="0" y="0"/>
                <wp:positionH relativeFrom="margin">
                  <wp:align>left</wp:align>
                </wp:positionH>
                <wp:positionV relativeFrom="page">
                  <wp:posOffset>6190615</wp:posOffset>
                </wp:positionV>
                <wp:extent cx="6367780" cy="3890645"/>
                <wp:effectExtent l="0" t="0" r="13970" b="14605"/>
                <wp:wrapNone/>
                <wp:docPr id="1160637416" name="Text Box 1160637416"/>
                <wp:cNvGraphicFramePr/>
                <a:graphic xmlns:a="http://schemas.openxmlformats.org/drawingml/2006/main">
                  <a:graphicData uri="http://schemas.microsoft.com/office/word/2010/wordprocessingShape">
                    <wps:wsp>
                      <wps:cNvSpPr txBox="1"/>
                      <wps:spPr>
                        <a:xfrm>
                          <a:off x="0" y="0"/>
                          <a:ext cx="6367780" cy="3890645"/>
                        </a:xfrm>
                        <a:prstGeom prst="rect">
                          <a:avLst/>
                        </a:prstGeom>
                        <a:gradFill rotWithShape="1">
                          <a:gsLst>
                            <a:gs pos="0">
                              <a:srgbClr val="CCDFF1">
                                <a:tint val="90000"/>
                                <a:satMod val="92000"/>
                                <a:lumMod val="120000"/>
                              </a:srgbClr>
                            </a:gs>
                            <a:gs pos="100000">
                              <a:srgbClr val="CCDFF1">
                                <a:shade val="98000"/>
                                <a:satMod val="120000"/>
                                <a:lumMod val="98000"/>
                              </a:srgbClr>
                            </a:gs>
                          </a:gsLst>
                          <a:path path="circle">
                            <a:fillToRect l="50000" t="50000" r="100000" b="100000"/>
                          </a:path>
                        </a:gradFill>
                        <a:ln w="6350">
                          <a:solidFill>
                            <a:srgbClr val="231F20"/>
                          </a:solidFill>
                        </a:ln>
                        <a:effectLst/>
                      </wps:spPr>
                      <wps:txbx>
                        <w:txbxContent>
                          <w:p w14:paraId="0E874BA1" w14:textId="77777777" w:rsidR="00B938D1" w:rsidRPr="0084408D" w:rsidRDefault="00B938D1" w:rsidP="00B938D1">
                            <w:pPr>
                              <w:spacing w:after="180" w:line="276" w:lineRule="auto"/>
                              <w:rPr>
                                <w:rFonts w:cs="Arial"/>
                                <w:color w:val="auto"/>
                              </w:rPr>
                            </w:pPr>
                            <w:r w:rsidRPr="0084408D">
                              <w:rPr>
                                <w:rFonts w:cs="Arial"/>
                                <w:b/>
                                <w:bCs/>
                                <w:color w:val="auto"/>
                              </w:rPr>
                              <w:t xml:space="preserve">Case study: Community school age immunisation service (CSAIS) provision of BCG and </w:t>
                            </w:r>
                            <w:r>
                              <w:rPr>
                                <w:rFonts w:cs="Arial"/>
                                <w:b/>
                                <w:bCs/>
                                <w:color w:val="auto"/>
                              </w:rPr>
                              <w:t>h</w:t>
                            </w:r>
                            <w:r w:rsidRPr="0084408D">
                              <w:rPr>
                                <w:rFonts w:cs="Arial"/>
                                <w:b/>
                                <w:bCs/>
                                <w:color w:val="auto"/>
                              </w:rPr>
                              <w:t>ep</w:t>
                            </w:r>
                            <w:r>
                              <w:rPr>
                                <w:rFonts w:cs="Arial"/>
                                <w:b/>
                                <w:bCs/>
                                <w:color w:val="auto"/>
                              </w:rPr>
                              <w:t>atitis</w:t>
                            </w:r>
                            <w:r w:rsidRPr="0084408D">
                              <w:rPr>
                                <w:rFonts w:cs="Arial"/>
                                <w:b/>
                                <w:bCs/>
                                <w:color w:val="auto"/>
                              </w:rPr>
                              <w:t xml:space="preserve"> B vaccinations in </w:t>
                            </w:r>
                            <w:r>
                              <w:rPr>
                                <w:rFonts w:cs="Arial"/>
                                <w:b/>
                                <w:bCs/>
                                <w:color w:val="auto"/>
                              </w:rPr>
                              <w:t xml:space="preserve">the </w:t>
                            </w:r>
                            <w:r w:rsidRPr="0084408D">
                              <w:rPr>
                                <w:rFonts w:cs="Arial"/>
                                <w:b/>
                                <w:bCs/>
                                <w:color w:val="auto"/>
                              </w:rPr>
                              <w:t>East of England</w:t>
                            </w:r>
                          </w:p>
                          <w:p w14:paraId="776D2684" w14:textId="623A7260" w:rsidR="00B938D1" w:rsidRPr="0084408D" w:rsidRDefault="00B938D1" w:rsidP="00B938D1">
                            <w:pPr>
                              <w:spacing w:after="180" w:line="276" w:lineRule="auto"/>
                              <w:rPr>
                                <w:rFonts w:cs="Arial"/>
                                <w:color w:val="auto"/>
                              </w:rPr>
                            </w:pPr>
                            <w:r w:rsidRPr="0084408D">
                              <w:rPr>
                                <w:rFonts w:cs="Arial"/>
                                <w:color w:val="auto"/>
                              </w:rPr>
                              <w:t xml:space="preserve">Babies eligible for BCG and </w:t>
                            </w:r>
                            <w:r>
                              <w:rPr>
                                <w:rFonts w:cs="Arial"/>
                                <w:color w:val="auto"/>
                              </w:rPr>
                              <w:t>h</w:t>
                            </w:r>
                            <w:r w:rsidRPr="0084408D">
                              <w:rPr>
                                <w:rFonts w:cs="Arial"/>
                                <w:color w:val="auto"/>
                              </w:rPr>
                              <w:t>ep</w:t>
                            </w:r>
                            <w:r>
                              <w:rPr>
                                <w:rFonts w:cs="Arial"/>
                                <w:color w:val="auto"/>
                              </w:rPr>
                              <w:t>atitis</w:t>
                            </w:r>
                            <w:r w:rsidRPr="0084408D">
                              <w:rPr>
                                <w:rFonts w:cs="Arial"/>
                                <w:color w:val="auto"/>
                              </w:rPr>
                              <w:t xml:space="preserve"> B vaccines are those with family links to countries with high tuberculosis rates and those born to mothers with </w:t>
                            </w:r>
                            <w:r>
                              <w:rPr>
                                <w:rFonts w:cs="Arial"/>
                                <w:color w:val="auto"/>
                              </w:rPr>
                              <w:t>h</w:t>
                            </w:r>
                            <w:r w:rsidRPr="0084408D">
                              <w:rPr>
                                <w:rFonts w:cs="Arial"/>
                                <w:color w:val="auto"/>
                              </w:rPr>
                              <w:t>ep</w:t>
                            </w:r>
                            <w:r>
                              <w:rPr>
                                <w:rFonts w:cs="Arial"/>
                                <w:color w:val="auto"/>
                              </w:rPr>
                              <w:t>atitis</w:t>
                            </w:r>
                            <w:r w:rsidRPr="0084408D">
                              <w:rPr>
                                <w:rFonts w:cs="Arial"/>
                                <w:color w:val="auto"/>
                              </w:rPr>
                              <w:t xml:space="preserve"> B, respectively. These groups are more likely to be experiencing health inequalities, so ensuring that families can easily access these vaccinations is crucial. </w:t>
                            </w:r>
                          </w:p>
                          <w:p w14:paraId="316B9DA6" w14:textId="77777777" w:rsidR="00B938D1" w:rsidRPr="0084408D" w:rsidRDefault="00B938D1" w:rsidP="00B938D1">
                            <w:pPr>
                              <w:spacing w:after="180" w:line="276" w:lineRule="auto"/>
                              <w:rPr>
                                <w:rFonts w:cs="Arial"/>
                                <w:color w:val="auto"/>
                              </w:rPr>
                            </w:pPr>
                            <w:r w:rsidRPr="0084408D">
                              <w:rPr>
                                <w:rFonts w:cs="Arial"/>
                                <w:color w:val="auto"/>
                              </w:rPr>
                              <w:t xml:space="preserve">To improve accessibility, the East of England Region Immunisations </w:t>
                            </w:r>
                            <w:r>
                              <w:rPr>
                                <w:rFonts w:cs="Arial"/>
                                <w:color w:val="auto"/>
                              </w:rPr>
                              <w:t>T</w:t>
                            </w:r>
                            <w:r w:rsidRPr="0084408D">
                              <w:rPr>
                                <w:rFonts w:cs="Arial"/>
                                <w:color w:val="auto"/>
                              </w:rPr>
                              <w:t xml:space="preserve">eam </w:t>
                            </w:r>
                            <w:r>
                              <w:rPr>
                                <w:rFonts w:cs="Arial"/>
                                <w:color w:val="auto"/>
                              </w:rPr>
                              <w:t>commissioned</w:t>
                            </w:r>
                            <w:r w:rsidRPr="0084408D">
                              <w:rPr>
                                <w:rFonts w:cs="Arial"/>
                                <w:color w:val="auto"/>
                              </w:rPr>
                              <w:t xml:space="preserve"> CSAIS to offer </w:t>
                            </w:r>
                            <w:r>
                              <w:rPr>
                                <w:rFonts w:cs="Arial"/>
                                <w:color w:val="auto"/>
                              </w:rPr>
                              <w:t>h</w:t>
                            </w:r>
                            <w:r w:rsidRPr="0084408D">
                              <w:rPr>
                                <w:rFonts w:cs="Arial"/>
                                <w:color w:val="auto"/>
                              </w:rPr>
                              <w:t>ep</w:t>
                            </w:r>
                            <w:r>
                              <w:rPr>
                                <w:rFonts w:cs="Arial"/>
                                <w:color w:val="auto"/>
                              </w:rPr>
                              <w:t>atitis</w:t>
                            </w:r>
                            <w:r w:rsidRPr="0084408D">
                              <w:rPr>
                                <w:rFonts w:cs="Arial"/>
                                <w:color w:val="auto"/>
                              </w:rPr>
                              <w:t xml:space="preserve"> B neonatal vaccinations from 2020 and BCG from September 2021. The CSAIS is based in community locations and offers flexible drop-in appointments. It also has access to CHIS data, meaning it can identify and offer vaccinations for siblings who may be missing immunisations. </w:t>
                            </w:r>
                          </w:p>
                          <w:p w14:paraId="088BC159" w14:textId="77777777" w:rsidR="00B938D1" w:rsidRPr="0084408D" w:rsidRDefault="00B938D1" w:rsidP="00B938D1">
                            <w:pPr>
                              <w:spacing w:line="276" w:lineRule="auto"/>
                              <w:rPr>
                                <w:rFonts w:cs="Arial"/>
                                <w:color w:val="auto"/>
                              </w:rPr>
                            </w:pPr>
                            <w:r w:rsidRPr="0084408D">
                              <w:rPr>
                                <w:rFonts w:cs="Arial"/>
                                <w:color w:val="auto"/>
                              </w:rPr>
                              <w:t xml:space="preserve">By the end of March 2023, uptake of </w:t>
                            </w:r>
                            <w:r>
                              <w:rPr>
                                <w:rFonts w:cs="Arial"/>
                                <w:color w:val="auto"/>
                              </w:rPr>
                              <w:t>h</w:t>
                            </w:r>
                            <w:r w:rsidRPr="0084408D">
                              <w:rPr>
                                <w:rFonts w:cs="Arial"/>
                                <w:color w:val="auto"/>
                              </w:rPr>
                              <w:t>ep</w:t>
                            </w:r>
                            <w:r>
                              <w:rPr>
                                <w:rFonts w:cs="Arial"/>
                                <w:color w:val="auto"/>
                              </w:rPr>
                              <w:t>atitis</w:t>
                            </w:r>
                            <w:r w:rsidRPr="0084408D">
                              <w:rPr>
                                <w:rFonts w:cs="Arial"/>
                                <w:color w:val="auto"/>
                              </w:rPr>
                              <w:t xml:space="preserve"> B vaccines in eligible babies had doubled. As of April 2023, BCG uptake for babies aged 3 months (as part of a catch-up offer) is 73%, the second highest regional uptake in England and above the national average of 6</w:t>
                            </w:r>
                            <w:r>
                              <w:rPr>
                                <w:rFonts w:cs="Arial"/>
                                <w:color w:val="auto"/>
                              </w:rPr>
                              <w:t>9</w:t>
                            </w:r>
                            <w:r w:rsidRPr="0084408D">
                              <w:rPr>
                                <w:rFonts w:cs="Arial"/>
                                <w:color w:val="auto"/>
                              </w:rPr>
                              <w:t xml:space="preserve">%. </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4288D" id="Text Box 1160637416" o:spid="_x0000_s1028" type="#_x0000_t202" style="position:absolute;left:0;text-align:left;margin-left:0;margin-top:487.45pt;width:501.4pt;height:306.35pt;z-index:251658250;visibility:visible;mso-wrap-style:square;mso-width-percent:0;mso-height-percent:0;mso-wrap-distance-left:18pt;mso-wrap-distance-top:18pt;mso-wrap-distance-right:18pt;mso-wrap-distance-bottom:18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" strokecolor="#231f20" strokeweight=".5pt">
                <v:fill color2="#bfd9f1" rotate="t" focusposition=".5,.5" focussize="-.5,-.5" focus="100%" type="gradientRadial"/>
                <v:textbox inset="14.4pt,14.4pt,14.4pt,14.4pt">
                  <w:txbxContent>
                    <w:p w14:paraId="0E874BA1" w14:textId="77777777" w:rsidR="00B938D1" w:rsidRPr="0084408D" w:rsidRDefault="00B938D1" w:rsidP="00B938D1">
                      <w:pPr>
                        <w:spacing w:after="180" w:line="276" w:lineRule="auto"/>
                        <w:rPr>
                          <w:rFonts w:cs="Arial"/>
                          <w:color w:val="auto"/>
                        </w:rPr>
                      </w:pPr>
                      <w:r w:rsidRPr="0084408D">
                        <w:rPr>
                          <w:rFonts w:cs="Arial"/>
                          <w:b/>
                          <w:bCs/>
                          <w:color w:val="auto"/>
                        </w:rPr>
                        <w:t xml:space="preserve">Case study: Community school age immunisation service (CSAIS) provision of BCG and </w:t>
                      </w:r>
                      <w:r>
                        <w:rPr>
                          <w:rFonts w:cs="Arial"/>
                          <w:b/>
                          <w:bCs/>
                          <w:color w:val="auto"/>
                        </w:rPr>
                        <w:t>h</w:t>
                      </w:r>
                      <w:r w:rsidRPr="0084408D">
                        <w:rPr>
                          <w:rFonts w:cs="Arial"/>
                          <w:b/>
                          <w:bCs/>
                          <w:color w:val="auto"/>
                        </w:rPr>
                        <w:t>ep</w:t>
                      </w:r>
                      <w:r>
                        <w:rPr>
                          <w:rFonts w:cs="Arial"/>
                          <w:b/>
                          <w:bCs/>
                          <w:color w:val="auto"/>
                        </w:rPr>
                        <w:t>atitis</w:t>
                      </w:r>
                      <w:r w:rsidRPr="0084408D">
                        <w:rPr>
                          <w:rFonts w:cs="Arial"/>
                          <w:b/>
                          <w:bCs/>
                          <w:color w:val="auto"/>
                        </w:rPr>
                        <w:t xml:space="preserve"> B vaccinations in </w:t>
                      </w:r>
                      <w:r>
                        <w:rPr>
                          <w:rFonts w:cs="Arial"/>
                          <w:b/>
                          <w:bCs/>
                          <w:color w:val="auto"/>
                        </w:rPr>
                        <w:t xml:space="preserve">the </w:t>
                      </w:r>
                      <w:r w:rsidRPr="0084408D">
                        <w:rPr>
                          <w:rFonts w:cs="Arial"/>
                          <w:b/>
                          <w:bCs/>
                          <w:color w:val="auto"/>
                        </w:rPr>
                        <w:t>East of England</w:t>
                      </w:r>
                    </w:p>
                    <w:p w14:paraId="776D2684" w14:textId="623A7260" w:rsidR="00B938D1" w:rsidRPr="0084408D" w:rsidRDefault="00B938D1" w:rsidP="00B938D1">
                      <w:pPr>
                        <w:spacing w:after="180" w:line="276" w:lineRule="auto"/>
                        <w:rPr>
                          <w:rFonts w:cs="Arial"/>
                          <w:color w:val="auto"/>
                        </w:rPr>
                      </w:pPr>
                      <w:r w:rsidRPr="0084408D">
                        <w:rPr>
                          <w:rFonts w:cs="Arial"/>
                          <w:color w:val="auto"/>
                        </w:rPr>
                        <w:t xml:space="preserve">Babies eligible for BCG and </w:t>
                      </w:r>
                      <w:r>
                        <w:rPr>
                          <w:rFonts w:cs="Arial"/>
                          <w:color w:val="auto"/>
                        </w:rPr>
                        <w:t>h</w:t>
                      </w:r>
                      <w:r w:rsidRPr="0084408D">
                        <w:rPr>
                          <w:rFonts w:cs="Arial"/>
                          <w:color w:val="auto"/>
                        </w:rPr>
                        <w:t>ep</w:t>
                      </w:r>
                      <w:r>
                        <w:rPr>
                          <w:rFonts w:cs="Arial"/>
                          <w:color w:val="auto"/>
                        </w:rPr>
                        <w:t>atitis</w:t>
                      </w:r>
                      <w:r w:rsidRPr="0084408D">
                        <w:rPr>
                          <w:rFonts w:cs="Arial"/>
                          <w:color w:val="auto"/>
                        </w:rPr>
                        <w:t xml:space="preserve"> B vaccines are those with family links to countries with high tuberculosis rates and those born to mothers with </w:t>
                      </w:r>
                      <w:r>
                        <w:rPr>
                          <w:rFonts w:cs="Arial"/>
                          <w:color w:val="auto"/>
                        </w:rPr>
                        <w:t>h</w:t>
                      </w:r>
                      <w:r w:rsidRPr="0084408D">
                        <w:rPr>
                          <w:rFonts w:cs="Arial"/>
                          <w:color w:val="auto"/>
                        </w:rPr>
                        <w:t>ep</w:t>
                      </w:r>
                      <w:r>
                        <w:rPr>
                          <w:rFonts w:cs="Arial"/>
                          <w:color w:val="auto"/>
                        </w:rPr>
                        <w:t>atitis</w:t>
                      </w:r>
                      <w:r w:rsidRPr="0084408D">
                        <w:rPr>
                          <w:rFonts w:cs="Arial"/>
                          <w:color w:val="auto"/>
                        </w:rPr>
                        <w:t xml:space="preserve"> B, respectively. These groups are more likely to be experiencing health inequalities, so ensuring that families can easily access these vaccinations is crucial. </w:t>
                      </w:r>
                    </w:p>
                    <w:p w14:paraId="316B9DA6" w14:textId="77777777" w:rsidR="00B938D1" w:rsidRPr="0084408D" w:rsidRDefault="00B938D1" w:rsidP="00B938D1">
                      <w:pPr>
                        <w:spacing w:after="180" w:line="276" w:lineRule="auto"/>
                        <w:rPr>
                          <w:rFonts w:cs="Arial"/>
                          <w:color w:val="auto"/>
                        </w:rPr>
                      </w:pPr>
                      <w:r w:rsidRPr="0084408D">
                        <w:rPr>
                          <w:rFonts w:cs="Arial"/>
                          <w:color w:val="auto"/>
                        </w:rPr>
                        <w:t xml:space="preserve">To improve accessibility, the East of England Region Immunisations </w:t>
                      </w:r>
                      <w:r>
                        <w:rPr>
                          <w:rFonts w:cs="Arial"/>
                          <w:color w:val="auto"/>
                        </w:rPr>
                        <w:t>T</w:t>
                      </w:r>
                      <w:r w:rsidRPr="0084408D">
                        <w:rPr>
                          <w:rFonts w:cs="Arial"/>
                          <w:color w:val="auto"/>
                        </w:rPr>
                        <w:t xml:space="preserve">eam </w:t>
                      </w:r>
                      <w:r>
                        <w:rPr>
                          <w:rFonts w:cs="Arial"/>
                          <w:color w:val="auto"/>
                        </w:rPr>
                        <w:t>commissioned</w:t>
                      </w:r>
                      <w:r w:rsidRPr="0084408D">
                        <w:rPr>
                          <w:rFonts w:cs="Arial"/>
                          <w:color w:val="auto"/>
                        </w:rPr>
                        <w:t xml:space="preserve"> CSAIS to offer </w:t>
                      </w:r>
                      <w:r>
                        <w:rPr>
                          <w:rFonts w:cs="Arial"/>
                          <w:color w:val="auto"/>
                        </w:rPr>
                        <w:t>h</w:t>
                      </w:r>
                      <w:r w:rsidRPr="0084408D">
                        <w:rPr>
                          <w:rFonts w:cs="Arial"/>
                          <w:color w:val="auto"/>
                        </w:rPr>
                        <w:t>ep</w:t>
                      </w:r>
                      <w:r>
                        <w:rPr>
                          <w:rFonts w:cs="Arial"/>
                          <w:color w:val="auto"/>
                        </w:rPr>
                        <w:t>atitis</w:t>
                      </w:r>
                      <w:r w:rsidRPr="0084408D">
                        <w:rPr>
                          <w:rFonts w:cs="Arial"/>
                          <w:color w:val="auto"/>
                        </w:rPr>
                        <w:t xml:space="preserve"> B neonatal vaccinations from 2020 and BCG from September 2021. The CSAIS is based in community locations and offers flexible drop-in appointments. It also has access to CHIS data, meaning it can identify and offer vaccinations for siblings who may be missing immunisations. </w:t>
                      </w:r>
                    </w:p>
                    <w:p w14:paraId="088BC159" w14:textId="77777777" w:rsidR="00B938D1" w:rsidRPr="0084408D" w:rsidRDefault="00B938D1" w:rsidP="00B938D1">
                      <w:pPr>
                        <w:spacing w:line="276" w:lineRule="auto"/>
                        <w:rPr>
                          <w:rFonts w:cs="Arial"/>
                          <w:color w:val="auto"/>
                        </w:rPr>
                      </w:pPr>
                      <w:r w:rsidRPr="0084408D">
                        <w:rPr>
                          <w:rFonts w:cs="Arial"/>
                          <w:color w:val="auto"/>
                        </w:rPr>
                        <w:t xml:space="preserve">By the end of March 2023, uptake of </w:t>
                      </w:r>
                      <w:r>
                        <w:rPr>
                          <w:rFonts w:cs="Arial"/>
                          <w:color w:val="auto"/>
                        </w:rPr>
                        <w:t>h</w:t>
                      </w:r>
                      <w:r w:rsidRPr="0084408D">
                        <w:rPr>
                          <w:rFonts w:cs="Arial"/>
                          <w:color w:val="auto"/>
                        </w:rPr>
                        <w:t>ep</w:t>
                      </w:r>
                      <w:r>
                        <w:rPr>
                          <w:rFonts w:cs="Arial"/>
                          <w:color w:val="auto"/>
                        </w:rPr>
                        <w:t>atitis</w:t>
                      </w:r>
                      <w:r w:rsidRPr="0084408D">
                        <w:rPr>
                          <w:rFonts w:cs="Arial"/>
                          <w:color w:val="auto"/>
                        </w:rPr>
                        <w:t xml:space="preserve"> B vaccines in eligible babies had doubled. As of April 2023, BCG uptake for babies aged 3 months (as part of a catch-up offer) is 73%, the second highest regional uptake in England and above the national average of 6</w:t>
                      </w:r>
                      <w:r>
                        <w:rPr>
                          <w:rFonts w:cs="Arial"/>
                          <w:color w:val="auto"/>
                        </w:rPr>
                        <w:t>9</w:t>
                      </w:r>
                      <w:r w:rsidRPr="0084408D">
                        <w:rPr>
                          <w:rFonts w:cs="Arial"/>
                          <w:color w:val="auto"/>
                        </w:rPr>
                        <w:t xml:space="preserve">%. </w:t>
                      </w:r>
                    </w:p>
                  </w:txbxContent>
                </v:textbox>
                <w10:wrap anchorx="margin" anchory="page"/>
              </v:shape>
            </w:pict>
          </mc:Fallback>
        </mc:AlternateContent>
      </w:r>
    </w:p>
    <w:p w14:paraId="11DF7480" w14:textId="013D56B1" w:rsidR="00B938D1" w:rsidRPr="00496A09" w:rsidRDefault="00B938D1" w:rsidP="00C1792C">
      <w:pPr>
        <w:pStyle w:val="h4numbered"/>
        <w:numPr>
          <w:ilvl w:val="0"/>
          <w:numId w:val="0"/>
        </w:numPr>
        <w:spacing w:before="0" w:after="180" w:line="276" w:lineRule="auto"/>
        <w:ind w:left="794"/>
      </w:pPr>
    </w:p>
    <w:p w14:paraId="12E0A1D4" w14:textId="08625263" w:rsidR="00B938D1" w:rsidRPr="00496A09" w:rsidRDefault="00B938D1" w:rsidP="00496A09"/>
    <w:p w14:paraId="10DB0D0B" w14:textId="77777777" w:rsidR="00B938D1" w:rsidRPr="00496A09" w:rsidRDefault="00B938D1" w:rsidP="00496A09"/>
    <w:p w14:paraId="37BA0249" w14:textId="77777777" w:rsidR="00B938D1" w:rsidRPr="00496A09" w:rsidRDefault="00B938D1" w:rsidP="00496A09"/>
    <w:p w14:paraId="0C6BD8AB" w14:textId="77777777" w:rsidR="00B938D1" w:rsidRPr="00496A09" w:rsidRDefault="00B938D1" w:rsidP="00496A09"/>
    <w:p w14:paraId="2F2A8265" w14:textId="77777777" w:rsidR="00B938D1" w:rsidRPr="00496A09" w:rsidRDefault="00B938D1" w:rsidP="00496A09"/>
    <w:p w14:paraId="0098577E" w14:textId="6F3B6AA3" w:rsidR="00682961" w:rsidRPr="00496A09" w:rsidRDefault="00C23786" w:rsidP="002B77D2">
      <w:pPr>
        <w:pStyle w:val="h4numbered"/>
        <w:spacing w:before="0" w:after="180" w:line="276" w:lineRule="auto"/>
        <w:ind w:left="794"/>
      </w:pPr>
      <w:r w:rsidRPr="00496A09">
        <w:t>We therefore expect i</w:t>
      </w:r>
      <w:r w:rsidR="00682961" w:rsidRPr="00496A09">
        <w:t xml:space="preserve">n future: </w:t>
      </w:r>
    </w:p>
    <w:p w14:paraId="2797D776" w14:textId="4E19E297" w:rsidR="00057125" w:rsidRPr="00496A09" w:rsidRDefault="00752427" w:rsidP="002B77D2">
      <w:pPr>
        <w:pStyle w:val="ListParagraph"/>
        <w:numPr>
          <w:ilvl w:val="0"/>
          <w:numId w:val="44"/>
        </w:numPr>
        <w:spacing w:after="120" w:line="276" w:lineRule="auto"/>
        <w:ind w:left="1418" w:hanging="284"/>
        <w:textboxTightWrap w:val="none"/>
      </w:pPr>
      <w:r w:rsidRPr="00496A09">
        <w:t>S</w:t>
      </w:r>
      <w:r w:rsidR="00682961" w:rsidRPr="00496A09">
        <w:t>ystems will want to continue to draw on primary care in the delivery of both life-course and seasonal vaccinations, given the benefits this brings.</w:t>
      </w:r>
    </w:p>
    <w:p w14:paraId="6470F61B" w14:textId="6D5FBDAE" w:rsidR="00057125" w:rsidRPr="00496A09" w:rsidRDefault="00EA0162" w:rsidP="002B77D2">
      <w:pPr>
        <w:pStyle w:val="ListParagraph"/>
        <w:numPr>
          <w:ilvl w:val="0"/>
          <w:numId w:val="44"/>
        </w:numPr>
        <w:spacing w:after="120" w:line="276" w:lineRule="auto"/>
        <w:ind w:left="1418" w:hanging="284"/>
        <w:textboxTightWrap w:val="none"/>
      </w:pPr>
      <w:r w:rsidRPr="00496A09">
        <w:t>S</w:t>
      </w:r>
      <w:r w:rsidR="00682961" w:rsidRPr="00496A09">
        <w:t>ystems will</w:t>
      </w:r>
      <w:r w:rsidR="003315E3" w:rsidRPr="00496A09">
        <w:t xml:space="preserve"> also</w:t>
      </w:r>
      <w:r w:rsidR="00682961" w:rsidRPr="00496A09">
        <w:t xml:space="preserve"> want the ability to design their network to suit the diverse communities they serve, recognising that different provider types (including primary care, community services, secondary care and others) are best placed to reach different parts of local populations. </w:t>
      </w:r>
    </w:p>
    <w:p w14:paraId="752D08BE" w14:textId="36E2580A" w:rsidR="00682961" w:rsidRPr="00496A09" w:rsidRDefault="00A614EA" w:rsidP="00521673">
      <w:pPr>
        <w:pStyle w:val="ListParagraph"/>
        <w:numPr>
          <w:ilvl w:val="0"/>
          <w:numId w:val="44"/>
        </w:numPr>
        <w:spacing w:after="280" w:line="276" w:lineRule="auto"/>
        <w:ind w:left="1418" w:hanging="284"/>
        <w:textboxTightWrap w:val="none"/>
      </w:pPr>
      <w:r w:rsidRPr="00496A09">
        <w:t xml:space="preserve">Systems can enable community pharmacy to play a greater role in seasonal vaccination delivery where appropriate, including increased collaboration between community pharmacy and other parts of the vaccination delivery network. </w:t>
      </w:r>
      <w:r w:rsidR="00AC73D9" w:rsidRPr="00496A09">
        <w:t>P</w:t>
      </w:r>
      <w:r w:rsidR="00682961" w:rsidRPr="00496A09">
        <w:t>reschool immunisations</w:t>
      </w:r>
      <w:r w:rsidR="00CC7C1B" w:rsidRPr="00496A09">
        <w:t xml:space="preserve"> </w:t>
      </w:r>
      <w:r w:rsidR="00536E8D" w:rsidRPr="00496A09">
        <w:t>will</w:t>
      </w:r>
      <w:r w:rsidR="00682961" w:rsidRPr="00496A09">
        <w:t xml:space="preserve"> continue to be commissioned from general practice across the country, tailored to the local population as described above and supplemented with additional services where necessary to improve uptake.</w:t>
      </w:r>
      <w:r w:rsidR="000C73C1" w:rsidRPr="00496A09">
        <w:rPr>
          <w:rFonts w:eastAsia="Calibri"/>
          <w:noProof/>
        </w:rPr>
        <w:t xml:space="preserve"> </w:t>
      </w:r>
    </w:p>
    <w:p w14:paraId="6114BD94" w14:textId="2458537F" w:rsidR="009133AC" w:rsidRPr="00496A09" w:rsidRDefault="00403A5F" w:rsidP="009133AC">
      <w:pPr>
        <w:spacing w:line="276" w:lineRule="auto"/>
        <w:textboxTightWrap w:val="none"/>
      </w:pPr>
      <w:r w:rsidRPr="00496A09">
        <w:rPr>
          <w:noProof/>
        </w:rPr>
        <mc:AlternateContent>
          <mc:Choice Requires="wps">
            <w:drawing>
              <wp:anchor distT="228600" distB="228600" distL="228600" distR="228600" simplePos="0" relativeHeight="251658252" behindDoc="0" locked="0" layoutInCell="1" allowOverlap="1" wp14:anchorId="4CD38EF7" wp14:editId="6B87FD22">
                <wp:simplePos x="0" y="0"/>
                <wp:positionH relativeFrom="margin">
                  <wp:align>left</wp:align>
                </wp:positionH>
                <wp:positionV relativeFrom="page">
                  <wp:posOffset>4432935</wp:posOffset>
                </wp:positionV>
                <wp:extent cx="6367780" cy="4587240"/>
                <wp:effectExtent l="0" t="0" r="13970" b="22860"/>
                <wp:wrapNone/>
                <wp:docPr id="58961990" name="Text Box 58961990"/>
                <wp:cNvGraphicFramePr/>
                <a:graphic xmlns:a="http://schemas.openxmlformats.org/drawingml/2006/main">
                  <a:graphicData uri="http://schemas.microsoft.com/office/word/2010/wordprocessingShape">
                    <wps:wsp>
                      <wps:cNvSpPr txBox="1"/>
                      <wps:spPr>
                        <a:xfrm>
                          <a:off x="0" y="0"/>
                          <a:ext cx="6367780" cy="4587240"/>
                        </a:xfrm>
                        <a:prstGeom prst="rect">
                          <a:avLst/>
                        </a:prstGeom>
                        <a:gradFill rotWithShape="1">
                          <a:gsLst>
                            <a:gs pos="0">
                              <a:srgbClr val="CCDFF1">
                                <a:tint val="90000"/>
                                <a:satMod val="92000"/>
                                <a:lumMod val="120000"/>
                              </a:srgbClr>
                            </a:gs>
                            <a:gs pos="100000">
                              <a:srgbClr val="CCDFF1">
                                <a:shade val="98000"/>
                                <a:satMod val="120000"/>
                                <a:lumMod val="98000"/>
                              </a:srgbClr>
                            </a:gs>
                          </a:gsLst>
                          <a:path path="circle">
                            <a:fillToRect l="50000" t="50000" r="100000" b="100000"/>
                          </a:path>
                        </a:gradFill>
                        <a:ln w="6350">
                          <a:solidFill>
                            <a:srgbClr val="231F20"/>
                          </a:solidFill>
                        </a:ln>
                        <a:effectLst/>
                      </wps:spPr>
                      <wps:txbx>
                        <w:txbxContent>
                          <w:p w14:paraId="24F0FCCB" w14:textId="3CA84E85" w:rsidR="009133AC" w:rsidRPr="0084408D" w:rsidRDefault="009133AC" w:rsidP="009133AC">
                            <w:pPr>
                              <w:spacing w:after="180" w:line="276" w:lineRule="auto"/>
                              <w:rPr>
                                <w:rFonts w:cs="Arial"/>
                                <w:color w:val="auto"/>
                              </w:rPr>
                            </w:pPr>
                            <w:r w:rsidRPr="0084408D">
                              <w:rPr>
                                <w:rFonts w:cs="Arial"/>
                                <w:b/>
                                <w:bCs/>
                                <w:color w:val="auto"/>
                              </w:rPr>
                              <w:t xml:space="preserve">Case study: </w:t>
                            </w:r>
                            <w:r w:rsidR="00F15FCA" w:rsidRPr="00F15FCA">
                              <w:rPr>
                                <w:rFonts w:cs="Arial"/>
                                <w:b/>
                                <w:bCs/>
                                <w:color w:val="auto"/>
                              </w:rPr>
                              <w:t>HPV vaccine catch up in the North East and North Cumbria</w:t>
                            </w:r>
                          </w:p>
                          <w:p w14:paraId="623369EC" w14:textId="454092FC" w:rsidR="0099020D" w:rsidRPr="00496A09" w:rsidRDefault="0099020D" w:rsidP="0099020D">
                            <w:pPr>
                              <w:spacing w:after="180" w:line="276" w:lineRule="auto"/>
                              <w:rPr>
                                <w:rFonts w:cs="Arial"/>
                                <w:color w:val="auto"/>
                              </w:rPr>
                            </w:pPr>
                            <w:r w:rsidRPr="00496A09">
                              <w:rPr>
                                <w:rFonts w:cs="Arial"/>
                                <w:color w:val="auto"/>
                              </w:rPr>
                              <w:t>HPV vaccination consents were significantly lower than</w:t>
                            </w:r>
                            <w:r w:rsidR="008070AB" w:rsidRPr="00496A09">
                              <w:rPr>
                                <w:rFonts w:cs="Arial"/>
                                <w:color w:val="auto"/>
                              </w:rPr>
                              <w:t xml:space="preserve"> in years </w:t>
                            </w:r>
                            <w:r w:rsidR="00033BE9" w:rsidRPr="00496A09">
                              <w:rPr>
                                <w:rFonts w:cs="Arial"/>
                                <w:color w:val="auto"/>
                              </w:rPr>
                              <w:t>before</w:t>
                            </w:r>
                            <w:r w:rsidR="008070AB" w:rsidRPr="00496A09">
                              <w:rPr>
                                <w:rFonts w:cs="Arial"/>
                                <w:color w:val="auto"/>
                              </w:rPr>
                              <w:t xml:space="preserve"> to the COVID pandemic. </w:t>
                            </w:r>
                            <w:r w:rsidRPr="00496A09">
                              <w:rPr>
                                <w:rFonts w:cs="Arial"/>
                                <w:color w:val="auto"/>
                              </w:rPr>
                              <w:t xml:space="preserve"> </w:t>
                            </w:r>
                            <w:r w:rsidR="00C55021" w:rsidRPr="00496A09">
                              <w:rPr>
                                <w:rFonts w:cs="Arial"/>
                                <w:color w:val="auto"/>
                              </w:rPr>
                              <w:t>Therefore,</w:t>
                            </w:r>
                            <w:r w:rsidRPr="00496A09">
                              <w:rPr>
                                <w:rFonts w:cs="Arial"/>
                                <w:color w:val="auto"/>
                              </w:rPr>
                              <w:t xml:space="preserve"> </w:t>
                            </w:r>
                            <w:r w:rsidR="00B26035" w:rsidRPr="00496A09">
                              <w:rPr>
                                <w:rFonts w:cs="Arial"/>
                                <w:color w:val="auto"/>
                              </w:rPr>
                              <w:t xml:space="preserve">a </w:t>
                            </w:r>
                            <w:r w:rsidRPr="00496A09">
                              <w:rPr>
                                <w:rFonts w:cs="Arial"/>
                                <w:color w:val="auto"/>
                              </w:rPr>
                              <w:t xml:space="preserve">service was needed to look at new innovative ways to tackle this. NHS England commissioned Northumbria Healthcare Trust’s School Age Immunisation Service to deliver all school age vaccinations across Northumberland, North Tyneside, and Newcastle </w:t>
                            </w:r>
                            <w:r w:rsidR="00033BE9" w:rsidRPr="00496A09">
                              <w:rPr>
                                <w:rFonts w:cs="Arial"/>
                                <w:color w:val="auto"/>
                              </w:rPr>
                              <w:t>u</w:t>
                            </w:r>
                            <w:r w:rsidRPr="00496A09">
                              <w:rPr>
                                <w:rFonts w:cs="Arial"/>
                                <w:color w:val="auto"/>
                              </w:rPr>
                              <w:t xml:space="preserve">pon Tyne. </w:t>
                            </w:r>
                          </w:p>
                          <w:p w14:paraId="620D24EE" w14:textId="0624B82F" w:rsidR="0099020D" w:rsidRPr="0099020D" w:rsidRDefault="00166778" w:rsidP="0099020D">
                            <w:pPr>
                              <w:spacing w:after="180" w:line="276" w:lineRule="auto"/>
                              <w:rPr>
                                <w:rFonts w:cs="Arial"/>
                                <w:color w:val="auto"/>
                              </w:rPr>
                            </w:pPr>
                            <w:r w:rsidRPr="00496A09">
                              <w:rPr>
                                <w:rFonts w:cs="Arial"/>
                                <w:color w:val="auto"/>
                              </w:rPr>
                              <w:t>In June 2022 a</w:t>
                            </w:r>
                            <w:r w:rsidR="0099020D" w:rsidRPr="00496A09">
                              <w:rPr>
                                <w:rFonts w:cs="Arial"/>
                                <w:color w:val="auto"/>
                              </w:rPr>
                              <w:t xml:space="preserve"> pilot was conducted in Newcastle </w:t>
                            </w:r>
                            <w:r w:rsidR="00CE5B8B" w:rsidRPr="00496A09">
                              <w:rPr>
                                <w:rFonts w:cs="Arial"/>
                                <w:color w:val="auto"/>
                              </w:rPr>
                              <w:t>u</w:t>
                            </w:r>
                            <w:r w:rsidR="0099020D" w:rsidRPr="00496A09">
                              <w:rPr>
                                <w:rFonts w:cs="Arial"/>
                                <w:color w:val="auto"/>
                              </w:rPr>
                              <w:t>pon Tyne where a small team of 14.5 WTE staff devised a communications programme to target unvaccinated individuals. This included a poster campaign w</w:t>
                            </w:r>
                            <w:r w:rsidR="00BF008B" w:rsidRPr="00496A09">
                              <w:rPr>
                                <w:rFonts w:cs="Arial"/>
                                <w:color w:val="auto"/>
                              </w:rPr>
                              <w:t>ith</w:t>
                            </w:r>
                            <w:r w:rsidR="0099020D" w:rsidRPr="00496A09">
                              <w:rPr>
                                <w:rFonts w:cs="Arial"/>
                                <w:color w:val="auto"/>
                              </w:rPr>
                              <w:t xml:space="preserve"> </w:t>
                            </w:r>
                            <w:r w:rsidR="00BF008B" w:rsidRPr="00496A09">
                              <w:rPr>
                                <w:rFonts w:cs="Arial"/>
                                <w:color w:val="auto"/>
                              </w:rPr>
                              <w:t xml:space="preserve">one </w:t>
                            </w:r>
                            <w:r w:rsidR="0099020D" w:rsidRPr="00496A09">
                              <w:rPr>
                                <w:rFonts w:cs="Arial"/>
                                <w:color w:val="auto"/>
                              </w:rPr>
                              <w:t>QR code that would take families straight to our electronic consent page and another to take them through to the UKHSA health education publication. This was sent to all schools, 0-19 services and GP practices to enable a visible presence across the county. All schools had a named nurse who supported with information sharing and vaccination sessions. Utilising GDPR legislation, all schools were asked for their class lists with contact telephone numbers to ascertain pupils who had not submitted a consent form. The</w:t>
                            </w:r>
                            <w:r w:rsidR="0099020D" w:rsidRPr="0099020D">
                              <w:rPr>
                                <w:rFonts w:cs="Arial"/>
                                <w:color w:val="auto"/>
                              </w:rPr>
                              <w:t xml:space="preserve"> NHS No-Reply text messaging service was then used to target these families directly. </w:t>
                            </w:r>
                          </w:p>
                          <w:p w14:paraId="4C1EB81D" w14:textId="7CBFA68E" w:rsidR="00AC646E" w:rsidRPr="0084408D" w:rsidRDefault="00166778" w:rsidP="0099020D">
                            <w:pPr>
                              <w:spacing w:after="180" w:line="276" w:lineRule="auto"/>
                              <w:rPr>
                                <w:rFonts w:cs="Arial"/>
                                <w:color w:val="auto"/>
                              </w:rPr>
                            </w:pPr>
                            <w:r>
                              <w:rPr>
                                <w:rFonts w:cs="Arial"/>
                                <w:color w:val="auto"/>
                              </w:rPr>
                              <w:t xml:space="preserve">By the end of July 2022 </w:t>
                            </w:r>
                            <w:r w:rsidR="0099020D" w:rsidRPr="0099020D">
                              <w:rPr>
                                <w:rFonts w:cs="Arial"/>
                                <w:color w:val="auto"/>
                              </w:rPr>
                              <w:t>an additional 1,569 young people were successfully vaccinated from this pilot. Subsequently this strategy was deployed in Northumberland and North Tyneside.</w:t>
                            </w:r>
                          </w:p>
                          <w:p w14:paraId="359AAF1F" w14:textId="6FC87920" w:rsidR="009133AC" w:rsidRPr="0084408D" w:rsidRDefault="009133AC" w:rsidP="009133AC">
                            <w:pPr>
                              <w:spacing w:line="276" w:lineRule="auto"/>
                              <w:rPr>
                                <w:rFonts w:cs="Arial"/>
                                <w:color w:val="auto"/>
                              </w:rPr>
                            </w:pPr>
                            <w:r w:rsidRPr="0084408D">
                              <w:rPr>
                                <w:rFonts w:cs="Arial"/>
                                <w:color w:val="auto"/>
                              </w:rPr>
                              <w:t xml:space="preserve"> </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38EF7" id="Text Box 58961990" o:spid="_x0000_s1029" type="#_x0000_t202" style="position:absolute;margin-left:0;margin-top:349.05pt;width:501.4pt;height:361.2pt;z-index:251658252;visibility:visible;mso-wrap-style:square;mso-width-percent:0;mso-height-percent:0;mso-wrap-distance-left:18pt;mso-wrap-distance-top:18pt;mso-wrap-distance-right:18pt;mso-wrap-distance-bottom:18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" strokecolor="#231f20" strokeweight=".5pt">
                <v:fill color2="#bfd9f1" rotate="t" focusposition=".5,.5" focussize="-.5,-.5" focus="100%" type="gradientRadial"/>
                <v:textbox inset="14.4pt,14.4pt,14.4pt,14.4pt">
                  <w:txbxContent>
                    <w:p w14:paraId="24F0FCCB" w14:textId="3CA84E85" w:rsidR="009133AC" w:rsidRPr="0084408D" w:rsidRDefault="009133AC" w:rsidP="009133AC">
                      <w:pPr>
                        <w:spacing w:after="180" w:line="276" w:lineRule="auto"/>
                        <w:rPr>
                          <w:rFonts w:cs="Arial"/>
                          <w:color w:val="auto"/>
                        </w:rPr>
                      </w:pPr>
                      <w:r w:rsidRPr="0084408D">
                        <w:rPr>
                          <w:rFonts w:cs="Arial"/>
                          <w:b/>
                          <w:bCs/>
                          <w:color w:val="auto"/>
                        </w:rPr>
                        <w:t xml:space="preserve">Case study: </w:t>
                      </w:r>
                      <w:r w:rsidR="00F15FCA" w:rsidRPr="00F15FCA">
                        <w:rPr>
                          <w:rFonts w:cs="Arial"/>
                          <w:b/>
                          <w:bCs/>
                          <w:color w:val="auto"/>
                        </w:rPr>
                        <w:t>HPV vaccine catch up in the North East and North Cumbria</w:t>
                      </w:r>
                    </w:p>
                    <w:p w14:paraId="623369EC" w14:textId="454092FC" w:rsidR="0099020D" w:rsidRPr="00496A09" w:rsidRDefault="0099020D" w:rsidP="0099020D">
                      <w:pPr>
                        <w:spacing w:after="180" w:line="276" w:lineRule="auto"/>
                        <w:rPr>
                          <w:rFonts w:cs="Arial"/>
                          <w:color w:val="auto"/>
                        </w:rPr>
                      </w:pPr>
                      <w:r w:rsidRPr="00496A09">
                        <w:rPr>
                          <w:rFonts w:cs="Arial"/>
                          <w:color w:val="auto"/>
                        </w:rPr>
                        <w:t>HPV vaccination consents were significantly lower than</w:t>
                      </w:r>
                      <w:r w:rsidR="008070AB" w:rsidRPr="00496A09">
                        <w:rPr>
                          <w:rFonts w:cs="Arial"/>
                          <w:color w:val="auto"/>
                        </w:rPr>
                        <w:t xml:space="preserve"> in years </w:t>
                      </w:r>
                      <w:r w:rsidR="00033BE9" w:rsidRPr="00496A09">
                        <w:rPr>
                          <w:rFonts w:cs="Arial"/>
                          <w:color w:val="auto"/>
                        </w:rPr>
                        <w:t>before</w:t>
                      </w:r>
                      <w:r w:rsidR="008070AB" w:rsidRPr="00496A09">
                        <w:rPr>
                          <w:rFonts w:cs="Arial"/>
                          <w:color w:val="auto"/>
                        </w:rPr>
                        <w:t xml:space="preserve"> to the COVID pandemic. </w:t>
                      </w:r>
                      <w:r w:rsidRPr="00496A09">
                        <w:rPr>
                          <w:rFonts w:cs="Arial"/>
                          <w:color w:val="auto"/>
                        </w:rPr>
                        <w:t xml:space="preserve"> </w:t>
                      </w:r>
                      <w:r w:rsidR="00C55021" w:rsidRPr="00496A09">
                        <w:rPr>
                          <w:rFonts w:cs="Arial"/>
                          <w:color w:val="auto"/>
                        </w:rPr>
                        <w:t>Therefore,</w:t>
                      </w:r>
                      <w:r w:rsidRPr="00496A09">
                        <w:rPr>
                          <w:rFonts w:cs="Arial"/>
                          <w:color w:val="auto"/>
                        </w:rPr>
                        <w:t xml:space="preserve"> </w:t>
                      </w:r>
                      <w:r w:rsidR="00B26035" w:rsidRPr="00496A09">
                        <w:rPr>
                          <w:rFonts w:cs="Arial"/>
                          <w:color w:val="auto"/>
                        </w:rPr>
                        <w:t xml:space="preserve">a </w:t>
                      </w:r>
                      <w:r w:rsidRPr="00496A09">
                        <w:rPr>
                          <w:rFonts w:cs="Arial"/>
                          <w:color w:val="auto"/>
                        </w:rPr>
                        <w:t xml:space="preserve">service was needed to look at new innovative ways to tackle this. NHS England commissioned Northumbria Healthcare Trust’s School Age Immunisation Service to deliver all school age vaccinations across Northumberland, North Tyneside, and Newcastle </w:t>
                      </w:r>
                      <w:r w:rsidR="00033BE9" w:rsidRPr="00496A09">
                        <w:rPr>
                          <w:rFonts w:cs="Arial"/>
                          <w:color w:val="auto"/>
                        </w:rPr>
                        <w:t>u</w:t>
                      </w:r>
                      <w:r w:rsidRPr="00496A09">
                        <w:rPr>
                          <w:rFonts w:cs="Arial"/>
                          <w:color w:val="auto"/>
                        </w:rPr>
                        <w:t xml:space="preserve">pon Tyne. </w:t>
                      </w:r>
                    </w:p>
                    <w:p w14:paraId="620D24EE" w14:textId="0624B82F" w:rsidR="0099020D" w:rsidRPr="0099020D" w:rsidRDefault="00166778" w:rsidP="0099020D">
                      <w:pPr>
                        <w:spacing w:after="180" w:line="276" w:lineRule="auto"/>
                        <w:rPr>
                          <w:rFonts w:cs="Arial"/>
                          <w:color w:val="auto"/>
                        </w:rPr>
                      </w:pPr>
                      <w:r w:rsidRPr="00496A09">
                        <w:rPr>
                          <w:rFonts w:cs="Arial"/>
                          <w:color w:val="auto"/>
                        </w:rPr>
                        <w:t>In June 2022 a</w:t>
                      </w:r>
                      <w:r w:rsidR="0099020D" w:rsidRPr="00496A09">
                        <w:rPr>
                          <w:rFonts w:cs="Arial"/>
                          <w:color w:val="auto"/>
                        </w:rPr>
                        <w:t xml:space="preserve"> pilot was conducted in Newcastle </w:t>
                      </w:r>
                      <w:r w:rsidR="00CE5B8B" w:rsidRPr="00496A09">
                        <w:rPr>
                          <w:rFonts w:cs="Arial"/>
                          <w:color w:val="auto"/>
                        </w:rPr>
                        <w:t>u</w:t>
                      </w:r>
                      <w:r w:rsidR="0099020D" w:rsidRPr="00496A09">
                        <w:rPr>
                          <w:rFonts w:cs="Arial"/>
                          <w:color w:val="auto"/>
                        </w:rPr>
                        <w:t>pon Tyne where a small team of 14.5 WTE staff devised a communications programme to target unvaccinated individuals. This included a poster campaign w</w:t>
                      </w:r>
                      <w:r w:rsidR="00BF008B" w:rsidRPr="00496A09">
                        <w:rPr>
                          <w:rFonts w:cs="Arial"/>
                          <w:color w:val="auto"/>
                        </w:rPr>
                        <w:t>ith</w:t>
                      </w:r>
                      <w:r w:rsidR="0099020D" w:rsidRPr="00496A09">
                        <w:rPr>
                          <w:rFonts w:cs="Arial"/>
                          <w:color w:val="auto"/>
                        </w:rPr>
                        <w:t xml:space="preserve"> </w:t>
                      </w:r>
                      <w:r w:rsidR="00BF008B" w:rsidRPr="00496A09">
                        <w:rPr>
                          <w:rFonts w:cs="Arial"/>
                          <w:color w:val="auto"/>
                        </w:rPr>
                        <w:t xml:space="preserve">one </w:t>
                      </w:r>
                      <w:r w:rsidR="0099020D" w:rsidRPr="00496A09">
                        <w:rPr>
                          <w:rFonts w:cs="Arial"/>
                          <w:color w:val="auto"/>
                        </w:rPr>
                        <w:t>QR code that would take families straight to our electronic consent page and another to take them through to the UKHSA health education publication. This was sent to all schools, 0-19 services and GP practices to enable a visible presence across the county. All schools had a named nurse who supported with information sharing and vaccination sessions. Utilising GDPR legislation, all schools were asked for their class lists with contact telephone numbers to ascertain pupils who had not submitted a consent form. The</w:t>
                      </w:r>
                      <w:r w:rsidR="0099020D" w:rsidRPr="0099020D">
                        <w:rPr>
                          <w:rFonts w:cs="Arial"/>
                          <w:color w:val="auto"/>
                        </w:rPr>
                        <w:t xml:space="preserve"> NHS No-Reply text messaging service was then used to target these families directly. </w:t>
                      </w:r>
                    </w:p>
                    <w:p w14:paraId="4C1EB81D" w14:textId="7CBFA68E" w:rsidR="00AC646E" w:rsidRPr="0084408D" w:rsidRDefault="00166778" w:rsidP="0099020D">
                      <w:pPr>
                        <w:spacing w:after="180" w:line="276" w:lineRule="auto"/>
                        <w:rPr>
                          <w:rFonts w:cs="Arial"/>
                          <w:color w:val="auto"/>
                        </w:rPr>
                      </w:pPr>
                      <w:r>
                        <w:rPr>
                          <w:rFonts w:cs="Arial"/>
                          <w:color w:val="auto"/>
                        </w:rPr>
                        <w:t xml:space="preserve">By the end of July 2022 </w:t>
                      </w:r>
                      <w:r w:rsidR="0099020D" w:rsidRPr="0099020D">
                        <w:rPr>
                          <w:rFonts w:cs="Arial"/>
                          <w:color w:val="auto"/>
                        </w:rPr>
                        <w:t>an additional 1,569 young people were successfully vaccinated from this pilot. Subsequently this strategy was deployed in Northumberland and North Tyneside.</w:t>
                      </w:r>
                    </w:p>
                    <w:p w14:paraId="359AAF1F" w14:textId="6FC87920" w:rsidR="009133AC" w:rsidRPr="0084408D" w:rsidRDefault="009133AC" w:rsidP="009133AC">
                      <w:pPr>
                        <w:spacing w:line="276" w:lineRule="auto"/>
                        <w:rPr>
                          <w:rFonts w:cs="Arial"/>
                          <w:color w:val="auto"/>
                        </w:rPr>
                      </w:pPr>
                      <w:r w:rsidRPr="0084408D">
                        <w:rPr>
                          <w:rFonts w:cs="Arial"/>
                          <w:color w:val="auto"/>
                        </w:rPr>
                        <w:t xml:space="preserve"> </w:t>
                      </w:r>
                    </w:p>
                  </w:txbxContent>
                </v:textbox>
                <w10:wrap anchorx="margin" anchory="page"/>
              </v:shape>
            </w:pict>
          </mc:Fallback>
        </mc:AlternateContent>
      </w:r>
    </w:p>
    <w:p w14:paraId="6FA5D7E8" w14:textId="20E1850A" w:rsidR="009133AC" w:rsidRPr="00496A09" w:rsidRDefault="009133AC" w:rsidP="009133AC">
      <w:pPr>
        <w:spacing w:line="276" w:lineRule="auto"/>
        <w:textboxTightWrap w:val="none"/>
      </w:pPr>
    </w:p>
    <w:p w14:paraId="6A22A884" w14:textId="77777777" w:rsidR="009133AC" w:rsidRPr="00496A09" w:rsidRDefault="009133AC" w:rsidP="009133AC">
      <w:pPr>
        <w:spacing w:line="276" w:lineRule="auto"/>
        <w:textboxTightWrap w:val="none"/>
      </w:pPr>
    </w:p>
    <w:p w14:paraId="59A3FCE1" w14:textId="77777777" w:rsidR="009133AC" w:rsidRPr="00496A09" w:rsidRDefault="009133AC" w:rsidP="009133AC">
      <w:pPr>
        <w:spacing w:line="276" w:lineRule="auto"/>
        <w:textboxTightWrap w:val="none"/>
      </w:pPr>
    </w:p>
    <w:p w14:paraId="791988E8" w14:textId="77777777" w:rsidR="009133AC" w:rsidRPr="00496A09" w:rsidRDefault="009133AC" w:rsidP="009133AC">
      <w:pPr>
        <w:spacing w:line="276" w:lineRule="auto"/>
        <w:textboxTightWrap w:val="none"/>
      </w:pPr>
    </w:p>
    <w:p w14:paraId="067EB506" w14:textId="77777777" w:rsidR="009133AC" w:rsidRPr="00496A09" w:rsidRDefault="009133AC" w:rsidP="009133AC">
      <w:pPr>
        <w:spacing w:line="276" w:lineRule="auto"/>
        <w:textboxTightWrap w:val="none"/>
      </w:pPr>
    </w:p>
    <w:p w14:paraId="6DBA2083" w14:textId="77777777" w:rsidR="009133AC" w:rsidRPr="00496A09" w:rsidRDefault="009133AC" w:rsidP="009133AC">
      <w:pPr>
        <w:spacing w:line="276" w:lineRule="auto"/>
        <w:textboxTightWrap w:val="none"/>
      </w:pPr>
    </w:p>
    <w:p w14:paraId="17B43F16" w14:textId="77777777" w:rsidR="009133AC" w:rsidRPr="00496A09" w:rsidRDefault="009133AC" w:rsidP="009133AC">
      <w:pPr>
        <w:spacing w:line="276" w:lineRule="auto"/>
        <w:textboxTightWrap w:val="none"/>
      </w:pPr>
    </w:p>
    <w:p w14:paraId="00A3133B" w14:textId="77777777" w:rsidR="009133AC" w:rsidRPr="00496A09" w:rsidRDefault="009133AC" w:rsidP="009133AC">
      <w:pPr>
        <w:spacing w:line="276" w:lineRule="auto"/>
        <w:textboxTightWrap w:val="none"/>
      </w:pPr>
    </w:p>
    <w:p w14:paraId="6CF19667" w14:textId="77777777" w:rsidR="009133AC" w:rsidRPr="00496A09" w:rsidRDefault="009133AC" w:rsidP="009133AC">
      <w:pPr>
        <w:spacing w:line="276" w:lineRule="auto"/>
        <w:textboxTightWrap w:val="none"/>
      </w:pPr>
    </w:p>
    <w:p w14:paraId="273EB704" w14:textId="77777777" w:rsidR="009133AC" w:rsidRPr="00496A09" w:rsidRDefault="009133AC" w:rsidP="009133AC">
      <w:pPr>
        <w:spacing w:line="276" w:lineRule="auto"/>
        <w:textboxTightWrap w:val="none"/>
      </w:pPr>
    </w:p>
    <w:p w14:paraId="76A8F70A" w14:textId="77777777" w:rsidR="00C77A92" w:rsidRPr="00496A09" w:rsidRDefault="00C77A92" w:rsidP="009133AC">
      <w:pPr>
        <w:spacing w:line="276" w:lineRule="auto"/>
        <w:textboxTightWrap w:val="none"/>
      </w:pPr>
    </w:p>
    <w:p w14:paraId="28DE7816" w14:textId="77777777" w:rsidR="00C77A92" w:rsidRPr="00496A09" w:rsidRDefault="00C77A92" w:rsidP="009133AC">
      <w:pPr>
        <w:spacing w:line="276" w:lineRule="auto"/>
        <w:textboxTightWrap w:val="none"/>
      </w:pPr>
    </w:p>
    <w:p w14:paraId="14BF739D" w14:textId="77777777" w:rsidR="00C77A92" w:rsidRPr="00496A09" w:rsidRDefault="00C77A92" w:rsidP="009133AC">
      <w:pPr>
        <w:spacing w:line="276" w:lineRule="auto"/>
        <w:textboxTightWrap w:val="none"/>
      </w:pPr>
    </w:p>
    <w:p w14:paraId="495CB665" w14:textId="77777777" w:rsidR="00C77A92" w:rsidRPr="00496A09" w:rsidRDefault="00C77A92" w:rsidP="009133AC">
      <w:pPr>
        <w:spacing w:line="276" w:lineRule="auto"/>
        <w:textboxTightWrap w:val="none"/>
      </w:pPr>
    </w:p>
    <w:p w14:paraId="74C243B6" w14:textId="66FA7041" w:rsidR="00C77A92" w:rsidRPr="00496A09" w:rsidRDefault="00C77A92" w:rsidP="009133AC">
      <w:pPr>
        <w:spacing w:line="276" w:lineRule="auto"/>
        <w:textboxTightWrap w:val="none"/>
      </w:pPr>
    </w:p>
    <w:p w14:paraId="03EED4A6" w14:textId="32C5BD43" w:rsidR="00C77A92" w:rsidRPr="00496A09" w:rsidRDefault="00C77A92" w:rsidP="009133AC">
      <w:pPr>
        <w:spacing w:line="276" w:lineRule="auto"/>
        <w:textboxTightWrap w:val="none"/>
      </w:pPr>
      <w:r w:rsidRPr="00496A09">
        <w:rPr>
          <w:noProof/>
        </w:rPr>
        <mc:AlternateContent>
          <mc:Choice Requires="wps">
            <w:drawing>
              <wp:anchor distT="228600" distB="228600" distL="228600" distR="228600" simplePos="0" relativeHeight="251658254" behindDoc="0" locked="0" layoutInCell="1" allowOverlap="1" wp14:anchorId="61123623" wp14:editId="309B1450">
                <wp:simplePos x="0" y="0"/>
                <wp:positionH relativeFrom="margin">
                  <wp:align>left</wp:align>
                </wp:positionH>
                <wp:positionV relativeFrom="page">
                  <wp:posOffset>1216192</wp:posOffset>
                </wp:positionV>
                <wp:extent cx="6367780" cy="3708400"/>
                <wp:effectExtent l="0" t="0" r="13970" b="25400"/>
                <wp:wrapNone/>
                <wp:docPr id="443153293" name="Text Box 443153293"/>
                <wp:cNvGraphicFramePr/>
                <a:graphic xmlns:a="http://schemas.openxmlformats.org/drawingml/2006/main">
                  <a:graphicData uri="http://schemas.microsoft.com/office/word/2010/wordprocessingShape">
                    <wps:wsp>
                      <wps:cNvSpPr txBox="1"/>
                      <wps:spPr>
                        <a:xfrm>
                          <a:off x="0" y="0"/>
                          <a:ext cx="6367780" cy="3708400"/>
                        </a:xfrm>
                        <a:prstGeom prst="rect">
                          <a:avLst/>
                        </a:prstGeom>
                        <a:gradFill rotWithShape="1">
                          <a:gsLst>
                            <a:gs pos="0">
                              <a:srgbClr val="CCDFF1">
                                <a:tint val="90000"/>
                                <a:satMod val="92000"/>
                                <a:lumMod val="120000"/>
                              </a:srgbClr>
                            </a:gs>
                            <a:gs pos="100000">
                              <a:srgbClr val="CCDFF1">
                                <a:shade val="98000"/>
                                <a:satMod val="120000"/>
                                <a:lumMod val="98000"/>
                              </a:srgbClr>
                            </a:gs>
                          </a:gsLst>
                          <a:path path="circle">
                            <a:fillToRect l="50000" t="50000" r="100000" b="100000"/>
                          </a:path>
                        </a:gradFill>
                        <a:ln w="6350">
                          <a:solidFill>
                            <a:srgbClr val="231F20"/>
                          </a:solidFill>
                        </a:ln>
                        <a:effectLst/>
                      </wps:spPr>
                      <wps:txbx>
                        <w:txbxContent>
                          <w:p w14:paraId="7ACBBC4C" w14:textId="77777777" w:rsidR="004A46C7" w:rsidRPr="004A46C7" w:rsidRDefault="004A46C7" w:rsidP="004A46C7">
                            <w:pPr>
                              <w:spacing w:after="0" w:line="276" w:lineRule="auto"/>
                              <w:rPr>
                                <w:rFonts w:cs="Arial"/>
                                <w:b/>
                                <w:bCs/>
                                <w:color w:val="auto"/>
                              </w:rPr>
                            </w:pPr>
                            <w:r w:rsidRPr="004A46C7">
                              <w:rPr>
                                <w:rFonts w:cs="Arial"/>
                                <w:b/>
                                <w:bCs/>
                                <w:color w:val="auto"/>
                              </w:rPr>
                              <w:t xml:space="preserve">The NHS ambition to eliminate cervical cancer by 2040 </w:t>
                            </w:r>
                          </w:p>
                          <w:p w14:paraId="7503B3A1" w14:textId="77777777" w:rsidR="004A46C7" w:rsidRPr="004A46C7" w:rsidRDefault="004A46C7" w:rsidP="004A46C7">
                            <w:pPr>
                              <w:spacing w:after="0" w:line="276" w:lineRule="auto"/>
                              <w:rPr>
                                <w:rFonts w:cs="Arial"/>
                                <w:color w:val="auto"/>
                              </w:rPr>
                            </w:pPr>
                            <w:r w:rsidRPr="004A46C7">
                              <w:rPr>
                                <w:rFonts w:cs="Arial"/>
                                <w:color w:val="auto"/>
                              </w:rPr>
                              <w:t xml:space="preserve">Vaccination is essential to protect against the human papillomavirus (HPV), which is responsible for up to 99% of cervical cancers. We will soon develop further implementation plans for how HPV vaccinations, alongside cervical screening and pre-cancer treatment, can help achieve the NHS ambition to eliminate cervical cancer by 2040. </w:t>
                            </w:r>
                          </w:p>
                          <w:p w14:paraId="2A0F29CA" w14:textId="77777777" w:rsidR="004A46C7" w:rsidRPr="004A46C7" w:rsidRDefault="004A46C7" w:rsidP="004A46C7">
                            <w:pPr>
                              <w:spacing w:after="0" w:line="276" w:lineRule="auto"/>
                              <w:rPr>
                                <w:rFonts w:cs="Arial"/>
                                <w:color w:val="auto"/>
                              </w:rPr>
                            </w:pPr>
                          </w:p>
                          <w:p w14:paraId="0EF14605" w14:textId="3CB3D539" w:rsidR="00C479FA" w:rsidRPr="00EC3C36" w:rsidRDefault="004A46C7" w:rsidP="004A46C7">
                            <w:pPr>
                              <w:spacing w:after="0" w:line="276" w:lineRule="auto"/>
                              <w:rPr>
                                <w:rFonts w:cs="Arial"/>
                                <w:color w:val="auto"/>
                              </w:rPr>
                            </w:pPr>
                            <w:r w:rsidRPr="004A46C7">
                              <w:rPr>
                                <w:rFonts w:cs="Arial"/>
                                <w:color w:val="auto"/>
                              </w:rPr>
                              <w:t>To support increased uptake of HPV vaccination, the first pillar of our plan, we will be making changes to some elements of school-aged vaccination delivery. This includes improving communication with parents and enabling them to easily consent for their child to be vaccinated, changing how providers of school-aged vaccinations capture data, and enabling better collaboration across the vaccination provider network about who has and has not been vaccinated. This will better allow providers to identify areas of low uptake and undertake targeted outreach. This may include offering opportunistic vaccination outside schools, delivering education and awareness sessions in convenient locations, and the development of tailored communications for underserved communities.</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23623" id="Text Box 443153293" o:spid="_x0000_s1030" type="#_x0000_t202" style="position:absolute;margin-left:0;margin-top:95.75pt;width:501.4pt;height:292pt;z-index:251658254;visibility:visible;mso-wrap-style:square;mso-width-percent:0;mso-height-percent:0;mso-wrap-distance-left:18pt;mso-wrap-distance-top:18pt;mso-wrap-distance-right:18pt;mso-wrap-distance-bottom:18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" strokecolor="#231f20" strokeweight=".5pt">
                <v:fill color2="#bfd9f1" rotate="t" focusposition=".5,.5" focussize="-.5,-.5" focus="100%" type="gradientRadial"/>
                <v:textbox inset="14.4pt,14.4pt,14.4pt,14.4pt">
                  <w:txbxContent>
                    <w:p w14:paraId="7ACBBC4C" w14:textId="77777777" w:rsidR="004A46C7" w:rsidRPr="004A46C7" w:rsidRDefault="004A46C7" w:rsidP="004A46C7">
                      <w:pPr>
                        <w:spacing w:after="0" w:line="276" w:lineRule="auto"/>
                        <w:rPr>
                          <w:rFonts w:cs="Arial"/>
                          <w:b/>
                          <w:bCs/>
                          <w:color w:val="auto"/>
                        </w:rPr>
                      </w:pPr>
                      <w:r w:rsidRPr="004A46C7">
                        <w:rPr>
                          <w:rFonts w:cs="Arial"/>
                          <w:b/>
                          <w:bCs/>
                          <w:color w:val="auto"/>
                        </w:rPr>
                        <w:t xml:space="preserve">The NHS ambition to eliminate cervical cancer by 2040 </w:t>
                      </w:r>
                    </w:p>
                    <w:p w14:paraId="7503B3A1" w14:textId="77777777" w:rsidR="004A46C7" w:rsidRPr="004A46C7" w:rsidRDefault="004A46C7" w:rsidP="004A46C7">
                      <w:pPr>
                        <w:spacing w:after="0" w:line="276" w:lineRule="auto"/>
                        <w:rPr>
                          <w:rFonts w:cs="Arial"/>
                          <w:color w:val="auto"/>
                        </w:rPr>
                      </w:pPr>
                      <w:r w:rsidRPr="004A46C7">
                        <w:rPr>
                          <w:rFonts w:cs="Arial"/>
                          <w:color w:val="auto"/>
                        </w:rPr>
                        <w:t xml:space="preserve">Vaccination is essential to protect against the human papillomavirus (HPV), which is responsible for up to 99% of cervical cancers. We will soon develop further implementation plans for how HPV vaccinations, alongside cervical screening and pre-cancer treatment, can help achieve the NHS ambition to eliminate cervical cancer by 2040. </w:t>
                      </w:r>
                    </w:p>
                    <w:p w14:paraId="2A0F29CA" w14:textId="77777777" w:rsidR="004A46C7" w:rsidRPr="004A46C7" w:rsidRDefault="004A46C7" w:rsidP="004A46C7">
                      <w:pPr>
                        <w:spacing w:after="0" w:line="276" w:lineRule="auto"/>
                        <w:rPr>
                          <w:rFonts w:cs="Arial"/>
                          <w:color w:val="auto"/>
                        </w:rPr>
                      </w:pPr>
                    </w:p>
                    <w:p w14:paraId="0EF14605" w14:textId="3CB3D539" w:rsidR="00C479FA" w:rsidRPr="00EC3C36" w:rsidRDefault="004A46C7" w:rsidP="004A46C7">
                      <w:pPr>
                        <w:spacing w:after="0" w:line="276" w:lineRule="auto"/>
                        <w:rPr>
                          <w:rFonts w:cs="Arial"/>
                          <w:color w:val="auto"/>
                        </w:rPr>
                      </w:pPr>
                      <w:r w:rsidRPr="004A46C7">
                        <w:rPr>
                          <w:rFonts w:cs="Arial"/>
                          <w:color w:val="auto"/>
                        </w:rPr>
                        <w:t>To support increased uptake of HPV vaccination, the first pillar of our plan, we will be making changes to some elements of school-aged vaccination delivery. This includes improving communication with parents and enabling them to easily consent for their child to be vaccinated, changing how providers of school-aged vaccinations capture data, and enabling better collaboration across the vaccination provider network about who has and has not been vaccinated. This will better allow providers to identify areas of low uptake and undertake targeted outreach. This may include offering opportunistic vaccination outside schools, delivering education and awareness sessions in convenient locations, and the development of tailored communications for underserved communities.</w:t>
                      </w:r>
                    </w:p>
                  </w:txbxContent>
                </v:textbox>
                <w10:wrap anchorx="margin" anchory="page"/>
              </v:shape>
            </w:pict>
          </mc:Fallback>
        </mc:AlternateContent>
      </w:r>
    </w:p>
    <w:p w14:paraId="216C3CAA" w14:textId="736EBDA1" w:rsidR="00C77A92" w:rsidRPr="00496A09" w:rsidRDefault="00C77A92" w:rsidP="009133AC">
      <w:pPr>
        <w:spacing w:line="276" w:lineRule="auto"/>
        <w:textboxTightWrap w:val="none"/>
      </w:pPr>
    </w:p>
    <w:p w14:paraId="11784FF7" w14:textId="63A4EF12" w:rsidR="00C77A92" w:rsidRPr="00496A09" w:rsidRDefault="00C77A92" w:rsidP="009133AC">
      <w:pPr>
        <w:spacing w:line="276" w:lineRule="auto"/>
        <w:textboxTightWrap w:val="none"/>
      </w:pPr>
    </w:p>
    <w:p w14:paraId="5A3F2C18" w14:textId="0F08AA42" w:rsidR="00C77A92" w:rsidRPr="00496A09" w:rsidRDefault="00C77A92" w:rsidP="009133AC">
      <w:pPr>
        <w:spacing w:line="276" w:lineRule="auto"/>
        <w:textboxTightWrap w:val="none"/>
      </w:pPr>
    </w:p>
    <w:p w14:paraId="3633DD91" w14:textId="77777777" w:rsidR="00C77A92" w:rsidRPr="00496A09" w:rsidRDefault="00C77A92" w:rsidP="009133AC">
      <w:pPr>
        <w:spacing w:line="276" w:lineRule="auto"/>
        <w:textboxTightWrap w:val="none"/>
      </w:pPr>
    </w:p>
    <w:p w14:paraId="5495621B" w14:textId="7CC1C7A7" w:rsidR="00C77A92" w:rsidRPr="00496A09" w:rsidRDefault="00C77A92" w:rsidP="009133AC">
      <w:pPr>
        <w:spacing w:line="276" w:lineRule="auto"/>
        <w:textboxTightWrap w:val="none"/>
      </w:pPr>
    </w:p>
    <w:p w14:paraId="4626AFBB" w14:textId="77777777" w:rsidR="00C77A92" w:rsidRPr="00496A09" w:rsidRDefault="00C77A92" w:rsidP="009133AC">
      <w:pPr>
        <w:spacing w:line="276" w:lineRule="auto"/>
        <w:textboxTightWrap w:val="none"/>
      </w:pPr>
    </w:p>
    <w:p w14:paraId="3EFABB3E" w14:textId="77777777" w:rsidR="00C77A92" w:rsidRPr="00496A09" w:rsidRDefault="00C77A92" w:rsidP="009133AC">
      <w:pPr>
        <w:spacing w:line="276" w:lineRule="auto"/>
        <w:textboxTightWrap w:val="none"/>
      </w:pPr>
    </w:p>
    <w:p w14:paraId="4F2D4B2C" w14:textId="6AD07EC9" w:rsidR="00C77A92" w:rsidRPr="00496A09" w:rsidRDefault="00C77A92" w:rsidP="009133AC">
      <w:pPr>
        <w:spacing w:line="276" w:lineRule="auto"/>
        <w:textboxTightWrap w:val="none"/>
      </w:pPr>
    </w:p>
    <w:p w14:paraId="6558B028" w14:textId="77777777" w:rsidR="00C77A92" w:rsidRPr="00496A09" w:rsidRDefault="00C77A92" w:rsidP="009133AC">
      <w:pPr>
        <w:spacing w:line="276" w:lineRule="auto"/>
        <w:textboxTightWrap w:val="none"/>
      </w:pPr>
    </w:p>
    <w:p w14:paraId="1CCEB112" w14:textId="68C0E104" w:rsidR="00C77A92" w:rsidRPr="00496A09" w:rsidRDefault="00C77A92" w:rsidP="009133AC">
      <w:pPr>
        <w:spacing w:line="276" w:lineRule="auto"/>
        <w:textboxTightWrap w:val="none"/>
      </w:pPr>
    </w:p>
    <w:p w14:paraId="58C17B6B" w14:textId="25678250" w:rsidR="00682961" w:rsidRPr="00496A09" w:rsidRDefault="00682961" w:rsidP="006C31D3">
      <w:pPr>
        <w:pStyle w:val="h3numbered"/>
        <w:spacing w:before="240" w:after="180"/>
      </w:pPr>
      <w:bookmarkStart w:id="18" w:name="_Toc153264062"/>
      <w:r w:rsidRPr="00496A09">
        <w:t>Targeted outreach services for underserved populations</w:t>
      </w:r>
      <w:bookmarkEnd w:id="18"/>
    </w:p>
    <w:p w14:paraId="126FEFCD" w14:textId="4AC11ADF" w:rsidR="00682961" w:rsidRPr="00496A09" w:rsidRDefault="00682961" w:rsidP="002B77D2">
      <w:pPr>
        <w:pStyle w:val="h4numbered"/>
        <w:spacing w:before="180" w:after="120" w:line="276" w:lineRule="auto"/>
        <w:ind w:left="794"/>
        <w:rPr>
          <w:color w:val="auto"/>
        </w:rPr>
      </w:pPr>
      <w:r w:rsidRPr="00496A09">
        <w:t>Our experience of delivering vaccinations and our engagement with the public, patient groups and providers of vaccination services tells us, overwhelmingly, that some people and communities cannot be well served by a core service, even one designed to be as accessible as possible. To increase uptake both in those communities and overall, we will need to provide supplementary outreach services, designed to meet specific needs.</w:t>
      </w:r>
    </w:p>
    <w:p w14:paraId="5BD26F11" w14:textId="3F34E3AC" w:rsidR="00682961" w:rsidRPr="00496A09" w:rsidRDefault="00682961" w:rsidP="00B938D1">
      <w:pPr>
        <w:spacing w:after="180"/>
        <w:ind w:right="57"/>
        <w:rPr>
          <w:b/>
          <w:bCs/>
          <w:color w:val="auto"/>
        </w:rPr>
      </w:pPr>
      <w:r w:rsidRPr="00496A09">
        <w:rPr>
          <w:b/>
          <w:bCs/>
          <w:color w:val="auto"/>
        </w:rPr>
        <w:t>Understanding need</w:t>
      </w:r>
    </w:p>
    <w:p w14:paraId="6945CE53" w14:textId="3E9D42AD" w:rsidR="0004497A" w:rsidRPr="00496A09" w:rsidRDefault="0004497A" w:rsidP="002B77D2">
      <w:pPr>
        <w:pStyle w:val="h4numbered"/>
        <w:keepNext w:val="0"/>
        <w:widowControl w:val="0"/>
        <w:spacing w:before="180" w:after="180" w:line="276" w:lineRule="auto"/>
        <w:ind w:left="794"/>
        <w:rPr>
          <w:color w:val="auto"/>
        </w:rPr>
      </w:pPr>
      <w:r w:rsidRPr="00496A09">
        <w:t xml:space="preserve">Local commissioners and providers of healthcare services, including local authorities and their directors of public health, are best placed to risk-stratify their populations and identify people and communities in their areas who require bespoke or targeted approaches – and to understand how to reach them through people, locations and services that are trusted by members of those communities (see below). These populations will often align with </w:t>
      </w:r>
      <w:hyperlink r:id="rId27">
        <w:r w:rsidRPr="00496A09">
          <w:rPr>
            <w:rStyle w:val="Hyperlink"/>
          </w:rPr>
          <w:t>Core20PLUS5 populations</w:t>
        </w:r>
      </w:hyperlink>
      <w:r w:rsidRPr="00496A09">
        <w:t>. ICBs should therefore be responsible for planning outreach services to best meet the needs of their populations, in partnership with local government, screening and immunisation teams (SITs), local community groups and the voluntary sector.</w:t>
      </w:r>
    </w:p>
    <w:p w14:paraId="665141EC" w14:textId="379CE0A6" w:rsidR="006E1C2B" w:rsidRPr="00496A09" w:rsidRDefault="006E1C2B" w:rsidP="002B77D2">
      <w:pPr>
        <w:pStyle w:val="h4numbered"/>
        <w:keepNext w:val="0"/>
        <w:widowControl w:val="0"/>
        <w:spacing w:before="180" w:after="180" w:line="276" w:lineRule="auto"/>
        <w:ind w:left="794"/>
        <w:rPr>
          <w:color w:val="auto"/>
        </w:rPr>
      </w:pPr>
      <w:r w:rsidRPr="00496A09">
        <w:t xml:space="preserve">Nationally, we will provide systems with digital tools that help them identify those who are unvaccinated or who need a catch-up offer. This is explored in </w:t>
      </w:r>
      <w:r w:rsidRPr="00496A09">
        <w:rPr>
          <w:color w:val="auto"/>
        </w:rPr>
        <w:t>section 4.4</w:t>
      </w:r>
      <w:r w:rsidRPr="00496A09">
        <w:t>.</w:t>
      </w:r>
    </w:p>
    <w:p w14:paraId="0266879D" w14:textId="378129ED" w:rsidR="006E1C2B" w:rsidRPr="00496A09" w:rsidRDefault="006E1C2B" w:rsidP="002B77D2">
      <w:pPr>
        <w:pStyle w:val="h4numbered"/>
        <w:keepNext w:val="0"/>
        <w:widowControl w:val="0"/>
        <w:spacing w:before="180" w:after="180" w:line="276" w:lineRule="auto"/>
        <w:ind w:left="794"/>
        <w:rPr>
          <w:color w:val="auto"/>
        </w:rPr>
      </w:pPr>
      <w:r w:rsidRPr="00496A09">
        <w:t>Outreach approaches will be needed most in areas of deprivation and ethnic and racial diversity, as well as for inclusion health groups.</w:t>
      </w:r>
      <w:r w:rsidRPr="00496A09">
        <w:rPr>
          <w:rStyle w:val="FootnoteReference"/>
        </w:rPr>
        <w:footnoteReference w:id="27"/>
      </w:r>
      <w:r w:rsidRPr="00496A09">
        <w:t xml:space="preserve"> This means they will be needed in every system in the country but will be a much larger part of the total offer in some systems than others.</w:t>
      </w:r>
    </w:p>
    <w:p w14:paraId="0D888904" w14:textId="77777777" w:rsidR="00200601" w:rsidRPr="00496A09" w:rsidRDefault="00B40B22" w:rsidP="00200601">
      <w:pPr>
        <w:pStyle w:val="h4numbered"/>
        <w:keepNext w:val="0"/>
        <w:widowControl w:val="0"/>
        <w:spacing w:before="180" w:after="120" w:line="276" w:lineRule="auto"/>
        <w:ind w:left="851" w:right="57" w:hanging="851"/>
      </w:pPr>
      <w:r w:rsidRPr="00496A09">
        <w:t>Outreach services should be planned alongside the core offer, as an integrated part of the system’s vaccination delivery network. This does not mean a single provider, single setting or single delivery model, but oversight and co-ordination across all vaccination services to ensure the whole population is reached and efficiencies are maximised. The Fuller Stocktake states outreach “should not be considered a bolt-on to the day job” – it must be delivered in a joined-up way with other services.</w:t>
      </w:r>
      <w:r w:rsidRPr="00496A09">
        <w:rPr>
          <w:rStyle w:val="FootnoteReference"/>
        </w:rPr>
        <w:footnoteReference w:id="28"/>
      </w:r>
    </w:p>
    <w:p w14:paraId="4C93EF50" w14:textId="77777777" w:rsidR="00200601" w:rsidRPr="00496A09" w:rsidRDefault="00DB703E" w:rsidP="00200601">
      <w:pPr>
        <w:pStyle w:val="h4numbered"/>
        <w:keepNext w:val="0"/>
        <w:widowControl w:val="0"/>
        <w:spacing w:before="180" w:after="120" w:line="276" w:lineRule="auto"/>
        <w:ind w:left="851" w:right="57" w:hanging="851"/>
      </w:pPr>
      <w:r w:rsidRPr="00496A09">
        <w:t>The type of outreach services deployed will depend on the community being targeted and the local partnership opportunities available. Some outreach may need to be planned or delivered across multiple systems to maximise value for money. Potential types of outreach service include:</w:t>
      </w:r>
      <w:r w:rsidR="000A3F68" w:rsidRPr="00496A09">
        <w:t xml:space="preserve"> </w:t>
      </w:r>
    </w:p>
    <w:p w14:paraId="08A24321" w14:textId="32F3C331" w:rsidR="00200601" w:rsidRPr="00496A09" w:rsidRDefault="00200601" w:rsidP="002B77D2">
      <w:pPr>
        <w:pStyle w:val="h4numbered"/>
        <w:keepNext w:val="0"/>
        <w:widowControl w:val="0"/>
        <w:numPr>
          <w:ilvl w:val="0"/>
          <w:numId w:val="47"/>
        </w:numPr>
        <w:spacing w:before="180" w:after="120" w:line="276" w:lineRule="auto"/>
        <w:ind w:left="1418" w:right="57" w:hanging="284"/>
      </w:pPr>
      <w:r w:rsidRPr="00496A09">
        <w:t>walk-in services based in the community, offering a range of vaccinations for adults and children, including catch-up</w:t>
      </w:r>
    </w:p>
    <w:p w14:paraId="53F60275" w14:textId="77777777" w:rsidR="00200601" w:rsidRPr="00496A09" w:rsidRDefault="00200601" w:rsidP="002B77D2">
      <w:pPr>
        <w:pStyle w:val="ListParagraph"/>
        <w:numPr>
          <w:ilvl w:val="0"/>
          <w:numId w:val="45"/>
        </w:numPr>
        <w:spacing w:after="120" w:line="276" w:lineRule="auto"/>
        <w:ind w:left="1418" w:right="57" w:hanging="284"/>
        <w:textboxTightWrap w:val="none"/>
      </w:pPr>
      <w:r w:rsidRPr="00496A09">
        <w:t>roving and pop-up services in trusted and/or convenient sites, such as community and faith centres, shopping centres and childcare settings</w:t>
      </w:r>
    </w:p>
    <w:p w14:paraId="1FC9288F" w14:textId="77777777" w:rsidR="00200601" w:rsidRPr="00496A09" w:rsidRDefault="00200601" w:rsidP="002B77D2">
      <w:pPr>
        <w:pStyle w:val="ListParagraph"/>
        <w:numPr>
          <w:ilvl w:val="0"/>
          <w:numId w:val="45"/>
        </w:numPr>
        <w:spacing w:after="120" w:line="276" w:lineRule="auto"/>
        <w:ind w:left="1418" w:right="57" w:hanging="284"/>
        <w:textboxTightWrap w:val="none"/>
      </w:pPr>
      <w:r w:rsidRPr="00496A09">
        <w:t>collaborating with other local providers and voluntary organisations that are already embedded in underserved communities</w:t>
      </w:r>
    </w:p>
    <w:p w14:paraId="0325B891" w14:textId="77777777" w:rsidR="00200601" w:rsidRPr="00496A09" w:rsidRDefault="00200601" w:rsidP="00200601">
      <w:pPr>
        <w:pStyle w:val="ListParagraph"/>
        <w:numPr>
          <w:ilvl w:val="0"/>
          <w:numId w:val="45"/>
        </w:numPr>
        <w:spacing w:line="276" w:lineRule="auto"/>
        <w:ind w:left="1418" w:right="57" w:hanging="284"/>
        <w:textboxTightWrap w:val="none"/>
      </w:pPr>
      <w:r w:rsidRPr="00496A09">
        <w:t>opportunistic vaccination, including in settings people visit for healthcare or other purposes, or when people receive services in their own homes.</w:t>
      </w:r>
    </w:p>
    <w:p w14:paraId="25697B40" w14:textId="4D533E69" w:rsidR="000A3F68" w:rsidRPr="00496A09" w:rsidRDefault="000A3F68" w:rsidP="000F06D0">
      <w:pPr>
        <w:pStyle w:val="h4numbered"/>
        <w:keepNext w:val="0"/>
        <w:spacing w:after="180" w:line="276" w:lineRule="auto"/>
        <w:ind w:left="794"/>
      </w:pPr>
      <w:r w:rsidRPr="00496A09">
        <w:t>Systems will need</w:t>
      </w:r>
      <w:r w:rsidR="0075075E" w:rsidRPr="00496A09">
        <w:t xml:space="preserve"> to consider the cost and impact of different interventions to inform local decisions on investment. We will continue to work nationally and regionally to support robust evaluation of the effectiveness of different outreach</w:t>
      </w:r>
      <w:r w:rsidR="000F06D0" w:rsidRPr="00496A09">
        <w:t xml:space="preserve"> </w:t>
      </w:r>
      <w:r w:rsidR="0075075E" w:rsidRPr="00496A09">
        <w:t>approaches and provide toolkits and expertise to help systems choose those that are most effective and best value for money for their population.</w:t>
      </w:r>
    </w:p>
    <w:p w14:paraId="508297EF" w14:textId="35E6C2ED" w:rsidR="0075075E" w:rsidRPr="00496A09" w:rsidRDefault="0075075E" w:rsidP="002B77D2">
      <w:pPr>
        <w:pStyle w:val="h4numbered"/>
        <w:keepNext w:val="0"/>
        <w:widowControl w:val="0"/>
        <w:spacing w:line="276" w:lineRule="auto"/>
        <w:ind w:left="794"/>
      </w:pPr>
      <w:r w:rsidRPr="00496A09">
        <w:t xml:space="preserve">Within our digital changes, a key target will be to ensure timely and accurate data is available from GPs and other providers, to ensure a consistent view of uptake across all vaccination services. Visibility of this data at national, regional and local level will support planning of targeted outreach services, building on the approach for COVID-19 and flu. </w:t>
      </w:r>
    </w:p>
    <w:p w14:paraId="26C0A72C" w14:textId="0E0E4088" w:rsidR="00474898" w:rsidRPr="00496A09" w:rsidRDefault="008C2006" w:rsidP="00474898">
      <w:pPr>
        <w:pStyle w:val="ListParagraph"/>
      </w:pPr>
      <w:r w:rsidRPr="00496A09">
        <w:rPr>
          <w:noProof/>
        </w:rPr>
        <mc:AlternateContent>
          <mc:Choice Requires="wps">
            <w:drawing>
              <wp:anchor distT="0" distB="0" distL="114300" distR="114300" simplePos="0" relativeHeight="251658251" behindDoc="1" locked="0" layoutInCell="1" allowOverlap="1" wp14:anchorId="0D5461CE" wp14:editId="2EBAA6D8">
                <wp:simplePos x="0" y="0"/>
                <wp:positionH relativeFrom="margin">
                  <wp:align>center</wp:align>
                </wp:positionH>
                <wp:positionV relativeFrom="paragraph">
                  <wp:posOffset>246289</wp:posOffset>
                </wp:positionV>
                <wp:extent cx="6374765" cy="4389120"/>
                <wp:effectExtent l="0" t="0" r="26035" b="11430"/>
                <wp:wrapTight wrapText="bothSides">
                  <wp:wrapPolygon edited="0">
                    <wp:start x="0" y="0"/>
                    <wp:lineTo x="0" y="21563"/>
                    <wp:lineTo x="21624" y="21563"/>
                    <wp:lineTo x="21624"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6374765" cy="4389120"/>
                        </a:xfrm>
                        <a:prstGeom prst="rect">
                          <a:avLst/>
                        </a:prstGeom>
                        <a:gradFill rotWithShape="1">
                          <a:gsLst>
                            <a:gs pos="0">
                              <a:srgbClr val="CCDFF1">
                                <a:tint val="90000"/>
                                <a:satMod val="92000"/>
                                <a:lumMod val="120000"/>
                              </a:srgbClr>
                            </a:gs>
                            <a:gs pos="100000">
                              <a:srgbClr val="CCDFF1">
                                <a:shade val="98000"/>
                                <a:satMod val="120000"/>
                                <a:lumMod val="98000"/>
                              </a:srgbClr>
                            </a:gs>
                          </a:gsLst>
                          <a:path path="circle">
                            <a:fillToRect l="50000" t="50000" r="100000" b="100000"/>
                          </a:path>
                        </a:gradFill>
                        <a:ln w="6350">
                          <a:solidFill>
                            <a:srgbClr val="231F20"/>
                          </a:solidFill>
                        </a:ln>
                        <a:effectLst/>
                      </wps:spPr>
                      <wps:txbx>
                        <w:txbxContent>
                          <w:p w14:paraId="204D6CE1" w14:textId="77777777" w:rsidR="006553BC" w:rsidRPr="00AA2E88" w:rsidRDefault="006553BC" w:rsidP="006553BC">
                            <w:pPr>
                              <w:spacing w:after="180"/>
                              <w:rPr>
                                <w:rFonts w:cs="Arial"/>
                                <w:b/>
                                <w:bCs/>
                                <w:color w:val="auto"/>
                              </w:rPr>
                            </w:pPr>
                            <w:r w:rsidRPr="00AA2E88">
                              <w:rPr>
                                <w:rFonts w:cs="Arial"/>
                                <w:b/>
                                <w:bCs/>
                                <w:color w:val="auto"/>
                              </w:rPr>
                              <w:t>Case study: Support for people with a learning disability in Liverpool</w:t>
                            </w:r>
                          </w:p>
                          <w:p w14:paraId="5556A950" w14:textId="4AC14D57" w:rsidR="006553BC" w:rsidRDefault="006553BC" w:rsidP="006553BC">
                            <w:pPr>
                              <w:spacing w:after="180" w:line="276" w:lineRule="auto"/>
                              <w:rPr>
                                <w:rFonts w:cs="Arial"/>
                                <w:color w:val="auto"/>
                              </w:rPr>
                            </w:pPr>
                            <w:r>
                              <w:rPr>
                                <w:rFonts w:cs="Arial"/>
                                <w:color w:val="auto"/>
                              </w:rPr>
                              <w:t>Following</w:t>
                            </w:r>
                            <w:r w:rsidRPr="00AA2E88">
                              <w:rPr>
                                <w:rFonts w:cs="Arial"/>
                                <w:color w:val="auto"/>
                              </w:rPr>
                              <w:t xml:space="preserve"> the first wave of the pandemic (February to June 2020), </w:t>
                            </w:r>
                            <w:r>
                              <w:rPr>
                                <w:rFonts w:cs="Arial"/>
                                <w:color w:val="auto"/>
                              </w:rPr>
                              <w:t xml:space="preserve">it was identified that people with </w:t>
                            </w:r>
                            <w:r w:rsidR="008E6AAC">
                              <w:rPr>
                                <w:rFonts w:cs="Arial"/>
                                <w:color w:val="auto"/>
                              </w:rPr>
                              <w:t xml:space="preserve">a </w:t>
                            </w:r>
                            <w:r>
                              <w:rPr>
                                <w:rFonts w:cs="Arial"/>
                                <w:color w:val="auto"/>
                              </w:rPr>
                              <w:t xml:space="preserve">learning </w:t>
                            </w:r>
                            <w:r w:rsidR="00956FEA">
                              <w:rPr>
                                <w:rFonts w:cs="Arial"/>
                                <w:color w:val="auto"/>
                              </w:rPr>
                              <w:t>disability</w:t>
                            </w:r>
                            <w:r>
                              <w:rPr>
                                <w:rFonts w:cs="Arial"/>
                                <w:color w:val="auto"/>
                              </w:rPr>
                              <w:t xml:space="preserve"> were a vulnerable group due to a higher risk of death from COVID-19 infection compared to the general population.</w:t>
                            </w:r>
                          </w:p>
                          <w:p w14:paraId="78AA3707" w14:textId="4BC325EB" w:rsidR="006553BC" w:rsidRPr="00AA2E88" w:rsidRDefault="006553BC" w:rsidP="006553BC">
                            <w:pPr>
                              <w:spacing w:after="180" w:line="276" w:lineRule="auto"/>
                              <w:rPr>
                                <w:rFonts w:cs="Arial"/>
                                <w:color w:val="auto"/>
                              </w:rPr>
                            </w:pPr>
                            <w:r w:rsidRPr="00AA2E88">
                              <w:rPr>
                                <w:rFonts w:cs="Arial"/>
                                <w:color w:val="auto"/>
                              </w:rPr>
                              <w:t>To better protect this group, Central Liverpool PCN provided a tailored COVID-19 vaccination service</w:t>
                            </w:r>
                            <w:r>
                              <w:rPr>
                                <w:rFonts w:cs="Arial"/>
                                <w:color w:val="auto"/>
                              </w:rPr>
                              <w:t>.</w:t>
                            </w:r>
                            <w:r w:rsidRPr="00AA2E88">
                              <w:rPr>
                                <w:rFonts w:cs="Arial"/>
                                <w:color w:val="auto"/>
                              </w:rPr>
                              <w:t xml:space="preserve"> </w:t>
                            </w:r>
                            <w:r>
                              <w:rPr>
                                <w:rFonts w:cs="Arial"/>
                                <w:color w:val="auto"/>
                              </w:rPr>
                              <w:t>This i</w:t>
                            </w:r>
                            <w:r w:rsidRPr="00AA2E88">
                              <w:rPr>
                                <w:rFonts w:cs="Arial"/>
                                <w:color w:val="auto"/>
                              </w:rPr>
                              <w:t>nclud</w:t>
                            </w:r>
                            <w:r>
                              <w:rPr>
                                <w:rFonts w:cs="Arial"/>
                                <w:color w:val="auto"/>
                              </w:rPr>
                              <w:t>ed</w:t>
                            </w:r>
                            <w:r w:rsidRPr="00AA2E88">
                              <w:rPr>
                                <w:rFonts w:cs="Arial"/>
                                <w:color w:val="auto"/>
                              </w:rPr>
                              <w:t xml:space="preserve"> the offer of extended appointments, which were staggered to avoid waiting and to ensure the waiting room remained quiet and calm. The PCN made the most of these vaccination appointments by providing annual health checks (AHCs) at the same time. These checks are vital for identifying and addressing health concerns in people with </w:t>
                            </w:r>
                            <w:r w:rsidR="008E6AAC">
                              <w:rPr>
                                <w:rFonts w:cs="Arial"/>
                                <w:color w:val="auto"/>
                              </w:rPr>
                              <w:t xml:space="preserve">a </w:t>
                            </w:r>
                            <w:r w:rsidRPr="00AA2E88">
                              <w:rPr>
                                <w:rFonts w:cs="Arial"/>
                                <w:color w:val="auto"/>
                              </w:rPr>
                              <w:t>learning di</w:t>
                            </w:r>
                            <w:r>
                              <w:rPr>
                                <w:rFonts w:cs="Arial"/>
                                <w:color w:val="auto"/>
                              </w:rPr>
                              <w:t>sabilit</w:t>
                            </w:r>
                            <w:r w:rsidR="008E6AAC">
                              <w:rPr>
                                <w:rFonts w:cs="Arial"/>
                                <w:color w:val="auto"/>
                              </w:rPr>
                              <w:t>y</w:t>
                            </w:r>
                            <w:r w:rsidRPr="00AA2E88">
                              <w:rPr>
                                <w:rFonts w:cs="Arial"/>
                                <w:color w:val="auto"/>
                              </w:rPr>
                              <w:t xml:space="preserve">, and </w:t>
                            </w:r>
                            <w:r>
                              <w:rPr>
                                <w:rFonts w:cs="Arial"/>
                                <w:color w:val="auto"/>
                              </w:rPr>
                              <w:t>m</w:t>
                            </w:r>
                            <w:r w:rsidRPr="00AA2E88">
                              <w:rPr>
                                <w:rFonts w:cs="Arial"/>
                                <w:color w:val="auto"/>
                              </w:rPr>
                              <w:t xml:space="preserve">any would have missed them during lockdowns. </w:t>
                            </w:r>
                          </w:p>
                          <w:p w14:paraId="350E06FF" w14:textId="70B12056" w:rsidR="006553BC" w:rsidRPr="00AA2E88" w:rsidRDefault="006553BC" w:rsidP="006553BC">
                            <w:pPr>
                              <w:spacing w:after="180" w:line="276" w:lineRule="auto"/>
                              <w:rPr>
                                <w:color w:val="004689" w:themeColor="text2" w:themeShade="BF"/>
                              </w:rPr>
                            </w:pPr>
                            <w:r w:rsidRPr="00AA2E88">
                              <w:rPr>
                                <w:rFonts w:cs="Arial"/>
                                <w:color w:val="auto"/>
                              </w:rPr>
                              <w:t xml:space="preserve">The project was co-ordinated by the PCN </w:t>
                            </w:r>
                            <w:r>
                              <w:rPr>
                                <w:rFonts w:cs="Arial"/>
                                <w:color w:val="auto"/>
                              </w:rPr>
                              <w:t>Integrated Care Lead,</w:t>
                            </w:r>
                            <w:r w:rsidRPr="00AA2E88">
                              <w:rPr>
                                <w:rFonts w:cs="Arial"/>
                                <w:color w:val="auto"/>
                              </w:rPr>
                              <w:t xml:space="preserve"> </w:t>
                            </w:r>
                            <w:r>
                              <w:rPr>
                                <w:rFonts w:cs="Arial"/>
                                <w:color w:val="auto"/>
                              </w:rPr>
                              <w:t xml:space="preserve">and </w:t>
                            </w:r>
                            <w:r w:rsidRPr="00074F00">
                              <w:rPr>
                                <w:rFonts w:cs="Arial"/>
                              </w:rPr>
                              <w:t>Learning Disability Clinical Champion</w:t>
                            </w:r>
                            <w:r>
                              <w:rPr>
                                <w:rFonts w:cs="Arial"/>
                              </w:rPr>
                              <w:t>,</w:t>
                            </w:r>
                            <w:r>
                              <w:rPr>
                                <w:rFonts w:cs="Arial"/>
                                <w:color w:val="auto"/>
                              </w:rPr>
                              <w:t xml:space="preserve"> </w:t>
                            </w:r>
                            <w:r w:rsidRPr="00557A33">
                              <w:rPr>
                                <w:rFonts w:cs="Arial"/>
                                <w:color w:val="auto"/>
                              </w:rPr>
                              <w:t>supported by</w:t>
                            </w:r>
                            <w:r>
                              <w:rPr>
                                <w:rFonts w:cs="Arial"/>
                                <w:color w:val="auto"/>
                              </w:rPr>
                              <w:t xml:space="preserve"> general practice staff,</w:t>
                            </w:r>
                            <w:r w:rsidRPr="00557A33">
                              <w:rPr>
                                <w:rFonts w:cs="Arial"/>
                                <w:color w:val="auto"/>
                              </w:rPr>
                              <w:t xml:space="preserve"> </w:t>
                            </w:r>
                            <w:r w:rsidR="00BC6D4F">
                              <w:rPr>
                                <w:rFonts w:cs="Arial"/>
                                <w:color w:val="auto"/>
                              </w:rPr>
                              <w:t>c</w:t>
                            </w:r>
                            <w:r w:rsidRPr="00557A33">
                              <w:rPr>
                                <w:rFonts w:cs="Arial"/>
                                <w:color w:val="auto"/>
                              </w:rPr>
                              <w:t xml:space="preserve">ommunity </w:t>
                            </w:r>
                            <w:r w:rsidR="00BC6D4F">
                              <w:rPr>
                                <w:rFonts w:cs="Arial"/>
                                <w:color w:val="auto"/>
                              </w:rPr>
                              <w:t>l</w:t>
                            </w:r>
                            <w:r w:rsidRPr="00557A33">
                              <w:rPr>
                                <w:rFonts w:cs="Arial"/>
                                <w:color w:val="auto"/>
                              </w:rPr>
                              <w:t xml:space="preserve">earning </w:t>
                            </w:r>
                            <w:r w:rsidR="00BC6D4F">
                              <w:rPr>
                                <w:rFonts w:cs="Arial"/>
                                <w:color w:val="auto"/>
                              </w:rPr>
                              <w:t>d</w:t>
                            </w:r>
                            <w:r w:rsidRPr="00557A33">
                              <w:rPr>
                                <w:rFonts w:cs="Arial"/>
                                <w:color w:val="auto"/>
                              </w:rPr>
                              <w:t>isability team</w:t>
                            </w:r>
                            <w:r>
                              <w:rPr>
                                <w:rFonts w:cs="Arial"/>
                                <w:color w:val="auto"/>
                              </w:rPr>
                              <w:t>s</w:t>
                            </w:r>
                            <w:r w:rsidRPr="00AA2E88">
                              <w:rPr>
                                <w:rFonts w:cs="Arial"/>
                                <w:color w:val="auto"/>
                              </w:rPr>
                              <w:t>, patient care administrators</w:t>
                            </w:r>
                            <w:r>
                              <w:rPr>
                                <w:rFonts w:cs="Arial"/>
                                <w:color w:val="auto"/>
                              </w:rPr>
                              <w:t>,</w:t>
                            </w:r>
                            <w:r w:rsidRPr="00AA2E88">
                              <w:rPr>
                                <w:rFonts w:cs="Arial"/>
                                <w:color w:val="auto"/>
                              </w:rPr>
                              <w:t xml:space="preserve"> pharmacists</w:t>
                            </w:r>
                            <w:r w:rsidR="00262C06">
                              <w:rPr>
                                <w:rFonts w:cs="Arial"/>
                                <w:color w:val="auto"/>
                              </w:rPr>
                              <w:t>,</w:t>
                            </w:r>
                            <w:r>
                              <w:rPr>
                                <w:rFonts w:cs="Arial"/>
                                <w:color w:val="auto"/>
                              </w:rPr>
                              <w:t xml:space="preserve"> and </w:t>
                            </w:r>
                            <w:r w:rsidRPr="00AA2E88">
                              <w:rPr>
                                <w:rFonts w:cs="Arial"/>
                                <w:color w:val="auto"/>
                              </w:rPr>
                              <w:t xml:space="preserve">University of Liverpool medical students. On the first full-day clinic, the team vaccinated 78 people with a learning disability (which equates to 31% of the PCN’s registered learning disability patients) and completed 30 AHCs. Feedback from patients and carers was positive, and learning from this service will be applied in future clinics for this patient group. </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461CE" id="Text Box 22" o:spid="_x0000_s1031" type="#_x0000_t202" style="position:absolute;left:0;text-align:left;margin-left:0;margin-top:19.4pt;width:501.95pt;height:345.6pt;z-index:-25165822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" strokecolor="#231f20" strokeweight=".5pt">
                <v:fill color2="#bfd9f1" rotate="t" focusposition=".5,.5" focussize="-.5,-.5" focus="100%" type="gradientRadial"/>
                <v:textbox inset="14.4pt,14.4pt,14.4pt,14.4pt">
                  <w:txbxContent>
                    <w:p w14:paraId="204D6CE1" w14:textId="77777777" w:rsidR="006553BC" w:rsidRPr="00AA2E88" w:rsidRDefault="006553BC" w:rsidP="006553BC">
                      <w:pPr>
                        <w:spacing w:after="180"/>
                        <w:rPr>
                          <w:rFonts w:cs="Arial"/>
                          <w:b/>
                          <w:bCs/>
                          <w:color w:val="auto"/>
                        </w:rPr>
                      </w:pPr>
                      <w:r w:rsidRPr="00AA2E88">
                        <w:rPr>
                          <w:rFonts w:cs="Arial"/>
                          <w:b/>
                          <w:bCs/>
                          <w:color w:val="auto"/>
                        </w:rPr>
                        <w:t>Case study: Support for people with a learning disability in Liverpool</w:t>
                      </w:r>
                    </w:p>
                    <w:p w14:paraId="5556A950" w14:textId="4AC14D57" w:rsidR="006553BC" w:rsidRDefault="006553BC" w:rsidP="006553BC">
                      <w:pPr>
                        <w:spacing w:after="180" w:line="276" w:lineRule="auto"/>
                        <w:rPr>
                          <w:rFonts w:cs="Arial"/>
                          <w:color w:val="auto"/>
                        </w:rPr>
                      </w:pPr>
                      <w:r>
                        <w:rPr>
                          <w:rFonts w:cs="Arial"/>
                          <w:color w:val="auto"/>
                        </w:rPr>
                        <w:t>Following</w:t>
                      </w:r>
                      <w:r w:rsidRPr="00AA2E88">
                        <w:rPr>
                          <w:rFonts w:cs="Arial"/>
                          <w:color w:val="auto"/>
                        </w:rPr>
                        <w:t xml:space="preserve"> the first wave of the pandemic (February to June 2020), </w:t>
                      </w:r>
                      <w:r>
                        <w:rPr>
                          <w:rFonts w:cs="Arial"/>
                          <w:color w:val="auto"/>
                        </w:rPr>
                        <w:t xml:space="preserve">it was identified that people with </w:t>
                      </w:r>
                      <w:r w:rsidR="008E6AAC">
                        <w:rPr>
                          <w:rFonts w:cs="Arial"/>
                          <w:color w:val="auto"/>
                        </w:rPr>
                        <w:t xml:space="preserve">a </w:t>
                      </w:r>
                      <w:r>
                        <w:rPr>
                          <w:rFonts w:cs="Arial"/>
                          <w:color w:val="auto"/>
                        </w:rPr>
                        <w:t xml:space="preserve">learning </w:t>
                      </w:r>
                      <w:r w:rsidR="00956FEA">
                        <w:rPr>
                          <w:rFonts w:cs="Arial"/>
                          <w:color w:val="auto"/>
                        </w:rPr>
                        <w:t>disability</w:t>
                      </w:r>
                      <w:r>
                        <w:rPr>
                          <w:rFonts w:cs="Arial"/>
                          <w:color w:val="auto"/>
                        </w:rPr>
                        <w:t xml:space="preserve"> were a vulnerable group due to a higher risk of death from COVID-19 infection compared to the general population.</w:t>
                      </w:r>
                    </w:p>
                    <w:p w14:paraId="78AA3707" w14:textId="4BC325EB" w:rsidR="006553BC" w:rsidRPr="00AA2E88" w:rsidRDefault="006553BC" w:rsidP="006553BC">
                      <w:pPr>
                        <w:spacing w:after="180" w:line="276" w:lineRule="auto"/>
                        <w:rPr>
                          <w:rFonts w:cs="Arial"/>
                          <w:color w:val="auto"/>
                        </w:rPr>
                      </w:pPr>
                      <w:r w:rsidRPr="00AA2E88">
                        <w:rPr>
                          <w:rFonts w:cs="Arial"/>
                          <w:color w:val="auto"/>
                        </w:rPr>
                        <w:t>To better protect this group, Central Liverpool PCN provided a tailored COVID-19 vaccination service</w:t>
                      </w:r>
                      <w:r>
                        <w:rPr>
                          <w:rFonts w:cs="Arial"/>
                          <w:color w:val="auto"/>
                        </w:rPr>
                        <w:t>.</w:t>
                      </w:r>
                      <w:r w:rsidRPr="00AA2E88">
                        <w:rPr>
                          <w:rFonts w:cs="Arial"/>
                          <w:color w:val="auto"/>
                        </w:rPr>
                        <w:t xml:space="preserve"> </w:t>
                      </w:r>
                      <w:r>
                        <w:rPr>
                          <w:rFonts w:cs="Arial"/>
                          <w:color w:val="auto"/>
                        </w:rPr>
                        <w:t>This i</w:t>
                      </w:r>
                      <w:r w:rsidRPr="00AA2E88">
                        <w:rPr>
                          <w:rFonts w:cs="Arial"/>
                          <w:color w:val="auto"/>
                        </w:rPr>
                        <w:t>nclud</w:t>
                      </w:r>
                      <w:r>
                        <w:rPr>
                          <w:rFonts w:cs="Arial"/>
                          <w:color w:val="auto"/>
                        </w:rPr>
                        <w:t>ed</w:t>
                      </w:r>
                      <w:r w:rsidRPr="00AA2E88">
                        <w:rPr>
                          <w:rFonts w:cs="Arial"/>
                          <w:color w:val="auto"/>
                        </w:rPr>
                        <w:t xml:space="preserve"> the offer of extended appointments, which were staggered to avoid waiting and to ensure the waiting room remained quiet and calm. The PCN made the most of these vaccination appointments by providing annual health checks (AHCs) at the same time. These checks are vital for identifying and addressing health concerns in people with </w:t>
                      </w:r>
                      <w:r w:rsidR="008E6AAC">
                        <w:rPr>
                          <w:rFonts w:cs="Arial"/>
                          <w:color w:val="auto"/>
                        </w:rPr>
                        <w:t xml:space="preserve">a </w:t>
                      </w:r>
                      <w:r w:rsidRPr="00AA2E88">
                        <w:rPr>
                          <w:rFonts w:cs="Arial"/>
                          <w:color w:val="auto"/>
                        </w:rPr>
                        <w:t>learning di</w:t>
                      </w:r>
                      <w:r>
                        <w:rPr>
                          <w:rFonts w:cs="Arial"/>
                          <w:color w:val="auto"/>
                        </w:rPr>
                        <w:t>sabilit</w:t>
                      </w:r>
                      <w:r w:rsidR="008E6AAC">
                        <w:rPr>
                          <w:rFonts w:cs="Arial"/>
                          <w:color w:val="auto"/>
                        </w:rPr>
                        <w:t>y</w:t>
                      </w:r>
                      <w:r w:rsidRPr="00AA2E88">
                        <w:rPr>
                          <w:rFonts w:cs="Arial"/>
                          <w:color w:val="auto"/>
                        </w:rPr>
                        <w:t xml:space="preserve">, and </w:t>
                      </w:r>
                      <w:r>
                        <w:rPr>
                          <w:rFonts w:cs="Arial"/>
                          <w:color w:val="auto"/>
                        </w:rPr>
                        <w:t>m</w:t>
                      </w:r>
                      <w:r w:rsidRPr="00AA2E88">
                        <w:rPr>
                          <w:rFonts w:cs="Arial"/>
                          <w:color w:val="auto"/>
                        </w:rPr>
                        <w:t xml:space="preserve">any would have missed them during lockdowns. </w:t>
                      </w:r>
                    </w:p>
                    <w:p w14:paraId="350E06FF" w14:textId="70B12056" w:rsidR="006553BC" w:rsidRPr="00AA2E88" w:rsidRDefault="006553BC" w:rsidP="006553BC">
                      <w:pPr>
                        <w:spacing w:after="180" w:line="276" w:lineRule="auto"/>
                        <w:rPr>
                          <w:color w:val="004689" w:themeColor="text2" w:themeShade="BF"/>
                        </w:rPr>
                      </w:pPr>
                      <w:r w:rsidRPr="00AA2E88">
                        <w:rPr>
                          <w:rFonts w:cs="Arial"/>
                          <w:color w:val="auto"/>
                        </w:rPr>
                        <w:t xml:space="preserve">The project was co-ordinated by the PCN </w:t>
                      </w:r>
                      <w:r>
                        <w:rPr>
                          <w:rFonts w:cs="Arial"/>
                          <w:color w:val="auto"/>
                        </w:rPr>
                        <w:t>Integrated Care Lead,</w:t>
                      </w:r>
                      <w:r w:rsidRPr="00AA2E88">
                        <w:rPr>
                          <w:rFonts w:cs="Arial"/>
                          <w:color w:val="auto"/>
                        </w:rPr>
                        <w:t xml:space="preserve"> </w:t>
                      </w:r>
                      <w:r>
                        <w:rPr>
                          <w:rFonts w:cs="Arial"/>
                          <w:color w:val="auto"/>
                        </w:rPr>
                        <w:t xml:space="preserve">and </w:t>
                      </w:r>
                      <w:r w:rsidRPr="00074F00">
                        <w:rPr>
                          <w:rFonts w:cs="Arial"/>
                        </w:rPr>
                        <w:t>Learning Disability Clinical Champion</w:t>
                      </w:r>
                      <w:r>
                        <w:rPr>
                          <w:rFonts w:cs="Arial"/>
                        </w:rPr>
                        <w:t>,</w:t>
                      </w:r>
                      <w:r>
                        <w:rPr>
                          <w:rFonts w:cs="Arial"/>
                          <w:color w:val="auto"/>
                        </w:rPr>
                        <w:t xml:space="preserve"> </w:t>
                      </w:r>
                      <w:r w:rsidRPr="00557A33">
                        <w:rPr>
                          <w:rFonts w:cs="Arial"/>
                          <w:color w:val="auto"/>
                        </w:rPr>
                        <w:t>supported by</w:t>
                      </w:r>
                      <w:r>
                        <w:rPr>
                          <w:rFonts w:cs="Arial"/>
                          <w:color w:val="auto"/>
                        </w:rPr>
                        <w:t xml:space="preserve"> general practice staff,</w:t>
                      </w:r>
                      <w:r w:rsidRPr="00557A33">
                        <w:rPr>
                          <w:rFonts w:cs="Arial"/>
                          <w:color w:val="auto"/>
                        </w:rPr>
                        <w:t xml:space="preserve"> </w:t>
                      </w:r>
                      <w:r w:rsidR="00BC6D4F">
                        <w:rPr>
                          <w:rFonts w:cs="Arial"/>
                          <w:color w:val="auto"/>
                        </w:rPr>
                        <w:t>c</w:t>
                      </w:r>
                      <w:r w:rsidRPr="00557A33">
                        <w:rPr>
                          <w:rFonts w:cs="Arial"/>
                          <w:color w:val="auto"/>
                        </w:rPr>
                        <w:t xml:space="preserve">ommunity </w:t>
                      </w:r>
                      <w:r w:rsidR="00BC6D4F">
                        <w:rPr>
                          <w:rFonts w:cs="Arial"/>
                          <w:color w:val="auto"/>
                        </w:rPr>
                        <w:t>l</w:t>
                      </w:r>
                      <w:r w:rsidRPr="00557A33">
                        <w:rPr>
                          <w:rFonts w:cs="Arial"/>
                          <w:color w:val="auto"/>
                        </w:rPr>
                        <w:t xml:space="preserve">earning </w:t>
                      </w:r>
                      <w:r w:rsidR="00BC6D4F">
                        <w:rPr>
                          <w:rFonts w:cs="Arial"/>
                          <w:color w:val="auto"/>
                        </w:rPr>
                        <w:t>d</w:t>
                      </w:r>
                      <w:r w:rsidRPr="00557A33">
                        <w:rPr>
                          <w:rFonts w:cs="Arial"/>
                          <w:color w:val="auto"/>
                        </w:rPr>
                        <w:t>isability team</w:t>
                      </w:r>
                      <w:r>
                        <w:rPr>
                          <w:rFonts w:cs="Arial"/>
                          <w:color w:val="auto"/>
                        </w:rPr>
                        <w:t>s</w:t>
                      </w:r>
                      <w:r w:rsidRPr="00AA2E88">
                        <w:rPr>
                          <w:rFonts w:cs="Arial"/>
                          <w:color w:val="auto"/>
                        </w:rPr>
                        <w:t>, patient care administrators</w:t>
                      </w:r>
                      <w:r>
                        <w:rPr>
                          <w:rFonts w:cs="Arial"/>
                          <w:color w:val="auto"/>
                        </w:rPr>
                        <w:t>,</w:t>
                      </w:r>
                      <w:r w:rsidRPr="00AA2E88">
                        <w:rPr>
                          <w:rFonts w:cs="Arial"/>
                          <w:color w:val="auto"/>
                        </w:rPr>
                        <w:t xml:space="preserve"> pharmacists</w:t>
                      </w:r>
                      <w:r w:rsidR="00262C06">
                        <w:rPr>
                          <w:rFonts w:cs="Arial"/>
                          <w:color w:val="auto"/>
                        </w:rPr>
                        <w:t>,</w:t>
                      </w:r>
                      <w:r>
                        <w:rPr>
                          <w:rFonts w:cs="Arial"/>
                          <w:color w:val="auto"/>
                        </w:rPr>
                        <w:t xml:space="preserve"> and </w:t>
                      </w:r>
                      <w:r w:rsidRPr="00AA2E88">
                        <w:rPr>
                          <w:rFonts w:cs="Arial"/>
                          <w:color w:val="auto"/>
                        </w:rPr>
                        <w:t xml:space="preserve">University of Liverpool medical students. On the first full-day clinic, the team vaccinated 78 people with a learning disability (which equates to 31% of the PCN’s registered learning disability patients) and completed 30 AHCs. Feedback from patients and carers was positive, and learning from this service will be applied in future clinics for this patient group. </w:t>
                      </w:r>
                    </w:p>
                  </w:txbxContent>
                </v:textbox>
                <w10:wrap type="tight" anchorx="margin"/>
              </v:shape>
            </w:pict>
          </mc:Fallback>
        </mc:AlternateContent>
      </w:r>
    </w:p>
    <w:p w14:paraId="56D42ECA" w14:textId="42297494" w:rsidR="00F8119E" w:rsidRPr="00496A09" w:rsidRDefault="00783CE6" w:rsidP="00A942C0">
      <w:pPr>
        <w:ind w:right="57"/>
        <w:rPr>
          <w:b/>
          <w:bCs/>
          <w:color w:val="auto"/>
        </w:rPr>
      </w:pPr>
      <w:r w:rsidRPr="00496A09">
        <w:rPr>
          <w:noProof/>
        </w:rPr>
        <mc:AlternateContent>
          <mc:Choice Requires="wps">
            <w:drawing>
              <wp:anchor distT="0" distB="0" distL="114300" distR="114300" simplePos="0" relativeHeight="251658240" behindDoc="1" locked="0" layoutInCell="1" allowOverlap="1" wp14:anchorId="694A413E" wp14:editId="6C12058D">
                <wp:simplePos x="0" y="0"/>
                <wp:positionH relativeFrom="page">
                  <wp:posOffset>548005</wp:posOffset>
                </wp:positionH>
                <wp:positionV relativeFrom="paragraph">
                  <wp:posOffset>4718050</wp:posOffset>
                </wp:positionV>
                <wp:extent cx="6426835" cy="3732530"/>
                <wp:effectExtent l="0" t="0" r="12065" b="20320"/>
                <wp:wrapTight wrapText="bothSides">
                  <wp:wrapPolygon edited="0">
                    <wp:start x="0" y="0"/>
                    <wp:lineTo x="0" y="21607"/>
                    <wp:lineTo x="21577" y="21607"/>
                    <wp:lineTo x="21577"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6426835" cy="3732530"/>
                        </a:xfrm>
                        <a:prstGeom prst="rect">
                          <a:avLst/>
                        </a:prstGeom>
                        <a:gradFill rotWithShape="1">
                          <a:gsLst>
                            <a:gs pos="0">
                              <a:srgbClr val="CCDFF1">
                                <a:tint val="90000"/>
                                <a:satMod val="92000"/>
                                <a:lumMod val="120000"/>
                              </a:srgbClr>
                            </a:gs>
                            <a:gs pos="100000">
                              <a:srgbClr val="CCDFF1">
                                <a:shade val="98000"/>
                                <a:satMod val="120000"/>
                                <a:lumMod val="98000"/>
                              </a:srgbClr>
                            </a:gs>
                          </a:gsLst>
                          <a:path path="circle">
                            <a:fillToRect l="50000" t="50000" r="100000" b="100000"/>
                          </a:path>
                        </a:gradFill>
                        <a:ln w="6350">
                          <a:solidFill>
                            <a:schemeClr val="bg1"/>
                          </a:solidFill>
                        </a:ln>
                        <a:effectLst/>
                      </wps:spPr>
                      <wps:txbx>
                        <w:txbxContent>
                          <w:p w14:paraId="284FB28F" w14:textId="3300D649" w:rsidR="00107394" w:rsidRPr="0090368E" w:rsidRDefault="00107394" w:rsidP="0009270B">
                            <w:pPr>
                              <w:spacing w:after="180"/>
                              <w:rPr>
                                <w:rFonts w:cs="Arial"/>
                                <w:b/>
                                <w:bCs/>
                                <w:color w:val="auto"/>
                              </w:rPr>
                            </w:pPr>
                            <w:r w:rsidRPr="0090368E">
                              <w:rPr>
                                <w:rFonts w:cs="Arial"/>
                                <w:b/>
                                <w:bCs/>
                                <w:color w:val="auto"/>
                              </w:rPr>
                              <w:t xml:space="preserve">Case study: </w:t>
                            </w:r>
                            <w:r w:rsidRPr="007944C4">
                              <w:rPr>
                                <w:rFonts w:cs="Arial"/>
                                <w:b/>
                                <w:bCs/>
                                <w:color w:val="auto"/>
                              </w:rPr>
                              <w:t xml:space="preserve">Catch-up </w:t>
                            </w:r>
                            <w:r w:rsidR="00D146EF">
                              <w:rPr>
                                <w:rFonts w:cs="Arial"/>
                                <w:b/>
                                <w:bCs/>
                                <w:color w:val="auto"/>
                              </w:rPr>
                              <w:t>vaccination</w:t>
                            </w:r>
                            <w:r w:rsidRPr="007944C4">
                              <w:rPr>
                                <w:rFonts w:cs="Arial"/>
                                <w:b/>
                                <w:bCs/>
                                <w:color w:val="auto"/>
                              </w:rPr>
                              <w:t>s for refugee and asylum seekers</w:t>
                            </w:r>
                          </w:p>
                          <w:p w14:paraId="5A70BEF5" w14:textId="34F557EB" w:rsidR="00D17DEC" w:rsidRPr="00D17DEC" w:rsidRDefault="00D17DEC" w:rsidP="00A942C0">
                            <w:pPr>
                              <w:spacing w:after="180" w:line="276" w:lineRule="auto"/>
                              <w:rPr>
                                <w:rFonts w:cs="Arial"/>
                              </w:rPr>
                            </w:pPr>
                            <w:r w:rsidRPr="00D17DEC">
                              <w:rPr>
                                <w:rFonts w:cs="Arial"/>
                              </w:rPr>
                              <w:t xml:space="preserve">Bristol, North Somerset and South Gloucestershire ICB commissioned </w:t>
                            </w:r>
                            <w:r w:rsidR="004D414B">
                              <w:rPr>
                                <w:rFonts w:cs="Arial"/>
                              </w:rPr>
                              <w:t>the</w:t>
                            </w:r>
                            <w:r w:rsidRPr="00D17DEC">
                              <w:rPr>
                                <w:rFonts w:cs="Arial"/>
                              </w:rPr>
                              <w:t xml:space="preserve"> Sirona migrant health and community vaccination teams to provide healthcare checks for refugees and asylum seekers living in local hotels, from numerous countries and places of danger including Afghanistan, Syria, Russia and Ukraine. Sirona is a social enterprise </w:t>
                            </w:r>
                            <w:r w:rsidR="007A3B83">
                              <w:rPr>
                                <w:rFonts w:cs="Arial"/>
                              </w:rPr>
                              <w:t>that</w:t>
                            </w:r>
                            <w:r w:rsidRPr="00D17DEC">
                              <w:rPr>
                                <w:rFonts w:cs="Arial"/>
                              </w:rPr>
                              <w:t xml:space="preserve"> provides community health services across the ICB.</w:t>
                            </w:r>
                          </w:p>
                          <w:p w14:paraId="5CE2F9E4" w14:textId="2D735874" w:rsidR="00D17DEC" w:rsidRPr="00D17DEC" w:rsidRDefault="00D17DEC" w:rsidP="00A942C0">
                            <w:pPr>
                              <w:spacing w:after="180" w:line="276" w:lineRule="auto"/>
                              <w:rPr>
                                <w:rFonts w:cs="Arial"/>
                              </w:rPr>
                            </w:pPr>
                            <w:r w:rsidRPr="00D17DEC">
                              <w:rPr>
                                <w:rFonts w:cs="Arial"/>
                              </w:rPr>
                              <w:t xml:space="preserve">The community vaccination team liaises with GPs and provides vaccinations at the hotels, which have </w:t>
                            </w:r>
                            <w:r w:rsidR="007A3B83">
                              <w:rPr>
                                <w:rFonts w:cs="Arial"/>
                              </w:rPr>
                              <w:t>over</w:t>
                            </w:r>
                            <w:r w:rsidRPr="00D17DEC">
                              <w:rPr>
                                <w:rFonts w:cs="Arial"/>
                              </w:rPr>
                              <w:t xml:space="preserve"> 1,000 residents. The migrant health team first supports migrants to register with a local GP practice, so that their vaccinations can be included in their </w:t>
                            </w:r>
                            <w:r w:rsidR="007A3B83" w:rsidRPr="00D17DEC">
                              <w:rPr>
                                <w:rFonts w:cs="Arial"/>
                              </w:rPr>
                              <w:t xml:space="preserve">primary care </w:t>
                            </w:r>
                            <w:r w:rsidRPr="00D17DEC">
                              <w:rPr>
                                <w:rFonts w:cs="Arial"/>
                              </w:rPr>
                              <w:t xml:space="preserve">record. As refugees and asylum seekers are at risk of ill health due to fractured access to healthcare support, Sirona’s health team also offer health checks including blood tests and signposting to relevant health </w:t>
                            </w:r>
                            <w:r w:rsidR="00C95D0B" w:rsidRPr="00D17DEC">
                              <w:rPr>
                                <w:rFonts w:cs="Arial"/>
                              </w:rPr>
                              <w:t>services</w:t>
                            </w:r>
                            <w:r w:rsidR="007B4EC9">
                              <w:rPr>
                                <w:rFonts w:cs="Arial"/>
                              </w:rPr>
                              <w:t>,</w:t>
                            </w:r>
                            <w:r w:rsidR="00C95D0B" w:rsidRPr="00D17DEC">
                              <w:rPr>
                                <w:rFonts w:cs="Arial"/>
                              </w:rPr>
                              <w:t xml:space="preserve"> and</w:t>
                            </w:r>
                            <w:r w:rsidRPr="00D17DEC">
                              <w:rPr>
                                <w:rFonts w:cs="Arial"/>
                              </w:rPr>
                              <w:t xml:space="preserve"> provide volunteer translators through their links with local volunteer and community groups.</w:t>
                            </w:r>
                          </w:p>
                          <w:p w14:paraId="72BDE486" w14:textId="54BA307C" w:rsidR="00D36330" w:rsidRDefault="00D17DEC" w:rsidP="00A942C0">
                            <w:pPr>
                              <w:spacing w:after="180" w:line="276" w:lineRule="auto"/>
                              <w:rPr>
                                <w:rFonts w:cs="Arial"/>
                              </w:rPr>
                            </w:pPr>
                            <w:r w:rsidRPr="00D17DEC">
                              <w:rPr>
                                <w:rFonts w:cs="Arial"/>
                              </w:rPr>
                              <w:t xml:space="preserve">Between January </w:t>
                            </w:r>
                            <w:r w:rsidR="007B4EC9">
                              <w:rPr>
                                <w:rFonts w:cs="Arial"/>
                              </w:rPr>
                              <w:t>and</w:t>
                            </w:r>
                            <w:r w:rsidRPr="00D17DEC">
                              <w:rPr>
                                <w:rFonts w:cs="Arial"/>
                              </w:rPr>
                              <w:t xml:space="preserve"> August 2023, 950 vaccines have been delivered, 657 of which were for diphtheria and 221 for </w:t>
                            </w:r>
                            <w:r w:rsidR="007B4EC9">
                              <w:rPr>
                                <w:rFonts w:cs="Arial"/>
                              </w:rPr>
                              <w:t>fir</w:t>
                            </w:r>
                            <w:r w:rsidRPr="00D17DEC">
                              <w:rPr>
                                <w:rFonts w:cs="Arial"/>
                              </w:rPr>
                              <w:t xml:space="preserve">st and </w:t>
                            </w:r>
                            <w:r w:rsidR="007B4EC9">
                              <w:rPr>
                                <w:rFonts w:cs="Arial"/>
                              </w:rPr>
                              <w:t>seco</w:t>
                            </w:r>
                            <w:r w:rsidRPr="00D17DEC">
                              <w:rPr>
                                <w:rFonts w:cs="Arial"/>
                              </w:rPr>
                              <w:t>nd doses of MMR.</w:t>
                            </w:r>
                          </w:p>
                          <w:p w14:paraId="10DDB1F7" w14:textId="3B7E39DD" w:rsidR="00107394" w:rsidRPr="0041213D" w:rsidRDefault="00107394" w:rsidP="00A942C0">
                            <w:pPr>
                              <w:spacing w:after="180" w:line="276" w:lineRule="auto"/>
                              <w:rPr>
                                <w:color w:val="004689"/>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A413E" id="Text Box 13" o:spid="_x0000_s1032" type="#_x0000_t202" style="position:absolute;margin-left:43.15pt;margin-top:371.5pt;width:506.05pt;height:29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" strokecolor="#231f20 [3212]" strokeweight=".5pt">
                <v:fill color2="#bfd9f1" rotate="t" focusposition=".5,.5" focussize="-.5,-.5" focus="100%" type="gradientRadial"/>
                <v:textbox inset="14.4pt,14.4pt,14.4pt,14.4pt">
                  <w:txbxContent>
                    <w:p w14:paraId="284FB28F" w14:textId="3300D649" w:rsidR="00107394" w:rsidRPr="0090368E" w:rsidRDefault="00107394" w:rsidP="0009270B">
                      <w:pPr>
                        <w:spacing w:after="180"/>
                        <w:rPr>
                          <w:rFonts w:cs="Arial"/>
                          <w:b/>
                          <w:bCs/>
                          <w:color w:val="auto"/>
                        </w:rPr>
                      </w:pPr>
                      <w:r w:rsidRPr="0090368E">
                        <w:rPr>
                          <w:rFonts w:cs="Arial"/>
                          <w:b/>
                          <w:bCs/>
                          <w:color w:val="auto"/>
                        </w:rPr>
                        <w:t xml:space="preserve">Case study: </w:t>
                      </w:r>
                      <w:r w:rsidRPr="007944C4">
                        <w:rPr>
                          <w:rFonts w:cs="Arial"/>
                          <w:b/>
                          <w:bCs/>
                          <w:color w:val="auto"/>
                        </w:rPr>
                        <w:t xml:space="preserve">Catch-up </w:t>
                      </w:r>
                      <w:r w:rsidR="00D146EF">
                        <w:rPr>
                          <w:rFonts w:cs="Arial"/>
                          <w:b/>
                          <w:bCs/>
                          <w:color w:val="auto"/>
                        </w:rPr>
                        <w:t>vaccination</w:t>
                      </w:r>
                      <w:r w:rsidRPr="007944C4">
                        <w:rPr>
                          <w:rFonts w:cs="Arial"/>
                          <w:b/>
                          <w:bCs/>
                          <w:color w:val="auto"/>
                        </w:rPr>
                        <w:t>s for refugee and asylum seekers</w:t>
                      </w:r>
                    </w:p>
                    <w:p w14:paraId="5A70BEF5" w14:textId="34F557EB" w:rsidR="00D17DEC" w:rsidRPr="00D17DEC" w:rsidRDefault="00D17DEC" w:rsidP="00A942C0">
                      <w:pPr>
                        <w:spacing w:after="180" w:line="276" w:lineRule="auto"/>
                        <w:rPr>
                          <w:rFonts w:cs="Arial"/>
                        </w:rPr>
                      </w:pPr>
                      <w:r w:rsidRPr="00D17DEC">
                        <w:rPr>
                          <w:rFonts w:cs="Arial"/>
                        </w:rPr>
                        <w:t xml:space="preserve">Bristol, North Somerset and South Gloucestershire ICB commissioned </w:t>
                      </w:r>
                      <w:r w:rsidR="004D414B">
                        <w:rPr>
                          <w:rFonts w:cs="Arial"/>
                        </w:rPr>
                        <w:t>the</w:t>
                      </w:r>
                      <w:r w:rsidRPr="00D17DEC">
                        <w:rPr>
                          <w:rFonts w:cs="Arial"/>
                        </w:rPr>
                        <w:t xml:space="preserve"> Sirona migrant health and community vaccination teams to provide healthcare checks for refugees and asylum seekers living in local hotels, from numerous countries and places of danger including Afghanistan, Syria, Russia and Ukraine. Sirona is a social enterprise </w:t>
                      </w:r>
                      <w:r w:rsidR="007A3B83">
                        <w:rPr>
                          <w:rFonts w:cs="Arial"/>
                        </w:rPr>
                        <w:t>that</w:t>
                      </w:r>
                      <w:r w:rsidRPr="00D17DEC">
                        <w:rPr>
                          <w:rFonts w:cs="Arial"/>
                        </w:rPr>
                        <w:t xml:space="preserve"> provides community health services across the ICB.</w:t>
                      </w:r>
                    </w:p>
                    <w:p w14:paraId="5CE2F9E4" w14:textId="2D735874" w:rsidR="00D17DEC" w:rsidRPr="00D17DEC" w:rsidRDefault="00D17DEC" w:rsidP="00A942C0">
                      <w:pPr>
                        <w:spacing w:after="180" w:line="276" w:lineRule="auto"/>
                        <w:rPr>
                          <w:rFonts w:cs="Arial"/>
                        </w:rPr>
                      </w:pPr>
                      <w:r w:rsidRPr="00D17DEC">
                        <w:rPr>
                          <w:rFonts w:cs="Arial"/>
                        </w:rPr>
                        <w:t xml:space="preserve">The community vaccination team liaises with GPs and provides vaccinations at the hotels, which have </w:t>
                      </w:r>
                      <w:r w:rsidR="007A3B83">
                        <w:rPr>
                          <w:rFonts w:cs="Arial"/>
                        </w:rPr>
                        <w:t>over</w:t>
                      </w:r>
                      <w:r w:rsidRPr="00D17DEC">
                        <w:rPr>
                          <w:rFonts w:cs="Arial"/>
                        </w:rPr>
                        <w:t xml:space="preserve"> 1,000 residents. The migrant health team first supports migrants to register with a local GP practice, so that their vaccinations can be included in their </w:t>
                      </w:r>
                      <w:r w:rsidR="007A3B83" w:rsidRPr="00D17DEC">
                        <w:rPr>
                          <w:rFonts w:cs="Arial"/>
                        </w:rPr>
                        <w:t xml:space="preserve">primary care </w:t>
                      </w:r>
                      <w:r w:rsidRPr="00D17DEC">
                        <w:rPr>
                          <w:rFonts w:cs="Arial"/>
                        </w:rPr>
                        <w:t xml:space="preserve">record. As refugees and asylum seekers are at risk of ill health due to fractured access to healthcare support, Sirona’s health team also offer health checks including blood tests and signposting to relevant health </w:t>
                      </w:r>
                      <w:r w:rsidR="00C95D0B" w:rsidRPr="00D17DEC">
                        <w:rPr>
                          <w:rFonts w:cs="Arial"/>
                        </w:rPr>
                        <w:t>services</w:t>
                      </w:r>
                      <w:r w:rsidR="007B4EC9">
                        <w:rPr>
                          <w:rFonts w:cs="Arial"/>
                        </w:rPr>
                        <w:t>,</w:t>
                      </w:r>
                      <w:r w:rsidR="00C95D0B" w:rsidRPr="00D17DEC">
                        <w:rPr>
                          <w:rFonts w:cs="Arial"/>
                        </w:rPr>
                        <w:t xml:space="preserve"> and</w:t>
                      </w:r>
                      <w:r w:rsidRPr="00D17DEC">
                        <w:rPr>
                          <w:rFonts w:cs="Arial"/>
                        </w:rPr>
                        <w:t xml:space="preserve"> provide volunteer translators through their links with local volunteer and community groups.</w:t>
                      </w:r>
                    </w:p>
                    <w:p w14:paraId="72BDE486" w14:textId="54BA307C" w:rsidR="00D36330" w:rsidRDefault="00D17DEC" w:rsidP="00A942C0">
                      <w:pPr>
                        <w:spacing w:after="180" w:line="276" w:lineRule="auto"/>
                        <w:rPr>
                          <w:rFonts w:cs="Arial"/>
                        </w:rPr>
                      </w:pPr>
                      <w:r w:rsidRPr="00D17DEC">
                        <w:rPr>
                          <w:rFonts w:cs="Arial"/>
                        </w:rPr>
                        <w:t xml:space="preserve">Between January </w:t>
                      </w:r>
                      <w:r w:rsidR="007B4EC9">
                        <w:rPr>
                          <w:rFonts w:cs="Arial"/>
                        </w:rPr>
                        <w:t>and</w:t>
                      </w:r>
                      <w:r w:rsidRPr="00D17DEC">
                        <w:rPr>
                          <w:rFonts w:cs="Arial"/>
                        </w:rPr>
                        <w:t xml:space="preserve"> August 2023, 950 vaccines have been delivered, 657 of which were for diphtheria and 221 for </w:t>
                      </w:r>
                      <w:r w:rsidR="007B4EC9">
                        <w:rPr>
                          <w:rFonts w:cs="Arial"/>
                        </w:rPr>
                        <w:t>fir</w:t>
                      </w:r>
                      <w:r w:rsidRPr="00D17DEC">
                        <w:rPr>
                          <w:rFonts w:cs="Arial"/>
                        </w:rPr>
                        <w:t xml:space="preserve">st and </w:t>
                      </w:r>
                      <w:r w:rsidR="007B4EC9">
                        <w:rPr>
                          <w:rFonts w:cs="Arial"/>
                        </w:rPr>
                        <w:t>seco</w:t>
                      </w:r>
                      <w:r w:rsidRPr="00D17DEC">
                        <w:rPr>
                          <w:rFonts w:cs="Arial"/>
                        </w:rPr>
                        <w:t>nd doses of MMR.</w:t>
                      </w:r>
                    </w:p>
                    <w:p w14:paraId="10DDB1F7" w14:textId="3B7E39DD" w:rsidR="00107394" w:rsidRPr="0041213D" w:rsidRDefault="00107394" w:rsidP="00A942C0">
                      <w:pPr>
                        <w:spacing w:after="180" w:line="276" w:lineRule="auto"/>
                        <w:rPr>
                          <w:color w:val="004689"/>
                        </w:rPr>
                      </w:pPr>
                    </w:p>
                  </w:txbxContent>
                </v:textbox>
                <w10:wrap type="tight" anchorx="page"/>
              </v:shape>
            </w:pict>
          </mc:Fallback>
        </mc:AlternateContent>
      </w:r>
      <w:r w:rsidR="00D146EF">
        <w:rPr>
          <w:b/>
          <w:bCs/>
          <w:color w:val="auto"/>
        </w:rPr>
        <w:t xml:space="preserve"> </w:t>
      </w:r>
    </w:p>
    <w:p w14:paraId="38BF425A" w14:textId="5CB00FD7" w:rsidR="002514AD" w:rsidRPr="00496A09" w:rsidRDefault="002514AD" w:rsidP="008C2006">
      <w:pPr>
        <w:ind w:right="57"/>
        <w:rPr>
          <w:b/>
          <w:bCs/>
          <w:color w:val="auto"/>
        </w:rPr>
      </w:pPr>
    </w:p>
    <w:p w14:paraId="5C671F1D" w14:textId="672CB240" w:rsidR="001E1318" w:rsidRPr="00496A09" w:rsidRDefault="001E1318" w:rsidP="002514AD">
      <w:pPr>
        <w:spacing w:after="0" w:line="240" w:lineRule="auto"/>
        <w:textboxTightWrap w:val="none"/>
        <w:rPr>
          <w:b/>
          <w:color w:val="auto"/>
        </w:rPr>
      </w:pPr>
      <w:r w:rsidRPr="00496A09">
        <w:rPr>
          <w:b/>
          <w:bCs/>
          <w:color w:val="auto"/>
        </w:rPr>
        <w:t>Reaching into communities</w:t>
      </w:r>
    </w:p>
    <w:p w14:paraId="520D4297" w14:textId="101E7D16" w:rsidR="001E1318" w:rsidRPr="00496A09" w:rsidRDefault="001E1318" w:rsidP="002B77D2">
      <w:pPr>
        <w:pStyle w:val="h4numbered"/>
        <w:spacing w:before="180" w:after="180" w:line="276" w:lineRule="auto"/>
        <w:ind w:left="794"/>
        <w:rPr>
          <w:color w:val="auto"/>
        </w:rPr>
      </w:pPr>
      <w:r w:rsidRPr="00496A09">
        <w:t>The most effective forms of outreach will be those based on collaboration with voluntary and community sector partners in the local area that have built trusted relationships with communities over time.</w:t>
      </w:r>
    </w:p>
    <w:p w14:paraId="61C08E2B" w14:textId="2E543E9C" w:rsidR="001E1318" w:rsidRPr="00496A09" w:rsidRDefault="001E1318" w:rsidP="002B77D2">
      <w:pPr>
        <w:pStyle w:val="h4numbered"/>
        <w:spacing w:before="180" w:after="180" w:line="276" w:lineRule="auto"/>
        <w:ind w:left="794"/>
      </w:pPr>
      <w:r w:rsidRPr="00496A09">
        <w:t>In most areas of the country, different sections of the population are accessing a range of community assets; for example, voluntary organisations that provide support to older people, parent</w:t>
      </w:r>
      <w:r w:rsidR="00581592" w:rsidRPr="00496A09">
        <w:t>s</w:t>
      </w:r>
      <w:r w:rsidRPr="00496A09">
        <w:t xml:space="preserve"> or people with disabilities.</w:t>
      </w:r>
    </w:p>
    <w:p w14:paraId="0BC5A1C3" w14:textId="4C950A45" w:rsidR="00785582" w:rsidRPr="00496A09" w:rsidRDefault="00785582" w:rsidP="002B77D2">
      <w:pPr>
        <w:pStyle w:val="h4numbered"/>
        <w:spacing w:before="180" w:after="180" w:line="276" w:lineRule="auto"/>
        <w:ind w:left="794"/>
      </w:pPr>
      <w:r w:rsidRPr="00496A09">
        <w:t>ICSs, including local authorities and their directors of public health, should consider how they can partner with these groups and organisations to build confidence in the vaccination event and support informed consent. The starting point for a discussion about vaccination is often not the vaccination itself, but other issues that matter to people such as employment or energy bills.</w:t>
      </w:r>
    </w:p>
    <w:p w14:paraId="2872E19C" w14:textId="0CB7E8A4" w:rsidR="0075793E" w:rsidRPr="00496A09" w:rsidRDefault="002E1DCE" w:rsidP="00496A09">
      <w:r w:rsidRPr="00496A09">
        <w:rPr>
          <w:rFonts w:ascii="Calibri" w:hAnsi="Calibri"/>
          <w:noProof/>
          <w:sz w:val="22"/>
          <w:szCs w:val="22"/>
        </w:rPr>
        <mc:AlternateContent>
          <mc:Choice Requires="wps">
            <w:drawing>
              <wp:anchor distT="228600" distB="228600" distL="228600" distR="228600" simplePos="0" relativeHeight="251658253" behindDoc="0" locked="0" layoutInCell="1" allowOverlap="1" wp14:anchorId="31F09E0B" wp14:editId="16E02379">
                <wp:simplePos x="0" y="0"/>
                <wp:positionH relativeFrom="margin">
                  <wp:posOffset>160020</wp:posOffset>
                </wp:positionH>
                <wp:positionV relativeFrom="paragraph">
                  <wp:posOffset>53340</wp:posOffset>
                </wp:positionV>
                <wp:extent cx="6170295" cy="4560570"/>
                <wp:effectExtent l="0" t="0" r="20955" b="11430"/>
                <wp:wrapNone/>
                <wp:docPr id="199911352" name="Text Box 199911352"/>
                <wp:cNvGraphicFramePr/>
                <a:graphic xmlns:a="http://schemas.openxmlformats.org/drawingml/2006/main">
                  <a:graphicData uri="http://schemas.microsoft.com/office/word/2010/wordprocessingShape">
                    <wps:wsp>
                      <wps:cNvSpPr txBox="1"/>
                      <wps:spPr>
                        <a:xfrm>
                          <a:off x="0" y="0"/>
                          <a:ext cx="6170295" cy="4560570"/>
                        </a:xfrm>
                        <a:prstGeom prst="rect">
                          <a:avLst/>
                        </a:prstGeom>
                        <a:gradFill rotWithShape="1">
                          <a:gsLst>
                            <a:gs pos="0">
                              <a:srgbClr val="CCDFF1">
                                <a:tint val="90000"/>
                                <a:satMod val="92000"/>
                                <a:lumMod val="120000"/>
                              </a:srgbClr>
                            </a:gs>
                            <a:gs pos="100000">
                              <a:srgbClr val="CCDFF1">
                                <a:shade val="98000"/>
                                <a:satMod val="120000"/>
                                <a:lumMod val="98000"/>
                              </a:srgbClr>
                            </a:gs>
                          </a:gsLst>
                          <a:path path="circle">
                            <a:fillToRect l="50000" t="50000" r="100000" b="100000"/>
                          </a:path>
                        </a:gradFill>
                        <a:ln w="6350">
                          <a:solidFill>
                            <a:srgbClr val="231F20"/>
                          </a:solidFill>
                        </a:ln>
                        <a:effectLst/>
                      </wps:spPr>
                      <wps:txbx>
                        <w:txbxContent>
                          <w:p w14:paraId="6E980194" w14:textId="77777777" w:rsidR="003C3F33" w:rsidRDefault="003C3F33" w:rsidP="003C3F33">
                            <w:pPr>
                              <w:spacing w:after="180"/>
                              <w:rPr>
                                <w:rFonts w:cs="Arial"/>
                                <w:b/>
                                <w:bCs/>
                                <w:color w:val="auto"/>
                              </w:rPr>
                            </w:pPr>
                            <w:r w:rsidRPr="007B22D6">
                              <w:rPr>
                                <w:rFonts w:cs="Arial"/>
                                <w:b/>
                                <w:bCs/>
                                <w:color w:val="auto"/>
                              </w:rPr>
                              <w:t xml:space="preserve">Case study: </w:t>
                            </w:r>
                            <w:r>
                              <w:rPr>
                                <w:rFonts w:cs="Arial"/>
                                <w:b/>
                                <w:bCs/>
                                <w:color w:val="auto"/>
                              </w:rPr>
                              <w:t>Reaching into communities in Norfolk and Waveney</w:t>
                            </w:r>
                          </w:p>
                          <w:p w14:paraId="588189B1" w14:textId="11AC7C86" w:rsidR="003C3F33" w:rsidRPr="007854BF" w:rsidRDefault="003C3F33" w:rsidP="003C3F33">
                            <w:pPr>
                              <w:spacing w:after="180" w:line="276" w:lineRule="auto"/>
                              <w:rPr>
                                <w:rFonts w:cs="Arial"/>
                                <w:color w:val="auto"/>
                              </w:rPr>
                            </w:pPr>
                            <w:r w:rsidRPr="007854BF">
                              <w:rPr>
                                <w:rFonts w:cs="Arial"/>
                                <w:color w:val="auto"/>
                              </w:rPr>
                              <w:t>In Norfolk and Waveney ICB, access to vaccination was identified as a barrier to increasing uptake in areas of deprivation and for inclusion health groups. To meet this identified need, a ‘Wellness on Wheels’ bus was set</w:t>
                            </w:r>
                            <w:r>
                              <w:rPr>
                                <w:rFonts w:cs="Arial"/>
                                <w:color w:val="auto"/>
                              </w:rPr>
                              <w:t xml:space="preserve"> </w:t>
                            </w:r>
                            <w:r w:rsidRPr="007854BF">
                              <w:rPr>
                                <w:rFonts w:cs="Arial"/>
                                <w:color w:val="auto"/>
                              </w:rPr>
                              <w:t xml:space="preserve">up in partnership between the system and Voluntary Norfolk – a local organisation supporting volunteers and voluntary organisations. Partnering was essential to increase engagement </w:t>
                            </w:r>
                            <w:r w:rsidR="00262644">
                              <w:rPr>
                                <w:rFonts w:cs="Arial"/>
                                <w:color w:val="auto"/>
                              </w:rPr>
                              <w:t>and trust with</w:t>
                            </w:r>
                            <w:r w:rsidRPr="007854BF">
                              <w:rPr>
                                <w:rFonts w:cs="Arial"/>
                                <w:color w:val="auto"/>
                              </w:rPr>
                              <w:t xml:space="preserve"> communities that have a historic</w:t>
                            </w:r>
                            <w:r>
                              <w:rPr>
                                <w:rFonts w:cs="Arial"/>
                                <w:color w:val="auto"/>
                              </w:rPr>
                              <w:t>al</w:t>
                            </w:r>
                            <w:r w:rsidRPr="007854BF">
                              <w:rPr>
                                <w:rFonts w:cs="Arial"/>
                                <w:color w:val="auto"/>
                              </w:rPr>
                              <w:t xml:space="preserve"> mistrust </w:t>
                            </w:r>
                            <w:r>
                              <w:rPr>
                                <w:rFonts w:cs="Arial"/>
                                <w:color w:val="auto"/>
                              </w:rPr>
                              <w:t>o</w:t>
                            </w:r>
                            <w:r w:rsidRPr="007854BF">
                              <w:rPr>
                                <w:rFonts w:cs="Arial"/>
                                <w:color w:val="auto"/>
                              </w:rPr>
                              <w:t xml:space="preserve">f the NHS and other governmental organisations. </w:t>
                            </w:r>
                          </w:p>
                          <w:p w14:paraId="7C8C401C" w14:textId="77777777" w:rsidR="003C3F33" w:rsidRPr="00535BD9" w:rsidRDefault="003C3F33" w:rsidP="003C3F33">
                            <w:pPr>
                              <w:spacing w:after="180" w:line="276" w:lineRule="auto"/>
                              <w:rPr>
                                <w:rFonts w:cs="Arial"/>
                                <w:color w:val="auto"/>
                              </w:rPr>
                            </w:pPr>
                            <w:r w:rsidRPr="007854BF">
                              <w:rPr>
                                <w:rFonts w:cs="Arial"/>
                                <w:color w:val="auto"/>
                              </w:rPr>
                              <w:t xml:space="preserve">This bus provides an opportunity to reach into those communities that do not access health and care in more traditional ways or who are underserved by fixed delivery models. Sites have included local supermarkets, market events and other local community events. </w:t>
                            </w:r>
                          </w:p>
                          <w:p w14:paraId="2B847932" w14:textId="265D9B16" w:rsidR="003C3F33" w:rsidRPr="007B22D6" w:rsidRDefault="003C3F33" w:rsidP="003C3F33">
                            <w:pPr>
                              <w:spacing w:after="180" w:line="276" w:lineRule="auto"/>
                              <w:rPr>
                                <w:rFonts w:cs="Arial"/>
                                <w:color w:val="auto"/>
                              </w:rPr>
                            </w:pPr>
                            <w:r>
                              <w:rPr>
                                <w:rFonts w:cs="Arial"/>
                                <w:color w:val="auto"/>
                              </w:rPr>
                              <w:t>S</w:t>
                            </w:r>
                            <w:r w:rsidRPr="00535BD9">
                              <w:rPr>
                                <w:rFonts w:cs="Arial"/>
                                <w:color w:val="auto"/>
                              </w:rPr>
                              <w:t>ince the service was established in November 2021</w:t>
                            </w:r>
                            <w:r>
                              <w:rPr>
                                <w:rFonts w:cs="Arial"/>
                                <w:color w:val="auto"/>
                              </w:rPr>
                              <w:t>, o</w:t>
                            </w:r>
                            <w:r w:rsidRPr="00535BD9">
                              <w:rPr>
                                <w:rFonts w:cs="Arial"/>
                                <w:color w:val="auto"/>
                              </w:rPr>
                              <w:t>ver 600 COVID vaccines have been administered</w:t>
                            </w:r>
                            <w:r>
                              <w:rPr>
                                <w:rFonts w:cs="Arial"/>
                                <w:color w:val="auto"/>
                              </w:rPr>
                              <w:t xml:space="preserve"> w</w:t>
                            </w:r>
                            <w:r w:rsidRPr="00894E77">
                              <w:rPr>
                                <w:rFonts w:cs="Arial"/>
                                <w:color w:val="auto"/>
                              </w:rPr>
                              <w:t xml:space="preserve">ith almost 400 of these being administered in the last 6 weeks of the </w:t>
                            </w:r>
                            <w:r>
                              <w:rPr>
                                <w:rFonts w:cs="Arial"/>
                                <w:color w:val="auto"/>
                              </w:rPr>
                              <w:t>2023</w:t>
                            </w:r>
                            <w:r w:rsidR="0067600A">
                              <w:rPr>
                                <w:rFonts w:cs="Arial"/>
                                <w:color w:val="auto"/>
                              </w:rPr>
                              <w:t>/</w:t>
                            </w:r>
                            <w:r>
                              <w:rPr>
                                <w:rFonts w:cs="Arial"/>
                                <w:color w:val="auto"/>
                              </w:rPr>
                              <w:t>24 autumn/winter</w:t>
                            </w:r>
                            <w:r w:rsidRPr="00894E77">
                              <w:rPr>
                                <w:rFonts w:cs="Arial"/>
                                <w:color w:val="auto"/>
                              </w:rPr>
                              <w:t xml:space="preserve"> </w:t>
                            </w:r>
                            <w:r>
                              <w:rPr>
                                <w:rFonts w:cs="Arial"/>
                                <w:color w:val="auto"/>
                              </w:rPr>
                              <w:t>c</w:t>
                            </w:r>
                            <w:r w:rsidRPr="00894E77">
                              <w:rPr>
                                <w:rFonts w:cs="Arial"/>
                                <w:color w:val="auto"/>
                              </w:rPr>
                              <w:t>ampaign</w:t>
                            </w:r>
                            <w:r w:rsidRPr="00535BD9">
                              <w:rPr>
                                <w:rFonts w:cs="Arial"/>
                                <w:color w:val="auto"/>
                              </w:rPr>
                              <w:t>. In addition, the delivery of services has now widened to encompass a broad range of prevention services including drug and alcohol, stop smoking, sexual health, NHS health checks, citizens advice, social prescribing, antenatal and parent support</w:t>
                            </w:r>
                            <w:r>
                              <w:rPr>
                                <w:rFonts w:cs="Arial"/>
                                <w:color w:val="auto"/>
                              </w:rPr>
                              <w:t>,</w:t>
                            </w:r>
                            <w:r w:rsidRPr="00535BD9">
                              <w:rPr>
                                <w:rFonts w:cs="Arial"/>
                                <w:color w:val="auto"/>
                              </w:rPr>
                              <w:t xml:space="preserve"> and </w:t>
                            </w:r>
                            <w:r>
                              <w:rPr>
                                <w:rFonts w:cs="Arial"/>
                                <w:color w:val="auto"/>
                              </w:rPr>
                              <w:t>learning disability</w:t>
                            </w:r>
                            <w:r w:rsidRPr="00535BD9">
                              <w:rPr>
                                <w:rFonts w:cs="Arial"/>
                                <w:color w:val="auto"/>
                              </w:rPr>
                              <w:t xml:space="preserve"> </w:t>
                            </w:r>
                            <w:r>
                              <w:rPr>
                                <w:rFonts w:cs="Arial"/>
                                <w:color w:val="auto"/>
                              </w:rPr>
                              <w:t>h</w:t>
                            </w:r>
                            <w:r w:rsidRPr="00535BD9">
                              <w:rPr>
                                <w:rFonts w:cs="Arial"/>
                                <w:color w:val="auto"/>
                              </w:rPr>
                              <w:t>ealth check promotion</w:t>
                            </w:r>
                            <w:r w:rsidR="002C2D46">
                              <w:rPr>
                                <w:rFonts w:cs="Arial"/>
                                <w:color w:val="auto"/>
                              </w:rPr>
                              <w: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09E0B" id="Text Box 199911352" o:spid="_x0000_s1033" type="#_x0000_t202" style="position:absolute;margin-left:12.6pt;margin-top:4.2pt;width:485.85pt;height:359.1pt;z-index:251658253;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" strokecolor="#231f20" strokeweight=".5pt">
                <v:fill color2="#bfd9f1" rotate="t" focusposition=".5,.5" focussize="-.5,-.5" focus="100%" type="gradientRadial"/>
                <v:textbox inset="14.4pt,14.4pt,14.4pt,14.4pt">
                  <w:txbxContent>
                    <w:p w14:paraId="6E980194" w14:textId="77777777" w:rsidR="003C3F33" w:rsidRDefault="003C3F33" w:rsidP="003C3F33">
                      <w:pPr>
                        <w:spacing w:after="180"/>
                        <w:rPr>
                          <w:rFonts w:cs="Arial"/>
                          <w:b/>
                          <w:bCs/>
                          <w:color w:val="auto"/>
                        </w:rPr>
                      </w:pPr>
                      <w:r w:rsidRPr="007B22D6">
                        <w:rPr>
                          <w:rFonts w:cs="Arial"/>
                          <w:b/>
                          <w:bCs/>
                          <w:color w:val="auto"/>
                        </w:rPr>
                        <w:t xml:space="preserve">Case study: </w:t>
                      </w:r>
                      <w:r>
                        <w:rPr>
                          <w:rFonts w:cs="Arial"/>
                          <w:b/>
                          <w:bCs/>
                          <w:color w:val="auto"/>
                        </w:rPr>
                        <w:t>Reaching into communities in Norfolk and Waveney</w:t>
                      </w:r>
                    </w:p>
                    <w:p w14:paraId="588189B1" w14:textId="11AC7C86" w:rsidR="003C3F33" w:rsidRPr="007854BF" w:rsidRDefault="003C3F33" w:rsidP="003C3F33">
                      <w:pPr>
                        <w:spacing w:after="180" w:line="276" w:lineRule="auto"/>
                        <w:rPr>
                          <w:rFonts w:cs="Arial"/>
                          <w:color w:val="auto"/>
                        </w:rPr>
                      </w:pPr>
                      <w:r w:rsidRPr="007854BF">
                        <w:rPr>
                          <w:rFonts w:cs="Arial"/>
                          <w:color w:val="auto"/>
                        </w:rPr>
                        <w:t>In Norfolk and Waveney ICB, access to vaccination was identified as a barrier to increasing uptake in areas of deprivation and for inclusion health groups. To meet this identified need, a ‘Wellness on Wheels’ bus was set</w:t>
                      </w:r>
                      <w:r>
                        <w:rPr>
                          <w:rFonts w:cs="Arial"/>
                          <w:color w:val="auto"/>
                        </w:rPr>
                        <w:t xml:space="preserve"> </w:t>
                      </w:r>
                      <w:r w:rsidRPr="007854BF">
                        <w:rPr>
                          <w:rFonts w:cs="Arial"/>
                          <w:color w:val="auto"/>
                        </w:rPr>
                        <w:t xml:space="preserve">up in partnership between the system and Voluntary Norfolk – a local organisation supporting volunteers and voluntary organisations. Partnering was essential to increase engagement </w:t>
                      </w:r>
                      <w:r w:rsidR="00262644">
                        <w:rPr>
                          <w:rFonts w:cs="Arial"/>
                          <w:color w:val="auto"/>
                        </w:rPr>
                        <w:t>and trust with</w:t>
                      </w:r>
                      <w:r w:rsidRPr="007854BF">
                        <w:rPr>
                          <w:rFonts w:cs="Arial"/>
                          <w:color w:val="auto"/>
                        </w:rPr>
                        <w:t xml:space="preserve"> communities that have a historic</w:t>
                      </w:r>
                      <w:r>
                        <w:rPr>
                          <w:rFonts w:cs="Arial"/>
                          <w:color w:val="auto"/>
                        </w:rPr>
                        <w:t>al</w:t>
                      </w:r>
                      <w:r w:rsidRPr="007854BF">
                        <w:rPr>
                          <w:rFonts w:cs="Arial"/>
                          <w:color w:val="auto"/>
                        </w:rPr>
                        <w:t xml:space="preserve"> mistrust </w:t>
                      </w:r>
                      <w:r>
                        <w:rPr>
                          <w:rFonts w:cs="Arial"/>
                          <w:color w:val="auto"/>
                        </w:rPr>
                        <w:t>o</w:t>
                      </w:r>
                      <w:r w:rsidRPr="007854BF">
                        <w:rPr>
                          <w:rFonts w:cs="Arial"/>
                          <w:color w:val="auto"/>
                        </w:rPr>
                        <w:t xml:space="preserve">f the NHS and other governmental organisations. </w:t>
                      </w:r>
                    </w:p>
                    <w:p w14:paraId="7C8C401C" w14:textId="77777777" w:rsidR="003C3F33" w:rsidRPr="00535BD9" w:rsidRDefault="003C3F33" w:rsidP="003C3F33">
                      <w:pPr>
                        <w:spacing w:after="180" w:line="276" w:lineRule="auto"/>
                        <w:rPr>
                          <w:rFonts w:cs="Arial"/>
                          <w:color w:val="auto"/>
                        </w:rPr>
                      </w:pPr>
                      <w:r w:rsidRPr="007854BF">
                        <w:rPr>
                          <w:rFonts w:cs="Arial"/>
                          <w:color w:val="auto"/>
                        </w:rPr>
                        <w:t xml:space="preserve">This bus provides an opportunity to reach into those communities that do not access health and care in more traditional ways or who are underserved by fixed delivery models. Sites have included local supermarkets, market events and other local community events. </w:t>
                      </w:r>
                    </w:p>
                    <w:p w14:paraId="2B847932" w14:textId="265D9B16" w:rsidR="003C3F33" w:rsidRPr="007B22D6" w:rsidRDefault="003C3F33" w:rsidP="003C3F33">
                      <w:pPr>
                        <w:spacing w:after="180" w:line="276" w:lineRule="auto"/>
                        <w:rPr>
                          <w:rFonts w:cs="Arial"/>
                          <w:color w:val="auto"/>
                        </w:rPr>
                      </w:pPr>
                      <w:r>
                        <w:rPr>
                          <w:rFonts w:cs="Arial"/>
                          <w:color w:val="auto"/>
                        </w:rPr>
                        <w:t>S</w:t>
                      </w:r>
                      <w:r w:rsidRPr="00535BD9">
                        <w:rPr>
                          <w:rFonts w:cs="Arial"/>
                          <w:color w:val="auto"/>
                        </w:rPr>
                        <w:t>ince the service was established in November 2021</w:t>
                      </w:r>
                      <w:r>
                        <w:rPr>
                          <w:rFonts w:cs="Arial"/>
                          <w:color w:val="auto"/>
                        </w:rPr>
                        <w:t>, o</w:t>
                      </w:r>
                      <w:r w:rsidRPr="00535BD9">
                        <w:rPr>
                          <w:rFonts w:cs="Arial"/>
                          <w:color w:val="auto"/>
                        </w:rPr>
                        <w:t>ver 600 COVID vaccines have been administered</w:t>
                      </w:r>
                      <w:r>
                        <w:rPr>
                          <w:rFonts w:cs="Arial"/>
                          <w:color w:val="auto"/>
                        </w:rPr>
                        <w:t xml:space="preserve"> w</w:t>
                      </w:r>
                      <w:r w:rsidRPr="00894E77">
                        <w:rPr>
                          <w:rFonts w:cs="Arial"/>
                          <w:color w:val="auto"/>
                        </w:rPr>
                        <w:t xml:space="preserve">ith almost 400 of these being administered in the last 6 weeks of the </w:t>
                      </w:r>
                      <w:r>
                        <w:rPr>
                          <w:rFonts w:cs="Arial"/>
                          <w:color w:val="auto"/>
                        </w:rPr>
                        <w:t>2023</w:t>
                      </w:r>
                      <w:r w:rsidR="0067600A">
                        <w:rPr>
                          <w:rFonts w:cs="Arial"/>
                          <w:color w:val="auto"/>
                        </w:rPr>
                        <w:t>/</w:t>
                      </w:r>
                      <w:r>
                        <w:rPr>
                          <w:rFonts w:cs="Arial"/>
                          <w:color w:val="auto"/>
                        </w:rPr>
                        <w:t>24 autumn/winter</w:t>
                      </w:r>
                      <w:r w:rsidRPr="00894E77">
                        <w:rPr>
                          <w:rFonts w:cs="Arial"/>
                          <w:color w:val="auto"/>
                        </w:rPr>
                        <w:t xml:space="preserve"> </w:t>
                      </w:r>
                      <w:r>
                        <w:rPr>
                          <w:rFonts w:cs="Arial"/>
                          <w:color w:val="auto"/>
                        </w:rPr>
                        <w:t>c</w:t>
                      </w:r>
                      <w:r w:rsidRPr="00894E77">
                        <w:rPr>
                          <w:rFonts w:cs="Arial"/>
                          <w:color w:val="auto"/>
                        </w:rPr>
                        <w:t>ampaign</w:t>
                      </w:r>
                      <w:r w:rsidRPr="00535BD9">
                        <w:rPr>
                          <w:rFonts w:cs="Arial"/>
                          <w:color w:val="auto"/>
                        </w:rPr>
                        <w:t>. In addition, the delivery of services has now widened to encompass a broad range of prevention services including drug and alcohol, stop smoking, sexual health, NHS health checks, citizens advice, social prescribing, antenatal and parent support</w:t>
                      </w:r>
                      <w:r>
                        <w:rPr>
                          <w:rFonts w:cs="Arial"/>
                          <w:color w:val="auto"/>
                        </w:rPr>
                        <w:t>,</w:t>
                      </w:r>
                      <w:r w:rsidRPr="00535BD9">
                        <w:rPr>
                          <w:rFonts w:cs="Arial"/>
                          <w:color w:val="auto"/>
                        </w:rPr>
                        <w:t xml:space="preserve"> and </w:t>
                      </w:r>
                      <w:r>
                        <w:rPr>
                          <w:rFonts w:cs="Arial"/>
                          <w:color w:val="auto"/>
                        </w:rPr>
                        <w:t>learning disability</w:t>
                      </w:r>
                      <w:r w:rsidRPr="00535BD9">
                        <w:rPr>
                          <w:rFonts w:cs="Arial"/>
                          <w:color w:val="auto"/>
                        </w:rPr>
                        <w:t xml:space="preserve"> </w:t>
                      </w:r>
                      <w:r>
                        <w:rPr>
                          <w:rFonts w:cs="Arial"/>
                          <w:color w:val="auto"/>
                        </w:rPr>
                        <w:t>h</w:t>
                      </w:r>
                      <w:r w:rsidRPr="00535BD9">
                        <w:rPr>
                          <w:rFonts w:cs="Arial"/>
                          <w:color w:val="auto"/>
                        </w:rPr>
                        <w:t>ealth check promotion</w:t>
                      </w:r>
                      <w:r w:rsidR="002C2D46">
                        <w:rPr>
                          <w:rFonts w:cs="Arial"/>
                          <w:color w:val="auto"/>
                        </w:rPr>
                        <w:t>.</w:t>
                      </w:r>
                    </w:p>
                  </w:txbxContent>
                </v:textbox>
                <w10:wrap anchorx="margin"/>
              </v:shape>
            </w:pict>
          </mc:Fallback>
        </mc:AlternateContent>
      </w:r>
    </w:p>
    <w:p w14:paraId="71CF98AF" w14:textId="09D13F0D" w:rsidR="0075793E" w:rsidRPr="00496A09" w:rsidRDefault="0075793E" w:rsidP="00496A09"/>
    <w:p w14:paraId="25921901" w14:textId="78C18349" w:rsidR="0075793E" w:rsidRPr="00496A09" w:rsidRDefault="0075793E" w:rsidP="00496A09"/>
    <w:p w14:paraId="3596960F" w14:textId="0930C703" w:rsidR="0075793E" w:rsidRPr="00496A09" w:rsidRDefault="0075793E" w:rsidP="00496A09"/>
    <w:p w14:paraId="6FF3867F" w14:textId="5D524408" w:rsidR="0075793E" w:rsidRPr="00496A09" w:rsidRDefault="0075793E" w:rsidP="003C3F33"/>
    <w:p w14:paraId="1ED199EE" w14:textId="3F8E6E35" w:rsidR="0075793E" w:rsidRPr="00496A09" w:rsidRDefault="0075793E" w:rsidP="003C3F33"/>
    <w:p w14:paraId="143B0C22" w14:textId="2ED2E2BA" w:rsidR="0075793E" w:rsidRPr="00496A09" w:rsidRDefault="0075793E" w:rsidP="003C3F33"/>
    <w:p w14:paraId="23319C54" w14:textId="160D66C0" w:rsidR="0075793E" w:rsidRPr="00496A09" w:rsidRDefault="0075793E" w:rsidP="003C3F33"/>
    <w:p w14:paraId="6AF2B3F5" w14:textId="4788AAE7" w:rsidR="0075793E" w:rsidRPr="00496A09" w:rsidRDefault="0075793E" w:rsidP="003C3F33"/>
    <w:p w14:paraId="279790DC" w14:textId="77777777" w:rsidR="0075793E" w:rsidRPr="00496A09" w:rsidRDefault="0075793E" w:rsidP="003C3F33"/>
    <w:p w14:paraId="3EF8D97F" w14:textId="77777777" w:rsidR="0075793E" w:rsidRPr="00496A09" w:rsidRDefault="0075793E" w:rsidP="003C3F33"/>
    <w:p w14:paraId="6A8A36C7" w14:textId="77777777" w:rsidR="0075793E" w:rsidRPr="00496A09" w:rsidRDefault="0075793E" w:rsidP="003C3F33"/>
    <w:p w14:paraId="4F8EAAD6" w14:textId="77777777" w:rsidR="0075793E" w:rsidRPr="00496A09" w:rsidRDefault="0075793E" w:rsidP="003C3F33"/>
    <w:p w14:paraId="54D6A16D" w14:textId="77777777" w:rsidR="0075793E" w:rsidRPr="00496A09" w:rsidRDefault="0075793E" w:rsidP="003C3F33"/>
    <w:p w14:paraId="792485EB" w14:textId="32CF3305" w:rsidR="00785582" w:rsidRPr="00496A09" w:rsidRDefault="00785582" w:rsidP="002B77D2">
      <w:pPr>
        <w:pStyle w:val="h4numbered"/>
        <w:spacing w:after="180" w:line="276" w:lineRule="auto"/>
        <w:ind w:left="794"/>
      </w:pPr>
      <w:r w:rsidRPr="00496A09">
        <w:t>In addition, ICSs will want to consider whether and how they can use community facilities to deliver vaccinations and maximise uptake in people who may be less likely to access mainstream healthcare services. Whil</w:t>
      </w:r>
      <w:r w:rsidR="00AE3EAD" w:rsidRPr="00496A09">
        <w:t>e</w:t>
      </w:r>
      <w:r w:rsidRPr="00496A09">
        <w:t xml:space="preserve"> the circumstances of the NHS COVID-19 vaccination programme were unprecedented, it showed that using facilities and services that have familiar and trusted staff, established transport links and convenient access can be highly effective and can inspire trust and confidence in the communities of which they are part. These facilities could include:</w:t>
      </w:r>
    </w:p>
    <w:p w14:paraId="0932916B" w14:textId="544D3845" w:rsidR="00785582" w:rsidRPr="00496A09" w:rsidRDefault="00785582" w:rsidP="00A942C0">
      <w:pPr>
        <w:pStyle w:val="ListParagraph"/>
        <w:numPr>
          <w:ilvl w:val="0"/>
          <w:numId w:val="14"/>
        </w:numPr>
        <w:spacing w:after="120" w:line="276" w:lineRule="auto"/>
        <w:ind w:left="1491" w:right="57" w:hanging="357"/>
        <w:textboxTightWrap w:val="none"/>
      </w:pPr>
      <w:r w:rsidRPr="00496A09">
        <w:t xml:space="preserve">local authority amenities such as libraries or leisure centres </w:t>
      </w:r>
    </w:p>
    <w:p w14:paraId="740171E3" w14:textId="2DCFE29A" w:rsidR="00785582" w:rsidRPr="00496A09" w:rsidRDefault="00785582" w:rsidP="00A942C0">
      <w:pPr>
        <w:pStyle w:val="ListParagraph"/>
        <w:numPr>
          <w:ilvl w:val="0"/>
          <w:numId w:val="14"/>
        </w:numPr>
        <w:spacing w:after="120" w:line="276" w:lineRule="auto"/>
        <w:ind w:left="1491" w:right="57" w:hanging="357"/>
        <w:textboxTightWrap w:val="none"/>
      </w:pPr>
      <w:r w:rsidRPr="00496A09">
        <w:t>social clubs or sports grounds</w:t>
      </w:r>
    </w:p>
    <w:p w14:paraId="767AFE42" w14:textId="5CF92035" w:rsidR="00785582" w:rsidRPr="00496A09" w:rsidRDefault="00785582" w:rsidP="00A942C0">
      <w:pPr>
        <w:pStyle w:val="ListParagraph"/>
        <w:numPr>
          <w:ilvl w:val="0"/>
          <w:numId w:val="14"/>
        </w:numPr>
        <w:spacing w:after="120" w:line="276" w:lineRule="auto"/>
        <w:ind w:left="1491" w:right="57" w:hanging="357"/>
        <w:textboxTightWrap w:val="none"/>
      </w:pPr>
      <w:r w:rsidRPr="00496A09">
        <w:t>health or care settings</w:t>
      </w:r>
    </w:p>
    <w:p w14:paraId="67792049" w14:textId="69E7627D" w:rsidR="00785582" w:rsidRPr="00496A09" w:rsidRDefault="00785582" w:rsidP="00A942C0">
      <w:pPr>
        <w:pStyle w:val="ListParagraph"/>
        <w:numPr>
          <w:ilvl w:val="0"/>
          <w:numId w:val="14"/>
        </w:numPr>
        <w:spacing w:after="120" w:line="276" w:lineRule="auto"/>
        <w:ind w:left="1491" w:right="57" w:hanging="357"/>
        <w:textboxTightWrap w:val="none"/>
      </w:pPr>
      <w:r w:rsidRPr="00496A09">
        <w:t>family hubs</w:t>
      </w:r>
      <w:r w:rsidR="009050D0" w:rsidRPr="00496A09">
        <w:t xml:space="preserve"> </w:t>
      </w:r>
      <w:r w:rsidR="009050D0" w:rsidRPr="00C065CE">
        <w:rPr>
          <w:rFonts w:eastAsia="Calibri" w:cs="Arial"/>
          <w:color w:val="auto"/>
          <w:lang w:eastAsia="en-GB"/>
        </w:rPr>
        <w:t>especially for babies and children</w:t>
      </w:r>
    </w:p>
    <w:p w14:paraId="2CD88988" w14:textId="50879063" w:rsidR="00785582" w:rsidRPr="00496A09" w:rsidRDefault="00785582" w:rsidP="00A942C0">
      <w:pPr>
        <w:pStyle w:val="ListParagraph"/>
        <w:numPr>
          <w:ilvl w:val="0"/>
          <w:numId w:val="14"/>
        </w:numPr>
        <w:spacing w:after="120" w:line="276" w:lineRule="auto"/>
        <w:ind w:left="1491" w:right="57" w:hanging="357"/>
        <w:textboxTightWrap w:val="none"/>
      </w:pPr>
      <w:r w:rsidRPr="00496A09">
        <w:t>support services for issues such as housing</w:t>
      </w:r>
    </w:p>
    <w:p w14:paraId="0A20E74C" w14:textId="2A09F9B6" w:rsidR="00785582" w:rsidRPr="00496A09" w:rsidRDefault="00785582" w:rsidP="00013385">
      <w:pPr>
        <w:pStyle w:val="ListParagraph"/>
        <w:numPr>
          <w:ilvl w:val="0"/>
          <w:numId w:val="14"/>
        </w:numPr>
        <w:spacing w:after="0" w:line="276" w:lineRule="auto"/>
        <w:ind w:left="1491" w:right="57" w:hanging="357"/>
        <w:textboxTightWrap w:val="none"/>
      </w:pPr>
      <w:r w:rsidRPr="00496A09">
        <w:t>places of worship.</w:t>
      </w:r>
    </w:p>
    <w:p w14:paraId="75E79D6F" w14:textId="77777777" w:rsidR="0075793E" w:rsidRPr="00496A09" w:rsidRDefault="0075793E" w:rsidP="0075793E">
      <w:pPr>
        <w:spacing w:after="0" w:line="276" w:lineRule="auto"/>
        <w:ind w:right="57"/>
        <w:textboxTightWrap w:val="none"/>
      </w:pPr>
    </w:p>
    <w:p w14:paraId="5596DE69" w14:textId="7ABF3BFF" w:rsidR="0075793E" w:rsidRPr="00496A09" w:rsidRDefault="00783CE6" w:rsidP="0075793E">
      <w:pPr>
        <w:spacing w:after="0" w:line="276" w:lineRule="auto"/>
        <w:ind w:right="57"/>
        <w:textboxTightWrap w:val="none"/>
      </w:pPr>
      <w:r w:rsidRPr="00496A09">
        <w:rPr>
          <w:rFonts w:ascii="Calibri" w:hAnsi="Calibri"/>
          <w:noProof/>
          <w:sz w:val="22"/>
          <w:szCs w:val="22"/>
        </w:rPr>
        <mc:AlternateContent>
          <mc:Choice Requires="wps">
            <w:drawing>
              <wp:anchor distT="228600" distB="228600" distL="228600" distR="228600" simplePos="0" relativeHeight="251658243" behindDoc="0" locked="0" layoutInCell="1" allowOverlap="1" wp14:anchorId="2A9FF40B" wp14:editId="4BB39CDE">
                <wp:simplePos x="0" y="0"/>
                <wp:positionH relativeFrom="margin">
                  <wp:align>right</wp:align>
                </wp:positionH>
                <wp:positionV relativeFrom="paragraph">
                  <wp:posOffset>14605</wp:posOffset>
                </wp:positionV>
                <wp:extent cx="6128657" cy="5397909"/>
                <wp:effectExtent l="0" t="0" r="24765" b="12700"/>
                <wp:wrapNone/>
                <wp:docPr id="17" name="Text Box 17"/>
                <wp:cNvGraphicFramePr/>
                <a:graphic xmlns:a="http://schemas.openxmlformats.org/drawingml/2006/main">
                  <a:graphicData uri="http://schemas.microsoft.com/office/word/2010/wordprocessingShape">
                    <wps:wsp>
                      <wps:cNvSpPr txBox="1"/>
                      <wps:spPr>
                        <a:xfrm>
                          <a:off x="0" y="0"/>
                          <a:ext cx="6128657" cy="5397909"/>
                        </a:xfrm>
                        <a:prstGeom prst="rect">
                          <a:avLst/>
                        </a:prstGeom>
                        <a:gradFill rotWithShape="1">
                          <a:gsLst>
                            <a:gs pos="0">
                              <a:srgbClr val="CCDFF1">
                                <a:tint val="90000"/>
                                <a:satMod val="92000"/>
                                <a:lumMod val="120000"/>
                              </a:srgbClr>
                            </a:gs>
                            <a:gs pos="100000">
                              <a:srgbClr val="CCDFF1">
                                <a:shade val="98000"/>
                                <a:satMod val="120000"/>
                                <a:lumMod val="98000"/>
                              </a:srgbClr>
                            </a:gs>
                          </a:gsLst>
                          <a:path path="circle">
                            <a:fillToRect l="50000" t="50000" r="100000" b="100000"/>
                          </a:path>
                        </a:gradFill>
                        <a:ln w="6350">
                          <a:solidFill>
                            <a:schemeClr val="bg1"/>
                          </a:solidFill>
                        </a:ln>
                        <a:effectLst/>
                      </wps:spPr>
                      <wps:txbx>
                        <w:txbxContent>
                          <w:p w14:paraId="3564A05C" w14:textId="07DB096C" w:rsidR="007B22D6" w:rsidRPr="007B22D6" w:rsidRDefault="007B22D6" w:rsidP="00013385">
                            <w:pPr>
                              <w:spacing w:after="180" w:line="276" w:lineRule="auto"/>
                              <w:rPr>
                                <w:rFonts w:cs="Arial"/>
                                <w:b/>
                                <w:bCs/>
                                <w:color w:val="auto"/>
                              </w:rPr>
                            </w:pPr>
                            <w:r w:rsidRPr="007B22D6">
                              <w:rPr>
                                <w:rFonts w:cs="Arial"/>
                                <w:b/>
                                <w:bCs/>
                                <w:color w:val="auto"/>
                              </w:rPr>
                              <w:t xml:space="preserve">Case study: Tackling vaccine hesitancy through cultural sensitivity in the Northwest </w:t>
                            </w:r>
                          </w:p>
                          <w:p w14:paraId="7DEF74D2" w14:textId="4C40FF2F" w:rsidR="007B22D6" w:rsidRPr="007B22D6" w:rsidRDefault="007B22D6" w:rsidP="00013385">
                            <w:pPr>
                              <w:spacing w:after="180" w:line="276" w:lineRule="auto"/>
                              <w:rPr>
                                <w:rFonts w:eastAsia="Calibri" w:cs="Arial"/>
                                <w:color w:val="auto"/>
                                <w14:ligatures w14:val="standardContextual"/>
                              </w:rPr>
                            </w:pPr>
                            <w:r w:rsidRPr="007B22D6">
                              <w:rPr>
                                <w:rFonts w:eastAsia="Calibri" w:cs="Arial"/>
                                <w:color w:val="auto"/>
                                <w14:ligatures w14:val="standardContextual"/>
                              </w:rPr>
                              <w:t xml:space="preserve">Blackburn with Darwen (BwD) CCG had the lowest flu vaccine uptake among </w:t>
                            </w:r>
                            <w:r w:rsidR="007F7BAF">
                              <w:rPr>
                                <w:rFonts w:eastAsia="Calibri" w:cs="Arial"/>
                                <w:color w:val="auto"/>
                                <w14:ligatures w14:val="standardContextual"/>
                              </w:rPr>
                              <w:t>2</w:t>
                            </w:r>
                            <w:r w:rsidR="00B37C8D">
                              <w:rPr>
                                <w:rFonts w:eastAsia="Calibri" w:cs="Arial"/>
                                <w:color w:val="auto"/>
                                <w14:ligatures w14:val="standardContextual"/>
                              </w:rPr>
                              <w:t>–3</w:t>
                            </w:r>
                            <w:r w:rsidRPr="007B22D6">
                              <w:rPr>
                                <w:rFonts w:eastAsia="Calibri" w:cs="Arial"/>
                                <w:color w:val="auto"/>
                                <w14:ligatures w14:val="standardContextual"/>
                              </w:rPr>
                              <w:t>-year</w:t>
                            </w:r>
                            <w:r w:rsidR="00AE7021">
                              <w:rPr>
                                <w:rFonts w:eastAsia="Calibri" w:cs="Arial"/>
                                <w:color w:val="auto"/>
                                <w14:ligatures w14:val="standardContextual"/>
                              </w:rPr>
                              <w:t xml:space="preserve"> </w:t>
                            </w:r>
                            <w:r w:rsidRPr="007B22D6">
                              <w:rPr>
                                <w:rFonts w:eastAsia="Calibri" w:cs="Arial"/>
                                <w:color w:val="auto"/>
                                <w14:ligatures w14:val="standardContextual"/>
                              </w:rPr>
                              <w:t xml:space="preserve">olds in 2019/20 and 2020/21 across Lancashire and South Cumbria ICS. To increase these rates, the </w:t>
                            </w:r>
                            <w:r w:rsidR="0004497A" w:rsidRPr="007B22D6">
                              <w:rPr>
                                <w:rFonts w:eastAsia="Calibri" w:cs="Arial"/>
                                <w:color w:val="auto"/>
                                <w14:ligatures w14:val="standardContextual"/>
                              </w:rPr>
                              <w:t>Northwest</w:t>
                            </w:r>
                            <w:r w:rsidRPr="007B22D6">
                              <w:rPr>
                                <w:rFonts w:eastAsia="Calibri" w:cs="Arial"/>
                                <w:color w:val="auto"/>
                                <w14:ligatures w14:val="standardContextual"/>
                              </w:rPr>
                              <w:t xml:space="preserve"> Region’s Public Health Commissioning Team </w:t>
                            </w:r>
                            <w:r w:rsidR="00AF40B6" w:rsidRPr="00AE7021">
                              <w:rPr>
                                <w:rFonts w:eastAsia="Calibri" w:cs="Arial"/>
                                <w:color w:val="auto"/>
                                <w14:ligatures w14:val="standardContextual"/>
                              </w:rPr>
                              <w:t>worked with primary care teams to</w:t>
                            </w:r>
                            <w:r w:rsidR="00AF40B6">
                              <w:rPr>
                                <w:rFonts w:eastAsia="Calibri" w:cs="Arial"/>
                                <w:color w:val="auto"/>
                                <w:sz w:val="22"/>
                                <w:szCs w:val="22"/>
                                <w14:ligatures w14:val="standardContextual"/>
                              </w:rPr>
                              <w:t xml:space="preserve"> </w:t>
                            </w:r>
                            <w:r w:rsidRPr="007B22D6">
                              <w:rPr>
                                <w:rFonts w:eastAsia="Calibri" w:cs="Arial"/>
                                <w:color w:val="auto"/>
                                <w14:ligatures w14:val="standardContextual"/>
                              </w:rPr>
                              <w:t>launch a tailored invit</w:t>
                            </w:r>
                            <w:r w:rsidR="00615AFF">
                              <w:rPr>
                                <w:rFonts w:eastAsia="Calibri" w:cs="Arial"/>
                                <w:color w:val="auto"/>
                                <w14:ligatures w14:val="standardContextual"/>
                              </w:rPr>
                              <w:t>ation</w:t>
                            </w:r>
                            <w:r w:rsidRPr="007B22D6">
                              <w:rPr>
                                <w:rFonts w:eastAsia="Calibri" w:cs="Arial"/>
                                <w:color w:val="auto"/>
                                <w14:ligatures w14:val="standardContextual"/>
                              </w:rPr>
                              <w:t xml:space="preserve"> initiative across three of the four PCNs in the CCG between November 2021 </w:t>
                            </w:r>
                            <w:r w:rsidR="00AE7021">
                              <w:rPr>
                                <w:rFonts w:eastAsia="Calibri" w:cs="Arial"/>
                                <w:color w:val="auto"/>
                                <w14:ligatures w14:val="standardContextual"/>
                              </w:rPr>
                              <w:t>and</w:t>
                            </w:r>
                            <w:r w:rsidRPr="007B22D6">
                              <w:rPr>
                                <w:rFonts w:eastAsia="Calibri" w:cs="Arial"/>
                                <w:color w:val="auto"/>
                                <w14:ligatures w14:val="standardContextual"/>
                              </w:rPr>
                              <w:t xml:space="preserve"> January 2022. </w:t>
                            </w:r>
                          </w:p>
                          <w:p w14:paraId="46D20125" w14:textId="5913AE82" w:rsidR="007B22D6" w:rsidRPr="007B22D6" w:rsidRDefault="007B22D6" w:rsidP="00013385">
                            <w:pPr>
                              <w:spacing w:after="180" w:line="276" w:lineRule="auto"/>
                              <w:rPr>
                                <w:rFonts w:eastAsia="Calibri" w:cs="Arial"/>
                                <w:color w:val="auto"/>
                                <w14:ligatures w14:val="standardContextual"/>
                              </w:rPr>
                            </w:pPr>
                            <w:r w:rsidRPr="007B22D6">
                              <w:rPr>
                                <w:rFonts w:eastAsia="Calibri" w:cs="Arial"/>
                                <w:color w:val="auto"/>
                                <w14:ligatures w14:val="standardContextual"/>
                              </w:rPr>
                              <w:t>Working with PCNs,</w:t>
                            </w:r>
                            <w:r w:rsidR="006071B6">
                              <w:rPr>
                                <w:rFonts w:eastAsia="Calibri" w:cs="Arial"/>
                                <w:color w:val="auto"/>
                                <w14:ligatures w14:val="standardContextual"/>
                              </w:rPr>
                              <w:t xml:space="preserve"> </w:t>
                            </w:r>
                            <w:r w:rsidRPr="007B22D6">
                              <w:rPr>
                                <w:rFonts w:eastAsia="Calibri" w:cs="Arial"/>
                                <w:color w:val="auto"/>
                                <w14:ligatures w14:val="standardContextual"/>
                              </w:rPr>
                              <w:t xml:space="preserve">the regional team developed a personalised invitation for the parents of all unvaccinated </w:t>
                            </w:r>
                            <w:r w:rsidR="00B37C8D">
                              <w:rPr>
                                <w:rFonts w:eastAsia="Calibri" w:cs="Arial"/>
                                <w:color w:val="auto"/>
                                <w14:ligatures w14:val="standardContextual"/>
                              </w:rPr>
                              <w:t>2–3</w:t>
                            </w:r>
                            <w:r w:rsidR="00B37C8D" w:rsidRPr="007B22D6">
                              <w:rPr>
                                <w:rFonts w:eastAsia="Calibri" w:cs="Arial"/>
                                <w:color w:val="auto"/>
                                <w14:ligatures w14:val="standardContextual"/>
                              </w:rPr>
                              <w:t>-year</w:t>
                            </w:r>
                            <w:r w:rsidR="00B37C8D">
                              <w:rPr>
                                <w:rFonts w:eastAsia="Calibri" w:cs="Arial"/>
                                <w:color w:val="auto"/>
                                <w14:ligatures w14:val="standardContextual"/>
                              </w:rPr>
                              <w:t xml:space="preserve"> </w:t>
                            </w:r>
                            <w:r w:rsidRPr="007B22D6">
                              <w:rPr>
                                <w:rFonts w:eastAsia="Calibri" w:cs="Arial"/>
                                <w:color w:val="auto"/>
                                <w14:ligatures w14:val="standardContextual"/>
                              </w:rPr>
                              <w:t>olds</w:t>
                            </w:r>
                            <w:r w:rsidR="001B6CD8">
                              <w:rPr>
                                <w:rFonts w:eastAsia="Calibri" w:cs="Arial"/>
                                <w:color w:val="auto"/>
                                <w14:ligatures w14:val="standardContextual"/>
                              </w:rPr>
                              <w:t>.</w:t>
                            </w:r>
                            <w:r w:rsidRPr="007B22D6">
                              <w:rPr>
                                <w:rFonts w:eastAsia="Calibri" w:cs="Arial"/>
                                <w:color w:val="auto"/>
                                <w14:ligatures w14:val="standardContextual"/>
                              </w:rPr>
                              <w:t xml:space="preserve"> </w:t>
                            </w:r>
                            <w:r w:rsidR="001B6CD8">
                              <w:rPr>
                                <w:rFonts w:eastAsia="Calibri" w:cs="Arial"/>
                                <w:color w:val="auto"/>
                                <w14:ligatures w14:val="standardContextual"/>
                              </w:rPr>
                              <w:t>This</w:t>
                            </w:r>
                            <w:r w:rsidRPr="007B22D6">
                              <w:rPr>
                                <w:rFonts w:eastAsia="Calibri" w:cs="Arial"/>
                                <w:color w:val="auto"/>
                                <w14:ligatures w14:val="standardContextual"/>
                              </w:rPr>
                              <w:t xml:space="preserve"> mentioned their child’s name and </w:t>
                            </w:r>
                            <w:r w:rsidR="00615AFF">
                              <w:rPr>
                                <w:rFonts w:eastAsia="Calibri" w:cs="Arial"/>
                                <w:color w:val="auto"/>
                                <w14:ligatures w14:val="standardContextual"/>
                              </w:rPr>
                              <w:t xml:space="preserve">was </w:t>
                            </w:r>
                            <w:r w:rsidRPr="007B22D6">
                              <w:rPr>
                                <w:rFonts w:eastAsia="Calibri" w:cs="Arial"/>
                                <w:color w:val="auto"/>
                                <w14:ligatures w14:val="standardContextual"/>
                              </w:rPr>
                              <w:t xml:space="preserve">signed by their local GP. </w:t>
                            </w:r>
                            <w:r w:rsidR="005314AA" w:rsidRPr="005314AA">
                              <w:rPr>
                                <w:rFonts w:eastAsia="Calibri" w:cs="Arial"/>
                                <w:color w:val="auto"/>
                                <w14:ligatures w14:val="standardContextual"/>
                              </w:rPr>
                              <w:t xml:space="preserve">The </w:t>
                            </w:r>
                            <w:r w:rsidR="001B6CD8">
                              <w:rPr>
                                <w:rFonts w:eastAsia="Calibri" w:cs="Arial"/>
                                <w:color w:val="auto"/>
                                <w14:ligatures w14:val="standardContextual"/>
                              </w:rPr>
                              <w:t xml:space="preserve">reverse of the </w:t>
                            </w:r>
                            <w:r w:rsidR="005314AA" w:rsidRPr="005314AA">
                              <w:rPr>
                                <w:rFonts w:eastAsia="Calibri" w:cs="Arial"/>
                                <w:color w:val="auto"/>
                                <w14:ligatures w14:val="standardContextual"/>
                              </w:rPr>
                              <w:t xml:space="preserve">invitations also included easy read images to </w:t>
                            </w:r>
                            <w:r w:rsidR="004E1FC3">
                              <w:rPr>
                                <w:rFonts w:eastAsia="Calibri" w:cs="Arial"/>
                                <w:color w:val="auto"/>
                                <w14:ligatures w14:val="standardContextual"/>
                              </w:rPr>
                              <w:t xml:space="preserve">support </w:t>
                            </w:r>
                            <w:r w:rsidR="005314AA" w:rsidRPr="005314AA">
                              <w:rPr>
                                <w:rFonts w:eastAsia="Calibri" w:cs="Arial"/>
                                <w:color w:val="auto"/>
                                <w14:ligatures w14:val="standardContextual"/>
                              </w:rPr>
                              <w:t>understanding of key messages.</w:t>
                            </w:r>
                            <w:r w:rsidRPr="007B22D6">
                              <w:rPr>
                                <w:rFonts w:eastAsia="Calibri" w:cs="Arial"/>
                                <w:color w:val="auto"/>
                                <w14:ligatures w14:val="standardContextual"/>
                              </w:rPr>
                              <w:t xml:space="preserve"> As BwD CCG ha</w:t>
                            </w:r>
                            <w:r w:rsidR="00615AFF">
                              <w:rPr>
                                <w:rFonts w:eastAsia="Calibri" w:cs="Arial"/>
                                <w:color w:val="auto"/>
                                <w14:ligatures w14:val="standardContextual"/>
                              </w:rPr>
                              <w:t>d</w:t>
                            </w:r>
                            <w:r w:rsidRPr="007B22D6">
                              <w:rPr>
                                <w:rFonts w:eastAsia="Calibri" w:cs="Arial"/>
                                <w:color w:val="auto"/>
                                <w14:ligatures w14:val="standardContextual"/>
                              </w:rPr>
                              <w:t xml:space="preserve"> a large Muslim community (54,146 people identified as Muslim in the </w:t>
                            </w:r>
                            <w:hyperlink r:id="rId28" w:history="1">
                              <w:r w:rsidRPr="007B22D6">
                                <w:rPr>
                                  <w:rFonts w:eastAsia="Calibri" w:cs="Arial"/>
                                  <w:color w:val="0563C1"/>
                                  <w:u w:val="single"/>
                                  <w14:ligatures w14:val="standardContextual"/>
                                </w:rPr>
                                <w:t>ONS Census 2021</w:t>
                              </w:r>
                            </w:hyperlink>
                            <w:r w:rsidRPr="007B22D6">
                              <w:rPr>
                                <w:rFonts w:eastAsia="Calibri" w:cs="Arial"/>
                                <w:color w:val="auto"/>
                                <w14:ligatures w14:val="standardContextual"/>
                              </w:rPr>
                              <w:t xml:space="preserve">, the second </w:t>
                            </w:r>
                            <w:r w:rsidR="0022660C">
                              <w:rPr>
                                <w:rFonts w:eastAsia="Calibri" w:cs="Arial"/>
                                <w:color w:val="auto"/>
                                <w14:ligatures w14:val="standardContextual"/>
                              </w:rPr>
                              <w:t>most common</w:t>
                            </w:r>
                            <w:r w:rsidRPr="007B22D6">
                              <w:rPr>
                                <w:rFonts w:eastAsia="Calibri" w:cs="Arial"/>
                                <w:color w:val="auto"/>
                                <w14:ligatures w14:val="standardContextual"/>
                              </w:rPr>
                              <w:t xml:space="preserve"> religion in the area), the region commissioned qualitative insights work to better understand Muslim parents’ concerns regarding children’s vaccinations. This informed a Q&amp;A </w:t>
                            </w:r>
                            <w:r w:rsidR="004852DA">
                              <w:rPr>
                                <w:rFonts w:eastAsia="Calibri" w:cs="Arial"/>
                                <w:color w:val="auto"/>
                                <w14:ligatures w14:val="standardContextual"/>
                              </w:rPr>
                              <w:t>in both English and Urdu</w:t>
                            </w:r>
                            <w:r w:rsidRPr="007B22D6">
                              <w:rPr>
                                <w:rFonts w:eastAsia="Calibri" w:cs="Arial"/>
                                <w:color w:val="auto"/>
                                <w14:ligatures w14:val="standardContextual"/>
                              </w:rPr>
                              <w:t xml:space="preserve"> that was shared alongside the letter, reassuring </w:t>
                            </w:r>
                            <w:r w:rsidR="004852DA">
                              <w:rPr>
                                <w:rFonts w:eastAsia="Calibri" w:cs="Arial"/>
                                <w:color w:val="auto"/>
                                <w14:ligatures w14:val="standardContextual"/>
                              </w:rPr>
                              <w:t xml:space="preserve">parents </w:t>
                            </w:r>
                            <w:r w:rsidRPr="007B22D6">
                              <w:rPr>
                                <w:rFonts w:eastAsia="Calibri" w:cs="Arial"/>
                                <w:color w:val="auto"/>
                                <w14:ligatures w14:val="standardContextual"/>
                              </w:rPr>
                              <w:t xml:space="preserve">that an alternative flu vaccine could be provided that did not contain porcine gelatine. </w:t>
                            </w:r>
                          </w:p>
                          <w:p w14:paraId="62AD57D4" w14:textId="5CD60AFC" w:rsidR="007B22D6" w:rsidRPr="007B22D6" w:rsidRDefault="007B22D6" w:rsidP="00013385">
                            <w:pPr>
                              <w:spacing w:after="180" w:line="276" w:lineRule="auto"/>
                              <w:rPr>
                                <w:rFonts w:cs="Arial"/>
                                <w:color w:val="auto"/>
                              </w:rPr>
                            </w:pPr>
                            <w:r w:rsidRPr="007B22D6">
                              <w:rPr>
                                <w:rFonts w:eastAsia="Calibri" w:cs="Arial"/>
                                <w:color w:val="auto"/>
                                <w14:ligatures w14:val="standardContextual"/>
                              </w:rPr>
                              <w:t xml:space="preserve">By providing personalised invitations and a culturally sensitive Q&amp;A, GP teams were able to build on their connections with local patients and their families. Among the three participating PCNs, 34.5% of the total flu vaccinations delivered to </w:t>
                            </w:r>
                            <w:r w:rsidR="00B37C8D">
                              <w:rPr>
                                <w:rFonts w:eastAsia="Calibri" w:cs="Arial"/>
                                <w:color w:val="auto"/>
                                <w14:ligatures w14:val="standardContextual"/>
                              </w:rPr>
                              <w:t>2–3</w:t>
                            </w:r>
                            <w:r w:rsidR="00B37C8D" w:rsidRPr="007B22D6">
                              <w:rPr>
                                <w:rFonts w:eastAsia="Calibri" w:cs="Arial"/>
                                <w:color w:val="auto"/>
                                <w14:ligatures w14:val="standardContextual"/>
                              </w:rPr>
                              <w:t>-year</w:t>
                            </w:r>
                            <w:r w:rsidR="00B37C8D">
                              <w:rPr>
                                <w:rFonts w:eastAsia="Calibri" w:cs="Arial"/>
                                <w:color w:val="auto"/>
                                <w14:ligatures w14:val="standardContextual"/>
                              </w:rPr>
                              <w:t xml:space="preserve"> </w:t>
                            </w:r>
                            <w:r w:rsidRPr="007B22D6">
                              <w:rPr>
                                <w:rFonts w:eastAsia="Calibri" w:cs="Arial"/>
                                <w:color w:val="auto"/>
                                <w14:ligatures w14:val="standardContextual"/>
                              </w:rPr>
                              <w:t>olds in the 2021/22 autumn season took place after the local letters were sent. This compares to 23% in the PCN that did not take part, suggesting these tailored invit</w:t>
                            </w:r>
                            <w:r w:rsidR="00850F7C">
                              <w:rPr>
                                <w:rFonts w:eastAsia="Calibri" w:cs="Arial"/>
                                <w:color w:val="auto"/>
                                <w14:ligatures w14:val="standardContextual"/>
                              </w:rPr>
                              <w:t>ations</w:t>
                            </w:r>
                            <w:r w:rsidRPr="007B22D6">
                              <w:rPr>
                                <w:rFonts w:eastAsia="Calibri" w:cs="Arial"/>
                                <w:color w:val="auto"/>
                                <w14:ligatures w14:val="standardContextual"/>
                              </w:rPr>
                              <w:t xml:space="preserve"> encouraged young families to come forward. </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FF40B" id="Text Box 17" o:spid="_x0000_s1034" type="#_x0000_t202" style="position:absolute;margin-left:431.35pt;margin-top:1.15pt;width:482.55pt;height:425.05pt;z-index:251658243;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" strokecolor="#231f20 [3212]" strokeweight=".5pt">
                <v:fill color2="#bfd9f1" rotate="t" focusposition=".5,.5" focussize="-.5,-.5" focus="100%" type="gradientRadial"/>
                <v:textbox inset="14.4pt,14.4pt,14.4pt,14.4pt">
                  <w:txbxContent>
                    <w:p w14:paraId="3564A05C" w14:textId="07DB096C" w:rsidR="007B22D6" w:rsidRPr="007B22D6" w:rsidRDefault="007B22D6" w:rsidP="00013385">
                      <w:pPr>
                        <w:spacing w:after="180" w:line="276" w:lineRule="auto"/>
                        <w:rPr>
                          <w:rFonts w:cs="Arial"/>
                          <w:b/>
                          <w:bCs/>
                          <w:color w:val="auto"/>
                        </w:rPr>
                      </w:pPr>
                      <w:r w:rsidRPr="007B22D6">
                        <w:rPr>
                          <w:rFonts w:cs="Arial"/>
                          <w:b/>
                          <w:bCs/>
                          <w:color w:val="auto"/>
                        </w:rPr>
                        <w:t xml:space="preserve">Case study: Tackling vaccine hesitancy through cultural sensitivity in the Northwest </w:t>
                      </w:r>
                    </w:p>
                    <w:p w14:paraId="7DEF74D2" w14:textId="4C40FF2F" w:rsidR="007B22D6" w:rsidRPr="007B22D6" w:rsidRDefault="007B22D6" w:rsidP="00013385">
                      <w:pPr>
                        <w:spacing w:after="180" w:line="276" w:lineRule="auto"/>
                        <w:rPr>
                          <w:rFonts w:eastAsia="Calibri" w:cs="Arial"/>
                          <w:color w:val="auto"/>
                          <w14:ligatures w14:val="standardContextual"/>
                        </w:rPr>
                      </w:pPr>
                      <w:r w:rsidRPr="007B22D6">
                        <w:rPr>
                          <w:rFonts w:eastAsia="Calibri" w:cs="Arial"/>
                          <w:color w:val="auto"/>
                          <w14:ligatures w14:val="standardContextual"/>
                        </w:rPr>
                        <w:t xml:space="preserve">Blackburn with Darwen (BwD) CCG had the lowest flu vaccine uptake among </w:t>
                      </w:r>
                      <w:r w:rsidR="007F7BAF">
                        <w:rPr>
                          <w:rFonts w:eastAsia="Calibri" w:cs="Arial"/>
                          <w:color w:val="auto"/>
                          <w14:ligatures w14:val="standardContextual"/>
                        </w:rPr>
                        <w:t>2</w:t>
                      </w:r>
                      <w:r w:rsidR="00B37C8D">
                        <w:rPr>
                          <w:rFonts w:eastAsia="Calibri" w:cs="Arial"/>
                          <w:color w:val="auto"/>
                          <w14:ligatures w14:val="standardContextual"/>
                        </w:rPr>
                        <w:t>–3</w:t>
                      </w:r>
                      <w:r w:rsidRPr="007B22D6">
                        <w:rPr>
                          <w:rFonts w:eastAsia="Calibri" w:cs="Arial"/>
                          <w:color w:val="auto"/>
                          <w14:ligatures w14:val="standardContextual"/>
                        </w:rPr>
                        <w:t>-year</w:t>
                      </w:r>
                      <w:r w:rsidR="00AE7021">
                        <w:rPr>
                          <w:rFonts w:eastAsia="Calibri" w:cs="Arial"/>
                          <w:color w:val="auto"/>
                          <w14:ligatures w14:val="standardContextual"/>
                        </w:rPr>
                        <w:t xml:space="preserve"> </w:t>
                      </w:r>
                      <w:r w:rsidRPr="007B22D6">
                        <w:rPr>
                          <w:rFonts w:eastAsia="Calibri" w:cs="Arial"/>
                          <w:color w:val="auto"/>
                          <w14:ligatures w14:val="standardContextual"/>
                        </w:rPr>
                        <w:t xml:space="preserve">olds in 2019/20 and 2020/21 across Lancashire and South Cumbria ICS. To increase these rates, the </w:t>
                      </w:r>
                      <w:r w:rsidR="0004497A" w:rsidRPr="007B22D6">
                        <w:rPr>
                          <w:rFonts w:eastAsia="Calibri" w:cs="Arial"/>
                          <w:color w:val="auto"/>
                          <w14:ligatures w14:val="standardContextual"/>
                        </w:rPr>
                        <w:t>Northwest</w:t>
                      </w:r>
                      <w:r w:rsidRPr="007B22D6">
                        <w:rPr>
                          <w:rFonts w:eastAsia="Calibri" w:cs="Arial"/>
                          <w:color w:val="auto"/>
                          <w14:ligatures w14:val="standardContextual"/>
                        </w:rPr>
                        <w:t xml:space="preserve"> Region’s Public Health Commissioning Team </w:t>
                      </w:r>
                      <w:r w:rsidR="00AF40B6" w:rsidRPr="00AE7021">
                        <w:rPr>
                          <w:rFonts w:eastAsia="Calibri" w:cs="Arial"/>
                          <w:color w:val="auto"/>
                          <w14:ligatures w14:val="standardContextual"/>
                        </w:rPr>
                        <w:t>worked with primary care teams to</w:t>
                      </w:r>
                      <w:r w:rsidR="00AF40B6">
                        <w:rPr>
                          <w:rFonts w:eastAsia="Calibri" w:cs="Arial"/>
                          <w:color w:val="auto"/>
                          <w:sz w:val="22"/>
                          <w:szCs w:val="22"/>
                          <w14:ligatures w14:val="standardContextual"/>
                        </w:rPr>
                        <w:t xml:space="preserve"> </w:t>
                      </w:r>
                      <w:r w:rsidRPr="007B22D6">
                        <w:rPr>
                          <w:rFonts w:eastAsia="Calibri" w:cs="Arial"/>
                          <w:color w:val="auto"/>
                          <w14:ligatures w14:val="standardContextual"/>
                        </w:rPr>
                        <w:t>launch a tailored invit</w:t>
                      </w:r>
                      <w:r w:rsidR="00615AFF">
                        <w:rPr>
                          <w:rFonts w:eastAsia="Calibri" w:cs="Arial"/>
                          <w:color w:val="auto"/>
                          <w14:ligatures w14:val="standardContextual"/>
                        </w:rPr>
                        <w:t>ation</w:t>
                      </w:r>
                      <w:r w:rsidRPr="007B22D6">
                        <w:rPr>
                          <w:rFonts w:eastAsia="Calibri" w:cs="Arial"/>
                          <w:color w:val="auto"/>
                          <w14:ligatures w14:val="standardContextual"/>
                        </w:rPr>
                        <w:t xml:space="preserve"> initiative across three of the four PCNs in the CCG between November 2021 </w:t>
                      </w:r>
                      <w:r w:rsidR="00AE7021">
                        <w:rPr>
                          <w:rFonts w:eastAsia="Calibri" w:cs="Arial"/>
                          <w:color w:val="auto"/>
                          <w14:ligatures w14:val="standardContextual"/>
                        </w:rPr>
                        <w:t>and</w:t>
                      </w:r>
                      <w:r w:rsidRPr="007B22D6">
                        <w:rPr>
                          <w:rFonts w:eastAsia="Calibri" w:cs="Arial"/>
                          <w:color w:val="auto"/>
                          <w14:ligatures w14:val="standardContextual"/>
                        </w:rPr>
                        <w:t xml:space="preserve"> January 2022. </w:t>
                      </w:r>
                    </w:p>
                    <w:p w14:paraId="46D20125" w14:textId="5913AE82" w:rsidR="007B22D6" w:rsidRPr="007B22D6" w:rsidRDefault="007B22D6" w:rsidP="00013385">
                      <w:pPr>
                        <w:spacing w:after="180" w:line="276" w:lineRule="auto"/>
                        <w:rPr>
                          <w:rFonts w:eastAsia="Calibri" w:cs="Arial"/>
                          <w:color w:val="auto"/>
                          <w14:ligatures w14:val="standardContextual"/>
                        </w:rPr>
                      </w:pPr>
                      <w:r w:rsidRPr="007B22D6">
                        <w:rPr>
                          <w:rFonts w:eastAsia="Calibri" w:cs="Arial"/>
                          <w:color w:val="auto"/>
                          <w14:ligatures w14:val="standardContextual"/>
                        </w:rPr>
                        <w:t>Working with PCNs,</w:t>
                      </w:r>
                      <w:r w:rsidR="006071B6">
                        <w:rPr>
                          <w:rFonts w:eastAsia="Calibri" w:cs="Arial"/>
                          <w:color w:val="auto"/>
                          <w14:ligatures w14:val="standardContextual"/>
                        </w:rPr>
                        <w:t xml:space="preserve"> </w:t>
                      </w:r>
                      <w:r w:rsidRPr="007B22D6">
                        <w:rPr>
                          <w:rFonts w:eastAsia="Calibri" w:cs="Arial"/>
                          <w:color w:val="auto"/>
                          <w14:ligatures w14:val="standardContextual"/>
                        </w:rPr>
                        <w:t xml:space="preserve">the regional team developed a personalised invitation for the parents of all unvaccinated </w:t>
                      </w:r>
                      <w:r w:rsidR="00B37C8D">
                        <w:rPr>
                          <w:rFonts w:eastAsia="Calibri" w:cs="Arial"/>
                          <w:color w:val="auto"/>
                          <w14:ligatures w14:val="standardContextual"/>
                        </w:rPr>
                        <w:t>2–3</w:t>
                      </w:r>
                      <w:r w:rsidR="00B37C8D" w:rsidRPr="007B22D6">
                        <w:rPr>
                          <w:rFonts w:eastAsia="Calibri" w:cs="Arial"/>
                          <w:color w:val="auto"/>
                          <w14:ligatures w14:val="standardContextual"/>
                        </w:rPr>
                        <w:t>-year</w:t>
                      </w:r>
                      <w:r w:rsidR="00B37C8D">
                        <w:rPr>
                          <w:rFonts w:eastAsia="Calibri" w:cs="Arial"/>
                          <w:color w:val="auto"/>
                          <w14:ligatures w14:val="standardContextual"/>
                        </w:rPr>
                        <w:t xml:space="preserve"> </w:t>
                      </w:r>
                      <w:r w:rsidRPr="007B22D6">
                        <w:rPr>
                          <w:rFonts w:eastAsia="Calibri" w:cs="Arial"/>
                          <w:color w:val="auto"/>
                          <w14:ligatures w14:val="standardContextual"/>
                        </w:rPr>
                        <w:t>olds</w:t>
                      </w:r>
                      <w:r w:rsidR="001B6CD8">
                        <w:rPr>
                          <w:rFonts w:eastAsia="Calibri" w:cs="Arial"/>
                          <w:color w:val="auto"/>
                          <w14:ligatures w14:val="standardContextual"/>
                        </w:rPr>
                        <w:t>.</w:t>
                      </w:r>
                      <w:r w:rsidRPr="007B22D6">
                        <w:rPr>
                          <w:rFonts w:eastAsia="Calibri" w:cs="Arial"/>
                          <w:color w:val="auto"/>
                          <w14:ligatures w14:val="standardContextual"/>
                        </w:rPr>
                        <w:t xml:space="preserve"> </w:t>
                      </w:r>
                      <w:r w:rsidR="001B6CD8">
                        <w:rPr>
                          <w:rFonts w:eastAsia="Calibri" w:cs="Arial"/>
                          <w:color w:val="auto"/>
                          <w14:ligatures w14:val="standardContextual"/>
                        </w:rPr>
                        <w:t>This</w:t>
                      </w:r>
                      <w:r w:rsidRPr="007B22D6">
                        <w:rPr>
                          <w:rFonts w:eastAsia="Calibri" w:cs="Arial"/>
                          <w:color w:val="auto"/>
                          <w14:ligatures w14:val="standardContextual"/>
                        </w:rPr>
                        <w:t xml:space="preserve"> mentioned their child’s name and </w:t>
                      </w:r>
                      <w:r w:rsidR="00615AFF">
                        <w:rPr>
                          <w:rFonts w:eastAsia="Calibri" w:cs="Arial"/>
                          <w:color w:val="auto"/>
                          <w14:ligatures w14:val="standardContextual"/>
                        </w:rPr>
                        <w:t xml:space="preserve">was </w:t>
                      </w:r>
                      <w:r w:rsidRPr="007B22D6">
                        <w:rPr>
                          <w:rFonts w:eastAsia="Calibri" w:cs="Arial"/>
                          <w:color w:val="auto"/>
                          <w14:ligatures w14:val="standardContextual"/>
                        </w:rPr>
                        <w:t xml:space="preserve">signed by their local GP. </w:t>
                      </w:r>
                      <w:r w:rsidR="005314AA" w:rsidRPr="005314AA">
                        <w:rPr>
                          <w:rFonts w:eastAsia="Calibri" w:cs="Arial"/>
                          <w:color w:val="auto"/>
                          <w14:ligatures w14:val="standardContextual"/>
                        </w:rPr>
                        <w:t xml:space="preserve">The </w:t>
                      </w:r>
                      <w:r w:rsidR="001B6CD8">
                        <w:rPr>
                          <w:rFonts w:eastAsia="Calibri" w:cs="Arial"/>
                          <w:color w:val="auto"/>
                          <w14:ligatures w14:val="standardContextual"/>
                        </w:rPr>
                        <w:t xml:space="preserve">reverse of the </w:t>
                      </w:r>
                      <w:r w:rsidR="005314AA" w:rsidRPr="005314AA">
                        <w:rPr>
                          <w:rFonts w:eastAsia="Calibri" w:cs="Arial"/>
                          <w:color w:val="auto"/>
                          <w14:ligatures w14:val="standardContextual"/>
                        </w:rPr>
                        <w:t xml:space="preserve">invitations also included easy read images to </w:t>
                      </w:r>
                      <w:r w:rsidR="004E1FC3">
                        <w:rPr>
                          <w:rFonts w:eastAsia="Calibri" w:cs="Arial"/>
                          <w:color w:val="auto"/>
                          <w14:ligatures w14:val="standardContextual"/>
                        </w:rPr>
                        <w:t xml:space="preserve">support </w:t>
                      </w:r>
                      <w:r w:rsidR="005314AA" w:rsidRPr="005314AA">
                        <w:rPr>
                          <w:rFonts w:eastAsia="Calibri" w:cs="Arial"/>
                          <w:color w:val="auto"/>
                          <w14:ligatures w14:val="standardContextual"/>
                        </w:rPr>
                        <w:t>understanding of key messages.</w:t>
                      </w:r>
                      <w:r w:rsidRPr="007B22D6">
                        <w:rPr>
                          <w:rFonts w:eastAsia="Calibri" w:cs="Arial"/>
                          <w:color w:val="auto"/>
                          <w14:ligatures w14:val="standardContextual"/>
                        </w:rPr>
                        <w:t xml:space="preserve"> As BwD CCG ha</w:t>
                      </w:r>
                      <w:r w:rsidR="00615AFF">
                        <w:rPr>
                          <w:rFonts w:eastAsia="Calibri" w:cs="Arial"/>
                          <w:color w:val="auto"/>
                          <w14:ligatures w14:val="standardContextual"/>
                        </w:rPr>
                        <w:t>d</w:t>
                      </w:r>
                      <w:r w:rsidRPr="007B22D6">
                        <w:rPr>
                          <w:rFonts w:eastAsia="Calibri" w:cs="Arial"/>
                          <w:color w:val="auto"/>
                          <w14:ligatures w14:val="standardContextual"/>
                        </w:rPr>
                        <w:t xml:space="preserve"> a large Muslim community (54,146 people identified as Muslim in the </w:t>
                      </w:r>
                      <w:hyperlink r:id="rId29" w:history="1">
                        <w:r w:rsidRPr="007B22D6">
                          <w:rPr>
                            <w:rFonts w:eastAsia="Calibri" w:cs="Arial"/>
                            <w:color w:val="0563C1"/>
                            <w:u w:val="single"/>
                            <w14:ligatures w14:val="standardContextual"/>
                          </w:rPr>
                          <w:t>ONS Census 2021</w:t>
                        </w:r>
                      </w:hyperlink>
                      <w:r w:rsidRPr="007B22D6">
                        <w:rPr>
                          <w:rFonts w:eastAsia="Calibri" w:cs="Arial"/>
                          <w:color w:val="auto"/>
                          <w14:ligatures w14:val="standardContextual"/>
                        </w:rPr>
                        <w:t xml:space="preserve">, the second </w:t>
                      </w:r>
                      <w:r w:rsidR="0022660C">
                        <w:rPr>
                          <w:rFonts w:eastAsia="Calibri" w:cs="Arial"/>
                          <w:color w:val="auto"/>
                          <w14:ligatures w14:val="standardContextual"/>
                        </w:rPr>
                        <w:t>most common</w:t>
                      </w:r>
                      <w:r w:rsidRPr="007B22D6">
                        <w:rPr>
                          <w:rFonts w:eastAsia="Calibri" w:cs="Arial"/>
                          <w:color w:val="auto"/>
                          <w14:ligatures w14:val="standardContextual"/>
                        </w:rPr>
                        <w:t xml:space="preserve"> religion in the area), the region commissioned qualitative insights work to better understand Muslim parents’ concerns regarding children’s vaccinations. This informed a Q&amp;A </w:t>
                      </w:r>
                      <w:r w:rsidR="004852DA">
                        <w:rPr>
                          <w:rFonts w:eastAsia="Calibri" w:cs="Arial"/>
                          <w:color w:val="auto"/>
                          <w14:ligatures w14:val="standardContextual"/>
                        </w:rPr>
                        <w:t>in both English and Urdu</w:t>
                      </w:r>
                      <w:r w:rsidRPr="007B22D6">
                        <w:rPr>
                          <w:rFonts w:eastAsia="Calibri" w:cs="Arial"/>
                          <w:color w:val="auto"/>
                          <w14:ligatures w14:val="standardContextual"/>
                        </w:rPr>
                        <w:t xml:space="preserve"> that was shared alongside the letter, reassuring </w:t>
                      </w:r>
                      <w:r w:rsidR="004852DA">
                        <w:rPr>
                          <w:rFonts w:eastAsia="Calibri" w:cs="Arial"/>
                          <w:color w:val="auto"/>
                          <w14:ligatures w14:val="standardContextual"/>
                        </w:rPr>
                        <w:t xml:space="preserve">parents </w:t>
                      </w:r>
                      <w:r w:rsidRPr="007B22D6">
                        <w:rPr>
                          <w:rFonts w:eastAsia="Calibri" w:cs="Arial"/>
                          <w:color w:val="auto"/>
                          <w14:ligatures w14:val="standardContextual"/>
                        </w:rPr>
                        <w:t xml:space="preserve">that an alternative flu vaccine could be provided that did not contain porcine gelatine. </w:t>
                      </w:r>
                    </w:p>
                    <w:p w14:paraId="62AD57D4" w14:textId="5CD60AFC" w:rsidR="007B22D6" w:rsidRPr="007B22D6" w:rsidRDefault="007B22D6" w:rsidP="00013385">
                      <w:pPr>
                        <w:spacing w:after="180" w:line="276" w:lineRule="auto"/>
                        <w:rPr>
                          <w:rFonts w:cs="Arial"/>
                          <w:color w:val="auto"/>
                        </w:rPr>
                      </w:pPr>
                      <w:r w:rsidRPr="007B22D6">
                        <w:rPr>
                          <w:rFonts w:eastAsia="Calibri" w:cs="Arial"/>
                          <w:color w:val="auto"/>
                          <w14:ligatures w14:val="standardContextual"/>
                        </w:rPr>
                        <w:t xml:space="preserve">By providing personalised invitations and a culturally sensitive Q&amp;A, GP teams were able to build on their connections with local patients and their families. Among the three participating PCNs, 34.5% of the total flu vaccinations delivered to </w:t>
                      </w:r>
                      <w:r w:rsidR="00B37C8D">
                        <w:rPr>
                          <w:rFonts w:eastAsia="Calibri" w:cs="Arial"/>
                          <w:color w:val="auto"/>
                          <w14:ligatures w14:val="standardContextual"/>
                        </w:rPr>
                        <w:t>2–3</w:t>
                      </w:r>
                      <w:r w:rsidR="00B37C8D" w:rsidRPr="007B22D6">
                        <w:rPr>
                          <w:rFonts w:eastAsia="Calibri" w:cs="Arial"/>
                          <w:color w:val="auto"/>
                          <w14:ligatures w14:val="standardContextual"/>
                        </w:rPr>
                        <w:t>-year</w:t>
                      </w:r>
                      <w:r w:rsidR="00B37C8D">
                        <w:rPr>
                          <w:rFonts w:eastAsia="Calibri" w:cs="Arial"/>
                          <w:color w:val="auto"/>
                          <w14:ligatures w14:val="standardContextual"/>
                        </w:rPr>
                        <w:t xml:space="preserve"> </w:t>
                      </w:r>
                      <w:r w:rsidRPr="007B22D6">
                        <w:rPr>
                          <w:rFonts w:eastAsia="Calibri" w:cs="Arial"/>
                          <w:color w:val="auto"/>
                          <w14:ligatures w14:val="standardContextual"/>
                        </w:rPr>
                        <w:t>olds in the 2021/22 autumn season took place after the local letters were sent. This compares to 23% in the PCN that did not take part, suggesting these tailored invit</w:t>
                      </w:r>
                      <w:r w:rsidR="00850F7C">
                        <w:rPr>
                          <w:rFonts w:eastAsia="Calibri" w:cs="Arial"/>
                          <w:color w:val="auto"/>
                          <w14:ligatures w14:val="standardContextual"/>
                        </w:rPr>
                        <w:t>ations</w:t>
                      </w:r>
                      <w:r w:rsidRPr="007B22D6">
                        <w:rPr>
                          <w:rFonts w:eastAsia="Calibri" w:cs="Arial"/>
                          <w:color w:val="auto"/>
                          <w14:ligatures w14:val="standardContextual"/>
                        </w:rPr>
                        <w:t xml:space="preserve"> encouraged young families to come forward. </w:t>
                      </w:r>
                    </w:p>
                  </w:txbxContent>
                </v:textbox>
                <w10:wrap anchorx="margin"/>
              </v:shape>
            </w:pict>
          </mc:Fallback>
        </mc:AlternateContent>
      </w:r>
    </w:p>
    <w:p w14:paraId="18C181D9" w14:textId="7094CB7C" w:rsidR="0075793E" w:rsidRPr="00496A09" w:rsidRDefault="0075793E" w:rsidP="0075793E">
      <w:pPr>
        <w:spacing w:after="0" w:line="276" w:lineRule="auto"/>
        <w:ind w:right="57"/>
        <w:textboxTightWrap w:val="none"/>
      </w:pPr>
    </w:p>
    <w:p w14:paraId="76430182" w14:textId="365C4BE3" w:rsidR="0075793E" w:rsidRPr="00496A09" w:rsidRDefault="0075793E" w:rsidP="0075793E">
      <w:pPr>
        <w:spacing w:after="0" w:line="276" w:lineRule="auto"/>
        <w:ind w:right="57"/>
        <w:textboxTightWrap w:val="none"/>
      </w:pPr>
    </w:p>
    <w:p w14:paraId="0AB977EE" w14:textId="77777777" w:rsidR="0075793E" w:rsidRPr="00496A09" w:rsidRDefault="0075793E" w:rsidP="0075793E">
      <w:pPr>
        <w:spacing w:after="0" w:line="276" w:lineRule="auto"/>
        <w:ind w:right="57"/>
        <w:textboxTightWrap w:val="none"/>
      </w:pPr>
    </w:p>
    <w:p w14:paraId="7B7BA67A" w14:textId="5FF66F9F" w:rsidR="0075793E" w:rsidRPr="00496A09" w:rsidRDefault="0075793E" w:rsidP="0075793E">
      <w:pPr>
        <w:spacing w:after="0" w:line="276" w:lineRule="auto"/>
        <w:ind w:right="57"/>
        <w:textboxTightWrap w:val="none"/>
      </w:pPr>
    </w:p>
    <w:p w14:paraId="4EDC2EC3" w14:textId="4735EC83" w:rsidR="0075793E" w:rsidRPr="00496A09" w:rsidRDefault="0075793E" w:rsidP="0075793E">
      <w:pPr>
        <w:spacing w:after="0" w:line="276" w:lineRule="auto"/>
        <w:ind w:right="57"/>
        <w:textboxTightWrap w:val="none"/>
      </w:pPr>
    </w:p>
    <w:p w14:paraId="44102264" w14:textId="2DDA4299" w:rsidR="0075793E" w:rsidRPr="00496A09" w:rsidRDefault="0075793E" w:rsidP="0075793E">
      <w:pPr>
        <w:spacing w:after="0" w:line="276" w:lineRule="auto"/>
        <w:ind w:right="57"/>
        <w:textboxTightWrap w:val="none"/>
      </w:pPr>
    </w:p>
    <w:p w14:paraId="618AE339" w14:textId="1270A181" w:rsidR="0075793E" w:rsidRPr="00496A09" w:rsidRDefault="0075793E" w:rsidP="0075793E">
      <w:pPr>
        <w:spacing w:after="0" w:line="276" w:lineRule="auto"/>
        <w:ind w:right="57"/>
        <w:textboxTightWrap w:val="none"/>
      </w:pPr>
    </w:p>
    <w:p w14:paraId="1D475866" w14:textId="3FAA4C09" w:rsidR="0075793E" w:rsidRPr="00496A09" w:rsidRDefault="0075793E" w:rsidP="0075793E">
      <w:pPr>
        <w:spacing w:after="0" w:line="276" w:lineRule="auto"/>
        <w:ind w:right="57"/>
        <w:textboxTightWrap w:val="none"/>
      </w:pPr>
    </w:p>
    <w:p w14:paraId="615AE2BC" w14:textId="730F3A2D" w:rsidR="0075793E" w:rsidRPr="00496A09" w:rsidRDefault="0075793E" w:rsidP="0075793E">
      <w:pPr>
        <w:spacing w:after="0" w:line="276" w:lineRule="auto"/>
        <w:ind w:right="57"/>
        <w:textboxTightWrap w:val="none"/>
      </w:pPr>
    </w:p>
    <w:p w14:paraId="130B45A7" w14:textId="77777777" w:rsidR="0075793E" w:rsidRPr="00496A09" w:rsidRDefault="0075793E" w:rsidP="0075793E">
      <w:pPr>
        <w:spacing w:after="0" w:line="276" w:lineRule="auto"/>
        <w:ind w:right="57"/>
        <w:textboxTightWrap w:val="none"/>
      </w:pPr>
    </w:p>
    <w:p w14:paraId="61B80E58" w14:textId="77777777" w:rsidR="0075793E" w:rsidRPr="00496A09" w:rsidRDefault="0075793E" w:rsidP="0075793E">
      <w:pPr>
        <w:spacing w:after="0" w:line="276" w:lineRule="auto"/>
        <w:ind w:right="57"/>
        <w:textboxTightWrap w:val="none"/>
      </w:pPr>
    </w:p>
    <w:p w14:paraId="6D62C71A" w14:textId="77777777" w:rsidR="0075793E" w:rsidRPr="00496A09" w:rsidRDefault="0075793E" w:rsidP="0075793E">
      <w:pPr>
        <w:spacing w:after="0" w:line="276" w:lineRule="auto"/>
        <w:ind w:right="57"/>
        <w:textboxTightWrap w:val="none"/>
      </w:pPr>
    </w:p>
    <w:p w14:paraId="0AC1E5F8" w14:textId="77777777" w:rsidR="0075793E" w:rsidRPr="00496A09" w:rsidRDefault="0075793E" w:rsidP="0075793E">
      <w:pPr>
        <w:spacing w:after="0" w:line="276" w:lineRule="auto"/>
        <w:ind w:right="57"/>
        <w:textboxTightWrap w:val="none"/>
      </w:pPr>
    </w:p>
    <w:p w14:paraId="1B77DA2B" w14:textId="2B51A442" w:rsidR="0075793E" w:rsidRPr="00496A09" w:rsidRDefault="0075793E" w:rsidP="0075793E">
      <w:pPr>
        <w:spacing w:after="0" w:line="276" w:lineRule="auto"/>
        <w:ind w:right="57"/>
        <w:textboxTightWrap w:val="none"/>
      </w:pPr>
    </w:p>
    <w:p w14:paraId="26F41128" w14:textId="77777777" w:rsidR="0075793E" w:rsidRPr="00496A09" w:rsidRDefault="0075793E" w:rsidP="0075793E">
      <w:pPr>
        <w:spacing w:after="0" w:line="276" w:lineRule="auto"/>
        <w:ind w:right="57"/>
        <w:textboxTightWrap w:val="none"/>
      </w:pPr>
    </w:p>
    <w:p w14:paraId="1E3B20C8" w14:textId="77777777" w:rsidR="0075793E" w:rsidRPr="00496A09" w:rsidRDefault="0075793E" w:rsidP="0075793E">
      <w:pPr>
        <w:spacing w:after="0" w:line="276" w:lineRule="auto"/>
        <w:ind w:right="57"/>
        <w:textboxTightWrap w:val="none"/>
      </w:pPr>
    </w:p>
    <w:p w14:paraId="03AD263E" w14:textId="77777777" w:rsidR="0075793E" w:rsidRPr="00496A09" w:rsidRDefault="0075793E" w:rsidP="0075793E">
      <w:pPr>
        <w:spacing w:after="0" w:line="276" w:lineRule="auto"/>
        <w:ind w:right="57"/>
        <w:textboxTightWrap w:val="none"/>
      </w:pPr>
    </w:p>
    <w:p w14:paraId="5A2128F6" w14:textId="77777777" w:rsidR="0075793E" w:rsidRPr="00496A09" w:rsidRDefault="0075793E" w:rsidP="0075793E">
      <w:pPr>
        <w:spacing w:after="0" w:line="276" w:lineRule="auto"/>
        <w:ind w:right="57"/>
        <w:textboxTightWrap w:val="none"/>
      </w:pPr>
    </w:p>
    <w:p w14:paraId="10982D93" w14:textId="77777777" w:rsidR="0075793E" w:rsidRPr="00496A09" w:rsidRDefault="0075793E" w:rsidP="0075793E">
      <w:pPr>
        <w:spacing w:after="0" w:line="276" w:lineRule="auto"/>
        <w:ind w:right="57"/>
        <w:textboxTightWrap w:val="none"/>
      </w:pPr>
    </w:p>
    <w:p w14:paraId="32CBF198" w14:textId="77777777" w:rsidR="0075793E" w:rsidRPr="00496A09" w:rsidRDefault="0075793E" w:rsidP="0075793E">
      <w:pPr>
        <w:spacing w:after="0" w:line="276" w:lineRule="auto"/>
        <w:ind w:right="57"/>
        <w:textboxTightWrap w:val="none"/>
      </w:pPr>
    </w:p>
    <w:p w14:paraId="7C5374A3" w14:textId="77777777" w:rsidR="0075793E" w:rsidRPr="00496A09" w:rsidRDefault="0075793E" w:rsidP="0075793E">
      <w:pPr>
        <w:spacing w:after="0" w:line="276" w:lineRule="auto"/>
        <w:ind w:right="57"/>
        <w:textboxTightWrap w:val="none"/>
      </w:pPr>
    </w:p>
    <w:p w14:paraId="59E9628F" w14:textId="2DDF222D" w:rsidR="0075793E" w:rsidRPr="00496A09" w:rsidRDefault="0075793E" w:rsidP="0075793E">
      <w:pPr>
        <w:spacing w:after="0" w:line="276" w:lineRule="auto"/>
        <w:ind w:right="57"/>
        <w:textboxTightWrap w:val="none"/>
      </w:pPr>
    </w:p>
    <w:p w14:paraId="06A50E8A" w14:textId="77777777" w:rsidR="0075793E" w:rsidRPr="00496A09" w:rsidRDefault="0075793E" w:rsidP="0075793E">
      <w:pPr>
        <w:spacing w:after="0" w:line="276" w:lineRule="auto"/>
        <w:ind w:right="57"/>
        <w:textboxTightWrap w:val="none"/>
      </w:pPr>
    </w:p>
    <w:p w14:paraId="7B896843" w14:textId="77777777" w:rsidR="0075793E" w:rsidRPr="00496A09" w:rsidRDefault="0075793E" w:rsidP="0075793E">
      <w:pPr>
        <w:spacing w:after="0" w:line="276" w:lineRule="auto"/>
        <w:ind w:right="57"/>
        <w:textboxTightWrap w:val="none"/>
      </w:pPr>
    </w:p>
    <w:p w14:paraId="0DBEBF61" w14:textId="437F7B7D" w:rsidR="00013385" w:rsidRPr="00496A09" w:rsidRDefault="00013385" w:rsidP="00F8119E">
      <w:pPr>
        <w:spacing w:after="0" w:line="240" w:lineRule="auto"/>
        <w:textboxTightWrap w:val="none"/>
      </w:pPr>
    </w:p>
    <w:p w14:paraId="58A84C1B" w14:textId="77777777" w:rsidR="008C2006" w:rsidRPr="00496A09" w:rsidRDefault="008C2006" w:rsidP="00F8119E">
      <w:pPr>
        <w:spacing w:after="0" w:line="240" w:lineRule="auto"/>
        <w:textboxTightWrap w:val="none"/>
      </w:pPr>
    </w:p>
    <w:p w14:paraId="020DD46A" w14:textId="77777777" w:rsidR="008C2006" w:rsidRPr="00496A09" w:rsidRDefault="008C2006" w:rsidP="00F8119E">
      <w:pPr>
        <w:spacing w:after="0" w:line="240" w:lineRule="auto"/>
        <w:textboxTightWrap w:val="none"/>
      </w:pPr>
    </w:p>
    <w:p w14:paraId="2E324B54" w14:textId="77777777" w:rsidR="008C2006" w:rsidRPr="00496A09" w:rsidRDefault="008C2006" w:rsidP="00F8119E">
      <w:pPr>
        <w:spacing w:after="0" w:line="240" w:lineRule="auto"/>
        <w:textboxTightWrap w:val="none"/>
      </w:pPr>
    </w:p>
    <w:p w14:paraId="2EAC2150" w14:textId="6CCFD624" w:rsidR="00785582" w:rsidRPr="00496A09" w:rsidRDefault="00785582" w:rsidP="00F8119E">
      <w:pPr>
        <w:pStyle w:val="h4numbered"/>
        <w:keepNext w:val="0"/>
        <w:spacing w:after="180" w:line="276" w:lineRule="auto"/>
        <w:ind w:left="794"/>
        <w:rPr>
          <w:color w:val="auto"/>
        </w:rPr>
      </w:pPr>
      <w:r w:rsidRPr="00496A09">
        <w:t>Communication should be based on up-to-date insight about individual communit</w:t>
      </w:r>
      <w:r w:rsidR="0048035F" w:rsidRPr="00496A09">
        <w:t>y</w:t>
      </w:r>
      <w:r w:rsidR="0082110F" w:rsidRPr="00496A09">
        <w:t>’</w:t>
      </w:r>
      <w:r w:rsidRPr="00496A09">
        <w:t>s priorities and barriers to vaccination and should use professional and other trusted voices from different communities.</w:t>
      </w:r>
    </w:p>
    <w:p w14:paraId="76E46B7B" w14:textId="7952C3B8" w:rsidR="00785582" w:rsidRPr="00496A09" w:rsidRDefault="00785582" w:rsidP="00F8119E">
      <w:pPr>
        <w:pStyle w:val="h4numbered"/>
        <w:keepNext w:val="0"/>
        <w:spacing w:after="180" w:line="276" w:lineRule="auto"/>
        <w:ind w:left="794" w:right="57"/>
        <w:rPr>
          <w:color w:val="auto"/>
        </w:rPr>
      </w:pPr>
      <w:r w:rsidRPr="00496A09">
        <w:t xml:space="preserve">Local authorities play a lead role in planning and delivering outreach. This can include identifying underserved populations, undertaking engagement work that increases understanding of vaccination and supports informed consent </w:t>
      </w:r>
      <w:r w:rsidRPr="00496A09" w:rsidDel="003F204B">
        <w:t xml:space="preserve">using the principles of behavioural psychology to design services, </w:t>
      </w:r>
      <w:r w:rsidRPr="00496A09">
        <w:t>and working alongside</w:t>
      </w:r>
      <w:r w:rsidR="00104803" w:rsidRPr="00496A09">
        <w:t xml:space="preserve"> </w:t>
      </w:r>
      <w:r w:rsidRPr="00496A09">
        <w:t>NHS providers to deliver vaccinations in the community.</w:t>
      </w:r>
    </w:p>
    <w:p w14:paraId="33FC4AF7" w14:textId="593B3805" w:rsidR="00785582" w:rsidRPr="00496A09" w:rsidRDefault="00A269F5" w:rsidP="00F8119E">
      <w:pPr>
        <w:pStyle w:val="h4numbered"/>
        <w:keepNext w:val="0"/>
        <w:spacing w:line="276" w:lineRule="auto"/>
        <w:ind w:left="794"/>
        <w:rPr>
          <w:color w:val="auto"/>
        </w:rPr>
      </w:pPr>
      <w:r w:rsidRPr="00496A09">
        <w:rPr>
          <w:rFonts w:ascii="Calibri" w:hAnsi="Calibri"/>
          <w:noProof/>
          <w:sz w:val="16"/>
          <w:szCs w:val="16"/>
        </w:rPr>
        <mc:AlternateContent>
          <mc:Choice Requires="wps">
            <w:drawing>
              <wp:anchor distT="228600" distB="228600" distL="228600" distR="228600" simplePos="0" relativeHeight="251658245" behindDoc="1" locked="0" layoutInCell="1" allowOverlap="1" wp14:anchorId="26A56934" wp14:editId="73337454">
                <wp:simplePos x="0" y="0"/>
                <wp:positionH relativeFrom="page">
                  <wp:posOffset>635000</wp:posOffset>
                </wp:positionH>
                <wp:positionV relativeFrom="paragraph">
                  <wp:posOffset>940435</wp:posOffset>
                </wp:positionV>
                <wp:extent cx="6170295" cy="4728845"/>
                <wp:effectExtent l="0" t="0" r="20955" b="14605"/>
                <wp:wrapSquare wrapText="bothSides"/>
                <wp:docPr id="2056313289" name="Text Box 2056313289"/>
                <wp:cNvGraphicFramePr/>
                <a:graphic xmlns:a="http://schemas.openxmlformats.org/drawingml/2006/main">
                  <a:graphicData uri="http://schemas.microsoft.com/office/word/2010/wordprocessingShape">
                    <wps:wsp>
                      <wps:cNvSpPr txBox="1"/>
                      <wps:spPr>
                        <a:xfrm>
                          <a:off x="0" y="0"/>
                          <a:ext cx="6170295" cy="4728845"/>
                        </a:xfrm>
                        <a:prstGeom prst="rect">
                          <a:avLst/>
                        </a:prstGeom>
                        <a:gradFill rotWithShape="1">
                          <a:gsLst>
                            <a:gs pos="0">
                              <a:srgbClr val="CCDFF1">
                                <a:tint val="90000"/>
                                <a:satMod val="92000"/>
                                <a:lumMod val="120000"/>
                              </a:srgbClr>
                            </a:gs>
                            <a:gs pos="100000">
                              <a:srgbClr val="CCDFF1">
                                <a:shade val="98000"/>
                                <a:satMod val="120000"/>
                                <a:lumMod val="98000"/>
                              </a:srgbClr>
                            </a:gs>
                          </a:gsLst>
                          <a:path path="circle">
                            <a:fillToRect l="50000" t="50000" r="100000" b="100000"/>
                          </a:path>
                        </a:gradFill>
                        <a:ln w="6350">
                          <a:solidFill>
                            <a:schemeClr val="bg1"/>
                          </a:solidFill>
                        </a:ln>
                        <a:effectLst/>
                      </wps:spPr>
                      <wps:txbx>
                        <w:txbxContent>
                          <w:p w14:paraId="2F5B2791" w14:textId="77777777" w:rsidR="005F0C08" w:rsidRPr="0021719C" w:rsidRDefault="005F0C08" w:rsidP="006B374D">
                            <w:pPr>
                              <w:spacing w:after="180" w:line="276" w:lineRule="auto"/>
                              <w:rPr>
                                <w:rFonts w:cs="Arial"/>
                                <w:b/>
                                <w:bCs/>
                                <w:color w:val="auto"/>
                              </w:rPr>
                            </w:pPr>
                            <w:r w:rsidRPr="0021719C">
                              <w:rPr>
                                <w:rFonts w:cs="Arial"/>
                                <w:b/>
                                <w:bCs/>
                                <w:color w:val="auto"/>
                              </w:rPr>
                              <w:t>Case study: Childhood MMR vaccination clinics for Charedi Jewish community</w:t>
                            </w:r>
                          </w:p>
                          <w:p w14:paraId="2816E9E4" w14:textId="7126F6CE" w:rsidR="005F0C08" w:rsidRPr="0021719C" w:rsidRDefault="005F0C08" w:rsidP="006B374D">
                            <w:pPr>
                              <w:spacing w:after="180" w:line="276" w:lineRule="auto"/>
                              <w:rPr>
                                <w:rFonts w:cs="Arial"/>
                                <w:color w:val="auto"/>
                              </w:rPr>
                            </w:pPr>
                            <w:r w:rsidRPr="0021719C">
                              <w:rPr>
                                <w:rFonts w:cs="Arial"/>
                                <w:color w:val="auto"/>
                              </w:rPr>
                              <w:t xml:space="preserve">North Hackney and Haringey London boroughs have high numbers of Charedi and Orthodox Jewish groups, with Stamford Hill having a Hasidic Jewish population of over 30,000. A high proportion of Charedi children under 5 in these boroughs receive their vaccines later than clinically advised, compared to </w:t>
                            </w:r>
                            <w:r w:rsidR="00B45568">
                              <w:rPr>
                                <w:rFonts w:eastAsia="Calibri" w:cs="Arial"/>
                                <w:kern w:val="24"/>
                              </w:rPr>
                              <w:t>the population as a whole.</w:t>
                            </w:r>
                          </w:p>
                          <w:p w14:paraId="2E737236" w14:textId="0C9F55C0" w:rsidR="005F0C08" w:rsidRPr="0021719C" w:rsidRDefault="005F0C08" w:rsidP="006B374D">
                            <w:pPr>
                              <w:spacing w:after="180" w:line="276" w:lineRule="auto"/>
                              <w:rPr>
                                <w:rFonts w:cs="Arial"/>
                                <w:color w:val="auto"/>
                              </w:rPr>
                            </w:pPr>
                            <w:r w:rsidRPr="0021719C">
                              <w:rPr>
                                <w:rFonts w:cs="Arial"/>
                                <w:color w:val="auto"/>
                              </w:rPr>
                              <w:t>In July 2023, Springfield Park Primary Care Network held vaccination and health clinics at the three GP practices with the highest proportion of Charedi patients. The PCN built on learnings from the polio booster campaign in September 2022, where it offered additional clinics at local practices for Charedi communities on Sundays after Shabbat (which runs from Friday evening to S</w:t>
                            </w:r>
                            <w:r w:rsidR="004D11B6">
                              <w:rPr>
                                <w:rFonts w:cs="Arial"/>
                                <w:color w:val="auto"/>
                              </w:rPr>
                              <w:t>atur</w:t>
                            </w:r>
                            <w:r w:rsidRPr="0021719C">
                              <w:rPr>
                                <w:rFonts w:cs="Arial"/>
                                <w:color w:val="auto"/>
                              </w:rPr>
                              <w:t xml:space="preserve">day evening) and provided vaccinations at a Charedi and Orthodox Jewish children’s centre. This was a multidisciplinary team effort, </w:t>
                            </w:r>
                            <w:r w:rsidR="00850F7C">
                              <w:rPr>
                                <w:rFonts w:cs="Arial"/>
                                <w:color w:val="auto"/>
                              </w:rPr>
                              <w:t>involving</w:t>
                            </w:r>
                            <w:r w:rsidRPr="0021719C">
                              <w:rPr>
                                <w:rFonts w:cs="Arial"/>
                                <w:color w:val="auto"/>
                              </w:rPr>
                              <w:t xml:space="preserve"> recallers, nurses, practice managers and volunteers, with funding support from Northeast London ICB. Leaflets promoting the July health clinics with quotes from local rabbis on the importance of getting MMR jabs were placed in the local Charedi press, community organisations and children’s centres. </w:t>
                            </w:r>
                          </w:p>
                          <w:p w14:paraId="4DEFB8F4" w14:textId="77777777" w:rsidR="005F0C08" w:rsidRPr="0021719C" w:rsidRDefault="005F0C08" w:rsidP="006B374D">
                            <w:pPr>
                              <w:spacing w:after="180" w:line="276" w:lineRule="auto"/>
                              <w:rPr>
                                <w:rFonts w:cs="Arial"/>
                                <w:color w:val="auto"/>
                              </w:rPr>
                            </w:pPr>
                            <w:r w:rsidRPr="0021719C">
                              <w:rPr>
                                <w:rFonts w:cs="Arial"/>
                                <w:color w:val="auto"/>
                              </w:rPr>
                              <w:t xml:space="preserve">By working with Jewish faith leaders, local press and community services, services were tailored to best suit Charedi and Orthodox Jewish communities. Over two Sunday clinics, more than 100 children were vaccinated. The PCN continued to run some clinics over the summer, prioritising vaccinations before the Jewish holidays.  </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56934" id="Text Box 2056313289" o:spid="_x0000_s1035" type="#_x0000_t202" style="position:absolute;left:0;text-align:left;margin-left:50pt;margin-top:74.05pt;width:485.85pt;height:372.35pt;z-index:-251658235;visibility:visible;mso-wrap-style:square;mso-width-percent:0;mso-height-percent:0;mso-wrap-distance-left:18pt;mso-wrap-distance-top:18pt;mso-wrap-distance-right:18pt;mso-wrap-distance-bottom:1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" strokecolor="#231f20 [3212]" strokeweight=".5pt">
                <v:fill color2="#bfd9f1" rotate="t" focusposition=".5,.5" focussize="-.5,-.5" focus="100%" type="gradientRadial"/>
                <v:textbox inset="14.4pt,14.4pt,14.4pt,14.4pt">
                  <w:txbxContent>
                    <w:p w14:paraId="2F5B2791" w14:textId="77777777" w:rsidR="005F0C08" w:rsidRPr="0021719C" w:rsidRDefault="005F0C08" w:rsidP="006B374D">
                      <w:pPr>
                        <w:spacing w:after="180" w:line="276" w:lineRule="auto"/>
                        <w:rPr>
                          <w:rFonts w:cs="Arial"/>
                          <w:b/>
                          <w:bCs/>
                          <w:color w:val="auto"/>
                        </w:rPr>
                      </w:pPr>
                      <w:r w:rsidRPr="0021719C">
                        <w:rPr>
                          <w:rFonts w:cs="Arial"/>
                          <w:b/>
                          <w:bCs/>
                          <w:color w:val="auto"/>
                        </w:rPr>
                        <w:t>Case study: Childhood MMR vaccination clinics for Charedi Jewish community</w:t>
                      </w:r>
                    </w:p>
                    <w:p w14:paraId="2816E9E4" w14:textId="7126F6CE" w:rsidR="005F0C08" w:rsidRPr="0021719C" w:rsidRDefault="005F0C08" w:rsidP="006B374D">
                      <w:pPr>
                        <w:spacing w:after="180" w:line="276" w:lineRule="auto"/>
                        <w:rPr>
                          <w:rFonts w:cs="Arial"/>
                          <w:color w:val="auto"/>
                        </w:rPr>
                      </w:pPr>
                      <w:r w:rsidRPr="0021719C">
                        <w:rPr>
                          <w:rFonts w:cs="Arial"/>
                          <w:color w:val="auto"/>
                        </w:rPr>
                        <w:t xml:space="preserve">North Hackney and Haringey London boroughs have high numbers of Charedi and Orthodox Jewish groups, with Stamford Hill having a Hasidic Jewish population of over 30,000. A high proportion of Charedi children under 5 in these boroughs receive their vaccines later than clinically advised, compared to </w:t>
                      </w:r>
                      <w:r w:rsidR="00B45568">
                        <w:rPr>
                          <w:rFonts w:eastAsia="Calibri" w:cs="Arial"/>
                          <w:kern w:val="24"/>
                        </w:rPr>
                        <w:t>the population as a whole.</w:t>
                      </w:r>
                    </w:p>
                    <w:p w14:paraId="2E737236" w14:textId="0C9F55C0" w:rsidR="005F0C08" w:rsidRPr="0021719C" w:rsidRDefault="005F0C08" w:rsidP="006B374D">
                      <w:pPr>
                        <w:spacing w:after="180" w:line="276" w:lineRule="auto"/>
                        <w:rPr>
                          <w:rFonts w:cs="Arial"/>
                          <w:color w:val="auto"/>
                        </w:rPr>
                      </w:pPr>
                      <w:r w:rsidRPr="0021719C">
                        <w:rPr>
                          <w:rFonts w:cs="Arial"/>
                          <w:color w:val="auto"/>
                        </w:rPr>
                        <w:t>In July 2023, Springfield Park Primary Care Network held vaccination and health clinics at the three GP practices with the highest proportion of Charedi patients. The PCN built on learnings from the polio booster campaign in September 2022, where it offered additional clinics at local practices for Charedi communities on Sundays after Shabbat (which runs from Friday evening to S</w:t>
                      </w:r>
                      <w:r w:rsidR="004D11B6">
                        <w:rPr>
                          <w:rFonts w:cs="Arial"/>
                          <w:color w:val="auto"/>
                        </w:rPr>
                        <w:t>atur</w:t>
                      </w:r>
                      <w:r w:rsidRPr="0021719C">
                        <w:rPr>
                          <w:rFonts w:cs="Arial"/>
                          <w:color w:val="auto"/>
                        </w:rPr>
                        <w:t xml:space="preserve">day evening) and provided vaccinations at a Charedi and Orthodox Jewish children’s centre. This was a multidisciplinary team effort, </w:t>
                      </w:r>
                      <w:r w:rsidR="00850F7C">
                        <w:rPr>
                          <w:rFonts w:cs="Arial"/>
                          <w:color w:val="auto"/>
                        </w:rPr>
                        <w:t>involving</w:t>
                      </w:r>
                      <w:r w:rsidRPr="0021719C">
                        <w:rPr>
                          <w:rFonts w:cs="Arial"/>
                          <w:color w:val="auto"/>
                        </w:rPr>
                        <w:t xml:space="preserve"> recallers, nurses, practice managers and volunteers, with funding support from Northeast London ICB. Leaflets promoting the July health clinics with quotes from local rabbis on the importance of getting MMR jabs were placed in the local Charedi press, community organisations and children’s centres. </w:t>
                      </w:r>
                    </w:p>
                    <w:p w14:paraId="4DEFB8F4" w14:textId="77777777" w:rsidR="005F0C08" w:rsidRPr="0021719C" w:rsidRDefault="005F0C08" w:rsidP="006B374D">
                      <w:pPr>
                        <w:spacing w:after="180" w:line="276" w:lineRule="auto"/>
                        <w:rPr>
                          <w:rFonts w:cs="Arial"/>
                          <w:color w:val="auto"/>
                        </w:rPr>
                      </w:pPr>
                      <w:r w:rsidRPr="0021719C">
                        <w:rPr>
                          <w:rFonts w:cs="Arial"/>
                          <w:color w:val="auto"/>
                        </w:rPr>
                        <w:t xml:space="preserve">By working with Jewish faith leaders, local press and community services, services were tailored to best suit Charedi and Orthodox Jewish communities. Over two Sunday clinics, more than 100 children were vaccinated. The PCN continued to run some clinics over the summer, prioritising vaccinations before the Jewish holidays.  </w:t>
                      </w:r>
                    </w:p>
                  </w:txbxContent>
                </v:textbox>
                <w10:wrap type="square" anchorx="page"/>
              </v:shape>
            </w:pict>
          </mc:Fallback>
        </mc:AlternateContent>
      </w:r>
      <w:r w:rsidR="00785582" w:rsidRPr="00496A09">
        <w:t xml:space="preserve">Nationally, we will strengthen the partnerships built during the COVID-19 pandemic with stakeholder networks and communication channels serving communities of faith, and racial and ethnic minorities, for whom uptake is lower. </w:t>
      </w:r>
    </w:p>
    <w:p w14:paraId="1EB51C42" w14:textId="71D91EDF" w:rsidR="00104AFD" w:rsidRPr="00496A09" w:rsidRDefault="00104AFD" w:rsidP="006B374D">
      <w:pPr>
        <w:pStyle w:val="h3numbered"/>
        <w:spacing w:before="0" w:after="180"/>
      </w:pPr>
      <w:bookmarkStart w:id="19" w:name="_Toc153264063"/>
      <w:r w:rsidRPr="00496A09">
        <w:t>Integrated teams who put vaccination at the heart of prevention and wellbeing</w:t>
      </w:r>
      <w:bookmarkEnd w:id="19"/>
    </w:p>
    <w:p w14:paraId="42E01C71" w14:textId="32A2F201" w:rsidR="00104AFD" w:rsidRPr="00496A09" w:rsidRDefault="00104AFD" w:rsidP="00D302FC">
      <w:pPr>
        <w:pStyle w:val="h4numbered"/>
        <w:spacing w:before="180" w:after="180" w:line="276" w:lineRule="auto"/>
        <w:ind w:left="794"/>
        <w:rPr>
          <w:color w:val="auto"/>
        </w:rPr>
      </w:pPr>
      <w:bookmarkStart w:id="20" w:name="_Toc147937071"/>
      <w:bookmarkStart w:id="21" w:name="_Toc147937134"/>
      <w:bookmarkStart w:id="22" w:name="_Toc147937375"/>
      <w:bookmarkStart w:id="23" w:name="_Toc147937425"/>
      <w:bookmarkStart w:id="24" w:name="_Toc147940562"/>
      <w:bookmarkStart w:id="25" w:name="_Toc148001554"/>
      <w:bookmarkStart w:id="26" w:name="_Toc148005168"/>
      <w:bookmarkStart w:id="27" w:name="_Toc148013650"/>
      <w:bookmarkStart w:id="28" w:name="_Toc148017359"/>
      <w:bookmarkStart w:id="29" w:name="_Toc148019042"/>
      <w:bookmarkStart w:id="30" w:name="_Toc148540647"/>
      <w:bookmarkStart w:id="31" w:name="_Toc148542008"/>
      <w:bookmarkStart w:id="32" w:name="_Toc149118590"/>
      <w:bookmarkStart w:id="33" w:name="_Toc149124353"/>
      <w:bookmarkStart w:id="34" w:name="_Toc147937072"/>
      <w:bookmarkStart w:id="35" w:name="_Toc147937135"/>
      <w:bookmarkStart w:id="36" w:name="_Toc147937376"/>
      <w:bookmarkStart w:id="37" w:name="_Toc147937426"/>
      <w:bookmarkStart w:id="38" w:name="_Toc147940563"/>
      <w:bookmarkStart w:id="39" w:name="_Toc148001555"/>
      <w:bookmarkStart w:id="40" w:name="_Toc148005169"/>
      <w:bookmarkStart w:id="41" w:name="_Toc148013651"/>
      <w:bookmarkStart w:id="42" w:name="_Toc148017360"/>
      <w:bookmarkStart w:id="43" w:name="_Toc148019043"/>
      <w:bookmarkStart w:id="44" w:name="_Toc148540648"/>
      <w:bookmarkStart w:id="45" w:name="_Toc148542009"/>
      <w:bookmarkStart w:id="46" w:name="_Toc149118591"/>
      <w:bookmarkStart w:id="47" w:name="_Toc149124354"/>
      <w:bookmarkStart w:id="48" w:name="_Toc147937073"/>
      <w:bookmarkStart w:id="49" w:name="_Toc147937136"/>
      <w:bookmarkStart w:id="50" w:name="_Toc147937377"/>
      <w:bookmarkStart w:id="51" w:name="_Toc147937427"/>
      <w:bookmarkStart w:id="52" w:name="_Toc147940564"/>
      <w:bookmarkStart w:id="53" w:name="_Toc148001556"/>
      <w:bookmarkStart w:id="54" w:name="_Toc148005170"/>
      <w:bookmarkStart w:id="55" w:name="_Toc148013652"/>
      <w:bookmarkStart w:id="56" w:name="_Toc148017361"/>
      <w:bookmarkStart w:id="57" w:name="_Toc148019044"/>
      <w:bookmarkStart w:id="58" w:name="_Toc148540649"/>
      <w:bookmarkStart w:id="59" w:name="_Toc148542010"/>
      <w:bookmarkStart w:id="60" w:name="_Toc149118592"/>
      <w:bookmarkStart w:id="61" w:name="_Toc14912435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496A09">
        <w:t>Vaccination is a public health opportunity. Integrating the delivery of vaccinations with wider person-centred healthcare services, planned and delivered by neighbourhood teams, can help make the most of the vaccination event.</w:t>
      </w:r>
    </w:p>
    <w:p w14:paraId="43797CD2" w14:textId="01B30031" w:rsidR="0075793E" w:rsidRPr="00496A09" w:rsidRDefault="00104AFD">
      <w:pPr>
        <w:pStyle w:val="h4numbered"/>
        <w:ind w:left="794"/>
      </w:pPr>
      <w:r w:rsidRPr="00496A09">
        <w:t>Aligning vaccinations with other healthcare interventions can be particularly effective in communities that experience health inequalities and can help those communities access a wider range of services to improve their health and wellbeing.</w:t>
      </w:r>
    </w:p>
    <w:p w14:paraId="3EB76424" w14:textId="77777777" w:rsidR="00B105A7" w:rsidRPr="00496A09" w:rsidRDefault="00B105A7">
      <w:pPr>
        <w:spacing w:after="0" w:line="240" w:lineRule="auto"/>
        <w:textboxTightWrap w:val="none"/>
      </w:pPr>
    </w:p>
    <w:p w14:paraId="0CBBFD86" w14:textId="0969E193" w:rsidR="009D67D3" w:rsidRPr="00496A09" w:rsidRDefault="009D67D3">
      <w:pPr>
        <w:spacing w:after="0" w:line="240" w:lineRule="auto"/>
        <w:textboxTightWrap w:val="none"/>
        <w:rPr>
          <w:rFonts w:asciiTheme="minorHAnsi" w:eastAsia="MS Mincho" w:hAnsiTheme="minorHAnsi"/>
          <w:color w:val="231F20" w:themeColor="background1"/>
          <w:kern w:val="28"/>
          <w:szCs w:val="20"/>
          <w14:ligatures w14:val="standardContextual"/>
        </w:rPr>
      </w:pPr>
    </w:p>
    <w:p w14:paraId="4D16B5E5" w14:textId="70965EB0" w:rsidR="00104AFD" w:rsidRPr="00496A09" w:rsidRDefault="00104AFD" w:rsidP="006B374D">
      <w:pPr>
        <w:spacing w:after="180"/>
        <w:ind w:right="57"/>
        <w:rPr>
          <w:b/>
          <w:bCs/>
        </w:rPr>
      </w:pPr>
      <w:r w:rsidRPr="00496A09">
        <w:rPr>
          <w:b/>
          <w:bCs/>
        </w:rPr>
        <w:t>Integrated neighbourhood teams</w:t>
      </w:r>
    </w:p>
    <w:p w14:paraId="6CB3DFB3" w14:textId="111AE0C1" w:rsidR="007F5708" w:rsidRPr="00496A09" w:rsidRDefault="007F5708" w:rsidP="006842AD">
      <w:pPr>
        <w:pStyle w:val="h4numbered"/>
        <w:spacing w:after="180" w:line="276" w:lineRule="auto"/>
        <w:ind w:left="794"/>
      </w:pPr>
      <w:r w:rsidRPr="00496A09">
        <w:t>The Fuller stocktake proposed that PCNs evolve into integrated, multidisciplinary teams, delivering to communities at home, neighbourhood, place and system level.</w:t>
      </w:r>
      <w:r w:rsidRPr="00496A09">
        <w:rPr>
          <w:rStyle w:val="FootnoteReference"/>
        </w:rPr>
        <w:footnoteReference w:id="29"/>
      </w:r>
      <w:r w:rsidRPr="00496A09">
        <w:t xml:space="preserve"> We believe that vaccination across the life course should be at the heart of these teams, as an integral part of a cradle-to-grave prevention approach based on population health need.</w:t>
      </w:r>
    </w:p>
    <w:p w14:paraId="27412201" w14:textId="740A6415" w:rsidR="00F41F21" w:rsidRPr="00496A09" w:rsidRDefault="008C2006" w:rsidP="00F12C4B">
      <w:pPr>
        <w:pStyle w:val="h4numbered"/>
        <w:keepNext w:val="0"/>
        <w:spacing w:after="180" w:line="276" w:lineRule="auto"/>
        <w:ind w:left="794"/>
        <w:rPr>
          <w:color w:val="auto"/>
        </w:rPr>
      </w:pPr>
      <w:r w:rsidRPr="00496A09">
        <w:rPr>
          <w:rFonts w:eastAsia="Calibri" w:cs="Arial"/>
          <w:noProof/>
        </w:rPr>
        <mc:AlternateContent>
          <mc:Choice Requires="wps">
            <w:drawing>
              <wp:anchor distT="228600" distB="228600" distL="228600" distR="228600" simplePos="0" relativeHeight="251658246" behindDoc="1" locked="0" layoutInCell="1" allowOverlap="1" wp14:anchorId="6C041109" wp14:editId="08EEDBEE">
                <wp:simplePos x="0" y="0"/>
                <wp:positionH relativeFrom="margin">
                  <wp:align>left</wp:align>
                </wp:positionH>
                <wp:positionV relativeFrom="paragraph">
                  <wp:posOffset>1470025</wp:posOffset>
                </wp:positionV>
                <wp:extent cx="6105525" cy="3728720"/>
                <wp:effectExtent l="0" t="0" r="28575" b="24130"/>
                <wp:wrapTight wrapText="bothSides">
                  <wp:wrapPolygon edited="0">
                    <wp:start x="0" y="0"/>
                    <wp:lineTo x="0" y="21629"/>
                    <wp:lineTo x="21634" y="21629"/>
                    <wp:lineTo x="21634" y="0"/>
                    <wp:lineTo x="0" y="0"/>
                  </wp:wrapPolygon>
                </wp:wrapTight>
                <wp:docPr id="2003253314" name="Text Box 2003253314"/>
                <wp:cNvGraphicFramePr/>
                <a:graphic xmlns:a="http://schemas.openxmlformats.org/drawingml/2006/main">
                  <a:graphicData uri="http://schemas.microsoft.com/office/word/2010/wordprocessingShape">
                    <wps:wsp>
                      <wps:cNvSpPr txBox="1"/>
                      <wps:spPr>
                        <a:xfrm>
                          <a:off x="0" y="0"/>
                          <a:ext cx="6105525" cy="3728720"/>
                        </a:xfrm>
                        <a:prstGeom prst="rect">
                          <a:avLst/>
                        </a:prstGeom>
                        <a:gradFill rotWithShape="1">
                          <a:gsLst>
                            <a:gs pos="0">
                              <a:srgbClr val="CCDFF1">
                                <a:tint val="90000"/>
                                <a:satMod val="92000"/>
                                <a:lumMod val="120000"/>
                              </a:srgbClr>
                            </a:gs>
                            <a:gs pos="100000">
                              <a:srgbClr val="CCDFF1">
                                <a:shade val="98000"/>
                                <a:satMod val="120000"/>
                                <a:lumMod val="98000"/>
                              </a:srgbClr>
                            </a:gs>
                          </a:gsLst>
                          <a:path path="circle">
                            <a:fillToRect l="50000" t="50000" r="100000" b="100000"/>
                          </a:path>
                        </a:gradFill>
                        <a:ln w="6350">
                          <a:solidFill>
                            <a:schemeClr val="bg1"/>
                          </a:solidFill>
                        </a:ln>
                        <a:effectLst/>
                      </wps:spPr>
                      <wps:txbx>
                        <w:txbxContent>
                          <w:p w14:paraId="6A7D9061" w14:textId="77777777" w:rsidR="007F5708" w:rsidRPr="0038673B" w:rsidRDefault="007F5708" w:rsidP="008E1869">
                            <w:pPr>
                              <w:spacing w:after="180"/>
                              <w:rPr>
                                <w:rFonts w:cs="Arial"/>
                                <w:b/>
                                <w:bCs/>
                                <w:color w:val="auto"/>
                              </w:rPr>
                            </w:pPr>
                            <w:r w:rsidRPr="0038673B">
                              <w:rPr>
                                <w:rFonts w:cs="Arial"/>
                                <w:b/>
                                <w:bCs/>
                                <w:color w:val="auto"/>
                              </w:rPr>
                              <w:t>Case study: Luton Wellbeing Hub</w:t>
                            </w:r>
                          </w:p>
                          <w:p w14:paraId="6E18BCAA" w14:textId="77777777" w:rsidR="007F5708" w:rsidRPr="0038673B" w:rsidRDefault="007F5708" w:rsidP="00A942C0">
                            <w:pPr>
                              <w:spacing w:after="180" w:line="276" w:lineRule="auto"/>
                              <w:rPr>
                                <w:rFonts w:cs="Arial"/>
                                <w:color w:val="auto"/>
                              </w:rPr>
                            </w:pPr>
                            <w:r w:rsidRPr="0038673B">
                              <w:rPr>
                                <w:rFonts w:cs="Arial"/>
                                <w:color w:val="auto"/>
                              </w:rPr>
                              <w:t xml:space="preserve">Life expectancy in Luton differs by 8 years between those living in the most deprived areas and those in affluent communities. To address this inequality, in November 2021 NHS Bedfordshire, Luton and Milton Keynes ICB set up a partnership with Luton Council and Hertfordshire Community Trust (CSAIS and adult services) to establish the Luton Wellbeing Hub in an easily accessible central shopping centre. </w:t>
                            </w:r>
                          </w:p>
                          <w:p w14:paraId="460AC762" w14:textId="71682731" w:rsidR="007F5708" w:rsidRPr="0038673B" w:rsidRDefault="007F5708" w:rsidP="00A942C0">
                            <w:pPr>
                              <w:spacing w:after="180" w:line="276" w:lineRule="auto"/>
                              <w:rPr>
                                <w:rFonts w:cs="Arial"/>
                                <w:color w:val="auto"/>
                              </w:rPr>
                            </w:pPr>
                            <w:r w:rsidRPr="0038673B">
                              <w:rPr>
                                <w:rFonts w:cs="Arial"/>
                                <w:color w:val="auto"/>
                              </w:rPr>
                              <w:t>This collaboration with local partners means a range of key health support and vaccinations can be delivered on one site to people from deprived communities – from MMR and COVID-19 vaccinations, alongside health checks for conditions associated with shortened life expectancy (</w:t>
                            </w:r>
                            <w:r w:rsidR="00C55021" w:rsidRPr="0038673B">
                              <w:rPr>
                                <w:rFonts w:cs="Arial"/>
                                <w:color w:val="auto"/>
                              </w:rPr>
                              <w:t>e</w:t>
                            </w:r>
                            <w:r w:rsidR="00C55021">
                              <w:rPr>
                                <w:rFonts w:cs="Arial"/>
                                <w:color w:val="auto"/>
                              </w:rPr>
                              <w:t>.</w:t>
                            </w:r>
                            <w:r w:rsidR="00C55021" w:rsidRPr="0038673B">
                              <w:rPr>
                                <w:rFonts w:cs="Arial"/>
                                <w:color w:val="auto"/>
                              </w:rPr>
                              <w:t>g</w:t>
                            </w:r>
                            <w:r w:rsidR="00C55021">
                              <w:rPr>
                                <w:rFonts w:cs="Arial"/>
                                <w:color w:val="auto"/>
                              </w:rPr>
                              <w:t>.,</w:t>
                            </w:r>
                            <w:r w:rsidRPr="0038673B">
                              <w:rPr>
                                <w:rFonts w:cs="Arial"/>
                                <w:color w:val="auto"/>
                              </w:rPr>
                              <w:t xml:space="preserve"> </w:t>
                            </w:r>
                            <w:r>
                              <w:rPr>
                                <w:rFonts w:cs="Arial"/>
                                <w:color w:val="auto"/>
                              </w:rPr>
                              <w:t xml:space="preserve">checking </w:t>
                            </w:r>
                            <w:r w:rsidRPr="0038673B">
                              <w:rPr>
                                <w:rFonts w:cs="Arial"/>
                                <w:color w:val="auto"/>
                              </w:rPr>
                              <w:t xml:space="preserve">BMI and blood pressure, smoking cessation advice), to drop-in support sessions with the Citizens Advice Bureau. Close connections were developed with local PCNs and the </w:t>
                            </w:r>
                            <w:r>
                              <w:rPr>
                                <w:rFonts w:cs="Arial"/>
                                <w:color w:val="auto"/>
                              </w:rPr>
                              <w:t>L</w:t>
                            </w:r>
                            <w:r w:rsidRPr="0038673B">
                              <w:rPr>
                                <w:rFonts w:cs="Arial"/>
                                <w:color w:val="auto"/>
                              </w:rPr>
                              <w:t xml:space="preserve">ocal </w:t>
                            </w:r>
                            <w:r>
                              <w:rPr>
                                <w:rFonts w:cs="Arial"/>
                                <w:color w:val="auto"/>
                              </w:rPr>
                              <w:t>M</w:t>
                            </w:r>
                            <w:r w:rsidRPr="0038673B">
                              <w:rPr>
                                <w:rFonts w:cs="Arial"/>
                                <w:color w:val="auto"/>
                              </w:rPr>
                              <w:t xml:space="preserve">edical </w:t>
                            </w:r>
                            <w:r>
                              <w:rPr>
                                <w:rFonts w:cs="Arial"/>
                                <w:color w:val="auto"/>
                              </w:rPr>
                              <w:t>C</w:t>
                            </w:r>
                            <w:r w:rsidRPr="0038673B">
                              <w:rPr>
                                <w:rFonts w:cs="Arial"/>
                                <w:color w:val="auto"/>
                              </w:rPr>
                              <w:t>ommittee, to ensure that the hub operated in collaboration with GP</w:t>
                            </w:r>
                            <w:r w:rsidR="006E36B7">
                              <w:rPr>
                                <w:rFonts w:cs="Arial"/>
                                <w:color w:val="auto"/>
                              </w:rPr>
                              <w:t xml:space="preserve"> </w:t>
                            </w:r>
                            <w:r w:rsidRPr="0038673B">
                              <w:rPr>
                                <w:rFonts w:cs="Arial"/>
                                <w:color w:val="auto"/>
                              </w:rPr>
                              <w:t>s</w:t>
                            </w:r>
                            <w:r w:rsidR="006E36B7">
                              <w:rPr>
                                <w:rFonts w:cs="Arial"/>
                                <w:color w:val="auto"/>
                              </w:rPr>
                              <w:t>ervices</w:t>
                            </w:r>
                            <w:r w:rsidRPr="0038673B">
                              <w:rPr>
                                <w:rFonts w:cs="Arial"/>
                                <w:color w:val="auto"/>
                              </w:rPr>
                              <w:t xml:space="preserve">. </w:t>
                            </w:r>
                          </w:p>
                          <w:p w14:paraId="268FDDBC" w14:textId="77777777" w:rsidR="007F5708" w:rsidRPr="0038673B" w:rsidRDefault="007F5708" w:rsidP="00A942C0">
                            <w:pPr>
                              <w:spacing w:after="180" w:line="276" w:lineRule="auto"/>
                              <w:rPr>
                                <w:rFonts w:cs="Arial"/>
                                <w:color w:val="auto"/>
                              </w:rPr>
                            </w:pPr>
                            <w:r w:rsidRPr="0038673B">
                              <w:rPr>
                                <w:rFonts w:cs="Arial"/>
                                <w:color w:val="auto"/>
                              </w:rPr>
                              <w:t xml:space="preserve">Between May and September 2022, over 10,000 COVID-19 vaccines and 807 children’s vaccines were delivered. </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41109" id="Text Box 2003253314" o:spid="_x0000_s1036" type="#_x0000_t202" style="position:absolute;left:0;text-align:left;margin-left:0;margin-top:115.75pt;width:480.75pt;height:293.6pt;z-index:-251658234;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" strokecolor="#231f20 [3212]" strokeweight=".5pt">
                <v:fill color2="#bfd9f1" rotate="t" focusposition=".5,.5" focussize="-.5,-.5" focus="100%" type="gradientRadial"/>
                <v:textbox inset="14.4pt,14.4pt,14.4pt,14.4pt">
                  <w:txbxContent>
                    <w:p w14:paraId="6A7D9061" w14:textId="77777777" w:rsidR="007F5708" w:rsidRPr="0038673B" w:rsidRDefault="007F5708" w:rsidP="008E1869">
                      <w:pPr>
                        <w:spacing w:after="180"/>
                        <w:rPr>
                          <w:rFonts w:cs="Arial"/>
                          <w:b/>
                          <w:bCs/>
                          <w:color w:val="auto"/>
                        </w:rPr>
                      </w:pPr>
                      <w:r w:rsidRPr="0038673B">
                        <w:rPr>
                          <w:rFonts w:cs="Arial"/>
                          <w:b/>
                          <w:bCs/>
                          <w:color w:val="auto"/>
                        </w:rPr>
                        <w:t>Case study: Luton Wellbeing Hub</w:t>
                      </w:r>
                    </w:p>
                    <w:p w14:paraId="6E18BCAA" w14:textId="77777777" w:rsidR="007F5708" w:rsidRPr="0038673B" w:rsidRDefault="007F5708" w:rsidP="00A942C0">
                      <w:pPr>
                        <w:spacing w:after="180" w:line="276" w:lineRule="auto"/>
                        <w:rPr>
                          <w:rFonts w:cs="Arial"/>
                          <w:color w:val="auto"/>
                        </w:rPr>
                      </w:pPr>
                      <w:r w:rsidRPr="0038673B">
                        <w:rPr>
                          <w:rFonts w:cs="Arial"/>
                          <w:color w:val="auto"/>
                        </w:rPr>
                        <w:t xml:space="preserve">Life expectancy in Luton differs by 8 years between those living in the most deprived areas and those in affluent communities. To address this inequality, in November 2021 NHS Bedfordshire, Luton and Milton Keynes ICB set up a partnership with Luton Council and Hertfordshire Community Trust (CSAIS and adult services) to establish the Luton Wellbeing Hub in an easily accessible central shopping centre. </w:t>
                      </w:r>
                    </w:p>
                    <w:p w14:paraId="460AC762" w14:textId="71682731" w:rsidR="007F5708" w:rsidRPr="0038673B" w:rsidRDefault="007F5708" w:rsidP="00A942C0">
                      <w:pPr>
                        <w:spacing w:after="180" w:line="276" w:lineRule="auto"/>
                        <w:rPr>
                          <w:rFonts w:cs="Arial"/>
                          <w:color w:val="auto"/>
                        </w:rPr>
                      </w:pPr>
                      <w:r w:rsidRPr="0038673B">
                        <w:rPr>
                          <w:rFonts w:cs="Arial"/>
                          <w:color w:val="auto"/>
                        </w:rPr>
                        <w:t>This collaboration with local partners means a range of key health support and vaccinations can be delivered on one site to people from deprived communities – from MMR and COVID-19 vaccinations, alongside health checks for conditions associated with shortened life expectancy (</w:t>
                      </w:r>
                      <w:r w:rsidR="00C55021" w:rsidRPr="0038673B">
                        <w:rPr>
                          <w:rFonts w:cs="Arial"/>
                          <w:color w:val="auto"/>
                        </w:rPr>
                        <w:t>e</w:t>
                      </w:r>
                      <w:r w:rsidR="00C55021">
                        <w:rPr>
                          <w:rFonts w:cs="Arial"/>
                          <w:color w:val="auto"/>
                        </w:rPr>
                        <w:t>.</w:t>
                      </w:r>
                      <w:r w:rsidR="00C55021" w:rsidRPr="0038673B">
                        <w:rPr>
                          <w:rFonts w:cs="Arial"/>
                          <w:color w:val="auto"/>
                        </w:rPr>
                        <w:t>g</w:t>
                      </w:r>
                      <w:r w:rsidR="00C55021">
                        <w:rPr>
                          <w:rFonts w:cs="Arial"/>
                          <w:color w:val="auto"/>
                        </w:rPr>
                        <w:t>.,</w:t>
                      </w:r>
                      <w:r w:rsidRPr="0038673B">
                        <w:rPr>
                          <w:rFonts w:cs="Arial"/>
                          <w:color w:val="auto"/>
                        </w:rPr>
                        <w:t xml:space="preserve"> </w:t>
                      </w:r>
                      <w:r>
                        <w:rPr>
                          <w:rFonts w:cs="Arial"/>
                          <w:color w:val="auto"/>
                        </w:rPr>
                        <w:t xml:space="preserve">checking </w:t>
                      </w:r>
                      <w:r w:rsidRPr="0038673B">
                        <w:rPr>
                          <w:rFonts w:cs="Arial"/>
                          <w:color w:val="auto"/>
                        </w:rPr>
                        <w:t xml:space="preserve">BMI and blood pressure, smoking cessation advice), to drop-in support sessions with the Citizens Advice Bureau. Close connections were developed with local PCNs and the </w:t>
                      </w:r>
                      <w:r>
                        <w:rPr>
                          <w:rFonts w:cs="Arial"/>
                          <w:color w:val="auto"/>
                        </w:rPr>
                        <w:t>L</w:t>
                      </w:r>
                      <w:r w:rsidRPr="0038673B">
                        <w:rPr>
                          <w:rFonts w:cs="Arial"/>
                          <w:color w:val="auto"/>
                        </w:rPr>
                        <w:t xml:space="preserve">ocal </w:t>
                      </w:r>
                      <w:r>
                        <w:rPr>
                          <w:rFonts w:cs="Arial"/>
                          <w:color w:val="auto"/>
                        </w:rPr>
                        <w:t>M</w:t>
                      </w:r>
                      <w:r w:rsidRPr="0038673B">
                        <w:rPr>
                          <w:rFonts w:cs="Arial"/>
                          <w:color w:val="auto"/>
                        </w:rPr>
                        <w:t xml:space="preserve">edical </w:t>
                      </w:r>
                      <w:r>
                        <w:rPr>
                          <w:rFonts w:cs="Arial"/>
                          <w:color w:val="auto"/>
                        </w:rPr>
                        <w:t>C</w:t>
                      </w:r>
                      <w:r w:rsidRPr="0038673B">
                        <w:rPr>
                          <w:rFonts w:cs="Arial"/>
                          <w:color w:val="auto"/>
                        </w:rPr>
                        <w:t>ommittee, to ensure that the hub operated in collaboration with GP</w:t>
                      </w:r>
                      <w:r w:rsidR="006E36B7">
                        <w:rPr>
                          <w:rFonts w:cs="Arial"/>
                          <w:color w:val="auto"/>
                        </w:rPr>
                        <w:t xml:space="preserve"> </w:t>
                      </w:r>
                      <w:r w:rsidRPr="0038673B">
                        <w:rPr>
                          <w:rFonts w:cs="Arial"/>
                          <w:color w:val="auto"/>
                        </w:rPr>
                        <w:t>s</w:t>
                      </w:r>
                      <w:r w:rsidR="006E36B7">
                        <w:rPr>
                          <w:rFonts w:cs="Arial"/>
                          <w:color w:val="auto"/>
                        </w:rPr>
                        <w:t>ervices</w:t>
                      </w:r>
                      <w:r w:rsidRPr="0038673B">
                        <w:rPr>
                          <w:rFonts w:cs="Arial"/>
                          <w:color w:val="auto"/>
                        </w:rPr>
                        <w:t xml:space="preserve">. </w:t>
                      </w:r>
                    </w:p>
                    <w:p w14:paraId="268FDDBC" w14:textId="77777777" w:rsidR="007F5708" w:rsidRPr="0038673B" w:rsidRDefault="007F5708" w:rsidP="00A942C0">
                      <w:pPr>
                        <w:spacing w:after="180" w:line="276" w:lineRule="auto"/>
                        <w:rPr>
                          <w:rFonts w:cs="Arial"/>
                          <w:color w:val="auto"/>
                        </w:rPr>
                      </w:pPr>
                      <w:r w:rsidRPr="0038673B">
                        <w:rPr>
                          <w:rFonts w:cs="Arial"/>
                          <w:color w:val="auto"/>
                        </w:rPr>
                        <w:t xml:space="preserve">Between May and September 2022, over 10,000 COVID-19 vaccines and 807 children’s vaccines were delivered. </w:t>
                      </w:r>
                    </w:p>
                  </w:txbxContent>
                </v:textbox>
                <w10:wrap type="tight" anchorx="margin"/>
              </v:shape>
            </w:pict>
          </mc:Fallback>
        </mc:AlternateContent>
      </w:r>
      <w:r w:rsidR="007F5708" w:rsidRPr="00496A09">
        <w:t xml:space="preserve">An integrated team should be adaptable and work across the vaccination delivery network. It should flex according to type of vaccination and of provision, including to deliver much of the bespoke outreach described in section 3.2. When not vaccinating, the team should be capable of delivering other healthcare interventions. Vaccination activity could be profiled across the year to maximise these opportunities and support retention. </w:t>
      </w:r>
    </w:p>
    <w:p w14:paraId="3D8CC58F" w14:textId="749D13FC" w:rsidR="00F12C4B" w:rsidRPr="00496A09" w:rsidRDefault="00F12C4B" w:rsidP="00F12C4B">
      <w:pPr>
        <w:pStyle w:val="h4numbered"/>
        <w:keepNext w:val="0"/>
        <w:spacing w:after="180" w:line="276" w:lineRule="auto"/>
        <w:ind w:left="794"/>
        <w:rPr>
          <w:color w:val="auto"/>
        </w:rPr>
      </w:pPr>
      <w:r w:rsidRPr="00496A09">
        <w:t>The way teams are configured will look different in each system. Paragraph 4.3.4 sets out some of the skill mix considerations for the commissioned vaccination services element of integrated neighbourhood teams and deployment of appropriate legal mechanisms for delivery</w:t>
      </w:r>
      <w:r w:rsidR="008C2006" w:rsidRPr="00496A09">
        <w:t>.</w:t>
      </w:r>
    </w:p>
    <w:p w14:paraId="79F1B1ED" w14:textId="12482AD4" w:rsidR="002817DA" w:rsidRPr="00496A09" w:rsidRDefault="008C2006" w:rsidP="00496A09">
      <w:pPr>
        <w:rPr>
          <w:color w:val="auto"/>
        </w:rPr>
      </w:pPr>
      <w:r w:rsidRPr="00496A09">
        <w:rPr>
          <w:noProof/>
        </w:rPr>
        <mc:AlternateContent>
          <mc:Choice Requires="wps">
            <w:drawing>
              <wp:anchor distT="0" distB="0" distL="114300" distR="114300" simplePos="0" relativeHeight="251658247" behindDoc="1" locked="0" layoutInCell="1" allowOverlap="1" wp14:anchorId="43E8FE28" wp14:editId="2D1E2CB5">
                <wp:simplePos x="0" y="0"/>
                <wp:positionH relativeFrom="margin">
                  <wp:align>right</wp:align>
                </wp:positionH>
                <wp:positionV relativeFrom="paragraph">
                  <wp:posOffset>264445</wp:posOffset>
                </wp:positionV>
                <wp:extent cx="6121400" cy="4305935"/>
                <wp:effectExtent l="0" t="0" r="12700" b="18415"/>
                <wp:wrapTight wrapText="bothSides">
                  <wp:wrapPolygon edited="0">
                    <wp:start x="0" y="0"/>
                    <wp:lineTo x="0" y="21597"/>
                    <wp:lineTo x="21578" y="21597"/>
                    <wp:lineTo x="21578" y="0"/>
                    <wp:lineTo x="0" y="0"/>
                  </wp:wrapPolygon>
                </wp:wrapTight>
                <wp:docPr id="1346267196" name="Text Box 1346267196"/>
                <wp:cNvGraphicFramePr/>
                <a:graphic xmlns:a="http://schemas.openxmlformats.org/drawingml/2006/main">
                  <a:graphicData uri="http://schemas.microsoft.com/office/word/2010/wordprocessingShape">
                    <wps:wsp>
                      <wps:cNvSpPr txBox="1"/>
                      <wps:spPr>
                        <a:xfrm>
                          <a:off x="0" y="0"/>
                          <a:ext cx="6121400" cy="4305935"/>
                        </a:xfrm>
                        <a:prstGeom prst="rect">
                          <a:avLst/>
                        </a:prstGeom>
                        <a:gradFill rotWithShape="1">
                          <a:gsLst>
                            <a:gs pos="0">
                              <a:srgbClr val="CCDFF1">
                                <a:tint val="90000"/>
                                <a:satMod val="92000"/>
                                <a:lumMod val="120000"/>
                              </a:srgbClr>
                            </a:gs>
                            <a:gs pos="100000">
                              <a:srgbClr val="CCDFF1">
                                <a:shade val="98000"/>
                                <a:satMod val="120000"/>
                                <a:lumMod val="98000"/>
                              </a:srgbClr>
                            </a:gs>
                          </a:gsLst>
                          <a:path path="circle">
                            <a:fillToRect l="50000" t="50000" r="100000" b="100000"/>
                          </a:path>
                        </a:gradFill>
                        <a:ln w="6350">
                          <a:solidFill>
                            <a:schemeClr val="bg1"/>
                          </a:solidFill>
                        </a:ln>
                        <a:effectLst/>
                      </wps:spPr>
                      <wps:txbx>
                        <w:txbxContent>
                          <w:p w14:paraId="61802BE7" w14:textId="77777777" w:rsidR="00856009" w:rsidRPr="00856009" w:rsidRDefault="00856009" w:rsidP="008E1869">
                            <w:pPr>
                              <w:spacing w:after="180" w:line="276" w:lineRule="auto"/>
                              <w:rPr>
                                <w:b/>
                                <w:bCs/>
                                <w:color w:val="auto"/>
                              </w:rPr>
                            </w:pPr>
                            <w:r w:rsidRPr="00856009">
                              <w:rPr>
                                <w:b/>
                                <w:bCs/>
                                <w:color w:val="auto"/>
                              </w:rPr>
                              <w:t>Case study: Integrated neighbourhood teams at Healthy Hyde PCN</w:t>
                            </w:r>
                          </w:p>
                          <w:p w14:paraId="0D211FD4" w14:textId="3E6BF8FA" w:rsidR="00856009" w:rsidRPr="00FF3035" w:rsidRDefault="00856009" w:rsidP="008E1869">
                            <w:pPr>
                              <w:spacing w:after="180" w:line="276" w:lineRule="auto"/>
                              <w:rPr>
                                <w:color w:val="auto"/>
                              </w:rPr>
                            </w:pPr>
                            <w:r w:rsidRPr="00FF3035">
                              <w:rPr>
                                <w:color w:val="auto"/>
                              </w:rPr>
                              <w:t xml:space="preserve">Healthy Hyde PCN in Greater Manchester employs 50 people across many different disciplines (including health and wellbeing coaches, complex care nurses, paramedics and pharmacists). The PCN covers 77,000 people, over 60% of whom live in the top two most deprived deciles of postcodes in England. </w:t>
                            </w:r>
                          </w:p>
                          <w:p w14:paraId="4ACEB280" w14:textId="10B01074" w:rsidR="00856009" w:rsidRPr="00FF3035" w:rsidRDefault="00856009" w:rsidP="008E1869">
                            <w:pPr>
                              <w:spacing w:after="180" w:line="276" w:lineRule="auto"/>
                              <w:rPr>
                                <w:color w:val="auto"/>
                              </w:rPr>
                            </w:pPr>
                            <w:r w:rsidRPr="00FF3035">
                              <w:rPr>
                                <w:color w:val="auto"/>
                              </w:rPr>
                              <w:t xml:space="preserve">Healthy Hyde works beyond PCN borders, collaborating with local voluntary organisations, statutory bodies and community services to provide integrated, holistic care for its local population at neighbourhood level. A key element of this care is vaccinations </w:t>
                            </w:r>
                            <w:r w:rsidR="00325829">
                              <w:rPr>
                                <w:color w:val="auto"/>
                              </w:rPr>
                              <w:t>that</w:t>
                            </w:r>
                            <w:r w:rsidRPr="00FF3035">
                              <w:rPr>
                                <w:color w:val="auto"/>
                              </w:rPr>
                              <w:t xml:space="preserve"> are provided through a number of services. This includes vaccination information sessions held at PCN</w:t>
                            </w:r>
                            <w:r w:rsidR="00260585">
                              <w:rPr>
                                <w:color w:val="auto"/>
                              </w:rPr>
                              <w:t>-</w:t>
                            </w:r>
                            <w:r w:rsidRPr="00FF3035">
                              <w:rPr>
                                <w:color w:val="auto"/>
                              </w:rPr>
                              <w:t xml:space="preserve">led English lessons for asylum seekers and refugees who can experience barriers in accessing health services. A complex care nurse attended these sessions with a translator. Over three sessions between October </w:t>
                            </w:r>
                            <w:r w:rsidR="00187571">
                              <w:rPr>
                                <w:color w:val="auto"/>
                              </w:rPr>
                              <w:t>and</w:t>
                            </w:r>
                            <w:r w:rsidRPr="00FF3035">
                              <w:rPr>
                                <w:color w:val="auto"/>
                              </w:rPr>
                              <w:t xml:space="preserve"> December 2022, nearly 70 COVID-19 vaccines were delivered. </w:t>
                            </w:r>
                          </w:p>
                          <w:p w14:paraId="5A9225EC" w14:textId="3812C89B" w:rsidR="00856009" w:rsidRPr="0084004D" w:rsidRDefault="00856009" w:rsidP="008E1869">
                            <w:pPr>
                              <w:spacing w:after="180" w:line="276" w:lineRule="auto"/>
                              <w:rPr>
                                <w:color w:val="auto"/>
                                <w:sz w:val="22"/>
                                <w:szCs w:val="22"/>
                              </w:rPr>
                            </w:pPr>
                            <w:r w:rsidRPr="00FF3035">
                              <w:rPr>
                                <w:color w:val="auto"/>
                              </w:rPr>
                              <w:t>Healthy Hyde also runs PCN</w:t>
                            </w:r>
                            <w:r>
                              <w:rPr>
                                <w:color w:val="auto"/>
                              </w:rPr>
                              <w:t>-</w:t>
                            </w:r>
                            <w:r w:rsidRPr="00FF3035">
                              <w:rPr>
                                <w:color w:val="auto"/>
                              </w:rPr>
                              <w:t>led delivery of care home vaccinations, employing complex care nurses, care co</w:t>
                            </w:r>
                            <w:r w:rsidR="00485BB9">
                              <w:rPr>
                                <w:color w:val="auto"/>
                              </w:rPr>
                              <w:t>-</w:t>
                            </w:r>
                            <w:r w:rsidRPr="00FF3035">
                              <w:rPr>
                                <w:color w:val="auto"/>
                              </w:rPr>
                              <w:t xml:space="preserve">ordinators and pharmacists. This approach has simplified vaccinations for care homes, as they can directly contact the PCN team rather than individual GP practices. Between September 2022 </w:t>
                            </w:r>
                            <w:r w:rsidR="00187571">
                              <w:rPr>
                                <w:color w:val="auto"/>
                              </w:rPr>
                              <w:t>and</w:t>
                            </w:r>
                            <w:r w:rsidRPr="00FF3035">
                              <w:rPr>
                                <w:color w:val="auto"/>
                              </w:rPr>
                              <w:t xml:space="preserve"> February 2023, 674 flu and COVID-19 vaccines were delivered across 14 care homes.</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E8FE28" id="Text Box 1346267196" o:spid="_x0000_s1037" type="#_x0000_t202" style="position:absolute;margin-left:430.8pt;margin-top:20.8pt;width:482pt;height:339.05pt;z-index:-251658233;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" strokecolor="#231f20 [3212]" strokeweight=".5pt">
                <v:fill color2="#bfd9f1" rotate="t" focusposition=".5,.5" focussize="-.5,-.5" focus="100%" type="gradientRadial"/>
                <v:textbox inset="14.4pt,14.4pt,14.4pt,14.4pt">
                  <w:txbxContent>
                    <w:p w14:paraId="61802BE7" w14:textId="77777777" w:rsidR="00856009" w:rsidRPr="00856009" w:rsidRDefault="00856009" w:rsidP="008E1869">
                      <w:pPr>
                        <w:spacing w:after="180" w:line="276" w:lineRule="auto"/>
                        <w:rPr>
                          <w:b/>
                          <w:bCs/>
                          <w:color w:val="auto"/>
                        </w:rPr>
                      </w:pPr>
                      <w:r w:rsidRPr="00856009">
                        <w:rPr>
                          <w:b/>
                          <w:bCs/>
                          <w:color w:val="auto"/>
                        </w:rPr>
                        <w:t>Case study: Integrated neighbourhood teams at Healthy Hyde PCN</w:t>
                      </w:r>
                    </w:p>
                    <w:p w14:paraId="0D211FD4" w14:textId="3E6BF8FA" w:rsidR="00856009" w:rsidRPr="00FF3035" w:rsidRDefault="00856009" w:rsidP="008E1869">
                      <w:pPr>
                        <w:spacing w:after="180" w:line="276" w:lineRule="auto"/>
                        <w:rPr>
                          <w:color w:val="auto"/>
                        </w:rPr>
                      </w:pPr>
                      <w:r w:rsidRPr="00FF3035">
                        <w:rPr>
                          <w:color w:val="auto"/>
                        </w:rPr>
                        <w:t xml:space="preserve">Healthy Hyde PCN in Greater Manchester employs 50 people across many different disciplines (including health and wellbeing coaches, complex care nurses, paramedics and pharmacists). The PCN covers 77,000 people, over 60% of whom live in the top two most deprived deciles of postcodes in England. </w:t>
                      </w:r>
                    </w:p>
                    <w:p w14:paraId="4ACEB280" w14:textId="10B01074" w:rsidR="00856009" w:rsidRPr="00FF3035" w:rsidRDefault="00856009" w:rsidP="008E1869">
                      <w:pPr>
                        <w:spacing w:after="180" w:line="276" w:lineRule="auto"/>
                        <w:rPr>
                          <w:color w:val="auto"/>
                        </w:rPr>
                      </w:pPr>
                      <w:r w:rsidRPr="00FF3035">
                        <w:rPr>
                          <w:color w:val="auto"/>
                        </w:rPr>
                        <w:t xml:space="preserve">Healthy Hyde works beyond PCN borders, collaborating with local voluntary organisations, statutory bodies and community services to provide integrated, holistic care for its local population at neighbourhood level. A key element of this care is vaccinations </w:t>
                      </w:r>
                      <w:r w:rsidR="00325829">
                        <w:rPr>
                          <w:color w:val="auto"/>
                        </w:rPr>
                        <w:t>that</w:t>
                      </w:r>
                      <w:r w:rsidRPr="00FF3035">
                        <w:rPr>
                          <w:color w:val="auto"/>
                        </w:rPr>
                        <w:t xml:space="preserve"> are provided through a number of services. This includes vaccination information sessions held at PCN</w:t>
                      </w:r>
                      <w:r w:rsidR="00260585">
                        <w:rPr>
                          <w:color w:val="auto"/>
                        </w:rPr>
                        <w:t>-</w:t>
                      </w:r>
                      <w:r w:rsidRPr="00FF3035">
                        <w:rPr>
                          <w:color w:val="auto"/>
                        </w:rPr>
                        <w:t xml:space="preserve">led English lessons for asylum seekers and refugees who can experience barriers in accessing health services. A complex care nurse attended these sessions with a translator. Over three sessions between October </w:t>
                      </w:r>
                      <w:r w:rsidR="00187571">
                        <w:rPr>
                          <w:color w:val="auto"/>
                        </w:rPr>
                        <w:t>and</w:t>
                      </w:r>
                      <w:r w:rsidRPr="00FF3035">
                        <w:rPr>
                          <w:color w:val="auto"/>
                        </w:rPr>
                        <w:t xml:space="preserve"> December 2022, nearly 70 COVID-19 vaccines were delivered. </w:t>
                      </w:r>
                    </w:p>
                    <w:p w14:paraId="5A9225EC" w14:textId="3812C89B" w:rsidR="00856009" w:rsidRPr="0084004D" w:rsidRDefault="00856009" w:rsidP="008E1869">
                      <w:pPr>
                        <w:spacing w:after="180" w:line="276" w:lineRule="auto"/>
                        <w:rPr>
                          <w:color w:val="auto"/>
                          <w:sz w:val="22"/>
                          <w:szCs w:val="22"/>
                        </w:rPr>
                      </w:pPr>
                      <w:r w:rsidRPr="00FF3035">
                        <w:rPr>
                          <w:color w:val="auto"/>
                        </w:rPr>
                        <w:t>Healthy Hyde also runs PCN</w:t>
                      </w:r>
                      <w:r>
                        <w:rPr>
                          <w:color w:val="auto"/>
                        </w:rPr>
                        <w:t>-</w:t>
                      </w:r>
                      <w:r w:rsidRPr="00FF3035">
                        <w:rPr>
                          <w:color w:val="auto"/>
                        </w:rPr>
                        <w:t>led delivery of care home vaccinations, employing complex care nurses, care co</w:t>
                      </w:r>
                      <w:r w:rsidR="00485BB9">
                        <w:rPr>
                          <w:color w:val="auto"/>
                        </w:rPr>
                        <w:t>-</w:t>
                      </w:r>
                      <w:r w:rsidRPr="00FF3035">
                        <w:rPr>
                          <w:color w:val="auto"/>
                        </w:rPr>
                        <w:t xml:space="preserve">ordinators and pharmacists. This approach has simplified vaccinations for care homes, as they can directly contact the PCN team rather than individual GP practices. Between September 2022 </w:t>
                      </w:r>
                      <w:r w:rsidR="00187571">
                        <w:rPr>
                          <w:color w:val="auto"/>
                        </w:rPr>
                        <w:t>and</w:t>
                      </w:r>
                      <w:r w:rsidRPr="00FF3035">
                        <w:rPr>
                          <w:color w:val="auto"/>
                        </w:rPr>
                        <w:t xml:space="preserve"> February 2023, 674 flu and COVID-19 vaccines were delivered across 14 care homes.</w:t>
                      </w:r>
                    </w:p>
                  </w:txbxContent>
                </v:textbox>
                <w10:wrap type="tight" anchorx="margin"/>
              </v:shape>
            </w:pict>
          </mc:Fallback>
        </mc:AlternateContent>
      </w:r>
    </w:p>
    <w:p w14:paraId="4B4CBE21" w14:textId="69B9662A" w:rsidR="00A52929" w:rsidRPr="00496A09" w:rsidRDefault="00A52929" w:rsidP="00496A09"/>
    <w:p w14:paraId="30A26A42" w14:textId="77777777" w:rsidR="00D71E6F" w:rsidRPr="00496A09" w:rsidRDefault="00D71E6F" w:rsidP="00187571">
      <w:pPr>
        <w:spacing w:after="180"/>
        <w:ind w:right="57"/>
        <w:rPr>
          <w:b/>
          <w:bCs/>
        </w:rPr>
      </w:pPr>
      <w:r w:rsidRPr="00496A09">
        <w:rPr>
          <w:b/>
          <w:bCs/>
        </w:rPr>
        <w:t xml:space="preserve">Integration with wider prevention activity </w:t>
      </w:r>
    </w:p>
    <w:p w14:paraId="000A8930" w14:textId="4657BA47" w:rsidR="00D71E6F" w:rsidRPr="00496A09" w:rsidRDefault="00D71E6F" w:rsidP="00BA713E">
      <w:pPr>
        <w:pStyle w:val="h4numbered"/>
        <w:keepNext w:val="0"/>
        <w:spacing w:after="180" w:line="276" w:lineRule="auto"/>
        <w:ind w:left="794"/>
        <w:rPr>
          <w:color w:val="auto"/>
        </w:rPr>
      </w:pPr>
      <w:r w:rsidRPr="00496A09">
        <w:t xml:space="preserve">Systems should structure delivery of vaccination, via the neighbourhood team, to maximise uptake of other preventative services as well as vaccination uptake. Communities with low uptake of preventative services often find it more difficult to access services and have fewer interactions with services; providing them with a single contact for these services can help. Baby and pre-school vaccinations, for example, are a good opportunity to assess overall child and parental health and any safeguarding issues. Even efficient and high-volume vaccination delivery settings should be able to offer </w:t>
      </w:r>
      <w:r w:rsidR="00187571" w:rsidRPr="00496A09">
        <w:t xml:space="preserve">this </w:t>
      </w:r>
      <w:r w:rsidRPr="00496A09">
        <w:t>or refer to structured local services.</w:t>
      </w:r>
    </w:p>
    <w:p w14:paraId="7287B995" w14:textId="3430223E" w:rsidR="00D71E6F" w:rsidRPr="00496A09" w:rsidRDefault="00D71E6F" w:rsidP="006842AD">
      <w:pPr>
        <w:pStyle w:val="h4numbered"/>
        <w:spacing w:after="180" w:line="276" w:lineRule="auto"/>
        <w:ind w:left="794"/>
      </w:pPr>
      <w:r w:rsidRPr="00496A09">
        <w:rPr>
          <w:color w:val="auto"/>
        </w:rPr>
        <w:t xml:space="preserve">Systems should </w:t>
      </w:r>
      <w:r w:rsidRPr="00496A09">
        <w:t>determine the right interventions to meet local population need whil</w:t>
      </w:r>
      <w:r w:rsidR="00AE3EAD" w:rsidRPr="00496A09">
        <w:t>e</w:t>
      </w:r>
      <w:r w:rsidRPr="00496A09">
        <w:t xml:space="preserve"> maintaining the effectiveness of the vaccination service. They should:</w:t>
      </w:r>
    </w:p>
    <w:p w14:paraId="5BE773E6" w14:textId="758DCAD3" w:rsidR="00D71E6F" w:rsidRPr="00496A09" w:rsidRDefault="00D71E6F" w:rsidP="003B1E9B">
      <w:pPr>
        <w:pStyle w:val="ListParagraph"/>
        <w:numPr>
          <w:ilvl w:val="3"/>
          <w:numId w:val="11"/>
        </w:numPr>
        <w:spacing w:after="120" w:line="276" w:lineRule="auto"/>
        <w:ind w:left="1491" w:hanging="357"/>
        <w:textboxTightWrap w:val="none"/>
        <w:rPr>
          <w:color w:val="auto"/>
        </w:rPr>
      </w:pPr>
      <w:r w:rsidRPr="00496A09">
        <w:t>Prioritise hypertension case finding, smoking cessation in adults and asthma checks in children and young people.</w:t>
      </w:r>
    </w:p>
    <w:p w14:paraId="3EB1A4D0" w14:textId="03C6CA53" w:rsidR="00793ED1" w:rsidRPr="00496A09" w:rsidRDefault="00D71E6F" w:rsidP="003B1E9B">
      <w:pPr>
        <w:pStyle w:val="ListParagraph"/>
        <w:numPr>
          <w:ilvl w:val="3"/>
          <w:numId w:val="11"/>
        </w:numPr>
        <w:spacing w:before="120" w:after="120" w:line="276" w:lineRule="auto"/>
        <w:ind w:left="1491" w:hanging="357"/>
        <w:textboxTightWrap w:val="none"/>
        <w:rPr>
          <w:color w:val="auto"/>
        </w:rPr>
      </w:pPr>
      <w:r w:rsidRPr="00496A09">
        <w:t>Use population health data and public health intelligence, including from their director of public health, to understand the key health and social characteristics of their communities, deploying interventions that will benefit</w:t>
      </w:r>
      <w:r w:rsidR="00B36314" w:rsidRPr="00496A09">
        <w:t xml:space="preserve"> </w:t>
      </w:r>
      <w:r w:rsidR="00793ED1" w:rsidRPr="00496A09">
        <w:t xml:space="preserve">those communities, improve population health outcomes </w:t>
      </w:r>
      <w:r w:rsidR="00793ED1" w:rsidRPr="00496A09">
        <w:rPr>
          <w:color w:val="auto"/>
        </w:rPr>
        <w:t>and reduce healthcare inequalities.</w:t>
      </w:r>
    </w:p>
    <w:p w14:paraId="005240FA" w14:textId="1EFA7AB2" w:rsidR="009859F1" w:rsidRPr="00496A09" w:rsidRDefault="00793ED1" w:rsidP="003B1E9B">
      <w:pPr>
        <w:pStyle w:val="ListParagraph"/>
        <w:numPr>
          <w:ilvl w:val="3"/>
          <w:numId w:val="11"/>
        </w:numPr>
        <w:spacing w:before="120" w:line="276" w:lineRule="auto"/>
        <w:ind w:left="1491" w:hanging="357"/>
        <w:textboxTightWrap w:val="none"/>
        <w:rPr>
          <w:color w:val="auto"/>
        </w:rPr>
      </w:pPr>
      <w:r w:rsidRPr="00496A09">
        <w:t xml:space="preserve">Draw on the proven high impact interventions for adults and children to improve overall population outcomes by </w:t>
      </w:r>
      <w:r w:rsidR="00037AF0" w:rsidRPr="00496A09">
        <w:t xml:space="preserve">making every contact count </w:t>
      </w:r>
      <w:r w:rsidRPr="00496A09">
        <w:t>(MECC).</w:t>
      </w:r>
      <w:r w:rsidRPr="00496A09">
        <w:rPr>
          <w:rStyle w:val="FootnoteReference"/>
        </w:rPr>
        <w:footnoteReference w:id="30"/>
      </w:r>
    </w:p>
    <w:p w14:paraId="49BA7DC7" w14:textId="77777777" w:rsidR="009F11CE" w:rsidRPr="00496A09" w:rsidRDefault="009F11CE" w:rsidP="003B1E9B">
      <w:pPr>
        <w:spacing w:after="180"/>
        <w:ind w:right="57"/>
        <w:rPr>
          <w:b/>
          <w:bCs/>
        </w:rPr>
      </w:pPr>
      <w:r w:rsidRPr="00496A09">
        <w:rPr>
          <w:b/>
          <w:bCs/>
        </w:rPr>
        <w:t>Integration with clinical pathways</w:t>
      </w:r>
    </w:p>
    <w:p w14:paraId="3B9C6459" w14:textId="0A41C5D9" w:rsidR="00F10D9A" w:rsidRPr="00496A09" w:rsidRDefault="009F11CE" w:rsidP="000E54AA">
      <w:pPr>
        <w:pStyle w:val="h4numbered"/>
        <w:spacing w:after="180" w:line="276" w:lineRule="auto"/>
        <w:ind w:left="794"/>
        <w:rPr>
          <w:color w:val="auto"/>
        </w:rPr>
      </w:pPr>
      <w:r w:rsidRPr="00496A09">
        <w:t>We propose greater joint working across all local service providers, including acute, community, mental health and local authorities, to integrate vaccination into existing clinical pathways for groups with particular needs. Systems should consider how they can:</w:t>
      </w:r>
    </w:p>
    <w:p w14:paraId="402B6919" w14:textId="7E98CB57" w:rsidR="009F11CE" w:rsidRPr="00496A09" w:rsidRDefault="009F11CE" w:rsidP="00DC68D0">
      <w:pPr>
        <w:pStyle w:val="ListParagraph"/>
        <w:numPr>
          <w:ilvl w:val="0"/>
          <w:numId w:val="15"/>
        </w:numPr>
        <w:spacing w:after="120" w:line="276" w:lineRule="auto"/>
        <w:ind w:left="1491" w:right="57" w:hanging="357"/>
        <w:textboxTightWrap w:val="none"/>
      </w:pPr>
      <w:r w:rsidRPr="00496A09">
        <w:t xml:space="preserve">Make vaccination the business of everyone working in patient-facing settings, through training and awareness campaigns. If a practice nurse is testing a patient’s blood pressure, a midwife </w:t>
      </w:r>
      <w:r w:rsidR="00244DE8" w:rsidRPr="00496A09">
        <w:t xml:space="preserve">or </w:t>
      </w:r>
      <w:r w:rsidR="007950BB" w:rsidRPr="00496A09">
        <w:t>other member of the clinical team</w:t>
      </w:r>
      <w:r w:rsidR="00244DE8" w:rsidRPr="00496A09">
        <w:t xml:space="preserve"> </w:t>
      </w:r>
      <w:r w:rsidRPr="00496A09">
        <w:t>is supporting a pregnant or postnatal woman</w:t>
      </w:r>
      <w:r w:rsidR="00901C3E" w:rsidRPr="00496A09">
        <w:t xml:space="preserve"> and their child</w:t>
      </w:r>
      <w:r w:rsidRPr="00496A09">
        <w:t xml:space="preserve"> or a community podiatrist is carrying out a diabetic foot check, for example, they could be enabled to talk to the person about </w:t>
      </w:r>
      <w:r w:rsidR="00901C3E" w:rsidRPr="00496A09">
        <w:t xml:space="preserve">relevant </w:t>
      </w:r>
      <w:r w:rsidRPr="00496A09">
        <w:t>vaccination</w:t>
      </w:r>
      <w:r w:rsidR="00901C3E" w:rsidRPr="00496A09">
        <w:t>s</w:t>
      </w:r>
      <w:r w:rsidRPr="00496A09">
        <w:t>, answer questions and, if they cannot deliver the vaccination there and then, signpost to the appropriate services.</w:t>
      </w:r>
      <w:r w:rsidRPr="00496A09">
        <w:rPr>
          <w:rStyle w:val="FootnoteReference"/>
        </w:rPr>
        <w:footnoteReference w:id="31"/>
      </w:r>
      <w:r w:rsidRPr="00496A09">
        <w:t xml:space="preserve">  </w:t>
      </w:r>
    </w:p>
    <w:p w14:paraId="5C6BC351" w14:textId="423E1559" w:rsidR="009F11CE" w:rsidRPr="00496A09" w:rsidRDefault="009F11CE" w:rsidP="00DC68D0">
      <w:pPr>
        <w:pStyle w:val="ListParagraph"/>
        <w:numPr>
          <w:ilvl w:val="0"/>
          <w:numId w:val="15"/>
        </w:numPr>
        <w:spacing w:after="120" w:line="276" w:lineRule="auto"/>
        <w:ind w:left="1491" w:right="57" w:hanging="357"/>
        <w:textboxTightWrap w:val="none"/>
      </w:pPr>
      <w:r w:rsidRPr="00496A09">
        <w:t xml:space="preserve">Base vaccinators in healthcare settings accessed by people who may benefit most from vaccination. This may include emergency departments, outpatient departments, family hubs and community diagnostic centres. </w:t>
      </w:r>
      <w:r w:rsidR="0031390C" w:rsidRPr="00496A09">
        <w:rPr>
          <w:rFonts w:cs="Arial"/>
        </w:rPr>
        <w:t>Family hubs may be especially beneficial for babies and children where parents may be less likely to access a standard offer.</w:t>
      </w:r>
    </w:p>
    <w:p w14:paraId="2D30CF19" w14:textId="3A0DCA5A" w:rsidR="009F11CE" w:rsidRPr="00496A09" w:rsidRDefault="009F11CE" w:rsidP="000E54AA">
      <w:pPr>
        <w:pStyle w:val="ListParagraph"/>
        <w:numPr>
          <w:ilvl w:val="0"/>
          <w:numId w:val="15"/>
        </w:numPr>
        <w:spacing w:after="240" w:line="276" w:lineRule="auto"/>
        <w:ind w:left="1491" w:right="57" w:hanging="357"/>
        <w:textboxTightWrap w:val="none"/>
      </w:pPr>
      <w:r w:rsidRPr="00496A09">
        <w:t>Train and deploy a wider set of professionals to deliver vaccinations. Local authority services for 0–</w:t>
      </w:r>
      <w:r w:rsidR="00B42D9C" w:rsidRPr="00496A09">
        <w:t>5</w:t>
      </w:r>
      <w:r w:rsidR="00B42D9C">
        <w:t xml:space="preserve"> </w:t>
      </w:r>
      <w:r w:rsidR="00B42D9C" w:rsidRPr="00496A09">
        <w:t>year-olds</w:t>
      </w:r>
      <w:r w:rsidRPr="00496A09">
        <w:t>, for example, have unparalleled contact with underserved communities. Health visiting teams as well as school nursing teams have successfully delivered vaccinations in the past and continue to do so in parts of the country, making use of their extensive skills and relationships. Any such arrangements would need to be locally planned and take into account workforce capacity and funding requirements.</w:t>
      </w:r>
    </w:p>
    <w:p w14:paraId="57A2DFCF" w14:textId="4F356CE0" w:rsidR="009F11CE" w:rsidRPr="00496A09" w:rsidRDefault="009F11CE" w:rsidP="006842AD">
      <w:pPr>
        <w:pStyle w:val="h4numbered"/>
        <w:keepNext w:val="0"/>
        <w:widowControl w:val="0"/>
        <w:spacing w:after="180" w:line="276" w:lineRule="auto"/>
        <w:ind w:left="794"/>
      </w:pPr>
      <w:r w:rsidRPr="00496A09">
        <w:t>Achieving the integration outlined above will require data systems that give access to an individual’s vaccination history (see section 4.4) and flexible vaccine supply chains (see section 4.5</w:t>
      </w:r>
      <w:r w:rsidR="00B42D9C" w:rsidRPr="00496A09">
        <w:t>) and</w:t>
      </w:r>
      <w:r w:rsidRPr="00496A09">
        <w:t xml:space="preserve"> may require additional training.</w:t>
      </w:r>
    </w:p>
    <w:p w14:paraId="17849EFD" w14:textId="6A3F6E44" w:rsidR="004219B2" w:rsidRPr="00496A09" w:rsidRDefault="000E54AA">
      <w:pPr>
        <w:spacing w:after="0" w:line="240" w:lineRule="auto"/>
        <w:textboxTightWrap w:val="none"/>
        <w:rPr>
          <w:rFonts w:asciiTheme="minorHAnsi" w:eastAsia="MS Mincho" w:hAnsiTheme="minorHAnsi"/>
          <w:color w:val="231F20" w:themeColor="background1"/>
          <w:kern w:val="28"/>
          <w:szCs w:val="20"/>
          <w14:ligatures w14:val="standardContextual"/>
        </w:rPr>
      </w:pPr>
      <w:r w:rsidRPr="00496A09">
        <w:rPr>
          <w:noProof/>
        </w:rPr>
        <mc:AlternateContent>
          <mc:Choice Requires="wps">
            <w:drawing>
              <wp:anchor distT="228600" distB="228600" distL="228600" distR="228600" simplePos="0" relativeHeight="251658248" behindDoc="1" locked="0" layoutInCell="1" allowOverlap="1" wp14:anchorId="7BEED9BF" wp14:editId="4253B9A2">
                <wp:simplePos x="0" y="0"/>
                <wp:positionH relativeFrom="margin">
                  <wp:posOffset>87630</wp:posOffset>
                </wp:positionH>
                <wp:positionV relativeFrom="paragraph">
                  <wp:posOffset>227330</wp:posOffset>
                </wp:positionV>
                <wp:extent cx="6096000" cy="5038725"/>
                <wp:effectExtent l="0" t="0" r="19050" b="28575"/>
                <wp:wrapTight wrapText="bothSides">
                  <wp:wrapPolygon edited="0">
                    <wp:start x="0" y="0"/>
                    <wp:lineTo x="0" y="21641"/>
                    <wp:lineTo x="21600" y="21641"/>
                    <wp:lineTo x="21600" y="0"/>
                    <wp:lineTo x="0" y="0"/>
                  </wp:wrapPolygon>
                </wp:wrapTight>
                <wp:docPr id="340966417" name="Text Box 340966417"/>
                <wp:cNvGraphicFramePr/>
                <a:graphic xmlns:a="http://schemas.openxmlformats.org/drawingml/2006/main">
                  <a:graphicData uri="http://schemas.microsoft.com/office/word/2010/wordprocessingShape">
                    <wps:wsp>
                      <wps:cNvSpPr txBox="1"/>
                      <wps:spPr>
                        <a:xfrm>
                          <a:off x="0" y="0"/>
                          <a:ext cx="6096000" cy="5038725"/>
                        </a:xfrm>
                        <a:prstGeom prst="rect">
                          <a:avLst/>
                        </a:prstGeom>
                        <a:gradFill rotWithShape="1">
                          <a:gsLst>
                            <a:gs pos="0">
                              <a:srgbClr val="CCDFF1">
                                <a:tint val="90000"/>
                                <a:satMod val="92000"/>
                                <a:lumMod val="120000"/>
                              </a:srgbClr>
                            </a:gs>
                            <a:gs pos="100000">
                              <a:srgbClr val="CCDFF1">
                                <a:shade val="98000"/>
                                <a:satMod val="120000"/>
                                <a:lumMod val="98000"/>
                              </a:srgbClr>
                            </a:gs>
                          </a:gsLst>
                          <a:path path="circle">
                            <a:fillToRect l="50000" t="50000" r="100000" b="100000"/>
                          </a:path>
                        </a:gradFill>
                        <a:ln w="6350">
                          <a:solidFill>
                            <a:schemeClr val="bg1"/>
                          </a:solidFill>
                        </a:ln>
                        <a:effectLst/>
                      </wps:spPr>
                      <wps:txbx>
                        <w:txbxContent>
                          <w:p w14:paraId="5461CBAC" w14:textId="77777777" w:rsidR="00041E73" w:rsidRPr="00C44226" w:rsidRDefault="00041E73" w:rsidP="000E54AA">
                            <w:pPr>
                              <w:pStyle w:val="xmsonormal"/>
                              <w:spacing w:after="180" w:line="276" w:lineRule="auto"/>
                              <w:rPr>
                                <w:rFonts w:ascii="Arial" w:hAnsi="Arial" w:cs="Arial"/>
                                <w:b/>
                                <w:bCs/>
                                <w:sz w:val="24"/>
                                <w:szCs w:val="24"/>
                              </w:rPr>
                            </w:pPr>
                            <w:r w:rsidRPr="00C44226">
                              <w:rPr>
                                <w:rFonts w:ascii="Arial" w:hAnsi="Arial" w:cs="Arial"/>
                                <w:b/>
                                <w:bCs/>
                                <w:sz w:val="24"/>
                                <w:szCs w:val="24"/>
                              </w:rPr>
                              <w:t>Case study: Nurse-led vaccination role at Alder Hey Children’s Hospital</w:t>
                            </w:r>
                          </w:p>
                          <w:p w14:paraId="1B411392" w14:textId="4B976E3B" w:rsidR="00041E73" w:rsidRPr="00C44226" w:rsidRDefault="00041E73" w:rsidP="000E54AA">
                            <w:pPr>
                              <w:spacing w:after="180" w:line="276" w:lineRule="auto"/>
                            </w:pPr>
                            <w:r w:rsidRPr="00C44226">
                              <w:t xml:space="preserve">In autumn 2022, Alder Hey Children’s Hospital introduced a dedicated outpatient nurse vaccinator role to provide vaccines for staff and patients, including in the inpatient areas. Alder Hey flexibly used some of </w:t>
                            </w:r>
                            <w:r w:rsidR="005E50ED">
                              <w:t>its</w:t>
                            </w:r>
                            <w:r w:rsidRPr="00C44226">
                              <w:t xml:space="preserve"> flu funding resource to employ the nurse vaccinator for </w:t>
                            </w:r>
                            <w:r w:rsidR="005E50ED">
                              <w:t>6</w:t>
                            </w:r>
                            <w:r w:rsidRPr="00C44226">
                              <w:t xml:space="preserve"> months</w:t>
                            </w:r>
                            <w:r w:rsidR="00ED745E">
                              <w:t>; they</w:t>
                            </w:r>
                            <w:r w:rsidRPr="00C44226">
                              <w:t xml:space="preserve"> also offered catch-up immunisations for children during outpatient appointments. </w:t>
                            </w:r>
                          </w:p>
                          <w:p w14:paraId="3820391B" w14:textId="77777777" w:rsidR="00041E73" w:rsidRPr="00C44226" w:rsidRDefault="00041E73" w:rsidP="000E54AA">
                            <w:pPr>
                              <w:pStyle w:val="xmsonormal"/>
                              <w:spacing w:after="180" w:line="276" w:lineRule="auto"/>
                              <w:rPr>
                                <w:rFonts w:ascii="Arial" w:hAnsi="Arial" w:cs="Arial"/>
                                <w:sz w:val="24"/>
                                <w:szCs w:val="24"/>
                              </w:rPr>
                            </w:pPr>
                            <w:r w:rsidRPr="00C44226">
                              <w:rPr>
                                <w:rFonts w:ascii="Arial" w:hAnsi="Arial" w:cs="Arial"/>
                                <w:sz w:val="24"/>
                                <w:szCs w:val="24"/>
                              </w:rPr>
                              <w:t xml:space="preserve">An infectious disease nurse identified eligible inpatients who were missing their vaccines and worked with clinical teams to prioritise and offer vaccinations. The outpatient nurse vaccinator flexibly supported vaccinations on hospital wards, providing flu and wider immunisations. </w:t>
                            </w:r>
                          </w:p>
                          <w:p w14:paraId="55385D82" w14:textId="360CF531" w:rsidR="00041E73" w:rsidRPr="00C44226" w:rsidRDefault="00041E73" w:rsidP="000E54AA">
                            <w:pPr>
                              <w:pStyle w:val="xmsonormal"/>
                              <w:spacing w:after="180" w:line="276" w:lineRule="auto"/>
                              <w:rPr>
                                <w:sz w:val="24"/>
                                <w:szCs w:val="24"/>
                              </w:rPr>
                            </w:pPr>
                            <w:r w:rsidRPr="00C44226">
                              <w:rPr>
                                <w:rFonts w:ascii="Arial" w:hAnsi="Arial" w:cs="Arial"/>
                                <w:sz w:val="24"/>
                                <w:szCs w:val="24"/>
                              </w:rPr>
                              <w:t xml:space="preserve">Alder Hey has emphasised the importance of vaccination across its services, ensuring that everyone in </w:t>
                            </w:r>
                            <w:r w:rsidR="00ED745E">
                              <w:rPr>
                                <w:rFonts w:ascii="Arial" w:hAnsi="Arial" w:cs="Arial"/>
                                <w:sz w:val="24"/>
                                <w:szCs w:val="24"/>
                              </w:rPr>
                              <w:t>its</w:t>
                            </w:r>
                            <w:r w:rsidRPr="00C44226">
                              <w:rPr>
                                <w:rFonts w:ascii="Arial" w:hAnsi="Arial" w:cs="Arial"/>
                                <w:sz w:val="24"/>
                                <w:szCs w:val="24"/>
                              </w:rPr>
                              <w:t xml:space="preserve"> patient settings makes it their business to vaccinate. For example, as staff noticed that mothers would often ask to have a COVID-19 vaccine once they saw their children getting theirs, Alder Hey established a pop-up family clinic on site. This operated most weekends and on certain weekdays from April to July 2022, providing a total of 467 </w:t>
                            </w:r>
                            <w:r w:rsidR="00DE23CC">
                              <w:rPr>
                                <w:rFonts w:ascii="Arial" w:hAnsi="Arial" w:cs="Arial"/>
                                <w:sz w:val="24"/>
                                <w:szCs w:val="24"/>
                              </w:rPr>
                              <w:t>child</w:t>
                            </w:r>
                            <w:r w:rsidRPr="00C44226">
                              <w:rPr>
                                <w:rFonts w:ascii="Arial" w:hAnsi="Arial" w:cs="Arial"/>
                                <w:sz w:val="24"/>
                                <w:szCs w:val="24"/>
                              </w:rPr>
                              <w:t xml:space="preserve"> and 254 adult vaccinations. Alder Hey has also provided specific services for children with special access needs, such as those with </w:t>
                            </w:r>
                            <w:r w:rsidR="00DE23CC">
                              <w:rPr>
                                <w:rFonts w:ascii="Arial" w:hAnsi="Arial" w:cs="Arial"/>
                                <w:sz w:val="24"/>
                                <w:szCs w:val="24"/>
                              </w:rPr>
                              <w:t xml:space="preserve">a </w:t>
                            </w:r>
                            <w:r w:rsidRPr="00C44226">
                              <w:rPr>
                                <w:rFonts w:ascii="Arial" w:hAnsi="Arial" w:cs="Arial"/>
                                <w:sz w:val="24"/>
                                <w:szCs w:val="24"/>
                              </w:rPr>
                              <w:t>learning di</w:t>
                            </w:r>
                            <w:r w:rsidR="00DE23CC">
                              <w:rPr>
                                <w:rFonts w:ascii="Arial" w:hAnsi="Arial" w:cs="Arial"/>
                                <w:sz w:val="24"/>
                                <w:szCs w:val="24"/>
                              </w:rPr>
                              <w:t>sability</w:t>
                            </w:r>
                            <w:r w:rsidRPr="00C44226">
                              <w:rPr>
                                <w:rFonts w:ascii="Arial" w:hAnsi="Arial" w:cs="Arial"/>
                                <w:sz w:val="24"/>
                                <w:szCs w:val="24"/>
                              </w:rPr>
                              <w:t xml:space="preserve">, autism and wheelchair users. </w:t>
                            </w:r>
                          </w:p>
                          <w:p w14:paraId="2EE29AFB" w14:textId="77777777" w:rsidR="00041E73" w:rsidRPr="008D1066" w:rsidRDefault="00041E73" w:rsidP="000E54AA">
                            <w:pPr>
                              <w:spacing w:after="180" w:line="276" w:lineRule="auto"/>
                              <w:rPr>
                                <w:rFonts w:cs="Arial"/>
                                <w:color w:val="auto"/>
                                <w:sz w:val="28"/>
                                <w:szCs w:val="28"/>
                              </w:rPr>
                            </w:pPr>
                            <w:r>
                              <w:rPr>
                                <w:rFonts w:cs="Arial"/>
                              </w:rPr>
                              <w:t>Providing embedded vaccination services in Alder Hey’s outpatient department and across wards enabled nursing staff to make the most of</w:t>
                            </w:r>
                            <w:r w:rsidRPr="001352CC">
                              <w:rPr>
                                <w:rFonts w:cs="Arial"/>
                              </w:rPr>
                              <w:t xml:space="preserve"> contacts with patients and families</w:t>
                            </w:r>
                            <w:r>
                              <w:rPr>
                                <w:rFonts w:cs="Arial"/>
                              </w:rPr>
                              <w:t xml:space="preserve">. </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ED9BF" id="Text Box 340966417" o:spid="_x0000_s1038" type="#_x0000_t202" style="position:absolute;margin-left:6.9pt;margin-top:17.9pt;width:480pt;height:396.75pt;z-index:-25165823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" strokecolor="#231f20 [3212]" strokeweight=".5pt">
                <v:fill color2="#bfd9f1" rotate="t" focusposition=".5,.5" focussize="-.5,-.5" focus="100%" type="gradientRadial"/>
                <v:textbox inset="14.4pt,14.4pt,14.4pt,14.4pt">
                  <w:txbxContent>
                    <w:p w14:paraId="5461CBAC" w14:textId="77777777" w:rsidR="00041E73" w:rsidRPr="00C44226" w:rsidRDefault="00041E73" w:rsidP="000E54AA">
                      <w:pPr>
                        <w:pStyle w:val="xmsonormal"/>
                        <w:spacing w:after="180" w:line="276" w:lineRule="auto"/>
                        <w:rPr>
                          <w:rFonts w:ascii="Arial" w:hAnsi="Arial" w:cs="Arial"/>
                          <w:b/>
                          <w:bCs/>
                          <w:sz w:val="24"/>
                          <w:szCs w:val="24"/>
                        </w:rPr>
                      </w:pPr>
                      <w:r w:rsidRPr="00C44226">
                        <w:rPr>
                          <w:rFonts w:ascii="Arial" w:hAnsi="Arial" w:cs="Arial"/>
                          <w:b/>
                          <w:bCs/>
                          <w:sz w:val="24"/>
                          <w:szCs w:val="24"/>
                        </w:rPr>
                        <w:t>Case study: Nurse-led vaccination role at Alder Hey Children’s Hospital</w:t>
                      </w:r>
                    </w:p>
                    <w:p w14:paraId="1B411392" w14:textId="4B976E3B" w:rsidR="00041E73" w:rsidRPr="00C44226" w:rsidRDefault="00041E73" w:rsidP="000E54AA">
                      <w:pPr>
                        <w:spacing w:after="180" w:line="276" w:lineRule="auto"/>
                      </w:pPr>
                      <w:r w:rsidRPr="00C44226">
                        <w:t xml:space="preserve">In autumn 2022, Alder Hey Children’s Hospital introduced a dedicated outpatient nurse vaccinator role to provide vaccines for staff and patients, including in the inpatient areas. Alder Hey flexibly used some of </w:t>
                      </w:r>
                      <w:r w:rsidR="005E50ED">
                        <w:t>its</w:t>
                      </w:r>
                      <w:r w:rsidRPr="00C44226">
                        <w:t xml:space="preserve"> flu funding resource to employ the nurse vaccinator for </w:t>
                      </w:r>
                      <w:r w:rsidR="005E50ED">
                        <w:t>6</w:t>
                      </w:r>
                      <w:r w:rsidRPr="00C44226">
                        <w:t xml:space="preserve"> months</w:t>
                      </w:r>
                      <w:r w:rsidR="00ED745E">
                        <w:t>; they</w:t>
                      </w:r>
                      <w:r w:rsidRPr="00C44226">
                        <w:t xml:space="preserve"> also offered catch-up immunisations for children during outpatient appointments. </w:t>
                      </w:r>
                    </w:p>
                    <w:p w14:paraId="3820391B" w14:textId="77777777" w:rsidR="00041E73" w:rsidRPr="00C44226" w:rsidRDefault="00041E73" w:rsidP="000E54AA">
                      <w:pPr>
                        <w:pStyle w:val="xmsonormal"/>
                        <w:spacing w:after="180" w:line="276" w:lineRule="auto"/>
                        <w:rPr>
                          <w:rFonts w:ascii="Arial" w:hAnsi="Arial" w:cs="Arial"/>
                          <w:sz w:val="24"/>
                          <w:szCs w:val="24"/>
                        </w:rPr>
                      </w:pPr>
                      <w:r w:rsidRPr="00C44226">
                        <w:rPr>
                          <w:rFonts w:ascii="Arial" w:hAnsi="Arial" w:cs="Arial"/>
                          <w:sz w:val="24"/>
                          <w:szCs w:val="24"/>
                        </w:rPr>
                        <w:t xml:space="preserve">An infectious disease nurse identified eligible inpatients who were missing their vaccines and worked with clinical teams to prioritise and offer vaccinations. The outpatient nurse vaccinator flexibly supported vaccinations on hospital wards, providing flu and wider immunisations. </w:t>
                      </w:r>
                    </w:p>
                    <w:p w14:paraId="55385D82" w14:textId="360CF531" w:rsidR="00041E73" w:rsidRPr="00C44226" w:rsidRDefault="00041E73" w:rsidP="000E54AA">
                      <w:pPr>
                        <w:pStyle w:val="xmsonormal"/>
                        <w:spacing w:after="180" w:line="276" w:lineRule="auto"/>
                        <w:rPr>
                          <w:sz w:val="24"/>
                          <w:szCs w:val="24"/>
                        </w:rPr>
                      </w:pPr>
                      <w:r w:rsidRPr="00C44226">
                        <w:rPr>
                          <w:rFonts w:ascii="Arial" w:hAnsi="Arial" w:cs="Arial"/>
                          <w:sz w:val="24"/>
                          <w:szCs w:val="24"/>
                        </w:rPr>
                        <w:t xml:space="preserve">Alder Hey has emphasised the importance of vaccination across its services, ensuring that everyone in </w:t>
                      </w:r>
                      <w:r w:rsidR="00ED745E">
                        <w:rPr>
                          <w:rFonts w:ascii="Arial" w:hAnsi="Arial" w:cs="Arial"/>
                          <w:sz w:val="24"/>
                          <w:szCs w:val="24"/>
                        </w:rPr>
                        <w:t>its</w:t>
                      </w:r>
                      <w:r w:rsidRPr="00C44226">
                        <w:rPr>
                          <w:rFonts w:ascii="Arial" w:hAnsi="Arial" w:cs="Arial"/>
                          <w:sz w:val="24"/>
                          <w:szCs w:val="24"/>
                        </w:rPr>
                        <w:t xml:space="preserve"> patient settings makes it their business to vaccinate. For example, as staff noticed that mothers would often ask to have a COVID-19 vaccine once they saw their children getting theirs, Alder Hey established a pop-up family clinic on site. This operated most weekends and on certain weekdays from April to July 2022, providing a total of 467 </w:t>
                      </w:r>
                      <w:r w:rsidR="00DE23CC">
                        <w:rPr>
                          <w:rFonts w:ascii="Arial" w:hAnsi="Arial" w:cs="Arial"/>
                          <w:sz w:val="24"/>
                          <w:szCs w:val="24"/>
                        </w:rPr>
                        <w:t>child</w:t>
                      </w:r>
                      <w:r w:rsidRPr="00C44226">
                        <w:rPr>
                          <w:rFonts w:ascii="Arial" w:hAnsi="Arial" w:cs="Arial"/>
                          <w:sz w:val="24"/>
                          <w:szCs w:val="24"/>
                        </w:rPr>
                        <w:t xml:space="preserve"> and 254 adult vaccinations. Alder Hey has also provided specific services for children with special access needs, such as those with </w:t>
                      </w:r>
                      <w:r w:rsidR="00DE23CC">
                        <w:rPr>
                          <w:rFonts w:ascii="Arial" w:hAnsi="Arial" w:cs="Arial"/>
                          <w:sz w:val="24"/>
                          <w:szCs w:val="24"/>
                        </w:rPr>
                        <w:t xml:space="preserve">a </w:t>
                      </w:r>
                      <w:r w:rsidRPr="00C44226">
                        <w:rPr>
                          <w:rFonts w:ascii="Arial" w:hAnsi="Arial" w:cs="Arial"/>
                          <w:sz w:val="24"/>
                          <w:szCs w:val="24"/>
                        </w:rPr>
                        <w:t>learning di</w:t>
                      </w:r>
                      <w:r w:rsidR="00DE23CC">
                        <w:rPr>
                          <w:rFonts w:ascii="Arial" w:hAnsi="Arial" w:cs="Arial"/>
                          <w:sz w:val="24"/>
                          <w:szCs w:val="24"/>
                        </w:rPr>
                        <w:t>sability</w:t>
                      </w:r>
                      <w:r w:rsidRPr="00C44226">
                        <w:rPr>
                          <w:rFonts w:ascii="Arial" w:hAnsi="Arial" w:cs="Arial"/>
                          <w:sz w:val="24"/>
                          <w:szCs w:val="24"/>
                        </w:rPr>
                        <w:t xml:space="preserve">, autism and wheelchair users. </w:t>
                      </w:r>
                    </w:p>
                    <w:p w14:paraId="2EE29AFB" w14:textId="77777777" w:rsidR="00041E73" w:rsidRPr="008D1066" w:rsidRDefault="00041E73" w:rsidP="000E54AA">
                      <w:pPr>
                        <w:spacing w:after="180" w:line="276" w:lineRule="auto"/>
                        <w:rPr>
                          <w:rFonts w:cs="Arial"/>
                          <w:color w:val="auto"/>
                          <w:sz w:val="28"/>
                          <w:szCs w:val="28"/>
                        </w:rPr>
                      </w:pPr>
                      <w:r>
                        <w:rPr>
                          <w:rFonts w:cs="Arial"/>
                        </w:rPr>
                        <w:t>Providing embedded vaccination services in Alder Hey’s outpatient department and across wards enabled nursing staff to make the most of</w:t>
                      </w:r>
                      <w:r w:rsidRPr="001352CC">
                        <w:rPr>
                          <w:rFonts w:cs="Arial"/>
                        </w:rPr>
                        <w:t xml:space="preserve"> contacts with patients and families</w:t>
                      </w:r>
                      <w:r>
                        <w:rPr>
                          <w:rFonts w:cs="Arial"/>
                        </w:rPr>
                        <w:t xml:space="preserve">. </w:t>
                      </w:r>
                    </w:p>
                  </w:txbxContent>
                </v:textbox>
                <w10:wrap type="tight" anchorx="margin"/>
              </v:shape>
            </w:pict>
          </mc:Fallback>
        </mc:AlternateContent>
      </w:r>
    </w:p>
    <w:p w14:paraId="7C3E03F8" w14:textId="77777777" w:rsidR="00505A10" w:rsidRPr="00496A09" w:rsidRDefault="00505A10" w:rsidP="00C95D0B">
      <w:pPr>
        <w:pStyle w:val="h2numbered"/>
      </w:pPr>
      <w:bookmarkStart w:id="62" w:name="_Toc153264064"/>
      <w:r w:rsidRPr="00496A09">
        <w:t>How we will collaboratively deliver</w:t>
      </w:r>
      <w:bookmarkEnd w:id="62"/>
    </w:p>
    <w:p w14:paraId="00F06CE0" w14:textId="77777777" w:rsidR="00505A10" w:rsidRPr="00496A09" w:rsidRDefault="00505A10" w:rsidP="000E54AA">
      <w:pPr>
        <w:pStyle w:val="h3numbered"/>
        <w:spacing w:after="180"/>
        <w:rPr>
          <w:color w:val="005EB8" w:themeColor="text2"/>
        </w:rPr>
      </w:pPr>
      <w:bookmarkStart w:id="63" w:name="_Toc153264065"/>
      <w:r w:rsidRPr="00496A09">
        <w:t>Strong system leadership</w:t>
      </w:r>
      <w:bookmarkEnd w:id="63"/>
    </w:p>
    <w:p w14:paraId="280E0E75" w14:textId="77777777" w:rsidR="00505A10" w:rsidRPr="00496A09" w:rsidRDefault="00505A10" w:rsidP="00473941">
      <w:pPr>
        <w:spacing w:after="180"/>
        <w:ind w:right="57"/>
        <w:rPr>
          <w:b/>
          <w:bCs/>
        </w:rPr>
      </w:pPr>
      <w:r w:rsidRPr="00496A09">
        <w:rPr>
          <w:b/>
          <w:bCs/>
        </w:rPr>
        <w:t>Local responsibility and flexibility</w:t>
      </w:r>
    </w:p>
    <w:p w14:paraId="56B84AAB" w14:textId="51E50515" w:rsidR="00505A10" w:rsidRPr="00496A09" w:rsidRDefault="00505A10" w:rsidP="00473941">
      <w:pPr>
        <w:pStyle w:val="h4numbered"/>
        <w:spacing w:before="180" w:after="180" w:line="276" w:lineRule="auto"/>
        <w:ind w:left="851" w:right="57" w:hanging="851"/>
        <w:rPr>
          <w:color w:val="auto"/>
        </w:rPr>
      </w:pPr>
      <w:r w:rsidRPr="00496A09">
        <w:t>ICBs should have increased responsibility to commission a vaccination delivery network (covering life-course, seasonal and outbreak) that is tailored to the needs of their population and the local provider market</w:t>
      </w:r>
      <w:r w:rsidR="00C84FA3" w:rsidRPr="00496A09">
        <w:t>,</w:t>
      </w:r>
      <w:r w:rsidRPr="00496A09">
        <w:t xml:space="preserve"> and meets a set of high-level outcomes and standards.</w:t>
      </w:r>
    </w:p>
    <w:p w14:paraId="0CDF96BA" w14:textId="49F121A9" w:rsidR="00505A10" w:rsidRPr="00496A09" w:rsidRDefault="00505A10" w:rsidP="000E54AA">
      <w:pPr>
        <w:pStyle w:val="h4numbered"/>
        <w:spacing w:after="180" w:line="276" w:lineRule="auto"/>
        <w:ind w:left="851" w:hanging="851"/>
      </w:pPr>
      <w:r w:rsidRPr="00496A09" w:rsidDel="00B759D9">
        <w:t>Integrated care partnerships (ICPs</w:t>
      </w:r>
      <w:r w:rsidRPr="00496A09">
        <w:t>)</w:t>
      </w:r>
      <w:r w:rsidRPr="00496A09" w:rsidDel="00B759D9">
        <w:t xml:space="preserve"> should consider </w:t>
      </w:r>
      <w:r w:rsidRPr="00496A09">
        <w:t xml:space="preserve">the </w:t>
      </w:r>
      <w:r w:rsidRPr="00496A09" w:rsidDel="00B759D9">
        <w:t xml:space="preserve">vaccination strategy </w:t>
      </w:r>
      <w:r w:rsidRPr="00496A09">
        <w:t>for</w:t>
      </w:r>
      <w:r w:rsidRPr="00496A09" w:rsidDel="00B759D9">
        <w:t xml:space="preserve"> their </w:t>
      </w:r>
      <w:r w:rsidRPr="00496A09">
        <w:t>ICS. Vaccination should be included in the ICP’s</w:t>
      </w:r>
      <w:r w:rsidRPr="00496A09" w:rsidDel="00B759D9">
        <w:t xml:space="preserve"> integrated care </w:t>
      </w:r>
      <w:r w:rsidRPr="00496A09">
        <w:t>strategy and be</w:t>
      </w:r>
      <w:r w:rsidRPr="00496A09" w:rsidDel="00B759D9">
        <w:t xml:space="preserve"> part of their system-wide health protection approach, building on evidence from the local joint strategic needs assessments (JSNA).</w:t>
      </w:r>
      <w:r w:rsidRPr="00496A09">
        <w:t xml:space="preserve"> </w:t>
      </w:r>
      <w:r w:rsidRPr="00496A09" w:rsidDel="00B759D9">
        <w:t xml:space="preserve">ICBs should take responsibility for delivery, including vaccination in </w:t>
      </w:r>
      <w:r w:rsidRPr="00496A09">
        <w:t xml:space="preserve">the </w:t>
      </w:r>
      <w:r w:rsidRPr="00496A09" w:rsidDel="00B759D9">
        <w:t>joint forward plans and working</w:t>
      </w:r>
      <w:r w:rsidRPr="00496A09">
        <w:t xml:space="preserve"> closely with</w:t>
      </w:r>
      <w:r w:rsidRPr="00496A09" w:rsidDel="00B759D9">
        <w:t xml:space="preserve"> local authority partners to ensure every eligible person in the area receives a meaningful vaccination offer. </w:t>
      </w:r>
      <w:r w:rsidRPr="00496A09">
        <w:t xml:space="preserve">In some areas the ICB may need to work with neighbouring systems to ensure consistency or deal with cross-border issues. </w:t>
      </w:r>
      <w:r w:rsidRPr="00496A09" w:rsidDel="00B759D9">
        <w:t xml:space="preserve">ICBs should have a named </w:t>
      </w:r>
      <w:r w:rsidRPr="00496A09">
        <w:t xml:space="preserve">executive </w:t>
      </w:r>
      <w:r w:rsidRPr="00496A09" w:rsidDel="00B759D9">
        <w:t xml:space="preserve">director responsible for vaccination to maintain </w:t>
      </w:r>
      <w:r w:rsidRPr="00496A09">
        <w:t xml:space="preserve">and </w:t>
      </w:r>
      <w:r w:rsidRPr="00496A09" w:rsidDel="00B759D9">
        <w:t xml:space="preserve">support the assurance responsibility </w:t>
      </w:r>
      <w:r w:rsidRPr="00496A09">
        <w:t>of</w:t>
      </w:r>
      <w:r w:rsidRPr="00496A09" w:rsidDel="00B759D9">
        <w:t xml:space="preserve"> all directors of public health within local arrangements, in line with </w:t>
      </w:r>
      <w:r w:rsidRPr="00496A09">
        <w:t>NICE guidance (</w:t>
      </w:r>
      <w:r w:rsidRPr="00496A09" w:rsidDel="00B759D9">
        <w:t>NG218</w:t>
      </w:r>
      <w:r w:rsidRPr="00496A09">
        <w:t>).</w:t>
      </w:r>
      <w:r w:rsidRPr="00496A09">
        <w:rPr>
          <w:rStyle w:val="FootnoteReference"/>
        </w:rPr>
        <w:footnoteReference w:id="32"/>
      </w:r>
    </w:p>
    <w:p w14:paraId="17D734CA" w14:textId="1578A85D" w:rsidR="00505A10" w:rsidRPr="00496A09" w:rsidRDefault="00505A10" w:rsidP="000E54AA">
      <w:pPr>
        <w:pStyle w:val="h4numbered"/>
        <w:spacing w:after="180" w:line="276" w:lineRule="auto"/>
        <w:ind w:left="851" w:right="57" w:hanging="851"/>
      </w:pPr>
      <w:r w:rsidRPr="00496A09">
        <w:t xml:space="preserve">To enable </w:t>
      </w:r>
      <w:r w:rsidR="00E5694A" w:rsidRPr="00496A09">
        <w:t>this,</w:t>
      </w:r>
      <w:r w:rsidRPr="00496A09">
        <w:t xml:space="preserve"> we intend to delegate responsibility for commissioning NHS vaccination services to ICBs, subject to </w:t>
      </w:r>
      <w:r w:rsidR="001B1306" w:rsidRPr="00496A09">
        <w:t xml:space="preserve">an assessment of readiness and </w:t>
      </w:r>
      <w:r w:rsidRPr="00496A09">
        <w:t xml:space="preserve">final approval by ministers. We will work with ICBs and other stakeholders to determine an appropriate roadmap for this, including consideration of any functions that may be retained nationally or regionally. ICBs will want to reflect this roadmap in their five-year joint forward plans.  </w:t>
      </w:r>
    </w:p>
    <w:p w14:paraId="42EC9374" w14:textId="72128514" w:rsidR="00505A10" w:rsidRPr="00496A09" w:rsidRDefault="00505A10" w:rsidP="000E54AA">
      <w:pPr>
        <w:pStyle w:val="h4numbered"/>
        <w:spacing w:after="180" w:line="276" w:lineRule="auto"/>
        <w:ind w:left="851" w:right="57" w:hanging="851"/>
      </w:pPr>
      <w:r w:rsidRPr="00496A09">
        <w:t xml:space="preserve">ICBs will vary in how quickly they are ready and able to take on commissioning responsibility. Many ICBs are already working in partnership with regional commissioning teams to plan future vaccination services. Our provisional timetable is that all areas should be engaged in formal joint </w:t>
      </w:r>
      <w:r w:rsidR="002A50CF" w:rsidRPr="00496A09">
        <w:t xml:space="preserve">working across ICBs and regional teams </w:t>
      </w:r>
      <w:r w:rsidRPr="00496A09">
        <w:t xml:space="preserve">from April 2024, with delegation to all ICBs completed by April 2025.  </w:t>
      </w:r>
    </w:p>
    <w:p w14:paraId="5114216D" w14:textId="00724840" w:rsidR="00505A10" w:rsidRPr="00496A09" w:rsidRDefault="00505A10" w:rsidP="000E54AA">
      <w:pPr>
        <w:pStyle w:val="h4numbered"/>
        <w:spacing w:after="180" w:line="276" w:lineRule="auto"/>
        <w:ind w:left="851" w:hanging="851"/>
      </w:pPr>
      <w:r w:rsidRPr="00496A09">
        <w:t xml:space="preserve">The delegation of these functions does not signal a diminished national or regional interest in vaccination. It will strengthen local systems’ ownership of vaccination and enable them to innovate in their delivery models to maximise uptake and coverage in their population. NHS England will continue to have overall accountability for the delivery of NHS vaccination services. National and regional teams will continue to have a role in leading, overseeing and supporting ICSs in the delivery of these services, in line with NHS England’s operating framework. This includes discharging functions that are best ‘done once’, including commissioning and maintaining national technology platforms, developing service specifications or co-ordinating outbreak response. These ‘done once’ functions may be carried out by the national team or a lead regional team. </w:t>
      </w:r>
    </w:p>
    <w:p w14:paraId="7026FBF9" w14:textId="1160D5B8" w:rsidR="00EC79DB" w:rsidRPr="00496A09" w:rsidRDefault="00505A10" w:rsidP="0002513B">
      <w:pPr>
        <w:pStyle w:val="h4numbered"/>
        <w:keepNext w:val="0"/>
        <w:spacing w:after="180" w:line="276" w:lineRule="auto"/>
        <w:ind w:left="851" w:right="57" w:hanging="851"/>
      </w:pPr>
      <w:r w:rsidRPr="00496A09">
        <w:t>NHS England will retain health and justice vaccination service commissioning, in line with its strategy for health services in the detained estate, although this will increasingly rely on collaborative partnership working at a regional and system level. ICBs should consider vaccination in detained settings as they develop their vaccination delivery networks.</w:t>
      </w:r>
    </w:p>
    <w:p w14:paraId="3E724D96" w14:textId="77777777" w:rsidR="00FB09BB" w:rsidRPr="00496A09" w:rsidRDefault="00FB09BB" w:rsidP="0002513B">
      <w:pPr>
        <w:pStyle w:val="h4numbered"/>
        <w:keepNext w:val="0"/>
        <w:spacing w:after="180" w:line="276" w:lineRule="auto"/>
        <w:ind w:left="794"/>
        <w:rPr>
          <w:color w:val="auto"/>
        </w:rPr>
      </w:pPr>
      <w:r w:rsidRPr="00496A09">
        <w:t xml:space="preserve">We will refine these roles and responsibilities as we develop the delegation roadmap, including how this will affect regional screening and immunisation teams, and publish a final version alongside the delegation materials. </w:t>
      </w:r>
    </w:p>
    <w:p w14:paraId="219E4C8B" w14:textId="13A20E2E" w:rsidR="00FB09BB" w:rsidRPr="00496A09" w:rsidRDefault="00FB09BB" w:rsidP="00FB09BB">
      <w:pPr>
        <w:pStyle w:val="h4numbered"/>
        <w:spacing w:after="180" w:line="276" w:lineRule="auto"/>
        <w:ind w:left="794"/>
        <w:rPr>
          <w:b/>
          <w:bCs/>
          <w:color w:val="auto"/>
        </w:rPr>
      </w:pPr>
      <w:r w:rsidRPr="00496A09">
        <w:t xml:space="preserve">As set out in Table 2, </w:t>
      </w:r>
      <w:r w:rsidR="00FE0760" w:rsidRPr="00496A09">
        <w:t xml:space="preserve">NHS </w:t>
      </w:r>
      <w:r w:rsidRPr="00496A09">
        <w:t xml:space="preserve">regional teams will continue to play a role in co-ordinating </w:t>
      </w:r>
      <w:r w:rsidR="00513442" w:rsidRPr="00496A09">
        <w:t xml:space="preserve">services in </w:t>
      </w:r>
      <w:r w:rsidRPr="00496A09">
        <w:t>outbreak response where this is necessary. Depending on the scale and the nature of the outbreak, NHS England may need to use national vaccine deployment capabilities of the type used in the COVID-19 pandemic</w:t>
      </w:r>
      <w:r w:rsidR="0098326A" w:rsidRPr="00496A09">
        <w:t>;</w:t>
      </w:r>
      <w:r w:rsidRPr="00496A09">
        <w:t xml:space="preserve"> for example</w:t>
      </w:r>
      <w:r w:rsidR="0098326A" w:rsidRPr="00496A09">
        <w:t>,</w:t>
      </w:r>
      <w:r w:rsidRPr="00496A09">
        <w:t xml:space="preserve"> directing supply or commissioning additional capacity. This is set out in section 4.6.</w:t>
      </w:r>
    </w:p>
    <w:p w14:paraId="52B68105" w14:textId="4B8834E5" w:rsidR="00587E58" w:rsidRPr="00496A09" w:rsidRDefault="00FB09BB" w:rsidP="00FB09BB">
      <w:pPr>
        <w:pStyle w:val="h4numbered"/>
        <w:spacing w:line="276" w:lineRule="auto"/>
        <w:ind w:left="794"/>
        <w:rPr>
          <w:b/>
          <w:bCs/>
          <w:color w:val="auto"/>
        </w:rPr>
      </w:pPr>
      <w:r w:rsidRPr="00496A09">
        <w:t>As set out in Table 3, public health expertise will continue to be critical to the planning, delivery and monitoring of vaccination services, whether through the routine commissioning process or in the event of outbreaks or incidents.</w:t>
      </w:r>
      <w:r w:rsidR="00587E58" w:rsidRPr="00496A09">
        <w:rPr>
          <w:b/>
          <w:bCs/>
          <w:color w:val="auto"/>
        </w:rPr>
        <w:br w:type="page"/>
      </w:r>
    </w:p>
    <w:p w14:paraId="30964EFC" w14:textId="468E0DDC" w:rsidR="00505A10" w:rsidRPr="00496A09" w:rsidRDefault="00DC61AE" w:rsidP="00DC61AE">
      <w:pPr>
        <w:pStyle w:val="h4numbered"/>
        <w:numPr>
          <w:ilvl w:val="0"/>
          <w:numId w:val="0"/>
        </w:numPr>
        <w:ind w:right="57"/>
        <w:rPr>
          <w:b/>
          <w:bCs/>
          <w:color w:val="auto"/>
        </w:rPr>
      </w:pPr>
      <w:r w:rsidRPr="00496A09">
        <w:rPr>
          <w:b/>
          <w:bCs/>
          <w:color w:val="auto"/>
        </w:rPr>
        <w:t>Table 2: Proposed NHS roles and responsibilities for vaccination</w:t>
      </w:r>
      <w:r w:rsidR="00101CC2" w:rsidRPr="00496A09">
        <w:rPr>
          <w:b/>
          <w:bCs/>
          <w:color w:val="auto"/>
        </w:rPr>
        <w:br/>
      </w:r>
    </w:p>
    <w:tbl>
      <w:tblPr>
        <w:tblStyle w:val="TableGrid"/>
        <w:tblW w:w="9776" w:type="dxa"/>
        <w:tblLook w:val="04A0" w:firstRow="1" w:lastRow="0" w:firstColumn="1" w:lastColumn="0" w:noHBand="0" w:noVBand="1"/>
      </w:tblPr>
      <w:tblGrid>
        <w:gridCol w:w="3681"/>
        <w:gridCol w:w="2977"/>
        <w:gridCol w:w="3118"/>
      </w:tblGrid>
      <w:tr w:rsidR="00C93CF1" w:rsidRPr="00496A09" w14:paraId="31833B87" w14:textId="77777777" w:rsidTr="00FB09BB">
        <w:tc>
          <w:tcPr>
            <w:tcW w:w="3681" w:type="dxa"/>
          </w:tcPr>
          <w:p w14:paraId="66A21543" w14:textId="77777777" w:rsidR="00C93CF1" w:rsidRPr="00496A09" w:rsidRDefault="00C93CF1">
            <w:pPr>
              <w:pStyle w:val="BodyText2"/>
              <w:numPr>
                <w:ilvl w:val="0"/>
                <w:numId w:val="0"/>
              </w:numPr>
              <w:spacing w:after="0" w:line="240" w:lineRule="auto"/>
              <w:jc w:val="center"/>
              <w:rPr>
                <w:rFonts w:cs="Arial"/>
                <w:b/>
                <w:bCs/>
                <w:color w:val="auto"/>
                <w:sz w:val="22"/>
                <w:szCs w:val="22"/>
              </w:rPr>
            </w:pPr>
            <w:r w:rsidRPr="00496A09">
              <w:rPr>
                <w:rFonts w:cs="Arial"/>
                <w:b/>
                <w:bCs/>
                <w:color w:val="auto"/>
                <w:sz w:val="22"/>
                <w:szCs w:val="22"/>
              </w:rPr>
              <w:t>ICB</w:t>
            </w:r>
          </w:p>
        </w:tc>
        <w:tc>
          <w:tcPr>
            <w:tcW w:w="2977" w:type="dxa"/>
          </w:tcPr>
          <w:p w14:paraId="73168DB8" w14:textId="60846889" w:rsidR="00C93CF1" w:rsidRPr="00496A09" w:rsidRDefault="00621532">
            <w:pPr>
              <w:pStyle w:val="BodyText2"/>
              <w:numPr>
                <w:ilvl w:val="0"/>
                <w:numId w:val="0"/>
              </w:numPr>
              <w:spacing w:after="0" w:line="240" w:lineRule="auto"/>
              <w:jc w:val="center"/>
              <w:rPr>
                <w:rFonts w:cs="Arial"/>
                <w:b/>
                <w:bCs/>
                <w:color w:val="auto"/>
                <w:sz w:val="22"/>
                <w:szCs w:val="22"/>
              </w:rPr>
            </w:pPr>
            <w:r w:rsidRPr="00496A09">
              <w:rPr>
                <w:rFonts w:cs="Arial"/>
                <w:b/>
                <w:bCs/>
                <w:color w:val="auto"/>
                <w:sz w:val="22"/>
                <w:szCs w:val="22"/>
              </w:rPr>
              <w:t xml:space="preserve">NHS </w:t>
            </w:r>
            <w:r w:rsidR="00C93CF1" w:rsidRPr="00496A09">
              <w:rPr>
                <w:rFonts w:cs="Arial"/>
                <w:b/>
                <w:bCs/>
                <w:color w:val="auto"/>
                <w:sz w:val="22"/>
                <w:szCs w:val="22"/>
              </w:rPr>
              <w:t>Regional</w:t>
            </w:r>
          </w:p>
        </w:tc>
        <w:tc>
          <w:tcPr>
            <w:tcW w:w="3118" w:type="dxa"/>
          </w:tcPr>
          <w:p w14:paraId="4347B8A4" w14:textId="341E2AEF" w:rsidR="00C93CF1" w:rsidRPr="00496A09" w:rsidRDefault="00621532">
            <w:pPr>
              <w:pStyle w:val="BodyText2"/>
              <w:numPr>
                <w:ilvl w:val="0"/>
                <w:numId w:val="0"/>
              </w:numPr>
              <w:spacing w:after="0" w:line="240" w:lineRule="auto"/>
              <w:jc w:val="center"/>
              <w:rPr>
                <w:rFonts w:cs="Arial"/>
                <w:b/>
                <w:bCs/>
                <w:color w:val="auto"/>
                <w:sz w:val="22"/>
                <w:szCs w:val="22"/>
              </w:rPr>
            </w:pPr>
            <w:r w:rsidRPr="00496A09">
              <w:rPr>
                <w:rFonts w:cs="Arial"/>
                <w:b/>
                <w:bCs/>
                <w:color w:val="auto"/>
                <w:sz w:val="22"/>
                <w:szCs w:val="22"/>
              </w:rPr>
              <w:t xml:space="preserve">NHS </w:t>
            </w:r>
            <w:r w:rsidR="00C93CF1" w:rsidRPr="00496A09">
              <w:rPr>
                <w:rFonts w:cs="Arial"/>
                <w:b/>
                <w:bCs/>
                <w:color w:val="auto"/>
                <w:sz w:val="22"/>
                <w:szCs w:val="22"/>
              </w:rPr>
              <w:t>National</w:t>
            </w:r>
          </w:p>
        </w:tc>
      </w:tr>
      <w:tr w:rsidR="00C93CF1" w:rsidRPr="00496A09" w14:paraId="62A5EAAF" w14:textId="77777777" w:rsidTr="00FB09BB">
        <w:trPr>
          <w:trHeight w:val="12381"/>
        </w:trPr>
        <w:tc>
          <w:tcPr>
            <w:tcW w:w="3681" w:type="dxa"/>
          </w:tcPr>
          <w:p w14:paraId="128F7C9E" w14:textId="77777777" w:rsidR="00C93CF1" w:rsidRPr="00496A09" w:rsidRDefault="00C93CF1" w:rsidP="00C93CF1">
            <w:pPr>
              <w:pStyle w:val="BodyText2"/>
              <w:numPr>
                <w:ilvl w:val="0"/>
                <w:numId w:val="10"/>
              </w:numPr>
              <w:spacing w:after="120" w:line="240" w:lineRule="auto"/>
              <w:ind w:left="227" w:hanging="227"/>
              <w:rPr>
                <w:rFonts w:cs="Arial"/>
                <w:color w:val="auto"/>
                <w:sz w:val="22"/>
                <w:szCs w:val="22"/>
              </w:rPr>
            </w:pPr>
            <w:r w:rsidRPr="00496A09">
              <w:rPr>
                <w:rFonts w:cs="Arial"/>
                <w:color w:val="auto"/>
                <w:sz w:val="22"/>
                <w:szCs w:val="22"/>
              </w:rPr>
              <w:t>Hold delegated commissioning responsibility for most aspects of vaccination services, ensuring a meaningful offer for all eligible individuals in their local area</w:t>
            </w:r>
          </w:p>
          <w:p w14:paraId="25AC7352" w14:textId="6E3FC427" w:rsidR="00C93CF1" w:rsidRPr="00496A09" w:rsidRDefault="00C93CF1" w:rsidP="00C93CF1">
            <w:pPr>
              <w:pStyle w:val="BodyText2"/>
              <w:numPr>
                <w:ilvl w:val="0"/>
                <w:numId w:val="10"/>
              </w:numPr>
              <w:spacing w:after="120" w:line="240" w:lineRule="auto"/>
              <w:ind w:left="227" w:hanging="227"/>
              <w:rPr>
                <w:rFonts w:cs="Arial"/>
                <w:color w:val="auto"/>
                <w:sz w:val="22"/>
                <w:szCs w:val="22"/>
              </w:rPr>
            </w:pPr>
            <w:r w:rsidRPr="00496A09">
              <w:rPr>
                <w:rFonts w:cs="Arial"/>
                <w:color w:val="auto"/>
                <w:sz w:val="22"/>
                <w:szCs w:val="22"/>
              </w:rPr>
              <w:t xml:space="preserve">Provide leadership for local vaccination strategy and partnership working across NHS, local government and other key partners via the ICP, and using the expertise of </w:t>
            </w:r>
            <w:r w:rsidRPr="00496A09">
              <w:rPr>
                <w:sz w:val="22"/>
                <w:szCs w:val="22"/>
              </w:rPr>
              <w:t>screening and immunisation teams</w:t>
            </w:r>
            <w:r w:rsidRPr="00496A09">
              <w:rPr>
                <w:rFonts w:cs="Arial"/>
                <w:color w:val="auto"/>
                <w:sz w:val="22"/>
                <w:szCs w:val="22"/>
              </w:rPr>
              <w:t xml:space="preserve"> (SITs) </w:t>
            </w:r>
          </w:p>
          <w:p w14:paraId="63D0D3EC" w14:textId="2351727E" w:rsidR="00C93CF1" w:rsidRPr="00496A09" w:rsidRDefault="00C93CF1" w:rsidP="00C93CF1">
            <w:pPr>
              <w:pStyle w:val="BodyText2"/>
              <w:numPr>
                <w:ilvl w:val="0"/>
                <w:numId w:val="10"/>
              </w:numPr>
              <w:spacing w:after="120" w:line="240" w:lineRule="auto"/>
              <w:ind w:left="227" w:hanging="227"/>
              <w:rPr>
                <w:rFonts w:cs="Arial"/>
                <w:color w:val="auto"/>
                <w:sz w:val="22"/>
                <w:szCs w:val="22"/>
              </w:rPr>
            </w:pPr>
            <w:r w:rsidRPr="00496A09">
              <w:rPr>
                <w:rFonts w:cs="Arial"/>
                <w:color w:val="auto"/>
                <w:sz w:val="22"/>
                <w:szCs w:val="22"/>
              </w:rPr>
              <w:t>Monitor performance and delivery of outcomes across the ICS</w:t>
            </w:r>
            <w:r w:rsidR="00DB6A19" w:rsidRPr="00496A09">
              <w:rPr>
                <w:rFonts w:cs="Arial"/>
                <w:color w:val="auto"/>
                <w:sz w:val="22"/>
                <w:szCs w:val="22"/>
              </w:rPr>
              <w:t xml:space="preserve"> including efficient annual profiling of vaccination activity where possible</w:t>
            </w:r>
          </w:p>
          <w:p w14:paraId="5D5EFB58" w14:textId="166E6E09" w:rsidR="00C93CF1" w:rsidRPr="00496A09" w:rsidRDefault="00C93CF1" w:rsidP="00C93CF1">
            <w:pPr>
              <w:pStyle w:val="BodyText2"/>
              <w:numPr>
                <w:ilvl w:val="0"/>
                <w:numId w:val="10"/>
              </w:numPr>
              <w:spacing w:after="120" w:line="240" w:lineRule="auto"/>
              <w:ind w:left="227" w:hanging="227"/>
              <w:rPr>
                <w:rFonts w:cs="Arial"/>
                <w:color w:val="auto"/>
                <w:sz w:val="22"/>
                <w:szCs w:val="22"/>
              </w:rPr>
            </w:pPr>
            <w:r w:rsidRPr="00496A09">
              <w:rPr>
                <w:rFonts w:cs="Arial"/>
                <w:color w:val="auto"/>
                <w:sz w:val="22"/>
                <w:szCs w:val="22"/>
              </w:rPr>
              <w:t>Use data and insight to identify wider population health needs</w:t>
            </w:r>
            <w:r w:rsidR="00DB6A19" w:rsidRPr="00496A09">
              <w:rPr>
                <w:rFonts w:cs="Arial"/>
                <w:color w:val="auto"/>
                <w:sz w:val="22"/>
                <w:szCs w:val="22"/>
              </w:rPr>
              <w:t xml:space="preserve">, </w:t>
            </w:r>
          </w:p>
          <w:p w14:paraId="1FDD4D6A" w14:textId="1F54F57B" w:rsidR="00C93CF1" w:rsidRPr="00496A09" w:rsidRDefault="00C93CF1" w:rsidP="00C93CF1">
            <w:pPr>
              <w:pStyle w:val="BodyText2"/>
              <w:numPr>
                <w:ilvl w:val="0"/>
                <w:numId w:val="10"/>
              </w:numPr>
              <w:spacing w:after="120" w:line="240" w:lineRule="auto"/>
              <w:ind w:left="227" w:hanging="227"/>
              <w:rPr>
                <w:rFonts w:cs="Arial"/>
                <w:color w:val="auto"/>
                <w:sz w:val="22"/>
                <w:szCs w:val="22"/>
              </w:rPr>
            </w:pPr>
            <w:r w:rsidRPr="00496A09">
              <w:rPr>
                <w:rFonts w:cs="Arial"/>
                <w:color w:val="auto"/>
                <w:sz w:val="22"/>
                <w:szCs w:val="22"/>
              </w:rPr>
              <w:t>Promote equitable vaccination delivery and address health inequalities through a population health management approach</w:t>
            </w:r>
          </w:p>
          <w:p w14:paraId="07EFAB4F" w14:textId="77777777" w:rsidR="00C93CF1" w:rsidRPr="00496A09" w:rsidRDefault="00C93CF1" w:rsidP="00C93CF1">
            <w:pPr>
              <w:pStyle w:val="BodyText2"/>
              <w:numPr>
                <w:ilvl w:val="0"/>
                <w:numId w:val="10"/>
              </w:numPr>
              <w:spacing w:after="120" w:line="240" w:lineRule="auto"/>
              <w:ind w:left="227" w:hanging="227"/>
              <w:rPr>
                <w:rFonts w:cs="Arial"/>
                <w:color w:val="auto"/>
                <w:sz w:val="22"/>
                <w:szCs w:val="22"/>
              </w:rPr>
            </w:pPr>
            <w:r w:rsidRPr="00496A09">
              <w:rPr>
                <w:rFonts w:cs="Arial"/>
                <w:color w:val="auto"/>
                <w:sz w:val="22"/>
                <w:szCs w:val="22"/>
              </w:rPr>
              <w:t>Hold responsibility for achieving a set of outcomes through contracting appropriate vaccination provision that meets service specifications and is co-ordinated across vaccination programmes, cohorts and settings</w:t>
            </w:r>
          </w:p>
          <w:p w14:paraId="108BBA56" w14:textId="195A41BC" w:rsidR="00C93CF1" w:rsidRPr="00496A09" w:rsidRDefault="00C93CF1" w:rsidP="00C93CF1">
            <w:pPr>
              <w:pStyle w:val="BodyText2"/>
              <w:numPr>
                <w:ilvl w:val="0"/>
                <w:numId w:val="10"/>
              </w:numPr>
              <w:spacing w:after="120" w:line="240" w:lineRule="auto"/>
              <w:ind w:left="227" w:hanging="227"/>
              <w:rPr>
                <w:rFonts w:cs="Arial"/>
                <w:color w:val="auto"/>
                <w:sz w:val="22"/>
                <w:szCs w:val="22"/>
              </w:rPr>
            </w:pPr>
            <w:r w:rsidRPr="00496A09">
              <w:rPr>
                <w:rFonts w:cs="Arial"/>
                <w:color w:val="auto"/>
                <w:sz w:val="22"/>
                <w:szCs w:val="22"/>
              </w:rPr>
              <w:t>Support providers to recruit and retain a resilient, integrated, multidisciplinary vaccination staffing model within their overall strategic workforce planning, maximising efficiency and using trained, unregistered staff appropriately</w:t>
            </w:r>
          </w:p>
          <w:p w14:paraId="5B783767" w14:textId="58D9F77E" w:rsidR="00C93CF1" w:rsidRPr="00496A09" w:rsidRDefault="00C93CF1" w:rsidP="00C93CF1">
            <w:pPr>
              <w:pStyle w:val="BodyText2"/>
              <w:numPr>
                <w:ilvl w:val="0"/>
                <w:numId w:val="10"/>
              </w:numPr>
              <w:spacing w:after="120" w:line="240" w:lineRule="auto"/>
              <w:ind w:left="227" w:hanging="227"/>
              <w:rPr>
                <w:rFonts w:cs="Arial"/>
                <w:color w:val="auto"/>
                <w:sz w:val="22"/>
                <w:szCs w:val="22"/>
              </w:rPr>
            </w:pPr>
            <w:r w:rsidRPr="00496A09">
              <w:rPr>
                <w:rFonts w:cs="Arial"/>
                <w:color w:val="auto"/>
                <w:sz w:val="22"/>
                <w:szCs w:val="22"/>
              </w:rPr>
              <w:t>Provide leadership</w:t>
            </w:r>
            <w:r w:rsidR="00F34750" w:rsidRPr="00496A09">
              <w:rPr>
                <w:rFonts w:cs="Arial"/>
                <w:color w:val="auto"/>
                <w:sz w:val="22"/>
                <w:szCs w:val="22"/>
              </w:rPr>
              <w:t xml:space="preserve"> of NHS services</w:t>
            </w:r>
            <w:r w:rsidRPr="00496A09">
              <w:rPr>
                <w:rFonts w:cs="Arial"/>
                <w:color w:val="auto"/>
                <w:sz w:val="22"/>
                <w:szCs w:val="22"/>
              </w:rPr>
              <w:t xml:space="preserve"> throughout outbreaks or surge and support providers to manage and report vaccine-related incidents in line with national guidance</w:t>
            </w:r>
          </w:p>
          <w:p w14:paraId="446D6FEA" w14:textId="77777777" w:rsidR="00C93CF1" w:rsidRPr="00496A09" w:rsidRDefault="00C93CF1" w:rsidP="00C93CF1">
            <w:pPr>
              <w:pStyle w:val="BodyText2"/>
              <w:numPr>
                <w:ilvl w:val="0"/>
                <w:numId w:val="10"/>
              </w:numPr>
              <w:spacing w:after="120" w:line="240" w:lineRule="auto"/>
              <w:ind w:left="227" w:hanging="227"/>
              <w:rPr>
                <w:rFonts w:cs="Arial"/>
                <w:color w:val="auto"/>
                <w:sz w:val="22"/>
                <w:szCs w:val="22"/>
              </w:rPr>
            </w:pPr>
            <w:r w:rsidRPr="00496A09">
              <w:rPr>
                <w:rFonts w:cs="Arial"/>
                <w:color w:val="auto"/>
                <w:sz w:val="22"/>
                <w:szCs w:val="22"/>
              </w:rPr>
              <w:t>Arrange appropriate vaccinator training</w:t>
            </w:r>
          </w:p>
        </w:tc>
        <w:tc>
          <w:tcPr>
            <w:tcW w:w="2977" w:type="dxa"/>
          </w:tcPr>
          <w:p w14:paraId="356B2EF0" w14:textId="7A6DCD55" w:rsidR="00C93CF1" w:rsidRPr="00496A09" w:rsidRDefault="00C93CF1" w:rsidP="00C93CF1">
            <w:pPr>
              <w:pStyle w:val="BodyText2"/>
              <w:numPr>
                <w:ilvl w:val="0"/>
                <w:numId w:val="10"/>
              </w:numPr>
              <w:spacing w:after="120" w:line="240" w:lineRule="auto"/>
              <w:ind w:left="227" w:hanging="227"/>
              <w:rPr>
                <w:rFonts w:cs="Arial"/>
                <w:color w:val="auto"/>
                <w:sz w:val="22"/>
                <w:szCs w:val="22"/>
              </w:rPr>
            </w:pPr>
            <w:r w:rsidRPr="00496A09">
              <w:rPr>
                <w:rFonts w:cs="Arial"/>
                <w:color w:val="auto"/>
                <w:sz w:val="22"/>
                <w:szCs w:val="22"/>
              </w:rPr>
              <w:t xml:space="preserve">Accountable for regional delivery against </w:t>
            </w:r>
            <w:r w:rsidR="00AC232F" w:rsidRPr="00496A09">
              <w:rPr>
                <w:rFonts w:cs="Arial"/>
                <w:color w:val="auto"/>
                <w:sz w:val="22"/>
                <w:szCs w:val="22"/>
              </w:rPr>
              <w:t xml:space="preserve">uptake and coverage standards </w:t>
            </w:r>
            <w:r w:rsidR="000441FB" w:rsidRPr="00496A09">
              <w:rPr>
                <w:rFonts w:cs="Arial"/>
                <w:color w:val="auto"/>
                <w:sz w:val="22"/>
                <w:szCs w:val="22"/>
              </w:rPr>
              <w:t xml:space="preserve">(Appendix B of </w:t>
            </w:r>
            <w:r w:rsidR="0051064B" w:rsidRPr="00496A09">
              <w:rPr>
                <w:rFonts w:cs="Arial"/>
                <w:color w:val="auto"/>
                <w:sz w:val="22"/>
                <w:szCs w:val="22"/>
              </w:rPr>
              <w:t xml:space="preserve">the NHS Public Health Functions Agreement) </w:t>
            </w:r>
          </w:p>
          <w:p w14:paraId="6BF4793D" w14:textId="43BFC05A" w:rsidR="00C93CF1" w:rsidRPr="00496A09" w:rsidRDefault="00C93CF1" w:rsidP="00C93CF1">
            <w:pPr>
              <w:pStyle w:val="BodyText2"/>
              <w:numPr>
                <w:ilvl w:val="0"/>
                <w:numId w:val="10"/>
              </w:numPr>
              <w:spacing w:after="120" w:line="240" w:lineRule="auto"/>
              <w:ind w:left="227" w:hanging="227"/>
              <w:rPr>
                <w:rFonts w:cs="Arial"/>
                <w:color w:val="auto"/>
                <w:sz w:val="22"/>
                <w:szCs w:val="22"/>
              </w:rPr>
            </w:pPr>
            <w:r w:rsidRPr="00496A09">
              <w:rPr>
                <w:rFonts w:cs="Arial"/>
                <w:color w:val="auto"/>
                <w:sz w:val="22"/>
                <w:szCs w:val="22"/>
              </w:rPr>
              <w:t xml:space="preserve">Support and oversee ICB commissioning and delivery of vaccinations, </w:t>
            </w:r>
            <w:r w:rsidR="006D5BCF" w:rsidRPr="00496A09">
              <w:rPr>
                <w:rFonts w:cs="Arial"/>
                <w:color w:val="auto"/>
                <w:sz w:val="22"/>
                <w:szCs w:val="22"/>
              </w:rPr>
              <w:t xml:space="preserve">guided by </w:t>
            </w:r>
            <w:r w:rsidR="00B97B80" w:rsidRPr="00496A09">
              <w:rPr>
                <w:rFonts w:cs="Arial"/>
                <w:color w:val="auto"/>
                <w:sz w:val="22"/>
                <w:szCs w:val="22"/>
              </w:rPr>
              <w:t>the vaccination</w:t>
            </w:r>
            <w:r w:rsidR="00D146EF">
              <w:rPr>
                <w:rFonts w:cs="Arial"/>
                <w:color w:val="auto"/>
                <w:sz w:val="22"/>
                <w:szCs w:val="22"/>
              </w:rPr>
              <w:t xml:space="preserve"> </w:t>
            </w:r>
            <w:r w:rsidRPr="00496A09">
              <w:rPr>
                <w:rFonts w:cs="Arial"/>
                <w:color w:val="auto"/>
                <w:sz w:val="22"/>
                <w:szCs w:val="22"/>
              </w:rPr>
              <w:t>outcomes framework</w:t>
            </w:r>
          </w:p>
          <w:p w14:paraId="1CDC0103" w14:textId="77777777" w:rsidR="00C93CF1" w:rsidRPr="00496A09" w:rsidRDefault="00C93CF1" w:rsidP="00C93CF1">
            <w:pPr>
              <w:pStyle w:val="BodyText2"/>
              <w:numPr>
                <w:ilvl w:val="0"/>
                <w:numId w:val="10"/>
              </w:numPr>
              <w:spacing w:after="120" w:line="240" w:lineRule="auto"/>
              <w:ind w:left="227" w:hanging="227"/>
              <w:rPr>
                <w:rFonts w:cs="Arial"/>
                <w:color w:val="auto"/>
                <w:sz w:val="22"/>
                <w:szCs w:val="22"/>
              </w:rPr>
            </w:pPr>
            <w:r w:rsidRPr="00496A09">
              <w:rPr>
                <w:rFonts w:cs="Arial"/>
                <w:color w:val="auto"/>
                <w:sz w:val="22"/>
                <w:szCs w:val="22"/>
              </w:rPr>
              <w:t>Monitor performance, delivery of outcomes, and variations in uptake and coverage within the region, and support ICBs in addressing them</w:t>
            </w:r>
          </w:p>
          <w:p w14:paraId="3F1FA0A3" w14:textId="77777777" w:rsidR="00C93CF1" w:rsidRPr="00496A09" w:rsidRDefault="00C93CF1" w:rsidP="00C93CF1">
            <w:pPr>
              <w:pStyle w:val="BodyText2"/>
              <w:numPr>
                <w:ilvl w:val="0"/>
                <w:numId w:val="10"/>
              </w:numPr>
              <w:spacing w:after="120" w:line="240" w:lineRule="auto"/>
              <w:ind w:left="227" w:hanging="227"/>
              <w:rPr>
                <w:rFonts w:cs="Arial"/>
                <w:color w:val="auto"/>
                <w:sz w:val="22"/>
                <w:szCs w:val="22"/>
              </w:rPr>
            </w:pPr>
            <w:r w:rsidRPr="00496A09">
              <w:rPr>
                <w:rFonts w:cs="Arial"/>
                <w:color w:val="auto"/>
                <w:sz w:val="22"/>
                <w:szCs w:val="22"/>
              </w:rPr>
              <w:t xml:space="preserve">Support population health improvement and reduction in unwarranted variation in public health outcomes </w:t>
            </w:r>
          </w:p>
          <w:p w14:paraId="3B62712B" w14:textId="5A00CE4B" w:rsidR="00C93CF1" w:rsidRPr="00496A09" w:rsidRDefault="00C93CF1" w:rsidP="00C93CF1">
            <w:pPr>
              <w:pStyle w:val="BodyText2"/>
              <w:numPr>
                <w:ilvl w:val="0"/>
                <w:numId w:val="10"/>
              </w:numPr>
              <w:spacing w:after="120" w:line="240" w:lineRule="auto"/>
              <w:ind w:left="227" w:hanging="227"/>
              <w:rPr>
                <w:rFonts w:cs="Arial"/>
                <w:color w:val="auto"/>
                <w:sz w:val="22"/>
                <w:szCs w:val="22"/>
              </w:rPr>
            </w:pPr>
            <w:r w:rsidRPr="00496A09">
              <w:rPr>
                <w:rFonts w:cs="Arial"/>
                <w:color w:val="auto"/>
                <w:sz w:val="22"/>
                <w:szCs w:val="22"/>
              </w:rPr>
              <w:t xml:space="preserve">Agree and monitor appropriate outcomes measures for </w:t>
            </w:r>
            <w:r w:rsidR="00BD32FC" w:rsidRPr="00496A09">
              <w:rPr>
                <w:rFonts w:cs="Arial"/>
                <w:color w:val="auto"/>
                <w:sz w:val="22"/>
                <w:szCs w:val="22"/>
              </w:rPr>
              <w:t xml:space="preserve">disparities </w:t>
            </w:r>
            <w:r w:rsidRPr="00496A09">
              <w:rPr>
                <w:rFonts w:cs="Arial"/>
                <w:color w:val="auto"/>
                <w:sz w:val="22"/>
                <w:szCs w:val="22"/>
              </w:rPr>
              <w:t>in uptake that reflect each system’s population</w:t>
            </w:r>
          </w:p>
          <w:p w14:paraId="4A9C644C" w14:textId="02D73DE7" w:rsidR="00C93CF1" w:rsidRPr="00496A09" w:rsidRDefault="00D509F1" w:rsidP="00C93CF1">
            <w:pPr>
              <w:pStyle w:val="BodyText2"/>
              <w:numPr>
                <w:ilvl w:val="0"/>
                <w:numId w:val="10"/>
              </w:numPr>
              <w:spacing w:after="120" w:line="240" w:lineRule="auto"/>
              <w:ind w:left="227" w:hanging="227"/>
              <w:rPr>
                <w:rFonts w:cs="Arial"/>
                <w:color w:val="auto"/>
                <w:sz w:val="22"/>
                <w:szCs w:val="22"/>
              </w:rPr>
            </w:pPr>
            <w:r w:rsidRPr="00496A09">
              <w:rPr>
                <w:rFonts w:cs="Arial"/>
                <w:color w:val="auto"/>
                <w:sz w:val="22"/>
                <w:szCs w:val="22"/>
              </w:rPr>
              <w:t>O</w:t>
            </w:r>
            <w:r w:rsidR="00C93CF1" w:rsidRPr="00496A09">
              <w:rPr>
                <w:rFonts w:cs="Arial"/>
                <w:color w:val="auto"/>
                <w:sz w:val="22"/>
                <w:szCs w:val="22"/>
              </w:rPr>
              <w:t xml:space="preserve">versee outbreak response of local </w:t>
            </w:r>
            <w:r w:rsidR="00E34FC3" w:rsidRPr="00496A09">
              <w:rPr>
                <w:rFonts w:cs="Arial"/>
                <w:color w:val="auto"/>
                <w:sz w:val="22"/>
                <w:szCs w:val="22"/>
              </w:rPr>
              <w:t xml:space="preserve">NHS </w:t>
            </w:r>
            <w:r w:rsidR="00C93CF1" w:rsidRPr="00496A09">
              <w:rPr>
                <w:rFonts w:cs="Arial"/>
                <w:color w:val="auto"/>
                <w:sz w:val="22"/>
                <w:szCs w:val="22"/>
              </w:rPr>
              <w:t>teams, or as the lead region for incidents that span more than one region, where these are not escalated to EPRR</w:t>
            </w:r>
          </w:p>
          <w:p w14:paraId="6CC0A41A" w14:textId="0481BEAA" w:rsidR="00C93CF1" w:rsidRPr="00496A09" w:rsidRDefault="00C93CF1" w:rsidP="00C93CF1">
            <w:pPr>
              <w:pStyle w:val="BodyText2"/>
              <w:numPr>
                <w:ilvl w:val="0"/>
                <w:numId w:val="10"/>
              </w:numPr>
              <w:spacing w:after="120" w:line="240" w:lineRule="auto"/>
              <w:ind w:left="227" w:hanging="227"/>
              <w:rPr>
                <w:rFonts w:cs="Arial"/>
                <w:color w:val="auto"/>
                <w:sz w:val="22"/>
                <w:szCs w:val="22"/>
              </w:rPr>
            </w:pPr>
            <w:r w:rsidRPr="00496A09">
              <w:rPr>
                <w:rFonts w:cs="Arial"/>
                <w:color w:val="auto"/>
                <w:sz w:val="22"/>
                <w:szCs w:val="22"/>
              </w:rPr>
              <w:t>Provide clinical advice services where it makes sense to do so at a regional level</w:t>
            </w:r>
          </w:p>
        </w:tc>
        <w:tc>
          <w:tcPr>
            <w:tcW w:w="3118" w:type="dxa"/>
          </w:tcPr>
          <w:p w14:paraId="35647A3F" w14:textId="77777777" w:rsidR="00C93CF1" w:rsidRPr="00496A09" w:rsidRDefault="00C93CF1" w:rsidP="00C93CF1">
            <w:pPr>
              <w:pStyle w:val="BodyText2"/>
              <w:numPr>
                <w:ilvl w:val="0"/>
                <w:numId w:val="10"/>
              </w:numPr>
              <w:spacing w:after="120" w:line="240" w:lineRule="auto"/>
              <w:ind w:left="227" w:hanging="227"/>
              <w:rPr>
                <w:rFonts w:cs="Arial"/>
                <w:color w:val="auto"/>
                <w:sz w:val="22"/>
                <w:szCs w:val="22"/>
              </w:rPr>
            </w:pPr>
            <w:r w:rsidRPr="00496A09">
              <w:rPr>
                <w:rFonts w:cs="Arial"/>
                <w:color w:val="auto"/>
                <w:sz w:val="22"/>
                <w:szCs w:val="22"/>
              </w:rPr>
              <w:t>Set national strategy and priorities for vaccination deployment</w:t>
            </w:r>
          </w:p>
          <w:p w14:paraId="6AB2A604" w14:textId="77777777" w:rsidR="00C93CF1" w:rsidRPr="00496A09" w:rsidRDefault="00C93CF1" w:rsidP="00C93CF1">
            <w:pPr>
              <w:pStyle w:val="BodyText2"/>
              <w:numPr>
                <w:ilvl w:val="0"/>
                <w:numId w:val="10"/>
              </w:numPr>
              <w:spacing w:after="120" w:line="240" w:lineRule="auto"/>
              <w:ind w:left="227" w:hanging="227"/>
              <w:rPr>
                <w:rFonts w:cs="Arial"/>
                <w:color w:val="auto"/>
                <w:sz w:val="22"/>
                <w:szCs w:val="22"/>
              </w:rPr>
            </w:pPr>
            <w:r w:rsidRPr="00496A09">
              <w:rPr>
                <w:rFonts w:cs="Arial"/>
                <w:color w:val="auto"/>
                <w:sz w:val="22"/>
                <w:szCs w:val="22"/>
              </w:rPr>
              <w:t>Provide national strategic oversight of vaccination performance</w:t>
            </w:r>
          </w:p>
          <w:p w14:paraId="6297CD34" w14:textId="77777777" w:rsidR="00C93CF1" w:rsidRPr="00496A09" w:rsidRDefault="00C93CF1" w:rsidP="00C93CF1">
            <w:pPr>
              <w:pStyle w:val="BodyText2"/>
              <w:numPr>
                <w:ilvl w:val="0"/>
                <w:numId w:val="10"/>
              </w:numPr>
              <w:spacing w:after="120" w:line="240" w:lineRule="auto"/>
              <w:ind w:left="227" w:hanging="227"/>
              <w:rPr>
                <w:rFonts w:cs="Arial"/>
                <w:color w:val="auto"/>
                <w:sz w:val="22"/>
                <w:szCs w:val="22"/>
              </w:rPr>
            </w:pPr>
            <w:r w:rsidRPr="00496A09">
              <w:rPr>
                <w:rFonts w:cs="Arial"/>
                <w:color w:val="auto"/>
                <w:sz w:val="22"/>
                <w:szCs w:val="22"/>
              </w:rPr>
              <w:t>Manage the relationship with government and other national bodies, including DHSC, JCVI and UKHSA</w:t>
            </w:r>
          </w:p>
          <w:p w14:paraId="74A8375A" w14:textId="77777777" w:rsidR="00C93CF1" w:rsidRPr="00496A09" w:rsidRDefault="00C93CF1" w:rsidP="00C93CF1">
            <w:pPr>
              <w:pStyle w:val="BodyText2"/>
              <w:numPr>
                <w:ilvl w:val="0"/>
                <w:numId w:val="10"/>
              </w:numPr>
              <w:spacing w:after="120" w:line="240" w:lineRule="auto"/>
              <w:ind w:left="227" w:hanging="227"/>
              <w:rPr>
                <w:rFonts w:cs="Arial"/>
                <w:color w:val="auto"/>
                <w:sz w:val="22"/>
                <w:szCs w:val="22"/>
              </w:rPr>
            </w:pPr>
            <w:r w:rsidRPr="00496A09">
              <w:rPr>
                <w:rFonts w:cs="Arial"/>
                <w:color w:val="auto"/>
                <w:sz w:val="22"/>
                <w:szCs w:val="22"/>
              </w:rPr>
              <w:t>Negotiate and agree the budget for vaccination services</w:t>
            </w:r>
          </w:p>
          <w:p w14:paraId="74607460" w14:textId="77777777" w:rsidR="00C93CF1" w:rsidRPr="00496A09" w:rsidRDefault="00C93CF1" w:rsidP="00C93CF1">
            <w:pPr>
              <w:pStyle w:val="BodyText2"/>
              <w:numPr>
                <w:ilvl w:val="0"/>
                <w:numId w:val="10"/>
              </w:numPr>
              <w:spacing w:after="120" w:line="240" w:lineRule="auto"/>
              <w:ind w:left="227" w:hanging="227"/>
              <w:rPr>
                <w:rFonts w:cs="Arial"/>
                <w:color w:val="auto"/>
                <w:sz w:val="22"/>
                <w:szCs w:val="22"/>
              </w:rPr>
            </w:pPr>
            <w:r w:rsidRPr="00496A09">
              <w:rPr>
                <w:rFonts w:cs="Arial"/>
                <w:color w:val="auto"/>
                <w:sz w:val="22"/>
                <w:szCs w:val="22"/>
              </w:rPr>
              <w:t>Commission health and justice vaccination services</w:t>
            </w:r>
          </w:p>
          <w:p w14:paraId="335D6A4E" w14:textId="77777777" w:rsidR="00C93CF1" w:rsidRPr="00496A09" w:rsidRDefault="00C93CF1" w:rsidP="00C93CF1">
            <w:pPr>
              <w:pStyle w:val="BodyText2"/>
              <w:numPr>
                <w:ilvl w:val="0"/>
                <w:numId w:val="10"/>
              </w:numPr>
              <w:spacing w:after="120" w:line="240" w:lineRule="auto"/>
              <w:ind w:left="227" w:hanging="227"/>
              <w:rPr>
                <w:rFonts w:cs="Arial"/>
                <w:color w:val="auto"/>
                <w:sz w:val="22"/>
                <w:szCs w:val="22"/>
              </w:rPr>
            </w:pPr>
            <w:r w:rsidRPr="00496A09">
              <w:rPr>
                <w:rFonts w:cs="Arial"/>
                <w:color w:val="auto"/>
                <w:sz w:val="22"/>
                <w:szCs w:val="22"/>
              </w:rPr>
              <w:t>Ensure enablers that are best done once are developed with relevant national partners and in place. This includes:</w:t>
            </w:r>
          </w:p>
          <w:p w14:paraId="21C40DAD" w14:textId="77777777" w:rsidR="00C93CF1" w:rsidRPr="00496A09" w:rsidRDefault="00C93CF1" w:rsidP="00C6401D">
            <w:pPr>
              <w:pStyle w:val="BodyText2"/>
              <w:numPr>
                <w:ilvl w:val="0"/>
                <w:numId w:val="30"/>
              </w:numPr>
              <w:spacing w:after="50" w:line="240" w:lineRule="auto"/>
              <w:ind w:left="514" w:hanging="284"/>
              <w:rPr>
                <w:rFonts w:cs="Arial"/>
                <w:color w:val="auto"/>
                <w:sz w:val="22"/>
                <w:szCs w:val="22"/>
              </w:rPr>
            </w:pPr>
            <w:r w:rsidRPr="00496A09">
              <w:rPr>
                <w:rFonts w:cs="Arial"/>
                <w:color w:val="auto"/>
                <w:sz w:val="22"/>
                <w:szCs w:val="22"/>
              </w:rPr>
              <w:t>developing national service specifications</w:t>
            </w:r>
          </w:p>
          <w:p w14:paraId="794D696E" w14:textId="77777777" w:rsidR="00C93CF1" w:rsidRPr="00496A09" w:rsidRDefault="00C93CF1" w:rsidP="00C6401D">
            <w:pPr>
              <w:pStyle w:val="BodyText2"/>
              <w:numPr>
                <w:ilvl w:val="0"/>
                <w:numId w:val="30"/>
              </w:numPr>
              <w:spacing w:after="50" w:line="240" w:lineRule="auto"/>
              <w:ind w:left="514" w:hanging="284"/>
              <w:rPr>
                <w:rFonts w:cs="Arial"/>
                <w:color w:val="auto"/>
                <w:sz w:val="22"/>
                <w:szCs w:val="22"/>
              </w:rPr>
            </w:pPr>
            <w:r w:rsidRPr="00496A09">
              <w:rPr>
                <w:rFonts w:cs="Arial"/>
                <w:color w:val="auto"/>
                <w:sz w:val="22"/>
                <w:szCs w:val="22"/>
              </w:rPr>
              <w:t xml:space="preserve">commissioning and maintaining single digital services where it makes sense to do so, such as national booking systems </w:t>
            </w:r>
          </w:p>
          <w:p w14:paraId="29D29B05" w14:textId="77777777" w:rsidR="00C93CF1" w:rsidRPr="00496A09" w:rsidRDefault="00C93CF1" w:rsidP="00C6401D">
            <w:pPr>
              <w:pStyle w:val="BodyText2"/>
              <w:numPr>
                <w:ilvl w:val="0"/>
                <w:numId w:val="31"/>
              </w:numPr>
              <w:spacing w:after="50" w:line="240" w:lineRule="auto"/>
              <w:ind w:left="514" w:hanging="284"/>
              <w:rPr>
                <w:rFonts w:cs="Arial"/>
                <w:color w:val="auto"/>
                <w:sz w:val="22"/>
                <w:szCs w:val="22"/>
              </w:rPr>
            </w:pPr>
            <w:r w:rsidRPr="00496A09">
              <w:rPr>
                <w:rFonts w:cs="Arial"/>
                <w:color w:val="auto"/>
                <w:sz w:val="22"/>
                <w:szCs w:val="22"/>
              </w:rPr>
              <w:t>developing/maintaining a national data reporting system to hold all vaccination data nationally and enable national performance reports</w:t>
            </w:r>
          </w:p>
          <w:p w14:paraId="0F91E49D" w14:textId="77777777" w:rsidR="00C93CF1" w:rsidRPr="00496A09" w:rsidRDefault="00C93CF1" w:rsidP="00C6401D">
            <w:pPr>
              <w:pStyle w:val="BodyText2"/>
              <w:numPr>
                <w:ilvl w:val="0"/>
                <w:numId w:val="31"/>
              </w:numPr>
              <w:spacing w:after="50" w:line="240" w:lineRule="auto"/>
              <w:ind w:left="514" w:hanging="284"/>
              <w:rPr>
                <w:rFonts w:cs="Arial"/>
                <w:color w:val="auto"/>
                <w:sz w:val="22"/>
                <w:szCs w:val="22"/>
              </w:rPr>
            </w:pPr>
            <w:r w:rsidRPr="00496A09">
              <w:rPr>
                <w:rFonts w:cs="Arial"/>
                <w:color w:val="auto"/>
                <w:sz w:val="22"/>
                <w:szCs w:val="22"/>
              </w:rPr>
              <w:t>developing appropriate training tools to support local delivery where best done nationally</w:t>
            </w:r>
          </w:p>
          <w:p w14:paraId="6AFC0DAF" w14:textId="77777777" w:rsidR="00C93CF1" w:rsidRPr="00496A09" w:rsidRDefault="00C93CF1" w:rsidP="00C6401D">
            <w:pPr>
              <w:pStyle w:val="BodyText2"/>
              <w:numPr>
                <w:ilvl w:val="0"/>
                <w:numId w:val="31"/>
              </w:numPr>
              <w:spacing w:after="0" w:line="240" w:lineRule="auto"/>
              <w:ind w:left="514" w:hanging="284"/>
              <w:rPr>
                <w:rFonts w:cs="Arial"/>
                <w:color w:val="auto"/>
                <w:sz w:val="22"/>
                <w:szCs w:val="22"/>
              </w:rPr>
            </w:pPr>
            <w:r w:rsidRPr="00496A09">
              <w:rPr>
                <w:rFonts w:cs="Arial"/>
                <w:color w:val="auto"/>
                <w:sz w:val="22"/>
                <w:szCs w:val="22"/>
              </w:rPr>
              <w:t xml:space="preserve">running communication campaigns and gathering insights where best done nationally, including sharing best practice outreach approaches </w:t>
            </w:r>
          </w:p>
        </w:tc>
      </w:tr>
    </w:tbl>
    <w:p w14:paraId="1E94CD70" w14:textId="77777777" w:rsidR="00DB6A19" w:rsidRPr="00496A09" w:rsidRDefault="00DB6A19" w:rsidP="00FB09BB">
      <w:pPr>
        <w:pStyle w:val="ListParagraph"/>
        <w:ind w:firstLine="0"/>
        <w:rPr>
          <w:b/>
          <w:bCs/>
          <w:color w:val="auto"/>
        </w:rPr>
      </w:pPr>
    </w:p>
    <w:p w14:paraId="7DAFA567" w14:textId="1793DD13" w:rsidR="00B41677" w:rsidRPr="00496A09" w:rsidRDefault="00B41677" w:rsidP="00FB09BB">
      <w:pPr>
        <w:pStyle w:val="ListParagraph"/>
        <w:ind w:firstLine="0"/>
        <w:rPr>
          <w:b/>
          <w:bCs/>
          <w:color w:val="auto"/>
        </w:rPr>
      </w:pPr>
      <w:r w:rsidRPr="00496A09">
        <w:rPr>
          <w:b/>
          <w:bCs/>
          <w:color w:val="auto"/>
        </w:rPr>
        <w:t>Table 3: Public health roles and responsibilities for vaccination</w:t>
      </w:r>
    </w:p>
    <w:tbl>
      <w:tblPr>
        <w:tblStyle w:val="TableGrid"/>
        <w:tblW w:w="9634" w:type="dxa"/>
        <w:tblLook w:val="04A0" w:firstRow="1" w:lastRow="0" w:firstColumn="1" w:lastColumn="0" w:noHBand="0" w:noVBand="1"/>
      </w:tblPr>
      <w:tblGrid>
        <w:gridCol w:w="3681"/>
        <w:gridCol w:w="2835"/>
        <w:gridCol w:w="3118"/>
      </w:tblGrid>
      <w:tr w:rsidR="00D745B9" w:rsidRPr="00496A09" w14:paraId="73D6C257" w14:textId="77777777" w:rsidTr="00C620E9">
        <w:tc>
          <w:tcPr>
            <w:tcW w:w="3681" w:type="dxa"/>
          </w:tcPr>
          <w:p w14:paraId="0FB5E929" w14:textId="77777777" w:rsidR="00D745B9" w:rsidRPr="00496A09" w:rsidRDefault="00D745B9">
            <w:pPr>
              <w:pStyle w:val="BodyText2"/>
              <w:numPr>
                <w:ilvl w:val="0"/>
                <w:numId w:val="0"/>
              </w:numPr>
              <w:spacing w:after="0" w:line="240" w:lineRule="auto"/>
              <w:jc w:val="center"/>
              <w:rPr>
                <w:rFonts w:cs="Arial"/>
                <w:b/>
                <w:bCs/>
                <w:color w:val="auto"/>
                <w:sz w:val="22"/>
                <w:szCs w:val="22"/>
              </w:rPr>
            </w:pPr>
            <w:r w:rsidRPr="00496A09">
              <w:rPr>
                <w:rFonts w:cs="Arial"/>
                <w:b/>
                <w:bCs/>
                <w:color w:val="auto"/>
                <w:sz w:val="22"/>
                <w:szCs w:val="22"/>
              </w:rPr>
              <w:t>ICS</w:t>
            </w:r>
          </w:p>
        </w:tc>
        <w:tc>
          <w:tcPr>
            <w:tcW w:w="2835" w:type="dxa"/>
          </w:tcPr>
          <w:p w14:paraId="50BE865C" w14:textId="77777777" w:rsidR="00D745B9" w:rsidRPr="00496A09" w:rsidRDefault="00D745B9">
            <w:pPr>
              <w:pStyle w:val="BodyText2"/>
              <w:numPr>
                <w:ilvl w:val="0"/>
                <w:numId w:val="0"/>
              </w:numPr>
              <w:spacing w:after="0" w:line="240" w:lineRule="auto"/>
              <w:jc w:val="center"/>
              <w:rPr>
                <w:rFonts w:cs="Arial"/>
                <w:b/>
                <w:bCs/>
                <w:color w:val="auto"/>
                <w:sz w:val="22"/>
                <w:szCs w:val="22"/>
              </w:rPr>
            </w:pPr>
            <w:r w:rsidRPr="00496A09">
              <w:rPr>
                <w:rFonts w:cs="Arial"/>
                <w:b/>
                <w:bCs/>
                <w:color w:val="auto"/>
                <w:sz w:val="22"/>
                <w:szCs w:val="22"/>
              </w:rPr>
              <w:t>Regional</w:t>
            </w:r>
          </w:p>
        </w:tc>
        <w:tc>
          <w:tcPr>
            <w:tcW w:w="3118" w:type="dxa"/>
          </w:tcPr>
          <w:p w14:paraId="383567AA" w14:textId="77777777" w:rsidR="00D745B9" w:rsidRPr="00496A09" w:rsidRDefault="00D745B9">
            <w:pPr>
              <w:pStyle w:val="BodyText2"/>
              <w:numPr>
                <w:ilvl w:val="0"/>
                <w:numId w:val="0"/>
              </w:numPr>
              <w:spacing w:after="0" w:line="240" w:lineRule="auto"/>
              <w:jc w:val="center"/>
              <w:rPr>
                <w:rFonts w:cs="Arial"/>
                <w:b/>
                <w:bCs/>
                <w:color w:val="auto"/>
                <w:sz w:val="22"/>
                <w:szCs w:val="22"/>
              </w:rPr>
            </w:pPr>
            <w:r w:rsidRPr="00496A09">
              <w:rPr>
                <w:rFonts w:cs="Arial"/>
                <w:b/>
                <w:bCs/>
                <w:color w:val="auto"/>
                <w:sz w:val="22"/>
                <w:szCs w:val="22"/>
              </w:rPr>
              <w:t>National</w:t>
            </w:r>
          </w:p>
        </w:tc>
      </w:tr>
      <w:tr w:rsidR="00D745B9" w:rsidRPr="00496A09" w14:paraId="746AECE4" w14:textId="77777777" w:rsidTr="00C620E9">
        <w:trPr>
          <w:trHeight w:val="3679"/>
        </w:trPr>
        <w:tc>
          <w:tcPr>
            <w:tcW w:w="3681" w:type="dxa"/>
          </w:tcPr>
          <w:p w14:paraId="10EA7ECA" w14:textId="0F6BCAE1" w:rsidR="00D745B9" w:rsidRPr="00496A09" w:rsidRDefault="00D745B9" w:rsidP="00D745B9">
            <w:pPr>
              <w:pStyle w:val="BodyText2"/>
              <w:numPr>
                <w:ilvl w:val="0"/>
                <w:numId w:val="10"/>
              </w:numPr>
              <w:spacing w:after="120" w:line="240" w:lineRule="auto"/>
              <w:ind w:left="227" w:hanging="227"/>
              <w:rPr>
                <w:rFonts w:cs="Arial"/>
                <w:color w:val="auto"/>
                <w:sz w:val="22"/>
                <w:szCs w:val="22"/>
              </w:rPr>
            </w:pPr>
            <w:r w:rsidRPr="00496A09">
              <w:rPr>
                <w:rFonts w:eastAsia="Calibri" w:cs="Arial"/>
                <w:sz w:val="22"/>
                <w:szCs w:val="22"/>
              </w:rPr>
              <w:t>Local authority directors of public health (</w:t>
            </w:r>
            <w:proofErr w:type="spellStart"/>
            <w:r w:rsidRPr="00496A09">
              <w:rPr>
                <w:rFonts w:eastAsia="Calibri" w:cs="Arial"/>
                <w:sz w:val="22"/>
                <w:szCs w:val="22"/>
              </w:rPr>
              <w:t>DsPH</w:t>
            </w:r>
            <w:proofErr w:type="spellEnd"/>
            <w:r w:rsidRPr="00496A09">
              <w:rPr>
                <w:rFonts w:eastAsia="Calibri" w:cs="Arial"/>
                <w:sz w:val="22"/>
                <w:szCs w:val="22"/>
              </w:rPr>
              <w:t xml:space="preserve">) are responsible for protecting the health of their resident population, including by providing public health information and advice to relevant bodies within the local area, and collaborative activity to maximise </w:t>
            </w:r>
            <w:r w:rsidR="00D146EF">
              <w:rPr>
                <w:rFonts w:eastAsia="Calibri" w:cs="Arial"/>
                <w:sz w:val="22"/>
                <w:szCs w:val="22"/>
              </w:rPr>
              <w:t>vaccination</w:t>
            </w:r>
            <w:r w:rsidRPr="00496A09">
              <w:rPr>
                <w:rFonts w:eastAsia="Calibri" w:cs="Arial"/>
                <w:sz w:val="22"/>
                <w:szCs w:val="22"/>
              </w:rPr>
              <w:t xml:space="preserve"> uptake and coverage. There may be more than one DPH in an ICS footprint</w:t>
            </w:r>
          </w:p>
          <w:p w14:paraId="0F0ED68A" w14:textId="77777777" w:rsidR="00D745B9" w:rsidRPr="00496A09" w:rsidRDefault="00D745B9" w:rsidP="00D745B9">
            <w:pPr>
              <w:pStyle w:val="BodyText2"/>
              <w:numPr>
                <w:ilvl w:val="0"/>
                <w:numId w:val="10"/>
              </w:numPr>
              <w:spacing w:after="120" w:line="240" w:lineRule="auto"/>
              <w:ind w:left="227" w:hanging="227"/>
              <w:rPr>
                <w:rFonts w:cs="Arial"/>
                <w:color w:val="auto"/>
                <w:sz w:val="22"/>
                <w:szCs w:val="22"/>
              </w:rPr>
            </w:pPr>
            <w:proofErr w:type="spellStart"/>
            <w:r w:rsidRPr="00496A09">
              <w:rPr>
                <w:sz w:val="22"/>
                <w:szCs w:val="22"/>
              </w:rPr>
              <w:t>DsPH</w:t>
            </w:r>
            <w:proofErr w:type="spellEnd"/>
            <w:r w:rsidRPr="00496A09">
              <w:rPr>
                <w:sz w:val="22"/>
                <w:szCs w:val="22"/>
              </w:rPr>
              <w:t xml:space="preserve"> and teams provide independent scrutiny of the arrangements of NHS England, UKHSA and providers of immunisation services</w:t>
            </w:r>
          </w:p>
          <w:p w14:paraId="474926BA" w14:textId="4EFE34B3" w:rsidR="00D745B9" w:rsidRPr="00496A09" w:rsidRDefault="00D745B9" w:rsidP="00D745B9">
            <w:pPr>
              <w:pStyle w:val="BodyText2"/>
              <w:numPr>
                <w:ilvl w:val="0"/>
                <w:numId w:val="10"/>
              </w:numPr>
              <w:spacing w:after="120" w:line="240" w:lineRule="auto"/>
              <w:ind w:left="227" w:hanging="227"/>
              <w:rPr>
                <w:rFonts w:cs="Arial"/>
                <w:color w:val="auto"/>
                <w:sz w:val="22"/>
                <w:szCs w:val="22"/>
              </w:rPr>
            </w:pPr>
            <w:r w:rsidRPr="00496A09">
              <w:rPr>
                <w:sz w:val="22"/>
                <w:szCs w:val="22"/>
              </w:rPr>
              <w:t>Local authorities commission some health services that undertake immunisations (</w:t>
            </w:r>
            <w:r w:rsidR="004D1B4E" w:rsidRPr="00496A09">
              <w:rPr>
                <w:sz w:val="22"/>
                <w:szCs w:val="22"/>
              </w:rPr>
              <w:t>e.g.,</w:t>
            </w:r>
            <w:r w:rsidRPr="00496A09">
              <w:rPr>
                <w:sz w:val="22"/>
                <w:szCs w:val="22"/>
              </w:rPr>
              <w:t xml:space="preserve"> sexual health and school nursing) and have a key role in local system-based approaches to delivery of vaccinations</w:t>
            </w:r>
          </w:p>
        </w:tc>
        <w:tc>
          <w:tcPr>
            <w:tcW w:w="2835" w:type="dxa"/>
          </w:tcPr>
          <w:p w14:paraId="5C5F890E" w14:textId="77777777" w:rsidR="00D745B9" w:rsidRPr="00496A09" w:rsidRDefault="00D745B9" w:rsidP="00D745B9">
            <w:pPr>
              <w:pStyle w:val="BodyText2"/>
              <w:numPr>
                <w:ilvl w:val="0"/>
                <w:numId w:val="10"/>
              </w:numPr>
              <w:spacing w:after="120" w:line="240" w:lineRule="auto"/>
              <w:ind w:left="227" w:hanging="227"/>
              <w:rPr>
                <w:rFonts w:cs="Arial"/>
                <w:color w:val="auto"/>
                <w:sz w:val="22"/>
                <w:szCs w:val="22"/>
              </w:rPr>
            </w:pPr>
            <w:r w:rsidRPr="00496A09">
              <w:rPr>
                <w:sz w:val="22"/>
                <w:szCs w:val="22"/>
              </w:rPr>
              <w:t>Regional directors of public health (</w:t>
            </w:r>
            <w:proofErr w:type="spellStart"/>
            <w:r w:rsidRPr="00496A09">
              <w:rPr>
                <w:sz w:val="22"/>
                <w:szCs w:val="22"/>
              </w:rPr>
              <w:t>RDsPH</w:t>
            </w:r>
            <w:proofErr w:type="spellEnd"/>
            <w:r w:rsidRPr="00496A09">
              <w:rPr>
                <w:sz w:val="22"/>
                <w:szCs w:val="22"/>
              </w:rPr>
              <w:t>) are senior public health experts</w:t>
            </w:r>
          </w:p>
          <w:p w14:paraId="5819D5F8" w14:textId="7147B3AF" w:rsidR="00D745B9" w:rsidRPr="00496A09" w:rsidRDefault="00D745B9" w:rsidP="00D745B9">
            <w:pPr>
              <w:pStyle w:val="BodyText2"/>
              <w:numPr>
                <w:ilvl w:val="0"/>
                <w:numId w:val="10"/>
              </w:numPr>
              <w:spacing w:after="120" w:line="240" w:lineRule="auto"/>
              <w:ind w:left="227" w:hanging="227"/>
              <w:rPr>
                <w:rFonts w:cs="Arial"/>
                <w:color w:val="auto"/>
                <w:sz w:val="22"/>
                <w:szCs w:val="22"/>
              </w:rPr>
            </w:pPr>
            <w:proofErr w:type="spellStart"/>
            <w:r w:rsidRPr="00496A09">
              <w:rPr>
                <w:sz w:val="22"/>
                <w:szCs w:val="22"/>
              </w:rPr>
              <w:t>RDsPH</w:t>
            </w:r>
            <w:proofErr w:type="spellEnd"/>
            <w:r w:rsidRPr="00496A09">
              <w:rPr>
                <w:sz w:val="22"/>
                <w:szCs w:val="22"/>
              </w:rPr>
              <w:t xml:space="preserve"> are jointly appointed by DHSC and NHS England to support co-ordination, strategic coherence and strategic oversight across different partners and domains of public health, working </w:t>
            </w:r>
            <w:r w:rsidR="00DF567E" w:rsidRPr="00496A09">
              <w:rPr>
                <w:sz w:val="22"/>
                <w:szCs w:val="22"/>
              </w:rPr>
              <w:t>w</w:t>
            </w:r>
            <w:r w:rsidRPr="00496A09">
              <w:rPr>
                <w:sz w:val="22"/>
                <w:szCs w:val="22"/>
              </w:rPr>
              <w:t xml:space="preserve">ith local government and the NHS </w:t>
            </w:r>
          </w:p>
        </w:tc>
        <w:tc>
          <w:tcPr>
            <w:tcW w:w="3118" w:type="dxa"/>
            <w:vMerge w:val="restart"/>
          </w:tcPr>
          <w:p w14:paraId="72327CE8" w14:textId="77777777" w:rsidR="00D745B9" w:rsidRPr="00496A09" w:rsidRDefault="00D745B9" w:rsidP="00D745B9">
            <w:pPr>
              <w:pStyle w:val="BodyText2"/>
              <w:numPr>
                <w:ilvl w:val="0"/>
                <w:numId w:val="10"/>
              </w:numPr>
              <w:spacing w:after="120" w:line="240" w:lineRule="auto"/>
              <w:ind w:left="227" w:hanging="227"/>
              <w:rPr>
                <w:rFonts w:cs="Arial"/>
                <w:color w:val="auto"/>
                <w:sz w:val="22"/>
                <w:szCs w:val="22"/>
              </w:rPr>
            </w:pPr>
            <w:r w:rsidRPr="00496A09">
              <w:rPr>
                <w:sz w:val="22"/>
                <w:szCs w:val="22"/>
              </w:rPr>
              <w:t xml:space="preserve">The tripartite of NHS England, UKHSA and DHSC provides national leadership across vaccination and immunisation </w:t>
            </w:r>
          </w:p>
          <w:p w14:paraId="15EECD1D" w14:textId="77777777" w:rsidR="00D745B9" w:rsidRPr="00496A09" w:rsidRDefault="00D745B9" w:rsidP="00D745B9">
            <w:pPr>
              <w:pStyle w:val="BodyText2"/>
              <w:numPr>
                <w:ilvl w:val="0"/>
                <w:numId w:val="10"/>
              </w:numPr>
              <w:spacing w:after="120" w:line="240" w:lineRule="auto"/>
              <w:ind w:left="227" w:hanging="227"/>
              <w:rPr>
                <w:rFonts w:cs="Arial"/>
                <w:color w:val="auto"/>
                <w:sz w:val="22"/>
                <w:szCs w:val="22"/>
              </w:rPr>
            </w:pPr>
            <w:r w:rsidRPr="00496A09">
              <w:rPr>
                <w:sz w:val="22"/>
                <w:szCs w:val="22"/>
              </w:rPr>
              <w:t xml:space="preserve">NHS England works in partnership with UKHSA to ensure that all vaccinations, including in an outbreak scenario, are delivered in line with </w:t>
            </w:r>
            <w:hyperlink r:id="rId30" w:history="1">
              <w:r w:rsidRPr="00496A09">
                <w:rPr>
                  <w:rStyle w:val="Hyperlink"/>
                  <w:sz w:val="22"/>
                  <w:szCs w:val="22"/>
                </w:rPr>
                <w:t>national guidance</w:t>
              </w:r>
            </w:hyperlink>
            <w:r w:rsidRPr="00496A09">
              <w:rPr>
                <w:sz w:val="22"/>
                <w:szCs w:val="22"/>
              </w:rPr>
              <w:t xml:space="preserve"> </w:t>
            </w:r>
          </w:p>
          <w:p w14:paraId="053F9CB1" w14:textId="616B3ACD" w:rsidR="00D745B9" w:rsidRPr="00496A09" w:rsidRDefault="00D745B9" w:rsidP="00D745B9">
            <w:pPr>
              <w:pStyle w:val="BodyText2"/>
              <w:numPr>
                <w:ilvl w:val="0"/>
                <w:numId w:val="10"/>
              </w:numPr>
              <w:spacing w:after="120" w:line="240" w:lineRule="auto"/>
              <w:ind w:left="227" w:hanging="227"/>
              <w:rPr>
                <w:rFonts w:cs="Arial"/>
                <w:color w:val="auto"/>
                <w:sz w:val="22"/>
                <w:szCs w:val="22"/>
              </w:rPr>
            </w:pPr>
            <w:r w:rsidRPr="00496A09">
              <w:rPr>
                <w:sz w:val="22"/>
                <w:szCs w:val="22"/>
              </w:rPr>
              <w:t>UKHSA</w:t>
            </w:r>
            <w:r w:rsidRPr="00496A09" w:rsidDel="00804748">
              <w:rPr>
                <w:sz w:val="22"/>
                <w:szCs w:val="22"/>
              </w:rPr>
              <w:t xml:space="preserve"> </w:t>
            </w:r>
            <w:r w:rsidRPr="00496A09">
              <w:rPr>
                <w:sz w:val="22"/>
                <w:szCs w:val="22"/>
              </w:rPr>
              <w:t>provides the specialist, technical and clinical public health leadership and expertise that underpins key elements of the UK immunisation programme, usually through its National Immunisation Team. This includes: provision of secretariat to the JCVI; the UK leadership role for international immunisation programmes; and responsibility for provision of centrally supplied products to the NHS</w:t>
            </w:r>
            <w:r w:rsidR="00DE4398" w:rsidRPr="00496A09">
              <w:rPr>
                <w:sz w:val="22"/>
                <w:szCs w:val="22"/>
              </w:rPr>
              <w:t xml:space="preserve"> </w:t>
            </w:r>
          </w:p>
        </w:tc>
      </w:tr>
      <w:tr w:rsidR="00D745B9" w:rsidRPr="00496A09" w14:paraId="0CAC4EBA" w14:textId="77777777" w:rsidTr="00C620E9">
        <w:tc>
          <w:tcPr>
            <w:tcW w:w="6516" w:type="dxa"/>
            <w:gridSpan w:val="2"/>
          </w:tcPr>
          <w:p w14:paraId="450EE8AE" w14:textId="77777777" w:rsidR="00D745B9" w:rsidRPr="00496A09" w:rsidRDefault="00D745B9" w:rsidP="00D745B9">
            <w:pPr>
              <w:pStyle w:val="BodyText2"/>
              <w:numPr>
                <w:ilvl w:val="0"/>
                <w:numId w:val="10"/>
              </w:numPr>
              <w:spacing w:after="120" w:line="240" w:lineRule="auto"/>
              <w:ind w:left="227" w:hanging="227"/>
              <w:rPr>
                <w:rFonts w:cs="Arial"/>
                <w:color w:val="auto"/>
                <w:sz w:val="22"/>
                <w:szCs w:val="22"/>
              </w:rPr>
            </w:pPr>
            <w:r w:rsidRPr="00496A09">
              <w:rPr>
                <w:sz w:val="22"/>
                <w:szCs w:val="22"/>
              </w:rPr>
              <w:t xml:space="preserve">At regional and system level, NHS England screening and immunisation teams (SITs) comprise public health specialists led by a screening and immunisation lead (SIL) who is a consultant in public health </w:t>
            </w:r>
          </w:p>
          <w:p w14:paraId="68012CCE" w14:textId="257FFBB5" w:rsidR="00D745B9" w:rsidRPr="00496A09" w:rsidRDefault="00D745B9" w:rsidP="00D745B9">
            <w:pPr>
              <w:pStyle w:val="BodyText2"/>
              <w:numPr>
                <w:ilvl w:val="0"/>
                <w:numId w:val="10"/>
              </w:numPr>
              <w:spacing w:after="120" w:line="240" w:lineRule="auto"/>
              <w:ind w:left="227" w:hanging="227"/>
              <w:rPr>
                <w:rFonts w:eastAsia="Calibri" w:cs="Arial"/>
                <w:sz w:val="22"/>
                <w:szCs w:val="22"/>
              </w:rPr>
            </w:pPr>
            <w:r w:rsidRPr="00496A09">
              <w:rPr>
                <w:rFonts w:eastAsia="Calibri" w:cs="Arial"/>
                <w:sz w:val="22"/>
                <w:szCs w:val="22"/>
              </w:rPr>
              <w:t xml:space="preserve">The SIL provides expert advice on immunisation </w:t>
            </w:r>
            <w:r w:rsidR="005B118C" w:rsidRPr="00496A09">
              <w:rPr>
                <w:rFonts w:eastAsia="Calibri" w:cs="Arial"/>
                <w:sz w:val="22"/>
                <w:szCs w:val="22"/>
              </w:rPr>
              <w:t xml:space="preserve">including in outbreaks, vaccine incident management, </w:t>
            </w:r>
            <w:r w:rsidRPr="00496A09">
              <w:rPr>
                <w:rFonts w:eastAsia="Calibri" w:cs="Arial"/>
                <w:sz w:val="22"/>
                <w:szCs w:val="22"/>
              </w:rPr>
              <w:t>quality and improvement activity, programme planning and implementation of s7a programmes at a system and regional level</w:t>
            </w:r>
          </w:p>
          <w:p w14:paraId="1020D3A0" w14:textId="3763A386" w:rsidR="00D745B9" w:rsidRPr="00496A09" w:rsidRDefault="00D745B9" w:rsidP="00D745B9">
            <w:pPr>
              <w:pStyle w:val="BodyText2"/>
              <w:numPr>
                <w:ilvl w:val="0"/>
                <w:numId w:val="10"/>
              </w:numPr>
              <w:spacing w:after="120" w:line="240" w:lineRule="auto"/>
              <w:ind w:left="227" w:hanging="227"/>
              <w:rPr>
                <w:rFonts w:eastAsia="Calibri" w:cs="Arial"/>
                <w:sz w:val="22"/>
                <w:szCs w:val="22"/>
              </w:rPr>
            </w:pPr>
            <w:r w:rsidRPr="00496A09">
              <w:rPr>
                <w:rFonts w:eastAsia="Calibri" w:cs="Arial"/>
                <w:sz w:val="22"/>
                <w:szCs w:val="22"/>
              </w:rPr>
              <w:t>SIT teams support strategic procurement of new services, link into local, regional and national networks and governance arrangements, facilitate system and programme evaluation, and provide expert technical linkage to counterparts in the UKHSA health protection teams in the management of outbreaks of vaccine preventable diseases (VPDs)</w:t>
            </w:r>
          </w:p>
          <w:p w14:paraId="56634D1B" w14:textId="510A78E8" w:rsidR="00D745B9" w:rsidRPr="00496A09" w:rsidRDefault="00D745B9" w:rsidP="00D745B9">
            <w:pPr>
              <w:pStyle w:val="BodyText2"/>
              <w:numPr>
                <w:ilvl w:val="0"/>
                <w:numId w:val="10"/>
              </w:numPr>
              <w:spacing w:after="120" w:line="240" w:lineRule="auto"/>
              <w:ind w:left="227" w:hanging="227"/>
              <w:rPr>
                <w:rFonts w:cs="Arial"/>
                <w:color w:val="auto"/>
                <w:sz w:val="22"/>
                <w:szCs w:val="22"/>
              </w:rPr>
            </w:pPr>
            <w:r w:rsidRPr="00496A09">
              <w:rPr>
                <w:rFonts w:eastAsia="Calibri" w:cs="Arial"/>
                <w:sz w:val="22"/>
                <w:szCs w:val="22"/>
              </w:rPr>
              <w:t>UKHSA health protection teams provide expert public health leadership and advice in response to</w:t>
            </w:r>
            <w:r w:rsidR="00761E5E" w:rsidRPr="00496A09">
              <w:rPr>
                <w:rFonts w:eastAsia="Calibri" w:cs="Arial"/>
                <w:sz w:val="22"/>
                <w:szCs w:val="22"/>
              </w:rPr>
              <w:t xml:space="preserve"> cases and</w:t>
            </w:r>
            <w:r w:rsidRPr="00496A09">
              <w:rPr>
                <w:rFonts w:eastAsia="Calibri" w:cs="Arial"/>
                <w:sz w:val="22"/>
                <w:szCs w:val="22"/>
              </w:rPr>
              <w:t xml:space="preserve"> outbreaks of VPD, undertaking strategic planning in partnership with </w:t>
            </w:r>
            <w:proofErr w:type="spellStart"/>
            <w:r w:rsidRPr="00496A09">
              <w:rPr>
                <w:rFonts w:eastAsia="Calibri" w:cs="Arial"/>
                <w:sz w:val="22"/>
                <w:szCs w:val="22"/>
              </w:rPr>
              <w:t>DsPH</w:t>
            </w:r>
            <w:proofErr w:type="spellEnd"/>
            <w:r w:rsidRPr="00496A09">
              <w:rPr>
                <w:rFonts w:eastAsia="Calibri" w:cs="Arial"/>
                <w:sz w:val="22"/>
                <w:szCs w:val="22"/>
              </w:rPr>
              <w:t>, SITs, the wider NHS, local authorities and other key stakeholders</w:t>
            </w:r>
          </w:p>
        </w:tc>
        <w:tc>
          <w:tcPr>
            <w:tcW w:w="3118" w:type="dxa"/>
            <w:vMerge/>
          </w:tcPr>
          <w:p w14:paraId="3A91F68D" w14:textId="77777777" w:rsidR="00D745B9" w:rsidRPr="00496A09" w:rsidRDefault="00D745B9">
            <w:pPr>
              <w:pStyle w:val="BodyText2"/>
              <w:numPr>
                <w:ilvl w:val="0"/>
                <w:numId w:val="0"/>
              </w:numPr>
              <w:spacing w:after="0" w:line="240" w:lineRule="auto"/>
              <w:ind w:left="360" w:hanging="360"/>
              <w:rPr>
                <w:rFonts w:cs="Arial"/>
                <w:color w:val="auto"/>
                <w:sz w:val="22"/>
                <w:szCs w:val="22"/>
              </w:rPr>
            </w:pPr>
          </w:p>
        </w:tc>
      </w:tr>
    </w:tbl>
    <w:p w14:paraId="2D7CB7AA" w14:textId="73D541A0" w:rsidR="00FB09BB" w:rsidRPr="00496A09" w:rsidRDefault="00FB09BB" w:rsidP="00FB09BB">
      <w:pPr>
        <w:pStyle w:val="h4numbered"/>
        <w:numPr>
          <w:ilvl w:val="0"/>
          <w:numId w:val="0"/>
        </w:numPr>
        <w:spacing w:line="276" w:lineRule="auto"/>
        <w:ind w:left="794"/>
        <w:rPr>
          <w:color w:val="auto"/>
        </w:rPr>
      </w:pPr>
    </w:p>
    <w:p w14:paraId="57439D18" w14:textId="77777777" w:rsidR="00FB09BB" w:rsidRPr="00496A09" w:rsidRDefault="00FB09BB">
      <w:pPr>
        <w:spacing w:after="0" w:line="240" w:lineRule="auto"/>
        <w:textboxTightWrap w:val="none"/>
        <w:rPr>
          <w:rFonts w:asciiTheme="minorHAnsi" w:eastAsia="MS Mincho" w:hAnsiTheme="minorHAnsi"/>
          <w:color w:val="auto"/>
          <w:kern w:val="28"/>
          <w:szCs w:val="20"/>
          <w14:ligatures w14:val="standardContextual"/>
        </w:rPr>
      </w:pPr>
      <w:r w:rsidRPr="00496A09">
        <w:rPr>
          <w:color w:val="auto"/>
        </w:rPr>
        <w:br w:type="page"/>
      </w:r>
    </w:p>
    <w:p w14:paraId="4EB38971" w14:textId="77777777" w:rsidR="000D4DB0" w:rsidRPr="00496A09" w:rsidRDefault="000D4DB0" w:rsidP="005C23CC">
      <w:pPr>
        <w:pStyle w:val="h3numbered"/>
        <w:spacing w:after="180"/>
        <w:rPr>
          <w:color w:val="005EB8" w:themeColor="text2"/>
        </w:rPr>
      </w:pPr>
      <w:bookmarkStart w:id="64" w:name="_Toc153264066"/>
      <w:r w:rsidRPr="00496A09">
        <w:t>A new commissioning and financial framework</w:t>
      </w:r>
      <w:bookmarkEnd w:id="64"/>
    </w:p>
    <w:p w14:paraId="0F55ACEE" w14:textId="19F0B746" w:rsidR="000D4DB0" w:rsidRPr="00496A09" w:rsidRDefault="000D4DB0" w:rsidP="005C23CC">
      <w:pPr>
        <w:pStyle w:val="h4numbered"/>
        <w:spacing w:after="180" w:line="276" w:lineRule="auto"/>
        <w:ind w:left="794"/>
        <w:rPr>
          <w:color w:val="auto"/>
        </w:rPr>
      </w:pPr>
      <w:r w:rsidRPr="00496A09">
        <w:t xml:space="preserve">The recommendations in sections 3 and 4.1 require a new commissioning framework for ICBs.  </w:t>
      </w:r>
    </w:p>
    <w:p w14:paraId="48889595" w14:textId="28419DAA" w:rsidR="000D4DB0" w:rsidRPr="00496A09" w:rsidRDefault="000D4DB0" w:rsidP="00FD7F9A">
      <w:pPr>
        <w:spacing w:after="180"/>
        <w:ind w:right="57"/>
        <w:rPr>
          <w:color w:val="auto"/>
        </w:rPr>
      </w:pPr>
      <w:r w:rsidRPr="00496A09">
        <w:rPr>
          <w:b/>
          <w:bCs/>
        </w:rPr>
        <w:t>Common outcomes and standards</w:t>
      </w:r>
    </w:p>
    <w:p w14:paraId="3ADF5350" w14:textId="2AC31B19" w:rsidR="000D4DB0" w:rsidRPr="00496A09" w:rsidRDefault="000D4DB0" w:rsidP="00FD7F9A">
      <w:pPr>
        <w:pStyle w:val="h4numbered"/>
        <w:spacing w:after="180" w:line="276" w:lineRule="auto"/>
        <w:ind w:left="794"/>
        <w:rPr>
          <w:color w:val="auto"/>
        </w:rPr>
      </w:pPr>
      <w:r w:rsidRPr="00496A09">
        <w:t xml:space="preserve">We have heard through extensive engagement that systems would like increased flexibility in how they deliver vaccination services, provided they meet certain outcome measures. NHS England will move to outcomes-based </w:t>
      </w:r>
      <w:r w:rsidR="00AB4455" w:rsidRPr="00496A09">
        <w:t xml:space="preserve">accountability for vaccination services </w:t>
      </w:r>
      <w:r w:rsidRPr="00496A09">
        <w:t>through regional teams</w:t>
      </w:r>
      <w:r w:rsidRPr="00496A09" w:rsidDel="00566D9F">
        <w:t>,</w:t>
      </w:r>
      <w:r w:rsidRPr="00496A09">
        <w:t xml:space="preserve"> guided by an overarching vaccinati</w:t>
      </w:r>
      <w:r w:rsidR="00D146EF">
        <w:t>on</w:t>
      </w:r>
      <w:r w:rsidRPr="00496A09">
        <w:t xml:space="preserve"> outcomes framework. A draft </w:t>
      </w:r>
      <w:r w:rsidR="006712F5" w:rsidRPr="00496A09">
        <w:t xml:space="preserve">headline </w:t>
      </w:r>
      <w:r w:rsidRPr="00496A09">
        <w:t xml:space="preserve">framework is included at </w:t>
      </w:r>
      <w:r w:rsidR="00BF5E49" w:rsidRPr="00496A09">
        <w:t>A</w:t>
      </w:r>
      <w:r w:rsidRPr="00496A09">
        <w:t>nnex A and this will be developed further during 2023/24</w:t>
      </w:r>
      <w:r w:rsidR="003407C1" w:rsidRPr="00496A09">
        <w:t xml:space="preserve"> and 2024/25</w:t>
      </w:r>
      <w:r w:rsidRPr="00496A09">
        <w:t xml:space="preserve">. </w:t>
      </w:r>
    </w:p>
    <w:p w14:paraId="2B72A341" w14:textId="2064E65E" w:rsidR="000D4DB0" w:rsidRPr="00496A09" w:rsidRDefault="005F00F1" w:rsidP="00C35210">
      <w:pPr>
        <w:pStyle w:val="h4numbered"/>
        <w:spacing w:after="180" w:line="276" w:lineRule="auto"/>
        <w:ind w:left="794"/>
        <w:rPr>
          <w:color w:val="auto"/>
        </w:rPr>
      </w:pPr>
      <w:r w:rsidRPr="00496A09">
        <w:t xml:space="preserve">The </w:t>
      </w:r>
      <w:r w:rsidR="00BC7C3A" w:rsidRPr="00496A09">
        <w:t xml:space="preserve">vaccination </w:t>
      </w:r>
      <w:r w:rsidR="005A1232" w:rsidRPr="00496A09">
        <w:t xml:space="preserve">outcomes </w:t>
      </w:r>
      <w:r w:rsidRPr="00496A09">
        <w:t>framework will support maximum uptake and coverage in the overall eligible population by setting ambitious overarching targets</w:t>
      </w:r>
      <w:r w:rsidR="00B31BB6" w:rsidRPr="00496A09">
        <w:t xml:space="preserve"> for every system</w:t>
      </w:r>
      <w:r w:rsidR="00950CDE" w:rsidRPr="00496A09">
        <w:t>, as recommended by WHO</w:t>
      </w:r>
      <w:r w:rsidRPr="00496A09">
        <w:t xml:space="preserve">. The framework will also give systems the ability to set dynamic, improvement-based uptake and coverage trajectories for specific populations that are currently underserved. </w:t>
      </w:r>
      <w:r w:rsidR="00564718" w:rsidRPr="00496A09">
        <w:t xml:space="preserve">NHS England regional teams will work in partnership with systems to set stretching improvement targets based on the best available data and insight. In most areas this will include deprived communities, minority racial and ethnic groups, inclusion health groups such as people who experience homelessness and Gypsy, Roma and Traveller communities, and those not registered with healthcare providers. </w:t>
      </w:r>
      <w:r w:rsidR="00165FC0" w:rsidRPr="00496A09">
        <w:t xml:space="preserve">The </w:t>
      </w:r>
      <w:r w:rsidR="00F43605" w:rsidRPr="00496A09">
        <w:t xml:space="preserve">vaccination </w:t>
      </w:r>
      <w:r w:rsidR="00165FC0" w:rsidRPr="00496A09">
        <w:t xml:space="preserve">outcomes framework will therefore help </w:t>
      </w:r>
      <w:r w:rsidRPr="00496A09">
        <w:t xml:space="preserve">ensure that </w:t>
      </w:r>
      <w:r w:rsidR="00233B01" w:rsidRPr="00496A09">
        <w:t xml:space="preserve">disparities </w:t>
      </w:r>
      <w:r w:rsidRPr="00496A09">
        <w:t>in uptake are not masked by headline figures and recognise performance improvements for communities in which uptake and coverage is below expectations.</w:t>
      </w:r>
    </w:p>
    <w:p w14:paraId="6556C76C" w14:textId="79C58442" w:rsidR="000D4DB0" w:rsidRPr="00496A09" w:rsidRDefault="000D4DB0" w:rsidP="00FD7F9A">
      <w:pPr>
        <w:pStyle w:val="h4numbered"/>
        <w:spacing w:after="180" w:line="276" w:lineRule="auto"/>
        <w:ind w:left="794" w:right="57"/>
        <w:rPr>
          <w:color w:val="auto"/>
        </w:rPr>
      </w:pPr>
      <w:r w:rsidRPr="00496A09">
        <w:t>NHS England will streamline quality assurance processes across all vaccination programmes. Providers of vaccination services will remain accountable for continuously improving the safety and quality of their services</w:t>
      </w:r>
      <w:r w:rsidR="00717FDC" w:rsidRPr="00496A09">
        <w:t>,</w:t>
      </w:r>
      <w:r w:rsidRPr="00496A09">
        <w:t xml:space="preserve"> including their data recording and timely transfer, and safeguarding high standards of care by creating an environment in which clinical excellence can flourish. As vaccines are licensed medicines, all commissioners should have processes to ensure that their providers meet existing national standards and guidance. </w:t>
      </w:r>
    </w:p>
    <w:p w14:paraId="4D2D5D4A" w14:textId="7B737FF7" w:rsidR="000D4DB0" w:rsidRPr="00496A09" w:rsidRDefault="000D4DB0" w:rsidP="00717FDC">
      <w:pPr>
        <w:spacing w:after="180"/>
        <w:ind w:right="57"/>
        <w:rPr>
          <w:b/>
          <w:bCs/>
        </w:rPr>
      </w:pPr>
      <w:r w:rsidRPr="00496A09">
        <w:rPr>
          <w:b/>
          <w:bCs/>
        </w:rPr>
        <w:t>Commissioning framework</w:t>
      </w:r>
    </w:p>
    <w:p w14:paraId="071240EA" w14:textId="0D6C6534" w:rsidR="000D4DB0" w:rsidRPr="00496A09" w:rsidRDefault="000D4DB0" w:rsidP="00717FDC">
      <w:pPr>
        <w:pStyle w:val="h4numbered"/>
        <w:spacing w:before="180" w:after="180" w:line="276" w:lineRule="auto"/>
        <w:ind w:left="794" w:right="57"/>
        <w:rPr>
          <w:color w:val="auto"/>
        </w:rPr>
      </w:pPr>
      <w:r w:rsidRPr="00496A09">
        <w:t xml:space="preserve">Throughout 2023/24 we </w:t>
      </w:r>
      <w:r w:rsidR="00C95D0B" w:rsidRPr="00496A09">
        <w:t>are considering</w:t>
      </w:r>
      <w:r w:rsidRPr="00496A09">
        <w:t>, and seek</w:t>
      </w:r>
      <w:r w:rsidR="00407E0A" w:rsidRPr="00496A09">
        <w:t>ing</w:t>
      </w:r>
      <w:r w:rsidRPr="00496A09">
        <w:t xml:space="preserve"> stakeholder views on, the best national and local contracting arrangements to support flexibility and collaboration. We will also explore with government partners whether and how we can maintain and extend the ability of primary care organisations to collaborate within a PCN, which has been invaluable in deploying COVID-19 vaccination. </w:t>
      </w:r>
    </w:p>
    <w:p w14:paraId="625111AB" w14:textId="6FC25CEB" w:rsidR="000D4DB0" w:rsidRPr="00496A09" w:rsidRDefault="00CD1036" w:rsidP="00FD7F9A">
      <w:pPr>
        <w:pStyle w:val="h4numbered"/>
        <w:spacing w:before="0" w:after="180" w:line="276" w:lineRule="auto"/>
        <w:ind w:left="794"/>
        <w:rPr>
          <w:color w:val="auto"/>
        </w:rPr>
      </w:pPr>
      <w:r w:rsidRPr="00496A09">
        <w:rPr>
          <w:color w:val="auto"/>
        </w:rPr>
        <w:t xml:space="preserve">ICBs will be required to arrange for the commissioning of new or changed services, where recommended by JCVI and where NHS England is assured of the affordability of doing so within available funding from government. This will include planning the operational deployment of vaccines in the pipeline to the eligible population. The strategic direction for vaccination set out in this document will also be relevant to these JCVI-recommended future changes to the vaccination schedule. </w:t>
      </w:r>
    </w:p>
    <w:p w14:paraId="576CA626" w14:textId="6246B78C" w:rsidR="006D3D76" w:rsidRPr="00496A09" w:rsidRDefault="00CD1036" w:rsidP="00FD7F9A">
      <w:pPr>
        <w:pStyle w:val="h4numbered"/>
        <w:spacing w:before="0" w:after="180" w:line="276" w:lineRule="auto"/>
        <w:ind w:left="794"/>
        <w:rPr>
          <w:color w:val="auto"/>
        </w:rPr>
      </w:pPr>
      <w:r w:rsidRPr="00496A09">
        <w:rPr>
          <w:color w:val="auto"/>
        </w:rPr>
        <w:t>We will develop materials to support the commissioning and contracting changes that underpin the proposals in this strategy</w:t>
      </w:r>
      <w:r w:rsidR="00F30509" w:rsidRPr="00496A09">
        <w:rPr>
          <w:color w:val="auto"/>
        </w:rPr>
        <w:t>.</w:t>
      </w:r>
    </w:p>
    <w:p w14:paraId="53EE55B5" w14:textId="7FB3AB1C" w:rsidR="000D4DB0" w:rsidRPr="00496A09" w:rsidRDefault="000D4DB0" w:rsidP="00FD7F9A">
      <w:pPr>
        <w:pStyle w:val="h4numbered"/>
        <w:spacing w:before="0" w:after="180" w:line="276" w:lineRule="auto"/>
        <w:ind w:left="794"/>
        <w:rPr>
          <w:color w:val="auto"/>
        </w:rPr>
      </w:pPr>
      <w:r w:rsidRPr="00496A09">
        <w:t>These materials will:</w:t>
      </w:r>
    </w:p>
    <w:p w14:paraId="795AECDF" w14:textId="4FA15783" w:rsidR="000D4DB0" w:rsidRPr="00496A09" w:rsidRDefault="000D4DB0" w:rsidP="001363A8">
      <w:pPr>
        <w:pStyle w:val="ListParagraph"/>
        <w:numPr>
          <w:ilvl w:val="0"/>
          <w:numId w:val="16"/>
        </w:numPr>
        <w:spacing w:after="120" w:line="276" w:lineRule="auto"/>
        <w:ind w:left="1418" w:hanging="284"/>
        <w:textboxTightWrap w:val="none"/>
      </w:pPr>
      <w:r w:rsidRPr="00496A09">
        <w:t>Support systems to commission a vaccination delivery network, which may be discharged through a number of providers either separately or through a lead provider, covering life-course</w:t>
      </w:r>
      <w:r w:rsidR="00C71EA1" w:rsidRPr="00496A09">
        <w:t xml:space="preserve"> and</w:t>
      </w:r>
      <w:r w:rsidRPr="00496A09">
        <w:t xml:space="preserve"> seasonal vaccinations and outbreak response.</w:t>
      </w:r>
    </w:p>
    <w:p w14:paraId="303E2B56" w14:textId="77777777" w:rsidR="000D4DB0" w:rsidRPr="00496A09" w:rsidRDefault="000D4DB0" w:rsidP="002129E6">
      <w:pPr>
        <w:pStyle w:val="ListParagraph"/>
        <w:numPr>
          <w:ilvl w:val="0"/>
          <w:numId w:val="16"/>
        </w:numPr>
        <w:spacing w:after="120" w:line="276" w:lineRule="auto"/>
        <w:ind w:left="1418" w:hanging="284"/>
        <w:textboxTightWrap w:val="none"/>
      </w:pPr>
      <w:r w:rsidRPr="00496A09">
        <w:t>Highlight that the integration of vaccination services (across different vaccination types as well as with other services) is more important than organisational form.</w:t>
      </w:r>
    </w:p>
    <w:p w14:paraId="5C1153B0" w14:textId="77777777" w:rsidR="000D4DB0" w:rsidRPr="00496A09" w:rsidRDefault="000D4DB0" w:rsidP="001363A8">
      <w:pPr>
        <w:pStyle w:val="ListParagraph"/>
        <w:numPr>
          <w:ilvl w:val="0"/>
          <w:numId w:val="16"/>
        </w:numPr>
        <w:spacing w:after="120" w:line="276" w:lineRule="auto"/>
        <w:ind w:left="1418" w:hanging="284"/>
        <w:textboxTightWrap w:val="none"/>
      </w:pPr>
      <w:r w:rsidRPr="00496A09">
        <w:t>Aim to maximise collaboration across providers, within relevant procurement regulations.</w:t>
      </w:r>
    </w:p>
    <w:p w14:paraId="1FC471CA" w14:textId="77777777" w:rsidR="000D4DB0" w:rsidRPr="00496A09" w:rsidRDefault="000D4DB0" w:rsidP="001363A8">
      <w:pPr>
        <w:pStyle w:val="ListParagraph"/>
        <w:numPr>
          <w:ilvl w:val="0"/>
          <w:numId w:val="16"/>
        </w:numPr>
        <w:spacing w:after="120" w:line="276" w:lineRule="auto"/>
        <w:ind w:left="1418" w:hanging="284"/>
        <w:textboxTightWrap w:val="none"/>
      </w:pPr>
      <w:r w:rsidRPr="00496A09">
        <w:t>Streamline, consolidate and improve national service specifications.</w:t>
      </w:r>
    </w:p>
    <w:p w14:paraId="4E4E069B" w14:textId="77777777" w:rsidR="000D4DB0" w:rsidRPr="00496A09" w:rsidRDefault="000D4DB0" w:rsidP="002129E6">
      <w:pPr>
        <w:pStyle w:val="ListParagraph"/>
        <w:numPr>
          <w:ilvl w:val="0"/>
          <w:numId w:val="16"/>
        </w:numPr>
        <w:spacing w:after="280" w:line="276" w:lineRule="auto"/>
        <w:ind w:left="1418" w:hanging="284"/>
        <w:textboxTightWrap w:val="none"/>
      </w:pPr>
      <w:r w:rsidRPr="00496A09">
        <w:t xml:space="preserve">Include a suite of templates and </w:t>
      </w:r>
      <w:r w:rsidRPr="00496A09" w:rsidDel="00F01174">
        <w:t>r</w:t>
      </w:r>
      <w:r w:rsidRPr="00496A09">
        <w:t xml:space="preserve">esources to support local commissioning of vaccination services, including guidance on a range of provider models, building on learning from the </w:t>
      </w:r>
      <w:hyperlink r:id="rId31" w:history="1">
        <w:r w:rsidRPr="00496A09">
          <w:rPr>
            <w:rStyle w:val="Hyperlink"/>
          </w:rPr>
          <w:t>provider collaborative innovators scheme</w:t>
        </w:r>
      </w:hyperlink>
      <w:r w:rsidRPr="00496A09">
        <w:t>.</w:t>
      </w:r>
    </w:p>
    <w:p w14:paraId="7E2B04FE" w14:textId="5DFD46E8" w:rsidR="000D4DB0" w:rsidRPr="00496A09" w:rsidRDefault="000D4DB0" w:rsidP="002129E6">
      <w:pPr>
        <w:spacing w:after="180"/>
        <w:ind w:right="57"/>
        <w:rPr>
          <w:color w:val="auto"/>
        </w:rPr>
      </w:pPr>
      <w:r w:rsidRPr="00496A09">
        <w:rPr>
          <w:b/>
          <w:bCs/>
        </w:rPr>
        <w:t>Financial framework</w:t>
      </w:r>
    </w:p>
    <w:p w14:paraId="604FDC46" w14:textId="3F325FAF" w:rsidR="000D4DB0" w:rsidRPr="00496A09" w:rsidRDefault="000D4DB0" w:rsidP="00FD7F9A">
      <w:pPr>
        <w:pStyle w:val="h4numbered"/>
        <w:spacing w:after="180" w:line="276" w:lineRule="auto"/>
        <w:ind w:left="794" w:right="57"/>
        <w:rPr>
          <w:color w:val="auto"/>
        </w:rPr>
      </w:pPr>
      <w:r w:rsidRPr="00496A09">
        <w:t xml:space="preserve">We heard that a consistent national financial framework is valued. We also heard that the way current primary care incentive schemes for vaccination are structured may not maximise our opportunities to address </w:t>
      </w:r>
      <w:r w:rsidR="00233B01" w:rsidRPr="00496A09">
        <w:t xml:space="preserve">disparity </w:t>
      </w:r>
      <w:r w:rsidRPr="00496A09">
        <w:t xml:space="preserve">in uptake. </w:t>
      </w:r>
    </w:p>
    <w:p w14:paraId="232B0DC4" w14:textId="0A8D8961" w:rsidR="000D4DB0" w:rsidRPr="00496A09" w:rsidRDefault="000D4DB0" w:rsidP="00FD7F9A">
      <w:pPr>
        <w:pStyle w:val="h4numbered"/>
        <w:spacing w:after="180" w:line="276" w:lineRule="auto"/>
        <w:ind w:left="794" w:right="57"/>
      </w:pPr>
      <w:r w:rsidRPr="00496A09">
        <w:t xml:space="preserve">We heard that funding for outreach was used during the COVID-19 pandemic to support underserved groups and address </w:t>
      </w:r>
      <w:r w:rsidR="00233B01" w:rsidRPr="00496A09">
        <w:t xml:space="preserve">disparity </w:t>
      </w:r>
      <w:r w:rsidRPr="00496A09">
        <w:t>in uptake, but that it is more expensive per dose administered than high throughput approaches, which can miss underserved communities. We heard support for the extension of similar approaches to other vaccinations.</w:t>
      </w:r>
    </w:p>
    <w:p w14:paraId="50D7E001" w14:textId="2CF5F558" w:rsidR="000D4DB0" w:rsidRPr="00496A09" w:rsidRDefault="000D4DB0" w:rsidP="00FD7F9A">
      <w:pPr>
        <w:pStyle w:val="h4numbered"/>
        <w:spacing w:after="180" w:line="276" w:lineRule="auto"/>
        <w:ind w:left="794"/>
      </w:pPr>
      <w:r w:rsidRPr="00496A09">
        <w:t>During 2023/24 we are therefore considering how we can maintain a consistent national financial framework and national item of service fee, whil</w:t>
      </w:r>
      <w:r w:rsidR="00AE3EAD" w:rsidRPr="00496A09">
        <w:t>e</w:t>
      </w:r>
      <w:r w:rsidRPr="00496A09">
        <w:t xml:space="preserve"> giving systems greater flexibility over how they direct their resources. This is in line with the Fuller Stocktake recommendation to amalgamate existing primary care funding where possible and maximise system decision-making on discretionary investment. The aim is to rebalance funding to increase uptake in underserved populations and tackle </w:t>
      </w:r>
      <w:r w:rsidR="00053C54" w:rsidRPr="00496A09">
        <w:t xml:space="preserve">wider </w:t>
      </w:r>
      <w:r w:rsidRPr="00496A09">
        <w:t xml:space="preserve">health inequalities. </w:t>
      </w:r>
    </w:p>
    <w:p w14:paraId="55538C15" w14:textId="483B3880" w:rsidR="000D4DB0" w:rsidRPr="00496A09" w:rsidRDefault="000D4DB0" w:rsidP="00FD7F9A">
      <w:pPr>
        <w:pStyle w:val="h4numbered"/>
        <w:keepNext w:val="0"/>
        <w:widowControl w:val="0"/>
        <w:spacing w:after="180" w:line="276" w:lineRule="auto"/>
        <w:ind w:left="794" w:right="57"/>
        <w:rPr>
          <w:color w:val="auto"/>
        </w:rPr>
      </w:pPr>
      <w:r w:rsidRPr="00496A09">
        <w:t xml:space="preserve">We will work with stakeholders to explore whether, how and over what timescale we could implement a more streamlined, population-based, ICB-level allocation for vaccination to support ICBs in their delegated commissioning responsibilities as set out in section 4.1 (Table 2). </w:t>
      </w:r>
    </w:p>
    <w:p w14:paraId="0131D6D4" w14:textId="22F35879" w:rsidR="000D4DB0" w:rsidRPr="00496A09" w:rsidRDefault="000D4DB0" w:rsidP="00FD7F9A">
      <w:pPr>
        <w:pStyle w:val="h4numbered"/>
        <w:spacing w:after="180" w:line="276" w:lineRule="auto"/>
        <w:ind w:left="794"/>
        <w:rPr>
          <w:color w:val="auto"/>
        </w:rPr>
      </w:pPr>
      <w:r w:rsidRPr="00496A09">
        <w:t>We will consider, with our partners, how to:</w:t>
      </w:r>
    </w:p>
    <w:p w14:paraId="767BD0DF" w14:textId="179FB1E6" w:rsidR="000D4DB0" w:rsidRPr="00496A09" w:rsidRDefault="000D4DB0" w:rsidP="001363A8">
      <w:pPr>
        <w:pStyle w:val="ListParagraph"/>
        <w:numPr>
          <w:ilvl w:val="0"/>
          <w:numId w:val="17"/>
        </w:numPr>
        <w:spacing w:after="120" w:line="276" w:lineRule="auto"/>
        <w:ind w:left="1418" w:hanging="284"/>
        <w:textboxTightWrap w:val="none"/>
      </w:pPr>
      <w:r w:rsidRPr="00496A09">
        <w:t xml:space="preserve">Enable, encourage, and promote joint funding arrangements between the NHS and local government, </w:t>
      </w:r>
      <w:r w:rsidR="004D1B4E" w:rsidRPr="00496A09">
        <w:t>e.g.,</w:t>
      </w:r>
      <w:r w:rsidRPr="00496A09">
        <w:t xml:space="preserve"> through s75 agreements, to support joint working and investment in vaccination as a public health intervention. This would also support the creation of health and wellbeing hub type models, that can act as a delivery vehicle for a range of services </w:t>
      </w:r>
      <w:r w:rsidR="00911F30" w:rsidRPr="00496A09">
        <w:t xml:space="preserve">with </w:t>
      </w:r>
      <w:r w:rsidRPr="00496A09">
        <w:t>different commissioning arrangements.</w:t>
      </w:r>
    </w:p>
    <w:p w14:paraId="0708E3FD" w14:textId="77777777" w:rsidR="000D4DB0" w:rsidRPr="00496A09" w:rsidRDefault="000D4DB0" w:rsidP="001363A8">
      <w:pPr>
        <w:pStyle w:val="ListParagraph"/>
        <w:numPr>
          <w:ilvl w:val="0"/>
          <w:numId w:val="17"/>
        </w:numPr>
        <w:spacing w:after="120" w:line="276" w:lineRule="auto"/>
        <w:ind w:left="1418" w:hanging="284"/>
        <w:textboxTightWrap w:val="none"/>
      </w:pPr>
      <w:r w:rsidRPr="00496A09">
        <w:t>Make vaccination delivery as efficient as possible, including through more co-administration of vaccines, so that more resources can be targeted at underserved populations.</w:t>
      </w:r>
    </w:p>
    <w:p w14:paraId="7B1F26D1" w14:textId="77777777" w:rsidR="000D4DB0" w:rsidRPr="00496A09" w:rsidRDefault="000D4DB0" w:rsidP="001363A8">
      <w:pPr>
        <w:pStyle w:val="ListParagraph"/>
        <w:numPr>
          <w:ilvl w:val="0"/>
          <w:numId w:val="17"/>
        </w:numPr>
        <w:spacing w:after="120" w:line="276" w:lineRule="auto"/>
        <w:ind w:left="1418" w:hanging="284"/>
        <w:textboxTightWrap w:val="none"/>
      </w:pPr>
      <w:r w:rsidRPr="00496A09">
        <w:t xml:space="preserve">Address workforce costs with the most efficient use of both the registered and non-registered workforce, among other innovations. </w:t>
      </w:r>
    </w:p>
    <w:p w14:paraId="75210BD2" w14:textId="46F6DF52" w:rsidR="000D4DB0" w:rsidRPr="00496A09" w:rsidRDefault="000D4DB0" w:rsidP="001363A8">
      <w:pPr>
        <w:pStyle w:val="ListParagraph"/>
        <w:numPr>
          <w:ilvl w:val="0"/>
          <w:numId w:val="17"/>
        </w:numPr>
        <w:spacing w:after="120" w:line="276" w:lineRule="auto"/>
        <w:ind w:left="1418" w:hanging="284"/>
        <w:textboxTightWrap w:val="none"/>
      </w:pPr>
      <w:r w:rsidRPr="00496A09">
        <w:t xml:space="preserve">Reduce overall running </w:t>
      </w:r>
      <w:r w:rsidR="004D1B4E" w:rsidRPr="00496A09">
        <w:t>costs,</w:t>
      </w:r>
      <w:r w:rsidRPr="00496A09">
        <w:t xml:space="preserve"> for example</w:t>
      </w:r>
      <w:r w:rsidR="002129E6" w:rsidRPr="00496A09">
        <w:t>,</w:t>
      </w:r>
      <w:r w:rsidRPr="00496A09">
        <w:t xml:space="preserve"> by:</w:t>
      </w:r>
    </w:p>
    <w:p w14:paraId="0FCF66B6" w14:textId="320BE8CD" w:rsidR="000D4DB0" w:rsidRPr="00496A09" w:rsidRDefault="000D4DB0" w:rsidP="00FD7F9A">
      <w:pPr>
        <w:numPr>
          <w:ilvl w:val="3"/>
          <w:numId w:val="29"/>
        </w:numPr>
        <w:spacing w:after="120" w:line="276" w:lineRule="auto"/>
        <w:ind w:left="2127" w:hanging="284"/>
        <w:textboxTightWrap w:val="none"/>
      </w:pPr>
      <w:r w:rsidRPr="00496A09">
        <w:t>simplifying and streamlining payment processes to free up provider and commissioner capacity and enable maximum automation</w:t>
      </w:r>
    </w:p>
    <w:p w14:paraId="0A599D2B" w14:textId="5DB1F85E" w:rsidR="000D4DB0" w:rsidRPr="00496A09" w:rsidRDefault="000D4DB0" w:rsidP="001363A8">
      <w:pPr>
        <w:numPr>
          <w:ilvl w:val="3"/>
          <w:numId w:val="29"/>
        </w:numPr>
        <w:spacing w:after="180" w:line="240" w:lineRule="auto"/>
        <w:ind w:left="2127" w:hanging="284"/>
        <w:textboxTightWrap w:val="none"/>
      </w:pPr>
      <w:r w:rsidRPr="00496A09">
        <w:t>evolving national supply chains (see section 4.5).</w:t>
      </w:r>
    </w:p>
    <w:p w14:paraId="37186C1D" w14:textId="0475EB04" w:rsidR="000D4DB0" w:rsidRPr="00496A09" w:rsidRDefault="000D4DB0" w:rsidP="00611159">
      <w:pPr>
        <w:pStyle w:val="h4numbered"/>
        <w:spacing w:after="180" w:line="276" w:lineRule="auto"/>
        <w:ind w:left="851" w:right="57"/>
        <w:rPr>
          <w:color w:val="auto"/>
        </w:rPr>
      </w:pPr>
      <w:r w:rsidRPr="00496A09">
        <w:t>Given the cost-effectiveness of vaccination as a public health intervention, ICSs should consider how their wider public health allocation and other funding streams could support increased uptake in areas where it is needed most</w:t>
      </w:r>
      <w:r w:rsidR="002129E6" w:rsidRPr="00496A09">
        <w:t>;</w:t>
      </w:r>
      <w:r w:rsidRPr="00496A09">
        <w:t xml:space="preserve"> for example</w:t>
      </w:r>
      <w:r w:rsidR="002129E6" w:rsidRPr="00496A09">
        <w:t>,</w:t>
      </w:r>
      <w:r w:rsidRPr="00496A09">
        <w:t xml:space="preserve"> where there is low MMR uptake. Given the significant benefits of increasing uptake and coverage, ICBs will want to consider how to mobilise their resources towards vaccination in the fulfilment of their health inequalities duties.</w:t>
      </w:r>
    </w:p>
    <w:p w14:paraId="5AE033DB" w14:textId="426CA6C9" w:rsidR="000D4DB0" w:rsidRPr="00496A09" w:rsidRDefault="000D4DB0" w:rsidP="00611159">
      <w:pPr>
        <w:pStyle w:val="h4numbered"/>
        <w:spacing w:after="180" w:line="276" w:lineRule="auto"/>
        <w:ind w:left="851" w:right="57" w:hanging="851"/>
      </w:pPr>
      <w:r w:rsidRPr="00496A09">
        <w:t xml:space="preserve">We will engage with stakeholders and service users to discuss any changes and engage on any changes to contracts with professional and representative bodies in the usual way.  </w:t>
      </w:r>
    </w:p>
    <w:p w14:paraId="32EBD4E1" w14:textId="37B0D30B" w:rsidR="000D4DB0" w:rsidRPr="00496A09" w:rsidRDefault="000D4DB0" w:rsidP="00611159">
      <w:pPr>
        <w:pStyle w:val="h4numbered"/>
        <w:spacing w:after="180" w:line="276" w:lineRule="auto"/>
        <w:ind w:left="851" w:right="57"/>
        <w:rPr>
          <w:color w:val="005EB8" w:themeColor="text2"/>
          <w:sz w:val="36"/>
          <w:szCs w:val="36"/>
        </w:rPr>
      </w:pPr>
      <w:r w:rsidRPr="00496A09">
        <w:t>Alongside these commitments, we will need to consider how we distribute funding effectively across the country to support equitable uptake.</w:t>
      </w:r>
    </w:p>
    <w:p w14:paraId="1C527882" w14:textId="159D1E99" w:rsidR="000D4DB0" w:rsidRPr="00496A09" w:rsidRDefault="000D4DB0" w:rsidP="002129E6">
      <w:pPr>
        <w:pStyle w:val="h3numbered"/>
        <w:spacing w:after="180"/>
        <w:rPr>
          <w:color w:val="005EB8" w:themeColor="text2"/>
        </w:rPr>
      </w:pPr>
      <w:bookmarkStart w:id="65" w:name="_Toc153264067"/>
      <w:r w:rsidRPr="00496A09">
        <w:t>A diverse, integrated, flexible and skilled vaccination workforce</w:t>
      </w:r>
      <w:bookmarkEnd w:id="65"/>
    </w:p>
    <w:p w14:paraId="21F838D2" w14:textId="08A76944" w:rsidR="000D4DB0" w:rsidRPr="00496A09" w:rsidRDefault="000D4DB0" w:rsidP="00FA7E7E">
      <w:pPr>
        <w:pStyle w:val="h4numbered"/>
        <w:keepNext w:val="0"/>
        <w:spacing w:before="180" w:after="180" w:line="276" w:lineRule="auto"/>
        <w:ind w:left="794" w:right="57"/>
        <w:rPr>
          <w:color w:val="auto"/>
        </w:rPr>
      </w:pPr>
      <w:r w:rsidRPr="00496A09">
        <w:t xml:space="preserve">The successful delivery of the NHS COVID-19 and other vaccination programmes is down to the enormous efforts of NHS and other care staff, working alongside tens of thousands of volunteers. Local systems now have an opportunity to build on this to create an integrated, flexible, skilled, sustainable vaccination workforce that is fit for the future, and plays </w:t>
      </w:r>
      <w:r w:rsidR="00043971" w:rsidRPr="00496A09">
        <w:t>their</w:t>
      </w:r>
      <w:r w:rsidRPr="00496A09">
        <w:t xml:space="preserve"> part in identifying, recruiting and retaining new and diverse talent into the NHS, as set out in the</w:t>
      </w:r>
      <w:r w:rsidR="00A84D7E" w:rsidRPr="00496A09">
        <w:t xml:space="preserve"> </w:t>
      </w:r>
      <w:hyperlink r:id="rId32" w:history="1">
        <w:r w:rsidRPr="00496A09">
          <w:rPr>
            <w:rStyle w:val="Hyperlink"/>
          </w:rPr>
          <w:t>NHS Long Term Workforce Plan</w:t>
        </w:r>
      </w:hyperlink>
      <w:r w:rsidRPr="00496A09">
        <w:t>.</w:t>
      </w:r>
    </w:p>
    <w:p w14:paraId="3F43B752" w14:textId="0D3AEF51" w:rsidR="000D4DB0" w:rsidRPr="00496A09" w:rsidRDefault="000D4DB0" w:rsidP="006842AD">
      <w:pPr>
        <w:pStyle w:val="h4numbered"/>
        <w:spacing w:before="180" w:after="180" w:line="276" w:lineRule="auto"/>
        <w:ind w:left="794"/>
        <w:rPr>
          <w:color w:val="auto"/>
        </w:rPr>
      </w:pPr>
      <w:r w:rsidRPr="00496A09">
        <w:t xml:space="preserve">The vaccination workforce should be: </w:t>
      </w:r>
    </w:p>
    <w:p w14:paraId="23DCA7C5" w14:textId="04FE8EBF" w:rsidR="000D4DB0" w:rsidRPr="00496A09" w:rsidRDefault="000D4DB0" w:rsidP="002129E6">
      <w:pPr>
        <w:pStyle w:val="ListParagraph"/>
        <w:numPr>
          <w:ilvl w:val="0"/>
          <w:numId w:val="18"/>
        </w:numPr>
        <w:spacing w:after="120" w:line="276" w:lineRule="auto"/>
        <w:ind w:left="1418" w:hanging="284"/>
        <w:textboxTightWrap w:val="none"/>
      </w:pPr>
      <w:r w:rsidRPr="00496A09">
        <w:t>able to develop and retain staff from entry level through to skilled professionals</w:t>
      </w:r>
      <w:r w:rsidR="002129E6" w:rsidRPr="00496A09">
        <w:t>,</w:t>
      </w:r>
      <w:r w:rsidRPr="00496A09">
        <w:t xml:space="preserve"> through training and development opportunities and a fulfilling career pathway</w:t>
      </w:r>
    </w:p>
    <w:p w14:paraId="631D0861" w14:textId="77777777" w:rsidR="000D4DB0" w:rsidRPr="00496A09" w:rsidRDefault="000D4DB0" w:rsidP="002129E6">
      <w:pPr>
        <w:pStyle w:val="ListParagraph"/>
        <w:numPr>
          <w:ilvl w:val="0"/>
          <w:numId w:val="18"/>
        </w:numPr>
        <w:spacing w:after="120" w:line="276" w:lineRule="auto"/>
        <w:ind w:left="1418" w:hanging="284"/>
        <w:textboxTightWrap w:val="none"/>
      </w:pPr>
      <w:r w:rsidRPr="00496A09">
        <w:t>trained and competent in a range of vaccinations</w:t>
      </w:r>
    </w:p>
    <w:p w14:paraId="6BD76CF1" w14:textId="77777777" w:rsidR="000D4DB0" w:rsidRPr="00496A09" w:rsidRDefault="000D4DB0" w:rsidP="002129E6">
      <w:pPr>
        <w:pStyle w:val="ListParagraph"/>
        <w:numPr>
          <w:ilvl w:val="0"/>
          <w:numId w:val="18"/>
        </w:numPr>
        <w:spacing w:after="120" w:line="276" w:lineRule="auto"/>
        <w:ind w:left="1418" w:hanging="284"/>
        <w:textboxTightWrap w:val="none"/>
      </w:pPr>
      <w:r w:rsidRPr="00496A09">
        <w:t>part of wider prevention activity, delivering a range of interventions both alongside vaccinations and when not vaccinating</w:t>
      </w:r>
    </w:p>
    <w:p w14:paraId="427B557B" w14:textId="0584D9FA" w:rsidR="000D4DB0" w:rsidRPr="00496A09" w:rsidRDefault="000D4DB0" w:rsidP="00611159">
      <w:pPr>
        <w:pStyle w:val="ListParagraph"/>
        <w:numPr>
          <w:ilvl w:val="0"/>
          <w:numId w:val="18"/>
        </w:numPr>
        <w:spacing w:after="120" w:line="276" w:lineRule="auto"/>
        <w:ind w:left="1418" w:hanging="284"/>
        <w:textboxTightWrap w:val="none"/>
        <w:rPr>
          <w:strike/>
        </w:rPr>
      </w:pPr>
      <w:r w:rsidRPr="00496A09">
        <w:t>efficient, enabling the widest staff group to participate in vaccination, including trained, unregistered healthcare support workers and volunteers where appropriate</w:t>
      </w:r>
      <w:r w:rsidR="00DD6AC2" w:rsidRPr="00496A09">
        <w:t xml:space="preserve"> in line with the reform ambitions of the </w:t>
      </w:r>
      <w:r w:rsidR="009663D5" w:rsidRPr="00496A09">
        <w:t>NHS Long Term Workforce Plan</w:t>
      </w:r>
    </w:p>
    <w:p w14:paraId="108B3A4F" w14:textId="67969D84" w:rsidR="000D4DB0" w:rsidRPr="00496A09" w:rsidRDefault="000D4DB0" w:rsidP="00611159">
      <w:pPr>
        <w:pStyle w:val="ListParagraph"/>
        <w:numPr>
          <w:ilvl w:val="0"/>
          <w:numId w:val="18"/>
        </w:numPr>
        <w:spacing w:line="276" w:lineRule="auto"/>
        <w:ind w:left="1418" w:hanging="284"/>
        <w:textboxTightWrap w:val="none"/>
      </w:pPr>
      <w:r w:rsidRPr="00496A09">
        <w:t>able to respond quickly to outbreaks and surge requirements, including the use of NHS reservists skilled in vaccination.</w:t>
      </w:r>
    </w:p>
    <w:p w14:paraId="458DE8A3" w14:textId="31C7C937" w:rsidR="000D4DB0" w:rsidRPr="00496A09" w:rsidRDefault="000D4DB0" w:rsidP="006842AD">
      <w:pPr>
        <w:pStyle w:val="h4numbered"/>
        <w:spacing w:after="280" w:line="276" w:lineRule="auto"/>
        <w:ind w:left="794"/>
        <w:rPr>
          <w:color w:val="auto"/>
        </w:rPr>
      </w:pPr>
      <w:r w:rsidRPr="00496A09">
        <w:rPr>
          <w:color w:val="auto"/>
        </w:rPr>
        <w:t>Importantly, the vaccination workforce should be pa</w:t>
      </w:r>
      <w:r w:rsidRPr="00496A09">
        <w:t xml:space="preserve">rt of an integrated, multidisciplinary team at neighbourhood level that reflects the diverse </w:t>
      </w:r>
      <w:r w:rsidR="00E314F1" w:rsidRPr="00496A09">
        <w:t>communities they</w:t>
      </w:r>
      <w:r w:rsidR="00403255" w:rsidRPr="00496A09">
        <w:t xml:space="preserve"> </w:t>
      </w:r>
      <w:r w:rsidRPr="00496A09">
        <w:t xml:space="preserve">serve, and work flexibly across different settings, core and outreach provision, and different vaccination types.  </w:t>
      </w:r>
    </w:p>
    <w:p w14:paraId="793E5919" w14:textId="7A6605B8" w:rsidR="000D4DB0" w:rsidRPr="00496A09" w:rsidRDefault="000D4DB0" w:rsidP="00611159">
      <w:pPr>
        <w:spacing w:after="180" w:line="276" w:lineRule="auto"/>
        <w:ind w:right="57"/>
      </w:pPr>
      <w:r w:rsidRPr="00496A09">
        <w:rPr>
          <w:b/>
          <w:bCs/>
        </w:rPr>
        <w:t>Skill mix within the vaccination integrated team</w:t>
      </w:r>
    </w:p>
    <w:p w14:paraId="0DE7FDFE" w14:textId="7171133D" w:rsidR="000D4DB0" w:rsidRPr="00496A09" w:rsidRDefault="000D4DB0" w:rsidP="006842AD">
      <w:pPr>
        <w:pStyle w:val="h4numbered"/>
        <w:spacing w:after="180" w:line="276" w:lineRule="auto"/>
        <w:ind w:left="794" w:right="57"/>
      </w:pPr>
      <w:r w:rsidRPr="00496A09">
        <w:t>Systems will agree the optimal skill mix for vaccination within the integrated team. This will include:</w:t>
      </w:r>
    </w:p>
    <w:p w14:paraId="1807B811" w14:textId="7395865C" w:rsidR="000D4DB0" w:rsidRPr="00496A09" w:rsidRDefault="000D4DB0" w:rsidP="00611159">
      <w:pPr>
        <w:pStyle w:val="ListParagraph"/>
        <w:numPr>
          <w:ilvl w:val="0"/>
          <w:numId w:val="19"/>
        </w:numPr>
        <w:spacing w:after="120" w:line="276" w:lineRule="auto"/>
        <w:ind w:left="1491" w:right="57" w:hanging="357"/>
        <w:textboxTightWrap w:val="none"/>
      </w:pPr>
      <w:r w:rsidRPr="00496A09">
        <w:t>Ensuring registered staff are able to focus their skill</w:t>
      </w:r>
      <w:r w:rsidR="002129E6" w:rsidRPr="00496A09">
        <w:t xml:space="preserve"> </w:t>
      </w:r>
      <w:r w:rsidRPr="00496A09">
        <w:t xml:space="preserve">sets most effectively. This could mean, for example, practice nurses delivering vaccinations could offer simultaneous health and wellbeing checks to cohorts who may benefit the most. </w:t>
      </w:r>
    </w:p>
    <w:p w14:paraId="7B2D1FE4" w14:textId="64E27A18" w:rsidR="000D4DB0" w:rsidRPr="00496A09" w:rsidRDefault="000D4DB0" w:rsidP="00611159">
      <w:pPr>
        <w:pStyle w:val="ListParagraph"/>
        <w:numPr>
          <w:ilvl w:val="0"/>
          <w:numId w:val="19"/>
        </w:numPr>
        <w:spacing w:after="120" w:line="276" w:lineRule="auto"/>
        <w:ind w:left="1491" w:right="57" w:hanging="357"/>
        <w:textboxTightWrap w:val="none"/>
      </w:pPr>
      <w:r w:rsidRPr="00496A09">
        <w:t xml:space="preserve">Making best use of unregistered staff and underpinning legal mechanisms, ensuring appropriate clinical supervision </w:t>
      </w:r>
      <w:r w:rsidR="001727A0" w:rsidRPr="00496A09">
        <w:t>is</w:t>
      </w:r>
      <w:r w:rsidRPr="00496A09">
        <w:t xml:space="preserve"> in place to enable unregistered staff to vaccinate where possible.</w:t>
      </w:r>
    </w:p>
    <w:p w14:paraId="0D2D651E" w14:textId="77777777" w:rsidR="000D4DB0" w:rsidRPr="00496A09" w:rsidRDefault="000D4DB0" w:rsidP="00611159">
      <w:pPr>
        <w:pStyle w:val="ListParagraph"/>
        <w:numPr>
          <w:ilvl w:val="0"/>
          <w:numId w:val="19"/>
        </w:numPr>
        <w:spacing w:after="120" w:line="276" w:lineRule="auto"/>
        <w:ind w:left="1491" w:right="57" w:hanging="357"/>
        <w:textboxTightWrap w:val="none"/>
      </w:pPr>
      <w:r w:rsidRPr="00496A09">
        <w:t>Providing education and training opportunities.</w:t>
      </w:r>
    </w:p>
    <w:p w14:paraId="218CE9F8" w14:textId="552442FE" w:rsidR="000D4DB0" w:rsidRPr="00496A09" w:rsidRDefault="000D4DB0" w:rsidP="00611159">
      <w:pPr>
        <w:pStyle w:val="ListParagraph"/>
        <w:numPr>
          <w:ilvl w:val="0"/>
          <w:numId w:val="19"/>
        </w:numPr>
        <w:spacing w:after="120" w:line="276" w:lineRule="auto"/>
        <w:ind w:left="1491" w:right="57" w:hanging="357"/>
        <w:textboxTightWrap w:val="none"/>
      </w:pPr>
      <w:r w:rsidRPr="00496A09">
        <w:t xml:space="preserve">Ensuring appropriate links with vaccination professionals such as </w:t>
      </w:r>
      <w:r w:rsidR="001727A0" w:rsidRPr="00496A09">
        <w:t>screening and immunisation lea</w:t>
      </w:r>
      <w:r w:rsidRPr="00496A09">
        <w:t>ds</w:t>
      </w:r>
      <w:r w:rsidR="00611159" w:rsidRPr="00496A09">
        <w:t>.</w:t>
      </w:r>
    </w:p>
    <w:p w14:paraId="19EC3E52" w14:textId="0F7D37CA" w:rsidR="000D4DB0" w:rsidRPr="00496A09" w:rsidRDefault="000D4DB0" w:rsidP="006842AD">
      <w:pPr>
        <w:pStyle w:val="h4numbered"/>
        <w:spacing w:after="180" w:line="276" w:lineRule="auto"/>
        <w:ind w:left="794"/>
        <w:rPr>
          <w:color w:val="auto"/>
        </w:rPr>
      </w:pPr>
      <w:r w:rsidRPr="00496A09">
        <w:t>Nationally, we will:</w:t>
      </w:r>
    </w:p>
    <w:p w14:paraId="06CF816B" w14:textId="6B2AFB0A" w:rsidR="00B6647F" w:rsidRPr="00496A09" w:rsidRDefault="00B6647F" w:rsidP="00611159">
      <w:pPr>
        <w:pStyle w:val="ListParagraph"/>
        <w:numPr>
          <w:ilvl w:val="0"/>
          <w:numId w:val="20"/>
        </w:numPr>
        <w:spacing w:after="120" w:line="276" w:lineRule="auto"/>
        <w:ind w:left="1418" w:right="57" w:hanging="284"/>
        <w:textboxTightWrap w:val="none"/>
      </w:pPr>
      <w:r w:rsidRPr="00496A09">
        <w:t>Ensure appropriate legal mechanisms are in place to enable the use of trained, unregistered staff in the delivery of vaccination, where appropriate. This may include the temporary continued use of the national protocol for flu and COVID-19</w:t>
      </w:r>
      <w:r w:rsidR="001727A0" w:rsidRPr="00496A09">
        <w:t>,</w:t>
      </w:r>
      <w:r w:rsidRPr="00496A09">
        <w:t xml:space="preserve"> and exploration of amendments to medicines regulations that would allow vaccination by unregistered staff including, where appropriate, students in the healthcare professions.</w:t>
      </w:r>
    </w:p>
    <w:p w14:paraId="322BF4A6" w14:textId="76564221" w:rsidR="000D4DB0" w:rsidRPr="00496A09" w:rsidRDefault="000D4DB0" w:rsidP="001727A0">
      <w:pPr>
        <w:pStyle w:val="ListParagraph"/>
        <w:numPr>
          <w:ilvl w:val="0"/>
          <w:numId w:val="20"/>
        </w:numPr>
        <w:spacing w:after="280" w:line="276" w:lineRule="auto"/>
        <w:ind w:left="1418" w:right="57" w:hanging="284"/>
        <w:textboxTightWrap w:val="none"/>
      </w:pPr>
      <w:r w:rsidRPr="00496A09">
        <w:t>Collaborate with royal colleges, the General Medical Council, other bodies with an interest in health professional education, and local government to explore increasing the time given to vaccination in the wider training of all health and care staff.</w:t>
      </w:r>
    </w:p>
    <w:p w14:paraId="73CDC201" w14:textId="34A2115A" w:rsidR="000D4DB0" w:rsidRPr="00496A09" w:rsidRDefault="000D4DB0" w:rsidP="001727A0">
      <w:pPr>
        <w:spacing w:after="180" w:line="276" w:lineRule="auto"/>
        <w:ind w:right="57"/>
        <w:rPr>
          <w:color w:val="auto"/>
        </w:rPr>
      </w:pPr>
      <w:r w:rsidRPr="00496A09">
        <w:rPr>
          <w:b/>
          <w:bCs/>
        </w:rPr>
        <w:t xml:space="preserve">A diverse and fulfilled workforce </w:t>
      </w:r>
    </w:p>
    <w:p w14:paraId="75EA25B2" w14:textId="4B88825E" w:rsidR="000D4DB0" w:rsidRPr="00496A09" w:rsidRDefault="000D4DB0" w:rsidP="006842AD">
      <w:pPr>
        <w:pStyle w:val="h4numbered"/>
        <w:spacing w:after="180" w:line="276" w:lineRule="auto"/>
        <w:ind w:left="794" w:right="57"/>
        <w:rPr>
          <w:color w:val="auto"/>
        </w:rPr>
      </w:pPr>
      <w:r w:rsidRPr="00496A09">
        <w:t xml:space="preserve">To fully embed vaccination services into communities and build their confidence and trust in the vaccination event, systems should make every effort to build a diverse vaccination workforce that reflects the communities it serves. </w:t>
      </w:r>
    </w:p>
    <w:p w14:paraId="66E35B04" w14:textId="23B4009E" w:rsidR="000D4DB0" w:rsidRPr="00496A09" w:rsidRDefault="000D4DB0" w:rsidP="006842AD">
      <w:pPr>
        <w:pStyle w:val="h4numbered"/>
        <w:spacing w:after="180" w:line="276" w:lineRule="auto"/>
        <w:ind w:left="794" w:right="57"/>
      </w:pPr>
      <w:r w:rsidRPr="00496A09">
        <w:t>The same principle applies to volunteers who, whil</w:t>
      </w:r>
      <w:r w:rsidR="00AE3EAD" w:rsidRPr="00496A09">
        <w:t>e</w:t>
      </w:r>
      <w:r w:rsidRPr="00496A09">
        <w:t xml:space="preserve"> not directly administering vaccinations, may support vaccination delivery and interact with participants. Systems should determine the local volunteer workforce that effectively complements paid staff, meets population need and forges connections with local communities. </w:t>
      </w:r>
    </w:p>
    <w:p w14:paraId="5A8D0989" w14:textId="35B80A77" w:rsidR="00AE3EAD" w:rsidRPr="00496A09" w:rsidRDefault="000D4DB0" w:rsidP="006842AD">
      <w:pPr>
        <w:pStyle w:val="h4numbered"/>
        <w:spacing w:after="280" w:line="276" w:lineRule="auto"/>
        <w:ind w:left="794" w:right="57"/>
      </w:pPr>
      <w:r w:rsidRPr="00496A09">
        <w:t>Vaccination is an entry point into an NHS career; over 30,000</w:t>
      </w:r>
      <w:r w:rsidRPr="00496A09">
        <w:rPr>
          <w:i/>
          <w:iCs/>
        </w:rPr>
        <w:t xml:space="preserve"> </w:t>
      </w:r>
      <w:r w:rsidRPr="00496A09">
        <w:t xml:space="preserve">salaried staff have been accepted into career and training pathways in the wider NHS having first joined the NHS through the COVID-19 </w:t>
      </w:r>
      <w:r w:rsidR="00C95D0B" w:rsidRPr="00496A09">
        <w:t>volunteers</w:t>
      </w:r>
      <w:r w:rsidRPr="00496A09">
        <w:t xml:space="preserve"> programme. Systems should ensure their workforce planning includes clear opportunities for progression within and beyond the integrated team, to support recruitment and retention, building on the Volunteer Taskforce recommendations</w:t>
      </w:r>
      <w:r w:rsidR="00611159" w:rsidRPr="00496A09">
        <w:t>.</w:t>
      </w:r>
      <w:r w:rsidRPr="00496A09">
        <w:rPr>
          <w:rStyle w:val="FootnoteReference"/>
        </w:rPr>
        <w:footnoteReference w:id="33"/>
      </w:r>
      <w:r w:rsidRPr="00496A09">
        <w:t xml:space="preserve"> </w:t>
      </w:r>
    </w:p>
    <w:p w14:paraId="4C07A732" w14:textId="17134D66" w:rsidR="000D4DB0" w:rsidRPr="00496A09" w:rsidRDefault="000D4DB0" w:rsidP="00611159">
      <w:pPr>
        <w:pStyle w:val="h4numbered"/>
        <w:numPr>
          <w:ilvl w:val="0"/>
          <w:numId w:val="0"/>
        </w:numPr>
        <w:spacing w:line="276" w:lineRule="auto"/>
        <w:ind w:right="57"/>
      </w:pPr>
      <w:r w:rsidRPr="00496A09">
        <w:rPr>
          <w:b/>
          <w:bCs/>
        </w:rPr>
        <w:t>Workforce management</w:t>
      </w:r>
    </w:p>
    <w:p w14:paraId="6621C24D" w14:textId="632F0EBD" w:rsidR="000D4DB0" w:rsidRPr="00496A09" w:rsidRDefault="000D4DB0" w:rsidP="00611159">
      <w:pPr>
        <w:pStyle w:val="h4numbered"/>
        <w:spacing w:after="180" w:line="276" w:lineRule="auto"/>
        <w:ind w:left="794"/>
      </w:pPr>
      <w:r w:rsidRPr="00496A09">
        <w:t>Vaccination delivery via integrated neighbourhood teams requires collaborative working arrangements in each vaccination delivery network. Systems should have the flexibility to design these local arrangements, and the best arrangement may differ from the lead employer model used during the pandemic. The arrangement should deliver:</w:t>
      </w:r>
    </w:p>
    <w:p w14:paraId="382803F3" w14:textId="77777777" w:rsidR="000D4DB0" w:rsidRPr="00496A09" w:rsidRDefault="000D4DB0" w:rsidP="00611159">
      <w:pPr>
        <w:pStyle w:val="ListParagraph"/>
        <w:numPr>
          <w:ilvl w:val="0"/>
          <w:numId w:val="21"/>
        </w:numPr>
        <w:spacing w:after="120" w:line="276" w:lineRule="auto"/>
        <w:ind w:left="1418" w:right="57" w:hanging="284"/>
        <w:textboxTightWrap w:val="none"/>
      </w:pPr>
      <w:r w:rsidRPr="00496A09">
        <w:t>sufficient workforce to meet demand without impacting other NHS services or exacerbating local workforce shortages</w:t>
      </w:r>
    </w:p>
    <w:p w14:paraId="722C6468" w14:textId="77777777" w:rsidR="000D4DB0" w:rsidRPr="00496A09" w:rsidRDefault="000D4DB0" w:rsidP="00FE431A">
      <w:pPr>
        <w:pStyle w:val="ListParagraph"/>
        <w:numPr>
          <w:ilvl w:val="0"/>
          <w:numId w:val="21"/>
        </w:numPr>
        <w:spacing w:before="120" w:after="120" w:line="276" w:lineRule="auto"/>
        <w:ind w:left="1418" w:right="57" w:hanging="284"/>
        <w:textboxTightWrap w:val="none"/>
      </w:pPr>
      <w:r w:rsidRPr="00496A09">
        <w:t xml:space="preserve">integrated working across the system and sharing of workforce between providers </w:t>
      </w:r>
    </w:p>
    <w:p w14:paraId="2C14CF89" w14:textId="77777777" w:rsidR="000D4DB0" w:rsidRPr="00496A09" w:rsidRDefault="000D4DB0" w:rsidP="00611159">
      <w:pPr>
        <w:pStyle w:val="ListParagraph"/>
        <w:numPr>
          <w:ilvl w:val="0"/>
          <w:numId w:val="21"/>
        </w:numPr>
        <w:spacing w:after="120" w:line="276" w:lineRule="auto"/>
        <w:ind w:left="1418" w:right="57" w:hanging="284"/>
        <w:textboxTightWrap w:val="none"/>
      </w:pPr>
      <w:r w:rsidRPr="00496A09">
        <w:t>increased resilience to support outbreaks and surge requirements, including use of NHS reservists</w:t>
      </w:r>
    </w:p>
    <w:p w14:paraId="55C9A8FD" w14:textId="0B060CAE" w:rsidR="0065680F" w:rsidRPr="00496A09" w:rsidRDefault="0065680F" w:rsidP="00611159">
      <w:pPr>
        <w:pStyle w:val="ListParagraph"/>
        <w:numPr>
          <w:ilvl w:val="0"/>
          <w:numId w:val="21"/>
        </w:numPr>
        <w:spacing w:after="120" w:line="276" w:lineRule="auto"/>
        <w:ind w:left="1418" w:right="57" w:hanging="284"/>
        <w:textboxTightWrap w:val="none"/>
        <w:rPr>
          <w:color w:val="auto"/>
        </w:rPr>
      </w:pPr>
      <w:r w:rsidRPr="00496A09">
        <w:rPr>
          <w:color w:val="auto"/>
        </w:rPr>
        <w:t xml:space="preserve">a trained and competent workforce who can deliver wider healthcare interventions and identify opportunities to make every contact count by </w:t>
      </w:r>
      <w:r w:rsidR="002E2FCE" w:rsidRPr="00496A09">
        <w:rPr>
          <w:color w:val="auto"/>
        </w:rPr>
        <w:t>vaccinating opportunistically as appropriate.</w:t>
      </w:r>
    </w:p>
    <w:p w14:paraId="356A8806" w14:textId="00650755" w:rsidR="000D4DB0" w:rsidRPr="00496A09" w:rsidRDefault="002E2FCE" w:rsidP="002E2FCE">
      <w:pPr>
        <w:widowControl w:val="0"/>
        <w:spacing w:after="0" w:line="276" w:lineRule="auto"/>
        <w:ind w:right="57"/>
        <w:textboxTightWrap w:val="none"/>
      </w:pPr>
      <w:r w:rsidRPr="00496A09">
        <w:rPr>
          <w:rFonts w:eastAsia="Calibri"/>
          <w:noProof/>
        </w:rPr>
        <mc:AlternateContent>
          <mc:Choice Requires="wps">
            <w:drawing>
              <wp:anchor distT="228600" distB="228600" distL="228600" distR="228600" simplePos="0" relativeHeight="251658241" behindDoc="1" locked="0" layoutInCell="1" allowOverlap="1" wp14:anchorId="5CE3A241" wp14:editId="1185014B">
                <wp:simplePos x="0" y="0"/>
                <wp:positionH relativeFrom="margin">
                  <wp:posOffset>-635</wp:posOffset>
                </wp:positionH>
                <wp:positionV relativeFrom="paragraph">
                  <wp:posOffset>99060</wp:posOffset>
                </wp:positionV>
                <wp:extent cx="6318885" cy="4036060"/>
                <wp:effectExtent l="0" t="0" r="24765" b="21590"/>
                <wp:wrapTight wrapText="bothSides">
                  <wp:wrapPolygon edited="0">
                    <wp:start x="0" y="0"/>
                    <wp:lineTo x="0" y="21614"/>
                    <wp:lineTo x="21620" y="21614"/>
                    <wp:lineTo x="2162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6318885" cy="4036060"/>
                        </a:xfrm>
                        <a:prstGeom prst="rect">
                          <a:avLst/>
                        </a:prstGeom>
                        <a:gradFill rotWithShape="1">
                          <a:gsLst>
                            <a:gs pos="0">
                              <a:srgbClr val="CCDFF1">
                                <a:tint val="90000"/>
                                <a:satMod val="92000"/>
                                <a:lumMod val="120000"/>
                              </a:srgbClr>
                            </a:gs>
                            <a:gs pos="100000">
                              <a:srgbClr val="CCDFF1">
                                <a:shade val="98000"/>
                                <a:satMod val="120000"/>
                                <a:lumMod val="98000"/>
                              </a:srgbClr>
                            </a:gs>
                          </a:gsLst>
                          <a:path path="circle">
                            <a:fillToRect l="50000" t="50000" r="100000" b="100000"/>
                          </a:path>
                        </a:gradFill>
                        <a:ln w="6350">
                          <a:solidFill>
                            <a:schemeClr val="bg1"/>
                          </a:solidFill>
                        </a:ln>
                        <a:effectLst/>
                      </wps:spPr>
                      <wps:txbx>
                        <w:txbxContent>
                          <w:p w14:paraId="553D3CB6" w14:textId="77777777" w:rsidR="006B573D" w:rsidRPr="009A0921" w:rsidRDefault="006B573D" w:rsidP="00611159">
                            <w:pPr>
                              <w:spacing w:after="180" w:line="276" w:lineRule="auto"/>
                              <w:rPr>
                                <w:rFonts w:cs="Arial"/>
                                <w:b/>
                                <w:bCs/>
                              </w:rPr>
                            </w:pPr>
                            <w:r w:rsidRPr="009A0921">
                              <w:rPr>
                                <w:rFonts w:cs="Arial"/>
                                <w:b/>
                                <w:bCs/>
                              </w:rPr>
                              <w:t>Case study: Innovative workforce approaches in Hull</w:t>
                            </w:r>
                          </w:p>
                          <w:p w14:paraId="55E9AEB7" w14:textId="77777777" w:rsidR="006B573D" w:rsidRPr="009A0921" w:rsidRDefault="006B573D" w:rsidP="00611159">
                            <w:pPr>
                              <w:spacing w:after="180" w:line="276" w:lineRule="auto"/>
                              <w:rPr>
                                <w:rFonts w:cs="Arial"/>
                              </w:rPr>
                            </w:pPr>
                            <w:r w:rsidRPr="009A0921">
                              <w:rPr>
                                <w:rFonts w:cs="Arial"/>
                              </w:rPr>
                              <w:t>Hull University Teaching Hospitals NHS Trust (HUTH) won a Workforce Technology Innovation Award in 2022 for its centralised approach to deploying vaccinator staff during the COVID-19 pandemic.</w:t>
                            </w:r>
                          </w:p>
                          <w:p w14:paraId="4086B685" w14:textId="77777777" w:rsidR="006B573D" w:rsidRPr="009A0921" w:rsidRDefault="006B573D" w:rsidP="00611159">
                            <w:pPr>
                              <w:spacing w:after="180" w:line="276" w:lineRule="auto"/>
                              <w:rPr>
                                <w:rFonts w:cs="Arial"/>
                              </w:rPr>
                            </w:pPr>
                            <w:r w:rsidRPr="009A0921">
                              <w:rPr>
                                <w:rFonts w:cs="Arial"/>
                              </w:rPr>
                              <w:t xml:space="preserve">HUTH was the lead vaccination workforce provider for Humber and North Yorkshire ICS during the COVID-19 pandemic. To create a flexible and agile system that would not exacerbate wider NHS staffing pressures, HUTH developed a single rostering system for the ICS to deploy a multi-skilled workforce across all COVID-19 vaccination sites. </w:t>
                            </w:r>
                          </w:p>
                          <w:p w14:paraId="3B52CF3B" w14:textId="77777777" w:rsidR="006B573D" w:rsidRPr="009A0921" w:rsidRDefault="006B573D" w:rsidP="00611159">
                            <w:pPr>
                              <w:spacing w:after="180" w:line="276" w:lineRule="auto"/>
                              <w:rPr>
                                <w:rFonts w:cs="Arial"/>
                              </w:rPr>
                            </w:pPr>
                            <w:r w:rsidRPr="009A0921">
                              <w:rPr>
                                <w:rFonts w:cs="Arial"/>
                              </w:rPr>
                              <w:t xml:space="preserve">Building on its existing e-rostering technology and successful nursing staff bank, HUTH created a vaccination staff bank and online training platform. The range of urban and rural geographies across the ICS made central management of this bank essential, working with the trust’s e-rostering team. The team rapidly ensured all sites had access to the central e-rostering system, so that bank staff could be consistently and efficiently deployed, and all COVID-19 sites could be captured, making it easy for staff to choose the locations that best suited them. </w:t>
                            </w:r>
                          </w:p>
                          <w:p w14:paraId="4EA0CAEF" w14:textId="77777777" w:rsidR="006B573D" w:rsidRPr="009A0921" w:rsidRDefault="006B573D" w:rsidP="00611159">
                            <w:pPr>
                              <w:spacing w:after="180" w:line="276" w:lineRule="auto"/>
                              <w:rPr>
                                <w:rFonts w:cs="Arial"/>
                                <w:shd w:val="clear" w:color="auto" w:fill="FFFFFF"/>
                              </w:rPr>
                            </w:pPr>
                            <w:r w:rsidRPr="009A0921">
                              <w:rPr>
                                <w:rFonts w:cs="Arial"/>
                              </w:rPr>
                              <w:t xml:space="preserve">As of autumn 2022, 500 employees were in the </w:t>
                            </w:r>
                            <w:r>
                              <w:rPr>
                                <w:rFonts w:cs="Arial"/>
                              </w:rPr>
                              <w:t>v</w:t>
                            </w:r>
                            <w:r w:rsidRPr="009A0921">
                              <w:rPr>
                                <w:rFonts w:cs="Arial"/>
                              </w:rPr>
                              <w:t xml:space="preserve">accination </w:t>
                            </w:r>
                            <w:r>
                              <w:rPr>
                                <w:rFonts w:cs="Arial"/>
                              </w:rPr>
                              <w:t>s</w:t>
                            </w:r>
                            <w:r w:rsidRPr="009A0921">
                              <w:rPr>
                                <w:rFonts w:cs="Arial"/>
                              </w:rPr>
                              <w:t xml:space="preserve">taff </w:t>
                            </w:r>
                            <w:r>
                              <w:rPr>
                                <w:rFonts w:cs="Arial"/>
                              </w:rPr>
                              <w:t>b</w:t>
                            </w:r>
                            <w:r w:rsidRPr="009A0921">
                              <w:rPr>
                                <w:rFonts w:cs="Arial"/>
                              </w:rPr>
                              <w:t>ank.</w:t>
                            </w:r>
                            <w:r w:rsidRPr="009A0921">
                              <w:rPr>
                                <w:rStyle w:val="normaltextrun"/>
                                <w:rFonts w:cs="Arial"/>
                                <w:shd w:val="clear" w:color="auto" w:fill="FFFFFF"/>
                              </w:rPr>
                              <w:t xml:space="preserve"> </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3A241" id="Text Box 8" o:spid="_x0000_s1039" type="#_x0000_t202" style="position:absolute;margin-left:-.05pt;margin-top:7.8pt;width:497.55pt;height:317.8pt;z-index:-251658239;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" strokecolor="#231f20 [3212]" strokeweight=".5pt">
                <v:fill color2="#bfd9f1" rotate="t" focusposition=".5,.5" focussize="-.5,-.5" focus="100%" type="gradientRadial"/>
                <v:textbox inset="14.4pt,14.4pt,14.4pt,14.4pt">
                  <w:txbxContent>
                    <w:p w14:paraId="553D3CB6" w14:textId="77777777" w:rsidR="006B573D" w:rsidRPr="009A0921" w:rsidRDefault="006B573D" w:rsidP="00611159">
                      <w:pPr>
                        <w:spacing w:after="180" w:line="276" w:lineRule="auto"/>
                        <w:rPr>
                          <w:rFonts w:cs="Arial"/>
                          <w:b/>
                          <w:bCs/>
                        </w:rPr>
                      </w:pPr>
                      <w:r w:rsidRPr="009A0921">
                        <w:rPr>
                          <w:rFonts w:cs="Arial"/>
                          <w:b/>
                          <w:bCs/>
                        </w:rPr>
                        <w:t>Case study: Innovative workforce approaches in Hull</w:t>
                      </w:r>
                    </w:p>
                    <w:p w14:paraId="55E9AEB7" w14:textId="77777777" w:rsidR="006B573D" w:rsidRPr="009A0921" w:rsidRDefault="006B573D" w:rsidP="00611159">
                      <w:pPr>
                        <w:spacing w:after="180" w:line="276" w:lineRule="auto"/>
                        <w:rPr>
                          <w:rFonts w:cs="Arial"/>
                        </w:rPr>
                      </w:pPr>
                      <w:r w:rsidRPr="009A0921">
                        <w:rPr>
                          <w:rFonts w:cs="Arial"/>
                        </w:rPr>
                        <w:t>Hull University Teaching Hospitals NHS Trust (HUTH) won a Workforce Technology Innovation Award in 2022 for its centralised approach to deploying vaccinator staff during the COVID-19 pandemic.</w:t>
                      </w:r>
                    </w:p>
                    <w:p w14:paraId="4086B685" w14:textId="77777777" w:rsidR="006B573D" w:rsidRPr="009A0921" w:rsidRDefault="006B573D" w:rsidP="00611159">
                      <w:pPr>
                        <w:spacing w:after="180" w:line="276" w:lineRule="auto"/>
                        <w:rPr>
                          <w:rFonts w:cs="Arial"/>
                        </w:rPr>
                      </w:pPr>
                      <w:r w:rsidRPr="009A0921">
                        <w:rPr>
                          <w:rFonts w:cs="Arial"/>
                        </w:rPr>
                        <w:t xml:space="preserve">HUTH was the lead vaccination workforce provider for Humber and North Yorkshire ICS during the COVID-19 pandemic. To create a flexible and agile system that would not exacerbate wider NHS staffing pressures, HUTH developed a single rostering system for the ICS to deploy a multi-skilled workforce across all COVID-19 vaccination sites. </w:t>
                      </w:r>
                    </w:p>
                    <w:p w14:paraId="3B52CF3B" w14:textId="77777777" w:rsidR="006B573D" w:rsidRPr="009A0921" w:rsidRDefault="006B573D" w:rsidP="00611159">
                      <w:pPr>
                        <w:spacing w:after="180" w:line="276" w:lineRule="auto"/>
                        <w:rPr>
                          <w:rFonts w:cs="Arial"/>
                        </w:rPr>
                      </w:pPr>
                      <w:r w:rsidRPr="009A0921">
                        <w:rPr>
                          <w:rFonts w:cs="Arial"/>
                        </w:rPr>
                        <w:t xml:space="preserve">Building on its existing e-rostering technology and successful nursing staff bank, HUTH created a vaccination staff bank and online training platform. The range of urban and rural geographies across the ICS made central management of this bank essential, working with the trust’s e-rostering team. The team rapidly ensured all sites had access to the central e-rostering system, so that bank staff could be consistently and efficiently deployed, and all COVID-19 sites could be captured, making it easy for staff to choose the locations that best suited them. </w:t>
                      </w:r>
                    </w:p>
                    <w:p w14:paraId="4EA0CAEF" w14:textId="77777777" w:rsidR="006B573D" w:rsidRPr="009A0921" w:rsidRDefault="006B573D" w:rsidP="00611159">
                      <w:pPr>
                        <w:spacing w:after="180" w:line="276" w:lineRule="auto"/>
                        <w:rPr>
                          <w:rFonts w:cs="Arial"/>
                          <w:shd w:val="clear" w:color="auto" w:fill="FFFFFF"/>
                        </w:rPr>
                      </w:pPr>
                      <w:r w:rsidRPr="009A0921">
                        <w:rPr>
                          <w:rFonts w:cs="Arial"/>
                        </w:rPr>
                        <w:t xml:space="preserve">As of autumn 2022, 500 employees were in the </w:t>
                      </w:r>
                      <w:r>
                        <w:rPr>
                          <w:rFonts w:cs="Arial"/>
                        </w:rPr>
                        <w:t>v</w:t>
                      </w:r>
                      <w:r w:rsidRPr="009A0921">
                        <w:rPr>
                          <w:rFonts w:cs="Arial"/>
                        </w:rPr>
                        <w:t xml:space="preserve">accination </w:t>
                      </w:r>
                      <w:r>
                        <w:rPr>
                          <w:rFonts w:cs="Arial"/>
                        </w:rPr>
                        <w:t>s</w:t>
                      </w:r>
                      <w:r w:rsidRPr="009A0921">
                        <w:rPr>
                          <w:rFonts w:cs="Arial"/>
                        </w:rPr>
                        <w:t xml:space="preserve">taff </w:t>
                      </w:r>
                      <w:r>
                        <w:rPr>
                          <w:rFonts w:cs="Arial"/>
                        </w:rPr>
                        <w:t>b</w:t>
                      </w:r>
                      <w:r w:rsidRPr="009A0921">
                        <w:rPr>
                          <w:rFonts w:cs="Arial"/>
                        </w:rPr>
                        <w:t>ank.</w:t>
                      </w:r>
                      <w:r w:rsidRPr="009A0921">
                        <w:rPr>
                          <w:rStyle w:val="normaltextrun"/>
                          <w:rFonts w:cs="Arial"/>
                          <w:shd w:val="clear" w:color="auto" w:fill="FFFFFF"/>
                        </w:rPr>
                        <w:t xml:space="preserve"> </w:t>
                      </w:r>
                    </w:p>
                  </w:txbxContent>
                </v:textbox>
                <w10:wrap type="tight" anchorx="margin"/>
              </v:shape>
            </w:pict>
          </mc:Fallback>
        </mc:AlternateContent>
      </w:r>
    </w:p>
    <w:p w14:paraId="5A79492C" w14:textId="45D7BC71" w:rsidR="00021CA6" w:rsidRPr="00496A09" w:rsidRDefault="00021CA6" w:rsidP="002E2FCE">
      <w:pPr>
        <w:pStyle w:val="h3numbered"/>
        <w:spacing w:before="0" w:after="180"/>
        <w:rPr>
          <w:color w:val="auto"/>
        </w:rPr>
      </w:pPr>
      <w:bookmarkStart w:id="66" w:name="_Toc153264068"/>
      <w:r w:rsidRPr="00496A09">
        <w:t>Timely and accurate data</w:t>
      </w:r>
      <w:bookmarkEnd w:id="66"/>
    </w:p>
    <w:p w14:paraId="60B15C59" w14:textId="7D38F99A" w:rsidR="00021CA6" w:rsidRPr="00496A09" w:rsidRDefault="00021CA6" w:rsidP="00611159">
      <w:pPr>
        <w:pStyle w:val="h4numbered"/>
        <w:spacing w:after="180" w:line="276" w:lineRule="auto"/>
        <w:ind w:left="794"/>
        <w:rPr>
          <w:color w:val="auto"/>
        </w:rPr>
      </w:pPr>
      <w:r w:rsidRPr="00496A09">
        <w:t>We have consistently heard that timely, comprehensive and accurate data is essential for successful commissioning and deliver</w:t>
      </w:r>
      <w:r w:rsidR="002E2FCE" w:rsidRPr="00496A09">
        <w:t>y of</w:t>
      </w:r>
      <w:r w:rsidRPr="00496A09">
        <w:t xml:space="preserve"> vaccinations, as well as evaluati</w:t>
      </w:r>
      <w:r w:rsidR="002E2FCE" w:rsidRPr="00496A09">
        <w:t>o</w:t>
      </w:r>
      <w:r w:rsidRPr="00496A09">
        <w:t>n</w:t>
      </w:r>
      <w:r w:rsidR="002E2FCE" w:rsidRPr="00496A09">
        <w:t xml:space="preserve"> of</w:t>
      </w:r>
      <w:r w:rsidRPr="00496A09">
        <w:t xml:space="preserve"> the effectiveness of vaccines and vaccination programmes. It enables:</w:t>
      </w:r>
    </w:p>
    <w:p w14:paraId="0F309E6C" w14:textId="77777777" w:rsidR="00021CA6" w:rsidRPr="00496A09" w:rsidRDefault="00021CA6" w:rsidP="00611159">
      <w:pPr>
        <w:pStyle w:val="ListParagraph"/>
        <w:numPr>
          <w:ilvl w:val="0"/>
          <w:numId w:val="22"/>
        </w:numPr>
        <w:spacing w:after="120" w:line="276" w:lineRule="auto"/>
        <w:ind w:left="1418" w:right="57" w:hanging="284"/>
        <w:textboxTightWrap w:val="none"/>
      </w:pPr>
      <w:r w:rsidRPr="00496A09">
        <w:t>Systems and integrated neighbourhood teams to understand local operational performance, respond rapidly to issues and predict trends.</w:t>
      </w:r>
    </w:p>
    <w:p w14:paraId="573A51C6" w14:textId="77777777" w:rsidR="00021CA6" w:rsidRPr="00496A09" w:rsidRDefault="00021CA6" w:rsidP="00611159">
      <w:pPr>
        <w:pStyle w:val="ListParagraph"/>
        <w:numPr>
          <w:ilvl w:val="0"/>
          <w:numId w:val="22"/>
        </w:numPr>
        <w:spacing w:after="120" w:line="276" w:lineRule="auto"/>
        <w:ind w:left="1418" w:right="57" w:hanging="284"/>
        <w:textboxTightWrap w:val="none"/>
      </w:pPr>
      <w:r w:rsidRPr="00496A09">
        <w:t>More opportunities to vaccinate eligible people at different times and in different settings, as a greater range of professionals can view a person’s vaccination status.</w:t>
      </w:r>
    </w:p>
    <w:p w14:paraId="73601023" w14:textId="7BB9DD2D" w:rsidR="00021CA6" w:rsidRPr="00496A09" w:rsidRDefault="00021CA6" w:rsidP="00611159">
      <w:pPr>
        <w:pStyle w:val="ListParagraph"/>
        <w:numPr>
          <w:ilvl w:val="0"/>
          <w:numId w:val="22"/>
        </w:numPr>
        <w:spacing w:after="120" w:line="276" w:lineRule="auto"/>
        <w:ind w:left="1418" w:right="57" w:hanging="284"/>
        <w:textboxTightWrap w:val="none"/>
      </w:pPr>
      <w:r w:rsidRPr="00496A09">
        <w:t xml:space="preserve">Identification of communities and population groups that are not being served well and with this the deployment of targeted interventions to reduce </w:t>
      </w:r>
      <w:r w:rsidR="00053C54" w:rsidRPr="00496A09">
        <w:t xml:space="preserve">disparity </w:t>
      </w:r>
      <w:r w:rsidRPr="00496A09">
        <w:t>in uptake.</w:t>
      </w:r>
    </w:p>
    <w:p w14:paraId="47580E8B" w14:textId="77777777" w:rsidR="00021CA6" w:rsidRPr="00496A09" w:rsidRDefault="00021CA6" w:rsidP="00611159">
      <w:pPr>
        <w:pStyle w:val="ListParagraph"/>
        <w:numPr>
          <w:ilvl w:val="0"/>
          <w:numId w:val="22"/>
        </w:numPr>
        <w:spacing w:line="276" w:lineRule="auto"/>
        <w:ind w:left="1418" w:right="57" w:hanging="284"/>
        <w:textboxTightWrap w:val="none"/>
      </w:pPr>
      <w:r w:rsidRPr="00496A09">
        <w:t>Monitoring of the impact of different outreach interventions to inform decision-making about cost-effectiveness.</w:t>
      </w:r>
    </w:p>
    <w:p w14:paraId="2880CBD0" w14:textId="5C30AE95" w:rsidR="0085595A" w:rsidRPr="00496A09" w:rsidRDefault="0085595A" w:rsidP="0085595A">
      <w:pPr>
        <w:pStyle w:val="ListParagraph"/>
        <w:numPr>
          <w:ilvl w:val="0"/>
          <w:numId w:val="22"/>
        </w:numPr>
        <w:spacing w:line="276" w:lineRule="auto"/>
        <w:ind w:left="1418" w:right="57" w:hanging="284"/>
        <w:textboxTightWrap w:val="none"/>
      </w:pPr>
      <w:r w:rsidRPr="00496A09">
        <w:t>The NHS to support surveillance of vaccine-preventable diseases.</w:t>
      </w:r>
    </w:p>
    <w:p w14:paraId="224D60F6" w14:textId="00E80B9D" w:rsidR="00021CA6" w:rsidRPr="00496A09" w:rsidRDefault="00021CA6" w:rsidP="00611159">
      <w:pPr>
        <w:pStyle w:val="h4numbered"/>
        <w:spacing w:after="180" w:line="276" w:lineRule="auto"/>
        <w:ind w:left="794" w:right="57"/>
      </w:pPr>
      <w:r w:rsidRPr="00496A09">
        <w:t xml:space="preserve">The Fuller Stocktake highlighted the benefit of partnership working across primary care and local authorities to share data. Local authorities have a wealth of information about their populations, including on </w:t>
      </w:r>
      <w:r w:rsidRPr="00496A09">
        <w:rPr>
          <w:color w:val="auto"/>
        </w:rPr>
        <w:t xml:space="preserve">evidence-based enablers and barriers to vaccination uptake, </w:t>
      </w:r>
      <w:r w:rsidRPr="00496A09">
        <w:t xml:space="preserve">through directors of public health as well as teams such as social care, housing, and children and young people. Primary care can support an integrated approach that captures all factors influencing vaccination uptake – to help design hyper-local approaches for communities with low uptake and support individuals to make informed choices. CHIS teams have data and information by local area on children’s vaccines and immunisations. </w:t>
      </w:r>
    </w:p>
    <w:p w14:paraId="06D598A5" w14:textId="0FBE7DBF" w:rsidR="00021CA6" w:rsidRPr="00496A09" w:rsidRDefault="00021CA6" w:rsidP="00611159">
      <w:pPr>
        <w:pStyle w:val="h4numbered"/>
        <w:spacing w:after="180" w:line="276" w:lineRule="auto"/>
        <w:ind w:left="794"/>
        <w:rPr>
          <w:color w:val="auto"/>
        </w:rPr>
      </w:pPr>
      <w:r w:rsidRPr="00496A09">
        <w:t xml:space="preserve">The way that vaccination data is collected varies across each setting. In some </w:t>
      </w:r>
      <w:r w:rsidR="00592623" w:rsidRPr="00496A09">
        <w:t>areas</w:t>
      </w:r>
      <w:r w:rsidR="00C95D0B" w:rsidRPr="00496A09">
        <w:t>,</w:t>
      </w:r>
      <w:r w:rsidRPr="00496A09">
        <w:t xml:space="preserve"> data is recorded on spreadsheets or using bespoke tools</w:t>
      </w:r>
      <w:r w:rsidR="00592623" w:rsidRPr="00496A09">
        <w:t>,</w:t>
      </w:r>
      <w:r w:rsidRPr="00496A09">
        <w:t xml:space="preserve"> or even </w:t>
      </w:r>
      <w:r w:rsidR="009618A9" w:rsidRPr="00496A09">
        <w:t>on</w:t>
      </w:r>
      <w:r w:rsidRPr="00496A09">
        <w:t xml:space="preserve"> paper. Over time, local approaches to data collection have led to a proliferation of systems, many of which are not interoperable, and </w:t>
      </w:r>
      <w:r w:rsidR="00D12B74" w:rsidRPr="00496A09">
        <w:t>this</w:t>
      </w:r>
      <w:r w:rsidRPr="00496A09">
        <w:t xml:space="preserve"> often result</w:t>
      </w:r>
      <w:r w:rsidR="00D12B74" w:rsidRPr="00496A09">
        <w:t>s</w:t>
      </w:r>
      <w:r w:rsidRPr="00496A09">
        <w:t xml:space="preserve"> in inconsistency of individual-level data and inaccuracy in GP or CHIS records, particularly i</w:t>
      </w:r>
      <w:r w:rsidR="001D0C1D" w:rsidRPr="00496A09">
        <w:t>f</w:t>
      </w:r>
      <w:r w:rsidRPr="00496A09">
        <w:t xml:space="preserve"> someone moves to another area.</w:t>
      </w:r>
      <w:r w:rsidRPr="00496A09" w:rsidDel="004F6310">
        <w:rPr>
          <w:i/>
          <w:iCs/>
          <w:color w:val="FF0000"/>
        </w:rPr>
        <w:t xml:space="preserve"> </w:t>
      </w:r>
    </w:p>
    <w:p w14:paraId="7B6B5B93" w14:textId="2466F7D1" w:rsidR="00021CA6" w:rsidRPr="00496A09" w:rsidRDefault="008971E6" w:rsidP="00611159">
      <w:pPr>
        <w:pStyle w:val="h4numbered"/>
        <w:spacing w:after="180" w:line="276" w:lineRule="auto"/>
        <w:ind w:left="794"/>
        <w:rPr>
          <w:color w:val="auto"/>
        </w:rPr>
      </w:pPr>
      <w:r w:rsidRPr="00496A09">
        <w:t xml:space="preserve">The success of the NHS COVID-19 vaccination programme depended on access to a single source of real-time vaccination uptake data, supporting effective deployment of targeted interventions, including to address </w:t>
      </w:r>
      <w:r w:rsidR="00666507" w:rsidRPr="00496A09">
        <w:t xml:space="preserve">disparities </w:t>
      </w:r>
      <w:r w:rsidRPr="00496A09">
        <w:t>in uptake. The benefits and improvements realised by this capability led to vaccination being identified as a key use case for the new Federated Data Platform. A similar capability for timely information is required for other vaccinations and we will continue to assess the value for money and affordability of implementing this.</w:t>
      </w:r>
    </w:p>
    <w:p w14:paraId="3A27359F" w14:textId="77663D95" w:rsidR="00021CA6" w:rsidRPr="00496A09" w:rsidRDefault="00B8098D" w:rsidP="00611159">
      <w:pPr>
        <w:pStyle w:val="h4numbered"/>
        <w:spacing w:after="180" w:line="276" w:lineRule="auto"/>
        <w:ind w:left="794"/>
        <w:rPr>
          <w:color w:val="auto"/>
        </w:rPr>
      </w:pPr>
      <w:r w:rsidRPr="00496A09">
        <w:rPr>
          <w:color w:val="auto"/>
        </w:rPr>
        <w:t>In 2024</w:t>
      </w:r>
      <w:r w:rsidR="00490D59" w:rsidRPr="00496A09">
        <w:rPr>
          <w:color w:val="auto"/>
        </w:rPr>
        <w:t>/</w:t>
      </w:r>
      <w:r w:rsidRPr="00496A09">
        <w:rPr>
          <w:color w:val="auto"/>
        </w:rPr>
        <w:t>25 w</w:t>
      </w:r>
      <w:r w:rsidR="00021CA6" w:rsidRPr="00496A09">
        <w:rPr>
          <w:color w:val="auto"/>
        </w:rPr>
        <w:t xml:space="preserve">e </w:t>
      </w:r>
      <w:r w:rsidR="008021FC" w:rsidRPr="00496A09">
        <w:rPr>
          <w:color w:val="auto"/>
        </w:rPr>
        <w:t xml:space="preserve">plan to </w:t>
      </w:r>
      <w:r w:rsidR="00021CA6" w:rsidRPr="00496A09">
        <w:rPr>
          <w:color w:val="auto"/>
        </w:rPr>
        <w:t>create a national vaccination data record</w:t>
      </w:r>
      <w:r w:rsidR="008F18E8" w:rsidRPr="00496A09">
        <w:rPr>
          <w:color w:val="auto"/>
        </w:rPr>
        <w:t>.</w:t>
      </w:r>
      <w:r w:rsidR="003D71FD" w:rsidRPr="00496A09">
        <w:rPr>
          <w:color w:val="auto"/>
        </w:rPr>
        <w:t xml:space="preserve"> </w:t>
      </w:r>
      <w:r w:rsidR="00021CA6" w:rsidRPr="00496A09">
        <w:rPr>
          <w:color w:val="auto"/>
        </w:rPr>
        <w:t xml:space="preserve">This will </w:t>
      </w:r>
      <w:r w:rsidR="00C5116E" w:rsidRPr="00496A09">
        <w:rPr>
          <w:color w:val="auto"/>
        </w:rPr>
        <w:t xml:space="preserve">enable: </w:t>
      </w:r>
    </w:p>
    <w:p w14:paraId="7BB80B38" w14:textId="1DF397F6" w:rsidR="00E42E5A" w:rsidRPr="00496A09" w:rsidRDefault="00E42E5A" w:rsidP="00E42E5A">
      <w:pPr>
        <w:pStyle w:val="h4numbered"/>
        <w:numPr>
          <w:ilvl w:val="0"/>
          <w:numId w:val="50"/>
        </w:numPr>
        <w:spacing w:after="180" w:line="276" w:lineRule="auto"/>
        <w:rPr>
          <w:color w:val="auto"/>
        </w:rPr>
      </w:pPr>
      <w:r w:rsidRPr="00496A09">
        <w:rPr>
          <w:color w:val="auto"/>
        </w:rPr>
        <w:t xml:space="preserve">Timely access to data by providers, commissioners and other appropriate users including UKHSA. </w:t>
      </w:r>
    </w:p>
    <w:p w14:paraId="5E935190" w14:textId="399C5927" w:rsidR="00E42E5A" w:rsidRPr="00496A09" w:rsidRDefault="00E42E5A" w:rsidP="00E42E5A">
      <w:pPr>
        <w:pStyle w:val="h4numbered"/>
        <w:numPr>
          <w:ilvl w:val="0"/>
          <w:numId w:val="50"/>
        </w:numPr>
        <w:spacing w:after="180" w:line="276" w:lineRule="auto"/>
        <w:rPr>
          <w:color w:val="auto"/>
        </w:rPr>
      </w:pPr>
      <w:r w:rsidRPr="00496A09">
        <w:rPr>
          <w:color w:val="auto"/>
        </w:rPr>
        <w:t xml:space="preserve">Increasing use of national capabilities for direct care (such as invitations or booking) to support seasonal and catch-up campaigns, as well as outbreak response. </w:t>
      </w:r>
    </w:p>
    <w:p w14:paraId="1031FFA0" w14:textId="2743DC51" w:rsidR="00E42E5A" w:rsidRPr="00496A09" w:rsidRDefault="00E42E5A" w:rsidP="00E42E5A">
      <w:pPr>
        <w:pStyle w:val="h4numbered"/>
        <w:numPr>
          <w:ilvl w:val="0"/>
          <w:numId w:val="50"/>
        </w:numPr>
        <w:spacing w:after="180" w:line="276" w:lineRule="auto"/>
        <w:rPr>
          <w:color w:val="auto"/>
        </w:rPr>
      </w:pPr>
      <w:r w:rsidRPr="00496A09">
        <w:rPr>
          <w:color w:val="auto"/>
        </w:rPr>
        <w:t>Local commissioners and national bodies to understand the effectiveness of different approaches, given the increased local flexibility we are proposing.</w:t>
      </w:r>
    </w:p>
    <w:p w14:paraId="0D40F62C" w14:textId="1D3DD921" w:rsidR="00021CA6" w:rsidRPr="00496A09" w:rsidRDefault="00021CA6" w:rsidP="003D71FD">
      <w:pPr>
        <w:pStyle w:val="h4numbered"/>
        <w:keepNext w:val="0"/>
        <w:spacing w:after="180" w:line="276" w:lineRule="auto"/>
        <w:ind w:left="794"/>
        <w:rPr>
          <w:color w:val="auto"/>
        </w:rPr>
      </w:pPr>
      <w:r w:rsidRPr="00496A09">
        <w:t>We will make it easier for healthcare workers to capture vaccination event data, exploring increased automation and offline data capture to reduce the need to record data multiple times and reduce human error, and making processes more efficient for our workforce.</w:t>
      </w:r>
      <w:r w:rsidR="00866668" w:rsidRPr="00496A09">
        <w:t xml:space="preserve"> </w:t>
      </w:r>
      <w:r w:rsidR="0014054F" w:rsidRPr="00496A09">
        <w:t xml:space="preserve">In 2024/25 </w:t>
      </w:r>
      <w:r w:rsidR="00C50DAB" w:rsidRPr="00496A09">
        <w:t>we will trial new services to deliver this in maternity and school age vaccinations</w:t>
      </w:r>
      <w:r w:rsidR="00531FC1" w:rsidRPr="00496A09">
        <w:t xml:space="preserve">. We will make changes to GP IT systems in </w:t>
      </w:r>
      <w:r w:rsidR="005615F2" w:rsidRPr="00496A09">
        <w:t>20</w:t>
      </w:r>
      <w:r w:rsidR="00531FC1" w:rsidRPr="00496A09">
        <w:t>24/25 that will improve the visibility of vaccinations delivered by GPs and</w:t>
      </w:r>
      <w:r w:rsidR="003D71FD" w:rsidRPr="00496A09">
        <w:t xml:space="preserve"> </w:t>
      </w:r>
      <w:r w:rsidR="00531FC1" w:rsidRPr="00496A09">
        <w:t>other providers</w:t>
      </w:r>
      <w:r w:rsidR="00BF40FD" w:rsidRPr="00496A09">
        <w:t xml:space="preserve">, </w:t>
      </w:r>
      <w:r w:rsidR="00706500" w:rsidRPr="00496A09">
        <w:t>including community pharmacy</w:t>
      </w:r>
      <w:r w:rsidR="00BF40FD" w:rsidRPr="00496A09">
        <w:t>,</w:t>
      </w:r>
      <w:r w:rsidR="00531FC1" w:rsidRPr="00496A09">
        <w:t xml:space="preserve"> and help ensure a consistent view of an individual’s vaccination status.</w:t>
      </w:r>
    </w:p>
    <w:p w14:paraId="00E3D917" w14:textId="62DE533D" w:rsidR="005E4D47" w:rsidRPr="00496A09" w:rsidRDefault="00377A18" w:rsidP="003D71FD">
      <w:pPr>
        <w:pStyle w:val="h4numbered"/>
        <w:keepNext w:val="0"/>
        <w:spacing w:after="280" w:line="276" w:lineRule="auto"/>
        <w:ind w:left="794" w:right="57"/>
      </w:pPr>
      <w:r w:rsidRPr="00496A09">
        <w:t>D</w:t>
      </w:r>
      <w:r w:rsidR="00106D37" w:rsidRPr="00496A09">
        <w:t>uring 2025/26 our ambition is to</w:t>
      </w:r>
      <w:r w:rsidR="00021CA6" w:rsidRPr="00496A09">
        <w:t xml:space="preserve"> enable people to access their own vaccination record, as is possible for COVID-19, through the NHS App. This will support them in making proactive choices about their own healthcare</w:t>
      </w:r>
      <w:r w:rsidR="00580E7B" w:rsidRPr="00496A09">
        <w:t xml:space="preserve">. </w:t>
      </w:r>
    </w:p>
    <w:p w14:paraId="76395059" w14:textId="26EAEF61" w:rsidR="00021CA6" w:rsidRPr="00496A09" w:rsidRDefault="00021CA6" w:rsidP="00611159">
      <w:pPr>
        <w:pStyle w:val="h3numbered"/>
        <w:spacing w:after="180"/>
        <w:ind w:left="794" w:hanging="794"/>
        <w:rPr>
          <w:color w:val="auto"/>
        </w:rPr>
      </w:pPr>
      <w:bookmarkStart w:id="67" w:name="_Toc153264069"/>
      <w:bookmarkStart w:id="68" w:name="_Hlk130554213"/>
      <w:r w:rsidRPr="00496A09">
        <w:t>Efficient and responsive vaccine supply</w:t>
      </w:r>
      <w:bookmarkEnd w:id="67"/>
    </w:p>
    <w:p w14:paraId="79A7ADB7" w14:textId="77777777" w:rsidR="005E4D47" w:rsidRPr="00496A09" w:rsidRDefault="00021CA6" w:rsidP="001D0C1D">
      <w:pPr>
        <w:pStyle w:val="h4numbered"/>
        <w:keepNext w:val="0"/>
        <w:spacing w:after="280" w:line="276" w:lineRule="auto"/>
        <w:ind w:left="794" w:right="57"/>
        <w:rPr>
          <w:color w:val="auto"/>
        </w:rPr>
      </w:pPr>
      <w:r w:rsidRPr="00496A09">
        <w:t xml:space="preserve">Having the right amount of vaccine in the right place at the right time is critical for any vaccination delivery network. Vaccine supply is, however, complex, with a wide range of products and providers, different storage needs and shelf lives, complex market dynamics and periods of supply constraint. </w:t>
      </w:r>
    </w:p>
    <w:p w14:paraId="7A20FEDB" w14:textId="583E9EC6" w:rsidR="00021CA6" w:rsidRPr="00496A09" w:rsidRDefault="00021CA6" w:rsidP="005D69DF">
      <w:pPr>
        <w:pStyle w:val="h4numbered"/>
        <w:numPr>
          <w:ilvl w:val="0"/>
          <w:numId w:val="0"/>
        </w:numPr>
        <w:spacing w:after="180" w:line="276" w:lineRule="auto"/>
        <w:ind w:right="57"/>
        <w:rPr>
          <w:color w:val="auto"/>
        </w:rPr>
      </w:pPr>
      <w:r w:rsidRPr="00496A09">
        <w:rPr>
          <w:b/>
          <w:bCs/>
          <w:color w:val="auto"/>
        </w:rPr>
        <w:t>Current arrangements</w:t>
      </w:r>
    </w:p>
    <w:p w14:paraId="080ED35A" w14:textId="696B6968" w:rsidR="00021CA6" w:rsidRPr="00496A09" w:rsidRDefault="00021CA6" w:rsidP="005E4D47">
      <w:pPr>
        <w:pStyle w:val="h4numbered"/>
        <w:spacing w:after="180" w:line="276" w:lineRule="auto"/>
        <w:ind w:left="851" w:right="57"/>
        <w:rPr>
          <w:color w:val="auto"/>
        </w:rPr>
      </w:pPr>
      <w:r w:rsidRPr="00496A09">
        <w:t xml:space="preserve">DHSC, UKHSA, NHS England and NHS Supply Chain currently share responsibility for different components of procurement and supply, and there are </w:t>
      </w:r>
      <w:r w:rsidRPr="00496A09">
        <w:rPr>
          <w:color w:val="auto"/>
        </w:rPr>
        <w:t xml:space="preserve">multiple </w:t>
      </w:r>
      <w:r w:rsidRPr="00496A09">
        <w:t xml:space="preserve">routes through which vaccines and consumables reach the front line.  </w:t>
      </w:r>
    </w:p>
    <w:p w14:paraId="0BE784B7" w14:textId="1DCB384F" w:rsidR="00021CA6" w:rsidRPr="00496A09" w:rsidRDefault="00021CA6" w:rsidP="005E4D47">
      <w:pPr>
        <w:pStyle w:val="h4numbered"/>
        <w:spacing w:after="280" w:line="276" w:lineRule="auto"/>
        <w:ind w:left="794"/>
        <w:rPr>
          <w:color w:val="auto"/>
        </w:rPr>
      </w:pPr>
      <w:r w:rsidRPr="00496A09">
        <w:t>UKHSA manages the procurement and supply of life-course vaccines including children’s influenza vaccine</w:t>
      </w:r>
      <w:r w:rsidR="00A512AC" w:rsidRPr="00496A09">
        <w:t>, for all four nations of the UK</w:t>
      </w:r>
      <w:r w:rsidRPr="00496A09">
        <w:t>. For adult flu, individual providers</w:t>
      </w:r>
      <w:r w:rsidR="00DD2913" w:rsidRPr="00496A09">
        <w:t xml:space="preserve"> in England</w:t>
      </w:r>
      <w:r w:rsidRPr="00496A09">
        <w:t xml:space="preserve"> buy the adult vaccine direct from manufacturers and wholesalers; for the COVID-19 vaccine new supply chain infrastructure and processes were introduced to manage the scale and pace of the programme and the unique characteristics of the products.</w:t>
      </w:r>
    </w:p>
    <w:p w14:paraId="3137318B" w14:textId="438B3FBA" w:rsidR="00021CA6" w:rsidRPr="00496A09" w:rsidRDefault="00021CA6" w:rsidP="005E4D47">
      <w:pPr>
        <w:spacing w:after="180" w:line="276" w:lineRule="auto"/>
        <w:ind w:right="57"/>
        <w:rPr>
          <w:color w:val="auto"/>
        </w:rPr>
      </w:pPr>
      <w:r w:rsidRPr="00496A09">
        <w:rPr>
          <w:b/>
          <w:bCs/>
          <w:color w:val="auto"/>
        </w:rPr>
        <w:t>Future requirements</w:t>
      </w:r>
    </w:p>
    <w:p w14:paraId="687006A1" w14:textId="058676E1" w:rsidR="00021CA6" w:rsidRPr="00496A09" w:rsidRDefault="00021CA6" w:rsidP="005E4D47">
      <w:pPr>
        <w:pStyle w:val="h4numbered"/>
        <w:spacing w:after="180" w:line="276" w:lineRule="auto"/>
        <w:ind w:left="794" w:right="57"/>
      </w:pPr>
      <w:r w:rsidRPr="00496A09">
        <w:t>Our experience tells us we require vaccine supply and procurement routes that:</w:t>
      </w:r>
    </w:p>
    <w:p w14:paraId="2CBB31B2" w14:textId="77777777" w:rsidR="00021CA6" w:rsidRPr="00496A09" w:rsidRDefault="00021CA6" w:rsidP="005E4D47">
      <w:pPr>
        <w:pStyle w:val="ListParagraph"/>
        <w:numPr>
          <w:ilvl w:val="0"/>
          <w:numId w:val="23"/>
        </w:numPr>
        <w:spacing w:after="120" w:line="276" w:lineRule="auto"/>
        <w:ind w:left="1418" w:right="57" w:hanging="284"/>
        <w:textboxTightWrap w:val="none"/>
      </w:pPr>
      <w:r w:rsidRPr="00496A09">
        <w:t xml:space="preserve">are efficient and value for money </w:t>
      </w:r>
    </w:p>
    <w:p w14:paraId="246E4006" w14:textId="77777777" w:rsidR="00021CA6" w:rsidRPr="00496A09" w:rsidRDefault="00021CA6" w:rsidP="005E4D47">
      <w:pPr>
        <w:pStyle w:val="ListParagraph"/>
        <w:numPr>
          <w:ilvl w:val="0"/>
          <w:numId w:val="23"/>
        </w:numPr>
        <w:spacing w:after="120" w:line="276" w:lineRule="auto"/>
        <w:ind w:left="1418" w:right="57" w:hanging="284"/>
        <w:textboxTightWrap w:val="none"/>
      </w:pPr>
      <w:r w:rsidRPr="00496A09">
        <w:t xml:space="preserve">minimise vaccine wastage and our environmental impact </w:t>
      </w:r>
    </w:p>
    <w:p w14:paraId="349AEF29" w14:textId="77777777" w:rsidR="00021CA6" w:rsidRPr="00496A09" w:rsidRDefault="00021CA6" w:rsidP="005E4D47">
      <w:pPr>
        <w:pStyle w:val="ListParagraph"/>
        <w:numPr>
          <w:ilvl w:val="0"/>
          <w:numId w:val="23"/>
        </w:numPr>
        <w:spacing w:after="120" w:line="276" w:lineRule="auto"/>
        <w:ind w:left="1418" w:right="57" w:hanging="284"/>
        <w:textboxTightWrap w:val="none"/>
      </w:pPr>
      <w:r w:rsidRPr="00496A09">
        <w:t>support co-administration by bringing supply of flu and COVID-19 vaccines (and other relevant vaccines) closer together</w:t>
      </w:r>
    </w:p>
    <w:p w14:paraId="36D5CE96" w14:textId="6771221C" w:rsidR="00021CA6" w:rsidRPr="00496A09" w:rsidRDefault="00021CA6" w:rsidP="005E4D47">
      <w:pPr>
        <w:pStyle w:val="ListParagraph"/>
        <w:numPr>
          <w:ilvl w:val="0"/>
          <w:numId w:val="23"/>
        </w:numPr>
        <w:spacing w:after="120" w:line="276" w:lineRule="auto"/>
        <w:ind w:left="1418" w:right="57" w:hanging="284"/>
        <w:textboxTightWrap w:val="none"/>
      </w:pPr>
      <w:r w:rsidRPr="00496A09">
        <w:t>can rapidly introduce new technologies and products</w:t>
      </w:r>
      <w:r w:rsidR="00D75558" w:rsidRPr="00496A09">
        <w:t>,</w:t>
      </w:r>
      <w:r w:rsidRPr="00496A09">
        <w:t xml:space="preserve"> and respond to outbreaks and surges in demand</w:t>
      </w:r>
    </w:p>
    <w:p w14:paraId="43633067" w14:textId="77777777" w:rsidR="00021CA6" w:rsidRPr="00496A09" w:rsidRDefault="00021CA6" w:rsidP="005E4D47">
      <w:pPr>
        <w:pStyle w:val="ListParagraph"/>
        <w:numPr>
          <w:ilvl w:val="0"/>
          <w:numId w:val="23"/>
        </w:numPr>
        <w:spacing w:after="120" w:line="276" w:lineRule="auto"/>
        <w:ind w:left="1418" w:right="57" w:hanging="284"/>
        <w:textboxTightWrap w:val="none"/>
      </w:pPr>
      <w:r w:rsidRPr="00496A09">
        <w:t xml:space="preserve">accommodate a range of storage and transportation requirements </w:t>
      </w:r>
    </w:p>
    <w:p w14:paraId="4F44A613" w14:textId="7B8E306A" w:rsidR="00021CA6" w:rsidRPr="00496A09" w:rsidRDefault="00021CA6" w:rsidP="00D75558">
      <w:pPr>
        <w:pStyle w:val="ListParagraph"/>
        <w:numPr>
          <w:ilvl w:val="0"/>
          <w:numId w:val="23"/>
        </w:numPr>
        <w:spacing w:after="120" w:line="276" w:lineRule="auto"/>
        <w:ind w:left="1418" w:right="57" w:hanging="284"/>
        <w:textboxTightWrap w:val="none"/>
      </w:pPr>
      <w:r w:rsidRPr="00496A09">
        <w:t xml:space="preserve">help address </w:t>
      </w:r>
      <w:r w:rsidR="00327590" w:rsidRPr="00496A09">
        <w:t xml:space="preserve">disparity in uptake </w:t>
      </w:r>
      <w:r w:rsidRPr="00496A09">
        <w:t xml:space="preserve">by enabling systems to get vaccines quickly to all the places they are needed, including outreach settings and rural locations </w:t>
      </w:r>
    </w:p>
    <w:p w14:paraId="17A40BC2" w14:textId="008BC762" w:rsidR="00021CA6" w:rsidRPr="00496A09" w:rsidRDefault="00021CA6" w:rsidP="005E4D47">
      <w:pPr>
        <w:pStyle w:val="ListParagraph"/>
        <w:numPr>
          <w:ilvl w:val="0"/>
          <w:numId w:val="23"/>
        </w:numPr>
        <w:spacing w:after="120" w:line="276" w:lineRule="auto"/>
        <w:ind w:left="1418" w:right="57" w:hanging="284"/>
        <w:textboxTightWrap w:val="none"/>
      </w:pPr>
      <w:r w:rsidRPr="00496A09">
        <w:t>make ordering of vaccines simple</w:t>
      </w:r>
    </w:p>
    <w:p w14:paraId="07E95545" w14:textId="734A93CE" w:rsidR="00866734" w:rsidRPr="00496A09" w:rsidRDefault="00866734" w:rsidP="005E4D47">
      <w:pPr>
        <w:pStyle w:val="ListParagraph"/>
        <w:numPr>
          <w:ilvl w:val="0"/>
          <w:numId w:val="23"/>
        </w:numPr>
        <w:spacing w:after="120" w:line="276" w:lineRule="auto"/>
        <w:ind w:left="1418" w:right="57" w:hanging="284"/>
        <w:textboxTightWrap w:val="none"/>
      </w:pPr>
      <w:r w:rsidRPr="00496A09">
        <w:t>support continuous improvement processes to deliver better services</w:t>
      </w:r>
    </w:p>
    <w:p w14:paraId="0B63D7B0" w14:textId="77777777" w:rsidR="00021CA6" w:rsidRPr="00496A09" w:rsidRDefault="00021CA6" w:rsidP="005E4D47">
      <w:pPr>
        <w:pStyle w:val="ListParagraph"/>
        <w:numPr>
          <w:ilvl w:val="0"/>
          <w:numId w:val="23"/>
        </w:numPr>
        <w:spacing w:after="280" w:line="276" w:lineRule="auto"/>
        <w:ind w:left="1418" w:right="57" w:hanging="284"/>
        <w:textboxTightWrap w:val="none"/>
      </w:pPr>
      <w:r w:rsidRPr="00496A09">
        <w:t>give commissioners and providers visibility of supply and control over deployment of vaccine.</w:t>
      </w:r>
    </w:p>
    <w:p w14:paraId="7EA1070E" w14:textId="5A580705" w:rsidR="00021CA6" w:rsidRPr="00496A09" w:rsidRDefault="00021CA6" w:rsidP="005E4D47">
      <w:pPr>
        <w:spacing w:after="180" w:line="276" w:lineRule="auto"/>
        <w:ind w:right="57"/>
        <w:rPr>
          <w:color w:val="auto"/>
        </w:rPr>
      </w:pPr>
      <w:r w:rsidRPr="00496A09">
        <w:rPr>
          <w:b/>
          <w:bCs/>
          <w:color w:val="auto"/>
        </w:rPr>
        <w:t>National actions</w:t>
      </w:r>
    </w:p>
    <w:p w14:paraId="3311D195" w14:textId="3395B76B" w:rsidR="00021CA6" w:rsidRPr="00496A09" w:rsidRDefault="00021CA6" w:rsidP="005E4D47">
      <w:pPr>
        <w:pStyle w:val="h4numbered"/>
        <w:keepNext w:val="0"/>
        <w:widowControl w:val="0"/>
        <w:spacing w:after="180" w:line="276" w:lineRule="auto"/>
        <w:ind w:left="851" w:right="57" w:hanging="851"/>
      </w:pPr>
      <w:r w:rsidRPr="00496A09">
        <w:t xml:space="preserve">We will work with DHSC, UKHSA and NHS Supply Chain to co-design future models of supply and procurement that support the aims in </w:t>
      </w:r>
      <w:r w:rsidR="00D75558" w:rsidRPr="00496A09">
        <w:t xml:space="preserve">paragraph </w:t>
      </w:r>
      <w:r w:rsidRPr="00496A09">
        <w:t>4.5.4, seeking in particular to:</w:t>
      </w:r>
    </w:p>
    <w:p w14:paraId="5C7C0117" w14:textId="3C1B8AB0" w:rsidR="00021CA6" w:rsidRPr="00496A09" w:rsidRDefault="00021CA6" w:rsidP="005E4D47">
      <w:pPr>
        <w:pStyle w:val="ListParagraph"/>
        <w:numPr>
          <w:ilvl w:val="0"/>
          <w:numId w:val="24"/>
        </w:numPr>
        <w:spacing w:after="120" w:line="276" w:lineRule="auto"/>
        <w:ind w:left="1418" w:right="57" w:hanging="284"/>
        <w:textboxTightWrap w:val="none"/>
      </w:pPr>
      <w:r w:rsidRPr="00496A09">
        <w:t>Increase collaboration and data sharing at national level to enable a consistent central view of vaccine supply and early warning of supply limitations and other challenges.</w:t>
      </w:r>
    </w:p>
    <w:p w14:paraId="45F9E279" w14:textId="18FA28AB" w:rsidR="00021CA6" w:rsidRPr="00496A09" w:rsidRDefault="00021CA6" w:rsidP="005E4D47">
      <w:pPr>
        <w:pStyle w:val="ListParagraph"/>
        <w:numPr>
          <w:ilvl w:val="0"/>
          <w:numId w:val="24"/>
        </w:numPr>
        <w:spacing w:after="120" w:line="276" w:lineRule="auto"/>
        <w:ind w:left="1418" w:right="57" w:hanging="284"/>
        <w:textboxTightWrap w:val="none"/>
      </w:pPr>
      <w:r w:rsidRPr="00496A09">
        <w:t>Co-ordinate the management of all supply chains and their data flows, regardless of the organisation responsible</w:t>
      </w:r>
      <w:r w:rsidR="00103863" w:rsidRPr="00496A09">
        <w:t>;</w:t>
      </w:r>
      <w:r w:rsidRPr="00496A09">
        <w:t xml:space="preserve"> to better control the deployment of vaccine products; use vehicle loads more effectively to reduce the miles they travel; reduce the number of ordering systems that providers need to navigate; and enable providers to know when products will be delivered. </w:t>
      </w:r>
    </w:p>
    <w:p w14:paraId="1834165F" w14:textId="4490336D" w:rsidR="00021CA6" w:rsidRPr="00496A09" w:rsidRDefault="00021CA6" w:rsidP="005E4D47">
      <w:pPr>
        <w:pStyle w:val="ListParagraph"/>
        <w:numPr>
          <w:ilvl w:val="0"/>
          <w:numId w:val="24"/>
        </w:numPr>
        <w:spacing w:after="120" w:line="276" w:lineRule="auto"/>
        <w:ind w:left="1418" w:right="57" w:hanging="284"/>
        <w:textboxTightWrap w:val="none"/>
      </w:pPr>
      <w:r w:rsidRPr="00496A09">
        <w:t xml:space="preserve">Enhance and integrate the different supply chain software systems, to improve planning, allocation, ordering, tracking, inventory management and site management. </w:t>
      </w:r>
    </w:p>
    <w:p w14:paraId="56086D02" w14:textId="5DA5D812" w:rsidR="00021CA6" w:rsidRPr="00496A09" w:rsidRDefault="00021CA6" w:rsidP="005E4D47">
      <w:pPr>
        <w:pStyle w:val="ListParagraph"/>
        <w:numPr>
          <w:ilvl w:val="0"/>
          <w:numId w:val="24"/>
        </w:numPr>
        <w:spacing w:line="276" w:lineRule="auto"/>
        <w:ind w:left="1418" w:right="57" w:hanging="284"/>
        <w:textboxTightWrap w:val="none"/>
      </w:pPr>
      <w:r w:rsidRPr="00496A09">
        <w:t>Pursue legislative change that could enable the safe movement of vaccines across providers where appropriate and thereby support collaboration across a system.</w:t>
      </w:r>
    </w:p>
    <w:p w14:paraId="56FCAC85" w14:textId="3966741E" w:rsidR="007E740F" w:rsidRPr="00496A09" w:rsidRDefault="007E740F" w:rsidP="005E4D47">
      <w:pPr>
        <w:pStyle w:val="ListParagraph"/>
        <w:numPr>
          <w:ilvl w:val="0"/>
          <w:numId w:val="24"/>
        </w:numPr>
        <w:spacing w:line="276" w:lineRule="auto"/>
        <w:ind w:left="1418" w:right="57" w:hanging="284"/>
        <w:textboxTightWrap w:val="none"/>
      </w:pPr>
      <w:r w:rsidRPr="00496A09">
        <w:t>Support strategic partnerships with the life sciences industry which deliver benefits to the public, the NHS and the UK economy</w:t>
      </w:r>
    </w:p>
    <w:p w14:paraId="1C4AC410" w14:textId="114CB26A" w:rsidR="00021CA6" w:rsidRPr="00496A09" w:rsidRDefault="00021CA6" w:rsidP="00611159">
      <w:pPr>
        <w:pStyle w:val="h4numbered"/>
        <w:spacing w:line="276" w:lineRule="auto"/>
        <w:ind w:left="794"/>
        <w:rPr>
          <w:color w:val="auto"/>
        </w:rPr>
      </w:pPr>
      <w:r w:rsidRPr="00496A09">
        <w:t>We will undertake cost</w:t>
      </w:r>
      <w:r w:rsidR="003210FA" w:rsidRPr="00496A09">
        <w:t>–</w:t>
      </w:r>
      <w:r w:rsidRPr="00496A09">
        <w:t xml:space="preserve">benefit analysis, in partnership with DHSC, UKHSA and NHS Supply Chain, to explore whether centralising the procurement and supply of adult flu vaccine could deliver better outcomes and address the existing clinical, operational and financial challenges associated with local procurement. We have heard that current arrangements can restrict systems’ flexibility to design their vaccination delivery network and plan for surges and outbreaks. Centralised procurement may also better support co-administration of COVID-19 and flu vaccine and facilitate the potential introduction of any future combined vaccine or mRNA flu vaccine. </w:t>
      </w:r>
    </w:p>
    <w:p w14:paraId="596F5BEE" w14:textId="6FD487A6" w:rsidR="0060305F" w:rsidRPr="00496A09" w:rsidRDefault="0060305F" w:rsidP="00611159">
      <w:pPr>
        <w:pStyle w:val="h4numbered"/>
        <w:spacing w:line="276" w:lineRule="auto"/>
        <w:ind w:left="794"/>
        <w:rPr>
          <w:color w:val="auto"/>
        </w:rPr>
      </w:pPr>
      <w:r w:rsidRPr="00496A09">
        <w:rPr>
          <w:color w:val="auto"/>
        </w:rPr>
        <w:t>The procurement and supply of COVID-19 vaccines, like most vaccines for the NHS programme</w:t>
      </w:r>
      <w:r w:rsidR="001A4394" w:rsidRPr="00496A09">
        <w:rPr>
          <w:color w:val="auto"/>
        </w:rPr>
        <w:t>,</w:t>
      </w:r>
      <w:r w:rsidRPr="00496A09">
        <w:rPr>
          <w:color w:val="auto"/>
        </w:rPr>
        <w:t xml:space="preserve"> will remain centralised. We expect COVID-19 vaccines to become available privately for purchase in due course, subject to manufacturer and provider decision. This is in line with other MHRA approved vaccines which are currently sold privately, including flu, and would not influence the scope or supply of the NHS programme.</w:t>
      </w:r>
      <w:r w:rsidR="004E01CB" w:rsidRPr="00496A09">
        <w:rPr>
          <w:color w:val="auto"/>
        </w:rPr>
        <w:t xml:space="preserve"> DHSC has begun to facilitate conversations between manufacturers and providers to support this process</w:t>
      </w:r>
    </w:p>
    <w:p w14:paraId="734F5CA2" w14:textId="6859BA54" w:rsidR="00B43F11" w:rsidRPr="00496A09" w:rsidRDefault="00B43F11" w:rsidP="00B43F11">
      <w:pPr>
        <w:pStyle w:val="h4numbered"/>
        <w:keepNext w:val="0"/>
        <w:spacing w:line="276" w:lineRule="auto"/>
        <w:ind w:left="794"/>
        <w:rPr>
          <w:color w:val="auto"/>
        </w:rPr>
      </w:pPr>
      <w:r w:rsidRPr="00496A09">
        <w:rPr>
          <w:color w:val="auto"/>
        </w:rPr>
        <w:t>We will support the future vaccine pipeline by maximising NHS support for vaccine clinical trials, in line with the Government’s Life Sciences Vision</w:t>
      </w:r>
      <w:r w:rsidRPr="00496A09">
        <w:rPr>
          <w:rStyle w:val="FootnoteReference"/>
          <w:color w:val="auto"/>
        </w:rPr>
        <w:footnoteReference w:id="34"/>
      </w:r>
      <w:r w:rsidRPr="00496A09">
        <w:rPr>
          <w:color w:val="auto"/>
        </w:rPr>
        <w:t xml:space="preserve">. This includes working with the new Clinical Trials Delivery Accelerators to optimise the quality of clinical trial delivery </w:t>
      </w:r>
      <w:r w:rsidR="009E691B">
        <w:rPr>
          <w:color w:val="auto"/>
        </w:rPr>
        <w:t>and</w:t>
      </w:r>
      <w:r w:rsidRPr="00496A09">
        <w:rPr>
          <w:color w:val="auto"/>
        </w:rPr>
        <w:t xml:space="preserve"> their reach across the whole health system. We will also continue to explore the opportunities of strategic partnerships with the commercial sector to strengthen our onshore supply and pandemic response.</w:t>
      </w:r>
    </w:p>
    <w:p w14:paraId="63042EA4" w14:textId="77777777" w:rsidR="00385B65" w:rsidRPr="00496A09" w:rsidRDefault="00385B65" w:rsidP="00385B65">
      <w:pPr>
        <w:pStyle w:val="h4numbered"/>
        <w:keepNext w:val="0"/>
        <w:numPr>
          <w:ilvl w:val="0"/>
          <w:numId w:val="0"/>
        </w:numPr>
        <w:spacing w:line="276" w:lineRule="auto"/>
        <w:ind w:left="794"/>
        <w:rPr>
          <w:color w:val="auto"/>
        </w:rPr>
      </w:pPr>
    </w:p>
    <w:p w14:paraId="2B156C8C" w14:textId="77777777" w:rsidR="00385B65" w:rsidRPr="00496A09" w:rsidRDefault="00385B65" w:rsidP="00385B65">
      <w:pPr>
        <w:pStyle w:val="h4numbered"/>
        <w:keepNext w:val="0"/>
        <w:numPr>
          <w:ilvl w:val="0"/>
          <w:numId w:val="0"/>
        </w:numPr>
        <w:spacing w:line="276" w:lineRule="auto"/>
        <w:ind w:left="794"/>
        <w:rPr>
          <w:color w:val="auto"/>
        </w:rPr>
      </w:pPr>
    </w:p>
    <w:p w14:paraId="56A2D429" w14:textId="77777777" w:rsidR="00021CA6" w:rsidRPr="00496A09" w:rsidRDefault="00021CA6" w:rsidP="00593E4B">
      <w:pPr>
        <w:pStyle w:val="h3numbered"/>
        <w:keepNext w:val="0"/>
        <w:spacing w:after="180" w:line="276" w:lineRule="auto"/>
        <w:rPr>
          <w:color w:val="005EB8" w:themeColor="text2"/>
        </w:rPr>
      </w:pPr>
      <w:bookmarkStart w:id="69" w:name="_Toc153264070"/>
      <w:bookmarkEnd w:id="68"/>
      <w:r w:rsidRPr="00496A09">
        <w:t>Outbreak response capability and pandemic preparedness</w:t>
      </w:r>
      <w:bookmarkEnd w:id="69"/>
      <w:r w:rsidRPr="00496A09">
        <w:t xml:space="preserve"> </w:t>
      </w:r>
    </w:p>
    <w:p w14:paraId="5F09E285" w14:textId="658A0844" w:rsidR="00021CA6" w:rsidRPr="00496A09" w:rsidRDefault="00021CA6" w:rsidP="00593E4B">
      <w:pPr>
        <w:pStyle w:val="h4numbered"/>
        <w:keepNext w:val="0"/>
        <w:spacing w:after="180" w:line="276" w:lineRule="auto"/>
        <w:ind w:left="794" w:right="57"/>
        <w:rPr>
          <w:color w:val="auto"/>
        </w:rPr>
      </w:pPr>
      <w:r w:rsidRPr="00496A09">
        <w:t>Vaccination can be a critical, life-saving intervention in the event of an outbreak of infectious disease. COVID-19 vaccination changed the path of the pandemic and, it is estimated, saved tens of millions of lives globally. In May 2022, systems across the country stood up capacity to deal with an outbreak of mpox, vaccinating over 7</w:t>
      </w:r>
      <w:r w:rsidR="00410A4C" w:rsidRPr="00496A09">
        <w:t>8</w:t>
      </w:r>
      <w:r w:rsidRPr="00496A09">
        <w:t xml:space="preserve">,000 people by </w:t>
      </w:r>
      <w:r w:rsidR="00410A4C" w:rsidRPr="00496A09">
        <w:t>September</w:t>
      </w:r>
      <w:r w:rsidRPr="00496A09">
        <w:t xml:space="preserve"> 2023.</w:t>
      </w:r>
      <w:r w:rsidRPr="00496A09">
        <w:rPr>
          <w:rStyle w:val="FootnoteReference"/>
        </w:rPr>
        <w:footnoteReference w:id="35"/>
      </w:r>
    </w:p>
    <w:p w14:paraId="5CFD020E" w14:textId="125E3FA9" w:rsidR="00021CA6" w:rsidRPr="00496A09" w:rsidRDefault="00021CA6" w:rsidP="00611159">
      <w:pPr>
        <w:pStyle w:val="h4numbered"/>
        <w:spacing w:after="180" w:line="276" w:lineRule="auto"/>
        <w:ind w:left="794" w:right="57"/>
      </w:pPr>
      <w:r w:rsidRPr="00496A09">
        <w:t>Most VPD outbreaks do not require a response of this scale and are managed locally through a</w:t>
      </w:r>
      <w:r w:rsidR="00B53239" w:rsidRPr="00496A09">
        <w:t>n outbreak control team bringing together</w:t>
      </w:r>
      <w:r w:rsidRPr="00496A09">
        <w:t xml:space="preserve"> UKHSA health protection teams (HPTs)</w:t>
      </w:r>
      <w:r w:rsidR="003A1D7D" w:rsidRPr="00496A09">
        <w:t>,</w:t>
      </w:r>
      <w:r w:rsidR="00556207" w:rsidRPr="00496A09">
        <w:t xml:space="preserve"> the</w:t>
      </w:r>
      <w:r w:rsidR="00B65433" w:rsidRPr="00496A09">
        <w:t xml:space="preserve"> </w:t>
      </w:r>
      <w:r w:rsidRPr="00496A09">
        <w:t>NHS</w:t>
      </w:r>
      <w:r w:rsidR="00CD2B56" w:rsidRPr="00496A09">
        <w:t>,</w:t>
      </w:r>
      <w:r w:rsidR="00B65433" w:rsidRPr="00496A09">
        <w:t xml:space="preserve"> </w:t>
      </w:r>
      <w:r w:rsidRPr="00496A09">
        <w:t>local authority directors of public health</w:t>
      </w:r>
      <w:r w:rsidR="00147DF1" w:rsidRPr="00496A09">
        <w:t>, and other relevant stakeholders</w:t>
      </w:r>
    </w:p>
    <w:p w14:paraId="73EFA327" w14:textId="1AF7FF0F" w:rsidR="00021CA6" w:rsidRPr="00496A09" w:rsidRDefault="00021CA6" w:rsidP="00611159">
      <w:pPr>
        <w:pStyle w:val="h4numbered"/>
        <w:spacing w:after="180" w:line="276" w:lineRule="auto"/>
        <w:ind w:left="794" w:right="57"/>
      </w:pPr>
      <w:r w:rsidRPr="00496A09">
        <w:t>It is the effective partnership working between these stakeholders that has enabled us to manage surges in need swiftly and effectively and save lives.</w:t>
      </w:r>
    </w:p>
    <w:p w14:paraId="25C722B3" w14:textId="02C2DFEF" w:rsidR="00FA5371" w:rsidRPr="00496A09" w:rsidRDefault="007065C7" w:rsidP="00FA5371">
      <w:pPr>
        <w:pStyle w:val="h4numbered"/>
        <w:keepNext w:val="0"/>
        <w:spacing w:after="180" w:line="276" w:lineRule="auto"/>
        <w:ind w:left="794"/>
      </w:pPr>
      <w:r w:rsidRPr="00496A09">
        <w:rPr>
          <w:rFonts w:eastAsia="Calibri" w:cs="Arial"/>
          <w:noProof/>
        </w:rPr>
        <mc:AlternateContent>
          <mc:Choice Requires="wps">
            <w:drawing>
              <wp:anchor distT="228600" distB="228600" distL="228600" distR="228600" simplePos="0" relativeHeight="251658244" behindDoc="1" locked="0" layoutInCell="1" allowOverlap="1" wp14:anchorId="6FFF761D" wp14:editId="2FBD0D8F">
                <wp:simplePos x="0" y="0"/>
                <wp:positionH relativeFrom="margin">
                  <wp:posOffset>0</wp:posOffset>
                </wp:positionH>
                <wp:positionV relativeFrom="paragraph">
                  <wp:posOffset>1256030</wp:posOffset>
                </wp:positionV>
                <wp:extent cx="6105525" cy="3244850"/>
                <wp:effectExtent l="0" t="0" r="28575" b="12700"/>
                <wp:wrapTight wrapText="bothSides">
                  <wp:wrapPolygon edited="0">
                    <wp:start x="0" y="0"/>
                    <wp:lineTo x="0" y="21558"/>
                    <wp:lineTo x="21634" y="21558"/>
                    <wp:lineTo x="21634"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105525" cy="3244850"/>
                        </a:xfrm>
                        <a:prstGeom prst="rect">
                          <a:avLst/>
                        </a:prstGeom>
                        <a:gradFill rotWithShape="1">
                          <a:gsLst>
                            <a:gs pos="0">
                              <a:srgbClr val="CCDFF1">
                                <a:tint val="90000"/>
                                <a:satMod val="92000"/>
                                <a:lumMod val="120000"/>
                              </a:srgbClr>
                            </a:gs>
                            <a:gs pos="100000">
                              <a:srgbClr val="CCDFF1">
                                <a:shade val="98000"/>
                                <a:satMod val="120000"/>
                                <a:lumMod val="98000"/>
                              </a:srgbClr>
                            </a:gs>
                          </a:gsLst>
                          <a:path path="circle">
                            <a:fillToRect l="50000" t="50000" r="100000" b="100000"/>
                          </a:path>
                        </a:gradFill>
                        <a:ln w="6350">
                          <a:solidFill>
                            <a:schemeClr val="bg1"/>
                          </a:solidFill>
                        </a:ln>
                        <a:effectLst/>
                      </wps:spPr>
                      <wps:txbx>
                        <w:txbxContent>
                          <w:p w14:paraId="699D6699" w14:textId="77777777" w:rsidR="00C15DCA" w:rsidRPr="0016261B" w:rsidRDefault="00C15DCA" w:rsidP="005E4D47">
                            <w:pPr>
                              <w:spacing w:after="180" w:line="276" w:lineRule="auto"/>
                              <w:rPr>
                                <w:rFonts w:cs="Arial"/>
                                <w:b/>
                                <w:bCs/>
                                <w:color w:val="auto"/>
                              </w:rPr>
                            </w:pPr>
                            <w:r w:rsidRPr="0016261B">
                              <w:rPr>
                                <w:rFonts w:cs="Arial"/>
                                <w:b/>
                                <w:bCs/>
                                <w:color w:val="auto"/>
                              </w:rPr>
                              <w:t xml:space="preserve">Case study: Rapid rollout of a new vaccination programme in the </w:t>
                            </w:r>
                            <w:r>
                              <w:rPr>
                                <w:rFonts w:cs="Arial"/>
                                <w:b/>
                                <w:bCs/>
                                <w:color w:val="auto"/>
                              </w:rPr>
                              <w:t>S</w:t>
                            </w:r>
                            <w:r w:rsidRPr="0016261B">
                              <w:rPr>
                                <w:rFonts w:cs="Arial"/>
                                <w:b/>
                                <w:bCs/>
                                <w:color w:val="auto"/>
                              </w:rPr>
                              <w:t>outh</w:t>
                            </w:r>
                            <w:r w:rsidR="00AC1767">
                              <w:rPr>
                                <w:rFonts w:cs="Arial"/>
                                <w:b/>
                                <w:bCs/>
                                <w:color w:val="auto"/>
                              </w:rPr>
                              <w:t xml:space="preserve"> W</w:t>
                            </w:r>
                            <w:r w:rsidRPr="0016261B">
                              <w:rPr>
                                <w:rFonts w:cs="Arial"/>
                                <w:b/>
                                <w:bCs/>
                                <w:color w:val="auto"/>
                              </w:rPr>
                              <w:t>est</w:t>
                            </w:r>
                          </w:p>
                          <w:p w14:paraId="5675DD70" w14:textId="77777777" w:rsidR="00C15DCA" w:rsidRPr="0016261B" w:rsidRDefault="00C15DCA" w:rsidP="005E4D47">
                            <w:pPr>
                              <w:spacing w:after="180" w:line="276" w:lineRule="auto"/>
                              <w:rPr>
                                <w:rFonts w:cs="Arial"/>
                                <w:color w:val="auto"/>
                              </w:rPr>
                            </w:pPr>
                            <w:r w:rsidRPr="0016261B">
                              <w:rPr>
                                <w:rFonts w:cs="Arial"/>
                                <w:color w:val="auto"/>
                              </w:rPr>
                              <w:t>Following the declaration of an mpox outbreak in May 2022, Bristol, North Somerset and South Gloucestershire ICB</w:t>
                            </w:r>
                            <w:r w:rsidRPr="0016261B">
                              <w:rPr>
                                <w:rFonts w:cs="Arial"/>
                                <w:b/>
                                <w:bCs/>
                                <w:color w:val="auto"/>
                              </w:rPr>
                              <w:t xml:space="preserve"> </w:t>
                            </w:r>
                            <w:r w:rsidRPr="0016261B">
                              <w:rPr>
                                <w:rFonts w:cs="Arial"/>
                                <w:color w:val="auto"/>
                              </w:rPr>
                              <w:t xml:space="preserve">formed a system-wide oversight group to support the rapid rollout of the mpox vaccine with a targeted approach. </w:t>
                            </w:r>
                            <w:r w:rsidR="004C274A" w:rsidRPr="007A27C3">
                              <w:rPr>
                                <w:rFonts w:cs="Arial"/>
                                <w:color w:val="auto"/>
                              </w:rPr>
                              <w:t>The leadership team actively engaged with local charities and experts within the ‘at risk’ community to offer opportunities to discuss concerns and share information to encourage uptake</w:t>
                            </w:r>
                            <w:r w:rsidR="004C274A">
                              <w:rPr>
                                <w:rFonts w:cs="Arial"/>
                                <w:color w:val="auto"/>
                              </w:rPr>
                              <w:t>.</w:t>
                            </w:r>
                          </w:p>
                          <w:p w14:paraId="02BCF413" w14:textId="77777777" w:rsidR="00C15DCA" w:rsidRPr="0016261B" w:rsidRDefault="00C15DCA" w:rsidP="005E4D47">
                            <w:pPr>
                              <w:spacing w:after="180" w:line="276" w:lineRule="auto"/>
                              <w:rPr>
                                <w:rFonts w:cs="Arial"/>
                                <w:color w:val="auto"/>
                              </w:rPr>
                            </w:pPr>
                            <w:r w:rsidRPr="0016261B">
                              <w:rPr>
                                <w:rFonts w:cs="Arial"/>
                                <w:color w:val="auto"/>
                              </w:rPr>
                              <w:t xml:space="preserve">A COVID-19 vaccination centre was repurposed to deliver mpox vaccinations at pace, with existing vaccination staff deployed to support. A sexual health consultant was on site to advise on patient cases as needed. The ICB worked with local sexual health clinics to contact people at risk of mpox infection and raise awareness of the vaccination centre. Nearly 400 people booked an appointment in the first 24 hours of the site opening, and between June 2022 and March 2023, the service administered 1,941 vaccines, easing pressure on sexual health clinics. </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F761D" id="Text Box 3" o:spid="_x0000_s1040" type="#_x0000_t202" style="position:absolute;left:0;text-align:left;margin-left:0;margin-top:98.9pt;width:480.75pt;height:255.5pt;z-index:-25165823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" strokecolor="#231f20 [3212]" strokeweight=".5pt">
                <v:fill color2="#bfd9f1" rotate="t" focusposition=".5,.5" focussize="-.5,-.5" focus="100%" type="gradientRadial"/>
                <v:textbox inset="14.4pt,14.4pt,14.4pt,14.4pt">
                  <w:txbxContent>
                    <w:p w14:paraId="699D6699" w14:textId="77777777" w:rsidR="00C15DCA" w:rsidRPr="0016261B" w:rsidRDefault="00C15DCA" w:rsidP="005E4D47">
                      <w:pPr>
                        <w:spacing w:after="180" w:line="276" w:lineRule="auto"/>
                        <w:rPr>
                          <w:rFonts w:cs="Arial"/>
                          <w:b/>
                          <w:bCs/>
                          <w:color w:val="auto"/>
                        </w:rPr>
                      </w:pPr>
                      <w:r w:rsidRPr="0016261B">
                        <w:rPr>
                          <w:rFonts w:cs="Arial"/>
                          <w:b/>
                          <w:bCs/>
                          <w:color w:val="auto"/>
                        </w:rPr>
                        <w:t xml:space="preserve">Case study: Rapid rollout of a new vaccination programme in the </w:t>
                      </w:r>
                      <w:r>
                        <w:rPr>
                          <w:rFonts w:cs="Arial"/>
                          <w:b/>
                          <w:bCs/>
                          <w:color w:val="auto"/>
                        </w:rPr>
                        <w:t>S</w:t>
                      </w:r>
                      <w:r w:rsidRPr="0016261B">
                        <w:rPr>
                          <w:rFonts w:cs="Arial"/>
                          <w:b/>
                          <w:bCs/>
                          <w:color w:val="auto"/>
                        </w:rPr>
                        <w:t>outh</w:t>
                      </w:r>
                      <w:r w:rsidR="00AC1767">
                        <w:rPr>
                          <w:rFonts w:cs="Arial"/>
                          <w:b/>
                          <w:bCs/>
                          <w:color w:val="auto"/>
                        </w:rPr>
                        <w:t xml:space="preserve"> W</w:t>
                      </w:r>
                      <w:r w:rsidRPr="0016261B">
                        <w:rPr>
                          <w:rFonts w:cs="Arial"/>
                          <w:b/>
                          <w:bCs/>
                          <w:color w:val="auto"/>
                        </w:rPr>
                        <w:t>est</w:t>
                      </w:r>
                    </w:p>
                    <w:p w14:paraId="5675DD70" w14:textId="77777777" w:rsidR="00C15DCA" w:rsidRPr="0016261B" w:rsidRDefault="00C15DCA" w:rsidP="005E4D47">
                      <w:pPr>
                        <w:spacing w:after="180" w:line="276" w:lineRule="auto"/>
                        <w:rPr>
                          <w:rFonts w:cs="Arial"/>
                          <w:color w:val="auto"/>
                        </w:rPr>
                      </w:pPr>
                      <w:r w:rsidRPr="0016261B">
                        <w:rPr>
                          <w:rFonts w:cs="Arial"/>
                          <w:color w:val="auto"/>
                        </w:rPr>
                        <w:t>Following the declaration of an mpox outbreak in May 2022, Bristol, North Somerset and South Gloucestershire ICB</w:t>
                      </w:r>
                      <w:r w:rsidRPr="0016261B">
                        <w:rPr>
                          <w:rFonts w:cs="Arial"/>
                          <w:b/>
                          <w:bCs/>
                          <w:color w:val="auto"/>
                        </w:rPr>
                        <w:t xml:space="preserve"> </w:t>
                      </w:r>
                      <w:r w:rsidRPr="0016261B">
                        <w:rPr>
                          <w:rFonts w:cs="Arial"/>
                          <w:color w:val="auto"/>
                        </w:rPr>
                        <w:t xml:space="preserve">formed a system-wide oversight group to support the rapid rollout of the mpox vaccine with a targeted approach. </w:t>
                      </w:r>
                      <w:r w:rsidR="004C274A" w:rsidRPr="007A27C3">
                        <w:rPr>
                          <w:rFonts w:cs="Arial"/>
                          <w:color w:val="auto"/>
                        </w:rPr>
                        <w:t>The leadership team actively engaged with local charities and experts within the ‘at risk’ community to offer opportunities to discuss concerns and share information to encourage uptake</w:t>
                      </w:r>
                      <w:r w:rsidR="004C274A">
                        <w:rPr>
                          <w:rFonts w:cs="Arial"/>
                          <w:color w:val="auto"/>
                        </w:rPr>
                        <w:t>.</w:t>
                      </w:r>
                    </w:p>
                    <w:p w14:paraId="02BCF413" w14:textId="77777777" w:rsidR="00C15DCA" w:rsidRPr="0016261B" w:rsidRDefault="00C15DCA" w:rsidP="005E4D47">
                      <w:pPr>
                        <w:spacing w:after="180" w:line="276" w:lineRule="auto"/>
                        <w:rPr>
                          <w:rFonts w:cs="Arial"/>
                          <w:color w:val="auto"/>
                        </w:rPr>
                      </w:pPr>
                      <w:r w:rsidRPr="0016261B">
                        <w:rPr>
                          <w:rFonts w:cs="Arial"/>
                          <w:color w:val="auto"/>
                        </w:rPr>
                        <w:t xml:space="preserve">A COVID-19 vaccination centre was repurposed to deliver mpox vaccinations at pace, with existing vaccination staff deployed to support. A sexual health consultant was on site to advise on patient cases as needed. The ICB worked with local sexual health clinics to contact people at risk of mpox infection and raise awareness of the vaccination centre. Nearly 400 people booked an appointment in the first 24 hours of the site opening, and between June 2022 and March 2023, the service administered 1,941 vaccines, easing pressure on sexual health clinics. </w:t>
                      </w:r>
                    </w:p>
                  </w:txbxContent>
                </v:textbox>
                <w10:wrap type="tight" anchorx="margin"/>
              </v:shape>
            </w:pict>
          </mc:Fallback>
        </mc:AlternateContent>
      </w:r>
      <w:r w:rsidR="00021CA6" w:rsidRPr="00496A09">
        <w:t>The first line of defence against VPD outbreaks is high vaccination coverage in the population. Outbreaks are costly – in every sense – compared to life-</w:t>
      </w:r>
      <w:r w:rsidR="005924C5" w:rsidRPr="00496A09">
        <w:t>course vaccination</w:t>
      </w:r>
      <w:r w:rsidR="00021CA6" w:rsidRPr="00496A09">
        <w:t xml:space="preserve"> delivery; therefore, achieving the outcomes set out in this strategy are the best way of protecting people and communities from disease, and avoiding outbreaks and additional strain on our health services. </w:t>
      </w:r>
    </w:p>
    <w:p w14:paraId="4BA70B16" w14:textId="2F559F09" w:rsidR="00021CA6" w:rsidRPr="00496A09" w:rsidRDefault="00AB2A7A" w:rsidP="00FA5371">
      <w:pPr>
        <w:pStyle w:val="h4numbered"/>
        <w:keepNext w:val="0"/>
        <w:spacing w:after="180" w:line="276" w:lineRule="auto"/>
        <w:ind w:left="794"/>
      </w:pPr>
      <w:r w:rsidRPr="00496A09">
        <w:t>The second line of defence is having vaccination services with the leadership, flexibility, supply chains, data flows and staffing models that can step up at scale and pace while minimising the impact on existing health services.</w:t>
      </w:r>
    </w:p>
    <w:p w14:paraId="43652AB7" w14:textId="3B9BA8ED" w:rsidR="00201F32" w:rsidRPr="00496A09" w:rsidRDefault="00201F32" w:rsidP="005E4D47">
      <w:pPr>
        <w:spacing w:after="180"/>
        <w:ind w:right="57"/>
        <w:rPr>
          <w:color w:val="auto"/>
        </w:rPr>
      </w:pPr>
      <w:r w:rsidRPr="00496A09">
        <w:rPr>
          <w:b/>
          <w:bCs/>
        </w:rPr>
        <w:t xml:space="preserve">Overarching roles and responsibilities </w:t>
      </w:r>
    </w:p>
    <w:p w14:paraId="61F09615" w14:textId="61DA5F3B" w:rsidR="00201F32" w:rsidRPr="00496A09" w:rsidRDefault="00201F32" w:rsidP="005E4D47">
      <w:pPr>
        <w:pStyle w:val="h4numbered"/>
        <w:spacing w:after="180" w:line="276" w:lineRule="auto"/>
        <w:ind w:left="851" w:right="57" w:hanging="851"/>
        <w:rPr>
          <w:color w:val="auto"/>
        </w:rPr>
      </w:pPr>
      <w:r w:rsidRPr="00496A09">
        <w:t xml:space="preserve">Outbreaks vary in size and complexity. The response deployed, and the organisations involved, will depend on the specific circumstances of that outbreak and the area in which it occurs.  </w:t>
      </w:r>
    </w:p>
    <w:p w14:paraId="410CD801" w14:textId="369C375C" w:rsidR="00201F32" w:rsidRPr="00496A09" w:rsidRDefault="00201F32" w:rsidP="005E4D47">
      <w:pPr>
        <w:pStyle w:val="h4numbered"/>
        <w:spacing w:after="180" w:line="276" w:lineRule="auto"/>
        <w:ind w:left="851" w:right="57" w:hanging="851"/>
        <w:rPr>
          <w:color w:val="auto"/>
        </w:rPr>
      </w:pPr>
      <w:r w:rsidRPr="00496A09">
        <w:t>Public health expertise sits in a number of different organisations in England, representing different specialisms and skills. Successful population-based health responses of all types depend on partnership working between these organisations.</w:t>
      </w:r>
    </w:p>
    <w:p w14:paraId="1280BE65" w14:textId="53511930" w:rsidR="00201F32" w:rsidRPr="00496A09" w:rsidRDefault="00201F32" w:rsidP="005E4D47">
      <w:pPr>
        <w:pStyle w:val="h4numbered"/>
        <w:spacing w:after="180" w:line="276" w:lineRule="auto"/>
        <w:ind w:left="794"/>
        <w:rPr>
          <w:color w:val="auto"/>
        </w:rPr>
      </w:pPr>
      <w:r w:rsidRPr="00496A09">
        <w:t xml:space="preserve">UKHSA and NHS England both have responsibilities in relation to outbreaks and will work in partnership to protect public health.  </w:t>
      </w:r>
    </w:p>
    <w:p w14:paraId="7014E202" w14:textId="7EECF476" w:rsidR="00201F32" w:rsidRPr="00496A09" w:rsidRDefault="00201F32" w:rsidP="005E4D47">
      <w:pPr>
        <w:pStyle w:val="ListParagraph"/>
        <w:numPr>
          <w:ilvl w:val="3"/>
          <w:numId w:val="11"/>
        </w:numPr>
        <w:spacing w:after="120" w:line="276" w:lineRule="auto"/>
        <w:ind w:left="1418" w:hanging="284"/>
        <w:textboxTightWrap w:val="none"/>
        <w:rPr>
          <w:color w:val="auto"/>
        </w:rPr>
      </w:pPr>
      <w:r w:rsidRPr="00496A09">
        <w:rPr>
          <w:color w:val="auto"/>
        </w:rPr>
        <w:t>UKHSA has responsibility for protecting the nation’s health. It receives statutory notification of all cases of notifiable communicable disease. Its regional HPTs provide</w:t>
      </w:r>
      <w:r w:rsidR="005B41C3" w:rsidRPr="00496A09">
        <w:rPr>
          <w:color w:val="auto"/>
        </w:rPr>
        <w:t xml:space="preserve"> leadership,</w:t>
      </w:r>
      <w:r w:rsidRPr="00496A09">
        <w:rPr>
          <w:color w:val="auto"/>
        </w:rPr>
        <w:t xml:space="preserve"> evidence-based advice, guidance and support on control measures for outbreaks, which may include vaccination, and will advise on the cohorts that should be vaccinated. </w:t>
      </w:r>
    </w:p>
    <w:p w14:paraId="19689EFB" w14:textId="72C5AFA5" w:rsidR="00C84B4E" w:rsidRPr="00496A09" w:rsidRDefault="00C360AF" w:rsidP="005E4D47">
      <w:pPr>
        <w:pStyle w:val="ListParagraph"/>
        <w:numPr>
          <w:ilvl w:val="3"/>
          <w:numId w:val="11"/>
        </w:numPr>
        <w:spacing w:line="276" w:lineRule="auto"/>
        <w:ind w:left="1418" w:hanging="284"/>
        <w:textboxTightWrap w:val="none"/>
        <w:rPr>
          <w:color w:val="auto"/>
        </w:rPr>
      </w:pPr>
      <w:r w:rsidRPr="00496A09">
        <w:rPr>
          <w:color w:val="auto"/>
        </w:rPr>
        <w:t>NHS England</w:t>
      </w:r>
      <w:r w:rsidR="00201F32" w:rsidRPr="00496A09">
        <w:rPr>
          <w:color w:val="auto"/>
        </w:rPr>
        <w:t xml:space="preserve"> (in partnership with other commissioners where appropriate) is operationally responsible for mobilising the clinical</w:t>
      </w:r>
      <w:r w:rsidR="00C84B4E" w:rsidRPr="00496A09">
        <w:rPr>
          <w:color w:val="auto"/>
        </w:rPr>
        <w:t xml:space="preserve"> response to an outbreak and delivering clinical interventions through its contractual arrangements with a provider or providers.  </w:t>
      </w:r>
    </w:p>
    <w:p w14:paraId="48BD949A" w14:textId="4C1BA9BB" w:rsidR="00C84B4E" w:rsidRPr="00496A09" w:rsidRDefault="00C84B4E" w:rsidP="00391FDA">
      <w:pPr>
        <w:pStyle w:val="h4numbered"/>
        <w:spacing w:after="240" w:line="276" w:lineRule="auto"/>
        <w:ind w:left="794"/>
      </w:pPr>
      <w:r w:rsidRPr="00496A09">
        <w:t xml:space="preserve">The leadership and governance for outbreaks should be set out in the ICB outbreak plan (see </w:t>
      </w:r>
      <w:r w:rsidR="00391FDA" w:rsidRPr="00496A09">
        <w:t xml:space="preserve">paragraph </w:t>
      </w:r>
      <w:r w:rsidRPr="00496A09">
        <w:t>4.6.13). In all cases, regional NHS England teams, the relevant ICB(s) and the HPT should work in partnership</w:t>
      </w:r>
      <w:r w:rsidR="00AC5BB3" w:rsidRPr="00496A09">
        <w:t xml:space="preserve"> to</w:t>
      </w:r>
      <w:r w:rsidRPr="00496A09">
        <w:t xml:space="preserve"> </w:t>
      </w:r>
      <w:r w:rsidR="00D871A0" w:rsidRPr="00496A09">
        <w:t xml:space="preserve">manage outbreaks. UKHSA will usually </w:t>
      </w:r>
      <w:r w:rsidRPr="00496A09">
        <w:t>convene a multi-agency outbreak control team</w:t>
      </w:r>
      <w:r w:rsidR="00AC5BB3" w:rsidRPr="00496A09">
        <w:t xml:space="preserve"> if required</w:t>
      </w:r>
      <w:r w:rsidRPr="00496A09">
        <w:t>. This team should usually include local authority public health representatives on behalf of the director of public health.</w:t>
      </w:r>
    </w:p>
    <w:p w14:paraId="4B2CB36E" w14:textId="53CBD626" w:rsidR="00FD0041" w:rsidRPr="00496A09" w:rsidRDefault="00FD0041" w:rsidP="00391FDA">
      <w:pPr>
        <w:spacing w:after="180"/>
        <w:ind w:right="57"/>
        <w:rPr>
          <w:b/>
          <w:bCs/>
          <w:color w:val="auto"/>
        </w:rPr>
      </w:pPr>
      <w:r w:rsidRPr="00496A09">
        <w:rPr>
          <w:b/>
          <w:bCs/>
          <w:color w:val="auto"/>
        </w:rPr>
        <w:t>Maintaining capacity and capability</w:t>
      </w:r>
    </w:p>
    <w:p w14:paraId="1098CD51" w14:textId="4DE34838" w:rsidR="00FD0041" w:rsidRPr="00496A09" w:rsidRDefault="00FD0041" w:rsidP="005E4D47">
      <w:pPr>
        <w:pStyle w:val="h4numbered"/>
        <w:spacing w:after="180" w:line="276" w:lineRule="auto"/>
        <w:ind w:left="794"/>
        <w:rPr>
          <w:color w:val="auto"/>
        </w:rPr>
      </w:pPr>
      <w:r w:rsidRPr="00496A09">
        <w:t>Outbreak and pandemic preparedness requires systems to be in a state of permanent readiness to respond to change. This requires extra capacity that can be rapidly mobilised in a way that:</w:t>
      </w:r>
      <w:r w:rsidRPr="00496A09">
        <w:rPr>
          <w:color w:val="auto"/>
        </w:rPr>
        <w:t xml:space="preserve"> </w:t>
      </w:r>
    </w:p>
    <w:p w14:paraId="51095B4A" w14:textId="77777777" w:rsidR="00FD0041" w:rsidRPr="00496A09" w:rsidRDefault="00FD0041" w:rsidP="005E4D47">
      <w:pPr>
        <w:pStyle w:val="ListParagraph"/>
        <w:numPr>
          <w:ilvl w:val="3"/>
          <w:numId w:val="11"/>
        </w:numPr>
        <w:spacing w:after="120" w:line="276" w:lineRule="auto"/>
        <w:ind w:left="1491" w:right="57" w:hanging="357"/>
        <w:textboxTightWrap w:val="none"/>
        <w:rPr>
          <w:color w:val="auto"/>
        </w:rPr>
      </w:pPr>
      <w:r w:rsidRPr="00496A09">
        <w:rPr>
          <w:color w:val="auto"/>
        </w:rPr>
        <w:t>minimises impact on other vaccination or wider healthcare services</w:t>
      </w:r>
    </w:p>
    <w:p w14:paraId="6F000EEE" w14:textId="07A38CE3" w:rsidR="00FD0041" w:rsidRPr="00496A09" w:rsidRDefault="00FD0041" w:rsidP="005E4D47">
      <w:pPr>
        <w:pStyle w:val="ListParagraph"/>
        <w:numPr>
          <w:ilvl w:val="3"/>
          <w:numId w:val="11"/>
        </w:numPr>
        <w:spacing w:line="276" w:lineRule="auto"/>
        <w:ind w:left="1491" w:right="57" w:hanging="357"/>
        <w:textboxTightWrap w:val="none"/>
        <w:rPr>
          <w:color w:val="auto"/>
        </w:rPr>
      </w:pPr>
      <w:r w:rsidRPr="00496A09">
        <w:rPr>
          <w:color w:val="auto"/>
        </w:rPr>
        <w:t>is as cost-efficient as possible</w:t>
      </w:r>
      <w:r w:rsidR="0049077E" w:rsidRPr="00496A09">
        <w:rPr>
          <w:color w:val="auto"/>
        </w:rPr>
        <w:t>;</w:t>
      </w:r>
      <w:r w:rsidRPr="00496A09">
        <w:rPr>
          <w:color w:val="auto"/>
        </w:rPr>
        <w:t xml:space="preserve"> for example</w:t>
      </w:r>
      <w:r w:rsidR="0049077E" w:rsidRPr="00496A09">
        <w:rPr>
          <w:color w:val="auto"/>
        </w:rPr>
        <w:t>,</w:t>
      </w:r>
      <w:r w:rsidRPr="00496A09">
        <w:rPr>
          <w:color w:val="auto"/>
        </w:rPr>
        <w:t xml:space="preserve"> in its use of estate.</w:t>
      </w:r>
    </w:p>
    <w:p w14:paraId="0FF73B53" w14:textId="4C70A231" w:rsidR="00FD0041" w:rsidRPr="00496A09" w:rsidRDefault="00FD0041" w:rsidP="00840E01">
      <w:pPr>
        <w:pStyle w:val="h4numbered"/>
        <w:spacing w:after="180" w:line="276" w:lineRule="auto"/>
        <w:ind w:left="794" w:right="57"/>
        <w:rPr>
          <w:color w:val="auto"/>
        </w:rPr>
      </w:pPr>
      <w:r w:rsidRPr="00496A09">
        <w:t>Integrated neighbourhood teams could support this; they could flex their focus, depending on the outbreak situation at any given time, and dial up or down their other activities in the community such as wider prevention work or vaccination catch-up. They can also build trust through community engagement – rather than starting from scratch when a new campaign is required.</w:t>
      </w:r>
    </w:p>
    <w:p w14:paraId="1AAB9567" w14:textId="77777777" w:rsidR="00FD0041" w:rsidRPr="00496A09" w:rsidRDefault="00FD0041" w:rsidP="00840E01">
      <w:pPr>
        <w:pStyle w:val="h4numbered"/>
        <w:spacing w:before="180" w:after="280" w:line="276" w:lineRule="auto"/>
        <w:ind w:left="794"/>
      </w:pPr>
      <w:r w:rsidRPr="00496A09">
        <w:t>Local contracts should include adequate flex to enable providers to deliver outbreak response in an agile way with minimum impact on existing services.</w:t>
      </w:r>
    </w:p>
    <w:p w14:paraId="46CF783F" w14:textId="10EFA52B" w:rsidR="00FD0041" w:rsidRPr="00496A09" w:rsidRDefault="00FD0041" w:rsidP="00840E01">
      <w:pPr>
        <w:spacing w:before="180" w:after="180" w:line="276" w:lineRule="auto"/>
        <w:ind w:right="57"/>
        <w:rPr>
          <w:b/>
          <w:bCs/>
        </w:rPr>
      </w:pPr>
      <w:r w:rsidRPr="00496A09">
        <w:rPr>
          <w:b/>
          <w:bCs/>
        </w:rPr>
        <w:t xml:space="preserve">Actions </w:t>
      </w:r>
    </w:p>
    <w:p w14:paraId="5FA25992" w14:textId="25CC3D65" w:rsidR="00FD0041" w:rsidRPr="00496A09" w:rsidRDefault="00FD0041" w:rsidP="005E4D47">
      <w:pPr>
        <w:pStyle w:val="h4numbered"/>
        <w:spacing w:after="180" w:line="276" w:lineRule="auto"/>
        <w:ind w:left="794" w:right="57"/>
        <w:rPr>
          <w:color w:val="auto"/>
        </w:rPr>
      </w:pPr>
      <w:r w:rsidRPr="00496A09">
        <w:t>Each ICB should develop a robust, multi-agency plan for outbreaks that:</w:t>
      </w:r>
    </w:p>
    <w:p w14:paraId="725331F8" w14:textId="275C0730" w:rsidR="00FD0041" w:rsidRPr="00496A09" w:rsidRDefault="005E4D47" w:rsidP="005E4D47">
      <w:pPr>
        <w:pStyle w:val="ListParagraph"/>
        <w:numPr>
          <w:ilvl w:val="1"/>
          <w:numId w:val="25"/>
        </w:numPr>
        <w:spacing w:after="120" w:line="276" w:lineRule="auto"/>
        <w:ind w:left="1418" w:right="57" w:hanging="284"/>
        <w:textboxTightWrap w:val="none"/>
      </w:pPr>
      <w:r w:rsidRPr="00496A09">
        <w:t>i</w:t>
      </w:r>
      <w:r w:rsidR="00FD0041" w:rsidRPr="00496A09">
        <w:t xml:space="preserve">s agreed by the local authority, UKHSA HPT, </w:t>
      </w:r>
      <w:r w:rsidR="003723B6" w:rsidRPr="00496A09">
        <w:t>Local Health Resilience Partnership</w:t>
      </w:r>
      <w:r w:rsidR="003723B6" w:rsidRPr="00496A09" w:rsidDel="0095279F">
        <w:t xml:space="preserve"> </w:t>
      </w:r>
      <w:r w:rsidR="003723B6" w:rsidRPr="00496A09">
        <w:t xml:space="preserve">(LHRP) </w:t>
      </w:r>
      <w:r w:rsidR="00FD0041" w:rsidRPr="00496A09">
        <w:t>and NHS regional team</w:t>
      </w:r>
    </w:p>
    <w:p w14:paraId="7CB0E190" w14:textId="79AB1BE6" w:rsidR="00FD0041" w:rsidRPr="00496A09" w:rsidRDefault="00FD0041" w:rsidP="005E4D47">
      <w:pPr>
        <w:pStyle w:val="ListParagraph"/>
        <w:numPr>
          <w:ilvl w:val="1"/>
          <w:numId w:val="25"/>
        </w:numPr>
        <w:spacing w:after="120" w:line="276" w:lineRule="auto"/>
        <w:ind w:left="1418" w:right="57" w:hanging="284"/>
        <w:textboxTightWrap w:val="none"/>
      </w:pPr>
      <w:r w:rsidRPr="00496A09">
        <w:t xml:space="preserve">clarifies local responsibilities across all parties </w:t>
      </w:r>
    </w:p>
    <w:p w14:paraId="28CA55DD" w14:textId="77777777" w:rsidR="00FD0041" w:rsidRPr="00496A09" w:rsidRDefault="00FD0041" w:rsidP="005E4D47">
      <w:pPr>
        <w:pStyle w:val="ListParagraph"/>
        <w:numPr>
          <w:ilvl w:val="1"/>
          <w:numId w:val="25"/>
        </w:numPr>
        <w:spacing w:after="120" w:line="276" w:lineRule="auto"/>
        <w:ind w:left="1418" w:right="57" w:hanging="284"/>
        <w:textboxTightWrap w:val="none"/>
      </w:pPr>
      <w:r w:rsidRPr="00496A09">
        <w:t>clarifies sources of contingency funding to support outbreak response</w:t>
      </w:r>
    </w:p>
    <w:p w14:paraId="754CBF32" w14:textId="77777777" w:rsidR="00FD0041" w:rsidRPr="00496A09" w:rsidRDefault="00FD0041" w:rsidP="005E4D47">
      <w:pPr>
        <w:pStyle w:val="ListParagraph"/>
        <w:numPr>
          <w:ilvl w:val="1"/>
          <w:numId w:val="25"/>
        </w:numPr>
        <w:spacing w:after="120" w:line="276" w:lineRule="auto"/>
        <w:ind w:left="1418" w:right="57" w:hanging="284"/>
        <w:textboxTightWrap w:val="none"/>
      </w:pPr>
      <w:r w:rsidRPr="00496A09">
        <w:t>addresses how underserved populations will be reached, building on the community engagement and outreach models described earlier in this report, to ensure outbreaks do not exacerbate health inequalities</w:t>
      </w:r>
    </w:p>
    <w:p w14:paraId="1C4FDF0C" w14:textId="77777777" w:rsidR="00FD0041" w:rsidRPr="00496A09" w:rsidRDefault="00FD0041" w:rsidP="005E4D47">
      <w:pPr>
        <w:pStyle w:val="ListParagraph"/>
        <w:numPr>
          <w:ilvl w:val="1"/>
          <w:numId w:val="25"/>
        </w:numPr>
        <w:spacing w:after="120" w:line="276" w:lineRule="auto"/>
        <w:ind w:left="1418" w:right="57" w:hanging="284"/>
        <w:textboxTightWrap w:val="none"/>
      </w:pPr>
      <w:r w:rsidRPr="00496A09">
        <w:t>includes vaccinations not currently in the routine schedule or those commissioned via other means</w:t>
      </w:r>
    </w:p>
    <w:p w14:paraId="2A8A1312" w14:textId="4FFCBC57" w:rsidR="00FD0041" w:rsidRPr="00496A09" w:rsidRDefault="00FD0041" w:rsidP="005E4D47">
      <w:pPr>
        <w:pStyle w:val="ListParagraph"/>
        <w:numPr>
          <w:ilvl w:val="1"/>
          <w:numId w:val="25"/>
        </w:numPr>
        <w:spacing w:line="276" w:lineRule="auto"/>
        <w:ind w:left="1418" w:right="57" w:hanging="284"/>
        <w:textboxTightWrap w:val="none"/>
      </w:pPr>
      <w:r w:rsidRPr="00496A09">
        <w:t xml:space="preserve">aligns capacity with other services by working with other organisations; for example, during the mpox outbreak, local authority commissioned sexual health services delivered mpox vaccinations to better reach the main at-risk cohorts. </w:t>
      </w:r>
    </w:p>
    <w:p w14:paraId="3E7E0A00" w14:textId="44C160DE" w:rsidR="00FD0041" w:rsidRPr="00496A09" w:rsidRDefault="00FD0041" w:rsidP="005E4D47">
      <w:pPr>
        <w:pStyle w:val="h4numbered"/>
        <w:spacing w:after="180" w:line="276" w:lineRule="auto"/>
        <w:ind w:left="851" w:right="57" w:hanging="851"/>
        <w:rPr>
          <w:color w:val="auto"/>
        </w:rPr>
      </w:pPr>
      <w:r w:rsidRPr="00496A09">
        <w:t xml:space="preserve">Working with UKHSA and DHSC, NHS England will develop the national tools required to support these local actions. This includes service specifications and guidance detailing specific requirements and best practice in relation to </w:t>
      </w:r>
      <w:r w:rsidR="000B2A48" w:rsidRPr="00496A09">
        <w:t xml:space="preserve">vaccinations in </w:t>
      </w:r>
      <w:r w:rsidRPr="00496A09">
        <w:t xml:space="preserve">outbreaks, to reduce unwarranted variation. </w:t>
      </w:r>
    </w:p>
    <w:p w14:paraId="6D0F25A2" w14:textId="7432E00D" w:rsidR="00FD0041" w:rsidRPr="00496A09" w:rsidRDefault="00FD0041">
      <w:pPr>
        <w:pStyle w:val="h4numbered"/>
        <w:spacing w:line="276" w:lineRule="auto"/>
        <w:ind w:left="794"/>
        <w:rPr>
          <w:color w:val="auto"/>
        </w:rPr>
      </w:pPr>
      <w:r w:rsidRPr="00496A09">
        <w:t xml:space="preserve">Data sharing and timely data flows are critical for dealing with outbreaks. The national actions and improvements set out in section 4.4 are designed to improve all elements of vaccination delivery, including in outbreak scenarios.  </w:t>
      </w:r>
    </w:p>
    <w:p w14:paraId="32C8DB26" w14:textId="225C0E8A" w:rsidR="00412B4A" w:rsidRPr="00496A09" w:rsidRDefault="00412B4A">
      <w:pPr>
        <w:spacing w:after="0" w:line="240" w:lineRule="auto"/>
        <w:textboxTightWrap w:val="none"/>
        <w:rPr>
          <w:color w:val="005EB8" w:themeColor="text2"/>
          <w:sz w:val="48"/>
          <w:szCs w:val="48"/>
        </w:rPr>
      </w:pPr>
    </w:p>
    <w:p w14:paraId="3ADE4CC8" w14:textId="2B4936D2" w:rsidR="00FD0041" w:rsidRPr="00496A09" w:rsidRDefault="00FD0041" w:rsidP="00894342">
      <w:pPr>
        <w:pStyle w:val="h2numbered"/>
        <w:rPr>
          <w:szCs w:val="48"/>
        </w:rPr>
      </w:pPr>
      <w:bookmarkStart w:id="70" w:name="_Toc153264071"/>
      <w:r w:rsidRPr="00496A09">
        <w:rPr>
          <w:szCs w:val="48"/>
        </w:rPr>
        <w:t>Next steps</w:t>
      </w:r>
      <w:bookmarkEnd w:id="70"/>
    </w:p>
    <w:p w14:paraId="60AF391F" w14:textId="2CE194E8" w:rsidR="00FD0041" w:rsidRPr="00496A09" w:rsidRDefault="00FD0041" w:rsidP="005E4D47">
      <w:pPr>
        <w:pStyle w:val="h3numbered"/>
        <w:spacing w:after="180"/>
        <w:rPr>
          <w:color w:val="auto"/>
        </w:rPr>
      </w:pPr>
      <w:bookmarkStart w:id="71" w:name="_Toc153264072"/>
      <w:r w:rsidRPr="00496A09">
        <w:t>Implementation timescale</w:t>
      </w:r>
      <w:bookmarkEnd w:id="71"/>
    </w:p>
    <w:p w14:paraId="5B978572" w14:textId="1E5FC7AB" w:rsidR="00FD0041" w:rsidRPr="00496A09" w:rsidRDefault="00FD0041" w:rsidP="006842AD">
      <w:pPr>
        <w:pStyle w:val="h4numbered"/>
        <w:spacing w:after="180" w:line="276" w:lineRule="auto"/>
        <w:ind w:left="794"/>
        <w:rPr>
          <w:color w:val="auto"/>
        </w:rPr>
      </w:pPr>
      <w:r w:rsidRPr="00496A09">
        <w:t>In 2023/24 we are beginning to implement some of the actions in this strategy. These include:</w:t>
      </w:r>
    </w:p>
    <w:p w14:paraId="5EE74FE9" w14:textId="77777777" w:rsidR="00FD0041" w:rsidRPr="00496A09" w:rsidRDefault="00FD0041" w:rsidP="005E4D47">
      <w:pPr>
        <w:pStyle w:val="ListParagraph"/>
        <w:numPr>
          <w:ilvl w:val="0"/>
          <w:numId w:val="26"/>
        </w:numPr>
        <w:spacing w:after="120" w:line="276" w:lineRule="auto"/>
        <w:ind w:left="1418" w:hanging="284"/>
        <w:textboxTightWrap w:val="none"/>
        <w:rPr>
          <w:color w:val="auto"/>
        </w:rPr>
      </w:pPr>
      <w:r w:rsidRPr="00496A09">
        <w:rPr>
          <w:color w:val="auto"/>
        </w:rPr>
        <w:t>developing the roadmap to delegation of commissioning responsibility, including a pre-delegation assessment framework</w:t>
      </w:r>
    </w:p>
    <w:p w14:paraId="6AF19441" w14:textId="77777777" w:rsidR="00FD0041" w:rsidRPr="00496A09" w:rsidRDefault="00FD0041" w:rsidP="005E4D47">
      <w:pPr>
        <w:pStyle w:val="ListParagraph"/>
        <w:numPr>
          <w:ilvl w:val="0"/>
          <w:numId w:val="26"/>
        </w:numPr>
        <w:spacing w:after="120" w:line="276" w:lineRule="auto"/>
        <w:ind w:left="1418" w:hanging="284"/>
        <w:textboxTightWrap w:val="none"/>
        <w:rPr>
          <w:color w:val="auto"/>
        </w:rPr>
      </w:pPr>
      <w:r w:rsidRPr="00496A09">
        <w:rPr>
          <w:color w:val="auto"/>
        </w:rPr>
        <w:t>drafting new service specifications and developing commissioning, contracting and procurement options</w:t>
      </w:r>
    </w:p>
    <w:p w14:paraId="5409A4E3" w14:textId="1FE7F592" w:rsidR="00464062" w:rsidRPr="00496A09" w:rsidRDefault="00FD0041" w:rsidP="005E4D47">
      <w:pPr>
        <w:pStyle w:val="ListParagraph"/>
        <w:numPr>
          <w:ilvl w:val="0"/>
          <w:numId w:val="26"/>
        </w:numPr>
        <w:spacing w:line="276" w:lineRule="auto"/>
        <w:ind w:left="1418" w:hanging="284"/>
        <w:textboxTightWrap w:val="none"/>
        <w:rPr>
          <w:color w:val="auto"/>
        </w:rPr>
      </w:pPr>
      <w:r w:rsidRPr="00496A09">
        <w:rPr>
          <w:color w:val="auto"/>
        </w:rPr>
        <w:t>building digital services capability.</w:t>
      </w:r>
    </w:p>
    <w:p w14:paraId="31D9A069" w14:textId="108C7875" w:rsidR="00FD0041" w:rsidRPr="00496A09" w:rsidRDefault="00FD0041" w:rsidP="006842AD">
      <w:pPr>
        <w:pStyle w:val="h4numbered"/>
        <w:spacing w:after="180" w:line="276" w:lineRule="auto"/>
        <w:ind w:left="794"/>
        <w:rPr>
          <w:color w:val="auto"/>
        </w:rPr>
      </w:pPr>
      <w:r w:rsidRPr="00496A09">
        <w:t xml:space="preserve">From 2023/24 we are working with some demonstrator systems to test the proposals </w:t>
      </w:r>
      <w:r w:rsidR="00AD39C0" w:rsidRPr="00496A09">
        <w:t xml:space="preserve">including identifying where </w:t>
      </w:r>
      <w:r w:rsidRPr="00496A09">
        <w:t>further exploration would be helpful</w:t>
      </w:r>
      <w:r w:rsidR="00B53CBB" w:rsidRPr="00496A09">
        <w:t>, for example innovative commissioning models</w:t>
      </w:r>
      <w:r w:rsidRPr="00496A09">
        <w:t xml:space="preserve">. This will build on work already underway and </w:t>
      </w:r>
      <w:r w:rsidR="00DD2D07" w:rsidRPr="00496A09">
        <w:t>support</w:t>
      </w:r>
      <w:r w:rsidRPr="00496A09">
        <w:t xml:space="preserve"> the development of a </w:t>
      </w:r>
      <w:r w:rsidR="00DD2D07" w:rsidRPr="00496A09">
        <w:t>wider</w:t>
      </w:r>
      <w:r w:rsidRPr="00496A09">
        <w:t xml:space="preserve"> community of practice </w:t>
      </w:r>
      <w:r w:rsidR="00E87AD8" w:rsidRPr="00496A09">
        <w:t xml:space="preserve">linked to the strategy </w:t>
      </w:r>
      <w:r w:rsidRPr="00496A09">
        <w:t xml:space="preserve">to share insights and lessons learned. </w:t>
      </w:r>
    </w:p>
    <w:p w14:paraId="5E4A5D67" w14:textId="77F5E6EF" w:rsidR="00FD0041" w:rsidRPr="00496A09" w:rsidRDefault="00E55DBF" w:rsidP="006842AD">
      <w:pPr>
        <w:pStyle w:val="h4numbered"/>
        <w:spacing w:after="180" w:line="276" w:lineRule="auto"/>
        <w:ind w:left="794"/>
        <w:rPr>
          <w:color w:val="auto"/>
        </w:rPr>
      </w:pPr>
      <w:r w:rsidRPr="00496A09">
        <w:t xml:space="preserve">From </w:t>
      </w:r>
      <w:r w:rsidR="00FD0041" w:rsidRPr="00496A09">
        <w:t>2023/24 we are also discussing further with stakeholders those elements of this strategy that require further development, including:</w:t>
      </w:r>
    </w:p>
    <w:p w14:paraId="65EE26DC" w14:textId="145506A1" w:rsidR="00FD0041" w:rsidRPr="00496A09" w:rsidRDefault="00FD0041" w:rsidP="005E4D47">
      <w:pPr>
        <w:pStyle w:val="ListParagraph"/>
        <w:numPr>
          <w:ilvl w:val="0"/>
          <w:numId w:val="27"/>
        </w:numPr>
        <w:spacing w:after="120" w:line="276" w:lineRule="auto"/>
        <w:ind w:left="1418" w:hanging="284"/>
        <w:textboxTightWrap w:val="none"/>
        <w:rPr>
          <w:color w:val="auto"/>
        </w:rPr>
      </w:pPr>
      <w:r w:rsidRPr="00496A09">
        <w:rPr>
          <w:color w:val="auto"/>
        </w:rPr>
        <w:t xml:space="preserve">the vaccination outcomes framework </w:t>
      </w:r>
    </w:p>
    <w:p w14:paraId="7C55BC15" w14:textId="77777777" w:rsidR="00FD0041" w:rsidRPr="00496A09" w:rsidRDefault="00FD0041" w:rsidP="005E4D47">
      <w:pPr>
        <w:pStyle w:val="ListParagraph"/>
        <w:numPr>
          <w:ilvl w:val="0"/>
          <w:numId w:val="27"/>
        </w:numPr>
        <w:spacing w:after="120" w:line="276" w:lineRule="auto"/>
        <w:ind w:left="1418" w:hanging="284"/>
        <w:textboxTightWrap w:val="none"/>
        <w:rPr>
          <w:color w:val="auto"/>
        </w:rPr>
      </w:pPr>
      <w:r w:rsidRPr="00496A09">
        <w:rPr>
          <w:color w:val="auto"/>
        </w:rPr>
        <w:t xml:space="preserve">changes to training programmes and other workforce developments </w:t>
      </w:r>
    </w:p>
    <w:p w14:paraId="001D5CA1" w14:textId="77777777" w:rsidR="00FD0041" w:rsidRPr="00496A09" w:rsidRDefault="00FD0041" w:rsidP="005E4D47">
      <w:pPr>
        <w:pStyle w:val="ListParagraph"/>
        <w:numPr>
          <w:ilvl w:val="0"/>
          <w:numId w:val="27"/>
        </w:numPr>
        <w:spacing w:after="120" w:line="276" w:lineRule="auto"/>
        <w:ind w:left="1418" w:hanging="284"/>
        <w:textboxTightWrap w:val="none"/>
        <w:rPr>
          <w:color w:val="auto"/>
        </w:rPr>
      </w:pPr>
      <w:r w:rsidRPr="00496A09">
        <w:rPr>
          <w:color w:val="auto"/>
        </w:rPr>
        <w:t>the elements of an integrated, multidisciplinary team required at neighbourhood level and how these can vary from system to system</w:t>
      </w:r>
    </w:p>
    <w:p w14:paraId="01774EA7" w14:textId="77777777" w:rsidR="00FD0041" w:rsidRPr="00496A09" w:rsidRDefault="00FD0041" w:rsidP="005E4D47">
      <w:pPr>
        <w:pStyle w:val="ListParagraph"/>
        <w:numPr>
          <w:ilvl w:val="0"/>
          <w:numId w:val="27"/>
        </w:numPr>
        <w:spacing w:after="120" w:line="276" w:lineRule="auto"/>
        <w:ind w:left="1418" w:hanging="284"/>
        <w:textboxTightWrap w:val="none"/>
        <w:rPr>
          <w:color w:val="auto"/>
        </w:rPr>
      </w:pPr>
      <w:r w:rsidRPr="00496A09">
        <w:rPr>
          <w:color w:val="auto"/>
        </w:rPr>
        <w:t>proposed changes to supply chains (in partnership with UKHSA and other agencies)</w:t>
      </w:r>
    </w:p>
    <w:p w14:paraId="59111F0E" w14:textId="77777777" w:rsidR="00FD0041" w:rsidRPr="00496A09" w:rsidRDefault="00FD0041" w:rsidP="005E4D47">
      <w:pPr>
        <w:pStyle w:val="ListParagraph"/>
        <w:numPr>
          <w:ilvl w:val="0"/>
          <w:numId w:val="27"/>
        </w:numPr>
        <w:spacing w:line="276" w:lineRule="auto"/>
        <w:ind w:left="1418" w:hanging="284"/>
        <w:textboxTightWrap w:val="none"/>
        <w:rPr>
          <w:color w:val="auto"/>
        </w:rPr>
      </w:pPr>
      <w:r w:rsidRPr="00496A09">
        <w:rPr>
          <w:color w:val="auto"/>
        </w:rPr>
        <w:t>consideration of implementation opportunities and challenges for stakeholders.</w:t>
      </w:r>
    </w:p>
    <w:p w14:paraId="24CC11FC" w14:textId="60282AC5" w:rsidR="00FD0041" w:rsidRPr="00496A09" w:rsidRDefault="00FD0041" w:rsidP="005E4D47">
      <w:pPr>
        <w:pStyle w:val="h4numbered"/>
        <w:spacing w:after="180" w:line="276" w:lineRule="auto"/>
        <w:ind w:left="851" w:hanging="851"/>
        <w:rPr>
          <w:color w:val="auto"/>
        </w:rPr>
      </w:pPr>
      <w:r w:rsidRPr="00496A09">
        <w:t>We will engage more formally with the relevant stakeholders and professional and negotiating bodies on changes to the financial framework and any national contractual changes.</w:t>
      </w:r>
    </w:p>
    <w:p w14:paraId="3ACF926E" w14:textId="6AB15BE1" w:rsidR="00FD0041" w:rsidRPr="00496A09" w:rsidRDefault="00FD0041" w:rsidP="005E4D47">
      <w:pPr>
        <w:pStyle w:val="h4numbered"/>
        <w:spacing w:after="180" w:line="276" w:lineRule="auto"/>
        <w:ind w:left="794"/>
        <w:rPr>
          <w:color w:val="auto"/>
        </w:rPr>
      </w:pPr>
      <w:r w:rsidRPr="00496A09">
        <w:t>In 2024/25 we will implement as many changes as possible, which may include:</w:t>
      </w:r>
    </w:p>
    <w:p w14:paraId="48316B0A" w14:textId="77777777" w:rsidR="00FD0041" w:rsidRPr="00496A09" w:rsidRDefault="00FD0041" w:rsidP="005E4D47">
      <w:pPr>
        <w:pStyle w:val="ListParagraph"/>
        <w:numPr>
          <w:ilvl w:val="0"/>
          <w:numId w:val="28"/>
        </w:numPr>
        <w:spacing w:after="120" w:line="276" w:lineRule="auto"/>
        <w:ind w:left="1418" w:hanging="284"/>
        <w:textboxTightWrap w:val="none"/>
        <w:rPr>
          <w:color w:val="auto"/>
        </w:rPr>
      </w:pPr>
      <w:r w:rsidRPr="00496A09">
        <w:rPr>
          <w:color w:val="auto"/>
        </w:rPr>
        <w:t xml:space="preserve">moving towards shadow population-based ICS-level budgets for vaccination, using 2023/24 to explore the benefits and risks of this approach with systems </w:t>
      </w:r>
    </w:p>
    <w:p w14:paraId="2AE439BF" w14:textId="77777777" w:rsidR="00FD0041" w:rsidRPr="00496A09" w:rsidRDefault="00FD0041" w:rsidP="005E4D47">
      <w:pPr>
        <w:pStyle w:val="ListParagraph"/>
        <w:numPr>
          <w:ilvl w:val="0"/>
          <w:numId w:val="28"/>
        </w:numPr>
        <w:spacing w:after="120" w:line="276" w:lineRule="auto"/>
        <w:ind w:left="1418" w:hanging="284"/>
        <w:textboxTightWrap w:val="none"/>
        <w:rPr>
          <w:color w:val="auto"/>
        </w:rPr>
      </w:pPr>
      <w:r w:rsidRPr="00496A09">
        <w:rPr>
          <w:color w:val="auto"/>
        </w:rPr>
        <w:t>some commissioning and contracting changes</w:t>
      </w:r>
    </w:p>
    <w:p w14:paraId="1088296F" w14:textId="77777777" w:rsidR="00FD0041" w:rsidRPr="00496A09" w:rsidRDefault="00FD0041" w:rsidP="005E4D47">
      <w:pPr>
        <w:pStyle w:val="ListParagraph"/>
        <w:numPr>
          <w:ilvl w:val="0"/>
          <w:numId w:val="28"/>
        </w:numPr>
        <w:spacing w:after="120" w:line="276" w:lineRule="auto"/>
        <w:ind w:left="1418" w:hanging="284"/>
        <w:textboxTightWrap w:val="none"/>
        <w:rPr>
          <w:color w:val="auto"/>
        </w:rPr>
      </w:pPr>
      <w:r w:rsidRPr="00496A09">
        <w:rPr>
          <w:color w:val="auto"/>
        </w:rPr>
        <w:t>more formal joint working between regional commissioning teams and ICBs as a step towards full delegation</w:t>
      </w:r>
    </w:p>
    <w:p w14:paraId="52AA4105" w14:textId="77777777" w:rsidR="00FD0041" w:rsidRPr="00496A09" w:rsidRDefault="00FD0041" w:rsidP="005E4D47">
      <w:pPr>
        <w:pStyle w:val="ListParagraph"/>
        <w:numPr>
          <w:ilvl w:val="0"/>
          <w:numId w:val="28"/>
        </w:numPr>
        <w:spacing w:line="276" w:lineRule="auto"/>
        <w:ind w:left="1418" w:hanging="284"/>
        <w:textboxTightWrap w:val="none"/>
        <w:rPr>
          <w:color w:val="auto"/>
        </w:rPr>
      </w:pPr>
      <w:r w:rsidRPr="00496A09">
        <w:rPr>
          <w:color w:val="auto"/>
        </w:rPr>
        <w:t>delivering some changes to digital services.</w:t>
      </w:r>
    </w:p>
    <w:p w14:paraId="16258A70" w14:textId="076C82C3" w:rsidR="00FD0041" w:rsidRPr="00496A09" w:rsidRDefault="00FD0041" w:rsidP="00B82845">
      <w:pPr>
        <w:pStyle w:val="h4numbered"/>
        <w:keepNext w:val="0"/>
        <w:spacing w:after="180" w:line="276" w:lineRule="auto"/>
        <w:ind w:left="794"/>
      </w:pPr>
      <w:r w:rsidRPr="00496A09">
        <w:t xml:space="preserve">We expect that most of the proposals in this strategy will be delivered by 2025/26. </w:t>
      </w:r>
    </w:p>
    <w:p w14:paraId="393C9EB0" w14:textId="34034C4F" w:rsidR="00FD0041" w:rsidRPr="00496A09" w:rsidRDefault="00FD0041" w:rsidP="00593E4B">
      <w:pPr>
        <w:pStyle w:val="h4numbered"/>
        <w:keepNext w:val="0"/>
        <w:tabs>
          <w:tab w:val="left" w:pos="2127"/>
        </w:tabs>
        <w:spacing w:after="280" w:line="276" w:lineRule="auto"/>
        <w:ind w:left="794"/>
      </w:pPr>
      <w:r w:rsidRPr="00496A09">
        <w:t>We will evaluate the impact of the proposals across the short, medium and long term on vaccination uptake, collaborating across national, regional and system levels. We will build on ongoing work to evaluate outreach activities for the COVID-19 vaccine, expanding this across other vaccination and immunisation activities.</w:t>
      </w:r>
    </w:p>
    <w:p w14:paraId="5E74A315" w14:textId="77777777" w:rsidR="00FD0041" w:rsidRPr="00496A09" w:rsidRDefault="00FD0041" w:rsidP="00593E4B">
      <w:pPr>
        <w:pStyle w:val="h3numbered"/>
        <w:keepNext w:val="0"/>
        <w:spacing w:line="276" w:lineRule="auto"/>
        <w:contextualSpacing/>
      </w:pPr>
      <w:bookmarkStart w:id="72" w:name="_Toc153264073"/>
      <w:r w:rsidRPr="00496A09">
        <w:t>Providing feedback</w:t>
      </w:r>
      <w:bookmarkEnd w:id="72"/>
    </w:p>
    <w:p w14:paraId="371A3892" w14:textId="135A49F3" w:rsidR="00FD0041" w:rsidRPr="00496A09" w:rsidRDefault="00FD0041" w:rsidP="00593E4B">
      <w:pPr>
        <w:pStyle w:val="h4numbered"/>
        <w:keepNext w:val="0"/>
        <w:spacing w:line="276" w:lineRule="auto"/>
        <w:ind w:left="794"/>
        <w:contextualSpacing/>
      </w:pPr>
      <w:r w:rsidRPr="00496A09">
        <w:t xml:space="preserve">We would welcome feedback on how to implement the proposals set out in this strategy. Please send comments to </w:t>
      </w:r>
      <w:hyperlink r:id="rId33" w:history="1">
        <w:r w:rsidRPr="00496A09">
          <w:rPr>
            <w:rStyle w:val="Hyperlink"/>
          </w:rPr>
          <w:t>england.nationalimmsstrategy@nhs.net</w:t>
        </w:r>
      </w:hyperlink>
      <w:r w:rsidRPr="00496A09">
        <w:rPr>
          <w:color w:val="auto"/>
        </w:rPr>
        <w:t>.</w:t>
      </w:r>
      <w:r w:rsidRPr="00496A09">
        <w:t xml:space="preserve"> </w:t>
      </w:r>
      <w:r w:rsidR="001F0C17" w:rsidRPr="00496A09">
        <w:t>Alternatively,</w:t>
      </w:r>
      <w:r w:rsidRPr="00496A09">
        <w:t xml:space="preserve"> you can send </w:t>
      </w:r>
      <w:r w:rsidR="007F5F0F" w:rsidRPr="00496A09">
        <w:t xml:space="preserve">these </w:t>
      </w:r>
      <w:r w:rsidRPr="00496A09">
        <w:t>to NHS England, PO Box 16738, Redditch, B97 9PT.</w:t>
      </w:r>
    </w:p>
    <w:p w14:paraId="04A3DB6F" w14:textId="77777777" w:rsidR="00FD0041" w:rsidRPr="00496A09" w:rsidRDefault="00FD0041" w:rsidP="00FD0041">
      <w:pPr>
        <w:sectPr w:rsidR="00FD0041" w:rsidRPr="00496A09">
          <w:headerReference w:type="even" r:id="rId34"/>
          <w:headerReference w:type="default" r:id="rId35"/>
          <w:footerReference w:type="default" r:id="rId36"/>
          <w:headerReference w:type="first" r:id="rId37"/>
          <w:pgSz w:w="11906" w:h="16838" w:code="9"/>
          <w:pgMar w:top="1276" w:right="1133" w:bottom="1247" w:left="1077" w:header="624" w:footer="510" w:gutter="0"/>
          <w:cols w:space="708"/>
          <w:docGrid w:linePitch="360"/>
        </w:sectPr>
      </w:pPr>
      <w:bookmarkStart w:id="73" w:name="_Toc121425125"/>
      <w:bookmarkStart w:id="74" w:name="_Toc121825798"/>
      <w:bookmarkStart w:id="75" w:name="_Toc121835584"/>
      <w:bookmarkStart w:id="76" w:name="_Toc122007459"/>
      <w:bookmarkStart w:id="77" w:name="_Toc122007531"/>
      <w:bookmarkStart w:id="78" w:name="_Toc123637849"/>
    </w:p>
    <w:p w14:paraId="1D25D751" w14:textId="4627E4F0" w:rsidR="00FD0041" w:rsidRPr="00496A09" w:rsidRDefault="00FD0041" w:rsidP="00085831">
      <w:pPr>
        <w:pStyle w:val="Heading2Numbered"/>
        <w:spacing w:after="360"/>
        <w:ind w:left="0" w:firstLine="0"/>
        <w:contextualSpacing w:val="0"/>
      </w:pPr>
      <w:bookmarkStart w:id="79" w:name="_Toc153264074"/>
      <w:bookmarkEnd w:id="73"/>
      <w:bookmarkEnd w:id="74"/>
      <w:bookmarkEnd w:id="75"/>
      <w:bookmarkEnd w:id="76"/>
      <w:bookmarkEnd w:id="77"/>
      <w:bookmarkEnd w:id="78"/>
      <w:r w:rsidRPr="00496A09">
        <w:t>Annex A: Draft vaccination</w:t>
      </w:r>
      <w:r w:rsidR="00B97B80" w:rsidRPr="00496A09">
        <w:t xml:space="preserve"> </w:t>
      </w:r>
      <w:r w:rsidRPr="00496A09">
        <w:t>outcomes framework</w:t>
      </w:r>
      <w:bookmarkEnd w:id="79"/>
    </w:p>
    <w:p w14:paraId="5EF11683" w14:textId="77777777" w:rsidR="00FD0041" w:rsidRDefault="00FD0041" w:rsidP="00FD0041">
      <w:pPr>
        <w:rPr>
          <w:color w:val="005EB8" w:themeColor="text2"/>
          <w:sz w:val="48"/>
          <w:szCs w:val="48"/>
        </w:rPr>
      </w:pPr>
      <w:r w:rsidRPr="00496A09">
        <w:rPr>
          <w:noProof/>
          <w:color w:val="005EB8" w:themeColor="text2"/>
          <w:sz w:val="48"/>
          <w:szCs w:val="48"/>
        </w:rPr>
        <w:drawing>
          <wp:inline distT="0" distB="0" distL="0" distR="0" wp14:anchorId="467BFF33" wp14:editId="3615DAA0">
            <wp:extent cx="6141720" cy="2544148"/>
            <wp:effectExtent l="19050" t="19050" r="11430" b="27940"/>
            <wp:docPr id="789566005" name="Picture 789566005" descr="A screen shot of several different colored box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566005" name="Picture 4" descr="A screen shot of several different colored boxes&#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75780" cy="2558257"/>
                    </a:xfrm>
                    <a:prstGeom prst="rect">
                      <a:avLst/>
                    </a:prstGeom>
                    <a:noFill/>
                    <a:ln>
                      <a:solidFill>
                        <a:schemeClr val="tx2"/>
                      </a:solidFill>
                    </a:ln>
                  </pic:spPr>
                </pic:pic>
              </a:graphicData>
            </a:graphic>
          </wp:inline>
        </w:drawing>
      </w:r>
    </w:p>
    <w:sectPr w:rsidR="00FD0041" w:rsidSect="00FB3C63">
      <w:headerReference w:type="even" r:id="rId39"/>
      <w:headerReference w:type="default" r:id="rId40"/>
      <w:footerReference w:type="default" r:id="rId41"/>
      <w:headerReference w:type="first" r:id="rId42"/>
      <w:pgSz w:w="11906" w:h="16838" w:code="9"/>
      <w:pgMar w:top="1701" w:right="991" w:bottom="1247" w:left="1077" w:header="426"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8182C" w14:textId="77777777" w:rsidR="00F738CB" w:rsidRDefault="00F738CB" w:rsidP="000C24AF">
      <w:pPr>
        <w:spacing w:after="0"/>
      </w:pPr>
      <w:r>
        <w:separator/>
      </w:r>
    </w:p>
  </w:endnote>
  <w:endnote w:type="continuationSeparator" w:id="0">
    <w:p w14:paraId="2240DAF6" w14:textId="77777777" w:rsidR="00F738CB" w:rsidRDefault="00F738CB" w:rsidP="000C24AF">
      <w:pPr>
        <w:spacing w:after="0"/>
      </w:pPr>
      <w:r>
        <w:continuationSeparator/>
      </w:r>
    </w:p>
  </w:endnote>
  <w:endnote w:type="continuationNotice" w:id="1">
    <w:p w14:paraId="44D8B9B7" w14:textId="77777777" w:rsidR="00F738CB" w:rsidRDefault="00F738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Bahnschrift SemiBol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AB22" w14:textId="77777777" w:rsidR="00603A2C" w:rsidRDefault="00603A2C" w:rsidP="00603A2C">
    <w:pPr>
      <w:pStyle w:val="Footer"/>
      <w:pBdr>
        <w:top w:val="single" w:sz="4" w:space="1" w:color="005EB8"/>
      </w:pBdr>
    </w:pPr>
  </w:p>
  <w:p w14:paraId="2D0C11B7" w14:textId="2AB70494" w:rsidR="00B72132" w:rsidRDefault="00B72132">
    <w:pPr>
      <w:pStyle w:val="Footer"/>
    </w:pPr>
    <w:r>
      <w:t xml:space="preserve">Publication reference: </w:t>
    </w:r>
    <w:r w:rsidR="00622390">
      <w:t>PR00339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46627"/>
      <w:docPartObj>
        <w:docPartGallery w:val="Page Numbers (Bottom of Page)"/>
        <w:docPartUnique/>
      </w:docPartObj>
    </w:sdtPr>
    <w:sdtEndPr/>
    <w:sdtContent>
      <w:p w14:paraId="697B1E94" w14:textId="077FEA53" w:rsidR="008A3E2F" w:rsidRDefault="008A3E2F" w:rsidP="008A3E2F">
        <w:pPr>
          <w:pStyle w:val="Footer"/>
          <w:pBdr>
            <w:top w:val="single" w:sz="4" w:space="1" w:color="005EB8"/>
          </w:pBdr>
        </w:pPr>
      </w:p>
      <w:p w14:paraId="33510AFA" w14:textId="077FEA53" w:rsidR="00B72132" w:rsidRPr="008A3E2F" w:rsidRDefault="008A3E2F" w:rsidP="00B70BB7">
        <w:pPr>
          <w:pStyle w:val="Footer"/>
          <w:jc w:val="right"/>
        </w:pP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68EE" w14:textId="77777777" w:rsidR="00603A2C" w:rsidRDefault="00603A2C" w:rsidP="00603A2C">
    <w:pPr>
      <w:pStyle w:val="Footer"/>
      <w:pBdr>
        <w:top w:val="single" w:sz="4" w:space="1" w:color="005EB8"/>
      </w:pBdr>
    </w:pPr>
  </w:p>
  <w:p w14:paraId="196749FB" w14:textId="77777777" w:rsidR="00F126B3" w:rsidRPr="00F126B3" w:rsidRDefault="008F6069" w:rsidP="00F126B3">
    <w:pPr>
      <w:pStyle w:val="Footer"/>
    </w:pPr>
    <w:r>
      <w:rPr>
        <w:szCs w:val="18"/>
      </w:rPr>
      <w:t xml:space="preserve">Copyright </w:t>
    </w:r>
    <w:r w:rsidRPr="008F6069">
      <w:rPr>
        <w:szCs w:val="18"/>
      </w:rPr>
      <w:t>© NHS England 2023</w:t>
    </w:r>
    <w:r>
      <w:rPr>
        <w:sz w:val="24"/>
        <w:szCs w:val="36"/>
      </w:rPr>
      <w:tab/>
    </w:r>
    <w:r w:rsidR="00F126B3" w:rsidRPr="008D50ED">
      <w:rPr>
        <w:sz w:val="24"/>
        <w:szCs w:val="36"/>
      </w:rPr>
      <w:fldChar w:fldCharType="begin"/>
    </w:r>
    <w:r w:rsidR="00F126B3" w:rsidRPr="008D50ED">
      <w:rPr>
        <w:sz w:val="24"/>
        <w:szCs w:val="36"/>
      </w:rPr>
      <w:instrText>PAGE   \* MERGEFORMAT</w:instrText>
    </w:r>
    <w:r w:rsidR="00F126B3" w:rsidRPr="008D50ED">
      <w:rPr>
        <w:sz w:val="24"/>
        <w:szCs w:val="36"/>
      </w:rPr>
      <w:fldChar w:fldCharType="separate"/>
    </w:r>
    <w:r w:rsidR="00F126B3">
      <w:rPr>
        <w:sz w:val="24"/>
        <w:szCs w:val="36"/>
      </w:rPr>
      <w:t>3</w:t>
    </w:r>
    <w:r w:rsidR="00F126B3" w:rsidRPr="008D50ED">
      <w:rPr>
        <w:sz w:val="24"/>
        <w:szCs w:val="3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34E3" w14:textId="7E6AC337" w:rsidR="00FD0041" w:rsidRPr="00B70BB7" w:rsidRDefault="00FD0041" w:rsidP="00D00502">
    <w:pPr>
      <w:pStyle w:val="Footer"/>
      <w:jc w:val="right"/>
      <w:rPr>
        <w:sz w:val="24"/>
      </w:rPr>
    </w:pPr>
    <w:r w:rsidRPr="00B70BB7">
      <w:rPr>
        <w:sz w:val="24"/>
      </w:rPr>
      <w:fldChar w:fldCharType="begin"/>
    </w:r>
    <w:r w:rsidRPr="00B70BB7">
      <w:rPr>
        <w:sz w:val="24"/>
      </w:rPr>
      <w:instrText xml:space="preserve"> page </w:instrText>
    </w:r>
    <w:r w:rsidRPr="00B70BB7">
      <w:rPr>
        <w:sz w:val="24"/>
      </w:rPr>
      <w:fldChar w:fldCharType="separate"/>
    </w:r>
    <w:r w:rsidRPr="00B70BB7">
      <w:rPr>
        <w:noProof/>
        <w:sz w:val="24"/>
      </w:rPr>
      <w:t>1</w:t>
    </w:r>
    <w:r w:rsidRPr="00B70BB7">
      <w:rP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5B14" w14:textId="5E905708" w:rsidR="00243E6E" w:rsidRPr="00B70BB7" w:rsidRDefault="00243E6E" w:rsidP="00243E6E">
    <w:pPr>
      <w:pStyle w:val="Footer"/>
      <w:jc w:val="right"/>
      <w:rPr>
        <w:sz w:val="24"/>
      </w:rPr>
    </w:pPr>
    <w:r w:rsidRPr="00B70BB7">
      <w:rPr>
        <w:sz w:val="24"/>
      </w:rPr>
      <w:fldChar w:fldCharType="begin"/>
    </w:r>
    <w:r w:rsidRPr="00B70BB7">
      <w:rPr>
        <w:sz w:val="24"/>
      </w:rPr>
      <w:instrText xml:space="preserve"> page </w:instrText>
    </w:r>
    <w:r w:rsidRPr="00B70BB7">
      <w:rPr>
        <w:sz w:val="24"/>
      </w:rPr>
      <w:fldChar w:fldCharType="separate"/>
    </w:r>
    <w:r>
      <w:rPr>
        <w:sz w:val="24"/>
      </w:rPr>
      <w:t>56</w:t>
    </w:r>
    <w:r w:rsidRPr="00B70BB7">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F4BC" w14:textId="77777777" w:rsidR="00F738CB" w:rsidRDefault="00F738CB" w:rsidP="000C24AF">
      <w:pPr>
        <w:spacing w:after="0"/>
      </w:pPr>
      <w:r>
        <w:separator/>
      </w:r>
    </w:p>
  </w:footnote>
  <w:footnote w:type="continuationSeparator" w:id="0">
    <w:p w14:paraId="3F4E295A" w14:textId="77777777" w:rsidR="00F738CB" w:rsidRDefault="00F738CB" w:rsidP="000C24AF">
      <w:pPr>
        <w:spacing w:after="0"/>
      </w:pPr>
      <w:r>
        <w:continuationSeparator/>
      </w:r>
    </w:p>
  </w:footnote>
  <w:footnote w:type="continuationNotice" w:id="1">
    <w:p w14:paraId="5A0BC01B" w14:textId="77777777" w:rsidR="00F738CB" w:rsidRDefault="00F738CB">
      <w:pPr>
        <w:spacing w:after="0" w:line="240" w:lineRule="auto"/>
      </w:pPr>
    </w:p>
  </w:footnote>
  <w:footnote w:id="2">
    <w:p w14:paraId="6A9AF6FD" w14:textId="06C532E7" w:rsidR="009D5153" w:rsidRDefault="009D5153">
      <w:pPr>
        <w:pStyle w:val="FootnoteText"/>
      </w:pPr>
      <w:r>
        <w:rPr>
          <w:rStyle w:val="FootnoteReference"/>
        </w:rPr>
        <w:footnoteRef/>
      </w:r>
      <w:r>
        <w:t xml:space="preserve"> </w:t>
      </w:r>
      <w:r w:rsidR="00CD4608">
        <w:t xml:space="preserve">NHS England (2022) </w:t>
      </w:r>
      <w:hyperlink r:id="rId1" w:history="1">
        <w:r w:rsidRPr="009D5153">
          <w:rPr>
            <w:rStyle w:val="Hyperlink"/>
            <w:rFonts w:ascii="Arial" w:hAnsi="Arial"/>
          </w:rPr>
          <w:t>Next steps for integrating primary care: Fuller stocktake report</w:t>
        </w:r>
      </w:hyperlink>
    </w:p>
  </w:footnote>
  <w:footnote w:id="3">
    <w:p w14:paraId="453B8453" w14:textId="480228C3" w:rsidR="00373E81" w:rsidRDefault="00373E81">
      <w:pPr>
        <w:pStyle w:val="FootnoteText"/>
      </w:pPr>
      <w:r>
        <w:rPr>
          <w:rStyle w:val="FootnoteReference"/>
        </w:rPr>
        <w:footnoteRef/>
      </w:r>
      <w:r>
        <w:t xml:space="preserve"> </w:t>
      </w:r>
      <w:r w:rsidR="0032269C">
        <w:t xml:space="preserve">DHSC (2023) </w:t>
      </w:r>
      <w:hyperlink r:id="rId2" w:history="1">
        <w:r w:rsidR="001D36BA" w:rsidRPr="001D36BA">
          <w:rPr>
            <w:rStyle w:val="Hyperlink"/>
            <w:rFonts w:ascii="Arial" w:hAnsi="Arial"/>
          </w:rPr>
          <w:t>The Hewitt Review: an independent review of integrated care systems</w:t>
        </w:r>
      </w:hyperlink>
    </w:p>
  </w:footnote>
  <w:footnote w:id="4">
    <w:p w14:paraId="2F714565" w14:textId="6CED9F6A" w:rsidR="0031220E" w:rsidRPr="001C5041" w:rsidRDefault="0031220E" w:rsidP="001C5041">
      <w:pPr>
        <w:pStyle w:val="FootnoteText"/>
        <w:rPr>
          <w:rFonts w:asciiTheme="minorHAnsi" w:hAnsiTheme="minorHAnsi" w:cstheme="minorHAnsi"/>
          <w:color w:val="005EB8" w:themeColor="text2"/>
        </w:rPr>
      </w:pPr>
      <w:r w:rsidRPr="0038206F">
        <w:rPr>
          <w:rStyle w:val="FootnoteReference"/>
          <w:rFonts w:asciiTheme="minorHAnsi" w:hAnsiTheme="minorHAnsi" w:cstheme="minorHAnsi"/>
          <w:color w:val="auto"/>
        </w:rPr>
        <w:footnoteRef/>
      </w:r>
      <w:r w:rsidRPr="0038206F">
        <w:rPr>
          <w:rFonts w:asciiTheme="minorHAnsi" w:hAnsiTheme="minorHAnsi" w:cstheme="minorHAnsi"/>
          <w:color w:val="auto"/>
        </w:rPr>
        <w:t xml:space="preserve"> </w:t>
      </w:r>
      <w:r w:rsidR="00A63C33" w:rsidRPr="00934509">
        <w:rPr>
          <w:rFonts w:asciiTheme="minorHAnsi" w:hAnsiTheme="minorHAnsi" w:cstheme="minorHAnsi"/>
          <w:color w:val="auto"/>
        </w:rPr>
        <w:t xml:space="preserve">Oxford Vaccine Group (2019) - </w:t>
      </w:r>
      <w:hyperlink r:id="rId3" w:history="1">
        <w:r w:rsidRPr="00934509">
          <w:rPr>
            <w:rStyle w:val="Hyperlink"/>
            <w:rFonts w:cstheme="minorHAnsi"/>
          </w:rPr>
          <w:t>The global value of vaccinati</w:t>
        </w:r>
        <w:r w:rsidR="00233163" w:rsidRPr="00934509">
          <w:rPr>
            <w:rStyle w:val="Hyperlink"/>
            <w:rFonts w:cstheme="minorHAnsi"/>
          </w:rPr>
          <w:t>on</w:t>
        </w:r>
      </w:hyperlink>
      <w:r w:rsidRPr="001C5041">
        <w:rPr>
          <w:rFonts w:asciiTheme="minorHAnsi" w:hAnsiTheme="minorHAnsi" w:cstheme="minorHAnsi"/>
          <w:color w:val="005EB8" w:themeColor="text2"/>
        </w:rPr>
        <w:t xml:space="preserve"> </w:t>
      </w:r>
    </w:p>
  </w:footnote>
  <w:footnote w:id="5">
    <w:p w14:paraId="27800A89" w14:textId="4BF73DBA" w:rsidR="0031220E" w:rsidRPr="001C5041" w:rsidRDefault="0031220E" w:rsidP="001C5041">
      <w:pPr>
        <w:pStyle w:val="FootnoteText"/>
        <w:rPr>
          <w:rFonts w:asciiTheme="minorHAnsi" w:hAnsiTheme="minorHAnsi" w:cstheme="minorHAnsi"/>
          <w:color w:val="005EB8" w:themeColor="text2"/>
        </w:rPr>
      </w:pPr>
      <w:r w:rsidRPr="0038206F">
        <w:rPr>
          <w:rStyle w:val="FootnoteReference"/>
          <w:rFonts w:asciiTheme="minorHAnsi" w:hAnsiTheme="minorHAnsi" w:cstheme="minorHAnsi"/>
          <w:color w:val="auto"/>
        </w:rPr>
        <w:footnoteRef/>
      </w:r>
      <w:r w:rsidRPr="0038206F">
        <w:rPr>
          <w:rFonts w:asciiTheme="minorHAnsi" w:hAnsiTheme="minorHAnsi" w:cstheme="minorHAnsi"/>
          <w:color w:val="auto"/>
        </w:rPr>
        <w:t xml:space="preserve"> </w:t>
      </w:r>
      <w:r w:rsidRPr="00D00502">
        <w:rPr>
          <w:rFonts w:asciiTheme="minorHAnsi" w:hAnsiTheme="minorHAnsi" w:cstheme="minorHAnsi"/>
          <w:color w:val="auto"/>
        </w:rPr>
        <w:t>OECD</w:t>
      </w:r>
      <w:r w:rsidR="001500BA">
        <w:rPr>
          <w:rFonts w:asciiTheme="minorHAnsi" w:hAnsiTheme="minorHAnsi" w:cstheme="minorHAnsi"/>
          <w:color w:val="auto"/>
        </w:rPr>
        <w:t xml:space="preserve"> (2023)</w:t>
      </w:r>
      <w:r w:rsidRPr="00D00502">
        <w:rPr>
          <w:rFonts w:asciiTheme="minorHAnsi" w:hAnsiTheme="minorHAnsi" w:cstheme="minorHAnsi"/>
          <w:color w:val="auto"/>
        </w:rPr>
        <w:t xml:space="preserve"> </w:t>
      </w:r>
      <w:hyperlink r:id="rId4" w:history="1">
        <w:r w:rsidRPr="001C5041">
          <w:rPr>
            <w:rStyle w:val="Hyperlink"/>
            <w:rFonts w:cstheme="minorHAnsi"/>
            <w:color w:val="005EB8" w:themeColor="text2"/>
          </w:rPr>
          <w:t>Routine vaccinations | Health at a Glance 202</w:t>
        </w:r>
        <w:r w:rsidR="00476300">
          <w:rPr>
            <w:rStyle w:val="Hyperlink"/>
            <w:rFonts w:cstheme="minorHAnsi"/>
            <w:color w:val="005EB8" w:themeColor="text2"/>
          </w:rPr>
          <w:t>3</w:t>
        </w:r>
        <w:r w:rsidRPr="001C5041">
          <w:rPr>
            <w:rStyle w:val="Hyperlink"/>
            <w:rFonts w:cstheme="minorHAnsi"/>
            <w:color w:val="005EB8" w:themeColor="text2"/>
          </w:rPr>
          <w:t>: OECD Indicators</w:t>
        </w:r>
      </w:hyperlink>
    </w:p>
  </w:footnote>
  <w:footnote w:id="6">
    <w:p w14:paraId="7620F140" w14:textId="5393F7FB" w:rsidR="0031220E" w:rsidRPr="001C5041" w:rsidRDefault="0031220E" w:rsidP="001C5041">
      <w:pPr>
        <w:pStyle w:val="CommentText"/>
        <w:spacing w:after="0"/>
        <w:ind w:right="57"/>
        <w:rPr>
          <w:rFonts w:asciiTheme="minorHAnsi" w:hAnsiTheme="minorHAnsi" w:cstheme="minorHAnsi"/>
          <w:color w:val="005EB8" w:themeColor="text2"/>
        </w:rPr>
      </w:pPr>
      <w:r w:rsidRPr="0038206F">
        <w:rPr>
          <w:rStyle w:val="FootnoteReference"/>
          <w:rFonts w:asciiTheme="minorHAnsi" w:hAnsiTheme="minorHAnsi" w:cstheme="minorHAnsi"/>
          <w:color w:val="auto"/>
        </w:rPr>
        <w:footnoteRef/>
      </w:r>
      <w:r w:rsidR="0095005A">
        <w:rPr>
          <w:rFonts w:asciiTheme="minorHAnsi" w:hAnsiTheme="minorHAnsi" w:cstheme="minorHAnsi"/>
          <w:color w:val="auto"/>
        </w:rPr>
        <w:t xml:space="preserve"> </w:t>
      </w:r>
      <w:r w:rsidR="000A56B4">
        <w:rPr>
          <w:rFonts w:asciiTheme="minorHAnsi" w:hAnsiTheme="minorHAnsi" w:cstheme="minorHAnsi"/>
          <w:color w:val="auto"/>
        </w:rPr>
        <w:t>NHS England</w:t>
      </w:r>
      <w:r w:rsidR="007F093F">
        <w:rPr>
          <w:rFonts w:asciiTheme="minorHAnsi" w:hAnsiTheme="minorHAnsi" w:cstheme="minorHAnsi"/>
          <w:color w:val="auto"/>
        </w:rPr>
        <w:t xml:space="preserve"> (2023)</w:t>
      </w:r>
      <w:r w:rsidR="00F43FDC" w:rsidRPr="00D00502">
        <w:rPr>
          <w:rFonts w:asciiTheme="minorHAnsi" w:hAnsiTheme="minorHAnsi" w:cstheme="minorHAnsi"/>
          <w:color w:val="auto"/>
        </w:rPr>
        <w:t xml:space="preserve"> </w:t>
      </w:r>
      <w:hyperlink r:id="rId5" w:history="1">
        <w:r w:rsidR="00F43FDC" w:rsidRPr="001E4B63">
          <w:rPr>
            <w:rStyle w:val="Hyperlink"/>
            <w:rFonts w:cstheme="minorHAnsi"/>
          </w:rPr>
          <w:t>Statistics »</w:t>
        </w:r>
        <w:r w:rsidR="001E4B63" w:rsidRPr="001E4B63">
          <w:rPr>
            <w:rStyle w:val="Hyperlink"/>
            <w:rFonts w:cstheme="minorHAnsi"/>
          </w:rPr>
          <w:t>COVID-19 data (</w:t>
        </w:r>
        <w:r w:rsidR="00131A2C">
          <w:rPr>
            <w:rStyle w:val="Hyperlink"/>
            <w:rFonts w:cstheme="minorHAnsi"/>
          </w:rPr>
          <w:t>30</w:t>
        </w:r>
        <w:r w:rsidR="001E4B63" w:rsidRPr="001E4B63">
          <w:rPr>
            <w:rStyle w:val="Hyperlink"/>
            <w:rFonts w:cstheme="minorHAnsi"/>
          </w:rPr>
          <w:t xml:space="preserve"> November 2023)</w:t>
        </w:r>
      </w:hyperlink>
    </w:p>
  </w:footnote>
  <w:footnote w:id="7">
    <w:p w14:paraId="68D40907" w14:textId="53C6DD8A" w:rsidR="0031220E" w:rsidRPr="001C5041" w:rsidRDefault="0031220E" w:rsidP="001C5041">
      <w:pPr>
        <w:pStyle w:val="CommentText"/>
        <w:spacing w:after="0"/>
        <w:ind w:right="57"/>
        <w:rPr>
          <w:rFonts w:asciiTheme="minorHAnsi" w:hAnsiTheme="minorHAnsi" w:cstheme="minorHAnsi"/>
          <w:color w:val="005EB8" w:themeColor="text2"/>
        </w:rPr>
      </w:pPr>
      <w:r w:rsidRPr="0038206F">
        <w:rPr>
          <w:rStyle w:val="FootnoteReference"/>
          <w:rFonts w:asciiTheme="minorHAnsi" w:hAnsiTheme="minorHAnsi" w:cstheme="minorHAnsi"/>
          <w:color w:val="auto"/>
        </w:rPr>
        <w:footnoteRef/>
      </w:r>
      <w:r w:rsidRPr="001C5041">
        <w:rPr>
          <w:rFonts w:asciiTheme="minorHAnsi" w:hAnsiTheme="minorHAnsi" w:cstheme="minorHAnsi"/>
          <w:color w:val="005EB8" w:themeColor="text2"/>
        </w:rPr>
        <w:t xml:space="preserve"> </w:t>
      </w:r>
      <w:r w:rsidR="005A33A3">
        <w:rPr>
          <w:rFonts w:asciiTheme="minorHAnsi" w:hAnsiTheme="minorHAnsi" w:cstheme="minorHAnsi"/>
          <w:color w:val="auto"/>
        </w:rPr>
        <w:t>PHE</w:t>
      </w:r>
      <w:r w:rsidR="00A63C33">
        <w:rPr>
          <w:rFonts w:asciiTheme="minorHAnsi" w:hAnsiTheme="minorHAnsi" w:cstheme="minorHAnsi"/>
          <w:color w:val="auto"/>
        </w:rPr>
        <w:t xml:space="preserve"> (2019)</w:t>
      </w:r>
      <w:r w:rsidRPr="00D00502">
        <w:rPr>
          <w:rFonts w:asciiTheme="minorHAnsi" w:hAnsiTheme="minorHAnsi" w:cstheme="minorHAnsi"/>
          <w:color w:val="auto"/>
        </w:rPr>
        <w:t xml:space="preserve"> – </w:t>
      </w:r>
      <w:hyperlink r:id="rId6" w:history="1">
        <w:r w:rsidRPr="001C5041">
          <w:rPr>
            <w:rStyle w:val="Hyperlink"/>
            <w:rFonts w:cstheme="minorHAnsi"/>
            <w:color w:val="005EB8" w:themeColor="text2"/>
          </w:rPr>
          <w:t>HPV vaccine could prevent over 100,000 cancers - GOV.UK (www.gov.uk)</w:t>
        </w:r>
      </w:hyperlink>
    </w:p>
  </w:footnote>
  <w:footnote w:id="8">
    <w:p w14:paraId="296B3739" w14:textId="13760CCE" w:rsidR="0031220E" w:rsidRPr="001C5041" w:rsidRDefault="0031220E" w:rsidP="001C5041">
      <w:pPr>
        <w:pStyle w:val="FootnoteText"/>
        <w:ind w:right="57"/>
        <w:rPr>
          <w:rFonts w:asciiTheme="minorHAnsi" w:hAnsiTheme="minorHAnsi" w:cstheme="minorHAnsi"/>
          <w:color w:val="005EB8" w:themeColor="text2"/>
        </w:rPr>
      </w:pPr>
      <w:r w:rsidRPr="0038206F">
        <w:rPr>
          <w:rStyle w:val="FootnoteReference"/>
          <w:rFonts w:asciiTheme="minorHAnsi" w:hAnsiTheme="minorHAnsi" w:cstheme="minorHAnsi"/>
          <w:color w:val="auto"/>
        </w:rPr>
        <w:footnoteRef/>
      </w:r>
      <w:r w:rsidRPr="001C5041">
        <w:rPr>
          <w:rFonts w:asciiTheme="minorHAnsi" w:hAnsiTheme="minorHAnsi" w:cstheme="minorHAnsi"/>
          <w:color w:val="005EB8" w:themeColor="text2"/>
        </w:rPr>
        <w:t xml:space="preserve"> </w:t>
      </w:r>
      <w:r w:rsidR="00D72A56">
        <w:t>UKHSA</w:t>
      </w:r>
      <w:r w:rsidR="005A33A3">
        <w:t xml:space="preserve"> (2019) – </w:t>
      </w:r>
      <w:hyperlink r:id="rId7" w:history="1">
        <w:r w:rsidR="005A33A3" w:rsidRPr="005A33A3">
          <w:rPr>
            <w:rStyle w:val="Hyperlink"/>
            <w:rFonts w:ascii="Arial" w:hAnsi="Arial"/>
          </w:rPr>
          <w:t>Measles in England</w:t>
        </w:r>
      </w:hyperlink>
    </w:p>
  </w:footnote>
  <w:footnote w:id="9">
    <w:p w14:paraId="11324BD8" w14:textId="06BAB93E" w:rsidR="0031220E" w:rsidRPr="001C5041" w:rsidRDefault="0031220E" w:rsidP="001C5041">
      <w:pPr>
        <w:pStyle w:val="CommentText"/>
        <w:spacing w:after="0"/>
        <w:ind w:right="57"/>
        <w:rPr>
          <w:rFonts w:asciiTheme="minorHAnsi" w:hAnsiTheme="minorHAnsi" w:cstheme="minorHAnsi"/>
          <w:color w:val="005EB8" w:themeColor="text2"/>
        </w:rPr>
      </w:pPr>
      <w:r w:rsidRPr="0038206F">
        <w:rPr>
          <w:rStyle w:val="FootnoteReference"/>
          <w:rFonts w:asciiTheme="minorHAnsi" w:hAnsiTheme="minorHAnsi" w:cstheme="minorHAnsi"/>
          <w:color w:val="auto"/>
        </w:rPr>
        <w:footnoteRef/>
      </w:r>
      <w:r w:rsidRPr="001C5041">
        <w:rPr>
          <w:rFonts w:asciiTheme="minorHAnsi" w:hAnsiTheme="minorHAnsi" w:cstheme="minorHAnsi"/>
          <w:color w:val="005EB8" w:themeColor="text2"/>
        </w:rPr>
        <w:t xml:space="preserve"> </w:t>
      </w:r>
      <w:r w:rsidRPr="00D00502">
        <w:rPr>
          <w:rFonts w:asciiTheme="minorHAnsi" w:hAnsiTheme="minorHAnsi" w:cstheme="minorHAnsi"/>
          <w:color w:val="auto"/>
        </w:rPr>
        <w:t xml:space="preserve">NHS Digital </w:t>
      </w:r>
      <w:r w:rsidR="00934509">
        <w:rPr>
          <w:rFonts w:asciiTheme="minorHAnsi" w:hAnsiTheme="minorHAnsi" w:cstheme="minorHAnsi"/>
          <w:color w:val="auto"/>
        </w:rPr>
        <w:t xml:space="preserve">- </w:t>
      </w:r>
      <w:hyperlink r:id="rId8" w:history="1">
        <w:r w:rsidR="00420CE8" w:rsidRPr="00934509">
          <w:rPr>
            <w:rStyle w:val="Hyperlink"/>
            <w:rFonts w:cstheme="minorHAnsi"/>
          </w:rPr>
          <w:t>C</w:t>
        </w:r>
        <w:r w:rsidRPr="00934509">
          <w:rPr>
            <w:rStyle w:val="Hyperlink"/>
            <w:rFonts w:cstheme="minorHAnsi"/>
          </w:rPr>
          <w:t>hildhood vaccination statistics published September 202</w:t>
        </w:r>
        <w:r w:rsidR="0078150E" w:rsidRPr="00934509">
          <w:rPr>
            <w:rStyle w:val="Hyperlink"/>
            <w:rFonts w:cstheme="minorHAnsi"/>
          </w:rPr>
          <w:t>3</w:t>
        </w:r>
        <w:r w:rsidRPr="00934509">
          <w:rPr>
            <w:rStyle w:val="Hyperlink"/>
            <w:rFonts w:cstheme="minorHAnsi"/>
          </w:rPr>
          <w:t xml:space="preserve"> (see Table 9a)</w:t>
        </w:r>
      </w:hyperlink>
    </w:p>
  </w:footnote>
  <w:footnote w:id="10">
    <w:p w14:paraId="07CF7521" w14:textId="41D2B14B" w:rsidR="006459B0" w:rsidRPr="00DB55D8" w:rsidRDefault="006459B0">
      <w:pPr>
        <w:pStyle w:val="FootnoteText"/>
        <w:rPr>
          <w:color w:val="auto"/>
        </w:rPr>
      </w:pPr>
      <w:r w:rsidRPr="0038206F">
        <w:rPr>
          <w:rStyle w:val="FootnoteReference"/>
          <w:color w:val="auto"/>
        </w:rPr>
        <w:footnoteRef/>
      </w:r>
      <w:r w:rsidRPr="0038206F">
        <w:rPr>
          <w:color w:val="auto"/>
        </w:rPr>
        <w:t xml:space="preserve"> </w:t>
      </w:r>
      <w:r w:rsidR="00CD4608">
        <w:rPr>
          <w:color w:val="auto"/>
        </w:rPr>
        <w:t xml:space="preserve">NHS England (2022) </w:t>
      </w:r>
      <w:hyperlink r:id="rId9" w:history="1">
        <w:r w:rsidR="00567612" w:rsidRPr="00951A61">
          <w:rPr>
            <w:rStyle w:val="Hyperlink"/>
            <w:rFonts w:ascii="Arial" w:hAnsi="Arial"/>
            <w:color w:val="005EB8" w:themeColor="text2"/>
          </w:rPr>
          <w:t>Next steps for integrating primary care: Fuller stocktake report</w:t>
        </w:r>
      </w:hyperlink>
      <w:r w:rsidR="00567612" w:rsidRPr="00951A61">
        <w:rPr>
          <w:color w:val="005EB8" w:themeColor="text2"/>
        </w:rPr>
        <w:t xml:space="preserve"> </w:t>
      </w:r>
    </w:p>
  </w:footnote>
  <w:footnote w:id="11">
    <w:p w14:paraId="5194518B" w14:textId="77777777" w:rsidR="0031220E" w:rsidRPr="0038206F" w:rsidRDefault="0031220E" w:rsidP="001C5041">
      <w:pPr>
        <w:pStyle w:val="FootnoteText"/>
        <w:rPr>
          <w:rFonts w:asciiTheme="minorHAnsi" w:hAnsiTheme="minorHAnsi" w:cstheme="minorHAnsi"/>
          <w:color w:val="auto"/>
        </w:rPr>
      </w:pPr>
      <w:r w:rsidRPr="0038206F">
        <w:rPr>
          <w:rStyle w:val="FootnoteReference"/>
          <w:rFonts w:asciiTheme="minorHAnsi" w:hAnsiTheme="minorHAnsi" w:cstheme="minorHAnsi"/>
          <w:color w:val="auto"/>
        </w:rPr>
        <w:footnoteRef/>
      </w:r>
      <w:r w:rsidRPr="0038206F">
        <w:rPr>
          <w:rFonts w:asciiTheme="minorHAnsi" w:hAnsiTheme="minorHAnsi" w:cstheme="minorHAnsi"/>
          <w:color w:val="auto"/>
        </w:rPr>
        <w:t xml:space="preserve"> In some cases, where ICBs are stated, this is subject to the future delegation of commissioning responsibilities from regional teams.</w:t>
      </w:r>
    </w:p>
  </w:footnote>
  <w:footnote w:id="12">
    <w:p w14:paraId="2101CD34" w14:textId="61D7D184" w:rsidR="007F687B" w:rsidRPr="001C5041" w:rsidRDefault="007F687B" w:rsidP="001C5041">
      <w:pPr>
        <w:pStyle w:val="FootnoteText"/>
        <w:ind w:right="57"/>
        <w:rPr>
          <w:rFonts w:asciiTheme="minorHAnsi" w:hAnsiTheme="minorHAnsi" w:cstheme="minorHAnsi"/>
          <w:color w:val="005EB8" w:themeColor="text2"/>
        </w:rPr>
      </w:pPr>
      <w:r w:rsidRPr="001D4782">
        <w:rPr>
          <w:rStyle w:val="FootnoteReference"/>
          <w:rFonts w:asciiTheme="minorHAnsi" w:hAnsiTheme="minorHAnsi" w:cstheme="minorHAnsi"/>
          <w:color w:val="auto"/>
        </w:rPr>
        <w:footnoteRef/>
      </w:r>
      <w:r w:rsidRPr="001C5041">
        <w:rPr>
          <w:rFonts w:asciiTheme="minorHAnsi" w:hAnsiTheme="minorHAnsi" w:cstheme="minorHAnsi"/>
          <w:color w:val="005EB8" w:themeColor="text2"/>
        </w:rPr>
        <w:t xml:space="preserve"> </w:t>
      </w:r>
      <w:r w:rsidR="00912AC5" w:rsidRPr="00516AFF">
        <w:rPr>
          <w:rFonts w:asciiTheme="minorHAnsi" w:hAnsiTheme="minorHAnsi" w:cstheme="minorHAnsi"/>
          <w:color w:val="auto"/>
        </w:rPr>
        <w:t xml:space="preserve">UKHSA </w:t>
      </w:r>
      <w:r w:rsidR="0036576D" w:rsidRPr="00516AFF">
        <w:rPr>
          <w:rFonts w:asciiTheme="minorHAnsi" w:hAnsiTheme="minorHAnsi" w:cstheme="minorHAnsi"/>
          <w:color w:val="auto"/>
        </w:rPr>
        <w:t xml:space="preserve">(2020) </w:t>
      </w:r>
      <w:hyperlink r:id="rId10" w:history="1">
        <w:r w:rsidRPr="00516AFF">
          <w:rPr>
            <w:rStyle w:val="Hyperlink"/>
            <w:rFonts w:cstheme="minorHAnsi"/>
          </w:rPr>
          <w:t>Immunisation against infectious disease</w:t>
        </w:r>
      </w:hyperlink>
      <w:r w:rsidRPr="0036576D">
        <w:rPr>
          <w:rFonts w:asciiTheme="minorHAnsi" w:hAnsiTheme="minorHAnsi" w:cstheme="minorHAnsi"/>
        </w:rPr>
        <w:t xml:space="preserve"> </w:t>
      </w:r>
    </w:p>
  </w:footnote>
  <w:footnote w:id="13">
    <w:p w14:paraId="67830D0B" w14:textId="4BF7B83D" w:rsidR="006E0C16" w:rsidRPr="001C5041" w:rsidRDefault="006E0C16" w:rsidP="001C5041">
      <w:pPr>
        <w:pStyle w:val="FootnoteText"/>
        <w:ind w:right="57"/>
        <w:rPr>
          <w:rFonts w:asciiTheme="minorHAnsi" w:hAnsiTheme="minorHAnsi" w:cstheme="minorHAnsi"/>
          <w:color w:val="005EB8" w:themeColor="text2"/>
        </w:rPr>
      </w:pPr>
      <w:r w:rsidRPr="001D4782">
        <w:rPr>
          <w:rStyle w:val="FootnoteReference"/>
          <w:rFonts w:asciiTheme="minorHAnsi" w:hAnsiTheme="minorHAnsi" w:cstheme="minorHAnsi"/>
          <w:color w:val="auto"/>
        </w:rPr>
        <w:footnoteRef/>
      </w:r>
      <w:r w:rsidRPr="00843216">
        <w:rPr>
          <w:rFonts w:asciiTheme="minorHAnsi" w:hAnsiTheme="minorHAnsi" w:cstheme="minorHAnsi"/>
          <w:color w:val="auto"/>
        </w:rPr>
        <w:t xml:space="preserve"> </w:t>
      </w:r>
      <w:r w:rsidR="00CD6ABF" w:rsidRPr="00843216">
        <w:rPr>
          <w:rFonts w:asciiTheme="minorHAnsi" w:hAnsiTheme="minorHAnsi" w:cstheme="minorHAnsi"/>
          <w:color w:val="auto"/>
        </w:rPr>
        <w:t>NHS</w:t>
      </w:r>
      <w:r w:rsidR="008808CE">
        <w:rPr>
          <w:rFonts w:asciiTheme="minorHAnsi" w:hAnsiTheme="minorHAnsi" w:cstheme="minorHAnsi"/>
          <w:color w:val="auto"/>
        </w:rPr>
        <w:t xml:space="preserve"> (2023)</w:t>
      </w:r>
      <w:r w:rsidR="00843216" w:rsidRPr="00843216">
        <w:rPr>
          <w:rFonts w:asciiTheme="minorHAnsi" w:hAnsiTheme="minorHAnsi" w:cstheme="minorHAnsi"/>
          <w:color w:val="auto"/>
        </w:rPr>
        <w:t>,</w:t>
      </w:r>
      <w:r w:rsidR="00CD6ABF" w:rsidRPr="00843216">
        <w:rPr>
          <w:rFonts w:asciiTheme="minorHAnsi" w:hAnsiTheme="minorHAnsi" w:cstheme="minorHAnsi"/>
          <w:color w:val="auto"/>
        </w:rPr>
        <w:t xml:space="preserve"> </w:t>
      </w:r>
      <w:hyperlink r:id="rId11" w:history="1">
        <w:r w:rsidRPr="001C5041">
          <w:rPr>
            <w:rStyle w:val="Hyperlink"/>
            <w:rFonts w:cstheme="minorHAnsi"/>
            <w:color w:val="005EB8" w:themeColor="text2"/>
          </w:rPr>
          <w:t>Why vaccination is safe and important</w:t>
        </w:r>
      </w:hyperlink>
    </w:p>
  </w:footnote>
  <w:footnote w:id="14">
    <w:p w14:paraId="29983D7B" w14:textId="185C7B6E" w:rsidR="006E0C16" w:rsidRPr="001C5041" w:rsidRDefault="006E0C16" w:rsidP="001C5041">
      <w:pPr>
        <w:pStyle w:val="FootnoteText"/>
        <w:ind w:right="57"/>
        <w:rPr>
          <w:rFonts w:asciiTheme="minorHAnsi" w:hAnsiTheme="minorHAnsi" w:cstheme="minorHAnsi"/>
          <w:color w:val="005EB8" w:themeColor="text2"/>
        </w:rPr>
      </w:pPr>
      <w:r w:rsidRPr="001D4782">
        <w:rPr>
          <w:rStyle w:val="FootnoteReference"/>
          <w:rFonts w:asciiTheme="minorHAnsi" w:hAnsiTheme="minorHAnsi" w:cstheme="minorHAnsi"/>
          <w:color w:val="auto"/>
        </w:rPr>
        <w:footnoteRef/>
      </w:r>
      <w:r w:rsidRPr="001D4782">
        <w:rPr>
          <w:rFonts w:asciiTheme="minorHAnsi" w:hAnsiTheme="minorHAnsi" w:cstheme="minorHAnsi"/>
          <w:color w:val="auto"/>
        </w:rPr>
        <w:t xml:space="preserve"> </w:t>
      </w:r>
      <w:r w:rsidR="00CD6ABF" w:rsidRPr="00843216">
        <w:rPr>
          <w:rFonts w:asciiTheme="minorHAnsi" w:hAnsiTheme="minorHAnsi" w:cstheme="minorHAnsi"/>
          <w:color w:val="auto"/>
        </w:rPr>
        <w:t>UKHSA (2023)</w:t>
      </w:r>
      <w:r w:rsidR="00843216" w:rsidRPr="00843216">
        <w:rPr>
          <w:rFonts w:asciiTheme="minorHAnsi" w:hAnsiTheme="minorHAnsi" w:cstheme="minorHAnsi"/>
          <w:color w:val="auto"/>
        </w:rPr>
        <w:t>,</w:t>
      </w:r>
      <w:r w:rsidR="00CD6ABF" w:rsidRPr="00843216">
        <w:rPr>
          <w:rFonts w:asciiTheme="minorHAnsi" w:hAnsiTheme="minorHAnsi" w:cstheme="minorHAnsi"/>
          <w:color w:val="auto"/>
        </w:rPr>
        <w:t xml:space="preserve"> </w:t>
      </w:r>
      <w:hyperlink r:id="rId12" w:history="1">
        <w:r w:rsidRPr="00843216">
          <w:rPr>
            <w:rStyle w:val="Hyperlink"/>
            <w:rFonts w:cstheme="minorHAnsi"/>
          </w:rPr>
          <w:t>The complete routine immunisation schedule</w:t>
        </w:r>
      </w:hyperlink>
    </w:p>
  </w:footnote>
  <w:footnote w:id="15">
    <w:p w14:paraId="507B7365" w14:textId="77FB113B" w:rsidR="006E0C16" w:rsidRPr="001C5041" w:rsidRDefault="006E0C16" w:rsidP="001C5041">
      <w:pPr>
        <w:pStyle w:val="CommentText"/>
        <w:spacing w:after="0"/>
        <w:ind w:right="482"/>
        <w:rPr>
          <w:rFonts w:asciiTheme="minorHAnsi" w:hAnsiTheme="minorHAnsi" w:cstheme="minorHAnsi"/>
          <w:color w:val="005EB8" w:themeColor="text2"/>
        </w:rPr>
      </w:pPr>
      <w:r w:rsidRPr="001D4782">
        <w:rPr>
          <w:rStyle w:val="FootnoteReference"/>
          <w:rFonts w:asciiTheme="minorHAnsi" w:hAnsiTheme="minorHAnsi" w:cstheme="minorHAnsi"/>
          <w:color w:val="auto"/>
        </w:rPr>
        <w:footnoteRef/>
      </w:r>
      <w:r w:rsidRPr="001C5041">
        <w:rPr>
          <w:rFonts w:asciiTheme="minorHAnsi" w:hAnsiTheme="minorHAnsi" w:cstheme="minorHAnsi"/>
          <w:color w:val="005EB8" w:themeColor="text2"/>
        </w:rPr>
        <w:t xml:space="preserve"> </w:t>
      </w:r>
      <w:r w:rsidR="00843216" w:rsidRPr="00843216">
        <w:rPr>
          <w:rFonts w:asciiTheme="minorHAnsi" w:hAnsiTheme="minorHAnsi" w:cstheme="minorHAnsi"/>
          <w:color w:val="auto"/>
        </w:rPr>
        <w:t>NHS Digital (2023)</w:t>
      </w:r>
      <w:r w:rsidR="00090507">
        <w:rPr>
          <w:rFonts w:asciiTheme="minorHAnsi" w:hAnsiTheme="minorHAnsi" w:cstheme="minorHAnsi"/>
          <w:color w:val="auto"/>
        </w:rPr>
        <w:t>,</w:t>
      </w:r>
      <w:r w:rsidR="00843216" w:rsidRPr="00843216">
        <w:rPr>
          <w:rFonts w:asciiTheme="minorHAnsi" w:hAnsiTheme="minorHAnsi" w:cstheme="minorHAnsi"/>
          <w:color w:val="auto"/>
        </w:rPr>
        <w:t xml:space="preserve"> </w:t>
      </w:r>
      <w:hyperlink r:id="rId13" w:history="1">
        <w:r w:rsidRPr="001C5041">
          <w:rPr>
            <w:rStyle w:val="Hyperlink"/>
            <w:rFonts w:cstheme="minorHAnsi"/>
            <w:color w:val="005EB8" w:themeColor="text2"/>
          </w:rPr>
          <w:t>Childhood Vaccination Coverage Statistics- England, 202</w:t>
        </w:r>
        <w:r w:rsidR="00810B96">
          <w:rPr>
            <w:rStyle w:val="Hyperlink"/>
            <w:rFonts w:cstheme="minorHAnsi"/>
            <w:color w:val="005EB8" w:themeColor="text2"/>
          </w:rPr>
          <w:t>2</w:t>
        </w:r>
        <w:r w:rsidRPr="001C5041">
          <w:rPr>
            <w:rStyle w:val="Hyperlink"/>
            <w:rFonts w:cstheme="minorHAnsi"/>
            <w:color w:val="005EB8" w:themeColor="text2"/>
          </w:rPr>
          <w:t>-2</w:t>
        </w:r>
        <w:r w:rsidR="00810B96">
          <w:rPr>
            <w:rStyle w:val="Hyperlink"/>
            <w:rFonts w:cstheme="minorHAnsi"/>
            <w:color w:val="005EB8" w:themeColor="text2"/>
          </w:rPr>
          <w:t>3</w:t>
        </w:r>
        <w:r w:rsidRPr="001C5041">
          <w:rPr>
            <w:rStyle w:val="Hyperlink"/>
            <w:rFonts w:cstheme="minorHAnsi"/>
            <w:color w:val="005EB8" w:themeColor="text2"/>
          </w:rPr>
          <w:t xml:space="preserve"> - NDRS </w:t>
        </w:r>
      </w:hyperlink>
    </w:p>
  </w:footnote>
  <w:footnote w:id="16">
    <w:p w14:paraId="2B06D01F" w14:textId="06561CB9" w:rsidR="006E0C16" w:rsidRPr="001C5041" w:rsidRDefault="006E0C16" w:rsidP="001C5041">
      <w:pPr>
        <w:pStyle w:val="FootnoteText"/>
        <w:ind w:right="482"/>
        <w:rPr>
          <w:rFonts w:asciiTheme="minorHAnsi" w:hAnsiTheme="minorHAnsi" w:cstheme="minorHAnsi"/>
          <w:color w:val="005EB8" w:themeColor="text2"/>
        </w:rPr>
      </w:pPr>
      <w:r w:rsidRPr="001D4782">
        <w:rPr>
          <w:rStyle w:val="FootnoteReference"/>
          <w:rFonts w:asciiTheme="minorHAnsi" w:hAnsiTheme="minorHAnsi" w:cstheme="minorHAnsi"/>
          <w:color w:val="auto"/>
        </w:rPr>
        <w:footnoteRef/>
      </w:r>
      <w:r w:rsidRPr="001C5041">
        <w:rPr>
          <w:rFonts w:asciiTheme="minorHAnsi" w:hAnsiTheme="minorHAnsi" w:cstheme="minorHAnsi"/>
          <w:color w:val="005EB8" w:themeColor="text2"/>
        </w:rPr>
        <w:t xml:space="preserve"> </w:t>
      </w:r>
      <w:r w:rsidR="00843216" w:rsidRPr="00843216">
        <w:rPr>
          <w:rFonts w:asciiTheme="minorHAnsi" w:hAnsiTheme="minorHAnsi" w:cstheme="minorHAnsi"/>
          <w:color w:val="auto"/>
        </w:rPr>
        <w:t xml:space="preserve">OECD (2023), </w:t>
      </w:r>
      <w:hyperlink r:id="rId14" w:history="1">
        <w:r w:rsidRPr="001C5041">
          <w:rPr>
            <w:rStyle w:val="Hyperlink"/>
            <w:rFonts w:cstheme="minorHAnsi"/>
            <w:color w:val="005EB8" w:themeColor="text2"/>
          </w:rPr>
          <w:t>Health care use - Influenza vaccination rates - OECD</w:t>
        </w:r>
      </w:hyperlink>
    </w:p>
  </w:footnote>
  <w:footnote w:id="17">
    <w:p w14:paraId="3F6AF45A" w14:textId="6E9D4A26" w:rsidR="006E0C16" w:rsidRPr="001C5041" w:rsidRDefault="006E0C16" w:rsidP="001C5041">
      <w:pPr>
        <w:pStyle w:val="FootnoteText"/>
        <w:ind w:right="482"/>
        <w:rPr>
          <w:rFonts w:asciiTheme="minorHAnsi" w:hAnsiTheme="minorHAnsi" w:cstheme="minorHAnsi"/>
          <w:color w:val="005EB8" w:themeColor="text2"/>
        </w:rPr>
      </w:pPr>
      <w:r w:rsidRPr="001D4782">
        <w:rPr>
          <w:rStyle w:val="FootnoteReference"/>
          <w:rFonts w:asciiTheme="minorHAnsi" w:hAnsiTheme="minorHAnsi" w:cstheme="minorHAnsi"/>
          <w:color w:val="auto"/>
        </w:rPr>
        <w:footnoteRef/>
      </w:r>
      <w:r w:rsidRPr="001D4782">
        <w:rPr>
          <w:rFonts w:asciiTheme="minorHAnsi" w:hAnsiTheme="minorHAnsi" w:cstheme="minorHAnsi"/>
          <w:color w:val="auto"/>
        </w:rPr>
        <w:t xml:space="preserve"> </w:t>
      </w:r>
      <w:bookmarkStart w:id="13" w:name="_Hlk148089375"/>
      <w:r w:rsidR="00447749">
        <w:rPr>
          <w:rFonts w:asciiTheme="minorHAnsi" w:hAnsiTheme="minorHAnsi" w:cstheme="minorHAnsi"/>
          <w:color w:val="auto"/>
        </w:rPr>
        <w:t>NHS England (2023)</w:t>
      </w:r>
      <w:r w:rsidR="00090507">
        <w:rPr>
          <w:rFonts w:asciiTheme="minorHAnsi" w:hAnsiTheme="minorHAnsi" w:cstheme="minorHAnsi"/>
          <w:color w:val="auto"/>
        </w:rPr>
        <w:t xml:space="preserve">, </w:t>
      </w:r>
      <w:hyperlink r:id="rId15" w:history="1">
        <w:r w:rsidRPr="001C5041">
          <w:rPr>
            <w:rStyle w:val="Hyperlink"/>
            <w:rFonts w:cstheme="minorHAnsi"/>
            <w:color w:val="005EB8" w:themeColor="text2"/>
          </w:rPr>
          <w:t>Statistics » COVID-19 vaccinations (</w:t>
        </w:r>
        <w:r w:rsidR="00131A2C">
          <w:rPr>
            <w:rStyle w:val="Hyperlink"/>
            <w:rFonts w:cstheme="minorHAnsi"/>
            <w:color w:val="005EB8" w:themeColor="text2"/>
          </w:rPr>
          <w:t>30</w:t>
        </w:r>
        <w:r w:rsidR="00577F2C">
          <w:rPr>
            <w:rStyle w:val="Hyperlink"/>
            <w:rFonts w:cstheme="minorHAnsi"/>
            <w:color w:val="005EB8" w:themeColor="text2"/>
          </w:rPr>
          <w:t xml:space="preserve"> November 2023</w:t>
        </w:r>
        <w:r w:rsidRPr="001C5041">
          <w:rPr>
            <w:rStyle w:val="Hyperlink"/>
            <w:rFonts w:cstheme="minorHAnsi"/>
            <w:color w:val="005EB8" w:themeColor="text2"/>
          </w:rPr>
          <w:t>)</w:t>
        </w:r>
      </w:hyperlink>
      <w:bookmarkEnd w:id="13"/>
    </w:p>
  </w:footnote>
  <w:footnote w:id="18">
    <w:p w14:paraId="4F347975" w14:textId="0A72FA5A" w:rsidR="00685762" w:rsidRPr="001C5041" w:rsidRDefault="00685762" w:rsidP="001C5041">
      <w:pPr>
        <w:pStyle w:val="FootnoteText"/>
        <w:ind w:right="482"/>
        <w:rPr>
          <w:rFonts w:asciiTheme="minorHAnsi" w:hAnsiTheme="minorHAnsi" w:cstheme="minorHAnsi"/>
          <w:color w:val="005EB8" w:themeColor="text2"/>
        </w:rPr>
      </w:pPr>
      <w:r w:rsidRPr="001D4782">
        <w:rPr>
          <w:rStyle w:val="FootnoteReference"/>
          <w:rFonts w:asciiTheme="minorHAnsi" w:hAnsiTheme="minorHAnsi" w:cstheme="minorHAnsi"/>
          <w:color w:val="auto"/>
        </w:rPr>
        <w:footnoteRef/>
      </w:r>
      <w:r w:rsidRPr="001D4782">
        <w:rPr>
          <w:rFonts w:asciiTheme="minorHAnsi" w:hAnsiTheme="minorHAnsi" w:cstheme="minorHAnsi"/>
          <w:color w:val="auto"/>
        </w:rPr>
        <w:t xml:space="preserve"> </w:t>
      </w:r>
      <w:r w:rsidR="00090507">
        <w:rPr>
          <w:rFonts w:asciiTheme="minorHAnsi" w:hAnsiTheme="minorHAnsi" w:cstheme="minorHAnsi"/>
          <w:color w:val="auto"/>
        </w:rPr>
        <w:t xml:space="preserve">OECD (2023), </w:t>
      </w:r>
      <w:hyperlink r:id="rId16" w:anchor="indicator-chart" w:history="1">
        <w:r w:rsidRPr="00D10898">
          <w:rPr>
            <w:rStyle w:val="Hyperlink"/>
            <w:rFonts w:cstheme="minorHAnsi"/>
          </w:rPr>
          <w:t>Health care use - Child vaccination rates</w:t>
        </w:r>
      </w:hyperlink>
      <w:r w:rsidR="005008E6">
        <w:rPr>
          <w:rFonts w:asciiTheme="minorHAnsi" w:hAnsiTheme="minorHAnsi" w:cstheme="minorHAnsi"/>
          <w:color w:val="005EB8" w:themeColor="text2"/>
        </w:rPr>
        <w:t xml:space="preserve"> </w:t>
      </w:r>
      <w:r w:rsidR="005008E6" w:rsidRPr="005008E6">
        <w:rPr>
          <w:rFonts w:asciiTheme="minorHAnsi" w:hAnsiTheme="minorHAnsi" w:cstheme="minorHAnsi"/>
          <w:color w:val="auto"/>
        </w:rPr>
        <w:t>Note</w:t>
      </w:r>
      <w:r w:rsidR="005008E6">
        <w:rPr>
          <w:rFonts w:asciiTheme="minorHAnsi" w:hAnsiTheme="minorHAnsi" w:cstheme="minorHAnsi"/>
          <w:color w:val="auto"/>
        </w:rPr>
        <w:t xml:space="preserve">: </w:t>
      </w:r>
      <w:r w:rsidR="00F54B54">
        <w:rPr>
          <w:rFonts w:asciiTheme="minorHAnsi" w:hAnsiTheme="minorHAnsi" w:cstheme="minorHAnsi"/>
          <w:color w:val="auto"/>
        </w:rPr>
        <w:t>S</w:t>
      </w:r>
      <w:r w:rsidR="00F54B54" w:rsidRPr="00F54B54">
        <w:rPr>
          <w:rFonts w:asciiTheme="minorHAnsi" w:hAnsiTheme="minorHAnsi" w:cstheme="minorHAnsi"/>
          <w:color w:val="auto"/>
        </w:rPr>
        <w:t>ome countries in this table have introduced mandatory childhood vaccination</w:t>
      </w:r>
    </w:p>
  </w:footnote>
  <w:footnote w:id="19">
    <w:p w14:paraId="64BDD742" w14:textId="3FD1C387" w:rsidR="000E10A2" w:rsidRPr="001C5041" w:rsidRDefault="000E10A2" w:rsidP="001C5041">
      <w:pPr>
        <w:pStyle w:val="FootnoteText"/>
        <w:rPr>
          <w:rFonts w:asciiTheme="minorHAnsi" w:hAnsiTheme="minorHAnsi" w:cstheme="minorHAnsi"/>
          <w:color w:val="005EB8" w:themeColor="text2"/>
        </w:rPr>
      </w:pPr>
      <w:r w:rsidRPr="001D4782">
        <w:rPr>
          <w:rStyle w:val="FootnoteReference"/>
          <w:rFonts w:asciiTheme="minorHAnsi" w:hAnsiTheme="minorHAnsi" w:cstheme="minorHAnsi"/>
          <w:color w:val="auto"/>
        </w:rPr>
        <w:footnoteRef/>
      </w:r>
      <w:r w:rsidRPr="001C5041">
        <w:rPr>
          <w:rFonts w:asciiTheme="minorHAnsi" w:hAnsiTheme="minorHAnsi" w:cstheme="minorHAnsi"/>
          <w:color w:val="005EB8" w:themeColor="text2"/>
        </w:rPr>
        <w:t xml:space="preserve"> </w:t>
      </w:r>
      <w:r w:rsidRPr="00090507">
        <w:rPr>
          <w:rFonts w:asciiTheme="minorHAnsi" w:hAnsiTheme="minorHAnsi" w:cstheme="minorHAnsi"/>
        </w:rPr>
        <w:t>UKHSA (202</w:t>
      </w:r>
      <w:r w:rsidR="00EE735D" w:rsidRPr="00090507">
        <w:rPr>
          <w:rFonts w:asciiTheme="minorHAnsi" w:hAnsiTheme="minorHAnsi" w:cstheme="minorHAnsi"/>
        </w:rPr>
        <w:t>3</w:t>
      </w:r>
      <w:r w:rsidRPr="00090507">
        <w:rPr>
          <w:rFonts w:asciiTheme="minorHAnsi" w:hAnsiTheme="minorHAnsi" w:cstheme="minorHAnsi"/>
        </w:rPr>
        <w:t>)</w:t>
      </w:r>
      <w:r w:rsidR="00090507">
        <w:rPr>
          <w:rFonts w:asciiTheme="minorHAnsi" w:hAnsiTheme="minorHAnsi" w:cstheme="minorHAnsi"/>
        </w:rPr>
        <w:t>,</w:t>
      </w:r>
      <w:r w:rsidRPr="00090507">
        <w:rPr>
          <w:rFonts w:asciiTheme="minorHAnsi" w:hAnsiTheme="minorHAnsi" w:cstheme="minorHAnsi"/>
        </w:rPr>
        <w:t xml:space="preserve"> </w:t>
      </w:r>
      <w:hyperlink r:id="rId17" w:history="1">
        <w:r w:rsidRPr="00090507">
          <w:rPr>
            <w:rStyle w:val="Hyperlink"/>
            <w:rFonts w:cstheme="minorHAnsi"/>
          </w:rPr>
          <w:t>Seasonal influenza vaccine uptake in GP patients: monthly data</w:t>
        </w:r>
      </w:hyperlink>
      <w:r w:rsidRPr="001C5041">
        <w:rPr>
          <w:rFonts w:asciiTheme="minorHAnsi" w:hAnsiTheme="minorHAnsi" w:cstheme="minorHAnsi"/>
          <w:color w:val="005EB8" w:themeColor="text2"/>
        </w:rPr>
        <w:t xml:space="preserve"> </w:t>
      </w:r>
    </w:p>
  </w:footnote>
  <w:footnote w:id="20">
    <w:p w14:paraId="0719DBC2" w14:textId="43145426" w:rsidR="00D707EF" w:rsidRPr="001C5041" w:rsidRDefault="00D707EF" w:rsidP="001C5041">
      <w:pPr>
        <w:pStyle w:val="BodyText2"/>
        <w:numPr>
          <w:ilvl w:val="0"/>
          <w:numId w:val="0"/>
        </w:numPr>
        <w:spacing w:after="0" w:line="240" w:lineRule="auto"/>
        <w:ind w:right="57"/>
        <w:rPr>
          <w:rFonts w:asciiTheme="minorHAnsi" w:hAnsiTheme="minorHAnsi" w:cstheme="minorHAnsi"/>
          <w:color w:val="005EB8" w:themeColor="text2"/>
          <w:sz w:val="20"/>
          <w:szCs w:val="20"/>
        </w:rPr>
      </w:pPr>
      <w:r w:rsidRPr="00485BB9">
        <w:rPr>
          <w:rStyle w:val="FootnoteReference"/>
          <w:rFonts w:asciiTheme="minorHAnsi" w:hAnsiTheme="minorHAnsi" w:cstheme="minorHAnsi"/>
          <w:color w:val="auto"/>
          <w:sz w:val="20"/>
          <w:szCs w:val="20"/>
        </w:rPr>
        <w:footnoteRef/>
      </w:r>
      <w:r w:rsidRPr="00485BB9">
        <w:rPr>
          <w:rFonts w:asciiTheme="minorHAnsi" w:hAnsiTheme="minorHAnsi" w:cstheme="minorHAnsi"/>
          <w:color w:val="auto"/>
          <w:sz w:val="20"/>
          <w:szCs w:val="20"/>
        </w:rPr>
        <w:t xml:space="preserve"> </w:t>
      </w:r>
      <w:r w:rsidRPr="000E7233">
        <w:rPr>
          <w:rFonts w:asciiTheme="minorHAnsi" w:hAnsiTheme="minorHAnsi" w:cstheme="minorHAnsi"/>
          <w:sz w:val="20"/>
          <w:szCs w:val="20"/>
        </w:rPr>
        <w:t>WHO (2014)</w:t>
      </w:r>
      <w:r w:rsidR="000E7233">
        <w:rPr>
          <w:rFonts w:asciiTheme="minorHAnsi" w:hAnsiTheme="minorHAnsi" w:cstheme="minorHAnsi"/>
          <w:sz w:val="20"/>
          <w:szCs w:val="20"/>
        </w:rPr>
        <w:t>,</w:t>
      </w:r>
      <w:r w:rsidRPr="000E7233">
        <w:rPr>
          <w:rFonts w:asciiTheme="minorHAnsi" w:hAnsiTheme="minorHAnsi" w:cstheme="minorHAnsi"/>
          <w:sz w:val="20"/>
          <w:szCs w:val="20"/>
        </w:rPr>
        <w:t xml:space="preserve"> </w:t>
      </w:r>
      <w:hyperlink r:id="rId18" w:history="1">
        <w:r w:rsidRPr="000E7233">
          <w:rPr>
            <w:rStyle w:val="Hyperlink"/>
            <w:rFonts w:cstheme="minorHAnsi"/>
            <w:sz w:val="20"/>
            <w:szCs w:val="20"/>
          </w:rPr>
          <w:t>Report of the SAGE Working Group on Vaccine Hesitancy</w:t>
        </w:r>
      </w:hyperlink>
    </w:p>
  </w:footnote>
  <w:footnote w:id="21">
    <w:p w14:paraId="061064D7" w14:textId="77777777" w:rsidR="00D707EF" w:rsidRPr="00485BB9" w:rsidRDefault="00D707EF" w:rsidP="001C5041">
      <w:pPr>
        <w:pStyle w:val="FootnoteText"/>
        <w:ind w:right="57"/>
        <w:rPr>
          <w:rFonts w:asciiTheme="minorHAnsi" w:hAnsiTheme="minorHAnsi" w:cstheme="minorHAnsi"/>
          <w:color w:val="auto"/>
        </w:rPr>
      </w:pPr>
      <w:r w:rsidRPr="00485BB9">
        <w:rPr>
          <w:rStyle w:val="FootnoteReference"/>
          <w:rFonts w:asciiTheme="minorHAnsi" w:hAnsiTheme="minorHAnsi" w:cstheme="minorHAnsi"/>
          <w:color w:val="auto"/>
        </w:rPr>
        <w:footnoteRef/>
      </w:r>
      <w:r w:rsidRPr="00485BB9">
        <w:rPr>
          <w:rFonts w:asciiTheme="minorHAnsi" w:hAnsiTheme="minorHAnsi" w:cstheme="minorHAnsi"/>
          <w:color w:val="auto"/>
        </w:rPr>
        <w:t xml:space="preserve"> For many people, the ease of booking an appointment, particularly for COVID-19 and flu vaccinations, is critical to them prioritising vaccination. Some local health systems told us that local booking routes supported uptake in some underserved communities.</w:t>
      </w:r>
    </w:p>
  </w:footnote>
  <w:footnote w:id="22">
    <w:p w14:paraId="64692D68" w14:textId="08533794" w:rsidR="00D35E3A" w:rsidRPr="001C5041" w:rsidRDefault="00D35E3A" w:rsidP="001C5041">
      <w:pPr>
        <w:pStyle w:val="FootnoteText"/>
        <w:rPr>
          <w:rFonts w:asciiTheme="minorHAnsi" w:hAnsiTheme="minorHAnsi" w:cstheme="minorHAnsi"/>
          <w:color w:val="005EB8" w:themeColor="text2"/>
        </w:rPr>
      </w:pPr>
      <w:r w:rsidRPr="00C4396A">
        <w:rPr>
          <w:rStyle w:val="FootnoteReference"/>
          <w:rFonts w:asciiTheme="minorHAnsi" w:hAnsiTheme="minorHAnsi" w:cstheme="minorHAnsi"/>
          <w:color w:val="auto"/>
        </w:rPr>
        <w:footnoteRef/>
      </w:r>
      <w:r w:rsidRPr="00C4396A">
        <w:rPr>
          <w:rFonts w:asciiTheme="minorHAnsi" w:hAnsiTheme="minorHAnsi" w:cstheme="minorHAnsi"/>
          <w:color w:val="auto"/>
        </w:rPr>
        <w:t xml:space="preserve"> UKHSA (2023)</w:t>
      </w:r>
      <w:r w:rsidR="000E7233">
        <w:rPr>
          <w:rFonts w:asciiTheme="minorHAnsi" w:hAnsiTheme="minorHAnsi" w:cstheme="minorHAnsi"/>
          <w:color w:val="auto"/>
        </w:rPr>
        <w:t>,</w:t>
      </w:r>
      <w:r w:rsidRPr="00C4396A">
        <w:rPr>
          <w:rFonts w:asciiTheme="minorHAnsi" w:hAnsiTheme="minorHAnsi" w:cstheme="minorHAnsi"/>
          <w:color w:val="auto"/>
        </w:rPr>
        <w:t xml:space="preserve"> </w:t>
      </w:r>
      <w:hyperlink r:id="rId19" w:history="1">
        <w:r w:rsidRPr="001C5041">
          <w:rPr>
            <w:rStyle w:val="Hyperlink"/>
            <w:rFonts w:cstheme="minorHAnsi"/>
            <w:color w:val="005EB8" w:themeColor="text2"/>
          </w:rPr>
          <w:t>Childhood vaccines: parental attitudes survey 2022 findings</w:t>
        </w:r>
      </w:hyperlink>
      <w:r w:rsidRPr="001C5041">
        <w:rPr>
          <w:rFonts w:asciiTheme="minorHAnsi" w:hAnsiTheme="minorHAnsi" w:cstheme="minorHAnsi"/>
          <w:color w:val="005EB8" w:themeColor="text2"/>
        </w:rPr>
        <w:t xml:space="preserve"> </w:t>
      </w:r>
    </w:p>
  </w:footnote>
  <w:footnote w:id="23">
    <w:p w14:paraId="5F9ABE95" w14:textId="1AF0B5FB" w:rsidR="00E554BE" w:rsidRPr="001C5041" w:rsidRDefault="00E554BE" w:rsidP="001C5041">
      <w:pPr>
        <w:pStyle w:val="FootnoteText"/>
        <w:rPr>
          <w:rFonts w:asciiTheme="minorHAnsi" w:hAnsiTheme="minorHAnsi" w:cstheme="minorHAnsi"/>
          <w:color w:val="005EB8" w:themeColor="text2"/>
        </w:rPr>
      </w:pPr>
      <w:r w:rsidRPr="001C5041">
        <w:rPr>
          <w:rStyle w:val="FootnoteReference"/>
          <w:rFonts w:asciiTheme="minorHAnsi" w:hAnsiTheme="minorHAnsi" w:cstheme="minorHAnsi"/>
          <w:color w:val="005EB8" w:themeColor="text2"/>
        </w:rPr>
        <w:footnoteRef/>
      </w:r>
      <w:r w:rsidRPr="001C5041">
        <w:rPr>
          <w:rFonts w:asciiTheme="minorHAnsi" w:hAnsiTheme="minorHAnsi" w:cstheme="minorHAnsi"/>
          <w:color w:val="005EB8" w:themeColor="text2"/>
        </w:rPr>
        <w:t xml:space="preserve"> </w:t>
      </w:r>
      <w:r w:rsidR="00F73BC7" w:rsidRPr="000E7233">
        <w:rPr>
          <w:rFonts w:asciiTheme="minorHAnsi" w:hAnsiTheme="minorHAnsi" w:cstheme="minorHAnsi"/>
          <w:color w:val="auto"/>
        </w:rPr>
        <w:t>National Audit Office</w:t>
      </w:r>
      <w:r w:rsidR="00800F1C" w:rsidRPr="000E7233">
        <w:rPr>
          <w:rFonts w:asciiTheme="minorHAnsi" w:hAnsiTheme="minorHAnsi" w:cstheme="minorHAnsi"/>
          <w:color w:val="auto"/>
        </w:rPr>
        <w:t xml:space="preserve"> (2022)</w:t>
      </w:r>
      <w:r w:rsidR="000E7233">
        <w:rPr>
          <w:rFonts w:asciiTheme="minorHAnsi" w:hAnsiTheme="minorHAnsi" w:cstheme="minorHAnsi"/>
          <w:color w:val="auto"/>
        </w:rPr>
        <w:t>,</w:t>
      </w:r>
      <w:r w:rsidR="00F73BC7" w:rsidRPr="000E7233">
        <w:rPr>
          <w:rFonts w:asciiTheme="minorHAnsi" w:hAnsiTheme="minorHAnsi" w:cstheme="minorHAnsi"/>
          <w:color w:val="auto"/>
        </w:rPr>
        <w:t xml:space="preserve"> </w:t>
      </w:r>
      <w:hyperlink r:id="rId20" w:history="1">
        <w:r w:rsidRPr="000E7233">
          <w:rPr>
            <w:rStyle w:val="Hyperlink"/>
            <w:rFonts w:cstheme="minorHAnsi"/>
          </w:rPr>
          <w:t>The rollout of the COVID-19 vaccination programme in England</w:t>
        </w:r>
      </w:hyperlink>
    </w:p>
  </w:footnote>
  <w:footnote w:id="24">
    <w:p w14:paraId="4E8E3684" w14:textId="77777777" w:rsidR="00E554BE" w:rsidRPr="002B77D2" w:rsidRDefault="00E554BE" w:rsidP="001C5041">
      <w:pPr>
        <w:pStyle w:val="FootnoteText"/>
        <w:rPr>
          <w:rFonts w:asciiTheme="minorHAnsi" w:hAnsiTheme="minorHAnsi" w:cstheme="minorHAnsi"/>
          <w:color w:val="auto"/>
        </w:rPr>
      </w:pPr>
      <w:r w:rsidRPr="001C5041">
        <w:rPr>
          <w:rStyle w:val="FootnoteReference"/>
          <w:rFonts w:asciiTheme="minorHAnsi" w:hAnsiTheme="minorHAnsi" w:cstheme="minorHAnsi"/>
          <w:color w:val="005EB8" w:themeColor="text2"/>
        </w:rPr>
        <w:footnoteRef/>
      </w:r>
      <w:r w:rsidRPr="001C5041">
        <w:rPr>
          <w:rFonts w:asciiTheme="minorHAnsi" w:hAnsiTheme="minorHAnsi" w:cstheme="minorHAnsi"/>
          <w:color w:val="005EB8" w:themeColor="text2"/>
        </w:rPr>
        <w:t xml:space="preserve"> </w:t>
      </w:r>
      <w:r w:rsidRPr="002B77D2">
        <w:rPr>
          <w:rFonts w:asciiTheme="minorHAnsi" w:hAnsiTheme="minorHAnsi" w:cstheme="minorHAnsi"/>
          <w:color w:val="auto"/>
        </w:rPr>
        <w:t>NHS England and BritainThinks report on ‘Public perceptions of vaccines’ (October 2022)</w:t>
      </w:r>
    </w:p>
  </w:footnote>
  <w:footnote w:id="25">
    <w:p w14:paraId="40CE3E5E" w14:textId="038BF6CE" w:rsidR="00E554BE" w:rsidRPr="00AE3EAD" w:rsidRDefault="00E554BE" w:rsidP="001C5041">
      <w:pPr>
        <w:pStyle w:val="FootnoteText"/>
        <w:ind w:right="57"/>
        <w:rPr>
          <w:rFonts w:asciiTheme="minorHAnsi" w:hAnsiTheme="minorHAnsi" w:cstheme="minorHAnsi"/>
          <w:color w:val="auto"/>
        </w:rPr>
      </w:pPr>
      <w:r w:rsidRPr="00AE3EAD">
        <w:rPr>
          <w:rStyle w:val="FootnoteReference"/>
          <w:rFonts w:asciiTheme="minorHAnsi" w:hAnsiTheme="minorHAnsi" w:cstheme="minorHAnsi"/>
          <w:color w:val="auto"/>
        </w:rPr>
        <w:footnoteRef/>
      </w:r>
      <w:r w:rsidRPr="00AE3EAD">
        <w:rPr>
          <w:rFonts w:asciiTheme="minorHAnsi" w:hAnsiTheme="minorHAnsi" w:cstheme="minorHAnsi"/>
          <w:color w:val="auto"/>
        </w:rPr>
        <w:t xml:space="preserve"> For the purposes of this </w:t>
      </w:r>
      <w:r w:rsidR="003D2368" w:rsidRPr="00AE3EAD">
        <w:rPr>
          <w:rFonts w:asciiTheme="minorHAnsi" w:hAnsiTheme="minorHAnsi" w:cstheme="minorHAnsi"/>
          <w:color w:val="auto"/>
        </w:rPr>
        <w:t>document</w:t>
      </w:r>
      <w:r w:rsidRPr="00AE3EAD">
        <w:rPr>
          <w:rFonts w:asciiTheme="minorHAnsi" w:hAnsiTheme="minorHAnsi" w:cstheme="minorHAnsi"/>
          <w:color w:val="auto"/>
        </w:rPr>
        <w:t xml:space="preserve">, co-administration means </w:t>
      </w:r>
      <w:r w:rsidR="003D2368" w:rsidRPr="00AE3EAD">
        <w:rPr>
          <w:rFonts w:asciiTheme="minorHAnsi" w:hAnsiTheme="minorHAnsi" w:cstheme="minorHAnsi"/>
          <w:color w:val="auto"/>
        </w:rPr>
        <w:t>administering</w:t>
      </w:r>
      <w:r w:rsidRPr="00AE3EAD">
        <w:rPr>
          <w:rFonts w:asciiTheme="minorHAnsi" w:hAnsiTheme="minorHAnsi" w:cstheme="minorHAnsi"/>
          <w:color w:val="auto"/>
        </w:rPr>
        <w:t xml:space="preserve"> more than one vaccine in the same appointment.</w:t>
      </w:r>
    </w:p>
  </w:footnote>
  <w:footnote w:id="26">
    <w:p w14:paraId="684B9E04" w14:textId="62C49547" w:rsidR="00AC6AFA" w:rsidRPr="00A942C0" w:rsidRDefault="00AC6AFA" w:rsidP="001C5041">
      <w:pPr>
        <w:pStyle w:val="FootnoteText"/>
        <w:ind w:right="57"/>
        <w:rPr>
          <w:rFonts w:asciiTheme="minorHAnsi" w:hAnsiTheme="minorHAnsi" w:cstheme="minorHAnsi"/>
          <w:color w:val="auto"/>
        </w:rPr>
      </w:pPr>
      <w:r w:rsidRPr="00A942C0">
        <w:rPr>
          <w:rStyle w:val="FootnoteReference"/>
          <w:rFonts w:asciiTheme="minorHAnsi" w:hAnsiTheme="minorHAnsi" w:cstheme="minorHAnsi"/>
          <w:color w:val="auto"/>
        </w:rPr>
        <w:footnoteRef/>
      </w:r>
      <w:r w:rsidRPr="00A942C0">
        <w:rPr>
          <w:rFonts w:asciiTheme="minorHAnsi" w:hAnsiTheme="minorHAnsi" w:cstheme="minorHAnsi"/>
          <w:color w:val="auto"/>
        </w:rPr>
        <w:t xml:space="preserve"> General practice administered </w:t>
      </w:r>
      <w:r w:rsidR="00A62D4B">
        <w:rPr>
          <w:rFonts w:asciiTheme="minorHAnsi" w:hAnsiTheme="minorHAnsi" w:cstheme="minorHAnsi"/>
          <w:color w:val="auto"/>
        </w:rPr>
        <w:t>72</w:t>
      </w:r>
      <w:r w:rsidRPr="00A942C0">
        <w:rPr>
          <w:rFonts w:asciiTheme="minorHAnsi" w:hAnsiTheme="minorHAnsi" w:cstheme="minorHAnsi"/>
          <w:color w:val="auto"/>
        </w:rPr>
        <w:t xml:space="preserve">% of </w:t>
      </w:r>
      <w:r w:rsidR="00A62D4B">
        <w:rPr>
          <w:rFonts w:asciiTheme="minorHAnsi" w:hAnsiTheme="minorHAnsi" w:cstheme="minorHAnsi"/>
          <w:color w:val="auto"/>
        </w:rPr>
        <w:t xml:space="preserve">adult </w:t>
      </w:r>
      <w:r w:rsidRPr="00A942C0">
        <w:rPr>
          <w:rFonts w:asciiTheme="minorHAnsi" w:hAnsiTheme="minorHAnsi" w:cstheme="minorHAnsi"/>
          <w:color w:val="auto"/>
        </w:rPr>
        <w:t xml:space="preserve">flu vaccinations </w:t>
      </w:r>
      <w:r w:rsidR="00A508B7">
        <w:rPr>
          <w:rFonts w:asciiTheme="minorHAnsi" w:hAnsiTheme="minorHAnsi" w:cstheme="minorHAnsi"/>
          <w:color w:val="auto"/>
        </w:rPr>
        <w:t>whilst</w:t>
      </w:r>
      <w:r w:rsidRPr="00A942C0">
        <w:rPr>
          <w:rFonts w:asciiTheme="minorHAnsi" w:hAnsiTheme="minorHAnsi" w:cstheme="minorHAnsi"/>
          <w:color w:val="auto"/>
        </w:rPr>
        <w:t xml:space="preserve"> community pharmacy </w:t>
      </w:r>
      <w:r w:rsidR="00A508B7">
        <w:rPr>
          <w:rFonts w:asciiTheme="minorHAnsi" w:hAnsiTheme="minorHAnsi" w:cstheme="minorHAnsi"/>
          <w:color w:val="auto"/>
        </w:rPr>
        <w:t xml:space="preserve">administered </w:t>
      </w:r>
      <w:r w:rsidRPr="00A942C0">
        <w:rPr>
          <w:rFonts w:asciiTheme="minorHAnsi" w:hAnsiTheme="minorHAnsi" w:cstheme="minorHAnsi"/>
          <w:color w:val="auto"/>
        </w:rPr>
        <w:t>2</w:t>
      </w:r>
      <w:r w:rsidR="00A508B7">
        <w:rPr>
          <w:rFonts w:asciiTheme="minorHAnsi" w:hAnsiTheme="minorHAnsi" w:cstheme="minorHAnsi"/>
          <w:color w:val="auto"/>
        </w:rPr>
        <w:t>4</w:t>
      </w:r>
      <w:r w:rsidRPr="00A942C0">
        <w:rPr>
          <w:rFonts w:asciiTheme="minorHAnsi" w:hAnsiTheme="minorHAnsi" w:cstheme="minorHAnsi"/>
          <w:color w:val="auto"/>
        </w:rPr>
        <w:t>% in autumn/winter 2022/23</w:t>
      </w:r>
      <w:r w:rsidR="00494D4E">
        <w:rPr>
          <w:rFonts w:asciiTheme="minorHAnsi" w:hAnsiTheme="minorHAnsi" w:cstheme="minorHAnsi"/>
          <w:color w:val="auto"/>
        </w:rPr>
        <w:t xml:space="preserve"> (</w:t>
      </w:r>
      <w:r w:rsidR="00A508B7">
        <w:rPr>
          <w:rFonts w:asciiTheme="minorHAnsi" w:hAnsiTheme="minorHAnsi" w:cstheme="minorHAnsi"/>
          <w:color w:val="auto"/>
        </w:rPr>
        <w:t>Adult refers to those aged 65+, Flu at-</w:t>
      </w:r>
      <w:r w:rsidR="00086C28">
        <w:rPr>
          <w:rFonts w:asciiTheme="minorHAnsi" w:hAnsiTheme="minorHAnsi" w:cstheme="minorHAnsi"/>
          <w:color w:val="auto"/>
        </w:rPr>
        <w:t>risk</w:t>
      </w:r>
      <w:r w:rsidR="00A508B7">
        <w:rPr>
          <w:rFonts w:asciiTheme="minorHAnsi" w:hAnsiTheme="minorHAnsi" w:cstheme="minorHAnsi"/>
          <w:color w:val="auto"/>
        </w:rPr>
        <w:t xml:space="preserve"> under 64, and 16-50 not at-risk</w:t>
      </w:r>
      <w:r w:rsidR="00086C28">
        <w:rPr>
          <w:rFonts w:asciiTheme="minorHAnsi" w:hAnsiTheme="minorHAnsi" w:cstheme="minorHAnsi"/>
          <w:color w:val="auto"/>
        </w:rPr>
        <w:t>.</w:t>
      </w:r>
      <w:r w:rsidR="00A508B7">
        <w:rPr>
          <w:rFonts w:asciiTheme="minorHAnsi" w:hAnsiTheme="minorHAnsi" w:cstheme="minorHAnsi"/>
          <w:color w:val="auto"/>
        </w:rPr>
        <w:t xml:space="preserve"> </w:t>
      </w:r>
      <w:r w:rsidR="00494D4E">
        <w:rPr>
          <w:rFonts w:asciiTheme="minorHAnsi" w:hAnsiTheme="minorHAnsi" w:cstheme="minorHAnsi"/>
          <w:color w:val="auto"/>
        </w:rPr>
        <w:t xml:space="preserve">Source: </w:t>
      </w:r>
      <w:r w:rsidR="00A508B7">
        <w:rPr>
          <w:rFonts w:asciiTheme="minorHAnsi" w:hAnsiTheme="minorHAnsi" w:cstheme="minorHAnsi"/>
          <w:color w:val="auto"/>
        </w:rPr>
        <w:t>NHS internal estimate October 2023</w:t>
      </w:r>
      <w:r w:rsidR="00086C28">
        <w:rPr>
          <w:rFonts w:asciiTheme="minorHAnsi" w:hAnsiTheme="minorHAnsi" w:cstheme="minorHAnsi"/>
          <w:color w:val="auto"/>
        </w:rPr>
        <w:t>)</w:t>
      </w:r>
    </w:p>
  </w:footnote>
  <w:footnote w:id="27">
    <w:p w14:paraId="713240FC" w14:textId="0AC5BAB8" w:rsidR="006E1C2B" w:rsidRPr="001C5041" w:rsidRDefault="006E1C2B" w:rsidP="006E1C2B">
      <w:pPr>
        <w:pStyle w:val="FootnoteText"/>
        <w:rPr>
          <w:rFonts w:asciiTheme="minorHAnsi" w:hAnsiTheme="minorHAnsi" w:cstheme="minorHAnsi"/>
          <w:color w:val="005EB8" w:themeColor="text2"/>
        </w:rPr>
      </w:pPr>
      <w:r w:rsidRPr="001C5041">
        <w:rPr>
          <w:rStyle w:val="FootnoteReference"/>
          <w:rFonts w:asciiTheme="minorHAnsi" w:hAnsiTheme="minorHAnsi" w:cstheme="minorHAnsi"/>
          <w:color w:val="005EB8" w:themeColor="text2"/>
        </w:rPr>
        <w:footnoteRef/>
      </w:r>
      <w:r w:rsidRPr="001C5041">
        <w:rPr>
          <w:rFonts w:asciiTheme="minorHAnsi" w:hAnsiTheme="minorHAnsi" w:cstheme="minorHAnsi"/>
          <w:color w:val="005EB8" w:themeColor="text2"/>
        </w:rPr>
        <w:t xml:space="preserve"> </w:t>
      </w:r>
      <w:r w:rsidRPr="00516AFF">
        <w:rPr>
          <w:rFonts w:asciiTheme="minorHAnsi" w:hAnsiTheme="minorHAnsi" w:cstheme="minorHAnsi"/>
        </w:rPr>
        <w:t>NHS England</w:t>
      </w:r>
      <w:r w:rsidR="009C086E" w:rsidRPr="00516AFF">
        <w:rPr>
          <w:rFonts w:asciiTheme="minorHAnsi" w:hAnsiTheme="minorHAnsi" w:cstheme="minorHAnsi"/>
        </w:rPr>
        <w:t>,</w:t>
      </w:r>
      <w:r w:rsidRPr="00516AFF">
        <w:rPr>
          <w:rFonts w:asciiTheme="minorHAnsi" w:hAnsiTheme="minorHAnsi" w:cstheme="minorHAnsi"/>
        </w:rPr>
        <w:t xml:space="preserve"> </w:t>
      </w:r>
      <w:hyperlink r:id="rId21" w:history="1">
        <w:r w:rsidRPr="00516AFF">
          <w:rPr>
            <w:rStyle w:val="Hyperlink"/>
            <w:rFonts w:cstheme="minorHAnsi"/>
          </w:rPr>
          <w:t>Inclusion health groups</w:t>
        </w:r>
      </w:hyperlink>
    </w:p>
  </w:footnote>
  <w:footnote w:id="28">
    <w:p w14:paraId="48657DB7" w14:textId="5F51A2F1" w:rsidR="00B40B22" w:rsidRPr="001C5041" w:rsidRDefault="00B40B22" w:rsidP="00B40B22">
      <w:pPr>
        <w:pStyle w:val="FootnoteText"/>
        <w:rPr>
          <w:rFonts w:asciiTheme="minorHAnsi" w:hAnsiTheme="minorHAnsi" w:cstheme="minorHAnsi"/>
          <w:color w:val="005EB8" w:themeColor="text2"/>
        </w:rPr>
      </w:pPr>
      <w:r w:rsidRPr="00A942C0">
        <w:rPr>
          <w:rStyle w:val="FootnoteReference"/>
          <w:rFonts w:asciiTheme="minorHAnsi" w:hAnsiTheme="minorHAnsi" w:cstheme="minorHAnsi"/>
          <w:color w:val="auto"/>
        </w:rPr>
        <w:footnoteRef/>
      </w:r>
      <w:r w:rsidRPr="00A942C0">
        <w:rPr>
          <w:rFonts w:asciiTheme="minorHAnsi" w:hAnsiTheme="minorHAnsi" w:cstheme="minorHAnsi"/>
          <w:color w:val="auto"/>
        </w:rPr>
        <w:t xml:space="preserve"> </w:t>
      </w:r>
      <w:r w:rsidRPr="00516AFF">
        <w:rPr>
          <w:rFonts w:asciiTheme="minorHAnsi" w:hAnsiTheme="minorHAnsi" w:cstheme="minorHAnsi"/>
        </w:rPr>
        <w:t>NHS England</w:t>
      </w:r>
      <w:r w:rsidR="00CD4608" w:rsidRPr="00516AFF">
        <w:rPr>
          <w:rFonts w:asciiTheme="minorHAnsi" w:hAnsiTheme="minorHAnsi" w:cstheme="minorHAnsi"/>
        </w:rPr>
        <w:t xml:space="preserve"> (2022)</w:t>
      </w:r>
      <w:r w:rsidR="009C086E" w:rsidRPr="00516AFF">
        <w:rPr>
          <w:rFonts w:asciiTheme="minorHAnsi" w:hAnsiTheme="minorHAnsi" w:cstheme="minorHAnsi"/>
        </w:rPr>
        <w:t>,</w:t>
      </w:r>
      <w:r w:rsidRPr="00516AFF">
        <w:rPr>
          <w:rFonts w:asciiTheme="minorHAnsi" w:hAnsiTheme="minorHAnsi" w:cstheme="minorHAnsi"/>
        </w:rPr>
        <w:t xml:space="preserve"> </w:t>
      </w:r>
      <w:hyperlink r:id="rId22" w:history="1">
        <w:r w:rsidRPr="00516AFF">
          <w:rPr>
            <w:rStyle w:val="Hyperlink"/>
            <w:rFonts w:cstheme="minorHAnsi"/>
          </w:rPr>
          <w:t>Next steps for integrating primary care: Fuller stocktake report</w:t>
        </w:r>
      </w:hyperlink>
    </w:p>
  </w:footnote>
  <w:footnote w:id="29">
    <w:p w14:paraId="706F4744" w14:textId="744C5DF8" w:rsidR="007F5708" w:rsidRPr="001C5041" w:rsidRDefault="007F5708" w:rsidP="001C5041">
      <w:pPr>
        <w:pStyle w:val="FootnoteText"/>
        <w:rPr>
          <w:rFonts w:asciiTheme="minorHAnsi" w:hAnsiTheme="minorHAnsi" w:cstheme="minorHAnsi"/>
          <w:color w:val="005EB8" w:themeColor="text2"/>
        </w:rPr>
      </w:pPr>
      <w:r w:rsidRPr="00C47ED5">
        <w:rPr>
          <w:rStyle w:val="FootnoteReference"/>
          <w:rFonts w:asciiTheme="minorHAnsi" w:hAnsiTheme="minorHAnsi" w:cstheme="minorHAnsi"/>
          <w:color w:val="auto"/>
        </w:rPr>
        <w:footnoteRef/>
      </w:r>
      <w:r w:rsidRPr="00C47ED5">
        <w:rPr>
          <w:rFonts w:asciiTheme="minorHAnsi" w:hAnsiTheme="minorHAnsi" w:cstheme="minorHAnsi"/>
          <w:color w:val="auto"/>
        </w:rPr>
        <w:t xml:space="preserve"> </w:t>
      </w:r>
      <w:r w:rsidRPr="00516AFF">
        <w:rPr>
          <w:rFonts w:asciiTheme="minorHAnsi" w:hAnsiTheme="minorHAnsi" w:cstheme="minorHAnsi"/>
        </w:rPr>
        <w:t>NHS England</w:t>
      </w:r>
      <w:r w:rsidR="00CD4608" w:rsidRPr="00516AFF">
        <w:rPr>
          <w:rFonts w:asciiTheme="minorHAnsi" w:hAnsiTheme="minorHAnsi" w:cstheme="minorHAnsi"/>
        </w:rPr>
        <w:t xml:space="preserve"> (2022</w:t>
      </w:r>
      <w:r w:rsidR="0032269C" w:rsidRPr="00516AFF">
        <w:rPr>
          <w:rFonts w:asciiTheme="minorHAnsi" w:hAnsiTheme="minorHAnsi" w:cstheme="minorHAnsi"/>
        </w:rPr>
        <w:t>)</w:t>
      </w:r>
      <w:r w:rsidR="009C086E" w:rsidRPr="00516AFF">
        <w:rPr>
          <w:rFonts w:asciiTheme="minorHAnsi" w:hAnsiTheme="minorHAnsi" w:cstheme="minorHAnsi"/>
        </w:rPr>
        <w:t>,</w:t>
      </w:r>
      <w:r w:rsidRPr="00516AFF">
        <w:rPr>
          <w:rFonts w:asciiTheme="minorHAnsi" w:hAnsiTheme="minorHAnsi" w:cstheme="minorHAnsi"/>
        </w:rPr>
        <w:t xml:space="preserve"> </w:t>
      </w:r>
      <w:hyperlink r:id="rId23" w:history="1">
        <w:r w:rsidRPr="00516AFF">
          <w:rPr>
            <w:rStyle w:val="Hyperlink"/>
            <w:rFonts w:cstheme="minorHAnsi"/>
          </w:rPr>
          <w:t>Next steps for integrating primary care: Fuller Stocktake report</w:t>
        </w:r>
      </w:hyperlink>
    </w:p>
  </w:footnote>
  <w:footnote w:id="30">
    <w:p w14:paraId="0707FBC1" w14:textId="307F8A40" w:rsidR="00793ED1" w:rsidRPr="001C5041" w:rsidRDefault="00793ED1" w:rsidP="001C5041">
      <w:pPr>
        <w:pStyle w:val="FootnoteText"/>
        <w:ind w:right="57"/>
        <w:rPr>
          <w:rFonts w:asciiTheme="minorHAnsi" w:hAnsiTheme="minorHAnsi" w:cstheme="minorHAnsi"/>
          <w:color w:val="005EB8" w:themeColor="text2"/>
        </w:rPr>
      </w:pPr>
      <w:r w:rsidRPr="00E235BF">
        <w:rPr>
          <w:rStyle w:val="FootnoteReference"/>
          <w:rFonts w:asciiTheme="minorHAnsi" w:hAnsiTheme="minorHAnsi" w:cstheme="minorHAnsi"/>
          <w:color w:val="auto"/>
        </w:rPr>
        <w:footnoteRef/>
      </w:r>
      <w:r w:rsidRPr="00E235BF">
        <w:rPr>
          <w:rFonts w:asciiTheme="minorHAnsi" w:hAnsiTheme="minorHAnsi" w:cstheme="minorHAnsi"/>
          <w:color w:val="auto"/>
        </w:rPr>
        <w:t xml:space="preserve"> </w:t>
      </w:r>
      <w:r w:rsidRPr="00516AFF">
        <w:rPr>
          <w:rFonts w:asciiTheme="minorHAnsi" w:hAnsiTheme="minorHAnsi" w:cstheme="minorHAnsi"/>
        </w:rPr>
        <w:t>NHS England</w:t>
      </w:r>
      <w:r w:rsidR="009C086E" w:rsidRPr="00516AFF">
        <w:rPr>
          <w:rFonts w:asciiTheme="minorHAnsi" w:hAnsiTheme="minorHAnsi" w:cstheme="minorHAnsi"/>
        </w:rPr>
        <w:t xml:space="preserve"> (2017),</w:t>
      </w:r>
      <w:r w:rsidRPr="00516AFF">
        <w:rPr>
          <w:rFonts w:asciiTheme="minorHAnsi" w:hAnsiTheme="minorHAnsi" w:cstheme="minorHAnsi"/>
        </w:rPr>
        <w:t xml:space="preserve"> </w:t>
      </w:r>
      <w:hyperlink r:id="rId24" w:history="1">
        <w:r w:rsidRPr="00516AFF">
          <w:rPr>
            <w:rStyle w:val="Hyperlink"/>
            <w:rFonts w:cstheme="minorHAnsi"/>
          </w:rPr>
          <w:t>Making Every Contact Count (MECC): Consensus statement</w:t>
        </w:r>
      </w:hyperlink>
    </w:p>
  </w:footnote>
  <w:footnote w:id="31">
    <w:p w14:paraId="1E70E2F1" w14:textId="77777777" w:rsidR="009F11CE" w:rsidRPr="00E235BF" w:rsidRDefault="009F11CE" w:rsidP="001C5041">
      <w:pPr>
        <w:pStyle w:val="FootnoteText"/>
        <w:ind w:right="57"/>
        <w:rPr>
          <w:rFonts w:asciiTheme="minorHAnsi" w:hAnsiTheme="minorHAnsi" w:cstheme="minorHAnsi"/>
          <w:color w:val="auto"/>
        </w:rPr>
      </w:pPr>
      <w:r w:rsidRPr="00E235BF">
        <w:rPr>
          <w:rStyle w:val="FootnoteReference"/>
          <w:rFonts w:asciiTheme="minorHAnsi" w:hAnsiTheme="minorHAnsi" w:cstheme="minorHAnsi"/>
          <w:color w:val="auto"/>
        </w:rPr>
        <w:footnoteRef/>
      </w:r>
      <w:r w:rsidRPr="00E235BF">
        <w:rPr>
          <w:rFonts w:asciiTheme="minorHAnsi" w:hAnsiTheme="minorHAnsi" w:cstheme="minorHAnsi"/>
          <w:color w:val="auto"/>
        </w:rPr>
        <w:t xml:space="preserve"> They will need to be digitally enabled to identify if an individual is unvaccinated – see section 4.4.</w:t>
      </w:r>
    </w:p>
  </w:footnote>
  <w:footnote w:id="32">
    <w:p w14:paraId="229D8282" w14:textId="10B21EB3" w:rsidR="00505A10" w:rsidRPr="001C5041" w:rsidRDefault="00505A10" w:rsidP="001C5041">
      <w:pPr>
        <w:pStyle w:val="FootnoteText"/>
        <w:rPr>
          <w:rFonts w:asciiTheme="minorHAnsi" w:hAnsiTheme="minorHAnsi" w:cstheme="minorHAnsi"/>
          <w:color w:val="005EB8" w:themeColor="text2"/>
        </w:rPr>
      </w:pPr>
      <w:r w:rsidRPr="0098326A">
        <w:rPr>
          <w:rStyle w:val="FootnoteReference"/>
          <w:rFonts w:asciiTheme="minorHAnsi" w:hAnsiTheme="minorHAnsi" w:cstheme="minorHAnsi"/>
          <w:color w:val="auto"/>
        </w:rPr>
        <w:footnoteRef/>
      </w:r>
      <w:r w:rsidRPr="0098326A">
        <w:rPr>
          <w:rFonts w:asciiTheme="minorHAnsi" w:hAnsiTheme="minorHAnsi" w:cstheme="minorHAnsi"/>
          <w:color w:val="auto"/>
        </w:rPr>
        <w:t xml:space="preserve"> </w:t>
      </w:r>
      <w:r w:rsidR="00784B80" w:rsidRPr="00516AFF">
        <w:rPr>
          <w:rFonts w:asciiTheme="minorHAnsi" w:hAnsiTheme="minorHAnsi" w:cstheme="minorHAnsi"/>
          <w:color w:val="auto"/>
        </w:rPr>
        <w:t>NICE (2022)</w:t>
      </w:r>
      <w:r w:rsidR="00A170CC" w:rsidRPr="00516AFF">
        <w:rPr>
          <w:rFonts w:asciiTheme="minorHAnsi" w:hAnsiTheme="minorHAnsi" w:cstheme="minorHAnsi"/>
          <w:color w:val="auto"/>
        </w:rPr>
        <w:t xml:space="preserve"> </w:t>
      </w:r>
      <w:hyperlink r:id="rId25" w:history="1">
        <w:r w:rsidR="00A170CC" w:rsidRPr="00516AFF">
          <w:rPr>
            <w:rStyle w:val="Hyperlink"/>
            <w:rFonts w:cstheme="minorHAnsi"/>
          </w:rPr>
          <w:t>NG218:</w:t>
        </w:r>
        <w:r w:rsidR="00784B80" w:rsidRPr="00516AFF">
          <w:rPr>
            <w:rStyle w:val="Hyperlink"/>
            <w:rFonts w:cstheme="minorHAnsi"/>
          </w:rPr>
          <w:t xml:space="preserve"> </w:t>
        </w:r>
        <w:r w:rsidRPr="00516AFF">
          <w:rPr>
            <w:rStyle w:val="Hyperlink"/>
            <w:rFonts w:cstheme="minorHAnsi"/>
          </w:rPr>
          <w:t>Vaccine uptake in the general population</w:t>
        </w:r>
      </w:hyperlink>
    </w:p>
  </w:footnote>
  <w:footnote w:id="33">
    <w:p w14:paraId="52F10C12" w14:textId="76314BDF" w:rsidR="000D4DB0" w:rsidRPr="001C5041" w:rsidRDefault="000D4DB0" w:rsidP="001C5041">
      <w:pPr>
        <w:pStyle w:val="FootnoteText"/>
        <w:rPr>
          <w:rFonts w:asciiTheme="minorHAnsi" w:hAnsiTheme="minorHAnsi" w:cstheme="minorHAnsi"/>
          <w:color w:val="005EB8" w:themeColor="text2"/>
        </w:rPr>
      </w:pPr>
      <w:r w:rsidRPr="0059308C">
        <w:rPr>
          <w:rStyle w:val="FootnoteReference"/>
          <w:rFonts w:asciiTheme="minorHAnsi" w:hAnsiTheme="minorHAnsi" w:cstheme="minorHAnsi"/>
          <w:color w:val="auto"/>
        </w:rPr>
        <w:footnoteRef/>
      </w:r>
      <w:r w:rsidRPr="0059308C">
        <w:rPr>
          <w:rFonts w:asciiTheme="minorHAnsi" w:hAnsiTheme="minorHAnsi" w:cstheme="minorHAnsi"/>
          <w:color w:val="auto"/>
        </w:rPr>
        <w:t xml:space="preserve"> </w:t>
      </w:r>
      <w:hyperlink r:id="rId26" w:history="1">
        <w:r w:rsidRPr="001C5041">
          <w:rPr>
            <w:rStyle w:val="Hyperlink"/>
            <w:rFonts w:cstheme="minorHAnsi"/>
            <w:color w:val="005EB8" w:themeColor="text2"/>
          </w:rPr>
          <w:t>NHS England » Volunteering guidance for NHS providers</w:t>
        </w:r>
      </w:hyperlink>
    </w:p>
  </w:footnote>
  <w:footnote w:id="34">
    <w:p w14:paraId="4322C00F" w14:textId="77777777" w:rsidR="00B43F11" w:rsidRDefault="00B43F11" w:rsidP="00B43F11">
      <w:pPr>
        <w:pStyle w:val="FootnoteText"/>
      </w:pPr>
      <w:r>
        <w:rPr>
          <w:rStyle w:val="FootnoteReference"/>
        </w:rPr>
        <w:footnoteRef/>
      </w:r>
      <w:r>
        <w:t xml:space="preserve"> </w:t>
      </w:r>
      <w:hyperlink r:id="rId27" w:history="1">
        <w:r>
          <w:rPr>
            <w:rStyle w:val="Hyperlink"/>
          </w:rPr>
          <w:t>Life Sciences Vision - GOV.UK (www.gov.uk)</w:t>
        </w:r>
      </w:hyperlink>
    </w:p>
  </w:footnote>
  <w:footnote w:id="35">
    <w:p w14:paraId="3261EE6F" w14:textId="1B6361C8" w:rsidR="00021CA6" w:rsidRPr="001C5041" w:rsidRDefault="00021CA6" w:rsidP="001C5041">
      <w:pPr>
        <w:pStyle w:val="FootnoteText"/>
        <w:rPr>
          <w:rFonts w:asciiTheme="minorHAnsi" w:hAnsiTheme="minorHAnsi" w:cstheme="minorHAnsi"/>
          <w:color w:val="005EB8" w:themeColor="text2"/>
        </w:rPr>
      </w:pPr>
      <w:r w:rsidRPr="00AB2A7A">
        <w:rPr>
          <w:rStyle w:val="FootnoteReference"/>
          <w:rFonts w:asciiTheme="minorHAnsi" w:hAnsiTheme="minorHAnsi" w:cstheme="minorHAnsi"/>
          <w:color w:val="auto"/>
        </w:rPr>
        <w:footnoteRef/>
      </w:r>
      <w:r w:rsidRPr="001C5041">
        <w:rPr>
          <w:rFonts w:asciiTheme="minorHAnsi" w:hAnsiTheme="minorHAnsi" w:cstheme="minorHAnsi"/>
          <w:color w:val="005EB8" w:themeColor="text2"/>
        </w:rPr>
        <w:t xml:space="preserve"> </w:t>
      </w:r>
      <w:r w:rsidR="007C2C38" w:rsidRPr="00516AFF">
        <w:rPr>
          <w:rFonts w:asciiTheme="minorHAnsi" w:hAnsiTheme="minorHAnsi" w:cstheme="minorHAnsi"/>
          <w:color w:val="auto"/>
        </w:rPr>
        <w:t>NHS England</w:t>
      </w:r>
      <w:r w:rsidR="00A272DA" w:rsidRPr="00516AFF">
        <w:rPr>
          <w:rFonts w:asciiTheme="minorHAnsi" w:hAnsiTheme="minorHAnsi" w:cstheme="minorHAnsi"/>
          <w:color w:val="auto"/>
        </w:rPr>
        <w:t xml:space="preserve"> (2023),</w:t>
      </w:r>
      <w:r w:rsidR="007C2C38" w:rsidRPr="00516AFF">
        <w:rPr>
          <w:rFonts w:asciiTheme="minorHAnsi" w:hAnsiTheme="minorHAnsi" w:cstheme="minorHAnsi"/>
          <w:color w:val="auto"/>
        </w:rPr>
        <w:t xml:space="preserve"> </w:t>
      </w:r>
      <w:hyperlink r:id="rId28" w:history="1">
        <w:r w:rsidRPr="00516AFF">
          <w:rPr>
            <w:rStyle w:val="Hyperlink"/>
            <w:rFonts w:cstheme="minorHAnsi"/>
          </w:rPr>
          <w:t>Statistics » Vaccinations for mpox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414F" w14:textId="77777777" w:rsidR="00F126B3" w:rsidRDefault="00F126B3" w:rsidP="00F126B3">
    <w:pPr>
      <w:pStyle w:val="Header"/>
      <w:pBdr>
        <w:bottom w:val="none" w:sz="0" w:space="0" w:color="auto"/>
      </w:pBdr>
    </w:pPr>
    <w:r w:rsidRPr="00DD3B24">
      <w:rPr>
        <w:noProof/>
      </w:rPr>
      <w:drawing>
        <wp:anchor distT="0" distB="0" distL="114300" distR="114300" simplePos="0" relativeHeight="251658250" behindDoc="1" locked="1" layoutInCell="1" allowOverlap="0" wp14:anchorId="22072AD2" wp14:editId="08028020">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047129379" name="Picture 10471293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31AF3749" w14:textId="6DAD3B1B" w:rsidR="00F126B3" w:rsidRPr="009F3A1D" w:rsidRDefault="002F5C0D" w:rsidP="00F126B3">
    <w:pPr>
      <w:pStyle w:val="Header"/>
      <w:pBdr>
        <w:bottom w:val="single" w:sz="4" w:space="4" w:color="auto"/>
      </w:pBdr>
      <w:rPr>
        <w:sz w:val="24"/>
      </w:rPr>
    </w:pPr>
    <w:sdt>
      <w:sdtPr>
        <w:alias w:val="Title"/>
        <w:tag w:val="title"/>
        <w:id w:val="-1579122999"/>
        <w:dataBinding w:prefixMappings="xmlns:ns0='http://purl.org/dc/elements/1.1/' xmlns:ns1='http://schemas.openxmlformats.org/package/2006/metadata/core-properties' " w:xpath="/ns1:coreProperties[1]/ns0:title[1]" w:storeItemID="{6C3C8BC8-F283-45AE-878A-BAB7291924A1}"/>
        <w:text/>
      </w:sdtPr>
      <w:sdtEndPr/>
      <w:sdtContent>
        <w:r w:rsidR="00D146EF">
          <w:t>Shaping the future delivery of NHS vaccination services</w:t>
        </w:r>
      </w:sdtContent>
    </w:sdt>
  </w:p>
  <w:p w14:paraId="29E8BF37" w14:textId="77777777" w:rsidR="00F25CC7" w:rsidRPr="00F126B3" w:rsidRDefault="00F25CC7" w:rsidP="008A3E2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B72132" w14:paraId="6E4B45C5" w14:textId="77777777">
      <w:trPr>
        <w:trHeight w:val="642"/>
      </w:trPr>
      <w:sdt>
        <w:sdtPr>
          <w:rPr>
            <w:color w:val="231F20" w:themeColor="background1"/>
          </w:rPr>
          <w:alias w:val="Protective Marking"/>
          <w:tag w:val="Protective Marking"/>
          <w:id w:val="-1097942897"/>
          <w:placeholder>
            <w:docPart w:val="2BA8D8F10D9C434186B8B656E8B8E2D6"/>
          </w:placeholder>
          <w:dropDownList>
            <w:listItem w:value="Choose an item."/>
            <w:listItem w:displayText="Classification: Official" w:value="Classification: Official"/>
            <w:listItem w:displayText="Classification: Official-Sensitive" w:value="Classification: Official-Sensitive"/>
          </w:dropDownList>
        </w:sdtPr>
        <w:sdtEndPr>
          <w:rPr>
            <w:color w:val="768692"/>
          </w:rPr>
        </w:sdtEndPr>
        <w:sdtContent>
          <w:tc>
            <w:tcPr>
              <w:tcW w:w="6727" w:type="dxa"/>
            </w:tcPr>
            <w:p w14:paraId="50628313" w14:textId="2145C476" w:rsidR="00B72132" w:rsidRDefault="00FF2258" w:rsidP="00B72132">
              <w:pPr>
                <w:pStyle w:val="Classification"/>
              </w:pPr>
              <w:r>
                <w:rPr>
                  <w:color w:val="231F20" w:themeColor="background1"/>
                </w:rPr>
                <w:t>Classification: Official</w:t>
              </w:r>
            </w:p>
          </w:tc>
        </w:sdtContent>
      </w:sdt>
    </w:tr>
  </w:tbl>
  <w:p w14:paraId="58C0768C" w14:textId="77777777"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58242" behindDoc="1" locked="0" layoutInCell="1" allowOverlap="1" wp14:anchorId="62FA0A30" wp14:editId="2D65C6FA">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99234867" name="Picture 1992348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6A90CCEC" w14:textId="77777777" w:rsidR="00B72132" w:rsidRDefault="00B72132" w:rsidP="00B72132">
    <w:pPr>
      <w:pStyle w:val="Header"/>
      <w:pBdr>
        <w:bottom w:val="none" w:sz="0" w:space="0" w:color="auto"/>
      </w:pBdr>
    </w:pPr>
  </w:p>
  <w:p w14:paraId="5012616F" w14:textId="77777777" w:rsidR="00B72132" w:rsidRPr="001D243C" w:rsidRDefault="00B72132" w:rsidP="00B72132">
    <w:pPr>
      <w:pStyle w:val="Header"/>
      <w:pBdr>
        <w:bottom w:val="none" w:sz="0" w:space="0" w:color="auto"/>
      </w:pBdr>
    </w:pPr>
    <w:r w:rsidRPr="00DD3B24">
      <w:rPr>
        <w:noProof/>
      </w:rPr>
      <w:drawing>
        <wp:anchor distT="0" distB="0" distL="114300" distR="114300" simplePos="0" relativeHeight="251658241" behindDoc="1" locked="1" layoutInCell="1" allowOverlap="0" wp14:anchorId="348F421B" wp14:editId="76E7E51D">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66011500" name="Picture 660115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6C30C826" w14:textId="77777777" w:rsidR="00B72132" w:rsidRPr="00B72132" w:rsidRDefault="00B72132" w:rsidP="00B7213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AFB7" w14:textId="77777777" w:rsidR="00F126B3" w:rsidRDefault="00F126B3" w:rsidP="00F126B3">
    <w:pPr>
      <w:pStyle w:val="Header"/>
      <w:pBdr>
        <w:bottom w:val="none" w:sz="0" w:space="0" w:color="auto"/>
      </w:pBdr>
    </w:pPr>
    <w:r w:rsidRPr="00DD3B24">
      <w:rPr>
        <w:noProof/>
      </w:rPr>
      <w:drawing>
        <wp:anchor distT="0" distB="0" distL="114300" distR="114300" simplePos="0" relativeHeight="251658240" behindDoc="1" locked="1" layoutInCell="1" allowOverlap="0" wp14:anchorId="394D8B89" wp14:editId="6EEEE64D">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607847868" name="Picture 6078478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37FEC71D" w14:textId="74666FDD" w:rsidR="00F126B3" w:rsidRPr="009F3A1D" w:rsidRDefault="002F5C0D" w:rsidP="00F126B3">
    <w:pPr>
      <w:pStyle w:val="Header"/>
      <w:pBdr>
        <w:bottom w:val="single" w:sz="4" w:space="4" w:color="auto"/>
      </w:pBdr>
      <w:rPr>
        <w:sz w:val="24"/>
      </w:rPr>
    </w:pPr>
    <w:sdt>
      <w:sdtPr>
        <w:alias w:val="Title"/>
        <w:tag w:val="title"/>
        <w:id w:val="-644359137"/>
        <w:placeholder>
          <w:docPart w:val="2BA8D8F10D9C434186B8B656E8B8E2D6"/>
        </w:placeholder>
        <w:dataBinding w:prefixMappings="xmlns:ns0='http://purl.org/dc/elements/1.1/' xmlns:ns1='http://schemas.openxmlformats.org/package/2006/metadata/core-properties' " w:xpath="/ns1:coreProperties[1]/ns0:title[1]" w:storeItemID="{6C3C8BC8-F283-45AE-878A-BAB7291924A1}"/>
        <w:text/>
      </w:sdtPr>
      <w:sdtEndPr/>
      <w:sdtContent>
        <w:r w:rsidR="00D146EF">
          <w:t>Shaping the future delivery of NHS vaccination services</w:t>
        </w:r>
      </w:sdtContent>
    </w:sdt>
  </w:p>
  <w:p w14:paraId="44296FE3" w14:textId="77777777" w:rsidR="00F126B3" w:rsidRPr="00F126B3" w:rsidRDefault="00F126B3" w:rsidP="00603A2C">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6C89" w14:textId="77777777" w:rsidR="00FD0041" w:rsidRDefault="002F5C0D">
    <w:pPr>
      <w:pStyle w:val="Header"/>
    </w:pPr>
    <w:r>
      <w:rPr>
        <w:noProof/>
      </w:rPr>
      <w:pict w14:anchorId="2068DE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72.8pt;height:54.55pt;rotation:315;z-index:-251658232;mso-wrap-edited:f;mso-position-horizontal:center;mso-position-horizontal-relative:margin;mso-position-vertical:center;mso-position-vertical-relative:margin" o:allowincell="f" fillcolor="silver" stroked="f">
          <v:fill opacity=".5"/>
          <v:textpath style="font-family:&quot;Arial&quot;;font-size:1pt" string="CONFIDENTIAL -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06B5" w14:textId="4E361D5A" w:rsidR="00FD0041" w:rsidRDefault="002F5C0D">
    <w:pPr>
      <w:pStyle w:val="Header"/>
    </w:pPr>
    <w:sdt>
      <w:sdtPr>
        <w:alias w:val="Title"/>
        <w:tag w:val="title"/>
        <w:id w:val="-811401078"/>
        <w:dataBinding w:prefixMappings="xmlns:ns0='http://purl.org/dc/elements/1.1/' xmlns:ns1='http://schemas.openxmlformats.org/package/2006/metadata/core-properties' " w:xpath="/ns1:coreProperties[1]/ns0:title[1]" w:storeItemID="{6C3C8BC8-F283-45AE-878A-BAB7291924A1}"/>
        <w:text/>
      </w:sdtPr>
      <w:sdtEndPr/>
      <w:sdtContent>
        <w:r w:rsidR="00B70BB7">
          <w:t>Shaping the future delivery of NHS vaccination services</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192B" w14:textId="77777777" w:rsidR="00FD0041" w:rsidRDefault="002F5C0D">
    <w:pPr>
      <w:pStyle w:val="Header"/>
    </w:pPr>
    <w:r>
      <w:rPr>
        <w:noProof/>
      </w:rPr>
      <w:pict w14:anchorId="25DEC0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572.8pt;height:54.55pt;rotation:315;z-index:-251658231;mso-wrap-edited:f;mso-position-horizontal:center;mso-position-horizontal-relative:margin;mso-position-vertical:center;mso-position-vertical-relative:margin" o:allowincell="f" fillcolor="silver" stroked="f">
          <v:fill opacity=".5"/>
          <v:textpath style="font-family:&quot;Arial&quot;;font-size:1pt" string="CONFIDENTIAL - 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165D" w14:textId="75A1BC87" w:rsidR="00547D2B" w:rsidRDefault="00547D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658A" w14:textId="47D76692" w:rsidR="00547D2B" w:rsidRDefault="00547D2B">
    <w:pPr>
      <w:pStyle w:val="Header"/>
      <w:rPr>
        <w:noProof/>
      </w:rPr>
    </w:pPr>
  </w:p>
  <w:p w14:paraId="64E441F6" w14:textId="58CA8B5D" w:rsidR="00547D2B" w:rsidRDefault="00547D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F543" w14:textId="5F9F197D" w:rsidR="00547D2B" w:rsidRDefault="00547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838BA"/>
    <w:multiLevelType w:val="hybridMultilevel"/>
    <w:tmpl w:val="06508E6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8A7239B"/>
    <w:multiLevelType w:val="hybridMultilevel"/>
    <w:tmpl w:val="31A010E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15:restartNumberingAfterBreak="0">
    <w:nsid w:val="0997259C"/>
    <w:multiLevelType w:val="hybridMultilevel"/>
    <w:tmpl w:val="0AB6224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0C791EED"/>
    <w:multiLevelType w:val="multilevel"/>
    <w:tmpl w:val="18E8C8A4"/>
    <w:lvl w:ilvl="0">
      <w:start w:val="3"/>
      <w:numFmt w:val="decimal"/>
      <w:lvlText w:val="%1"/>
      <w:lvlJc w:val="left"/>
      <w:pPr>
        <w:ind w:left="495" w:hanging="495"/>
      </w:pPr>
      <w:rPr>
        <w:rFonts w:hint="default"/>
      </w:rPr>
    </w:lvl>
    <w:lvl w:ilvl="1">
      <w:start w:val="3"/>
      <w:numFmt w:val="decimal"/>
      <w:pStyle w:val="Heading2"/>
      <w:lvlText w:val="%1.%2"/>
      <w:lvlJc w:val="left"/>
      <w:pPr>
        <w:ind w:left="2847" w:hanging="720"/>
      </w:pPr>
      <w:rPr>
        <w:rFonts w:hint="default"/>
      </w:rPr>
    </w:lvl>
    <w:lvl w:ilvl="2">
      <w:start w:val="1"/>
      <w:numFmt w:val="decimal"/>
      <w:lvlText w:val="%1.%2.%3"/>
      <w:lvlJc w:val="left"/>
      <w:pPr>
        <w:ind w:left="5334" w:hanging="1080"/>
      </w:pPr>
      <w:rPr>
        <w:rFonts w:hint="default"/>
      </w:rPr>
    </w:lvl>
    <w:lvl w:ilvl="3">
      <w:start w:val="1"/>
      <w:numFmt w:val="decimal"/>
      <w:lvlText w:val="%1.%2.%3.%4"/>
      <w:lvlJc w:val="left"/>
      <w:pPr>
        <w:ind w:left="7821" w:hanging="1440"/>
      </w:pPr>
      <w:rPr>
        <w:rFonts w:hint="default"/>
      </w:rPr>
    </w:lvl>
    <w:lvl w:ilvl="4">
      <w:start w:val="1"/>
      <w:numFmt w:val="decimal"/>
      <w:lvlText w:val="%1.%2.%3.%4.%5"/>
      <w:lvlJc w:val="left"/>
      <w:pPr>
        <w:ind w:left="9948" w:hanging="1440"/>
      </w:pPr>
      <w:rPr>
        <w:rFonts w:hint="default"/>
      </w:rPr>
    </w:lvl>
    <w:lvl w:ilvl="5">
      <w:start w:val="1"/>
      <w:numFmt w:val="decimal"/>
      <w:lvlText w:val="%1.%2.%3.%4.%5.%6"/>
      <w:lvlJc w:val="left"/>
      <w:pPr>
        <w:ind w:left="12435" w:hanging="1800"/>
      </w:pPr>
      <w:rPr>
        <w:rFonts w:hint="default"/>
      </w:rPr>
    </w:lvl>
    <w:lvl w:ilvl="6">
      <w:start w:val="1"/>
      <w:numFmt w:val="decimal"/>
      <w:lvlText w:val="%1.%2.%3.%4.%5.%6.%7"/>
      <w:lvlJc w:val="left"/>
      <w:pPr>
        <w:ind w:left="14922" w:hanging="2160"/>
      </w:pPr>
      <w:rPr>
        <w:rFonts w:hint="default"/>
      </w:rPr>
    </w:lvl>
    <w:lvl w:ilvl="7">
      <w:start w:val="1"/>
      <w:numFmt w:val="decimal"/>
      <w:lvlText w:val="%1.%2.%3.%4.%5.%6.%7.%8"/>
      <w:lvlJc w:val="left"/>
      <w:pPr>
        <w:ind w:left="17409" w:hanging="2520"/>
      </w:pPr>
      <w:rPr>
        <w:rFonts w:hint="default"/>
      </w:rPr>
    </w:lvl>
    <w:lvl w:ilvl="8">
      <w:start w:val="1"/>
      <w:numFmt w:val="decimal"/>
      <w:lvlText w:val="%1.%2.%3.%4.%5.%6.%7.%8.%9"/>
      <w:lvlJc w:val="left"/>
      <w:pPr>
        <w:ind w:left="19896" w:hanging="2880"/>
      </w:pPr>
      <w:rPr>
        <w:rFonts w:hint="default"/>
      </w:rPr>
    </w:lvl>
  </w:abstractNum>
  <w:abstractNum w:abstractNumId="5" w15:restartNumberingAfterBreak="0">
    <w:nsid w:val="0C984BDF"/>
    <w:multiLevelType w:val="hybridMultilevel"/>
    <w:tmpl w:val="F566D91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6" w15:restartNumberingAfterBreak="0">
    <w:nsid w:val="0DDA0A56"/>
    <w:multiLevelType w:val="hybridMultilevel"/>
    <w:tmpl w:val="8EC2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27498"/>
    <w:multiLevelType w:val="hybridMultilevel"/>
    <w:tmpl w:val="974CE6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2870B8B"/>
    <w:multiLevelType w:val="singleLevel"/>
    <w:tmpl w:val="9B9056AE"/>
    <w:styleLink w:val="NHSHeadings"/>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13AF539E"/>
    <w:multiLevelType w:val="hybridMultilevel"/>
    <w:tmpl w:val="2F74E3D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13B82E06"/>
    <w:multiLevelType w:val="singleLevel"/>
    <w:tmpl w:val="41CCBEBC"/>
    <w:styleLink w:val="NHSBullets"/>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190E5D05"/>
    <w:multiLevelType w:val="hybridMultilevel"/>
    <w:tmpl w:val="9042CD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E3B7283"/>
    <w:multiLevelType w:val="hybridMultilevel"/>
    <w:tmpl w:val="B16CF98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1E97494D"/>
    <w:multiLevelType w:val="singleLevel"/>
    <w:tmpl w:val="D7268E3A"/>
    <w:styleLink w:val="NHSListNumbers"/>
    <w:lvl w:ilvl="0">
      <w:start w:val="1"/>
      <w:numFmt w:val="bullet"/>
      <w:lvlText w:val=""/>
      <w:lvlJc w:val="left"/>
      <w:pPr>
        <w:tabs>
          <w:tab w:val="num" w:pos="926"/>
        </w:tabs>
        <w:ind w:left="926" w:hanging="360"/>
      </w:pPr>
      <w:rPr>
        <w:rFonts w:ascii="Symbol" w:hAnsi="Symbol" w:hint="default"/>
      </w:rPr>
    </w:lvl>
  </w:abstractNum>
  <w:abstractNum w:abstractNumId="14" w15:restartNumberingAfterBreak="0">
    <w:nsid w:val="1EF37E34"/>
    <w:multiLevelType w:val="singleLevel"/>
    <w:tmpl w:val="B82C04F6"/>
    <w:styleLink w:val="NHSTableBullets"/>
    <w:lvl w:ilvl="0">
      <w:start w:val="1"/>
      <w:numFmt w:val="bullet"/>
      <w:lvlText w:val=""/>
      <w:lvlJc w:val="left"/>
      <w:pPr>
        <w:tabs>
          <w:tab w:val="num" w:pos="1209"/>
        </w:tabs>
        <w:ind w:left="1209" w:hanging="360"/>
      </w:pPr>
      <w:rPr>
        <w:rFonts w:ascii="Symbol" w:hAnsi="Symbol" w:hint="default"/>
      </w:rPr>
    </w:lvl>
  </w:abstractNum>
  <w:abstractNum w:abstractNumId="15" w15:restartNumberingAfterBreak="0">
    <w:nsid w:val="206862E5"/>
    <w:multiLevelType w:val="hybridMultilevel"/>
    <w:tmpl w:val="09101658"/>
    <w:lvl w:ilvl="0" w:tplc="08090001">
      <w:start w:val="1"/>
      <w:numFmt w:val="bullet"/>
      <w:lvlText w:val=""/>
      <w:lvlJc w:val="left"/>
      <w:pPr>
        <w:ind w:left="1713" w:hanging="360"/>
      </w:pPr>
      <w:rPr>
        <w:rFonts w:ascii="Symbol" w:hAnsi="Symbol" w:hint="default"/>
      </w:rPr>
    </w:lvl>
    <w:lvl w:ilvl="1" w:tplc="08090001">
      <w:start w:val="1"/>
      <w:numFmt w:val="bullet"/>
      <w:lvlText w:val=""/>
      <w:lvlJc w:val="left"/>
      <w:pPr>
        <w:ind w:left="2433" w:hanging="360"/>
      </w:pPr>
      <w:rPr>
        <w:rFonts w:ascii="Symbol" w:hAnsi="Symbol" w:hint="default"/>
      </w:rPr>
    </w:lvl>
    <w:lvl w:ilvl="2" w:tplc="08090005">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20AF13A3"/>
    <w:multiLevelType w:val="hybridMultilevel"/>
    <w:tmpl w:val="16DC5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15B6ADF"/>
    <w:multiLevelType w:val="hybridMultilevel"/>
    <w:tmpl w:val="6A60780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22A07A88"/>
    <w:multiLevelType w:val="hybridMultilevel"/>
    <w:tmpl w:val="17C2DD9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2859201E"/>
    <w:multiLevelType w:val="hybridMultilevel"/>
    <w:tmpl w:val="46C4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6A4769"/>
    <w:multiLevelType w:val="hybridMultilevel"/>
    <w:tmpl w:val="1044460A"/>
    <w:lvl w:ilvl="0" w:tplc="08090003">
      <w:start w:val="1"/>
      <w:numFmt w:val="bullet"/>
      <w:lvlText w:val="o"/>
      <w:lvlJc w:val="left"/>
      <w:pPr>
        <w:ind w:left="1132" w:hanging="360"/>
      </w:pPr>
      <w:rPr>
        <w:rFonts w:ascii="Courier New" w:hAnsi="Courier New" w:cs="Courier New"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21" w15:restartNumberingAfterBreak="0">
    <w:nsid w:val="2B923AD0"/>
    <w:multiLevelType w:val="hybridMultilevel"/>
    <w:tmpl w:val="09EE6D3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2" w15:restartNumberingAfterBreak="0">
    <w:nsid w:val="2BA75121"/>
    <w:multiLevelType w:val="hybridMultilevel"/>
    <w:tmpl w:val="449EC8F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3" w15:restartNumberingAfterBreak="0">
    <w:nsid w:val="2BC969E3"/>
    <w:multiLevelType w:val="multilevel"/>
    <w:tmpl w:val="09EADB3A"/>
    <w:lvl w:ilvl="0">
      <w:start w:val="1"/>
      <w:numFmt w:val="decimal"/>
      <w:pStyle w:val="h2numbered"/>
      <w:suff w:val="space"/>
      <w:lvlText w:val="%1."/>
      <w:lvlJc w:val="left"/>
      <w:pPr>
        <w:ind w:left="0" w:firstLine="0"/>
      </w:pPr>
      <w:rPr>
        <w:rFonts w:hint="default"/>
        <w:color w:val="005EB8"/>
      </w:rPr>
    </w:lvl>
    <w:lvl w:ilvl="1">
      <w:start w:val="1"/>
      <w:numFmt w:val="decimal"/>
      <w:pStyle w:val="h3numbered"/>
      <w:lvlText w:val="%1.%2"/>
      <w:lvlJc w:val="left"/>
      <w:pPr>
        <w:ind w:left="624" w:hanging="624"/>
      </w:pPr>
      <w:rPr>
        <w:color w:val="005EB8" w:themeColor="text2"/>
      </w:rPr>
    </w:lvl>
    <w:lvl w:ilvl="2">
      <w:start w:val="1"/>
      <w:numFmt w:val="decimal"/>
      <w:pStyle w:val="h4numbered"/>
      <w:lvlText w:val="%1.%2.%3"/>
      <w:lvlJc w:val="left"/>
      <w:pPr>
        <w:ind w:left="1078" w:hanging="794"/>
      </w:pPr>
      <w:rPr>
        <w:b w:val="0"/>
        <w:bCs w:val="0"/>
        <w:i w:val="0"/>
        <w:iCs/>
        <w:color w:val="auto"/>
        <w:sz w:val="24"/>
        <w:szCs w:val="24"/>
      </w:rPr>
    </w:lvl>
    <w:lvl w:ilvl="3">
      <w:start w:val="1"/>
      <w:numFmt w:val="decimal"/>
      <w:pStyle w:val="h5numbered"/>
      <w:lvlText w:val="%1.%2.%3.%4"/>
      <w:lvlJc w:val="left"/>
      <w:pPr>
        <w:ind w:left="1021" w:hanging="1021"/>
      </w:pPr>
      <w:rPr>
        <w:rFonts w:hint="default"/>
      </w:rPr>
    </w:lvl>
    <w:lvl w:ilvl="4">
      <w:start w:val="1"/>
      <w:numFmt w:val="decimal"/>
      <w:pStyle w:val="bodytextnumbered"/>
      <w:lvlText w:val="%5.2"/>
      <w:lvlJc w:val="left"/>
      <w:pPr>
        <w:ind w:left="360" w:hanging="360"/>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ED7765"/>
    <w:multiLevelType w:val="hybridMultilevel"/>
    <w:tmpl w:val="7FB85D7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5" w15:restartNumberingAfterBreak="0">
    <w:nsid w:val="390F251C"/>
    <w:multiLevelType w:val="hybridMultilevel"/>
    <w:tmpl w:val="DA127E6A"/>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6" w15:restartNumberingAfterBreak="0">
    <w:nsid w:val="39926645"/>
    <w:multiLevelType w:val="hybridMultilevel"/>
    <w:tmpl w:val="B5343F72"/>
    <w:lvl w:ilvl="0" w:tplc="C0503690">
      <w:start w:val="1"/>
      <w:numFmt w:val="decimal"/>
      <w:pStyle w:val="BodyText2"/>
      <w:lvlText w:val="%1."/>
      <w:lvlJc w:val="left"/>
      <w:pPr>
        <w:ind w:left="360" w:hanging="360"/>
      </w:pPr>
      <w:rPr>
        <w:rFonts w:hint="default"/>
        <w:b w:val="0"/>
        <w:bCs w:val="0"/>
        <w:color w:val="auto"/>
      </w:rPr>
    </w:lvl>
    <w:lvl w:ilvl="1" w:tplc="08090001">
      <w:start w:val="1"/>
      <w:numFmt w:val="bullet"/>
      <w:lvlText w:val=""/>
      <w:lvlJc w:val="left"/>
      <w:pPr>
        <w:ind w:left="305" w:hanging="360"/>
      </w:pPr>
      <w:rPr>
        <w:rFonts w:ascii="Symbol" w:hAnsi="Symbol" w:hint="default"/>
        <w:b w:val="0"/>
        <w:bCs w:val="0"/>
      </w:rPr>
    </w:lvl>
    <w:lvl w:ilvl="2" w:tplc="08090001">
      <w:start w:val="1"/>
      <w:numFmt w:val="bullet"/>
      <w:lvlText w:val=""/>
      <w:lvlJc w:val="left"/>
      <w:pPr>
        <w:ind w:left="1030" w:hanging="180"/>
      </w:pPr>
      <w:rPr>
        <w:rFonts w:ascii="Symbol" w:hAnsi="Symbol" w:hint="default"/>
      </w:rPr>
    </w:lvl>
    <w:lvl w:ilvl="3" w:tplc="FFFFFFFF">
      <w:start w:val="1"/>
      <w:numFmt w:val="decimal"/>
      <w:lvlText w:val="%4."/>
      <w:lvlJc w:val="left"/>
      <w:pPr>
        <w:ind w:left="1745" w:hanging="360"/>
      </w:pPr>
    </w:lvl>
    <w:lvl w:ilvl="4" w:tplc="FFFFFFFF" w:tentative="1">
      <w:start w:val="1"/>
      <w:numFmt w:val="lowerLetter"/>
      <w:lvlText w:val="%5."/>
      <w:lvlJc w:val="left"/>
      <w:pPr>
        <w:ind w:left="2465" w:hanging="360"/>
      </w:pPr>
    </w:lvl>
    <w:lvl w:ilvl="5" w:tplc="FFFFFFFF" w:tentative="1">
      <w:start w:val="1"/>
      <w:numFmt w:val="lowerRoman"/>
      <w:lvlText w:val="%6."/>
      <w:lvlJc w:val="right"/>
      <w:pPr>
        <w:ind w:left="3185" w:hanging="180"/>
      </w:pPr>
    </w:lvl>
    <w:lvl w:ilvl="6" w:tplc="FFFFFFFF" w:tentative="1">
      <w:start w:val="1"/>
      <w:numFmt w:val="decimal"/>
      <w:lvlText w:val="%7."/>
      <w:lvlJc w:val="left"/>
      <w:pPr>
        <w:ind w:left="3905" w:hanging="360"/>
      </w:pPr>
    </w:lvl>
    <w:lvl w:ilvl="7" w:tplc="FFFFFFFF" w:tentative="1">
      <w:start w:val="1"/>
      <w:numFmt w:val="lowerLetter"/>
      <w:lvlText w:val="%8."/>
      <w:lvlJc w:val="left"/>
      <w:pPr>
        <w:ind w:left="4625" w:hanging="360"/>
      </w:pPr>
    </w:lvl>
    <w:lvl w:ilvl="8" w:tplc="FFFFFFFF" w:tentative="1">
      <w:start w:val="1"/>
      <w:numFmt w:val="lowerRoman"/>
      <w:lvlText w:val="%9."/>
      <w:lvlJc w:val="right"/>
      <w:pPr>
        <w:ind w:left="5345" w:hanging="180"/>
      </w:pPr>
    </w:lvl>
  </w:abstractNum>
  <w:abstractNum w:abstractNumId="27" w15:restartNumberingAfterBreak="0">
    <w:nsid w:val="3BB83F62"/>
    <w:multiLevelType w:val="hybridMultilevel"/>
    <w:tmpl w:val="B7C2046E"/>
    <w:lvl w:ilvl="0" w:tplc="08090003">
      <w:start w:val="1"/>
      <w:numFmt w:val="bullet"/>
      <w:lvlText w:val="o"/>
      <w:lvlJc w:val="left"/>
      <w:pPr>
        <w:ind w:left="1132" w:hanging="360"/>
      </w:pPr>
      <w:rPr>
        <w:rFonts w:ascii="Courier New" w:hAnsi="Courier New" w:cs="Courier New"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28" w15:restartNumberingAfterBreak="0">
    <w:nsid w:val="3CBC2E05"/>
    <w:multiLevelType w:val="hybridMultilevel"/>
    <w:tmpl w:val="8230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666D84"/>
    <w:multiLevelType w:val="multilevel"/>
    <w:tmpl w:val="72A6DC08"/>
    <w:lvl w:ilvl="0">
      <w:start w:val="1"/>
      <w:numFmt w:val="decimal"/>
      <w:pStyle w:val="Heading1"/>
      <w:lvlText w:val="%1."/>
      <w:lvlJc w:val="left"/>
      <w:pPr>
        <w:ind w:left="360" w:hanging="360"/>
      </w:pPr>
      <w:rPr>
        <w:rFonts w:hint="default"/>
      </w:rPr>
    </w:lvl>
    <w:lvl w:ilvl="1">
      <w:start w:val="1"/>
      <w:numFmt w:val="decimal"/>
      <w:lvlText w:val="%1.%2."/>
      <w:lvlJc w:val="left"/>
      <w:pPr>
        <w:ind w:left="2559" w:hanging="432"/>
      </w:pPr>
      <w:rPr>
        <w:rFonts w:hint="default"/>
        <w:sz w:val="36"/>
        <w:szCs w:val="36"/>
      </w:rPr>
    </w:lvl>
    <w:lvl w:ilvl="2">
      <w:start w:val="1"/>
      <w:numFmt w:val="decimal"/>
      <w:lvlText w:val="%1.%2.%3."/>
      <w:lvlJc w:val="left"/>
      <w:pPr>
        <w:ind w:left="1072" w:hanging="504"/>
      </w:pPr>
      <w:rPr>
        <w:rFonts w:hint="default"/>
        <w:i w:val="0"/>
        <w:iCs w:val="0"/>
        <w:color w:val="auto"/>
        <w:sz w:val="24"/>
        <w:szCs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60D2E36"/>
    <w:multiLevelType w:val="hybridMultilevel"/>
    <w:tmpl w:val="07A8082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1" w15:restartNumberingAfterBreak="0">
    <w:nsid w:val="46BD7919"/>
    <w:multiLevelType w:val="hybridMultilevel"/>
    <w:tmpl w:val="8AE61DB2"/>
    <w:lvl w:ilvl="0" w:tplc="B63EF2A4">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0E4B38"/>
    <w:multiLevelType w:val="singleLevel"/>
    <w:tmpl w:val="49FCB0FC"/>
    <w:styleLink w:val="NHSBodyText"/>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E931F24"/>
    <w:multiLevelType w:val="hybridMultilevel"/>
    <w:tmpl w:val="B20C22B2"/>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4" w15:restartNumberingAfterBreak="0">
    <w:nsid w:val="50660FCF"/>
    <w:multiLevelType w:val="hybridMultilevel"/>
    <w:tmpl w:val="3CBA199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5" w15:restartNumberingAfterBreak="0">
    <w:nsid w:val="531760E5"/>
    <w:multiLevelType w:val="hybridMultilevel"/>
    <w:tmpl w:val="02605C3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6" w15:restartNumberingAfterBreak="0">
    <w:nsid w:val="54190028"/>
    <w:multiLevelType w:val="multilevel"/>
    <w:tmpl w:val="C8FA94F6"/>
    <w:styleLink w:val="CurrentList2"/>
    <w:lvl w:ilvl="0">
      <w:start w:val="3"/>
      <w:numFmt w:val="decimal"/>
      <w:lvlText w:val="%1"/>
      <w:lvlJc w:val="left"/>
      <w:pPr>
        <w:ind w:left="495" w:hanging="495"/>
      </w:pPr>
      <w:rPr>
        <w:rFonts w:hint="default"/>
      </w:rPr>
    </w:lvl>
    <w:lvl w:ilvl="1">
      <w:start w:val="3"/>
      <w:numFmt w:val="decimal"/>
      <w:lvlText w:val="%1.%2"/>
      <w:lvlJc w:val="left"/>
      <w:pPr>
        <w:ind w:left="2847" w:hanging="720"/>
      </w:pPr>
      <w:rPr>
        <w:rFonts w:hint="default"/>
      </w:rPr>
    </w:lvl>
    <w:lvl w:ilvl="2">
      <w:start w:val="1"/>
      <w:numFmt w:val="decimal"/>
      <w:lvlText w:val="%1.%2.%3"/>
      <w:lvlJc w:val="left"/>
      <w:pPr>
        <w:ind w:left="5334" w:hanging="1080"/>
      </w:pPr>
      <w:rPr>
        <w:rFonts w:hint="default"/>
      </w:rPr>
    </w:lvl>
    <w:lvl w:ilvl="3">
      <w:start w:val="1"/>
      <w:numFmt w:val="decimal"/>
      <w:lvlText w:val="%1.%2.%3.%4"/>
      <w:lvlJc w:val="left"/>
      <w:pPr>
        <w:ind w:left="7821" w:hanging="1440"/>
      </w:pPr>
      <w:rPr>
        <w:rFonts w:hint="default"/>
      </w:rPr>
    </w:lvl>
    <w:lvl w:ilvl="4">
      <w:start w:val="1"/>
      <w:numFmt w:val="decimal"/>
      <w:lvlText w:val="%1.%2.%3.%4.%5"/>
      <w:lvlJc w:val="left"/>
      <w:pPr>
        <w:ind w:left="9948" w:hanging="1440"/>
      </w:pPr>
      <w:rPr>
        <w:rFonts w:hint="default"/>
      </w:rPr>
    </w:lvl>
    <w:lvl w:ilvl="5">
      <w:start w:val="1"/>
      <w:numFmt w:val="decimal"/>
      <w:lvlText w:val="%1.%2.%3.%4.%5.%6"/>
      <w:lvlJc w:val="left"/>
      <w:pPr>
        <w:ind w:left="12435" w:hanging="1800"/>
      </w:pPr>
      <w:rPr>
        <w:rFonts w:hint="default"/>
      </w:rPr>
    </w:lvl>
    <w:lvl w:ilvl="6">
      <w:start w:val="1"/>
      <w:numFmt w:val="decimal"/>
      <w:lvlText w:val="%1.%2.%3.%4.%5.%6.%7"/>
      <w:lvlJc w:val="left"/>
      <w:pPr>
        <w:ind w:left="14922" w:hanging="2160"/>
      </w:pPr>
      <w:rPr>
        <w:rFonts w:hint="default"/>
      </w:rPr>
    </w:lvl>
    <w:lvl w:ilvl="7">
      <w:start w:val="1"/>
      <w:numFmt w:val="decimal"/>
      <w:lvlText w:val="%1.%2.%3.%4.%5.%6.%7.%8"/>
      <w:lvlJc w:val="left"/>
      <w:pPr>
        <w:ind w:left="17409" w:hanging="2520"/>
      </w:pPr>
      <w:rPr>
        <w:rFonts w:hint="default"/>
      </w:rPr>
    </w:lvl>
    <w:lvl w:ilvl="8">
      <w:start w:val="1"/>
      <w:numFmt w:val="decimal"/>
      <w:lvlText w:val="%1.%2.%3.%4.%5.%6.%7.%8.%9"/>
      <w:lvlJc w:val="left"/>
      <w:pPr>
        <w:ind w:left="19896" w:hanging="2880"/>
      </w:pPr>
      <w:rPr>
        <w:rFonts w:hint="default"/>
      </w:rPr>
    </w:lvl>
  </w:abstractNum>
  <w:abstractNum w:abstractNumId="37" w15:restartNumberingAfterBreak="0">
    <w:nsid w:val="54650096"/>
    <w:multiLevelType w:val="hybridMultilevel"/>
    <w:tmpl w:val="41A2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500A9F"/>
    <w:multiLevelType w:val="hybridMultilevel"/>
    <w:tmpl w:val="3710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1C264F"/>
    <w:multiLevelType w:val="hybridMultilevel"/>
    <w:tmpl w:val="D990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A31AD0"/>
    <w:multiLevelType w:val="hybridMultilevel"/>
    <w:tmpl w:val="022C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68032C"/>
    <w:multiLevelType w:val="hybridMultilevel"/>
    <w:tmpl w:val="9606F4B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2" w15:restartNumberingAfterBreak="0">
    <w:nsid w:val="5B7A277F"/>
    <w:multiLevelType w:val="hybridMultilevel"/>
    <w:tmpl w:val="AC00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DD3759"/>
    <w:multiLevelType w:val="hybridMultilevel"/>
    <w:tmpl w:val="FAAAE35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4" w15:restartNumberingAfterBreak="0">
    <w:nsid w:val="65745362"/>
    <w:multiLevelType w:val="hybridMultilevel"/>
    <w:tmpl w:val="56A8D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5A6491"/>
    <w:multiLevelType w:val="multilevel"/>
    <w:tmpl w:val="AE5EC3E2"/>
    <w:styleLink w:val="CurrentList1"/>
    <w:lvl w:ilvl="0">
      <w:start w:val="1"/>
      <w:numFmt w:val="decimal"/>
      <w:lvlText w:val="%1."/>
      <w:lvlJc w:val="left"/>
      <w:pPr>
        <w:ind w:left="360" w:hanging="360"/>
      </w:pPr>
    </w:lvl>
    <w:lvl w:ilvl="1">
      <w:start w:val="1"/>
      <w:numFmt w:val="decimal"/>
      <w:lvlText w:val="%1.%2."/>
      <w:lvlJc w:val="left"/>
      <w:pPr>
        <w:ind w:left="2559" w:hanging="432"/>
      </w:pPr>
      <w:rPr>
        <w:sz w:val="36"/>
        <w:szCs w:val="36"/>
      </w:rPr>
    </w:lvl>
    <w:lvl w:ilvl="2">
      <w:start w:val="1"/>
      <w:numFmt w:val="decimal"/>
      <w:lvlText w:val="%1.%2.%3."/>
      <w:lvlJc w:val="left"/>
      <w:pPr>
        <w:ind w:left="1072" w:hanging="504"/>
      </w:pPr>
      <w:rPr>
        <w:i w:val="0"/>
        <w:iCs w:val="0"/>
        <w:color w:val="auto"/>
        <w:sz w:val="24"/>
        <w:szCs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9621DCD"/>
    <w:multiLevelType w:val="hybridMultilevel"/>
    <w:tmpl w:val="E7E85A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7" w15:restartNumberingAfterBreak="0">
    <w:nsid w:val="6BC81319"/>
    <w:multiLevelType w:val="hybridMultilevel"/>
    <w:tmpl w:val="5CA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A50BC6"/>
    <w:multiLevelType w:val="hybridMultilevel"/>
    <w:tmpl w:val="D9D2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5176B4"/>
    <w:multiLevelType w:val="hybridMultilevel"/>
    <w:tmpl w:val="68723B2C"/>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08090003">
      <w:start w:val="1"/>
      <w:numFmt w:val="bullet"/>
      <w:lvlText w:val="o"/>
      <w:lvlJc w:val="left"/>
      <w:pPr>
        <w:ind w:left="3873" w:hanging="360"/>
      </w:pPr>
      <w:rPr>
        <w:rFonts w:ascii="Courier New" w:hAnsi="Courier New" w:cs="Courier New"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0" w15:restartNumberingAfterBreak="0">
    <w:nsid w:val="7D6D2065"/>
    <w:multiLevelType w:val="hybridMultilevel"/>
    <w:tmpl w:val="51408D30"/>
    <w:lvl w:ilvl="0" w:tplc="70CCC7CC">
      <w:start w:val="1"/>
      <w:numFmt w:val="decimal"/>
      <w:pStyle w:val="Heading3"/>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9795252">
    <w:abstractNumId w:val="0"/>
  </w:num>
  <w:num w:numId="2" w16cid:durableId="1394693074">
    <w:abstractNumId w:val="31"/>
  </w:num>
  <w:num w:numId="3" w16cid:durableId="570964709">
    <w:abstractNumId w:val="23"/>
  </w:num>
  <w:num w:numId="4" w16cid:durableId="1440949920">
    <w:abstractNumId w:val="32"/>
  </w:num>
  <w:num w:numId="5" w16cid:durableId="2108502901">
    <w:abstractNumId w:val="10"/>
  </w:num>
  <w:num w:numId="6" w16cid:durableId="1174761449">
    <w:abstractNumId w:val="13"/>
  </w:num>
  <w:num w:numId="7" w16cid:durableId="230698506">
    <w:abstractNumId w:val="14"/>
  </w:num>
  <w:num w:numId="8" w16cid:durableId="1986935141">
    <w:abstractNumId w:val="8"/>
  </w:num>
  <w:num w:numId="9" w16cid:durableId="497380780">
    <w:abstractNumId w:val="26"/>
  </w:num>
  <w:num w:numId="10" w16cid:durableId="567615439">
    <w:abstractNumId w:val="19"/>
  </w:num>
  <w:num w:numId="11" w16cid:durableId="283391139">
    <w:abstractNumId w:val="29"/>
  </w:num>
  <w:num w:numId="12" w16cid:durableId="2092388932">
    <w:abstractNumId w:val="33"/>
  </w:num>
  <w:num w:numId="13" w16cid:durableId="1329602670">
    <w:abstractNumId w:val="34"/>
  </w:num>
  <w:num w:numId="14" w16cid:durableId="473564885">
    <w:abstractNumId w:val="3"/>
  </w:num>
  <w:num w:numId="15" w16cid:durableId="1881018230">
    <w:abstractNumId w:val="7"/>
  </w:num>
  <w:num w:numId="16" w16cid:durableId="599220094">
    <w:abstractNumId w:val="12"/>
  </w:num>
  <w:num w:numId="17" w16cid:durableId="505634727">
    <w:abstractNumId w:val="9"/>
  </w:num>
  <w:num w:numId="18" w16cid:durableId="1644701793">
    <w:abstractNumId w:val="1"/>
  </w:num>
  <w:num w:numId="19" w16cid:durableId="342172142">
    <w:abstractNumId w:val="25"/>
  </w:num>
  <w:num w:numId="20" w16cid:durableId="1788886228">
    <w:abstractNumId w:val="24"/>
  </w:num>
  <w:num w:numId="21" w16cid:durableId="1494100363">
    <w:abstractNumId w:val="30"/>
  </w:num>
  <w:num w:numId="22" w16cid:durableId="2137065635">
    <w:abstractNumId w:val="11"/>
  </w:num>
  <w:num w:numId="23" w16cid:durableId="1969780756">
    <w:abstractNumId w:val="2"/>
  </w:num>
  <w:num w:numId="24" w16cid:durableId="334187054">
    <w:abstractNumId w:val="17"/>
  </w:num>
  <w:num w:numId="25" w16cid:durableId="399594225">
    <w:abstractNumId w:val="15"/>
  </w:num>
  <w:num w:numId="26" w16cid:durableId="735594527">
    <w:abstractNumId w:val="21"/>
  </w:num>
  <w:num w:numId="27" w16cid:durableId="154079906">
    <w:abstractNumId w:val="43"/>
  </w:num>
  <w:num w:numId="28" w16cid:durableId="895505574">
    <w:abstractNumId w:val="18"/>
  </w:num>
  <w:num w:numId="29" w16cid:durableId="2016415899">
    <w:abstractNumId w:val="49"/>
  </w:num>
  <w:num w:numId="30" w16cid:durableId="1695643651">
    <w:abstractNumId w:val="20"/>
  </w:num>
  <w:num w:numId="31" w16cid:durableId="1292900618">
    <w:abstractNumId w:val="27"/>
  </w:num>
  <w:num w:numId="32" w16cid:durableId="1493793711">
    <w:abstractNumId w:val="45"/>
  </w:num>
  <w:num w:numId="33" w16cid:durableId="81416947">
    <w:abstractNumId w:val="50"/>
  </w:num>
  <w:num w:numId="34" w16cid:durableId="692539682">
    <w:abstractNumId w:val="4"/>
  </w:num>
  <w:num w:numId="35" w16cid:durableId="586161422">
    <w:abstractNumId w:val="36"/>
  </w:num>
  <w:num w:numId="36" w16cid:durableId="10153764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1008318">
    <w:abstractNumId w:val="47"/>
  </w:num>
  <w:num w:numId="38" w16cid:durableId="699015748">
    <w:abstractNumId w:val="28"/>
  </w:num>
  <w:num w:numId="39" w16cid:durableId="1021517260">
    <w:abstractNumId w:val="39"/>
  </w:num>
  <w:num w:numId="40" w16cid:durableId="1929386174">
    <w:abstractNumId w:val="42"/>
  </w:num>
  <w:num w:numId="41" w16cid:durableId="1915040951">
    <w:abstractNumId w:val="6"/>
  </w:num>
  <w:num w:numId="42" w16cid:durableId="1258831257">
    <w:abstractNumId w:val="38"/>
  </w:num>
  <w:num w:numId="43" w16cid:durableId="303126662">
    <w:abstractNumId w:val="40"/>
  </w:num>
  <w:num w:numId="44" w16cid:durableId="1439445191">
    <w:abstractNumId w:val="48"/>
  </w:num>
  <w:num w:numId="45" w16cid:durableId="648479325">
    <w:abstractNumId w:val="44"/>
  </w:num>
  <w:num w:numId="46" w16cid:durableId="1643146808">
    <w:abstractNumId w:val="22"/>
  </w:num>
  <w:num w:numId="47" w16cid:durableId="1472751738">
    <w:abstractNumId w:val="46"/>
  </w:num>
  <w:num w:numId="48" w16cid:durableId="1906840952">
    <w:abstractNumId w:val="41"/>
  </w:num>
  <w:num w:numId="49" w16cid:durableId="555311949">
    <w:abstractNumId w:val="35"/>
  </w:num>
  <w:num w:numId="50" w16cid:durableId="1898666103">
    <w:abstractNumId w:val="5"/>
  </w:num>
  <w:num w:numId="51" w16cid:durableId="1783265376">
    <w:abstractNumId w:val="37"/>
  </w:num>
  <w:num w:numId="52" w16cid:durableId="692726934">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D21"/>
    <w:rsid w:val="00000085"/>
    <w:rsid w:val="00000197"/>
    <w:rsid w:val="000005C7"/>
    <w:rsid w:val="00002708"/>
    <w:rsid w:val="00002948"/>
    <w:rsid w:val="000036D0"/>
    <w:rsid w:val="00003EE8"/>
    <w:rsid w:val="0000416F"/>
    <w:rsid w:val="0000436D"/>
    <w:rsid w:val="00006985"/>
    <w:rsid w:val="00007FCE"/>
    <w:rsid w:val="000108B8"/>
    <w:rsid w:val="0001164C"/>
    <w:rsid w:val="00011E43"/>
    <w:rsid w:val="00013385"/>
    <w:rsid w:val="00013D61"/>
    <w:rsid w:val="00014265"/>
    <w:rsid w:val="00016384"/>
    <w:rsid w:val="000165C3"/>
    <w:rsid w:val="00017622"/>
    <w:rsid w:val="00017C61"/>
    <w:rsid w:val="00021CA6"/>
    <w:rsid w:val="0002224F"/>
    <w:rsid w:val="0002325C"/>
    <w:rsid w:val="0002373F"/>
    <w:rsid w:val="00024BFC"/>
    <w:rsid w:val="0002513B"/>
    <w:rsid w:val="000260DA"/>
    <w:rsid w:val="00026859"/>
    <w:rsid w:val="00026E33"/>
    <w:rsid w:val="000271F6"/>
    <w:rsid w:val="0003185C"/>
    <w:rsid w:val="00031FD0"/>
    <w:rsid w:val="00033BE9"/>
    <w:rsid w:val="00034559"/>
    <w:rsid w:val="00034D5D"/>
    <w:rsid w:val="000365C7"/>
    <w:rsid w:val="00036BB3"/>
    <w:rsid w:val="000374DD"/>
    <w:rsid w:val="00037AF0"/>
    <w:rsid w:val="00041E73"/>
    <w:rsid w:val="000432E5"/>
    <w:rsid w:val="00043971"/>
    <w:rsid w:val="000441FB"/>
    <w:rsid w:val="00044293"/>
    <w:rsid w:val="00044601"/>
    <w:rsid w:val="0004497A"/>
    <w:rsid w:val="00044E5F"/>
    <w:rsid w:val="00052954"/>
    <w:rsid w:val="00053C54"/>
    <w:rsid w:val="000540F0"/>
    <w:rsid w:val="00055630"/>
    <w:rsid w:val="00056983"/>
    <w:rsid w:val="00057125"/>
    <w:rsid w:val="000578C3"/>
    <w:rsid w:val="00061383"/>
    <w:rsid w:val="00061452"/>
    <w:rsid w:val="0006188B"/>
    <w:rsid w:val="00061FAF"/>
    <w:rsid w:val="0006639D"/>
    <w:rsid w:val="0007258D"/>
    <w:rsid w:val="00072B37"/>
    <w:rsid w:val="000733A2"/>
    <w:rsid w:val="00075CDF"/>
    <w:rsid w:val="000760BA"/>
    <w:rsid w:val="000765B5"/>
    <w:rsid w:val="00082562"/>
    <w:rsid w:val="00082E45"/>
    <w:rsid w:val="0008313C"/>
    <w:rsid w:val="00085831"/>
    <w:rsid w:val="000863E2"/>
    <w:rsid w:val="00086C28"/>
    <w:rsid w:val="00087B7F"/>
    <w:rsid w:val="00087F35"/>
    <w:rsid w:val="00090507"/>
    <w:rsid w:val="000917B4"/>
    <w:rsid w:val="0009270B"/>
    <w:rsid w:val="000931E0"/>
    <w:rsid w:val="000935A1"/>
    <w:rsid w:val="0009417F"/>
    <w:rsid w:val="00094F22"/>
    <w:rsid w:val="00095621"/>
    <w:rsid w:val="0009694B"/>
    <w:rsid w:val="000A0022"/>
    <w:rsid w:val="000A266D"/>
    <w:rsid w:val="000A2FA8"/>
    <w:rsid w:val="000A38EC"/>
    <w:rsid w:val="000A3F68"/>
    <w:rsid w:val="000A410A"/>
    <w:rsid w:val="000A437B"/>
    <w:rsid w:val="000A56B4"/>
    <w:rsid w:val="000A5FA5"/>
    <w:rsid w:val="000A64E4"/>
    <w:rsid w:val="000A7566"/>
    <w:rsid w:val="000B09F5"/>
    <w:rsid w:val="000B0A12"/>
    <w:rsid w:val="000B1F11"/>
    <w:rsid w:val="000B234A"/>
    <w:rsid w:val="000B2A48"/>
    <w:rsid w:val="000B4466"/>
    <w:rsid w:val="000B6FA3"/>
    <w:rsid w:val="000C0B91"/>
    <w:rsid w:val="000C2447"/>
    <w:rsid w:val="000C24AF"/>
    <w:rsid w:val="000C2CF0"/>
    <w:rsid w:val="000C55DB"/>
    <w:rsid w:val="000C73C1"/>
    <w:rsid w:val="000D39C3"/>
    <w:rsid w:val="000D4CA0"/>
    <w:rsid w:val="000D4DB0"/>
    <w:rsid w:val="000D5865"/>
    <w:rsid w:val="000D623F"/>
    <w:rsid w:val="000D6AC1"/>
    <w:rsid w:val="000E0DB3"/>
    <w:rsid w:val="000E10A2"/>
    <w:rsid w:val="000E2EBE"/>
    <w:rsid w:val="000E3524"/>
    <w:rsid w:val="000E46B0"/>
    <w:rsid w:val="000E4ACA"/>
    <w:rsid w:val="000E54AA"/>
    <w:rsid w:val="000E56B9"/>
    <w:rsid w:val="000E63F1"/>
    <w:rsid w:val="000E7233"/>
    <w:rsid w:val="000F06D0"/>
    <w:rsid w:val="000F0E78"/>
    <w:rsid w:val="000F252E"/>
    <w:rsid w:val="000F3615"/>
    <w:rsid w:val="000F5AA1"/>
    <w:rsid w:val="000F7E43"/>
    <w:rsid w:val="0010042B"/>
    <w:rsid w:val="00100666"/>
    <w:rsid w:val="00101883"/>
    <w:rsid w:val="0010192E"/>
    <w:rsid w:val="00101CC2"/>
    <w:rsid w:val="00103863"/>
    <w:rsid w:val="00103D78"/>
    <w:rsid w:val="00103F4D"/>
    <w:rsid w:val="0010403A"/>
    <w:rsid w:val="001044DC"/>
    <w:rsid w:val="00104803"/>
    <w:rsid w:val="00104AFD"/>
    <w:rsid w:val="0010592F"/>
    <w:rsid w:val="00106014"/>
    <w:rsid w:val="00106D37"/>
    <w:rsid w:val="00107394"/>
    <w:rsid w:val="001074F9"/>
    <w:rsid w:val="00111C1E"/>
    <w:rsid w:val="001127B4"/>
    <w:rsid w:val="00113E46"/>
    <w:rsid w:val="00113EEC"/>
    <w:rsid w:val="00115842"/>
    <w:rsid w:val="00116D61"/>
    <w:rsid w:val="00116DD8"/>
    <w:rsid w:val="00117F6B"/>
    <w:rsid w:val="0012054D"/>
    <w:rsid w:val="00121A3A"/>
    <w:rsid w:val="001267B0"/>
    <w:rsid w:val="00127C11"/>
    <w:rsid w:val="00130117"/>
    <w:rsid w:val="0013058D"/>
    <w:rsid w:val="00131A2C"/>
    <w:rsid w:val="00131F3A"/>
    <w:rsid w:val="001327DC"/>
    <w:rsid w:val="00132BB8"/>
    <w:rsid w:val="001363A8"/>
    <w:rsid w:val="0014054F"/>
    <w:rsid w:val="001407C4"/>
    <w:rsid w:val="00141CA9"/>
    <w:rsid w:val="00141F4A"/>
    <w:rsid w:val="00143759"/>
    <w:rsid w:val="00145A41"/>
    <w:rsid w:val="00147DF1"/>
    <w:rsid w:val="001500BA"/>
    <w:rsid w:val="00150B03"/>
    <w:rsid w:val="00151E12"/>
    <w:rsid w:val="00155390"/>
    <w:rsid w:val="0015549D"/>
    <w:rsid w:val="00155876"/>
    <w:rsid w:val="0015635C"/>
    <w:rsid w:val="00157ED5"/>
    <w:rsid w:val="00161431"/>
    <w:rsid w:val="001655B8"/>
    <w:rsid w:val="00165FC0"/>
    <w:rsid w:val="00166778"/>
    <w:rsid w:val="001667E8"/>
    <w:rsid w:val="001716E5"/>
    <w:rsid w:val="001725DC"/>
    <w:rsid w:val="001727A0"/>
    <w:rsid w:val="00173E8C"/>
    <w:rsid w:val="00176EC5"/>
    <w:rsid w:val="001779CD"/>
    <w:rsid w:val="00180E0E"/>
    <w:rsid w:val="00181E9D"/>
    <w:rsid w:val="00186824"/>
    <w:rsid w:val="00187571"/>
    <w:rsid w:val="00192366"/>
    <w:rsid w:val="0019592C"/>
    <w:rsid w:val="00197F32"/>
    <w:rsid w:val="001A22FA"/>
    <w:rsid w:val="001A3503"/>
    <w:rsid w:val="001A4394"/>
    <w:rsid w:val="001A4CED"/>
    <w:rsid w:val="001B07AC"/>
    <w:rsid w:val="001B1306"/>
    <w:rsid w:val="001B1D63"/>
    <w:rsid w:val="001B2BA5"/>
    <w:rsid w:val="001B4313"/>
    <w:rsid w:val="001B5116"/>
    <w:rsid w:val="001B589E"/>
    <w:rsid w:val="001B69FB"/>
    <w:rsid w:val="001B6B82"/>
    <w:rsid w:val="001B6CD8"/>
    <w:rsid w:val="001C02DF"/>
    <w:rsid w:val="001C0D36"/>
    <w:rsid w:val="001C0F48"/>
    <w:rsid w:val="001C106B"/>
    <w:rsid w:val="001C3565"/>
    <w:rsid w:val="001C42FF"/>
    <w:rsid w:val="001C5041"/>
    <w:rsid w:val="001C5656"/>
    <w:rsid w:val="001C58E5"/>
    <w:rsid w:val="001C6937"/>
    <w:rsid w:val="001C7DAE"/>
    <w:rsid w:val="001D0C1D"/>
    <w:rsid w:val="001D243C"/>
    <w:rsid w:val="001D268F"/>
    <w:rsid w:val="001D2A98"/>
    <w:rsid w:val="001D36BA"/>
    <w:rsid w:val="001D4782"/>
    <w:rsid w:val="001D4AAF"/>
    <w:rsid w:val="001D4BC1"/>
    <w:rsid w:val="001D6235"/>
    <w:rsid w:val="001E004E"/>
    <w:rsid w:val="001E1318"/>
    <w:rsid w:val="001E27F8"/>
    <w:rsid w:val="001E4B63"/>
    <w:rsid w:val="001E63F5"/>
    <w:rsid w:val="001E67FF"/>
    <w:rsid w:val="001F0C17"/>
    <w:rsid w:val="001F0E05"/>
    <w:rsid w:val="001F3126"/>
    <w:rsid w:val="001F40A4"/>
    <w:rsid w:val="001F4A64"/>
    <w:rsid w:val="001F7237"/>
    <w:rsid w:val="00200601"/>
    <w:rsid w:val="00200E57"/>
    <w:rsid w:val="002018FE"/>
    <w:rsid w:val="00201F32"/>
    <w:rsid w:val="00204BC5"/>
    <w:rsid w:val="00205F80"/>
    <w:rsid w:val="00207101"/>
    <w:rsid w:val="0020797F"/>
    <w:rsid w:val="002109F6"/>
    <w:rsid w:val="00211857"/>
    <w:rsid w:val="00212060"/>
    <w:rsid w:val="002129E6"/>
    <w:rsid w:val="00212A28"/>
    <w:rsid w:val="00216C4A"/>
    <w:rsid w:val="00217FAD"/>
    <w:rsid w:val="0022134A"/>
    <w:rsid w:val="002219EF"/>
    <w:rsid w:val="0022292A"/>
    <w:rsid w:val="0022407F"/>
    <w:rsid w:val="0022596F"/>
    <w:rsid w:val="0022660C"/>
    <w:rsid w:val="00232360"/>
    <w:rsid w:val="00232D94"/>
    <w:rsid w:val="00233163"/>
    <w:rsid w:val="00233B01"/>
    <w:rsid w:val="002343F3"/>
    <w:rsid w:val="00236546"/>
    <w:rsid w:val="002365A0"/>
    <w:rsid w:val="0023663B"/>
    <w:rsid w:val="00237988"/>
    <w:rsid w:val="00240B6E"/>
    <w:rsid w:val="00240FF8"/>
    <w:rsid w:val="002431C0"/>
    <w:rsid w:val="002432F7"/>
    <w:rsid w:val="00243C7A"/>
    <w:rsid w:val="00243E6E"/>
    <w:rsid w:val="00244DE8"/>
    <w:rsid w:val="0024536A"/>
    <w:rsid w:val="00245FE3"/>
    <w:rsid w:val="0024602C"/>
    <w:rsid w:val="00246075"/>
    <w:rsid w:val="00246B58"/>
    <w:rsid w:val="0024790C"/>
    <w:rsid w:val="002514AD"/>
    <w:rsid w:val="00251B94"/>
    <w:rsid w:val="00252960"/>
    <w:rsid w:val="00253681"/>
    <w:rsid w:val="002536BA"/>
    <w:rsid w:val="00254613"/>
    <w:rsid w:val="00256AB1"/>
    <w:rsid w:val="00260585"/>
    <w:rsid w:val="00260801"/>
    <w:rsid w:val="002622D8"/>
    <w:rsid w:val="00262644"/>
    <w:rsid w:val="00262C06"/>
    <w:rsid w:val="0026712B"/>
    <w:rsid w:val="00270DAD"/>
    <w:rsid w:val="00272229"/>
    <w:rsid w:val="0027354D"/>
    <w:rsid w:val="00273CD5"/>
    <w:rsid w:val="00277ABB"/>
    <w:rsid w:val="00277F4F"/>
    <w:rsid w:val="00280EB8"/>
    <w:rsid w:val="002817DA"/>
    <w:rsid w:val="00281A09"/>
    <w:rsid w:val="00283003"/>
    <w:rsid w:val="00284407"/>
    <w:rsid w:val="00284918"/>
    <w:rsid w:val="00285109"/>
    <w:rsid w:val="002855F7"/>
    <w:rsid w:val="00286255"/>
    <w:rsid w:val="002870C3"/>
    <w:rsid w:val="00291CDC"/>
    <w:rsid w:val="00293663"/>
    <w:rsid w:val="00294488"/>
    <w:rsid w:val="0029468F"/>
    <w:rsid w:val="00294B2B"/>
    <w:rsid w:val="002A0DF0"/>
    <w:rsid w:val="002A24A8"/>
    <w:rsid w:val="002A2A08"/>
    <w:rsid w:val="002A3F48"/>
    <w:rsid w:val="002A45CD"/>
    <w:rsid w:val="002A50CF"/>
    <w:rsid w:val="002A54A1"/>
    <w:rsid w:val="002A5F64"/>
    <w:rsid w:val="002A7354"/>
    <w:rsid w:val="002A7DC4"/>
    <w:rsid w:val="002B24BD"/>
    <w:rsid w:val="002B3BFD"/>
    <w:rsid w:val="002B5EA2"/>
    <w:rsid w:val="002B77D2"/>
    <w:rsid w:val="002C0816"/>
    <w:rsid w:val="002C2D46"/>
    <w:rsid w:val="002C2EF5"/>
    <w:rsid w:val="002C41D0"/>
    <w:rsid w:val="002C79DE"/>
    <w:rsid w:val="002D0B1F"/>
    <w:rsid w:val="002D3070"/>
    <w:rsid w:val="002D45F8"/>
    <w:rsid w:val="002D600C"/>
    <w:rsid w:val="002E1872"/>
    <w:rsid w:val="002E1DCE"/>
    <w:rsid w:val="002E237D"/>
    <w:rsid w:val="002E2FCE"/>
    <w:rsid w:val="002E42AA"/>
    <w:rsid w:val="002E5F07"/>
    <w:rsid w:val="002F3868"/>
    <w:rsid w:val="002F45CE"/>
    <w:rsid w:val="002F4C4E"/>
    <w:rsid w:val="002F5AB3"/>
    <w:rsid w:val="002F5C0D"/>
    <w:rsid w:val="002F6144"/>
    <w:rsid w:val="002F6A3D"/>
    <w:rsid w:val="002F7584"/>
    <w:rsid w:val="002F7B8F"/>
    <w:rsid w:val="00300500"/>
    <w:rsid w:val="0030110B"/>
    <w:rsid w:val="003014E5"/>
    <w:rsid w:val="00302A31"/>
    <w:rsid w:val="003030E9"/>
    <w:rsid w:val="0030310E"/>
    <w:rsid w:val="00304368"/>
    <w:rsid w:val="003046DF"/>
    <w:rsid w:val="00306BDA"/>
    <w:rsid w:val="00306D19"/>
    <w:rsid w:val="00307042"/>
    <w:rsid w:val="003071AD"/>
    <w:rsid w:val="00310312"/>
    <w:rsid w:val="003117C9"/>
    <w:rsid w:val="00311866"/>
    <w:rsid w:val="0031186F"/>
    <w:rsid w:val="0031220E"/>
    <w:rsid w:val="0031233C"/>
    <w:rsid w:val="0031390C"/>
    <w:rsid w:val="00314B1E"/>
    <w:rsid w:val="003166D2"/>
    <w:rsid w:val="003179CD"/>
    <w:rsid w:val="003203AC"/>
    <w:rsid w:val="003210FA"/>
    <w:rsid w:val="0032269C"/>
    <w:rsid w:val="00325011"/>
    <w:rsid w:val="00325829"/>
    <w:rsid w:val="00327590"/>
    <w:rsid w:val="003315E3"/>
    <w:rsid w:val="00332132"/>
    <w:rsid w:val="00332EA3"/>
    <w:rsid w:val="003340D8"/>
    <w:rsid w:val="00336E50"/>
    <w:rsid w:val="0033715E"/>
    <w:rsid w:val="00340775"/>
    <w:rsid w:val="003407C1"/>
    <w:rsid w:val="00343FFD"/>
    <w:rsid w:val="0034439B"/>
    <w:rsid w:val="003444C7"/>
    <w:rsid w:val="0034560E"/>
    <w:rsid w:val="00346CB5"/>
    <w:rsid w:val="003470D0"/>
    <w:rsid w:val="0035386A"/>
    <w:rsid w:val="0035464A"/>
    <w:rsid w:val="0035497D"/>
    <w:rsid w:val="00357412"/>
    <w:rsid w:val="00361079"/>
    <w:rsid w:val="0036194D"/>
    <w:rsid w:val="00361EBE"/>
    <w:rsid w:val="00364999"/>
    <w:rsid w:val="0036576D"/>
    <w:rsid w:val="00367B0C"/>
    <w:rsid w:val="00370FCF"/>
    <w:rsid w:val="003723B6"/>
    <w:rsid w:val="003726CE"/>
    <w:rsid w:val="00372C93"/>
    <w:rsid w:val="00373E81"/>
    <w:rsid w:val="00375C0D"/>
    <w:rsid w:val="00376A16"/>
    <w:rsid w:val="00377A18"/>
    <w:rsid w:val="0038206F"/>
    <w:rsid w:val="0038333D"/>
    <w:rsid w:val="00385B65"/>
    <w:rsid w:val="00387324"/>
    <w:rsid w:val="00391BA5"/>
    <w:rsid w:val="00391BE2"/>
    <w:rsid w:val="00391FDA"/>
    <w:rsid w:val="00393C9B"/>
    <w:rsid w:val="0039492F"/>
    <w:rsid w:val="00397DFF"/>
    <w:rsid w:val="003A0BF2"/>
    <w:rsid w:val="003A1D7D"/>
    <w:rsid w:val="003A334E"/>
    <w:rsid w:val="003A41A7"/>
    <w:rsid w:val="003A4B22"/>
    <w:rsid w:val="003A5255"/>
    <w:rsid w:val="003A5755"/>
    <w:rsid w:val="003A6F88"/>
    <w:rsid w:val="003B0711"/>
    <w:rsid w:val="003B0CCE"/>
    <w:rsid w:val="003B1E9B"/>
    <w:rsid w:val="003B2686"/>
    <w:rsid w:val="003B33C1"/>
    <w:rsid w:val="003B41C3"/>
    <w:rsid w:val="003B4682"/>
    <w:rsid w:val="003B481D"/>
    <w:rsid w:val="003B59EF"/>
    <w:rsid w:val="003B631E"/>
    <w:rsid w:val="003B6416"/>
    <w:rsid w:val="003B6BB4"/>
    <w:rsid w:val="003C0179"/>
    <w:rsid w:val="003C14D5"/>
    <w:rsid w:val="003C3D5F"/>
    <w:rsid w:val="003C3F33"/>
    <w:rsid w:val="003C4157"/>
    <w:rsid w:val="003C4E41"/>
    <w:rsid w:val="003C5F14"/>
    <w:rsid w:val="003D2368"/>
    <w:rsid w:val="003D23C9"/>
    <w:rsid w:val="003D3A42"/>
    <w:rsid w:val="003D71FD"/>
    <w:rsid w:val="003D7D09"/>
    <w:rsid w:val="003E0CB8"/>
    <w:rsid w:val="003E27CA"/>
    <w:rsid w:val="003E57B6"/>
    <w:rsid w:val="003F0A8F"/>
    <w:rsid w:val="003F358B"/>
    <w:rsid w:val="003F798E"/>
    <w:rsid w:val="003F7B0C"/>
    <w:rsid w:val="003F7B63"/>
    <w:rsid w:val="00401147"/>
    <w:rsid w:val="00403255"/>
    <w:rsid w:val="00403A5F"/>
    <w:rsid w:val="00403F83"/>
    <w:rsid w:val="0040449B"/>
    <w:rsid w:val="00404BEA"/>
    <w:rsid w:val="00405FD2"/>
    <w:rsid w:val="00407E0A"/>
    <w:rsid w:val="00410A4C"/>
    <w:rsid w:val="00410CA0"/>
    <w:rsid w:val="00411D1D"/>
    <w:rsid w:val="00412B4A"/>
    <w:rsid w:val="00413275"/>
    <w:rsid w:val="00415370"/>
    <w:rsid w:val="00415776"/>
    <w:rsid w:val="00415C69"/>
    <w:rsid w:val="0041602D"/>
    <w:rsid w:val="00416F73"/>
    <w:rsid w:val="00417815"/>
    <w:rsid w:val="004201ED"/>
    <w:rsid w:val="00420CE8"/>
    <w:rsid w:val="00420E7F"/>
    <w:rsid w:val="004219B2"/>
    <w:rsid w:val="00421B51"/>
    <w:rsid w:val="00423FAF"/>
    <w:rsid w:val="00427636"/>
    <w:rsid w:val="00427788"/>
    <w:rsid w:val="00430131"/>
    <w:rsid w:val="00431D3B"/>
    <w:rsid w:val="00432A8C"/>
    <w:rsid w:val="004408D1"/>
    <w:rsid w:val="004424F3"/>
    <w:rsid w:val="00443088"/>
    <w:rsid w:val="00445B02"/>
    <w:rsid w:val="0044661B"/>
    <w:rsid w:val="00447749"/>
    <w:rsid w:val="00447E51"/>
    <w:rsid w:val="0045167C"/>
    <w:rsid w:val="00451841"/>
    <w:rsid w:val="00455A3F"/>
    <w:rsid w:val="00456971"/>
    <w:rsid w:val="00461368"/>
    <w:rsid w:val="00463704"/>
    <w:rsid w:val="00464062"/>
    <w:rsid w:val="00464CA7"/>
    <w:rsid w:val="00466D53"/>
    <w:rsid w:val="0046735F"/>
    <w:rsid w:val="00467DF6"/>
    <w:rsid w:val="00470890"/>
    <w:rsid w:val="00472CE2"/>
    <w:rsid w:val="00472D33"/>
    <w:rsid w:val="00473941"/>
    <w:rsid w:val="00473B23"/>
    <w:rsid w:val="00474898"/>
    <w:rsid w:val="00476300"/>
    <w:rsid w:val="0048035F"/>
    <w:rsid w:val="00480B82"/>
    <w:rsid w:val="00482697"/>
    <w:rsid w:val="00482C43"/>
    <w:rsid w:val="004852DA"/>
    <w:rsid w:val="00485BB9"/>
    <w:rsid w:val="0049077E"/>
    <w:rsid w:val="00490D59"/>
    <w:rsid w:val="004912C4"/>
    <w:rsid w:val="004912EB"/>
    <w:rsid w:val="00491977"/>
    <w:rsid w:val="00492096"/>
    <w:rsid w:val="00494158"/>
    <w:rsid w:val="00494D4E"/>
    <w:rsid w:val="00496A09"/>
    <w:rsid w:val="00497DE0"/>
    <w:rsid w:val="004A2304"/>
    <w:rsid w:val="004A27AF"/>
    <w:rsid w:val="004A46C7"/>
    <w:rsid w:val="004A4AE2"/>
    <w:rsid w:val="004A6173"/>
    <w:rsid w:val="004A6336"/>
    <w:rsid w:val="004B2283"/>
    <w:rsid w:val="004B2F72"/>
    <w:rsid w:val="004B5FE7"/>
    <w:rsid w:val="004B71E1"/>
    <w:rsid w:val="004B7760"/>
    <w:rsid w:val="004C0DE3"/>
    <w:rsid w:val="004C1E75"/>
    <w:rsid w:val="004C274A"/>
    <w:rsid w:val="004C27C7"/>
    <w:rsid w:val="004C5BEB"/>
    <w:rsid w:val="004C5C1D"/>
    <w:rsid w:val="004C65FC"/>
    <w:rsid w:val="004C6869"/>
    <w:rsid w:val="004C75CC"/>
    <w:rsid w:val="004D11B6"/>
    <w:rsid w:val="004D1A73"/>
    <w:rsid w:val="004D1B4E"/>
    <w:rsid w:val="004D342F"/>
    <w:rsid w:val="004D414B"/>
    <w:rsid w:val="004D5F02"/>
    <w:rsid w:val="004D757F"/>
    <w:rsid w:val="004D763F"/>
    <w:rsid w:val="004E01CB"/>
    <w:rsid w:val="004E0885"/>
    <w:rsid w:val="004E09F2"/>
    <w:rsid w:val="004E0BD0"/>
    <w:rsid w:val="004E1FC3"/>
    <w:rsid w:val="004E3A44"/>
    <w:rsid w:val="004E500C"/>
    <w:rsid w:val="004E7357"/>
    <w:rsid w:val="004F0A67"/>
    <w:rsid w:val="004F1337"/>
    <w:rsid w:val="004F28CE"/>
    <w:rsid w:val="004F391B"/>
    <w:rsid w:val="004F6303"/>
    <w:rsid w:val="005008E6"/>
    <w:rsid w:val="0050122B"/>
    <w:rsid w:val="005014AF"/>
    <w:rsid w:val="0050265C"/>
    <w:rsid w:val="0050353C"/>
    <w:rsid w:val="00503748"/>
    <w:rsid w:val="00504E88"/>
    <w:rsid w:val="00505A10"/>
    <w:rsid w:val="00505B91"/>
    <w:rsid w:val="00506FD7"/>
    <w:rsid w:val="00507270"/>
    <w:rsid w:val="00510105"/>
    <w:rsid w:val="005102E0"/>
    <w:rsid w:val="0051064B"/>
    <w:rsid w:val="00511901"/>
    <w:rsid w:val="00513025"/>
    <w:rsid w:val="00513442"/>
    <w:rsid w:val="00514853"/>
    <w:rsid w:val="00516ADF"/>
    <w:rsid w:val="00516AFF"/>
    <w:rsid w:val="005179DA"/>
    <w:rsid w:val="005211B1"/>
    <w:rsid w:val="00521673"/>
    <w:rsid w:val="0052302B"/>
    <w:rsid w:val="005238ED"/>
    <w:rsid w:val="005245E9"/>
    <w:rsid w:val="0052756A"/>
    <w:rsid w:val="005314AA"/>
    <w:rsid w:val="00531FC1"/>
    <w:rsid w:val="00533604"/>
    <w:rsid w:val="00534180"/>
    <w:rsid w:val="00534389"/>
    <w:rsid w:val="00534D0C"/>
    <w:rsid w:val="00535BD9"/>
    <w:rsid w:val="00536E8D"/>
    <w:rsid w:val="00540CC3"/>
    <w:rsid w:val="00544C0C"/>
    <w:rsid w:val="00546966"/>
    <w:rsid w:val="0054751B"/>
    <w:rsid w:val="00547D2B"/>
    <w:rsid w:val="0055194B"/>
    <w:rsid w:val="0055417C"/>
    <w:rsid w:val="0055600C"/>
    <w:rsid w:val="00556207"/>
    <w:rsid w:val="00556E1F"/>
    <w:rsid w:val="005572FE"/>
    <w:rsid w:val="005615F2"/>
    <w:rsid w:val="00561742"/>
    <w:rsid w:val="005634F0"/>
    <w:rsid w:val="00563B09"/>
    <w:rsid w:val="00564718"/>
    <w:rsid w:val="00564A7D"/>
    <w:rsid w:val="00565DA8"/>
    <w:rsid w:val="00567612"/>
    <w:rsid w:val="0056775F"/>
    <w:rsid w:val="005733FC"/>
    <w:rsid w:val="00573B38"/>
    <w:rsid w:val="0057457F"/>
    <w:rsid w:val="00575F41"/>
    <w:rsid w:val="00577A42"/>
    <w:rsid w:val="00577F2C"/>
    <w:rsid w:val="00580E7B"/>
    <w:rsid w:val="0058121B"/>
    <w:rsid w:val="00581592"/>
    <w:rsid w:val="00581FF1"/>
    <w:rsid w:val="00584D6A"/>
    <w:rsid w:val="00587D10"/>
    <w:rsid w:val="00587E58"/>
    <w:rsid w:val="005902F4"/>
    <w:rsid w:val="00590D21"/>
    <w:rsid w:val="00590F8A"/>
    <w:rsid w:val="005924C5"/>
    <w:rsid w:val="00592510"/>
    <w:rsid w:val="00592623"/>
    <w:rsid w:val="0059308C"/>
    <w:rsid w:val="00593E0C"/>
    <w:rsid w:val="00593E4B"/>
    <w:rsid w:val="00594407"/>
    <w:rsid w:val="0059442C"/>
    <w:rsid w:val="00596434"/>
    <w:rsid w:val="005972FC"/>
    <w:rsid w:val="0059783A"/>
    <w:rsid w:val="005A1232"/>
    <w:rsid w:val="005A33A3"/>
    <w:rsid w:val="005A3B89"/>
    <w:rsid w:val="005A4B7E"/>
    <w:rsid w:val="005A6D03"/>
    <w:rsid w:val="005B118C"/>
    <w:rsid w:val="005B1CB5"/>
    <w:rsid w:val="005B332F"/>
    <w:rsid w:val="005B41C3"/>
    <w:rsid w:val="005B55A4"/>
    <w:rsid w:val="005B569F"/>
    <w:rsid w:val="005B583C"/>
    <w:rsid w:val="005B6B20"/>
    <w:rsid w:val="005B74AA"/>
    <w:rsid w:val="005C068C"/>
    <w:rsid w:val="005C0D60"/>
    <w:rsid w:val="005C23CC"/>
    <w:rsid w:val="005C2644"/>
    <w:rsid w:val="005C291B"/>
    <w:rsid w:val="005C3745"/>
    <w:rsid w:val="005C5F04"/>
    <w:rsid w:val="005C6A1F"/>
    <w:rsid w:val="005C7126"/>
    <w:rsid w:val="005D0D7D"/>
    <w:rsid w:val="005D2EF5"/>
    <w:rsid w:val="005D4E5A"/>
    <w:rsid w:val="005D50D4"/>
    <w:rsid w:val="005D582B"/>
    <w:rsid w:val="005D58ED"/>
    <w:rsid w:val="005D61B4"/>
    <w:rsid w:val="005D69DF"/>
    <w:rsid w:val="005E044E"/>
    <w:rsid w:val="005E0860"/>
    <w:rsid w:val="005E0BE0"/>
    <w:rsid w:val="005E26EF"/>
    <w:rsid w:val="005E33D6"/>
    <w:rsid w:val="005E3B5E"/>
    <w:rsid w:val="005E4D47"/>
    <w:rsid w:val="005E50ED"/>
    <w:rsid w:val="005E6FFC"/>
    <w:rsid w:val="005E7082"/>
    <w:rsid w:val="005E71BA"/>
    <w:rsid w:val="005E744E"/>
    <w:rsid w:val="005E75BA"/>
    <w:rsid w:val="005E7C70"/>
    <w:rsid w:val="005F00F1"/>
    <w:rsid w:val="005F0359"/>
    <w:rsid w:val="005F0C08"/>
    <w:rsid w:val="005F1D19"/>
    <w:rsid w:val="005F3C13"/>
    <w:rsid w:val="005F6DCB"/>
    <w:rsid w:val="005F7D11"/>
    <w:rsid w:val="00601903"/>
    <w:rsid w:val="00601DBA"/>
    <w:rsid w:val="00602665"/>
    <w:rsid w:val="0060305F"/>
    <w:rsid w:val="00603A2C"/>
    <w:rsid w:val="006071B6"/>
    <w:rsid w:val="006108F3"/>
    <w:rsid w:val="00610EAA"/>
    <w:rsid w:val="00611159"/>
    <w:rsid w:val="00611637"/>
    <w:rsid w:val="00611904"/>
    <w:rsid w:val="006124FF"/>
    <w:rsid w:val="00613251"/>
    <w:rsid w:val="00614F79"/>
    <w:rsid w:val="00615AFF"/>
    <w:rsid w:val="00615D62"/>
    <w:rsid w:val="00616632"/>
    <w:rsid w:val="00616F11"/>
    <w:rsid w:val="00616F28"/>
    <w:rsid w:val="00621532"/>
    <w:rsid w:val="00622390"/>
    <w:rsid w:val="00623A41"/>
    <w:rsid w:val="006257BE"/>
    <w:rsid w:val="006317C9"/>
    <w:rsid w:val="00631B3D"/>
    <w:rsid w:val="00632395"/>
    <w:rsid w:val="00632893"/>
    <w:rsid w:val="00634E2F"/>
    <w:rsid w:val="0063502E"/>
    <w:rsid w:val="00635898"/>
    <w:rsid w:val="006403F7"/>
    <w:rsid w:val="0064127F"/>
    <w:rsid w:val="00643F40"/>
    <w:rsid w:val="00644184"/>
    <w:rsid w:val="006441F1"/>
    <w:rsid w:val="006445E0"/>
    <w:rsid w:val="00644BA3"/>
    <w:rsid w:val="006459B0"/>
    <w:rsid w:val="00646EA9"/>
    <w:rsid w:val="00650CCE"/>
    <w:rsid w:val="00651813"/>
    <w:rsid w:val="00654EE0"/>
    <w:rsid w:val="006553BC"/>
    <w:rsid w:val="0065680F"/>
    <w:rsid w:val="0065734A"/>
    <w:rsid w:val="006573C0"/>
    <w:rsid w:val="00657900"/>
    <w:rsid w:val="00660D90"/>
    <w:rsid w:val="00664083"/>
    <w:rsid w:val="006653F6"/>
    <w:rsid w:val="0066554E"/>
    <w:rsid w:val="00665763"/>
    <w:rsid w:val="00666507"/>
    <w:rsid w:val="006679DE"/>
    <w:rsid w:val="00667CA8"/>
    <w:rsid w:val="006712F5"/>
    <w:rsid w:val="00671B7A"/>
    <w:rsid w:val="00672717"/>
    <w:rsid w:val="00674B03"/>
    <w:rsid w:val="00675C88"/>
    <w:rsid w:val="00675E35"/>
    <w:rsid w:val="0067600A"/>
    <w:rsid w:val="006763B2"/>
    <w:rsid w:val="006778D2"/>
    <w:rsid w:val="00677EBA"/>
    <w:rsid w:val="00680AB0"/>
    <w:rsid w:val="00681124"/>
    <w:rsid w:val="006819CD"/>
    <w:rsid w:val="00681BDE"/>
    <w:rsid w:val="00682961"/>
    <w:rsid w:val="00683631"/>
    <w:rsid w:val="006842AD"/>
    <w:rsid w:val="00684633"/>
    <w:rsid w:val="00685762"/>
    <w:rsid w:val="00685B94"/>
    <w:rsid w:val="006879E2"/>
    <w:rsid w:val="00691CAF"/>
    <w:rsid w:val="00692041"/>
    <w:rsid w:val="00692595"/>
    <w:rsid w:val="006933D8"/>
    <w:rsid w:val="006936F5"/>
    <w:rsid w:val="00693A54"/>
    <w:rsid w:val="00694D9C"/>
    <w:rsid w:val="00694FC4"/>
    <w:rsid w:val="006964DF"/>
    <w:rsid w:val="006967BF"/>
    <w:rsid w:val="00697146"/>
    <w:rsid w:val="006A0325"/>
    <w:rsid w:val="006A093A"/>
    <w:rsid w:val="006A16A3"/>
    <w:rsid w:val="006A16E3"/>
    <w:rsid w:val="006A3685"/>
    <w:rsid w:val="006A4B81"/>
    <w:rsid w:val="006A6D69"/>
    <w:rsid w:val="006A7016"/>
    <w:rsid w:val="006B1239"/>
    <w:rsid w:val="006B374D"/>
    <w:rsid w:val="006B573D"/>
    <w:rsid w:val="006B69DE"/>
    <w:rsid w:val="006B7F1A"/>
    <w:rsid w:val="006C31D3"/>
    <w:rsid w:val="006C43E0"/>
    <w:rsid w:val="006C5E7E"/>
    <w:rsid w:val="006C7280"/>
    <w:rsid w:val="006C7B8B"/>
    <w:rsid w:val="006C7C64"/>
    <w:rsid w:val="006D02E8"/>
    <w:rsid w:val="006D0C4D"/>
    <w:rsid w:val="006D2A1C"/>
    <w:rsid w:val="006D327E"/>
    <w:rsid w:val="006D3D76"/>
    <w:rsid w:val="006D3F25"/>
    <w:rsid w:val="006D5BCF"/>
    <w:rsid w:val="006E0C16"/>
    <w:rsid w:val="006E13F1"/>
    <w:rsid w:val="006E1C2B"/>
    <w:rsid w:val="006E20B6"/>
    <w:rsid w:val="006E285A"/>
    <w:rsid w:val="006E2FE7"/>
    <w:rsid w:val="006E32BE"/>
    <w:rsid w:val="006E36B7"/>
    <w:rsid w:val="006E3DD2"/>
    <w:rsid w:val="006E5E84"/>
    <w:rsid w:val="006F2346"/>
    <w:rsid w:val="006F37F0"/>
    <w:rsid w:val="006F5225"/>
    <w:rsid w:val="006F6038"/>
    <w:rsid w:val="006F652C"/>
    <w:rsid w:val="006F7772"/>
    <w:rsid w:val="006F77EC"/>
    <w:rsid w:val="00702B4D"/>
    <w:rsid w:val="00702FC8"/>
    <w:rsid w:val="007043CB"/>
    <w:rsid w:val="00704CBA"/>
    <w:rsid w:val="0070560B"/>
    <w:rsid w:val="00706500"/>
    <w:rsid w:val="0070657C"/>
    <w:rsid w:val="007065C7"/>
    <w:rsid w:val="007069EE"/>
    <w:rsid w:val="00707B14"/>
    <w:rsid w:val="0071005D"/>
    <w:rsid w:val="00710E40"/>
    <w:rsid w:val="00710EBC"/>
    <w:rsid w:val="00712736"/>
    <w:rsid w:val="00713199"/>
    <w:rsid w:val="0071497F"/>
    <w:rsid w:val="007174B1"/>
    <w:rsid w:val="00717FDC"/>
    <w:rsid w:val="00722E3D"/>
    <w:rsid w:val="007236E3"/>
    <w:rsid w:val="00723A85"/>
    <w:rsid w:val="00733266"/>
    <w:rsid w:val="00733496"/>
    <w:rsid w:val="0073429A"/>
    <w:rsid w:val="007349C9"/>
    <w:rsid w:val="007375BC"/>
    <w:rsid w:val="0073788A"/>
    <w:rsid w:val="00740573"/>
    <w:rsid w:val="0074319D"/>
    <w:rsid w:val="007466B5"/>
    <w:rsid w:val="00747115"/>
    <w:rsid w:val="0075075E"/>
    <w:rsid w:val="00752278"/>
    <w:rsid w:val="00752427"/>
    <w:rsid w:val="00753953"/>
    <w:rsid w:val="007570F8"/>
    <w:rsid w:val="0075793E"/>
    <w:rsid w:val="00761E45"/>
    <w:rsid w:val="00761E5E"/>
    <w:rsid w:val="00761FBC"/>
    <w:rsid w:val="00762478"/>
    <w:rsid w:val="007631DA"/>
    <w:rsid w:val="00763FA3"/>
    <w:rsid w:val="00764403"/>
    <w:rsid w:val="007663CB"/>
    <w:rsid w:val="0077147D"/>
    <w:rsid w:val="007715B2"/>
    <w:rsid w:val="00772D1B"/>
    <w:rsid w:val="00776F0A"/>
    <w:rsid w:val="00777031"/>
    <w:rsid w:val="007811DC"/>
    <w:rsid w:val="0078150E"/>
    <w:rsid w:val="00782E4B"/>
    <w:rsid w:val="00783CE6"/>
    <w:rsid w:val="00784B80"/>
    <w:rsid w:val="00784E14"/>
    <w:rsid w:val="007854BF"/>
    <w:rsid w:val="00785582"/>
    <w:rsid w:val="00786075"/>
    <w:rsid w:val="0078696B"/>
    <w:rsid w:val="0079202F"/>
    <w:rsid w:val="00793065"/>
    <w:rsid w:val="00793ED1"/>
    <w:rsid w:val="007950BB"/>
    <w:rsid w:val="00796E96"/>
    <w:rsid w:val="007977D2"/>
    <w:rsid w:val="007A05B0"/>
    <w:rsid w:val="007A11CF"/>
    <w:rsid w:val="007A122A"/>
    <w:rsid w:val="007A1D0E"/>
    <w:rsid w:val="007A2A23"/>
    <w:rsid w:val="007A312C"/>
    <w:rsid w:val="007A3B83"/>
    <w:rsid w:val="007A3CE3"/>
    <w:rsid w:val="007A590C"/>
    <w:rsid w:val="007A6D55"/>
    <w:rsid w:val="007B187A"/>
    <w:rsid w:val="007B22D6"/>
    <w:rsid w:val="007B3D56"/>
    <w:rsid w:val="007B3D5F"/>
    <w:rsid w:val="007B44CD"/>
    <w:rsid w:val="007B4EC9"/>
    <w:rsid w:val="007B62EE"/>
    <w:rsid w:val="007B7D2F"/>
    <w:rsid w:val="007C0F27"/>
    <w:rsid w:val="007C1A4B"/>
    <w:rsid w:val="007C1EFF"/>
    <w:rsid w:val="007C2C38"/>
    <w:rsid w:val="007C7A6C"/>
    <w:rsid w:val="007D09F9"/>
    <w:rsid w:val="007D1E52"/>
    <w:rsid w:val="007D4351"/>
    <w:rsid w:val="007D5D2A"/>
    <w:rsid w:val="007D7A11"/>
    <w:rsid w:val="007E047F"/>
    <w:rsid w:val="007E110B"/>
    <w:rsid w:val="007E3E09"/>
    <w:rsid w:val="007E4138"/>
    <w:rsid w:val="007E4673"/>
    <w:rsid w:val="007E6F3F"/>
    <w:rsid w:val="007E740F"/>
    <w:rsid w:val="007F093F"/>
    <w:rsid w:val="007F0A1A"/>
    <w:rsid w:val="007F3467"/>
    <w:rsid w:val="007F3AAF"/>
    <w:rsid w:val="007F5708"/>
    <w:rsid w:val="007F5954"/>
    <w:rsid w:val="007F5DE1"/>
    <w:rsid w:val="007F5F0F"/>
    <w:rsid w:val="007F687B"/>
    <w:rsid w:val="007F6E54"/>
    <w:rsid w:val="007F7BAF"/>
    <w:rsid w:val="007F7CD8"/>
    <w:rsid w:val="008009CC"/>
    <w:rsid w:val="00800F1C"/>
    <w:rsid w:val="00801629"/>
    <w:rsid w:val="008021FC"/>
    <w:rsid w:val="008070AB"/>
    <w:rsid w:val="00810B96"/>
    <w:rsid w:val="00810C58"/>
    <w:rsid w:val="00811505"/>
    <w:rsid w:val="00811876"/>
    <w:rsid w:val="00814205"/>
    <w:rsid w:val="00814BBC"/>
    <w:rsid w:val="0081544B"/>
    <w:rsid w:val="008168DB"/>
    <w:rsid w:val="0082110F"/>
    <w:rsid w:val="00822AB8"/>
    <w:rsid w:val="00826208"/>
    <w:rsid w:val="00832699"/>
    <w:rsid w:val="0083374C"/>
    <w:rsid w:val="00835BB4"/>
    <w:rsid w:val="00837068"/>
    <w:rsid w:val="00840E01"/>
    <w:rsid w:val="00842D21"/>
    <w:rsid w:val="00843216"/>
    <w:rsid w:val="00843D62"/>
    <w:rsid w:val="00850AE4"/>
    <w:rsid w:val="00850F7C"/>
    <w:rsid w:val="00851129"/>
    <w:rsid w:val="00851C40"/>
    <w:rsid w:val="0085238E"/>
    <w:rsid w:val="00853A57"/>
    <w:rsid w:val="0085595A"/>
    <w:rsid w:val="00855D19"/>
    <w:rsid w:val="00856009"/>
    <w:rsid w:val="00856061"/>
    <w:rsid w:val="008562EE"/>
    <w:rsid w:val="0085735F"/>
    <w:rsid w:val="008625E8"/>
    <w:rsid w:val="008630C5"/>
    <w:rsid w:val="00864251"/>
    <w:rsid w:val="00864885"/>
    <w:rsid w:val="00866668"/>
    <w:rsid w:val="00866734"/>
    <w:rsid w:val="00866F13"/>
    <w:rsid w:val="0087094A"/>
    <w:rsid w:val="00873C08"/>
    <w:rsid w:val="008744B1"/>
    <w:rsid w:val="008808CE"/>
    <w:rsid w:val="00880D4A"/>
    <w:rsid w:val="008835EF"/>
    <w:rsid w:val="00885891"/>
    <w:rsid w:val="00892648"/>
    <w:rsid w:val="00894342"/>
    <w:rsid w:val="00894E77"/>
    <w:rsid w:val="00895296"/>
    <w:rsid w:val="008971E6"/>
    <w:rsid w:val="00897829"/>
    <w:rsid w:val="008A399B"/>
    <w:rsid w:val="008A3E2F"/>
    <w:rsid w:val="008A4A24"/>
    <w:rsid w:val="008A5CF6"/>
    <w:rsid w:val="008A6393"/>
    <w:rsid w:val="008A6DC0"/>
    <w:rsid w:val="008B0C24"/>
    <w:rsid w:val="008B38DA"/>
    <w:rsid w:val="008B4B27"/>
    <w:rsid w:val="008B5257"/>
    <w:rsid w:val="008B6359"/>
    <w:rsid w:val="008C0DA8"/>
    <w:rsid w:val="008C2006"/>
    <w:rsid w:val="008C4858"/>
    <w:rsid w:val="008C52AD"/>
    <w:rsid w:val="008C742D"/>
    <w:rsid w:val="008C7569"/>
    <w:rsid w:val="008D166E"/>
    <w:rsid w:val="008D2695"/>
    <w:rsid w:val="008D2816"/>
    <w:rsid w:val="008D50ED"/>
    <w:rsid w:val="008D5572"/>
    <w:rsid w:val="008D5953"/>
    <w:rsid w:val="008E0512"/>
    <w:rsid w:val="008E0CB4"/>
    <w:rsid w:val="008E1869"/>
    <w:rsid w:val="008E1E3A"/>
    <w:rsid w:val="008E2296"/>
    <w:rsid w:val="008E3EA1"/>
    <w:rsid w:val="008E5092"/>
    <w:rsid w:val="008E6AAC"/>
    <w:rsid w:val="008E6D7B"/>
    <w:rsid w:val="008E7163"/>
    <w:rsid w:val="008F18E8"/>
    <w:rsid w:val="008F1FC4"/>
    <w:rsid w:val="008F2B55"/>
    <w:rsid w:val="008F3510"/>
    <w:rsid w:val="008F4337"/>
    <w:rsid w:val="008F6069"/>
    <w:rsid w:val="00900BFA"/>
    <w:rsid w:val="00900CEA"/>
    <w:rsid w:val="00901C3E"/>
    <w:rsid w:val="009050D0"/>
    <w:rsid w:val="00905552"/>
    <w:rsid w:val="0090657D"/>
    <w:rsid w:val="00911F30"/>
    <w:rsid w:val="00912AC5"/>
    <w:rsid w:val="009133AC"/>
    <w:rsid w:val="009142EA"/>
    <w:rsid w:val="00914758"/>
    <w:rsid w:val="00915EA8"/>
    <w:rsid w:val="00917854"/>
    <w:rsid w:val="00921457"/>
    <w:rsid w:val="009220D8"/>
    <w:rsid w:val="00922AD1"/>
    <w:rsid w:val="0092416F"/>
    <w:rsid w:val="00925458"/>
    <w:rsid w:val="00926A53"/>
    <w:rsid w:val="00927548"/>
    <w:rsid w:val="00927E30"/>
    <w:rsid w:val="0093103B"/>
    <w:rsid w:val="00934509"/>
    <w:rsid w:val="00936E8A"/>
    <w:rsid w:val="0094128E"/>
    <w:rsid w:val="00941FE1"/>
    <w:rsid w:val="0094261E"/>
    <w:rsid w:val="00943EC5"/>
    <w:rsid w:val="00946550"/>
    <w:rsid w:val="009467C7"/>
    <w:rsid w:val="00946EE0"/>
    <w:rsid w:val="00947405"/>
    <w:rsid w:val="0095005A"/>
    <w:rsid w:val="00950CDE"/>
    <w:rsid w:val="00951A61"/>
    <w:rsid w:val="00953B84"/>
    <w:rsid w:val="0095478C"/>
    <w:rsid w:val="00954ECE"/>
    <w:rsid w:val="00956E46"/>
    <w:rsid w:val="00956FEA"/>
    <w:rsid w:val="00957791"/>
    <w:rsid w:val="009618A9"/>
    <w:rsid w:val="00961B20"/>
    <w:rsid w:val="00961CCD"/>
    <w:rsid w:val="009663D5"/>
    <w:rsid w:val="0096656E"/>
    <w:rsid w:val="00970C89"/>
    <w:rsid w:val="00971FEE"/>
    <w:rsid w:val="00974DD6"/>
    <w:rsid w:val="009820A3"/>
    <w:rsid w:val="00982DDC"/>
    <w:rsid w:val="0098326A"/>
    <w:rsid w:val="00984287"/>
    <w:rsid w:val="0098470E"/>
    <w:rsid w:val="009856ED"/>
    <w:rsid w:val="009859F1"/>
    <w:rsid w:val="00987163"/>
    <w:rsid w:val="0099020D"/>
    <w:rsid w:val="00990E1C"/>
    <w:rsid w:val="0099111D"/>
    <w:rsid w:val="00991541"/>
    <w:rsid w:val="009978AD"/>
    <w:rsid w:val="009A0001"/>
    <w:rsid w:val="009A0899"/>
    <w:rsid w:val="009A0AEE"/>
    <w:rsid w:val="009A1655"/>
    <w:rsid w:val="009A3234"/>
    <w:rsid w:val="009A59E5"/>
    <w:rsid w:val="009A7A0E"/>
    <w:rsid w:val="009A7BE1"/>
    <w:rsid w:val="009B0321"/>
    <w:rsid w:val="009B1630"/>
    <w:rsid w:val="009B37EE"/>
    <w:rsid w:val="009B453F"/>
    <w:rsid w:val="009B45F7"/>
    <w:rsid w:val="009B47EA"/>
    <w:rsid w:val="009B4DB6"/>
    <w:rsid w:val="009B5B26"/>
    <w:rsid w:val="009B6565"/>
    <w:rsid w:val="009B68EE"/>
    <w:rsid w:val="009B7B61"/>
    <w:rsid w:val="009C086E"/>
    <w:rsid w:val="009C0C4F"/>
    <w:rsid w:val="009C1013"/>
    <w:rsid w:val="009C17D1"/>
    <w:rsid w:val="009C2116"/>
    <w:rsid w:val="009C27F0"/>
    <w:rsid w:val="009C56C2"/>
    <w:rsid w:val="009D0654"/>
    <w:rsid w:val="009D24D4"/>
    <w:rsid w:val="009D2E2F"/>
    <w:rsid w:val="009D4C4A"/>
    <w:rsid w:val="009D5153"/>
    <w:rsid w:val="009D5429"/>
    <w:rsid w:val="009D5E31"/>
    <w:rsid w:val="009D67D3"/>
    <w:rsid w:val="009E09C6"/>
    <w:rsid w:val="009E237C"/>
    <w:rsid w:val="009E33A0"/>
    <w:rsid w:val="009E37F2"/>
    <w:rsid w:val="009E48F7"/>
    <w:rsid w:val="009E691B"/>
    <w:rsid w:val="009E745A"/>
    <w:rsid w:val="009F0337"/>
    <w:rsid w:val="009F09FD"/>
    <w:rsid w:val="009F11CE"/>
    <w:rsid w:val="009F160A"/>
    <w:rsid w:val="009F1650"/>
    <w:rsid w:val="009F4912"/>
    <w:rsid w:val="009F525D"/>
    <w:rsid w:val="009F6B38"/>
    <w:rsid w:val="009F6CEF"/>
    <w:rsid w:val="009F7412"/>
    <w:rsid w:val="00A007E5"/>
    <w:rsid w:val="00A01325"/>
    <w:rsid w:val="00A023CA"/>
    <w:rsid w:val="00A02EEF"/>
    <w:rsid w:val="00A0344F"/>
    <w:rsid w:val="00A03469"/>
    <w:rsid w:val="00A048E3"/>
    <w:rsid w:val="00A0607D"/>
    <w:rsid w:val="00A065FE"/>
    <w:rsid w:val="00A07450"/>
    <w:rsid w:val="00A122D6"/>
    <w:rsid w:val="00A124B9"/>
    <w:rsid w:val="00A12CFE"/>
    <w:rsid w:val="00A14A35"/>
    <w:rsid w:val="00A16530"/>
    <w:rsid w:val="00A169B2"/>
    <w:rsid w:val="00A170CC"/>
    <w:rsid w:val="00A17959"/>
    <w:rsid w:val="00A20FAF"/>
    <w:rsid w:val="00A24407"/>
    <w:rsid w:val="00A268E2"/>
    <w:rsid w:val="00A269F5"/>
    <w:rsid w:val="00A272DA"/>
    <w:rsid w:val="00A27F1A"/>
    <w:rsid w:val="00A300FD"/>
    <w:rsid w:val="00A3314F"/>
    <w:rsid w:val="00A367BE"/>
    <w:rsid w:val="00A40864"/>
    <w:rsid w:val="00A4118C"/>
    <w:rsid w:val="00A4295F"/>
    <w:rsid w:val="00A4592A"/>
    <w:rsid w:val="00A466C1"/>
    <w:rsid w:val="00A4686F"/>
    <w:rsid w:val="00A47797"/>
    <w:rsid w:val="00A508B7"/>
    <w:rsid w:val="00A512AC"/>
    <w:rsid w:val="00A52929"/>
    <w:rsid w:val="00A52C2B"/>
    <w:rsid w:val="00A52DD8"/>
    <w:rsid w:val="00A53957"/>
    <w:rsid w:val="00A541E1"/>
    <w:rsid w:val="00A55EA6"/>
    <w:rsid w:val="00A5648D"/>
    <w:rsid w:val="00A576EC"/>
    <w:rsid w:val="00A614EA"/>
    <w:rsid w:val="00A62558"/>
    <w:rsid w:val="00A62D4B"/>
    <w:rsid w:val="00A63C33"/>
    <w:rsid w:val="00A646D7"/>
    <w:rsid w:val="00A66950"/>
    <w:rsid w:val="00A67193"/>
    <w:rsid w:val="00A675CC"/>
    <w:rsid w:val="00A7201D"/>
    <w:rsid w:val="00A74D75"/>
    <w:rsid w:val="00A75B7E"/>
    <w:rsid w:val="00A77814"/>
    <w:rsid w:val="00A81221"/>
    <w:rsid w:val="00A812B3"/>
    <w:rsid w:val="00A81689"/>
    <w:rsid w:val="00A84D7E"/>
    <w:rsid w:val="00A91691"/>
    <w:rsid w:val="00A921EE"/>
    <w:rsid w:val="00A92D7C"/>
    <w:rsid w:val="00A942C0"/>
    <w:rsid w:val="00A9541C"/>
    <w:rsid w:val="00A9555E"/>
    <w:rsid w:val="00A959C5"/>
    <w:rsid w:val="00AA10A5"/>
    <w:rsid w:val="00AA20E5"/>
    <w:rsid w:val="00AA376D"/>
    <w:rsid w:val="00AA78F7"/>
    <w:rsid w:val="00AB022F"/>
    <w:rsid w:val="00AB1ECE"/>
    <w:rsid w:val="00AB2A7A"/>
    <w:rsid w:val="00AB3248"/>
    <w:rsid w:val="00AB360C"/>
    <w:rsid w:val="00AB3F56"/>
    <w:rsid w:val="00AB4455"/>
    <w:rsid w:val="00AB45A3"/>
    <w:rsid w:val="00AB6A98"/>
    <w:rsid w:val="00AB731C"/>
    <w:rsid w:val="00AC103C"/>
    <w:rsid w:val="00AC1767"/>
    <w:rsid w:val="00AC232F"/>
    <w:rsid w:val="00AC46E7"/>
    <w:rsid w:val="00AC5BB3"/>
    <w:rsid w:val="00AC5FA5"/>
    <w:rsid w:val="00AC646E"/>
    <w:rsid w:val="00AC6AFA"/>
    <w:rsid w:val="00AC73D9"/>
    <w:rsid w:val="00AC752D"/>
    <w:rsid w:val="00AC7958"/>
    <w:rsid w:val="00AD133F"/>
    <w:rsid w:val="00AD13C4"/>
    <w:rsid w:val="00AD1969"/>
    <w:rsid w:val="00AD39C0"/>
    <w:rsid w:val="00AD3B2E"/>
    <w:rsid w:val="00AD6547"/>
    <w:rsid w:val="00AD65B6"/>
    <w:rsid w:val="00AD6A01"/>
    <w:rsid w:val="00AD7336"/>
    <w:rsid w:val="00AE2135"/>
    <w:rsid w:val="00AE2595"/>
    <w:rsid w:val="00AE3EAD"/>
    <w:rsid w:val="00AE45DB"/>
    <w:rsid w:val="00AE554A"/>
    <w:rsid w:val="00AE6B55"/>
    <w:rsid w:val="00AE7021"/>
    <w:rsid w:val="00AE730F"/>
    <w:rsid w:val="00AF40B6"/>
    <w:rsid w:val="00AF4A9F"/>
    <w:rsid w:val="00AF7202"/>
    <w:rsid w:val="00AF7217"/>
    <w:rsid w:val="00AF7CF7"/>
    <w:rsid w:val="00B00AE8"/>
    <w:rsid w:val="00B012EF"/>
    <w:rsid w:val="00B01BDD"/>
    <w:rsid w:val="00B03F3F"/>
    <w:rsid w:val="00B04448"/>
    <w:rsid w:val="00B051B5"/>
    <w:rsid w:val="00B067A2"/>
    <w:rsid w:val="00B1032C"/>
    <w:rsid w:val="00B105A7"/>
    <w:rsid w:val="00B1060C"/>
    <w:rsid w:val="00B12A7C"/>
    <w:rsid w:val="00B14347"/>
    <w:rsid w:val="00B16B94"/>
    <w:rsid w:val="00B17286"/>
    <w:rsid w:val="00B177AF"/>
    <w:rsid w:val="00B216AB"/>
    <w:rsid w:val="00B23E63"/>
    <w:rsid w:val="00B25643"/>
    <w:rsid w:val="00B26035"/>
    <w:rsid w:val="00B27D8F"/>
    <w:rsid w:val="00B31BB6"/>
    <w:rsid w:val="00B31E87"/>
    <w:rsid w:val="00B327EE"/>
    <w:rsid w:val="00B33539"/>
    <w:rsid w:val="00B36314"/>
    <w:rsid w:val="00B3773D"/>
    <w:rsid w:val="00B37C8D"/>
    <w:rsid w:val="00B4046B"/>
    <w:rsid w:val="00B40B22"/>
    <w:rsid w:val="00B41677"/>
    <w:rsid w:val="00B41779"/>
    <w:rsid w:val="00B42753"/>
    <w:rsid w:val="00B42D9C"/>
    <w:rsid w:val="00B43F11"/>
    <w:rsid w:val="00B44DD5"/>
    <w:rsid w:val="00B45568"/>
    <w:rsid w:val="00B53239"/>
    <w:rsid w:val="00B535E7"/>
    <w:rsid w:val="00B53CBB"/>
    <w:rsid w:val="00B57496"/>
    <w:rsid w:val="00B578D8"/>
    <w:rsid w:val="00B62809"/>
    <w:rsid w:val="00B62B5D"/>
    <w:rsid w:val="00B62C0E"/>
    <w:rsid w:val="00B6425B"/>
    <w:rsid w:val="00B65433"/>
    <w:rsid w:val="00B6647F"/>
    <w:rsid w:val="00B674BE"/>
    <w:rsid w:val="00B70BB7"/>
    <w:rsid w:val="00B72132"/>
    <w:rsid w:val="00B738AB"/>
    <w:rsid w:val="00B73E49"/>
    <w:rsid w:val="00B74DDC"/>
    <w:rsid w:val="00B75E8A"/>
    <w:rsid w:val="00B762AC"/>
    <w:rsid w:val="00B7725C"/>
    <w:rsid w:val="00B77C41"/>
    <w:rsid w:val="00B8098D"/>
    <w:rsid w:val="00B81669"/>
    <w:rsid w:val="00B81BF6"/>
    <w:rsid w:val="00B82845"/>
    <w:rsid w:val="00B82B2D"/>
    <w:rsid w:val="00B82FD0"/>
    <w:rsid w:val="00B8576E"/>
    <w:rsid w:val="00B86D16"/>
    <w:rsid w:val="00B907B5"/>
    <w:rsid w:val="00B91B1A"/>
    <w:rsid w:val="00B938D1"/>
    <w:rsid w:val="00B93945"/>
    <w:rsid w:val="00B94391"/>
    <w:rsid w:val="00B951E1"/>
    <w:rsid w:val="00B97B80"/>
    <w:rsid w:val="00BA11E5"/>
    <w:rsid w:val="00BA4146"/>
    <w:rsid w:val="00BA6DA0"/>
    <w:rsid w:val="00BA713E"/>
    <w:rsid w:val="00BB1C04"/>
    <w:rsid w:val="00BB1C8B"/>
    <w:rsid w:val="00BB1D7F"/>
    <w:rsid w:val="00BB34DB"/>
    <w:rsid w:val="00BB6E34"/>
    <w:rsid w:val="00BC0E4C"/>
    <w:rsid w:val="00BC0F9B"/>
    <w:rsid w:val="00BC18C7"/>
    <w:rsid w:val="00BC294E"/>
    <w:rsid w:val="00BC44F5"/>
    <w:rsid w:val="00BC5961"/>
    <w:rsid w:val="00BC5F53"/>
    <w:rsid w:val="00BC6D4F"/>
    <w:rsid w:val="00BC78C6"/>
    <w:rsid w:val="00BC78E3"/>
    <w:rsid w:val="00BC7C3A"/>
    <w:rsid w:val="00BD03BC"/>
    <w:rsid w:val="00BD0BE0"/>
    <w:rsid w:val="00BD1C20"/>
    <w:rsid w:val="00BD32FC"/>
    <w:rsid w:val="00BD3FA0"/>
    <w:rsid w:val="00BD4396"/>
    <w:rsid w:val="00BD46F6"/>
    <w:rsid w:val="00BD483B"/>
    <w:rsid w:val="00BD5F8D"/>
    <w:rsid w:val="00BD66E7"/>
    <w:rsid w:val="00BD72D2"/>
    <w:rsid w:val="00BE0046"/>
    <w:rsid w:val="00BE11E1"/>
    <w:rsid w:val="00BE17ED"/>
    <w:rsid w:val="00BE1861"/>
    <w:rsid w:val="00BE4758"/>
    <w:rsid w:val="00BE6447"/>
    <w:rsid w:val="00BE65D6"/>
    <w:rsid w:val="00BE783B"/>
    <w:rsid w:val="00BF008B"/>
    <w:rsid w:val="00BF40FD"/>
    <w:rsid w:val="00BF440F"/>
    <w:rsid w:val="00BF5E49"/>
    <w:rsid w:val="00BF61FA"/>
    <w:rsid w:val="00C01D97"/>
    <w:rsid w:val="00C021AB"/>
    <w:rsid w:val="00C04400"/>
    <w:rsid w:val="00C065CE"/>
    <w:rsid w:val="00C06BFF"/>
    <w:rsid w:val="00C07F6B"/>
    <w:rsid w:val="00C11917"/>
    <w:rsid w:val="00C1195F"/>
    <w:rsid w:val="00C11DC0"/>
    <w:rsid w:val="00C1245E"/>
    <w:rsid w:val="00C128D8"/>
    <w:rsid w:val="00C14A0A"/>
    <w:rsid w:val="00C15176"/>
    <w:rsid w:val="00C15DCA"/>
    <w:rsid w:val="00C1792C"/>
    <w:rsid w:val="00C21830"/>
    <w:rsid w:val="00C21B1D"/>
    <w:rsid w:val="00C23786"/>
    <w:rsid w:val="00C23D33"/>
    <w:rsid w:val="00C23E8B"/>
    <w:rsid w:val="00C2506B"/>
    <w:rsid w:val="00C251E9"/>
    <w:rsid w:val="00C26CB9"/>
    <w:rsid w:val="00C34CC0"/>
    <w:rsid w:val="00C35210"/>
    <w:rsid w:val="00C36067"/>
    <w:rsid w:val="00C360AF"/>
    <w:rsid w:val="00C3680C"/>
    <w:rsid w:val="00C37063"/>
    <w:rsid w:val="00C40AAB"/>
    <w:rsid w:val="00C40EC2"/>
    <w:rsid w:val="00C42A69"/>
    <w:rsid w:val="00C4396A"/>
    <w:rsid w:val="00C44226"/>
    <w:rsid w:val="00C445B2"/>
    <w:rsid w:val="00C44C18"/>
    <w:rsid w:val="00C45325"/>
    <w:rsid w:val="00C45867"/>
    <w:rsid w:val="00C479FA"/>
    <w:rsid w:val="00C47ED5"/>
    <w:rsid w:val="00C50DAB"/>
    <w:rsid w:val="00C5116E"/>
    <w:rsid w:val="00C515F4"/>
    <w:rsid w:val="00C526D0"/>
    <w:rsid w:val="00C52947"/>
    <w:rsid w:val="00C52BFF"/>
    <w:rsid w:val="00C52D48"/>
    <w:rsid w:val="00C53F38"/>
    <w:rsid w:val="00C55021"/>
    <w:rsid w:val="00C550F9"/>
    <w:rsid w:val="00C60B33"/>
    <w:rsid w:val="00C60EFF"/>
    <w:rsid w:val="00C60F44"/>
    <w:rsid w:val="00C60F68"/>
    <w:rsid w:val="00C620E9"/>
    <w:rsid w:val="00C6401D"/>
    <w:rsid w:val="00C669E0"/>
    <w:rsid w:val="00C66C67"/>
    <w:rsid w:val="00C67367"/>
    <w:rsid w:val="00C67899"/>
    <w:rsid w:val="00C67D91"/>
    <w:rsid w:val="00C71EA1"/>
    <w:rsid w:val="00C73A24"/>
    <w:rsid w:val="00C76F33"/>
    <w:rsid w:val="00C7796B"/>
    <w:rsid w:val="00C77A92"/>
    <w:rsid w:val="00C846FE"/>
    <w:rsid w:val="00C84A34"/>
    <w:rsid w:val="00C84B4E"/>
    <w:rsid w:val="00C84FA3"/>
    <w:rsid w:val="00C85F4A"/>
    <w:rsid w:val="00C87721"/>
    <w:rsid w:val="00C87996"/>
    <w:rsid w:val="00C91F14"/>
    <w:rsid w:val="00C92413"/>
    <w:rsid w:val="00C9364F"/>
    <w:rsid w:val="00C93CF1"/>
    <w:rsid w:val="00C95D0B"/>
    <w:rsid w:val="00CA0FAC"/>
    <w:rsid w:val="00CA25F3"/>
    <w:rsid w:val="00CA667A"/>
    <w:rsid w:val="00CA6D46"/>
    <w:rsid w:val="00CA72C2"/>
    <w:rsid w:val="00CB0FEF"/>
    <w:rsid w:val="00CB28DF"/>
    <w:rsid w:val="00CC6148"/>
    <w:rsid w:val="00CC7B1C"/>
    <w:rsid w:val="00CC7C1B"/>
    <w:rsid w:val="00CD1036"/>
    <w:rsid w:val="00CD2495"/>
    <w:rsid w:val="00CD2B56"/>
    <w:rsid w:val="00CD3451"/>
    <w:rsid w:val="00CD3FCB"/>
    <w:rsid w:val="00CD4608"/>
    <w:rsid w:val="00CD5D5C"/>
    <w:rsid w:val="00CD6ABF"/>
    <w:rsid w:val="00CE086C"/>
    <w:rsid w:val="00CE0AAF"/>
    <w:rsid w:val="00CE1A7D"/>
    <w:rsid w:val="00CE315E"/>
    <w:rsid w:val="00CE57AD"/>
    <w:rsid w:val="00CE5A1B"/>
    <w:rsid w:val="00CE5B8B"/>
    <w:rsid w:val="00CE74DA"/>
    <w:rsid w:val="00CF0468"/>
    <w:rsid w:val="00CF4C68"/>
    <w:rsid w:val="00CF4D10"/>
    <w:rsid w:val="00CF60F7"/>
    <w:rsid w:val="00CF6681"/>
    <w:rsid w:val="00CF6945"/>
    <w:rsid w:val="00CF7DA5"/>
    <w:rsid w:val="00D00502"/>
    <w:rsid w:val="00D0360C"/>
    <w:rsid w:val="00D03714"/>
    <w:rsid w:val="00D04785"/>
    <w:rsid w:val="00D048B2"/>
    <w:rsid w:val="00D05FC7"/>
    <w:rsid w:val="00D0637A"/>
    <w:rsid w:val="00D070F3"/>
    <w:rsid w:val="00D10898"/>
    <w:rsid w:val="00D12B74"/>
    <w:rsid w:val="00D146EF"/>
    <w:rsid w:val="00D17DEC"/>
    <w:rsid w:val="00D21287"/>
    <w:rsid w:val="00D2315A"/>
    <w:rsid w:val="00D23A40"/>
    <w:rsid w:val="00D240CD"/>
    <w:rsid w:val="00D24F02"/>
    <w:rsid w:val="00D302FC"/>
    <w:rsid w:val="00D31655"/>
    <w:rsid w:val="00D356F8"/>
    <w:rsid w:val="00D35E3A"/>
    <w:rsid w:val="00D36330"/>
    <w:rsid w:val="00D36A12"/>
    <w:rsid w:val="00D37B56"/>
    <w:rsid w:val="00D4064D"/>
    <w:rsid w:val="00D425F2"/>
    <w:rsid w:val="00D4332D"/>
    <w:rsid w:val="00D47DA0"/>
    <w:rsid w:val="00D509F1"/>
    <w:rsid w:val="00D50FF0"/>
    <w:rsid w:val="00D5257C"/>
    <w:rsid w:val="00D52E5E"/>
    <w:rsid w:val="00D532E0"/>
    <w:rsid w:val="00D54412"/>
    <w:rsid w:val="00D549A2"/>
    <w:rsid w:val="00D572FD"/>
    <w:rsid w:val="00D64769"/>
    <w:rsid w:val="00D66537"/>
    <w:rsid w:val="00D678D6"/>
    <w:rsid w:val="00D67F16"/>
    <w:rsid w:val="00D707EF"/>
    <w:rsid w:val="00D71E6F"/>
    <w:rsid w:val="00D72A56"/>
    <w:rsid w:val="00D73039"/>
    <w:rsid w:val="00D745B9"/>
    <w:rsid w:val="00D7506B"/>
    <w:rsid w:val="00D75558"/>
    <w:rsid w:val="00D76A4A"/>
    <w:rsid w:val="00D76CC4"/>
    <w:rsid w:val="00D826E1"/>
    <w:rsid w:val="00D85BC3"/>
    <w:rsid w:val="00D871A0"/>
    <w:rsid w:val="00D90BD7"/>
    <w:rsid w:val="00D9190D"/>
    <w:rsid w:val="00D921B8"/>
    <w:rsid w:val="00D92BBC"/>
    <w:rsid w:val="00D93D0D"/>
    <w:rsid w:val="00D93DFC"/>
    <w:rsid w:val="00D9404F"/>
    <w:rsid w:val="00D94506"/>
    <w:rsid w:val="00D9730D"/>
    <w:rsid w:val="00D97A5B"/>
    <w:rsid w:val="00D97E59"/>
    <w:rsid w:val="00DA4762"/>
    <w:rsid w:val="00DA4936"/>
    <w:rsid w:val="00DA589B"/>
    <w:rsid w:val="00DA5E4B"/>
    <w:rsid w:val="00DB052A"/>
    <w:rsid w:val="00DB2C0B"/>
    <w:rsid w:val="00DB3131"/>
    <w:rsid w:val="00DB33E5"/>
    <w:rsid w:val="00DB55D8"/>
    <w:rsid w:val="00DB6516"/>
    <w:rsid w:val="00DB6A19"/>
    <w:rsid w:val="00DB6DB4"/>
    <w:rsid w:val="00DB703E"/>
    <w:rsid w:val="00DB73CF"/>
    <w:rsid w:val="00DB78CD"/>
    <w:rsid w:val="00DC12B6"/>
    <w:rsid w:val="00DC5A43"/>
    <w:rsid w:val="00DC61AE"/>
    <w:rsid w:val="00DC68D0"/>
    <w:rsid w:val="00DC7A9D"/>
    <w:rsid w:val="00DD1729"/>
    <w:rsid w:val="00DD2445"/>
    <w:rsid w:val="00DD2913"/>
    <w:rsid w:val="00DD2D07"/>
    <w:rsid w:val="00DD3B24"/>
    <w:rsid w:val="00DD3BFD"/>
    <w:rsid w:val="00DD63BC"/>
    <w:rsid w:val="00DD6AC2"/>
    <w:rsid w:val="00DD77F0"/>
    <w:rsid w:val="00DD7C30"/>
    <w:rsid w:val="00DE100B"/>
    <w:rsid w:val="00DE23CC"/>
    <w:rsid w:val="00DE3AB8"/>
    <w:rsid w:val="00DE4398"/>
    <w:rsid w:val="00DF0A5E"/>
    <w:rsid w:val="00DF12D0"/>
    <w:rsid w:val="00DF12F6"/>
    <w:rsid w:val="00DF133C"/>
    <w:rsid w:val="00DF2DC1"/>
    <w:rsid w:val="00DF454B"/>
    <w:rsid w:val="00DF4B56"/>
    <w:rsid w:val="00DF4DBC"/>
    <w:rsid w:val="00DF567E"/>
    <w:rsid w:val="00DF57EA"/>
    <w:rsid w:val="00DF653B"/>
    <w:rsid w:val="00DF79DC"/>
    <w:rsid w:val="00E00D71"/>
    <w:rsid w:val="00E01711"/>
    <w:rsid w:val="00E01C6E"/>
    <w:rsid w:val="00E03C48"/>
    <w:rsid w:val="00E05794"/>
    <w:rsid w:val="00E07DBB"/>
    <w:rsid w:val="00E12739"/>
    <w:rsid w:val="00E1472A"/>
    <w:rsid w:val="00E21D66"/>
    <w:rsid w:val="00E2203C"/>
    <w:rsid w:val="00E22389"/>
    <w:rsid w:val="00E235BF"/>
    <w:rsid w:val="00E31490"/>
    <w:rsid w:val="00E314F1"/>
    <w:rsid w:val="00E316A2"/>
    <w:rsid w:val="00E325FC"/>
    <w:rsid w:val="00E327AE"/>
    <w:rsid w:val="00E337A8"/>
    <w:rsid w:val="00E34FC3"/>
    <w:rsid w:val="00E35F33"/>
    <w:rsid w:val="00E36A0E"/>
    <w:rsid w:val="00E42E5A"/>
    <w:rsid w:val="00E43DDE"/>
    <w:rsid w:val="00E455E0"/>
    <w:rsid w:val="00E45C31"/>
    <w:rsid w:val="00E5028E"/>
    <w:rsid w:val="00E5122E"/>
    <w:rsid w:val="00E51A96"/>
    <w:rsid w:val="00E5547B"/>
    <w:rsid w:val="00E554BE"/>
    <w:rsid w:val="00E55DBF"/>
    <w:rsid w:val="00E56483"/>
    <w:rsid w:val="00E5694A"/>
    <w:rsid w:val="00E5704B"/>
    <w:rsid w:val="00E57858"/>
    <w:rsid w:val="00E6369A"/>
    <w:rsid w:val="00E63B7C"/>
    <w:rsid w:val="00E678B1"/>
    <w:rsid w:val="00E732AB"/>
    <w:rsid w:val="00E74F45"/>
    <w:rsid w:val="00E757AD"/>
    <w:rsid w:val="00E75DFF"/>
    <w:rsid w:val="00E771C2"/>
    <w:rsid w:val="00E776B6"/>
    <w:rsid w:val="00E82135"/>
    <w:rsid w:val="00E83287"/>
    <w:rsid w:val="00E84B91"/>
    <w:rsid w:val="00E85295"/>
    <w:rsid w:val="00E87AD8"/>
    <w:rsid w:val="00E951F7"/>
    <w:rsid w:val="00E961A4"/>
    <w:rsid w:val="00E96510"/>
    <w:rsid w:val="00EA0162"/>
    <w:rsid w:val="00EA0E48"/>
    <w:rsid w:val="00EA194E"/>
    <w:rsid w:val="00EB1195"/>
    <w:rsid w:val="00EB17C9"/>
    <w:rsid w:val="00EB4C88"/>
    <w:rsid w:val="00EB5396"/>
    <w:rsid w:val="00EB6372"/>
    <w:rsid w:val="00EC1F1C"/>
    <w:rsid w:val="00EC24A9"/>
    <w:rsid w:val="00EC371A"/>
    <w:rsid w:val="00EC37E3"/>
    <w:rsid w:val="00EC3C36"/>
    <w:rsid w:val="00EC5299"/>
    <w:rsid w:val="00EC73B7"/>
    <w:rsid w:val="00EC79DB"/>
    <w:rsid w:val="00ED187B"/>
    <w:rsid w:val="00ED262C"/>
    <w:rsid w:val="00ED29A0"/>
    <w:rsid w:val="00ED3649"/>
    <w:rsid w:val="00ED4410"/>
    <w:rsid w:val="00ED745E"/>
    <w:rsid w:val="00ED770D"/>
    <w:rsid w:val="00EE0481"/>
    <w:rsid w:val="00EE3A09"/>
    <w:rsid w:val="00EE4E08"/>
    <w:rsid w:val="00EE5E26"/>
    <w:rsid w:val="00EE735D"/>
    <w:rsid w:val="00EE761E"/>
    <w:rsid w:val="00EF03E8"/>
    <w:rsid w:val="00EF2157"/>
    <w:rsid w:val="00EF3153"/>
    <w:rsid w:val="00EF5289"/>
    <w:rsid w:val="00EF713D"/>
    <w:rsid w:val="00EF785E"/>
    <w:rsid w:val="00F0639D"/>
    <w:rsid w:val="00F066DC"/>
    <w:rsid w:val="00F06F3B"/>
    <w:rsid w:val="00F10D9A"/>
    <w:rsid w:val="00F126B3"/>
    <w:rsid w:val="00F12C4B"/>
    <w:rsid w:val="00F13D85"/>
    <w:rsid w:val="00F140F7"/>
    <w:rsid w:val="00F15784"/>
    <w:rsid w:val="00F157D5"/>
    <w:rsid w:val="00F15FCA"/>
    <w:rsid w:val="00F16CA3"/>
    <w:rsid w:val="00F20F75"/>
    <w:rsid w:val="00F21D8B"/>
    <w:rsid w:val="00F22E33"/>
    <w:rsid w:val="00F25CC7"/>
    <w:rsid w:val="00F26C2A"/>
    <w:rsid w:val="00F27DCB"/>
    <w:rsid w:val="00F30509"/>
    <w:rsid w:val="00F3333C"/>
    <w:rsid w:val="00F34750"/>
    <w:rsid w:val="00F347D1"/>
    <w:rsid w:val="00F34B08"/>
    <w:rsid w:val="00F34DEE"/>
    <w:rsid w:val="00F3769E"/>
    <w:rsid w:val="00F4095C"/>
    <w:rsid w:val="00F40A18"/>
    <w:rsid w:val="00F41F21"/>
    <w:rsid w:val="00F42EB9"/>
    <w:rsid w:val="00F43605"/>
    <w:rsid w:val="00F43E55"/>
    <w:rsid w:val="00F43FDC"/>
    <w:rsid w:val="00F454BD"/>
    <w:rsid w:val="00F51570"/>
    <w:rsid w:val="00F517C7"/>
    <w:rsid w:val="00F523E6"/>
    <w:rsid w:val="00F546AA"/>
    <w:rsid w:val="00F54B54"/>
    <w:rsid w:val="00F5718C"/>
    <w:rsid w:val="00F609E1"/>
    <w:rsid w:val="00F61204"/>
    <w:rsid w:val="00F63EB6"/>
    <w:rsid w:val="00F64933"/>
    <w:rsid w:val="00F71AB8"/>
    <w:rsid w:val="00F7336F"/>
    <w:rsid w:val="00F738CB"/>
    <w:rsid w:val="00F73BC7"/>
    <w:rsid w:val="00F74EB9"/>
    <w:rsid w:val="00F76BA1"/>
    <w:rsid w:val="00F770B1"/>
    <w:rsid w:val="00F80BDD"/>
    <w:rsid w:val="00F8119E"/>
    <w:rsid w:val="00F8486E"/>
    <w:rsid w:val="00F8709D"/>
    <w:rsid w:val="00F90A5D"/>
    <w:rsid w:val="00F91E3C"/>
    <w:rsid w:val="00F92F05"/>
    <w:rsid w:val="00F93678"/>
    <w:rsid w:val="00F93AF1"/>
    <w:rsid w:val="00F94E17"/>
    <w:rsid w:val="00F95B79"/>
    <w:rsid w:val="00F96437"/>
    <w:rsid w:val="00FA30C8"/>
    <w:rsid w:val="00FA4212"/>
    <w:rsid w:val="00FA5371"/>
    <w:rsid w:val="00FA6B79"/>
    <w:rsid w:val="00FA6BAA"/>
    <w:rsid w:val="00FA72DD"/>
    <w:rsid w:val="00FA7E7E"/>
    <w:rsid w:val="00FB09BB"/>
    <w:rsid w:val="00FB128B"/>
    <w:rsid w:val="00FB3442"/>
    <w:rsid w:val="00FB3C63"/>
    <w:rsid w:val="00FB4899"/>
    <w:rsid w:val="00FB4EB0"/>
    <w:rsid w:val="00FC25EF"/>
    <w:rsid w:val="00FC3339"/>
    <w:rsid w:val="00FC645A"/>
    <w:rsid w:val="00FD0041"/>
    <w:rsid w:val="00FD1967"/>
    <w:rsid w:val="00FD22D6"/>
    <w:rsid w:val="00FD330E"/>
    <w:rsid w:val="00FD62B9"/>
    <w:rsid w:val="00FD63B7"/>
    <w:rsid w:val="00FD7F9A"/>
    <w:rsid w:val="00FE0760"/>
    <w:rsid w:val="00FE1186"/>
    <w:rsid w:val="00FE211E"/>
    <w:rsid w:val="00FE2746"/>
    <w:rsid w:val="00FE431A"/>
    <w:rsid w:val="00FE43AC"/>
    <w:rsid w:val="00FE59C4"/>
    <w:rsid w:val="00FE6C99"/>
    <w:rsid w:val="00FF0289"/>
    <w:rsid w:val="00FF2258"/>
    <w:rsid w:val="00FF2339"/>
    <w:rsid w:val="00FF2847"/>
    <w:rsid w:val="00FF44DC"/>
    <w:rsid w:val="00FF4921"/>
    <w:rsid w:val="00FF5748"/>
    <w:rsid w:val="00FF5782"/>
    <w:rsid w:val="00FF5EA4"/>
    <w:rsid w:val="06A553B3"/>
    <w:rsid w:val="275E950A"/>
    <w:rsid w:val="2B4ADA86"/>
    <w:rsid w:val="35F2610B"/>
    <w:rsid w:val="542EF491"/>
    <w:rsid w:val="55C63F01"/>
    <w:rsid w:val="7142BA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18333"/>
  <w15:docId w15:val="{4692E7D9-7D37-4B9E-815B-A8B06EAE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iPriority="1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6" w:unhideWhenUsed="1"/>
    <w:lsdException w:name="List Number 3" w:semiHidden="1" w:uiPriority="16" w:unhideWhenUsed="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6" w:unhideWhenUsed="1"/>
    <w:lsdException w:name="List Continue 2" w:semiHidden="1" w:uiPriority="16" w:unhideWhenUsed="1"/>
    <w:lsdException w:name="List Continue 3" w:semiHidden="1" w:uiPriority="16" w:unhideWhenUsed="1"/>
    <w:lsdException w:name="List Continue 4" w:semiHidden="1" w:uiPriority="16" w:unhideWhenUsed="1"/>
    <w:lsdException w:name="List Continue 5" w:semiHidden="1" w:uiPriority="16" w:unhideWhenUsed="1"/>
    <w:lsdException w:name="Message Header" w:semiHidden="1" w:unhideWhenUsed="1"/>
    <w:lsdException w:name="Subtitle" w:semiHidden="1" w:uiPriority="19" w:qFormat="1"/>
    <w:lsdException w:name="Salutation" w:semiHidden="1"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64933"/>
    <w:pPr>
      <w:spacing w:after="280" w:line="360" w:lineRule="atLeast"/>
      <w:textboxTightWrap w:val="lastLineOnly"/>
    </w:pPr>
    <w:rPr>
      <w:rFonts w:ascii="Arial" w:hAnsi="Arial"/>
      <w:color w:val="000000"/>
      <w:sz w:val="24"/>
      <w:szCs w:val="24"/>
    </w:rPr>
  </w:style>
  <w:style w:type="paragraph" w:styleId="Heading1">
    <w:name w:val="heading 1"/>
    <w:basedOn w:val="ListParagraph"/>
    <w:next w:val="Normal"/>
    <w:link w:val="Heading1Char"/>
    <w:autoRedefine/>
    <w:uiPriority w:val="9"/>
    <w:qFormat/>
    <w:rsid w:val="00587D10"/>
    <w:pPr>
      <w:numPr>
        <w:numId w:val="11"/>
      </w:numPr>
      <w:spacing w:after="0" w:line="240" w:lineRule="auto"/>
      <w:ind w:right="57"/>
      <w:contextualSpacing/>
      <w:textboxTightWrap w:val="none"/>
      <w:outlineLvl w:val="0"/>
    </w:pPr>
    <w:rPr>
      <w:color w:val="005EB8" w:themeColor="text2"/>
      <w:sz w:val="48"/>
      <w:szCs w:val="48"/>
    </w:rPr>
  </w:style>
  <w:style w:type="paragraph" w:styleId="Heading2">
    <w:name w:val="heading 2"/>
    <w:basedOn w:val="ListParagraph"/>
    <w:next w:val="Normal"/>
    <w:link w:val="Heading2Char"/>
    <w:autoRedefine/>
    <w:uiPriority w:val="9"/>
    <w:qFormat/>
    <w:rsid w:val="00677EBA"/>
    <w:pPr>
      <w:numPr>
        <w:ilvl w:val="1"/>
        <w:numId w:val="34"/>
      </w:numPr>
      <w:spacing w:after="0" w:line="240" w:lineRule="auto"/>
      <w:ind w:right="57" w:hanging="2138"/>
      <w:contextualSpacing/>
      <w:textboxTightWrap w:val="none"/>
      <w:outlineLvl w:val="1"/>
    </w:pPr>
    <w:rPr>
      <w:color w:val="005EB8" w:themeColor="text2"/>
      <w:sz w:val="36"/>
      <w:szCs w:val="36"/>
    </w:rPr>
  </w:style>
  <w:style w:type="paragraph" w:styleId="Heading3">
    <w:name w:val="heading 3"/>
    <w:next w:val="Normal"/>
    <w:link w:val="Heading3Char"/>
    <w:autoRedefine/>
    <w:uiPriority w:val="9"/>
    <w:qFormat/>
    <w:rsid w:val="00451841"/>
    <w:pPr>
      <w:keepNext/>
      <w:numPr>
        <w:numId w:val="33"/>
      </w:numPr>
      <w:spacing w:before="300" w:after="60"/>
      <w:outlineLvl w:val="2"/>
    </w:pPr>
    <w:rPr>
      <w:rFonts w:ascii="Arial" w:hAnsi="Arial" w:cs="Arial"/>
      <w:b/>
      <w:color w:val="005EB8" w:themeColor="text2"/>
      <w:kern w:val="28"/>
      <w:sz w:val="32"/>
      <w:szCs w:val="24"/>
      <w14:ligatures w14:val="standardContextual"/>
    </w:rPr>
  </w:style>
  <w:style w:type="paragraph" w:styleId="Heading4">
    <w:name w:val="heading 4"/>
    <w:next w:val="Normal"/>
    <w:link w:val="Heading4Char"/>
    <w:autoRedefine/>
    <w:uiPriority w:val="9"/>
    <w:qFormat/>
    <w:rsid w:val="00B7725C"/>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99"/>
    <w:qFormat/>
    <w:rsid w:val="00F64933"/>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paragraph" w:styleId="Heading7">
    <w:name w:val="heading 7"/>
    <w:basedOn w:val="Normal"/>
    <w:next w:val="BodyText"/>
    <w:link w:val="Heading7Char"/>
    <w:uiPriority w:val="99"/>
    <w:semiHidden/>
    <w:qFormat/>
    <w:rsid w:val="0031220E"/>
    <w:pPr>
      <w:keepNext/>
      <w:keepLines/>
      <w:spacing w:before="40" w:after="0" w:line="240" w:lineRule="auto"/>
      <w:ind w:left="1296" w:hanging="1296"/>
      <w:textboxTightWrap w:val="none"/>
      <w:outlineLvl w:val="6"/>
    </w:pPr>
    <w:rPr>
      <w:rFonts w:eastAsiaTheme="majorEastAsia" w:cstheme="majorBidi"/>
      <w:i/>
      <w:iCs/>
      <w:color w:val="231F20"/>
      <w:sz w:val="18"/>
    </w:rPr>
  </w:style>
  <w:style w:type="paragraph" w:styleId="Heading8">
    <w:name w:val="heading 8"/>
    <w:basedOn w:val="Normal"/>
    <w:next w:val="BodyText"/>
    <w:link w:val="Heading8Char"/>
    <w:uiPriority w:val="99"/>
    <w:semiHidden/>
    <w:qFormat/>
    <w:rsid w:val="0031220E"/>
    <w:pPr>
      <w:keepNext/>
      <w:keepLines/>
      <w:spacing w:before="40" w:after="0" w:line="240" w:lineRule="auto"/>
      <w:ind w:left="1440" w:hanging="1440"/>
      <w:textboxTightWrap w:val="none"/>
      <w:outlineLvl w:val="7"/>
    </w:pPr>
    <w:rPr>
      <w:rFonts w:eastAsiaTheme="majorEastAsia" w:cstheme="majorBidi"/>
      <w:color w:val="231F20"/>
      <w:sz w:val="20"/>
      <w:szCs w:val="21"/>
    </w:rPr>
  </w:style>
  <w:style w:type="paragraph" w:styleId="Heading9">
    <w:name w:val="heading 9"/>
    <w:basedOn w:val="Normal"/>
    <w:next w:val="BodyText"/>
    <w:link w:val="Heading9Char"/>
    <w:uiPriority w:val="99"/>
    <w:semiHidden/>
    <w:qFormat/>
    <w:rsid w:val="0031220E"/>
    <w:pPr>
      <w:keepNext/>
      <w:keepLines/>
      <w:spacing w:before="40" w:after="0" w:line="240" w:lineRule="auto"/>
      <w:ind w:left="1584" w:hanging="1584"/>
      <w:textboxTightWrap w:val="none"/>
      <w:outlineLvl w:val="8"/>
    </w:pPr>
    <w:rPr>
      <w:rFonts w:eastAsiaTheme="majorEastAsia" w:cstheme="majorBidi"/>
      <w:i/>
      <w:iCs/>
      <w:color w:val="231F2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EBA"/>
    <w:rPr>
      <w:rFonts w:ascii="Arial" w:hAnsi="Arial"/>
      <w:color w:val="005EB8" w:themeColor="text2"/>
      <w:sz w:val="36"/>
      <w:szCs w:val="36"/>
    </w:rPr>
  </w:style>
  <w:style w:type="character" w:customStyle="1" w:styleId="Heading1Char">
    <w:name w:val="Heading 1 Char"/>
    <w:basedOn w:val="DefaultParagraphFont"/>
    <w:link w:val="Heading1"/>
    <w:uiPriority w:val="9"/>
    <w:rsid w:val="00587D10"/>
    <w:rPr>
      <w:rFonts w:ascii="Arial" w:hAnsi="Arial"/>
      <w:color w:val="005EB8" w:themeColor="text2"/>
      <w:sz w:val="48"/>
      <w:szCs w:val="48"/>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9"/>
    <w:rsid w:val="00451841"/>
    <w:rPr>
      <w:rFonts w:ascii="Arial" w:hAnsi="Arial" w:cs="Arial"/>
      <w:b/>
      <w:color w:val="005EB8" w:themeColor="text2"/>
      <w:kern w:val="28"/>
      <w:sz w:val="32"/>
      <w:szCs w:val="24"/>
      <w14:ligatures w14:val="standardContextual"/>
    </w:rPr>
  </w:style>
  <w:style w:type="paragraph" w:customStyle="1" w:styleId="Bulletlist">
    <w:name w:val="Bullet list"/>
    <w:basedOn w:val="ListParagraph"/>
    <w:link w:val="BulletlistChar"/>
    <w:autoRedefine/>
    <w:uiPriority w:val="10"/>
    <w:qFormat/>
    <w:rsid w:val="00F64933"/>
    <w:pPr>
      <w:numPr>
        <w:numId w:val="1"/>
      </w:numPr>
      <w:autoSpaceDE w:val="0"/>
      <w:autoSpaceDN w:val="0"/>
      <w:adjustRightInd w:val="0"/>
      <w:spacing w:after="50"/>
      <w:ind w:left="851" w:hanging="284"/>
      <w:textboxTightWrap w:val="none"/>
    </w:pPr>
    <w:rPr>
      <w:rFonts w:cs="FrutigerLTStd-Light"/>
      <w:szCs w:val="22"/>
    </w:rPr>
  </w:style>
  <w:style w:type="character" w:customStyle="1" w:styleId="BulletlistChar">
    <w:name w:val="Bullet list Char"/>
    <w:basedOn w:val="DefaultParagraphFont"/>
    <w:link w:val="Bulletlist"/>
    <w:uiPriority w:val="10"/>
    <w:rsid w:val="00F64933"/>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F64933"/>
    <w:rPr>
      <w:rFonts w:ascii="Arial" w:hAnsi="Arial" w:cs="FrutigerLTStd-Light"/>
      <w:color w:val="000000"/>
      <w:sz w:val="24"/>
      <w:szCs w:val="18"/>
    </w:rPr>
  </w:style>
  <w:style w:type="character" w:customStyle="1" w:styleId="Heading4Char">
    <w:name w:val="Heading 4 Char"/>
    <w:basedOn w:val="DefaultParagraphFont"/>
    <w:link w:val="Heading4"/>
    <w:uiPriority w:val="9"/>
    <w:rsid w:val="00B7725C"/>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39"/>
    <w:rsid w:val="003E57B6"/>
    <w:pPr>
      <w:pBdr>
        <w:bottom w:val="single" w:sz="4" w:space="4" w:color="D5DDE3" w:themeColor="accent6" w:themeTint="33"/>
      </w:pBdr>
      <w:tabs>
        <w:tab w:val="right" w:pos="9854"/>
      </w:tabs>
      <w:spacing w:before="120" w:after="120"/>
    </w:pPr>
    <w:rPr>
      <w:noProof/>
      <w:color w:val="231F20" w:themeColor="background1"/>
      <w:sz w:val="28"/>
    </w:rPr>
  </w:style>
  <w:style w:type="paragraph" w:styleId="TOCHeading">
    <w:name w:val="TOC Heading"/>
    <w:basedOn w:val="Heading1"/>
    <w:next w:val="Normal"/>
    <w:uiPriority w:val="39"/>
    <w:qFormat/>
    <w:rsid w:val="00603A2C"/>
    <w:pPr>
      <w:keepLines/>
      <w:spacing w:before="480" w:line="276" w:lineRule="auto"/>
      <w:outlineLvl w:val="9"/>
    </w:pPr>
    <w:rPr>
      <w:rFonts w:asciiTheme="majorHAnsi" w:eastAsiaTheme="majorEastAsia" w:hAnsiTheme="majorHAnsi" w:cstheme="majorBidi"/>
      <w:sz w:val="36"/>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F64933"/>
    <w:rPr>
      <w:rFonts w:ascii="Arial" w:hAnsi="Arial" w:cs="Arial"/>
      <w:b/>
      <w:noProof/>
      <w:color w:val="005EB8" w:themeColor="text2"/>
      <w:w w:val="200"/>
      <w:kern w:val="28"/>
      <w:sz w:val="16"/>
      <w:szCs w:val="16"/>
      <w14:ligatures w14:val="standardContextual"/>
    </w:rPr>
  </w:style>
  <w:style w:type="paragraph" w:customStyle="1" w:styleId="Numberedlist">
    <w:name w:val="Numbered list"/>
    <w:basedOn w:val="ListParagraph"/>
    <w:link w:val="NumberedlistChar"/>
    <w:autoRedefine/>
    <w:uiPriority w:val="9"/>
    <w:qFormat/>
    <w:rsid w:val="00F64933"/>
    <w:pPr>
      <w:numPr>
        <w:numId w:val="2"/>
      </w:numPr>
      <w:spacing w:after="50"/>
      <w:ind w:left="992" w:hanging="425"/>
    </w:pPr>
  </w:style>
  <w:style w:type="character" w:customStyle="1" w:styleId="NumberedlistChar">
    <w:name w:val="Numbered list Char"/>
    <w:basedOn w:val="DefaultParagraphFont"/>
    <w:link w:val="Numberedlist"/>
    <w:uiPriority w:val="9"/>
    <w:rsid w:val="00F64933"/>
    <w:rPr>
      <w:rFonts w:ascii="Arial" w:hAnsi="Arial"/>
      <w:color w:val="000000"/>
      <w:sz w:val="24"/>
      <w:szCs w:val="24"/>
    </w:rPr>
  </w:style>
  <w:style w:type="paragraph" w:styleId="TOC2">
    <w:name w:val="toc 2"/>
    <w:basedOn w:val="Normal"/>
    <w:next w:val="Normal"/>
    <w:uiPriority w:val="39"/>
    <w:rsid w:val="00603A2C"/>
    <w:pPr>
      <w:tabs>
        <w:tab w:val="right" w:pos="9854"/>
      </w:tabs>
      <w:spacing w:after="100"/>
      <w:ind w:left="220"/>
    </w:pPr>
    <w:rPr>
      <w:noProof/>
      <w:color w:val="003087" w:themeColor="accent1"/>
      <w:sz w:val="28"/>
    </w:rPr>
  </w:style>
  <w:style w:type="paragraph" w:styleId="TOC3">
    <w:name w:val="toc 3"/>
    <w:basedOn w:val="Normal"/>
    <w:next w:val="Normal"/>
    <w:autoRedefine/>
    <w:uiPriority w:val="39"/>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F64933"/>
    <w:rPr>
      <w:rFonts w:ascii="Arial" w:hAnsi="Arial"/>
      <w:color w:val="000000"/>
      <w:szCs w:val="24"/>
    </w:rPr>
  </w:style>
  <w:style w:type="paragraph" w:styleId="Footer">
    <w:name w:val="footer"/>
    <w:basedOn w:val="Normal"/>
    <w:link w:val="FooterChar"/>
    <w:uiPriority w:val="99"/>
    <w:semiHidden/>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semiHidden/>
    <w:rsid w:val="00F64933"/>
    <w:rPr>
      <w:rFonts w:ascii="Arial" w:hAnsi="Arial"/>
      <w:color w:val="000000"/>
      <w:spacing w:val="-4"/>
      <w:sz w:val="18"/>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99"/>
    <w:semiHidden/>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99"/>
    <w:semiHidden/>
    <w:rsid w:val="00F64933"/>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rsid w:val="00F64933"/>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F64933"/>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F64933"/>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99"/>
    <w:rsid w:val="00F64933"/>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D85BC3"/>
    <w:pPr>
      <w:spacing w:before="400" w:after="400" w:line="264" w:lineRule="auto"/>
    </w:pPr>
    <w:rPr>
      <w:rFonts w:ascii="Arial Bold" w:hAnsi="Arial Bold" w:cs="Arial"/>
      <w:b/>
      <w:bCs/>
      <w:color w:val="005EB8"/>
      <w:kern w:val="28"/>
      <w:sz w:val="64"/>
      <w:szCs w:val="64"/>
      <w14:ligatures w14:val="standardContextual"/>
    </w:rPr>
  </w:style>
  <w:style w:type="paragraph" w:customStyle="1" w:styleId="h2numbered">
    <w:name w:val="h2 numbered"/>
    <w:basedOn w:val="Heading2"/>
    <w:link w:val="h2numberedChar"/>
    <w:uiPriority w:val="4"/>
    <w:qFormat/>
    <w:rsid w:val="003166D2"/>
    <w:pPr>
      <w:numPr>
        <w:ilvl w:val="0"/>
        <w:numId w:val="36"/>
      </w:numPr>
    </w:pPr>
    <w:rPr>
      <w:sz w:val="48"/>
    </w:rPr>
  </w:style>
  <w:style w:type="paragraph" w:customStyle="1" w:styleId="h3numbered">
    <w:name w:val="h3 numbered"/>
    <w:basedOn w:val="Heading3"/>
    <w:link w:val="h3numberedChar"/>
    <w:uiPriority w:val="6"/>
    <w:qFormat/>
    <w:rsid w:val="00BE11E1"/>
    <w:pPr>
      <w:numPr>
        <w:ilvl w:val="1"/>
        <w:numId w:val="36"/>
      </w:numPr>
    </w:pPr>
    <w:rPr>
      <w:b w:val="0"/>
      <w:color w:val="005EB8"/>
    </w:rPr>
  </w:style>
  <w:style w:type="character" w:customStyle="1" w:styleId="h2numberedChar">
    <w:name w:val="h2 numbered Char"/>
    <w:basedOn w:val="Heading2Char"/>
    <w:link w:val="h2numbered"/>
    <w:uiPriority w:val="4"/>
    <w:rsid w:val="003166D2"/>
    <w:rPr>
      <w:rFonts w:ascii="Arial" w:hAnsi="Arial"/>
      <w:color w:val="005EB8" w:themeColor="text2"/>
      <w:sz w:val="48"/>
      <w:szCs w:val="36"/>
    </w:rPr>
  </w:style>
  <w:style w:type="paragraph" w:customStyle="1" w:styleId="h4numbered">
    <w:name w:val="h4 numbered"/>
    <w:basedOn w:val="Heading4"/>
    <w:link w:val="h4numberedChar"/>
    <w:uiPriority w:val="7"/>
    <w:qFormat/>
    <w:rsid w:val="00D0637A"/>
    <w:pPr>
      <w:numPr>
        <w:ilvl w:val="2"/>
        <w:numId w:val="36"/>
      </w:numPr>
      <w:spacing w:before="120" w:after="0"/>
    </w:pPr>
    <w:rPr>
      <w:rFonts w:asciiTheme="minorHAnsi" w:hAnsiTheme="minorHAnsi"/>
      <w:b w:val="0"/>
      <w:sz w:val="24"/>
    </w:rPr>
  </w:style>
  <w:style w:type="character" w:customStyle="1" w:styleId="h3numberedChar">
    <w:name w:val="h3 numbered Char"/>
    <w:basedOn w:val="Heading3Char"/>
    <w:link w:val="h3numbered"/>
    <w:uiPriority w:val="6"/>
    <w:rsid w:val="00BE11E1"/>
    <w:rPr>
      <w:rFonts w:ascii="Arial" w:hAnsi="Arial" w:cs="Arial"/>
      <w:b w:val="0"/>
      <w:color w:val="005EB8"/>
      <w:kern w:val="28"/>
      <w:sz w:val="32"/>
      <w:szCs w:val="24"/>
      <w14:ligatures w14:val="standardContextual"/>
    </w:rPr>
  </w:style>
  <w:style w:type="paragraph" w:customStyle="1" w:styleId="h5numbered">
    <w:name w:val="h5 numbered"/>
    <w:basedOn w:val="Heading5"/>
    <w:link w:val="h5numberedChar"/>
    <w:uiPriority w:val="9"/>
    <w:qFormat/>
    <w:rsid w:val="00C15176"/>
    <w:pPr>
      <w:numPr>
        <w:ilvl w:val="3"/>
        <w:numId w:val="36"/>
      </w:numPr>
    </w:pPr>
  </w:style>
  <w:style w:type="character" w:customStyle="1" w:styleId="h4numberedChar">
    <w:name w:val="h4 numbered Char"/>
    <w:basedOn w:val="Heading4Char"/>
    <w:link w:val="h4numbered"/>
    <w:uiPriority w:val="7"/>
    <w:rsid w:val="00D0637A"/>
    <w:rPr>
      <w:rFonts w:asciiTheme="minorHAnsi" w:eastAsia="MS Mincho" w:hAnsiTheme="minorHAnsi"/>
      <w:b w:val="0"/>
      <w:color w:val="231F20" w:themeColor="background1"/>
      <w:kern w:val="28"/>
      <w:sz w:val="24"/>
      <w14:ligatures w14:val="standardContextual"/>
    </w:rPr>
  </w:style>
  <w:style w:type="paragraph" w:customStyle="1" w:styleId="bodytextnumbered">
    <w:name w:val="body text numbered"/>
    <w:basedOn w:val="Normal"/>
    <w:link w:val="bodytextnumberedChar"/>
    <w:uiPriority w:val="15"/>
    <w:qFormat/>
    <w:rsid w:val="00BC5F53"/>
    <w:pPr>
      <w:numPr>
        <w:ilvl w:val="4"/>
        <w:numId w:val="36"/>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6"/>
      </w:numPr>
      <w:spacing w:after="160"/>
    </w:pPr>
  </w:style>
  <w:style w:type="character" w:customStyle="1" w:styleId="bodytextnumberedChar">
    <w:name w:val="body text numbered Char"/>
    <w:basedOn w:val="DefaultParagraphFont"/>
    <w:link w:val="bodytextnumbered"/>
    <w:uiPriority w:val="15"/>
    <w:rsid w:val="00F6493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6"/>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99"/>
    <w:qFormat/>
    <w:rsid w:val="008D50ED"/>
    <w:pPr>
      <w:spacing w:before="120" w:after="120" w:line="240" w:lineRule="auto"/>
    </w:pPr>
    <w:rPr>
      <w:iCs/>
      <w:color w:val="005EB8" w:themeColor="text2"/>
      <w:sz w:val="20"/>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TOC4">
    <w:name w:val="toc 4"/>
    <w:basedOn w:val="Normal"/>
    <w:next w:val="Normal"/>
    <w:autoRedefine/>
    <w:uiPriority w:val="99"/>
    <w:semiHidden/>
    <w:rsid w:val="002F45CE"/>
    <w:pPr>
      <w:spacing w:after="100"/>
      <w:ind w:left="720"/>
    </w:pPr>
  </w:style>
  <w:style w:type="character" w:styleId="CommentReference">
    <w:name w:val="annotation reference"/>
    <w:basedOn w:val="DefaultParagraphFont"/>
    <w:uiPriority w:val="99"/>
    <w:semiHidden/>
    <w:unhideWhenUsed/>
    <w:rsid w:val="0019592C"/>
    <w:rPr>
      <w:sz w:val="16"/>
      <w:szCs w:val="16"/>
    </w:rPr>
  </w:style>
  <w:style w:type="paragraph" w:styleId="CommentText">
    <w:name w:val="annotation text"/>
    <w:basedOn w:val="Normal"/>
    <w:link w:val="CommentTextChar"/>
    <w:uiPriority w:val="99"/>
    <w:rsid w:val="0019592C"/>
    <w:pPr>
      <w:spacing w:line="240" w:lineRule="auto"/>
    </w:pPr>
    <w:rPr>
      <w:sz w:val="20"/>
      <w:szCs w:val="20"/>
    </w:rPr>
  </w:style>
  <w:style w:type="character" w:customStyle="1" w:styleId="CommentTextChar">
    <w:name w:val="Comment Text Char"/>
    <w:basedOn w:val="DefaultParagraphFont"/>
    <w:link w:val="CommentText"/>
    <w:uiPriority w:val="99"/>
    <w:rsid w:val="00F64933"/>
    <w:rPr>
      <w:rFonts w:ascii="Arial" w:hAnsi="Arial"/>
      <w:color w:val="000000"/>
    </w:rPr>
  </w:style>
  <w:style w:type="paragraph" w:styleId="CommentSubject">
    <w:name w:val="annotation subject"/>
    <w:basedOn w:val="CommentText"/>
    <w:next w:val="CommentText"/>
    <w:link w:val="CommentSubjectChar"/>
    <w:uiPriority w:val="99"/>
    <w:semiHidden/>
    <w:unhideWhenUsed/>
    <w:rsid w:val="0019592C"/>
    <w:rPr>
      <w:b/>
      <w:bCs/>
    </w:rPr>
  </w:style>
  <w:style w:type="character" w:customStyle="1" w:styleId="CommentSubjectChar">
    <w:name w:val="Comment Subject Char"/>
    <w:basedOn w:val="CommentTextChar"/>
    <w:link w:val="CommentSubject"/>
    <w:uiPriority w:val="99"/>
    <w:semiHidden/>
    <w:rsid w:val="0019592C"/>
    <w:rPr>
      <w:rFonts w:ascii="Arial" w:hAnsi="Arial"/>
      <w:b/>
      <w:bCs/>
      <w:color w:val="000000"/>
    </w:rPr>
  </w:style>
  <w:style w:type="character" w:customStyle="1" w:styleId="Heading7Char">
    <w:name w:val="Heading 7 Char"/>
    <w:basedOn w:val="DefaultParagraphFont"/>
    <w:link w:val="Heading7"/>
    <w:uiPriority w:val="99"/>
    <w:semiHidden/>
    <w:rsid w:val="0031220E"/>
    <w:rPr>
      <w:rFonts w:ascii="Arial" w:eastAsiaTheme="majorEastAsia" w:hAnsi="Arial" w:cstheme="majorBidi"/>
      <w:i/>
      <w:iCs/>
      <w:color w:val="231F20"/>
      <w:sz w:val="18"/>
      <w:szCs w:val="24"/>
    </w:rPr>
  </w:style>
  <w:style w:type="character" w:customStyle="1" w:styleId="Heading8Char">
    <w:name w:val="Heading 8 Char"/>
    <w:basedOn w:val="DefaultParagraphFont"/>
    <w:link w:val="Heading8"/>
    <w:uiPriority w:val="99"/>
    <w:semiHidden/>
    <w:rsid w:val="0031220E"/>
    <w:rPr>
      <w:rFonts w:ascii="Arial" w:eastAsiaTheme="majorEastAsia" w:hAnsi="Arial" w:cstheme="majorBidi"/>
      <w:color w:val="231F20"/>
      <w:szCs w:val="21"/>
    </w:rPr>
  </w:style>
  <w:style w:type="character" w:customStyle="1" w:styleId="Heading9Char">
    <w:name w:val="Heading 9 Char"/>
    <w:basedOn w:val="DefaultParagraphFont"/>
    <w:link w:val="Heading9"/>
    <w:uiPriority w:val="99"/>
    <w:semiHidden/>
    <w:rsid w:val="0031220E"/>
    <w:rPr>
      <w:rFonts w:ascii="Arial" w:eastAsiaTheme="majorEastAsia" w:hAnsi="Arial" w:cstheme="majorBidi"/>
      <w:i/>
      <w:iCs/>
      <w:color w:val="231F20"/>
      <w:sz w:val="18"/>
      <w:szCs w:val="21"/>
    </w:rPr>
  </w:style>
  <w:style w:type="paragraph" w:styleId="BodyText">
    <w:name w:val="Body Text"/>
    <w:basedOn w:val="Normal"/>
    <w:link w:val="BodyTextChar"/>
    <w:qFormat/>
    <w:rsid w:val="0031220E"/>
    <w:pPr>
      <w:spacing w:after="120" w:line="252" w:lineRule="auto"/>
      <w:ind w:left="454"/>
      <w:textboxTightWrap w:val="none"/>
    </w:pPr>
    <w:rPr>
      <w:rFonts w:eastAsiaTheme="minorHAnsi" w:cstheme="minorBidi"/>
      <w:color w:val="231F20"/>
    </w:rPr>
  </w:style>
  <w:style w:type="character" w:customStyle="1" w:styleId="BodyTextChar">
    <w:name w:val="Body Text Char"/>
    <w:basedOn w:val="DefaultParagraphFont"/>
    <w:link w:val="BodyText"/>
    <w:rsid w:val="0031220E"/>
    <w:rPr>
      <w:rFonts w:ascii="Arial" w:eastAsiaTheme="minorHAnsi" w:hAnsi="Arial" w:cstheme="minorBidi"/>
      <w:color w:val="231F20"/>
      <w:sz w:val="24"/>
      <w:szCs w:val="24"/>
    </w:rPr>
  </w:style>
  <w:style w:type="paragraph" w:styleId="Title">
    <w:name w:val="Title"/>
    <w:basedOn w:val="Normal"/>
    <w:next w:val="Subtitle"/>
    <w:link w:val="TitleChar"/>
    <w:uiPriority w:val="19"/>
    <w:qFormat/>
    <w:rsid w:val="0031220E"/>
    <w:pPr>
      <w:spacing w:after="200" w:line="240" w:lineRule="auto"/>
      <w:contextualSpacing/>
      <w:textboxTightWrap w:val="none"/>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31220E"/>
    <w:rPr>
      <w:rFonts w:ascii="Arial" w:eastAsiaTheme="majorEastAsia" w:hAnsi="Arial" w:cstheme="majorBidi"/>
      <w:color w:val="005EB8"/>
      <w:kern w:val="28"/>
      <w:sz w:val="64"/>
      <w:szCs w:val="56"/>
    </w:rPr>
  </w:style>
  <w:style w:type="paragraph" w:styleId="Subtitle">
    <w:name w:val="Subtitle"/>
    <w:basedOn w:val="Normal"/>
    <w:next w:val="Date"/>
    <w:link w:val="SubtitleChar"/>
    <w:autoRedefine/>
    <w:uiPriority w:val="19"/>
    <w:qFormat/>
    <w:rsid w:val="00D9730D"/>
    <w:pPr>
      <w:numPr>
        <w:ilvl w:val="1"/>
      </w:numPr>
      <w:spacing w:after="0" w:line="240" w:lineRule="auto"/>
      <w:contextualSpacing/>
      <w:textboxTightWrap w:val="none"/>
    </w:pPr>
    <w:rPr>
      <w:rFonts w:eastAsiaTheme="minorEastAsia" w:cstheme="minorBidi"/>
      <w:color w:val="005EB8"/>
      <w:sz w:val="48"/>
    </w:rPr>
  </w:style>
  <w:style w:type="character" w:customStyle="1" w:styleId="SubtitleChar">
    <w:name w:val="Subtitle Char"/>
    <w:basedOn w:val="DefaultParagraphFont"/>
    <w:link w:val="Subtitle"/>
    <w:uiPriority w:val="19"/>
    <w:rsid w:val="00D9730D"/>
    <w:rPr>
      <w:rFonts w:ascii="Arial" w:eastAsiaTheme="minorEastAsia" w:hAnsi="Arial" w:cstheme="minorBidi"/>
      <w:color w:val="005EB8"/>
      <w:sz w:val="48"/>
      <w:szCs w:val="24"/>
    </w:rPr>
  </w:style>
  <w:style w:type="paragraph" w:styleId="Date">
    <w:name w:val="Date"/>
    <w:basedOn w:val="Normal"/>
    <w:next w:val="Normal"/>
    <w:link w:val="DateChar"/>
    <w:uiPriority w:val="19"/>
    <w:semiHidden/>
    <w:qFormat/>
    <w:rsid w:val="0031220E"/>
    <w:pPr>
      <w:spacing w:after="0" w:line="240" w:lineRule="auto"/>
      <w:textboxTightWrap w:val="none"/>
    </w:pPr>
    <w:rPr>
      <w:rFonts w:eastAsiaTheme="minorHAnsi" w:cstheme="minorBidi"/>
      <w:color w:val="231F20"/>
    </w:rPr>
  </w:style>
  <w:style w:type="character" w:customStyle="1" w:styleId="DateChar">
    <w:name w:val="Date Char"/>
    <w:basedOn w:val="DefaultParagraphFont"/>
    <w:link w:val="Date"/>
    <w:uiPriority w:val="19"/>
    <w:semiHidden/>
    <w:rsid w:val="0031220E"/>
    <w:rPr>
      <w:rFonts w:ascii="Arial" w:eastAsiaTheme="minorHAnsi" w:hAnsi="Arial" w:cstheme="minorBidi"/>
      <w:color w:val="231F20"/>
      <w:sz w:val="24"/>
      <w:szCs w:val="24"/>
    </w:rPr>
  </w:style>
  <w:style w:type="paragraph" w:styleId="TOC5">
    <w:name w:val="toc 5"/>
    <w:basedOn w:val="Normal"/>
    <w:next w:val="Normal"/>
    <w:uiPriority w:val="99"/>
    <w:semiHidden/>
    <w:unhideWhenUsed/>
    <w:rsid w:val="0031220E"/>
    <w:pPr>
      <w:spacing w:after="100" w:line="240" w:lineRule="auto"/>
      <w:ind w:left="880"/>
      <w:textboxTightWrap w:val="none"/>
    </w:pPr>
    <w:rPr>
      <w:rFonts w:eastAsiaTheme="minorHAnsi" w:cstheme="minorBidi"/>
      <w:color w:val="231F20"/>
    </w:rPr>
  </w:style>
  <w:style w:type="paragraph" w:styleId="TOC6">
    <w:name w:val="toc 6"/>
    <w:basedOn w:val="Normal"/>
    <w:next w:val="Normal"/>
    <w:uiPriority w:val="99"/>
    <w:semiHidden/>
    <w:unhideWhenUsed/>
    <w:rsid w:val="0031220E"/>
    <w:pPr>
      <w:spacing w:after="100" w:line="240" w:lineRule="auto"/>
      <w:ind w:left="1100"/>
      <w:textboxTightWrap w:val="none"/>
    </w:pPr>
    <w:rPr>
      <w:rFonts w:eastAsiaTheme="minorHAnsi" w:cstheme="minorBidi"/>
      <w:color w:val="231F20"/>
    </w:rPr>
  </w:style>
  <w:style w:type="paragraph" w:styleId="TOC7">
    <w:name w:val="toc 7"/>
    <w:basedOn w:val="Normal"/>
    <w:next w:val="Normal"/>
    <w:uiPriority w:val="99"/>
    <w:semiHidden/>
    <w:unhideWhenUsed/>
    <w:rsid w:val="0031220E"/>
    <w:pPr>
      <w:spacing w:after="100" w:line="240" w:lineRule="auto"/>
      <w:ind w:left="1320"/>
      <w:textboxTightWrap w:val="none"/>
    </w:pPr>
    <w:rPr>
      <w:rFonts w:eastAsiaTheme="minorHAnsi" w:cstheme="minorBidi"/>
      <w:color w:val="231F20"/>
    </w:rPr>
  </w:style>
  <w:style w:type="paragraph" w:styleId="TOC8">
    <w:name w:val="toc 8"/>
    <w:basedOn w:val="Normal"/>
    <w:next w:val="Normal"/>
    <w:uiPriority w:val="99"/>
    <w:semiHidden/>
    <w:unhideWhenUsed/>
    <w:rsid w:val="0031220E"/>
    <w:pPr>
      <w:spacing w:after="100" w:line="240" w:lineRule="auto"/>
      <w:ind w:left="1540"/>
      <w:textboxTightWrap w:val="none"/>
    </w:pPr>
    <w:rPr>
      <w:rFonts w:eastAsiaTheme="minorHAnsi" w:cstheme="minorBidi"/>
      <w:color w:val="231F20"/>
    </w:rPr>
  </w:style>
  <w:style w:type="paragraph" w:styleId="TOC9">
    <w:name w:val="toc 9"/>
    <w:basedOn w:val="Normal"/>
    <w:next w:val="Normal"/>
    <w:uiPriority w:val="99"/>
    <w:semiHidden/>
    <w:unhideWhenUsed/>
    <w:rsid w:val="0031220E"/>
    <w:pPr>
      <w:spacing w:after="100" w:line="240" w:lineRule="auto"/>
      <w:ind w:left="1760"/>
      <w:textboxTightWrap w:val="none"/>
    </w:pPr>
    <w:rPr>
      <w:rFonts w:eastAsiaTheme="minorHAnsi" w:cstheme="minorBidi"/>
      <w:color w:val="231F20"/>
    </w:rPr>
  </w:style>
  <w:style w:type="paragraph" w:styleId="ListBullet">
    <w:name w:val="List Bullet"/>
    <w:basedOn w:val="BodyText"/>
    <w:uiPriority w:val="14"/>
    <w:qFormat/>
    <w:rsid w:val="0031220E"/>
    <w:pPr>
      <w:tabs>
        <w:tab w:val="num" w:pos="567"/>
      </w:tabs>
      <w:spacing w:after="50"/>
      <w:ind w:left="851" w:hanging="284"/>
    </w:pPr>
  </w:style>
  <w:style w:type="paragraph" w:styleId="ListBullet2">
    <w:name w:val="List Bullet 2"/>
    <w:basedOn w:val="BodyText"/>
    <w:uiPriority w:val="14"/>
    <w:qFormat/>
    <w:rsid w:val="0031220E"/>
    <w:pPr>
      <w:tabs>
        <w:tab w:val="num" w:pos="1134"/>
      </w:tabs>
      <w:spacing w:after="50"/>
      <w:ind w:left="1134" w:hanging="283"/>
    </w:pPr>
  </w:style>
  <w:style w:type="paragraph" w:styleId="ListBullet3">
    <w:name w:val="List Bullet 3"/>
    <w:basedOn w:val="BodyText"/>
    <w:uiPriority w:val="99"/>
    <w:semiHidden/>
    <w:qFormat/>
    <w:rsid w:val="0031220E"/>
    <w:pPr>
      <w:tabs>
        <w:tab w:val="num" w:pos="1072"/>
      </w:tabs>
      <w:ind w:left="1043" w:hanging="329"/>
      <w:contextualSpacing/>
    </w:pPr>
  </w:style>
  <w:style w:type="paragraph" w:styleId="ListBullet4">
    <w:name w:val="List Bullet 4"/>
    <w:basedOn w:val="BodyText"/>
    <w:uiPriority w:val="99"/>
    <w:semiHidden/>
    <w:rsid w:val="0031220E"/>
    <w:pPr>
      <w:tabs>
        <w:tab w:val="num" w:pos="1429"/>
      </w:tabs>
      <w:ind w:left="1429" w:hanging="357"/>
      <w:contextualSpacing/>
    </w:pPr>
  </w:style>
  <w:style w:type="paragraph" w:styleId="ListBullet5">
    <w:name w:val="List Bullet 5"/>
    <w:basedOn w:val="BodyText"/>
    <w:uiPriority w:val="99"/>
    <w:semiHidden/>
    <w:rsid w:val="0031220E"/>
    <w:pPr>
      <w:tabs>
        <w:tab w:val="num" w:pos="1786"/>
      </w:tabs>
      <w:ind w:left="1786" w:hanging="357"/>
      <w:contextualSpacing/>
    </w:pPr>
  </w:style>
  <w:style w:type="paragraph" w:styleId="ListContinue">
    <w:name w:val="List Continue"/>
    <w:basedOn w:val="BodyText"/>
    <w:uiPriority w:val="16"/>
    <w:rsid w:val="0031220E"/>
    <w:pPr>
      <w:spacing w:after="50"/>
      <w:ind w:left="851"/>
    </w:pPr>
  </w:style>
  <w:style w:type="paragraph" w:styleId="ListContinue2">
    <w:name w:val="List Continue 2"/>
    <w:basedOn w:val="BodyText"/>
    <w:uiPriority w:val="16"/>
    <w:rsid w:val="0031220E"/>
    <w:pPr>
      <w:spacing w:after="50"/>
      <w:ind w:left="1134"/>
    </w:pPr>
  </w:style>
  <w:style w:type="paragraph" w:styleId="ListContinue3">
    <w:name w:val="List Continue 3"/>
    <w:basedOn w:val="BodyText"/>
    <w:uiPriority w:val="16"/>
    <w:rsid w:val="0031220E"/>
    <w:pPr>
      <w:spacing w:after="50"/>
      <w:ind w:left="1021"/>
    </w:pPr>
  </w:style>
  <w:style w:type="paragraph" w:styleId="ListContinue4">
    <w:name w:val="List Continue 4"/>
    <w:basedOn w:val="BodyText"/>
    <w:uiPriority w:val="16"/>
    <w:rsid w:val="0031220E"/>
    <w:pPr>
      <w:spacing w:after="50"/>
      <w:ind w:left="1474"/>
    </w:pPr>
  </w:style>
  <w:style w:type="paragraph" w:styleId="ListContinue5">
    <w:name w:val="List Continue 5"/>
    <w:basedOn w:val="BodyText"/>
    <w:uiPriority w:val="16"/>
    <w:rsid w:val="0031220E"/>
    <w:pPr>
      <w:spacing w:after="50"/>
      <w:ind w:left="1928"/>
    </w:pPr>
  </w:style>
  <w:style w:type="paragraph" w:styleId="ListNumber">
    <w:name w:val="List Number"/>
    <w:basedOn w:val="BodyText"/>
    <w:uiPriority w:val="16"/>
    <w:rsid w:val="0031220E"/>
    <w:pPr>
      <w:tabs>
        <w:tab w:val="num" w:pos="360"/>
        <w:tab w:val="num" w:pos="926"/>
        <w:tab w:val="num" w:pos="1021"/>
      </w:tabs>
      <w:spacing w:after="50"/>
      <w:ind w:left="360" w:hanging="454"/>
    </w:pPr>
  </w:style>
  <w:style w:type="paragraph" w:styleId="ListNumber2">
    <w:name w:val="List Number 2"/>
    <w:basedOn w:val="BodyText"/>
    <w:uiPriority w:val="16"/>
    <w:rsid w:val="0031220E"/>
    <w:pPr>
      <w:tabs>
        <w:tab w:val="num" w:pos="360"/>
        <w:tab w:val="num" w:pos="926"/>
        <w:tab w:val="num" w:pos="1474"/>
      </w:tabs>
      <w:spacing w:after="50"/>
      <w:ind w:left="360" w:hanging="453"/>
    </w:pPr>
  </w:style>
  <w:style w:type="paragraph" w:styleId="ListNumber3">
    <w:name w:val="List Number 3"/>
    <w:basedOn w:val="BodyText"/>
    <w:uiPriority w:val="16"/>
    <w:rsid w:val="0031220E"/>
    <w:pPr>
      <w:tabs>
        <w:tab w:val="num" w:pos="360"/>
        <w:tab w:val="num" w:pos="926"/>
        <w:tab w:val="num" w:pos="1928"/>
      </w:tabs>
      <w:spacing w:after="50"/>
      <w:ind w:left="360" w:hanging="454"/>
    </w:pPr>
  </w:style>
  <w:style w:type="paragraph" w:styleId="ListNumber4">
    <w:name w:val="List Number 4"/>
    <w:basedOn w:val="BodyText"/>
    <w:uiPriority w:val="99"/>
    <w:semiHidden/>
    <w:rsid w:val="0031220E"/>
    <w:pPr>
      <w:tabs>
        <w:tab w:val="num" w:pos="360"/>
        <w:tab w:val="num" w:pos="926"/>
        <w:tab w:val="num" w:pos="1429"/>
      </w:tabs>
      <w:ind w:left="360" w:hanging="357"/>
      <w:contextualSpacing/>
    </w:pPr>
  </w:style>
  <w:style w:type="paragraph" w:styleId="ListNumber5">
    <w:name w:val="List Number 5"/>
    <w:basedOn w:val="BodyText"/>
    <w:uiPriority w:val="99"/>
    <w:semiHidden/>
    <w:rsid w:val="0031220E"/>
    <w:pPr>
      <w:tabs>
        <w:tab w:val="num" w:pos="360"/>
        <w:tab w:val="num" w:pos="926"/>
        <w:tab w:val="num" w:pos="1786"/>
      </w:tabs>
      <w:ind w:left="360" w:hanging="357"/>
      <w:contextualSpacing/>
    </w:pPr>
  </w:style>
  <w:style w:type="numbering" w:customStyle="1" w:styleId="NHSBullets">
    <w:name w:val="NHS Bullets"/>
    <w:basedOn w:val="NoList"/>
    <w:uiPriority w:val="99"/>
    <w:rsid w:val="0031220E"/>
    <w:pPr>
      <w:numPr>
        <w:numId w:val="5"/>
      </w:numPr>
    </w:pPr>
  </w:style>
  <w:style w:type="numbering" w:customStyle="1" w:styleId="NHSListNumbers">
    <w:name w:val="NHS List Numbers"/>
    <w:basedOn w:val="NHSBullets"/>
    <w:uiPriority w:val="99"/>
    <w:rsid w:val="0031220E"/>
    <w:pPr>
      <w:numPr>
        <w:numId w:val="6"/>
      </w:numPr>
    </w:pPr>
  </w:style>
  <w:style w:type="paragraph" w:customStyle="1" w:styleId="BodyTextNoSpacing">
    <w:name w:val="Body Text No Spacing"/>
    <w:basedOn w:val="BodyText"/>
    <w:qFormat/>
    <w:rsid w:val="0031220E"/>
    <w:pPr>
      <w:spacing w:after="0"/>
    </w:pPr>
  </w:style>
  <w:style w:type="paragraph" w:customStyle="1" w:styleId="TableText">
    <w:name w:val="Table Text"/>
    <w:basedOn w:val="Normal"/>
    <w:uiPriority w:val="17"/>
    <w:qFormat/>
    <w:rsid w:val="0031220E"/>
    <w:pPr>
      <w:spacing w:after="0" w:line="240" w:lineRule="auto"/>
      <w:textboxTightWrap w:val="none"/>
    </w:pPr>
    <w:rPr>
      <w:rFonts w:eastAsiaTheme="minorHAnsi" w:cstheme="minorBidi"/>
      <w:color w:val="231F20"/>
    </w:rPr>
  </w:style>
  <w:style w:type="paragraph" w:customStyle="1" w:styleId="TableTitle">
    <w:name w:val="Table Title"/>
    <w:basedOn w:val="TableText"/>
    <w:next w:val="TableText"/>
    <w:uiPriority w:val="16"/>
    <w:rsid w:val="0031220E"/>
    <w:rPr>
      <w:b/>
    </w:rPr>
  </w:style>
  <w:style w:type="paragraph" w:customStyle="1" w:styleId="TableBullet">
    <w:name w:val="Table Bullet"/>
    <w:basedOn w:val="TableText"/>
    <w:uiPriority w:val="18"/>
    <w:qFormat/>
    <w:rsid w:val="0031220E"/>
    <w:pPr>
      <w:tabs>
        <w:tab w:val="num" w:pos="284"/>
        <w:tab w:val="num" w:pos="1209"/>
      </w:tabs>
      <w:ind w:left="284" w:hanging="284"/>
    </w:pPr>
  </w:style>
  <w:style w:type="paragraph" w:customStyle="1" w:styleId="TableBullet2">
    <w:name w:val="Table Bullet 2"/>
    <w:basedOn w:val="TableBullet"/>
    <w:uiPriority w:val="18"/>
    <w:qFormat/>
    <w:rsid w:val="0031220E"/>
    <w:pPr>
      <w:tabs>
        <w:tab w:val="clear" w:pos="284"/>
        <w:tab w:val="num" w:pos="567"/>
      </w:tabs>
      <w:ind w:left="567" w:hanging="283"/>
    </w:pPr>
  </w:style>
  <w:style w:type="numbering" w:customStyle="1" w:styleId="NHSTableBullets">
    <w:name w:val="NHS Table Bullets"/>
    <w:basedOn w:val="NoList"/>
    <w:uiPriority w:val="99"/>
    <w:rsid w:val="0031220E"/>
    <w:pPr>
      <w:numPr>
        <w:numId w:val="7"/>
      </w:numPr>
    </w:pPr>
  </w:style>
  <w:style w:type="paragraph" w:customStyle="1" w:styleId="LastBullet">
    <w:name w:val="Last Bullet"/>
    <w:basedOn w:val="ListBullet"/>
    <w:next w:val="BodyText"/>
    <w:uiPriority w:val="15"/>
    <w:qFormat/>
    <w:rsid w:val="0031220E"/>
    <w:pPr>
      <w:spacing w:after="280"/>
    </w:pPr>
  </w:style>
  <w:style w:type="paragraph" w:customStyle="1" w:styleId="LastBullet2">
    <w:name w:val="Last Bullet 2"/>
    <w:basedOn w:val="ListBullet2"/>
    <w:next w:val="BodyText"/>
    <w:uiPriority w:val="15"/>
    <w:qFormat/>
    <w:rsid w:val="0031220E"/>
    <w:pPr>
      <w:spacing w:after="280"/>
      <w:ind w:left="1135" w:hanging="284"/>
    </w:pPr>
  </w:style>
  <w:style w:type="paragraph" w:customStyle="1" w:styleId="Heading1Numbered">
    <w:name w:val="Heading 1 Numbered"/>
    <w:basedOn w:val="Heading1"/>
    <w:next w:val="BodyText"/>
    <w:uiPriority w:val="9"/>
    <w:qFormat/>
    <w:rsid w:val="0031220E"/>
    <w:pPr>
      <w:keepLines/>
      <w:tabs>
        <w:tab w:val="num" w:pos="1492"/>
      </w:tabs>
      <w:spacing w:before="240" w:after="360"/>
      <w:ind w:left="432" w:hanging="432"/>
    </w:pPr>
    <w:rPr>
      <w:rFonts w:eastAsiaTheme="majorEastAsia" w:cstheme="majorBidi"/>
      <w:b/>
      <w:bCs/>
    </w:rPr>
  </w:style>
  <w:style w:type="paragraph" w:customStyle="1" w:styleId="Heading2Numbered">
    <w:name w:val="Heading 2 Numbered"/>
    <w:basedOn w:val="Heading2"/>
    <w:next w:val="BodyText"/>
    <w:uiPriority w:val="9"/>
    <w:qFormat/>
    <w:rsid w:val="0031220E"/>
    <w:pPr>
      <w:keepLines/>
      <w:numPr>
        <w:numId w:val="0"/>
      </w:numPr>
      <w:spacing w:before="60" w:after="280"/>
      <w:ind w:left="576" w:hanging="576"/>
    </w:pPr>
    <w:rPr>
      <w:rFonts w:eastAsiaTheme="majorEastAsia" w:cstheme="majorBidi"/>
      <w:b/>
      <w:szCs w:val="26"/>
    </w:rPr>
  </w:style>
  <w:style w:type="paragraph" w:customStyle="1" w:styleId="Heading3Numbered">
    <w:name w:val="Heading 3 Numbered"/>
    <w:basedOn w:val="Heading3"/>
    <w:next w:val="BodyText"/>
    <w:uiPriority w:val="9"/>
    <w:qFormat/>
    <w:rsid w:val="0031220E"/>
    <w:pPr>
      <w:keepLines/>
      <w:numPr>
        <w:ilvl w:val="2"/>
        <w:numId w:val="0"/>
      </w:numPr>
      <w:tabs>
        <w:tab w:val="num" w:pos="1492"/>
      </w:tabs>
      <w:spacing w:after="300"/>
      <w:ind w:left="720" w:hanging="720"/>
    </w:pPr>
    <w:rPr>
      <w:rFonts w:eastAsiaTheme="majorEastAsia" w:cstheme="majorBidi"/>
      <w:b w:val="0"/>
      <w:color w:val="231F20"/>
      <w:kern w:val="0"/>
      <w14:ligatures w14:val="none"/>
    </w:rPr>
  </w:style>
  <w:style w:type="numbering" w:customStyle="1" w:styleId="NHSHeadings">
    <w:name w:val="NHS Headings"/>
    <w:basedOn w:val="NoList"/>
    <w:uiPriority w:val="99"/>
    <w:rsid w:val="0031220E"/>
    <w:pPr>
      <w:numPr>
        <w:numId w:val="8"/>
      </w:numPr>
    </w:pPr>
  </w:style>
  <w:style w:type="numbering" w:customStyle="1" w:styleId="NHSBodyText">
    <w:name w:val="NHS Body Text"/>
    <w:basedOn w:val="NoList"/>
    <w:uiPriority w:val="99"/>
    <w:rsid w:val="0031220E"/>
    <w:pPr>
      <w:numPr>
        <w:numId w:val="4"/>
      </w:numPr>
    </w:pPr>
  </w:style>
  <w:style w:type="paragraph" w:styleId="BodyText2">
    <w:name w:val="Body Text 2"/>
    <w:basedOn w:val="BodyText"/>
    <w:link w:val="BodyText2Char"/>
    <w:qFormat/>
    <w:rsid w:val="0031220E"/>
    <w:pPr>
      <w:numPr>
        <w:numId w:val="9"/>
      </w:numPr>
      <w:spacing w:after="240"/>
    </w:pPr>
  </w:style>
  <w:style w:type="character" w:customStyle="1" w:styleId="BodyText2Char">
    <w:name w:val="Body Text 2 Char"/>
    <w:basedOn w:val="DefaultParagraphFont"/>
    <w:link w:val="BodyText2"/>
    <w:rsid w:val="0031220E"/>
    <w:rPr>
      <w:rFonts w:ascii="Arial" w:eastAsiaTheme="minorHAnsi" w:hAnsi="Arial" w:cstheme="minorBidi"/>
      <w:color w:val="231F20"/>
      <w:sz w:val="24"/>
      <w:szCs w:val="24"/>
    </w:rPr>
  </w:style>
  <w:style w:type="character" w:customStyle="1" w:styleId="Highlight">
    <w:name w:val="Highlight"/>
    <w:basedOn w:val="DefaultParagraphFont"/>
    <w:uiPriority w:val="1"/>
    <w:rsid w:val="0031220E"/>
    <w:rPr>
      <w:color w:val="41B6E6"/>
    </w:rPr>
  </w:style>
  <w:style w:type="paragraph" w:customStyle="1" w:styleId="IntroText">
    <w:name w:val="Intro Text"/>
    <w:basedOn w:val="BodyText"/>
    <w:next w:val="BodyText"/>
    <w:rsid w:val="0031220E"/>
    <w:pPr>
      <w:spacing w:after="0" w:line="400" w:lineRule="exact"/>
    </w:pPr>
    <w:rPr>
      <w:color w:val="005EB8"/>
      <w:sz w:val="28"/>
    </w:rPr>
  </w:style>
  <w:style w:type="table" w:customStyle="1" w:styleId="NHSTableDarkBlue">
    <w:name w:val="NHS Table Dark Blue"/>
    <w:basedOn w:val="TableNormal"/>
    <w:uiPriority w:val="99"/>
    <w:rsid w:val="0031220E"/>
    <w:rPr>
      <w:rFonts w:ascii="Arial" w:eastAsiaTheme="minorHAnsi" w:hAnsi="Arial" w:cstheme="minorBidi"/>
      <w:color w:val="231F20"/>
      <w:sz w:val="24"/>
      <w:szCs w:val="24"/>
    </w:rPr>
    <w:tblPr>
      <w:tblStyleRowBandSize w:val="1"/>
      <w:tblBorders>
        <w:insideH w:val="single" w:sz="4" w:space="0" w:color="005EB8"/>
        <w:insideV w:val="single" w:sz="4" w:space="0" w:color="005EB8"/>
      </w:tblBorders>
      <w:tblCellMar>
        <w:top w:w="113" w:type="dxa"/>
        <w:bottom w:w="113" w:type="dxa"/>
      </w:tblCellMar>
    </w:tblPr>
    <w:tblStylePr w:type="firstRow">
      <w:rPr>
        <w:rFonts w:ascii="Yu Gothic UI" w:hAnsi="Yu Gothic UI"/>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31220E"/>
    <w:tblPr>
      <w:tblBorders>
        <w:insideH w:val="single" w:sz="4" w:space="0" w:color="0072CE"/>
        <w:insideV w:val="single" w:sz="4" w:space="0" w:color="0072CE"/>
      </w:tblBorders>
    </w:tblPr>
    <w:tblStylePr w:type="firstRow">
      <w:rPr>
        <w:rFonts w:ascii="Bahnschrift SemiBold" w:hAnsi="Bahnschrift Semi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31220E"/>
    <w:tblPr>
      <w:tblBorders>
        <w:insideH w:val="single" w:sz="4" w:space="0" w:color="41B6E6"/>
        <w:insideV w:val="single" w:sz="4" w:space="0" w:color="41B6E6"/>
      </w:tblBorders>
    </w:tblPr>
    <w:tblStylePr w:type="firstRow">
      <w:rPr>
        <w:rFonts w:ascii="Bahnschrift SemiBold" w:hAnsi="Bahnschrift Semi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Green">
    <w:name w:val="NHS Table Green"/>
    <w:basedOn w:val="NHSTableDarkBlue"/>
    <w:uiPriority w:val="99"/>
    <w:rsid w:val="0031220E"/>
    <w:tblPr>
      <w:tblBorders>
        <w:insideH w:val="single" w:sz="4" w:space="0" w:color="009639"/>
        <w:insideV w:val="single" w:sz="4" w:space="0" w:color="009639"/>
      </w:tblBorders>
    </w:tblPr>
    <w:tblStylePr w:type="firstRow">
      <w:rPr>
        <w:rFonts w:ascii="Bahnschrift SemiBold" w:hAnsi="Bahnschrift Semi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DarkRed">
    <w:name w:val="NHS Table Dark Red"/>
    <w:basedOn w:val="NHSTableDarkBlue"/>
    <w:uiPriority w:val="99"/>
    <w:rsid w:val="0031220E"/>
    <w:tblPr>
      <w:tblBorders>
        <w:insideH w:val="single" w:sz="4" w:space="0" w:color="8A1538"/>
        <w:insideV w:val="single" w:sz="4" w:space="0" w:color="8A1538"/>
      </w:tblBorders>
    </w:tblPr>
    <w:tblStylePr w:type="firstRow">
      <w:rPr>
        <w:rFonts w:ascii="Bahnschrift SemiBold" w:hAnsi="Bahnschrift Semi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HighlightBoxDarkBlue">
    <w:name w:val="NHS Highlight Box Dark Blue"/>
    <w:basedOn w:val="TableNormal"/>
    <w:uiPriority w:val="99"/>
    <w:rsid w:val="0031220E"/>
    <w:rPr>
      <w:rFonts w:ascii="Arial" w:eastAsiaTheme="minorHAnsi" w:hAnsi="Arial" w:cstheme="minorBidi"/>
      <w:color w:val="231F20"/>
      <w:sz w:val="24"/>
      <w:szCs w:val="24"/>
    </w:rPr>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31220E"/>
    <w:tblPr/>
    <w:tcPr>
      <w:shd w:val="clear" w:color="auto" w:fill="CCE3F5"/>
    </w:tcPr>
  </w:style>
  <w:style w:type="table" w:customStyle="1" w:styleId="NHSHighlightBoxLightBlue">
    <w:name w:val="NHS Highlight Box Light Blue"/>
    <w:basedOn w:val="NHSHighlightBoxDarkBlue"/>
    <w:uiPriority w:val="99"/>
    <w:rsid w:val="0031220E"/>
    <w:tblPr/>
    <w:tcPr>
      <w:shd w:val="clear" w:color="auto" w:fill="D9F0FA"/>
    </w:tcPr>
  </w:style>
  <w:style w:type="table" w:customStyle="1" w:styleId="NHSHighlightBoxGreen">
    <w:name w:val="NHS Highlight Box Green"/>
    <w:basedOn w:val="NHSHighlightBoxDarkBlue"/>
    <w:uiPriority w:val="99"/>
    <w:rsid w:val="0031220E"/>
    <w:tblPr/>
    <w:tcPr>
      <w:shd w:val="clear" w:color="auto" w:fill="CCEAD7"/>
    </w:tcPr>
  </w:style>
  <w:style w:type="table" w:customStyle="1" w:styleId="NHSHighlightBoxDarkRed">
    <w:name w:val="NHS Highlight Box Dark Red"/>
    <w:basedOn w:val="NHSHighlightBoxDarkBlue"/>
    <w:uiPriority w:val="99"/>
    <w:rsid w:val="0031220E"/>
    <w:tblPr/>
    <w:tcPr>
      <w:shd w:val="clear" w:color="auto" w:fill="E8D0D7"/>
    </w:tcPr>
  </w:style>
  <w:style w:type="paragraph" w:customStyle="1" w:styleId="BackPage">
    <w:name w:val="Back Page"/>
    <w:basedOn w:val="Normal"/>
    <w:uiPriority w:val="99"/>
    <w:rsid w:val="0031220E"/>
    <w:pPr>
      <w:spacing w:after="0" w:line="240" w:lineRule="auto"/>
      <w:textboxTightWrap w:val="none"/>
    </w:pPr>
    <w:rPr>
      <w:rFonts w:eastAsiaTheme="minorHAnsi" w:cstheme="minorBidi"/>
      <w:color w:val="005EB8"/>
    </w:rPr>
  </w:style>
  <w:style w:type="table" w:customStyle="1" w:styleId="NHSTableBlue">
    <w:name w:val="NHS Table Blue"/>
    <w:basedOn w:val="NHSTableDarkBlue"/>
    <w:uiPriority w:val="99"/>
    <w:rsid w:val="0031220E"/>
    <w:tblPr/>
    <w:tblStylePr w:type="firstRow">
      <w:rPr>
        <w:rFonts w:ascii="Bahnschrift SemiBold" w:hAnsi="Bahnschrift Semi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HighlightBoxBlue">
    <w:name w:val="NHS Highlight Box Blue"/>
    <w:basedOn w:val="TableNormal"/>
    <w:uiPriority w:val="99"/>
    <w:rsid w:val="0031220E"/>
    <w:rPr>
      <w:rFonts w:ascii="Arial" w:eastAsiaTheme="minorHAnsi" w:hAnsi="Arial" w:cstheme="minorBidi"/>
      <w:color w:val="231F20"/>
      <w:sz w:val="24"/>
      <w:szCs w:val="24"/>
    </w:rPr>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31220E"/>
    <w:rPr>
      <w:color w:val="005EB8"/>
    </w:rPr>
  </w:style>
  <w:style w:type="character" w:styleId="UnresolvedMention">
    <w:name w:val="Unresolved Mention"/>
    <w:basedOn w:val="DefaultParagraphFont"/>
    <w:uiPriority w:val="99"/>
    <w:unhideWhenUsed/>
    <w:rsid w:val="0031220E"/>
    <w:rPr>
      <w:color w:val="605E5C"/>
      <w:shd w:val="clear" w:color="auto" w:fill="E1DFDD"/>
    </w:rPr>
  </w:style>
  <w:style w:type="table" w:styleId="ListTable3-Accent1">
    <w:name w:val="List Table 3 Accent 1"/>
    <w:basedOn w:val="TableNormal"/>
    <w:uiPriority w:val="48"/>
    <w:rsid w:val="0031220E"/>
    <w:rPr>
      <w:rFonts w:ascii="Arial" w:eastAsiaTheme="minorHAnsi" w:hAnsi="Arial" w:cstheme="minorBidi"/>
      <w:color w:val="231F20"/>
      <w:sz w:val="24"/>
      <w:szCs w:val="24"/>
    </w:rPr>
    <w:tblPr>
      <w:tblStyleRowBandSize w:val="1"/>
      <w:tblStyleColBandSize w:val="1"/>
      <w:tblBorders>
        <w:top w:val="single" w:sz="4" w:space="0" w:color="003087" w:themeColor="accent1"/>
        <w:left w:val="single" w:sz="4" w:space="0" w:color="003087" w:themeColor="accent1"/>
        <w:bottom w:val="single" w:sz="4" w:space="0" w:color="003087" w:themeColor="accent1"/>
        <w:right w:val="single" w:sz="4" w:space="0" w:color="003087" w:themeColor="accent1"/>
      </w:tblBorders>
    </w:tblPr>
    <w:tblStylePr w:type="firstRow">
      <w:rPr>
        <w:b/>
        <w:bCs/>
        <w:color w:val="231F20" w:themeColor="background1"/>
      </w:rPr>
      <w:tblPr/>
      <w:tcPr>
        <w:shd w:val="clear" w:color="auto" w:fill="003087" w:themeFill="accent1"/>
      </w:tcPr>
    </w:tblStylePr>
    <w:tblStylePr w:type="lastRow">
      <w:rPr>
        <w:b/>
        <w:bCs/>
      </w:rPr>
      <w:tblPr/>
      <w:tcPr>
        <w:tcBorders>
          <w:top w:val="double" w:sz="4" w:space="0" w:color="003087" w:themeColor="accent1"/>
        </w:tcBorders>
        <w:shd w:val="clear" w:color="auto" w:fill="231F20" w:themeFill="background1"/>
      </w:tcPr>
    </w:tblStylePr>
    <w:tblStylePr w:type="firstCol">
      <w:rPr>
        <w:b/>
        <w:bCs/>
      </w:rPr>
      <w:tblPr/>
      <w:tcPr>
        <w:tcBorders>
          <w:right w:val="nil"/>
        </w:tcBorders>
        <w:shd w:val="clear" w:color="auto" w:fill="231F20" w:themeFill="background1"/>
      </w:tcPr>
    </w:tblStylePr>
    <w:tblStylePr w:type="lastCol">
      <w:rPr>
        <w:b/>
        <w:bCs/>
      </w:rPr>
      <w:tblPr/>
      <w:tcPr>
        <w:tcBorders>
          <w:left w:val="nil"/>
        </w:tcBorders>
        <w:shd w:val="clear" w:color="auto" w:fill="231F20" w:themeFill="background1"/>
      </w:tcPr>
    </w:tblStylePr>
    <w:tblStylePr w:type="band1Vert">
      <w:tblPr/>
      <w:tcPr>
        <w:tcBorders>
          <w:left w:val="single" w:sz="4" w:space="0" w:color="003087" w:themeColor="accent1"/>
          <w:right w:val="single" w:sz="4" w:space="0" w:color="003087" w:themeColor="accent1"/>
        </w:tcBorders>
      </w:tcPr>
    </w:tblStylePr>
    <w:tblStylePr w:type="band1Horz">
      <w:tblPr/>
      <w:tcPr>
        <w:tcBorders>
          <w:top w:val="single" w:sz="4" w:space="0" w:color="003087" w:themeColor="accent1"/>
          <w:bottom w:val="single" w:sz="4" w:space="0" w:color="00308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87" w:themeColor="accent1"/>
          <w:left w:val="nil"/>
        </w:tcBorders>
      </w:tcPr>
    </w:tblStylePr>
    <w:tblStylePr w:type="swCell">
      <w:tblPr/>
      <w:tcPr>
        <w:tcBorders>
          <w:top w:val="double" w:sz="4" w:space="0" w:color="003087" w:themeColor="accent1"/>
          <w:right w:val="nil"/>
        </w:tcBorders>
      </w:tcPr>
    </w:tblStylePr>
  </w:style>
  <w:style w:type="character" w:styleId="Mention">
    <w:name w:val="Mention"/>
    <w:basedOn w:val="DefaultParagraphFont"/>
    <w:uiPriority w:val="99"/>
    <w:unhideWhenUsed/>
    <w:rsid w:val="0031220E"/>
    <w:rPr>
      <w:color w:val="2B579A"/>
      <w:shd w:val="clear" w:color="auto" w:fill="E1DFDD"/>
    </w:rPr>
  </w:style>
  <w:style w:type="paragraph" w:styleId="FootnoteText">
    <w:name w:val="footnote text"/>
    <w:basedOn w:val="Normal"/>
    <w:link w:val="FootnoteTextChar"/>
    <w:uiPriority w:val="99"/>
    <w:semiHidden/>
    <w:unhideWhenUsed/>
    <w:rsid w:val="0031220E"/>
    <w:pPr>
      <w:spacing w:after="0" w:line="240" w:lineRule="auto"/>
      <w:textboxTightWrap w:val="none"/>
    </w:pPr>
    <w:rPr>
      <w:rFonts w:eastAsiaTheme="minorHAnsi" w:cstheme="minorBidi"/>
      <w:color w:val="231F20"/>
      <w:sz w:val="20"/>
      <w:szCs w:val="20"/>
    </w:rPr>
  </w:style>
  <w:style w:type="character" w:customStyle="1" w:styleId="FootnoteTextChar">
    <w:name w:val="Footnote Text Char"/>
    <w:basedOn w:val="DefaultParagraphFont"/>
    <w:link w:val="FootnoteText"/>
    <w:uiPriority w:val="99"/>
    <w:semiHidden/>
    <w:rsid w:val="0031220E"/>
    <w:rPr>
      <w:rFonts w:ascii="Arial" w:eastAsiaTheme="minorHAnsi" w:hAnsi="Arial" w:cstheme="minorBidi"/>
      <w:color w:val="231F20"/>
    </w:rPr>
  </w:style>
  <w:style w:type="paragraph" w:customStyle="1" w:styleId="paragraph">
    <w:name w:val="paragraph"/>
    <w:basedOn w:val="Normal"/>
    <w:rsid w:val="0031220E"/>
    <w:pPr>
      <w:spacing w:before="100" w:beforeAutospacing="1" w:after="100" w:afterAutospacing="1" w:line="240" w:lineRule="auto"/>
      <w:textboxTightWrap w:val="none"/>
    </w:pPr>
    <w:rPr>
      <w:rFonts w:ascii="Times New Roman" w:hAnsi="Times New Roman"/>
      <w:color w:val="auto"/>
      <w:lang w:val="en-US"/>
    </w:rPr>
  </w:style>
  <w:style w:type="character" w:customStyle="1" w:styleId="normaltextrun">
    <w:name w:val="normaltextrun"/>
    <w:basedOn w:val="DefaultParagraphFont"/>
    <w:rsid w:val="0031220E"/>
  </w:style>
  <w:style w:type="character" w:customStyle="1" w:styleId="eop">
    <w:name w:val="eop"/>
    <w:basedOn w:val="DefaultParagraphFont"/>
    <w:rsid w:val="0031220E"/>
  </w:style>
  <w:style w:type="character" w:customStyle="1" w:styleId="spellingerror">
    <w:name w:val="spellingerror"/>
    <w:basedOn w:val="DefaultParagraphFont"/>
    <w:rsid w:val="0031220E"/>
  </w:style>
  <w:style w:type="character" w:customStyle="1" w:styleId="advancedproofingissue">
    <w:name w:val="advancedproofingissue"/>
    <w:basedOn w:val="DefaultParagraphFont"/>
    <w:rsid w:val="0031220E"/>
  </w:style>
  <w:style w:type="table" w:styleId="TableGridLight">
    <w:name w:val="Grid Table Light"/>
    <w:basedOn w:val="TableNormal"/>
    <w:uiPriority w:val="40"/>
    <w:rsid w:val="0031220E"/>
    <w:rPr>
      <w:rFonts w:ascii="Arial" w:eastAsiaTheme="minorHAnsi" w:hAnsi="Arial" w:cstheme="minorBidi"/>
      <w:color w:val="231F20"/>
      <w:sz w:val="24"/>
      <w:szCs w:val="24"/>
    </w:rPr>
    <w:tblPr>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
  </w:style>
  <w:style w:type="paragraph" w:styleId="NormalWeb">
    <w:name w:val="Normal (Web)"/>
    <w:basedOn w:val="Normal"/>
    <w:uiPriority w:val="99"/>
    <w:semiHidden/>
    <w:unhideWhenUsed/>
    <w:rsid w:val="0031220E"/>
    <w:pPr>
      <w:spacing w:before="100" w:beforeAutospacing="1" w:after="100" w:afterAutospacing="1" w:line="240" w:lineRule="auto"/>
      <w:textboxTightWrap w:val="none"/>
    </w:pPr>
    <w:rPr>
      <w:rFonts w:ascii="Times New Roman" w:hAnsi="Times New Roman"/>
      <w:color w:val="auto"/>
      <w:lang w:eastAsia="en-GB"/>
    </w:rPr>
  </w:style>
  <w:style w:type="paragraph" w:styleId="Revision">
    <w:name w:val="Revision"/>
    <w:hidden/>
    <w:uiPriority w:val="99"/>
    <w:semiHidden/>
    <w:rsid w:val="0031220E"/>
    <w:rPr>
      <w:rFonts w:ascii="Arial" w:eastAsiaTheme="minorHAnsi" w:hAnsi="Arial" w:cstheme="minorBidi"/>
      <w:color w:val="231F20"/>
      <w:sz w:val="24"/>
      <w:szCs w:val="24"/>
    </w:rPr>
  </w:style>
  <w:style w:type="table" w:customStyle="1" w:styleId="TableGrid1">
    <w:name w:val="Table Grid1"/>
    <w:basedOn w:val="TableNormal"/>
    <w:next w:val="TableGrid"/>
    <w:uiPriority w:val="39"/>
    <w:rsid w:val="0031220E"/>
    <w:rPr>
      <w:rFonts w:ascii="Calibri" w:eastAsiaTheme="minorHAns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1220E"/>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31220E"/>
    <w:rPr>
      <w:rFonts w:asciiTheme="minorHAnsi" w:eastAsiaTheme="minorEastAsia" w:hAnsiTheme="minorHAnsi" w:cstheme="minorBidi"/>
      <w:sz w:val="22"/>
      <w:szCs w:val="22"/>
      <w:lang w:val="en-US"/>
    </w:rPr>
  </w:style>
  <w:style w:type="table" w:styleId="ListTable3-Accent3">
    <w:name w:val="List Table 3 Accent 3"/>
    <w:basedOn w:val="TableNormal"/>
    <w:uiPriority w:val="48"/>
    <w:rsid w:val="0031220E"/>
    <w:rPr>
      <w:rFonts w:ascii="Arial" w:eastAsiaTheme="minorHAnsi" w:hAnsi="Arial" w:cstheme="minorBidi"/>
      <w:color w:val="231F20"/>
      <w:sz w:val="24"/>
      <w:szCs w:val="24"/>
    </w:rPr>
    <w:tblPr>
      <w:tblStyleRowBandSize w:val="1"/>
      <w:tblStyleColBandSize w:val="1"/>
      <w:tblBorders>
        <w:top w:val="single" w:sz="4" w:space="0" w:color="C7CED3" w:themeColor="accent3"/>
        <w:left w:val="single" w:sz="4" w:space="0" w:color="C7CED3" w:themeColor="accent3"/>
        <w:bottom w:val="single" w:sz="4" w:space="0" w:color="C7CED3" w:themeColor="accent3"/>
        <w:right w:val="single" w:sz="4" w:space="0" w:color="C7CED3" w:themeColor="accent3"/>
      </w:tblBorders>
    </w:tblPr>
    <w:tblStylePr w:type="firstRow">
      <w:rPr>
        <w:b/>
        <w:bCs/>
        <w:color w:val="231F20" w:themeColor="background1"/>
      </w:rPr>
      <w:tblPr/>
      <w:tcPr>
        <w:shd w:val="clear" w:color="auto" w:fill="C7CED3" w:themeFill="accent3"/>
      </w:tcPr>
    </w:tblStylePr>
    <w:tblStylePr w:type="lastRow">
      <w:rPr>
        <w:b/>
        <w:bCs/>
      </w:rPr>
      <w:tblPr/>
      <w:tcPr>
        <w:tcBorders>
          <w:top w:val="double" w:sz="4" w:space="0" w:color="C7CED3" w:themeColor="accent3"/>
        </w:tcBorders>
        <w:shd w:val="clear" w:color="auto" w:fill="231F20" w:themeFill="background1"/>
      </w:tcPr>
    </w:tblStylePr>
    <w:tblStylePr w:type="firstCol">
      <w:rPr>
        <w:b/>
        <w:bCs/>
      </w:rPr>
      <w:tblPr/>
      <w:tcPr>
        <w:tcBorders>
          <w:right w:val="nil"/>
        </w:tcBorders>
        <w:shd w:val="clear" w:color="auto" w:fill="231F20" w:themeFill="background1"/>
      </w:tcPr>
    </w:tblStylePr>
    <w:tblStylePr w:type="lastCol">
      <w:rPr>
        <w:b/>
        <w:bCs/>
      </w:rPr>
      <w:tblPr/>
      <w:tcPr>
        <w:tcBorders>
          <w:left w:val="nil"/>
        </w:tcBorders>
        <w:shd w:val="clear" w:color="auto" w:fill="231F20" w:themeFill="background1"/>
      </w:tcPr>
    </w:tblStylePr>
    <w:tblStylePr w:type="band1Vert">
      <w:tblPr/>
      <w:tcPr>
        <w:tcBorders>
          <w:left w:val="single" w:sz="4" w:space="0" w:color="C7CED3" w:themeColor="accent3"/>
          <w:right w:val="single" w:sz="4" w:space="0" w:color="C7CED3" w:themeColor="accent3"/>
        </w:tcBorders>
      </w:tcPr>
    </w:tblStylePr>
    <w:tblStylePr w:type="band1Horz">
      <w:tblPr/>
      <w:tcPr>
        <w:tcBorders>
          <w:top w:val="single" w:sz="4" w:space="0" w:color="C7CED3" w:themeColor="accent3"/>
          <w:bottom w:val="single" w:sz="4" w:space="0" w:color="C7CED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ED3" w:themeColor="accent3"/>
          <w:left w:val="nil"/>
        </w:tcBorders>
      </w:tcPr>
    </w:tblStylePr>
    <w:tblStylePr w:type="swCell">
      <w:tblPr/>
      <w:tcPr>
        <w:tcBorders>
          <w:top w:val="double" w:sz="4" w:space="0" w:color="C7CED3" w:themeColor="accent3"/>
          <w:right w:val="nil"/>
        </w:tcBorders>
      </w:tcPr>
    </w:tblStylePr>
  </w:style>
  <w:style w:type="character" w:styleId="FollowedHyperlink">
    <w:name w:val="FollowedHyperlink"/>
    <w:basedOn w:val="DefaultParagraphFont"/>
    <w:uiPriority w:val="99"/>
    <w:semiHidden/>
    <w:unhideWhenUsed/>
    <w:rsid w:val="0031220E"/>
    <w:rPr>
      <w:color w:val="003087" w:themeColor="followedHyperlink"/>
      <w:u w:val="single"/>
    </w:rPr>
  </w:style>
  <w:style w:type="table" w:customStyle="1" w:styleId="ListTable3-Accent11">
    <w:name w:val="List Table 3 - Accent 11"/>
    <w:basedOn w:val="TableNormal"/>
    <w:next w:val="ListTable3-Accent1"/>
    <w:uiPriority w:val="48"/>
    <w:rsid w:val="0031220E"/>
    <w:rPr>
      <w:rFonts w:ascii="Arial" w:eastAsiaTheme="minorHAnsi" w:hAnsi="Arial" w:cstheme="minorBidi"/>
      <w:color w:val="231F20"/>
      <w:sz w:val="24"/>
      <w:szCs w:val="24"/>
    </w:rPr>
    <w:tblPr>
      <w:tblStyleRowBandSize w:val="1"/>
      <w:tblStyleColBandSize w:val="1"/>
      <w:tblBorders>
        <w:top w:val="single" w:sz="4" w:space="0" w:color="005EB8"/>
        <w:left w:val="single" w:sz="4" w:space="0" w:color="005EB8"/>
        <w:bottom w:val="single" w:sz="4" w:space="0" w:color="005EB8"/>
        <w:right w:val="single" w:sz="4" w:space="0" w:color="005EB8"/>
      </w:tblBorders>
    </w:tblPr>
    <w:tblStylePr w:type="firstRow">
      <w:rPr>
        <w:b/>
        <w:bCs/>
        <w:color w:val="FFFFFF"/>
      </w:rPr>
      <w:tblPr/>
      <w:tcPr>
        <w:shd w:val="clear" w:color="auto" w:fill="005EB8"/>
      </w:tcPr>
    </w:tblStylePr>
    <w:tblStylePr w:type="lastRow">
      <w:rPr>
        <w:b/>
        <w:bCs/>
      </w:rPr>
      <w:tblPr/>
      <w:tcPr>
        <w:tcBorders>
          <w:top w:val="double" w:sz="4" w:space="0" w:color="005EB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EB8"/>
          <w:right w:val="single" w:sz="4" w:space="0" w:color="005EB8"/>
        </w:tcBorders>
      </w:tcPr>
    </w:tblStylePr>
    <w:tblStylePr w:type="band1Horz">
      <w:tblPr/>
      <w:tcPr>
        <w:tcBorders>
          <w:top w:val="single" w:sz="4" w:space="0" w:color="005EB8"/>
          <w:bottom w:val="single" w:sz="4" w:space="0" w:color="005EB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EB8"/>
          <w:left w:val="nil"/>
        </w:tcBorders>
      </w:tcPr>
    </w:tblStylePr>
    <w:tblStylePr w:type="swCell">
      <w:tblPr/>
      <w:tcPr>
        <w:tcBorders>
          <w:top w:val="double" w:sz="4" w:space="0" w:color="005EB8"/>
          <w:right w:val="nil"/>
        </w:tcBorders>
      </w:tcPr>
    </w:tblStylePr>
  </w:style>
  <w:style w:type="character" w:customStyle="1" w:styleId="ui-provider">
    <w:name w:val="ui-provider"/>
    <w:basedOn w:val="DefaultParagraphFont"/>
    <w:rsid w:val="0031220E"/>
  </w:style>
  <w:style w:type="character" w:styleId="SmartLink">
    <w:name w:val="Smart Link"/>
    <w:basedOn w:val="DefaultParagraphFont"/>
    <w:uiPriority w:val="99"/>
    <w:semiHidden/>
    <w:unhideWhenUsed/>
    <w:rsid w:val="0031220E"/>
    <w:rPr>
      <w:color w:val="0000FF"/>
      <w:u w:val="single"/>
      <w:shd w:val="clear" w:color="auto" w:fill="F3F2F1"/>
    </w:rPr>
  </w:style>
  <w:style w:type="paragraph" w:customStyle="1" w:styleId="pf0">
    <w:name w:val="pf0"/>
    <w:basedOn w:val="Normal"/>
    <w:rsid w:val="0031220E"/>
    <w:pPr>
      <w:spacing w:before="100" w:beforeAutospacing="1" w:after="100" w:afterAutospacing="1" w:line="240" w:lineRule="auto"/>
      <w:textboxTightWrap w:val="none"/>
    </w:pPr>
    <w:rPr>
      <w:rFonts w:ascii="Times New Roman" w:hAnsi="Times New Roman"/>
      <w:color w:val="auto"/>
      <w:lang w:eastAsia="en-GB"/>
    </w:rPr>
  </w:style>
  <w:style w:type="character" w:customStyle="1" w:styleId="cf01">
    <w:name w:val="cf01"/>
    <w:basedOn w:val="DefaultParagraphFont"/>
    <w:rsid w:val="0031220E"/>
    <w:rPr>
      <w:rFonts w:ascii="Segoe UI" w:hAnsi="Segoe UI" w:cs="Segoe UI" w:hint="default"/>
      <w:color w:val="231F20"/>
      <w:sz w:val="18"/>
      <w:szCs w:val="18"/>
    </w:rPr>
  </w:style>
  <w:style w:type="character" w:customStyle="1" w:styleId="cf11">
    <w:name w:val="cf11"/>
    <w:basedOn w:val="DefaultParagraphFont"/>
    <w:rsid w:val="0031220E"/>
    <w:rPr>
      <w:rFonts w:ascii="Segoe UI" w:hAnsi="Segoe UI" w:cs="Segoe UI" w:hint="default"/>
      <w:sz w:val="18"/>
      <w:szCs w:val="18"/>
    </w:rPr>
  </w:style>
  <w:style w:type="paragraph" w:customStyle="1" w:styleId="xmsonormal">
    <w:name w:val="x_msonormal"/>
    <w:basedOn w:val="Normal"/>
    <w:rsid w:val="0031220E"/>
    <w:pPr>
      <w:spacing w:after="0" w:line="240" w:lineRule="auto"/>
      <w:textboxTightWrap w:val="none"/>
    </w:pPr>
    <w:rPr>
      <w:rFonts w:ascii="Calibri" w:eastAsiaTheme="minorHAnsi" w:hAnsi="Calibri" w:cs="Calibri"/>
      <w:color w:val="auto"/>
      <w:sz w:val="20"/>
      <w:szCs w:val="20"/>
      <w:lang w:eastAsia="en-GB"/>
    </w:rPr>
  </w:style>
  <w:style w:type="paragraph" w:styleId="EndnoteText">
    <w:name w:val="endnote text"/>
    <w:basedOn w:val="Normal"/>
    <w:link w:val="EndnoteTextChar"/>
    <w:uiPriority w:val="99"/>
    <w:semiHidden/>
    <w:unhideWhenUsed/>
    <w:rsid w:val="0031220E"/>
    <w:pPr>
      <w:spacing w:after="0" w:line="240" w:lineRule="auto"/>
      <w:textboxTightWrap w:val="none"/>
    </w:pPr>
    <w:rPr>
      <w:rFonts w:eastAsiaTheme="minorHAnsi" w:cstheme="minorBidi"/>
      <w:color w:val="231F20"/>
      <w:sz w:val="20"/>
      <w:szCs w:val="20"/>
    </w:rPr>
  </w:style>
  <w:style w:type="character" w:customStyle="1" w:styleId="EndnoteTextChar">
    <w:name w:val="Endnote Text Char"/>
    <w:basedOn w:val="DefaultParagraphFont"/>
    <w:link w:val="EndnoteText"/>
    <w:uiPriority w:val="99"/>
    <w:semiHidden/>
    <w:rsid w:val="0031220E"/>
    <w:rPr>
      <w:rFonts w:ascii="Arial" w:eastAsiaTheme="minorHAnsi" w:hAnsi="Arial" w:cstheme="minorBidi"/>
      <w:color w:val="231F20"/>
    </w:rPr>
  </w:style>
  <w:style w:type="character" w:styleId="EndnoteReference">
    <w:name w:val="endnote reference"/>
    <w:basedOn w:val="DefaultParagraphFont"/>
    <w:uiPriority w:val="99"/>
    <w:semiHidden/>
    <w:unhideWhenUsed/>
    <w:rsid w:val="0031220E"/>
    <w:rPr>
      <w:vertAlign w:val="superscript"/>
    </w:rPr>
  </w:style>
  <w:style w:type="character" w:customStyle="1" w:styleId="contentpasted0">
    <w:name w:val="contentpasted0"/>
    <w:basedOn w:val="DefaultParagraphFont"/>
    <w:rsid w:val="0031220E"/>
  </w:style>
  <w:style w:type="character" w:customStyle="1" w:styleId="contentpasted8">
    <w:name w:val="contentpasted8"/>
    <w:basedOn w:val="DefaultParagraphFont"/>
    <w:rsid w:val="0031220E"/>
  </w:style>
  <w:style w:type="character" w:customStyle="1" w:styleId="contentpasted12">
    <w:name w:val="contentpasted12"/>
    <w:basedOn w:val="DefaultParagraphFont"/>
    <w:rsid w:val="0031220E"/>
  </w:style>
  <w:style w:type="character" w:customStyle="1" w:styleId="xcontentpasted2">
    <w:name w:val="x_contentpasted2"/>
    <w:basedOn w:val="DefaultParagraphFont"/>
    <w:rsid w:val="0031220E"/>
  </w:style>
  <w:style w:type="character" w:customStyle="1" w:styleId="contentpasted14">
    <w:name w:val="contentpasted14"/>
    <w:basedOn w:val="DefaultParagraphFont"/>
    <w:rsid w:val="0031220E"/>
  </w:style>
  <w:style w:type="character" w:customStyle="1" w:styleId="contentpasted15">
    <w:name w:val="contentpasted15"/>
    <w:basedOn w:val="DefaultParagraphFont"/>
    <w:rsid w:val="0031220E"/>
  </w:style>
  <w:style w:type="table" w:styleId="GridTable5Dark-Accent2">
    <w:name w:val="Grid Table 5 Dark Accent 2"/>
    <w:basedOn w:val="TableNormal"/>
    <w:uiPriority w:val="50"/>
    <w:rsid w:val="00A4118C"/>
    <w:tblPr>
      <w:tblStyleRowBandSize w:val="1"/>
      <w:tblStyleColBandSize w:val="1"/>
      <w:tblBorders>
        <w:top w:val="single" w:sz="4" w:space="0" w:color="231F20" w:themeColor="background1"/>
        <w:left w:val="single" w:sz="4" w:space="0" w:color="231F20" w:themeColor="background1"/>
        <w:bottom w:val="single" w:sz="4" w:space="0" w:color="231F20" w:themeColor="background1"/>
        <w:right w:val="single" w:sz="4" w:space="0" w:color="231F20" w:themeColor="background1"/>
        <w:insideH w:val="single" w:sz="4" w:space="0" w:color="231F20" w:themeColor="background1"/>
        <w:insideV w:val="single" w:sz="4" w:space="0" w:color="231F20" w:themeColor="background1"/>
      </w:tblBorders>
    </w:tblPr>
    <w:tcPr>
      <w:shd w:val="clear" w:color="auto" w:fill="E3E6E9" w:themeFill="accent2" w:themeFillTint="33"/>
    </w:tcPr>
    <w:tblStylePr w:type="firstRow">
      <w:rPr>
        <w:b/>
        <w:bCs/>
        <w:color w:val="231F20" w:themeColor="background1"/>
      </w:rPr>
      <w:tblPr/>
      <w:tcPr>
        <w:tcBorders>
          <w:top w:val="single" w:sz="4" w:space="0" w:color="231F20" w:themeColor="background1"/>
          <w:left w:val="single" w:sz="4" w:space="0" w:color="231F20" w:themeColor="background1"/>
          <w:right w:val="single" w:sz="4" w:space="0" w:color="231F20" w:themeColor="background1"/>
          <w:insideH w:val="nil"/>
          <w:insideV w:val="nil"/>
        </w:tcBorders>
        <w:shd w:val="clear" w:color="auto" w:fill="768692" w:themeFill="accent2"/>
      </w:tcPr>
    </w:tblStylePr>
    <w:tblStylePr w:type="lastRow">
      <w:rPr>
        <w:b/>
        <w:bCs/>
        <w:color w:val="231F20" w:themeColor="background1"/>
      </w:rPr>
      <w:tblPr/>
      <w:tcPr>
        <w:tcBorders>
          <w:left w:val="single" w:sz="4" w:space="0" w:color="231F20" w:themeColor="background1"/>
          <w:bottom w:val="single" w:sz="4" w:space="0" w:color="231F20" w:themeColor="background1"/>
          <w:right w:val="single" w:sz="4" w:space="0" w:color="231F20" w:themeColor="background1"/>
          <w:insideH w:val="nil"/>
          <w:insideV w:val="nil"/>
        </w:tcBorders>
        <w:shd w:val="clear" w:color="auto" w:fill="768692" w:themeFill="accent2"/>
      </w:tcPr>
    </w:tblStylePr>
    <w:tblStylePr w:type="firstCol">
      <w:rPr>
        <w:b/>
        <w:bCs/>
        <w:color w:val="231F20" w:themeColor="background1"/>
      </w:rPr>
      <w:tblPr/>
      <w:tcPr>
        <w:tcBorders>
          <w:top w:val="single" w:sz="4" w:space="0" w:color="231F20" w:themeColor="background1"/>
          <w:left w:val="single" w:sz="4" w:space="0" w:color="231F20" w:themeColor="background1"/>
          <w:bottom w:val="single" w:sz="4" w:space="0" w:color="231F20" w:themeColor="background1"/>
          <w:insideV w:val="nil"/>
        </w:tcBorders>
        <w:shd w:val="clear" w:color="auto" w:fill="768692" w:themeFill="accent2"/>
      </w:tcPr>
    </w:tblStylePr>
    <w:tblStylePr w:type="lastCol">
      <w:rPr>
        <w:b/>
        <w:bCs/>
        <w:color w:val="231F20" w:themeColor="background1"/>
      </w:rPr>
      <w:tblPr/>
      <w:tcPr>
        <w:tcBorders>
          <w:top w:val="single" w:sz="4" w:space="0" w:color="231F20" w:themeColor="background1"/>
          <w:bottom w:val="single" w:sz="4" w:space="0" w:color="231F20" w:themeColor="background1"/>
          <w:right w:val="single" w:sz="4" w:space="0" w:color="231F20" w:themeColor="background1"/>
          <w:insideV w:val="nil"/>
        </w:tcBorders>
        <w:shd w:val="clear" w:color="auto" w:fill="768692" w:themeFill="accent2"/>
      </w:tcPr>
    </w:tblStylePr>
    <w:tblStylePr w:type="band1Vert">
      <w:tblPr/>
      <w:tcPr>
        <w:shd w:val="clear" w:color="auto" w:fill="C8CED3" w:themeFill="accent2" w:themeFillTint="66"/>
      </w:tcPr>
    </w:tblStylePr>
    <w:tblStylePr w:type="band1Horz">
      <w:tblPr/>
      <w:tcPr>
        <w:shd w:val="clear" w:color="auto" w:fill="C8CED3" w:themeFill="accent2" w:themeFillTint="66"/>
      </w:tcPr>
    </w:tblStylePr>
  </w:style>
  <w:style w:type="table" w:styleId="GridTable6Colorful-Accent6">
    <w:name w:val="Grid Table 6 Colorful Accent 6"/>
    <w:basedOn w:val="TableNormal"/>
    <w:uiPriority w:val="51"/>
    <w:rsid w:val="00A4118C"/>
    <w:rPr>
      <w:color w:val="313F4A" w:themeColor="accent6" w:themeShade="BF"/>
    </w:rPr>
    <w:tblPr>
      <w:tblStyleRowBandSize w:val="1"/>
      <w:tblStyleColBandSize w:val="1"/>
      <w:tblBorders>
        <w:top w:val="single" w:sz="4" w:space="0" w:color="829AAC" w:themeColor="accent6" w:themeTint="99"/>
        <w:left w:val="single" w:sz="4" w:space="0" w:color="829AAC" w:themeColor="accent6" w:themeTint="99"/>
        <w:bottom w:val="single" w:sz="4" w:space="0" w:color="829AAC" w:themeColor="accent6" w:themeTint="99"/>
        <w:right w:val="single" w:sz="4" w:space="0" w:color="829AAC" w:themeColor="accent6" w:themeTint="99"/>
        <w:insideH w:val="single" w:sz="4" w:space="0" w:color="829AAC" w:themeColor="accent6" w:themeTint="99"/>
        <w:insideV w:val="single" w:sz="4" w:space="0" w:color="829AAC" w:themeColor="accent6" w:themeTint="99"/>
      </w:tblBorders>
    </w:tblPr>
    <w:tblStylePr w:type="firstRow">
      <w:rPr>
        <w:b/>
        <w:bCs/>
      </w:rPr>
      <w:tblPr/>
      <w:tcPr>
        <w:tcBorders>
          <w:bottom w:val="single" w:sz="12" w:space="0" w:color="829AAC" w:themeColor="accent6" w:themeTint="99"/>
        </w:tcBorders>
      </w:tcPr>
    </w:tblStylePr>
    <w:tblStylePr w:type="lastRow">
      <w:rPr>
        <w:b/>
        <w:bCs/>
      </w:rPr>
      <w:tblPr/>
      <w:tcPr>
        <w:tcBorders>
          <w:top w:val="double" w:sz="4" w:space="0" w:color="829AAC" w:themeColor="accent6" w:themeTint="99"/>
        </w:tcBorders>
      </w:tcPr>
    </w:tblStylePr>
    <w:tblStylePr w:type="firstCol">
      <w:rPr>
        <w:b/>
        <w:bCs/>
      </w:rPr>
    </w:tblStylePr>
    <w:tblStylePr w:type="lastCol">
      <w:rPr>
        <w:b/>
        <w:bCs/>
      </w:rPr>
    </w:tblStylePr>
    <w:tblStylePr w:type="band1Vert">
      <w:tblPr/>
      <w:tcPr>
        <w:shd w:val="clear" w:color="auto" w:fill="D5DDE3" w:themeFill="accent6" w:themeFillTint="33"/>
      </w:tcPr>
    </w:tblStylePr>
    <w:tblStylePr w:type="band1Horz">
      <w:tblPr/>
      <w:tcPr>
        <w:shd w:val="clear" w:color="auto" w:fill="D5DDE3" w:themeFill="accent6" w:themeFillTint="33"/>
      </w:tcPr>
    </w:tblStylePr>
  </w:style>
  <w:style w:type="numbering" w:customStyle="1" w:styleId="CurrentList1">
    <w:name w:val="Current List1"/>
    <w:uiPriority w:val="99"/>
    <w:rsid w:val="001F7237"/>
    <w:pPr>
      <w:numPr>
        <w:numId w:val="32"/>
      </w:numPr>
    </w:pPr>
  </w:style>
  <w:style w:type="numbering" w:customStyle="1" w:styleId="CurrentList2">
    <w:name w:val="Current List2"/>
    <w:uiPriority w:val="99"/>
    <w:rsid w:val="00B4275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5340">
      <w:bodyDiv w:val="1"/>
      <w:marLeft w:val="0"/>
      <w:marRight w:val="0"/>
      <w:marTop w:val="0"/>
      <w:marBottom w:val="0"/>
      <w:divBdr>
        <w:top w:val="none" w:sz="0" w:space="0" w:color="auto"/>
        <w:left w:val="none" w:sz="0" w:space="0" w:color="auto"/>
        <w:bottom w:val="none" w:sz="0" w:space="0" w:color="auto"/>
        <w:right w:val="none" w:sz="0" w:space="0" w:color="auto"/>
      </w:divBdr>
    </w:div>
    <w:div w:id="1222250238">
      <w:bodyDiv w:val="1"/>
      <w:marLeft w:val="0"/>
      <w:marRight w:val="0"/>
      <w:marTop w:val="0"/>
      <w:marBottom w:val="0"/>
      <w:divBdr>
        <w:top w:val="none" w:sz="0" w:space="0" w:color="auto"/>
        <w:left w:val="none" w:sz="0" w:space="0" w:color="auto"/>
        <w:bottom w:val="none" w:sz="0" w:space="0" w:color="auto"/>
        <w:right w:val="none" w:sz="0" w:space="0" w:color="auto"/>
      </w:divBdr>
    </w:div>
    <w:div w:id="1505171305">
      <w:bodyDiv w:val="1"/>
      <w:marLeft w:val="0"/>
      <w:marRight w:val="0"/>
      <w:marTop w:val="0"/>
      <w:marBottom w:val="0"/>
      <w:divBdr>
        <w:top w:val="none" w:sz="0" w:space="0" w:color="auto"/>
        <w:left w:val="none" w:sz="0" w:space="0" w:color="auto"/>
        <w:bottom w:val="none" w:sz="0" w:space="0" w:color="auto"/>
        <w:right w:val="none" w:sz="0" w:space="0" w:color="auto"/>
      </w:divBdr>
    </w:div>
    <w:div w:id="15133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ngland.nhs.uk/wp-content/uploads/2019/10/interim-findings-of-the-vaccinations-and-immunisations-review-2019.pdf" TargetMode="External"/><Relationship Id="rId26" Type="http://schemas.openxmlformats.org/officeDocument/2006/relationships/image" Target="media/image6.png"/><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www.gov.uk/government/publications/the-complete-routine-immunisation-schedule" TargetMode="External"/><Relationship Id="rId34" Type="http://schemas.openxmlformats.org/officeDocument/2006/relationships/header" Target="header4.xml"/><Relationship Id="rId42"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hyperlink" Target="mailto:england.nationalimmsstrategy@nhs.net" TargetMode="External"/><Relationship Id="rId38"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government/publications/ukhsa-strategic-plan-2023-to-2026" TargetMode="External"/><Relationship Id="rId29" Type="http://schemas.openxmlformats.org/officeDocument/2006/relationships/hyperlink" Target="https://gbr01.safelinks.protection.outlook.com/?url=https%3A%2F%2Fwww.ons.gov.uk%2Fdatasets%2FTS031%2Feditions%2F2021%2Fversions%2F4&amp;data=05%7C01%7Cpeter.liu%40nhs.net%7C87b9c7e7a377412e1abf08db61c1bd7d%7C37c354b285b047f5b22207b48d774ee3%7C0%7C0%7C638211257526457767%7CUnknown%7CTWFpbGZsb3d8eyJWIjoiMC4wLjAwMDAiLCJQIjoiV2luMzIiLCJBTiI6Ik1haWwiLCJXVCI6Mn0%3D%7C3000%7C%7C%7C&amp;sdata=qOoTyIpGUxvC9iPlau4jNm0deI6ljeMBS5UJiGccURs%3D&amp;reserved=0"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1.xml"/><Relationship Id="rId32" Type="http://schemas.openxmlformats.org/officeDocument/2006/relationships/hyperlink" Target="https://www.england.nhs.uk/publication/nhs-long-term-workforce-plan/" TargetMode="External"/><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cid:image001.png@01D9AF39.2B51FB50" TargetMode="External"/><Relationship Id="rId28" Type="http://schemas.openxmlformats.org/officeDocument/2006/relationships/hyperlink" Target="https://gbr01.safelinks.protection.outlook.com/?url=https%3A%2F%2Fwww.ons.gov.uk%2Fdatasets%2FTS031%2Feditions%2F2021%2Fversions%2F4&amp;data=05%7C01%7Cpeter.liu%40nhs.net%7C87b9c7e7a377412e1abf08db61c1bd7d%7C37c354b285b047f5b22207b48d774ee3%7C0%7C0%7C638211257526457767%7CUnknown%7CTWFpbGZsb3d8eyJWIjoiMC4wLjAwMDAiLCJQIjoiV2luMzIiLCJBTiI6Ik1haWwiLCJXVCI6Mn0%3D%7C3000%7C%7C%7C&amp;sdata=qOoTyIpGUxvC9iPlau4jNm0deI6ljeMBS5UJiGccURs%3D&amp;reserved=0"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nice.org.uk/guidance/ng218" TargetMode="External"/><Relationship Id="rId31" Type="http://schemas.openxmlformats.org/officeDocument/2006/relationships/hyperlink" Target="https://www.england.nhs.uk/publication/provider-collaborative-innovators-scheme/"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4.png"/><Relationship Id="rId27" Type="http://schemas.openxmlformats.org/officeDocument/2006/relationships/hyperlink" Target="https://www.england.nhs.uk/about/equality/equality-hub/national-healthcare-inequalities-improvement-programme/core20plus5/" TargetMode="External"/><Relationship Id="rId30" Type="http://schemas.openxmlformats.org/officeDocument/2006/relationships/hyperlink" Target="https://www.gov.uk/government/publications/national-minimum-standards-and-core-curriculum-for-immunisation-training-for-registered-healthcare-practitioners" TargetMode="External"/><Relationship Id="rId35" Type="http://schemas.openxmlformats.org/officeDocument/2006/relationships/header" Target="header5.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igital.nhs.uk/data-and-information/publications/statistical/nhs-immunisation-statistics/england-2022-23" TargetMode="External"/><Relationship Id="rId13" Type="http://schemas.openxmlformats.org/officeDocument/2006/relationships/hyperlink" Target="https://digital.nhs.uk/data-and-information/publications/statistical/nhs-immunisation-statistics/england-2022-23" TargetMode="External"/><Relationship Id="rId18" Type="http://schemas.openxmlformats.org/officeDocument/2006/relationships/hyperlink" Target="https://www.asset-scienceinsociety.eu/sites/default/files/sage_working_group_revised_report_vaccine_hesitancy.pdf" TargetMode="External"/><Relationship Id="rId26" Type="http://schemas.openxmlformats.org/officeDocument/2006/relationships/hyperlink" Target="https://www.england.nhs.uk/get-involved/resources/volunteering-guidance/" TargetMode="External"/><Relationship Id="rId3" Type="http://schemas.openxmlformats.org/officeDocument/2006/relationships/hyperlink" Target="https://www.ovg.ox.ac.uk/news/the-global-value-of-vaccination" TargetMode="External"/><Relationship Id="rId21" Type="http://schemas.openxmlformats.org/officeDocument/2006/relationships/hyperlink" Target="https://www.england.nhs.uk/about/equality/equality-hub/national-healthcare-inequalities-improvement-programme/what-are-healthcare-inequalities/inclusion-health-groups/" TargetMode="External"/><Relationship Id="rId7" Type="http://schemas.openxmlformats.org/officeDocument/2006/relationships/hyperlink" Target="https://ukhsa.blog.gov.uk/2019/08/19/measles-in-england/" TargetMode="External"/><Relationship Id="rId12" Type="http://schemas.openxmlformats.org/officeDocument/2006/relationships/hyperlink" Target="https://www.gov.uk/government/publications/the-complete-routine-immunisation-schedule/the-complete-routine-immunisation-schedule-from-february-2022" TargetMode="External"/><Relationship Id="rId17" Type="http://schemas.openxmlformats.org/officeDocument/2006/relationships/hyperlink" Target="https://www.gov.uk/government/statistics/seasonal-influenza-vaccine-uptake-in-gp-patients-monthly-data-2022-to-2023" TargetMode="External"/><Relationship Id="rId25" Type="http://schemas.openxmlformats.org/officeDocument/2006/relationships/hyperlink" Target="https://www.nice.org.uk/guidance/ng218" TargetMode="External"/><Relationship Id="rId2" Type="http://schemas.openxmlformats.org/officeDocument/2006/relationships/hyperlink" Target="https://www.gov.uk/government/publications/the-hewitt-review-an-independent-review-of-integrated-care-systems" TargetMode="External"/><Relationship Id="rId16" Type="http://schemas.openxmlformats.org/officeDocument/2006/relationships/hyperlink" Target="https://data.oecd.org/healthcare/child-vaccination-rates.htm" TargetMode="External"/><Relationship Id="rId20" Type="http://schemas.openxmlformats.org/officeDocument/2006/relationships/hyperlink" Target="https://www.nao.org.uk/wp-content/uploads/2022/02/The-rollout-of-the-COVID-19-vaccination-programme-in-England.pdf" TargetMode="External"/><Relationship Id="rId1" Type="http://schemas.openxmlformats.org/officeDocument/2006/relationships/hyperlink" Target="https://www.england.nhs.uk/wp-content/uploads/2022/05/next-steps-for-integrating-primary-care-fuller-stocktake-report.pdf" TargetMode="External"/><Relationship Id="rId6" Type="http://schemas.openxmlformats.org/officeDocument/2006/relationships/hyperlink" Target="https://www.gov.uk/government/news/hpv-vaccine-could-prevent-over-100-000-cancers" TargetMode="External"/><Relationship Id="rId11" Type="http://schemas.openxmlformats.org/officeDocument/2006/relationships/hyperlink" Target="https://www.nhs.uk/conditions/vaccinations/why-vaccination-is-safe-and-important/" TargetMode="External"/><Relationship Id="rId24" Type="http://schemas.openxmlformats.org/officeDocument/2006/relationships/hyperlink" Target="https://www.england.nhs.uk/publication/making-every-contact-count-mecc-consensus-statement/" TargetMode="External"/><Relationship Id="rId5" Type="http://schemas.openxmlformats.org/officeDocument/2006/relationships/hyperlink" Target="https://gbr01.safelinks.protection.outlook.com/?url=https%3A%2F%2Fwww.england.nhs.uk%2Fstatistics%2Fstatistical-work-areas%2Fcovid-19-vaccinations%2F&amp;data=05%7C01%7Cr.cull%40nhs.net%7C02b5505133bf4542992e08db26db8b2b%7C37c354b285b047f5b22207b48d774ee3%7C0%7C0%7C638146496586793675%7CUnknown%7CTWFpbGZsb3d8eyJWIjoiMC4wLjAwMDAiLCJQIjoiV2luMzIiLCJBTiI6Ik1haWwiLCJXVCI6Mn0%3D%7C3000%7C%7C%7C&amp;sdata=J48joCUyCtx3uiuFIyZLiIbCg6XMx%2BeyMkKl7aLYYpc%3D&amp;reserved=0" TargetMode="External"/><Relationship Id="rId15" Type="http://schemas.openxmlformats.org/officeDocument/2006/relationships/hyperlink" Target="https://gbr01.safelinks.protection.outlook.com/?url=https%3A%2F%2Fwww.england.nhs.uk%2Fstatistics%2Fstatistical-work-areas%2Fcovid-19-vaccinations%2F&amp;data=05%7C01%7Cr.cull%40nhs.net%7C02b5505133bf4542992e08db26db8b2b%7C37c354b285b047f5b22207b48d774ee3%7C0%7C0%7C638146496586793675%7CUnknown%7CTWFpbGZsb3d8eyJWIjoiMC4wLjAwMDAiLCJQIjoiV2luMzIiLCJBTiI6Ik1haWwiLCJXVCI6Mn0%3D%7C3000%7C%7C%7C&amp;sdata=J48joCUyCtx3uiuFIyZLiIbCg6XMx%2BeyMkKl7aLYYpc%3D&amp;reserved=0" TargetMode="External"/><Relationship Id="rId23" Type="http://schemas.openxmlformats.org/officeDocument/2006/relationships/hyperlink" Target="https://www.england.nhs.uk/primary-care/next-steps-for-integrating-primary-care-fuller-stocktake-report/" TargetMode="External"/><Relationship Id="rId28" Type="http://schemas.openxmlformats.org/officeDocument/2006/relationships/hyperlink" Target="https://www.england.nhs.uk/statistics/statistical-work-areas/vaccinations-for-mpox/" TargetMode="External"/><Relationship Id="rId10" Type="http://schemas.openxmlformats.org/officeDocument/2006/relationships/hyperlink" Target="https://www.gov.uk/government/collections/immunisation-against-infectious-disease-the-green-book" TargetMode="External"/><Relationship Id="rId19" Type="http://schemas.openxmlformats.org/officeDocument/2006/relationships/hyperlink" Target="https://www.gov.uk/government/publications/childhood-vaccines-parental-attitudes-survey-2022/childhood-vaccines-parental-attitudes-survey-2022-findings" TargetMode="External"/><Relationship Id="rId4" Type="http://schemas.openxmlformats.org/officeDocument/2006/relationships/hyperlink" Target="https://www.oecd-ilibrary.org/docserver/7a7afb35-en.pdf?expires=1699544411&amp;id=id&amp;accname=guest&amp;checksum=B1D5E82B32C380CFE52792A2A6185A9B" TargetMode="External"/><Relationship Id="rId9" Type="http://schemas.openxmlformats.org/officeDocument/2006/relationships/hyperlink" Target="https://www.england.nhs.uk/wp-content/uploads/2022/05/next-steps-for-integrating-primary-care-fuller-stocktake-report.pdf" TargetMode="External"/><Relationship Id="rId14" Type="http://schemas.openxmlformats.org/officeDocument/2006/relationships/hyperlink" Target="https://data.oecd.org/healthcare/influenza-vaccination-rates.htm" TargetMode="External"/><Relationship Id="rId22" Type="http://schemas.openxmlformats.org/officeDocument/2006/relationships/hyperlink" Target="https://www.england.nhs.uk/publication/next-steps-for-integrating-primary-care-fuller-stocktake-report/" TargetMode="External"/><Relationship Id="rId27" Type="http://schemas.openxmlformats.org/officeDocument/2006/relationships/hyperlink" Target="https://www.gov.uk/government/publications/life-sciences-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RamyaPeter\AppData\Local\Microsoft\Windows\INetCache\Content.Outlook\6LNCYVA4\20230329%20-%20Flu%20Data%20for%20Tom%20Marsh%20Clinical%20Integrat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60257270138449"/>
          <c:y val="3.7049511620074096E-2"/>
          <c:w val="0.77000222502172999"/>
          <c:h val="0.48249284602307835"/>
        </c:manualLayout>
      </c:layout>
      <c:barChart>
        <c:barDir val="col"/>
        <c:grouping val="clustered"/>
        <c:varyColors val="0"/>
        <c:ser>
          <c:idx val="0"/>
          <c:order val="0"/>
          <c:tx>
            <c:strRef>
              <c:f>Results!$J$72</c:f>
              <c:strCache>
                <c:ptCount val="1"/>
                <c:pt idx="0">
                  <c:v>Uptake Over 65 by Ethnic Group</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lt1">
                        <a:lumMod val="8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Results!$I$73:$I$89</c:f>
              <c:strCache>
                <c:ptCount val="17"/>
                <c:pt idx="0">
                  <c:v>Black or Black British - Caribbean</c:v>
                </c:pt>
                <c:pt idx="1">
                  <c:v>Black or Black British - African</c:v>
                </c:pt>
                <c:pt idx="2">
                  <c:v>Black or Black British - Any other Black background</c:v>
                </c:pt>
                <c:pt idx="3">
                  <c:v>Asian or Asian British - Pakistani</c:v>
                </c:pt>
                <c:pt idx="4">
                  <c:v>Mixed - White and Black Caribbean</c:v>
                </c:pt>
                <c:pt idx="5">
                  <c:v>Mixed - White and Black African</c:v>
                </c:pt>
                <c:pt idx="6">
                  <c:v>Other ethnic groups - Any other ethnic group</c:v>
                </c:pt>
                <c:pt idx="7">
                  <c:v>White - Other</c:v>
                </c:pt>
                <c:pt idx="8">
                  <c:v>Other ethnic groups - Chinese</c:v>
                </c:pt>
                <c:pt idx="9">
                  <c:v>Mixed - Any other mixed background</c:v>
                </c:pt>
                <c:pt idx="10">
                  <c:v>Asian or Asian British - Bangladeshi</c:v>
                </c:pt>
                <c:pt idx="11">
                  <c:v>Asian or Asian British - Any other Asian background</c:v>
                </c:pt>
                <c:pt idx="12">
                  <c:v>Ethnicity not stated</c:v>
                </c:pt>
                <c:pt idx="13">
                  <c:v>Mixed - White and Asian</c:v>
                </c:pt>
                <c:pt idx="14">
                  <c:v>Asian or Asian British - Indian</c:v>
                </c:pt>
                <c:pt idx="15">
                  <c:v>White - Irish</c:v>
                </c:pt>
                <c:pt idx="16">
                  <c:v>White - British</c:v>
                </c:pt>
              </c:strCache>
            </c:strRef>
          </c:cat>
          <c:val>
            <c:numRef>
              <c:f>Results!$J$73:$J$89</c:f>
              <c:numCache>
                <c:formatCode>General</c:formatCode>
                <c:ptCount val="17"/>
                <c:pt idx="0">
                  <c:v>48.5</c:v>
                </c:pt>
                <c:pt idx="1">
                  <c:v>50.2</c:v>
                </c:pt>
                <c:pt idx="2">
                  <c:v>52.2</c:v>
                </c:pt>
                <c:pt idx="3">
                  <c:v>54.8</c:v>
                </c:pt>
                <c:pt idx="4">
                  <c:v>56.2</c:v>
                </c:pt>
                <c:pt idx="5">
                  <c:v>57.9</c:v>
                </c:pt>
                <c:pt idx="6">
                  <c:v>59.5</c:v>
                </c:pt>
                <c:pt idx="7">
                  <c:v>62.3</c:v>
                </c:pt>
                <c:pt idx="8">
                  <c:v>64.099999999999994</c:v>
                </c:pt>
                <c:pt idx="9">
                  <c:v>66.099999999999994</c:v>
                </c:pt>
                <c:pt idx="10">
                  <c:v>67.7</c:v>
                </c:pt>
                <c:pt idx="11">
                  <c:v>68.3</c:v>
                </c:pt>
                <c:pt idx="12">
                  <c:v>70.2</c:v>
                </c:pt>
                <c:pt idx="13">
                  <c:v>71.099999999999994</c:v>
                </c:pt>
                <c:pt idx="14">
                  <c:v>72.2</c:v>
                </c:pt>
                <c:pt idx="15">
                  <c:v>77.8</c:v>
                </c:pt>
                <c:pt idx="16">
                  <c:v>83.6</c:v>
                </c:pt>
              </c:numCache>
            </c:numRef>
          </c:val>
          <c:extLst>
            <c:ext xmlns:c16="http://schemas.microsoft.com/office/drawing/2014/chart" uri="{C3380CC4-5D6E-409C-BE32-E72D297353CC}">
              <c16:uniqueId val="{00000000-0954-4702-AA55-A3A10BE3666D}"/>
            </c:ext>
          </c:extLst>
        </c:ser>
        <c:dLbls>
          <c:dLblPos val="outEnd"/>
          <c:showLegendKey val="0"/>
          <c:showVal val="1"/>
          <c:showCatName val="0"/>
          <c:showSerName val="0"/>
          <c:showPercent val="0"/>
          <c:showBubbleSize val="0"/>
        </c:dLbls>
        <c:gapWidth val="100"/>
        <c:overlap val="-24"/>
        <c:axId val="327695359"/>
        <c:axId val="327693279"/>
      </c:barChart>
      <c:catAx>
        <c:axId val="327695359"/>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000" b="0" i="0" u="none" strike="noStrike" kern="1200" baseline="0">
                <a:solidFill>
                  <a:schemeClr val="lt1">
                    <a:lumMod val="85000"/>
                  </a:schemeClr>
                </a:solidFill>
                <a:latin typeface="Arial" panose="020B0604020202020204" pitchFamily="34" charset="0"/>
                <a:ea typeface="+mn-ea"/>
                <a:cs typeface="+mn-cs"/>
              </a:defRPr>
            </a:pPr>
            <a:endParaRPr lang="en-US"/>
          </a:p>
        </c:txPr>
        <c:crossAx val="327693279"/>
        <c:crosses val="autoZero"/>
        <c:auto val="1"/>
        <c:lblAlgn val="ctr"/>
        <c:lblOffset val="100"/>
        <c:noMultiLvlLbl val="0"/>
      </c:catAx>
      <c:valAx>
        <c:axId val="327693279"/>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GB"/>
                  <a:t>Uptake (%)</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27695359"/>
        <c:crosses val="autoZero"/>
        <c:crossBetween val="between"/>
        <c:maj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solidFill>
        <a:schemeClr val="accent2"/>
      </a:solid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A8D8F10D9C434186B8B656E8B8E2D6"/>
        <w:category>
          <w:name w:val="General"/>
          <w:gallery w:val="placeholder"/>
        </w:category>
        <w:types>
          <w:type w:val="bbPlcHdr"/>
        </w:types>
        <w:behaviors>
          <w:behavior w:val="content"/>
        </w:behaviors>
        <w:guid w:val="{AAE766CC-B557-488A-AA0C-2EFA8E0C18F4}"/>
      </w:docPartPr>
      <w:docPartBody>
        <w:p w:rsidR="008663DE" w:rsidRDefault="001E63F5" w:rsidP="001E63F5">
          <w:pPr>
            <w:pStyle w:val="2BA8D8F10D9C434186B8B656E8B8E2D61"/>
          </w:pPr>
          <w:r w:rsidRPr="006E2FE7">
            <w:rPr>
              <w:color w:val="FFFFFF" w:themeColor="background1"/>
              <w:highlight w:val="yellow"/>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Bahnschrift SemiBol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F5"/>
    <w:rsid w:val="000B0DAA"/>
    <w:rsid w:val="000D4DCB"/>
    <w:rsid w:val="000D7429"/>
    <w:rsid w:val="001B442E"/>
    <w:rsid w:val="001E63F5"/>
    <w:rsid w:val="00200526"/>
    <w:rsid w:val="00225361"/>
    <w:rsid w:val="002A572E"/>
    <w:rsid w:val="003572C2"/>
    <w:rsid w:val="003F210B"/>
    <w:rsid w:val="0041474A"/>
    <w:rsid w:val="004B5A61"/>
    <w:rsid w:val="004B5EAB"/>
    <w:rsid w:val="004E0CCA"/>
    <w:rsid w:val="005659BC"/>
    <w:rsid w:val="005868C6"/>
    <w:rsid w:val="006203BC"/>
    <w:rsid w:val="00663E00"/>
    <w:rsid w:val="006F00F1"/>
    <w:rsid w:val="007B0BAA"/>
    <w:rsid w:val="007D0DAF"/>
    <w:rsid w:val="007D29F4"/>
    <w:rsid w:val="007E4EC2"/>
    <w:rsid w:val="00823BB2"/>
    <w:rsid w:val="00844A67"/>
    <w:rsid w:val="008571C2"/>
    <w:rsid w:val="008663DE"/>
    <w:rsid w:val="00897BA0"/>
    <w:rsid w:val="008A3F1A"/>
    <w:rsid w:val="008B70AF"/>
    <w:rsid w:val="008F4514"/>
    <w:rsid w:val="009523D1"/>
    <w:rsid w:val="00981AD3"/>
    <w:rsid w:val="009A4819"/>
    <w:rsid w:val="009A6AB3"/>
    <w:rsid w:val="009D2431"/>
    <w:rsid w:val="00A7308C"/>
    <w:rsid w:val="00A924E6"/>
    <w:rsid w:val="00AB2F32"/>
    <w:rsid w:val="00AC6847"/>
    <w:rsid w:val="00AD0BC2"/>
    <w:rsid w:val="00AD79DD"/>
    <w:rsid w:val="00AF261F"/>
    <w:rsid w:val="00B64549"/>
    <w:rsid w:val="00BB7C6C"/>
    <w:rsid w:val="00BC5113"/>
    <w:rsid w:val="00BC65E4"/>
    <w:rsid w:val="00C35EA1"/>
    <w:rsid w:val="00C3684B"/>
    <w:rsid w:val="00CD738C"/>
    <w:rsid w:val="00CF5D92"/>
    <w:rsid w:val="00D04939"/>
    <w:rsid w:val="00D05BFC"/>
    <w:rsid w:val="00D430A5"/>
    <w:rsid w:val="00D51A7F"/>
    <w:rsid w:val="00DC62CE"/>
    <w:rsid w:val="00DE4CE7"/>
    <w:rsid w:val="00E4337D"/>
    <w:rsid w:val="00E96BC9"/>
    <w:rsid w:val="00EA540F"/>
    <w:rsid w:val="00EA5678"/>
    <w:rsid w:val="00EE3992"/>
    <w:rsid w:val="00F74438"/>
    <w:rsid w:val="00FD3ABE"/>
    <w:rsid w:val="00FE71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3F5"/>
    <w:rPr>
      <w:color w:val="808080"/>
    </w:rPr>
  </w:style>
  <w:style w:type="paragraph" w:customStyle="1" w:styleId="2BA8D8F10D9C434186B8B656E8B8E2D61">
    <w:name w:val="2BA8D8F10D9C434186B8B656E8B8E2D61"/>
    <w:rsid w:val="001E63F5"/>
    <w:pPr>
      <w:spacing w:after="0" w:line="240" w:lineRule="auto"/>
    </w:pPr>
    <w:rPr>
      <w:rFonts w:ascii="Arial" w:eastAsiaTheme="minorHAnsi" w:hAnsi="Arial"/>
      <w:color w:val="768692"/>
      <w:kern w:val="0"/>
      <w:sz w:val="24"/>
      <w:szCs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DDBED946BCD34BBBD18ADCCB0AC3A6" ma:contentTypeVersion="17" ma:contentTypeDescription="Create a new document." ma:contentTypeScope="" ma:versionID="255c3bcc441cf3404414e727cc0d935d">
  <xsd:schema xmlns:xsd="http://www.w3.org/2001/XMLSchema" xmlns:xs="http://www.w3.org/2001/XMLSchema" xmlns:p="http://schemas.microsoft.com/office/2006/metadata/properties" xmlns:ns1="http://schemas.microsoft.com/sharepoint/v3" xmlns:ns2="524bb1d2-257d-49bf-9dcc-b812889e155b" xmlns:ns3="f32d6236-a604-4239-869d-d181494309fd" targetNamespace="http://schemas.microsoft.com/office/2006/metadata/properties" ma:root="true" ma:fieldsID="66c0d759242b6aa987a28810715852d0" ns1:_="" ns2:_="" ns3:_="">
    <xsd:import namespace="http://schemas.microsoft.com/sharepoint/v3"/>
    <xsd:import namespace="524bb1d2-257d-49bf-9dcc-b812889e155b"/>
    <xsd:import namespace="f32d6236-a604-4239-869d-d181494309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bb1d2-257d-49bf-9dcc-b812889e1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d6236-a604-4239-869d-d181494309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4bb1d2-257d-49bf-9dcc-b812889e155b">
      <Terms xmlns="http://schemas.microsoft.com/office/infopath/2007/PartnerControls"/>
    </lcf76f155ced4ddcb4097134ff3c332f>
    <SharedWithUsers xmlns="f32d6236-a604-4239-869d-d181494309fd">
      <UserInfo>
        <DisplayName>Peter Liu</DisplayName>
        <AccountId>4419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2.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3.xml><?xml version="1.0" encoding="utf-8"?>
<ds:datastoreItem xmlns:ds="http://schemas.openxmlformats.org/officeDocument/2006/customXml" ds:itemID="{2B3F7256-1CA3-4261-A394-50CACCA73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4bb1d2-257d-49bf-9dcc-b812889e155b"/>
    <ds:schemaRef ds:uri="f32d6236-a604-4239-869d-d18149430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8218F-AB00-4272-A716-DA4688C85ECA}">
  <ds:schemaRefs>
    <ds:schemaRef ds:uri="http://purl.org/dc/dcmitype/"/>
    <ds:schemaRef ds:uri="http://schemas.microsoft.com/sharepoint/v3"/>
    <ds:schemaRef ds:uri="http://purl.org/dc/elements/1.1/"/>
    <ds:schemaRef ds:uri="http://www.w3.org/XML/1998/namespace"/>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f32d6236-a604-4239-869d-d181494309fd"/>
    <ds:schemaRef ds:uri="524bb1d2-257d-49bf-9dcc-b812889e155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14810</Words>
  <Characters>84422</Characters>
  <Application>Microsoft Office Word</Application>
  <DocSecurity>4</DocSecurity>
  <Lines>703</Lines>
  <Paragraphs>198</Paragraphs>
  <ScaleCrop>false</ScaleCrop>
  <HeadingPairs>
    <vt:vector size="2" baseType="variant">
      <vt:variant>
        <vt:lpstr>Title</vt:lpstr>
      </vt:variant>
      <vt:variant>
        <vt:i4>1</vt:i4>
      </vt:variant>
    </vt:vector>
  </HeadingPairs>
  <TitlesOfParts>
    <vt:vector size="1" baseType="lpstr">
      <vt:lpstr>Shaping the future delivery of NHS vaccination and immunisation services</vt:lpstr>
    </vt:vector>
  </TitlesOfParts>
  <Company>Health &amp; Social Care Information Centre</Company>
  <LinksUpToDate>false</LinksUpToDate>
  <CharactersWithSpaces>99034</CharactersWithSpaces>
  <SharedDoc>false</SharedDoc>
  <HLinks>
    <vt:vector size="378" baseType="variant">
      <vt:variant>
        <vt:i4>262246</vt:i4>
      </vt:variant>
      <vt:variant>
        <vt:i4>177</vt:i4>
      </vt:variant>
      <vt:variant>
        <vt:i4>0</vt:i4>
      </vt:variant>
      <vt:variant>
        <vt:i4>5</vt:i4>
      </vt:variant>
      <vt:variant>
        <vt:lpwstr>mailto:england.nationalimmsstrategy@nhs.net</vt:lpwstr>
      </vt:variant>
      <vt:variant>
        <vt:lpwstr/>
      </vt:variant>
      <vt:variant>
        <vt:i4>4849679</vt:i4>
      </vt:variant>
      <vt:variant>
        <vt:i4>174</vt:i4>
      </vt:variant>
      <vt:variant>
        <vt:i4>0</vt:i4>
      </vt:variant>
      <vt:variant>
        <vt:i4>5</vt:i4>
      </vt:variant>
      <vt:variant>
        <vt:lpwstr>https://www.england.nhs.uk/publication/nhs-long-term-workforce-plan/</vt:lpwstr>
      </vt:variant>
      <vt:variant>
        <vt:lpwstr/>
      </vt:variant>
      <vt:variant>
        <vt:i4>1900553</vt:i4>
      </vt:variant>
      <vt:variant>
        <vt:i4>171</vt:i4>
      </vt:variant>
      <vt:variant>
        <vt:i4>0</vt:i4>
      </vt:variant>
      <vt:variant>
        <vt:i4>5</vt:i4>
      </vt:variant>
      <vt:variant>
        <vt:lpwstr>https://www.england.nhs.uk/publication/provider-collaborative-innovators-scheme/</vt:lpwstr>
      </vt:variant>
      <vt:variant>
        <vt:lpwstr/>
      </vt:variant>
      <vt:variant>
        <vt:i4>8192097</vt:i4>
      </vt:variant>
      <vt:variant>
        <vt:i4>168</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8257653</vt:i4>
      </vt:variant>
      <vt:variant>
        <vt:i4>165</vt:i4>
      </vt:variant>
      <vt:variant>
        <vt:i4>0</vt:i4>
      </vt:variant>
      <vt:variant>
        <vt:i4>5</vt:i4>
      </vt:variant>
      <vt:variant>
        <vt:lpwstr>https://www.england.nhs.uk/about/equality/equality-hub/national-healthcare-inequalities-improvement-programme/core20plus5/</vt:lpwstr>
      </vt:variant>
      <vt:variant>
        <vt:lpwstr/>
      </vt:variant>
      <vt:variant>
        <vt:i4>4784193</vt:i4>
      </vt:variant>
      <vt:variant>
        <vt:i4>162</vt:i4>
      </vt:variant>
      <vt:variant>
        <vt:i4>0</vt:i4>
      </vt:variant>
      <vt:variant>
        <vt:i4>5</vt:i4>
      </vt:variant>
      <vt:variant>
        <vt:lpwstr>https://www.gov.uk/government/publications/the-complete-routine-immunisation-schedule</vt:lpwstr>
      </vt:variant>
      <vt:variant>
        <vt:lpwstr/>
      </vt:variant>
      <vt:variant>
        <vt:i4>5373965</vt:i4>
      </vt:variant>
      <vt:variant>
        <vt:i4>159</vt:i4>
      </vt:variant>
      <vt:variant>
        <vt:i4>0</vt:i4>
      </vt:variant>
      <vt:variant>
        <vt:i4>5</vt:i4>
      </vt:variant>
      <vt:variant>
        <vt:lpwstr>https://www.gov.uk/government/publications/ukhsa-strategic-plan-2023-to-2026</vt:lpwstr>
      </vt:variant>
      <vt:variant>
        <vt:lpwstr/>
      </vt:variant>
      <vt:variant>
        <vt:i4>6815777</vt:i4>
      </vt:variant>
      <vt:variant>
        <vt:i4>156</vt:i4>
      </vt:variant>
      <vt:variant>
        <vt:i4>0</vt:i4>
      </vt:variant>
      <vt:variant>
        <vt:i4>5</vt:i4>
      </vt:variant>
      <vt:variant>
        <vt:lpwstr>https://www.nice.org.uk/guidance/ng218</vt:lpwstr>
      </vt:variant>
      <vt:variant>
        <vt:lpwstr/>
      </vt:variant>
      <vt:variant>
        <vt:i4>2031705</vt:i4>
      </vt:variant>
      <vt:variant>
        <vt:i4>153</vt:i4>
      </vt:variant>
      <vt:variant>
        <vt:i4>0</vt:i4>
      </vt:variant>
      <vt:variant>
        <vt:i4>5</vt:i4>
      </vt:variant>
      <vt:variant>
        <vt:lpwstr>https://www.england.nhs.uk/wp-content/uploads/2019/10/interim-findings-of-the-vaccinations-and-immunisations-review-2019.pdf</vt:lpwstr>
      </vt:variant>
      <vt:variant>
        <vt:lpwstr/>
      </vt:variant>
      <vt:variant>
        <vt:i4>1572923</vt:i4>
      </vt:variant>
      <vt:variant>
        <vt:i4>146</vt:i4>
      </vt:variant>
      <vt:variant>
        <vt:i4>0</vt:i4>
      </vt:variant>
      <vt:variant>
        <vt:i4>5</vt:i4>
      </vt:variant>
      <vt:variant>
        <vt:lpwstr/>
      </vt:variant>
      <vt:variant>
        <vt:lpwstr>_Toc153193080</vt:lpwstr>
      </vt:variant>
      <vt:variant>
        <vt:i4>1507387</vt:i4>
      </vt:variant>
      <vt:variant>
        <vt:i4>140</vt:i4>
      </vt:variant>
      <vt:variant>
        <vt:i4>0</vt:i4>
      </vt:variant>
      <vt:variant>
        <vt:i4>5</vt:i4>
      </vt:variant>
      <vt:variant>
        <vt:lpwstr/>
      </vt:variant>
      <vt:variant>
        <vt:lpwstr>_Toc153193079</vt:lpwstr>
      </vt:variant>
      <vt:variant>
        <vt:i4>1507387</vt:i4>
      </vt:variant>
      <vt:variant>
        <vt:i4>134</vt:i4>
      </vt:variant>
      <vt:variant>
        <vt:i4>0</vt:i4>
      </vt:variant>
      <vt:variant>
        <vt:i4>5</vt:i4>
      </vt:variant>
      <vt:variant>
        <vt:lpwstr/>
      </vt:variant>
      <vt:variant>
        <vt:lpwstr>_Toc153193078</vt:lpwstr>
      </vt:variant>
      <vt:variant>
        <vt:i4>1507387</vt:i4>
      </vt:variant>
      <vt:variant>
        <vt:i4>128</vt:i4>
      </vt:variant>
      <vt:variant>
        <vt:i4>0</vt:i4>
      </vt:variant>
      <vt:variant>
        <vt:i4>5</vt:i4>
      </vt:variant>
      <vt:variant>
        <vt:lpwstr/>
      </vt:variant>
      <vt:variant>
        <vt:lpwstr>_Toc153193077</vt:lpwstr>
      </vt:variant>
      <vt:variant>
        <vt:i4>1507387</vt:i4>
      </vt:variant>
      <vt:variant>
        <vt:i4>122</vt:i4>
      </vt:variant>
      <vt:variant>
        <vt:i4>0</vt:i4>
      </vt:variant>
      <vt:variant>
        <vt:i4>5</vt:i4>
      </vt:variant>
      <vt:variant>
        <vt:lpwstr/>
      </vt:variant>
      <vt:variant>
        <vt:lpwstr>_Toc153193076</vt:lpwstr>
      </vt:variant>
      <vt:variant>
        <vt:i4>1507387</vt:i4>
      </vt:variant>
      <vt:variant>
        <vt:i4>116</vt:i4>
      </vt:variant>
      <vt:variant>
        <vt:i4>0</vt:i4>
      </vt:variant>
      <vt:variant>
        <vt:i4>5</vt:i4>
      </vt:variant>
      <vt:variant>
        <vt:lpwstr/>
      </vt:variant>
      <vt:variant>
        <vt:lpwstr>_Toc153193075</vt:lpwstr>
      </vt:variant>
      <vt:variant>
        <vt:i4>1507387</vt:i4>
      </vt:variant>
      <vt:variant>
        <vt:i4>110</vt:i4>
      </vt:variant>
      <vt:variant>
        <vt:i4>0</vt:i4>
      </vt:variant>
      <vt:variant>
        <vt:i4>5</vt:i4>
      </vt:variant>
      <vt:variant>
        <vt:lpwstr/>
      </vt:variant>
      <vt:variant>
        <vt:lpwstr>_Toc153193074</vt:lpwstr>
      </vt:variant>
      <vt:variant>
        <vt:i4>1507387</vt:i4>
      </vt:variant>
      <vt:variant>
        <vt:i4>104</vt:i4>
      </vt:variant>
      <vt:variant>
        <vt:i4>0</vt:i4>
      </vt:variant>
      <vt:variant>
        <vt:i4>5</vt:i4>
      </vt:variant>
      <vt:variant>
        <vt:lpwstr/>
      </vt:variant>
      <vt:variant>
        <vt:lpwstr>_Toc153193073</vt:lpwstr>
      </vt:variant>
      <vt:variant>
        <vt:i4>1507387</vt:i4>
      </vt:variant>
      <vt:variant>
        <vt:i4>98</vt:i4>
      </vt:variant>
      <vt:variant>
        <vt:i4>0</vt:i4>
      </vt:variant>
      <vt:variant>
        <vt:i4>5</vt:i4>
      </vt:variant>
      <vt:variant>
        <vt:lpwstr/>
      </vt:variant>
      <vt:variant>
        <vt:lpwstr>_Toc153193072</vt:lpwstr>
      </vt:variant>
      <vt:variant>
        <vt:i4>1507387</vt:i4>
      </vt:variant>
      <vt:variant>
        <vt:i4>92</vt:i4>
      </vt:variant>
      <vt:variant>
        <vt:i4>0</vt:i4>
      </vt:variant>
      <vt:variant>
        <vt:i4>5</vt:i4>
      </vt:variant>
      <vt:variant>
        <vt:lpwstr/>
      </vt:variant>
      <vt:variant>
        <vt:lpwstr>_Toc153193071</vt:lpwstr>
      </vt:variant>
      <vt:variant>
        <vt:i4>1507387</vt:i4>
      </vt:variant>
      <vt:variant>
        <vt:i4>86</vt:i4>
      </vt:variant>
      <vt:variant>
        <vt:i4>0</vt:i4>
      </vt:variant>
      <vt:variant>
        <vt:i4>5</vt:i4>
      </vt:variant>
      <vt:variant>
        <vt:lpwstr/>
      </vt:variant>
      <vt:variant>
        <vt:lpwstr>_Toc153193070</vt:lpwstr>
      </vt:variant>
      <vt:variant>
        <vt:i4>1441851</vt:i4>
      </vt:variant>
      <vt:variant>
        <vt:i4>80</vt:i4>
      </vt:variant>
      <vt:variant>
        <vt:i4>0</vt:i4>
      </vt:variant>
      <vt:variant>
        <vt:i4>5</vt:i4>
      </vt:variant>
      <vt:variant>
        <vt:lpwstr/>
      </vt:variant>
      <vt:variant>
        <vt:lpwstr>_Toc153193069</vt:lpwstr>
      </vt:variant>
      <vt:variant>
        <vt:i4>1441851</vt:i4>
      </vt:variant>
      <vt:variant>
        <vt:i4>74</vt:i4>
      </vt:variant>
      <vt:variant>
        <vt:i4>0</vt:i4>
      </vt:variant>
      <vt:variant>
        <vt:i4>5</vt:i4>
      </vt:variant>
      <vt:variant>
        <vt:lpwstr/>
      </vt:variant>
      <vt:variant>
        <vt:lpwstr>_Toc153193068</vt:lpwstr>
      </vt:variant>
      <vt:variant>
        <vt:i4>1441851</vt:i4>
      </vt:variant>
      <vt:variant>
        <vt:i4>68</vt:i4>
      </vt:variant>
      <vt:variant>
        <vt:i4>0</vt:i4>
      </vt:variant>
      <vt:variant>
        <vt:i4>5</vt:i4>
      </vt:variant>
      <vt:variant>
        <vt:lpwstr/>
      </vt:variant>
      <vt:variant>
        <vt:lpwstr>_Toc153193067</vt:lpwstr>
      </vt:variant>
      <vt:variant>
        <vt:i4>1441851</vt:i4>
      </vt:variant>
      <vt:variant>
        <vt:i4>62</vt:i4>
      </vt:variant>
      <vt:variant>
        <vt:i4>0</vt:i4>
      </vt:variant>
      <vt:variant>
        <vt:i4>5</vt:i4>
      </vt:variant>
      <vt:variant>
        <vt:lpwstr/>
      </vt:variant>
      <vt:variant>
        <vt:lpwstr>_Toc153193066</vt:lpwstr>
      </vt:variant>
      <vt:variant>
        <vt:i4>1441851</vt:i4>
      </vt:variant>
      <vt:variant>
        <vt:i4>56</vt:i4>
      </vt:variant>
      <vt:variant>
        <vt:i4>0</vt:i4>
      </vt:variant>
      <vt:variant>
        <vt:i4>5</vt:i4>
      </vt:variant>
      <vt:variant>
        <vt:lpwstr/>
      </vt:variant>
      <vt:variant>
        <vt:lpwstr>_Toc153193065</vt:lpwstr>
      </vt:variant>
      <vt:variant>
        <vt:i4>1441851</vt:i4>
      </vt:variant>
      <vt:variant>
        <vt:i4>50</vt:i4>
      </vt:variant>
      <vt:variant>
        <vt:i4>0</vt:i4>
      </vt:variant>
      <vt:variant>
        <vt:i4>5</vt:i4>
      </vt:variant>
      <vt:variant>
        <vt:lpwstr/>
      </vt:variant>
      <vt:variant>
        <vt:lpwstr>_Toc153193064</vt:lpwstr>
      </vt:variant>
      <vt:variant>
        <vt:i4>1441851</vt:i4>
      </vt:variant>
      <vt:variant>
        <vt:i4>44</vt:i4>
      </vt:variant>
      <vt:variant>
        <vt:i4>0</vt:i4>
      </vt:variant>
      <vt:variant>
        <vt:i4>5</vt:i4>
      </vt:variant>
      <vt:variant>
        <vt:lpwstr/>
      </vt:variant>
      <vt:variant>
        <vt:lpwstr>_Toc153193063</vt:lpwstr>
      </vt:variant>
      <vt:variant>
        <vt:i4>1441851</vt:i4>
      </vt:variant>
      <vt:variant>
        <vt:i4>38</vt:i4>
      </vt:variant>
      <vt:variant>
        <vt:i4>0</vt:i4>
      </vt:variant>
      <vt:variant>
        <vt:i4>5</vt:i4>
      </vt:variant>
      <vt:variant>
        <vt:lpwstr/>
      </vt:variant>
      <vt:variant>
        <vt:lpwstr>_Toc153193062</vt:lpwstr>
      </vt:variant>
      <vt:variant>
        <vt:i4>1441851</vt:i4>
      </vt:variant>
      <vt:variant>
        <vt:i4>32</vt:i4>
      </vt:variant>
      <vt:variant>
        <vt:i4>0</vt:i4>
      </vt:variant>
      <vt:variant>
        <vt:i4>5</vt:i4>
      </vt:variant>
      <vt:variant>
        <vt:lpwstr/>
      </vt:variant>
      <vt:variant>
        <vt:lpwstr>_Toc153193061</vt:lpwstr>
      </vt:variant>
      <vt:variant>
        <vt:i4>1441851</vt:i4>
      </vt:variant>
      <vt:variant>
        <vt:i4>26</vt:i4>
      </vt:variant>
      <vt:variant>
        <vt:i4>0</vt:i4>
      </vt:variant>
      <vt:variant>
        <vt:i4>5</vt:i4>
      </vt:variant>
      <vt:variant>
        <vt:lpwstr/>
      </vt:variant>
      <vt:variant>
        <vt:lpwstr>_Toc153193060</vt:lpwstr>
      </vt:variant>
      <vt:variant>
        <vt:i4>1376315</vt:i4>
      </vt:variant>
      <vt:variant>
        <vt:i4>20</vt:i4>
      </vt:variant>
      <vt:variant>
        <vt:i4>0</vt:i4>
      </vt:variant>
      <vt:variant>
        <vt:i4>5</vt:i4>
      </vt:variant>
      <vt:variant>
        <vt:lpwstr/>
      </vt:variant>
      <vt:variant>
        <vt:lpwstr>_Toc153193059</vt:lpwstr>
      </vt:variant>
      <vt:variant>
        <vt:i4>1376315</vt:i4>
      </vt:variant>
      <vt:variant>
        <vt:i4>14</vt:i4>
      </vt:variant>
      <vt:variant>
        <vt:i4>0</vt:i4>
      </vt:variant>
      <vt:variant>
        <vt:i4>5</vt:i4>
      </vt:variant>
      <vt:variant>
        <vt:lpwstr/>
      </vt:variant>
      <vt:variant>
        <vt:lpwstr>_Toc153193058</vt:lpwstr>
      </vt:variant>
      <vt:variant>
        <vt:i4>1376315</vt:i4>
      </vt:variant>
      <vt:variant>
        <vt:i4>8</vt:i4>
      </vt:variant>
      <vt:variant>
        <vt:i4>0</vt:i4>
      </vt:variant>
      <vt:variant>
        <vt:i4>5</vt:i4>
      </vt:variant>
      <vt:variant>
        <vt:lpwstr/>
      </vt:variant>
      <vt:variant>
        <vt:lpwstr>_Toc153193057</vt:lpwstr>
      </vt:variant>
      <vt:variant>
        <vt:i4>1376315</vt:i4>
      </vt:variant>
      <vt:variant>
        <vt:i4>2</vt:i4>
      </vt:variant>
      <vt:variant>
        <vt:i4>0</vt:i4>
      </vt:variant>
      <vt:variant>
        <vt:i4>5</vt:i4>
      </vt:variant>
      <vt:variant>
        <vt:lpwstr/>
      </vt:variant>
      <vt:variant>
        <vt:lpwstr>_Toc153193056</vt:lpwstr>
      </vt:variant>
      <vt:variant>
        <vt:i4>3932271</vt:i4>
      </vt:variant>
      <vt:variant>
        <vt:i4>81</vt:i4>
      </vt:variant>
      <vt:variant>
        <vt:i4>0</vt:i4>
      </vt:variant>
      <vt:variant>
        <vt:i4>5</vt:i4>
      </vt:variant>
      <vt:variant>
        <vt:lpwstr>https://www.england.nhs.uk/statistics/statistical-work-areas/vaccinations-for-mpox/</vt:lpwstr>
      </vt:variant>
      <vt:variant>
        <vt:lpwstr/>
      </vt:variant>
      <vt:variant>
        <vt:i4>6553724</vt:i4>
      </vt:variant>
      <vt:variant>
        <vt:i4>78</vt:i4>
      </vt:variant>
      <vt:variant>
        <vt:i4>0</vt:i4>
      </vt:variant>
      <vt:variant>
        <vt:i4>5</vt:i4>
      </vt:variant>
      <vt:variant>
        <vt:lpwstr>https://www.gov.uk/government/publications/life-sciences-vision</vt:lpwstr>
      </vt:variant>
      <vt:variant>
        <vt:lpwstr/>
      </vt:variant>
      <vt:variant>
        <vt:i4>1638405</vt:i4>
      </vt:variant>
      <vt:variant>
        <vt:i4>75</vt:i4>
      </vt:variant>
      <vt:variant>
        <vt:i4>0</vt:i4>
      </vt:variant>
      <vt:variant>
        <vt:i4>5</vt:i4>
      </vt:variant>
      <vt:variant>
        <vt:lpwstr>https://www.england.nhs.uk/get-involved/resources/volunteering-guidance/</vt:lpwstr>
      </vt:variant>
      <vt:variant>
        <vt:lpwstr/>
      </vt:variant>
      <vt:variant>
        <vt:i4>6815777</vt:i4>
      </vt:variant>
      <vt:variant>
        <vt:i4>72</vt:i4>
      </vt:variant>
      <vt:variant>
        <vt:i4>0</vt:i4>
      </vt:variant>
      <vt:variant>
        <vt:i4>5</vt:i4>
      </vt:variant>
      <vt:variant>
        <vt:lpwstr>https://www.nice.org.uk/guidance/ng218</vt:lpwstr>
      </vt:variant>
      <vt:variant>
        <vt:lpwstr/>
      </vt:variant>
      <vt:variant>
        <vt:i4>2555944</vt:i4>
      </vt:variant>
      <vt:variant>
        <vt:i4>69</vt:i4>
      </vt:variant>
      <vt:variant>
        <vt:i4>0</vt:i4>
      </vt:variant>
      <vt:variant>
        <vt:i4>5</vt:i4>
      </vt:variant>
      <vt:variant>
        <vt:lpwstr>https://www.england.nhs.uk/publication/making-every-contact-count-mecc-consensus-statement/</vt:lpwstr>
      </vt:variant>
      <vt:variant>
        <vt:lpwstr/>
      </vt:variant>
      <vt:variant>
        <vt:i4>1507335</vt:i4>
      </vt:variant>
      <vt:variant>
        <vt:i4>66</vt:i4>
      </vt:variant>
      <vt:variant>
        <vt:i4>0</vt:i4>
      </vt:variant>
      <vt:variant>
        <vt:i4>5</vt:i4>
      </vt:variant>
      <vt:variant>
        <vt:lpwstr>https://www.england.nhs.uk/primary-care/next-steps-for-integrating-primary-care-fuller-stocktake-report/</vt:lpwstr>
      </vt:variant>
      <vt:variant>
        <vt:lpwstr/>
      </vt:variant>
      <vt:variant>
        <vt:i4>7929966</vt:i4>
      </vt:variant>
      <vt:variant>
        <vt:i4>63</vt:i4>
      </vt:variant>
      <vt:variant>
        <vt:i4>0</vt:i4>
      </vt:variant>
      <vt:variant>
        <vt:i4>5</vt:i4>
      </vt:variant>
      <vt:variant>
        <vt:lpwstr>https://www.england.nhs.uk/publication/next-steps-for-integrating-primary-care-fuller-stocktake-report/</vt:lpwstr>
      </vt:variant>
      <vt:variant>
        <vt:lpwstr/>
      </vt:variant>
      <vt:variant>
        <vt:i4>8126566</vt:i4>
      </vt:variant>
      <vt:variant>
        <vt:i4>60</vt:i4>
      </vt:variant>
      <vt:variant>
        <vt:i4>0</vt:i4>
      </vt:variant>
      <vt:variant>
        <vt:i4>5</vt:i4>
      </vt:variant>
      <vt:variant>
        <vt:lpwstr>https://www.england.nhs.uk/about/equality/equality-hub/national-healthcare-inequalities-improvement-programme/what-are-healthcare-inequalities/inclusion-health-groups/</vt:lpwstr>
      </vt:variant>
      <vt:variant>
        <vt:lpwstr/>
      </vt:variant>
      <vt:variant>
        <vt:i4>7078005</vt:i4>
      </vt:variant>
      <vt:variant>
        <vt:i4>57</vt:i4>
      </vt:variant>
      <vt:variant>
        <vt:i4>0</vt:i4>
      </vt:variant>
      <vt:variant>
        <vt:i4>5</vt:i4>
      </vt:variant>
      <vt:variant>
        <vt:lpwstr>https://www.nao.org.uk/wp-content/uploads/2022/02/The-rollout-of-the-COVID-19-vaccination-programme-in-England.pdf</vt:lpwstr>
      </vt:variant>
      <vt:variant>
        <vt:lpwstr/>
      </vt:variant>
      <vt:variant>
        <vt:i4>3735597</vt:i4>
      </vt:variant>
      <vt:variant>
        <vt:i4>54</vt:i4>
      </vt:variant>
      <vt:variant>
        <vt:i4>0</vt:i4>
      </vt:variant>
      <vt:variant>
        <vt:i4>5</vt:i4>
      </vt:variant>
      <vt:variant>
        <vt:lpwstr>https://www.gov.uk/government/publications/childhood-vaccines-parental-attitudes-survey-2022/childhood-vaccines-parental-attitudes-survey-2022-findings</vt:lpwstr>
      </vt:variant>
      <vt:variant>
        <vt:lpwstr/>
      </vt:variant>
      <vt:variant>
        <vt:i4>4325377</vt:i4>
      </vt:variant>
      <vt:variant>
        <vt:i4>51</vt:i4>
      </vt:variant>
      <vt:variant>
        <vt:i4>0</vt:i4>
      </vt:variant>
      <vt:variant>
        <vt:i4>5</vt:i4>
      </vt:variant>
      <vt:variant>
        <vt:lpwstr>https://www.asset-scienceinsociety.eu/sites/default/files/sage_working_group_revised_report_vaccine_hesitancy.pdf</vt:lpwstr>
      </vt:variant>
      <vt:variant>
        <vt:lpwstr/>
      </vt:variant>
      <vt:variant>
        <vt:i4>6553719</vt:i4>
      </vt:variant>
      <vt:variant>
        <vt:i4>48</vt:i4>
      </vt:variant>
      <vt:variant>
        <vt:i4>0</vt:i4>
      </vt:variant>
      <vt:variant>
        <vt:i4>5</vt:i4>
      </vt:variant>
      <vt:variant>
        <vt:lpwstr>https://www.gov.uk/government/statistics/seasonal-influenza-vaccine-uptake-in-gp-patients-monthly-data-2022-to-2023</vt:lpwstr>
      </vt:variant>
      <vt:variant>
        <vt:lpwstr/>
      </vt:variant>
      <vt:variant>
        <vt:i4>3211379</vt:i4>
      </vt:variant>
      <vt:variant>
        <vt:i4>45</vt:i4>
      </vt:variant>
      <vt:variant>
        <vt:i4>0</vt:i4>
      </vt:variant>
      <vt:variant>
        <vt:i4>5</vt:i4>
      </vt:variant>
      <vt:variant>
        <vt:lpwstr>https://data.oecd.org/healthcare/child-vaccination-rates.htm</vt:lpwstr>
      </vt:variant>
      <vt:variant>
        <vt:lpwstr>indicator-chart</vt:lpwstr>
      </vt:variant>
      <vt:variant>
        <vt:i4>7274559</vt:i4>
      </vt:variant>
      <vt:variant>
        <vt:i4>42</vt:i4>
      </vt:variant>
      <vt:variant>
        <vt:i4>0</vt:i4>
      </vt:variant>
      <vt:variant>
        <vt:i4>5</vt:i4>
      </vt:variant>
      <vt:variant>
        <vt:lpwstr>https://gbr01.safelinks.protection.outlook.com/?url=https%3A%2F%2Fwww.england.nhs.uk%2Fstatistics%2Fstatistical-work-areas%2Fcovid-19-vaccinations%2F&amp;data=05%7C01%7Cr.cull%40nhs.net%7C02b5505133bf4542992e08db26db8b2b%7C37c354b285b047f5b22207b48d774ee3%7C0%7C0%7C638146496586793675%7CUnknown%7CTWFpbGZsb3d8eyJWIjoiMC4wLjAwMDAiLCJQIjoiV2luMzIiLCJBTiI6Ik1haWwiLCJXVCI6Mn0%3D%7C3000%7C%7C%7C&amp;sdata=J48joCUyCtx3uiuFIyZLiIbCg6XMx%2BeyMkKl7aLYYpc%3D&amp;reserved=0</vt:lpwstr>
      </vt:variant>
      <vt:variant>
        <vt:lpwstr/>
      </vt:variant>
      <vt:variant>
        <vt:i4>1310720</vt:i4>
      </vt:variant>
      <vt:variant>
        <vt:i4>39</vt:i4>
      </vt:variant>
      <vt:variant>
        <vt:i4>0</vt:i4>
      </vt:variant>
      <vt:variant>
        <vt:i4>5</vt:i4>
      </vt:variant>
      <vt:variant>
        <vt:lpwstr>https://data.oecd.org/healthcare/influenza-vaccination-rates.htm</vt:lpwstr>
      </vt:variant>
      <vt:variant>
        <vt:lpwstr/>
      </vt:variant>
      <vt:variant>
        <vt:i4>327684</vt:i4>
      </vt:variant>
      <vt:variant>
        <vt:i4>36</vt:i4>
      </vt:variant>
      <vt:variant>
        <vt:i4>0</vt:i4>
      </vt:variant>
      <vt:variant>
        <vt:i4>5</vt:i4>
      </vt:variant>
      <vt:variant>
        <vt:lpwstr>https://digital.nhs.uk/data-and-information/publications/statistical/nhs-immunisation-statistics/england-2022-23</vt:lpwstr>
      </vt:variant>
      <vt:variant>
        <vt:lpwstr/>
      </vt:variant>
      <vt:variant>
        <vt:i4>2424958</vt:i4>
      </vt:variant>
      <vt:variant>
        <vt:i4>33</vt:i4>
      </vt:variant>
      <vt:variant>
        <vt:i4>0</vt:i4>
      </vt:variant>
      <vt:variant>
        <vt:i4>5</vt:i4>
      </vt:variant>
      <vt:variant>
        <vt:lpwstr>https://www.gov.uk/government/publications/the-complete-routine-immunisation-schedule/the-complete-routine-immunisation-schedule-from-february-2022</vt:lpwstr>
      </vt:variant>
      <vt:variant>
        <vt:lpwstr/>
      </vt:variant>
      <vt:variant>
        <vt:i4>131166</vt:i4>
      </vt:variant>
      <vt:variant>
        <vt:i4>30</vt:i4>
      </vt:variant>
      <vt:variant>
        <vt:i4>0</vt:i4>
      </vt:variant>
      <vt:variant>
        <vt:i4>5</vt:i4>
      </vt:variant>
      <vt:variant>
        <vt:lpwstr>https://www.nhs.uk/conditions/vaccinations/why-vaccination-is-safe-and-important/</vt:lpwstr>
      </vt:variant>
      <vt:variant>
        <vt:lpwstr/>
      </vt:variant>
      <vt:variant>
        <vt:i4>1835011</vt:i4>
      </vt:variant>
      <vt:variant>
        <vt:i4>27</vt:i4>
      </vt:variant>
      <vt:variant>
        <vt:i4>0</vt:i4>
      </vt:variant>
      <vt:variant>
        <vt:i4>5</vt:i4>
      </vt:variant>
      <vt:variant>
        <vt:lpwstr>https://www.gov.uk/government/collections/immunisation-against-infectious-disease-the-green-book</vt:lpwstr>
      </vt:variant>
      <vt:variant>
        <vt:lpwstr/>
      </vt:variant>
      <vt:variant>
        <vt:i4>262222</vt:i4>
      </vt:variant>
      <vt:variant>
        <vt:i4>24</vt:i4>
      </vt:variant>
      <vt:variant>
        <vt:i4>0</vt:i4>
      </vt:variant>
      <vt:variant>
        <vt:i4>5</vt:i4>
      </vt:variant>
      <vt:variant>
        <vt:lpwstr>https://www.england.nhs.uk/wp-content/uploads/2022/05/next-steps-for-integrating-primary-care-fuller-stocktake-report.pdf</vt:lpwstr>
      </vt:variant>
      <vt:variant>
        <vt:lpwstr/>
      </vt:variant>
      <vt:variant>
        <vt:i4>327684</vt:i4>
      </vt:variant>
      <vt:variant>
        <vt:i4>21</vt:i4>
      </vt:variant>
      <vt:variant>
        <vt:i4>0</vt:i4>
      </vt:variant>
      <vt:variant>
        <vt:i4>5</vt:i4>
      </vt:variant>
      <vt:variant>
        <vt:lpwstr>https://digital.nhs.uk/data-and-information/publications/statistical/nhs-immunisation-statistics/england-2022-23</vt:lpwstr>
      </vt:variant>
      <vt:variant>
        <vt:lpwstr/>
      </vt:variant>
      <vt:variant>
        <vt:i4>6029320</vt:i4>
      </vt:variant>
      <vt:variant>
        <vt:i4>18</vt:i4>
      </vt:variant>
      <vt:variant>
        <vt:i4>0</vt:i4>
      </vt:variant>
      <vt:variant>
        <vt:i4>5</vt:i4>
      </vt:variant>
      <vt:variant>
        <vt:lpwstr>https://ukhsa.blog.gov.uk/2019/08/19/measles-in-england/</vt:lpwstr>
      </vt:variant>
      <vt:variant>
        <vt:lpwstr/>
      </vt:variant>
      <vt:variant>
        <vt:i4>1900624</vt:i4>
      </vt:variant>
      <vt:variant>
        <vt:i4>15</vt:i4>
      </vt:variant>
      <vt:variant>
        <vt:i4>0</vt:i4>
      </vt:variant>
      <vt:variant>
        <vt:i4>5</vt:i4>
      </vt:variant>
      <vt:variant>
        <vt:lpwstr>https://www.gov.uk/government/news/hpv-vaccine-could-prevent-over-100-000-cancers</vt:lpwstr>
      </vt:variant>
      <vt:variant>
        <vt:lpwstr/>
      </vt:variant>
      <vt:variant>
        <vt:i4>7274559</vt:i4>
      </vt:variant>
      <vt:variant>
        <vt:i4>12</vt:i4>
      </vt:variant>
      <vt:variant>
        <vt:i4>0</vt:i4>
      </vt:variant>
      <vt:variant>
        <vt:i4>5</vt:i4>
      </vt:variant>
      <vt:variant>
        <vt:lpwstr>https://gbr01.safelinks.protection.outlook.com/?url=https%3A%2F%2Fwww.england.nhs.uk%2Fstatistics%2Fstatistical-work-areas%2Fcovid-19-vaccinations%2F&amp;data=05%7C01%7Cr.cull%40nhs.net%7C02b5505133bf4542992e08db26db8b2b%7C37c354b285b047f5b22207b48d774ee3%7C0%7C0%7C638146496586793675%7CUnknown%7CTWFpbGZsb3d8eyJWIjoiMC4wLjAwMDAiLCJQIjoiV2luMzIiLCJBTiI6Ik1haWwiLCJXVCI6Mn0%3D%7C3000%7C%7C%7C&amp;sdata=J48joCUyCtx3uiuFIyZLiIbCg6XMx%2BeyMkKl7aLYYpc%3D&amp;reserved=0</vt:lpwstr>
      </vt:variant>
      <vt:variant>
        <vt:lpwstr/>
      </vt:variant>
      <vt:variant>
        <vt:i4>5046361</vt:i4>
      </vt:variant>
      <vt:variant>
        <vt:i4>9</vt:i4>
      </vt:variant>
      <vt:variant>
        <vt:i4>0</vt:i4>
      </vt:variant>
      <vt:variant>
        <vt:i4>5</vt:i4>
      </vt:variant>
      <vt:variant>
        <vt:lpwstr>https://www.oecd-ilibrary.org/docserver/7a7afb35-en.pdf?expires=1699544411&amp;id=id&amp;accname=guest&amp;checksum=B1D5E82B32C380CFE52792A2A6185A9B</vt:lpwstr>
      </vt:variant>
      <vt:variant>
        <vt:lpwstr/>
      </vt:variant>
      <vt:variant>
        <vt:i4>1507416</vt:i4>
      </vt:variant>
      <vt:variant>
        <vt:i4>6</vt:i4>
      </vt:variant>
      <vt:variant>
        <vt:i4>0</vt:i4>
      </vt:variant>
      <vt:variant>
        <vt:i4>5</vt:i4>
      </vt:variant>
      <vt:variant>
        <vt:lpwstr>https://www.ovg.ox.ac.uk/news/the-global-value-of-vaccination</vt:lpwstr>
      </vt:variant>
      <vt:variant>
        <vt:lpwstr/>
      </vt:variant>
      <vt:variant>
        <vt:i4>1704009</vt:i4>
      </vt:variant>
      <vt:variant>
        <vt:i4>3</vt:i4>
      </vt:variant>
      <vt:variant>
        <vt:i4>0</vt:i4>
      </vt:variant>
      <vt:variant>
        <vt:i4>5</vt:i4>
      </vt:variant>
      <vt:variant>
        <vt:lpwstr>https://www.gov.uk/government/publications/the-hewitt-review-an-independent-review-of-integrated-care-systems</vt:lpwstr>
      </vt:variant>
      <vt:variant>
        <vt:lpwstr/>
      </vt:variant>
      <vt:variant>
        <vt:i4>262222</vt:i4>
      </vt:variant>
      <vt:variant>
        <vt:i4>0</vt:i4>
      </vt:variant>
      <vt:variant>
        <vt:i4>0</vt:i4>
      </vt:variant>
      <vt:variant>
        <vt:i4>5</vt:i4>
      </vt:variant>
      <vt:variant>
        <vt:lpwstr>https://www.england.nhs.uk/wp-content/uploads/2022/05/next-steps-for-integrating-primary-care-fuller-stocktake-report.pdf</vt:lpwstr>
      </vt:variant>
      <vt:variant>
        <vt:lpwstr/>
      </vt:variant>
      <vt:variant>
        <vt:i4>3080315</vt:i4>
      </vt:variant>
      <vt:variant>
        <vt:i4>0</vt:i4>
      </vt:variant>
      <vt:variant>
        <vt:i4>0</vt:i4>
      </vt:variant>
      <vt:variant>
        <vt:i4>5</vt:i4>
      </vt:variant>
      <vt:variant>
        <vt:lpwstr>https://gbr01.safelinks.protection.outlook.com/?url=https%3A%2F%2Fwww.ons.gov.uk%2Fdatasets%2FTS031%2Feditions%2F2021%2Fversions%2F4&amp;data=05%7C01%7Cpeter.liu%40nhs.net%7C87b9c7e7a377412e1abf08db61c1bd7d%7C37c354b285b047f5b22207b48d774ee3%7C0%7C0%7C638211257526457767%7CUnknown%7CTWFpbGZsb3d8eyJWIjoiMC4wLjAwMDAiLCJQIjoiV2luMzIiLCJBTiI6Ik1haWwiLCJXVCI6Mn0%3D%7C3000%7C%7C%7C&amp;sdata=qOoTyIpGUxvC9iPlau4jNm0deI6ljeMBS5UJiGccURs%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the future delivery of NHS vaccination services</dc:title>
  <dc:subject/>
  <dc:creator>Thomas Waterman</dc:creator>
  <cp:keywords/>
  <cp:lastModifiedBy>TOMPKINS, Sam</cp:lastModifiedBy>
  <cp:revision>2</cp:revision>
  <cp:lastPrinted>2023-12-12T14:28:00Z</cp:lastPrinted>
  <dcterms:created xsi:type="dcterms:W3CDTF">2023-12-19T12:47:00Z</dcterms:created>
  <dcterms:modified xsi:type="dcterms:W3CDTF">2023-12-19T12:47:00Z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0x010100BFDDBED946BCD34BBBD18ADCCB0AC3A6</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y fmtid="{D5CDD505-2E9C-101B-9397-08002B2CF9AE}" pid="8" name="MSIP_Label_a8f77787-5df4-43b6-a2a8-8d8b678a318b_Enabled">
    <vt:lpwstr>true</vt:lpwstr>
  </property>
  <property fmtid="{D5CDD505-2E9C-101B-9397-08002B2CF9AE}" pid="9" name="MSIP_Label_a8f77787-5df4-43b6-a2a8-8d8b678a318b_SetDate">
    <vt:lpwstr>2023-12-19T12:47:24Z</vt:lpwstr>
  </property>
  <property fmtid="{D5CDD505-2E9C-101B-9397-08002B2CF9AE}" pid="10" name="MSIP_Label_a8f77787-5df4-43b6-a2a8-8d8b678a318b_Method">
    <vt:lpwstr>Standard</vt:lpwstr>
  </property>
  <property fmtid="{D5CDD505-2E9C-101B-9397-08002B2CF9AE}" pid="11" name="MSIP_Label_a8f77787-5df4-43b6-a2a8-8d8b678a318b_Name">
    <vt:lpwstr>a8f77787-5df4-43b6-a2a8-8d8b678a318b</vt:lpwstr>
  </property>
  <property fmtid="{D5CDD505-2E9C-101B-9397-08002B2CF9AE}" pid="12" name="MSIP_Label_a8f77787-5df4-43b6-a2a8-8d8b678a318b_SiteId">
    <vt:lpwstr>1ce6dd9e-b337-4088-be5e-8dbbec04b34a</vt:lpwstr>
  </property>
  <property fmtid="{D5CDD505-2E9C-101B-9397-08002B2CF9AE}" pid="13" name="MSIP_Label_a8f77787-5df4-43b6-a2a8-8d8b678a318b_ActionId">
    <vt:lpwstr>955a8263-9fdf-4227-ad96-0bb46f12dab5</vt:lpwstr>
  </property>
  <property fmtid="{D5CDD505-2E9C-101B-9397-08002B2CF9AE}" pid="14" name="MSIP_Label_a8f77787-5df4-43b6-a2a8-8d8b678a318b_ContentBits">
    <vt:lpwstr>0</vt:lpwstr>
  </property>
</Properties>
</file>