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3582" w14:textId="76C5AA95" w:rsidR="008D431D" w:rsidRDefault="00AD4DD5" w:rsidP="008847DC">
      <w:pPr>
        <w:pStyle w:val="Reporttitle"/>
      </w:pPr>
      <w:r>
        <w:t>Framework Agreement between Department of Health and Social Care and Health Education England 202</w:t>
      </w:r>
      <w:r w:rsidR="0024768D">
        <w:t>2</w:t>
      </w:r>
      <w:r>
        <w:t>-202</w:t>
      </w:r>
      <w:r w:rsidR="0024768D">
        <w:t>5</w:t>
      </w:r>
      <w:r w:rsidR="00FF0170">
        <w:br/>
      </w:r>
      <w:r w:rsidR="00936529" w:rsidRPr="00242B95">
        <w:rPr>
          <w:noProof/>
        </w:rPr>
        <mc:AlternateContent>
          <mc:Choice Requires="wps">
            <w:drawing>
              <wp:anchor distT="45720" distB="45720" distL="114300" distR="114300" simplePos="0" relativeHeight="251658240" behindDoc="0" locked="0" layoutInCell="1" allowOverlap="1" wp14:anchorId="5D376F6C" wp14:editId="32BA75ED">
                <wp:simplePos x="0" y="0"/>
                <wp:positionH relativeFrom="margin">
                  <wp:posOffset>-120015</wp:posOffset>
                </wp:positionH>
                <wp:positionV relativeFrom="page">
                  <wp:posOffset>4324350</wp:posOffset>
                </wp:positionV>
                <wp:extent cx="2476500" cy="285750"/>
                <wp:effectExtent l="0" t="0" r="0" b="0"/>
                <wp:wrapSquare wrapText="bothSides"/>
                <wp:docPr id="217" name="Text Box 2" descr="Publishing date" title="Publishing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noFill/>
                        <a:ln w="9525">
                          <a:noFill/>
                          <a:miter lim="800000"/>
                          <a:headEnd/>
                          <a:tailEnd/>
                        </a:ln>
                      </wps:spPr>
                      <wps:txbx>
                        <w:txbxContent>
                          <w:p w14:paraId="37DBD7E1" w14:textId="651539D0" w:rsidR="00920C71" w:rsidRDefault="00920C71">
                            <w:r>
                              <w:t xml:space="preserve">Published </w:t>
                            </w:r>
                            <w:r w:rsidR="00004434">
                              <w:t>August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376F6C" id="_x0000_t202" coordsize="21600,21600" o:spt="202" path="m,l,21600r21600,l21600,xe">
                <v:stroke joinstyle="miter"/>
                <v:path gradientshapeok="t" o:connecttype="rect"/>
              </v:shapetype>
              <v:shape id="Text Box 2" o:spid="_x0000_s1026" type="#_x0000_t202" alt="Title: Publishing date - Description: Publishing date" style="position:absolute;margin-left:-9.45pt;margin-top:340.5pt;width:195pt;height:22.5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" filled="f" stroked="f">
                <v:textbox>
                  <w:txbxContent>
                    <w:p w14:paraId="37DBD7E1" w14:textId="651539D0" w:rsidR="00920C71" w:rsidRDefault="00920C71">
                      <w:r>
                        <w:t xml:space="preserve">Published </w:t>
                      </w:r>
                      <w:r w:rsidR="00004434">
                        <w:t>August 2022</w:t>
                      </w:r>
                    </w:p>
                  </w:txbxContent>
                </v:textbox>
                <w10:wrap type="square" anchorx="margin" anchory="page"/>
              </v:shape>
            </w:pict>
          </mc:Fallback>
        </mc:AlternateContent>
      </w:r>
    </w:p>
    <w:p w14:paraId="17DDA0EF" w14:textId="77777777" w:rsidR="00FF0170" w:rsidRDefault="00FF0170" w:rsidP="00731C07">
      <w:pPr>
        <w:pStyle w:val="ParagraphText-unnumbered"/>
      </w:pPr>
    </w:p>
    <w:p w14:paraId="2C73A919" w14:textId="77777777" w:rsidR="00771AD1" w:rsidRDefault="00771AD1" w:rsidP="00731C07">
      <w:pPr>
        <w:pStyle w:val="ParagraphText-unnumbered"/>
      </w:pPr>
    </w:p>
    <w:p w14:paraId="6C2AE75E" w14:textId="77777777" w:rsidR="00771AD1" w:rsidRDefault="00771AD1" w:rsidP="00FF0170">
      <w:pPr>
        <w:pStyle w:val="Heading-contents"/>
        <w:sectPr w:rsidR="00771AD1" w:rsidSect="00771AD1">
          <w:headerReference w:type="default" r:id="rId11"/>
          <w:footerReference w:type="even" r:id="rId12"/>
          <w:footerReference w:type="default" r:id="rId13"/>
          <w:headerReference w:type="first" r:id="rId14"/>
          <w:pgSz w:w="11906" w:h="16838" w:code="9"/>
          <w:pgMar w:top="1644" w:right="1134" w:bottom="1134" w:left="1134" w:header="567" w:footer="567" w:gutter="0"/>
          <w:pgNumType w:start="1"/>
          <w:cols w:space="720"/>
          <w:titlePg/>
        </w:sectPr>
      </w:pPr>
    </w:p>
    <w:p w14:paraId="44FADF55" w14:textId="77777777" w:rsidR="00AB15F8" w:rsidRDefault="00AB15F8" w:rsidP="00AB15F8"/>
    <w:p w14:paraId="3DC5116F" w14:textId="77777777" w:rsidR="00454DD8" w:rsidRDefault="00FF0170" w:rsidP="00FC75BF">
      <w:pPr>
        <w:pStyle w:val="Heading-contents"/>
        <w:rPr>
          <w:noProof/>
        </w:rPr>
      </w:pPr>
      <w:r w:rsidRPr="00771C5B">
        <w:t>Contents</w:t>
      </w:r>
      <w:r w:rsidR="00FC75BF">
        <w:rPr>
          <w:sz w:val="56"/>
        </w:rPr>
        <w:fldChar w:fldCharType="begin"/>
      </w:r>
      <w:r w:rsidR="00FC75BF">
        <w:rPr>
          <w:sz w:val="56"/>
        </w:rPr>
        <w:instrText xml:space="preserve"> TOC \o "2-2" \f \h \z \t "Heading 1,1,Heading 1 - numbered,1" </w:instrText>
      </w:r>
      <w:r w:rsidR="00FC75BF">
        <w:rPr>
          <w:sz w:val="56"/>
        </w:rPr>
        <w:fldChar w:fldCharType="separate"/>
      </w:r>
    </w:p>
    <w:p w14:paraId="4C3A9C93" w14:textId="7CE0175E" w:rsidR="00454DD8" w:rsidRDefault="003F56C6">
      <w:pPr>
        <w:pStyle w:val="TOC2"/>
        <w:rPr>
          <w:rFonts w:asciiTheme="minorHAnsi" w:eastAsiaTheme="minorEastAsia" w:hAnsiTheme="minorHAnsi" w:cstheme="minorBidi"/>
          <w:sz w:val="22"/>
          <w:szCs w:val="22"/>
        </w:rPr>
      </w:pPr>
      <w:hyperlink w:anchor="_Toc110582329" w:history="1">
        <w:r w:rsidR="00454DD8" w:rsidRPr="001E2701">
          <w:rPr>
            <w:rStyle w:val="Hyperlink"/>
          </w:rPr>
          <w:t>Introduction and background</w:t>
        </w:r>
        <w:r w:rsidR="00454DD8">
          <w:rPr>
            <w:webHidden/>
          </w:rPr>
          <w:tab/>
        </w:r>
        <w:r w:rsidR="00454DD8">
          <w:rPr>
            <w:webHidden/>
          </w:rPr>
          <w:fldChar w:fldCharType="begin"/>
        </w:r>
        <w:r w:rsidR="00454DD8">
          <w:rPr>
            <w:webHidden/>
          </w:rPr>
          <w:instrText xml:space="preserve"> PAGEREF _Toc110582329 \h </w:instrText>
        </w:r>
        <w:r w:rsidR="00454DD8">
          <w:rPr>
            <w:webHidden/>
          </w:rPr>
        </w:r>
        <w:r w:rsidR="00454DD8">
          <w:rPr>
            <w:webHidden/>
          </w:rPr>
          <w:fldChar w:fldCharType="separate"/>
        </w:r>
        <w:r w:rsidR="00454DD8">
          <w:rPr>
            <w:webHidden/>
          </w:rPr>
          <w:t>2</w:t>
        </w:r>
        <w:r w:rsidR="00454DD8">
          <w:rPr>
            <w:webHidden/>
          </w:rPr>
          <w:fldChar w:fldCharType="end"/>
        </w:r>
      </w:hyperlink>
    </w:p>
    <w:p w14:paraId="7F9597A7" w14:textId="7E35974C" w:rsidR="00454DD8" w:rsidRDefault="003F56C6">
      <w:pPr>
        <w:pStyle w:val="TOC2"/>
        <w:rPr>
          <w:rFonts w:asciiTheme="minorHAnsi" w:eastAsiaTheme="minorEastAsia" w:hAnsiTheme="minorHAnsi" w:cstheme="minorBidi"/>
          <w:sz w:val="22"/>
          <w:szCs w:val="22"/>
        </w:rPr>
      </w:pPr>
      <w:hyperlink w:anchor="_Toc110582330" w:history="1">
        <w:r w:rsidR="00454DD8" w:rsidRPr="001E2701">
          <w:rPr>
            <w:rStyle w:val="Hyperlink"/>
          </w:rPr>
          <w:t>Purposes, aims and duties</w:t>
        </w:r>
        <w:r w:rsidR="00454DD8">
          <w:rPr>
            <w:webHidden/>
          </w:rPr>
          <w:tab/>
        </w:r>
        <w:r w:rsidR="00454DD8">
          <w:rPr>
            <w:webHidden/>
          </w:rPr>
          <w:fldChar w:fldCharType="begin"/>
        </w:r>
        <w:r w:rsidR="00454DD8">
          <w:rPr>
            <w:webHidden/>
          </w:rPr>
          <w:instrText xml:space="preserve"> PAGEREF _Toc110582330 \h </w:instrText>
        </w:r>
        <w:r w:rsidR="00454DD8">
          <w:rPr>
            <w:webHidden/>
          </w:rPr>
        </w:r>
        <w:r w:rsidR="00454DD8">
          <w:rPr>
            <w:webHidden/>
          </w:rPr>
          <w:fldChar w:fldCharType="separate"/>
        </w:r>
        <w:r w:rsidR="00454DD8">
          <w:rPr>
            <w:webHidden/>
          </w:rPr>
          <w:t>4</w:t>
        </w:r>
        <w:r w:rsidR="00454DD8">
          <w:rPr>
            <w:webHidden/>
          </w:rPr>
          <w:fldChar w:fldCharType="end"/>
        </w:r>
      </w:hyperlink>
    </w:p>
    <w:p w14:paraId="28E7E339" w14:textId="7DB37045" w:rsidR="00454DD8" w:rsidRDefault="003F56C6">
      <w:pPr>
        <w:pStyle w:val="TOC2"/>
        <w:rPr>
          <w:rFonts w:asciiTheme="minorHAnsi" w:eastAsiaTheme="minorEastAsia" w:hAnsiTheme="minorHAnsi" w:cstheme="minorBidi"/>
          <w:sz w:val="22"/>
          <w:szCs w:val="22"/>
        </w:rPr>
      </w:pPr>
      <w:hyperlink w:anchor="_Toc110582331" w:history="1">
        <w:r w:rsidR="00454DD8" w:rsidRPr="001E2701">
          <w:rPr>
            <w:rStyle w:val="Hyperlink"/>
          </w:rPr>
          <w:t>Role of the department</w:t>
        </w:r>
        <w:r w:rsidR="00454DD8">
          <w:rPr>
            <w:webHidden/>
          </w:rPr>
          <w:tab/>
        </w:r>
        <w:r w:rsidR="00454DD8">
          <w:rPr>
            <w:webHidden/>
          </w:rPr>
          <w:fldChar w:fldCharType="begin"/>
        </w:r>
        <w:r w:rsidR="00454DD8">
          <w:rPr>
            <w:webHidden/>
          </w:rPr>
          <w:instrText xml:space="preserve"> PAGEREF _Toc110582331 \h </w:instrText>
        </w:r>
        <w:r w:rsidR="00454DD8">
          <w:rPr>
            <w:webHidden/>
          </w:rPr>
        </w:r>
        <w:r w:rsidR="00454DD8">
          <w:rPr>
            <w:webHidden/>
          </w:rPr>
          <w:fldChar w:fldCharType="separate"/>
        </w:r>
        <w:r w:rsidR="00454DD8">
          <w:rPr>
            <w:webHidden/>
          </w:rPr>
          <w:t>7</w:t>
        </w:r>
        <w:r w:rsidR="00454DD8">
          <w:rPr>
            <w:webHidden/>
          </w:rPr>
          <w:fldChar w:fldCharType="end"/>
        </w:r>
      </w:hyperlink>
    </w:p>
    <w:p w14:paraId="6304B76E" w14:textId="218DDE94" w:rsidR="00454DD8" w:rsidRDefault="003F56C6">
      <w:pPr>
        <w:pStyle w:val="TOC2"/>
        <w:rPr>
          <w:rFonts w:asciiTheme="minorHAnsi" w:eastAsiaTheme="minorEastAsia" w:hAnsiTheme="minorHAnsi" w:cstheme="minorBidi"/>
          <w:sz w:val="22"/>
          <w:szCs w:val="22"/>
        </w:rPr>
      </w:pPr>
      <w:hyperlink w:anchor="_Toc110582332" w:history="1">
        <w:r w:rsidR="00454DD8" w:rsidRPr="001E2701">
          <w:rPr>
            <w:rStyle w:val="Hyperlink"/>
          </w:rPr>
          <w:t>HEE governance and structure</w:t>
        </w:r>
        <w:r w:rsidR="00454DD8">
          <w:rPr>
            <w:webHidden/>
          </w:rPr>
          <w:tab/>
        </w:r>
        <w:r w:rsidR="00454DD8">
          <w:rPr>
            <w:webHidden/>
          </w:rPr>
          <w:fldChar w:fldCharType="begin"/>
        </w:r>
        <w:r w:rsidR="00454DD8">
          <w:rPr>
            <w:webHidden/>
          </w:rPr>
          <w:instrText xml:space="preserve"> PAGEREF _Toc110582332 \h </w:instrText>
        </w:r>
        <w:r w:rsidR="00454DD8">
          <w:rPr>
            <w:webHidden/>
          </w:rPr>
        </w:r>
        <w:r w:rsidR="00454DD8">
          <w:rPr>
            <w:webHidden/>
          </w:rPr>
          <w:fldChar w:fldCharType="separate"/>
        </w:r>
        <w:r w:rsidR="00454DD8">
          <w:rPr>
            <w:webHidden/>
          </w:rPr>
          <w:t>12</w:t>
        </w:r>
        <w:r w:rsidR="00454DD8">
          <w:rPr>
            <w:webHidden/>
          </w:rPr>
          <w:fldChar w:fldCharType="end"/>
        </w:r>
      </w:hyperlink>
    </w:p>
    <w:p w14:paraId="46FDD9DE" w14:textId="6EFED4AC" w:rsidR="00454DD8" w:rsidRDefault="003F56C6">
      <w:pPr>
        <w:pStyle w:val="TOC2"/>
        <w:rPr>
          <w:rFonts w:asciiTheme="minorHAnsi" w:eastAsiaTheme="minorEastAsia" w:hAnsiTheme="minorHAnsi" w:cstheme="minorBidi"/>
          <w:sz w:val="22"/>
          <w:szCs w:val="22"/>
        </w:rPr>
      </w:pPr>
      <w:hyperlink w:anchor="_Toc110582333" w:history="1">
        <w:r w:rsidR="00454DD8" w:rsidRPr="001E2701">
          <w:rPr>
            <w:rStyle w:val="Hyperlink"/>
          </w:rPr>
          <w:t>Management and financial responsibilities and controls</w:t>
        </w:r>
        <w:r w:rsidR="00454DD8">
          <w:rPr>
            <w:webHidden/>
          </w:rPr>
          <w:tab/>
        </w:r>
        <w:r w:rsidR="00454DD8">
          <w:rPr>
            <w:webHidden/>
          </w:rPr>
          <w:fldChar w:fldCharType="begin"/>
        </w:r>
        <w:r w:rsidR="00454DD8">
          <w:rPr>
            <w:webHidden/>
          </w:rPr>
          <w:instrText xml:space="preserve"> PAGEREF _Toc110582333 \h </w:instrText>
        </w:r>
        <w:r w:rsidR="00454DD8">
          <w:rPr>
            <w:webHidden/>
          </w:rPr>
        </w:r>
        <w:r w:rsidR="00454DD8">
          <w:rPr>
            <w:webHidden/>
          </w:rPr>
          <w:fldChar w:fldCharType="separate"/>
        </w:r>
        <w:r w:rsidR="00454DD8">
          <w:rPr>
            <w:webHidden/>
          </w:rPr>
          <w:t>20</w:t>
        </w:r>
        <w:r w:rsidR="00454DD8">
          <w:rPr>
            <w:webHidden/>
          </w:rPr>
          <w:fldChar w:fldCharType="end"/>
        </w:r>
      </w:hyperlink>
    </w:p>
    <w:p w14:paraId="139BEA80" w14:textId="73573F88" w:rsidR="00454DD8" w:rsidRDefault="003F56C6">
      <w:pPr>
        <w:pStyle w:val="TOC2"/>
        <w:rPr>
          <w:rFonts w:asciiTheme="minorHAnsi" w:eastAsiaTheme="minorEastAsia" w:hAnsiTheme="minorHAnsi" w:cstheme="minorBidi"/>
          <w:sz w:val="22"/>
          <w:szCs w:val="22"/>
        </w:rPr>
      </w:pPr>
      <w:hyperlink w:anchor="_Toc110582334" w:history="1">
        <w:r w:rsidR="00454DD8" w:rsidRPr="001E2701">
          <w:rPr>
            <w:rStyle w:val="Hyperlink"/>
          </w:rPr>
          <w:t>Business Plans, financial reporting and management information</w:t>
        </w:r>
        <w:r w:rsidR="00454DD8">
          <w:rPr>
            <w:webHidden/>
          </w:rPr>
          <w:tab/>
        </w:r>
        <w:r w:rsidR="00454DD8">
          <w:rPr>
            <w:webHidden/>
          </w:rPr>
          <w:fldChar w:fldCharType="begin"/>
        </w:r>
        <w:r w:rsidR="00454DD8">
          <w:rPr>
            <w:webHidden/>
          </w:rPr>
          <w:instrText xml:space="preserve"> PAGEREF _Toc110582334 \h </w:instrText>
        </w:r>
        <w:r w:rsidR="00454DD8">
          <w:rPr>
            <w:webHidden/>
          </w:rPr>
        </w:r>
        <w:r w:rsidR="00454DD8">
          <w:rPr>
            <w:webHidden/>
          </w:rPr>
          <w:fldChar w:fldCharType="separate"/>
        </w:r>
        <w:r w:rsidR="00454DD8">
          <w:rPr>
            <w:webHidden/>
          </w:rPr>
          <w:t>27</w:t>
        </w:r>
        <w:r w:rsidR="00454DD8">
          <w:rPr>
            <w:webHidden/>
          </w:rPr>
          <w:fldChar w:fldCharType="end"/>
        </w:r>
      </w:hyperlink>
    </w:p>
    <w:p w14:paraId="5F7FE399" w14:textId="2D8E5E7C" w:rsidR="00454DD8" w:rsidRDefault="003F56C6">
      <w:pPr>
        <w:pStyle w:val="TOC2"/>
        <w:rPr>
          <w:rFonts w:asciiTheme="minorHAnsi" w:eastAsiaTheme="minorEastAsia" w:hAnsiTheme="minorHAnsi" w:cstheme="minorBidi"/>
          <w:sz w:val="22"/>
          <w:szCs w:val="22"/>
        </w:rPr>
      </w:pPr>
      <w:hyperlink w:anchor="_Toc110582335" w:history="1">
        <w:r w:rsidR="00454DD8" w:rsidRPr="001E2701">
          <w:rPr>
            <w:rStyle w:val="Hyperlink"/>
          </w:rPr>
          <w:t>Audit</w:t>
        </w:r>
        <w:r w:rsidR="00454DD8">
          <w:rPr>
            <w:webHidden/>
          </w:rPr>
          <w:tab/>
        </w:r>
        <w:r w:rsidR="00454DD8">
          <w:rPr>
            <w:webHidden/>
          </w:rPr>
          <w:fldChar w:fldCharType="begin"/>
        </w:r>
        <w:r w:rsidR="00454DD8">
          <w:rPr>
            <w:webHidden/>
          </w:rPr>
          <w:instrText xml:space="preserve"> PAGEREF _Toc110582335 \h </w:instrText>
        </w:r>
        <w:r w:rsidR="00454DD8">
          <w:rPr>
            <w:webHidden/>
          </w:rPr>
        </w:r>
        <w:r w:rsidR="00454DD8">
          <w:rPr>
            <w:webHidden/>
          </w:rPr>
          <w:fldChar w:fldCharType="separate"/>
        </w:r>
        <w:r w:rsidR="00454DD8">
          <w:rPr>
            <w:webHidden/>
          </w:rPr>
          <w:t>31</w:t>
        </w:r>
        <w:r w:rsidR="00454DD8">
          <w:rPr>
            <w:webHidden/>
          </w:rPr>
          <w:fldChar w:fldCharType="end"/>
        </w:r>
      </w:hyperlink>
    </w:p>
    <w:p w14:paraId="484B6023" w14:textId="392064E1" w:rsidR="00454DD8" w:rsidRDefault="003F56C6">
      <w:pPr>
        <w:pStyle w:val="TOC2"/>
        <w:rPr>
          <w:rFonts w:asciiTheme="minorHAnsi" w:eastAsiaTheme="minorEastAsia" w:hAnsiTheme="minorHAnsi" w:cstheme="minorBidi"/>
          <w:sz w:val="22"/>
          <w:szCs w:val="22"/>
        </w:rPr>
      </w:pPr>
      <w:hyperlink w:anchor="_Toc110582336" w:history="1">
        <w:r w:rsidR="00454DD8" w:rsidRPr="001E2701">
          <w:rPr>
            <w:rStyle w:val="Hyperlink"/>
          </w:rPr>
          <w:t>Reviews and winding up arrangements</w:t>
        </w:r>
        <w:r w:rsidR="00454DD8">
          <w:rPr>
            <w:webHidden/>
          </w:rPr>
          <w:tab/>
        </w:r>
        <w:r w:rsidR="00454DD8">
          <w:rPr>
            <w:webHidden/>
          </w:rPr>
          <w:fldChar w:fldCharType="begin"/>
        </w:r>
        <w:r w:rsidR="00454DD8">
          <w:rPr>
            <w:webHidden/>
          </w:rPr>
          <w:instrText xml:space="preserve"> PAGEREF _Toc110582336 \h </w:instrText>
        </w:r>
        <w:r w:rsidR="00454DD8">
          <w:rPr>
            <w:webHidden/>
          </w:rPr>
        </w:r>
        <w:r w:rsidR="00454DD8">
          <w:rPr>
            <w:webHidden/>
          </w:rPr>
          <w:fldChar w:fldCharType="separate"/>
        </w:r>
        <w:r w:rsidR="00454DD8">
          <w:rPr>
            <w:webHidden/>
          </w:rPr>
          <w:t>33</w:t>
        </w:r>
        <w:r w:rsidR="00454DD8">
          <w:rPr>
            <w:webHidden/>
          </w:rPr>
          <w:fldChar w:fldCharType="end"/>
        </w:r>
      </w:hyperlink>
    </w:p>
    <w:p w14:paraId="0EB40CB7" w14:textId="18DB8618" w:rsidR="00454DD8" w:rsidRDefault="003F56C6">
      <w:pPr>
        <w:pStyle w:val="TOC2"/>
        <w:rPr>
          <w:rFonts w:asciiTheme="minorHAnsi" w:eastAsiaTheme="minorEastAsia" w:hAnsiTheme="minorHAnsi" w:cstheme="minorBidi"/>
          <w:sz w:val="22"/>
          <w:szCs w:val="22"/>
        </w:rPr>
      </w:pPr>
      <w:hyperlink w:anchor="_Toc110582337" w:history="1">
        <w:r w:rsidR="00454DD8" w:rsidRPr="001E2701">
          <w:rPr>
            <w:rStyle w:val="Hyperlink"/>
          </w:rPr>
          <w:t>Public and parliamentary accountability</w:t>
        </w:r>
        <w:r w:rsidR="00454DD8">
          <w:rPr>
            <w:webHidden/>
          </w:rPr>
          <w:tab/>
        </w:r>
        <w:r w:rsidR="00454DD8">
          <w:rPr>
            <w:webHidden/>
          </w:rPr>
          <w:fldChar w:fldCharType="begin"/>
        </w:r>
        <w:r w:rsidR="00454DD8">
          <w:rPr>
            <w:webHidden/>
          </w:rPr>
          <w:instrText xml:space="preserve"> PAGEREF _Toc110582337 \h </w:instrText>
        </w:r>
        <w:r w:rsidR="00454DD8">
          <w:rPr>
            <w:webHidden/>
          </w:rPr>
        </w:r>
        <w:r w:rsidR="00454DD8">
          <w:rPr>
            <w:webHidden/>
          </w:rPr>
          <w:fldChar w:fldCharType="separate"/>
        </w:r>
        <w:r w:rsidR="00454DD8">
          <w:rPr>
            <w:webHidden/>
          </w:rPr>
          <w:t>34</w:t>
        </w:r>
        <w:r w:rsidR="00454DD8">
          <w:rPr>
            <w:webHidden/>
          </w:rPr>
          <w:fldChar w:fldCharType="end"/>
        </w:r>
      </w:hyperlink>
    </w:p>
    <w:p w14:paraId="2C586E78" w14:textId="65CCE81A" w:rsidR="00454DD8" w:rsidRDefault="003F56C6">
      <w:pPr>
        <w:pStyle w:val="TOC2"/>
        <w:rPr>
          <w:rFonts w:asciiTheme="minorHAnsi" w:eastAsiaTheme="minorEastAsia" w:hAnsiTheme="minorHAnsi" w:cstheme="minorBidi"/>
          <w:sz w:val="22"/>
          <w:szCs w:val="22"/>
        </w:rPr>
      </w:pPr>
      <w:hyperlink w:anchor="_Toc110582338" w:history="1">
        <w:r w:rsidR="00454DD8" w:rsidRPr="001E2701">
          <w:rPr>
            <w:rStyle w:val="Hyperlink"/>
          </w:rPr>
          <w:t>Other matters</w:t>
        </w:r>
        <w:r w:rsidR="00454DD8">
          <w:rPr>
            <w:webHidden/>
          </w:rPr>
          <w:tab/>
        </w:r>
        <w:r w:rsidR="00454DD8">
          <w:rPr>
            <w:webHidden/>
          </w:rPr>
          <w:fldChar w:fldCharType="begin"/>
        </w:r>
        <w:r w:rsidR="00454DD8">
          <w:rPr>
            <w:webHidden/>
          </w:rPr>
          <w:instrText xml:space="preserve"> PAGEREF _Toc110582338 \h </w:instrText>
        </w:r>
        <w:r w:rsidR="00454DD8">
          <w:rPr>
            <w:webHidden/>
          </w:rPr>
        </w:r>
        <w:r w:rsidR="00454DD8">
          <w:rPr>
            <w:webHidden/>
          </w:rPr>
          <w:fldChar w:fldCharType="separate"/>
        </w:r>
        <w:r w:rsidR="00454DD8">
          <w:rPr>
            <w:webHidden/>
          </w:rPr>
          <w:t>40</w:t>
        </w:r>
        <w:r w:rsidR="00454DD8">
          <w:rPr>
            <w:webHidden/>
          </w:rPr>
          <w:fldChar w:fldCharType="end"/>
        </w:r>
      </w:hyperlink>
    </w:p>
    <w:p w14:paraId="5792CEF4" w14:textId="7ACE7AB1" w:rsidR="00454DD8" w:rsidRDefault="003F56C6">
      <w:pPr>
        <w:pStyle w:val="TOC2"/>
        <w:rPr>
          <w:rFonts w:asciiTheme="minorHAnsi" w:eastAsiaTheme="minorEastAsia" w:hAnsiTheme="minorHAnsi" w:cstheme="minorBidi"/>
          <w:sz w:val="22"/>
          <w:szCs w:val="22"/>
        </w:rPr>
      </w:pPr>
      <w:hyperlink w:anchor="_Toc110582339" w:history="1">
        <w:r w:rsidR="00454DD8" w:rsidRPr="001E2701">
          <w:rPr>
            <w:rStyle w:val="Hyperlink"/>
          </w:rPr>
          <w:t>Annex A  Guidance</w:t>
        </w:r>
        <w:r w:rsidR="00454DD8">
          <w:rPr>
            <w:webHidden/>
          </w:rPr>
          <w:tab/>
        </w:r>
        <w:r w:rsidR="00454DD8">
          <w:rPr>
            <w:webHidden/>
          </w:rPr>
          <w:fldChar w:fldCharType="begin"/>
        </w:r>
        <w:r w:rsidR="00454DD8">
          <w:rPr>
            <w:webHidden/>
          </w:rPr>
          <w:instrText xml:space="preserve"> PAGEREF _Toc110582339 \h </w:instrText>
        </w:r>
        <w:r w:rsidR="00454DD8">
          <w:rPr>
            <w:webHidden/>
          </w:rPr>
        </w:r>
        <w:r w:rsidR="00454DD8">
          <w:rPr>
            <w:webHidden/>
          </w:rPr>
          <w:fldChar w:fldCharType="separate"/>
        </w:r>
        <w:r w:rsidR="00454DD8">
          <w:rPr>
            <w:webHidden/>
          </w:rPr>
          <w:t>45</w:t>
        </w:r>
        <w:r w:rsidR="00454DD8">
          <w:rPr>
            <w:webHidden/>
          </w:rPr>
          <w:fldChar w:fldCharType="end"/>
        </w:r>
      </w:hyperlink>
    </w:p>
    <w:p w14:paraId="4EA3188E" w14:textId="77777777" w:rsidR="00771AD1" w:rsidRDefault="00FC75BF" w:rsidP="00FC75BF">
      <w:pPr>
        <w:pStyle w:val="Heading-contents"/>
        <w:sectPr w:rsidR="00771AD1" w:rsidSect="00771AD1">
          <w:type w:val="continuous"/>
          <w:pgSz w:w="11906" w:h="16838" w:code="9"/>
          <w:pgMar w:top="1644" w:right="1134" w:bottom="1134" w:left="1134" w:header="567" w:footer="567" w:gutter="0"/>
          <w:pgNumType w:start="1"/>
          <w:cols w:space="720"/>
        </w:sectPr>
      </w:pPr>
      <w:r>
        <w:rPr>
          <w:sz w:val="56"/>
        </w:rPr>
        <w:fldChar w:fldCharType="end"/>
      </w:r>
    </w:p>
    <w:p w14:paraId="17F247F8" w14:textId="305F119F" w:rsidR="008C1F53" w:rsidRDefault="008C1F53" w:rsidP="001D4185">
      <w:pPr>
        <w:pStyle w:val="Heading2"/>
      </w:pPr>
      <w:bookmarkStart w:id="0" w:name="_Toc110582329"/>
      <w:r w:rsidRPr="008C1F53">
        <w:lastRenderedPageBreak/>
        <w:t xml:space="preserve">Introduction and </w:t>
      </w:r>
      <w:r w:rsidR="00E6101C">
        <w:t>b</w:t>
      </w:r>
      <w:r w:rsidRPr="008C1F53">
        <w:t>ackground</w:t>
      </w:r>
      <w:bookmarkEnd w:id="0"/>
      <w:r w:rsidRPr="008C1F53">
        <w:t xml:space="preserve"> </w:t>
      </w:r>
    </w:p>
    <w:p w14:paraId="44BFAD4A" w14:textId="77777777" w:rsidR="008C1F53" w:rsidRDefault="008C1F53" w:rsidP="001D4185">
      <w:pPr>
        <w:pStyle w:val="Heading3"/>
      </w:pPr>
      <w:r w:rsidRPr="008C1F53">
        <w:t xml:space="preserve">Purpose of document </w:t>
      </w:r>
    </w:p>
    <w:p w14:paraId="0867D291" w14:textId="34649D57" w:rsidR="00AD4DD5" w:rsidRDefault="008C1F53" w:rsidP="00E309F6">
      <w:pPr>
        <w:pStyle w:val="ParagraphText-unnumbered"/>
      </w:pPr>
      <w:r w:rsidRPr="008C1F53">
        <w:t xml:space="preserve">This </w:t>
      </w:r>
      <w:r w:rsidR="00DB0938">
        <w:t>f</w:t>
      </w:r>
      <w:r w:rsidRPr="008C1F53">
        <w:t xml:space="preserve">ramework </w:t>
      </w:r>
      <w:r w:rsidR="00DB0938">
        <w:t>d</w:t>
      </w:r>
      <w:r w:rsidRPr="008C1F53">
        <w:t>ocument (the “</w:t>
      </w:r>
      <w:r w:rsidR="00DB0938">
        <w:t>f</w:t>
      </w:r>
      <w:r w:rsidRPr="008C1F53">
        <w:t xml:space="preserve">ramework </w:t>
      </w:r>
      <w:r w:rsidR="00454DD8">
        <w:t>d</w:t>
      </w:r>
      <w:r w:rsidRPr="008C1F53">
        <w:t>ocument”) has been agreed between</w:t>
      </w:r>
      <w:r w:rsidR="00AD4DD5">
        <w:t xml:space="preserve"> the Department of Health and Social Care (DHSC)</w:t>
      </w:r>
      <w:r w:rsidRPr="008C1F53">
        <w:t xml:space="preserve"> and </w:t>
      </w:r>
      <w:r w:rsidR="00AD4DD5">
        <w:t xml:space="preserve">Health Education England </w:t>
      </w:r>
      <w:r w:rsidR="00F05057">
        <w:t xml:space="preserve">(HEE) </w:t>
      </w:r>
      <w:r w:rsidRPr="008C1F53">
        <w:t xml:space="preserve">in accordance with HM Treasury's handbook </w:t>
      </w:r>
      <w:r w:rsidR="00DB0938">
        <w:t>m</w:t>
      </w:r>
      <w:r w:rsidRPr="008C1F53">
        <w:t xml:space="preserve">anaging </w:t>
      </w:r>
      <w:r w:rsidR="00DB0938">
        <w:t>p</w:t>
      </w:r>
      <w:r w:rsidRPr="008C1F53">
        <w:t xml:space="preserve">ublic </w:t>
      </w:r>
      <w:r w:rsidR="00DB0938">
        <w:t>m</w:t>
      </w:r>
      <w:r w:rsidRPr="008C1F53">
        <w:t xml:space="preserve">oney (“MPM”) (as updated from time to time) and has been approved by HM Treasury. </w:t>
      </w:r>
    </w:p>
    <w:p w14:paraId="01BB533B" w14:textId="7F4485B3" w:rsidR="008C1F53" w:rsidRDefault="008C1F53" w:rsidP="00E309F6">
      <w:pPr>
        <w:pStyle w:val="ParagraphText-unnumbered"/>
      </w:pPr>
      <w:r w:rsidRPr="008C1F53">
        <w:t xml:space="preserve">The </w:t>
      </w:r>
      <w:r w:rsidR="00E6101C">
        <w:t>f</w:t>
      </w:r>
      <w:r w:rsidRPr="008C1F53">
        <w:t xml:space="preserve">ramework </w:t>
      </w:r>
      <w:r w:rsidR="00E6101C">
        <w:t>d</w:t>
      </w:r>
      <w:r w:rsidRPr="008C1F53">
        <w:t>ocument sets out the broad governance framework within which the</w:t>
      </w:r>
      <w:r w:rsidR="00AD4DD5">
        <w:t xml:space="preserve"> HEE</w:t>
      </w:r>
      <w:r w:rsidRPr="008C1F53">
        <w:t xml:space="preserve"> and </w:t>
      </w:r>
      <w:r w:rsidR="00AD4DD5">
        <w:t>DHSC</w:t>
      </w:r>
      <w:r w:rsidR="0034233F">
        <w:t xml:space="preserve"> </w:t>
      </w:r>
      <w:r w:rsidRPr="008C1F53">
        <w:t xml:space="preserve">operate. It sets out </w:t>
      </w:r>
      <w:r w:rsidR="00AD4DD5">
        <w:t>HEE's</w:t>
      </w:r>
      <w:r w:rsidRPr="008C1F53">
        <w:t xml:space="preserve"> core responsibilities; describes the governance and accountability framework that applies between the roles of </w:t>
      </w:r>
      <w:r w:rsidR="00AD4DD5">
        <w:t>DHSC</w:t>
      </w:r>
      <w:r w:rsidR="00231523">
        <w:t xml:space="preserve"> and HEE</w:t>
      </w:r>
      <w:r w:rsidR="00AD4DD5">
        <w:t>;</w:t>
      </w:r>
      <w:r w:rsidRPr="008C1F53">
        <w:t xml:space="preserve"> and sets out how the day-to-day relationship works in practice, including in relation to governance and financial matters. </w:t>
      </w:r>
    </w:p>
    <w:p w14:paraId="0A74AC25" w14:textId="77777777" w:rsidR="008C1F53" w:rsidRDefault="008C1F53" w:rsidP="00E309F6">
      <w:pPr>
        <w:pStyle w:val="ParagraphText-unnumbered"/>
      </w:pPr>
      <w:r w:rsidRPr="008C1F53">
        <w:t xml:space="preserve">The document does not convey any legal powers or responsibilities but both parties agree to operate within its terms. </w:t>
      </w:r>
    </w:p>
    <w:p w14:paraId="38FCB347" w14:textId="3B20FE2B" w:rsidR="008C1F53" w:rsidRDefault="008C1F53" w:rsidP="00E309F6">
      <w:pPr>
        <w:pStyle w:val="ParagraphText-unnumbered"/>
      </w:pPr>
      <w:r w:rsidRPr="008C1F53">
        <w:t>References to</w:t>
      </w:r>
      <w:r w:rsidR="00AD4DD5">
        <w:t xml:space="preserve"> HEE</w:t>
      </w:r>
      <w:r w:rsidRPr="008C1F53">
        <w:t xml:space="preserve"> include all its subsidiaries and joint ventures that are classified to the public sector and central government for national accounts purposes. If </w:t>
      </w:r>
      <w:r w:rsidR="00AD4DD5">
        <w:t>HEE</w:t>
      </w:r>
      <w:r w:rsidRPr="008C1F53">
        <w:t xml:space="preserve"> establishes a subsidiary or joint venture, there shall be a document setting out the arrangements between it and </w:t>
      </w:r>
      <w:r w:rsidR="00AD4DD5">
        <w:t>HEE</w:t>
      </w:r>
      <w:r w:rsidRPr="008C1F53">
        <w:t xml:space="preserve"> agreed with </w:t>
      </w:r>
      <w:r w:rsidR="00AD4DD5">
        <w:t>DHSC</w:t>
      </w:r>
      <w:r w:rsidRPr="008C1F53">
        <w:t xml:space="preserve">. </w:t>
      </w:r>
    </w:p>
    <w:p w14:paraId="51767F3A" w14:textId="1423425E" w:rsidR="00AD4DD5" w:rsidRDefault="008C1F53" w:rsidP="00E309F6">
      <w:pPr>
        <w:pStyle w:val="ParagraphText-unnumbered"/>
      </w:pPr>
      <w:r w:rsidRPr="008C1F53">
        <w:t xml:space="preserve">Copies of the document and any subsequent amendments have been placed in the Libraries of both Houses of Parliament and made available to members of the public on the </w:t>
      </w:r>
      <w:r w:rsidR="004E6648">
        <w:t xml:space="preserve">www.Gov.uk website. </w:t>
      </w:r>
      <w:r w:rsidRPr="008C1F53">
        <w:t xml:space="preserve"> </w:t>
      </w:r>
    </w:p>
    <w:p w14:paraId="49FBB9D3" w14:textId="07124C06" w:rsidR="008C1F53" w:rsidRDefault="008C1F53" w:rsidP="00E309F6">
      <w:pPr>
        <w:pStyle w:val="ParagraphText-unnumbered"/>
      </w:pPr>
      <w:r w:rsidRPr="008C1F53">
        <w:t xml:space="preserve">This </w:t>
      </w:r>
      <w:r w:rsidR="00E6101C">
        <w:t>f</w:t>
      </w:r>
      <w:r w:rsidRPr="008C1F53">
        <w:t xml:space="preserve">ramework document should be reviewed and updated at least every 3 years unless there are exceptional reasons that render this inappropriate that have been agreed with HM Treasury and the </w:t>
      </w:r>
      <w:r w:rsidR="0084604C">
        <w:t>p</w:t>
      </w:r>
      <w:r w:rsidRPr="008C1F53">
        <w:t xml:space="preserve">rincipal </w:t>
      </w:r>
      <w:r w:rsidR="0084604C">
        <w:t>a</w:t>
      </w:r>
      <w:r w:rsidRPr="008C1F53">
        <w:t xml:space="preserve">ccounting </w:t>
      </w:r>
      <w:r w:rsidR="0084604C">
        <w:t>o</w:t>
      </w:r>
      <w:r w:rsidRPr="008C1F53">
        <w:t xml:space="preserve">fficer of the sponsor </w:t>
      </w:r>
      <w:r w:rsidR="00533259">
        <w:t>d</w:t>
      </w:r>
      <w:r w:rsidRPr="008C1F53">
        <w:t>epartment. The latest date for review and updating of this document is</w:t>
      </w:r>
      <w:r w:rsidR="00AD4DD5">
        <w:t xml:space="preserve"> 2024.</w:t>
      </w:r>
      <w:r w:rsidRPr="008C1F53">
        <w:t xml:space="preserve"> </w:t>
      </w:r>
    </w:p>
    <w:p w14:paraId="5914A0C1" w14:textId="112DB3A2" w:rsidR="008C1F53" w:rsidRDefault="008C1F53" w:rsidP="001D4185">
      <w:pPr>
        <w:pStyle w:val="Heading3"/>
      </w:pPr>
      <w:r w:rsidRPr="008C1F53">
        <w:t xml:space="preserve">Objectives </w:t>
      </w:r>
    </w:p>
    <w:p w14:paraId="0767E26F" w14:textId="215104C7" w:rsidR="00841B21" w:rsidRDefault="00AD4DD5" w:rsidP="00E309F6">
      <w:pPr>
        <w:pStyle w:val="ParagraphText-unnumbered"/>
      </w:pPr>
      <w:r>
        <w:t xml:space="preserve">DHSC </w:t>
      </w:r>
      <w:r w:rsidR="008C1F53" w:rsidRPr="008C1F53">
        <w:t xml:space="preserve">and </w:t>
      </w:r>
      <w:r>
        <w:t xml:space="preserve">HEE </w:t>
      </w:r>
      <w:r w:rsidR="008C1F53" w:rsidRPr="008C1F53">
        <w:t xml:space="preserve">share the common objective of delivering </w:t>
      </w:r>
      <w:r>
        <w:t xml:space="preserve"> a</w:t>
      </w:r>
      <w:r w:rsidR="004E6648">
        <w:t>n</w:t>
      </w:r>
      <w:r>
        <w:t xml:space="preserve"> effective </w:t>
      </w:r>
      <w:r w:rsidR="00841B21">
        <w:t>training and education system for those working in the NHS and those considering employment in the NHS</w:t>
      </w:r>
      <w:r w:rsidR="008C1F53" w:rsidRPr="008C1F53">
        <w:t xml:space="preserve">. To achieve this </w:t>
      </w:r>
      <w:r w:rsidR="00841B21">
        <w:t xml:space="preserve">HEE </w:t>
      </w:r>
      <w:r w:rsidR="008C1F53" w:rsidRPr="008C1F53">
        <w:t xml:space="preserve">and </w:t>
      </w:r>
      <w:r w:rsidR="00841B21">
        <w:t xml:space="preserve">DHSC </w:t>
      </w:r>
      <w:r w:rsidR="008C1F53" w:rsidRPr="008C1F53">
        <w:t xml:space="preserve">will work together in recognition of each other's roles and areas of expertise, providing an effective environment for </w:t>
      </w:r>
      <w:r>
        <w:t xml:space="preserve">HEE </w:t>
      </w:r>
      <w:r w:rsidR="008C1F53" w:rsidRPr="008C1F53">
        <w:t xml:space="preserve"> to achieve its objectives through the promotion of </w:t>
      </w:r>
      <w:r w:rsidR="002D20E4">
        <w:t>p</w:t>
      </w:r>
      <w:r w:rsidR="008C1F53" w:rsidRPr="008C1F53">
        <w:t xml:space="preserve">artnership and trust and ensuring that </w:t>
      </w:r>
      <w:r>
        <w:t xml:space="preserve">HEE </w:t>
      </w:r>
      <w:r w:rsidR="008C1F53" w:rsidRPr="008C1F53">
        <w:t>also supports the strategic aims and objective</w:t>
      </w:r>
      <w:r w:rsidR="00897D55">
        <w:t>s</w:t>
      </w:r>
      <w:r w:rsidR="008C1F53" w:rsidRPr="008C1F53">
        <w:t xml:space="preserve"> of </w:t>
      </w:r>
      <w:r>
        <w:t xml:space="preserve">DHSC </w:t>
      </w:r>
      <w:r w:rsidR="008C1F53" w:rsidRPr="008C1F53">
        <w:t xml:space="preserve">and wider government as a whole. </w:t>
      </w:r>
    </w:p>
    <w:p w14:paraId="5A4ACBD9" w14:textId="2159303B" w:rsidR="004E6648" w:rsidRDefault="004E6648" w:rsidP="00E309F6">
      <w:pPr>
        <w:pStyle w:val="ParagraphText-unnumbered"/>
      </w:pPr>
      <w:r>
        <w:t>DHSC sets HEE's objectives on an annual basis in a mandate.</w:t>
      </w:r>
    </w:p>
    <w:p w14:paraId="4BD1C99E" w14:textId="2E3D2F92" w:rsidR="008C1F53" w:rsidRDefault="00841B21" w:rsidP="00E309F6">
      <w:pPr>
        <w:pStyle w:val="ParagraphText-unnumbered"/>
      </w:pPr>
      <w:r w:rsidRPr="00841B21">
        <w:lastRenderedPageBreak/>
        <w:t>The general function of HEE is to support the education, training and development of the NHS and public health workforce.</w:t>
      </w:r>
      <w:r>
        <w:t xml:space="preserve"> </w:t>
      </w:r>
      <w:r w:rsidR="008C1F53" w:rsidRPr="008C1F53">
        <w:t xml:space="preserve">Classification </w:t>
      </w:r>
    </w:p>
    <w:p w14:paraId="4A309F45" w14:textId="2E84E73F" w:rsidR="008C1F53" w:rsidRDefault="00841B21" w:rsidP="00E309F6">
      <w:pPr>
        <w:pStyle w:val="ParagraphText-unnumbered"/>
      </w:pPr>
      <w:r>
        <w:t>HEE</w:t>
      </w:r>
      <w:r w:rsidR="008C1F53" w:rsidRPr="008C1F53">
        <w:t xml:space="preserve"> has been classified as a central government organisation by the ONS/HM Treasury Classifications team. </w:t>
      </w:r>
    </w:p>
    <w:p w14:paraId="666F3899" w14:textId="77777777" w:rsidR="00E309F6" w:rsidRDefault="008C1F53" w:rsidP="00E309F6">
      <w:pPr>
        <w:pStyle w:val="ParagraphText-unnumbered"/>
      </w:pPr>
      <w:r w:rsidRPr="008C1F53">
        <w:t xml:space="preserve">It has been administratively classified by the Cabinet Office as a </w:t>
      </w:r>
      <w:r w:rsidR="00BA0E59">
        <w:t>n</w:t>
      </w:r>
      <w:r w:rsidRPr="008C1F53">
        <w:t>on</w:t>
      </w:r>
      <w:r w:rsidR="00841B21">
        <w:t>-</w:t>
      </w:r>
      <w:r w:rsidR="00BA0E59">
        <w:t>d</w:t>
      </w:r>
      <w:r w:rsidRPr="008C1F53">
        <w:t>epartmental Public Body</w:t>
      </w:r>
      <w:r w:rsidR="002D20E4">
        <w:t>.</w:t>
      </w:r>
      <w:r w:rsidRPr="008C1F53">
        <w:t xml:space="preserve"> </w:t>
      </w:r>
    </w:p>
    <w:p w14:paraId="29DBC200" w14:textId="4C40D9BE" w:rsidR="008C1F53" w:rsidRDefault="008C1F53" w:rsidP="001D4185">
      <w:pPr>
        <w:pStyle w:val="Heading2"/>
      </w:pPr>
      <w:bookmarkStart w:id="1" w:name="_Toc110582330"/>
      <w:r w:rsidRPr="008C1F53">
        <w:t>Purposes</w:t>
      </w:r>
      <w:r w:rsidR="00E6101C">
        <w:t>,</w:t>
      </w:r>
      <w:r w:rsidRPr="008C1F53">
        <w:t xml:space="preserve"> </w:t>
      </w:r>
      <w:r w:rsidR="00E6101C">
        <w:t>a</w:t>
      </w:r>
      <w:r w:rsidRPr="008C1F53">
        <w:t xml:space="preserve">ims and </w:t>
      </w:r>
      <w:r w:rsidR="00E6101C">
        <w:t>d</w:t>
      </w:r>
      <w:r w:rsidRPr="008C1F53">
        <w:t>uties</w:t>
      </w:r>
      <w:bookmarkEnd w:id="1"/>
      <w:r w:rsidRPr="008C1F53">
        <w:t xml:space="preserve"> </w:t>
      </w:r>
    </w:p>
    <w:p w14:paraId="6EAE344B" w14:textId="0D669BD5" w:rsidR="008C1F53" w:rsidRDefault="008C1F53" w:rsidP="001D4185">
      <w:pPr>
        <w:pStyle w:val="Heading3"/>
      </w:pPr>
      <w:r w:rsidRPr="008C1F53">
        <w:t xml:space="preserve">Purposes </w:t>
      </w:r>
    </w:p>
    <w:p w14:paraId="6BF2034E" w14:textId="3C30FF3D" w:rsidR="00AB54F2" w:rsidRDefault="00AB54F2" w:rsidP="00E309F6">
      <w:pPr>
        <w:pStyle w:val="ParagraphText-unnumbered"/>
      </w:pPr>
      <w:r w:rsidRPr="00AB54F2">
        <w:t>HEE</w:t>
      </w:r>
      <w:r w:rsidRPr="008C1F53">
        <w:t xml:space="preserve"> has been established under the </w:t>
      </w:r>
      <w:r>
        <w:t>Care Act 2014</w:t>
      </w:r>
      <w:r w:rsidRPr="008C1F53">
        <w:t xml:space="preserve">. Its purposes are set out in section </w:t>
      </w:r>
      <w:r>
        <w:t>96 -</w:t>
      </w:r>
      <w:r w:rsidR="00A66AA5">
        <w:t xml:space="preserve"> </w:t>
      </w:r>
      <w:r>
        <w:t>100</w:t>
      </w:r>
      <w:r w:rsidRPr="008C1F53">
        <w:t xml:space="preserve"> of that Act</w:t>
      </w:r>
      <w:r w:rsidR="00D148D9">
        <w:t>.</w:t>
      </w:r>
    </w:p>
    <w:p w14:paraId="5736F7C9" w14:textId="5F7AAC23" w:rsidR="008C1F53" w:rsidRDefault="008C1F53" w:rsidP="001D4185">
      <w:pPr>
        <w:pStyle w:val="Heading3"/>
      </w:pPr>
      <w:r w:rsidRPr="008C1F53">
        <w:t xml:space="preserve">Powers and </w:t>
      </w:r>
      <w:r w:rsidR="0057209E">
        <w:t>d</w:t>
      </w:r>
      <w:r w:rsidRPr="008C1F53">
        <w:t xml:space="preserve">uties </w:t>
      </w:r>
    </w:p>
    <w:p w14:paraId="03B9164B" w14:textId="0E21BC92" w:rsidR="00AB54F2" w:rsidRDefault="00841B21" w:rsidP="00E309F6">
      <w:pPr>
        <w:pStyle w:val="ParagraphText-unnumbered"/>
      </w:pPr>
      <w:r w:rsidRPr="00AB54F2">
        <w:t>HEE</w:t>
      </w:r>
      <w:r w:rsidR="00EA47D3" w:rsidRPr="00AB54F2">
        <w:t xml:space="preserve">'s </w:t>
      </w:r>
      <w:r w:rsidR="008C1F53" w:rsidRPr="00AB54F2">
        <w:t xml:space="preserve">powers and duties stem from </w:t>
      </w:r>
      <w:r w:rsidR="00EA47D3" w:rsidRPr="00AB54F2">
        <w:t xml:space="preserve">sections </w:t>
      </w:r>
      <w:bookmarkStart w:id="2" w:name="_Hlk68870816"/>
      <w:r w:rsidR="00EA47D3" w:rsidRPr="00AB54F2">
        <w:t>96 to 108 and Schedule</w:t>
      </w:r>
      <w:r w:rsidR="00B848D4">
        <w:t>s</w:t>
      </w:r>
      <w:r w:rsidR="00EA47D3" w:rsidRPr="00AB54F2">
        <w:t xml:space="preserve"> 5 and 6 of the Care Act 2014. </w:t>
      </w:r>
      <w:bookmarkEnd w:id="2"/>
    </w:p>
    <w:p w14:paraId="36867DC5" w14:textId="1AFFF023" w:rsidR="00EA47D3" w:rsidRPr="00AB54F2" w:rsidRDefault="00EA47D3" w:rsidP="00E309F6">
      <w:pPr>
        <w:pStyle w:val="ParagraphText-unnumbered"/>
      </w:pPr>
      <w:r w:rsidRPr="00AB54F2">
        <w:t>HEE's statutory duties and functions are to:</w:t>
      </w:r>
    </w:p>
    <w:p w14:paraId="6093BFB6" w14:textId="439C679F" w:rsidR="00EA47D3" w:rsidRPr="00EA47D3" w:rsidRDefault="00800011" w:rsidP="00EA47D3">
      <w:pPr>
        <w:pStyle w:val="Bullet"/>
      </w:pPr>
      <w:r>
        <w:t>c</w:t>
      </w:r>
      <w:r w:rsidR="00EA47D3" w:rsidRPr="00EA47D3">
        <w:t xml:space="preserve">arry out the Secretary of State for Health and Social Care's duty under </w:t>
      </w:r>
      <w:r w:rsidR="00A80AA3">
        <w:t>s</w:t>
      </w:r>
      <w:r w:rsidR="00EA47D3" w:rsidRPr="00EA47D3">
        <w:t>ection 1F of the NHS Act 2006 to ensure an effective education and training system for healthcare workers and</w:t>
      </w:r>
    </w:p>
    <w:p w14:paraId="1F2E9E75" w14:textId="061F2091" w:rsidR="00EA47D3" w:rsidRPr="00EA47D3" w:rsidRDefault="00800011" w:rsidP="00EA47D3">
      <w:pPr>
        <w:pStyle w:val="Bullet"/>
      </w:pPr>
      <w:r>
        <w:t>u</w:t>
      </w:r>
      <w:r w:rsidR="00EA47D3" w:rsidRPr="00EA47D3">
        <w:t>ndertake workforce planning for the NHS and public health system.</w:t>
      </w:r>
    </w:p>
    <w:p w14:paraId="6EBB2CCC" w14:textId="77777777" w:rsidR="008C1F53" w:rsidRDefault="008C1F53" w:rsidP="001D4185">
      <w:pPr>
        <w:pStyle w:val="Heading3"/>
      </w:pPr>
      <w:r w:rsidRPr="008C1F53">
        <w:t xml:space="preserve">Aims </w:t>
      </w:r>
    </w:p>
    <w:p w14:paraId="1DB28C24" w14:textId="624014DA" w:rsidR="00EA47D3" w:rsidRPr="00EA47D3" w:rsidRDefault="00EA47D3" w:rsidP="00E309F6">
      <w:pPr>
        <w:pStyle w:val="ParagraphText-unnumbered"/>
      </w:pPr>
      <w:r w:rsidRPr="00EA47D3">
        <w:t>HEE ’s strategic aims are to support the education, training and development of the NHS and public health workforce.</w:t>
      </w:r>
    </w:p>
    <w:p w14:paraId="65B708A2" w14:textId="77777777" w:rsidR="00EA47D3" w:rsidRPr="00EA47D3" w:rsidRDefault="00EA47D3" w:rsidP="00E309F6">
      <w:pPr>
        <w:pStyle w:val="ParagraphText-unnumbered"/>
      </w:pPr>
      <w:r w:rsidRPr="00EA47D3">
        <w:t xml:space="preserve">HEE discharges this function by: </w:t>
      </w:r>
    </w:p>
    <w:p w14:paraId="39D31A99" w14:textId="4F6CE415" w:rsidR="00EA47D3" w:rsidRPr="00EA47D3" w:rsidRDefault="00800011" w:rsidP="00EA47D3">
      <w:pPr>
        <w:pStyle w:val="Bullet"/>
      </w:pPr>
      <w:r>
        <w:t>p</w:t>
      </w:r>
      <w:r w:rsidR="00EA47D3" w:rsidRPr="00EA47D3">
        <w:t>roviding national leadership on workforce planning and development, ensuring the security of supply of the professionally qualified clinical workforce</w:t>
      </w:r>
    </w:p>
    <w:p w14:paraId="72B04110" w14:textId="0135D82E" w:rsidR="00EA47D3" w:rsidRPr="00EA47D3" w:rsidRDefault="00800011" w:rsidP="00EA47D3">
      <w:pPr>
        <w:pStyle w:val="Bullet"/>
      </w:pPr>
      <w:r>
        <w:t>a</w:t>
      </w:r>
      <w:r w:rsidR="00EA47D3" w:rsidRPr="00EA47D3">
        <w:t xml:space="preserve">ppointing and supporting the development of </w:t>
      </w:r>
      <w:r w:rsidR="00C52C37">
        <w:t>l</w:t>
      </w:r>
      <w:r w:rsidR="00EA47D3" w:rsidRPr="00EA47D3">
        <w:t xml:space="preserve">ocal </w:t>
      </w:r>
      <w:r w:rsidR="00C52C37">
        <w:t>e</w:t>
      </w:r>
      <w:r w:rsidR="00EA47D3" w:rsidRPr="00EA47D3">
        <w:t xml:space="preserve">ducation and </w:t>
      </w:r>
      <w:r w:rsidR="00D66743">
        <w:t>t</w:t>
      </w:r>
      <w:r w:rsidR="00EA47D3" w:rsidRPr="00EA47D3">
        <w:t xml:space="preserve">raining </w:t>
      </w:r>
      <w:r w:rsidR="00D66743">
        <w:t>b</w:t>
      </w:r>
      <w:r w:rsidR="00EA47D3" w:rsidRPr="00EA47D3">
        <w:t>oards (LETBs) to lead local planning and development activity</w:t>
      </w:r>
      <w:r w:rsidR="00B4189B">
        <w:t xml:space="preserve"> working with </w:t>
      </w:r>
      <w:r w:rsidR="00064437">
        <w:t>r</w:t>
      </w:r>
      <w:r w:rsidR="00B4189B">
        <w:t xml:space="preserve">egional </w:t>
      </w:r>
      <w:r w:rsidR="00064437">
        <w:t>p</w:t>
      </w:r>
      <w:r w:rsidR="00B4189B">
        <w:t xml:space="preserve">eople </w:t>
      </w:r>
      <w:r w:rsidR="00064437">
        <w:t>b</w:t>
      </w:r>
      <w:r w:rsidR="00B4189B">
        <w:t>oards</w:t>
      </w:r>
      <w:r w:rsidR="00C5404D">
        <w:t xml:space="preserve"> </w:t>
      </w:r>
    </w:p>
    <w:p w14:paraId="6EBCE8B6" w14:textId="09B30D91" w:rsidR="00EA47D3" w:rsidRPr="00EA47D3" w:rsidRDefault="00800011" w:rsidP="00EA47D3">
      <w:pPr>
        <w:pStyle w:val="Bullet"/>
      </w:pPr>
      <w:r>
        <w:lastRenderedPageBreak/>
        <w:t>p</w:t>
      </w:r>
      <w:r w:rsidR="00EA47D3" w:rsidRPr="00EA47D3">
        <w:t>romoting high quality education and training, responsive to the needs of patients and local communities and</w:t>
      </w:r>
    </w:p>
    <w:p w14:paraId="60388F84" w14:textId="22417EA4" w:rsidR="00EA47D3" w:rsidRPr="00EA47D3" w:rsidRDefault="00800011" w:rsidP="00EA47D3">
      <w:pPr>
        <w:pStyle w:val="Bullet"/>
      </w:pPr>
      <w:r>
        <w:t>a</w:t>
      </w:r>
      <w:r w:rsidR="00EA47D3" w:rsidRPr="00EA47D3">
        <w:t>llocating and accounting for NHS and public health education and training resources and the outcomes achieved.</w:t>
      </w:r>
    </w:p>
    <w:p w14:paraId="74E6AF77" w14:textId="3474FF64" w:rsidR="00EA47D3" w:rsidRPr="00EA47D3" w:rsidRDefault="00EA47D3" w:rsidP="00E309F6">
      <w:pPr>
        <w:pStyle w:val="ParagraphText-unnumbered"/>
      </w:pPr>
      <w:r w:rsidRPr="00EA47D3">
        <w:t>The Care Act 2014 sets out the full range of delegated responsibilities, including the requirement to establish LETBs as statutory sub-committees of HEE to carry out HEE functions at a local level.</w:t>
      </w:r>
      <w:r w:rsidR="00165CE1">
        <w:t xml:space="preserve"> </w:t>
      </w:r>
      <w:r w:rsidR="00F92864">
        <w:t>(</w:t>
      </w:r>
      <w:r w:rsidR="00D66743">
        <w:t>LETBs were abolished on 1 July 2022</w:t>
      </w:r>
      <w:r w:rsidR="00165CE1">
        <w:t xml:space="preserve"> in the Health and Care Act 2022</w:t>
      </w:r>
      <w:r w:rsidR="00D66743">
        <w:t>)</w:t>
      </w:r>
    </w:p>
    <w:p w14:paraId="1E076A91" w14:textId="5F0267DB" w:rsidR="00AD6BEC" w:rsidRDefault="00AD6BEC" w:rsidP="00F92864">
      <w:pPr>
        <w:pStyle w:val="Heading3"/>
      </w:pPr>
      <w:r w:rsidRPr="008C1F53">
        <w:t xml:space="preserve">Governance and </w:t>
      </w:r>
      <w:r w:rsidR="0057209E">
        <w:t>a</w:t>
      </w:r>
      <w:r w:rsidRPr="008C1F53">
        <w:t xml:space="preserve">ccountability </w:t>
      </w:r>
    </w:p>
    <w:p w14:paraId="1D901013" w14:textId="77777777" w:rsidR="00AD6BEC" w:rsidRDefault="00AD6BEC" w:rsidP="00E309F6">
      <w:pPr>
        <w:pStyle w:val="ParagraphText-unnumbered"/>
      </w:pPr>
      <w:r w:rsidRPr="008C1F53">
        <w:t xml:space="preserve">The ALB shall operate corporate governance arrangements that, so far as practicable and in the light of the other provisions of this Framework Document or as otherwise may be mutually agreed, accord with good corporate governance practice and applicable regulatory requirements and expectations. </w:t>
      </w:r>
    </w:p>
    <w:p w14:paraId="3AC562BF" w14:textId="77777777" w:rsidR="00AD6BEC" w:rsidRDefault="00AD6BEC" w:rsidP="00E309F6">
      <w:pPr>
        <w:pStyle w:val="ParagraphText-unnumbered"/>
      </w:pPr>
      <w:r w:rsidRPr="008C1F53">
        <w:t>In particular (but without limitation),</w:t>
      </w:r>
      <w:r>
        <w:t xml:space="preserve"> HEE </w:t>
      </w:r>
      <w:r w:rsidRPr="008C1F53">
        <w:t xml:space="preserve">should: </w:t>
      </w:r>
    </w:p>
    <w:p w14:paraId="416A1BEB" w14:textId="05926055" w:rsidR="00AD6BEC" w:rsidRDefault="00AD6BEC" w:rsidP="00AD6BEC">
      <w:pPr>
        <w:pStyle w:val="Bullet"/>
      </w:pPr>
      <w:r w:rsidRPr="008C1F53">
        <w:t>comply with the principles and provisions of the</w:t>
      </w:r>
      <w:r>
        <w:t xml:space="preserve"> </w:t>
      </w:r>
      <w:hyperlink r:id="rId15" w:history="1">
        <w:r w:rsidR="005F103E">
          <w:rPr>
            <w:rStyle w:val="Hyperlink"/>
          </w:rPr>
          <w:t>Corporate governance in central government departments: code of good practice</w:t>
        </w:r>
      </w:hyperlink>
      <w:r>
        <w:t xml:space="preserve"> </w:t>
      </w:r>
      <w:r w:rsidRPr="008C1F53">
        <w:t>(as amended and updated from time to time) to the extent appropriate and in line with their statutory duties or specify and explain any non-compliance in its annual report</w:t>
      </w:r>
    </w:p>
    <w:p w14:paraId="1EBDDABE" w14:textId="5B865B85" w:rsidR="00AD6BEC" w:rsidRDefault="00AD6BEC" w:rsidP="00AD6BEC">
      <w:pPr>
        <w:pStyle w:val="Bullet"/>
      </w:pPr>
      <w:r w:rsidRPr="008C1F53">
        <w:t>comply with Managing Public Money</w:t>
      </w:r>
    </w:p>
    <w:p w14:paraId="747D72BA" w14:textId="4C71D176" w:rsidR="00AD6BEC" w:rsidRDefault="00AD6BEC" w:rsidP="00AD6BEC">
      <w:pPr>
        <w:pStyle w:val="Bullet"/>
      </w:pPr>
      <w:r w:rsidRPr="008C1F53">
        <w:t xml:space="preserve">have regard to the relevant </w:t>
      </w:r>
      <w:hyperlink r:id="rId16" w:history="1">
        <w:r w:rsidRPr="007D6CAD">
          <w:rPr>
            <w:rStyle w:val="Hyperlink"/>
          </w:rPr>
          <w:t>Functional Standards</w:t>
        </w:r>
      </w:hyperlink>
      <w:r w:rsidRPr="008C1F53">
        <w:t xml:space="preserve"> as appropriate and in particular those concerning Finance, Commercial and Counter Fraud</w:t>
      </w:r>
      <w:r w:rsidR="00E6101C">
        <w:t xml:space="preserve"> </w:t>
      </w:r>
      <w:r w:rsidRPr="008C1F53">
        <w:t xml:space="preserve">and </w:t>
      </w:r>
    </w:p>
    <w:p w14:paraId="0BA74342" w14:textId="77777777" w:rsidR="00AD6BEC" w:rsidRDefault="00AD6BEC" w:rsidP="00AD6BEC">
      <w:pPr>
        <w:pStyle w:val="Bullet"/>
      </w:pPr>
      <w:r w:rsidRPr="008C1F53">
        <w:t xml:space="preserve">take into account, the codes of good practice and guidance set out in </w:t>
      </w:r>
      <w:r>
        <w:t xml:space="preserve">Annex 1 </w:t>
      </w:r>
      <w:r w:rsidRPr="008C1F53">
        <w:t xml:space="preserve">of this Framework Document, as they apply to Arms' Length Bodies. </w:t>
      </w:r>
    </w:p>
    <w:p w14:paraId="2ACBEDDB" w14:textId="18161E50" w:rsidR="00AD6BEC" w:rsidRDefault="00AD6BEC" w:rsidP="00E309F6">
      <w:pPr>
        <w:pStyle w:val="ParagraphText-unnumbered"/>
      </w:pPr>
      <w:r w:rsidRPr="008C1F53">
        <w:t>In line with M</w:t>
      </w:r>
      <w:r w:rsidR="00E6101C">
        <w:t>PM</w:t>
      </w:r>
      <w:r w:rsidRPr="008C1F53">
        <w:t xml:space="preserve"> Annex 3.1</w:t>
      </w:r>
      <w:r>
        <w:t xml:space="preserve">, HEE </w:t>
      </w:r>
      <w:r w:rsidRPr="008C1F53">
        <w:t xml:space="preserve">shall provide an account of corporate governance in its annual governance statement including the </w:t>
      </w:r>
      <w:r w:rsidR="002F16E0">
        <w:t>b</w:t>
      </w:r>
      <w:r w:rsidRPr="008C1F53">
        <w:t xml:space="preserve">oard’s assessment of its compliance with the Code with explanations of any material departures. To the extent that the </w:t>
      </w:r>
      <w:r w:rsidR="00E6101C">
        <w:t>c</w:t>
      </w:r>
      <w:r w:rsidRPr="008C1F53">
        <w:t xml:space="preserve">ompany does intend to materially depart from the Code, the </w:t>
      </w:r>
      <w:r w:rsidR="005326F0">
        <w:t>s</w:t>
      </w:r>
      <w:r w:rsidRPr="008C1F53">
        <w:t xml:space="preserve">ponsor should be notified in advance and their agreement sought to this approach. </w:t>
      </w:r>
    </w:p>
    <w:p w14:paraId="6C70AAD8" w14:textId="4AB2F1E5" w:rsidR="00AD6BEC" w:rsidRDefault="00AD6BEC" w:rsidP="001D4185">
      <w:pPr>
        <w:pStyle w:val="Heading3"/>
      </w:pPr>
      <w:r>
        <w:t>Cross-</w:t>
      </w:r>
      <w:r w:rsidR="009031F0">
        <w:t>g</w:t>
      </w:r>
      <w:r>
        <w:t xml:space="preserve">overnment </w:t>
      </w:r>
      <w:r w:rsidR="00E6101C">
        <w:t>c</w:t>
      </w:r>
      <w:r w:rsidR="001D4185">
        <w:t>l</w:t>
      </w:r>
      <w:r>
        <w:t>earance</w:t>
      </w:r>
    </w:p>
    <w:p w14:paraId="39571AD4" w14:textId="5AD776FE" w:rsidR="00AD6BEC" w:rsidRDefault="00AD6BEC" w:rsidP="00E309F6">
      <w:pPr>
        <w:pStyle w:val="ParagraphText-unnumbered"/>
      </w:pPr>
      <w:r w:rsidRPr="00290A26">
        <w:t xml:space="preserve">In addition to internal governance, cross-government clearance is required before major new policy decisions of the type set out in Cabinet Office guidance. These will not typically relate to operational decisions and management, responsibility for which sits with HEE </w:t>
      </w:r>
      <w:r w:rsidRPr="00290A26">
        <w:lastRenderedPageBreak/>
        <w:t xml:space="preserve">itself. There will also be cases where the </w:t>
      </w:r>
      <w:r w:rsidR="00E6101C">
        <w:t>s</w:t>
      </w:r>
      <w:r w:rsidRPr="00290A26">
        <w:t xml:space="preserve">ecretary of </w:t>
      </w:r>
      <w:r w:rsidR="00E6101C">
        <w:t>s</w:t>
      </w:r>
      <w:r w:rsidRPr="00290A26">
        <w:t xml:space="preserve">tate must consult Cabinet colleagues before giving the </w:t>
      </w:r>
      <w:r w:rsidR="005F103E">
        <w:t>g</w:t>
      </w:r>
      <w:r w:rsidRPr="00290A26">
        <w:t>overnment’s view, even if collective agreement is not required. Although such cases are likely to be small in number, the Secretary of State will be responsible for obtaining clearance. In such cases, HEE will supply the Secretary of State with any information he or she needs in a timely fashion. HEE will adhere to any conditions applied through the clearance process</w:t>
      </w:r>
      <w:r>
        <w:t xml:space="preserve">. </w:t>
      </w:r>
    </w:p>
    <w:p w14:paraId="4A0CF8DA" w14:textId="03E2ABA8" w:rsidR="00204CCE" w:rsidRPr="00204CCE" w:rsidRDefault="00C032DE" w:rsidP="00E309F6">
      <w:pPr>
        <w:pStyle w:val="ParagraphText-unnumbered"/>
      </w:pPr>
      <w:r w:rsidRPr="00C032DE">
        <w:t xml:space="preserve">In the case of HEE’s international work, HEE will consult the </w:t>
      </w:r>
      <w:r w:rsidR="008241F0">
        <w:t>d</w:t>
      </w:r>
      <w:r w:rsidRPr="00C032DE">
        <w:t xml:space="preserve">epartment before undertaking any activity with potential diplomatic or other implications for </w:t>
      </w:r>
      <w:r w:rsidR="005F103E">
        <w:t>g</w:t>
      </w:r>
      <w:r w:rsidRPr="00C032DE">
        <w:t xml:space="preserve">overnment. HEE must secure consent must from </w:t>
      </w:r>
      <w:r w:rsidR="00257DDD">
        <w:t>m</w:t>
      </w:r>
      <w:r w:rsidRPr="00C032DE">
        <w:t xml:space="preserve">inisters and DHSC via the </w:t>
      </w:r>
      <w:r w:rsidR="005326F0">
        <w:t>s</w:t>
      </w:r>
      <w:r w:rsidRPr="00C032DE">
        <w:t xml:space="preserve">enior </w:t>
      </w:r>
      <w:r w:rsidR="005326F0">
        <w:t>d</w:t>
      </w:r>
      <w:r w:rsidRPr="00C032DE">
        <w:t xml:space="preserve">epartmental </w:t>
      </w:r>
      <w:r w:rsidR="00F92864">
        <w:t>s</w:t>
      </w:r>
      <w:r w:rsidRPr="00C032DE">
        <w:t xml:space="preserve">ponsor before entering into a </w:t>
      </w:r>
      <w:r w:rsidR="005326F0">
        <w:t>m</w:t>
      </w:r>
      <w:r w:rsidRPr="00C032DE">
        <w:t xml:space="preserve">emorandum of </w:t>
      </w:r>
      <w:r w:rsidR="005326F0">
        <w:t>u</w:t>
      </w:r>
      <w:r w:rsidRPr="00C032DE">
        <w:t xml:space="preserve">nderstanding with a </w:t>
      </w:r>
      <w:r w:rsidR="005F103E">
        <w:t>f</w:t>
      </w:r>
      <w:r w:rsidRPr="00C032DE">
        <w:t xml:space="preserve">oreign </w:t>
      </w:r>
      <w:r w:rsidR="005F103E">
        <w:t>g</w:t>
      </w:r>
      <w:r w:rsidRPr="00C032DE">
        <w:t>overnment</w:t>
      </w:r>
      <w:r w:rsidR="009846F2">
        <w:t>.</w:t>
      </w:r>
    </w:p>
    <w:p w14:paraId="36D0742E" w14:textId="2105F1AF" w:rsidR="008C1F53" w:rsidRDefault="008C1F53" w:rsidP="00454DD8">
      <w:pPr>
        <w:pStyle w:val="Heading2"/>
      </w:pPr>
      <w:bookmarkStart w:id="3" w:name="_Toc110582331"/>
      <w:r w:rsidRPr="008C1F53">
        <w:t xml:space="preserve">Role </w:t>
      </w:r>
      <w:r w:rsidRPr="00454DD8">
        <w:t>of</w:t>
      </w:r>
      <w:r w:rsidRPr="008C1F53">
        <w:t xml:space="preserve"> the </w:t>
      </w:r>
      <w:r w:rsidR="00E6101C">
        <w:t>d</w:t>
      </w:r>
      <w:r w:rsidRPr="008C1F53">
        <w:t>epartment</w:t>
      </w:r>
      <w:bookmarkEnd w:id="3"/>
      <w:r w:rsidRPr="008C1F53">
        <w:t xml:space="preserve"> </w:t>
      </w:r>
    </w:p>
    <w:p w14:paraId="7605ECAA" w14:textId="4E93EC65" w:rsidR="008C1F53" w:rsidRDefault="008C1F53" w:rsidP="00454DD8">
      <w:pPr>
        <w:pStyle w:val="Heading3"/>
      </w:pPr>
      <w:r w:rsidRPr="008C1F53">
        <w:t xml:space="preserve">The </w:t>
      </w:r>
      <w:r w:rsidR="00E6101C">
        <w:t>r</w:t>
      </w:r>
      <w:r w:rsidRPr="008C1F53">
        <w:t xml:space="preserve">esponsible </w:t>
      </w:r>
      <w:r w:rsidR="00E6101C">
        <w:t>m</w:t>
      </w:r>
      <w:r w:rsidRPr="008C1F53">
        <w:t xml:space="preserve">inister </w:t>
      </w:r>
    </w:p>
    <w:p w14:paraId="50C0FB99" w14:textId="6FCBE577" w:rsidR="00EA47D3" w:rsidRDefault="00EA47D3" w:rsidP="00E309F6">
      <w:pPr>
        <w:pStyle w:val="ParagraphText-unnumbered"/>
      </w:pPr>
      <w:r>
        <w:t>T</w:t>
      </w:r>
      <w:r w:rsidR="008C1F53" w:rsidRPr="008C1F53">
        <w:t xml:space="preserve">he </w:t>
      </w:r>
      <w:r w:rsidR="00EE2678">
        <w:t xml:space="preserve">Minister of State for Health </w:t>
      </w:r>
      <w:r>
        <w:t>w</w:t>
      </w:r>
      <w:r w:rsidR="008C1F53" w:rsidRPr="008C1F53">
        <w:t>ill account for</w:t>
      </w:r>
      <w:r>
        <w:t xml:space="preserve"> HEE</w:t>
      </w:r>
      <w:r w:rsidR="008C1F53" w:rsidRPr="008C1F53">
        <w:t xml:space="preserve"> on all matters concerning </w:t>
      </w:r>
      <w:r>
        <w:t xml:space="preserve">HEE </w:t>
      </w:r>
      <w:r w:rsidR="008C1F53" w:rsidRPr="008C1F53">
        <w:t xml:space="preserve"> in Parliament The </w:t>
      </w:r>
      <w:r w:rsidR="00257DDD">
        <w:t>m</w:t>
      </w:r>
      <w:r w:rsidR="008C1F53" w:rsidRPr="008C1F53">
        <w:t>inister</w:t>
      </w:r>
      <w:r w:rsidR="00E6101C">
        <w:t>'</w:t>
      </w:r>
      <w:r w:rsidR="008C1F53" w:rsidRPr="008C1F53">
        <w:t xml:space="preserve">s statutory powers in respect of </w:t>
      </w:r>
      <w:r w:rsidR="00AC2B98">
        <w:t xml:space="preserve">HEE </w:t>
      </w:r>
      <w:r w:rsidR="008C1F53" w:rsidRPr="008C1F53">
        <w:t xml:space="preserve"> are set out in</w:t>
      </w:r>
      <w:r>
        <w:t xml:space="preserve"> the Care Act 2014</w:t>
      </w:r>
      <w:r w:rsidR="004E6648">
        <w:t>.</w:t>
      </w:r>
      <w:r w:rsidR="002D20E4">
        <w:t xml:space="preserve"> </w:t>
      </w:r>
      <w:r w:rsidR="008C1F53" w:rsidRPr="008C1F53">
        <w:t xml:space="preserve">These are: </w:t>
      </w:r>
    </w:p>
    <w:p w14:paraId="1680FB85" w14:textId="38AF6793" w:rsidR="00EA47D3" w:rsidRPr="00EA47D3" w:rsidRDefault="00800011" w:rsidP="004E6648">
      <w:pPr>
        <w:pStyle w:val="Bullet"/>
      </w:pPr>
      <w:r>
        <w:t>s</w:t>
      </w:r>
      <w:r w:rsidR="00EA47D3" w:rsidRPr="00EA47D3">
        <w:t>etting HEE's objectives on an annual basis</w:t>
      </w:r>
      <w:r w:rsidR="00EE2678">
        <w:t>;</w:t>
      </w:r>
    </w:p>
    <w:p w14:paraId="6D3DD61C" w14:textId="7446DA98" w:rsidR="00EA47D3" w:rsidRPr="00EA47D3" w:rsidRDefault="00800011" w:rsidP="004E6648">
      <w:pPr>
        <w:pStyle w:val="Bullet"/>
      </w:pPr>
      <w:r>
        <w:t>h</w:t>
      </w:r>
      <w:r w:rsidR="00EA47D3" w:rsidRPr="00EA47D3">
        <w:t>olding HEE to account</w:t>
      </w:r>
      <w:r w:rsidR="00585000">
        <w:t xml:space="preserve"> through </w:t>
      </w:r>
      <w:r w:rsidR="009C6B5A">
        <w:t xml:space="preserve">quarterly accountability meetings - normally chaired by the responsible </w:t>
      </w:r>
      <w:r w:rsidR="00257DDD">
        <w:t>m</w:t>
      </w:r>
      <w:r w:rsidR="00EE2678">
        <w:t xml:space="preserve">inister </w:t>
      </w:r>
      <w:r w:rsidR="009C6B5A">
        <w:t xml:space="preserve">or the </w:t>
      </w:r>
      <w:r w:rsidR="00257DDD">
        <w:t>s</w:t>
      </w:r>
      <w:r w:rsidR="009C6B5A">
        <w:t xml:space="preserve">enior </w:t>
      </w:r>
      <w:r w:rsidR="00F92864">
        <w:t>d</w:t>
      </w:r>
      <w:r w:rsidR="009C6B5A">
        <w:t xml:space="preserve">epartmental </w:t>
      </w:r>
      <w:r w:rsidR="00257DDD">
        <w:t>s</w:t>
      </w:r>
      <w:r w:rsidR="009C6B5A">
        <w:t>ponsor</w:t>
      </w:r>
      <w:r w:rsidR="008241F0">
        <w:t xml:space="preserve"> (SDS)</w:t>
      </w:r>
    </w:p>
    <w:p w14:paraId="784BE43C" w14:textId="5B1EF0C9" w:rsidR="00EA47D3" w:rsidRPr="00EA47D3" w:rsidRDefault="00EA47D3" w:rsidP="004E6648">
      <w:pPr>
        <w:pStyle w:val="Bullet"/>
      </w:pPr>
      <w:r w:rsidRPr="00EA47D3">
        <w:t>setting an Education Outcomes Framework tri-annually</w:t>
      </w:r>
    </w:p>
    <w:p w14:paraId="127FB993" w14:textId="39EE187D" w:rsidR="00EA47D3" w:rsidRPr="00EA47D3" w:rsidRDefault="00EA47D3" w:rsidP="004E6648">
      <w:pPr>
        <w:pStyle w:val="Bullet"/>
      </w:pPr>
      <w:r w:rsidRPr="00EA47D3">
        <w:t xml:space="preserve">appointing a </w:t>
      </w:r>
      <w:r w:rsidR="002A67AA">
        <w:t>c</w:t>
      </w:r>
      <w:r w:rsidRPr="00EA47D3">
        <w:t>hair and</w:t>
      </w:r>
      <w:r w:rsidR="00835851">
        <w:t xml:space="preserve"> six </w:t>
      </w:r>
      <w:r w:rsidR="002A67AA">
        <w:t>c</w:t>
      </w:r>
      <w:r w:rsidRPr="00EA47D3">
        <w:t>on-</w:t>
      </w:r>
      <w:r w:rsidR="002A67AA">
        <w:t>e</w:t>
      </w:r>
      <w:r w:rsidRPr="00EA47D3">
        <w:t xml:space="preserve">xecutive </w:t>
      </w:r>
      <w:r w:rsidR="002A67AA">
        <w:t>d</w:t>
      </w:r>
      <w:r w:rsidRPr="00EA47D3">
        <w:t>irectors</w:t>
      </w:r>
    </w:p>
    <w:p w14:paraId="23320BB6" w14:textId="7E2E3E43" w:rsidR="00C6092F" w:rsidRDefault="002A656E" w:rsidP="00287002">
      <w:pPr>
        <w:pStyle w:val="Heading3"/>
      </w:pPr>
      <w:r>
        <w:t xml:space="preserve">Appointments to the </w:t>
      </w:r>
      <w:r w:rsidR="00E6101C">
        <w:t>b</w:t>
      </w:r>
      <w:r>
        <w:t>oard</w:t>
      </w:r>
    </w:p>
    <w:p w14:paraId="75BC4C84" w14:textId="38ABC643" w:rsidR="0029473E" w:rsidRDefault="009C5EB7" w:rsidP="00A66AA5">
      <w:pPr>
        <w:pStyle w:val="ParagraphText-unnumbered"/>
      </w:pPr>
      <w:r w:rsidRPr="009C5EB7">
        <w:t xml:space="preserve">The </w:t>
      </w:r>
      <w:r w:rsidR="00A66AA5">
        <w:t>c</w:t>
      </w:r>
      <w:r w:rsidRPr="009C5EB7">
        <w:t xml:space="preserve">hief </w:t>
      </w:r>
      <w:r w:rsidR="0046369D">
        <w:t>e</w:t>
      </w:r>
      <w:r w:rsidRPr="009C5EB7">
        <w:t xml:space="preserve">xecutive of HEE is appointed by the HEE </w:t>
      </w:r>
      <w:r w:rsidR="002F16E0">
        <w:t>b</w:t>
      </w:r>
      <w:r w:rsidRPr="009C5EB7">
        <w:t xml:space="preserve">oard under </w:t>
      </w:r>
      <w:r w:rsidR="00F92864">
        <w:t>s</w:t>
      </w:r>
      <w:r w:rsidRPr="009C5EB7">
        <w:t xml:space="preserve">ection 1C of </w:t>
      </w:r>
      <w:r w:rsidR="002A7441">
        <w:t>s</w:t>
      </w:r>
      <w:r w:rsidRPr="009C5EB7">
        <w:t xml:space="preserve">chedule 5 of the Care Act 2014 with the approval of the </w:t>
      </w:r>
      <w:r w:rsidR="00257DDD">
        <w:t>r</w:t>
      </w:r>
      <w:r w:rsidRPr="009C5EB7">
        <w:t xml:space="preserve">esponsible </w:t>
      </w:r>
      <w:r w:rsidR="00257DDD">
        <w:t>m</w:t>
      </w:r>
      <w:r w:rsidRPr="009C5EB7">
        <w:t xml:space="preserve">inister. </w:t>
      </w:r>
      <w:r w:rsidR="0029473E">
        <w:t xml:space="preserve">The </w:t>
      </w:r>
      <w:r w:rsidR="001D045E">
        <w:t>r</w:t>
      </w:r>
      <w:r w:rsidR="0029473E">
        <w:t xml:space="preserve">esponsible </w:t>
      </w:r>
      <w:r w:rsidR="00F92864">
        <w:t>minister</w:t>
      </w:r>
      <w:r w:rsidR="0029473E">
        <w:t xml:space="preserve"> </w:t>
      </w:r>
      <w:r w:rsidR="005E48EC">
        <w:t xml:space="preserve">shall have the following appointment and approval rights in relation to HEE's </w:t>
      </w:r>
      <w:r w:rsidR="002F16E0">
        <w:t>b</w:t>
      </w:r>
      <w:r w:rsidR="005E48EC">
        <w:t>oard</w:t>
      </w:r>
      <w:r w:rsidR="00FC2826">
        <w:t>:</w:t>
      </w:r>
    </w:p>
    <w:p w14:paraId="5080BAFF" w14:textId="5E0D4CC4" w:rsidR="00C51298" w:rsidRPr="00C51298" w:rsidRDefault="00C51298" w:rsidP="00C51298">
      <w:pPr>
        <w:pStyle w:val="Bullet"/>
      </w:pPr>
      <w:r w:rsidRPr="00C51298">
        <w:t xml:space="preserve">The </w:t>
      </w:r>
      <w:r w:rsidR="002A67AA">
        <w:t>c</w:t>
      </w:r>
      <w:r w:rsidRPr="00C51298">
        <w:t xml:space="preserve">hairperson is appointed by the </w:t>
      </w:r>
      <w:r w:rsidR="001D045E">
        <w:t>r</w:t>
      </w:r>
      <w:r w:rsidRPr="00C51298">
        <w:t xml:space="preserve">esponsible </w:t>
      </w:r>
      <w:r w:rsidR="00E6101C">
        <w:t>m</w:t>
      </w:r>
      <w:r w:rsidRPr="00C51298">
        <w:t xml:space="preserve">inister under section 1(1A) of </w:t>
      </w:r>
      <w:r w:rsidR="00E6101C">
        <w:t>s</w:t>
      </w:r>
      <w:r w:rsidRPr="00C51298">
        <w:t xml:space="preserve">chedule 5 of the Care Act 2014. Non-executive </w:t>
      </w:r>
      <w:r w:rsidR="008440F9">
        <w:t>m</w:t>
      </w:r>
      <w:r w:rsidRPr="00C51298">
        <w:t xml:space="preserve">embers are appointed by the </w:t>
      </w:r>
      <w:r w:rsidR="001D045E">
        <w:t>r</w:t>
      </w:r>
      <w:r w:rsidRPr="00C51298">
        <w:t xml:space="preserve">esponsible </w:t>
      </w:r>
      <w:r w:rsidR="001D045E">
        <w:t>m</w:t>
      </w:r>
      <w:r w:rsidRPr="00C51298">
        <w:t xml:space="preserve">inister under section 1(1B) of </w:t>
      </w:r>
      <w:r w:rsidR="002A7441">
        <w:t>s</w:t>
      </w:r>
      <w:r w:rsidRPr="00C51298">
        <w:t xml:space="preserve">chedule 5 of the Care Act 2014. </w:t>
      </w:r>
    </w:p>
    <w:p w14:paraId="7592A46C" w14:textId="62440456" w:rsidR="00C51298" w:rsidRDefault="00C51298" w:rsidP="00C51298">
      <w:pPr>
        <w:pStyle w:val="Bullet"/>
      </w:pPr>
      <w:r w:rsidRPr="00C51298">
        <w:t xml:space="preserve">HEE is included in the schedules of the </w:t>
      </w:r>
      <w:hyperlink r:id="rId17" w:history="1">
        <w:r w:rsidRPr="00C51298">
          <w:rPr>
            <w:rStyle w:val="Hyperlink"/>
          </w:rPr>
          <w:t>Public Appointments (No2) Order in Council 2019</w:t>
        </w:r>
      </w:hyperlink>
      <w:r w:rsidRPr="00C51298">
        <w:rPr>
          <w:rStyle w:val="Hyperlink"/>
        </w:rPr>
        <w:t xml:space="preserve"> </w:t>
      </w:r>
      <w:r w:rsidRPr="00C51298">
        <w:t xml:space="preserve"> and these appointments must therefore be made in accordance with the </w:t>
      </w:r>
      <w:hyperlink r:id="rId18" w:history="1">
        <w:r w:rsidRPr="00C51298">
          <w:rPr>
            <w:rStyle w:val="Hyperlink"/>
          </w:rPr>
          <w:t>Governance Code on Public Appointments</w:t>
        </w:r>
      </w:hyperlink>
      <w:r w:rsidRPr="00C51298">
        <w:t xml:space="preserve">. The appointment process is regulated by the Commissioner for Public Appointments. </w:t>
      </w:r>
    </w:p>
    <w:p w14:paraId="66674130" w14:textId="3F46F03E" w:rsidR="00AE4F2E" w:rsidRDefault="00AE4F2E" w:rsidP="00C51298">
      <w:pPr>
        <w:pStyle w:val="Bullet"/>
      </w:pPr>
      <w:r>
        <w:t xml:space="preserve">All such appointments </w:t>
      </w:r>
      <w:r w:rsidR="0011196F">
        <w:t xml:space="preserve">should have regard to the principle that appointments should reflect </w:t>
      </w:r>
      <w:r w:rsidR="00273916">
        <w:t xml:space="preserve">the diversity of the society in which we live, and appointments should </w:t>
      </w:r>
      <w:r w:rsidR="00336CFA">
        <w:t xml:space="preserve">be made taking </w:t>
      </w:r>
      <w:r w:rsidR="00444CF9">
        <w:t>account</w:t>
      </w:r>
      <w:r w:rsidR="00336CFA">
        <w:t xml:space="preserve"> of the need to appoint </w:t>
      </w:r>
      <w:r w:rsidR="00A42496">
        <w:t>b</w:t>
      </w:r>
      <w:r w:rsidR="00FE33E6">
        <w:t>oards</w:t>
      </w:r>
      <w:r w:rsidR="00336CFA">
        <w:t xml:space="preserve"> which include a balance of skills </w:t>
      </w:r>
      <w:r w:rsidR="00FE33E6">
        <w:t>and backgrounds.</w:t>
      </w:r>
      <w:r w:rsidR="00273916">
        <w:t xml:space="preserve">  </w:t>
      </w:r>
      <w:r w:rsidR="0011196F">
        <w:t xml:space="preserve"> </w:t>
      </w:r>
    </w:p>
    <w:p w14:paraId="5EF1B9D9" w14:textId="1F7B49BA" w:rsidR="00444CF9" w:rsidRPr="00444CF9" w:rsidRDefault="00444CF9" w:rsidP="00444CF9">
      <w:pPr>
        <w:pStyle w:val="Bullet"/>
      </w:pPr>
      <w:r w:rsidRPr="00444CF9">
        <w:t xml:space="preserve">The </w:t>
      </w:r>
      <w:r w:rsidR="002A67AA">
        <w:t>c</w:t>
      </w:r>
      <w:r w:rsidRPr="00444CF9">
        <w:t>hair and NEDs would, normally only serve up to a maximum of two terms. Legislation requires that they can be appointed for a maximum of 4 years per term and can serve for no more than 10 years in the role.</w:t>
      </w:r>
    </w:p>
    <w:p w14:paraId="5BCD33CC" w14:textId="6EE4E0F4" w:rsidR="00FC2826" w:rsidRPr="009C5EB7" w:rsidRDefault="003B3DEB" w:rsidP="00C032DE">
      <w:pPr>
        <w:pStyle w:val="Bullet"/>
      </w:pPr>
      <w:r w:rsidRPr="003B3DEB">
        <w:t xml:space="preserve">The HEE Regulations 2014 set out that the HEE </w:t>
      </w:r>
      <w:r w:rsidR="00A42496">
        <w:t>b</w:t>
      </w:r>
      <w:r w:rsidRPr="003B3DEB">
        <w:t xml:space="preserve">oard must include at least three clinicians: a doctor, nurse, midwife or </w:t>
      </w:r>
      <w:r w:rsidR="00A42496">
        <w:t>n</w:t>
      </w:r>
      <w:r w:rsidRPr="003B3DEB">
        <w:t xml:space="preserve">urse </w:t>
      </w:r>
      <w:r w:rsidR="00A42496">
        <w:t>a</w:t>
      </w:r>
      <w:r w:rsidRPr="003B3DEB">
        <w:t xml:space="preserve">ssociate and another regulated healthcare professional. These can be either be </w:t>
      </w:r>
      <w:r w:rsidR="00A42496">
        <w:t>e</w:t>
      </w:r>
      <w:r w:rsidRPr="003B3DEB">
        <w:t xml:space="preserve">xecutive </w:t>
      </w:r>
      <w:r w:rsidR="00A42496">
        <w:t>d</w:t>
      </w:r>
      <w:r w:rsidRPr="003B3DEB">
        <w:t xml:space="preserve">irectors or </w:t>
      </w:r>
      <w:r w:rsidR="00A42496">
        <w:t>n</w:t>
      </w:r>
      <w:r w:rsidRPr="003B3DEB">
        <w:t>on-</w:t>
      </w:r>
      <w:r w:rsidR="00A42496">
        <w:t>e</w:t>
      </w:r>
      <w:r w:rsidRPr="003B3DEB">
        <w:t xml:space="preserve">xecutive members. </w:t>
      </w:r>
    </w:p>
    <w:p w14:paraId="06DB7CD9" w14:textId="5D96D39F" w:rsidR="002A656E" w:rsidRDefault="006250CB" w:rsidP="00C032DE">
      <w:pPr>
        <w:pStyle w:val="Heading3"/>
      </w:pPr>
      <w:r>
        <w:t xml:space="preserve">Other </w:t>
      </w:r>
      <w:r w:rsidR="00E6101C">
        <w:t>m</w:t>
      </w:r>
      <w:r>
        <w:t>inisterial powers and responsibilities</w:t>
      </w:r>
    </w:p>
    <w:p w14:paraId="0FEA0E6B" w14:textId="7E4152A6" w:rsidR="00C410CB" w:rsidRPr="00C410CB" w:rsidRDefault="00136AF7" w:rsidP="00E309F6">
      <w:pPr>
        <w:pStyle w:val="ParagraphText-unnumbered"/>
      </w:pPr>
      <w:r>
        <w:t xml:space="preserve">The </w:t>
      </w:r>
      <w:r w:rsidR="001D045E">
        <w:t>m</w:t>
      </w:r>
      <w:r>
        <w:t>inister is also responsible for:</w:t>
      </w:r>
      <w:r w:rsidR="00C410CB" w:rsidRPr="00C410CB">
        <w:t xml:space="preserve"> </w:t>
      </w:r>
    </w:p>
    <w:p w14:paraId="3FA82A04" w14:textId="2B0CACFB" w:rsidR="00177A3B" w:rsidRDefault="00C410CB" w:rsidP="00C410CB">
      <w:pPr>
        <w:pStyle w:val="Bullet"/>
      </w:pPr>
      <w:r w:rsidRPr="00C410CB">
        <w:t>the policy framework within which HEE operates</w:t>
      </w:r>
    </w:p>
    <w:p w14:paraId="3E32D251" w14:textId="7A419414" w:rsidR="006A1C28" w:rsidRDefault="00177A3B" w:rsidP="00C410CB">
      <w:pPr>
        <w:pStyle w:val="Bullet"/>
      </w:pPr>
      <w:r>
        <w:t xml:space="preserve">setting the performance framework within which </w:t>
      </w:r>
      <w:r w:rsidR="005E158C">
        <w:t xml:space="preserve">HEE will operate including HEE's </w:t>
      </w:r>
      <w:r w:rsidR="00E6101C">
        <w:t>s</w:t>
      </w:r>
      <w:r w:rsidR="00F275D2">
        <w:t xml:space="preserve">trategy and </w:t>
      </w:r>
      <w:r w:rsidR="00E6101C">
        <w:t>a</w:t>
      </w:r>
      <w:r w:rsidR="00F275D2">
        <w:t xml:space="preserve">nnual </w:t>
      </w:r>
      <w:r w:rsidR="00E6101C">
        <w:t>p</w:t>
      </w:r>
      <w:r w:rsidR="00F275D2">
        <w:t>lan</w:t>
      </w:r>
    </w:p>
    <w:p w14:paraId="57422B17" w14:textId="40DAC724" w:rsidR="00ED7148" w:rsidRDefault="006A1C28" w:rsidP="00C410CB">
      <w:pPr>
        <w:pStyle w:val="Bullet"/>
      </w:pPr>
      <w:r>
        <w:t>matters regarding spending approvals, acquisitions, disposals</w:t>
      </w:r>
      <w:r w:rsidR="004B7203">
        <w:t>, and joint ventures in line with delegations set out in the del</w:t>
      </w:r>
      <w:r w:rsidR="00ED7148">
        <w:t>egation letter</w:t>
      </w:r>
    </w:p>
    <w:p w14:paraId="2137D3B3" w14:textId="2D7AE896" w:rsidR="00C410CB" w:rsidRPr="00C410CB" w:rsidRDefault="00ED7148" w:rsidP="00C410CB">
      <w:pPr>
        <w:pStyle w:val="Bullet"/>
      </w:pPr>
      <w:r>
        <w:t xml:space="preserve">such other matters </w:t>
      </w:r>
      <w:r w:rsidR="00074F90">
        <w:t>as may be appropriate and proportionate.</w:t>
      </w:r>
      <w:r w:rsidR="006A1C28">
        <w:t xml:space="preserve"> </w:t>
      </w:r>
      <w:r w:rsidR="00C410CB" w:rsidRPr="00C410CB">
        <w:t xml:space="preserve"> </w:t>
      </w:r>
    </w:p>
    <w:p w14:paraId="3B81A068" w14:textId="475C64BF" w:rsidR="008C1F53" w:rsidRDefault="008C1F53" w:rsidP="001D4185">
      <w:pPr>
        <w:pStyle w:val="Heading3"/>
      </w:pPr>
      <w:r w:rsidRPr="008C1F53">
        <w:t xml:space="preserve">The </w:t>
      </w:r>
      <w:r w:rsidR="00E6101C">
        <w:t>p</w:t>
      </w:r>
      <w:r w:rsidRPr="008C1F53">
        <w:t xml:space="preserve">rincipal </w:t>
      </w:r>
      <w:r w:rsidR="00E6101C">
        <w:t>a</w:t>
      </w:r>
      <w:r w:rsidRPr="00AC48F5">
        <w:t>ccounting</w:t>
      </w:r>
      <w:r w:rsidRPr="008C1F53">
        <w:t xml:space="preserve"> </w:t>
      </w:r>
      <w:r w:rsidR="00E6101C">
        <w:t>o</w:t>
      </w:r>
      <w:r w:rsidRPr="008C1F53">
        <w:t xml:space="preserve">fficer  </w:t>
      </w:r>
    </w:p>
    <w:p w14:paraId="6F916AC2" w14:textId="7773966B" w:rsidR="00386D59" w:rsidRDefault="008C1F53" w:rsidP="00E309F6">
      <w:pPr>
        <w:pStyle w:val="ParagraphText-unnumbered"/>
      </w:pPr>
      <w:r w:rsidRPr="008C1F53">
        <w:t xml:space="preserve">The </w:t>
      </w:r>
      <w:r w:rsidR="0046369D">
        <w:t>p</w:t>
      </w:r>
      <w:r w:rsidRPr="008C1F53">
        <w:t xml:space="preserve">rincipal </w:t>
      </w:r>
      <w:r w:rsidR="0046369D">
        <w:t>a</w:t>
      </w:r>
      <w:r w:rsidRPr="008C1F53">
        <w:t xml:space="preserve">ccounting </w:t>
      </w:r>
      <w:r w:rsidR="0046369D">
        <w:t>o</w:t>
      </w:r>
      <w:r w:rsidRPr="008C1F53">
        <w:t xml:space="preserve">fficer </w:t>
      </w:r>
      <w:r w:rsidR="00AB6E04">
        <w:t>(P</w:t>
      </w:r>
      <w:r w:rsidR="00C62FD0">
        <w:t xml:space="preserve">AO) </w:t>
      </w:r>
      <w:r w:rsidRPr="008C1F53">
        <w:t xml:space="preserve">is the Permanent Secretary of </w:t>
      </w:r>
      <w:r w:rsidR="008241F0">
        <w:t>DHSC</w:t>
      </w:r>
      <w:r w:rsidR="00386D59">
        <w:t>.</w:t>
      </w:r>
    </w:p>
    <w:p w14:paraId="76F6AE28" w14:textId="1B68ADE2" w:rsidR="008C1F53" w:rsidRDefault="008C1F53" w:rsidP="00E309F6">
      <w:pPr>
        <w:pStyle w:val="ParagraphText-unnumbered"/>
      </w:pPr>
      <w:r w:rsidRPr="008C1F53">
        <w:t>The P</w:t>
      </w:r>
      <w:r w:rsidR="00C62FD0">
        <w:t>AO o</w:t>
      </w:r>
      <w:r w:rsidRPr="008C1F53">
        <w:t xml:space="preserve">f </w:t>
      </w:r>
      <w:r w:rsidR="00386D59">
        <w:t xml:space="preserve">DHSC </w:t>
      </w:r>
      <w:r w:rsidRPr="008C1F53">
        <w:t xml:space="preserve">designates the </w:t>
      </w:r>
      <w:r w:rsidR="0046369D">
        <w:t>c</w:t>
      </w:r>
      <w:r w:rsidRPr="008C1F53">
        <w:t xml:space="preserve">hief Executive as </w:t>
      </w:r>
      <w:r w:rsidR="00386D59">
        <w:t>HEE's</w:t>
      </w:r>
      <w:r w:rsidRPr="008C1F53">
        <w:t xml:space="preserve"> accounting officer and ensures that </w:t>
      </w:r>
      <w:r w:rsidR="008B5202">
        <w:t>they are</w:t>
      </w:r>
      <w:r w:rsidRPr="008C1F53">
        <w:t xml:space="preserve"> fully aware of </w:t>
      </w:r>
      <w:r w:rsidR="008B5202">
        <w:t>their</w:t>
      </w:r>
      <w:r w:rsidRPr="008C1F53">
        <w:t xml:space="preserve"> responsibilities. The PAO issues a letter appointing the </w:t>
      </w:r>
      <w:r w:rsidR="002F6028">
        <w:t>a</w:t>
      </w:r>
      <w:r w:rsidRPr="008C1F53">
        <w:t xml:space="preserve">ccounting </w:t>
      </w:r>
      <w:r w:rsidR="002F6028">
        <w:t>o</w:t>
      </w:r>
      <w:r w:rsidRPr="008C1F53">
        <w:t xml:space="preserve">fficer, setting out his or her responsibilities and delegated authorities. </w:t>
      </w:r>
    </w:p>
    <w:p w14:paraId="7084363B" w14:textId="47C3DBAD" w:rsidR="008C1F53" w:rsidRDefault="00EA47D3" w:rsidP="00E309F6">
      <w:pPr>
        <w:pStyle w:val="ParagraphText-unnumbered"/>
      </w:pPr>
      <w:r>
        <w:t>T</w:t>
      </w:r>
      <w:r w:rsidR="008C1F53" w:rsidRPr="008C1F53">
        <w:t xml:space="preserve">he respective responsibilities of the PAO and accounting officers for ALBs are set out in </w:t>
      </w:r>
      <w:r w:rsidR="00E6101C">
        <w:t>c</w:t>
      </w:r>
      <w:r w:rsidR="008C1F53" w:rsidRPr="008C1F53">
        <w:t>hapter 3 of M</w:t>
      </w:r>
      <w:r w:rsidR="00E6101C">
        <w:t xml:space="preserve">PM. </w:t>
      </w:r>
      <w:r w:rsidR="008C1F53" w:rsidRPr="008C1F53">
        <w:t xml:space="preserve"> </w:t>
      </w:r>
    </w:p>
    <w:p w14:paraId="1B215F76" w14:textId="77777777" w:rsidR="008C1F53" w:rsidRDefault="008C1F53" w:rsidP="00E309F6">
      <w:pPr>
        <w:pStyle w:val="ParagraphText-unnumbered"/>
      </w:pPr>
      <w:r w:rsidRPr="008C1F53">
        <w:t xml:space="preserve">The PAO is accountable to Parliament for the issue of any grant-in-aid to </w:t>
      </w:r>
      <w:r w:rsidR="00EA47D3">
        <w:t xml:space="preserve">HEE. </w:t>
      </w:r>
      <w:r w:rsidRPr="008C1F53">
        <w:t xml:space="preserve"> </w:t>
      </w:r>
    </w:p>
    <w:p w14:paraId="6A57E63D" w14:textId="493D50DF" w:rsidR="008C1F53" w:rsidRDefault="008C1F53" w:rsidP="00E309F6">
      <w:pPr>
        <w:pStyle w:val="ParagraphText-unnumbered"/>
      </w:pPr>
      <w:r w:rsidRPr="008C1F53">
        <w:lastRenderedPageBreak/>
        <w:t xml:space="preserve">The PAO is also responsible, usually via the sponsorship team, for advising the </w:t>
      </w:r>
      <w:r w:rsidR="001D045E">
        <w:t>r</w:t>
      </w:r>
      <w:r w:rsidRPr="008C1F53">
        <w:t xml:space="preserve">esponsible </w:t>
      </w:r>
      <w:r w:rsidR="00F92864">
        <w:t>m</w:t>
      </w:r>
      <w:r w:rsidR="00F92864" w:rsidRPr="008C1F53">
        <w:t>inister</w:t>
      </w:r>
      <w:r w:rsidRPr="008C1F53">
        <w:t xml:space="preserve"> on:</w:t>
      </w:r>
    </w:p>
    <w:p w14:paraId="4928B117" w14:textId="7066A0B3" w:rsidR="00EA47D3" w:rsidRDefault="008C1F53" w:rsidP="00EA47D3">
      <w:pPr>
        <w:pStyle w:val="Bullet"/>
      </w:pPr>
      <w:r w:rsidRPr="008C1F53">
        <w:t xml:space="preserve">an appropriate framework of objectives and targets for </w:t>
      </w:r>
      <w:r w:rsidR="008E660E">
        <w:t xml:space="preserve">HEE </w:t>
      </w:r>
      <w:r w:rsidRPr="008C1F53">
        <w:t xml:space="preserve"> in the light of the </w:t>
      </w:r>
      <w:r w:rsidR="008241F0">
        <w:t>d</w:t>
      </w:r>
      <w:r w:rsidRPr="008C1F53">
        <w:t xml:space="preserve">epartment’s wider strategic aims and priorities </w:t>
      </w:r>
    </w:p>
    <w:p w14:paraId="391E8DA8" w14:textId="435CD52B" w:rsidR="008C1F53" w:rsidRDefault="008C1F53" w:rsidP="00EA47D3">
      <w:pPr>
        <w:pStyle w:val="Bullet"/>
      </w:pPr>
      <w:r w:rsidRPr="008C1F53">
        <w:t xml:space="preserve">an appropriate budget for </w:t>
      </w:r>
      <w:r w:rsidR="00AC2B98">
        <w:t xml:space="preserve">HEE </w:t>
      </w:r>
      <w:r w:rsidRPr="008C1F53">
        <w:t xml:space="preserve">in the light of the sponsor </w:t>
      </w:r>
      <w:r w:rsidR="008241F0">
        <w:t>d</w:t>
      </w:r>
      <w:r w:rsidRPr="008C1F53">
        <w:t xml:space="preserve">epartment’s overall public expenditure priorities </w:t>
      </w:r>
    </w:p>
    <w:p w14:paraId="642D38C0" w14:textId="5B6AA856" w:rsidR="008C1F53" w:rsidRDefault="008C1F53" w:rsidP="008C1F53">
      <w:pPr>
        <w:pStyle w:val="Bullet"/>
      </w:pPr>
      <w:r w:rsidRPr="008C1F53">
        <w:t xml:space="preserve">how well </w:t>
      </w:r>
      <w:r w:rsidR="00AC2B98">
        <w:t xml:space="preserve">HEE </w:t>
      </w:r>
      <w:r w:rsidRPr="008C1F53">
        <w:t xml:space="preserve">is achieving its strategic objectives and whether it is delivering value for money and </w:t>
      </w:r>
    </w:p>
    <w:p w14:paraId="35E70BF8" w14:textId="25C8E3A7" w:rsidR="008C1F53" w:rsidRDefault="008C1F53" w:rsidP="008C1F53">
      <w:pPr>
        <w:pStyle w:val="Bullet"/>
      </w:pPr>
      <w:r w:rsidRPr="008C1F53">
        <w:t xml:space="preserve">the exercise of the </w:t>
      </w:r>
      <w:r w:rsidR="00FC2EDE">
        <w:t>m</w:t>
      </w:r>
      <w:r w:rsidRPr="008C1F53">
        <w:t xml:space="preserve">inisters’ statutory responsibilities concerning </w:t>
      </w:r>
      <w:r w:rsidR="00EA47D3">
        <w:t xml:space="preserve">HEE </w:t>
      </w:r>
      <w:r w:rsidRPr="008C1F53">
        <w:t xml:space="preserve">as outlined above. </w:t>
      </w:r>
    </w:p>
    <w:p w14:paraId="7BC30A59" w14:textId="77777777" w:rsidR="008C1F53" w:rsidRDefault="008C1F53" w:rsidP="00E309F6">
      <w:pPr>
        <w:pStyle w:val="ParagraphText-unnumbered"/>
      </w:pPr>
      <w:r w:rsidRPr="008C1F53">
        <w:t xml:space="preserve">The PAO via the sponsorship team is also responsible for ensuring arrangements are in place in order to: </w:t>
      </w:r>
    </w:p>
    <w:p w14:paraId="0470EFB2" w14:textId="26D2538A" w:rsidR="008C1F53" w:rsidRDefault="00800011" w:rsidP="008C1F53">
      <w:pPr>
        <w:pStyle w:val="Bullet"/>
      </w:pPr>
      <w:r>
        <w:t>m</w:t>
      </w:r>
      <w:r w:rsidR="008C1F53" w:rsidRPr="008C1F53">
        <w:t>onitor</w:t>
      </w:r>
      <w:r w:rsidR="00386D59">
        <w:t xml:space="preserve"> HEE's</w:t>
      </w:r>
      <w:r w:rsidR="008C1F53" w:rsidRPr="008C1F53">
        <w:t xml:space="preserve"> activities and performance</w:t>
      </w:r>
    </w:p>
    <w:p w14:paraId="7BA840C6" w14:textId="6DDB8EC0" w:rsidR="008C1F53" w:rsidRDefault="008C1F53" w:rsidP="008C1F53">
      <w:pPr>
        <w:pStyle w:val="Bullet"/>
      </w:pPr>
      <w:r w:rsidRPr="008C1F53">
        <w:t xml:space="preserve">address significant problems in </w:t>
      </w:r>
      <w:r w:rsidR="00386D59">
        <w:t xml:space="preserve">HEE, </w:t>
      </w:r>
      <w:r w:rsidRPr="008C1F53">
        <w:t xml:space="preserve">making such interventions as are judged necessary </w:t>
      </w:r>
    </w:p>
    <w:p w14:paraId="00C9E638" w14:textId="75367745" w:rsidR="008C1F53" w:rsidRDefault="008C1F53" w:rsidP="008C1F53">
      <w:pPr>
        <w:pStyle w:val="Bullet"/>
      </w:pPr>
      <w:r w:rsidRPr="008C1F53">
        <w:t xml:space="preserve">periodically and at such frequency as is proportionate to the level of risk carry out an assessment of the risks both to the </w:t>
      </w:r>
      <w:r w:rsidR="008241F0">
        <w:t>d</w:t>
      </w:r>
      <w:r w:rsidRPr="008C1F53">
        <w:t xml:space="preserve">epartment and </w:t>
      </w:r>
      <w:r w:rsidR="00386D59">
        <w:t>HEE</w:t>
      </w:r>
      <w:r w:rsidRPr="008C1F53">
        <w:t xml:space="preserve">’s objectives and activities in line with the wider </w:t>
      </w:r>
      <w:r w:rsidR="008241F0">
        <w:t>d</w:t>
      </w:r>
      <w:r w:rsidRPr="008C1F53">
        <w:t>epartmental risk assessment process;</w:t>
      </w:r>
    </w:p>
    <w:p w14:paraId="5C91903D" w14:textId="458A9677" w:rsidR="008C1F53" w:rsidRDefault="008C1F53" w:rsidP="008C1F53">
      <w:pPr>
        <w:pStyle w:val="Bullet"/>
      </w:pPr>
      <w:r w:rsidRPr="008C1F53">
        <w:t xml:space="preserve">inform </w:t>
      </w:r>
      <w:r w:rsidR="00386D59">
        <w:t xml:space="preserve">HEE </w:t>
      </w:r>
      <w:r w:rsidRPr="008C1F53">
        <w:t xml:space="preserve">of relevant government policy in a timely manner and </w:t>
      </w:r>
    </w:p>
    <w:p w14:paraId="57576035" w14:textId="759C150E" w:rsidR="008C1F53" w:rsidRDefault="008C1F53" w:rsidP="008C1F53">
      <w:pPr>
        <w:pStyle w:val="Bullet"/>
      </w:pPr>
      <w:r w:rsidRPr="008C1F53">
        <w:t xml:space="preserve">bring </w:t>
      </w:r>
      <w:r w:rsidR="00FC2EDE">
        <w:t>m</w:t>
      </w:r>
      <w:r w:rsidRPr="008C1F53">
        <w:t xml:space="preserve">inisterial or </w:t>
      </w:r>
      <w:r w:rsidR="008241F0">
        <w:t>d</w:t>
      </w:r>
      <w:r w:rsidRPr="008C1F53">
        <w:t xml:space="preserve">epartmental concerns about the activities of </w:t>
      </w:r>
      <w:r w:rsidR="00386D59">
        <w:t xml:space="preserve">HEE </w:t>
      </w:r>
      <w:r w:rsidRPr="008C1F53">
        <w:t xml:space="preserve">to the full </w:t>
      </w:r>
      <w:r w:rsidR="00386D59">
        <w:t xml:space="preserve">HEE </w:t>
      </w:r>
      <w:r w:rsidRPr="008C1F53">
        <w:t xml:space="preserve"> board, and, as appropriate to the </w:t>
      </w:r>
      <w:r w:rsidR="008241F0">
        <w:t>d</w:t>
      </w:r>
      <w:r w:rsidRPr="008C1F53">
        <w:t xml:space="preserve">epartmental board requiring explanations and assurances that appropriate action has been taken. </w:t>
      </w:r>
    </w:p>
    <w:p w14:paraId="4E12B3B6" w14:textId="00F0A8A4" w:rsidR="008C1F53" w:rsidRDefault="008C1F53" w:rsidP="001D4185">
      <w:pPr>
        <w:pStyle w:val="Heading3"/>
      </w:pPr>
      <w:r w:rsidRPr="008C1F53">
        <w:t xml:space="preserve">The role of the </w:t>
      </w:r>
      <w:r w:rsidR="00E6101C">
        <w:t>s</w:t>
      </w:r>
      <w:r w:rsidRPr="00AC48F5">
        <w:t>ponsorship</w:t>
      </w:r>
      <w:r w:rsidRPr="008C1F53">
        <w:t xml:space="preserve"> team </w:t>
      </w:r>
    </w:p>
    <w:p w14:paraId="3E851A85" w14:textId="6378AC75" w:rsidR="008C1F53" w:rsidRDefault="00EA47D3" w:rsidP="00E309F6">
      <w:pPr>
        <w:pStyle w:val="ParagraphText-unnumbered"/>
      </w:pPr>
      <w:r w:rsidRPr="00EA47D3">
        <w:t xml:space="preserve">The HEE </w:t>
      </w:r>
      <w:r w:rsidR="006F2F60">
        <w:t>s</w:t>
      </w:r>
      <w:r w:rsidRPr="00EA47D3">
        <w:t xml:space="preserve">ponsor </w:t>
      </w:r>
      <w:r w:rsidR="006F2F60">
        <w:t>t</w:t>
      </w:r>
      <w:r w:rsidRPr="00EA47D3">
        <w:t xml:space="preserve">eam </w:t>
      </w:r>
      <w:r>
        <w:t xml:space="preserve">in </w:t>
      </w:r>
      <w:r w:rsidR="008241F0">
        <w:t xml:space="preserve">DHSC </w:t>
      </w:r>
      <w:r w:rsidR="008C1F53" w:rsidRPr="008C1F53">
        <w:t xml:space="preserve"> is the primary contact for </w:t>
      </w:r>
      <w:r w:rsidR="00AC2B98">
        <w:t>HEE</w:t>
      </w:r>
      <w:r w:rsidR="008C1F53" w:rsidRPr="008C1F53">
        <w:t xml:space="preserve">. The responsible </w:t>
      </w:r>
      <w:r w:rsidR="006F2F60">
        <w:t>s</w:t>
      </w:r>
      <w:r w:rsidR="008C1F53" w:rsidRPr="008C1F53">
        <w:t xml:space="preserve">enior </w:t>
      </w:r>
      <w:r w:rsidR="006F2F60">
        <w:t>c</w:t>
      </w:r>
      <w:r w:rsidR="008C1F53" w:rsidRPr="008C1F53">
        <w:t xml:space="preserve">ivil </w:t>
      </w:r>
      <w:r w:rsidR="006F2F60">
        <w:t>s</w:t>
      </w:r>
      <w:r w:rsidR="008C1F53" w:rsidRPr="008C1F53">
        <w:t>ervant for this relationship is</w:t>
      </w:r>
      <w:r>
        <w:t xml:space="preserve"> the </w:t>
      </w:r>
      <w:r w:rsidR="00870148">
        <w:t>d</w:t>
      </w:r>
      <w:r>
        <w:t xml:space="preserve">irector of </w:t>
      </w:r>
      <w:r w:rsidR="00870148">
        <w:t>w</w:t>
      </w:r>
      <w:r>
        <w:t>orkforce</w:t>
      </w:r>
      <w:r w:rsidR="008C1F53" w:rsidRPr="008C1F53">
        <w:t xml:space="preserve">. They are the main source of advice to the </w:t>
      </w:r>
      <w:r w:rsidR="007A4EB1">
        <w:t>r</w:t>
      </w:r>
      <w:r w:rsidR="008C1F53" w:rsidRPr="008C1F53">
        <w:t xml:space="preserve">esponsible </w:t>
      </w:r>
      <w:r w:rsidR="007A4EB1">
        <w:t>m</w:t>
      </w:r>
      <w:r w:rsidR="008C1F53" w:rsidRPr="008C1F53">
        <w:t xml:space="preserve">inister on the discharge of </w:t>
      </w:r>
      <w:r w:rsidR="007671F3">
        <w:t xml:space="preserve">their </w:t>
      </w:r>
      <w:r w:rsidR="008C1F53" w:rsidRPr="008C1F53">
        <w:t xml:space="preserve"> responsibilities in respect of </w:t>
      </w:r>
      <w:r w:rsidR="00386D59">
        <w:t xml:space="preserve">HEE. </w:t>
      </w:r>
      <w:r w:rsidR="008C1F53" w:rsidRPr="008C1F53">
        <w:t xml:space="preserve"> They also support the PAO on </w:t>
      </w:r>
      <w:r w:rsidR="009F3C30">
        <w:t xml:space="preserve">their </w:t>
      </w:r>
      <w:r w:rsidR="008C1F53" w:rsidRPr="008C1F53">
        <w:t xml:space="preserve"> responsibilities toward</w:t>
      </w:r>
      <w:r w:rsidR="00386D59">
        <w:t>s HEE</w:t>
      </w:r>
      <w:r w:rsidR="006D42FE">
        <w:t>.</w:t>
      </w:r>
    </w:p>
    <w:p w14:paraId="13572C26" w14:textId="1568D29B" w:rsidR="00EA47D3" w:rsidRDefault="008C1F53" w:rsidP="00E309F6">
      <w:pPr>
        <w:pStyle w:val="ParagraphText-unnumbered"/>
      </w:pPr>
      <w:r w:rsidRPr="008C1F53">
        <w:t xml:space="preserve">Officials of </w:t>
      </w:r>
      <w:r w:rsidR="00EA47D3">
        <w:t xml:space="preserve">the HEE </w:t>
      </w:r>
      <w:r w:rsidR="00870148">
        <w:t>s</w:t>
      </w:r>
      <w:r w:rsidR="00EA47D3">
        <w:t xml:space="preserve">ponsor </w:t>
      </w:r>
      <w:r w:rsidR="00870148">
        <w:t>t</w:t>
      </w:r>
      <w:r w:rsidR="00EA47D3">
        <w:t>eam</w:t>
      </w:r>
      <w:r w:rsidRPr="008C1F53">
        <w:t xml:space="preserve"> will liaise regularly with </w:t>
      </w:r>
      <w:r w:rsidR="00386D59">
        <w:t xml:space="preserve">HEE </w:t>
      </w:r>
      <w:r w:rsidRPr="008C1F53">
        <w:t xml:space="preserve">officials to review performance against plans, achievement against targets and expenditure against its DEL and AME allocations. The </w:t>
      </w:r>
      <w:r w:rsidR="00870148">
        <w:t>s</w:t>
      </w:r>
      <w:r w:rsidR="00EA47D3">
        <w:t xml:space="preserve">ponsor </w:t>
      </w:r>
      <w:r w:rsidR="00870148">
        <w:t>t</w:t>
      </w:r>
      <w:r w:rsidR="00EA47D3">
        <w:t xml:space="preserve">eam </w:t>
      </w:r>
      <w:r w:rsidRPr="008C1F53">
        <w:t xml:space="preserve">will also take the opportunity to explain wider policy developments that might have an impact on </w:t>
      </w:r>
      <w:r w:rsidR="00386D59">
        <w:t>HEE.</w:t>
      </w:r>
    </w:p>
    <w:p w14:paraId="12455A64" w14:textId="71643951" w:rsidR="008C1F53" w:rsidRDefault="008C1F53" w:rsidP="001D4185">
      <w:pPr>
        <w:pStyle w:val="Heading3"/>
      </w:pPr>
      <w:bookmarkStart w:id="4" w:name="_Hlk73969069"/>
      <w:r w:rsidRPr="008C1F53">
        <w:lastRenderedPageBreak/>
        <w:t xml:space="preserve">Resolution of disputes between </w:t>
      </w:r>
      <w:r w:rsidR="00AB54F2">
        <w:t xml:space="preserve">HEE </w:t>
      </w:r>
      <w:r w:rsidRPr="008C1F53">
        <w:t xml:space="preserve">and </w:t>
      </w:r>
      <w:r w:rsidR="00E6101C">
        <w:t>d</w:t>
      </w:r>
      <w:r w:rsidRPr="008C1F53">
        <w:t xml:space="preserve">epartment </w:t>
      </w:r>
      <w:bookmarkEnd w:id="4"/>
    </w:p>
    <w:p w14:paraId="09A964BB" w14:textId="40AE67B7" w:rsidR="008C1F53" w:rsidRDefault="008C1F53" w:rsidP="00E309F6">
      <w:pPr>
        <w:pStyle w:val="ParagraphText-unnumbered"/>
      </w:pPr>
      <w:r w:rsidRPr="008C1F53">
        <w:t xml:space="preserve">Any disputes between the </w:t>
      </w:r>
      <w:r w:rsidR="007A4EB1">
        <w:t>d</w:t>
      </w:r>
      <w:r w:rsidRPr="008C1F53">
        <w:t xml:space="preserve">epartment and the </w:t>
      </w:r>
      <w:r w:rsidR="00EA47D3">
        <w:t xml:space="preserve">HEE </w:t>
      </w:r>
      <w:r w:rsidRPr="008C1F53">
        <w:t xml:space="preserve">will be resolved in as timely a manner as possible. The </w:t>
      </w:r>
      <w:r w:rsidR="007A4EB1">
        <w:t>d</w:t>
      </w:r>
      <w:r w:rsidRPr="008C1F53">
        <w:t xml:space="preserve">epartment and the </w:t>
      </w:r>
      <w:r w:rsidR="00EA47D3">
        <w:t xml:space="preserve">HEE </w:t>
      </w:r>
      <w:r w:rsidRPr="008C1F53">
        <w:t>will seek to resolve any disputes through an informal process in the first instance. If this is not possible, then a formal process, overseen by the S</w:t>
      </w:r>
      <w:r w:rsidR="007A4EB1">
        <w:t>DS</w:t>
      </w:r>
      <w:r w:rsidRPr="008C1F53">
        <w:t xml:space="preserve">, will be used to resolve the issue. Failing this, the </w:t>
      </w:r>
      <w:r w:rsidR="007A4EB1">
        <w:t xml:space="preserve">SDS </w:t>
      </w:r>
      <w:r w:rsidRPr="008C1F53">
        <w:t xml:space="preserve">will ask the relevant policy </w:t>
      </w:r>
      <w:r w:rsidR="00E6101C">
        <w:t>d</w:t>
      </w:r>
      <w:r w:rsidRPr="008C1F53">
        <w:t xml:space="preserve">irector </w:t>
      </w:r>
      <w:r w:rsidR="00E6101C">
        <w:t>g</w:t>
      </w:r>
      <w:r w:rsidRPr="008C1F53">
        <w:t xml:space="preserve">eneral to oversee the dispute. They may then choose to ask the </w:t>
      </w:r>
      <w:r w:rsidR="00E6101C">
        <w:t>p</w:t>
      </w:r>
      <w:r w:rsidRPr="008C1F53">
        <w:t xml:space="preserve">ermanent </w:t>
      </w:r>
      <w:r w:rsidR="00E6101C">
        <w:t>s</w:t>
      </w:r>
      <w:r w:rsidRPr="008C1F53">
        <w:t xml:space="preserve">ecretary to nominate a non-executive member of the </w:t>
      </w:r>
      <w:r w:rsidR="005B41CF">
        <w:t>d</w:t>
      </w:r>
      <w:r w:rsidRPr="008C1F53">
        <w:t xml:space="preserve">epartment’s </w:t>
      </w:r>
      <w:r w:rsidR="00A42496">
        <w:t>b</w:t>
      </w:r>
      <w:r w:rsidRPr="008C1F53">
        <w:t xml:space="preserve">oard to review the dispute, mediate with both sides and reach an outcome, in consultation with the </w:t>
      </w:r>
      <w:r w:rsidR="00E6101C">
        <w:t>s</w:t>
      </w:r>
      <w:r w:rsidRPr="008C1F53">
        <w:t xml:space="preserve">ecretary of </w:t>
      </w:r>
      <w:r w:rsidR="00E6101C">
        <w:t>s</w:t>
      </w:r>
      <w:r w:rsidRPr="008C1F53">
        <w:t xml:space="preserve">tate. </w:t>
      </w:r>
    </w:p>
    <w:p w14:paraId="428A0877" w14:textId="7DCDA5A1" w:rsidR="008C1F53" w:rsidRDefault="008C1F53" w:rsidP="001D4185">
      <w:pPr>
        <w:pStyle w:val="Heading3"/>
      </w:pPr>
      <w:r w:rsidRPr="008C1F53">
        <w:t xml:space="preserve">Freedom of </w:t>
      </w:r>
      <w:r w:rsidR="00DA3FE4">
        <w:t>i</w:t>
      </w:r>
      <w:r w:rsidRPr="008C1F53">
        <w:t xml:space="preserve">nformation requests </w:t>
      </w:r>
    </w:p>
    <w:p w14:paraId="44738F5A" w14:textId="25CDD1EB" w:rsidR="008C1F53" w:rsidRDefault="008C1F53" w:rsidP="00E309F6">
      <w:pPr>
        <w:pStyle w:val="ParagraphText-unnumbered"/>
      </w:pPr>
      <w:r w:rsidRPr="008C1F53">
        <w:t xml:space="preserve">Where a request for information is received by either party under the Freedom of Information Act 2000, or the Data Protection Act 1998 or 2018, the party receiving the request will consult with the other party prior to any disclosure of information that may affect the other party’s responsibilities. </w:t>
      </w:r>
    </w:p>
    <w:p w14:paraId="204F4C89" w14:textId="77777777" w:rsidR="008C1F53" w:rsidRDefault="008C1F53" w:rsidP="001D4185">
      <w:pPr>
        <w:pStyle w:val="Heading3"/>
      </w:pPr>
      <w:r w:rsidRPr="008C1F53">
        <w:t xml:space="preserve">Reporting on legal risk and litigation </w:t>
      </w:r>
    </w:p>
    <w:p w14:paraId="1D37D945" w14:textId="3CA6AAF0" w:rsidR="008C1F53" w:rsidRDefault="001509C3" w:rsidP="00E309F6">
      <w:pPr>
        <w:pStyle w:val="ParagraphText-unnumbered"/>
      </w:pPr>
      <w:r>
        <w:t>HEE</w:t>
      </w:r>
      <w:r w:rsidR="008C1F53" w:rsidRPr="008C1F53">
        <w:t xml:space="preserve"> shall provide a quarterly update to the </w:t>
      </w:r>
      <w:r w:rsidR="005363C0">
        <w:t>s</w:t>
      </w:r>
      <w:r w:rsidR="008C1F53" w:rsidRPr="008C1F53">
        <w:t>ponsor on the existence of any active litigation and any threatened or reasonably anticipated litigation.</w:t>
      </w:r>
      <w:r w:rsidR="00786F28">
        <w:t xml:space="preserve"> </w:t>
      </w:r>
      <w:r w:rsidR="008C1F53" w:rsidRPr="008C1F53">
        <w:t xml:space="preserve">The parties acknowledge the importance of ensuring that legal risks are communicated appropriately to the </w:t>
      </w:r>
      <w:r w:rsidR="005363C0">
        <w:t>s</w:t>
      </w:r>
      <w:r w:rsidR="008C1F53" w:rsidRPr="008C1F53">
        <w:t xml:space="preserve">ponsor in a timely manner. </w:t>
      </w:r>
    </w:p>
    <w:p w14:paraId="0296FA12" w14:textId="60F880F8" w:rsidR="008C1F53" w:rsidRDefault="008C1F53" w:rsidP="00E309F6">
      <w:pPr>
        <w:pStyle w:val="ParagraphText-unnumbered"/>
      </w:pPr>
      <w:r w:rsidRPr="008C1F53">
        <w:t xml:space="preserve">In respect of each substantial piece of litigation involving the ALB, the parties will agree a litigation protocol which will include specific provisions to ensure appropriate and timely reporting on the status of the litigation and the protection of legally privileged information transmitted to the </w:t>
      </w:r>
      <w:r w:rsidR="005363C0">
        <w:t>s</w:t>
      </w:r>
      <w:r w:rsidRPr="008C1F53">
        <w:t xml:space="preserve">ponsor to facilitate this. Until such time as a protocol is agreed, the parties will ensure that: </w:t>
      </w:r>
    </w:p>
    <w:p w14:paraId="75043B62" w14:textId="027B78B9" w:rsidR="008C1F53" w:rsidRDefault="008C1F53" w:rsidP="008C1F53">
      <w:pPr>
        <w:pStyle w:val="Bullet"/>
      </w:pPr>
      <w:r w:rsidRPr="008C1F53">
        <w:t xml:space="preserve">material developments in the litigation are communicated to the </w:t>
      </w:r>
      <w:r w:rsidR="005363C0">
        <w:t>s</w:t>
      </w:r>
      <w:r w:rsidRPr="008C1F53">
        <w:t xml:space="preserve">ponsor in an appropriate and timely manner </w:t>
      </w:r>
    </w:p>
    <w:p w14:paraId="3E671D4F" w14:textId="55D311DF" w:rsidR="008C1F53" w:rsidRDefault="008C1F53" w:rsidP="008C1F53">
      <w:pPr>
        <w:pStyle w:val="Bullet"/>
      </w:pPr>
      <w:r w:rsidRPr="008C1F53">
        <w:t xml:space="preserve">legally privileged documents and information are clearly marked as such </w:t>
      </w:r>
    </w:p>
    <w:p w14:paraId="14DC301A" w14:textId="1D61687D" w:rsidR="008C1F53" w:rsidRDefault="00EA47D3" w:rsidP="008C1F53">
      <w:pPr>
        <w:pStyle w:val="Bullet"/>
      </w:pPr>
      <w:r>
        <w:t>i</w:t>
      </w:r>
      <w:r w:rsidR="008C1F53" w:rsidRPr="008C1F53">
        <w:t xml:space="preserve">ndividual employees handling the legally privileged documents are familiar with principles to which they must adhere to protect legal privilege and </w:t>
      </w:r>
    </w:p>
    <w:p w14:paraId="26867E01" w14:textId="7FE0C12E" w:rsidR="008C1F53" w:rsidRDefault="008C1F53" w:rsidP="007053BB">
      <w:pPr>
        <w:pStyle w:val="Bullet"/>
      </w:pPr>
      <w:r w:rsidRPr="008C1F53">
        <w:t>circulation of privileged information within government occurs only</w:t>
      </w:r>
      <w:r>
        <w:t xml:space="preserve"> as necessary </w:t>
      </w:r>
    </w:p>
    <w:p w14:paraId="109CB1C0" w14:textId="1313E427" w:rsidR="008C1F53" w:rsidRDefault="00EA47D3" w:rsidP="00454DD8">
      <w:pPr>
        <w:pStyle w:val="Heading2"/>
      </w:pPr>
      <w:bookmarkStart w:id="5" w:name="_Toc110582332"/>
      <w:r>
        <w:lastRenderedPageBreak/>
        <w:t xml:space="preserve">HEE </w:t>
      </w:r>
      <w:r w:rsidR="00E6101C">
        <w:t>g</w:t>
      </w:r>
      <w:r w:rsidR="008C1F53" w:rsidRPr="008C1F53">
        <w:t xml:space="preserve">overnance and </w:t>
      </w:r>
      <w:r w:rsidR="00E6101C">
        <w:t>s</w:t>
      </w:r>
      <w:r w:rsidR="008C1F53" w:rsidRPr="008C1F53">
        <w:t>tructure</w:t>
      </w:r>
      <w:bookmarkEnd w:id="5"/>
      <w:r w:rsidR="008C1F53" w:rsidRPr="008C1F53">
        <w:t xml:space="preserve"> </w:t>
      </w:r>
    </w:p>
    <w:p w14:paraId="348458D5" w14:textId="37ECFBA3" w:rsidR="00A84EE0" w:rsidRDefault="008C1F53" w:rsidP="00454DD8">
      <w:pPr>
        <w:pStyle w:val="Heading3"/>
      </w:pPr>
      <w:r w:rsidRPr="008C1F53">
        <w:t xml:space="preserve">The </w:t>
      </w:r>
      <w:r w:rsidR="00E6101C" w:rsidRPr="00454DD8">
        <w:t>c</w:t>
      </w:r>
      <w:r w:rsidRPr="00454DD8">
        <w:t>hief</w:t>
      </w:r>
      <w:r w:rsidRPr="008C1F53">
        <w:t xml:space="preserve"> </w:t>
      </w:r>
      <w:r w:rsidR="00E6101C">
        <w:t>e</w:t>
      </w:r>
      <w:r w:rsidRPr="008C1F53">
        <w:t>xecutive</w:t>
      </w:r>
    </w:p>
    <w:p w14:paraId="20A1C06F" w14:textId="5287310F" w:rsidR="00884027" w:rsidRDefault="00884027" w:rsidP="00454DD8">
      <w:pPr>
        <w:pStyle w:val="Heading4"/>
      </w:pPr>
      <w:r w:rsidRPr="001D4185">
        <w:t>Responsibilit</w:t>
      </w:r>
      <w:r w:rsidR="00051296" w:rsidRPr="001D4185">
        <w:t>ies</w:t>
      </w:r>
      <w:r w:rsidR="00051296">
        <w:t xml:space="preserve"> of HEE </w:t>
      </w:r>
      <w:r w:rsidR="002F6028">
        <w:t>c</w:t>
      </w:r>
      <w:r w:rsidR="00051296">
        <w:t xml:space="preserve">hief </w:t>
      </w:r>
      <w:r w:rsidR="002F6028">
        <w:t>e</w:t>
      </w:r>
      <w:r w:rsidR="003D69E0">
        <w:t>xecutive</w:t>
      </w:r>
      <w:r w:rsidR="00051296">
        <w:t xml:space="preserve"> as acc</w:t>
      </w:r>
      <w:r w:rsidR="003D69E0">
        <w:t>ounting officer</w:t>
      </w:r>
    </w:p>
    <w:p w14:paraId="39273721" w14:textId="30E1BB07" w:rsidR="00A84EE0" w:rsidRDefault="008C1F53" w:rsidP="00E309F6">
      <w:pPr>
        <w:pStyle w:val="ParagraphText-unnumbered"/>
      </w:pPr>
      <w:r w:rsidRPr="008C1F53">
        <w:t xml:space="preserve">The </w:t>
      </w:r>
      <w:r w:rsidR="002F6028">
        <w:t>c</w:t>
      </w:r>
      <w:r w:rsidRPr="008C1F53">
        <w:t xml:space="preserve">hief </w:t>
      </w:r>
      <w:r w:rsidR="002F6028">
        <w:t>e</w:t>
      </w:r>
      <w:r w:rsidRPr="008C1F53">
        <w:t xml:space="preserve">xecutive as </w:t>
      </w:r>
      <w:r w:rsidR="001358C7">
        <w:t>a</w:t>
      </w:r>
      <w:r w:rsidRPr="008C1F53">
        <w:t xml:space="preserve">ccounting </w:t>
      </w:r>
      <w:r w:rsidR="001358C7">
        <w:t>o</w:t>
      </w:r>
      <w:r w:rsidRPr="008C1F53">
        <w:t xml:space="preserve">fficer </w:t>
      </w:r>
      <w:r w:rsidR="00A1205A">
        <w:t xml:space="preserve">(AO) </w:t>
      </w:r>
      <w:r w:rsidRPr="008C1F53">
        <w:t>is personally responsible for</w:t>
      </w:r>
      <w:r w:rsidR="003D69E0">
        <w:t xml:space="preserve"> </w:t>
      </w:r>
      <w:r w:rsidRPr="008C1F53">
        <w:t xml:space="preserve">safeguarding the public funds for which they have charge; </w:t>
      </w:r>
      <w:r w:rsidR="00A1205A">
        <w:t xml:space="preserve">for </w:t>
      </w:r>
      <w:r w:rsidRPr="008C1F53">
        <w:t xml:space="preserve">ensuring propriety, regularity, value for money and feasibility in the handling of those public funds; and </w:t>
      </w:r>
      <w:r w:rsidR="00A1205A">
        <w:t xml:space="preserve"> </w:t>
      </w:r>
      <w:r w:rsidRPr="008C1F53">
        <w:t xml:space="preserve">for the day-to-day operations and management of the </w:t>
      </w:r>
      <w:r w:rsidR="00216BEB">
        <w:t>HEE</w:t>
      </w:r>
      <w:r w:rsidR="00386D59">
        <w:t xml:space="preserve">. </w:t>
      </w:r>
      <w:r w:rsidRPr="008C1F53">
        <w:t xml:space="preserve">In addition, they should ensure that </w:t>
      </w:r>
      <w:r w:rsidR="00216BEB">
        <w:t>HEE</w:t>
      </w:r>
      <w:r w:rsidRPr="008C1F53">
        <w:t xml:space="preserve"> as a whole is run on the basis of the standards, in terms of governance, decision</w:t>
      </w:r>
      <w:r w:rsidR="00AB54F2">
        <w:t xml:space="preserve"> </w:t>
      </w:r>
      <w:r w:rsidRPr="008C1F53">
        <w:t>making and financial management, that are set out in Box 3.1 of M</w:t>
      </w:r>
      <w:r w:rsidR="00E6101C">
        <w:t xml:space="preserve">PM. </w:t>
      </w:r>
      <w:r w:rsidRPr="008C1F53">
        <w:t xml:space="preserve"> </w:t>
      </w:r>
      <w:r w:rsidR="00386D59">
        <w:t xml:space="preserve"> </w:t>
      </w:r>
      <w:r w:rsidRPr="008C1F53">
        <w:t xml:space="preserve">These responsibilities include the below and those that are set in the </w:t>
      </w:r>
      <w:r w:rsidR="002F6028">
        <w:t>a</w:t>
      </w:r>
      <w:r w:rsidRPr="008C1F53">
        <w:t xml:space="preserve">ccounting </w:t>
      </w:r>
      <w:r w:rsidR="002F6028">
        <w:t>o</w:t>
      </w:r>
      <w:r w:rsidRPr="008C1F53">
        <w:t xml:space="preserve">fficer appointment letter issued by the </w:t>
      </w:r>
      <w:r w:rsidR="002F6028">
        <w:t xml:space="preserve">PAO </w:t>
      </w:r>
      <w:r w:rsidRPr="008C1F53">
        <w:t xml:space="preserve">of the </w:t>
      </w:r>
      <w:r w:rsidR="005B41CF">
        <w:t>s</w:t>
      </w:r>
      <w:r w:rsidRPr="008C1F53">
        <w:t xml:space="preserve">ponsor </w:t>
      </w:r>
      <w:r w:rsidR="005B41CF">
        <w:t>d</w:t>
      </w:r>
      <w:r w:rsidRPr="008C1F53">
        <w:t>epartment.</w:t>
      </w:r>
    </w:p>
    <w:p w14:paraId="307AB12D" w14:textId="74667B65" w:rsidR="00A84EE0" w:rsidRDefault="008C1F53" w:rsidP="00454DD8">
      <w:pPr>
        <w:pStyle w:val="Heading4"/>
      </w:pPr>
      <w:r w:rsidRPr="008C1F53">
        <w:t xml:space="preserve">Responsibilities for accounting to Parliament and the </w:t>
      </w:r>
      <w:r w:rsidR="00E6101C">
        <w:t>p</w:t>
      </w:r>
      <w:r w:rsidRPr="008C1F53">
        <w:t xml:space="preserve">ublic </w:t>
      </w:r>
    </w:p>
    <w:p w14:paraId="6DEBCA0F" w14:textId="77777777" w:rsidR="00A84EE0" w:rsidRDefault="008C1F53" w:rsidP="00E309F6">
      <w:pPr>
        <w:pStyle w:val="ParagraphText-unnumbered"/>
      </w:pPr>
      <w:r w:rsidRPr="008C1F53">
        <w:t xml:space="preserve">Responsibilities to Parliament and the public include: </w:t>
      </w:r>
    </w:p>
    <w:p w14:paraId="09B3A2EE" w14:textId="21B14CE4" w:rsidR="00A84EE0" w:rsidRDefault="008C1F53" w:rsidP="00A84EE0">
      <w:pPr>
        <w:pStyle w:val="Bullet"/>
      </w:pPr>
      <w:r w:rsidRPr="008C1F53">
        <w:t xml:space="preserve">signing the accounts and ensuring that proper records are kept relating to the accounts and that the accounts are properly prepared and presented in accordance with any directions issued by the </w:t>
      </w:r>
      <w:r w:rsidR="00E6101C">
        <w:t>s</w:t>
      </w:r>
      <w:r w:rsidRPr="008C1F53">
        <w:t xml:space="preserve">ecretary of </w:t>
      </w:r>
      <w:r w:rsidR="00E6101C">
        <w:t>s</w:t>
      </w:r>
      <w:r w:rsidRPr="008C1F53">
        <w:t>tate</w:t>
      </w:r>
    </w:p>
    <w:p w14:paraId="4B7E3324" w14:textId="251620CE" w:rsidR="00A84EE0" w:rsidRDefault="008C1F53" w:rsidP="00A84EE0">
      <w:pPr>
        <w:pStyle w:val="Bullet"/>
      </w:pPr>
      <w:r w:rsidRPr="008C1F53">
        <w:t xml:space="preserve">preparing and signing a </w:t>
      </w:r>
      <w:r w:rsidR="00D664DA">
        <w:t>g</w:t>
      </w:r>
      <w:r w:rsidRPr="008C1F53">
        <w:t xml:space="preserve">overnance </w:t>
      </w:r>
      <w:r w:rsidR="00D664DA">
        <w:t>s</w:t>
      </w:r>
      <w:r w:rsidRPr="008C1F53">
        <w:t>tatement covering corporate governance, risk management and oversight of any local responsibilities, for inclusion in the annual report and accounts</w:t>
      </w:r>
    </w:p>
    <w:p w14:paraId="437CCC23" w14:textId="50D0ABEB" w:rsidR="00A84EE0" w:rsidRDefault="008C1F53" w:rsidP="00A84EE0">
      <w:pPr>
        <w:pStyle w:val="Bullet"/>
      </w:pPr>
      <w:r w:rsidRPr="008C1F53">
        <w:t xml:space="preserve">ensuring that effective procedures for handling complaints about </w:t>
      </w:r>
      <w:r w:rsidR="00AC2B98">
        <w:t xml:space="preserve">HEE </w:t>
      </w:r>
      <w:r w:rsidRPr="008C1F53">
        <w:t xml:space="preserve">in accordance with </w:t>
      </w:r>
      <w:r w:rsidR="00DF638C">
        <w:t xml:space="preserve">the </w:t>
      </w:r>
      <w:r w:rsidRPr="008C1F53">
        <w:t xml:space="preserve">Parliamentary and Health Service Ombudsman’s </w:t>
      </w:r>
      <w:r w:rsidR="00E6101C">
        <w:t>p</w:t>
      </w:r>
      <w:r w:rsidRPr="008C1F53">
        <w:t xml:space="preserve">rinciples of </w:t>
      </w:r>
      <w:r w:rsidR="00E6101C">
        <w:t>g</w:t>
      </w:r>
      <w:r w:rsidRPr="008C1F53">
        <w:t xml:space="preserve">ood </w:t>
      </w:r>
      <w:r w:rsidR="00E6101C">
        <w:t>c</w:t>
      </w:r>
      <w:r w:rsidRPr="008C1F53">
        <w:t xml:space="preserve">omplaint </w:t>
      </w:r>
      <w:r w:rsidR="00E6101C">
        <w:t>h</w:t>
      </w:r>
      <w:r w:rsidRPr="008C1F53">
        <w:t xml:space="preserve">andling are established and made widely known within the </w:t>
      </w:r>
      <w:r w:rsidR="00AC2B98">
        <w:t>HEE</w:t>
      </w:r>
      <w:r w:rsidRPr="008C1F53">
        <w:t xml:space="preserve"> and published </w:t>
      </w:r>
      <w:r w:rsidR="00AC2B98">
        <w:t xml:space="preserve">on </w:t>
      </w:r>
      <w:r w:rsidR="00216BEB">
        <w:t>HEE's website</w:t>
      </w:r>
      <w:r w:rsidR="00AC2B98">
        <w:t>;</w:t>
      </w:r>
      <w:r w:rsidRPr="008C1F53">
        <w:t xml:space="preserve"> </w:t>
      </w:r>
    </w:p>
    <w:p w14:paraId="25B02F50" w14:textId="36A7936D" w:rsidR="00A84EE0" w:rsidRDefault="008C1F53" w:rsidP="00A84EE0">
      <w:pPr>
        <w:pStyle w:val="Bullet"/>
      </w:pPr>
      <w:r w:rsidRPr="008C1F53">
        <w:t>acting in accordance with the terms of M</w:t>
      </w:r>
      <w:r w:rsidR="00E6101C">
        <w:t xml:space="preserve">PM </w:t>
      </w:r>
      <w:r w:rsidRPr="008C1F53">
        <w:t xml:space="preserve"> and other instructions and guidance issued from time to time by the </w:t>
      </w:r>
      <w:r w:rsidR="005B41CF">
        <w:t>d</w:t>
      </w:r>
      <w:r w:rsidRPr="008C1F53">
        <w:t xml:space="preserve">epartment, the Treasury and the Cabinet Office; </w:t>
      </w:r>
    </w:p>
    <w:p w14:paraId="02155C8E" w14:textId="77777777" w:rsidR="00AC2B98" w:rsidRDefault="008C1F53" w:rsidP="00A84EE0">
      <w:pPr>
        <w:pStyle w:val="Bullet"/>
      </w:pPr>
      <w:r w:rsidRPr="008C1F53">
        <w:t xml:space="preserve">ensuring that as part of the above compliance they are familiar with and act in accordance with: </w:t>
      </w:r>
    </w:p>
    <w:p w14:paraId="43F36BAC" w14:textId="55CF7EE8" w:rsidR="00886C0F" w:rsidRDefault="008C1F53" w:rsidP="00AC2B98">
      <w:pPr>
        <w:pStyle w:val="Bulletundernumberedlist"/>
      </w:pPr>
      <w:r w:rsidRPr="008C1F53">
        <w:t>any governing legislation</w:t>
      </w:r>
      <w:r w:rsidR="00216BEB">
        <w:t xml:space="preserve"> </w:t>
      </w:r>
    </w:p>
    <w:p w14:paraId="12042599" w14:textId="144480F8" w:rsidR="00B61B7F" w:rsidRDefault="008C1F53" w:rsidP="00AC2B98">
      <w:pPr>
        <w:pStyle w:val="Bulletundernumberedlist"/>
      </w:pPr>
      <w:r w:rsidRPr="008C1F53">
        <w:t xml:space="preserve">this framework document </w:t>
      </w:r>
    </w:p>
    <w:p w14:paraId="5A326738" w14:textId="63784C1E" w:rsidR="00B61B7F" w:rsidRDefault="008C1F53" w:rsidP="00AC2B98">
      <w:pPr>
        <w:pStyle w:val="Bulletundernumberedlist"/>
      </w:pPr>
      <w:r w:rsidRPr="008C1F53">
        <w:t xml:space="preserve">any delegation letter issued to </w:t>
      </w:r>
      <w:r w:rsidR="00216BEB">
        <w:t>HEE</w:t>
      </w:r>
    </w:p>
    <w:p w14:paraId="0CB643DE" w14:textId="23B66A12" w:rsidR="00B61B7F" w:rsidRDefault="008C1F53" w:rsidP="00AC2B98">
      <w:pPr>
        <w:pStyle w:val="Bulletundernumberedlist"/>
      </w:pPr>
      <w:r w:rsidRPr="008C1F53">
        <w:lastRenderedPageBreak/>
        <w:t xml:space="preserve">any elements of any settlement letter issued to the sponsor </w:t>
      </w:r>
      <w:r w:rsidR="005B41CF">
        <w:t>d</w:t>
      </w:r>
      <w:r w:rsidRPr="008C1F53">
        <w:t xml:space="preserve">epartment that is relevant to the operation of </w:t>
      </w:r>
      <w:r w:rsidR="00B61B7F">
        <w:t xml:space="preserve">HEE </w:t>
      </w:r>
      <w:r w:rsidRPr="008C1F53">
        <w:t xml:space="preserve">and </w:t>
      </w:r>
    </w:p>
    <w:p w14:paraId="7313C64F" w14:textId="281008AF" w:rsidR="00216BEB" w:rsidRDefault="008C1F53" w:rsidP="00B61B7F">
      <w:pPr>
        <w:pStyle w:val="Bulletundernumberedlist"/>
      </w:pPr>
      <w:r w:rsidRPr="008C1F53">
        <w:t xml:space="preserve">any separate settlement letter that is issued to the ALB from the sponsor </w:t>
      </w:r>
      <w:r w:rsidR="005B41CF">
        <w:t>d</w:t>
      </w:r>
      <w:r w:rsidRPr="008C1F53">
        <w:t xml:space="preserve">epartment. </w:t>
      </w:r>
    </w:p>
    <w:p w14:paraId="58ABB205" w14:textId="3D8D558D" w:rsidR="00A84EE0" w:rsidRDefault="008C1F53" w:rsidP="00A84EE0">
      <w:pPr>
        <w:pStyle w:val="Bullet"/>
      </w:pPr>
      <w:r w:rsidRPr="008C1F53">
        <w:t xml:space="preserve">ensuring they have appropriate internal mechanisms for monitoring, governance and external reporting regarding compliance any conditions arising from the above documents. </w:t>
      </w:r>
    </w:p>
    <w:p w14:paraId="334DA24E" w14:textId="77777777" w:rsidR="003B2E37" w:rsidRDefault="008C1F53" w:rsidP="00A84EE0">
      <w:pPr>
        <w:pStyle w:val="Bullet"/>
      </w:pPr>
      <w:r w:rsidRPr="008C1F53">
        <w:t xml:space="preserve">giving evidence, normally with the PAO, when summoned before the PAC on the ALB’s stewardship of public funds Responsibilities to the </w:t>
      </w:r>
      <w:r w:rsidR="003D31E9">
        <w:t>DHSC</w:t>
      </w:r>
      <w:r w:rsidR="003B2E37">
        <w:t>.</w:t>
      </w:r>
    </w:p>
    <w:p w14:paraId="4DD94441" w14:textId="34AE9E9B" w:rsidR="00A84EE0" w:rsidRDefault="003B2E37" w:rsidP="00454DD8">
      <w:pPr>
        <w:pStyle w:val="Heading4"/>
      </w:pPr>
      <w:r>
        <w:t>Responsibilities to DHSC</w:t>
      </w:r>
      <w:r w:rsidR="008C1F53" w:rsidRPr="008C1F53">
        <w:t xml:space="preserve"> </w:t>
      </w:r>
    </w:p>
    <w:p w14:paraId="231C54AC" w14:textId="396B10FF" w:rsidR="00A84EE0" w:rsidRDefault="008C1F53" w:rsidP="00E309F6">
      <w:pPr>
        <w:pStyle w:val="ParagraphText-unnumbered"/>
      </w:pPr>
      <w:r w:rsidRPr="008C1F53">
        <w:t xml:space="preserve"> Responsibilities to </w:t>
      </w:r>
      <w:r w:rsidR="00216BEB">
        <w:t>DHSC</w:t>
      </w:r>
      <w:r w:rsidRPr="008C1F53">
        <w:t xml:space="preserve"> include: </w:t>
      </w:r>
    </w:p>
    <w:p w14:paraId="10E902E9" w14:textId="15047C16" w:rsidR="00A84EE0" w:rsidRDefault="008C1F53" w:rsidP="00A84EE0">
      <w:pPr>
        <w:pStyle w:val="Bullet"/>
      </w:pPr>
      <w:r w:rsidRPr="008C1F53">
        <w:t xml:space="preserve">establishing, in agreement with the </w:t>
      </w:r>
      <w:r w:rsidR="005B41CF">
        <w:t>d</w:t>
      </w:r>
      <w:r w:rsidRPr="008C1F53">
        <w:t xml:space="preserve">epartment, the </w:t>
      </w:r>
      <w:r w:rsidR="00216BEB">
        <w:t xml:space="preserve">HEE </w:t>
      </w:r>
      <w:r w:rsidRPr="008C1F53">
        <w:t xml:space="preserve">corporate and business plans in the light of the </w:t>
      </w:r>
      <w:r w:rsidR="005B41CF">
        <w:t>d</w:t>
      </w:r>
      <w:r w:rsidRPr="008C1F53">
        <w:t xml:space="preserve">epartment’s wider strategic aims and agreed priorities </w:t>
      </w:r>
    </w:p>
    <w:p w14:paraId="56214F81" w14:textId="5B4F33FA" w:rsidR="00A84EE0" w:rsidRDefault="008C1F53" w:rsidP="00A84EE0">
      <w:pPr>
        <w:pStyle w:val="Bullet"/>
      </w:pPr>
      <w:r w:rsidRPr="008C1F53">
        <w:t xml:space="preserve">informing the </w:t>
      </w:r>
      <w:r w:rsidR="005B41CF">
        <w:t>d</w:t>
      </w:r>
      <w:r w:rsidRPr="008C1F53">
        <w:t xml:space="preserve">epartment of progress in helping to achieve the </w:t>
      </w:r>
      <w:r w:rsidR="005B41CF">
        <w:t>d</w:t>
      </w:r>
      <w:r w:rsidRPr="008C1F53">
        <w:t>epartment’s policy objectives and in demonstrating how resources are being used to achieve those objectives and</w:t>
      </w:r>
    </w:p>
    <w:p w14:paraId="56F3DDCE" w14:textId="21293DE9" w:rsidR="00A84EE0" w:rsidRDefault="008C1F53" w:rsidP="00A84EE0">
      <w:pPr>
        <w:pStyle w:val="Bullet"/>
      </w:pPr>
      <w:r w:rsidRPr="008C1F53">
        <w:t xml:space="preserve">ensuring that timely forecasts and monitoring information on performance and finance are provided to the </w:t>
      </w:r>
      <w:r w:rsidR="005B41CF">
        <w:t>d</w:t>
      </w:r>
      <w:r w:rsidRPr="008C1F53">
        <w:t xml:space="preserve">epartment; that the </w:t>
      </w:r>
      <w:r w:rsidR="005B41CF">
        <w:t>d</w:t>
      </w:r>
      <w:r w:rsidRPr="008C1F53">
        <w:t xml:space="preserve">epartment is notified promptly if over or under spends are likely and that corrective action is taken; and that any significant problems whether financial or otherwise, and whether detected by internal audit or by other means, are notified to the </w:t>
      </w:r>
      <w:r w:rsidR="005B41CF">
        <w:t>d</w:t>
      </w:r>
      <w:r w:rsidRPr="008C1F53">
        <w:t xml:space="preserve">epartment in a timely fashion.  </w:t>
      </w:r>
    </w:p>
    <w:p w14:paraId="3EE25300" w14:textId="4638D728" w:rsidR="007154AE" w:rsidRDefault="007154AE" w:rsidP="00454DD8">
      <w:pPr>
        <w:pStyle w:val="Heading4"/>
      </w:pPr>
      <w:r>
        <w:t xml:space="preserve">Responsibilities to the </w:t>
      </w:r>
      <w:r w:rsidR="00A42496">
        <w:t>b</w:t>
      </w:r>
      <w:r>
        <w:t>oard</w:t>
      </w:r>
    </w:p>
    <w:p w14:paraId="64910EC9" w14:textId="3D684BD1" w:rsidR="00A84EE0" w:rsidRDefault="008C1F53" w:rsidP="00E309F6">
      <w:pPr>
        <w:pStyle w:val="ParagraphText-unnumbered"/>
      </w:pPr>
      <w:r w:rsidRPr="008C1F53">
        <w:t xml:space="preserve">The </w:t>
      </w:r>
      <w:r w:rsidR="002F6028">
        <w:t>c</w:t>
      </w:r>
      <w:r w:rsidRPr="008C1F53">
        <w:t xml:space="preserve">hief </w:t>
      </w:r>
      <w:r w:rsidR="002F6028">
        <w:t>e</w:t>
      </w:r>
      <w:r w:rsidRPr="008C1F53">
        <w:t xml:space="preserve">xecutive is responsible for: </w:t>
      </w:r>
    </w:p>
    <w:p w14:paraId="2BF124E4" w14:textId="32A060F9" w:rsidR="00A84EE0" w:rsidRDefault="008C1F53" w:rsidP="00A84EE0">
      <w:pPr>
        <w:pStyle w:val="Bullet"/>
      </w:pPr>
      <w:r w:rsidRPr="008C1F53">
        <w:t xml:space="preserve">advising the board on the discharge of the </w:t>
      </w:r>
      <w:r w:rsidR="00216BEB">
        <w:t xml:space="preserve">HEE </w:t>
      </w:r>
      <w:r w:rsidR="00A42496">
        <w:t>b</w:t>
      </w:r>
      <w:r w:rsidRPr="008C1F53">
        <w:t xml:space="preserve">oard’s responsibilities as set out in this document, in the founding legislation and in any other relevant instructions and guidance that may be issued from time to time </w:t>
      </w:r>
    </w:p>
    <w:p w14:paraId="5D20F992" w14:textId="4DB4FEAF" w:rsidR="00A84EE0" w:rsidRDefault="008C1F53" w:rsidP="00A84EE0">
      <w:pPr>
        <w:pStyle w:val="Bullet"/>
      </w:pPr>
      <w:r w:rsidRPr="008C1F53">
        <w:t xml:space="preserve">advising the board on </w:t>
      </w:r>
      <w:r w:rsidR="00216BEB">
        <w:t>HEE</w:t>
      </w:r>
      <w:r w:rsidRPr="008C1F53">
        <w:t xml:space="preserve"> performance compared with its aim</w:t>
      </w:r>
      <w:r w:rsidR="00782D5A">
        <w:t>s</w:t>
      </w:r>
      <w:r w:rsidRPr="008C1F53">
        <w:t xml:space="preserve"> and objectives</w:t>
      </w:r>
    </w:p>
    <w:p w14:paraId="55133F76" w14:textId="67A5A17E" w:rsidR="00A84EE0" w:rsidRDefault="008C1F53" w:rsidP="00A84EE0">
      <w:pPr>
        <w:pStyle w:val="Bullet"/>
      </w:pPr>
      <w:r w:rsidRPr="008C1F53">
        <w:t xml:space="preserve">ensuring that financial considerations are taken fully into account by the </w:t>
      </w:r>
      <w:r w:rsidR="00A42496">
        <w:t>b</w:t>
      </w:r>
      <w:r w:rsidRPr="008C1F53">
        <w:t>oard at all stages in reaching and executing its decisions, and that financial appraisal techniques are followed</w:t>
      </w:r>
    </w:p>
    <w:p w14:paraId="5E768182" w14:textId="77777777" w:rsidR="00A84EE0" w:rsidRDefault="008C1F53" w:rsidP="00454DD8">
      <w:pPr>
        <w:pStyle w:val="Heading4"/>
      </w:pPr>
      <w:r w:rsidRPr="008C1F53">
        <w:lastRenderedPageBreak/>
        <w:t xml:space="preserve">Managing conflicts </w:t>
      </w:r>
    </w:p>
    <w:p w14:paraId="03534ACC" w14:textId="3743CADE" w:rsidR="00A84EE0" w:rsidRDefault="008C1F53" w:rsidP="00E309F6">
      <w:pPr>
        <w:pStyle w:val="ParagraphText-unnumbered"/>
      </w:pPr>
      <w:r w:rsidRPr="008C1F53">
        <w:t xml:space="preserve">The </w:t>
      </w:r>
      <w:r w:rsidR="002F6028">
        <w:t>c</w:t>
      </w:r>
      <w:r w:rsidRPr="008C1F53">
        <w:t xml:space="preserve">hief </w:t>
      </w:r>
      <w:r w:rsidR="002F6028">
        <w:t>e</w:t>
      </w:r>
      <w:r w:rsidRPr="008C1F53">
        <w:t xml:space="preserve">xecutive should follow the advice and direction of the </w:t>
      </w:r>
      <w:r w:rsidR="00A42496">
        <w:t>b</w:t>
      </w:r>
      <w:r w:rsidRPr="008C1F53">
        <w:t xml:space="preserve">oard, except in very exceptional circumstances with a clear cut and transparent rationale for not doing so. </w:t>
      </w:r>
    </w:p>
    <w:p w14:paraId="2D691D2C" w14:textId="7A5961D8" w:rsidR="00A84EE0" w:rsidRDefault="008C1F53" w:rsidP="00E309F6">
      <w:pPr>
        <w:pStyle w:val="ParagraphText-unnumbered"/>
      </w:pPr>
      <w:r w:rsidRPr="008C1F53">
        <w:t xml:space="preserve">If the board, or its chairperson, is contemplating a course of action involving a transaction which the </w:t>
      </w:r>
      <w:r w:rsidR="002F6028">
        <w:t>c</w:t>
      </w:r>
      <w:r w:rsidRPr="008C1F53">
        <w:t xml:space="preserve">hief </w:t>
      </w:r>
      <w:r w:rsidR="002F6028">
        <w:t>e</w:t>
      </w:r>
      <w:r w:rsidRPr="008C1F53">
        <w:t xml:space="preserve">xecutive considers would infringe the requirements of propriety or regularity or does not represent prudent or economical administration, efficiency or effectiveness, is of questionable feasibility, or is unethical the </w:t>
      </w:r>
      <w:r w:rsidR="002F6028">
        <w:t>c</w:t>
      </w:r>
      <w:r w:rsidRPr="008C1F53">
        <w:t xml:space="preserve">hief </w:t>
      </w:r>
      <w:r w:rsidR="002F6028">
        <w:t>e</w:t>
      </w:r>
      <w:r w:rsidRPr="008C1F53">
        <w:t xml:space="preserve">xecutive in their role as </w:t>
      </w:r>
      <w:r w:rsidR="002F6028">
        <w:t>a</w:t>
      </w:r>
      <w:r w:rsidRPr="008C1F53">
        <w:t xml:space="preserve">ccounting </w:t>
      </w:r>
      <w:r w:rsidR="002F6028">
        <w:t>o</w:t>
      </w:r>
      <w:r w:rsidRPr="008C1F53">
        <w:t xml:space="preserve">fficer should reject that course of action and ensure that the </w:t>
      </w:r>
      <w:r w:rsidR="00A42496">
        <w:t>b</w:t>
      </w:r>
      <w:r w:rsidRPr="008C1F53">
        <w:t>oard have a full opportunity to discuss the rationale for that rejection</w:t>
      </w:r>
      <w:r w:rsidR="00216BEB">
        <w:t>.</w:t>
      </w:r>
      <w:r w:rsidRPr="008C1F53">
        <w:t xml:space="preserve"> </w:t>
      </w:r>
    </w:p>
    <w:p w14:paraId="3490E925" w14:textId="5527B8D4" w:rsidR="00A84EE0" w:rsidRDefault="008C1F53" w:rsidP="00E309F6">
      <w:pPr>
        <w:pStyle w:val="ParagraphText-unnumbered"/>
      </w:pPr>
      <w:r w:rsidRPr="008C1F53">
        <w:t xml:space="preserve">Such conflicts should be brought to the attention of the </w:t>
      </w:r>
      <w:r w:rsidR="006F3418">
        <w:t>p</w:t>
      </w:r>
      <w:r w:rsidRPr="008C1F53">
        <w:t xml:space="preserve">rincipal </w:t>
      </w:r>
      <w:r w:rsidR="006F3418">
        <w:t>a</w:t>
      </w:r>
      <w:r w:rsidRPr="008C1F53">
        <w:t xml:space="preserve">ccounting </w:t>
      </w:r>
      <w:r w:rsidR="006F3418">
        <w:t>o</w:t>
      </w:r>
      <w:r w:rsidRPr="008C1F53">
        <w:t xml:space="preserve">fficer and the </w:t>
      </w:r>
      <w:r w:rsidR="006F3418">
        <w:t>r</w:t>
      </w:r>
      <w:r w:rsidRPr="008C1F53">
        <w:t xml:space="preserve">esponsible </w:t>
      </w:r>
      <w:r w:rsidR="00F92864">
        <w:t>m</w:t>
      </w:r>
      <w:r w:rsidR="00F92864" w:rsidRPr="008C1F53">
        <w:t>inister</w:t>
      </w:r>
      <w:r w:rsidRPr="008C1F53">
        <w:t xml:space="preserve"> as soon as possible. </w:t>
      </w:r>
    </w:p>
    <w:p w14:paraId="364CF7D9" w14:textId="16FE57ED" w:rsidR="00A84EE0" w:rsidRDefault="008C1F53" w:rsidP="00E309F6">
      <w:pPr>
        <w:pStyle w:val="ParagraphText-unnumbered"/>
      </w:pPr>
      <w:r w:rsidRPr="008C1F53">
        <w:t xml:space="preserve">Furthermore and if agreed with the responsible </w:t>
      </w:r>
      <w:r w:rsidR="006F3418">
        <w:t>m</w:t>
      </w:r>
      <w:r w:rsidRPr="008C1F53">
        <w:t xml:space="preserve">inister, the </w:t>
      </w:r>
      <w:r w:rsidR="006F3418">
        <w:t>a</w:t>
      </w:r>
      <w:r w:rsidRPr="008C1F53">
        <w:t xml:space="preserve">ccounting </w:t>
      </w:r>
      <w:r w:rsidR="006F3418">
        <w:t>o</w:t>
      </w:r>
      <w:r w:rsidRPr="008C1F53">
        <w:t xml:space="preserve">fficer must write a letter of justification to the </w:t>
      </w:r>
      <w:r w:rsidR="006F3418">
        <w:t>c</w:t>
      </w:r>
      <w:r w:rsidRPr="008C1F53">
        <w:t xml:space="preserve">hair of the </w:t>
      </w:r>
      <w:r w:rsidR="006F3418">
        <w:t>b</w:t>
      </w:r>
      <w:r w:rsidRPr="008C1F53">
        <w:t xml:space="preserve">oard setting out the rationale for not following the advice and recommendation of the </w:t>
      </w:r>
      <w:r w:rsidR="00A42496">
        <w:t>b</w:t>
      </w:r>
      <w:r w:rsidRPr="008C1F53">
        <w:t xml:space="preserve">oard and copy that letter to the </w:t>
      </w:r>
      <w:r w:rsidR="00AA4A62">
        <w:t>t</w:t>
      </w:r>
      <w:r w:rsidRPr="008C1F53">
        <w:t xml:space="preserve">reasury </w:t>
      </w:r>
      <w:r w:rsidR="00AA4A62">
        <w:t>o</w:t>
      </w:r>
      <w:r w:rsidRPr="008C1F53">
        <w:t xml:space="preserve">fficer of </w:t>
      </w:r>
      <w:r w:rsidR="009C63B5">
        <w:t>a</w:t>
      </w:r>
      <w:r w:rsidRPr="008C1F53">
        <w:t xml:space="preserve">ccounts. </w:t>
      </w:r>
    </w:p>
    <w:p w14:paraId="41CD1DA4" w14:textId="38776E23" w:rsidR="00A84EE0" w:rsidRDefault="008C1F53" w:rsidP="00E309F6">
      <w:pPr>
        <w:pStyle w:val="ParagraphText-unnumbered"/>
      </w:pPr>
      <w:r w:rsidRPr="008C1F53">
        <w:t xml:space="preserve">If the </w:t>
      </w:r>
      <w:r w:rsidR="00AA4A62">
        <w:t>r</w:t>
      </w:r>
      <w:r w:rsidRPr="008C1F53">
        <w:t xml:space="preserve">esponsible </w:t>
      </w:r>
      <w:r w:rsidR="00AA4A62">
        <w:t>m</w:t>
      </w:r>
      <w:r w:rsidRPr="008C1F53">
        <w:t xml:space="preserve">inister agrees with the proposed course of action of the </w:t>
      </w:r>
      <w:r w:rsidR="00A42496">
        <w:t>b</w:t>
      </w:r>
      <w:r w:rsidRPr="008C1F53">
        <w:t xml:space="preserve">oard it may be appropriate for the </w:t>
      </w:r>
      <w:r w:rsidR="00AA4A62">
        <w:t>m</w:t>
      </w:r>
      <w:r w:rsidRPr="008C1F53">
        <w:t xml:space="preserve">inister to the direct the </w:t>
      </w:r>
      <w:r w:rsidR="00AA4A62">
        <w:t>a</w:t>
      </w:r>
      <w:r w:rsidRPr="008C1F53">
        <w:t xml:space="preserve">ccounting </w:t>
      </w:r>
      <w:r w:rsidR="00AA4A62">
        <w:t>o</w:t>
      </w:r>
      <w:r w:rsidRPr="008C1F53">
        <w:t xml:space="preserve">fficer in the manner as set out in Manging Public Money paragraph </w:t>
      </w:r>
      <w:r w:rsidR="00A42E93" w:rsidRPr="00A42E93">
        <w:t xml:space="preserve">3.6.6 </w:t>
      </w:r>
      <w:r w:rsidRPr="008C1F53">
        <w:t xml:space="preserve"> onwards. </w:t>
      </w:r>
    </w:p>
    <w:p w14:paraId="78AAD301" w14:textId="77777777" w:rsidR="00EB2545" w:rsidRDefault="008C1F53" w:rsidP="00454DD8">
      <w:pPr>
        <w:pStyle w:val="Heading3"/>
      </w:pPr>
      <w:r w:rsidRPr="008C1F53">
        <w:t xml:space="preserve">The Board </w:t>
      </w:r>
    </w:p>
    <w:p w14:paraId="74F7064D" w14:textId="58C8F4C7" w:rsidR="00A84EE0" w:rsidRDefault="008C1F53" w:rsidP="00454DD8">
      <w:pPr>
        <w:pStyle w:val="Heading4"/>
      </w:pPr>
      <w:r w:rsidRPr="008C1F53">
        <w:t xml:space="preserve">Composition </w:t>
      </w:r>
      <w:r w:rsidR="001142BC">
        <w:t xml:space="preserve">of the </w:t>
      </w:r>
      <w:r w:rsidR="00A42496">
        <w:t>b</w:t>
      </w:r>
      <w:r w:rsidR="001142BC">
        <w:t>oard</w:t>
      </w:r>
    </w:p>
    <w:p w14:paraId="43B99D20" w14:textId="70C06992" w:rsidR="00A84EE0" w:rsidRDefault="00216BEB" w:rsidP="00E309F6">
      <w:pPr>
        <w:pStyle w:val="ParagraphText-unnumbered"/>
      </w:pPr>
      <w:r>
        <w:t>HEE</w:t>
      </w:r>
      <w:r w:rsidR="00DB556E">
        <w:t xml:space="preserve"> </w:t>
      </w:r>
      <w:r w:rsidR="008C1F53" w:rsidRPr="008C1F53">
        <w:t xml:space="preserve">will have a </w:t>
      </w:r>
      <w:r w:rsidR="00A42496">
        <w:t>b</w:t>
      </w:r>
      <w:r w:rsidR="008C1F53" w:rsidRPr="008C1F53">
        <w:t xml:space="preserve">oard in line with good standards of Corporate Governance and as set out in in its establishing statute and in guidance as set out in Annex A. The role of the </w:t>
      </w:r>
      <w:r w:rsidR="00FF7004">
        <w:t>b</w:t>
      </w:r>
      <w:r w:rsidR="008C1F53" w:rsidRPr="008C1F53">
        <w:t xml:space="preserve">oard shall be to run </w:t>
      </w:r>
      <w:r>
        <w:t>HEE</w:t>
      </w:r>
      <w:r w:rsidR="008C1F53" w:rsidRPr="008C1F53">
        <w:t xml:space="preserve">, and to deliver the </w:t>
      </w:r>
      <w:r w:rsidR="00071540">
        <w:t>o</w:t>
      </w:r>
      <w:r w:rsidR="008C1F53" w:rsidRPr="008C1F53">
        <w:t xml:space="preserve">bjectives, in accordance with the purposes as set out above, their statutory, regulatory, common law duties and their responsibilities under this </w:t>
      </w:r>
      <w:r w:rsidR="00E6101C">
        <w:t>f</w:t>
      </w:r>
      <w:r w:rsidR="008C1F53" w:rsidRPr="008C1F53">
        <w:t xml:space="preserve">ramework </w:t>
      </w:r>
      <w:r w:rsidR="00E6101C">
        <w:t>d</w:t>
      </w:r>
      <w:r w:rsidR="008C1F53" w:rsidRPr="008C1F53">
        <w:t xml:space="preserve">ocument. Detailed responsibilities of the </w:t>
      </w:r>
      <w:r w:rsidR="00E6101C">
        <w:t>b</w:t>
      </w:r>
      <w:r w:rsidR="008C1F53" w:rsidRPr="008C1F53">
        <w:t xml:space="preserve">oard shall be set out in the </w:t>
      </w:r>
      <w:r w:rsidR="00E6101C">
        <w:t>b</w:t>
      </w:r>
      <w:r w:rsidR="008C1F53" w:rsidRPr="008C1F53">
        <w:t xml:space="preserve">oard terms of reference. Remuneration of the </w:t>
      </w:r>
      <w:r w:rsidR="00FF7004">
        <w:t>b</w:t>
      </w:r>
      <w:r w:rsidR="008C1F53" w:rsidRPr="008C1F53">
        <w:t xml:space="preserve">oard will be disclosed in line with the guidance in the </w:t>
      </w:r>
      <w:r w:rsidR="005F103E">
        <w:t>g</w:t>
      </w:r>
      <w:r w:rsidR="008C1F53" w:rsidRPr="008C1F53">
        <w:t>overnment Financial Reporting manual</w:t>
      </w:r>
      <w:r w:rsidR="001821CF">
        <w:t xml:space="preserve"> FReM)</w:t>
      </w:r>
      <w:r w:rsidR="00FC5E3A">
        <w:t>.</w:t>
      </w:r>
      <w:r w:rsidR="00417473">
        <w:t xml:space="preserve"> </w:t>
      </w:r>
    </w:p>
    <w:p w14:paraId="19C35D15" w14:textId="6FEA8C22" w:rsidR="000C3FCE" w:rsidRDefault="00216BEB" w:rsidP="00E309F6">
      <w:pPr>
        <w:pStyle w:val="ParagraphText-unnumbered"/>
      </w:pPr>
      <w:r>
        <w:t>T</w:t>
      </w:r>
      <w:r w:rsidR="008C1F53" w:rsidRPr="008C1F53">
        <w:t xml:space="preserve">he </w:t>
      </w:r>
      <w:r w:rsidR="00FF7004">
        <w:t>b</w:t>
      </w:r>
      <w:r w:rsidR="008C1F53" w:rsidRPr="008C1F53">
        <w:t>oard will consist of a chairperson</w:t>
      </w:r>
      <w:r w:rsidR="00194BB9">
        <w:t xml:space="preserve"> </w:t>
      </w:r>
      <w:r w:rsidR="008C1F53" w:rsidRPr="008C1F53">
        <w:t xml:space="preserve">together with the </w:t>
      </w:r>
      <w:r w:rsidR="002F6028">
        <w:t>c</w:t>
      </w:r>
      <w:r w:rsidR="008C1F53" w:rsidRPr="008C1F53">
        <w:t xml:space="preserve">hief </w:t>
      </w:r>
      <w:r w:rsidR="002F6028">
        <w:t>e</w:t>
      </w:r>
      <w:r w:rsidR="008C1F53" w:rsidRPr="008C1F53">
        <w:t>xecutive and</w:t>
      </w:r>
      <w:r>
        <w:t xml:space="preserve"> four </w:t>
      </w:r>
      <w:r w:rsidR="008C1F53" w:rsidRPr="008C1F53">
        <w:t xml:space="preserve">executive members that have a balance of skills and experience appropriate to directing </w:t>
      </w:r>
      <w:r w:rsidR="00BC416A">
        <w:t>HEE's</w:t>
      </w:r>
      <w:r w:rsidR="008C1F53" w:rsidRPr="008C1F53">
        <w:t xml:space="preserve"> business. For </w:t>
      </w:r>
      <w:r>
        <w:t xml:space="preserve">HEE </w:t>
      </w:r>
      <w:r w:rsidR="008C1F53" w:rsidRPr="008C1F53">
        <w:t xml:space="preserve"> there should be members who have experience of its business, operational delivery, corporate services such as HR, technology, property asset management, estate management, communications</w:t>
      </w:r>
      <w:r w:rsidR="000C3FCE">
        <w:t xml:space="preserve">, </w:t>
      </w:r>
      <w:r w:rsidR="008C1F53" w:rsidRPr="008C1F53">
        <w:t>performance management</w:t>
      </w:r>
      <w:r w:rsidR="000C3FCE">
        <w:t xml:space="preserve"> and clinical experience</w:t>
      </w:r>
      <w:r w:rsidR="008C1F53" w:rsidRPr="008C1F53">
        <w:t xml:space="preserve"> This will include as an executive and voting board member an appropriately qualified finance director as described in Annex 4.1 of Managing Public </w:t>
      </w:r>
      <w:r w:rsidR="008C1F53" w:rsidRPr="008C1F53">
        <w:lastRenderedPageBreak/>
        <w:t xml:space="preserve">Money. The </w:t>
      </w:r>
      <w:r w:rsidR="00FF7004">
        <w:t>b</w:t>
      </w:r>
      <w:r w:rsidR="008C1F53" w:rsidRPr="008C1F53">
        <w:t xml:space="preserve">oard should include a majority of independent non-executive members to ensure that executive members are supported and constructively challenged in their role </w:t>
      </w:r>
    </w:p>
    <w:p w14:paraId="42CDB6DB" w14:textId="57600597" w:rsidR="00A84EE0" w:rsidRDefault="008C1F53" w:rsidP="00454DD8">
      <w:pPr>
        <w:pStyle w:val="Heading4"/>
      </w:pPr>
      <w:r w:rsidRPr="008C1F53">
        <w:t xml:space="preserve">Board Committees </w:t>
      </w:r>
    </w:p>
    <w:p w14:paraId="68ECCE6A" w14:textId="2757E654" w:rsidR="00A84EE0" w:rsidRDefault="008C1F53" w:rsidP="00E309F6">
      <w:pPr>
        <w:pStyle w:val="ParagraphText-unnumbered"/>
      </w:pPr>
      <w:r w:rsidRPr="008C1F53">
        <w:t xml:space="preserve">The </w:t>
      </w:r>
      <w:r w:rsidR="009C44FB">
        <w:t>b</w:t>
      </w:r>
      <w:r w:rsidRPr="008C1F53">
        <w:t xml:space="preserve">oard may set up such committees as necessary for it to fulfil its functions. As is detailed below at a minimum this should include an </w:t>
      </w:r>
      <w:r w:rsidR="009C44FB">
        <w:t>a</w:t>
      </w:r>
      <w:r w:rsidRPr="008C1F53">
        <w:t xml:space="preserve">udit and </w:t>
      </w:r>
      <w:r w:rsidR="009C44FB">
        <w:t>r</w:t>
      </w:r>
      <w:r w:rsidRPr="008C1F53">
        <w:t xml:space="preserve">isk </w:t>
      </w:r>
      <w:r w:rsidR="009C44FB">
        <w:t>c</w:t>
      </w:r>
      <w:r w:rsidRPr="008C1F53">
        <w:t xml:space="preserve">ommittee chaired by an independent and appropriately qualified non-executive member of the Board. </w:t>
      </w:r>
    </w:p>
    <w:p w14:paraId="5FB7B70F" w14:textId="38DDB231" w:rsidR="00A84EE0" w:rsidRDefault="008C1F53" w:rsidP="00E309F6">
      <w:pPr>
        <w:pStyle w:val="ParagraphText-unnumbered"/>
      </w:pPr>
      <w:r w:rsidRPr="008C1F53">
        <w:t>While the board may make use of committees to assist its consideration of appointments, succession, audit, risk and remuneration i</w:t>
      </w:r>
      <w:r w:rsidR="00A40C8F">
        <w:t xml:space="preserve">t </w:t>
      </w:r>
      <w:r w:rsidRPr="008C1F53">
        <w:t xml:space="preserve">retains responsibility for, and endorses, final decisions in all of these areas. The chair should ensure that sufficient time is allowed at the board for committees to report on the nature and content of discussion, on recommendations, and on actions to be taken. </w:t>
      </w:r>
    </w:p>
    <w:p w14:paraId="25F6B2A3" w14:textId="76A0F0E1" w:rsidR="00A84EE0" w:rsidRDefault="008C1F53" w:rsidP="00E309F6">
      <w:pPr>
        <w:pStyle w:val="ParagraphText-unnumbered"/>
      </w:pPr>
      <w:r w:rsidRPr="008C1F53">
        <w:t xml:space="preserve">Where there is disagreement between the relevant committee and the board, adequate time should be made available for discussion of the issue with a view to resolving the disagreement. Where any such disagreement cannot be resolved, the committee concerned should have the right to report the issue to the sponsor team, </w:t>
      </w:r>
      <w:r w:rsidR="009C63B5">
        <w:t>p</w:t>
      </w:r>
      <w:r w:rsidRPr="008C1F53">
        <w:t xml:space="preserve">rincipal </w:t>
      </w:r>
      <w:r w:rsidR="009C63B5">
        <w:t>a</w:t>
      </w:r>
      <w:r w:rsidRPr="008C1F53">
        <w:t xml:space="preserve">ccounting </w:t>
      </w:r>
      <w:r w:rsidR="009C63B5">
        <w:t>o</w:t>
      </w:r>
      <w:r w:rsidRPr="008C1F53">
        <w:t xml:space="preserve">fficer and </w:t>
      </w:r>
      <w:r w:rsidR="009C63B5">
        <w:t>r</w:t>
      </w:r>
      <w:r w:rsidRPr="008C1F53">
        <w:t xml:space="preserve">esponsible </w:t>
      </w:r>
      <w:r w:rsidR="009C63B5">
        <w:t>m</w:t>
      </w:r>
      <w:r w:rsidRPr="008C1F53">
        <w:t xml:space="preserve">inister. They may also seek to ensure the disagreement or concern is reflected as part of the report on its activities in the annual report. </w:t>
      </w:r>
    </w:p>
    <w:p w14:paraId="042FD82F" w14:textId="77777777" w:rsidR="00A84EE0" w:rsidRDefault="008C1F53" w:rsidP="00E309F6">
      <w:pPr>
        <w:pStyle w:val="ParagraphText-unnumbered"/>
      </w:pPr>
      <w:r w:rsidRPr="008C1F53">
        <w:t xml:space="preserve">The chair should ensure board committees are properly structured with appropriate terms of reference. The terms of each committee should set out its responsibilities and the authority delegated to it by the board. The chair should ensure that committee membership is periodically refreshed and that individual independent non-executive directors are not over-burdened when deciding the chairs and membership of committees. </w:t>
      </w:r>
    </w:p>
    <w:p w14:paraId="6E4B394B" w14:textId="1745D8BC" w:rsidR="00A84EE0" w:rsidRDefault="008C1F53" w:rsidP="00454DD8">
      <w:pPr>
        <w:pStyle w:val="Heading4"/>
      </w:pPr>
      <w:r w:rsidRPr="008C1F53">
        <w:t xml:space="preserve">Duties of the </w:t>
      </w:r>
      <w:r w:rsidR="008E5915">
        <w:t>b</w:t>
      </w:r>
      <w:r w:rsidRPr="008C1F53">
        <w:t xml:space="preserve">oard </w:t>
      </w:r>
    </w:p>
    <w:p w14:paraId="56E1D5D3" w14:textId="6D985479" w:rsidR="00A84EE0" w:rsidRDefault="008C1F53" w:rsidP="00E309F6">
      <w:pPr>
        <w:pStyle w:val="ParagraphText-unnumbered"/>
      </w:pPr>
      <w:r w:rsidRPr="008C1F53">
        <w:t xml:space="preserve">The </w:t>
      </w:r>
      <w:r w:rsidR="008E5915">
        <w:t>b</w:t>
      </w:r>
      <w:r w:rsidRPr="008C1F53">
        <w:t xml:space="preserve">oard is specifically responsible for: </w:t>
      </w:r>
    </w:p>
    <w:p w14:paraId="30D4E8EE" w14:textId="07ED9E4C" w:rsidR="00A84EE0" w:rsidRDefault="008C1F53" w:rsidP="00A84EE0">
      <w:pPr>
        <w:pStyle w:val="Bullet"/>
      </w:pPr>
      <w:r w:rsidRPr="008C1F53">
        <w:t xml:space="preserve">establishing and taking forward the strategic aims and objectives of </w:t>
      </w:r>
      <w:r w:rsidR="000B7EDA">
        <w:t>HEE</w:t>
      </w:r>
      <w:r w:rsidRPr="008C1F53">
        <w:t xml:space="preserve"> consistent with its overall strategic direction and within the policy and resources framework determined by the Secretary of State</w:t>
      </w:r>
    </w:p>
    <w:p w14:paraId="72F8ADCD" w14:textId="41DE724C" w:rsidR="00A84EE0" w:rsidRDefault="008C1F53" w:rsidP="00A84EE0">
      <w:pPr>
        <w:pStyle w:val="Bullet"/>
      </w:pPr>
      <w:r w:rsidRPr="008C1F53">
        <w:t xml:space="preserve">providing effective leadership of </w:t>
      </w:r>
      <w:r w:rsidR="002134A9">
        <w:t>HEE</w:t>
      </w:r>
      <w:r w:rsidRPr="008C1F53">
        <w:t xml:space="preserve"> within a framework of prudent and effective controls which enables risk to be assessed and managed </w:t>
      </w:r>
    </w:p>
    <w:p w14:paraId="49308C48" w14:textId="0DD3994A" w:rsidR="00A84EE0" w:rsidRDefault="008C1F53" w:rsidP="00A84EE0">
      <w:pPr>
        <w:pStyle w:val="Bullet"/>
      </w:pPr>
      <w:r w:rsidRPr="008C1F53">
        <w:t xml:space="preserve">ensuring the financial and human resources are in place for  </w:t>
      </w:r>
      <w:r w:rsidR="002134A9">
        <w:t xml:space="preserve">HEE </w:t>
      </w:r>
      <w:r w:rsidRPr="008C1F53">
        <w:t xml:space="preserve"> to meet its objective; </w:t>
      </w:r>
    </w:p>
    <w:p w14:paraId="668274E7" w14:textId="09AC70E5" w:rsidR="00A84EE0" w:rsidRDefault="008C1F53" w:rsidP="00A84EE0">
      <w:pPr>
        <w:pStyle w:val="Bullet"/>
      </w:pPr>
      <w:r w:rsidRPr="008C1F53">
        <w:t>reviewing management performance</w:t>
      </w:r>
    </w:p>
    <w:p w14:paraId="35CBBE73" w14:textId="3773BFD5" w:rsidR="00A84EE0" w:rsidRDefault="008C1F53" w:rsidP="00A84EE0">
      <w:pPr>
        <w:pStyle w:val="Bullet"/>
      </w:pPr>
      <w:r w:rsidRPr="008C1F53">
        <w:lastRenderedPageBreak/>
        <w:t xml:space="preserve">ensuring that the board receives and reviews regular financial and management information concerning the management of  </w:t>
      </w:r>
      <w:r w:rsidR="002134A9">
        <w:t>HEE</w:t>
      </w:r>
      <w:r w:rsidRPr="008C1F53">
        <w:t xml:space="preserve"> </w:t>
      </w:r>
    </w:p>
    <w:p w14:paraId="64561745" w14:textId="636E145D" w:rsidR="00A84EE0" w:rsidRDefault="008C1F53" w:rsidP="00A84EE0">
      <w:pPr>
        <w:pStyle w:val="Bullet"/>
      </w:pPr>
      <w:r w:rsidRPr="008C1F53">
        <w:t xml:space="preserve">ensuring that it is kept informed of any changes which are likely to impact on the strategic direction of </w:t>
      </w:r>
      <w:r w:rsidR="002134A9">
        <w:t xml:space="preserve">HEE </w:t>
      </w:r>
      <w:r w:rsidRPr="008C1F53">
        <w:t xml:space="preserve">or on the attainability of its targets, and determining the steps needed to deal with such changes and where appropriate bringing such matters to the attention of the </w:t>
      </w:r>
      <w:r w:rsidR="009C63B5">
        <w:t>r</w:t>
      </w:r>
      <w:r w:rsidRPr="008C1F53">
        <w:t xml:space="preserve">esponsible </w:t>
      </w:r>
      <w:r w:rsidR="009C63B5">
        <w:t>m</w:t>
      </w:r>
      <w:r w:rsidRPr="008C1F53">
        <w:t xml:space="preserve">inister and </w:t>
      </w:r>
      <w:r w:rsidR="009C63B5">
        <w:t>p</w:t>
      </w:r>
      <w:r w:rsidRPr="008C1F53">
        <w:t xml:space="preserve">rincipal </w:t>
      </w:r>
      <w:r w:rsidR="009C63B5">
        <w:t>a</w:t>
      </w:r>
      <w:r w:rsidRPr="008C1F53">
        <w:t xml:space="preserve">ccounting </w:t>
      </w:r>
      <w:r w:rsidR="00416D4E">
        <w:t>o</w:t>
      </w:r>
      <w:r w:rsidRPr="008C1F53">
        <w:t xml:space="preserve">fficer via the executive team, sponsorship team or directly </w:t>
      </w:r>
    </w:p>
    <w:p w14:paraId="55C79592" w14:textId="5920DDBC" w:rsidR="00A84EE0" w:rsidRDefault="008C1F53" w:rsidP="00A84EE0">
      <w:pPr>
        <w:pStyle w:val="Bullet"/>
      </w:pPr>
      <w:r w:rsidRPr="008C1F53">
        <w:t xml:space="preserve">ensuring that any statutory or administrative requirements for the use of public funds are complied with; that the board operates within the limits of its statutory authority and any delegated authority agreed with the sponsor </w:t>
      </w:r>
      <w:r w:rsidR="005B41CF">
        <w:t>d</w:t>
      </w:r>
      <w:r w:rsidRPr="008C1F53">
        <w:t xml:space="preserve">epartment, and in accordance with any other conditions relating to the use of public funds; and that, in reaching decisions, the </w:t>
      </w:r>
      <w:r w:rsidR="008E5915">
        <w:t>b</w:t>
      </w:r>
      <w:r w:rsidRPr="008C1F53">
        <w:t xml:space="preserve">oard takes into account guidance issued by the sponsor </w:t>
      </w:r>
      <w:r w:rsidR="005B41CF">
        <w:t>d</w:t>
      </w:r>
      <w:r w:rsidRPr="008C1F53">
        <w:t xml:space="preserve">epartment </w:t>
      </w:r>
    </w:p>
    <w:p w14:paraId="64C1E445" w14:textId="66F73020" w:rsidR="00A84EE0" w:rsidRDefault="008C1F53" w:rsidP="00A84EE0">
      <w:pPr>
        <w:pStyle w:val="Bullet"/>
      </w:pPr>
      <w:r w:rsidRPr="008C1F53">
        <w:t xml:space="preserve">ensuring that as part of the above compliance they are familiar with:  this framework document, any delegation letter issued to body as set out in paragraph </w:t>
      </w:r>
      <w:r w:rsidR="002C250A">
        <w:t>5.1</w:t>
      </w:r>
      <w:r w:rsidR="00AA1CDA">
        <w:t xml:space="preserve">; </w:t>
      </w:r>
      <w:r w:rsidRPr="008C1F53">
        <w:t xml:space="preserve">any elements of any settlement letter issued to the sponsor </w:t>
      </w:r>
      <w:r w:rsidR="005B41CF">
        <w:t>d</w:t>
      </w:r>
      <w:r w:rsidRPr="008C1F53">
        <w:t xml:space="preserve">epartment that is relevant to the operation of the ALB; and any separate settlement letter that is issued to the ALB from the sponsor </w:t>
      </w:r>
      <w:r w:rsidR="005B41CF">
        <w:t>d</w:t>
      </w:r>
      <w:r w:rsidRPr="008C1F53">
        <w:t xml:space="preserve">epartment; and that they have appropriate internal mechanisms for the monitoring, governance and external reporting regarding any conditions arising from the above documents and ensure that the </w:t>
      </w:r>
      <w:r w:rsidR="002F6028">
        <w:t>c</w:t>
      </w:r>
      <w:r w:rsidRPr="008C1F53">
        <w:t xml:space="preserve">hief </w:t>
      </w:r>
      <w:r w:rsidR="002F6028">
        <w:t>e</w:t>
      </w:r>
      <w:r w:rsidRPr="008C1F53">
        <w:t xml:space="preserve">xecutive and </w:t>
      </w:r>
      <w:r w:rsidR="002134A9">
        <w:t xml:space="preserve">HEE </w:t>
      </w:r>
      <w:r w:rsidRPr="008C1F53">
        <w:t xml:space="preserve"> as a whole act in accordance with their obligations under the above documents </w:t>
      </w:r>
    </w:p>
    <w:p w14:paraId="7D5F09EC" w14:textId="39D7365F" w:rsidR="00A84EE0" w:rsidRDefault="008C1F53" w:rsidP="00A84EE0">
      <w:pPr>
        <w:pStyle w:val="Bullet"/>
      </w:pPr>
      <w:r w:rsidRPr="008C1F53">
        <w:t xml:space="preserve">demonstrating high standards of corporate governance at all times, including by using the independent audit committee to help the </w:t>
      </w:r>
      <w:r w:rsidR="00B52C87">
        <w:t>b</w:t>
      </w:r>
      <w:r w:rsidRPr="008C1F53">
        <w:t xml:space="preserve">oard to address key financial and other risks </w:t>
      </w:r>
    </w:p>
    <w:p w14:paraId="420CA14A" w14:textId="182161DE" w:rsidR="00EA0EA0" w:rsidRDefault="008C1F53" w:rsidP="00A84EE0">
      <w:pPr>
        <w:pStyle w:val="Bullet"/>
      </w:pPr>
      <w:r w:rsidRPr="008C1F53">
        <w:t xml:space="preserve">appointing with the </w:t>
      </w:r>
      <w:r w:rsidR="009B0CAC">
        <w:t>r</w:t>
      </w:r>
      <w:r w:rsidRPr="008C1F53">
        <w:t xml:space="preserve">esponsible </w:t>
      </w:r>
      <w:r w:rsidR="009B0CAC">
        <w:t>m</w:t>
      </w:r>
      <w:r w:rsidRPr="008C1F53">
        <w:t xml:space="preserve">inister’s approval a </w:t>
      </w:r>
      <w:r w:rsidR="009B0CAC">
        <w:t>c</w:t>
      </w:r>
      <w:r w:rsidRPr="008C1F53">
        <w:t>hief</w:t>
      </w:r>
      <w:r w:rsidR="009B0CAC">
        <w:t xml:space="preserve"> e</w:t>
      </w:r>
      <w:r w:rsidRPr="008C1F53">
        <w:t xml:space="preserve">xecutive and, in consultation with the </w:t>
      </w:r>
      <w:r w:rsidR="005B41CF">
        <w:t>d</w:t>
      </w:r>
      <w:r w:rsidRPr="008C1F53">
        <w:t xml:space="preserve">epartment, set performance objectives and remuneration terms linked to these objectives for the </w:t>
      </w:r>
      <w:r w:rsidR="009B0CAC">
        <w:t>c</w:t>
      </w:r>
      <w:r w:rsidRPr="008C1F53">
        <w:t xml:space="preserve">hief </w:t>
      </w:r>
      <w:r w:rsidR="009B0CAC">
        <w:t>e</w:t>
      </w:r>
      <w:r w:rsidRPr="008C1F53">
        <w:t>xecutive which give due weight to the proper management and use and utilization of public resources.</w:t>
      </w:r>
    </w:p>
    <w:p w14:paraId="4D117196" w14:textId="43AEBB10" w:rsidR="002134A9" w:rsidRDefault="00800011" w:rsidP="002134A9">
      <w:pPr>
        <w:pStyle w:val="Bullet"/>
      </w:pPr>
      <w:r>
        <w:t>c</w:t>
      </w:r>
      <w:r w:rsidR="002134A9">
        <w:t xml:space="preserve">ontributing through the provision of 360 degree feedback to the independent appraisal and annual evaluation of the HEE </w:t>
      </w:r>
      <w:r w:rsidR="009B0CAC">
        <w:t>c</w:t>
      </w:r>
      <w:r w:rsidR="002134A9">
        <w:t>hair undertaken by the S</w:t>
      </w:r>
      <w:r w:rsidR="005B41CF">
        <w:t xml:space="preserve">DS. </w:t>
      </w:r>
      <w:r w:rsidR="002134A9">
        <w:t xml:space="preserve"> </w:t>
      </w:r>
    </w:p>
    <w:p w14:paraId="313F6FB8" w14:textId="5E071A4B" w:rsidR="00EA0EA0" w:rsidRDefault="008C1F53" w:rsidP="002134A9">
      <w:pPr>
        <w:pStyle w:val="Bullet"/>
      </w:pPr>
      <w:r w:rsidRPr="008C1F53">
        <w:t xml:space="preserve">determining all such other things which the </w:t>
      </w:r>
      <w:r w:rsidR="00297562">
        <w:t>b</w:t>
      </w:r>
      <w:r w:rsidRPr="008C1F53">
        <w:t xml:space="preserve">oard considers ancillary or conducive to the attainment or fulfilment by </w:t>
      </w:r>
      <w:r w:rsidR="002134A9">
        <w:t xml:space="preserve"> HEE</w:t>
      </w:r>
      <w:r w:rsidRPr="008C1F53">
        <w:t xml:space="preserve"> of its Objectives</w:t>
      </w:r>
    </w:p>
    <w:p w14:paraId="47AE249F" w14:textId="0F11EC1A" w:rsidR="00EA0EA0" w:rsidRDefault="008C1F53" w:rsidP="00E309F6">
      <w:pPr>
        <w:pStyle w:val="ParagraphText-unnumbered"/>
      </w:pPr>
      <w:r w:rsidRPr="008C1F53">
        <w:t xml:space="preserve">The </w:t>
      </w:r>
      <w:r w:rsidR="00297562">
        <w:t>b</w:t>
      </w:r>
      <w:r w:rsidRPr="008C1F53">
        <w:t xml:space="preserve">oard should ensure that effective arrangements are in place to provide assurance on risk management, governance and internal control. </w:t>
      </w:r>
    </w:p>
    <w:p w14:paraId="7277AD8C" w14:textId="77777777" w:rsidR="00966189" w:rsidRDefault="008C1F53" w:rsidP="00E309F6">
      <w:pPr>
        <w:pStyle w:val="ParagraphText-unnumbered"/>
      </w:pPr>
      <w:r w:rsidRPr="008C1F53">
        <w:t xml:space="preserve">The board should make a strategic choice about the style, shape and quality of risk management and should lead the assessment and management of opportunity and risk. </w:t>
      </w:r>
      <w:r w:rsidRPr="008C1F53">
        <w:lastRenderedPageBreak/>
        <w:t xml:space="preserve">The board should ensure that effective arrangements are in place to provide assurance over the design and operation of risk management, governance and internal control in line with the </w:t>
      </w:r>
      <w:hyperlink r:id="rId19" w:history="1">
        <w:r w:rsidR="00966189" w:rsidRPr="00966189">
          <w:rPr>
            <w:rStyle w:val="Hyperlink"/>
          </w:rPr>
          <w:t>Management of Risk – Principles and Concepts ("The Orange Book")</w:t>
        </w:r>
      </w:hyperlink>
      <w:r w:rsidR="00966189">
        <w:rPr>
          <w:rStyle w:val="Hyperlink"/>
        </w:rPr>
        <w:t>.</w:t>
      </w:r>
      <w:r w:rsidRPr="008C1F53">
        <w:t xml:space="preserve"> </w:t>
      </w:r>
    </w:p>
    <w:p w14:paraId="7EBFB130" w14:textId="42CD5C19" w:rsidR="00EA0EA0" w:rsidRDefault="008C1F53" w:rsidP="00E309F6">
      <w:pPr>
        <w:pStyle w:val="ParagraphText-unnumbered"/>
      </w:pPr>
      <w:r w:rsidRPr="00BF46C5">
        <w:t>The</w:t>
      </w:r>
      <w:r w:rsidRPr="008C1F53">
        <w:t xml:space="preserve"> board must set up an </w:t>
      </w:r>
      <w:r w:rsidR="000503D2">
        <w:t>a</w:t>
      </w:r>
      <w:r w:rsidRPr="008C1F53">
        <w:t xml:space="preserve">udit and </w:t>
      </w:r>
      <w:r w:rsidR="000503D2">
        <w:t>r</w:t>
      </w:r>
      <w:r w:rsidRPr="008C1F53">
        <w:t xml:space="preserve">isk </w:t>
      </w:r>
      <w:r w:rsidR="000503D2">
        <w:t>a</w:t>
      </w:r>
      <w:r w:rsidRPr="008C1F53">
        <w:t xml:space="preserve">ssurance </w:t>
      </w:r>
      <w:r w:rsidR="000503D2">
        <w:t>c</w:t>
      </w:r>
      <w:r w:rsidRPr="008C1F53">
        <w:t xml:space="preserve">ommittee chaired by an independent and appropriately qualified non-executive member to provide independent advice and ensure that the </w:t>
      </w:r>
      <w:r w:rsidR="005B41CF">
        <w:t>d</w:t>
      </w:r>
      <w:r w:rsidRPr="008C1F53">
        <w:t xml:space="preserve">epartment’s </w:t>
      </w:r>
      <w:r w:rsidR="000503D2">
        <w:t>a</w:t>
      </w:r>
      <w:r w:rsidRPr="008C1F53">
        <w:t xml:space="preserve">udit and </w:t>
      </w:r>
      <w:r w:rsidR="000503D2">
        <w:t>r</w:t>
      </w:r>
      <w:r w:rsidRPr="008C1F53">
        <w:t xml:space="preserve">isk </w:t>
      </w:r>
      <w:r w:rsidR="000503D2">
        <w:t>a</w:t>
      </w:r>
      <w:r w:rsidRPr="008C1F53">
        <w:t xml:space="preserve">ssurance </w:t>
      </w:r>
      <w:r w:rsidR="000503D2">
        <w:t>c</w:t>
      </w:r>
      <w:r w:rsidRPr="008C1F53">
        <w:t>ommittee are provided with routine assurances with escalation of any significant limitations or concerns. The board is expected to assure itself of the adequacy and effectiveness of the risk management framework and the operation of internal control</w:t>
      </w:r>
      <w:r w:rsidR="002134A9">
        <w:t>.</w:t>
      </w:r>
      <w:r w:rsidRPr="008C1F53">
        <w:t xml:space="preserve"> </w:t>
      </w:r>
    </w:p>
    <w:p w14:paraId="1AFD7EF1" w14:textId="77777777" w:rsidR="00EA0EA0" w:rsidRDefault="008C1F53" w:rsidP="00454DD8">
      <w:pPr>
        <w:pStyle w:val="Heading3"/>
      </w:pPr>
      <w:r w:rsidRPr="008C1F53">
        <w:t xml:space="preserve">The </w:t>
      </w:r>
      <w:r w:rsidRPr="00454DD8">
        <w:t>Chair’s</w:t>
      </w:r>
      <w:r w:rsidRPr="008C1F53">
        <w:t xml:space="preserve"> role and responsibilities </w:t>
      </w:r>
    </w:p>
    <w:p w14:paraId="09FBAAD0" w14:textId="1AA5E6C5" w:rsidR="00EA0EA0" w:rsidRDefault="00EA0EA0" w:rsidP="00E309F6">
      <w:pPr>
        <w:pStyle w:val="ParagraphText-unnumbered"/>
      </w:pPr>
      <w:r w:rsidRPr="00EA0EA0">
        <w:t>T</w:t>
      </w:r>
      <w:r w:rsidR="008C1F53" w:rsidRPr="00EA0EA0">
        <w:t>he</w:t>
      </w:r>
      <w:r w:rsidR="008C1F53" w:rsidRPr="008C1F53">
        <w:t xml:space="preserve"> </w:t>
      </w:r>
      <w:r w:rsidR="002A67AA">
        <w:t>c</w:t>
      </w:r>
      <w:r w:rsidR="008C1F53" w:rsidRPr="008C1F53">
        <w:t xml:space="preserve">hair is responsible for leading the board in the delivery of its responsibilities. Such responsibility should be exercised in the light of their duties and responsibilities as set out in the </w:t>
      </w:r>
      <w:r w:rsidR="002A67AA">
        <w:t>c</w:t>
      </w:r>
      <w:r w:rsidR="008C1F53" w:rsidRPr="008C1F53">
        <w:t xml:space="preserve">hair’s </w:t>
      </w:r>
      <w:r w:rsidR="00024DAA">
        <w:t>terms of appointment</w:t>
      </w:r>
      <w:r w:rsidR="008C1F53" w:rsidRPr="008C1F53">
        <w:t>,</w:t>
      </w:r>
      <w:r w:rsidR="008D1A35">
        <w:t xml:space="preserve"> included in their </w:t>
      </w:r>
      <w:r w:rsidR="008C1F53" w:rsidRPr="008C1F53">
        <w:t xml:space="preserve">appointment letter, the statutory authority governing </w:t>
      </w:r>
      <w:r w:rsidR="002134A9">
        <w:t xml:space="preserve">HEE </w:t>
      </w:r>
      <w:r w:rsidR="008C1F53" w:rsidRPr="008C1F53">
        <w:t xml:space="preserve">, this document and the documents and guidance referred to within this document. </w:t>
      </w:r>
    </w:p>
    <w:p w14:paraId="16D49713" w14:textId="1D4067C7" w:rsidR="00EA0EA0" w:rsidRDefault="008C1F53" w:rsidP="00E309F6">
      <w:pPr>
        <w:pStyle w:val="ParagraphText-unnumbered"/>
      </w:pPr>
      <w:r w:rsidRPr="008C1F53">
        <w:t xml:space="preserve">Communications between the </w:t>
      </w:r>
      <w:r w:rsidR="002134A9">
        <w:t xml:space="preserve">HEE </w:t>
      </w:r>
      <w:r w:rsidRPr="008C1F53">
        <w:t xml:space="preserve"> board and the </w:t>
      </w:r>
      <w:r w:rsidR="009B0CAC">
        <w:t>r</w:t>
      </w:r>
      <w:r w:rsidRPr="008C1F53">
        <w:t xml:space="preserve">esponsible </w:t>
      </w:r>
      <w:r w:rsidR="009B0CAC">
        <w:t>m</w:t>
      </w:r>
      <w:r w:rsidRPr="008C1F53">
        <w:t xml:space="preserve">inister should normally be through the </w:t>
      </w:r>
      <w:r w:rsidR="009B0CAC">
        <w:t>c</w:t>
      </w:r>
      <w:r w:rsidRPr="008C1F53">
        <w:t>hair.</w:t>
      </w:r>
    </w:p>
    <w:p w14:paraId="74B47F81" w14:textId="4ADA07EC" w:rsidR="00EA0EA0" w:rsidRDefault="008C1F53" w:rsidP="00E309F6">
      <w:pPr>
        <w:pStyle w:val="ParagraphText-unnumbered"/>
      </w:pPr>
      <w:r w:rsidRPr="008C1F53">
        <w:t xml:space="preserve">The </w:t>
      </w:r>
      <w:r w:rsidR="009B0CAC">
        <w:t>c</w:t>
      </w:r>
      <w:r w:rsidRPr="008C1F53">
        <w:t>hair</w:t>
      </w:r>
      <w:r w:rsidR="0092670A">
        <w:t xml:space="preserve"> is </w:t>
      </w:r>
      <w:r w:rsidRPr="008C1F53">
        <w:t xml:space="preserve"> bound by the</w:t>
      </w:r>
      <w:r w:rsidR="00966189">
        <w:t xml:space="preserve"> </w:t>
      </w:r>
      <w:hyperlink r:id="rId20" w:history="1">
        <w:r w:rsidR="00966189" w:rsidRPr="00966189">
          <w:rPr>
            <w:rStyle w:val="Hyperlink"/>
          </w:rPr>
          <w:t>Code of Conduct for Board Members of Public Bodies</w:t>
        </w:r>
      </w:hyperlink>
      <w:r w:rsidRPr="008C1F53">
        <w:t xml:space="preserve">, which covers conduct in the role and includes the </w:t>
      </w:r>
      <w:hyperlink r:id="rId21" w:history="1">
        <w:r w:rsidR="00966189" w:rsidRPr="00966189">
          <w:rPr>
            <w:rStyle w:val="Hyperlink"/>
          </w:rPr>
          <w:t>Nolan Principles of Public Life</w:t>
        </w:r>
      </w:hyperlink>
      <w:r w:rsidR="00966189">
        <w:rPr>
          <w:rStyle w:val="Hyperlink"/>
        </w:rPr>
        <w:t>.</w:t>
      </w:r>
    </w:p>
    <w:p w14:paraId="4B8C5C44" w14:textId="296EBF47" w:rsidR="00EA0EA0" w:rsidRDefault="008C1F53" w:rsidP="00E309F6">
      <w:pPr>
        <w:pStyle w:val="ParagraphText-unnumbered"/>
      </w:pPr>
      <w:r w:rsidRPr="008C1F53">
        <w:t xml:space="preserve">In addition, the </w:t>
      </w:r>
      <w:r w:rsidR="009B0CAC">
        <w:t>c</w:t>
      </w:r>
      <w:r w:rsidRPr="008C1F53">
        <w:t xml:space="preserve">hair is responsible for: </w:t>
      </w:r>
    </w:p>
    <w:p w14:paraId="62BC85D3" w14:textId="18ACD8C4" w:rsidR="00EA0EA0" w:rsidRDefault="00BF46C5" w:rsidP="00EA0EA0">
      <w:pPr>
        <w:pStyle w:val="Bullet"/>
      </w:pPr>
      <w:r>
        <w:t>e</w:t>
      </w:r>
      <w:r w:rsidR="00CC4429" w:rsidRPr="008C1F53">
        <w:t>nsuring</w:t>
      </w:r>
      <w:r w:rsidR="00CC4429">
        <w:t>,</w:t>
      </w:r>
      <w:r w:rsidR="00CC4429" w:rsidRPr="008C1F53">
        <w:t xml:space="preserve"> including</w:t>
      </w:r>
      <w:r w:rsidR="008C1F53" w:rsidRPr="008C1F53">
        <w:t xml:space="preserve"> by monitoring and engaging with appropriate governance arrangements</w:t>
      </w:r>
      <w:r w:rsidR="005C2B5E">
        <w:t xml:space="preserve">, </w:t>
      </w:r>
      <w:r w:rsidR="008C1F53" w:rsidRPr="008C1F53">
        <w:t xml:space="preserve">that  </w:t>
      </w:r>
      <w:r w:rsidR="002134A9">
        <w:t xml:space="preserve">HEE </w:t>
      </w:r>
      <w:r w:rsidR="008C1F53" w:rsidRPr="008C1F53">
        <w:t>affairs are conducted with probity</w:t>
      </w:r>
    </w:p>
    <w:p w14:paraId="7566E9C8" w14:textId="44454979" w:rsidR="00EA0EA0" w:rsidRDefault="008C1F53" w:rsidP="00EA0EA0">
      <w:pPr>
        <w:pStyle w:val="Bullet"/>
      </w:pPr>
      <w:r w:rsidRPr="008C1F53">
        <w:t xml:space="preserve">ensuring that policies and actions support the </w:t>
      </w:r>
      <w:r w:rsidR="009B0CAC">
        <w:t>r</w:t>
      </w:r>
      <w:r w:rsidRPr="008C1F53">
        <w:t xml:space="preserve">esponsible </w:t>
      </w:r>
      <w:r w:rsidR="009B0CAC">
        <w:t>m</w:t>
      </w:r>
      <w:r w:rsidRPr="008C1F53">
        <w:t xml:space="preserve">inister’s  wider strategic policies and where appropriate, these policies and actions should be clearly communicated and disseminated throughout </w:t>
      </w:r>
      <w:r w:rsidR="00C04C78">
        <w:t>HEE</w:t>
      </w:r>
    </w:p>
    <w:p w14:paraId="0823A0B6" w14:textId="31208B36" w:rsidR="00EA0EA0" w:rsidRDefault="008C1F53" w:rsidP="00A66AA5">
      <w:pPr>
        <w:pStyle w:val="ParagraphText-unnumbered"/>
      </w:pPr>
      <w:r w:rsidRPr="008C1F53">
        <w:t xml:space="preserve">The </w:t>
      </w:r>
      <w:r w:rsidR="009B0CAC">
        <w:t>c</w:t>
      </w:r>
      <w:r w:rsidRPr="008C1F53">
        <w:t xml:space="preserve">hair has the following leadership responsibilities: </w:t>
      </w:r>
    </w:p>
    <w:p w14:paraId="59D90DC1" w14:textId="488971CE" w:rsidR="00EA0EA0" w:rsidRDefault="008C1F53" w:rsidP="00EA0EA0">
      <w:pPr>
        <w:pStyle w:val="Bullet"/>
      </w:pPr>
      <w:r w:rsidRPr="008C1F53">
        <w:t>formulating the board’s strategy</w:t>
      </w:r>
    </w:p>
    <w:p w14:paraId="76F18252" w14:textId="5D3755DC" w:rsidR="00EA0EA0" w:rsidRDefault="008C1F53" w:rsidP="00EA0EA0">
      <w:pPr>
        <w:pStyle w:val="Bullet"/>
      </w:pPr>
      <w:r w:rsidRPr="008C1F53">
        <w:t xml:space="preserve">ensuring that the board, in reaching decisions, takes proper account of guidance provided by the </w:t>
      </w:r>
      <w:r w:rsidR="005B41CF">
        <w:t>r</w:t>
      </w:r>
      <w:r w:rsidRPr="008C1F53">
        <w:t xml:space="preserve">esponsible </w:t>
      </w:r>
      <w:r w:rsidR="00C106D7">
        <w:t>m</w:t>
      </w:r>
      <w:r w:rsidRPr="008C1F53">
        <w:t xml:space="preserve">inister or the </w:t>
      </w:r>
      <w:r w:rsidR="00C106D7">
        <w:t>d</w:t>
      </w:r>
      <w:r w:rsidRPr="008C1F53">
        <w:t xml:space="preserve">epartment </w:t>
      </w:r>
    </w:p>
    <w:p w14:paraId="2A21827F" w14:textId="2EE5B1A3" w:rsidR="00EA0EA0" w:rsidRDefault="008C1F53" w:rsidP="00EA0EA0">
      <w:pPr>
        <w:pStyle w:val="Bullet"/>
      </w:pPr>
      <w:r w:rsidRPr="008C1F53">
        <w:t xml:space="preserve">promoting the efficient and effective use of staff and other resources </w:t>
      </w:r>
    </w:p>
    <w:p w14:paraId="6297FB9B" w14:textId="3CDC9674" w:rsidR="00EA0EA0" w:rsidRDefault="008C1F53" w:rsidP="00EA0EA0">
      <w:pPr>
        <w:pStyle w:val="Bullet"/>
      </w:pPr>
      <w:r w:rsidRPr="008C1F53">
        <w:t xml:space="preserve">delivering high standards of regularity and propriety and </w:t>
      </w:r>
    </w:p>
    <w:p w14:paraId="7B9C4F5C" w14:textId="7584AA9E" w:rsidR="00EA0EA0" w:rsidRDefault="008C1F53" w:rsidP="00EA0EA0">
      <w:pPr>
        <w:pStyle w:val="Bullet"/>
      </w:pPr>
      <w:r w:rsidRPr="008C1F53">
        <w:lastRenderedPageBreak/>
        <w:t xml:space="preserve">representing the views of the board to the general public </w:t>
      </w:r>
    </w:p>
    <w:p w14:paraId="369D6566" w14:textId="7D925E5D" w:rsidR="00EA0EA0" w:rsidRDefault="008C1F53" w:rsidP="00E309F6">
      <w:pPr>
        <w:pStyle w:val="ParagraphText-unnumbered"/>
      </w:pPr>
      <w:r w:rsidRPr="008C1F53">
        <w:t xml:space="preserve">The </w:t>
      </w:r>
      <w:r w:rsidR="00754F81">
        <w:t>c</w:t>
      </w:r>
      <w:r w:rsidRPr="008C1F53">
        <w:t xml:space="preserve">hair also has an obligation to ensure that: </w:t>
      </w:r>
    </w:p>
    <w:p w14:paraId="4F47BFF6" w14:textId="733B166F" w:rsidR="00EA0EA0" w:rsidRDefault="008C1F53" w:rsidP="00EA0EA0">
      <w:pPr>
        <w:pStyle w:val="Bullet"/>
      </w:pPr>
      <w:r w:rsidRPr="008C1F53">
        <w:t xml:space="preserve">the work of the board and its members are reviewed and are working effectively including ongoing assessment of the performance of individual board members with a formal annual evaluation </w:t>
      </w:r>
      <w:r w:rsidR="00193F3E">
        <w:t>more in-depth</w:t>
      </w:r>
      <w:r w:rsidR="00412E9E">
        <w:t xml:space="preserve"> assessments </w:t>
      </w:r>
      <w:r w:rsidRPr="008C1F53">
        <w:t>of the</w:t>
      </w:r>
      <w:r w:rsidR="00DE1780">
        <w:t xml:space="preserve"> </w:t>
      </w:r>
      <w:r w:rsidRPr="008C1F53">
        <w:t>individual  board members</w:t>
      </w:r>
      <w:r w:rsidR="00B34A5C">
        <w:t xml:space="preserve"> when being considered for re-appointment</w:t>
      </w:r>
      <w:r w:rsidRPr="008C1F53">
        <w:t xml:space="preserve"> </w:t>
      </w:r>
    </w:p>
    <w:p w14:paraId="185AF5C3" w14:textId="5C6D3511" w:rsidR="00EA0EA0" w:rsidRDefault="008C1F53" w:rsidP="006040D9">
      <w:pPr>
        <w:pStyle w:val="Bullet"/>
      </w:pPr>
      <w:r w:rsidRPr="008C1F53">
        <w:t xml:space="preserve">that in conducting assessments that the view of relevant stakeholders including employees and the sponsorship team are sought and </w:t>
      </w:r>
      <w:r w:rsidR="00F92864" w:rsidRPr="008C1F53">
        <w:t>considered that</w:t>
      </w:r>
      <w:r w:rsidRPr="008C1F53">
        <w:t xml:space="preserve"> the board has a balance of skills appropriate to directing  </w:t>
      </w:r>
      <w:r w:rsidR="002134A9">
        <w:t xml:space="preserve">HEE </w:t>
      </w:r>
      <w:r w:rsidRPr="008C1F53">
        <w:t xml:space="preserve"> business, and that the </w:t>
      </w:r>
      <w:r w:rsidR="002A67AA">
        <w:t>c</w:t>
      </w:r>
      <w:r w:rsidRPr="008C1F53">
        <w:t>hair</w:t>
      </w:r>
      <w:r w:rsidR="003F4828">
        <w:t xml:space="preserve"> and</w:t>
      </w:r>
      <w:r w:rsidRPr="008C1F53">
        <w:t xml:space="preserve"> </w:t>
      </w:r>
      <w:r w:rsidR="002A67AA">
        <w:t>c</w:t>
      </w:r>
      <w:r w:rsidRPr="008C1F53">
        <w:t xml:space="preserve">hief </w:t>
      </w:r>
      <w:r w:rsidR="002A67AA">
        <w:t>e</w:t>
      </w:r>
      <w:r w:rsidRPr="008C1F53">
        <w:t xml:space="preserve">xecutive </w:t>
      </w:r>
      <w:r w:rsidR="00605D13">
        <w:t xml:space="preserve"> </w:t>
      </w:r>
      <w:r w:rsidRPr="008C1F53">
        <w:t xml:space="preserve">continually update their skills, knowledge and familiarity with  </w:t>
      </w:r>
      <w:r w:rsidR="002134A9">
        <w:t xml:space="preserve">HEE </w:t>
      </w:r>
      <w:r w:rsidRPr="008C1F53">
        <w:t xml:space="preserve">to fulfil their role both on the board and committees. This will include but not be limited to skills and training in relation to financial management and reporting requirements, risk management and the requirements of board membership within the public sector </w:t>
      </w:r>
    </w:p>
    <w:p w14:paraId="7492F122" w14:textId="286A5928" w:rsidR="00EA0EA0" w:rsidRDefault="008C1F53" w:rsidP="00EA0EA0">
      <w:pPr>
        <w:pStyle w:val="Bullet"/>
      </w:pPr>
      <w:r w:rsidRPr="008C1F53">
        <w:t xml:space="preserve">board members are fully briefed on terms of appointment, duties, rights and responsibilities </w:t>
      </w:r>
    </w:p>
    <w:p w14:paraId="4439A781" w14:textId="12EB1EC3" w:rsidR="00EA0EA0" w:rsidRDefault="008C1F53" w:rsidP="00EA0EA0">
      <w:pPr>
        <w:pStyle w:val="Bullet"/>
      </w:pPr>
      <w:r w:rsidRPr="008C1F53">
        <w:t xml:space="preserve">they, together with the other board members, receive appropriate training on financial management and reporting requirements and on any differences that may exist between private and public sector practice </w:t>
      </w:r>
    </w:p>
    <w:p w14:paraId="72DBC6F8" w14:textId="46633EEB" w:rsidR="00EA0EA0" w:rsidRDefault="008C1F53" w:rsidP="00EA0EA0">
      <w:pPr>
        <w:pStyle w:val="Bullet"/>
      </w:pPr>
      <w:r w:rsidRPr="008C1F53">
        <w:t xml:space="preserve">the </w:t>
      </w:r>
      <w:r w:rsidR="00754F81">
        <w:t>r</w:t>
      </w:r>
      <w:r w:rsidRPr="008C1F53">
        <w:t xml:space="preserve">esponsible </w:t>
      </w:r>
      <w:r w:rsidR="00754F81">
        <w:t>m</w:t>
      </w:r>
      <w:r w:rsidRPr="008C1F53">
        <w:t xml:space="preserve">inister is advised of </w:t>
      </w:r>
      <w:r w:rsidR="002134A9">
        <w:t>HEE</w:t>
      </w:r>
      <w:r w:rsidR="005567B7">
        <w:t>'</w:t>
      </w:r>
      <w:r w:rsidRPr="008C1F53">
        <w:t xml:space="preserve">s needs when </w:t>
      </w:r>
      <w:r w:rsidR="00A41FB1">
        <w:t xml:space="preserve">non-executive director </w:t>
      </w:r>
      <w:r w:rsidRPr="008C1F53">
        <w:t xml:space="preserve">board vacancies arise </w:t>
      </w:r>
    </w:p>
    <w:p w14:paraId="746D0064" w14:textId="33CA7F32" w:rsidR="00EA0EA0" w:rsidRDefault="008C1F53" w:rsidP="00EA0EA0">
      <w:pPr>
        <w:pStyle w:val="Bullet"/>
      </w:pPr>
      <w:r w:rsidRPr="008C1F53">
        <w:t xml:space="preserve">there is a </w:t>
      </w:r>
      <w:r w:rsidR="00B52C87">
        <w:t>b</w:t>
      </w:r>
      <w:r w:rsidRPr="008C1F53">
        <w:t xml:space="preserve">oard Operating Framework in place setting out the role and responsibilities of the </w:t>
      </w:r>
      <w:r w:rsidR="00B52C87">
        <w:t>b</w:t>
      </w:r>
      <w:r w:rsidRPr="008C1F53">
        <w:t xml:space="preserve">oard consistent with the </w:t>
      </w:r>
      <w:r w:rsidR="005F103E">
        <w:t>g</w:t>
      </w:r>
      <w:r w:rsidRPr="008C1F53">
        <w:t xml:space="preserve">overnment Code of Good Practice for Corporate Governance </w:t>
      </w:r>
    </w:p>
    <w:p w14:paraId="14B4F68A" w14:textId="77777777" w:rsidR="00EA0EA0" w:rsidRDefault="008C1F53" w:rsidP="00454DD8">
      <w:pPr>
        <w:pStyle w:val="Heading3"/>
      </w:pPr>
      <w:r w:rsidRPr="008C1F53">
        <w:t xml:space="preserve">Individual board members’ responsibilities </w:t>
      </w:r>
    </w:p>
    <w:p w14:paraId="7D62C97F" w14:textId="77777777" w:rsidR="00EA0EA0" w:rsidRDefault="008C1F53" w:rsidP="00E309F6">
      <w:pPr>
        <w:pStyle w:val="ParagraphText-unnumbered"/>
      </w:pPr>
      <w:r w:rsidRPr="008C1F53">
        <w:t xml:space="preserve">Individual board members should: </w:t>
      </w:r>
    </w:p>
    <w:p w14:paraId="51D90446" w14:textId="558350E3" w:rsidR="00EA0EA0" w:rsidRDefault="008C1F53" w:rsidP="00EA0EA0">
      <w:pPr>
        <w:pStyle w:val="Bullet"/>
      </w:pPr>
      <w:r w:rsidRPr="008C1F53">
        <w:t xml:space="preserve">comply at all times with the </w:t>
      </w:r>
      <w:r w:rsidR="00B52C87">
        <w:t>c</w:t>
      </w:r>
      <w:r w:rsidRPr="008C1F53">
        <w:t xml:space="preserve">ode of </w:t>
      </w:r>
      <w:r w:rsidR="00B52C87">
        <w:t>c</w:t>
      </w:r>
      <w:r w:rsidRPr="008C1F53">
        <w:t xml:space="preserve">onduct for </w:t>
      </w:r>
      <w:r w:rsidR="00B52C87">
        <w:t>b</w:t>
      </w:r>
      <w:r w:rsidRPr="008C1F53">
        <w:t xml:space="preserve">oard </w:t>
      </w:r>
      <w:r w:rsidR="00B52C87">
        <w:t>m</w:t>
      </w:r>
      <w:r w:rsidRPr="008C1F53">
        <w:t xml:space="preserve">embers of </w:t>
      </w:r>
      <w:r w:rsidR="00B52C87">
        <w:t>p</w:t>
      </w:r>
      <w:r w:rsidRPr="008C1F53">
        <w:t xml:space="preserve">ublic </w:t>
      </w:r>
      <w:r w:rsidR="00B52C87">
        <w:t>b</w:t>
      </w:r>
      <w:r w:rsidRPr="008C1F53">
        <w:t xml:space="preserve">odies, which covers conduct in the role and includes the Nolan Principles of Public Life as well as rules relating to the use of public funds and to conflicts of interest </w:t>
      </w:r>
    </w:p>
    <w:p w14:paraId="0D85C414" w14:textId="29C2E83D" w:rsidR="00EA0EA0" w:rsidRDefault="008C1F53" w:rsidP="00EA0EA0">
      <w:pPr>
        <w:pStyle w:val="Bullet"/>
      </w:pPr>
      <w:r w:rsidRPr="008C1F53">
        <w:t>demonstrate adherence to the</w:t>
      </w:r>
      <w:r w:rsidR="005567B7">
        <w:t xml:space="preserve"> </w:t>
      </w:r>
      <w:hyperlink r:id="rId22" w:history="1">
        <w:r w:rsidR="00966189" w:rsidRPr="00966189">
          <w:rPr>
            <w:rStyle w:val="Hyperlink"/>
          </w:rPr>
          <w:t>12 Principles of Governance for all Public Body Non-Executive Directors</w:t>
        </w:r>
      </w:hyperlink>
      <w:r w:rsidRPr="008C1F53">
        <w:t xml:space="preserve"> </w:t>
      </w:r>
    </w:p>
    <w:p w14:paraId="5FBFF427" w14:textId="3554227C" w:rsidR="00EA0EA0" w:rsidRDefault="008C1F53" w:rsidP="00EA0EA0">
      <w:pPr>
        <w:pStyle w:val="Bullet"/>
      </w:pPr>
      <w:r w:rsidRPr="008C1F53">
        <w:lastRenderedPageBreak/>
        <w:t xml:space="preserve">not misuse information gained in the course of their public service for personal gain or for political profit, nor seek to use the opportunity of public service to promote their private interests or those of connected persons or organisations </w:t>
      </w:r>
    </w:p>
    <w:p w14:paraId="6206618B" w14:textId="77BBBCF8" w:rsidR="00EA0EA0" w:rsidRDefault="008C1F53" w:rsidP="00EA0EA0">
      <w:pPr>
        <w:pStyle w:val="Bullet"/>
      </w:pPr>
      <w:r w:rsidRPr="008C1F53">
        <w:t xml:space="preserve">comply with the board’s rules on the acceptance of gifts and hospitality, and of business appointments </w:t>
      </w:r>
    </w:p>
    <w:p w14:paraId="29D9087C" w14:textId="784D72B2" w:rsidR="00EA0EA0" w:rsidRDefault="008C1F53" w:rsidP="00EA0EA0">
      <w:pPr>
        <w:pStyle w:val="Bullet"/>
      </w:pPr>
      <w:r w:rsidRPr="008C1F53">
        <w:t>act in good faith and in the best interests of</w:t>
      </w:r>
      <w:r w:rsidR="00966189">
        <w:t xml:space="preserve"> HEE</w:t>
      </w:r>
      <w:r w:rsidRPr="008C1F53">
        <w:t xml:space="preserve"> </w:t>
      </w:r>
    </w:p>
    <w:p w14:paraId="2B0CB8DE" w14:textId="4A8496F1" w:rsidR="00EA0EA0" w:rsidRDefault="008C1F53" w:rsidP="006B07DF">
      <w:pPr>
        <w:pStyle w:val="Bullet"/>
      </w:pPr>
      <w:r w:rsidRPr="008C1F53">
        <w:t xml:space="preserve">ensure they are familiar with any applicable guidance on the role of Public Sector </w:t>
      </w:r>
      <w:r w:rsidR="009E5F37">
        <w:t xml:space="preserve">executive or </w:t>
      </w:r>
      <w:r w:rsidRPr="008C1F53">
        <w:t xml:space="preserve">non-executive directors and </w:t>
      </w:r>
      <w:r w:rsidR="00B52C87">
        <w:t>b</w:t>
      </w:r>
      <w:r w:rsidRPr="008C1F53">
        <w:t>oards that may be issued from time to time by the Cabinet Office, HM Treasury or wider government</w:t>
      </w:r>
      <w:r w:rsidR="00E309F6">
        <w:t>.</w:t>
      </w:r>
    </w:p>
    <w:p w14:paraId="49434C73" w14:textId="6A48EE21" w:rsidR="00EA0EA0" w:rsidRDefault="00EA0EA0" w:rsidP="001D4185">
      <w:pPr>
        <w:pStyle w:val="Heading2"/>
      </w:pPr>
      <w:bookmarkStart w:id="6" w:name="_Toc110582333"/>
      <w:r w:rsidRPr="00EA0EA0">
        <w:t>Management and financial responsibilities and controls</w:t>
      </w:r>
      <w:bookmarkEnd w:id="6"/>
      <w:r w:rsidRPr="00EA0EA0">
        <w:t xml:space="preserve"> </w:t>
      </w:r>
    </w:p>
    <w:p w14:paraId="35D8A63A" w14:textId="77777777" w:rsidR="00EA0EA0" w:rsidRDefault="00EA0EA0" w:rsidP="001D4185">
      <w:pPr>
        <w:pStyle w:val="Heading3"/>
      </w:pPr>
      <w:r w:rsidRPr="00EA0EA0">
        <w:t xml:space="preserve">Delegated authorities </w:t>
      </w:r>
    </w:p>
    <w:p w14:paraId="536DDFBA" w14:textId="14BA2B1E" w:rsidR="00EA0EA0" w:rsidRDefault="006D14F1" w:rsidP="00E309F6">
      <w:pPr>
        <w:pStyle w:val="ParagraphText-unnumbered"/>
      </w:pPr>
      <w:r>
        <w:t xml:space="preserve">HEE's </w:t>
      </w:r>
      <w:r w:rsidR="00EA0EA0" w:rsidRPr="00EA0EA0">
        <w:t xml:space="preserve"> delegated authorities are set out in the delegation letter</w:t>
      </w:r>
      <w:r w:rsidR="00EF2F90">
        <w:t>.</w:t>
      </w:r>
      <w:r w:rsidR="00EA0EA0" w:rsidRPr="00EA0EA0">
        <w:t xml:space="preserve"> This delegation letter may be updated and superseded by later versions which may be issued by the sponsor </w:t>
      </w:r>
      <w:r w:rsidR="00C106D7">
        <w:t>d</w:t>
      </w:r>
      <w:r w:rsidR="00EA0EA0" w:rsidRPr="00EA0EA0">
        <w:t xml:space="preserve">epartment in agreement with HM Treasury. </w:t>
      </w:r>
    </w:p>
    <w:p w14:paraId="392CC88C" w14:textId="77777777" w:rsidR="00EA0EA0" w:rsidRDefault="00EA0EA0" w:rsidP="00E309F6">
      <w:pPr>
        <w:pStyle w:val="ParagraphText-unnumbered"/>
      </w:pPr>
      <w:r w:rsidRPr="00EA0EA0">
        <w:t xml:space="preserve">In line with Managing Public Money Annex 2.2 these delegations will be reviewed on an annual basis. </w:t>
      </w:r>
    </w:p>
    <w:p w14:paraId="061684DF" w14:textId="4514CF20" w:rsidR="00EA0EA0" w:rsidRDefault="00EA0EA0" w:rsidP="00E309F6">
      <w:pPr>
        <w:pStyle w:val="ParagraphText-unnumbered"/>
      </w:pPr>
      <w:r w:rsidRPr="00EA0EA0">
        <w:t xml:space="preserve">The ALB shall obtain the </w:t>
      </w:r>
      <w:r w:rsidR="00C106D7">
        <w:t>d</w:t>
      </w:r>
      <w:r w:rsidRPr="00EA0EA0">
        <w:t xml:space="preserve">epartment’s and where appropriate HM Treasury’s prior written approval before: </w:t>
      </w:r>
    </w:p>
    <w:p w14:paraId="28F4029B" w14:textId="1C206888" w:rsidR="00EA0EA0" w:rsidRDefault="00EA0EA0" w:rsidP="00EA0EA0">
      <w:pPr>
        <w:pStyle w:val="Bullet"/>
      </w:pPr>
      <w:r w:rsidRPr="00EA0EA0">
        <w:t xml:space="preserve">entering into any undertaking to incur any expenditure that falls outside the delegations or which is not provided for in </w:t>
      </w:r>
      <w:r w:rsidR="00450D8C">
        <w:t xml:space="preserve">HEE's </w:t>
      </w:r>
      <w:r w:rsidRPr="00EA0EA0">
        <w:t xml:space="preserve">annual budget as approved by the </w:t>
      </w:r>
      <w:r w:rsidR="00C106D7">
        <w:t>d</w:t>
      </w:r>
      <w:r w:rsidRPr="00EA0EA0">
        <w:t xml:space="preserve">epartment </w:t>
      </w:r>
    </w:p>
    <w:p w14:paraId="3414B280" w14:textId="2256EC65" w:rsidR="002134A9" w:rsidRDefault="00EA0EA0" w:rsidP="00EA0EA0">
      <w:pPr>
        <w:pStyle w:val="Bullet"/>
      </w:pPr>
      <w:r w:rsidRPr="00EA0EA0">
        <w:t xml:space="preserve">incurring expenditure for any purpose that is or might be considered novel or contentious, or which has or could have significant future cost implications </w:t>
      </w:r>
    </w:p>
    <w:p w14:paraId="1910A933" w14:textId="4EA873B0" w:rsidR="00EA0EA0" w:rsidRDefault="00EA0EA0" w:rsidP="00EA0EA0">
      <w:pPr>
        <w:pStyle w:val="Bullet"/>
      </w:pPr>
      <w:r w:rsidRPr="00EA0EA0">
        <w:t xml:space="preserve">making any significant change in the scale of operation or funding of any initiative or particular scheme previously approved by the </w:t>
      </w:r>
      <w:r w:rsidR="00C106D7">
        <w:t>d</w:t>
      </w:r>
      <w:r w:rsidRPr="00EA0EA0">
        <w:t xml:space="preserve">epartment </w:t>
      </w:r>
    </w:p>
    <w:p w14:paraId="2F37D50E" w14:textId="2F6AF5FD" w:rsidR="00EA0EA0" w:rsidRDefault="00EA0EA0" w:rsidP="00EA0EA0">
      <w:pPr>
        <w:pStyle w:val="Bullet"/>
      </w:pPr>
      <w:r w:rsidRPr="00EA0EA0">
        <w:t xml:space="preserve">making any change of policy or practice which has wider financial implications that might prove repercussive or which might significantly affect the future level of resources required or </w:t>
      </w:r>
    </w:p>
    <w:p w14:paraId="0BF55786" w14:textId="356BB697" w:rsidR="00EA0EA0" w:rsidRDefault="00EA0EA0" w:rsidP="00EA0EA0">
      <w:pPr>
        <w:pStyle w:val="Bullet"/>
      </w:pPr>
      <w:r w:rsidRPr="00EA0EA0">
        <w:t>carrying out policies that go against the principles, rules, guidance and advice in M</w:t>
      </w:r>
      <w:r w:rsidR="000503D2">
        <w:t xml:space="preserve">PM </w:t>
      </w:r>
      <w:r w:rsidRPr="00EA0EA0">
        <w:t xml:space="preserve"> </w:t>
      </w:r>
    </w:p>
    <w:p w14:paraId="5E2B768F" w14:textId="77777777" w:rsidR="00EA0EA0" w:rsidRDefault="00EA0EA0" w:rsidP="001D4185">
      <w:pPr>
        <w:pStyle w:val="Heading3"/>
      </w:pPr>
      <w:r w:rsidRPr="00EA0EA0">
        <w:lastRenderedPageBreak/>
        <w:t xml:space="preserve">Spending authority </w:t>
      </w:r>
    </w:p>
    <w:p w14:paraId="447045B5" w14:textId="78F79A49" w:rsidR="00EA0EA0" w:rsidRDefault="00EA0EA0" w:rsidP="00E309F6">
      <w:pPr>
        <w:pStyle w:val="ParagraphText-unnumbered"/>
      </w:pPr>
      <w:r w:rsidRPr="00EA0EA0">
        <w:t xml:space="preserve">Once the budget has been approved by the sponsor </w:t>
      </w:r>
      <w:r w:rsidR="009C6291">
        <w:t>d</w:t>
      </w:r>
      <w:r w:rsidRPr="00EA0EA0">
        <w:t xml:space="preserve">epartment </w:t>
      </w:r>
      <w:r w:rsidR="002C250A">
        <w:t xml:space="preserve">HEE </w:t>
      </w:r>
      <w:r w:rsidRPr="00EA0EA0">
        <w:t xml:space="preserve">shall have authority to incur expenditure approved in the budget without further reference to the sponsor </w:t>
      </w:r>
      <w:r w:rsidR="009C6291">
        <w:t>d</w:t>
      </w:r>
      <w:r w:rsidRPr="00EA0EA0">
        <w:t>epartment, on the following conditions:</w:t>
      </w:r>
    </w:p>
    <w:p w14:paraId="222F10F7" w14:textId="2CBA3D2C" w:rsidR="00EA0EA0" w:rsidRDefault="002C250A" w:rsidP="00EA0EA0">
      <w:pPr>
        <w:pStyle w:val="Bullet"/>
      </w:pPr>
      <w:r>
        <w:t xml:space="preserve">HEE </w:t>
      </w:r>
      <w:r w:rsidR="00EA0EA0" w:rsidRPr="00EA0EA0">
        <w:t xml:space="preserve"> shall comply with the delegations set out in the delegation letter. These delegations shall not be altered without the prior agreement of the sponsor </w:t>
      </w:r>
      <w:r w:rsidR="009C6291">
        <w:t>d</w:t>
      </w:r>
      <w:r w:rsidR="00EA0EA0" w:rsidRPr="00EA0EA0">
        <w:t xml:space="preserve">epartment and as agreed by HM Treasury and Cabinet Office as appropriate </w:t>
      </w:r>
    </w:p>
    <w:p w14:paraId="02AA8FE7" w14:textId="7FC97C79" w:rsidR="00EA0EA0" w:rsidRDefault="002C250A" w:rsidP="00EA0EA0">
      <w:pPr>
        <w:pStyle w:val="Bullet"/>
      </w:pPr>
      <w:r>
        <w:t>HEE</w:t>
      </w:r>
      <w:r w:rsidR="00EA0EA0" w:rsidRPr="00EA0EA0">
        <w:t xml:space="preserve"> shall comply with Managing Public Money regarding novel, contentious or repercussive proposals </w:t>
      </w:r>
    </w:p>
    <w:p w14:paraId="645F3EEC" w14:textId="2F745DE6" w:rsidR="00EA0EA0" w:rsidRDefault="00EA0EA0" w:rsidP="00EA0EA0">
      <w:pPr>
        <w:pStyle w:val="Bullet"/>
      </w:pPr>
      <w:r w:rsidRPr="00EA0EA0">
        <w:t xml:space="preserve">inclusion of any planned and approved expenditure in the budget shall not remove the need to seek formal </w:t>
      </w:r>
      <w:r w:rsidR="009C6291">
        <w:t>d</w:t>
      </w:r>
      <w:r w:rsidRPr="00EA0EA0">
        <w:t>epartmental approval where any proposed expenditure is outside the delegated limits or is for new schemes not previously agreed</w:t>
      </w:r>
    </w:p>
    <w:p w14:paraId="34FDD1CF" w14:textId="6EE81F54" w:rsidR="00EA0EA0" w:rsidRDefault="002C250A" w:rsidP="00EA0EA0">
      <w:pPr>
        <w:pStyle w:val="Bullet"/>
      </w:pPr>
      <w:r>
        <w:t xml:space="preserve">HEE </w:t>
      </w:r>
      <w:r w:rsidR="00EA0EA0" w:rsidRPr="00EA0EA0">
        <w:t xml:space="preserve">shall provide the sponsor </w:t>
      </w:r>
      <w:r w:rsidR="009C6291">
        <w:t>d</w:t>
      </w:r>
      <w:r w:rsidR="00EA0EA0" w:rsidRPr="00EA0EA0">
        <w:t xml:space="preserve">epartment with such information about its operations, performance, individual projects or other expenditure as the sponsor </w:t>
      </w:r>
      <w:r w:rsidR="009C6291">
        <w:t>d</w:t>
      </w:r>
      <w:r w:rsidR="00EA0EA0" w:rsidRPr="00EA0EA0">
        <w:t>epartment may reasonably require</w:t>
      </w:r>
    </w:p>
    <w:p w14:paraId="0866B62A" w14:textId="4FFB8648" w:rsidR="00EA0EA0" w:rsidRDefault="00EA0EA0" w:rsidP="001D4185">
      <w:pPr>
        <w:pStyle w:val="Heading3"/>
      </w:pPr>
      <w:r w:rsidRPr="00EA0EA0">
        <w:t xml:space="preserve">Banking and </w:t>
      </w:r>
      <w:r w:rsidR="002F5D8B">
        <w:t>m</w:t>
      </w:r>
      <w:r w:rsidRPr="00EA0EA0">
        <w:t xml:space="preserve">anaging </w:t>
      </w:r>
      <w:r w:rsidR="002F5D8B">
        <w:t>c</w:t>
      </w:r>
      <w:r w:rsidRPr="00EA0EA0">
        <w:t xml:space="preserve">ash </w:t>
      </w:r>
    </w:p>
    <w:p w14:paraId="67671311" w14:textId="7E2E3985" w:rsidR="00EA0EA0" w:rsidRDefault="002134A9" w:rsidP="00E309F6">
      <w:pPr>
        <w:pStyle w:val="ParagraphText-unnumbered"/>
      </w:pPr>
      <w:r>
        <w:t xml:space="preserve">HEE </w:t>
      </w:r>
      <w:r w:rsidR="00EA0EA0" w:rsidRPr="00EA0EA0">
        <w:t xml:space="preserve"> must maximise the use of publicly procured banking services (accounts with central government commercial banks managed centrally by </w:t>
      </w:r>
      <w:r w:rsidR="00997BF4">
        <w:t>g</w:t>
      </w:r>
      <w:r w:rsidR="00EA0EA0" w:rsidRPr="00EA0EA0">
        <w:t xml:space="preserve">overnment </w:t>
      </w:r>
      <w:r w:rsidR="00997BF4">
        <w:t>b</w:t>
      </w:r>
      <w:r w:rsidR="00EA0EA0" w:rsidRPr="00EA0EA0">
        <w:t xml:space="preserve">anking). </w:t>
      </w:r>
    </w:p>
    <w:p w14:paraId="78535AA6" w14:textId="79B24896" w:rsidR="00EA0EA0" w:rsidRDefault="009A39AE" w:rsidP="00E309F6">
      <w:pPr>
        <w:pStyle w:val="ParagraphText-unnumbered"/>
      </w:pPr>
      <w:r>
        <w:t xml:space="preserve">HEE </w:t>
      </w:r>
      <w:r w:rsidR="00EA0EA0" w:rsidRPr="00EA0EA0">
        <w:t xml:space="preserve">should only hold money outside </w:t>
      </w:r>
      <w:r w:rsidR="00997BF4">
        <w:t>g</w:t>
      </w:r>
      <w:r w:rsidR="00EA0EA0" w:rsidRPr="00EA0EA0">
        <w:t xml:space="preserve">overnment </w:t>
      </w:r>
      <w:r w:rsidR="00997BF4">
        <w:t>b</w:t>
      </w:r>
      <w:r w:rsidR="00EA0EA0" w:rsidRPr="00EA0EA0">
        <w:t xml:space="preserve">anking </w:t>
      </w:r>
      <w:r w:rsidR="000503D2">
        <w:t>s</w:t>
      </w:r>
      <w:r w:rsidR="00EA0EA0" w:rsidRPr="00EA0EA0">
        <w:t xml:space="preserve">ervice accounts where a good business case can made for doing so and HM Treasury consent is required for each account to be established. Only commercial banks which are members of relevant UK clearing bodies may be considered for this purpose. </w:t>
      </w:r>
    </w:p>
    <w:p w14:paraId="30C98C97" w14:textId="77777777" w:rsidR="00EA0EA0" w:rsidRDefault="00EA0EA0" w:rsidP="00E309F6">
      <w:pPr>
        <w:pStyle w:val="ParagraphText-unnumbered"/>
      </w:pPr>
      <w:r w:rsidRPr="00EA0EA0">
        <w:t xml:space="preserve">Commercial Accounts where approved should be operated in line with the principles as set out in Managing Public Money. </w:t>
      </w:r>
    </w:p>
    <w:p w14:paraId="3F23411E" w14:textId="3EFB4D4B" w:rsidR="00EA0EA0" w:rsidRDefault="00EA0EA0" w:rsidP="00E309F6">
      <w:pPr>
        <w:pStyle w:val="ParagraphText-unnumbered"/>
      </w:pPr>
      <w:r w:rsidRPr="00EA0EA0">
        <w:t xml:space="preserve">The </w:t>
      </w:r>
      <w:r w:rsidR="001358C7">
        <w:t>a</w:t>
      </w:r>
      <w:r w:rsidRPr="00EA0EA0">
        <w:t xml:space="preserve">ccounting </w:t>
      </w:r>
      <w:r w:rsidR="001358C7">
        <w:t>o</w:t>
      </w:r>
      <w:r w:rsidRPr="00EA0EA0">
        <w:t xml:space="preserve">fficer is responsible for ensuring </w:t>
      </w:r>
      <w:r w:rsidR="005B7B0A">
        <w:t>HEE</w:t>
      </w:r>
      <w:r w:rsidRPr="00EA0EA0">
        <w:t xml:space="preserve"> has a </w:t>
      </w:r>
      <w:r w:rsidR="000503D2">
        <w:t>b</w:t>
      </w:r>
      <w:r w:rsidRPr="00EA0EA0">
        <w:t xml:space="preserve">anking </w:t>
      </w:r>
      <w:r w:rsidR="000503D2">
        <w:t>p</w:t>
      </w:r>
      <w:r w:rsidRPr="00EA0EA0">
        <w:t xml:space="preserve">olicy as set out in </w:t>
      </w:r>
      <w:r w:rsidR="000503D2">
        <w:t xml:space="preserve">MPM </w:t>
      </w:r>
      <w:r w:rsidRPr="00EA0EA0">
        <w:t xml:space="preserve"> and ensuring that policy is complied with. </w:t>
      </w:r>
    </w:p>
    <w:p w14:paraId="4685E195" w14:textId="77777777" w:rsidR="00EA0EA0" w:rsidRDefault="00EA0EA0" w:rsidP="001D4185">
      <w:pPr>
        <w:pStyle w:val="Heading3"/>
      </w:pPr>
      <w:bookmarkStart w:id="7" w:name="_Hlk73968929"/>
      <w:r w:rsidRPr="00EA0EA0">
        <w:t xml:space="preserve">Procurement </w:t>
      </w:r>
    </w:p>
    <w:bookmarkEnd w:id="7"/>
    <w:p w14:paraId="192BE820" w14:textId="3520BB9D" w:rsidR="00EA0EA0" w:rsidRDefault="009A39AE" w:rsidP="00E309F6">
      <w:pPr>
        <w:pStyle w:val="ParagraphText-unnumbered"/>
      </w:pPr>
      <w:r>
        <w:t>HEE</w:t>
      </w:r>
      <w:r w:rsidR="00EA0EA0" w:rsidRPr="00EA0EA0">
        <w:t xml:space="preserve"> shall ensure that its procurement policies are aligned with and comply with any relevant UK or other international procurement rules and in particular the Public Contracts Regulations 2015. </w:t>
      </w:r>
    </w:p>
    <w:p w14:paraId="4474C2AE" w14:textId="301B81B6" w:rsidR="00EA0EA0" w:rsidRDefault="009A39AE" w:rsidP="00E309F6">
      <w:pPr>
        <w:pStyle w:val="ParagraphText-unnumbered"/>
      </w:pPr>
      <w:r>
        <w:lastRenderedPageBreak/>
        <w:t>HEE</w:t>
      </w:r>
      <w:r w:rsidR="00EA0EA0" w:rsidRPr="00EA0EA0">
        <w:t xml:space="preserve"> shall establish its procurement policies and document these in a </w:t>
      </w:r>
      <w:r w:rsidR="000503D2">
        <w:t>p</w:t>
      </w:r>
      <w:r w:rsidR="00EA0EA0" w:rsidRPr="00EA0EA0">
        <w:t xml:space="preserve">rocurement </w:t>
      </w:r>
      <w:r w:rsidR="000503D2">
        <w:t>p</w:t>
      </w:r>
      <w:r w:rsidR="00EA0EA0" w:rsidRPr="00EA0EA0">
        <w:t xml:space="preserve">olicy and </w:t>
      </w:r>
      <w:r w:rsidR="000503D2">
        <w:t>p</w:t>
      </w:r>
      <w:r w:rsidR="00EA0EA0" w:rsidRPr="00EA0EA0">
        <w:t xml:space="preserve">rocedures </w:t>
      </w:r>
      <w:r w:rsidR="000503D2">
        <w:t>m</w:t>
      </w:r>
      <w:r w:rsidR="00EA0EA0" w:rsidRPr="00EA0EA0">
        <w:t xml:space="preserve">anual. </w:t>
      </w:r>
    </w:p>
    <w:p w14:paraId="4E5D69BF" w14:textId="2A4BE043" w:rsidR="00EA0EA0" w:rsidRDefault="00EA0EA0" w:rsidP="00E309F6">
      <w:pPr>
        <w:pStyle w:val="ParagraphText-unnumbered"/>
      </w:pPr>
      <w:r w:rsidRPr="00EA0EA0">
        <w:t>In procurement cases where the</w:t>
      </w:r>
      <w:r w:rsidR="009A39AE">
        <w:t xml:space="preserve"> HEE</w:t>
      </w:r>
      <w:r w:rsidRPr="00EA0EA0">
        <w:t xml:space="preserve"> is likely to exceed its delegated authority limit, procurement strategy approval for the specific planned purchase must be sought from the </w:t>
      </w:r>
      <w:r w:rsidR="009A2F47">
        <w:t>d</w:t>
      </w:r>
      <w:r w:rsidRPr="00EA0EA0">
        <w:t xml:space="preserve">epartment’s sponsor team. </w:t>
      </w:r>
    </w:p>
    <w:p w14:paraId="70AEAABC" w14:textId="3BE73D36" w:rsidR="00EA0EA0" w:rsidRDefault="00EA0EA0" w:rsidP="00E309F6">
      <w:pPr>
        <w:pStyle w:val="ParagraphText-unnumbered"/>
      </w:pPr>
      <w:r w:rsidRPr="00EA0EA0">
        <w:t xml:space="preserve">Goods, services, and works should be acquired by competition. Proposals to let single-tender or restricted contracts shall be limited and exceptional, and a quarterly report explaining those exceptions should be sent to the </w:t>
      </w:r>
      <w:r w:rsidR="009A2F47">
        <w:t>d</w:t>
      </w:r>
      <w:r w:rsidRPr="00EA0EA0">
        <w:t xml:space="preserve">epartment. </w:t>
      </w:r>
    </w:p>
    <w:p w14:paraId="77D8F324" w14:textId="6E9929B8" w:rsidR="00EA0EA0" w:rsidRDefault="00EA0EA0" w:rsidP="00E309F6">
      <w:pPr>
        <w:pStyle w:val="ParagraphText-unnumbered"/>
      </w:pPr>
      <w:r w:rsidRPr="00EA0EA0">
        <w:t xml:space="preserve">Procurement by </w:t>
      </w:r>
      <w:r w:rsidR="00604CF2">
        <w:t>HEE</w:t>
      </w:r>
      <w:r w:rsidRPr="00EA0EA0">
        <w:t xml:space="preserve"> of works, equipment, goods, and services shall be based on</w:t>
      </w:r>
      <w:r w:rsidR="00604CF2">
        <w:t xml:space="preserve"> </w:t>
      </w:r>
      <w:r w:rsidRPr="00EA0EA0">
        <w:t xml:space="preserve">a full option appraisal and value for money (VfM), </w:t>
      </w:r>
      <w:r w:rsidR="00604CF2" w:rsidRPr="00EA0EA0">
        <w:t>i.e.,</w:t>
      </w:r>
      <w:r w:rsidRPr="00EA0EA0">
        <w:t xml:space="preserve"> the optimum combination and whole life costs and quality (fitness for purpose). </w:t>
      </w:r>
    </w:p>
    <w:p w14:paraId="4005DE34" w14:textId="2EABD49E" w:rsidR="00494B4F" w:rsidRDefault="009A39AE" w:rsidP="00E309F6">
      <w:pPr>
        <w:pStyle w:val="ParagraphText-unnumbered"/>
      </w:pPr>
      <w:r>
        <w:t>HEE</w:t>
      </w:r>
      <w:r w:rsidR="00EA0EA0" w:rsidRPr="00EA0EA0">
        <w:t xml:space="preserve"> shall </w:t>
      </w:r>
    </w:p>
    <w:p w14:paraId="3EE62992" w14:textId="56265DA4" w:rsidR="00494B4F" w:rsidRDefault="00EA0EA0" w:rsidP="00494B4F">
      <w:pPr>
        <w:pStyle w:val="Bullet"/>
      </w:pPr>
      <w:r w:rsidRPr="00EA0EA0">
        <w:t xml:space="preserve">engage fully with </w:t>
      </w:r>
      <w:r w:rsidR="009A2F47">
        <w:t>d</w:t>
      </w:r>
      <w:r w:rsidRPr="00EA0EA0">
        <w:t xml:space="preserve">epartment and </w:t>
      </w:r>
      <w:r w:rsidR="00997BF4">
        <w:t>g</w:t>
      </w:r>
      <w:r w:rsidRPr="00EA0EA0">
        <w:t xml:space="preserve">overnment wide procurement initiatives that seek to achieve VfM from collaborative projects </w:t>
      </w:r>
    </w:p>
    <w:p w14:paraId="027AA266" w14:textId="18E33CF0" w:rsidR="00494B4F" w:rsidRDefault="00EA0EA0" w:rsidP="00494B4F">
      <w:pPr>
        <w:pStyle w:val="Bullet"/>
      </w:pPr>
      <w:r w:rsidRPr="00EA0EA0">
        <w:t xml:space="preserve">comply with all relevant Procurement Policy Notes issued by Cabinet Office </w:t>
      </w:r>
      <w:r w:rsidR="00264581">
        <w:t>and</w:t>
      </w:r>
    </w:p>
    <w:p w14:paraId="58F4AE3A" w14:textId="60A58D4A" w:rsidR="00EA0EA0" w:rsidRDefault="00EA0EA0" w:rsidP="00494B4F">
      <w:pPr>
        <w:pStyle w:val="Bullet"/>
      </w:pPr>
      <w:r w:rsidRPr="00EA0EA0">
        <w:t>co-operate fully with initiatives to improve the availability of procurement data to facilitate the achievement of VfM</w:t>
      </w:r>
    </w:p>
    <w:p w14:paraId="3DCCD48A" w14:textId="4A2A425F" w:rsidR="00EA0EA0" w:rsidRDefault="009A39AE" w:rsidP="00E309F6">
      <w:pPr>
        <w:pStyle w:val="ParagraphText-unnumbered"/>
      </w:pPr>
      <w:r>
        <w:t xml:space="preserve">HEE </w:t>
      </w:r>
      <w:r w:rsidR="00EA0EA0" w:rsidRPr="00EA0EA0">
        <w:t xml:space="preserve">shall comply with the </w:t>
      </w:r>
      <w:r w:rsidR="00494B4F">
        <w:t xml:space="preserve"> </w:t>
      </w:r>
      <w:hyperlink r:id="rId23" w:history="1">
        <w:r w:rsidR="00494B4F" w:rsidRPr="00494B4F">
          <w:rPr>
            <w:rStyle w:val="Hyperlink"/>
          </w:rPr>
          <w:t>Commercial</w:t>
        </w:r>
      </w:hyperlink>
      <w:r w:rsidR="00EA0EA0" w:rsidRPr="00EA0EA0">
        <w:t xml:space="preserve"> and </w:t>
      </w:r>
      <w:hyperlink r:id="rId24" w:history="1">
        <w:r w:rsidR="00494B4F" w:rsidRPr="00494B4F">
          <w:rPr>
            <w:rStyle w:val="Hyperlink"/>
          </w:rPr>
          <w:t>Grants</w:t>
        </w:r>
      </w:hyperlink>
      <w:r w:rsidR="00494B4F">
        <w:t xml:space="preserve"> standards. T</w:t>
      </w:r>
      <w:r w:rsidR="00EA0EA0" w:rsidRPr="00EA0EA0">
        <w:t xml:space="preserve">hese standards apply to the planning, delivery, and management of government commercial activity, including management of grants in all </w:t>
      </w:r>
      <w:r w:rsidR="009A2F47">
        <w:t>d</w:t>
      </w:r>
      <w:r w:rsidR="00EA0EA0" w:rsidRPr="00EA0EA0">
        <w:t xml:space="preserve">epartments and arm’s length bodies, regardless of commercial approach used and form part of a suite of functional standards that set expectations for management within government. </w:t>
      </w:r>
    </w:p>
    <w:p w14:paraId="76029A6E" w14:textId="77777777" w:rsidR="00EA0EA0" w:rsidRDefault="00EA0EA0" w:rsidP="001D4185">
      <w:pPr>
        <w:pStyle w:val="Heading3"/>
      </w:pPr>
      <w:r w:rsidRPr="00EA0EA0">
        <w:t xml:space="preserve">Risk management </w:t>
      </w:r>
    </w:p>
    <w:p w14:paraId="5CEB682B" w14:textId="5D776D55" w:rsidR="00EA0EA0" w:rsidRDefault="009A39AE" w:rsidP="00E309F6">
      <w:pPr>
        <w:pStyle w:val="ParagraphText-unnumbered"/>
      </w:pPr>
      <w:r>
        <w:t xml:space="preserve">HEE </w:t>
      </w:r>
      <w:r w:rsidR="00EA0EA0" w:rsidRPr="00EA0EA0">
        <w:t xml:space="preserve"> shall ensure that the risks that it faces are dealt with in an appropriate manner, in accordance with relevant aspects of best practice in corporate governance, and develop a risk management strategy, in accordance with the Treasury guidance </w:t>
      </w:r>
      <w:r w:rsidR="000503D2">
        <w:t>m</w:t>
      </w:r>
      <w:r w:rsidR="00EA0EA0" w:rsidRPr="00EA0EA0">
        <w:t xml:space="preserve">anagement of </w:t>
      </w:r>
      <w:r w:rsidR="000503D2">
        <w:t>r</w:t>
      </w:r>
      <w:r w:rsidR="00EA0EA0" w:rsidRPr="00EA0EA0">
        <w:t xml:space="preserve">isk: </w:t>
      </w:r>
      <w:r w:rsidR="000503D2">
        <w:t>p</w:t>
      </w:r>
      <w:r w:rsidR="00EA0EA0" w:rsidRPr="00EA0EA0">
        <w:t xml:space="preserve">rinciples and </w:t>
      </w:r>
      <w:r w:rsidR="000503D2">
        <w:t>c</w:t>
      </w:r>
      <w:r w:rsidR="00EA0EA0" w:rsidRPr="00EA0EA0">
        <w:t>oncepts</w:t>
      </w:r>
      <w:r w:rsidR="00A82CA7">
        <w:t xml:space="preserve">; including sharing a </w:t>
      </w:r>
      <w:r w:rsidR="000503D2">
        <w:t>r</w:t>
      </w:r>
      <w:r w:rsidR="00A82CA7">
        <w:t xml:space="preserve">isk </w:t>
      </w:r>
      <w:r w:rsidR="000503D2">
        <w:t>r</w:t>
      </w:r>
      <w:r w:rsidR="00A82CA7">
        <w:t xml:space="preserve">egister with the </w:t>
      </w:r>
      <w:r w:rsidR="005363C0">
        <w:t>s</w:t>
      </w:r>
      <w:r w:rsidR="00A82CA7">
        <w:t xml:space="preserve">ponsor </w:t>
      </w:r>
      <w:r w:rsidR="005363C0">
        <w:t>t</w:t>
      </w:r>
      <w:r w:rsidR="00A82CA7">
        <w:t>eam</w:t>
      </w:r>
      <w:r w:rsidR="001C6408">
        <w:t xml:space="preserve"> quarterly</w:t>
      </w:r>
      <w:r w:rsidR="00EA0EA0" w:rsidRPr="00EA0EA0">
        <w:t>.</w:t>
      </w:r>
    </w:p>
    <w:p w14:paraId="4E081D5A" w14:textId="21A4CFA1" w:rsidR="00EA0EA0" w:rsidRDefault="00EA0EA0" w:rsidP="001D4185">
      <w:pPr>
        <w:pStyle w:val="Heading3"/>
      </w:pPr>
      <w:r w:rsidRPr="00EA0EA0">
        <w:t xml:space="preserve">Counter </w:t>
      </w:r>
      <w:r w:rsidR="002F5D8B">
        <w:t>f</w:t>
      </w:r>
      <w:r w:rsidRPr="00EA0EA0">
        <w:t xml:space="preserve">raud and </w:t>
      </w:r>
      <w:r w:rsidR="002F5D8B">
        <w:t>t</w:t>
      </w:r>
      <w:r w:rsidRPr="00EA0EA0">
        <w:t xml:space="preserve">heft </w:t>
      </w:r>
    </w:p>
    <w:p w14:paraId="285AD678" w14:textId="71BF8853" w:rsidR="00EA0EA0" w:rsidRDefault="009A39AE" w:rsidP="00E309F6">
      <w:pPr>
        <w:pStyle w:val="ParagraphText-unnumbered"/>
      </w:pPr>
      <w:r>
        <w:t>HEE</w:t>
      </w:r>
      <w:r w:rsidR="00EA0EA0" w:rsidRPr="00EA0EA0">
        <w:t xml:space="preserve"> should adopt and implement policies and practices to safeguard itself against fraud and theft. </w:t>
      </w:r>
    </w:p>
    <w:p w14:paraId="3FE28C17" w14:textId="4F5FA954" w:rsidR="00EA0EA0" w:rsidRDefault="009A39AE" w:rsidP="00E309F6">
      <w:pPr>
        <w:pStyle w:val="ParagraphText-unnumbered"/>
      </w:pPr>
      <w:r>
        <w:lastRenderedPageBreak/>
        <w:t>HEE</w:t>
      </w:r>
      <w:r w:rsidR="00EA0EA0" w:rsidRPr="00EA0EA0">
        <w:t xml:space="preserve"> should act in line with guidance as issued by the </w:t>
      </w:r>
      <w:r w:rsidR="000503D2">
        <w:t>c</w:t>
      </w:r>
      <w:r w:rsidR="00EA0EA0" w:rsidRPr="00EA0EA0">
        <w:t xml:space="preserve">ounter </w:t>
      </w:r>
      <w:r w:rsidR="000503D2">
        <w:t>f</w:t>
      </w:r>
      <w:r w:rsidR="00EA0EA0" w:rsidRPr="00EA0EA0">
        <w:t xml:space="preserve">raud </w:t>
      </w:r>
      <w:r w:rsidR="000503D2">
        <w:t>f</w:t>
      </w:r>
      <w:r w:rsidR="00EA0EA0" w:rsidRPr="00EA0EA0">
        <w:t xml:space="preserve">unction and in compliance with the procedures and considerations as set in in </w:t>
      </w:r>
      <w:r w:rsidR="000503D2">
        <w:t>MPM a</w:t>
      </w:r>
      <w:r w:rsidR="00EA0EA0" w:rsidRPr="00EA0EA0">
        <w:t>nnex 4.9 and</w:t>
      </w:r>
      <w:r w:rsidR="00494B4F">
        <w:t xml:space="preserve"> </w:t>
      </w:r>
      <w:hyperlink r:id="rId25" w:history="1">
        <w:r w:rsidR="00494B4F" w:rsidRPr="00494B4F">
          <w:rPr>
            <w:rStyle w:val="Hyperlink"/>
          </w:rPr>
          <w:t>Counter Fraud Functional Standard</w:t>
        </w:r>
      </w:hyperlink>
      <w:r w:rsidR="00494B4F">
        <w:rPr>
          <w:rStyle w:val="Hyperlink"/>
        </w:rPr>
        <w:t>.</w:t>
      </w:r>
      <w:r w:rsidR="00EA0EA0" w:rsidRPr="00EA0EA0">
        <w:t xml:space="preserve"> It should also take all reasonable steps to appraise the financial standing of any firm or other body with which it intends to enter a contract or to provide grant or grant-in-aid.</w:t>
      </w:r>
    </w:p>
    <w:p w14:paraId="712527AB" w14:textId="420F9EC9" w:rsidR="00EA0EA0" w:rsidRDefault="009A39AE" w:rsidP="00E309F6">
      <w:pPr>
        <w:pStyle w:val="ParagraphText-unnumbered"/>
      </w:pPr>
      <w:r>
        <w:t>HEE</w:t>
      </w:r>
      <w:r w:rsidR="00EA0EA0" w:rsidRPr="00EA0EA0">
        <w:t xml:space="preserve"> should keep records of</w:t>
      </w:r>
      <w:r w:rsidR="009E367E">
        <w:t xml:space="preserve">, </w:t>
      </w:r>
      <w:r w:rsidR="00EA0EA0" w:rsidRPr="00EA0EA0">
        <w:t xml:space="preserve">and prepare and forward to the </w:t>
      </w:r>
      <w:r w:rsidR="009A2F47">
        <w:t>d</w:t>
      </w:r>
      <w:r w:rsidR="00EA0EA0" w:rsidRPr="00EA0EA0">
        <w:t xml:space="preserve">epartment an annual report on fraud and theft suffered by </w:t>
      </w:r>
      <w:r>
        <w:t>HEE</w:t>
      </w:r>
      <w:r w:rsidR="00EA0EA0" w:rsidRPr="00EA0EA0">
        <w:t xml:space="preserve"> and notify the sponsor </w:t>
      </w:r>
      <w:r w:rsidR="009A2F47">
        <w:t>d</w:t>
      </w:r>
      <w:r w:rsidR="00EA0EA0" w:rsidRPr="00EA0EA0">
        <w:t>epartment of any unusual or major incidents as soon as possible.</w:t>
      </w:r>
      <w:r>
        <w:t xml:space="preserve"> HEE </w:t>
      </w:r>
      <w:r w:rsidR="00EA0EA0" w:rsidRPr="00EA0EA0">
        <w:t xml:space="preserve">should also report detected loss from fraud, bribery, corruption and error, alongside associated recoveries and prevented losses, to the counter fraud centre of expertise in line with the agreed government definitions as set out in </w:t>
      </w:r>
      <w:hyperlink r:id="rId26" w:history="1">
        <w:r w:rsidR="00494B4F" w:rsidRPr="00494B4F">
          <w:rPr>
            <w:rStyle w:val="Hyperlink"/>
          </w:rPr>
          <w:t>Counter Fraud Functional Standard</w:t>
        </w:r>
      </w:hyperlink>
      <w:r w:rsidR="00B45FEE">
        <w:rPr>
          <w:rStyle w:val="Hyperlink"/>
        </w:rPr>
        <w:t>.</w:t>
      </w:r>
    </w:p>
    <w:p w14:paraId="6748DCE3" w14:textId="375660DD" w:rsidR="00494B4F" w:rsidRDefault="00494B4F" w:rsidP="001D4185">
      <w:pPr>
        <w:pStyle w:val="Heading3"/>
      </w:pPr>
      <w:r>
        <w:t>Staff</w:t>
      </w:r>
    </w:p>
    <w:p w14:paraId="396FB8BE" w14:textId="1FAE9030" w:rsidR="00EA0EA0" w:rsidRDefault="00494B4F" w:rsidP="001D4185">
      <w:pPr>
        <w:pStyle w:val="Heading4"/>
      </w:pPr>
      <w:r>
        <w:t xml:space="preserve">Broad </w:t>
      </w:r>
      <w:r w:rsidR="002F5D8B">
        <w:t>r</w:t>
      </w:r>
      <w:r w:rsidR="00EA0EA0" w:rsidRPr="00EA0EA0">
        <w:t xml:space="preserve">esponsibilities for </w:t>
      </w:r>
      <w:r w:rsidR="002F5D8B">
        <w:t>s</w:t>
      </w:r>
      <w:r w:rsidR="00EA0EA0" w:rsidRPr="00EA0EA0">
        <w:t xml:space="preserve">taff </w:t>
      </w:r>
    </w:p>
    <w:p w14:paraId="0E0F20FA" w14:textId="15FCC28B" w:rsidR="00EA0EA0" w:rsidRDefault="00EA0EA0" w:rsidP="00E309F6">
      <w:pPr>
        <w:pStyle w:val="ParagraphText-unnumbered"/>
      </w:pPr>
      <w:r w:rsidRPr="00EA0EA0">
        <w:t xml:space="preserve">Within the arrangements approved by the </w:t>
      </w:r>
      <w:r w:rsidR="00754F81">
        <w:t>r</w:t>
      </w:r>
      <w:r w:rsidRPr="00EA0EA0">
        <w:t xml:space="preserve">esponsible </w:t>
      </w:r>
      <w:r w:rsidR="00754F81">
        <w:t>m</w:t>
      </w:r>
      <w:r w:rsidRPr="00EA0EA0">
        <w:t>inister</w:t>
      </w:r>
      <w:r w:rsidR="00494B4F">
        <w:t>,</w:t>
      </w:r>
      <w:r w:rsidRPr="00EA0EA0">
        <w:t xml:space="preserve"> </w:t>
      </w:r>
      <w:r w:rsidR="00494B4F">
        <w:t xml:space="preserve">HEE </w:t>
      </w:r>
      <w:r w:rsidRPr="00EA0EA0">
        <w:t xml:space="preserve">will have responsibility for the recruitment, retention and motivation of its staff. The broad responsibilities toward its staff are to ensure that: </w:t>
      </w:r>
    </w:p>
    <w:p w14:paraId="7570C306" w14:textId="23632B07" w:rsidR="00EA0EA0" w:rsidRDefault="00EA0EA0" w:rsidP="00EA0EA0">
      <w:pPr>
        <w:pStyle w:val="Bullet"/>
      </w:pPr>
      <w:r w:rsidRPr="00EA0EA0">
        <w:t xml:space="preserve">the rules for recruitment and management of staff create an inclusive culture in which diversity is fully valued; appointment and advancement is based on merit: there is no discrimination </w:t>
      </w:r>
      <w:r w:rsidR="007B67F4">
        <w:t xml:space="preserve">against </w:t>
      </w:r>
      <w:r w:rsidR="008E637A">
        <w:t>employees with protected characteristic under the Equality Act 2010</w:t>
      </w:r>
    </w:p>
    <w:p w14:paraId="01F6C3D4" w14:textId="2E76605E" w:rsidR="00EA0EA0" w:rsidRDefault="00EA0EA0" w:rsidP="00EA0EA0">
      <w:pPr>
        <w:pStyle w:val="Bullet"/>
      </w:pPr>
      <w:r w:rsidRPr="00EA0EA0">
        <w:t>the level and structure of its staffing, including grading and staff numbers, are appropriate to its functions and the requirements of economy, efficiency and effectiveness</w:t>
      </w:r>
    </w:p>
    <w:p w14:paraId="72C35F39" w14:textId="0E5BD22A" w:rsidR="00EA0EA0" w:rsidRDefault="00EA0EA0" w:rsidP="00EA0EA0">
      <w:pPr>
        <w:pStyle w:val="Bullet"/>
      </w:pPr>
      <w:r w:rsidRPr="00EA0EA0">
        <w:t xml:space="preserve">the performance of its staff at all levels is satisfactorily appraised and the </w:t>
      </w:r>
      <w:r w:rsidR="00494B4F">
        <w:t xml:space="preserve">HEE </w:t>
      </w:r>
      <w:r w:rsidRPr="00EA0EA0">
        <w:t>performance measurement systems are reviewed from time to time;</w:t>
      </w:r>
    </w:p>
    <w:p w14:paraId="11155408" w14:textId="739A4AD4" w:rsidR="00494B4F" w:rsidRDefault="00EA0EA0" w:rsidP="00EA0EA0">
      <w:pPr>
        <w:pStyle w:val="Bullet"/>
      </w:pPr>
      <w:r w:rsidRPr="00EA0EA0">
        <w:t xml:space="preserve">its staff are encouraged to acquire the appropriate professional, management and other expertise necessary to achieve </w:t>
      </w:r>
      <w:r w:rsidR="00494B4F">
        <w:t>HEE</w:t>
      </w:r>
      <w:r w:rsidRPr="00EA0EA0">
        <w:t>’s objectives;</w:t>
      </w:r>
    </w:p>
    <w:p w14:paraId="4C290B4A" w14:textId="0135A25A" w:rsidR="00EA0EA0" w:rsidRDefault="00EA0EA0" w:rsidP="00EA0EA0">
      <w:pPr>
        <w:pStyle w:val="Bullet"/>
      </w:pPr>
      <w:r w:rsidRPr="00EA0EA0">
        <w:t>proper consultation with staff takes place on key issues affecting them;</w:t>
      </w:r>
    </w:p>
    <w:p w14:paraId="5DA2F0EB" w14:textId="01A20993" w:rsidR="00EA0EA0" w:rsidRDefault="00EA0EA0" w:rsidP="00EA0EA0">
      <w:pPr>
        <w:pStyle w:val="Bullet"/>
      </w:pPr>
      <w:r w:rsidRPr="00EA0EA0">
        <w:t>adequate grievance and disciplinary procedures are in place;</w:t>
      </w:r>
    </w:p>
    <w:p w14:paraId="4F015BCF" w14:textId="7B11FDEA" w:rsidR="00EA0EA0" w:rsidRDefault="00EA0EA0" w:rsidP="00EA0EA0">
      <w:pPr>
        <w:pStyle w:val="Bullet"/>
      </w:pPr>
      <w:r w:rsidRPr="00EA0EA0">
        <w:t xml:space="preserve">whistle-blowing procedures consistent with the Public Interest Disclosure Act are in place; </w:t>
      </w:r>
      <w:r w:rsidR="00B45FEE">
        <w:t>and</w:t>
      </w:r>
    </w:p>
    <w:p w14:paraId="022BF862" w14:textId="6E4A8A85" w:rsidR="007F0A05" w:rsidRDefault="00EA0EA0" w:rsidP="00EA0EA0">
      <w:pPr>
        <w:pStyle w:val="Bullet"/>
      </w:pPr>
      <w:r w:rsidRPr="00EA0EA0">
        <w:lastRenderedPageBreak/>
        <w:t>a code of conduct for staff is in place based on the Cabinet Office’s</w:t>
      </w:r>
      <w:r w:rsidR="00494B4F">
        <w:t xml:space="preserve"> </w:t>
      </w:r>
      <w:hyperlink r:id="rId27" w:history="1">
        <w:r w:rsidR="00494B4F" w:rsidRPr="00494B4F">
          <w:rPr>
            <w:rStyle w:val="Hyperlink"/>
          </w:rPr>
          <w:t>Model Code for Staff of Executive Non-departmental Public Bodies</w:t>
        </w:r>
      </w:hyperlink>
      <w:r w:rsidRPr="00EA0EA0">
        <w:t xml:space="preserve">. </w:t>
      </w:r>
    </w:p>
    <w:p w14:paraId="6BE47575" w14:textId="77777777" w:rsidR="007F0A05" w:rsidRDefault="00EA0EA0" w:rsidP="001D4185">
      <w:pPr>
        <w:pStyle w:val="Heading4"/>
      </w:pPr>
      <w:r w:rsidRPr="00EA0EA0">
        <w:t xml:space="preserve">Staff </w:t>
      </w:r>
      <w:r w:rsidRPr="00494B4F">
        <w:t>costs</w:t>
      </w:r>
      <w:r w:rsidRPr="00EA0EA0">
        <w:t xml:space="preserve"> </w:t>
      </w:r>
    </w:p>
    <w:p w14:paraId="367AE9A4" w14:textId="1CC0171B" w:rsidR="007F0A05" w:rsidRDefault="00EA0EA0" w:rsidP="00E309F6">
      <w:pPr>
        <w:pStyle w:val="ParagraphText-unnumbered"/>
      </w:pPr>
      <w:r w:rsidRPr="00EA0EA0">
        <w:t xml:space="preserve">Subject to its delegated authorities, </w:t>
      </w:r>
      <w:r w:rsidR="004F0584">
        <w:t>HEE</w:t>
      </w:r>
      <w:r w:rsidRPr="00EA0EA0">
        <w:t xml:space="preserve"> shall ensure that the creation of any additional posts does not incur forward commitments that will exceed its ability to pay for them. </w:t>
      </w:r>
      <w:r w:rsidR="0074246C">
        <w:t>HEE</w:t>
      </w:r>
      <w:r w:rsidR="0074246C" w:rsidRPr="0074246C">
        <w:t xml:space="preserve"> will comply with any </w:t>
      </w:r>
      <w:r w:rsidR="007720B5">
        <w:t>d</w:t>
      </w:r>
      <w:r w:rsidR="0074246C" w:rsidRPr="0074246C">
        <w:t>epartmental or government-wide recruitment controls as applicable to NHS employing organisations.</w:t>
      </w:r>
    </w:p>
    <w:p w14:paraId="246204C8" w14:textId="77777777" w:rsidR="007F0A05" w:rsidRDefault="00EA0EA0" w:rsidP="001D4185">
      <w:pPr>
        <w:pStyle w:val="Heading4"/>
      </w:pPr>
      <w:r w:rsidRPr="00EA0EA0">
        <w:t xml:space="preserve">Pay and </w:t>
      </w:r>
      <w:r w:rsidRPr="000A240B">
        <w:t>conditions</w:t>
      </w:r>
      <w:r w:rsidRPr="00EA0EA0">
        <w:t xml:space="preserve"> of service </w:t>
      </w:r>
    </w:p>
    <w:p w14:paraId="5F5E3C14" w14:textId="10431AAA" w:rsidR="007F0A05" w:rsidRDefault="0074246C" w:rsidP="00E309F6">
      <w:pPr>
        <w:pStyle w:val="ParagraphText-unnumbered"/>
      </w:pPr>
      <w:r>
        <w:t>HEE</w:t>
      </w:r>
      <w:r w:rsidR="00EA0EA0" w:rsidRPr="00EA0EA0">
        <w:t xml:space="preserve">’s staff are subject to levels of remuneration and terms and conditions of service (including pensions) within the general pay structure approved by the sponsor </w:t>
      </w:r>
      <w:r w:rsidR="007720B5">
        <w:t>d</w:t>
      </w:r>
      <w:r w:rsidR="00EA0EA0" w:rsidRPr="00EA0EA0">
        <w:t xml:space="preserve">epartment and the Treasury. </w:t>
      </w:r>
      <w:r w:rsidR="001F3779">
        <w:t>HEE</w:t>
      </w:r>
      <w:r w:rsidR="00EA0EA0" w:rsidRPr="00EA0EA0">
        <w:t xml:space="preserve"> has no delegated power to amend these terms and conditions.</w:t>
      </w:r>
    </w:p>
    <w:p w14:paraId="046B2ACA" w14:textId="7962938B" w:rsidR="007F0A05" w:rsidRDefault="00EA0EA0" w:rsidP="00E309F6">
      <w:pPr>
        <w:pStyle w:val="ParagraphText-unnumbered"/>
      </w:pPr>
      <w:r w:rsidRPr="00EA0EA0">
        <w:t xml:space="preserve">Staff terms and conditions should be set out in an Employee Handbook, which should be provided to the </w:t>
      </w:r>
      <w:r w:rsidR="007720B5">
        <w:t>d</w:t>
      </w:r>
      <w:r w:rsidRPr="00EA0EA0">
        <w:t xml:space="preserve">epartment together with subsequent amendments. </w:t>
      </w:r>
    </w:p>
    <w:p w14:paraId="1E5547E6" w14:textId="2C929812" w:rsidR="007F0A05" w:rsidRDefault="002C250A" w:rsidP="00E309F6">
      <w:pPr>
        <w:pStyle w:val="ParagraphText-unnumbered"/>
      </w:pPr>
      <w:r>
        <w:t xml:space="preserve">HEE </w:t>
      </w:r>
      <w:r w:rsidR="00EA0EA0" w:rsidRPr="00EA0EA0">
        <w:t xml:space="preserve"> shall abide by public sector pay controls, including the relevant approvals process dependent on the organisations classification as detailed in the </w:t>
      </w:r>
      <w:hyperlink r:id="rId28" w:history="1">
        <w:r w:rsidR="0074246C" w:rsidRPr="0074246C">
          <w:rPr>
            <w:rStyle w:val="Hyperlink"/>
          </w:rPr>
          <w:t>Senior Pay Guidance</w:t>
        </w:r>
      </w:hyperlink>
      <w:r w:rsidR="0074246C">
        <w:rPr>
          <w:rStyle w:val="Hyperlink"/>
        </w:rPr>
        <w:t xml:space="preserve"> </w:t>
      </w:r>
      <w:r w:rsidR="00EA0EA0" w:rsidRPr="00EA0EA0">
        <w:t>and the</w:t>
      </w:r>
      <w:r w:rsidR="0074246C">
        <w:t xml:space="preserve"> </w:t>
      </w:r>
      <w:hyperlink r:id="rId29" w:history="1">
        <w:r w:rsidR="0074246C" w:rsidRPr="0074246C">
          <w:rPr>
            <w:rStyle w:val="Hyperlink"/>
          </w:rPr>
          <w:t>public sector pay and terms guidance</w:t>
        </w:r>
      </w:hyperlink>
      <w:r w:rsidR="00EA0EA0" w:rsidRPr="00EA0EA0">
        <w:t xml:space="preserve">. </w:t>
      </w:r>
    </w:p>
    <w:p w14:paraId="5525A9BD" w14:textId="620DBD15" w:rsidR="0074246C" w:rsidRPr="0074246C" w:rsidRDefault="0074246C" w:rsidP="00E309F6">
      <w:pPr>
        <w:pStyle w:val="ParagraphText-unnumbered"/>
      </w:pPr>
      <w:r w:rsidRPr="0074246C">
        <w:t xml:space="preserve">Many of </w:t>
      </w:r>
      <w:r>
        <w:t>HEE</w:t>
      </w:r>
      <w:r w:rsidRPr="0074246C">
        <w:t xml:space="preserve">'s staff are employed on </w:t>
      </w:r>
      <w:r w:rsidR="000503D2">
        <w:t>a</w:t>
      </w:r>
      <w:r w:rsidRPr="0074246C">
        <w:t xml:space="preserve">genda for </w:t>
      </w:r>
      <w:r w:rsidR="000503D2">
        <w:t>c</w:t>
      </w:r>
      <w:r w:rsidRPr="0074246C">
        <w:t xml:space="preserve">hange terms and conditions. Agenda for </w:t>
      </w:r>
      <w:r w:rsidR="000503D2">
        <w:t>c</w:t>
      </w:r>
      <w:r w:rsidRPr="0074246C">
        <w:t xml:space="preserve">hange staff remuneration is subject to the government response to the recommendations of the NHS </w:t>
      </w:r>
      <w:r w:rsidR="000503D2">
        <w:t>p</w:t>
      </w:r>
      <w:r w:rsidRPr="0074246C">
        <w:t xml:space="preserve">ay </w:t>
      </w:r>
      <w:r w:rsidR="000503D2">
        <w:t>r</w:t>
      </w:r>
      <w:r w:rsidRPr="0074246C">
        <w:t xml:space="preserve">eview </w:t>
      </w:r>
      <w:r w:rsidR="000503D2">
        <w:t>b</w:t>
      </w:r>
      <w:r w:rsidRPr="0074246C">
        <w:t xml:space="preserve">ody. Where staff are employed on medical or dental terms and conditions, remuneration is subject to the </w:t>
      </w:r>
      <w:r w:rsidR="00997BF4">
        <w:t>g</w:t>
      </w:r>
      <w:r w:rsidRPr="0074246C">
        <w:t xml:space="preserve">overnment's response to the </w:t>
      </w:r>
      <w:r w:rsidR="000503D2">
        <w:t>r</w:t>
      </w:r>
      <w:r w:rsidRPr="0074246C">
        <w:t xml:space="preserve">eview </w:t>
      </w:r>
      <w:r w:rsidR="000503D2">
        <w:t>b</w:t>
      </w:r>
      <w:r w:rsidRPr="0074246C">
        <w:t xml:space="preserve">ody on </w:t>
      </w:r>
      <w:r w:rsidR="000503D2">
        <w:t>d</w:t>
      </w:r>
      <w:r w:rsidRPr="0074246C">
        <w:t xml:space="preserve">octors' and </w:t>
      </w:r>
      <w:r w:rsidR="000503D2">
        <w:t>d</w:t>
      </w:r>
      <w:r w:rsidRPr="0074246C">
        <w:t xml:space="preserve">entists' </w:t>
      </w:r>
      <w:r w:rsidR="000503D2">
        <w:t>r</w:t>
      </w:r>
      <w:r w:rsidRPr="0074246C">
        <w:t>emuneration's recommendations.</w:t>
      </w:r>
    </w:p>
    <w:p w14:paraId="4B21B448" w14:textId="7923BB32" w:rsidR="0074246C" w:rsidRDefault="0074246C" w:rsidP="00E309F6">
      <w:pPr>
        <w:pStyle w:val="ParagraphText-unnumbered"/>
      </w:pPr>
      <w:r w:rsidRPr="0074246C">
        <w:t xml:space="preserve">Executive and </w:t>
      </w:r>
      <w:r w:rsidR="00F92864">
        <w:t>s</w:t>
      </w:r>
      <w:r w:rsidR="00F92864" w:rsidRPr="0074246C">
        <w:t>enior</w:t>
      </w:r>
      <w:r w:rsidR="000503D2" w:rsidRPr="0074246C">
        <w:t xml:space="preserve"> </w:t>
      </w:r>
      <w:r w:rsidRPr="0074246C">
        <w:t xml:space="preserve">Managers in </w:t>
      </w:r>
      <w:r>
        <w:t xml:space="preserve">HEE </w:t>
      </w:r>
      <w:r w:rsidRPr="0074246C">
        <w:t xml:space="preserve">are subject to the </w:t>
      </w:r>
      <w:r w:rsidR="007720B5">
        <w:t>d</w:t>
      </w:r>
      <w:r w:rsidRPr="0074246C">
        <w:t xml:space="preserve">epartment's pay framework for </w:t>
      </w:r>
      <w:r w:rsidR="000503D2">
        <w:t>e</w:t>
      </w:r>
      <w:r w:rsidRPr="0074246C">
        <w:t xml:space="preserve">xecutive and </w:t>
      </w:r>
      <w:r w:rsidR="000503D2">
        <w:t>s</w:t>
      </w:r>
      <w:r w:rsidRPr="0074246C">
        <w:t xml:space="preserve">enior </w:t>
      </w:r>
      <w:r w:rsidR="000503D2">
        <w:t>m</w:t>
      </w:r>
      <w:r w:rsidRPr="0074246C">
        <w:t xml:space="preserve">anagers in arms' length bodies and may be subject to additional governance as specified by the </w:t>
      </w:r>
      <w:r w:rsidR="007720B5">
        <w:t>d</w:t>
      </w:r>
      <w:r w:rsidRPr="0074246C">
        <w:t xml:space="preserve">epartment. From the 2022-23 pay round, decisions on the annual pay award for </w:t>
      </w:r>
      <w:r w:rsidR="000503D2">
        <w:t>e</w:t>
      </w:r>
      <w:r w:rsidRPr="0074246C">
        <w:t xml:space="preserve">xecutive and </w:t>
      </w:r>
      <w:r w:rsidR="000503D2">
        <w:t>s</w:t>
      </w:r>
      <w:r w:rsidRPr="0074246C">
        <w:t xml:space="preserve">enior </w:t>
      </w:r>
      <w:r w:rsidR="000503D2">
        <w:t>m</w:t>
      </w:r>
      <w:r w:rsidRPr="0074246C">
        <w:t xml:space="preserve">anagers in the NHS will be made based on the government's response to the </w:t>
      </w:r>
      <w:r w:rsidR="000503D2">
        <w:t>s</w:t>
      </w:r>
      <w:r w:rsidRPr="0074246C">
        <w:t xml:space="preserve">enior </w:t>
      </w:r>
      <w:r w:rsidR="000503D2">
        <w:t>s</w:t>
      </w:r>
      <w:r w:rsidRPr="0074246C">
        <w:t>alaries</w:t>
      </w:r>
      <w:r w:rsidR="000503D2">
        <w:t xml:space="preserve"> r</w:t>
      </w:r>
      <w:r w:rsidRPr="0074246C">
        <w:t>eview Body recommendations</w:t>
      </w:r>
    </w:p>
    <w:p w14:paraId="528A66F1" w14:textId="52D153FC" w:rsidR="0074246C" w:rsidRPr="0074246C" w:rsidRDefault="0074246C" w:rsidP="00E309F6">
      <w:pPr>
        <w:pStyle w:val="ParagraphText-unnumbered"/>
      </w:pPr>
      <w:r>
        <w:t xml:space="preserve">HEE </w:t>
      </w:r>
      <w:r w:rsidRPr="0074246C">
        <w:t xml:space="preserve">shall operate a performance-related pay scheme that shall form part of the annual aggregate pay budget approved by the </w:t>
      </w:r>
      <w:r w:rsidR="007720B5">
        <w:t>d</w:t>
      </w:r>
      <w:r w:rsidRPr="0074246C">
        <w:t xml:space="preserve">epartment/or the general pay structure approved by the </w:t>
      </w:r>
      <w:r w:rsidR="007720B5">
        <w:t>d</w:t>
      </w:r>
      <w:r w:rsidRPr="0074246C">
        <w:t>epartment and HM Treasury.</w:t>
      </w:r>
    </w:p>
    <w:p w14:paraId="0D7AE4F1" w14:textId="27414D77" w:rsidR="0074246C" w:rsidRPr="0074246C" w:rsidRDefault="00EA0EA0" w:rsidP="00E309F6">
      <w:pPr>
        <w:pStyle w:val="ParagraphText-unnumbered"/>
      </w:pPr>
      <w:r w:rsidRPr="00EA0EA0">
        <w:t xml:space="preserve">The travel </w:t>
      </w:r>
      <w:r w:rsidR="0074246C">
        <w:t xml:space="preserve">and subsistence </w:t>
      </w:r>
      <w:r w:rsidRPr="00EA0EA0">
        <w:t>expenses of board members shall be tied to the rates allowed to senior staff of the ALB</w:t>
      </w:r>
      <w:r w:rsidR="0074246C">
        <w:t>.</w:t>
      </w:r>
      <w:r w:rsidR="002D20E4">
        <w:t xml:space="preserve"> </w:t>
      </w:r>
      <w:r w:rsidR="0074246C" w:rsidRPr="0074246C">
        <w:t>Members may claim reimbursement for reasonable expenses necessarily incurred on official business.</w:t>
      </w:r>
      <w:r w:rsidR="002D20E4">
        <w:t xml:space="preserve"> </w:t>
      </w:r>
      <w:r w:rsidR="0074246C" w:rsidRPr="0074246C">
        <w:t>Payments are taxable as earnings and will be subject to tax and national insurance.</w:t>
      </w:r>
    </w:p>
    <w:p w14:paraId="1505C52E" w14:textId="77777777" w:rsidR="007F0A05" w:rsidRDefault="00EA0EA0" w:rsidP="001D4185">
      <w:pPr>
        <w:pStyle w:val="Heading4"/>
      </w:pPr>
      <w:r w:rsidRPr="00EA0EA0">
        <w:lastRenderedPageBreak/>
        <w:t xml:space="preserve">Pensions, </w:t>
      </w:r>
      <w:r w:rsidRPr="00494B4F">
        <w:t>redundancy</w:t>
      </w:r>
      <w:r w:rsidRPr="00EA0EA0">
        <w:t xml:space="preserve"> and compensation</w:t>
      </w:r>
    </w:p>
    <w:p w14:paraId="5768371B" w14:textId="77777777" w:rsidR="0074246C" w:rsidRPr="0074246C" w:rsidRDefault="0074246C" w:rsidP="00E309F6">
      <w:pPr>
        <w:pStyle w:val="ParagraphText-unnumbered"/>
      </w:pPr>
      <w:r w:rsidRPr="0074246C">
        <w:t xml:space="preserve">Compensation scheme rules and pension scheme rules shall reflect legislative and HM Treasury guidance requirements regarding exit payments. </w:t>
      </w:r>
    </w:p>
    <w:p w14:paraId="5416FD6B" w14:textId="438FBD45" w:rsidR="0074246C" w:rsidRPr="0074246C" w:rsidRDefault="0074246C" w:rsidP="00E309F6">
      <w:pPr>
        <w:pStyle w:val="ParagraphText-unnumbered"/>
      </w:pPr>
      <w:r w:rsidRPr="0074246C">
        <w:t xml:space="preserve">Most </w:t>
      </w:r>
      <w:r>
        <w:t xml:space="preserve">HEE </w:t>
      </w:r>
      <w:r w:rsidRPr="0074246C">
        <w:t xml:space="preserve">staff are eligible for the NHS </w:t>
      </w:r>
      <w:r w:rsidR="000503D2">
        <w:t>p</w:t>
      </w:r>
      <w:r w:rsidRPr="0074246C">
        <w:t xml:space="preserve">ensions scheme, which is administered by the NHS Business Authority and has rules set down in legislation. Staff may opt out of this occupational pension scheme, but that employers' contribution to any personal pension arrangement, including stakeholder pension shall normally be limited to the national insurance rebate level. </w:t>
      </w:r>
    </w:p>
    <w:p w14:paraId="1104E052" w14:textId="41B0A66C" w:rsidR="0074246C" w:rsidRPr="0074246C" w:rsidRDefault="0074246C" w:rsidP="00E309F6">
      <w:pPr>
        <w:pStyle w:val="ParagraphText-unnumbered"/>
      </w:pPr>
      <w:r w:rsidRPr="0074246C">
        <w:t xml:space="preserve">Any proposal for </w:t>
      </w:r>
      <w:r>
        <w:t xml:space="preserve">HEE </w:t>
      </w:r>
      <w:r w:rsidRPr="0074246C">
        <w:t xml:space="preserve">to move from the existing pension arrangements, or to pay any redundancy or compensation for loss of office, requires the prior approval of the </w:t>
      </w:r>
      <w:r w:rsidR="007720B5">
        <w:t>d</w:t>
      </w:r>
      <w:r w:rsidRPr="0074246C">
        <w:t>epartment. Proposals on severance shall comply with the rules in chapter 4 of M</w:t>
      </w:r>
      <w:r w:rsidR="000503D2">
        <w:t>PM</w:t>
      </w:r>
      <w:r w:rsidRPr="0074246C">
        <w:t xml:space="preserve">. </w:t>
      </w:r>
    </w:p>
    <w:p w14:paraId="031E533A" w14:textId="73DE2E33" w:rsidR="0074246C" w:rsidRPr="0074246C" w:rsidRDefault="0074246C" w:rsidP="00E309F6">
      <w:pPr>
        <w:pStyle w:val="ParagraphText-unnumbered"/>
      </w:pPr>
      <w:bookmarkStart w:id="8" w:name="_Hlk61873359"/>
      <w:r>
        <w:t>HEE</w:t>
      </w:r>
      <w:r w:rsidRPr="0074246C">
        <w:t xml:space="preserve"> shall seek approval for </w:t>
      </w:r>
      <w:r w:rsidR="00A7256E">
        <w:t xml:space="preserve">single redundancies with capital costs over £100,000 or </w:t>
      </w:r>
      <w:r w:rsidRPr="0074246C">
        <w:t xml:space="preserve">10 </w:t>
      </w:r>
      <w:r w:rsidR="00D14CBF">
        <w:t xml:space="preserve">or more </w:t>
      </w:r>
      <w:r w:rsidRPr="0074246C">
        <w:t>redundancies</w:t>
      </w:r>
      <w:r w:rsidR="00D14CBF">
        <w:t>, irrespective of capitalised costs</w:t>
      </w:r>
      <w:r w:rsidRPr="0074246C">
        <w:t xml:space="preserve"> or any case where it is seeking the application of an exemption to the</w:t>
      </w:r>
      <w:r w:rsidR="000503D2">
        <w:t xml:space="preserve"> r</w:t>
      </w:r>
      <w:r w:rsidRPr="0074246C">
        <w:t xml:space="preserve">egulations, to the </w:t>
      </w:r>
      <w:r w:rsidR="007720B5">
        <w:t>d</w:t>
      </w:r>
      <w:r w:rsidRPr="0074246C">
        <w:t xml:space="preserve">epartment's </w:t>
      </w:r>
      <w:r w:rsidR="000503D2">
        <w:t>g</w:t>
      </w:r>
      <w:r w:rsidRPr="0074246C">
        <w:t xml:space="preserve">overnance and </w:t>
      </w:r>
      <w:r w:rsidR="000503D2">
        <w:t>a</w:t>
      </w:r>
      <w:r w:rsidRPr="0074246C">
        <w:t xml:space="preserve">ssurance </w:t>
      </w:r>
      <w:r w:rsidR="000503D2">
        <w:t>c</w:t>
      </w:r>
      <w:r w:rsidRPr="0074246C">
        <w:t xml:space="preserve">ommittee. These applications will need approval from the </w:t>
      </w:r>
      <w:r>
        <w:t xml:space="preserve">HEE </w:t>
      </w:r>
      <w:r w:rsidRPr="0074246C">
        <w:t xml:space="preserve">sponsor team before being considered by the Committee. </w:t>
      </w:r>
    </w:p>
    <w:bookmarkEnd w:id="8"/>
    <w:p w14:paraId="21B54A9F" w14:textId="77777777" w:rsidR="005A0C60" w:rsidRPr="005A0C60" w:rsidRDefault="005A0C60" w:rsidP="001D4185">
      <w:pPr>
        <w:pStyle w:val="Heading4"/>
      </w:pPr>
      <w:r w:rsidRPr="005A0C60">
        <w:t>Recruitment of senior staff</w:t>
      </w:r>
    </w:p>
    <w:p w14:paraId="42FC699D" w14:textId="5CD8E3EB" w:rsidR="005A0C60" w:rsidRDefault="005A0C60" w:rsidP="00E309F6">
      <w:pPr>
        <w:pStyle w:val="ParagraphText-unnumbered"/>
      </w:pPr>
      <w:r>
        <w:t xml:space="preserve">HEE </w:t>
      </w:r>
      <w:r w:rsidRPr="005A0C60">
        <w:t xml:space="preserve">shall seek approval from the </w:t>
      </w:r>
      <w:r w:rsidR="007720B5">
        <w:t>d</w:t>
      </w:r>
      <w:r w:rsidRPr="005A0C60">
        <w:t xml:space="preserve">epartment's </w:t>
      </w:r>
      <w:r w:rsidR="00F5129D">
        <w:t>r</w:t>
      </w:r>
      <w:r w:rsidRPr="005A0C60">
        <w:t xml:space="preserve">emuneration </w:t>
      </w:r>
      <w:r w:rsidR="00F92864" w:rsidRPr="005A0C60">
        <w:t>committee</w:t>
      </w:r>
      <w:r w:rsidRPr="005A0C60">
        <w:t xml:space="preserve"> for recruiting to </w:t>
      </w:r>
      <w:r w:rsidR="00F5129D">
        <w:t>e</w:t>
      </w:r>
      <w:r w:rsidRPr="005A0C60">
        <w:t xml:space="preserve">xecutive and </w:t>
      </w:r>
      <w:r w:rsidR="00F5129D">
        <w:t>s</w:t>
      </w:r>
      <w:r w:rsidRPr="005A0C60">
        <w:t xml:space="preserve">enior </w:t>
      </w:r>
      <w:r w:rsidR="00F5129D">
        <w:t>m</w:t>
      </w:r>
      <w:r w:rsidRPr="005A0C60">
        <w:t xml:space="preserve">anagers posts or paying above the relevant ceilings in the </w:t>
      </w:r>
      <w:r w:rsidR="00F5129D">
        <w:t>e</w:t>
      </w:r>
      <w:r w:rsidRPr="005A0C60">
        <w:t xml:space="preserve">xecutive and </w:t>
      </w:r>
      <w:r w:rsidR="00F5129D">
        <w:t>s</w:t>
      </w:r>
      <w:r w:rsidRPr="005A0C60">
        <w:t xml:space="preserve">enior </w:t>
      </w:r>
      <w:r w:rsidR="00F92864" w:rsidRPr="005A0C60">
        <w:t>managers</w:t>
      </w:r>
      <w:r w:rsidRPr="005A0C60">
        <w:t xml:space="preserve">' pay framework. All applications will need  approval from the </w:t>
      </w:r>
      <w:r>
        <w:t xml:space="preserve">HEE </w:t>
      </w:r>
      <w:r w:rsidRPr="005A0C60">
        <w:t xml:space="preserve">sponsor team before being considered by the </w:t>
      </w:r>
      <w:r w:rsidR="00F5129D">
        <w:t>c</w:t>
      </w:r>
      <w:r w:rsidRPr="005A0C60">
        <w:t>ommittee.</w:t>
      </w:r>
    </w:p>
    <w:p w14:paraId="52BF6E12" w14:textId="77E47ECC" w:rsidR="007F0A05" w:rsidRDefault="007F0A05" w:rsidP="001D4185">
      <w:pPr>
        <w:pStyle w:val="Heading2"/>
      </w:pPr>
      <w:bookmarkStart w:id="9" w:name="_Toc110582334"/>
      <w:r>
        <w:t>B</w:t>
      </w:r>
      <w:r w:rsidRPr="007F0A05">
        <w:t>usiness Plans</w:t>
      </w:r>
      <w:r w:rsidR="002175BC">
        <w:t>,</w:t>
      </w:r>
      <w:r w:rsidRPr="007F0A05">
        <w:t xml:space="preserve"> </w:t>
      </w:r>
      <w:r w:rsidR="00F5129D">
        <w:t>f</w:t>
      </w:r>
      <w:r w:rsidRPr="007F0A05">
        <w:t xml:space="preserve">inancial </w:t>
      </w:r>
      <w:r w:rsidR="00F5129D">
        <w:t>r</w:t>
      </w:r>
      <w:r w:rsidRPr="007F0A05">
        <w:t xml:space="preserve">eporting and </w:t>
      </w:r>
      <w:r w:rsidR="00F5129D">
        <w:t>m</w:t>
      </w:r>
      <w:r w:rsidRPr="007F0A05">
        <w:t>anagement information</w:t>
      </w:r>
      <w:bookmarkEnd w:id="9"/>
      <w:r w:rsidRPr="007F0A05">
        <w:t xml:space="preserve"> </w:t>
      </w:r>
    </w:p>
    <w:p w14:paraId="14EE99C2" w14:textId="571F3BA8" w:rsidR="007F0A05" w:rsidRDefault="00B548BE" w:rsidP="001D4185">
      <w:pPr>
        <w:pStyle w:val="Heading3"/>
      </w:pPr>
      <w:r>
        <w:t xml:space="preserve">Mandate, </w:t>
      </w:r>
      <w:r w:rsidR="00F5129D">
        <w:t>c</w:t>
      </w:r>
      <w:r w:rsidR="007F0A05" w:rsidRPr="007F0A05">
        <w:t xml:space="preserve">orporate and business plans </w:t>
      </w:r>
    </w:p>
    <w:p w14:paraId="520856EF" w14:textId="11045232" w:rsidR="00B548BE" w:rsidRPr="00B548BE" w:rsidRDefault="00B548BE" w:rsidP="00E309F6">
      <w:pPr>
        <w:pStyle w:val="ParagraphText-unnumbered"/>
      </w:pPr>
      <w:r>
        <w:t xml:space="preserve">Under </w:t>
      </w:r>
      <w:r w:rsidR="002A7441">
        <w:t>s</w:t>
      </w:r>
      <w:r>
        <w:t xml:space="preserve">ection 100 of the Care Act 2014, the </w:t>
      </w:r>
      <w:r w:rsidR="00F5129D">
        <w:t>s</w:t>
      </w:r>
      <w:r>
        <w:t xml:space="preserve">ecretary of </w:t>
      </w:r>
      <w:r w:rsidR="00F5129D">
        <w:t>s</w:t>
      </w:r>
      <w:r>
        <w:t xml:space="preserve">tate sets HEE's objectives on an annual basis. </w:t>
      </w:r>
      <w:r w:rsidRPr="00B548BE">
        <w:t xml:space="preserve">The </w:t>
      </w:r>
      <w:r w:rsidR="000C3FCE">
        <w:t xml:space="preserve">objectives </w:t>
      </w:r>
      <w:r w:rsidRPr="00B548BE">
        <w:t xml:space="preserve"> will be reviewed annually and re-published where any changes or additions are made. HEE will work jointly with NHS Improvement </w:t>
      </w:r>
      <w:r>
        <w:t xml:space="preserve">and England </w:t>
      </w:r>
      <w:r w:rsidRPr="00B548BE">
        <w:t>to develop its mandate. HEE</w:t>
      </w:r>
      <w:r>
        <w:t xml:space="preserve"> and NHS Improvement</w:t>
      </w:r>
      <w:r w:rsidRPr="00B548BE">
        <w:t>’s board</w:t>
      </w:r>
      <w:r>
        <w:t>s</w:t>
      </w:r>
      <w:r w:rsidRPr="00B548BE">
        <w:t xml:space="preserve"> sign-off the draft mandate</w:t>
      </w:r>
      <w:r>
        <w:t xml:space="preserve"> b</w:t>
      </w:r>
      <w:r w:rsidRPr="00B548BE">
        <w:t xml:space="preserve">efore approval by the </w:t>
      </w:r>
      <w:r w:rsidR="00F5129D">
        <w:t>s</w:t>
      </w:r>
      <w:r w:rsidRPr="00B548BE">
        <w:t xml:space="preserve">ecretary of </w:t>
      </w:r>
      <w:r w:rsidR="00F5129D">
        <w:t>s</w:t>
      </w:r>
      <w:r w:rsidRPr="00B548BE">
        <w:t>tate. This will ensure that workforce plans are more closely aligned with NHS service plans.</w:t>
      </w:r>
      <w:r w:rsidR="007D6CAD">
        <w:t xml:space="preserve"> </w:t>
      </w:r>
      <w:r w:rsidRPr="00B548BE">
        <w:t xml:space="preserve">The mandate </w:t>
      </w:r>
      <w:r>
        <w:t xml:space="preserve">also </w:t>
      </w:r>
      <w:r w:rsidRPr="00B548BE">
        <w:t xml:space="preserve">specifies the education outcomes that ministers expect HEE to achieve to deliver system wide improvements in education and training.  Many of the deliverables in the mandate cannot be delivered by HEE alone but depend on strong partnerships with NHS delivery partners, the higher education sector and professional and regulatory bodies. </w:t>
      </w:r>
    </w:p>
    <w:p w14:paraId="208D6C90" w14:textId="07AC93D4" w:rsidR="007F0A05" w:rsidRDefault="002B43CF" w:rsidP="00E309F6">
      <w:pPr>
        <w:pStyle w:val="ParagraphText-unnumbered"/>
      </w:pPr>
      <w:r>
        <w:lastRenderedPageBreak/>
        <w:t>B</w:t>
      </w:r>
      <w:r w:rsidR="00E8534F" w:rsidRPr="009A40F7">
        <w:t xml:space="preserve">efore the start of each financial year, HEE shall submit </w:t>
      </w:r>
      <w:r w:rsidRPr="002B43CF">
        <w:t xml:space="preserve">annually </w:t>
      </w:r>
      <w:r w:rsidR="00E8534F" w:rsidRPr="009A40F7">
        <w:t xml:space="preserve">to DHSC a </w:t>
      </w:r>
      <w:r w:rsidR="000B29B1">
        <w:t xml:space="preserve">draft </w:t>
      </w:r>
      <w:r w:rsidR="00EE2EEC">
        <w:t xml:space="preserve">of the </w:t>
      </w:r>
      <w:r w:rsidR="00E8534F" w:rsidRPr="009A40F7">
        <w:t xml:space="preserve">corporate plan </w:t>
      </w:r>
      <w:r w:rsidR="00C25042">
        <w:t xml:space="preserve">covering three years ahead. </w:t>
      </w:r>
      <w:r w:rsidR="00E8534F" w:rsidRPr="009A40F7">
        <w:t>The draft should be submitted by 1 March.</w:t>
      </w:r>
      <w:r w:rsidR="00341BC5">
        <w:t xml:space="preserve"> HEE</w:t>
      </w:r>
      <w:r w:rsidR="00F92864">
        <w:t xml:space="preserve"> </w:t>
      </w:r>
      <w:r w:rsidR="007F0A05" w:rsidRPr="007F0A05">
        <w:t xml:space="preserve">shall agree with the </w:t>
      </w:r>
      <w:r w:rsidR="007720B5">
        <w:t>d</w:t>
      </w:r>
      <w:r w:rsidR="007F0A05" w:rsidRPr="007F0A05">
        <w:t xml:space="preserve">epartment the issues to be addressed in the plan and the timetable for its preparation. The plan shall reflect </w:t>
      </w:r>
      <w:r w:rsidR="00150E95">
        <w:t>HEE</w:t>
      </w:r>
      <w:r w:rsidR="00341BC5">
        <w:t>'</w:t>
      </w:r>
      <w:r w:rsidR="007F0A05" w:rsidRPr="007F0A05">
        <w:t xml:space="preserve">s statutory and/or other duties and, within those duties, the priorities set from time to time by the </w:t>
      </w:r>
      <w:r w:rsidR="00754F81">
        <w:t>r</w:t>
      </w:r>
      <w:r w:rsidR="007F0A05" w:rsidRPr="007F0A05">
        <w:t xml:space="preserve">esponsible </w:t>
      </w:r>
      <w:r w:rsidR="00754F81">
        <w:t>m</w:t>
      </w:r>
      <w:r w:rsidR="007F0A05" w:rsidRPr="007F0A05">
        <w:t xml:space="preserve">inister (including decisions taken on policy and resources in the light of wider public expenditure decisions). The plan shall demonstrate how </w:t>
      </w:r>
      <w:r w:rsidR="00150E95">
        <w:t>HEE</w:t>
      </w:r>
      <w:r w:rsidR="007F0A05" w:rsidRPr="007F0A05">
        <w:t xml:space="preserve"> contributes to the achievement of the </w:t>
      </w:r>
      <w:r w:rsidR="007720B5">
        <w:t>d</w:t>
      </w:r>
      <w:r w:rsidR="007F0A05" w:rsidRPr="007F0A05">
        <w:t>epartment’s medium</w:t>
      </w:r>
      <w:r w:rsidR="007D6CAD">
        <w:t xml:space="preserve"> </w:t>
      </w:r>
      <w:r w:rsidR="007F0A05" w:rsidRPr="007F0A05">
        <w:t xml:space="preserve">term plan and priorities and aligned performance metrics and milestones. </w:t>
      </w:r>
    </w:p>
    <w:p w14:paraId="6C8A95EB" w14:textId="28B52D3C" w:rsidR="007F0A05" w:rsidRDefault="007F0A05" w:rsidP="00E309F6">
      <w:pPr>
        <w:pStyle w:val="ParagraphText-unnumbered"/>
      </w:pPr>
      <w:r w:rsidRPr="007F0A05">
        <w:t xml:space="preserve">The first year of the corporate plan, amplified as necessary, shall form the business plan. The business plan shall be updated to include key targets and milestones for the year immediately ahead and shall be linked to budgeting information so that resources allocated to achieve specific objectives can readily be identified by the </w:t>
      </w:r>
      <w:r w:rsidR="007720B5">
        <w:t>d</w:t>
      </w:r>
      <w:r w:rsidRPr="007F0A05">
        <w:t>epartment. Subject to any commercial considerations</w:t>
      </w:r>
      <w:r w:rsidR="00B46245">
        <w:t xml:space="preserve"> </w:t>
      </w:r>
      <w:r w:rsidRPr="007F0A05">
        <w:t xml:space="preserve">the corporate and business plans should be published by the ALB on its website and separately be made available to staff. </w:t>
      </w:r>
    </w:p>
    <w:p w14:paraId="1BA64EC3" w14:textId="77777777" w:rsidR="007F0A05" w:rsidRDefault="007F0A05" w:rsidP="00E309F6">
      <w:pPr>
        <w:pStyle w:val="ParagraphText-unnumbered"/>
      </w:pPr>
      <w:r w:rsidRPr="007F0A05">
        <w:t xml:space="preserve">The following key matters should be included in the plans: </w:t>
      </w:r>
    </w:p>
    <w:p w14:paraId="56284204" w14:textId="49950CAC" w:rsidR="007F0A05" w:rsidRDefault="007F0A05" w:rsidP="007F0A05">
      <w:pPr>
        <w:pStyle w:val="Bullet"/>
      </w:pPr>
      <w:r w:rsidRPr="007F0A05">
        <w:t xml:space="preserve">key objectives and associated key performance targets for the forward years, and the strategy for achieving those objectives </w:t>
      </w:r>
    </w:p>
    <w:p w14:paraId="61796F9D" w14:textId="7613ECF6" w:rsidR="007F0A05" w:rsidRDefault="007F0A05" w:rsidP="007F0A05">
      <w:pPr>
        <w:pStyle w:val="Bullet"/>
      </w:pPr>
      <w:r w:rsidRPr="007F0A05">
        <w:t xml:space="preserve">key non-financial performance target; </w:t>
      </w:r>
    </w:p>
    <w:p w14:paraId="0ABBC3EA" w14:textId="75768855" w:rsidR="007F0A05" w:rsidRDefault="007F0A05" w:rsidP="007F0A05">
      <w:pPr>
        <w:pStyle w:val="Bullet"/>
      </w:pPr>
      <w:r w:rsidRPr="007F0A05">
        <w:t>a review of performance in the preceding financial year, together with comparable outturns for the previous 2 years, and an estimate of performance in the current year;</w:t>
      </w:r>
    </w:p>
    <w:p w14:paraId="60578E5F" w14:textId="5F592587" w:rsidR="007F0A05" w:rsidRDefault="007F0A05" w:rsidP="007F0A05">
      <w:pPr>
        <w:pStyle w:val="Bullet"/>
      </w:pPr>
      <w:r w:rsidRPr="007F0A05">
        <w:t xml:space="preserve">alternative scenarios and an assessment of the risk factors that may significantly affect the execution of the plan but that cannot be accurately forecast and </w:t>
      </w:r>
    </w:p>
    <w:p w14:paraId="19FDAC5A" w14:textId="7A01A799" w:rsidR="007F0A05" w:rsidRDefault="007F0A05" w:rsidP="007F0A05">
      <w:pPr>
        <w:pStyle w:val="Bullet"/>
      </w:pPr>
      <w:r w:rsidRPr="007F0A05">
        <w:t xml:space="preserve">other matters as agreed between the </w:t>
      </w:r>
      <w:r w:rsidR="007720B5">
        <w:t>d</w:t>
      </w:r>
      <w:r w:rsidRPr="007F0A05">
        <w:t xml:space="preserve">epartment and </w:t>
      </w:r>
      <w:r w:rsidR="008E4CE7">
        <w:t>HEE</w:t>
      </w:r>
      <w:r w:rsidRPr="007F0A05">
        <w:t xml:space="preserve">. </w:t>
      </w:r>
    </w:p>
    <w:p w14:paraId="33C9CA5E" w14:textId="77777777" w:rsidR="007F0A05" w:rsidRDefault="007F0A05" w:rsidP="001D4185">
      <w:pPr>
        <w:pStyle w:val="Heading3"/>
      </w:pPr>
      <w:r w:rsidRPr="007F0A05">
        <w:t xml:space="preserve">Budgeting procedures </w:t>
      </w:r>
    </w:p>
    <w:p w14:paraId="5F655189" w14:textId="6642A81E" w:rsidR="007F0A05" w:rsidRDefault="007F0A05" w:rsidP="00E309F6">
      <w:pPr>
        <w:pStyle w:val="ParagraphText-unnumbered"/>
      </w:pPr>
      <w:r w:rsidRPr="007F0A05">
        <w:t xml:space="preserve">Each year, in the light of decisions by the </w:t>
      </w:r>
      <w:r w:rsidR="007720B5">
        <w:t>d</w:t>
      </w:r>
      <w:r w:rsidRPr="007F0A05">
        <w:t xml:space="preserve">epartment on the updated draft corporate plan, the </w:t>
      </w:r>
      <w:r w:rsidR="007720B5">
        <w:t>d</w:t>
      </w:r>
      <w:r w:rsidRPr="007F0A05">
        <w:t xml:space="preserve">epartment will send to the ALB by </w:t>
      </w:r>
      <w:r w:rsidR="00240BEE">
        <w:t xml:space="preserve">an agreed </w:t>
      </w:r>
      <w:r w:rsidRPr="007F0A05">
        <w:t>date:</w:t>
      </w:r>
    </w:p>
    <w:p w14:paraId="4CF5E95C" w14:textId="53A480D2" w:rsidR="007F0A05" w:rsidRDefault="007F0A05" w:rsidP="007F0A05">
      <w:pPr>
        <w:pStyle w:val="Bullet"/>
      </w:pPr>
      <w:r w:rsidRPr="007F0A05">
        <w:t xml:space="preserve">a formal statement of the annual budgetary provision allocated by the </w:t>
      </w:r>
      <w:r w:rsidR="007720B5">
        <w:t>d</w:t>
      </w:r>
      <w:r w:rsidRPr="007F0A05">
        <w:t xml:space="preserve">epartment in the light of competing priorities across the </w:t>
      </w:r>
      <w:r w:rsidR="007720B5">
        <w:t>d</w:t>
      </w:r>
      <w:r w:rsidRPr="007F0A05">
        <w:t xml:space="preserve">epartment and of any forecast income approved by the </w:t>
      </w:r>
      <w:r w:rsidR="007720B5">
        <w:t>d</w:t>
      </w:r>
      <w:r w:rsidRPr="007F0A05">
        <w:t xml:space="preserve">epartment and </w:t>
      </w:r>
    </w:p>
    <w:p w14:paraId="11063A2D" w14:textId="68EEDE57" w:rsidR="007F0A05" w:rsidRDefault="007F0A05" w:rsidP="007F0A05">
      <w:pPr>
        <w:pStyle w:val="Bullet"/>
      </w:pPr>
      <w:r w:rsidRPr="007F0A05">
        <w:t xml:space="preserve">a statement of any planned change in policies affecting </w:t>
      </w:r>
      <w:r w:rsidR="007C3BEC">
        <w:t>HEE</w:t>
      </w:r>
      <w:r w:rsidRPr="007F0A05">
        <w:t xml:space="preserve"> </w:t>
      </w:r>
    </w:p>
    <w:p w14:paraId="36F29C53" w14:textId="2ED49895" w:rsidR="007F0A05" w:rsidRDefault="007F0A05" w:rsidP="00E309F6">
      <w:pPr>
        <w:pStyle w:val="ParagraphText-unnumbered"/>
      </w:pPr>
      <w:r w:rsidRPr="007F0A05">
        <w:lastRenderedPageBreak/>
        <w:t xml:space="preserve">The approved annual business plan will take account both of approved funding provision  and will include a budget of estimated payments and receipts together with a profile of expected expenditure and of draw-down of any </w:t>
      </w:r>
      <w:r w:rsidR="00F5129D">
        <w:t>d</w:t>
      </w:r>
      <w:r w:rsidRPr="007F0A05">
        <w:t xml:space="preserve">epartmental funding and/or other income over the year. These elements form part of the approved business plan for the year in question. </w:t>
      </w:r>
    </w:p>
    <w:p w14:paraId="1463FD0A" w14:textId="77777777" w:rsidR="007F0A05" w:rsidRDefault="007F0A05" w:rsidP="001D4185">
      <w:pPr>
        <w:pStyle w:val="Heading3"/>
      </w:pPr>
      <w:r w:rsidRPr="007F0A05">
        <w:t xml:space="preserve">Grant-in-aid and any ring-fenced grants </w:t>
      </w:r>
    </w:p>
    <w:p w14:paraId="5AEF16CA" w14:textId="06E243CA" w:rsidR="007F0A05" w:rsidRDefault="007F0A05" w:rsidP="00E309F6">
      <w:pPr>
        <w:pStyle w:val="ParagraphText-unnumbered"/>
      </w:pPr>
      <w:r w:rsidRPr="007F0A05">
        <w:t xml:space="preserve">Any grant-in-aid provided by the </w:t>
      </w:r>
      <w:r w:rsidR="007720B5">
        <w:t>d</w:t>
      </w:r>
      <w:r w:rsidRPr="007F0A05">
        <w:t xml:space="preserve">epartment for the year in question will be voted in the </w:t>
      </w:r>
      <w:r w:rsidR="007720B5">
        <w:t>d</w:t>
      </w:r>
      <w:r w:rsidRPr="007F0A05">
        <w:t xml:space="preserve">epartment's Supply Estimate and be subject to </w:t>
      </w:r>
      <w:r w:rsidR="00F5129D">
        <w:t>p</w:t>
      </w:r>
      <w:r w:rsidRPr="007F0A05">
        <w:t xml:space="preserve">arliamentary control. </w:t>
      </w:r>
    </w:p>
    <w:p w14:paraId="214A1907" w14:textId="4CDAB394" w:rsidR="007F0A05" w:rsidRDefault="007F0A05" w:rsidP="00E309F6">
      <w:pPr>
        <w:pStyle w:val="ParagraphText-unnumbered"/>
      </w:pPr>
      <w:r w:rsidRPr="007F0A05">
        <w:t xml:space="preserve">The grant-in-aid will normally be paid in monthly instalments on the basis of written applications showing evidence of need. </w:t>
      </w:r>
      <w:r w:rsidR="00A20CEB">
        <w:t>HEE</w:t>
      </w:r>
      <w:r w:rsidRPr="007F0A05">
        <w:t xml:space="preserve"> will comply with the general principle, that there is no payment in advance of need. Cash balances accumulated during the course of the year from grant-in-aid or other </w:t>
      </w:r>
      <w:r w:rsidR="00F5129D">
        <w:t>e</w:t>
      </w:r>
      <w:r w:rsidRPr="007F0A05">
        <w:t xml:space="preserve">xchequer funds shall be kept to a minimum level consistent with the efficient operation of the ALB. Grant-in-aid not drawn down by the end of the financial year shall lapse. Subject to approval by Parliament of the relevant </w:t>
      </w:r>
      <w:r w:rsidR="00F5129D">
        <w:t>e</w:t>
      </w:r>
      <w:r w:rsidRPr="007F0A05">
        <w:t xml:space="preserve">stimates provision, where grant-in-aid is delayed </w:t>
      </w:r>
      <w:proofErr w:type="gramStart"/>
      <w:r w:rsidRPr="007F0A05">
        <w:t>to</w:t>
      </w:r>
      <w:r w:rsidR="004A1797">
        <w:t xml:space="preserve"> </w:t>
      </w:r>
      <w:r w:rsidRPr="007F0A05">
        <w:t>avoid</w:t>
      </w:r>
      <w:proofErr w:type="gramEnd"/>
      <w:r w:rsidRPr="007F0A05">
        <w:t xml:space="preserve"> excess cash balances at the year-end, the </w:t>
      </w:r>
      <w:r w:rsidR="007720B5">
        <w:t>d</w:t>
      </w:r>
      <w:r w:rsidRPr="007F0A05">
        <w:t xml:space="preserve">epartment will make available in the next financial year any such grant-in-aid that is required to meet any liabilities at the year end, such as creditors. </w:t>
      </w:r>
    </w:p>
    <w:p w14:paraId="32AEEC9F" w14:textId="77777777" w:rsidR="007F0A05" w:rsidRDefault="007F0A05" w:rsidP="001D4185">
      <w:pPr>
        <w:pStyle w:val="Heading3"/>
      </w:pPr>
      <w:r w:rsidRPr="007F0A05">
        <w:t xml:space="preserve">Annual report and accounts </w:t>
      </w:r>
    </w:p>
    <w:p w14:paraId="789D5077" w14:textId="68567972" w:rsidR="00A20CEB" w:rsidRPr="00A20CEB" w:rsidRDefault="00A20CEB" w:rsidP="00E309F6">
      <w:pPr>
        <w:pStyle w:val="ParagraphText-unnumbered"/>
      </w:pPr>
      <w:r w:rsidRPr="00A20CEB">
        <w:t xml:space="preserve">The </w:t>
      </w:r>
      <w:r>
        <w:t xml:space="preserve">HEE </w:t>
      </w:r>
      <w:r w:rsidRPr="00A20CEB">
        <w:t>board shall publish annual reports of their activities, together with audited accounts after the end of the financial yea</w:t>
      </w:r>
      <w:r>
        <w:t>r</w:t>
      </w:r>
      <w:r w:rsidRPr="00A20CEB">
        <w:t xml:space="preserve">. A draft of the report should be submitted to the </w:t>
      </w:r>
      <w:r w:rsidR="007720B5">
        <w:t>d</w:t>
      </w:r>
      <w:r w:rsidRPr="00A20CEB">
        <w:t xml:space="preserve">epartment at least two weeks before the proposed publication date. The  draft and finalised (audited) accounts should be provided to the department in line with the agreed annual timetable established by the </w:t>
      </w:r>
      <w:r w:rsidR="007720B5">
        <w:t>d</w:t>
      </w:r>
      <w:r w:rsidRPr="00A20CEB">
        <w:t xml:space="preserve">epartment in order for the accounts to be consolidated within the </w:t>
      </w:r>
      <w:r w:rsidR="007720B5">
        <w:t>d</w:t>
      </w:r>
      <w:r w:rsidRPr="00A20CEB">
        <w:t xml:space="preserve">epartment's accounts. These accounts should be prepared in accordance with the relevant statutes and specific accounts directions issued by the department, as well as with HM Treasury's </w:t>
      </w:r>
      <w:hyperlink r:id="rId30" w:history="1">
        <w:r w:rsidRPr="00233EBA">
          <w:rPr>
            <w:rStyle w:val="Hyperlink"/>
          </w:rPr>
          <w:t>Financial Reporting Manual</w:t>
        </w:r>
      </w:hyperlink>
      <w:r>
        <w:rPr>
          <w:rStyle w:val="Hyperlink"/>
        </w:rPr>
        <w:t>.</w:t>
      </w:r>
    </w:p>
    <w:p w14:paraId="4624D912" w14:textId="77777777" w:rsidR="00A20CEB" w:rsidRPr="00A20CEB" w:rsidRDefault="00A20CEB" w:rsidP="00E309F6">
      <w:pPr>
        <w:pStyle w:val="ParagraphText-unnumbered"/>
      </w:pPr>
      <w:r w:rsidRPr="00A20CEB">
        <w:t>The annual report and accounts must:</w:t>
      </w:r>
    </w:p>
    <w:p w14:paraId="6BA423CE" w14:textId="587DFBB4" w:rsidR="00A20CEB" w:rsidRDefault="00A20CEB" w:rsidP="00A20CEB">
      <w:pPr>
        <w:pStyle w:val="Bullet"/>
      </w:pPr>
      <w:r w:rsidRPr="00A20CEB">
        <w:t>cover any corporate, subsidiary or joint ventures under their control</w:t>
      </w:r>
    </w:p>
    <w:p w14:paraId="2BF3D8F9" w14:textId="023196C6" w:rsidR="00F351B3" w:rsidRPr="00A20CEB" w:rsidRDefault="00F351B3" w:rsidP="00A20CEB">
      <w:pPr>
        <w:pStyle w:val="Bullet"/>
      </w:pPr>
      <w:r>
        <w:t xml:space="preserve">comply with the FReM and in particular </w:t>
      </w:r>
      <w:r w:rsidR="002F6577">
        <w:t xml:space="preserve">have regard to the illustrative statements </w:t>
      </w:r>
      <w:r w:rsidR="00A62682">
        <w:t>for an NDPB</w:t>
      </w:r>
      <w:r w:rsidR="002F6577">
        <w:t xml:space="preserve"> </w:t>
      </w:r>
    </w:p>
    <w:p w14:paraId="12FE9119" w14:textId="77777777" w:rsidR="00A20CEB" w:rsidRPr="00A20CEB" w:rsidRDefault="00A20CEB" w:rsidP="00A20CEB">
      <w:pPr>
        <w:pStyle w:val="Bullet"/>
      </w:pPr>
      <w:r w:rsidRPr="00A20CEB">
        <w:t>outline main activities and performance during the previous financial year and set out in summary form forward plans.</w:t>
      </w:r>
    </w:p>
    <w:p w14:paraId="4B1117EA" w14:textId="2085FFEA" w:rsidR="00A20CEB" w:rsidRPr="00A20CEB" w:rsidRDefault="00A42E93" w:rsidP="00E309F6">
      <w:pPr>
        <w:pStyle w:val="ParagraphText-unnumbered"/>
      </w:pPr>
      <w:r w:rsidRPr="00A42E93">
        <w:lastRenderedPageBreak/>
        <w:t>Information on performance against key financial targets is included within the annual report and subject to the auditor’s consistency opinion</w:t>
      </w:r>
      <w:r w:rsidR="00A20CEB" w:rsidRPr="00A20CEB">
        <w:t xml:space="preserve"> The report and accounts must be laid in Parliament and made available on </w:t>
      </w:r>
      <w:r w:rsidR="00A20CEB">
        <w:t>HEE</w:t>
      </w:r>
      <w:r w:rsidR="00A20CEB" w:rsidRPr="00A20CEB">
        <w:t>'s website, in accordance with the guidance in the F</w:t>
      </w:r>
      <w:r w:rsidR="00170C54">
        <w:t>ReM</w:t>
      </w:r>
      <w:r w:rsidR="00A20CEB" w:rsidRPr="00A20CEB">
        <w:t xml:space="preserve">ial Reporting Manual. </w:t>
      </w:r>
    </w:p>
    <w:p w14:paraId="251A48CC" w14:textId="5D4020B5" w:rsidR="007F0A05" w:rsidRDefault="007F0A05" w:rsidP="001D4185">
      <w:pPr>
        <w:pStyle w:val="Heading3"/>
      </w:pPr>
      <w:r w:rsidRPr="007F0A05">
        <w:t xml:space="preserve">Reporting performance to the </w:t>
      </w:r>
      <w:r w:rsidR="007720B5">
        <w:t>d</w:t>
      </w:r>
      <w:r w:rsidRPr="007F0A05">
        <w:t xml:space="preserve">epartment </w:t>
      </w:r>
    </w:p>
    <w:p w14:paraId="7C678E40" w14:textId="77777777" w:rsidR="007F0A05" w:rsidRDefault="007F0A05" w:rsidP="00E309F6">
      <w:pPr>
        <w:pStyle w:val="ParagraphText-unnumbered"/>
      </w:pPr>
      <w:r>
        <w:t>T</w:t>
      </w:r>
      <w:r w:rsidRPr="007F0A05">
        <w:t xml:space="preserve">he ALB shall operate management, information and accounting systems that enable it to review in a timely and effective manner its financial and non-financial performance against the budgets and targets set out in the corporate and business plans. </w:t>
      </w:r>
    </w:p>
    <w:p w14:paraId="2BC92CC8" w14:textId="2D687743" w:rsidR="007F0A05" w:rsidRDefault="005F2117" w:rsidP="00E309F6">
      <w:pPr>
        <w:pStyle w:val="ParagraphText-unnumbered"/>
      </w:pPr>
      <w:r>
        <w:t>HEE</w:t>
      </w:r>
      <w:r w:rsidR="007F0A05" w:rsidRPr="007F0A05">
        <w:t xml:space="preserve"> shall inform the sponsor </w:t>
      </w:r>
      <w:r w:rsidR="007720B5">
        <w:t>d</w:t>
      </w:r>
      <w:r w:rsidR="007F0A05" w:rsidRPr="007F0A05">
        <w:t xml:space="preserve">epartment of any changes that make achievement of objectives more or less difficult. It shall report financial and non-financial performance, including performance in helping to deliver </w:t>
      </w:r>
      <w:r w:rsidR="00754F81">
        <w:t>m</w:t>
      </w:r>
      <w:r w:rsidR="007F0A05" w:rsidRPr="007F0A05">
        <w:t xml:space="preserve">inisters’ policies, and the achievement of key objectives regularly. </w:t>
      </w:r>
    </w:p>
    <w:p w14:paraId="5FC7AE20" w14:textId="1BB4209B" w:rsidR="007F0A05" w:rsidRDefault="00A857A4" w:rsidP="00E309F6">
      <w:pPr>
        <w:pStyle w:val="ParagraphText-unnumbered"/>
      </w:pPr>
      <w:r>
        <w:t xml:space="preserve">HEE's </w:t>
      </w:r>
      <w:r w:rsidR="007F0A05" w:rsidRPr="007F0A05">
        <w:t xml:space="preserve">s performance shall be formally reviewed by the </w:t>
      </w:r>
      <w:r w:rsidR="007720B5">
        <w:t>d</w:t>
      </w:r>
      <w:r w:rsidR="007F0A05" w:rsidRPr="007F0A05">
        <w:t>epartment</w:t>
      </w:r>
      <w:r>
        <w:t xml:space="preserve"> </w:t>
      </w:r>
      <w:r w:rsidR="00567462">
        <w:t xml:space="preserve">twice </w:t>
      </w:r>
      <w:r w:rsidR="007F0A05" w:rsidRPr="007F0A05">
        <w:t>a year</w:t>
      </w:r>
      <w:r w:rsidR="00567462">
        <w:t xml:space="preserve">. </w:t>
      </w:r>
      <w:r w:rsidR="007F0A05" w:rsidRPr="007F0A05">
        <w:t xml:space="preserve"> </w:t>
      </w:r>
    </w:p>
    <w:p w14:paraId="0A6FE7AE" w14:textId="12ACA417" w:rsidR="007F0A05" w:rsidRDefault="007F0A05" w:rsidP="00E309F6">
      <w:pPr>
        <w:pStyle w:val="ParagraphText-unnumbered"/>
      </w:pPr>
      <w:r w:rsidRPr="007F0A05">
        <w:t xml:space="preserve">The </w:t>
      </w:r>
      <w:r w:rsidR="00754F81">
        <w:t>r</w:t>
      </w:r>
      <w:r w:rsidRPr="007F0A05">
        <w:t xml:space="preserve">esponsible </w:t>
      </w:r>
      <w:r w:rsidR="00754F81">
        <w:t>m</w:t>
      </w:r>
      <w:r w:rsidRPr="007F0A05">
        <w:t>inister will meet the</w:t>
      </w:r>
      <w:r w:rsidR="009A39AE">
        <w:t xml:space="preserve"> </w:t>
      </w:r>
      <w:r w:rsidR="00754F81">
        <w:t>c</w:t>
      </w:r>
      <w:r w:rsidR="009A39AE">
        <w:t xml:space="preserve">hair and </w:t>
      </w:r>
      <w:r w:rsidR="00754F81">
        <w:t>c</w:t>
      </w:r>
      <w:r w:rsidR="009A39AE">
        <w:t xml:space="preserve">hief </w:t>
      </w:r>
      <w:r w:rsidR="00F92864">
        <w:t>executive</w:t>
      </w:r>
      <w:r w:rsidR="009A39AE">
        <w:t xml:space="preserve"> </w:t>
      </w:r>
      <w:r w:rsidRPr="007F0A05">
        <w:t xml:space="preserve">once a year. </w:t>
      </w:r>
    </w:p>
    <w:p w14:paraId="0217C0D4" w14:textId="3C7FCF38" w:rsidR="007F0A05" w:rsidRDefault="007F0A05" w:rsidP="00E309F6">
      <w:pPr>
        <w:pStyle w:val="ParagraphText-unnumbered"/>
      </w:pPr>
      <w:r>
        <w:t>T</w:t>
      </w:r>
      <w:r w:rsidRPr="007F0A05">
        <w:t>he P</w:t>
      </w:r>
      <w:r w:rsidR="00865549">
        <w:t>AO</w:t>
      </w:r>
      <w:r w:rsidRPr="007F0A05">
        <w:t xml:space="preserve"> will meet the </w:t>
      </w:r>
      <w:r w:rsidR="00754F81">
        <w:t>c</w:t>
      </w:r>
      <w:r w:rsidRPr="007F0A05">
        <w:t xml:space="preserve">hief </w:t>
      </w:r>
      <w:r w:rsidR="00754F81">
        <w:t>e</w:t>
      </w:r>
      <w:r w:rsidRPr="007F0A05">
        <w:t xml:space="preserve">xecutive at least once a year. </w:t>
      </w:r>
    </w:p>
    <w:p w14:paraId="644D247C" w14:textId="0E3D7AB4" w:rsidR="007F0A05" w:rsidRDefault="007F0A05" w:rsidP="001D4185">
      <w:pPr>
        <w:pStyle w:val="Heading3"/>
      </w:pPr>
      <w:bookmarkStart w:id="10" w:name="_Hlk73968847"/>
      <w:r w:rsidRPr="007F0A05">
        <w:t xml:space="preserve">Information </w:t>
      </w:r>
      <w:r w:rsidR="002F5D8B">
        <w:t>s</w:t>
      </w:r>
      <w:r w:rsidRPr="007F0A05">
        <w:t xml:space="preserve">haring </w:t>
      </w:r>
    </w:p>
    <w:bookmarkEnd w:id="10"/>
    <w:p w14:paraId="7E7D8DF9" w14:textId="730C5281" w:rsidR="007F0A05" w:rsidRDefault="007F0A05" w:rsidP="00E309F6">
      <w:pPr>
        <w:pStyle w:val="ParagraphText-unnumbered"/>
      </w:pPr>
      <w:r w:rsidRPr="007F0A05">
        <w:t xml:space="preserve">The </w:t>
      </w:r>
      <w:r w:rsidR="007720B5">
        <w:t>d</w:t>
      </w:r>
      <w:r w:rsidRPr="007F0A05">
        <w:t xml:space="preserve">epartment has the right of access to all </w:t>
      </w:r>
      <w:r w:rsidR="00865549">
        <w:t xml:space="preserve">HEE </w:t>
      </w:r>
      <w:r w:rsidRPr="007F0A05">
        <w:t>records and personnel for any purpose including, for example, sponsorship audits and operational investigations.</w:t>
      </w:r>
    </w:p>
    <w:p w14:paraId="31BC9400" w14:textId="3AC60358" w:rsidR="007F0A05" w:rsidRDefault="00F85B8E" w:rsidP="00E309F6">
      <w:pPr>
        <w:pStyle w:val="ParagraphText-unnumbered"/>
      </w:pPr>
      <w:r>
        <w:t>HEE</w:t>
      </w:r>
      <w:r w:rsidR="007F0A05" w:rsidRPr="007F0A05">
        <w:t xml:space="preserve"> shall provide the sponsor </w:t>
      </w:r>
      <w:r w:rsidR="007720B5">
        <w:t>d</w:t>
      </w:r>
      <w:r w:rsidR="007F0A05" w:rsidRPr="007F0A05">
        <w:t xml:space="preserve">epartment with such information about its operations, performance, individual projects or other expenditure as the sponsor department may reasonably require. </w:t>
      </w:r>
    </w:p>
    <w:p w14:paraId="2A86984C" w14:textId="597B10C6" w:rsidR="007F0A05" w:rsidRDefault="007F0A05" w:rsidP="00E309F6">
      <w:pPr>
        <w:pStyle w:val="ParagraphText-unnumbered"/>
      </w:pPr>
      <w:r w:rsidRPr="007F0A05">
        <w:t xml:space="preserve">The </w:t>
      </w:r>
      <w:r w:rsidR="007720B5">
        <w:t>d</w:t>
      </w:r>
      <w:r w:rsidRPr="007F0A05">
        <w:t xml:space="preserve">epartment and HM Treasury may request the sharing of data held by </w:t>
      </w:r>
      <w:r w:rsidR="00F85B8E">
        <w:t>HEE</w:t>
      </w:r>
      <w:r w:rsidRPr="007F0A05">
        <w:t xml:space="preserve"> in such a manner as set out in central guidance except insofar as it is prohibited by law. This may include requiring the appointment of a senior official to be responsible for the data sharing relationship. </w:t>
      </w:r>
    </w:p>
    <w:p w14:paraId="088D5C5A" w14:textId="554E9DCC" w:rsidR="007F0A05" w:rsidRDefault="007F0A05" w:rsidP="00E309F6">
      <w:pPr>
        <w:pStyle w:val="ParagraphText-unnumbered"/>
      </w:pPr>
      <w:r w:rsidRPr="007F0A05">
        <w:t xml:space="preserve">As a minimum, </w:t>
      </w:r>
      <w:r w:rsidR="004C6349">
        <w:t>HEE</w:t>
      </w:r>
      <w:r w:rsidRPr="007F0A05">
        <w:t xml:space="preserve"> shall provide the </w:t>
      </w:r>
      <w:r w:rsidR="007720B5">
        <w:t>d</w:t>
      </w:r>
      <w:r w:rsidRPr="007F0A05">
        <w:t xml:space="preserve">epartment with information monthly that will enable the </w:t>
      </w:r>
      <w:r w:rsidR="007720B5">
        <w:t>d</w:t>
      </w:r>
      <w:r w:rsidRPr="007F0A05">
        <w:t xml:space="preserve">epartment satisfactorily to monitor: </w:t>
      </w:r>
    </w:p>
    <w:p w14:paraId="321C99C6" w14:textId="44088C40" w:rsidR="007F0A05" w:rsidRDefault="004C6349" w:rsidP="007F0A05">
      <w:pPr>
        <w:pStyle w:val="Bullet"/>
      </w:pPr>
      <w:r>
        <w:t xml:space="preserve">HEE's </w:t>
      </w:r>
      <w:r w:rsidR="007F0A05" w:rsidRPr="007F0A05">
        <w:t xml:space="preserve">cash management </w:t>
      </w:r>
    </w:p>
    <w:p w14:paraId="0E4419CC" w14:textId="16F957BB" w:rsidR="007F0A05" w:rsidRDefault="007F0A05" w:rsidP="007F0A05">
      <w:pPr>
        <w:pStyle w:val="Bullet"/>
      </w:pPr>
      <w:r w:rsidRPr="007F0A05">
        <w:t xml:space="preserve">its draw-down of grant-in-aid </w:t>
      </w:r>
    </w:p>
    <w:p w14:paraId="659E6AEB" w14:textId="76A76AA9" w:rsidR="007F0A05" w:rsidRDefault="007F0A05" w:rsidP="007F0A05">
      <w:pPr>
        <w:pStyle w:val="Bullet"/>
      </w:pPr>
      <w:r w:rsidRPr="007F0A05">
        <w:t xml:space="preserve">forecast outturn by resource headings </w:t>
      </w:r>
    </w:p>
    <w:p w14:paraId="0978A1FA" w14:textId="7F8F31EA" w:rsidR="007F0A05" w:rsidRDefault="007F0A05" w:rsidP="007F0A05">
      <w:pPr>
        <w:pStyle w:val="Bullet"/>
      </w:pPr>
      <w:r w:rsidRPr="007F0A05">
        <w:lastRenderedPageBreak/>
        <w:t>other data required for the Online System for Central Accounting and Reporting (OSCAR)</w:t>
      </w:r>
      <w:r w:rsidR="00800011">
        <w:t xml:space="preserve"> and</w:t>
      </w:r>
      <w:r w:rsidRPr="007F0A05">
        <w:t xml:space="preserve"> </w:t>
      </w:r>
    </w:p>
    <w:p w14:paraId="09A87CBD" w14:textId="342D1A01" w:rsidR="007F0A05" w:rsidRDefault="007F0A05" w:rsidP="00BE20E2">
      <w:pPr>
        <w:pStyle w:val="Bullet"/>
      </w:pPr>
      <w:r w:rsidRPr="007F0A05">
        <w:t xml:space="preserve">data as required in respect of its compliance with any Cabinet Office Controls pipelines or required in order to meet any condition as set out in any settlement letter </w:t>
      </w:r>
    </w:p>
    <w:p w14:paraId="297CB0CE" w14:textId="59A14F0E" w:rsidR="001D4185" w:rsidRDefault="001D4185">
      <w:pPr>
        <w:rPr>
          <w:b/>
          <w:sz w:val="33"/>
        </w:rPr>
      </w:pPr>
    </w:p>
    <w:p w14:paraId="23658383" w14:textId="487AC8F8" w:rsidR="00920C71" w:rsidRDefault="00920C71" w:rsidP="001D4185">
      <w:pPr>
        <w:pStyle w:val="Heading2"/>
      </w:pPr>
      <w:bookmarkStart w:id="11" w:name="_Toc110582335"/>
      <w:r>
        <w:t>Audit</w:t>
      </w:r>
      <w:bookmarkEnd w:id="11"/>
    </w:p>
    <w:p w14:paraId="1FC603C1" w14:textId="7CAD676C" w:rsidR="007F0A05" w:rsidRDefault="007F0A05" w:rsidP="001D4185">
      <w:pPr>
        <w:pStyle w:val="Heading3"/>
      </w:pPr>
      <w:r>
        <w:t>I</w:t>
      </w:r>
      <w:r w:rsidRPr="007F0A05">
        <w:t xml:space="preserve">nternal audit </w:t>
      </w:r>
    </w:p>
    <w:p w14:paraId="0A8AB339" w14:textId="0A97C82B" w:rsidR="007F0A05" w:rsidRDefault="009A39AE" w:rsidP="00E309F6">
      <w:pPr>
        <w:pStyle w:val="ParagraphText-unnumbered"/>
      </w:pPr>
      <w:r>
        <w:t xml:space="preserve">HEE </w:t>
      </w:r>
      <w:r w:rsidR="007F0A05" w:rsidRPr="007F0A05">
        <w:t xml:space="preserve"> shall: </w:t>
      </w:r>
    </w:p>
    <w:p w14:paraId="060A365A" w14:textId="337AD5BF" w:rsidR="007F0A05" w:rsidRDefault="007F0A05" w:rsidP="007F0A05">
      <w:pPr>
        <w:pStyle w:val="Bullet"/>
      </w:pPr>
      <w:r w:rsidRPr="007F0A05">
        <w:t xml:space="preserve">ensure that the sponsor </w:t>
      </w:r>
      <w:r w:rsidR="007720B5">
        <w:t>d</w:t>
      </w:r>
      <w:r w:rsidRPr="007F0A05">
        <w:t xml:space="preserve">epartment’s internal audit team have complete access to all relevant records </w:t>
      </w:r>
    </w:p>
    <w:p w14:paraId="50D3C75A" w14:textId="181D7B4F" w:rsidR="005E4CD6" w:rsidRDefault="007F0A05" w:rsidP="007F0A05">
      <w:pPr>
        <w:pStyle w:val="Bullet"/>
      </w:pPr>
      <w:r w:rsidRPr="007F0A05">
        <w:t xml:space="preserve">ensure that any arrangements for internal audit are in accordance with the </w:t>
      </w:r>
      <w:r w:rsidR="008304B8">
        <w:t>p</w:t>
      </w:r>
      <w:r w:rsidRPr="007F0A05">
        <w:t xml:space="preserve">ublic </w:t>
      </w:r>
      <w:r w:rsidR="008304B8">
        <w:t>s</w:t>
      </w:r>
      <w:r w:rsidRPr="007F0A05">
        <w:t xml:space="preserve">ector </w:t>
      </w:r>
      <w:r w:rsidR="008304B8">
        <w:t>i</w:t>
      </w:r>
      <w:r w:rsidRPr="007F0A05">
        <w:t>nternal</w:t>
      </w:r>
      <w:r w:rsidR="008304B8">
        <w:t xml:space="preserve"> a</w:t>
      </w:r>
      <w:r w:rsidRPr="007F0A05">
        <w:t xml:space="preserve">udit </w:t>
      </w:r>
      <w:r w:rsidR="001839E1">
        <w:t>s</w:t>
      </w:r>
      <w:r w:rsidRPr="007F0A05">
        <w:t xml:space="preserve">tandards (PSIAS) as adopted by HM Treasury </w:t>
      </w:r>
    </w:p>
    <w:p w14:paraId="653A64EA" w14:textId="041FB9FC" w:rsidR="008B5F11" w:rsidRDefault="007F0A05" w:rsidP="00AA2539">
      <w:pPr>
        <w:pStyle w:val="Bullet"/>
      </w:pPr>
      <w:r w:rsidRPr="007F0A05">
        <w:t xml:space="preserve">set up an audit committee of its board in accordance with the </w:t>
      </w:r>
      <w:r w:rsidR="001839E1">
        <w:t>c</w:t>
      </w:r>
      <w:r w:rsidRPr="007F0A05">
        <w:t xml:space="preserve">ode of </w:t>
      </w:r>
      <w:r w:rsidR="001839E1">
        <w:t>g</w:t>
      </w:r>
      <w:r w:rsidRPr="007F0A05">
        <w:t xml:space="preserve">ood </w:t>
      </w:r>
      <w:r w:rsidR="001839E1">
        <w:t>p</w:t>
      </w:r>
      <w:r w:rsidRPr="007F0A05">
        <w:t xml:space="preserve">ractice for </w:t>
      </w:r>
      <w:r w:rsidR="001839E1">
        <w:t>c</w:t>
      </w:r>
      <w:r w:rsidRPr="007F0A05">
        <w:t xml:space="preserve">orporate </w:t>
      </w:r>
      <w:r w:rsidR="001839E1">
        <w:t>g</w:t>
      </w:r>
      <w:r w:rsidRPr="007F0A05">
        <w:t xml:space="preserve">overnance and the </w:t>
      </w:r>
      <w:r w:rsidR="001839E1">
        <w:t>a</w:t>
      </w:r>
      <w:r w:rsidRPr="007F0A05">
        <w:t xml:space="preserve">udit and </w:t>
      </w:r>
      <w:r w:rsidR="001839E1">
        <w:t>r</w:t>
      </w:r>
      <w:r w:rsidRPr="007F0A05">
        <w:t xml:space="preserve">isk </w:t>
      </w:r>
      <w:r w:rsidR="001839E1">
        <w:t>a</w:t>
      </w:r>
      <w:r w:rsidRPr="007F0A05">
        <w:t xml:space="preserve">ssurance </w:t>
      </w:r>
      <w:r w:rsidR="001839E1">
        <w:t>c</w:t>
      </w:r>
      <w:r w:rsidRPr="007F0A05">
        <w:t xml:space="preserve">ommittee </w:t>
      </w:r>
      <w:r w:rsidR="001839E1">
        <w:t>h</w:t>
      </w:r>
      <w:r w:rsidRPr="007F0A05">
        <w:t xml:space="preserve">andbook, forward the audit strategy, periodic audit plans and annual audit report, including the </w:t>
      </w:r>
      <w:r w:rsidR="00AA2539">
        <w:t>HEE</w:t>
      </w:r>
      <w:r w:rsidR="00F92864">
        <w:t xml:space="preserve"> </w:t>
      </w:r>
      <w:r w:rsidRPr="007F0A05">
        <w:t xml:space="preserve">Head of Internal Audit opinion on risk management, control and governance as soon as possible to the sponsor </w:t>
      </w:r>
      <w:r w:rsidR="007720B5">
        <w:t>d</w:t>
      </w:r>
      <w:r w:rsidRPr="007F0A05">
        <w:t xml:space="preserve">epartment </w:t>
      </w:r>
    </w:p>
    <w:p w14:paraId="35862002" w14:textId="015EB5A7" w:rsidR="005E4CD6" w:rsidRDefault="008B5F11" w:rsidP="00AA2539">
      <w:pPr>
        <w:pStyle w:val="Bullet"/>
      </w:pPr>
      <w:r>
        <w:t>forward the audit strategy</w:t>
      </w:r>
      <w:r w:rsidR="008517C1">
        <w:t xml:space="preserve">, periodic audit plans </w:t>
      </w:r>
      <w:r w:rsidR="003A494D">
        <w:t>and annual audit report</w:t>
      </w:r>
      <w:r w:rsidR="00D70F0F">
        <w:t>, including HEE Head of Internal Audit opinion on risk management, control</w:t>
      </w:r>
      <w:r w:rsidR="00E46431">
        <w:t xml:space="preserve"> and governance as soon as possible to the</w:t>
      </w:r>
      <w:r w:rsidR="00687B0D">
        <w:t xml:space="preserve"> sponsor </w:t>
      </w:r>
      <w:r w:rsidR="007720B5">
        <w:t>d</w:t>
      </w:r>
      <w:r w:rsidR="00E46431">
        <w:t xml:space="preserve">epartment </w:t>
      </w:r>
      <w:r w:rsidR="00D70F0F">
        <w:t xml:space="preserve"> </w:t>
      </w:r>
      <w:r w:rsidR="007F0A05" w:rsidRPr="007F0A05">
        <w:t xml:space="preserve"> </w:t>
      </w:r>
    </w:p>
    <w:p w14:paraId="7586C60A" w14:textId="03AC218B" w:rsidR="005E4CD6" w:rsidRDefault="007F0A05" w:rsidP="007F0A05">
      <w:pPr>
        <w:pStyle w:val="Bullet"/>
      </w:pPr>
      <w:r w:rsidRPr="007F0A05">
        <w:t xml:space="preserve">keep records of and prepare and forward to the </w:t>
      </w:r>
      <w:r w:rsidR="007720B5">
        <w:t>d</w:t>
      </w:r>
      <w:r w:rsidRPr="007F0A05">
        <w:t xml:space="preserve">epartment an annual report on fraud and theft suffered by the </w:t>
      </w:r>
      <w:r w:rsidR="00AA2539">
        <w:t>HEE</w:t>
      </w:r>
      <w:r w:rsidRPr="007F0A05">
        <w:t xml:space="preserve"> and notify the sponsor </w:t>
      </w:r>
      <w:r w:rsidR="007720B5">
        <w:t>d</w:t>
      </w:r>
      <w:r w:rsidRPr="007F0A05">
        <w:t xml:space="preserve">epartment of any unusual or major incidents as soon as possible </w:t>
      </w:r>
    </w:p>
    <w:p w14:paraId="4E685B41" w14:textId="6FC5F102" w:rsidR="005E4CD6" w:rsidRDefault="007F0A05" w:rsidP="007F0A05">
      <w:pPr>
        <w:pStyle w:val="Bullet"/>
      </w:pPr>
      <w:r w:rsidRPr="007F0A05">
        <w:t xml:space="preserve">will share with the sponsor </w:t>
      </w:r>
      <w:r w:rsidR="007720B5">
        <w:t>d</w:t>
      </w:r>
      <w:r w:rsidRPr="007F0A05">
        <w:t xml:space="preserve">epartment information identified during the audit process and the Annual Audit Opinion Report (together with any other outputs) at the end of the audit, in particular on issues impacting on </w:t>
      </w:r>
      <w:r w:rsidR="00F92864" w:rsidRPr="007F0A05">
        <w:t>the</w:t>
      </w:r>
      <w:r w:rsidR="00F92864">
        <w:t xml:space="preserve"> </w:t>
      </w:r>
      <w:r w:rsidR="00F92864" w:rsidRPr="007F0A05">
        <w:t>department's</w:t>
      </w:r>
      <w:r w:rsidRPr="007F0A05">
        <w:t xml:space="preserve"> responsibilities in relation to financial systems within the </w:t>
      </w:r>
      <w:r w:rsidR="00AA2539">
        <w:t>HEE</w:t>
      </w:r>
    </w:p>
    <w:p w14:paraId="14819C91" w14:textId="77777777" w:rsidR="005E4CD6" w:rsidRDefault="007F0A05" w:rsidP="001D4185">
      <w:pPr>
        <w:pStyle w:val="Heading3"/>
      </w:pPr>
      <w:r w:rsidRPr="007F0A05">
        <w:t xml:space="preserve">External audit </w:t>
      </w:r>
    </w:p>
    <w:p w14:paraId="4B6012E2" w14:textId="477CCEC2" w:rsidR="005E4CD6" w:rsidRPr="00E309F6" w:rsidRDefault="007F0A05" w:rsidP="00E309F6">
      <w:pPr>
        <w:pStyle w:val="ParagraphText-unnumbered"/>
      </w:pPr>
      <w:r w:rsidRPr="007F0A05">
        <w:t xml:space="preserve">The </w:t>
      </w:r>
      <w:r w:rsidRPr="00E309F6">
        <w:t xml:space="preserve">Comptroller </w:t>
      </w:r>
      <w:r w:rsidR="00EA6B22" w:rsidRPr="00E309F6">
        <w:t>and</w:t>
      </w:r>
      <w:r w:rsidRPr="00E309F6">
        <w:t xml:space="preserve"> Auditor General (C</w:t>
      </w:r>
      <w:r w:rsidR="00EA6B22" w:rsidRPr="00E309F6">
        <w:t xml:space="preserve"> and </w:t>
      </w:r>
      <w:r w:rsidRPr="00E309F6">
        <w:t xml:space="preserve">AG) audits  </w:t>
      </w:r>
      <w:r w:rsidR="00AA2539" w:rsidRPr="00E309F6">
        <w:t>HEE</w:t>
      </w:r>
      <w:r w:rsidR="001D4809" w:rsidRPr="00E309F6">
        <w:t xml:space="preserve">'s </w:t>
      </w:r>
      <w:r w:rsidRPr="00E309F6">
        <w:t>annual accounts and lays them before parliament, together with his report</w:t>
      </w:r>
      <w:r w:rsidR="00AA2539" w:rsidRPr="00E309F6">
        <w:t xml:space="preserve">. </w:t>
      </w:r>
      <w:r w:rsidRPr="00E309F6">
        <w:t xml:space="preserve"> </w:t>
      </w:r>
    </w:p>
    <w:p w14:paraId="3FC14862" w14:textId="22F4FF37" w:rsidR="005E4CD6" w:rsidRPr="00E309F6" w:rsidRDefault="00AA2539" w:rsidP="00E309F6">
      <w:pPr>
        <w:pStyle w:val="ParagraphText-unnumbered"/>
      </w:pPr>
      <w:r w:rsidRPr="00E309F6">
        <w:lastRenderedPageBreak/>
        <w:t>I</w:t>
      </w:r>
      <w:r w:rsidR="007F0A05" w:rsidRPr="00E309F6">
        <w:t xml:space="preserve">n the event that </w:t>
      </w:r>
      <w:r w:rsidR="0006713C" w:rsidRPr="00E309F6">
        <w:t>HEE</w:t>
      </w:r>
      <w:r w:rsidR="007F0A05" w:rsidRPr="00E309F6">
        <w:t xml:space="preserve"> has set up and controls subsidiary companies, </w:t>
      </w:r>
      <w:r w:rsidR="00434EE6" w:rsidRPr="00E309F6">
        <w:t xml:space="preserve">HEE </w:t>
      </w:r>
      <w:r w:rsidR="002C5046" w:rsidRPr="00E309F6">
        <w:t>w</w:t>
      </w:r>
      <w:r w:rsidR="00434EE6" w:rsidRPr="00E309F6">
        <w:t>ill</w:t>
      </w:r>
      <w:r w:rsidR="007F0A05" w:rsidRPr="00E309F6">
        <w:t xml:space="preserve"> [in the light of the provisions in the Companies Act 2006] ensure that the C</w:t>
      </w:r>
      <w:r w:rsidR="00EA6B22" w:rsidRPr="00E309F6">
        <w:t xml:space="preserve"> and </w:t>
      </w:r>
      <w:r w:rsidR="007F0A05" w:rsidRPr="00E309F6">
        <w:t xml:space="preserve">AG has the option to be appointed auditor of those company subsidiaries that it controls and/or whose accounts are consolidated within its own accounts. </w:t>
      </w:r>
      <w:r w:rsidRPr="00E309F6">
        <w:t xml:space="preserve">HEE shall discuss with the sponsor </w:t>
      </w:r>
      <w:r w:rsidR="007720B5" w:rsidRPr="00E309F6">
        <w:t>d</w:t>
      </w:r>
      <w:r w:rsidRPr="00E309F6">
        <w:t>epartment the procedures for appointing the C</w:t>
      </w:r>
      <w:r w:rsidR="00EA6B22" w:rsidRPr="00E309F6">
        <w:t xml:space="preserve"> and </w:t>
      </w:r>
      <w:r w:rsidRPr="00E309F6">
        <w:t xml:space="preserve">AG as auditor of the companies.  </w:t>
      </w:r>
    </w:p>
    <w:p w14:paraId="7502C119" w14:textId="2BEFA10C" w:rsidR="005E4CD6" w:rsidRDefault="007F0A05" w:rsidP="00E309F6">
      <w:pPr>
        <w:pStyle w:val="ParagraphText-unnumbered"/>
      </w:pPr>
      <w:r w:rsidRPr="00E309F6">
        <w:t>The C</w:t>
      </w:r>
      <w:r w:rsidR="00EA6B22" w:rsidRPr="00E309F6">
        <w:t xml:space="preserve"> and</w:t>
      </w:r>
      <w:r w:rsidR="00EA6B22">
        <w:t xml:space="preserve"> </w:t>
      </w:r>
      <w:r w:rsidRPr="007F0A05">
        <w:t xml:space="preserve">AG: </w:t>
      </w:r>
    </w:p>
    <w:p w14:paraId="05B6D2B3" w14:textId="605A2BF3" w:rsidR="005E4CD6" w:rsidRDefault="007F0A05" w:rsidP="005E4CD6">
      <w:pPr>
        <w:pStyle w:val="Bullet"/>
      </w:pPr>
      <w:r w:rsidRPr="007F0A05">
        <w:t xml:space="preserve"> will consult the </w:t>
      </w:r>
      <w:r w:rsidR="007720B5">
        <w:t>d</w:t>
      </w:r>
      <w:r w:rsidRPr="007F0A05">
        <w:t>epartment and the ALB on whom – the NAO or a commercial auditor – shall undertake the audit(s) on his behalf, though the final decision rests with the C</w:t>
      </w:r>
      <w:r w:rsidR="00EA6B22">
        <w:t xml:space="preserve"> and </w:t>
      </w:r>
      <w:r w:rsidRPr="007F0A05">
        <w:t xml:space="preserve">AG </w:t>
      </w:r>
    </w:p>
    <w:p w14:paraId="51BDBED2" w14:textId="7E54EB35" w:rsidR="005E4CD6" w:rsidRDefault="007F0A05" w:rsidP="005E4CD6">
      <w:pPr>
        <w:pStyle w:val="Bullet"/>
      </w:pPr>
      <w:r w:rsidRPr="007F0A05">
        <w:t xml:space="preserve">has a statutory right of access to relevant documents, including by virtue of section 25(8) of the Government Resources and Accounts Act 2000, held by another party in receipt of payments or grants from </w:t>
      </w:r>
      <w:r w:rsidR="00AA2539">
        <w:t>HEE</w:t>
      </w:r>
      <w:r w:rsidRPr="007F0A05">
        <w:t xml:space="preserve"> </w:t>
      </w:r>
    </w:p>
    <w:p w14:paraId="774E550E" w14:textId="1D36B0D4" w:rsidR="005E4CD6" w:rsidRDefault="007F0A05" w:rsidP="005E4CD6">
      <w:pPr>
        <w:pStyle w:val="Bullet"/>
      </w:pPr>
      <w:r w:rsidRPr="007F0A05">
        <w:t xml:space="preserve">will share with the sponsor </w:t>
      </w:r>
      <w:r w:rsidR="005D78D6">
        <w:t>d</w:t>
      </w:r>
      <w:r w:rsidRPr="007F0A05">
        <w:t xml:space="preserve">epartment information identified during the audit process and the audit report (together with any other outputs) at the end of the audit, in particular on issues impacting on the </w:t>
      </w:r>
      <w:r w:rsidR="005D78D6">
        <w:t>d</w:t>
      </w:r>
      <w:r w:rsidRPr="007F0A05">
        <w:t xml:space="preserve">epartment's responsibilities in relation to financial systems within </w:t>
      </w:r>
      <w:r w:rsidR="00AA2539">
        <w:t>HEE</w:t>
      </w:r>
      <w:r w:rsidRPr="007F0A05">
        <w:t xml:space="preserve"> </w:t>
      </w:r>
    </w:p>
    <w:p w14:paraId="1321E0F7" w14:textId="01668A61" w:rsidR="005E4CD6" w:rsidRDefault="007F0A05" w:rsidP="005E4CD6">
      <w:pPr>
        <w:pStyle w:val="Bullet"/>
      </w:pPr>
      <w:r w:rsidRPr="007F0A05">
        <w:t xml:space="preserve">will consider requests from </w:t>
      </w:r>
      <w:r w:rsidR="005D78D6">
        <w:t>d</w:t>
      </w:r>
      <w:r w:rsidRPr="007F0A05">
        <w:t>epartments and other relevant bodies to provide Regulatory Compliance Reports and other similar reports at the commencement of the audit. Consistent with the C</w:t>
      </w:r>
      <w:r w:rsidR="007A6703">
        <w:t xml:space="preserve"> an</w:t>
      </w:r>
      <w:r w:rsidR="00705F8F">
        <w:t xml:space="preserve">d </w:t>
      </w:r>
      <w:r w:rsidRPr="007F0A05">
        <w:t>AG’s independent status, the provision of such reports is entirely at the C</w:t>
      </w:r>
      <w:r w:rsidR="00705F8F">
        <w:t xml:space="preserve"> and </w:t>
      </w:r>
      <w:r w:rsidRPr="007F0A05">
        <w:t xml:space="preserve">AG’s discretion </w:t>
      </w:r>
    </w:p>
    <w:p w14:paraId="15C02658" w14:textId="7263ACC6" w:rsidR="00950460" w:rsidRDefault="007F0A05" w:rsidP="00E309F6">
      <w:pPr>
        <w:pStyle w:val="ParagraphText-unnumbered"/>
      </w:pPr>
      <w:r w:rsidRPr="007F0A05">
        <w:t>The C</w:t>
      </w:r>
      <w:r w:rsidR="00705F8F">
        <w:t xml:space="preserve"> and </w:t>
      </w:r>
      <w:r w:rsidRPr="007F0A05">
        <w:t>AG may carry out examinations into the economy, efficiency and effectiveness with which the ALB has used its resources in discharging its functions. For the purpose of these examinations the C</w:t>
      </w:r>
      <w:r w:rsidR="00705F8F">
        <w:t xml:space="preserve"> and </w:t>
      </w:r>
      <w:r w:rsidRPr="007F0A05">
        <w:t>AG has statutory access to documents as provided for under section 8 of the National Audit Act 1983. In addition, the ALB shall provide, in conditions to grants and contracts, for the C</w:t>
      </w:r>
      <w:r w:rsidR="00705F8F">
        <w:t xml:space="preserve"> and </w:t>
      </w:r>
      <w:r w:rsidRPr="007F0A05">
        <w:t>G to exercise such access to documents held by grant recipients and contractors and sub-contractors as may be required for these examinations; and shall use its best endeavours to secure access for the C</w:t>
      </w:r>
      <w:r w:rsidR="00705F8F">
        <w:t xml:space="preserve"> and </w:t>
      </w:r>
      <w:r w:rsidRPr="007F0A05">
        <w:t>AG to any other documents required by the C</w:t>
      </w:r>
      <w:r w:rsidR="00705F8F">
        <w:t xml:space="preserve"> and </w:t>
      </w:r>
      <w:r w:rsidRPr="007F0A05">
        <w:t>G which are held by other bodies.</w:t>
      </w:r>
    </w:p>
    <w:p w14:paraId="11A91D4B" w14:textId="5ED0C858" w:rsidR="00950460" w:rsidRDefault="00950460" w:rsidP="00A66AA5">
      <w:pPr>
        <w:pStyle w:val="Heading2"/>
      </w:pPr>
      <w:r>
        <w:br w:type="page"/>
      </w:r>
      <w:bookmarkStart w:id="12" w:name="_Toc110582336"/>
      <w:r w:rsidRPr="00950460">
        <w:lastRenderedPageBreak/>
        <w:t>Reviews</w:t>
      </w:r>
      <w:r w:rsidRPr="007F0A05">
        <w:t xml:space="preserve"> and </w:t>
      </w:r>
      <w:r w:rsidR="00487775">
        <w:t>w</w:t>
      </w:r>
      <w:r w:rsidRPr="007F0A05">
        <w:t>inding up arrangements</w:t>
      </w:r>
      <w:bookmarkEnd w:id="12"/>
      <w:r w:rsidRPr="007F0A05">
        <w:t xml:space="preserve"> </w:t>
      </w:r>
    </w:p>
    <w:p w14:paraId="1FD57D9F" w14:textId="5EAD2136" w:rsidR="00950460" w:rsidRDefault="00950460" w:rsidP="001D4185">
      <w:pPr>
        <w:pStyle w:val="Heading3"/>
      </w:pPr>
      <w:r w:rsidRPr="007F0A05">
        <w:t xml:space="preserve">Review of </w:t>
      </w:r>
      <w:r>
        <w:t>HEE</w:t>
      </w:r>
      <w:r w:rsidRPr="007F0A05">
        <w:t xml:space="preserve">’s status </w:t>
      </w:r>
    </w:p>
    <w:p w14:paraId="5C40F927" w14:textId="17BBBE5C" w:rsidR="00950460" w:rsidRDefault="00EF536C" w:rsidP="00E309F6">
      <w:pPr>
        <w:pStyle w:val="ParagraphText-unnumbered"/>
      </w:pPr>
      <w:r>
        <w:t xml:space="preserve">HEE </w:t>
      </w:r>
      <w:r w:rsidR="003A7580">
        <w:t>will be reviewed as part of the wider Public Bodies Reviews programme</w:t>
      </w:r>
      <w:r w:rsidR="00901543">
        <w:t xml:space="preserve">, a time determined by the </w:t>
      </w:r>
      <w:r w:rsidR="005D78D6">
        <w:t>d</w:t>
      </w:r>
      <w:r w:rsidR="00901543">
        <w:t xml:space="preserve">epartment's </w:t>
      </w:r>
      <w:r w:rsidR="005D78D6">
        <w:t>m</w:t>
      </w:r>
      <w:r w:rsidR="00901543">
        <w:t>inisters and PAO.</w:t>
      </w:r>
      <w:r w:rsidR="00886C0F">
        <w:t>.</w:t>
      </w:r>
    </w:p>
    <w:p w14:paraId="43A33671" w14:textId="4F661AA9" w:rsidR="00950460" w:rsidRDefault="00950460" w:rsidP="001D4185">
      <w:pPr>
        <w:pStyle w:val="Heading3"/>
      </w:pPr>
      <w:r w:rsidRPr="007F0A05">
        <w:t xml:space="preserve">Arrangements in the event that </w:t>
      </w:r>
      <w:r>
        <w:t xml:space="preserve">HEE </w:t>
      </w:r>
      <w:r w:rsidRPr="007F0A05">
        <w:t xml:space="preserve">is wound up </w:t>
      </w:r>
    </w:p>
    <w:p w14:paraId="676C6EC1" w14:textId="40EE2ED2" w:rsidR="00950460" w:rsidRDefault="00950460" w:rsidP="00E309F6">
      <w:pPr>
        <w:pStyle w:val="ParagraphText-unnumbered"/>
      </w:pPr>
      <w:r w:rsidRPr="007F0A05">
        <w:t xml:space="preserve">The sponsor </w:t>
      </w:r>
      <w:r w:rsidR="005D78D6">
        <w:t>d</w:t>
      </w:r>
      <w:r w:rsidRPr="007F0A05">
        <w:t xml:space="preserve">epartment shall put in place arrangements to ensure the orderly winding up of </w:t>
      </w:r>
      <w:r>
        <w:t>HEE</w:t>
      </w:r>
      <w:r w:rsidRPr="007F0A05">
        <w:t xml:space="preserve">. In particular it should ensure that the assets and liabilities of </w:t>
      </w:r>
      <w:r>
        <w:t>HEE</w:t>
      </w:r>
      <w:r w:rsidR="00901543">
        <w:t xml:space="preserve"> </w:t>
      </w:r>
      <w:r w:rsidRPr="007F0A05">
        <w:t xml:space="preserve">are passed to any successor organisation and accounted for properly. (In the event that there is no successor organisation, the assets and liabilities should revert to the sponsor </w:t>
      </w:r>
      <w:r w:rsidR="005D78D6">
        <w:t>d</w:t>
      </w:r>
      <w:r w:rsidRPr="007F0A05">
        <w:t xml:space="preserve">epartment.) To this end, the </w:t>
      </w:r>
      <w:r w:rsidR="005D78D6">
        <w:t>d</w:t>
      </w:r>
      <w:r w:rsidRPr="007F0A05">
        <w:t xml:space="preserve">epartment shall: </w:t>
      </w:r>
    </w:p>
    <w:p w14:paraId="45E1DCEC" w14:textId="77777777" w:rsidR="00950460" w:rsidRDefault="00950460" w:rsidP="00950460">
      <w:pPr>
        <w:pStyle w:val="Bullet"/>
      </w:pPr>
      <w:r w:rsidRPr="007F0A05">
        <w:t>have regard to Cabinet Office guidance on winding up of ALBs</w:t>
      </w:r>
    </w:p>
    <w:p w14:paraId="04E5186A" w14:textId="0C86F360" w:rsidR="00950460" w:rsidRDefault="00950460" w:rsidP="00950460">
      <w:pPr>
        <w:pStyle w:val="Bullet"/>
      </w:pPr>
      <w:r w:rsidRPr="007F0A05">
        <w:t xml:space="preserve">ensure that procedures are in place in </w:t>
      </w:r>
      <w:r>
        <w:t xml:space="preserve">HEE </w:t>
      </w:r>
      <w:r w:rsidRPr="007F0A05">
        <w:t xml:space="preserve"> to gain independent assurance on key transactions, financial commitments, cash flows and other information needed to handle the wind-up effectively and to maintain the momentum of work inherited by any residuary body; specify the basis for the valuation and accounting treatment of </w:t>
      </w:r>
      <w:r>
        <w:t xml:space="preserve">HEE </w:t>
      </w:r>
      <w:r w:rsidRPr="007F0A05">
        <w:t>’s assets and liabilities</w:t>
      </w:r>
    </w:p>
    <w:p w14:paraId="63E64358" w14:textId="40CA6414" w:rsidR="00950460" w:rsidRDefault="00950460" w:rsidP="00950460">
      <w:pPr>
        <w:pStyle w:val="Bullet"/>
      </w:pPr>
      <w:r w:rsidRPr="007F0A05">
        <w:t>ensure that arrangements are in place to prepare closing accounts and pass to the C</w:t>
      </w:r>
      <w:r w:rsidR="00705F8F">
        <w:t xml:space="preserve"> and </w:t>
      </w:r>
      <w:r w:rsidRPr="007F0A05">
        <w:t>AG for external audit, and that, for non-Crown bodies funds are in place to pay for such audits. It shall be for the C</w:t>
      </w:r>
      <w:r w:rsidR="00705F8F">
        <w:t xml:space="preserve"> and </w:t>
      </w:r>
      <w:r w:rsidRPr="007F0A05">
        <w:t xml:space="preserve">AG to lay the final accounts in Parliament, together with his report on the accounts </w:t>
      </w:r>
    </w:p>
    <w:p w14:paraId="13B26096" w14:textId="734EB8AE" w:rsidR="00950460" w:rsidRDefault="00950460" w:rsidP="00950460">
      <w:pPr>
        <w:pStyle w:val="Bullet"/>
      </w:pPr>
      <w:r w:rsidRPr="007F0A05">
        <w:t xml:space="preserve">arrange for the most appropriate person to sign the closing accounts. In the event that another ALB takes on the role, responsibilities, assets and liabilities, the succeeding ALB AO should sign the closing accounts. In the event that the </w:t>
      </w:r>
      <w:r w:rsidR="005D78D6">
        <w:t>d</w:t>
      </w:r>
      <w:r w:rsidRPr="007F0A05">
        <w:t xml:space="preserve">epartment inherits the role, responsibilities, assets and liabilities, the sponsor </w:t>
      </w:r>
      <w:r w:rsidR="005D78D6">
        <w:t>d</w:t>
      </w:r>
      <w:r w:rsidRPr="007F0A05">
        <w:t xml:space="preserve">epartment’s AO should sign  </w:t>
      </w:r>
    </w:p>
    <w:p w14:paraId="78F924BA" w14:textId="33C71341" w:rsidR="00950460" w:rsidRDefault="00950460" w:rsidP="00E309F6">
      <w:pPr>
        <w:pStyle w:val="ParagraphText-unnumbered"/>
      </w:pPr>
      <w:r>
        <w:t xml:space="preserve">HEE </w:t>
      </w:r>
      <w:r w:rsidRPr="007F0A05">
        <w:t xml:space="preserve">shall provide the </w:t>
      </w:r>
      <w:r w:rsidR="005D78D6">
        <w:t>d</w:t>
      </w:r>
      <w:r w:rsidRPr="007F0A05">
        <w:t xml:space="preserve">epartment with full details of all agreements where </w:t>
      </w:r>
      <w:r>
        <w:t xml:space="preserve">HEE </w:t>
      </w:r>
      <w:r w:rsidRPr="007F0A05">
        <w:t xml:space="preserve"> or its successors have a right to share in the financial gains of developers. It should also pass to the </w:t>
      </w:r>
      <w:r w:rsidR="005D78D6">
        <w:t>d</w:t>
      </w:r>
      <w:r w:rsidRPr="007F0A05">
        <w:t xml:space="preserve">epartment details of any other forms of claw-back due to  </w:t>
      </w:r>
      <w:r>
        <w:t>HEE</w:t>
      </w:r>
      <w:r w:rsidRPr="007F0A05">
        <w:t>.</w:t>
      </w:r>
    </w:p>
    <w:p w14:paraId="1E1DEC84" w14:textId="77777777" w:rsidR="001D4185" w:rsidRDefault="001D4185">
      <w:pPr>
        <w:rPr>
          <w:b/>
          <w:sz w:val="33"/>
        </w:rPr>
      </w:pPr>
      <w:bookmarkStart w:id="13" w:name="_Toc73704614"/>
      <w:r>
        <w:br w:type="page"/>
      </w:r>
    </w:p>
    <w:p w14:paraId="486A98F9" w14:textId="1433B11A" w:rsidR="00950460" w:rsidRPr="005E4CD6" w:rsidRDefault="00950460" w:rsidP="001D4185">
      <w:pPr>
        <w:pStyle w:val="Heading2"/>
      </w:pPr>
      <w:bookmarkStart w:id="14" w:name="_Toc110582337"/>
      <w:r w:rsidRPr="005E4CD6">
        <w:lastRenderedPageBreak/>
        <w:t xml:space="preserve">Public and </w:t>
      </w:r>
      <w:r w:rsidR="00487775">
        <w:t>p</w:t>
      </w:r>
      <w:r w:rsidRPr="005E4CD6">
        <w:t xml:space="preserve">arliamentary </w:t>
      </w:r>
      <w:r w:rsidR="00487775">
        <w:t>a</w:t>
      </w:r>
      <w:r w:rsidRPr="005E4CD6">
        <w:t>ccountability</w:t>
      </w:r>
      <w:bookmarkEnd w:id="13"/>
      <w:bookmarkEnd w:id="14"/>
    </w:p>
    <w:p w14:paraId="3C7B6DFC" w14:textId="098103F2" w:rsidR="00950460" w:rsidRPr="005E4CD6" w:rsidRDefault="00950460" w:rsidP="00E309F6">
      <w:pPr>
        <w:pStyle w:val="ParagraphText-unnumbered"/>
      </w:pPr>
      <w:r w:rsidRPr="005E4CD6">
        <w:t xml:space="preserve">The </w:t>
      </w:r>
      <w:r w:rsidR="005D78D6">
        <w:t>d</w:t>
      </w:r>
      <w:r w:rsidRPr="005E4CD6">
        <w:t xml:space="preserve">epartment and its arms' length bodies share responsibility for accounting to the public and to Parliament for policies, decisions and activities across the health and care sector. Accountability to Parliament shall often be demonstrated through oral and written parliamentary questions, MPs' letters and appearances before parliamentary committees. Accountability to the public may be through the publication of information on </w:t>
      </w:r>
      <w:r>
        <w:t xml:space="preserve">HEE </w:t>
      </w:r>
      <w:r w:rsidRPr="005E4CD6">
        <w:t>'s website, as well as through responses to letters from the public and responses to requests under the Freedom of Information Act 2000.</w:t>
      </w:r>
    </w:p>
    <w:p w14:paraId="66373B1B" w14:textId="5B86123E" w:rsidR="00950460" w:rsidRPr="005E4CD6" w:rsidRDefault="00950460" w:rsidP="00E309F6">
      <w:pPr>
        <w:pStyle w:val="ParagraphText-unnumbered"/>
      </w:pPr>
      <w:r w:rsidRPr="005E4CD6">
        <w:t xml:space="preserve">The </w:t>
      </w:r>
      <w:r w:rsidR="005D78D6">
        <w:t>d</w:t>
      </w:r>
      <w:r w:rsidRPr="005E4CD6">
        <w:t xml:space="preserve">epartment and its ministers remain responsible to Parliament for the system overall, so lead in demonstrating this accountability even where </w:t>
      </w:r>
      <w:r>
        <w:t xml:space="preserve">HEE </w:t>
      </w:r>
      <w:r w:rsidRPr="005E4CD6">
        <w:t xml:space="preserve">are also directly engaged (for example as witnesses in </w:t>
      </w:r>
      <w:r w:rsidR="001C4A27">
        <w:t>s</w:t>
      </w:r>
      <w:r w:rsidRPr="005E4CD6">
        <w:t xml:space="preserve">elect </w:t>
      </w:r>
      <w:r w:rsidR="001C4A27">
        <w:t>c</w:t>
      </w:r>
      <w:r w:rsidRPr="005E4CD6">
        <w:t xml:space="preserve">ommittee hearings). </w:t>
      </w:r>
      <w:r>
        <w:t xml:space="preserve">HEE </w:t>
      </w:r>
      <w:r w:rsidRPr="005E4CD6">
        <w:t xml:space="preserve">shall support the </w:t>
      </w:r>
      <w:r w:rsidR="005D78D6">
        <w:t>d</w:t>
      </w:r>
      <w:r w:rsidRPr="005E4CD6">
        <w:t xml:space="preserve">epartment in this role by working collaboratively to provide the information that ministers need to account to Parliament in line with Parliamentary protocols and relevant legislation. The </w:t>
      </w:r>
      <w:r w:rsidR="005D78D6">
        <w:t>d</w:t>
      </w:r>
      <w:r w:rsidRPr="005E4CD6">
        <w:t xml:space="preserve">epartment has overall responsibility for ensuring that appropriate governance arrangements are in place to ensure that robust performance standards are in place and met. These shall include (as a minimum) quarterly assurance meetings with relevant teams in </w:t>
      </w:r>
      <w:r>
        <w:t xml:space="preserve">HEE </w:t>
      </w:r>
      <w:r w:rsidRPr="005E4CD6">
        <w:t xml:space="preserve"> to discuss overall compliance with the standards.</w:t>
      </w:r>
    </w:p>
    <w:p w14:paraId="6FE35D7D" w14:textId="66C76A46" w:rsidR="00950460" w:rsidRPr="005E4CD6" w:rsidRDefault="00950460" w:rsidP="00E309F6">
      <w:pPr>
        <w:pStyle w:val="ParagraphText-unnumbered"/>
      </w:pPr>
      <w:r w:rsidRPr="005E4CD6">
        <w:t xml:space="preserve">Where any information required by the department for </w:t>
      </w:r>
      <w:r w:rsidR="00E00B20">
        <w:t>p</w:t>
      </w:r>
      <w:r w:rsidRPr="005E4CD6">
        <w:t xml:space="preserve">arliamentary and </w:t>
      </w:r>
      <w:r w:rsidR="00E00B20">
        <w:t>p</w:t>
      </w:r>
      <w:r w:rsidRPr="005E4CD6">
        <w:t xml:space="preserve">ublic </w:t>
      </w:r>
      <w:r w:rsidR="00E00B20">
        <w:t>a</w:t>
      </w:r>
      <w:r w:rsidRPr="005E4CD6">
        <w:t xml:space="preserve">ccountability purposes is held by one or more other Arms' Length Bodies, and none is the obvious lead, the </w:t>
      </w:r>
      <w:r w:rsidR="005D78D6">
        <w:t>d</w:t>
      </w:r>
      <w:r w:rsidRPr="005E4CD6">
        <w:t xml:space="preserve">epartment shall be responsible for commissioning and co-ordinating all contributions from the other bodies and ensure that there are no unallocated issues. </w:t>
      </w:r>
    </w:p>
    <w:p w14:paraId="008666B8" w14:textId="3B874F36" w:rsidR="00950460" w:rsidRPr="005E4CD6" w:rsidRDefault="00950460" w:rsidP="00E309F6">
      <w:pPr>
        <w:pStyle w:val="ParagraphText-unnumbered"/>
      </w:pPr>
      <w:r w:rsidRPr="005E4CD6">
        <w:t xml:space="preserve">The </w:t>
      </w:r>
      <w:r w:rsidR="005D78D6">
        <w:t>d</w:t>
      </w:r>
      <w:r w:rsidRPr="005E4CD6">
        <w:t xml:space="preserve">epartment and </w:t>
      </w:r>
      <w:r>
        <w:t xml:space="preserve">HEE </w:t>
      </w:r>
      <w:r w:rsidRPr="005E4CD6">
        <w:t xml:space="preserve">shall maintain and share openly within their respective organisations lists of named contacts, resources and processes to deal with the handling of public and Parliamentary work as outlined in this section.  Agreed performance standards are in place and shall be reviewed from time to time. These will reflect </w:t>
      </w:r>
      <w:r w:rsidR="001B17DD">
        <w:t>g</w:t>
      </w:r>
      <w:r w:rsidRPr="005E4CD6">
        <w:t xml:space="preserve">overnment and </w:t>
      </w:r>
      <w:r w:rsidR="001B17DD">
        <w:t>p</w:t>
      </w:r>
      <w:r w:rsidRPr="005E4CD6">
        <w:t xml:space="preserve">arliamentary policies but will also be realistic and achievable for </w:t>
      </w:r>
      <w:r>
        <w:t>HEE</w:t>
      </w:r>
      <w:r w:rsidR="00120951">
        <w:t>.</w:t>
      </w:r>
    </w:p>
    <w:p w14:paraId="3F1F604F" w14:textId="50F69445" w:rsidR="00950460" w:rsidRPr="005E4CD6" w:rsidRDefault="00950460" w:rsidP="00E309F6">
      <w:pPr>
        <w:pStyle w:val="ParagraphText-unnumbered"/>
      </w:pPr>
      <w:r w:rsidRPr="005E4CD6">
        <w:t xml:space="preserve">Where these standards are not met, the </w:t>
      </w:r>
      <w:r w:rsidR="005D78D6">
        <w:t>d</w:t>
      </w:r>
      <w:r w:rsidRPr="005E4CD6">
        <w:t xml:space="preserve">epartment will apply a proportionate escalation process with </w:t>
      </w:r>
      <w:r>
        <w:t xml:space="preserve">HEE </w:t>
      </w:r>
      <w:r w:rsidRPr="005E4CD6">
        <w:t>so that the issues are resolved as quickly as possible.</w:t>
      </w:r>
    </w:p>
    <w:p w14:paraId="31BE8AC5" w14:textId="1EA30A1D" w:rsidR="00950460" w:rsidRPr="005E4CD6" w:rsidRDefault="00950460" w:rsidP="001D4185">
      <w:pPr>
        <w:pStyle w:val="Heading3"/>
      </w:pPr>
      <w:r w:rsidRPr="005E4CD6">
        <w:t xml:space="preserve">Parliamentary </w:t>
      </w:r>
      <w:r w:rsidR="00487775" w:rsidRPr="001D4185">
        <w:t>a</w:t>
      </w:r>
      <w:r w:rsidRPr="001D4185">
        <w:t>ccountability</w:t>
      </w:r>
    </w:p>
    <w:p w14:paraId="75DE8539" w14:textId="3D3605AD" w:rsidR="00950460" w:rsidRPr="005E4CD6" w:rsidRDefault="00950460" w:rsidP="001D4185">
      <w:pPr>
        <w:pStyle w:val="Heading4"/>
      </w:pPr>
      <w:r w:rsidRPr="005E4CD6">
        <w:t xml:space="preserve">Parliamentary questions, </w:t>
      </w:r>
      <w:r w:rsidR="005D78D6">
        <w:t>m</w:t>
      </w:r>
      <w:r w:rsidRPr="005E4CD6">
        <w:t xml:space="preserve">inisterial </w:t>
      </w:r>
      <w:r w:rsidRPr="00AB3952">
        <w:t>correspondence</w:t>
      </w:r>
      <w:r w:rsidRPr="005E4CD6">
        <w:t xml:space="preserve"> and other briefings</w:t>
      </w:r>
    </w:p>
    <w:p w14:paraId="74A9DDDB" w14:textId="5C84931D" w:rsidR="00950460" w:rsidRPr="005E4CD6" w:rsidRDefault="00950460" w:rsidP="00E309F6">
      <w:pPr>
        <w:pStyle w:val="ParagraphText-unnumbered"/>
      </w:pPr>
      <w:r w:rsidRPr="005E4CD6">
        <w:t xml:space="preserve">The </w:t>
      </w:r>
      <w:r w:rsidR="005D78D6">
        <w:t>d</w:t>
      </w:r>
      <w:r w:rsidRPr="005E4CD6">
        <w:t>epartment shall:</w:t>
      </w:r>
    </w:p>
    <w:p w14:paraId="33B10808" w14:textId="33755ABB" w:rsidR="00950460" w:rsidRPr="005E4CD6" w:rsidRDefault="00950460" w:rsidP="00950460">
      <w:pPr>
        <w:pStyle w:val="Bullet"/>
      </w:pPr>
      <w:r w:rsidRPr="005E4CD6">
        <w:t xml:space="preserve">send clear, unambiguous commissions for information to support answers to parliamentary questions, ministerial correspondence and briefings, allowing as much time as possible within </w:t>
      </w:r>
      <w:r w:rsidR="00E00B20">
        <w:t>p</w:t>
      </w:r>
      <w:r w:rsidRPr="005E4CD6">
        <w:t xml:space="preserve">arliamentary and other timescales so that </w:t>
      </w:r>
      <w:r>
        <w:t xml:space="preserve">HEE </w:t>
      </w:r>
      <w:r w:rsidRPr="005E4CD6">
        <w:t xml:space="preserve">can provide </w:t>
      </w:r>
      <w:r w:rsidRPr="005E4CD6">
        <w:lastRenderedPageBreak/>
        <w:t xml:space="preserve">the information required, as well as allowing ministers time to consider and meet their obligations to Parliament; </w:t>
      </w:r>
    </w:p>
    <w:p w14:paraId="298DDCEB" w14:textId="2A830F03" w:rsidR="00950460" w:rsidRPr="005E4CD6" w:rsidRDefault="00950460" w:rsidP="00950460">
      <w:pPr>
        <w:pStyle w:val="Bullet"/>
      </w:pPr>
      <w:r w:rsidRPr="005E4CD6">
        <w:t xml:space="preserve">ensure an appropriate level of </w:t>
      </w:r>
      <w:r w:rsidR="00E00B20">
        <w:t>s</w:t>
      </w:r>
      <w:r w:rsidRPr="005E4CD6">
        <w:t xml:space="preserve">enior </w:t>
      </w:r>
      <w:r w:rsidR="00E00B20">
        <w:t>c</w:t>
      </w:r>
      <w:r w:rsidRPr="005E4CD6">
        <w:t xml:space="preserve">ivil </w:t>
      </w:r>
      <w:r w:rsidR="00E00B20">
        <w:t>s</w:t>
      </w:r>
      <w:r w:rsidRPr="005E4CD6">
        <w:t xml:space="preserve">ervice oversight is applied to </w:t>
      </w:r>
      <w:r>
        <w:t xml:space="preserve">HEE </w:t>
      </w:r>
      <w:r w:rsidRPr="005E4CD6">
        <w:t xml:space="preserve"> contributions sent to the </w:t>
      </w:r>
      <w:r w:rsidR="005D78D6">
        <w:t>d</w:t>
      </w:r>
      <w:r w:rsidRPr="005E4CD6">
        <w:t xml:space="preserve">epartment; and </w:t>
      </w:r>
    </w:p>
    <w:p w14:paraId="4260FE2F" w14:textId="77777777" w:rsidR="00950460" w:rsidRPr="005E4CD6" w:rsidRDefault="00950460" w:rsidP="00E309F6">
      <w:pPr>
        <w:pStyle w:val="ParagraphText-unnumbered"/>
      </w:pPr>
      <w:r>
        <w:t xml:space="preserve">HEE </w:t>
      </w:r>
      <w:r w:rsidRPr="005E4CD6">
        <w:t>shall:</w:t>
      </w:r>
    </w:p>
    <w:p w14:paraId="1E04309C" w14:textId="3445681D" w:rsidR="00950460" w:rsidRPr="005E4CD6" w:rsidRDefault="00950460" w:rsidP="00950460">
      <w:pPr>
        <w:pStyle w:val="Bullet"/>
      </w:pPr>
      <w:r w:rsidRPr="005E4CD6">
        <w:t xml:space="preserve">provide clear and comprehensive contributions so that </w:t>
      </w:r>
      <w:r w:rsidR="00754F81">
        <w:t>m</w:t>
      </w:r>
      <w:r w:rsidRPr="005E4CD6">
        <w:t xml:space="preserve">inisters can meet their obligations in Parliament and under the </w:t>
      </w:r>
      <w:r w:rsidR="00E00B20">
        <w:t>m</w:t>
      </w:r>
      <w:r w:rsidRPr="005E4CD6">
        <w:t xml:space="preserve">inisterial </w:t>
      </w:r>
      <w:r w:rsidR="00E00B20">
        <w:t>c</w:t>
      </w:r>
      <w:r w:rsidRPr="005E4CD6">
        <w:t xml:space="preserve">ode </w:t>
      </w:r>
    </w:p>
    <w:p w14:paraId="21C99ADA" w14:textId="65B7FBA6" w:rsidR="00950460" w:rsidRPr="005E4CD6" w:rsidRDefault="00950460" w:rsidP="00950460">
      <w:pPr>
        <w:pStyle w:val="Bullet"/>
      </w:pPr>
      <w:r w:rsidRPr="005E4CD6">
        <w:t>build capacity and capability to ensure that contributions are clear, relevant and otherwise fit for purpose</w:t>
      </w:r>
    </w:p>
    <w:p w14:paraId="4E46704A" w14:textId="0AE082B1" w:rsidR="00950460" w:rsidRPr="005E4CD6" w:rsidRDefault="00950460" w:rsidP="00950460">
      <w:pPr>
        <w:pStyle w:val="Bullet"/>
      </w:pPr>
      <w:r w:rsidRPr="005E4CD6">
        <w:t>ensure that there is sufficient resource and appropriate internal governance to ensure that contributions are timely, and have been subject to appropriate quality assurance and senior clearance) and</w:t>
      </w:r>
    </w:p>
    <w:p w14:paraId="7F4EB194" w14:textId="1276D299" w:rsidR="00950460" w:rsidRPr="005E4CD6" w:rsidRDefault="00950460" w:rsidP="00950460">
      <w:pPr>
        <w:pStyle w:val="Bullet"/>
      </w:pPr>
      <w:r w:rsidRPr="005E4CD6">
        <w:t xml:space="preserve">where there is a valid reason for not providing a contribution that has been requested by the </w:t>
      </w:r>
      <w:r w:rsidR="005D78D6">
        <w:t>d</w:t>
      </w:r>
      <w:r w:rsidRPr="005E4CD6">
        <w:t>epartment, provide a clear explanation as quickly as possible after receipt of the commissioning email</w:t>
      </w:r>
    </w:p>
    <w:p w14:paraId="08FF6DC9" w14:textId="7379F791" w:rsidR="00950460" w:rsidRPr="005E4CD6" w:rsidRDefault="00950460" w:rsidP="00950460">
      <w:pPr>
        <w:pStyle w:val="Bullet"/>
      </w:pPr>
      <w:r w:rsidRPr="005E4CD6">
        <w:t>where they have the information, release it unless a Freedom of Information exemption applies and</w:t>
      </w:r>
    </w:p>
    <w:p w14:paraId="4A23649A" w14:textId="1E384278" w:rsidR="00950460" w:rsidRPr="005E4CD6" w:rsidRDefault="00950460" w:rsidP="00950460">
      <w:pPr>
        <w:pStyle w:val="Bullet"/>
      </w:pPr>
      <w:r w:rsidRPr="005E4CD6">
        <w:t xml:space="preserve">where information is held by the wider NHS system, collect this information on the </w:t>
      </w:r>
      <w:r w:rsidR="005D78D6">
        <w:t>d</w:t>
      </w:r>
      <w:r w:rsidRPr="005E4CD6">
        <w:t xml:space="preserve">epartment's behalf unless the disproportionate cost Freedom of Information exemption applies. As </w:t>
      </w:r>
      <w:r>
        <w:t xml:space="preserve">HEE </w:t>
      </w:r>
      <w:r w:rsidRPr="005E4CD6">
        <w:t>do not have service level agreements with other NHS organisations, it is understood that this may mean that responses cannot be provided within expected timeframes, but delays should be kept to a minimum.</w:t>
      </w:r>
    </w:p>
    <w:p w14:paraId="4AD744B5" w14:textId="6F5ABCA0" w:rsidR="00950460" w:rsidRPr="005E4CD6" w:rsidRDefault="00950460" w:rsidP="001D4185">
      <w:pPr>
        <w:pStyle w:val="Heading4"/>
      </w:pPr>
      <w:r w:rsidRPr="005E4CD6">
        <w:t xml:space="preserve">Wider </w:t>
      </w:r>
      <w:r w:rsidR="00487775">
        <w:t>p</w:t>
      </w:r>
      <w:r w:rsidRPr="005E4CD6">
        <w:t>arliamentary engagement</w:t>
      </w:r>
    </w:p>
    <w:p w14:paraId="3F73A8A6" w14:textId="583E3974" w:rsidR="00950460" w:rsidRPr="005E4CD6" w:rsidRDefault="00950460" w:rsidP="00E309F6">
      <w:pPr>
        <w:pStyle w:val="ParagraphText-unnumbered"/>
      </w:pPr>
      <w:r w:rsidRPr="005E4CD6">
        <w:t xml:space="preserve">In addition to responding to </w:t>
      </w:r>
      <w:r w:rsidR="00E00B20">
        <w:t>p</w:t>
      </w:r>
      <w:r w:rsidRPr="005E4CD6">
        <w:t xml:space="preserve">arliamentary questions and correspondence from MPs and peers, </w:t>
      </w:r>
      <w:r w:rsidR="00754F81">
        <w:t>m</w:t>
      </w:r>
      <w:r w:rsidRPr="005E4CD6">
        <w:t xml:space="preserve">inisters are required to demonstrate accountability for the NHS to Parliament in a number of other ways. </w:t>
      </w:r>
      <w:r>
        <w:t xml:space="preserve">HEE </w:t>
      </w:r>
      <w:r w:rsidRPr="005E4CD6">
        <w:t xml:space="preserve">shall therefore provide the </w:t>
      </w:r>
      <w:r w:rsidR="005D78D6">
        <w:t>d</w:t>
      </w:r>
      <w:r w:rsidRPr="005E4CD6">
        <w:t xml:space="preserve">epartment with information to support debates and other Parliamentary activity, including likely questions and answers, and relevant background briefing as appropriate. In engaging with Parliament, </w:t>
      </w:r>
      <w:r w:rsidR="00754F81">
        <w:t>m</w:t>
      </w:r>
      <w:r w:rsidRPr="005E4CD6">
        <w:t xml:space="preserve">inisters shall take every opportunity to explain relevant organisational responsibilities and encourage MPs and peers to liaise directly with </w:t>
      </w:r>
      <w:r>
        <w:t xml:space="preserve">HEE </w:t>
      </w:r>
      <w:r w:rsidRPr="005E4CD6">
        <w:t xml:space="preserve">on matters for which it has responsibility. </w:t>
      </w:r>
    </w:p>
    <w:p w14:paraId="5319BA6D" w14:textId="662EEAAF" w:rsidR="00950460" w:rsidRPr="005E4CD6" w:rsidRDefault="00950460" w:rsidP="001D4185">
      <w:pPr>
        <w:pStyle w:val="Heading4"/>
      </w:pPr>
      <w:r w:rsidRPr="005E4CD6">
        <w:lastRenderedPageBreak/>
        <w:t xml:space="preserve">Select </w:t>
      </w:r>
      <w:r w:rsidR="00487775">
        <w:t>c</w:t>
      </w:r>
      <w:r w:rsidRPr="005E4CD6">
        <w:t>ommittees</w:t>
      </w:r>
    </w:p>
    <w:p w14:paraId="291C73EB" w14:textId="33D56D3C" w:rsidR="00120951" w:rsidRDefault="00950460" w:rsidP="00E309F6">
      <w:pPr>
        <w:pStyle w:val="ParagraphText-unnumbered"/>
      </w:pPr>
      <w:r w:rsidRPr="005E4CD6">
        <w:t xml:space="preserve">Parliamentary </w:t>
      </w:r>
      <w:r w:rsidR="00E00B20">
        <w:t>s</w:t>
      </w:r>
      <w:r w:rsidRPr="005E4CD6">
        <w:t xml:space="preserve">elect </w:t>
      </w:r>
      <w:r w:rsidR="00E00B20">
        <w:t>c</w:t>
      </w:r>
      <w:r w:rsidRPr="005E4CD6">
        <w:t xml:space="preserve">ommittees often require written or oral evidence from </w:t>
      </w:r>
      <w:r w:rsidR="005D78D6">
        <w:t>d</w:t>
      </w:r>
      <w:r w:rsidRPr="005E4CD6">
        <w:t xml:space="preserve">epartmental ministers or officials and from </w:t>
      </w:r>
      <w:r>
        <w:t xml:space="preserve">HEE </w:t>
      </w:r>
      <w:r w:rsidRPr="005E4CD6">
        <w:t xml:space="preserve"> Co-ordinators for both organisations shall ensure that comprehensive and consistent information is provided from the </w:t>
      </w:r>
      <w:r w:rsidR="005D78D6">
        <w:t>d</w:t>
      </w:r>
      <w:r w:rsidRPr="005E4CD6">
        <w:t xml:space="preserve">epartment and </w:t>
      </w:r>
      <w:r>
        <w:t>HEE</w:t>
      </w:r>
      <w:r w:rsidRPr="005E4CD6">
        <w:t xml:space="preserve">, while allowing for the different perspectives, roles and responsibilities of the respective organisations. </w:t>
      </w:r>
    </w:p>
    <w:p w14:paraId="1D11C470" w14:textId="38803275" w:rsidR="00950460" w:rsidRPr="005E4CD6" w:rsidRDefault="00950460" w:rsidP="001D4185">
      <w:pPr>
        <w:pStyle w:val="Heading4"/>
      </w:pPr>
      <w:r w:rsidRPr="005E4CD6">
        <w:t>National Audit Office and Public Accounts Committee</w:t>
      </w:r>
    </w:p>
    <w:p w14:paraId="4DA9B230" w14:textId="26F1D295" w:rsidR="00950460" w:rsidRPr="005E4CD6" w:rsidRDefault="00950460" w:rsidP="00E309F6">
      <w:pPr>
        <w:pStyle w:val="ParagraphText-unnumbered"/>
      </w:pPr>
      <w:r w:rsidRPr="005E4CD6">
        <w:t xml:space="preserve">Public </w:t>
      </w:r>
      <w:r w:rsidR="00E00B20">
        <w:t>a</w:t>
      </w:r>
      <w:r w:rsidRPr="005E4CD6">
        <w:t xml:space="preserve">ccounts </w:t>
      </w:r>
      <w:r w:rsidR="00E00B20">
        <w:t>c</w:t>
      </w:r>
      <w:r w:rsidRPr="005E4CD6">
        <w:t>ommittee</w:t>
      </w:r>
      <w:r w:rsidR="00167760">
        <w:t xml:space="preserve"> (PAC) </w:t>
      </w:r>
      <w:r w:rsidRPr="005E4CD6">
        <w:t xml:space="preserve"> inquiries supported by National Audit Office</w:t>
      </w:r>
      <w:r w:rsidR="00167760">
        <w:t xml:space="preserve"> (NAO)</w:t>
      </w:r>
      <w:r w:rsidRPr="005E4CD6">
        <w:t xml:space="preserve"> reports follow a different process from other select committees. In the case of N</w:t>
      </w:r>
      <w:r w:rsidR="00167760">
        <w:t xml:space="preserve">AO </w:t>
      </w:r>
      <w:r w:rsidRPr="005E4CD6">
        <w:t xml:space="preserve">reports, the </w:t>
      </w:r>
      <w:r w:rsidR="005D78D6">
        <w:t>d</w:t>
      </w:r>
      <w:r w:rsidRPr="005E4CD6">
        <w:t xml:space="preserve">epartment and </w:t>
      </w:r>
      <w:r w:rsidR="008A6B6C">
        <w:t xml:space="preserve">HEE </w:t>
      </w:r>
      <w:r w:rsidRPr="005E4CD6">
        <w:t xml:space="preserve"> shall share their individual clearance documents with each other and liaise, where relevant, on negotiating factual changes to reports before publication. For </w:t>
      </w:r>
      <w:r w:rsidR="001B17DD">
        <w:t>g</w:t>
      </w:r>
      <w:r w:rsidRPr="005E4CD6">
        <w:t>overnment responses to P</w:t>
      </w:r>
      <w:r w:rsidR="00167760">
        <w:t>AC</w:t>
      </w:r>
      <w:r w:rsidRPr="005E4CD6">
        <w:t xml:space="preserve"> recommendations, the </w:t>
      </w:r>
      <w:r w:rsidR="005D78D6">
        <w:t>d</w:t>
      </w:r>
      <w:r w:rsidRPr="005E4CD6">
        <w:t xml:space="preserve">epartment and </w:t>
      </w:r>
      <w:r>
        <w:t xml:space="preserve">HEE </w:t>
      </w:r>
      <w:r w:rsidRPr="005E4CD6">
        <w:t>shall:</w:t>
      </w:r>
    </w:p>
    <w:p w14:paraId="0225A971" w14:textId="262876B2" w:rsidR="00950460" w:rsidRDefault="00950460" w:rsidP="00950460">
      <w:pPr>
        <w:pStyle w:val="Bullet"/>
      </w:pPr>
      <w:r w:rsidRPr="005E4CD6">
        <w:t>work closely together to prepare agreed responses, which take the form of an HM Treasury Minute, and take steps to implement those recommendations which are accepted, reporting on their progress via the bi-annual HM Treasury Minute Progress Reports, both of which are subject to strictly-prescribed formats and timescales and</w:t>
      </w:r>
    </w:p>
    <w:p w14:paraId="79E20AE5" w14:textId="3387CE74" w:rsidR="00950460" w:rsidRPr="005E4CD6" w:rsidRDefault="00950460" w:rsidP="00950460">
      <w:pPr>
        <w:pStyle w:val="Bullet"/>
      </w:pPr>
      <w:r w:rsidRPr="005E4CD6">
        <w:t xml:space="preserve">ensure timely involvement at a sufficiently senior level on both sides to meet HM Treasury's deadlines and to allow time for clearance by the </w:t>
      </w:r>
      <w:r w:rsidR="001358C7">
        <w:t>PAO</w:t>
      </w:r>
      <w:r w:rsidRPr="005E4CD6">
        <w:t xml:space="preserve"> and </w:t>
      </w:r>
      <w:r>
        <w:t xml:space="preserve">HEE </w:t>
      </w:r>
      <w:r w:rsidR="001358C7">
        <w:t>i</w:t>
      </w:r>
      <w:r w:rsidRPr="005E4CD6">
        <w:t>t's accounting Officers</w:t>
      </w:r>
    </w:p>
    <w:p w14:paraId="6FC8F1E5" w14:textId="4BB42824" w:rsidR="00950460" w:rsidRPr="005E4CD6" w:rsidRDefault="00950460" w:rsidP="00E309F6">
      <w:pPr>
        <w:pStyle w:val="ParagraphText-unnumbered"/>
      </w:pPr>
      <w:r w:rsidRPr="005E4CD6">
        <w:t>The P</w:t>
      </w:r>
      <w:r w:rsidR="001358C7">
        <w:t>AO</w:t>
      </w:r>
      <w:r w:rsidRPr="005E4CD6">
        <w:t xml:space="preserve"> shall be sighted on all direct correspondence between </w:t>
      </w:r>
      <w:r>
        <w:t xml:space="preserve">HEE </w:t>
      </w:r>
      <w:r w:rsidRPr="005E4CD6">
        <w:t>and the Public Accounts Committee.</w:t>
      </w:r>
    </w:p>
    <w:p w14:paraId="0AF4D4F5" w14:textId="77777777" w:rsidR="00950460" w:rsidRPr="005E4CD6" w:rsidRDefault="00950460" w:rsidP="001D4185">
      <w:pPr>
        <w:pStyle w:val="Heading4"/>
      </w:pPr>
      <w:r w:rsidRPr="005E4CD6">
        <w:t xml:space="preserve">All Party Parliamentary </w:t>
      </w:r>
      <w:r w:rsidRPr="00AB3952">
        <w:t>groups</w:t>
      </w:r>
    </w:p>
    <w:p w14:paraId="6D9A6ABB" w14:textId="1CB2B457" w:rsidR="00950460" w:rsidRPr="005E4CD6" w:rsidRDefault="00950460" w:rsidP="00E309F6">
      <w:pPr>
        <w:pStyle w:val="ParagraphText-unnumbered"/>
      </w:pPr>
      <w:r w:rsidRPr="005E4CD6">
        <w:t xml:space="preserve">The </w:t>
      </w:r>
      <w:r w:rsidR="005D78D6">
        <w:t>d</w:t>
      </w:r>
      <w:r w:rsidRPr="005E4CD6">
        <w:t xml:space="preserve">epartment and </w:t>
      </w:r>
      <w:r>
        <w:t xml:space="preserve">HEE </w:t>
      </w:r>
      <w:r w:rsidRPr="005E4CD6">
        <w:t xml:space="preserve">shall sometimes be approached to provide briefing, written and oral evidence by All Party Parliamentary Groups on specific issues. These groups do not have the formal status of Parliamentary Select Committees, but the </w:t>
      </w:r>
      <w:r w:rsidR="005D78D6">
        <w:t>d</w:t>
      </w:r>
      <w:r w:rsidRPr="005E4CD6">
        <w:t xml:space="preserve">epartment and </w:t>
      </w:r>
      <w:r>
        <w:t xml:space="preserve">HEE </w:t>
      </w:r>
      <w:r w:rsidRPr="005E4CD6">
        <w:t xml:space="preserve"> shall be helpful in providing them with information. It may not always be possible for very senior staff to meet all requests to attend meetings, so alternatives such as written briefings or meetings with senior staff below board level may be suggested instead.</w:t>
      </w:r>
    </w:p>
    <w:p w14:paraId="57FD7CD2" w14:textId="77777777" w:rsidR="00950460" w:rsidRPr="005E4CD6" w:rsidRDefault="00950460" w:rsidP="001D4185">
      <w:pPr>
        <w:pStyle w:val="Heading4"/>
      </w:pPr>
      <w:r w:rsidRPr="005E4CD6">
        <w:t>Correspondence from MPs</w:t>
      </w:r>
    </w:p>
    <w:p w14:paraId="32AA6BEB" w14:textId="5C6D436D" w:rsidR="00950460" w:rsidRPr="005E4CD6" w:rsidRDefault="00950460" w:rsidP="00E309F6">
      <w:pPr>
        <w:pStyle w:val="ParagraphText-unnumbered"/>
      </w:pPr>
      <w:r w:rsidRPr="005E4CD6">
        <w:t xml:space="preserve">MPs and peers normally write directly to </w:t>
      </w:r>
      <w:r w:rsidR="00754F81">
        <w:t>m</w:t>
      </w:r>
      <w:r w:rsidRPr="005E4CD6">
        <w:t xml:space="preserve">inisters, who shall respond personally or arrange for another </w:t>
      </w:r>
      <w:r w:rsidR="00754F81">
        <w:t>m</w:t>
      </w:r>
      <w:r w:rsidRPr="005E4CD6">
        <w:t xml:space="preserve">inister to respond if appropriate. Where correspondence sent to ministers relates wholly to the business of </w:t>
      </w:r>
      <w:r>
        <w:t xml:space="preserve">HEE </w:t>
      </w:r>
      <w:r w:rsidRPr="005E4CD6">
        <w:t xml:space="preserve">, the minister shall normally signpost the MP or peer directly to them. If the matter is deemed sensitive and therefore is more </w:t>
      </w:r>
      <w:r w:rsidRPr="005E4CD6">
        <w:lastRenderedPageBreak/>
        <w:t xml:space="preserve">appropriately responded to by ministers personally, the </w:t>
      </w:r>
      <w:r w:rsidR="005D78D6">
        <w:t>d</w:t>
      </w:r>
      <w:r w:rsidRPr="005E4CD6">
        <w:t xml:space="preserve">epartment shall discuss and agree the most appropriate handling approach with </w:t>
      </w:r>
      <w:r>
        <w:t>HEE</w:t>
      </w:r>
      <w:r w:rsidR="00167760">
        <w:t>.</w:t>
      </w:r>
      <w:r w:rsidRPr="005E4CD6">
        <w:t xml:space="preserve">. </w:t>
      </w:r>
    </w:p>
    <w:p w14:paraId="4EFAD1DD" w14:textId="6FA245E8" w:rsidR="00950460" w:rsidRPr="005E4CD6" w:rsidRDefault="00950460" w:rsidP="00E309F6">
      <w:pPr>
        <w:pStyle w:val="ParagraphText-unnumbered"/>
      </w:pPr>
      <w:r w:rsidRPr="005E4CD6">
        <w:t xml:space="preserve">Where MPs or peers choose to correspond directly with the </w:t>
      </w:r>
      <w:r w:rsidR="002F6028">
        <w:t>c</w:t>
      </w:r>
      <w:r w:rsidRPr="005E4CD6">
        <w:t xml:space="preserve">hairs, </w:t>
      </w:r>
      <w:r w:rsidR="002F6028">
        <w:t>c</w:t>
      </w:r>
      <w:r w:rsidRPr="005E4CD6">
        <w:t xml:space="preserve">hief </w:t>
      </w:r>
      <w:r w:rsidR="002F6028">
        <w:t>e</w:t>
      </w:r>
      <w:r w:rsidRPr="005E4CD6">
        <w:t xml:space="preserve">xecutives, or another official in </w:t>
      </w:r>
      <w:r>
        <w:t xml:space="preserve">HEE </w:t>
      </w:r>
      <w:r w:rsidRPr="005E4CD6">
        <w:t xml:space="preserve"> about matters relating to their business, </w:t>
      </w:r>
      <w:r>
        <w:t xml:space="preserve">HEE </w:t>
      </w:r>
      <w:r w:rsidRPr="005E4CD6">
        <w:t xml:space="preserve"> shall normally respond directly. It is usual for the addressee to reply personally, but this shall be a matter for </w:t>
      </w:r>
      <w:r>
        <w:t xml:space="preserve">HEE </w:t>
      </w:r>
      <w:r w:rsidRPr="005E4CD6">
        <w:t xml:space="preserve">  </w:t>
      </w:r>
    </w:p>
    <w:p w14:paraId="0751EDAB" w14:textId="7F266D95" w:rsidR="00950460" w:rsidRPr="005E4CD6" w:rsidRDefault="00950460" w:rsidP="00E309F6">
      <w:pPr>
        <w:pStyle w:val="ParagraphText-unnumbered"/>
      </w:pPr>
      <w:r w:rsidRPr="005E4CD6">
        <w:t xml:space="preserve">Should an MP or peer correspond directly with </w:t>
      </w:r>
      <w:r>
        <w:t xml:space="preserve">HEE </w:t>
      </w:r>
      <w:r w:rsidRPr="005E4CD6">
        <w:t xml:space="preserve"> on an issue that is for the </w:t>
      </w:r>
      <w:r w:rsidR="005D78D6">
        <w:t>d</w:t>
      </w:r>
      <w:r w:rsidRPr="005E4CD6">
        <w:t xml:space="preserve">epartment, they shall reply to explain this and recommend that the MP or peer write directly to </w:t>
      </w:r>
      <w:r w:rsidR="00754F81">
        <w:t>m</w:t>
      </w:r>
      <w:r w:rsidRPr="005E4CD6">
        <w:t xml:space="preserve">inisters. Where an MP or peer writes to both the </w:t>
      </w:r>
      <w:r w:rsidR="005D78D6">
        <w:t>d</w:t>
      </w:r>
      <w:r w:rsidRPr="005E4CD6">
        <w:t>epartment and to</w:t>
      </w:r>
      <w:r>
        <w:t xml:space="preserve"> HEE</w:t>
      </w:r>
      <w:r w:rsidRPr="005E4CD6">
        <w:t xml:space="preserve"> in parallel on the same matter, the </w:t>
      </w:r>
      <w:r w:rsidR="005D78D6">
        <w:t>d</w:t>
      </w:r>
      <w:r w:rsidRPr="005E4CD6">
        <w:t>epartment and</w:t>
      </w:r>
      <w:r w:rsidR="008A6B6C">
        <w:t xml:space="preserve"> HEE </w:t>
      </w:r>
      <w:r w:rsidRPr="005E4CD6">
        <w:t xml:space="preserve"> shall discuss and agree the most appropriate handling.</w:t>
      </w:r>
    </w:p>
    <w:p w14:paraId="6D177F8D" w14:textId="77777777" w:rsidR="00950460" w:rsidRPr="005E4CD6" w:rsidRDefault="00950460" w:rsidP="001D4185">
      <w:pPr>
        <w:pStyle w:val="Heading4"/>
      </w:pPr>
      <w:r w:rsidRPr="005E4CD6">
        <w:t>Requests for meetings from MPs and peers</w:t>
      </w:r>
    </w:p>
    <w:p w14:paraId="39853A89" w14:textId="78459006" w:rsidR="00950460" w:rsidRPr="005E4CD6" w:rsidRDefault="00950460" w:rsidP="00E309F6">
      <w:pPr>
        <w:pStyle w:val="ParagraphText-unnumbered"/>
      </w:pPr>
      <w:bookmarkStart w:id="15" w:name="_Hlk62644085"/>
      <w:r w:rsidRPr="005E4CD6">
        <w:t xml:space="preserve">Where an MP or peer requests a meeting on a specific issue, the request shall normally be addressed to ministers and shall be handled by the </w:t>
      </w:r>
      <w:r w:rsidR="005D78D6">
        <w:t>d</w:t>
      </w:r>
      <w:r w:rsidRPr="005E4CD6">
        <w:t xml:space="preserve">epartment, which shall commission supporting information from </w:t>
      </w:r>
      <w:r>
        <w:t xml:space="preserve">HEE </w:t>
      </w:r>
      <w:r w:rsidRPr="005E4CD6">
        <w:t xml:space="preserve">and agree timescales as appropriate. </w:t>
      </w:r>
      <w:bookmarkEnd w:id="15"/>
      <w:r w:rsidRPr="005E4CD6">
        <w:t>It is possible that an MP or peer may seek a meeting with officials from</w:t>
      </w:r>
      <w:r w:rsidR="008A6B6C">
        <w:t xml:space="preserve"> HEE </w:t>
      </w:r>
      <w:r w:rsidRPr="005E4CD6">
        <w:t xml:space="preserve"> directly if the issue is about their business. These shall be accepted and handled by</w:t>
      </w:r>
      <w:r>
        <w:t xml:space="preserve"> HEE </w:t>
      </w:r>
      <w:r w:rsidRPr="005E4CD6">
        <w:t xml:space="preserve"> without input from the </w:t>
      </w:r>
      <w:r w:rsidR="005D78D6">
        <w:t>d</w:t>
      </w:r>
      <w:r w:rsidRPr="005E4CD6">
        <w:t xml:space="preserve">epartment, but if any issues raised relate to matters for the </w:t>
      </w:r>
      <w:r w:rsidR="005D78D6">
        <w:t>d</w:t>
      </w:r>
      <w:r w:rsidRPr="005E4CD6">
        <w:t>epartment, this shall be made clear and the MP or peer advised to contact ministers.</w:t>
      </w:r>
    </w:p>
    <w:p w14:paraId="47236C6A" w14:textId="1FB33350" w:rsidR="00950460" w:rsidRPr="005E4CD6" w:rsidRDefault="00950460" w:rsidP="001D4185">
      <w:pPr>
        <w:pStyle w:val="Heading3"/>
      </w:pPr>
      <w:r w:rsidRPr="005E4CD6">
        <w:t xml:space="preserve">Public </w:t>
      </w:r>
      <w:r w:rsidR="00ED32CC">
        <w:t>a</w:t>
      </w:r>
      <w:r w:rsidRPr="005E4CD6">
        <w:t>ccountability</w:t>
      </w:r>
    </w:p>
    <w:p w14:paraId="350305C3" w14:textId="77777777" w:rsidR="00950460" w:rsidRPr="005E4CD6" w:rsidRDefault="00950460" w:rsidP="001D4185">
      <w:pPr>
        <w:pStyle w:val="Heading4"/>
      </w:pPr>
      <w:r w:rsidRPr="005E4CD6">
        <w:t>Correspondence (including emails and other digital correspondence) and telephone enquiries from members of the public</w:t>
      </w:r>
    </w:p>
    <w:p w14:paraId="5000C8DB" w14:textId="5271F6BB" w:rsidR="00950460" w:rsidRPr="005E4CD6" w:rsidRDefault="00950460" w:rsidP="00E309F6">
      <w:pPr>
        <w:pStyle w:val="ParagraphText-unnumbered"/>
      </w:pPr>
      <w:r w:rsidRPr="005E4CD6">
        <w:t xml:space="preserve">The Data Protection Act prevents the </w:t>
      </w:r>
      <w:r w:rsidR="005D78D6">
        <w:t>d</w:t>
      </w:r>
      <w:r w:rsidRPr="005E4CD6">
        <w:t xml:space="preserve">epartment from routinely forwarding correspondence from individuals to other organisations. It shall therefore respond to all such correspondence, advising the writer to contact </w:t>
      </w:r>
      <w:r>
        <w:t xml:space="preserve">HEE </w:t>
      </w:r>
      <w:r w:rsidRPr="005E4CD6">
        <w:t xml:space="preserve"> on matters that are about their business. </w:t>
      </w:r>
      <w:r>
        <w:t xml:space="preserve">HEE </w:t>
      </w:r>
      <w:r w:rsidRPr="005E4CD6">
        <w:t xml:space="preserve">shall similarly reply to all letters and emails from members of the public addressed to </w:t>
      </w:r>
      <w:r w:rsidR="008A6B6C">
        <w:t xml:space="preserve">the </w:t>
      </w:r>
      <w:r w:rsidR="005D78D6">
        <w:t>d</w:t>
      </w:r>
      <w:r w:rsidR="008A6B6C">
        <w:t xml:space="preserve">epartment. </w:t>
      </w:r>
      <w:r w:rsidRPr="005E4CD6">
        <w:t xml:space="preserve"> If the correspondence covers areas that are a matter for the </w:t>
      </w:r>
      <w:r w:rsidR="005D78D6">
        <w:t>d</w:t>
      </w:r>
      <w:r w:rsidRPr="005E4CD6">
        <w:t xml:space="preserve">epartment, the response shall explain this and signpost them to the </w:t>
      </w:r>
      <w:r w:rsidR="005D78D6">
        <w:t>d</w:t>
      </w:r>
      <w:r w:rsidRPr="005E4CD6">
        <w:t>epartment.</w:t>
      </w:r>
    </w:p>
    <w:p w14:paraId="5CF8B1A2" w14:textId="77777777" w:rsidR="00950460" w:rsidRPr="005E4CD6" w:rsidRDefault="00950460" w:rsidP="001D4185">
      <w:pPr>
        <w:pStyle w:val="Heading4"/>
      </w:pPr>
      <w:r w:rsidRPr="005E4CD6">
        <w:t>Freedom of Information Act 2000</w:t>
      </w:r>
    </w:p>
    <w:p w14:paraId="4BC37568" w14:textId="791341AA" w:rsidR="00950460" w:rsidRPr="005E4CD6" w:rsidRDefault="00950460" w:rsidP="00E309F6">
      <w:pPr>
        <w:pStyle w:val="ParagraphText-unnumbered"/>
      </w:pPr>
      <w:r w:rsidRPr="005E4CD6">
        <w:t xml:space="preserve">The </w:t>
      </w:r>
      <w:r w:rsidR="005D78D6">
        <w:t>d</w:t>
      </w:r>
      <w:r w:rsidRPr="005E4CD6">
        <w:t xml:space="preserve">epartment and </w:t>
      </w:r>
      <w:r>
        <w:t>HEE</w:t>
      </w:r>
      <w:r w:rsidRPr="005E4CD6">
        <w:t xml:space="preserve">, as public authorities, each have a legal duty to respond to all Freedom of Information requests submitted to them, in full accordance with the specific requirements and exemptions set out in law. This includes: </w:t>
      </w:r>
    </w:p>
    <w:p w14:paraId="247C03A7" w14:textId="77777777" w:rsidR="00950460" w:rsidRDefault="00950460" w:rsidP="00950460">
      <w:pPr>
        <w:pStyle w:val="Bullet"/>
      </w:pPr>
      <w:r w:rsidRPr="005E4CD6">
        <w:lastRenderedPageBreak/>
        <w:t xml:space="preserve">having in place an approved publication scheme and ensuring that they have nominated a "qualified person" to determine whether it is appropriate to reject a request for information on the basis of section 36 of the Freedom of Information Act; </w:t>
      </w:r>
    </w:p>
    <w:p w14:paraId="44A4F496" w14:textId="72CB1FE0" w:rsidR="00950460" w:rsidRDefault="00950460" w:rsidP="00950460">
      <w:pPr>
        <w:pStyle w:val="Bullet"/>
      </w:pPr>
      <w:r w:rsidRPr="005E4CD6">
        <w:t xml:space="preserve">meeting the Freedom of Information Act duty to assist and advise people who have made an information request or are planning to do so and </w:t>
      </w:r>
    </w:p>
    <w:p w14:paraId="0747ECF2" w14:textId="77777777" w:rsidR="00950460" w:rsidRPr="005E4CD6" w:rsidRDefault="00950460" w:rsidP="00950460">
      <w:pPr>
        <w:pStyle w:val="Bullet"/>
      </w:pPr>
      <w:r w:rsidRPr="005E4CD6">
        <w:t xml:space="preserve">signposting requesters to the appropriate organisation where appropriate, but there shall be no onward referral of cases received. </w:t>
      </w:r>
    </w:p>
    <w:p w14:paraId="6D59BA35" w14:textId="01C50E9D" w:rsidR="00950460" w:rsidRDefault="00950460" w:rsidP="00E309F6">
      <w:pPr>
        <w:pStyle w:val="ParagraphText-unnumbered"/>
      </w:pPr>
      <w:r w:rsidRPr="005E4CD6">
        <w:t xml:space="preserve">Although </w:t>
      </w:r>
      <w:r>
        <w:t xml:space="preserve">HEE </w:t>
      </w:r>
      <w:r w:rsidRPr="005E4CD6">
        <w:t xml:space="preserve"> handle information requests of them independently, the </w:t>
      </w:r>
      <w:r w:rsidR="005D78D6">
        <w:t>d</w:t>
      </w:r>
      <w:r w:rsidRPr="005E4CD6">
        <w:t xml:space="preserve">epartment's Freedom of Information team shall provide informal, impartial advice on relevant legislation and duties if requested to do so. It shall also offer advice on the release of sensitive information that originated in the </w:t>
      </w:r>
      <w:r w:rsidR="008A6B6C">
        <w:t>D</w:t>
      </w:r>
      <w:r w:rsidRPr="005E4CD6">
        <w:t xml:space="preserve">epartment. In cases where responding to a request would involve releasing papers relating to a previous </w:t>
      </w:r>
      <w:r w:rsidR="001B17DD">
        <w:t>g</w:t>
      </w:r>
      <w:r w:rsidRPr="005E4CD6">
        <w:t xml:space="preserve">overnment administration, </w:t>
      </w:r>
      <w:r>
        <w:t xml:space="preserve">HEE </w:t>
      </w:r>
      <w:r w:rsidRPr="005E4CD6">
        <w:t xml:space="preserve">shall be mindful of the Ministry of Justice guidance on the handling of Papers of a Previous Administration and always seek guidance from the </w:t>
      </w:r>
      <w:r w:rsidR="005D78D6">
        <w:t>d</w:t>
      </w:r>
      <w:r w:rsidRPr="005E4CD6">
        <w:t xml:space="preserve">epartment on handling.  Any requests for advice of the </w:t>
      </w:r>
      <w:r w:rsidR="005D78D6">
        <w:t>d</w:t>
      </w:r>
      <w:r w:rsidRPr="005E4CD6">
        <w:t>epartment shall be made at the earliest opportunity to ensure that replies can be sent within the legal timescale set for them.</w:t>
      </w:r>
    </w:p>
    <w:p w14:paraId="2649693C" w14:textId="70E84C26" w:rsidR="00950460" w:rsidRDefault="00950460" w:rsidP="00A66AA5">
      <w:pPr>
        <w:pStyle w:val="ParagraphText-unnumbered"/>
      </w:pPr>
      <w:r w:rsidRPr="005E4CD6">
        <w:t xml:space="preserve">In the event of the </w:t>
      </w:r>
      <w:r w:rsidR="005D78D6">
        <w:t>d</w:t>
      </w:r>
      <w:r w:rsidRPr="005E4CD6">
        <w:t xml:space="preserve">epartment responding to </w:t>
      </w:r>
      <w:r w:rsidR="00434EE6" w:rsidRPr="005E4CD6">
        <w:t>a</w:t>
      </w:r>
      <w:r w:rsidRPr="005E4CD6">
        <w:t xml:space="preserve"> Freedom of Information request with information that it considers to be relevant, or of interest to </w:t>
      </w:r>
      <w:r>
        <w:t>HEE,</w:t>
      </w:r>
      <w:r w:rsidRPr="005E4CD6">
        <w:t xml:space="preserve"> the </w:t>
      </w:r>
      <w:r w:rsidR="005D78D6">
        <w:t>d</w:t>
      </w:r>
      <w:r w:rsidRPr="005E4CD6">
        <w:t xml:space="preserve">epartment shall inform </w:t>
      </w:r>
      <w:r>
        <w:t xml:space="preserve">HEE </w:t>
      </w:r>
      <w:r w:rsidRPr="005E4CD6">
        <w:t xml:space="preserve"> about the release of the information in sufficient time to ensure consistency and, if necessary, prepare appropriate media handling. Similarly, </w:t>
      </w:r>
      <w:r>
        <w:t>HEE</w:t>
      </w:r>
      <w:r w:rsidRPr="005E4CD6">
        <w:t xml:space="preserve"> shall inform the </w:t>
      </w:r>
      <w:r w:rsidR="005D78D6">
        <w:t>d</w:t>
      </w:r>
      <w:r w:rsidRPr="005E4CD6">
        <w:t>epartment about the release of such information in sufficient time to ensure consistency and, if necessary, prepare appropriate media handling.</w:t>
      </w:r>
    </w:p>
    <w:p w14:paraId="6956DE83" w14:textId="77777777" w:rsidR="00950460" w:rsidRPr="005E4CD6" w:rsidRDefault="00950460" w:rsidP="00A66AA5">
      <w:pPr>
        <w:pStyle w:val="ParagraphText-unnumbered"/>
      </w:pPr>
      <w:r w:rsidRPr="005E4CD6">
        <w:t>Where a request for information is received by either organisation under the Freedom of Information Act 2000, the organisation receiving the request shall consult with the other party prior to any disclosure of information that may affect the other party's responsibilities.</w:t>
      </w:r>
    </w:p>
    <w:p w14:paraId="44A33EE0" w14:textId="1ABE4684" w:rsidR="00950460" w:rsidRPr="005E4CD6" w:rsidRDefault="00950460" w:rsidP="001D4185">
      <w:pPr>
        <w:pStyle w:val="Heading4"/>
      </w:pPr>
      <w:r w:rsidRPr="005E4CD6">
        <w:t xml:space="preserve">Subject </w:t>
      </w:r>
      <w:r w:rsidR="00487775">
        <w:t>a</w:t>
      </w:r>
      <w:r w:rsidRPr="005E4CD6">
        <w:t>ccess requests</w:t>
      </w:r>
    </w:p>
    <w:p w14:paraId="45AFF7CF" w14:textId="10F36742" w:rsidR="00950460" w:rsidRPr="005E4CD6" w:rsidRDefault="00950460" w:rsidP="00A66AA5">
      <w:pPr>
        <w:pStyle w:val="ParagraphText-unnumbered"/>
      </w:pPr>
      <w:r w:rsidRPr="005E4CD6">
        <w:t xml:space="preserve">The UK General Data Protection Regulation and Data Protection Act 2018 apply. If the </w:t>
      </w:r>
      <w:r w:rsidR="005D78D6">
        <w:t>d</w:t>
      </w:r>
      <w:r w:rsidRPr="005E4CD6">
        <w:t xml:space="preserve">epartment receives a request under the relevant legislation for access to personal data, or a request to stop processing personal data and it holds the data, the </w:t>
      </w:r>
      <w:r w:rsidR="005D78D6">
        <w:t>d</w:t>
      </w:r>
      <w:r w:rsidRPr="005E4CD6">
        <w:t xml:space="preserve">epartment shall respond to the request. If the </w:t>
      </w:r>
      <w:r w:rsidR="005D78D6">
        <w:t>d</w:t>
      </w:r>
      <w:r w:rsidRPr="005E4CD6">
        <w:t xml:space="preserve">epartment does not hold the data, it shall advise the applicant to contact </w:t>
      </w:r>
      <w:bookmarkStart w:id="16" w:name="_Hlk58424646"/>
      <w:r>
        <w:t>HEE</w:t>
      </w:r>
      <w:r w:rsidR="008A6B6C">
        <w:t>.</w:t>
      </w:r>
      <w:r w:rsidRPr="005E4CD6">
        <w:t xml:space="preserve"> There shall be no onward referral of requests between organisations.</w:t>
      </w:r>
      <w:r>
        <w:t xml:space="preserve"> HEE </w:t>
      </w:r>
      <w:r w:rsidRPr="005E4CD6">
        <w:t xml:space="preserve"> shall also consult with each other before disclosing any information in response to a request that may affect their respective responsibilities. </w:t>
      </w:r>
    </w:p>
    <w:bookmarkEnd w:id="16"/>
    <w:p w14:paraId="0AC29146" w14:textId="77777777" w:rsidR="00950460" w:rsidRPr="005E4CD6" w:rsidRDefault="00950460" w:rsidP="001D4185">
      <w:pPr>
        <w:pStyle w:val="Heading4"/>
      </w:pPr>
      <w:r w:rsidRPr="005E4CD6">
        <w:lastRenderedPageBreak/>
        <w:t>Complaints and whistleblowing</w:t>
      </w:r>
    </w:p>
    <w:p w14:paraId="654BF26F" w14:textId="64CCFBB5" w:rsidR="00950460" w:rsidRDefault="00950460" w:rsidP="00A66AA5">
      <w:pPr>
        <w:pStyle w:val="ParagraphText-unnumbered"/>
      </w:pPr>
      <w:r w:rsidRPr="0033113E">
        <w:t xml:space="preserve">HEE, as with the </w:t>
      </w:r>
      <w:r w:rsidR="005D78D6">
        <w:t>d</w:t>
      </w:r>
      <w:r w:rsidRPr="0033113E">
        <w:t>epartment and all its ALBs, has whistleblowing policies and procedures in place that comply with the Public Interest Disclosure Act 1998 and best practice guidance.  The Act prohibits the use of confidentiality clauses that seek to prevent staff from speaking out on issues of public interest</w:t>
      </w:r>
    </w:p>
    <w:p w14:paraId="4A35BA03" w14:textId="1C62B104" w:rsidR="001D4185" w:rsidRDefault="001D4185">
      <w:pPr>
        <w:rPr>
          <w:b/>
          <w:sz w:val="33"/>
        </w:rPr>
      </w:pPr>
      <w:bookmarkStart w:id="17" w:name="_Toc73704608"/>
    </w:p>
    <w:p w14:paraId="078BC3CE" w14:textId="55236710" w:rsidR="005E4CD6" w:rsidRPr="005E4CD6" w:rsidRDefault="005E4CD6" w:rsidP="001D4185">
      <w:pPr>
        <w:pStyle w:val="Heading2"/>
      </w:pPr>
      <w:bookmarkStart w:id="18" w:name="_Toc110582338"/>
      <w:r w:rsidRPr="005E4CD6">
        <w:t>Other matters</w:t>
      </w:r>
      <w:bookmarkEnd w:id="17"/>
      <w:bookmarkEnd w:id="18"/>
    </w:p>
    <w:p w14:paraId="17E37467" w14:textId="08878189" w:rsidR="005E4CD6" w:rsidRPr="005E4CD6" w:rsidRDefault="005E4CD6" w:rsidP="001D4185">
      <w:pPr>
        <w:pStyle w:val="Heading3"/>
      </w:pPr>
      <w:bookmarkStart w:id="19" w:name="_Toc73704609"/>
      <w:bookmarkStart w:id="20" w:name="_Hlk60905910"/>
      <w:r w:rsidRPr="005E4CD6">
        <w:t>Equalities and other legal duties</w:t>
      </w:r>
      <w:bookmarkEnd w:id="19"/>
    </w:p>
    <w:p w14:paraId="0BF56099" w14:textId="77777777" w:rsidR="005E4CD6" w:rsidRPr="005E4CD6" w:rsidRDefault="005E4CD6" w:rsidP="00A66AA5">
      <w:pPr>
        <w:pStyle w:val="ParagraphText-unnumbered"/>
      </w:pPr>
      <w:r w:rsidRPr="005E4CD6">
        <w:t xml:space="preserve">The public sector equality duty requires all public bodies, including </w:t>
      </w:r>
      <w:r w:rsidR="00AA2539">
        <w:t xml:space="preserve">HEE </w:t>
      </w:r>
      <w:r w:rsidRPr="005E4CD6">
        <w:t xml:space="preserve"> (as public </w:t>
      </w:r>
      <w:r w:rsidRPr="00A66AA5">
        <w:t>bodies</w:t>
      </w:r>
      <w:r w:rsidRPr="005E4CD6">
        <w:t>) to have due regard to the need to:</w:t>
      </w:r>
    </w:p>
    <w:p w14:paraId="5F878481" w14:textId="26E13974" w:rsidR="005E4CD6" w:rsidRPr="005E4CD6" w:rsidRDefault="005E4CD6" w:rsidP="005E4CD6">
      <w:pPr>
        <w:pStyle w:val="Bullet"/>
      </w:pPr>
      <w:r w:rsidRPr="005E4CD6">
        <w:t>eliminate discrimination, harassment, victimisation and any other conduct that is prohibited by or under Equality Act 2020</w:t>
      </w:r>
    </w:p>
    <w:p w14:paraId="6CF3282B" w14:textId="2965E3CB" w:rsidR="005E4CD6" w:rsidRPr="005E4CD6" w:rsidRDefault="005E4CD6" w:rsidP="005E4CD6">
      <w:pPr>
        <w:pStyle w:val="Bullet"/>
      </w:pPr>
      <w:r w:rsidRPr="005E4CD6">
        <w:t>advance equality of opportunity between persons who share a relevant protected characteristic and persons who do not share it and</w:t>
      </w:r>
    </w:p>
    <w:p w14:paraId="4758FB9F" w14:textId="77777777" w:rsidR="005E4CD6" w:rsidRPr="005E4CD6" w:rsidRDefault="005E4CD6" w:rsidP="005E4CD6">
      <w:pPr>
        <w:pStyle w:val="Bullet"/>
      </w:pPr>
      <w:r w:rsidRPr="005E4CD6">
        <w:t>foster good relations between persons who share a relevant protected characteristic and persons who do not share it.</w:t>
      </w:r>
    </w:p>
    <w:p w14:paraId="3BB9E24C" w14:textId="6AB32096" w:rsidR="005E4CD6" w:rsidRPr="005E4CD6" w:rsidRDefault="005E4CD6" w:rsidP="00A66AA5">
      <w:pPr>
        <w:pStyle w:val="ParagraphText-unnumbered"/>
      </w:pPr>
      <w:r w:rsidRPr="005E4CD6">
        <w:t xml:space="preserve">The provisions of the Equality Act 2010 (Specific Duties and Public Authorities) Regulations 2017 require </w:t>
      </w:r>
      <w:r w:rsidR="002921E9">
        <w:t>HEE</w:t>
      </w:r>
      <w:r w:rsidRPr="005E4CD6">
        <w:t xml:space="preserve">, as </w:t>
      </w:r>
      <w:r w:rsidR="002921E9">
        <w:t xml:space="preserve">a </w:t>
      </w:r>
      <w:r w:rsidRPr="005E4CD6">
        <w:t>public bod</w:t>
      </w:r>
      <w:r w:rsidR="002921E9">
        <w:t>y</w:t>
      </w:r>
      <w:r w:rsidRPr="005E4CD6">
        <w:t>, to meet the following requirements:</w:t>
      </w:r>
    </w:p>
    <w:p w14:paraId="652B47C9" w14:textId="44E0B59E" w:rsidR="005E4CD6" w:rsidRPr="005E4CD6" w:rsidRDefault="005E4CD6" w:rsidP="005E4CD6">
      <w:pPr>
        <w:pStyle w:val="Bullet"/>
      </w:pPr>
      <w:r w:rsidRPr="005E4CD6">
        <w:t>annually publish gender pay gap reporting information</w:t>
      </w:r>
    </w:p>
    <w:p w14:paraId="486DE37A" w14:textId="7BA44430" w:rsidR="005E4CD6" w:rsidRPr="005E4CD6" w:rsidRDefault="005E4CD6" w:rsidP="005E4CD6">
      <w:pPr>
        <w:pStyle w:val="Bullet"/>
      </w:pPr>
      <w:r w:rsidRPr="005E4CD6">
        <w:t>annually publish information to demonstrate compliance with the public sector equality duty</w:t>
      </w:r>
    </w:p>
    <w:p w14:paraId="3ABCAA05" w14:textId="67D8E4D0" w:rsidR="005E4CD6" w:rsidRPr="005E4CD6" w:rsidRDefault="005E4CD6" w:rsidP="005E4CD6">
      <w:pPr>
        <w:pStyle w:val="Bullet"/>
      </w:pPr>
      <w:r w:rsidRPr="005E4CD6">
        <w:t xml:space="preserve">ensure that the equality information published annually includes information relating to persons who share a relevant protected characteristic who are (a) its employees and (b) other persons affected by its policies and practices </w:t>
      </w:r>
    </w:p>
    <w:p w14:paraId="72D34E77" w14:textId="06CEF7AD" w:rsidR="005E4CD6" w:rsidRPr="005E4CD6" w:rsidRDefault="005E4CD6" w:rsidP="005E4CD6">
      <w:pPr>
        <w:pStyle w:val="Bullet"/>
      </w:pPr>
      <w:r w:rsidRPr="005E4CD6">
        <w:t>prepare and publish one or more objectives to be achieved in order to address one or more of the three equality aims set out in public sector equality duty at least every four years. These shall be specific and measurable and</w:t>
      </w:r>
    </w:p>
    <w:p w14:paraId="2F762477" w14:textId="77777777" w:rsidR="005E4CD6" w:rsidRPr="005E4CD6" w:rsidRDefault="005E4CD6" w:rsidP="005E4CD6">
      <w:pPr>
        <w:pStyle w:val="Bullet"/>
      </w:pPr>
      <w:r w:rsidRPr="005E4CD6">
        <w:t>to publish the information in a manner that is accessible to the public.</w:t>
      </w:r>
    </w:p>
    <w:p w14:paraId="6261BF2C" w14:textId="4D0061D7" w:rsidR="005E4CD6" w:rsidRDefault="00AA2539" w:rsidP="00A66AA5">
      <w:pPr>
        <w:pStyle w:val="ParagraphText-unnumbered"/>
      </w:pPr>
      <w:r>
        <w:t xml:space="preserve">HEE </w:t>
      </w:r>
      <w:r w:rsidR="005E4CD6" w:rsidRPr="005E4CD6">
        <w:t xml:space="preserve"> also ha</w:t>
      </w:r>
      <w:r w:rsidR="00A20CEB">
        <w:t xml:space="preserve">s </w:t>
      </w:r>
      <w:r w:rsidR="005E4CD6" w:rsidRPr="005E4CD6">
        <w:t xml:space="preserve">other legal duties set out in the </w:t>
      </w:r>
      <w:r w:rsidR="00A20CEB">
        <w:t xml:space="preserve">Care </w:t>
      </w:r>
      <w:r w:rsidR="005E4CD6" w:rsidRPr="005E4CD6">
        <w:t xml:space="preserve">Act, including the duty to </w:t>
      </w:r>
      <w:r w:rsidR="00A20CEB">
        <w:t xml:space="preserve">promote </w:t>
      </w:r>
      <w:r w:rsidR="009A0C22">
        <w:t xml:space="preserve">the NHS </w:t>
      </w:r>
      <w:r w:rsidR="00ED005C">
        <w:t>c</w:t>
      </w:r>
      <w:r w:rsidR="009A0C22">
        <w:t>onstitution</w:t>
      </w:r>
      <w:r w:rsidR="005E4CD6" w:rsidRPr="005E4CD6">
        <w:t xml:space="preserve">. </w:t>
      </w:r>
    </w:p>
    <w:p w14:paraId="5AEFE1EF" w14:textId="3901358D" w:rsidR="005E4CD6" w:rsidRPr="005E4CD6" w:rsidRDefault="00AA2539" w:rsidP="00A66AA5">
      <w:pPr>
        <w:pStyle w:val="ParagraphText-unnumbered"/>
      </w:pPr>
      <w:r>
        <w:lastRenderedPageBreak/>
        <w:t xml:space="preserve">HEE </w:t>
      </w:r>
      <w:r w:rsidR="005E4CD6" w:rsidRPr="005E4CD6">
        <w:t xml:space="preserve">have a duty to co-operate with the </w:t>
      </w:r>
      <w:r w:rsidR="009A0C22">
        <w:t xml:space="preserve">NHS England and NHS Improvement,  </w:t>
      </w:r>
      <w:r w:rsidR="005E4CD6" w:rsidRPr="005E4CD6">
        <w:t>National Institute for Health and Care Excellence,  NHS Digital and NHS Special Health Authorities.</w:t>
      </w:r>
    </w:p>
    <w:p w14:paraId="04A5DEEE" w14:textId="22B66593" w:rsidR="00FE1BDA" w:rsidRPr="00FE1BDA" w:rsidRDefault="00FE1BDA" w:rsidP="001D4185">
      <w:pPr>
        <w:pStyle w:val="Heading3"/>
      </w:pPr>
      <w:bookmarkStart w:id="21" w:name="_Toc68879388"/>
      <w:bookmarkStart w:id="22" w:name="_Toc73704610"/>
      <w:bookmarkStart w:id="23" w:name="_Hlk66721463"/>
      <w:r w:rsidRPr="00FE1BDA">
        <w:t xml:space="preserve">Partnership </w:t>
      </w:r>
      <w:r w:rsidR="00487775">
        <w:t>w</w:t>
      </w:r>
      <w:r w:rsidRPr="00FE1BDA">
        <w:t>orking</w:t>
      </w:r>
      <w:bookmarkEnd w:id="21"/>
    </w:p>
    <w:p w14:paraId="6A66055C" w14:textId="4A638487" w:rsidR="00FE1BDA" w:rsidRPr="00FE1BDA" w:rsidRDefault="00FE1BDA" w:rsidP="00A66AA5">
      <w:pPr>
        <w:pStyle w:val="ParagraphText-unnumbered"/>
      </w:pPr>
      <w:r w:rsidRPr="00FE1BDA">
        <w:t xml:space="preserve">To support the development of their relationship, the </w:t>
      </w:r>
      <w:r w:rsidR="005D78D6">
        <w:t>d</w:t>
      </w:r>
      <w:r w:rsidRPr="00FE1BDA">
        <w:t>epartment and HEE have agreed to a set of shared principles:</w:t>
      </w:r>
    </w:p>
    <w:p w14:paraId="497BEFBB" w14:textId="3EE67390" w:rsidR="00FE1BDA" w:rsidRDefault="00FE1BDA" w:rsidP="00FE1BDA">
      <w:pPr>
        <w:pStyle w:val="Bullet"/>
      </w:pPr>
      <w:r w:rsidRPr="00FE1BDA">
        <w:t xml:space="preserve">working together with each other, and with the </w:t>
      </w:r>
      <w:r w:rsidR="005D78D6">
        <w:t>d</w:t>
      </w:r>
      <w:r w:rsidRPr="00FE1BDA">
        <w:t xml:space="preserve">epartment’s other ALBs, for patients, people who use services and the public, demonstrating our commitment to the values of the NHS set out in its </w:t>
      </w:r>
      <w:r w:rsidR="00D754D0">
        <w:t>c</w:t>
      </w:r>
      <w:r w:rsidRPr="00FE1BDA">
        <w:t>onstitution.</w:t>
      </w:r>
    </w:p>
    <w:p w14:paraId="130C0109" w14:textId="77777777" w:rsidR="00FE1BDA" w:rsidRDefault="00FE1BDA" w:rsidP="00FE1BDA">
      <w:pPr>
        <w:pStyle w:val="Bullet"/>
      </w:pPr>
      <w:r w:rsidRPr="00FE1BDA">
        <w:t xml:space="preserve">respect for the importance of autonomy throughout the system, and the freedom of individual organisations to exercise their functions in the way they consider most appropriate.  </w:t>
      </w:r>
    </w:p>
    <w:p w14:paraId="0572C776" w14:textId="653BB0C9" w:rsidR="00FE1BDA" w:rsidRDefault="00FE1BDA" w:rsidP="00FE1BDA">
      <w:pPr>
        <w:pStyle w:val="Bullet"/>
      </w:pPr>
      <w:r w:rsidRPr="00FE1BDA">
        <w:t xml:space="preserve">recognition that the Secretary of State is ultimately accountable to Parliament and the public for the system overall.  HEE will support the </w:t>
      </w:r>
      <w:r w:rsidR="005D78D6">
        <w:t>d</w:t>
      </w:r>
      <w:r w:rsidRPr="00FE1BDA">
        <w:t xml:space="preserve">epartment in the discharge of its accountability duties, and the </w:t>
      </w:r>
      <w:r w:rsidR="005D78D6">
        <w:t>d</w:t>
      </w:r>
      <w:r w:rsidRPr="00FE1BDA">
        <w:t>epartment will support HEE in the same way.</w:t>
      </w:r>
    </w:p>
    <w:p w14:paraId="7D2311A5" w14:textId="66131753" w:rsidR="00FE1BDA" w:rsidRPr="00FE1BDA" w:rsidRDefault="00FE1BDA" w:rsidP="00FE1BDA">
      <w:pPr>
        <w:pStyle w:val="Bullet"/>
      </w:pPr>
      <w:r w:rsidRPr="00FE1BDA">
        <w:t>working together openly and positively.  This will include working constructively and collaboratively with other organisations within and beyond the health and social care system.</w:t>
      </w:r>
    </w:p>
    <w:p w14:paraId="06D11360" w14:textId="29E71E8D" w:rsidR="00FE1BDA" w:rsidRDefault="00FE1BDA" w:rsidP="00A66AA5">
      <w:pPr>
        <w:pStyle w:val="ParagraphText-unnumbered"/>
      </w:pPr>
      <w:r w:rsidRPr="00FE1BDA">
        <w:t xml:space="preserve">The </w:t>
      </w:r>
      <w:r w:rsidR="005D78D6">
        <w:t>d</w:t>
      </w:r>
      <w:r w:rsidRPr="00FE1BDA">
        <w:t xml:space="preserve">epartment and HEE will work together, and with the </w:t>
      </w:r>
      <w:r w:rsidR="005D78D6">
        <w:t>d</w:t>
      </w:r>
      <w:r w:rsidRPr="00FE1BDA">
        <w:t xml:space="preserve">epartment’s other arm’s length bodies, in the interests of patients, people who use services and the public to maximise the health and wellbeing gain for the population, working to the values set out in the NHS Constitution.  To support this, HEE and the </w:t>
      </w:r>
      <w:r w:rsidR="005D78D6">
        <w:t>d</w:t>
      </w:r>
      <w:r w:rsidRPr="00FE1BDA">
        <w:t xml:space="preserve">epartment will follow an ‘open book’ approach.  In the case of issues with an impact on the development or implementation of policy, the </w:t>
      </w:r>
      <w:r w:rsidR="005D78D6">
        <w:t>d</w:t>
      </w:r>
      <w:r w:rsidRPr="00FE1BDA">
        <w:t xml:space="preserve">epartment can expect to be kept informed by HEE.  In the same way, the </w:t>
      </w:r>
      <w:r w:rsidR="005D78D6">
        <w:t>d</w:t>
      </w:r>
      <w:r w:rsidRPr="00FE1BDA">
        <w:t xml:space="preserve">epartment will seek to keep HEE apprised of developments in policy and </w:t>
      </w:r>
      <w:r w:rsidR="001B17DD">
        <w:t>g</w:t>
      </w:r>
      <w:r w:rsidRPr="00FE1BDA">
        <w:t xml:space="preserve">overnment.  There are likely to be some issues where the </w:t>
      </w:r>
      <w:r w:rsidR="005D78D6">
        <w:t>d</w:t>
      </w:r>
      <w:r w:rsidRPr="00FE1BDA">
        <w:t xml:space="preserve">epartment or HEE will expect to be consulted by the other before the </w:t>
      </w:r>
      <w:r w:rsidR="005D78D6">
        <w:t>d</w:t>
      </w:r>
      <w:r w:rsidRPr="00FE1BDA">
        <w:t xml:space="preserve">epartment or HEE makes either a decision or a public statement on a matter.  The </w:t>
      </w:r>
      <w:r w:rsidR="005D78D6">
        <w:t>d</w:t>
      </w:r>
      <w:r w:rsidRPr="00FE1BDA">
        <w:t xml:space="preserve">epartment and HEE will make clear which issues fall into this category in good time.  The sponsor team will be responsible for ensuring that this works effectively. </w:t>
      </w:r>
    </w:p>
    <w:p w14:paraId="3E81B083" w14:textId="34B6888D" w:rsidR="00FE1BDA" w:rsidRDefault="00FE1BDA" w:rsidP="00A66AA5">
      <w:pPr>
        <w:pStyle w:val="ParagraphText-unnumbered"/>
      </w:pPr>
      <w:r w:rsidRPr="00FE1BDA">
        <w:t xml:space="preserve">To support the Secretary of State and the </w:t>
      </w:r>
      <w:r w:rsidR="002F6028">
        <w:t>P</w:t>
      </w:r>
      <w:r w:rsidRPr="00FE1BDA">
        <w:t xml:space="preserve">rincipal </w:t>
      </w:r>
      <w:r w:rsidR="002F6028">
        <w:t>a</w:t>
      </w:r>
      <w:r w:rsidRPr="00FE1BDA">
        <w:t xml:space="preserve">ccounting </w:t>
      </w:r>
      <w:r w:rsidR="002F6028">
        <w:t>o</w:t>
      </w:r>
      <w:r w:rsidRPr="00FE1BDA">
        <w:t xml:space="preserve">fficer in their accountability </w:t>
      </w:r>
      <w:r w:rsidR="00A66AA5">
        <w:t>f</w:t>
      </w:r>
      <w:r w:rsidRPr="00FE1BDA">
        <w:t xml:space="preserve">unctions, HEE must provide the </w:t>
      </w:r>
      <w:r w:rsidR="0084604C">
        <w:t>s</w:t>
      </w:r>
      <w:r w:rsidRPr="00FE1BDA">
        <w:t xml:space="preserve">ecretary of </w:t>
      </w:r>
      <w:r w:rsidR="0084604C">
        <w:t>s</w:t>
      </w:r>
      <w:r w:rsidRPr="00FE1BDA">
        <w:t xml:space="preserve">tate with such information relating to the exercise of its functions as he or she may request.  It is therefore expected that the </w:t>
      </w:r>
      <w:r w:rsidR="005D78D6">
        <w:t>d</w:t>
      </w:r>
      <w:r w:rsidRPr="00FE1BDA">
        <w:t>epartment will, when required, have full access to HEE’s files and information.  If necessary, the S</w:t>
      </w:r>
      <w:r w:rsidR="005D78D6">
        <w:t xml:space="preserve">DS's </w:t>
      </w:r>
      <w:r w:rsidRPr="00FE1BDA">
        <w:t xml:space="preserve"> team will be responsible for prioritising these requests for information.  </w:t>
      </w:r>
    </w:p>
    <w:p w14:paraId="31129B91" w14:textId="5276353E" w:rsidR="00FE1BDA" w:rsidRPr="00FE1BDA" w:rsidRDefault="00FE1BDA" w:rsidP="001D4185">
      <w:pPr>
        <w:pStyle w:val="Heading3"/>
      </w:pPr>
      <w:r w:rsidRPr="00FE1BDA">
        <w:lastRenderedPageBreak/>
        <w:t xml:space="preserve">Relationships with the </w:t>
      </w:r>
      <w:r w:rsidR="005D78D6">
        <w:t>d</w:t>
      </w:r>
      <w:r w:rsidRPr="00FE1BDA">
        <w:t>epartment's other arm's length bodies</w:t>
      </w:r>
    </w:p>
    <w:p w14:paraId="31E6D8E0" w14:textId="1BE55D46" w:rsidR="00FE1BDA" w:rsidRPr="00FE1BDA" w:rsidRDefault="00FE1BDA" w:rsidP="00A66AA5">
      <w:pPr>
        <w:pStyle w:val="ParagraphText-unnumbered"/>
      </w:pPr>
      <w:r w:rsidRPr="00FE1BDA">
        <w:t xml:space="preserve">HEE work in partnership with the </w:t>
      </w:r>
      <w:r w:rsidR="005D78D6">
        <w:t>d</w:t>
      </w:r>
      <w:r w:rsidRPr="00FE1BDA">
        <w:t>epartment</w:t>
      </w:r>
      <w:r w:rsidR="008A6B6C">
        <w:t>,</w:t>
      </w:r>
      <w:r w:rsidRPr="00FE1BDA">
        <w:t xml:space="preserve"> its other arms' length bodies and local government, in the interests of patients, people who use services and the public, to maximise the health and wellbeing gain for the population and working to the principles, values, rights, pledges, duties and responsibilities set out in the NHS Constitution.</w:t>
      </w:r>
    </w:p>
    <w:p w14:paraId="0A3906D9" w14:textId="4938006D" w:rsidR="00FE1BDA" w:rsidRPr="00FE1BDA" w:rsidRDefault="00FE1BDA" w:rsidP="00A66AA5">
      <w:pPr>
        <w:pStyle w:val="ParagraphText-unnumbered"/>
      </w:pPr>
      <w:r w:rsidRPr="00FE1BDA">
        <w:t xml:space="preserve">The </w:t>
      </w:r>
      <w:r w:rsidR="005D78D6">
        <w:t>d</w:t>
      </w:r>
      <w:r w:rsidRPr="00FE1BDA">
        <w:t>epartment and its arms' length bodies have complementary but distinct roles within the system to ensure that service users receive high quality services which deliver value for money</w:t>
      </w:r>
    </w:p>
    <w:p w14:paraId="6B8D5EA0" w14:textId="77777777" w:rsidR="00FE1BDA" w:rsidRPr="00FE1BDA" w:rsidRDefault="00FE1BDA" w:rsidP="001D4185">
      <w:pPr>
        <w:pStyle w:val="Heading3"/>
      </w:pPr>
      <w:bookmarkStart w:id="24" w:name="_Toc506300075"/>
      <w:bookmarkStart w:id="25" w:name="_Toc506363218"/>
      <w:bookmarkStart w:id="26" w:name="_Toc535481426"/>
      <w:bookmarkStart w:id="27" w:name="_Toc68879390"/>
      <w:r w:rsidRPr="00FE1BDA">
        <w:t>Transparency</w:t>
      </w:r>
      <w:bookmarkEnd w:id="24"/>
      <w:bookmarkEnd w:id="25"/>
      <w:bookmarkEnd w:id="26"/>
      <w:bookmarkEnd w:id="27"/>
    </w:p>
    <w:p w14:paraId="29741C22" w14:textId="04751FB5" w:rsidR="00FE1BDA" w:rsidRPr="00FE1BDA" w:rsidRDefault="00FE1BDA" w:rsidP="00A66AA5">
      <w:pPr>
        <w:pStyle w:val="ParagraphText-unnumbered"/>
      </w:pPr>
      <w:r w:rsidRPr="00FE1BDA">
        <w:t xml:space="preserve">HEE is an open organisation that carries out its activities transparently.  It demonstrates this by proactively publishing on its website key information on areas including pay, diversity of the workforce, performance, the way it manages public money and the public benefits achieved through its activities, and by supporting those who wish to use the data by publishing the information within </w:t>
      </w:r>
      <w:hyperlink r:id="rId31" w:history="1">
        <w:r w:rsidRPr="00FE1BDA">
          <w:t>guidelines</w:t>
        </w:r>
      </w:hyperlink>
      <w:r w:rsidRPr="00FE1BDA">
        <w:t xml:space="preserve"> set by the Cabinet Office.  HEE holds open board meetings in line with the Public Bodies (Admission to Meetings) Act 1960.  HEE will publish an annual report.  The annual report will include a governance statement, which is to be reviewed by the S</w:t>
      </w:r>
      <w:r w:rsidR="005D78D6">
        <w:t>DS.</w:t>
      </w:r>
    </w:p>
    <w:p w14:paraId="66680F81" w14:textId="1C4E0885" w:rsidR="00FE1BDA" w:rsidRPr="00FE1BDA" w:rsidRDefault="00FE1BDA" w:rsidP="00A66AA5">
      <w:pPr>
        <w:pStyle w:val="ParagraphText-unnumbered"/>
      </w:pPr>
      <w:r w:rsidRPr="00FE1BDA">
        <w:t xml:space="preserve">To underpin the principles of good communication, ‘no surprises’ and transparency, HEE and the </w:t>
      </w:r>
      <w:r w:rsidR="000D139A">
        <w:t>d</w:t>
      </w:r>
      <w:r w:rsidRPr="00FE1BDA">
        <w:t xml:space="preserve">epartment have put in place arrangements for managing communications.  Further details are provided in Annex </w:t>
      </w:r>
      <w:r w:rsidR="00691EAA">
        <w:t xml:space="preserve"> B</w:t>
      </w:r>
      <w:r w:rsidRPr="00FE1BDA">
        <w:t>.</w:t>
      </w:r>
    </w:p>
    <w:p w14:paraId="4127A8D2" w14:textId="3652FA6D" w:rsidR="00FE1BDA" w:rsidRPr="00FE1BDA" w:rsidRDefault="00FE1BDA" w:rsidP="00A66AA5">
      <w:pPr>
        <w:pStyle w:val="ParagraphText-unnumbered"/>
      </w:pPr>
      <w:r w:rsidRPr="00FE1BDA">
        <w:t xml:space="preserve">HEE’s executive and non-executive board members operate within the general principles of the </w:t>
      </w:r>
      <w:hyperlink r:id="rId32" w:history="1">
        <w:r w:rsidRPr="00FE1BDA">
          <w:t>corporate governance guidelines</w:t>
        </w:r>
      </w:hyperlink>
      <w:r w:rsidRPr="00FE1BDA">
        <w:t xml:space="preserve"> set out by HM Treasury.  They will also comply with the </w:t>
      </w:r>
      <w:hyperlink r:id="rId33" w:history="1">
        <w:r w:rsidRPr="00FE1BDA">
          <w:t xml:space="preserve">Cabinet Office's </w:t>
        </w:r>
        <w:r w:rsidR="00B52C87">
          <w:t>c</w:t>
        </w:r>
        <w:r w:rsidRPr="00FE1BDA">
          <w:t xml:space="preserve">ode of </w:t>
        </w:r>
        <w:r w:rsidR="00B52C87">
          <w:t>c</w:t>
        </w:r>
        <w:r w:rsidRPr="00FE1BDA">
          <w:t xml:space="preserve">onduct for </w:t>
        </w:r>
        <w:r w:rsidR="00B52C87">
          <w:t>b</w:t>
        </w:r>
        <w:r w:rsidRPr="00FE1BDA">
          <w:t xml:space="preserve">oard </w:t>
        </w:r>
        <w:r w:rsidR="00D71636">
          <w:t>m</w:t>
        </w:r>
        <w:r w:rsidR="00D71636" w:rsidRPr="00FE1BDA">
          <w:t>embers</w:t>
        </w:r>
        <w:r w:rsidRPr="00FE1BDA">
          <w:t xml:space="preserve"> of </w:t>
        </w:r>
        <w:r w:rsidR="00B52C87">
          <w:t>p</w:t>
        </w:r>
        <w:r w:rsidRPr="00FE1BDA">
          <w:t xml:space="preserve">ublic </w:t>
        </w:r>
        <w:r w:rsidR="00B52C87">
          <w:t>b</w:t>
        </w:r>
        <w:r w:rsidRPr="00FE1BDA">
          <w:t>odies</w:t>
        </w:r>
      </w:hyperlink>
      <w:r w:rsidRPr="00FE1BDA">
        <w:t xml:space="preserve"> and with HEE’s rules on disclosure of financial interests, including those of </w:t>
      </w:r>
      <w:r w:rsidR="00B52C87">
        <w:t>b</w:t>
      </w:r>
      <w:r w:rsidRPr="00FE1BDA">
        <w:t>oard members.</w:t>
      </w:r>
    </w:p>
    <w:p w14:paraId="29845BC7" w14:textId="23CFC86B" w:rsidR="00FE1BDA" w:rsidRPr="00FE1BDA" w:rsidRDefault="00FE1BDA" w:rsidP="00A66AA5">
      <w:pPr>
        <w:pStyle w:val="ParagraphText-unnumbered"/>
      </w:pPr>
      <w:r w:rsidRPr="00FE1BDA">
        <w:t xml:space="preserve">HEE has developed a code of conduct for all staff which will comply with the principles in the </w:t>
      </w:r>
      <w:hyperlink r:id="rId34" w:history="1">
        <w:r w:rsidRPr="00FE1BDA">
          <w:t>Cabinet Office's model code</w:t>
        </w:r>
      </w:hyperlink>
      <w:r w:rsidRPr="00FE1BDA">
        <w:t xml:space="preserve"> for staff of executive non-</w:t>
      </w:r>
      <w:r w:rsidR="000D139A">
        <w:t>d</w:t>
      </w:r>
      <w:r w:rsidRPr="00FE1BDA">
        <w:t>epartmental public bodies, which includes rules on conflicts of interest, political activity and restrictions on lobbying.</w:t>
      </w:r>
    </w:p>
    <w:p w14:paraId="55C1B2D0" w14:textId="77777777" w:rsidR="00FE1BDA" w:rsidRPr="00FE1BDA" w:rsidRDefault="00FE1BDA" w:rsidP="00A66AA5">
      <w:pPr>
        <w:pStyle w:val="ParagraphText-unnumbered"/>
      </w:pPr>
      <w:r w:rsidRPr="00FE1BDA">
        <w:t>HEE will take all necessary measures to ensure that:</w:t>
      </w:r>
    </w:p>
    <w:p w14:paraId="02F5C762" w14:textId="75486CA9" w:rsidR="00FE1BDA" w:rsidRPr="00FE1BDA" w:rsidRDefault="00FE1BDA" w:rsidP="00FE1BDA">
      <w:pPr>
        <w:pStyle w:val="Bullet"/>
      </w:pPr>
      <w:r w:rsidRPr="00FE1BDA">
        <w:t>patient, personal and/or sensitive information within its care and control is well managed and protected through all stages of its use, including through compliance with the Data Protection Act</w:t>
      </w:r>
    </w:p>
    <w:p w14:paraId="29EEAAB5" w14:textId="767D8DA5" w:rsidR="00FE1BDA" w:rsidRPr="00FE1BDA" w:rsidRDefault="00FE1BDA" w:rsidP="00FE1BDA">
      <w:pPr>
        <w:pStyle w:val="Bullet"/>
      </w:pPr>
      <w:r w:rsidRPr="00FE1BDA">
        <w:t>it provides public assurance in respect of its information governance practice by completing and publishing an annual information governance assessment using an agreed assessment mechanism</w:t>
      </w:r>
    </w:p>
    <w:p w14:paraId="4417ACC2" w14:textId="49AFF5B1" w:rsidR="00FE1BDA" w:rsidRPr="00FE1BDA" w:rsidRDefault="00FE1BDA" w:rsidP="00FE1BDA">
      <w:pPr>
        <w:pStyle w:val="Bullet"/>
      </w:pPr>
      <w:r w:rsidRPr="00FE1BDA">
        <w:lastRenderedPageBreak/>
        <w:t xml:space="preserve">it meets its legal obligations for records management, accountability and public information by compliance with relevant standards, including government and NHS codes of practice on confidentiality, security and records management  </w:t>
      </w:r>
    </w:p>
    <w:p w14:paraId="3345EC88" w14:textId="5B4B7880" w:rsidR="00FE1BDA" w:rsidRDefault="00FE1BDA" w:rsidP="00A66AA5">
      <w:pPr>
        <w:pStyle w:val="ParagraphText-unnumbered"/>
      </w:pPr>
      <w:r w:rsidRPr="00FE1BDA">
        <w:t>HEE’s Senior Information Risk Owner and Caldicott Guardian will work together to ensure that both patient and other personal information are handled in line with best practice in government and the wider public sector</w:t>
      </w:r>
    </w:p>
    <w:p w14:paraId="4E67B674" w14:textId="77777777" w:rsidR="005E4CD6" w:rsidRPr="005E4CD6" w:rsidRDefault="005E4CD6" w:rsidP="001D4185">
      <w:pPr>
        <w:pStyle w:val="Heading3"/>
      </w:pPr>
      <w:bookmarkStart w:id="28" w:name="_Toc73704613"/>
      <w:bookmarkStart w:id="29" w:name="_Hlk60909571"/>
      <w:bookmarkEnd w:id="20"/>
      <w:bookmarkEnd w:id="22"/>
      <w:bookmarkEnd w:id="23"/>
      <w:r w:rsidRPr="005E4CD6">
        <w:t>Sustainability</w:t>
      </w:r>
      <w:bookmarkEnd w:id="28"/>
    </w:p>
    <w:p w14:paraId="2D1CB156" w14:textId="433FC2B2" w:rsidR="002C1A6B" w:rsidRDefault="002C1A6B" w:rsidP="00A66AA5">
      <w:pPr>
        <w:pStyle w:val="ParagraphText-unnumbered"/>
      </w:pPr>
      <w:r w:rsidRPr="002C1A6B">
        <w:t>As a major public sector body, HEE has a key role to play in driving forward government's commitment to sustainability. As a minimum, HEE shall comply with the</w:t>
      </w:r>
      <w:r>
        <w:t xml:space="preserve"> </w:t>
      </w:r>
      <w:hyperlink r:id="rId35" w:history="1">
        <w:r>
          <w:rPr>
            <w:rStyle w:val="Hyperlink"/>
          </w:rPr>
          <w:t>Greening Government Commitments for 2021-25</w:t>
        </w:r>
      </w:hyperlink>
      <w:r w:rsidRPr="002C1A6B">
        <w:t xml:space="preserve">, which apply to the office and non-office estate of central government </w:t>
      </w:r>
      <w:r w:rsidR="000D139A">
        <w:t>d</w:t>
      </w:r>
      <w:r w:rsidRPr="002C1A6B">
        <w:t xml:space="preserve">epartments and their </w:t>
      </w:r>
      <w:r w:rsidR="00FF7C8E">
        <w:t>e</w:t>
      </w:r>
      <w:r w:rsidRPr="002C1A6B">
        <w:t xml:space="preserve">xecutive </w:t>
      </w:r>
      <w:r w:rsidR="00FF7C8E">
        <w:t>a</w:t>
      </w:r>
      <w:r w:rsidRPr="002C1A6B">
        <w:t xml:space="preserve">gencies (EAs), </w:t>
      </w:r>
      <w:r w:rsidR="00FF7C8E">
        <w:t>n</w:t>
      </w:r>
      <w:r w:rsidRPr="002C1A6B">
        <w:t>on-</w:t>
      </w:r>
      <w:r w:rsidR="00FF7C8E">
        <w:t>m</w:t>
      </w:r>
      <w:r w:rsidRPr="002C1A6B">
        <w:t xml:space="preserve">inisterial </w:t>
      </w:r>
      <w:r w:rsidR="00FF7C8E">
        <w:t>d</w:t>
      </w:r>
      <w:r w:rsidRPr="002C1A6B">
        <w:t xml:space="preserve">epartments (NMDs) and executive </w:t>
      </w:r>
      <w:r w:rsidR="00447BB5">
        <w:t>n</w:t>
      </w:r>
      <w:r w:rsidRPr="002C1A6B">
        <w:t>on-</w:t>
      </w:r>
      <w:r w:rsidR="00447BB5">
        <w:t>d</w:t>
      </w:r>
      <w:r w:rsidRPr="002C1A6B">
        <w:t xml:space="preserve">epartmental </w:t>
      </w:r>
      <w:r w:rsidR="00FF7C8E">
        <w:t>p</w:t>
      </w:r>
      <w:r w:rsidRPr="002C1A6B">
        <w:t xml:space="preserve">ublic </w:t>
      </w:r>
      <w:r w:rsidR="00FF7C8E">
        <w:t>b</w:t>
      </w:r>
      <w:r w:rsidRPr="002C1A6B">
        <w:t>odies (NDPBs), unless specifically exempted, and set out the actions they will take to reduce their impacts on the environment</w:t>
      </w:r>
      <w:r>
        <w:t>.</w:t>
      </w:r>
    </w:p>
    <w:p w14:paraId="2BB0C044" w14:textId="77777777" w:rsidR="00950460" w:rsidRPr="00950460" w:rsidRDefault="00950460" w:rsidP="001D4185">
      <w:pPr>
        <w:pStyle w:val="Heading3"/>
      </w:pPr>
      <w:bookmarkStart w:id="30" w:name="_Toc73704615"/>
      <w:r w:rsidRPr="005E4CD6">
        <w:t xml:space="preserve">Communications </w:t>
      </w:r>
      <w:r w:rsidRPr="00997D53">
        <w:t>responsibilities</w:t>
      </w:r>
      <w:bookmarkEnd w:id="30"/>
    </w:p>
    <w:p w14:paraId="3DF504C0" w14:textId="77777777" w:rsidR="00D979A9" w:rsidRDefault="001B17AB" w:rsidP="00A66AA5">
      <w:pPr>
        <w:pStyle w:val="ParagraphText-unnumbered"/>
      </w:pPr>
      <w:r w:rsidRPr="001B17AB">
        <w:t xml:space="preserve">This section sets out the basic principles guiding co-operation and collaborative working between DHSC and its ALBs, across all aspects of communication and marketing activities, to deliver impactful and cost-effective communications in the context of our shared accountability to Parliament and the public. The principles include regular collaboration and information sharing between the DHSC and ALB communications teams to ensure communications are aligned and to amplify their impact. </w:t>
      </w:r>
    </w:p>
    <w:p w14:paraId="6B94C381" w14:textId="0AA0BCAD" w:rsidR="00C141B9" w:rsidRDefault="001B17AB" w:rsidP="00A66AA5">
      <w:pPr>
        <w:pStyle w:val="ParagraphText-unnumbered"/>
      </w:pPr>
      <w:r w:rsidRPr="001B17AB">
        <w:t xml:space="preserve">All </w:t>
      </w:r>
      <w:r w:rsidR="001C75CB">
        <w:t xml:space="preserve">ALBs </w:t>
      </w:r>
      <w:r w:rsidRPr="001B17AB">
        <w:t xml:space="preserve"> </w:t>
      </w:r>
      <w:r w:rsidR="002073BF">
        <w:t xml:space="preserve">have </w:t>
      </w:r>
      <w:r w:rsidRPr="001B17AB">
        <w:t>commit</w:t>
      </w:r>
      <w:r w:rsidR="002073BF">
        <w:t>ted</w:t>
      </w:r>
      <w:r w:rsidRPr="001B17AB">
        <w:t xml:space="preserve"> to undertaking this collaboration and information</w:t>
      </w:r>
      <w:r w:rsidR="002073BF">
        <w:t xml:space="preserve"> sharing </w:t>
      </w:r>
      <w:r w:rsidRPr="001B17AB">
        <w:t xml:space="preserve"> in a timely manner </w:t>
      </w:r>
      <w:r w:rsidR="009E61A4">
        <w:t xml:space="preserve">ahead </w:t>
      </w:r>
      <w:r w:rsidRPr="001B17AB">
        <w:t xml:space="preserve">of content being shared with the public, </w:t>
      </w:r>
      <w:r w:rsidR="009E61A4">
        <w:t xml:space="preserve">workforce, </w:t>
      </w:r>
      <w:r w:rsidRPr="001B17AB">
        <w:t xml:space="preserve">media or other stakeholders to ensure that as a system, we are communicating with the public, workforce and our stakeholders in a coordinated manner so as not to confuse or undermine another part of the system. </w:t>
      </w:r>
    </w:p>
    <w:p w14:paraId="329509F3" w14:textId="1F7F23FF" w:rsidR="001B17AB" w:rsidRPr="001B17AB" w:rsidRDefault="001B17AB" w:rsidP="00A66AA5">
      <w:pPr>
        <w:pStyle w:val="ParagraphText-unnumbered"/>
      </w:pPr>
      <w:r w:rsidRPr="001B17AB">
        <w:t xml:space="preserve">To achieve this, the DHSC and ALB communications teams will have regular check in points, including for the heads of communications and media and marketing teams, to agree communication plans. In particular, ALBs and DHSC will give each other sufficient advance notice of public facing communications to allow for necessary clearances with the relevant teams as set out in the Communications and Marketing Guidance annex of the ALB Schedule of  Delegations. </w:t>
      </w:r>
    </w:p>
    <w:p w14:paraId="01AF7877" w14:textId="77777777" w:rsidR="001B17AB" w:rsidRPr="00950460" w:rsidRDefault="001B17AB" w:rsidP="001B17AB">
      <w:pPr>
        <w:pStyle w:val="ParagraphText-numbered"/>
        <w:numPr>
          <w:ilvl w:val="0"/>
          <w:numId w:val="0"/>
        </w:numPr>
        <w:ind w:left="851"/>
      </w:pPr>
    </w:p>
    <w:p w14:paraId="5219424B" w14:textId="77777777" w:rsidR="001D4185" w:rsidRDefault="001D4185">
      <w:pPr>
        <w:rPr>
          <w:b/>
          <w:sz w:val="33"/>
        </w:rPr>
      </w:pPr>
      <w:bookmarkStart w:id="31" w:name="_Toc68879395"/>
      <w:bookmarkStart w:id="32" w:name="_Hlk75938597"/>
      <w:bookmarkEnd w:id="29"/>
      <w:r>
        <w:br w:type="page"/>
      </w:r>
    </w:p>
    <w:p w14:paraId="1C158A8C" w14:textId="58C3296E" w:rsidR="00C306C3" w:rsidRDefault="00C306C3" w:rsidP="001D4185">
      <w:pPr>
        <w:pStyle w:val="Heading2"/>
      </w:pPr>
      <w:bookmarkStart w:id="33" w:name="_Toc110582339"/>
      <w:r w:rsidRPr="00C306C3">
        <w:lastRenderedPageBreak/>
        <w:t xml:space="preserve">Annex </w:t>
      </w:r>
      <w:r w:rsidR="00493388">
        <w:t>A</w:t>
      </w:r>
      <w:r w:rsidRPr="00C306C3">
        <w:t xml:space="preserve">  </w:t>
      </w:r>
      <w:r w:rsidR="004852A9">
        <w:t>G</w:t>
      </w:r>
      <w:r w:rsidRPr="00C306C3">
        <w:t>uidance</w:t>
      </w:r>
      <w:bookmarkEnd w:id="33"/>
      <w:r w:rsidRPr="00C306C3">
        <w:t xml:space="preserve">  </w:t>
      </w:r>
      <w:bookmarkEnd w:id="31"/>
    </w:p>
    <w:bookmarkEnd w:id="32"/>
    <w:p w14:paraId="6E781D43" w14:textId="4041CE5C" w:rsidR="00493388" w:rsidRPr="00493388" w:rsidRDefault="00493388" w:rsidP="00A66AA5">
      <w:pPr>
        <w:pStyle w:val="ParagraphText-unnumbered"/>
      </w:pPr>
      <w:r w:rsidRPr="00493388">
        <w:t xml:space="preserve">The following general guidance documents and instructions apply to ALB.  The </w:t>
      </w:r>
      <w:r w:rsidR="000D139A">
        <w:t>d</w:t>
      </w:r>
      <w:r w:rsidRPr="00493388">
        <w:t xml:space="preserve">epartment may require ALB to provide additional management information on an ad hoc basis. Where this is the case, the </w:t>
      </w:r>
      <w:r w:rsidR="000D139A">
        <w:t>d</w:t>
      </w:r>
      <w:r w:rsidRPr="00493388">
        <w:t>epartment will provide </w:t>
      </w:r>
      <w:r w:rsidR="0098034A">
        <w:t xml:space="preserve">HEE </w:t>
      </w:r>
      <w:r w:rsidRPr="00493388">
        <w:t>with clear reasons for the request and will allow as much time as possible to comply with the request. </w:t>
      </w:r>
    </w:p>
    <w:p w14:paraId="11077413" w14:textId="77777777" w:rsidR="00493388" w:rsidRPr="00493388" w:rsidRDefault="00493388" w:rsidP="001D4185">
      <w:pPr>
        <w:pStyle w:val="Heading3"/>
      </w:pPr>
      <w:r w:rsidRPr="009E598E">
        <w:t>General</w:t>
      </w:r>
      <w:r w:rsidRPr="00493388">
        <w:t> </w:t>
      </w:r>
    </w:p>
    <w:p w14:paraId="46825552" w14:textId="77777777" w:rsidR="00493388" w:rsidRDefault="00493388" w:rsidP="00493388">
      <w:pPr>
        <w:pStyle w:val="Bulletundernumberedlist"/>
      </w:pPr>
      <w:r w:rsidRPr="00493388">
        <w:t>This document </w:t>
      </w:r>
    </w:p>
    <w:p w14:paraId="29A80F07" w14:textId="77777777" w:rsidR="00493388" w:rsidRDefault="00493388" w:rsidP="00493388">
      <w:pPr>
        <w:pStyle w:val="Bulletundernumberedlist"/>
      </w:pPr>
      <w:r w:rsidRPr="00493388">
        <w:t>Appropriate adaptations of sections of Corporate Governance in Central Government Departments: </w:t>
      </w:r>
      <w:hyperlink r:id="rId36" w:history="1">
        <w:r>
          <w:rPr>
            <w:rStyle w:val="Hyperlink"/>
          </w:rPr>
          <w:t>Corporate Governance Code 2017</w:t>
        </w:r>
      </w:hyperlink>
      <w:r w:rsidRPr="00493388">
        <w:t> and its related guidance </w:t>
      </w:r>
    </w:p>
    <w:p w14:paraId="5BECB4B2" w14:textId="255D9101" w:rsidR="00493388" w:rsidRDefault="003F56C6" w:rsidP="00DE329E">
      <w:pPr>
        <w:pStyle w:val="Bulletundernumberedlist"/>
      </w:pPr>
      <w:hyperlink r:id="rId37" w:history="1">
        <w:r w:rsidR="00DE329E">
          <w:rPr>
            <w:rStyle w:val="Hyperlink"/>
          </w:rPr>
          <w:t>Code of conduct</w:t>
        </w:r>
      </w:hyperlink>
      <w:r w:rsidR="00DE329E">
        <w:t xml:space="preserve"> </w:t>
      </w:r>
      <w:r w:rsidR="00493388" w:rsidRPr="00493388">
        <w:t xml:space="preserve">for </w:t>
      </w:r>
      <w:r w:rsidR="00B52C87">
        <w:t>b</w:t>
      </w:r>
      <w:r w:rsidR="00493388" w:rsidRPr="00493388">
        <w:t xml:space="preserve">oard </w:t>
      </w:r>
      <w:r w:rsidR="00D71636">
        <w:t>m</w:t>
      </w:r>
      <w:r w:rsidR="00D71636" w:rsidRPr="00493388">
        <w:t>embers</w:t>
      </w:r>
      <w:r w:rsidR="00493388" w:rsidRPr="00493388">
        <w:t xml:space="preserve"> of</w:t>
      </w:r>
      <w:r w:rsidR="00B52C87">
        <w:t xml:space="preserve"> p</w:t>
      </w:r>
      <w:r w:rsidR="00493388" w:rsidRPr="00493388">
        <w:t xml:space="preserve">ublic </w:t>
      </w:r>
      <w:r w:rsidR="00B52C87">
        <w:t>b</w:t>
      </w:r>
      <w:r w:rsidR="00493388" w:rsidRPr="00493388">
        <w:t>odies </w:t>
      </w:r>
    </w:p>
    <w:p w14:paraId="13C4DD9F" w14:textId="04B6387C" w:rsidR="00493388" w:rsidRDefault="003F56C6" w:rsidP="00493388">
      <w:pPr>
        <w:pStyle w:val="Bulletundernumberedlist"/>
      </w:pPr>
      <w:hyperlink r:id="rId38" w:history="1">
        <w:r w:rsidR="006B25BF" w:rsidRPr="006B25BF">
          <w:rPr>
            <w:rStyle w:val="Hyperlink"/>
          </w:rPr>
          <w:t>Managing Public Money</w:t>
        </w:r>
      </w:hyperlink>
    </w:p>
    <w:p w14:paraId="4DF2C012" w14:textId="48211FFF" w:rsidR="00493388" w:rsidRDefault="003F56C6" w:rsidP="00DE329E">
      <w:pPr>
        <w:pStyle w:val="Bulletundernumberedlist"/>
      </w:pPr>
      <w:hyperlink r:id="rId39" w:history="1">
        <w:r w:rsidR="00DE329E">
          <w:rPr>
            <w:rStyle w:val="Hyperlink"/>
          </w:rPr>
          <w:t>Public Sector Internal Audit Standards</w:t>
        </w:r>
      </w:hyperlink>
      <w:r w:rsidR="00DE329E">
        <w:t xml:space="preserve"> </w:t>
      </w:r>
      <w:r w:rsidR="00493388" w:rsidRPr="00493388">
        <w:t>(PSIAS) </w:t>
      </w:r>
    </w:p>
    <w:p w14:paraId="702E1081" w14:textId="4560FA4F" w:rsidR="00493388" w:rsidRDefault="00493388" w:rsidP="00493388">
      <w:pPr>
        <w:pStyle w:val="Bulletundernumberedlist"/>
      </w:pPr>
      <w:r w:rsidRPr="00493388">
        <w:t>Management of Risk Principles and Concepts </w:t>
      </w:r>
      <w:hyperlink r:id="rId40" w:history="1">
        <w:r w:rsidR="00E551F5">
          <w:rPr>
            <w:rStyle w:val="Hyperlink"/>
          </w:rPr>
          <w:t>Orange Book</w:t>
        </w:r>
      </w:hyperlink>
    </w:p>
    <w:p w14:paraId="3DFBCE84" w14:textId="053C800F" w:rsidR="00493388" w:rsidRDefault="00493388" w:rsidP="00493388">
      <w:pPr>
        <w:pStyle w:val="Bulletundernumberedlist"/>
      </w:pPr>
      <w:r w:rsidRPr="00493388">
        <w:t>Government Financial</w:t>
      </w:r>
      <w:r w:rsidR="00E551F5">
        <w:t xml:space="preserve"> </w:t>
      </w:r>
      <w:r w:rsidRPr="00493388">
        <w:t>Reporting </w:t>
      </w:r>
      <w:hyperlink r:id="rId41" w:tgtFrame="_blank" w:history="1">
        <w:r w:rsidRPr="00493388">
          <w:t>Manual</w:t>
        </w:r>
      </w:hyperlink>
      <w:r w:rsidR="00E551F5">
        <w:t xml:space="preserve"> (</w:t>
      </w:r>
      <w:hyperlink r:id="rId42" w:history="1">
        <w:r w:rsidR="00E551F5">
          <w:rPr>
            <w:rStyle w:val="Hyperlink"/>
          </w:rPr>
          <w:t>FReM</w:t>
        </w:r>
      </w:hyperlink>
      <w:r w:rsidR="00E551F5">
        <w:t>)</w:t>
      </w:r>
    </w:p>
    <w:p w14:paraId="2854F9DA" w14:textId="7D3C1A7D" w:rsidR="00493388" w:rsidRDefault="00493388" w:rsidP="00493388">
      <w:pPr>
        <w:pStyle w:val="Bulletundernumberedlist"/>
      </w:pPr>
      <w:r w:rsidRPr="00493388">
        <w:t>Relevant </w:t>
      </w:r>
      <w:hyperlink r:id="rId43" w:tgtFrame="_blank" w:history="1">
        <w:r w:rsidRPr="00493388">
          <w:t>Dear Accounting Officer letters</w:t>
        </w:r>
      </w:hyperlink>
      <w:r w:rsidRPr="00493388">
        <w:t> </w:t>
      </w:r>
      <w:r w:rsidR="00E551F5">
        <w:t xml:space="preserve"> </w:t>
      </w:r>
      <w:hyperlink r:id="rId44" w:history="1">
        <w:r w:rsidR="00E551F5">
          <w:rPr>
            <w:rStyle w:val="Hyperlink"/>
          </w:rPr>
          <w:t>DAO Letters</w:t>
        </w:r>
      </w:hyperlink>
    </w:p>
    <w:p w14:paraId="36EB939D" w14:textId="6F382F12" w:rsidR="00493388" w:rsidRDefault="00493388" w:rsidP="00493388">
      <w:pPr>
        <w:pStyle w:val="Bulletundernumberedlist"/>
      </w:pPr>
      <w:r w:rsidRPr="00493388">
        <w:t>Counter Fraud </w:t>
      </w:r>
      <w:hyperlink r:id="rId45" w:tgtFrame="_blank" w:history="1">
        <w:r w:rsidRPr="00493388">
          <w:t>Government Functional Standard GovS 013:</w:t>
        </w:r>
      </w:hyperlink>
      <w:r w:rsidRPr="00493388">
        <w:t> </w:t>
      </w:r>
      <w:hyperlink r:id="rId46" w:history="1">
        <w:r w:rsidR="00E551F5">
          <w:rPr>
            <w:rStyle w:val="Hyperlink"/>
          </w:rPr>
          <w:t>Government Functional Standard-counter-fraud</w:t>
        </w:r>
      </w:hyperlink>
    </w:p>
    <w:p w14:paraId="74E99A9F" w14:textId="4D83C0A2" w:rsidR="00493388" w:rsidRDefault="00493388" w:rsidP="00493388">
      <w:pPr>
        <w:pStyle w:val="Bulletundernumberedlist"/>
      </w:pPr>
      <w:r w:rsidRPr="00493388">
        <w:t>The Parliamentary and Health Service Ombudsman’s </w:t>
      </w:r>
      <w:hyperlink r:id="rId47" w:history="1">
        <w:r w:rsidR="00E551F5">
          <w:rPr>
            <w:rStyle w:val="Hyperlink"/>
          </w:rPr>
          <w:t>Principles of Good Administration</w:t>
        </w:r>
      </w:hyperlink>
    </w:p>
    <w:p w14:paraId="7B6C3789" w14:textId="1124C943" w:rsidR="00493388" w:rsidRDefault="00493388" w:rsidP="00493388">
      <w:pPr>
        <w:pStyle w:val="Bulletundernumberedlist"/>
      </w:pPr>
      <w:r w:rsidRPr="00493388">
        <w:t xml:space="preserve">Partnerships between </w:t>
      </w:r>
      <w:r w:rsidR="000D139A">
        <w:t>d</w:t>
      </w:r>
      <w:r w:rsidRPr="00493388">
        <w:t>epartments and ALBs: </w:t>
      </w:r>
      <w:hyperlink r:id="rId48" w:tgtFrame="_blank" w:history="1"/>
      <w:r w:rsidRPr="00493388">
        <w:t> </w:t>
      </w:r>
      <w:hyperlink r:id="rId49" w:history="1">
        <w:r w:rsidR="004F7B35">
          <w:rPr>
            <w:rStyle w:val="Hyperlink"/>
          </w:rPr>
          <w:t>Code of Good Practice</w:t>
        </w:r>
      </w:hyperlink>
    </w:p>
    <w:p w14:paraId="6DD4E1BC" w14:textId="4916AC26" w:rsidR="00493388" w:rsidRDefault="00493388" w:rsidP="00493388">
      <w:pPr>
        <w:pStyle w:val="Bulletundernumberedlist"/>
      </w:pPr>
      <w:r w:rsidRPr="00493388">
        <w:t xml:space="preserve">Appropriate adaptations of sections of Model Code for Staff of Executive </w:t>
      </w:r>
      <w:r w:rsidR="00BA0E59">
        <w:t>n</w:t>
      </w:r>
      <w:r w:rsidRPr="00493388">
        <w:t>on-</w:t>
      </w:r>
      <w:r w:rsidR="00BA0E59">
        <w:t>d</w:t>
      </w:r>
      <w:r w:rsidRPr="00493388">
        <w:t xml:space="preserve">epartmental </w:t>
      </w:r>
      <w:r w:rsidR="00BA0E59">
        <w:t>p</w:t>
      </w:r>
      <w:r w:rsidRPr="00493388">
        <w:t xml:space="preserve">ublic </w:t>
      </w:r>
      <w:r w:rsidR="005D58A4">
        <w:t>b</w:t>
      </w:r>
      <w:r w:rsidRPr="00493388">
        <w:t xml:space="preserve">odies (Cabinet Office) in Public Bodies: A Guide for </w:t>
      </w:r>
      <w:r w:rsidR="00B976E5">
        <w:t>d</w:t>
      </w:r>
      <w:r w:rsidRPr="00493388">
        <w:t>epartments </w:t>
      </w:r>
      <w:hyperlink r:id="rId50" w:history="1">
        <w:r w:rsidR="001D01DD">
          <w:rPr>
            <w:rStyle w:val="Hyperlink"/>
          </w:rPr>
          <w:t>Chapter 5</w:t>
        </w:r>
      </w:hyperlink>
    </w:p>
    <w:p w14:paraId="1A2463B7" w14:textId="77777777" w:rsidR="00493388" w:rsidRDefault="00493388" w:rsidP="00493388">
      <w:pPr>
        <w:pStyle w:val="Bulletundernumberedlist"/>
      </w:pPr>
      <w:r w:rsidRPr="00493388">
        <w:t>Relevant Freedom of Information Act guidance and instructions (Ministry of Justice)  </w:t>
      </w:r>
    </w:p>
    <w:p w14:paraId="7C5287F9" w14:textId="77777777" w:rsidR="00493388" w:rsidRDefault="00493388" w:rsidP="00493388">
      <w:pPr>
        <w:pStyle w:val="Bulletundernumberedlist"/>
      </w:pPr>
      <w:r w:rsidRPr="00493388">
        <w:t>Consolidation Officer Memorandum, and relevant DCO letters </w:t>
      </w:r>
    </w:p>
    <w:p w14:paraId="1F2C3A9C" w14:textId="77777777" w:rsidR="00493388" w:rsidRDefault="00493388" w:rsidP="00493388">
      <w:pPr>
        <w:pStyle w:val="Bulletundernumberedlist"/>
      </w:pPr>
      <w:r w:rsidRPr="00493388">
        <w:lastRenderedPageBreak/>
        <w:t>Other relevant guidance and instructions issued by HM Treasury in respect of Whole of Government Accounts </w:t>
      </w:r>
    </w:p>
    <w:p w14:paraId="34BBA7E3" w14:textId="77777777" w:rsidR="00493388" w:rsidRDefault="00493388" w:rsidP="00493388">
      <w:pPr>
        <w:pStyle w:val="Bulletundernumberedlist"/>
      </w:pPr>
      <w:r w:rsidRPr="00493388">
        <w:t>Other relevant instructions and guidance issued by the central departments </w:t>
      </w:r>
    </w:p>
    <w:p w14:paraId="7EBD009C" w14:textId="05D7003B" w:rsidR="00493388" w:rsidRDefault="00493388" w:rsidP="00493388">
      <w:pPr>
        <w:pStyle w:val="Bulletundernumberedlist"/>
      </w:pPr>
      <w:r w:rsidRPr="00493388">
        <w:t xml:space="preserve">Specific instructions and guidance issued by the </w:t>
      </w:r>
      <w:r w:rsidR="00B976E5">
        <w:t>d</w:t>
      </w:r>
      <w:r w:rsidRPr="00493388">
        <w:t>epartment, including requests for information </w:t>
      </w:r>
    </w:p>
    <w:p w14:paraId="12E88A87" w14:textId="77777777" w:rsidR="00493388" w:rsidRDefault="00493388" w:rsidP="00493388">
      <w:pPr>
        <w:pStyle w:val="Bulletundernumberedlist"/>
      </w:pPr>
      <w:r w:rsidRPr="00493388">
        <w:t>Any departmental plans to ensure continuity of services </w:t>
      </w:r>
    </w:p>
    <w:p w14:paraId="7DEE00D0" w14:textId="77777777" w:rsidR="00493388" w:rsidRDefault="00493388" w:rsidP="00493388">
      <w:pPr>
        <w:pStyle w:val="Bulletundernumberedlist"/>
      </w:pPr>
      <w:r w:rsidRPr="00493388">
        <w:t>Recommendations made by the Public Accounts Committee, or by other Parliamentary authority, that have been accepted by the Government. </w:t>
      </w:r>
    </w:p>
    <w:p w14:paraId="2075B0FC" w14:textId="555F2611" w:rsidR="00493388" w:rsidRDefault="00493388" w:rsidP="00493388">
      <w:pPr>
        <w:pStyle w:val="Bulletundernumberedlist"/>
      </w:pPr>
      <w:r w:rsidRPr="00493388">
        <w:t>In line with Managing Public Money, have regard to the relevant </w:t>
      </w:r>
      <w:hyperlink r:id="rId51" w:history="1">
        <w:r w:rsidR="00C07246">
          <w:rPr>
            <w:rStyle w:val="Hyperlink"/>
          </w:rPr>
          <w:t>Functional Standards</w:t>
        </w:r>
      </w:hyperlink>
    </w:p>
    <w:p w14:paraId="4CC918CE" w14:textId="2430836B" w:rsidR="00493388" w:rsidRPr="00493388" w:rsidRDefault="00493388" w:rsidP="001D4185">
      <w:pPr>
        <w:pStyle w:val="Heading3"/>
      </w:pPr>
      <w:r w:rsidRPr="00493388">
        <w:t xml:space="preserve"> Specific areas in </w:t>
      </w:r>
      <w:r w:rsidR="00487775">
        <w:t>a</w:t>
      </w:r>
      <w:r w:rsidRPr="00493388">
        <w:t>greement </w:t>
      </w:r>
    </w:p>
    <w:p w14:paraId="59C962AA" w14:textId="77777777" w:rsidR="00493388" w:rsidRPr="00493388" w:rsidRDefault="00493388" w:rsidP="00493388">
      <w:r w:rsidRPr="00493388">
        <w:t> </w:t>
      </w:r>
    </w:p>
    <w:p w14:paraId="767F7819" w14:textId="77777777" w:rsidR="00D85243" w:rsidRDefault="00493388" w:rsidP="00D85243">
      <w:pPr>
        <w:pStyle w:val="Bulletundernumberedlist"/>
      </w:pPr>
      <w:r w:rsidRPr="00493388">
        <w:t>The role of the sponsorship team </w:t>
      </w:r>
    </w:p>
    <w:p w14:paraId="621F3086" w14:textId="46CAC494" w:rsidR="00D85243" w:rsidRPr="00D85243" w:rsidRDefault="00D85243" w:rsidP="00D85243">
      <w:pPr>
        <w:pStyle w:val="Bulletundernumberedparagraph"/>
        <w:rPr>
          <w:rStyle w:val="Hyperlink"/>
          <w:color w:val="auto"/>
          <w:u w:val="none"/>
        </w:rPr>
      </w:pPr>
      <w:r>
        <w:t xml:space="preserve"> </w:t>
      </w:r>
      <w:r w:rsidR="00493388" w:rsidRPr="00493388">
        <w:t xml:space="preserve">Partnerships between </w:t>
      </w:r>
      <w:r w:rsidR="00B976E5">
        <w:t>d</w:t>
      </w:r>
      <w:r w:rsidR="00493388" w:rsidRPr="00493388">
        <w:t>epartments and ALBs: </w:t>
      </w:r>
      <w:hyperlink r:id="rId52" w:history="1">
        <w:r w:rsidR="008D717A">
          <w:rPr>
            <w:rStyle w:val="Hyperlink"/>
          </w:rPr>
          <w:t>Code of Good Practice</w:t>
        </w:r>
      </w:hyperlink>
    </w:p>
    <w:p w14:paraId="797A84DF" w14:textId="77777777" w:rsidR="00D85243" w:rsidRDefault="00493388" w:rsidP="00D85243">
      <w:pPr>
        <w:pStyle w:val="Bulletundernumberedlist"/>
      </w:pPr>
      <w:r w:rsidRPr="00493388">
        <w:t>Accounting Officers</w:t>
      </w:r>
    </w:p>
    <w:p w14:paraId="43EBE2A7" w14:textId="77777777" w:rsidR="00D85243" w:rsidRDefault="003F56C6" w:rsidP="00D85243">
      <w:pPr>
        <w:pStyle w:val="Bulletundernumberedparagraph"/>
      </w:pPr>
      <w:hyperlink r:id="rId53" w:history="1">
        <w:r w:rsidR="006B25BF">
          <w:rPr>
            <w:rStyle w:val="Hyperlink"/>
          </w:rPr>
          <w:t>Managing Public Money</w:t>
        </w:r>
      </w:hyperlink>
      <w:r w:rsidR="006B25BF">
        <w:t xml:space="preserve"> Chapter 3 </w:t>
      </w:r>
      <w:r w:rsidR="00D85243">
        <w:t xml:space="preserve"> </w:t>
      </w:r>
    </w:p>
    <w:p w14:paraId="1567F728" w14:textId="4FBA94D0" w:rsidR="00493388" w:rsidRPr="00493388" w:rsidRDefault="00493388" w:rsidP="00D85243">
      <w:pPr>
        <w:pStyle w:val="Bulletundernumberedparagraph"/>
      </w:pPr>
      <w:r w:rsidRPr="00493388">
        <w:t>Relevant </w:t>
      </w:r>
      <w:hyperlink r:id="rId54" w:tgtFrame="_blank" w:history="1">
        <w:r w:rsidRPr="00493388">
          <w:t>Dear Accounting Officer letters</w:t>
        </w:r>
      </w:hyperlink>
      <w:r w:rsidRPr="00493388">
        <w:t> </w:t>
      </w:r>
      <w:hyperlink r:id="rId55" w:history="1">
        <w:r w:rsidR="00F05A11" w:rsidRPr="00F05A11">
          <w:rPr>
            <w:rStyle w:val="Hyperlink"/>
          </w:rPr>
          <w:t>DAO Letters</w:t>
        </w:r>
      </w:hyperlink>
    </w:p>
    <w:p w14:paraId="508174CD" w14:textId="77777777" w:rsidR="00493388" w:rsidRPr="00493388" w:rsidRDefault="00493388" w:rsidP="00493388">
      <w:r w:rsidRPr="00493388">
        <w:t> </w:t>
      </w:r>
    </w:p>
    <w:p w14:paraId="495CFB83" w14:textId="77777777" w:rsidR="00D85243" w:rsidRDefault="00493388" w:rsidP="00D85243">
      <w:pPr>
        <w:pStyle w:val="Bulletundernumberedlist"/>
      </w:pPr>
      <w:r w:rsidRPr="00493388">
        <w:t>Governance and Accountability</w:t>
      </w:r>
      <w:r w:rsidR="00D85243">
        <w:t>:</w:t>
      </w:r>
      <w:r w:rsidRPr="00493388">
        <w:t>  </w:t>
      </w:r>
      <w:r w:rsidR="00D85243">
        <w:t xml:space="preserve"> </w:t>
      </w:r>
    </w:p>
    <w:p w14:paraId="588FD376" w14:textId="77777777" w:rsidR="00D85243" w:rsidRPr="00D85243" w:rsidRDefault="003F56C6" w:rsidP="00D85243">
      <w:pPr>
        <w:pStyle w:val="Bulletundernumberedparagraph"/>
        <w:rPr>
          <w:rStyle w:val="Hyperlink"/>
          <w:color w:val="auto"/>
          <w:u w:val="none"/>
        </w:rPr>
      </w:pPr>
      <w:hyperlink r:id="rId56" w:history="1">
        <w:r w:rsidR="00336755">
          <w:rPr>
            <w:rStyle w:val="Hyperlink"/>
          </w:rPr>
          <w:t>Corporate Governance Code for Central Government Departments 2017</w:t>
        </w:r>
      </w:hyperlink>
      <w:r w:rsidR="00D85243">
        <w:rPr>
          <w:rStyle w:val="Hyperlink"/>
        </w:rPr>
        <w:t xml:space="preserve">; </w:t>
      </w:r>
    </w:p>
    <w:p w14:paraId="3B9AB5F0" w14:textId="77777777" w:rsidR="00D85243" w:rsidRPr="00D85243" w:rsidRDefault="003F56C6" w:rsidP="00D85243">
      <w:pPr>
        <w:pStyle w:val="Bulletundernumberedparagraph"/>
        <w:rPr>
          <w:rStyle w:val="Hyperlink"/>
          <w:color w:val="auto"/>
          <w:u w:val="none"/>
        </w:rPr>
      </w:pPr>
      <w:hyperlink r:id="rId57" w:history="1">
        <w:r w:rsidR="00B773A8">
          <w:rPr>
            <w:rStyle w:val="Hyperlink"/>
          </w:rPr>
          <w:t>Relevant Functional Standards</w:t>
        </w:r>
        <w:r w:rsidR="00D85243">
          <w:rPr>
            <w:rStyle w:val="Hyperlink"/>
          </w:rPr>
          <w:t xml:space="preserve">; </w:t>
        </w:r>
      </w:hyperlink>
      <w:r w:rsidR="00D85243">
        <w:rPr>
          <w:rStyle w:val="Hyperlink"/>
        </w:rPr>
        <w:t xml:space="preserve"> </w:t>
      </w:r>
    </w:p>
    <w:p w14:paraId="6F7199B4" w14:textId="5BA748A5" w:rsidR="00493388" w:rsidRPr="00493388" w:rsidRDefault="003F56C6" w:rsidP="00D85243">
      <w:pPr>
        <w:pStyle w:val="Bulletundernumberedparagraph"/>
      </w:pPr>
      <w:hyperlink r:id="rId58" w:history="1">
        <w:r w:rsidR="00227AEF" w:rsidRPr="00227AEF">
          <w:rPr>
            <w:rStyle w:val="Hyperlink"/>
          </w:rPr>
          <w:t>Managing Public Money</w:t>
        </w:r>
      </w:hyperlink>
      <w:r w:rsidR="00227AEF">
        <w:t xml:space="preserve"> </w:t>
      </w:r>
      <w:hyperlink r:id="rId59" w:tgtFrame="_blank" w:history="1">
        <w:r w:rsidR="00493388" w:rsidRPr="00493388">
          <w:t>Annex 3.1</w:t>
        </w:r>
      </w:hyperlink>
      <w:r w:rsidR="00493388" w:rsidRPr="00493388">
        <w:t> </w:t>
      </w:r>
    </w:p>
    <w:p w14:paraId="18C52DDA" w14:textId="0D3E144E" w:rsidR="00D85243" w:rsidRDefault="00493388" w:rsidP="00D85243">
      <w:pPr>
        <w:pStyle w:val="Bulletundernumberedlist"/>
      </w:pPr>
      <w:r w:rsidRPr="00493388">
        <w:t xml:space="preserve">Appointment and responsibilities of </w:t>
      </w:r>
      <w:r w:rsidR="0046369D">
        <w:t>CE</w:t>
      </w:r>
      <w:r w:rsidRPr="00493388">
        <w:t xml:space="preserve">, </w:t>
      </w:r>
      <w:r w:rsidR="005D58A4">
        <w:t>b</w:t>
      </w:r>
      <w:r w:rsidRPr="00493388">
        <w:t xml:space="preserve">oard and </w:t>
      </w:r>
      <w:r w:rsidR="0046369D">
        <w:t>c</w:t>
      </w:r>
      <w:r w:rsidRPr="00493388">
        <w:t>hair</w:t>
      </w:r>
      <w:r w:rsidR="00D85243">
        <w:t xml:space="preserve">: </w:t>
      </w:r>
    </w:p>
    <w:p w14:paraId="4DE9FB4E" w14:textId="77777777" w:rsidR="00D85243" w:rsidRPr="00D85243" w:rsidRDefault="003F56C6" w:rsidP="00D85243">
      <w:pPr>
        <w:pStyle w:val="Bulletundernumberedparagraph"/>
        <w:rPr>
          <w:rStyle w:val="Hyperlink"/>
          <w:color w:val="auto"/>
          <w:u w:val="none"/>
        </w:rPr>
      </w:pPr>
      <w:hyperlink r:id="rId60" w:history="1">
        <w:r w:rsidR="000D6615">
          <w:rPr>
            <w:rStyle w:val="Hyperlink"/>
          </w:rPr>
          <w:t>Public AppointmentsNo.-2-Order-in-Council-2019</w:t>
        </w:r>
      </w:hyperlink>
      <w:r w:rsidR="00D85243">
        <w:rPr>
          <w:rStyle w:val="Hyperlink"/>
        </w:rPr>
        <w:t xml:space="preserve">; </w:t>
      </w:r>
    </w:p>
    <w:p w14:paraId="2A0A4538" w14:textId="1E069457" w:rsidR="00D85243" w:rsidRDefault="003F56C6" w:rsidP="00D85243">
      <w:pPr>
        <w:pStyle w:val="Bulletundernumberedparagraph"/>
      </w:pPr>
      <w:hyperlink r:id="rId61" w:history="1">
        <w:r w:rsidR="000D6615" w:rsidRPr="00C7708D">
          <w:rPr>
            <w:rStyle w:val="Hyperlink"/>
          </w:rPr>
          <w:t>Governance Code on Public Appointments</w:t>
        </w:r>
      </w:hyperlink>
      <w:r w:rsidR="00493388" w:rsidRPr="00493388">
        <w:t>  </w:t>
      </w:r>
    </w:p>
    <w:p w14:paraId="5D408ABD" w14:textId="6CAD806D" w:rsidR="00D85243" w:rsidRPr="00D85243" w:rsidRDefault="003F56C6" w:rsidP="00D85243">
      <w:pPr>
        <w:pStyle w:val="Bulletundernumberedparagraph"/>
        <w:rPr>
          <w:rStyle w:val="Hyperlink"/>
          <w:color w:val="auto"/>
          <w:u w:val="none"/>
        </w:rPr>
      </w:pPr>
      <w:hyperlink r:id="rId62" w:history="1">
        <w:r w:rsidR="00F67EC0" w:rsidRPr="00C7708D">
          <w:rPr>
            <w:rStyle w:val="Hyperlink"/>
          </w:rPr>
          <w:t>The Seven Principles of Public Life</w:t>
        </w:r>
      </w:hyperlink>
      <w:r w:rsidR="00D85243">
        <w:rPr>
          <w:rStyle w:val="Hyperlink"/>
        </w:rPr>
        <w:t xml:space="preserve">; </w:t>
      </w:r>
    </w:p>
    <w:p w14:paraId="4F127820" w14:textId="7CADA319" w:rsidR="00493388" w:rsidRPr="00493388" w:rsidRDefault="003F56C6" w:rsidP="00D85243">
      <w:pPr>
        <w:pStyle w:val="Bulletundernumberedparagraph"/>
      </w:pPr>
      <w:hyperlink r:id="rId63" w:history="1">
        <w:r w:rsidR="00F67EC0" w:rsidRPr="00C7708D">
          <w:rPr>
            <w:rStyle w:val="Hyperlink"/>
          </w:rPr>
          <w:t>The Parliamentary and Health Service Ombudsman's principles of good administration</w:t>
        </w:r>
      </w:hyperlink>
    </w:p>
    <w:p w14:paraId="0B90AD88" w14:textId="77777777" w:rsidR="00D85243" w:rsidRDefault="00256FF1" w:rsidP="00D85243">
      <w:pPr>
        <w:pStyle w:val="Bulletundernumberedlist"/>
      </w:pPr>
      <w:r w:rsidRPr="00256FF1">
        <w:t>Individual board member responsibilities</w:t>
      </w:r>
      <w:r w:rsidR="00D85243">
        <w:t xml:space="preserve">: </w:t>
      </w:r>
    </w:p>
    <w:p w14:paraId="520C0E26" w14:textId="4D4C84D5" w:rsidR="00493388" w:rsidRDefault="003F56C6" w:rsidP="00D85243">
      <w:pPr>
        <w:pStyle w:val="Bulletundernumberedparagraph"/>
      </w:pPr>
      <w:hyperlink r:id="rId64" w:history="1">
        <w:r w:rsidR="00FF2616">
          <w:rPr>
            <w:rStyle w:val="Hyperlink"/>
          </w:rPr>
          <w:t>12 principles of governance for all public body NEDs</w:t>
        </w:r>
      </w:hyperlink>
    </w:p>
    <w:p w14:paraId="01EDCFD7" w14:textId="77777777" w:rsidR="00D85243" w:rsidRDefault="00493388" w:rsidP="00D85243">
      <w:pPr>
        <w:pStyle w:val="Bulletundernumberedlist"/>
      </w:pPr>
      <w:r w:rsidRPr="00493388">
        <w:t>Delegated and Spending authorities</w:t>
      </w:r>
      <w:r w:rsidR="00D85243">
        <w:t xml:space="preserve">:  </w:t>
      </w:r>
    </w:p>
    <w:p w14:paraId="09841F06" w14:textId="77777777" w:rsidR="00D85243" w:rsidRDefault="003F56C6" w:rsidP="00D85243">
      <w:pPr>
        <w:pStyle w:val="Bulletundernumberedparagraph"/>
      </w:pPr>
      <w:hyperlink r:id="rId65" w:history="1">
        <w:r w:rsidR="00F2101A" w:rsidRPr="00F2101A">
          <w:rPr>
            <w:rStyle w:val="Hyperlink"/>
          </w:rPr>
          <w:t>Managing Public Money</w:t>
        </w:r>
      </w:hyperlink>
      <w:r w:rsidR="00F2101A">
        <w:t xml:space="preserve"> </w:t>
      </w:r>
      <w:hyperlink r:id="rId66" w:tgtFrame="_blank" w:history="1">
        <w:r w:rsidR="00493388" w:rsidRPr="00493388">
          <w:t>Annex 2.2</w:t>
        </w:r>
      </w:hyperlink>
      <w:r w:rsidR="00493388" w:rsidRPr="00493388">
        <w:t> and other appropriate sections</w:t>
      </w:r>
      <w:r w:rsidR="00D85243">
        <w:t xml:space="preserve">; </w:t>
      </w:r>
    </w:p>
    <w:p w14:paraId="1D83A142" w14:textId="2AFEBC22" w:rsidR="00493388" w:rsidRPr="00493388" w:rsidRDefault="00493388" w:rsidP="00D85243">
      <w:pPr>
        <w:pStyle w:val="Bulletundernumberedparagraph"/>
      </w:pPr>
      <w:r w:rsidRPr="00493388">
        <w:t>DHSC Delegations letter </w:t>
      </w:r>
    </w:p>
    <w:p w14:paraId="53823502" w14:textId="77777777" w:rsidR="00D85243" w:rsidRDefault="00493388" w:rsidP="00D85243">
      <w:pPr>
        <w:pStyle w:val="Bulletundernumberedlist"/>
      </w:pPr>
      <w:r w:rsidRPr="00493388">
        <w:t>Procurement</w:t>
      </w:r>
      <w:r w:rsidR="00D85243">
        <w:t xml:space="preserve">: </w:t>
      </w:r>
    </w:p>
    <w:p w14:paraId="20966F97" w14:textId="77777777" w:rsidR="00D85243" w:rsidRDefault="003F56C6" w:rsidP="00D85243">
      <w:pPr>
        <w:pStyle w:val="Bulletundernumberedparagraph"/>
      </w:pPr>
      <w:hyperlink r:id="rId67" w:history="1">
        <w:r w:rsidR="00600461">
          <w:rPr>
            <w:rStyle w:val="Hyperlink"/>
          </w:rPr>
          <w:t>Commercial Operating Standards for Government</w:t>
        </w:r>
      </w:hyperlink>
      <w:r w:rsidR="00D85243">
        <w:rPr>
          <w:rStyle w:val="Hyperlink"/>
        </w:rPr>
        <w:t xml:space="preserve">; </w:t>
      </w:r>
      <w:hyperlink r:id="rId68" w:tgtFrame="_blank" w:history="1"/>
      <w:r w:rsidR="00493388" w:rsidRPr="00493388">
        <w:t> </w:t>
      </w:r>
    </w:p>
    <w:p w14:paraId="2F965599" w14:textId="77777777" w:rsidR="00D85243" w:rsidRPr="00D85243" w:rsidRDefault="003F56C6" w:rsidP="00D85243">
      <w:pPr>
        <w:pStyle w:val="Bulletundernumberedparagraph"/>
        <w:rPr>
          <w:rStyle w:val="Hyperlink"/>
          <w:color w:val="auto"/>
          <w:u w:val="none"/>
        </w:rPr>
      </w:pPr>
      <w:hyperlink r:id="rId69" w:history="1">
        <w:r w:rsidR="00714CB0">
          <w:rPr>
            <w:rStyle w:val="Hyperlink"/>
          </w:rPr>
          <w:t>Grants Standards</w:t>
        </w:r>
      </w:hyperlink>
      <w:r w:rsidR="00D85243">
        <w:rPr>
          <w:rStyle w:val="Hyperlink"/>
        </w:rPr>
        <w:t xml:space="preserve">; </w:t>
      </w:r>
    </w:p>
    <w:p w14:paraId="1CF25BD3" w14:textId="4643BC29" w:rsidR="00493388" w:rsidRDefault="003F56C6" w:rsidP="00D85243">
      <w:pPr>
        <w:pStyle w:val="Bulletundernumberedparagraph"/>
      </w:pPr>
      <w:hyperlink r:id="rId70" w:history="1">
        <w:r w:rsidR="00A37281">
          <w:rPr>
            <w:rStyle w:val="Hyperlink"/>
          </w:rPr>
          <w:t>The Public Contract Regulations 2015</w:t>
        </w:r>
      </w:hyperlink>
    </w:p>
    <w:p w14:paraId="19592EA8" w14:textId="77777777" w:rsidR="00D85243" w:rsidRDefault="00493388" w:rsidP="00D85243">
      <w:pPr>
        <w:pStyle w:val="Bulletundernumberedlist"/>
      </w:pPr>
      <w:r w:rsidRPr="00493388">
        <w:t>Risk Management</w:t>
      </w:r>
      <w:r w:rsidR="00D85243">
        <w:t xml:space="preserve">: </w:t>
      </w:r>
    </w:p>
    <w:p w14:paraId="1A23886C" w14:textId="7F87D73D" w:rsidR="00493388" w:rsidRDefault="00493388" w:rsidP="00D85243">
      <w:pPr>
        <w:pStyle w:val="Bulletundernumberedparagraph"/>
      </w:pPr>
      <w:r w:rsidRPr="00493388">
        <w:t>Management of Risk Principles and Concepts </w:t>
      </w:r>
      <w:r w:rsidR="004762AA">
        <w:t xml:space="preserve"> -</w:t>
      </w:r>
      <w:r w:rsidRPr="00493388">
        <w:t> </w:t>
      </w:r>
      <w:hyperlink r:id="rId71" w:history="1">
        <w:r w:rsidR="009B06E5">
          <w:rPr>
            <w:rStyle w:val="Hyperlink"/>
          </w:rPr>
          <w:t>Orange Book</w:t>
        </w:r>
      </w:hyperlink>
    </w:p>
    <w:p w14:paraId="62C0F48D" w14:textId="77777777" w:rsidR="00D85243" w:rsidRDefault="00493388" w:rsidP="00D85243">
      <w:pPr>
        <w:pStyle w:val="Bulletundernumberedlist"/>
      </w:pPr>
      <w:r w:rsidRPr="00493388">
        <w:t>Counter Fraud and Theft</w:t>
      </w:r>
      <w:r w:rsidR="00D85243">
        <w:t xml:space="preserve">: </w:t>
      </w:r>
    </w:p>
    <w:p w14:paraId="51C56E3E" w14:textId="32A9E20C" w:rsidR="00493388" w:rsidRPr="00493388" w:rsidRDefault="003F56C6" w:rsidP="00D85243">
      <w:pPr>
        <w:pStyle w:val="Bulletundernumberedparagraph"/>
      </w:pPr>
      <w:hyperlink r:id="rId72" w:history="1">
        <w:r w:rsidR="00C1253A" w:rsidRPr="00C7708D">
          <w:rPr>
            <w:rStyle w:val="Hyperlink"/>
          </w:rPr>
          <w:t>Government Functional Standard: Fraud</w:t>
        </w:r>
        <w:r w:rsidR="00D85243">
          <w:rPr>
            <w:rStyle w:val="Hyperlink"/>
          </w:rPr>
          <w:t xml:space="preserve">; </w:t>
        </w:r>
        <w:r w:rsidR="00C1253A" w:rsidRPr="00C7708D">
          <w:rPr>
            <w:rStyle w:val="Hyperlink"/>
          </w:rPr>
          <w:t> </w:t>
        </w:r>
      </w:hyperlink>
      <w:hyperlink r:id="rId73" w:history="1">
        <w:r w:rsidR="00C1253A" w:rsidRPr="00C1253A">
          <w:rPr>
            <w:rStyle w:val="Hyperlink"/>
          </w:rPr>
          <w:t>Managing Public Money</w:t>
        </w:r>
      </w:hyperlink>
      <w:r w:rsidR="00C1253A">
        <w:t xml:space="preserve"> </w:t>
      </w:r>
      <w:r w:rsidR="00493388" w:rsidRPr="00493388">
        <w:t>Fraud annex 4.9</w:t>
      </w:r>
    </w:p>
    <w:p w14:paraId="7F27C8E8" w14:textId="77777777" w:rsidR="00D85243" w:rsidRDefault="00493388" w:rsidP="00D85243">
      <w:pPr>
        <w:pStyle w:val="Bulletundernumberedlist"/>
      </w:pPr>
      <w:r w:rsidRPr="00493388">
        <w:t>Human Resources</w:t>
      </w:r>
      <w:r w:rsidR="00D85243">
        <w:t xml:space="preserve">: </w:t>
      </w:r>
    </w:p>
    <w:p w14:paraId="0C9412C3" w14:textId="77777777" w:rsidR="00D85243" w:rsidRPr="00D85243" w:rsidRDefault="00493388" w:rsidP="00D85243">
      <w:pPr>
        <w:pStyle w:val="Bulletundernumberedparagraph"/>
        <w:rPr>
          <w:rStyle w:val="Hyperlink"/>
          <w:color w:val="auto"/>
          <w:u w:val="none"/>
        </w:rPr>
      </w:pPr>
      <w:r w:rsidRPr="00493388">
        <w:t>DHSC </w:t>
      </w:r>
      <w:hyperlink r:id="rId74" w:history="1">
        <w:r w:rsidR="00517BE6">
          <w:rPr>
            <w:rStyle w:val="Hyperlink"/>
          </w:rPr>
          <w:t>Pay Framework for Very Senior Managers</w:t>
        </w:r>
      </w:hyperlink>
      <w:r w:rsidR="00D85243">
        <w:rPr>
          <w:rStyle w:val="Hyperlink"/>
        </w:rPr>
        <w:t xml:space="preserve">; </w:t>
      </w:r>
    </w:p>
    <w:p w14:paraId="54C4D21E" w14:textId="77777777" w:rsidR="00D85243" w:rsidRPr="00D85243" w:rsidRDefault="00493388" w:rsidP="00D85243">
      <w:pPr>
        <w:pStyle w:val="Bulletundernumberedparagraph"/>
        <w:rPr>
          <w:rStyle w:val="Hyperlink"/>
          <w:color w:val="auto"/>
          <w:u w:val="none"/>
        </w:rPr>
      </w:pPr>
      <w:r w:rsidRPr="00493388">
        <w:t>Pay and conditions of service  </w:t>
      </w:r>
      <w:hyperlink r:id="rId75" w:tgtFrame="_blank" w:history="1">
        <w:r w:rsidRPr="00493388">
          <w:t>Civil service management code</w:t>
        </w:r>
      </w:hyperlink>
      <w:r w:rsidRPr="00493388">
        <w:t> </w:t>
      </w:r>
      <w:hyperlink r:id="rId76" w:history="1">
        <w:r w:rsidR="00513AD6">
          <w:rPr>
            <w:rStyle w:val="Hyperlink"/>
          </w:rPr>
          <w:t>Civil Service Management Code</w:t>
        </w:r>
      </w:hyperlink>
      <w:r w:rsidR="00D85243">
        <w:rPr>
          <w:rStyle w:val="Hyperlink"/>
        </w:rPr>
        <w:t xml:space="preserve">; </w:t>
      </w:r>
    </w:p>
    <w:p w14:paraId="1285B6E4" w14:textId="2BC57827" w:rsidR="00D85243" w:rsidRPr="00D85243" w:rsidRDefault="003F56C6" w:rsidP="00D85243">
      <w:pPr>
        <w:pStyle w:val="Bulletundernumberedparagraph"/>
        <w:rPr>
          <w:rStyle w:val="Hyperlink"/>
          <w:color w:val="auto"/>
          <w:u w:val="none"/>
        </w:rPr>
      </w:pPr>
      <w:hyperlink r:id="rId77" w:history="1">
        <w:r w:rsidR="00DC30E8" w:rsidRPr="00C7708D">
          <w:rPr>
            <w:rStyle w:val="Hyperlink"/>
          </w:rPr>
          <w:t>Guidance for approval of senior pay</w:t>
        </w:r>
      </w:hyperlink>
      <w:r w:rsidR="00493388" w:rsidRPr="00493388">
        <w:t> </w:t>
      </w:r>
      <w:hyperlink r:id="rId78" w:history="1">
        <w:r w:rsidR="00DC30E8">
          <w:rPr>
            <w:rStyle w:val="Hyperlink"/>
          </w:rPr>
          <w:t>senior civil service pay and reward</w:t>
        </w:r>
      </w:hyperlink>
      <w:r w:rsidR="00D85243">
        <w:rPr>
          <w:rStyle w:val="Hyperlink"/>
        </w:rPr>
        <w:t xml:space="preserve">; </w:t>
      </w:r>
    </w:p>
    <w:p w14:paraId="7DB79F22" w14:textId="219DA245" w:rsidR="00D85243" w:rsidRPr="00D85243" w:rsidRDefault="00493388" w:rsidP="00D85243">
      <w:pPr>
        <w:pStyle w:val="Bulletundernumberedparagraph"/>
        <w:rPr>
          <w:rStyle w:val="Hyperlink"/>
          <w:color w:val="auto"/>
          <w:u w:val="none"/>
        </w:rPr>
      </w:pPr>
      <w:r w:rsidRPr="00493388">
        <w:t xml:space="preserve">Public Bodies: A Guide for </w:t>
      </w:r>
      <w:r w:rsidR="00B976E5">
        <w:t>d</w:t>
      </w:r>
      <w:r w:rsidRPr="00493388">
        <w:t>epartments </w:t>
      </w:r>
      <w:hyperlink r:id="rId79" w:history="1">
        <w:r w:rsidR="00806266">
          <w:rPr>
            <w:rStyle w:val="Hyperlink"/>
          </w:rPr>
          <w:t>Chapter 5</w:t>
        </w:r>
      </w:hyperlink>
      <w:r w:rsidR="00D85243">
        <w:rPr>
          <w:rStyle w:val="Hyperlink"/>
        </w:rPr>
        <w:t xml:space="preserve">;  </w:t>
      </w:r>
    </w:p>
    <w:p w14:paraId="10985FE0" w14:textId="77777777" w:rsidR="00D85243" w:rsidRDefault="00493388" w:rsidP="00D85243">
      <w:pPr>
        <w:pStyle w:val="Bulletundernumberedparagraph"/>
      </w:pPr>
      <w:r w:rsidRPr="00493388">
        <w:t>Public Sector pay and terms: </w:t>
      </w:r>
      <w:hyperlink r:id="rId80" w:tgtFrame="_blank" w:history="1">
        <w:r w:rsidRPr="00493388">
          <w:t>guidance note</w:t>
        </w:r>
      </w:hyperlink>
      <w:r w:rsidRPr="00493388">
        <w:t> </w:t>
      </w:r>
      <w:hyperlink r:id="rId81" w:history="1">
        <w:r w:rsidR="00165280">
          <w:rPr>
            <w:rStyle w:val="Hyperlink"/>
          </w:rPr>
          <w:t>Guidance Note</w:t>
        </w:r>
      </w:hyperlink>
      <w:r w:rsidR="00D85243">
        <w:rPr>
          <w:rStyle w:val="Hyperlink"/>
        </w:rPr>
        <w:t xml:space="preserve">; </w:t>
      </w:r>
      <w:hyperlink r:id="rId82" w:history="1">
        <w:r w:rsidR="00165280" w:rsidRPr="00165280">
          <w:rPr>
            <w:rStyle w:val="Hyperlink"/>
          </w:rPr>
          <w:t>Managing Public Money</w:t>
        </w:r>
      </w:hyperlink>
      <w:r w:rsidR="00165280">
        <w:t xml:space="preserve"> </w:t>
      </w:r>
    </w:p>
    <w:p w14:paraId="1656F7AA" w14:textId="5034B1DE" w:rsidR="00493388" w:rsidRPr="00493388" w:rsidRDefault="00493388" w:rsidP="00D85243">
      <w:pPr>
        <w:pStyle w:val="Bulletundernumberedparagraph"/>
      </w:pPr>
      <w:r w:rsidRPr="00493388">
        <w:t>Proposals on severance rules chapter 4   </w:t>
      </w:r>
      <w:r w:rsidR="00D85243">
        <w:t xml:space="preserve"> </w:t>
      </w:r>
    </w:p>
    <w:p w14:paraId="2D3ED533" w14:textId="77777777" w:rsidR="00493388" w:rsidRPr="00493388" w:rsidRDefault="00493388" w:rsidP="00D85243">
      <w:pPr>
        <w:pStyle w:val="Bulletundernumberedlist"/>
      </w:pPr>
      <w:r w:rsidRPr="00493388">
        <w:lastRenderedPageBreak/>
        <w:t>Finance (Banking and Managing Cash, Annual report and accounts, Audit) </w:t>
      </w:r>
    </w:p>
    <w:p w14:paraId="5E85CD02" w14:textId="7889672B" w:rsidR="00493388" w:rsidRPr="00493388" w:rsidRDefault="00493388" w:rsidP="0063419E">
      <w:pPr>
        <w:pStyle w:val="Bulletundernumberedparagraph"/>
      </w:pPr>
      <w:r w:rsidRPr="00493388">
        <w:t>Government Financial Reporting </w:t>
      </w:r>
      <w:hyperlink r:id="rId83" w:tgtFrame="_blank" w:history="1">
        <w:r w:rsidRPr="00493388">
          <w:t>Manual</w:t>
        </w:r>
      </w:hyperlink>
      <w:r w:rsidR="00586C23">
        <w:t xml:space="preserve"> (</w:t>
      </w:r>
      <w:hyperlink r:id="rId84" w:history="1">
        <w:r w:rsidR="00586C23" w:rsidRPr="00586C23">
          <w:rPr>
            <w:rStyle w:val="Hyperlink"/>
          </w:rPr>
          <w:t>FReM</w:t>
        </w:r>
      </w:hyperlink>
      <w:r w:rsidR="00586C23">
        <w:t>)</w:t>
      </w:r>
    </w:p>
    <w:p w14:paraId="4E16AA81" w14:textId="72BFEBCB" w:rsidR="00493388" w:rsidRPr="00493388" w:rsidRDefault="003F56C6" w:rsidP="0063419E">
      <w:pPr>
        <w:pStyle w:val="Bulletundernumberedparagraph"/>
      </w:pPr>
      <w:hyperlink r:id="rId85" w:history="1">
        <w:r w:rsidR="00586C23" w:rsidRPr="00586C23">
          <w:rPr>
            <w:rStyle w:val="Hyperlink"/>
          </w:rPr>
          <w:t>Public Sector Internal Audit Standards</w:t>
        </w:r>
      </w:hyperlink>
      <w:r w:rsidR="00586C23">
        <w:t xml:space="preserve"> </w:t>
      </w:r>
      <w:r w:rsidR="00493388" w:rsidRPr="00493388">
        <w:t>(PSIAS) </w:t>
      </w:r>
    </w:p>
    <w:p w14:paraId="5697FC77" w14:textId="5FA2537D" w:rsidR="00493388" w:rsidRPr="00493388" w:rsidRDefault="003F56C6" w:rsidP="0063419E">
      <w:pPr>
        <w:pStyle w:val="Bulletundernumberedparagraph"/>
      </w:pPr>
      <w:hyperlink r:id="rId86" w:history="1">
        <w:r w:rsidR="00165280" w:rsidRPr="00165280">
          <w:rPr>
            <w:rStyle w:val="Hyperlink"/>
          </w:rPr>
          <w:t>Managing Public Money</w:t>
        </w:r>
      </w:hyperlink>
      <w:r w:rsidR="00440665">
        <w:t xml:space="preserve"> </w:t>
      </w:r>
      <w:r w:rsidR="00493388" w:rsidRPr="00493388">
        <w:t>Fees and Charges Guide, Chapter 6</w:t>
      </w:r>
      <w:r w:rsidR="00440665" w:rsidRPr="00493388">
        <w:t xml:space="preserve"> </w:t>
      </w:r>
    </w:p>
    <w:p w14:paraId="0AF29D9D" w14:textId="77777777" w:rsidR="00440665" w:rsidRPr="00440665" w:rsidRDefault="003F56C6" w:rsidP="00DB556E">
      <w:pPr>
        <w:pStyle w:val="Bulletundernumberedparagraph"/>
        <w:rPr>
          <w:lang w:val="en-US"/>
        </w:rPr>
      </w:pPr>
      <w:hyperlink r:id="rId87" w:history="1">
        <w:r w:rsidR="00165280" w:rsidRPr="00165280">
          <w:rPr>
            <w:rStyle w:val="Hyperlink"/>
          </w:rPr>
          <w:t>Managing Public Money</w:t>
        </w:r>
      </w:hyperlink>
      <w:r w:rsidR="00440665">
        <w:t xml:space="preserve"> </w:t>
      </w:r>
      <w:r w:rsidR="00493388" w:rsidRPr="00493388">
        <w:t>Banking and managing cash Annex 5.6</w:t>
      </w:r>
    </w:p>
    <w:p w14:paraId="3B505F09" w14:textId="493C05AD" w:rsidR="00493388" w:rsidRPr="00440665" w:rsidRDefault="00493388" w:rsidP="00DB556E">
      <w:pPr>
        <w:pStyle w:val="Bulletundernumberedparagraph"/>
        <w:rPr>
          <w:lang w:val="en-US"/>
        </w:rPr>
      </w:pPr>
      <w:r w:rsidRPr="00493388">
        <w:t xml:space="preserve">Relevant </w:t>
      </w:r>
      <w:hyperlink r:id="rId88" w:history="1">
        <w:r w:rsidR="00F16D98" w:rsidRPr="00F16D98">
          <w:rPr>
            <w:rStyle w:val="Hyperlink"/>
          </w:rPr>
          <w:t>DAO Letters</w:t>
        </w:r>
      </w:hyperlink>
    </w:p>
    <w:p w14:paraId="51D903F5" w14:textId="77777777" w:rsidR="00493388" w:rsidRPr="00493388" w:rsidRDefault="00493388" w:rsidP="00493388">
      <w:pPr>
        <w:rPr>
          <w:lang w:val="en-US"/>
        </w:rPr>
      </w:pPr>
      <w:r w:rsidRPr="00493388">
        <w:rPr>
          <w:lang w:val="en-US"/>
        </w:rPr>
        <w:t> </w:t>
      </w:r>
    </w:p>
    <w:p w14:paraId="0D79A214" w14:textId="77777777" w:rsidR="00493388" w:rsidRPr="00493388" w:rsidRDefault="00493388" w:rsidP="00D85243">
      <w:pPr>
        <w:pStyle w:val="Bulletundernumberedlist"/>
      </w:pPr>
      <w:r w:rsidRPr="00493388">
        <w:t>Arrangements in the event that the ALB is wound up </w:t>
      </w:r>
    </w:p>
    <w:p w14:paraId="0E4B851A" w14:textId="3766F1CE" w:rsidR="00493388" w:rsidRDefault="00493388" w:rsidP="0063419E">
      <w:pPr>
        <w:pStyle w:val="Bulletundernumberedparagraph"/>
      </w:pPr>
      <w:r w:rsidRPr="00493388">
        <w:t xml:space="preserve">Public Bodies: A Guide for </w:t>
      </w:r>
      <w:r w:rsidR="00B976E5">
        <w:t>d</w:t>
      </w:r>
      <w:r w:rsidRPr="00493388">
        <w:t>epartments</w:t>
      </w:r>
      <w:r w:rsidR="00A02975">
        <w:t xml:space="preserve"> </w:t>
      </w:r>
      <w:hyperlink r:id="rId89" w:history="1">
        <w:r w:rsidR="00495BED">
          <w:rPr>
            <w:rStyle w:val="Hyperlink"/>
          </w:rPr>
          <w:t>Chapter 10</w:t>
        </w:r>
      </w:hyperlink>
    </w:p>
    <w:p w14:paraId="023DF3E4" w14:textId="03574348" w:rsidR="00493388" w:rsidRPr="00493388" w:rsidRDefault="00333F27" w:rsidP="001D4185">
      <w:pPr>
        <w:pStyle w:val="Heading3"/>
      </w:pPr>
      <w:r>
        <w:t xml:space="preserve">DHSC </w:t>
      </w:r>
      <w:r w:rsidR="00487775">
        <w:t>s</w:t>
      </w:r>
      <w:r>
        <w:t xml:space="preserve">pecific </w:t>
      </w:r>
      <w:r w:rsidR="00493388" w:rsidRPr="00493388">
        <w:t> </w:t>
      </w:r>
    </w:p>
    <w:p w14:paraId="3BCD76A2" w14:textId="77777777" w:rsidR="00493388" w:rsidRPr="00493388" w:rsidRDefault="00493388" w:rsidP="00D85243">
      <w:pPr>
        <w:pStyle w:val="Bulletundernumberedlist"/>
      </w:pPr>
      <w:r w:rsidRPr="00493388">
        <w:t>Estates and Sustainability </w:t>
      </w:r>
    </w:p>
    <w:p w14:paraId="544CEF2E" w14:textId="27D08F9B" w:rsidR="00493388" w:rsidRDefault="003F56C6" w:rsidP="0063419E">
      <w:pPr>
        <w:pStyle w:val="Bulletundernumberedparagraph"/>
      </w:pPr>
      <w:hyperlink r:id="rId90" w:history="1">
        <w:r w:rsidR="00A02975">
          <w:rPr>
            <w:rStyle w:val="Hyperlink"/>
          </w:rPr>
          <w:t>Greening Government Commitment targets</w:t>
        </w:r>
      </w:hyperlink>
    </w:p>
    <w:p w14:paraId="268098BF" w14:textId="77777777" w:rsidR="00493388" w:rsidRPr="00493388" w:rsidRDefault="00493388" w:rsidP="0063419E">
      <w:pPr>
        <w:pStyle w:val="Bulletundernumberedparagraph"/>
      </w:pPr>
      <w:r w:rsidRPr="00493388">
        <w:t>Government Property Unit National Property Controls and standards for office accommodation (available from DHSC) </w:t>
      </w:r>
    </w:p>
    <w:p w14:paraId="2E70937B" w14:textId="4B3FD4B2" w:rsidR="00493388" w:rsidRPr="00493388" w:rsidRDefault="00493388" w:rsidP="0063419E">
      <w:pPr>
        <w:pStyle w:val="Bulletundernumberedparagraph"/>
      </w:pPr>
      <w:r w:rsidRPr="00493388">
        <w:t>The D</w:t>
      </w:r>
      <w:r w:rsidR="00B976E5">
        <w:t>HSC</w:t>
      </w:r>
      <w:r w:rsidRPr="00493388">
        <w:t xml:space="preserve"> Property Asset Management procedures</w:t>
      </w:r>
    </w:p>
    <w:p w14:paraId="2FD6A316" w14:textId="77777777" w:rsidR="00493388" w:rsidRPr="00493388" w:rsidRDefault="00493388" w:rsidP="00D85243">
      <w:pPr>
        <w:pStyle w:val="Bulletundernumberedlist"/>
      </w:pPr>
      <w:r w:rsidRPr="00493388">
        <w:t>Information Governance and Security </w:t>
      </w:r>
    </w:p>
    <w:p w14:paraId="583B4ED2" w14:textId="42FEFA4B" w:rsidR="00493388" w:rsidRDefault="00493388" w:rsidP="0063419E">
      <w:pPr>
        <w:pStyle w:val="Bulletundernumberedparagraph"/>
      </w:pPr>
      <w:r w:rsidRPr="00493388">
        <w:t>The NHS </w:t>
      </w:r>
      <w:hyperlink r:id="rId91" w:history="1">
        <w:r w:rsidR="0015055F">
          <w:rPr>
            <w:rStyle w:val="Hyperlink"/>
          </w:rPr>
          <w:t>Information Governance toolkit</w:t>
        </w:r>
      </w:hyperlink>
    </w:p>
    <w:p w14:paraId="764BA13B" w14:textId="77777777" w:rsidR="00493388" w:rsidRPr="00493388" w:rsidRDefault="00493388" w:rsidP="0063419E">
      <w:pPr>
        <w:pStyle w:val="Bulletundernumberedparagraph"/>
      </w:pPr>
      <w:r w:rsidRPr="00493388">
        <w:t>HMG IA Standard No. 6: Protecting Personal Data and Managing Information Risk (available from DH) </w:t>
      </w:r>
    </w:p>
    <w:p w14:paraId="4E75578F" w14:textId="018A8DF0" w:rsidR="00493388" w:rsidRDefault="00493388" w:rsidP="0063419E">
      <w:pPr>
        <w:pStyle w:val="Bulletundernumberedparagraph"/>
      </w:pPr>
      <w:r w:rsidRPr="00493388">
        <w:t>HM Government’s </w:t>
      </w:r>
      <w:hyperlink r:id="rId92" w:tgtFrame="_blank" w:history="1">
        <w:r w:rsidRPr="00493388">
          <w:t>Security Policy Framework</w:t>
        </w:r>
      </w:hyperlink>
      <w:r w:rsidRPr="00493388">
        <w:t> </w:t>
      </w:r>
      <w:hyperlink r:id="rId93" w:history="1">
        <w:r w:rsidR="00CC02AF">
          <w:rPr>
            <w:rStyle w:val="Hyperlink"/>
          </w:rPr>
          <w:t>Security Policy Framework</w:t>
        </w:r>
      </w:hyperlink>
    </w:p>
    <w:p w14:paraId="06ACDDFF" w14:textId="620E290A" w:rsidR="00493388" w:rsidRDefault="003F56C6" w:rsidP="0063419E">
      <w:pPr>
        <w:pStyle w:val="Bulletundernumberedparagraph"/>
      </w:pPr>
      <w:hyperlink r:id="rId94" w:history="1">
        <w:r w:rsidR="00737B67">
          <w:rPr>
            <w:rStyle w:val="Hyperlink"/>
          </w:rPr>
          <w:t>Information Security Management NHS code of practice</w:t>
        </w:r>
      </w:hyperlink>
    </w:p>
    <w:p w14:paraId="30CD3955" w14:textId="71BCF9EC" w:rsidR="00493388" w:rsidRDefault="003F56C6" w:rsidP="0063419E">
      <w:pPr>
        <w:pStyle w:val="Bulletundernumberedparagraph"/>
      </w:pPr>
      <w:hyperlink r:id="rId95" w:history="1">
        <w:r w:rsidR="00737B67">
          <w:rPr>
            <w:rStyle w:val="Hyperlink"/>
          </w:rPr>
          <w:t>Confidentiality NHS Code of Practice</w:t>
        </w:r>
      </w:hyperlink>
    </w:p>
    <w:p w14:paraId="4C1D4679" w14:textId="447832E3" w:rsidR="00493388" w:rsidRDefault="003F56C6" w:rsidP="0063419E">
      <w:pPr>
        <w:pStyle w:val="Bulletundernumberedparagraph"/>
      </w:pPr>
      <w:hyperlink r:id="rId96" w:anchor=":~:text=The%20Records%20Management%20Code%20of%20Practice%20provides%20a,provision%20has%20an%20element%20of%20NHS%20funded%20care" w:history="1">
        <w:r w:rsidR="00067266">
          <w:rPr>
            <w:rStyle w:val="Hyperlink"/>
          </w:rPr>
          <w:t>NHS Records Management Code of Practice</w:t>
        </w:r>
      </w:hyperlink>
      <w:r w:rsidR="00067266" w:rsidRPr="00067266">
        <w:t>.</w:t>
      </w:r>
    </w:p>
    <w:p w14:paraId="52451A23" w14:textId="20B85F6F" w:rsidR="00227DD6" w:rsidRDefault="003F56C6" w:rsidP="0063419E">
      <w:pPr>
        <w:pStyle w:val="Bulletundernumberedparagraph"/>
      </w:pPr>
      <w:hyperlink r:id="rId97" w:history="1">
        <w:r w:rsidR="00227DD6">
          <w:rPr>
            <w:rStyle w:val="Hyperlink"/>
          </w:rPr>
          <w:t>NHS Data Security Protection Toolkit</w:t>
        </w:r>
      </w:hyperlink>
    </w:p>
    <w:p w14:paraId="1A256C92" w14:textId="235770B1" w:rsidR="00493388" w:rsidRPr="00493388" w:rsidRDefault="00493388" w:rsidP="00D85243">
      <w:pPr>
        <w:pStyle w:val="Bulletundernumberedlist"/>
      </w:pPr>
      <w:r w:rsidRPr="00493388">
        <w:lastRenderedPageBreak/>
        <w:t>Transparency </w:t>
      </w:r>
    </w:p>
    <w:p w14:paraId="28C2E3FF" w14:textId="0550353E" w:rsidR="00493388" w:rsidRPr="00493388" w:rsidRDefault="00493388" w:rsidP="0063419E">
      <w:pPr>
        <w:pStyle w:val="Bulletundernumberedparagraph"/>
      </w:pPr>
      <w:r w:rsidRPr="00493388">
        <w:t>Appropriate sections  </w:t>
      </w:r>
      <w:hyperlink r:id="rId98" w:history="1">
        <w:r w:rsidR="00AC2493" w:rsidRPr="00AC2493">
          <w:rPr>
            <w:rStyle w:val="Hyperlink"/>
          </w:rPr>
          <w:t>Managing Public Money</w:t>
        </w:r>
      </w:hyperlink>
    </w:p>
    <w:p w14:paraId="3B2FE2E6" w14:textId="4D466399" w:rsidR="00493388" w:rsidRPr="00493388" w:rsidRDefault="00493388" w:rsidP="00DB556E">
      <w:pPr>
        <w:pStyle w:val="Bulletundernumberedparagraph"/>
      </w:pPr>
      <w:r w:rsidRPr="00493388">
        <w:t xml:space="preserve">Appropriate sections of </w:t>
      </w:r>
      <w:r w:rsidR="001C5F55">
        <w:t xml:space="preserve">this </w:t>
      </w:r>
      <w:r w:rsidRPr="00493388">
        <w:t>Framework Agreement </w:t>
      </w:r>
      <w:r w:rsidR="001C5F55">
        <w:t>(including C</w:t>
      </w:r>
      <w:r w:rsidRPr="00493388">
        <w:t>ommunications </w:t>
      </w:r>
      <w:r w:rsidR="001C5F55">
        <w:t>r</w:t>
      </w:r>
      <w:r w:rsidRPr="00493388">
        <w:t>esponsibilities</w:t>
      </w:r>
      <w:r w:rsidR="001C5F55">
        <w:t>)</w:t>
      </w:r>
    </w:p>
    <w:p w14:paraId="268EC9D4" w14:textId="77777777" w:rsidR="00493388" w:rsidRPr="00005B63" w:rsidRDefault="00493388" w:rsidP="00493388">
      <w:pPr>
        <w:pStyle w:val="ParagraphText-numbered"/>
        <w:numPr>
          <w:ilvl w:val="0"/>
          <w:numId w:val="0"/>
        </w:numPr>
        <w:ind w:left="142"/>
      </w:pPr>
    </w:p>
    <w:p w14:paraId="1DED4C48" w14:textId="2E7E77D2" w:rsidR="002A3CE4" w:rsidRDefault="002A3CE4">
      <w:pPr>
        <w:rPr>
          <w:b/>
          <w:sz w:val="48"/>
        </w:rPr>
      </w:pPr>
    </w:p>
    <w:p w14:paraId="4F3B5A1D" w14:textId="77777777" w:rsidR="007F0A05" w:rsidRPr="007F0A05" w:rsidRDefault="007F0A05" w:rsidP="00AD4DD5">
      <w:pPr>
        <w:pStyle w:val="Heading1-numbered"/>
        <w:numPr>
          <w:ilvl w:val="0"/>
          <w:numId w:val="0"/>
        </w:numPr>
        <w:sectPr w:rsidR="007F0A05" w:rsidRPr="007F0A05" w:rsidSect="009123FB">
          <w:type w:val="continuous"/>
          <w:pgSz w:w="11906" w:h="16838" w:code="9"/>
          <w:pgMar w:top="1644" w:right="1134" w:bottom="1134" w:left="1134" w:header="567" w:footer="567" w:gutter="0"/>
          <w:cols w:space="720"/>
        </w:sectPr>
      </w:pPr>
    </w:p>
    <w:p w14:paraId="32FCF0AA" w14:textId="666A05A4" w:rsidR="007623AA" w:rsidRPr="00242B95" w:rsidRDefault="007623AA" w:rsidP="00242B95">
      <w:pPr>
        <w:pStyle w:val="ParagraphText-unnumbered"/>
      </w:pPr>
      <w:r w:rsidRPr="00242B95">
        <w:lastRenderedPageBreak/>
        <w:t>© Crown copyright 20</w:t>
      </w:r>
      <w:r w:rsidR="00146B83">
        <w:t>2</w:t>
      </w:r>
      <w:r w:rsidR="00EA178C">
        <w:t>2</w:t>
      </w:r>
    </w:p>
    <w:p w14:paraId="2CA97357" w14:textId="77777777" w:rsidR="00BA20EF" w:rsidRPr="00242B95" w:rsidRDefault="00BA20EF" w:rsidP="00242B95">
      <w:pPr>
        <w:pStyle w:val="ParagraphText-unnumbered"/>
      </w:pPr>
      <w:r w:rsidRPr="00242B95">
        <w:t xml:space="preserve">Published to GOV.UK </w:t>
      </w:r>
      <w:r w:rsidR="00A926BF" w:rsidRPr="00242B95">
        <w:t>in pdf format only.</w:t>
      </w:r>
    </w:p>
    <w:p w14:paraId="7BBA9250" w14:textId="145C8F13" w:rsidR="00A926BF" w:rsidRPr="00242B95" w:rsidRDefault="00146B83" w:rsidP="00242B95">
      <w:pPr>
        <w:pStyle w:val="ParagraphText-unnumbered"/>
      </w:pPr>
      <w:r>
        <w:t xml:space="preserve">NHS Policy and Performance Group, Workforce Directorate, NHS Workforce: Education, Modernisation and Funding Branch </w:t>
      </w:r>
      <w:r w:rsidR="00A926BF" w:rsidRPr="00242B95">
        <w:t>h]</w:t>
      </w:r>
    </w:p>
    <w:p w14:paraId="3F8C12BB" w14:textId="54B5AA3E" w:rsidR="00A926BF" w:rsidRPr="00242B95" w:rsidRDefault="003F56C6" w:rsidP="00242B95">
      <w:pPr>
        <w:pStyle w:val="ParagraphText-unnumbered"/>
      </w:pPr>
      <w:hyperlink r:id="rId99" w:history="1">
        <w:r w:rsidR="007D6CAD" w:rsidRPr="008E3A31">
          <w:rPr>
            <w:rStyle w:val="Hyperlink"/>
          </w:rPr>
          <w:t>www.gov.uk/dhsc</w:t>
        </w:r>
      </w:hyperlink>
    </w:p>
    <w:p w14:paraId="7BB75996" w14:textId="77777777" w:rsidR="007623AA" w:rsidRPr="00242B95" w:rsidRDefault="003C6A9E" w:rsidP="00242B95">
      <w:pPr>
        <w:pStyle w:val="ParagraphText-unnumbered"/>
      </w:pPr>
      <w:r w:rsidRPr="00242B95">
        <w:t>This publication is licensed under the terms of the Open Government Licence v3.0 except where otherwise stated. To</w:t>
      </w:r>
      <w:r w:rsidR="00D55154" w:rsidRPr="00242B95">
        <w:t> </w:t>
      </w:r>
      <w:r w:rsidRPr="00242B95">
        <w:t xml:space="preserve">view this licence, visit </w:t>
      </w:r>
      <w:hyperlink r:id="rId100" w:history="1">
        <w:r w:rsidRPr="00242B95">
          <w:rPr>
            <w:rStyle w:val="Hyperlink"/>
          </w:rPr>
          <w:t>nationalarchives.gov.uk/doc/open-government-licence/version/3</w:t>
        </w:r>
      </w:hyperlink>
    </w:p>
    <w:p w14:paraId="43F4BE89" w14:textId="77777777" w:rsidR="00A926BF" w:rsidRPr="00242B95" w:rsidRDefault="007623AA" w:rsidP="00242B95">
      <w:pPr>
        <w:pStyle w:val="ParagraphText-unnumbered"/>
      </w:pPr>
      <w:r w:rsidRPr="00242B95">
        <w:t>Where we have identified any third party copyright information you will need to obtain permission from the copyright holders</w:t>
      </w:r>
      <w:r w:rsidR="00D55154" w:rsidRPr="00242B95">
        <w:t> </w:t>
      </w:r>
      <w:r w:rsidRPr="00242B95">
        <w:t>concerned.</w:t>
      </w:r>
    </w:p>
    <w:p w14:paraId="1F3E6F1B" w14:textId="77777777" w:rsidR="00AC35F9" w:rsidRDefault="00AC35F9" w:rsidP="00B41681">
      <w:pPr>
        <w:pStyle w:val="ParagraphText-unnumbered"/>
      </w:pPr>
      <w:r w:rsidRPr="00B41681">
        <w:rPr>
          <w:noProof/>
        </w:rPr>
        <w:drawing>
          <wp:anchor distT="0" distB="0" distL="114300" distR="114300" simplePos="0" relativeHeight="251658241" behindDoc="0" locked="0" layoutInCell="1" allowOverlap="1" wp14:anchorId="364AC9F5" wp14:editId="6E329311">
            <wp:simplePos x="0" y="0"/>
            <wp:positionH relativeFrom="margin">
              <wp:align>left</wp:align>
            </wp:positionH>
            <wp:positionV relativeFrom="paragraph">
              <wp:posOffset>24765</wp:posOffset>
            </wp:positionV>
            <wp:extent cx="771525" cy="381000"/>
            <wp:effectExtent l="0" t="0" r="0" b="0"/>
            <wp:wrapSquare wrapText="bothSides"/>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1069" w14:textId="77777777" w:rsidR="00AC35F9" w:rsidRDefault="00AC35F9" w:rsidP="00B41681">
      <w:pPr>
        <w:pStyle w:val="ParagraphText-unnumbered"/>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A3B5" w14:textId="77777777" w:rsidR="00D13D9F" w:rsidRDefault="00D13D9F"/>
  </w:endnote>
  <w:endnote w:type="continuationSeparator" w:id="0">
    <w:p w14:paraId="2267C9AB" w14:textId="77777777" w:rsidR="00D13D9F" w:rsidRDefault="00D13D9F">
      <w:r>
        <w:continuationSeparator/>
      </w:r>
    </w:p>
    <w:p w14:paraId="02B070E1" w14:textId="77777777" w:rsidR="00D13D9F" w:rsidRDefault="00D13D9F"/>
    <w:p w14:paraId="45E70D5A" w14:textId="77777777" w:rsidR="00D13D9F" w:rsidRDefault="00D13D9F"/>
  </w:endnote>
  <w:endnote w:type="continuationNotice" w:id="1">
    <w:p w14:paraId="0787174B" w14:textId="77777777" w:rsidR="00D13D9F" w:rsidRDefault="00D13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4278" w14:textId="77777777" w:rsidR="00920C71" w:rsidRDefault="00920C71" w:rsidP="009123FB">
    <w:pPr>
      <w:pStyle w:val="Footer"/>
    </w:pPr>
    <w:r>
      <w:fldChar w:fldCharType="begin"/>
    </w:r>
    <w:r>
      <w:instrText xml:space="preserve">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E93" w14:textId="77777777" w:rsidR="00920C71" w:rsidRDefault="00920C71" w:rsidP="009123FB">
    <w:pPr>
      <w:pStyle w:val="Footer"/>
    </w:pPr>
    <w:r>
      <w:fldChar w:fldCharType="begin"/>
    </w:r>
    <w:r>
      <w:instrText xml:space="preserve">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A06A" w14:textId="77777777" w:rsidR="00D13D9F" w:rsidRDefault="00D13D9F">
      <w:r>
        <w:separator/>
      </w:r>
    </w:p>
    <w:p w14:paraId="7D47E051" w14:textId="77777777" w:rsidR="00D13D9F" w:rsidRDefault="00D13D9F" w:rsidP="005D25DC"/>
  </w:footnote>
  <w:footnote w:type="continuationSeparator" w:id="0">
    <w:p w14:paraId="38E93009" w14:textId="77777777" w:rsidR="00D13D9F" w:rsidRDefault="00D13D9F">
      <w:r>
        <w:continuationSeparator/>
      </w:r>
    </w:p>
    <w:p w14:paraId="64E48BF4" w14:textId="77777777" w:rsidR="00D13D9F" w:rsidRDefault="00D13D9F"/>
    <w:p w14:paraId="2EDA02CF" w14:textId="77777777" w:rsidR="00D13D9F" w:rsidRDefault="00D13D9F"/>
  </w:footnote>
  <w:footnote w:type="continuationNotice" w:id="1">
    <w:p w14:paraId="33097C7E" w14:textId="77777777" w:rsidR="00D13D9F" w:rsidRDefault="00D13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6226" w14:textId="6ACF82EF" w:rsidR="00920C71" w:rsidRDefault="00920C71" w:rsidP="00242B95">
    <w:pPr>
      <w:pStyle w:val="Header"/>
    </w:pPr>
    <w:r>
      <w:t>DHSC and HEE Framework Agreement 202</w:t>
    </w:r>
    <w:r w:rsidR="0024768D">
      <w:t>2-2025</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920C71" w14:paraId="40A3A066" w14:textId="77777777" w:rsidTr="00B20670">
      <w:trPr>
        <w:trHeight w:val="1695"/>
      </w:trPr>
      <w:tc>
        <w:tcPr>
          <w:tcW w:w="4814" w:type="dxa"/>
          <w:vAlign w:val="bottom"/>
        </w:tcPr>
        <w:p w14:paraId="69A122B8" w14:textId="77777777" w:rsidR="00920C71" w:rsidRDefault="00920C71" w:rsidP="00242B95">
          <w:pPr>
            <w:pStyle w:val="Header"/>
          </w:pPr>
        </w:p>
      </w:tc>
      <w:tc>
        <w:tcPr>
          <w:tcW w:w="4814" w:type="dxa"/>
          <w:vAlign w:val="bottom"/>
        </w:tcPr>
        <w:p w14:paraId="65BDE268" w14:textId="77777777" w:rsidR="00920C71" w:rsidRPr="00242B95" w:rsidRDefault="00920C71" w:rsidP="00242B95">
          <w:pPr>
            <w:pStyle w:val="Header"/>
          </w:pPr>
        </w:p>
      </w:tc>
    </w:tr>
  </w:tbl>
  <w:p w14:paraId="604D431E" w14:textId="77777777" w:rsidR="00920C71" w:rsidRPr="00242B95" w:rsidRDefault="00920C71" w:rsidP="00242B95">
    <w:pPr>
      <w:pStyle w:val="Header"/>
    </w:pPr>
    <w:r w:rsidRPr="00242B95">
      <w:rPr>
        <w:noProof/>
      </w:rPr>
      <w:drawing>
        <wp:anchor distT="0" distB="0" distL="114300" distR="114300" simplePos="0" relativeHeight="251658240" behindDoc="1" locked="1" layoutInCell="0" allowOverlap="1" wp14:anchorId="7C9662AD" wp14:editId="305494C3">
          <wp:simplePos x="0" y="0"/>
          <wp:positionH relativeFrom="page">
            <wp:align>center</wp:align>
          </wp:positionH>
          <wp:positionV relativeFrom="page">
            <wp:align>top</wp:align>
          </wp:positionV>
          <wp:extent cx="75600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B84"/>
    <w:multiLevelType w:val="hybridMultilevel"/>
    <w:tmpl w:val="FBCC6A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CC4354"/>
    <w:multiLevelType w:val="hybridMultilevel"/>
    <w:tmpl w:val="5C3CDFF0"/>
    <w:lvl w:ilvl="0" w:tplc="08090001">
      <w:start w:val="1"/>
      <w:numFmt w:val="bullet"/>
      <w:lvlText w:val=""/>
      <w:lvlJc w:val="left"/>
      <w:pPr>
        <w:ind w:left="360" w:hanging="360"/>
      </w:pPr>
      <w:rPr>
        <w:rFonts w:ascii="Symbol" w:hAnsi="Symbol" w:hint="default"/>
      </w:rPr>
    </w:lvl>
    <w:lvl w:ilvl="1" w:tplc="3CA4D6A0">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FF734A"/>
    <w:multiLevelType w:val="hybridMultilevel"/>
    <w:tmpl w:val="7BF604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F8806C4"/>
    <w:multiLevelType w:val="multilevel"/>
    <w:tmpl w:val="8280D22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720"/>
        </w:tabs>
        <w:ind w:left="720" w:hanging="96"/>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0AF39F0"/>
    <w:multiLevelType w:val="multilevel"/>
    <w:tmpl w:val="BE6483E6"/>
    <w:lvl w:ilvl="0">
      <w:start w:val="1"/>
      <w:numFmt w:val="decimal"/>
      <w:pStyle w:val="Heading1-numbered"/>
      <w:lvlText w:val="%1."/>
      <w:lvlJc w:val="left"/>
      <w:pPr>
        <w:ind w:left="2695" w:hanging="851"/>
      </w:pPr>
      <w:rPr>
        <w:rFonts w:hint="default"/>
      </w:rPr>
    </w:lvl>
    <w:lvl w:ilvl="1">
      <w:start w:val="1"/>
      <w:numFmt w:val="decimal"/>
      <w:pStyle w:val="ParagraphText-numbered"/>
      <w:lvlText w:val="%1.%2"/>
      <w:lvlJc w:val="left"/>
      <w:pPr>
        <w:ind w:left="993"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3545AB"/>
    <w:multiLevelType w:val="multilevel"/>
    <w:tmpl w:val="DD187482"/>
    <w:lvl w:ilvl="0">
      <w:start w:val="1"/>
      <w:numFmt w:val="bullet"/>
      <w:lvlText w:val=""/>
      <w:lvlJc w:val="left"/>
      <w:pPr>
        <w:tabs>
          <w:tab w:val="num" w:pos="567"/>
        </w:tabs>
        <w:ind w:left="567" w:hanging="567"/>
      </w:pPr>
      <w:rPr>
        <w:rFonts w:ascii="Symbol" w:hAnsi="Symbol" w:hint="default"/>
        <w:b w:val="0"/>
        <w:bCs/>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720"/>
        </w:tabs>
        <w:ind w:left="720" w:hanging="96"/>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4"/>
  </w:num>
  <w:num w:numId="6">
    <w:abstractNumId w:val="10"/>
  </w:num>
  <w:num w:numId="7">
    <w:abstractNumId w:val="10"/>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defaultTabStop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F"/>
    <w:rsid w:val="00002FCC"/>
    <w:rsid w:val="000034A2"/>
    <w:rsid w:val="00004434"/>
    <w:rsid w:val="00005B63"/>
    <w:rsid w:val="00012205"/>
    <w:rsid w:val="000126EC"/>
    <w:rsid w:val="00016D59"/>
    <w:rsid w:val="000221CB"/>
    <w:rsid w:val="00023158"/>
    <w:rsid w:val="00024DAA"/>
    <w:rsid w:val="00026A3D"/>
    <w:rsid w:val="0002724C"/>
    <w:rsid w:val="00031C97"/>
    <w:rsid w:val="00034435"/>
    <w:rsid w:val="00042BE8"/>
    <w:rsid w:val="00043146"/>
    <w:rsid w:val="000431A0"/>
    <w:rsid w:val="000503D2"/>
    <w:rsid w:val="00051296"/>
    <w:rsid w:val="000538FB"/>
    <w:rsid w:val="00056E4E"/>
    <w:rsid w:val="000611F2"/>
    <w:rsid w:val="00063CD4"/>
    <w:rsid w:val="00064437"/>
    <w:rsid w:val="0006713C"/>
    <w:rsid w:val="00067266"/>
    <w:rsid w:val="00071540"/>
    <w:rsid w:val="00071AA3"/>
    <w:rsid w:val="00073AED"/>
    <w:rsid w:val="000740A8"/>
    <w:rsid w:val="00074F90"/>
    <w:rsid w:val="00077BCE"/>
    <w:rsid w:val="00080FE5"/>
    <w:rsid w:val="000818AE"/>
    <w:rsid w:val="00082208"/>
    <w:rsid w:val="0008385D"/>
    <w:rsid w:val="00087E7C"/>
    <w:rsid w:val="0009257A"/>
    <w:rsid w:val="000A0449"/>
    <w:rsid w:val="000A0774"/>
    <w:rsid w:val="000A1D1A"/>
    <w:rsid w:val="000A240B"/>
    <w:rsid w:val="000A3EAD"/>
    <w:rsid w:val="000A4877"/>
    <w:rsid w:val="000A4E7C"/>
    <w:rsid w:val="000A7E41"/>
    <w:rsid w:val="000B152E"/>
    <w:rsid w:val="000B29B1"/>
    <w:rsid w:val="000B4FE5"/>
    <w:rsid w:val="000B5930"/>
    <w:rsid w:val="000B5DD1"/>
    <w:rsid w:val="000B6590"/>
    <w:rsid w:val="000B71E4"/>
    <w:rsid w:val="000B7EDA"/>
    <w:rsid w:val="000C0E1C"/>
    <w:rsid w:val="000C1AEE"/>
    <w:rsid w:val="000C391E"/>
    <w:rsid w:val="000C3FCE"/>
    <w:rsid w:val="000C4E44"/>
    <w:rsid w:val="000D139A"/>
    <w:rsid w:val="000D23B1"/>
    <w:rsid w:val="000D3CC2"/>
    <w:rsid w:val="000D4FF7"/>
    <w:rsid w:val="000D6615"/>
    <w:rsid w:val="000E7D50"/>
    <w:rsid w:val="000F14DB"/>
    <w:rsid w:val="000F2E74"/>
    <w:rsid w:val="000F397E"/>
    <w:rsid w:val="000F4F08"/>
    <w:rsid w:val="000F77DE"/>
    <w:rsid w:val="00102551"/>
    <w:rsid w:val="0010626C"/>
    <w:rsid w:val="0011196F"/>
    <w:rsid w:val="00113099"/>
    <w:rsid w:val="0011423C"/>
    <w:rsid w:val="001142BC"/>
    <w:rsid w:val="00117502"/>
    <w:rsid w:val="00120951"/>
    <w:rsid w:val="00121BC3"/>
    <w:rsid w:val="0012520B"/>
    <w:rsid w:val="001257FF"/>
    <w:rsid w:val="0012628F"/>
    <w:rsid w:val="00127F6D"/>
    <w:rsid w:val="00130B57"/>
    <w:rsid w:val="001318CF"/>
    <w:rsid w:val="00133374"/>
    <w:rsid w:val="00133554"/>
    <w:rsid w:val="00134565"/>
    <w:rsid w:val="001358C7"/>
    <w:rsid w:val="00135B48"/>
    <w:rsid w:val="0013672B"/>
    <w:rsid w:val="00136AF7"/>
    <w:rsid w:val="00137FBC"/>
    <w:rsid w:val="001445F6"/>
    <w:rsid w:val="00146B83"/>
    <w:rsid w:val="00146BE4"/>
    <w:rsid w:val="0015055F"/>
    <w:rsid w:val="001509C3"/>
    <w:rsid w:val="00150E95"/>
    <w:rsid w:val="00156240"/>
    <w:rsid w:val="00165280"/>
    <w:rsid w:val="00165CE1"/>
    <w:rsid w:val="00165D3D"/>
    <w:rsid w:val="00167760"/>
    <w:rsid w:val="00170C54"/>
    <w:rsid w:val="0017259A"/>
    <w:rsid w:val="001728ED"/>
    <w:rsid w:val="00175D82"/>
    <w:rsid w:val="00176576"/>
    <w:rsid w:val="001768E5"/>
    <w:rsid w:val="00177A3B"/>
    <w:rsid w:val="001821CF"/>
    <w:rsid w:val="0018293F"/>
    <w:rsid w:val="001839E1"/>
    <w:rsid w:val="00191623"/>
    <w:rsid w:val="00193F3E"/>
    <w:rsid w:val="00194BB9"/>
    <w:rsid w:val="00195728"/>
    <w:rsid w:val="00196398"/>
    <w:rsid w:val="0019670E"/>
    <w:rsid w:val="001A54F0"/>
    <w:rsid w:val="001B17AB"/>
    <w:rsid w:val="001B17DD"/>
    <w:rsid w:val="001B424E"/>
    <w:rsid w:val="001B4DD0"/>
    <w:rsid w:val="001B79B1"/>
    <w:rsid w:val="001B7EF1"/>
    <w:rsid w:val="001C221E"/>
    <w:rsid w:val="001C2E08"/>
    <w:rsid w:val="001C38A4"/>
    <w:rsid w:val="001C4A27"/>
    <w:rsid w:val="001C4BDA"/>
    <w:rsid w:val="001C5C86"/>
    <w:rsid w:val="001C5F55"/>
    <w:rsid w:val="001C6408"/>
    <w:rsid w:val="001C75CB"/>
    <w:rsid w:val="001D016E"/>
    <w:rsid w:val="001D01DD"/>
    <w:rsid w:val="001D045E"/>
    <w:rsid w:val="001D4185"/>
    <w:rsid w:val="001D4809"/>
    <w:rsid w:val="001D5E42"/>
    <w:rsid w:val="001E2741"/>
    <w:rsid w:val="001E2C84"/>
    <w:rsid w:val="001E3152"/>
    <w:rsid w:val="001E6161"/>
    <w:rsid w:val="001E6439"/>
    <w:rsid w:val="001E7FEE"/>
    <w:rsid w:val="001F06D6"/>
    <w:rsid w:val="001F2EF6"/>
    <w:rsid w:val="001F3779"/>
    <w:rsid w:val="00201259"/>
    <w:rsid w:val="00204CCE"/>
    <w:rsid w:val="002073BF"/>
    <w:rsid w:val="00207C79"/>
    <w:rsid w:val="00211451"/>
    <w:rsid w:val="00211D12"/>
    <w:rsid w:val="002134A9"/>
    <w:rsid w:val="00213A73"/>
    <w:rsid w:val="00214E24"/>
    <w:rsid w:val="00216BEB"/>
    <w:rsid w:val="002175BC"/>
    <w:rsid w:val="00224CDB"/>
    <w:rsid w:val="00226FBB"/>
    <w:rsid w:val="00227482"/>
    <w:rsid w:val="00227AEF"/>
    <w:rsid w:val="00227DD6"/>
    <w:rsid w:val="00231523"/>
    <w:rsid w:val="002357D5"/>
    <w:rsid w:val="00240BEE"/>
    <w:rsid w:val="00242243"/>
    <w:rsid w:val="002424EC"/>
    <w:rsid w:val="002426F3"/>
    <w:rsid w:val="00242B95"/>
    <w:rsid w:val="002431C1"/>
    <w:rsid w:val="00246E37"/>
    <w:rsid w:val="0024768D"/>
    <w:rsid w:val="00256FF1"/>
    <w:rsid w:val="00257B0A"/>
    <w:rsid w:val="00257B21"/>
    <w:rsid w:val="00257DDD"/>
    <w:rsid w:val="0026245A"/>
    <w:rsid w:val="00264581"/>
    <w:rsid w:val="00273916"/>
    <w:rsid w:val="0027434C"/>
    <w:rsid w:val="00274CA4"/>
    <w:rsid w:val="00274FBD"/>
    <w:rsid w:val="0027601C"/>
    <w:rsid w:val="00276DF7"/>
    <w:rsid w:val="00283BCC"/>
    <w:rsid w:val="0028411D"/>
    <w:rsid w:val="00284EB0"/>
    <w:rsid w:val="00285103"/>
    <w:rsid w:val="00287002"/>
    <w:rsid w:val="00290A26"/>
    <w:rsid w:val="00291843"/>
    <w:rsid w:val="002921E9"/>
    <w:rsid w:val="00293A74"/>
    <w:rsid w:val="0029473E"/>
    <w:rsid w:val="00294818"/>
    <w:rsid w:val="00297562"/>
    <w:rsid w:val="002A0143"/>
    <w:rsid w:val="002A1863"/>
    <w:rsid w:val="002A3CE4"/>
    <w:rsid w:val="002A656E"/>
    <w:rsid w:val="002A67AA"/>
    <w:rsid w:val="002A7441"/>
    <w:rsid w:val="002B08A9"/>
    <w:rsid w:val="002B43CF"/>
    <w:rsid w:val="002C1009"/>
    <w:rsid w:val="002C1A6B"/>
    <w:rsid w:val="002C250A"/>
    <w:rsid w:val="002C5046"/>
    <w:rsid w:val="002C6E54"/>
    <w:rsid w:val="002D068E"/>
    <w:rsid w:val="002D0FC5"/>
    <w:rsid w:val="002D20E4"/>
    <w:rsid w:val="002D2749"/>
    <w:rsid w:val="002E1D86"/>
    <w:rsid w:val="002E54D6"/>
    <w:rsid w:val="002E6977"/>
    <w:rsid w:val="002F091D"/>
    <w:rsid w:val="002F0CDA"/>
    <w:rsid w:val="002F16E0"/>
    <w:rsid w:val="002F1D69"/>
    <w:rsid w:val="002F2444"/>
    <w:rsid w:val="002F5D8B"/>
    <w:rsid w:val="002F6028"/>
    <w:rsid w:val="002F6577"/>
    <w:rsid w:val="002F6DA0"/>
    <w:rsid w:val="003006E4"/>
    <w:rsid w:val="003049F1"/>
    <w:rsid w:val="003077A9"/>
    <w:rsid w:val="00311D8E"/>
    <w:rsid w:val="00313CC3"/>
    <w:rsid w:val="003144D1"/>
    <w:rsid w:val="003158FF"/>
    <w:rsid w:val="0031680E"/>
    <w:rsid w:val="00317848"/>
    <w:rsid w:val="0032042A"/>
    <w:rsid w:val="00322DC9"/>
    <w:rsid w:val="003232E0"/>
    <w:rsid w:val="00323730"/>
    <w:rsid w:val="0032672F"/>
    <w:rsid w:val="0033113E"/>
    <w:rsid w:val="00331F08"/>
    <w:rsid w:val="003323B9"/>
    <w:rsid w:val="00333193"/>
    <w:rsid w:val="00333F27"/>
    <w:rsid w:val="00334DD1"/>
    <w:rsid w:val="0033552C"/>
    <w:rsid w:val="00336755"/>
    <w:rsid w:val="00336CFA"/>
    <w:rsid w:val="00337A77"/>
    <w:rsid w:val="0034092D"/>
    <w:rsid w:val="00341BC5"/>
    <w:rsid w:val="0034233F"/>
    <w:rsid w:val="00343CC9"/>
    <w:rsid w:val="003464AC"/>
    <w:rsid w:val="003540DC"/>
    <w:rsid w:val="003545DA"/>
    <w:rsid w:val="00357A0B"/>
    <w:rsid w:val="00362C91"/>
    <w:rsid w:val="00363950"/>
    <w:rsid w:val="003657E8"/>
    <w:rsid w:val="0037507E"/>
    <w:rsid w:val="00375B8E"/>
    <w:rsid w:val="0037673B"/>
    <w:rsid w:val="00376A10"/>
    <w:rsid w:val="00382AFF"/>
    <w:rsid w:val="00383097"/>
    <w:rsid w:val="00384183"/>
    <w:rsid w:val="00384A4F"/>
    <w:rsid w:val="00386D59"/>
    <w:rsid w:val="00391A42"/>
    <w:rsid w:val="003924F8"/>
    <w:rsid w:val="00392643"/>
    <w:rsid w:val="00393B70"/>
    <w:rsid w:val="0039567E"/>
    <w:rsid w:val="003A053F"/>
    <w:rsid w:val="003A2A11"/>
    <w:rsid w:val="003A2A22"/>
    <w:rsid w:val="003A3420"/>
    <w:rsid w:val="003A494D"/>
    <w:rsid w:val="003A7580"/>
    <w:rsid w:val="003A7BD1"/>
    <w:rsid w:val="003A7CAA"/>
    <w:rsid w:val="003B2E37"/>
    <w:rsid w:val="003B3DEB"/>
    <w:rsid w:val="003B64AD"/>
    <w:rsid w:val="003C2383"/>
    <w:rsid w:val="003C2392"/>
    <w:rsid w:val="003C6A9E"/>
    <w:rsid w:val="003D2018"/>
    <w:rsid w:val="003D31E9"/>
    <w:rsid w:val="003D4006"/>
    <w:rsid w:val="003D48F7"/>
    <w:rsid w:val="003D69E0"/>
    <w:rsid w:val="003E3C7D"/>
    <w:rsid w:val="003E6D1F"/>
    <w:rsid w:val="003F4828"/>
    <w:rsid w:val="003F56C6"/>
    <w:rsid w:val="003F5A8C"/>
    <w:rsid w:val="003F5F75"/>
    <w:rsid w:val="00401C8B"/>
    <w:rsid w:val="0041132F"/>
    <w:rsid w:val="00412E9E"/>
    <w:rsid w:val="00416D4E"/>
    <w:rsid w:val="00417473"/>
    <w:rsid w:val="00417A3E"/>
    <w:rsid w:val="004214E8"/>
    <w:rsid w:val="004217D8"/>
    <w:rsid w:val="004224FE"/>
    <w:rsid w:val="0042351B"/>
    <w:rsid w:val="004309F3"/>
    <w:rsid w:val="00434EE6"/>
    <w:rsid w:val="0044007B"/>
    <w:rsid w:val="00440665"/>
    <w:rsid w:val="00444B08"/>
    <w:rsid w:val="00444CF9"/>
    <w:rsid w:val="004457A3"/>
    <w:rsid w:val="00447BB5"/>
    <w:rsid w:val="00450D8C"/>
    <w:rsid w:val="004513E9"/>
    <w:rsid w:val="00454DD8"/>
    <w:rsid w:val="00456AEA"/>
    <w:rsid w:val="00462DF9"/>
    <w:rsid w:val="0046369D"/>
    <w:rsid w:val="00464749"/>
    <w:rsid w:val="0046494A"/>
    <w:rsid w:val="00467DC2"/>
    <w:rsid w:val="00470AAC"/>
    <w:rsid w:val="0047103C"/>
    <w:rsid w:val="00471175"/>
    <w:rsid w:val="00474650"/>
    <w:rsid w:val="004762AA"/>
    <w:rsid w:val="00477301"/>
    <w:rsid w:val="00480A14"/>
    <w:rsid w:val="00483680"/>
    <w:rsid w:val="004852A9"/>
    <w:rsid w:val="00487775"/>
    <w:rsid w:val="00493388"/>
    <w:rsid w:val="004949DC"/>
    <w:rsid w:val="00494B4F"/>
    <w:rsid w:val="00495BED"/>
    <w:rsid w:val="00497B4D"/>
    <w:rsid w:val="004A1797"/>
    <w:rsid w:val="004A373C"/>
    <w:rsid w:val="004B0A08"/>
    <w:rsid w:val="004B17A2"/>
    <w:rsid w:val="004B58E3"/>
    <w:rsid w:val="004B6BA6"/>
    <w:rsid w:val="004B7203"/>
    <w:rsid w:val="004C161C"/>
    <w:rsid w:val="004C201F"/>
    <w:rsid w:val="004C2C21"/>
    <w:rsid w:val="004C4618"/>
    <w:rsid w:val="004C6349"/>
    <w:rsid w:val="004C77A0"/>
    <w:rsid w:val="004D0B87"/>
    <w:rsid w:val="004D20FD"/>
    <w:rsid w:val="004D31CA"/>
    <w:rsid w:val="004D4676"/>
    <w:rsid w:val="004D4A9B"/>
    <w:rsid w:val="004D71E8"/>
    <w:rsid w:val="004E160B"/>
    <w:rsid w:val="004E239A"/>
    <w:rsid w:val="004E4E67"/>
    <w:rsid w:val="004E6648"/>
    <w:rsid w:val="004E6A8A"/>
    <w:rsid w:val="004E6AF6"/>
    <w:rsid w:val="004F0584"/>
    <w:rsid w:val="004F1A04"/>
    <w:rsid w:val="004F6CA1"/>
    <w:rsid w:val="004F7872"/>
    <w:rsid w:val="004F7B35"/>
    <w:rsid w:val="00502FDF"/>
    <w:rsid w:val="005048F1"/>
    <w:rsid w:val="005066CF"/>
    <w:rsid w:val="00506B8C"/>
    <w:rsid w:val="00506D55"/>
    <w:rsid w:val="0050737F"/>
    <w:rsid w:val="00513783"/>
    <w:rsid w:val="00513AD6"/>
    <w:rsid w:val="00517BE6"/>
    <w:rsid w:val="00517E8C"/>
    <w:rsid w:val="00521591"/>
    <w:rsid w:val="00526F03"/>
    <w:rsid w:val="00530EAB"/>
    <w:rsid w:val="005326F0"/>
    <w:rsid w:val="00533259"/>
    <w:rsid w:val="00533DF1"/>
    <w:rsid w:val="00533E0F"/>
    <w:rsid w:val="00534654"/>
    <w:rsid w:val="005363C0"/>
    <w:rsid w:val="00536B84"/>
    <w:rsid w:val="00540922"/>
    <w:rsid w:val="005414E5"/>
    <w:rsid w:val="005503EC"/>
    <w:rsid w:val="0055399F"/>
    <w:rsid w:val="005553BA"/>
    <w:rsid w:val="0055546F"/>
    <w:rsid w:val="005567B7"/>
    <w:rsid w:val="00561C37"/>
    <w:rsid w:val="00563667"/>
    <w:rsid w:val="00564813"/>
    <w:rsid w:val="00564C99"/>
    <w:rsid w:val="00567462"/>
    <w:rsid w:val="00570031"/>
    <w:rsid w:val="0057209E"/>
    <w:rsid w:val="005746C7"/>
    <w:rsid w:val="00575995"/>
    <w:rsid w:val="00576578"/>
    <w:rsid w:val="0058393D"/>
    <w:rsid w:val="00583B61"/>
    <w:rsid w:val="0058495A"/>
    <w:rsid w:val="00585000"/>
    <w:rsid w:val="00586C23"/>
    <w:rsid w:val="0059216F"/>
    <w:rsid w:val="00593E8B"/>
    <w:rsid w:val="00595DEF"/>
    <w:rsid w:val="00596C42"/>
    <w:rsid w:val="00597CB3"/>
    <w:rsid w:val="005A0C60"/>
    <w:rsid w:val="005A1B52"/>
    <w:rsid w:val="005A3D1F"/>
    <w:rsid w:val="005A5C75"/>
    <w:rsid w:val="005B2F9D"/>
    <w:rsid w:val="005B41CF"/>
    <w:rsid w:val="005B59DE"/>
    <w:rsid w:val="005B71EC"/>
    <w:rsid w:val="005B7B0A"/>
    <w:rsid w:val="005C0351"/>
    <w:rsid w:val="005C119B"/>
    <w:rsid w:val="005C2A90"/>
    <w:rsid w:val="005C2B5E"/>
    <w:rsid w:val="005C31FC"/>
    <w:rsid w:val="005C4297"/>
    <w:rsid w:val="005C46DC"/>
    <w:rsid w:val="005C6D6E"/>
    <w:rsid w:val="005C6FCA"/>
    <w:rsid w:val="005D0AEA"/>
    <w:rsid w:val="005D25D3"/>
    <w:rsid w:val="005D25DC"/>
    <w:rsid w:val="005D58A4"/>
    <w:rsid w:val="005D728B"/>
    <w:rsid w:val="005D78D6"/>
    <w:rsid w:val="005E0844"/>
    <w:rsid w:val="005E0B9B"/>
    <w:rsid w:val="005E158C"/>
    <w:rsid w:val="005E3D29"/>
    <w:rsid w:val="005E48EC"/>
    <w:rsid w:val="005E4CD6"/>
    <w:rsid w:val="005F0D1C"/>
    <w:rsid w:val="005F103E"/>
    <w:rsid w:val="005F2117"/>
    <w:rsid w:val="005F3743"/>
    <w:rsid w:val="00600461"/>
    <w:rsid w:val="00600F03"/>
    <w:rsid w:val="00601F41"/>
    <w:rsid w:val="00604CF2"/>
    <w:rsid w:val="00605D13"/>
    <w:rsid w:val="00606843"/>
    <w:rsid w:val="00606A89"/>
    <w:rsid w:val="006172E1"/>
    <w:rsid w:val="00623727"/>
    <w:rsid w:val="006250CB"/>
    <w:rsid w:val="0063419E"/>
    <w:rsid w:val="006351A9"/>
    <w:rsid w:val="00636B4C"/>
    <w:rsid w:val="0064259F"/>
    <w:rsid w:val="00644A07"/>
    <w:rsid w:val="0065051E"/>
    <w:rsid w:val="006514DC"/>
    <w:rsid w:val="00654C97"/>
    <w:rsid w:val="00657112"/>
    <w:rsid w:val="0066473B"/>
    <w:rsid w:val="00671385"/>
    <w:rsid w:val="006748A6"/>
    <w:rsid w:val="00675130"/>
    <w:rsid w:val="00687B0D"/>
    <w:rsid w:val="00691EAA"/>
    <w:rsid w:val="00692CBB"/>
    <w:rsid w:val="006957E1"/>
    <w:rsid w:val="006A104F"/>
    <w:rsid w:val="006A178D"/>
    <w:rsid w:val="006A1C28"/>
    <w:rsid w:val="006A2245"/>
    <w:rsid w:val="006A6D51"/>
    <w:rsid w:val="006B07DF"/>
    <w:rsid w:val="006B0B68"/>
    <w:rsid w:val="006B25BF"/>
    <w:rsid w:val="006C320A"/>
    <w:rsid w:val="006D14F1"/>
    <w:rsid w:val="006D271D"/>
    <w:rsid w:val="006D42FE"/>
    <w:rsid w:val="006D7502"/>
    <w:rsid w:val="006E35B7"/>
    <w:rsid w:val="006E3645"/>
    <w:rsid w:val="006E554D"/>
    <w:rsid w:val="006E7031"/>
    <w:rsid w:val="006F0A77"/>
    <w:rsid w:val="006F1EF5"/>
    <w:rsid w:val="006F2F60"/>
    <w:rsid w:val="006F3024"/>
    <w:rsid w:val="006F3418"/>
    <w:rsid w:val="006F5A64"/>
    <w:rsid w:val="00705281"/>
    <w:rsid w:val="00705F8F"/>
    <w:rsid w:val="00711CF3"/>
    <w:rsid w:val="00711FEE"/>
    <w:rsid w:val="007126CB"/>
    <w:rsid w:val="007130CA"/>
    <w:rsid w:val="00714352"/>
    <w:rsid w:val="00714CB0"/>
    <w:rsid w:val="00714D60"/>
    <w:rsid w:val="007154AE"/>
    <w:rsid w:val="00720BBD"/>
    <w:rsid w:val="00721237"/>
    <w:rsid w:val="007263B9"/>
    <w:rsid w:val="00726C35"/>
    <w:rsid w:val="0072743F"/>
    <w:rsid w:val="00727AA3"/>
    <w:rsid w:val="00731C07"/>
    <w:rsid w:val="00732812"/>
    <w:rsid w:val="00734113"/>
    <w:rsid w:val="00736DE4"/>
    <w:rsid w:val="00737547"/>
    <w:rsid w:val="00737B67"/>
    <w:rsid w:val="00740D8C"/>
    <w:rsid w:val="00741895"/>
    <w:rsid w:val="0074246C"/>
    <w:rsid w:val="00742CB7"/>
    <w:rsid w:val="007435F2"/>
    <w:rsid w:val="0074572A"/>
    <w:rsid w:val="0075288E"/>
    <w:rsid w:val="00754F81"/>
    <w:rsid w:val="0075507C"/>
    <w:rsid w:val="00755F94"/>
    <w:rsid w:val="00757370"/>
    <w:rsid w:val="007623AA"/>
    <w:rsid w:val="007671F3"/>
    <w:rsid w:val="00771AD1"/>
    <w:rsid w:val="00771C5B"/>
    <w:rsid w:val="007720B5"/>
    <w:rsid w:val="00775CA0"/>
    <w:rsid w:val="00776655"/>
    <w:rsid w:val="00780FC6"/>
    <w:rsid w:val="007811FF"/>
    <w:rsid w:val="00782D5A"/>
    <w:rsid w:val="00783782"/>
    <w:rsid w:val="00783966"/>
    <w:rsid w:val="00783C2E"/>
    <w:rsid w:val="007868C8"/>
    <w:rsid w:val="00786F28"/>
    <w:rsid w:val="00792F01"/>
    <w:rsid w:val="00793E5B"/>
    <w:rsid w:val="007A0E01"/>
    <w:rsid w:val="007A1442"/>
    <w:rsid w:val="007A4EB1"/>
    <w:rsid w:val="007A6703"/>
    <w:rsid w:val="007A7CFA"/>
    <w:rsid w:val="007B67F4"/>
    <w:rsid w:val="007B79CA"/>
    <w:rsid w:val="007C221D"/>
    <w:rsid w:val="007C3BEC"/>
    <w:rsid w:val="007C49D8"/>
    <w:rsid w:val="007C4F62"/>
    <w:rsid w:val="007C7960"/>
    <w:rsid w:val="007D0A4B"/>
    <w:rsid w:val="007D4E81"/>
    <w:rsid w:val="007D6CAD"/>
    <w:rsid w:val="007D71E2"/>
    <w:rsid w:val="007E43F9"/>
    <w:rsid w:val="007F0778"/>
    <w:rsid w:val="007F0A05"/>
    <w:rsid w:val="007F14F9"/>
    <w:rsid w:val="007F158A"/>
    <w:rsid w:val="007F52DB"/>
    <w:rsid w:val="00800011"/>
    <w:rsid w:val="00801DAE"/>
    <w:rsid w:val="00802740"/>
    <w:rsid w:val="00804058"/>
    <w:rsid w:val="00806266"/>
    <w:rsid w:val="00807105"/>
    <w:rsid w:val="00810766"/>
    <w:rsid w:val="00811690"/>
    <w:rsid w:val="00813FB9"/>
    <w:rsid w:val="00823112"/>
    <w:rsid w:val="008241F0"/>
    <w:rsid w:val="00824A57"/>
    <w:rsid w:val="008272AD"/>
    <w:rsid w:val="00830367"/>
    <w:rsid w:val="008304B8"/>
    <w:rsid w:val="00834F34"/>
    <w:rsid w:val="0083533C"/>
    <w:rsid w:val="00835851"/>
    <w:rsid w:val="00840D5E"/>
    <w:rsid w:val="00841B21"/>
    <w:rsid w:val="008431DF"/>
    <w:rsid w:val="008440F9"/>
    <w:rsid w:val="0084604C"/>
    <w:rsid w:val="00850AB1"/>
    <w:rsid w:val="008517C1"/>
    <w:rsid w:val="00852517"/>
    <w:rsid w:val="0085414E"/>
    <w:rsid w:val="00855D27"/>
    <w:rsid w:val="00856395"/>
    <w:rsid w:val="00857A44"/>
    <w:rsid w:val="00860678"/>
    <w:rsid w:val="008617B4"/>
    <w:rsid w:val="00864F2C"/>
    <w:rsid w:val="00865549"/>
    <w:rsid w:val="00866036"/>
    <w:rsid w:val="008660D9"/>
    <w:rsid w:val="00870148"/>
    <w:rsid w:val="008738C0"/>
    <w:rsid w:val="00874D71"/>
    <w:rsid w:val="00875A86"/>
    <w:rsid w:val="00877964"/>
    <w:rsid w:val="00884027"/>
    <w:rsid w:val="008844BC"/>
    <w:rsid w:val="008847DC"/>
    <w:rsid w:val="00886024"/>
    <w:rsid w:val="008863EF"/>
    <w:rsid w:val="00886C0F"/>
    <w:rsid w:val="00890D8F"/>
    <w:rsid w:val="00890DEB"/>
    <w:rsid w:val="00896F39"/>
    <w:rsid w:val="00896FD6"/>
    <w:rsid w:val="00897AA6"/>
    <w:rsid w:val="00897ACD"/>
    <w:rsid w:val="00897D55"/>
    <w:rsid w:val="00897DB7"/>
    <w:rsid w:val="008A6383"/>
    <w:rsid w:val="008A6B6C"/>
    <w:rsid w:val="008A7794"/>
    <w:rsid w:val="008A79B2"/>
    <w:rsid w:val="008A7C47"/>
    <w:rsid w:val="008B103D"/>
    <w:rsid w:val="008B3314"/>
    <w:rsid w:val="008B3A79"/>
    <w:rsid w:val="008B4F7B"/>
    <w:rsid w:val="008B5202"/>
    <w:rsid w:val="008B5F11"/>
    <w:rsid w:val="008B6882"/>
    <w:rsid w:val="008B7341"/>
    <w:rsid w:val="008B7DFF"/>
    <w:rsid w:val="008C1F53"/>
    <w:rsid w:val="008D0894"/>
    <w:rsid w:val="008D0C89"/>
    <w:rsid w:val="008D1A13"/>
    <w:rsid w:val="008D1A35"/>
    <w:rsid w:val="008D1BC6"/>
    <w:rsid w:val="008D1C49"/>
    <w:rsid w:val="008D431D"/>
    <w:rsid w:val="008D6AF7"/>
    <w:rsid w:val="008D717A"/>
    <w:rsid w:val="008D7F73"/>
    <w:rsid w:val="008E4CE7"/>
    <w:rsid w:val="008E5915"/>
    <w:rsid w:val="008E637A"/>
    <w:rsid w:val="008E660E"/>
    <w:rsid w:val="008E6A6A"/>
    <w:rsid w:val="008F1156"/>
    <w:rsid w:val="008F4E76"/>
    <w:rsid w:val="008F4EB4"/>
    <w:rsid w:val="008F72DA"/>
    <w:rsid w:val="0090067A"/>
    <w:rsid w:val="00901543"/>
    <w:rsid w:val="009031F0"/>
    <w:rsid w:val="009123FB"/>
    <w:rsid w:val="0091484C"/>
    <w:rsid w:val="009168EA"/>
    <w:rsid w:val="00920BF4"/>
    <w:rsid w:val="00920C71"/>
    <w:rsid w:val="0092100C"/>
    <w:rsid w:val="00922229"/>
    <w:rsid w:val="009251CE"/>
    <w:rsid w:val="009264B8"/>
    <w:rsid w:val="0092670A"/>
    <w:rsid w:val="00933168"/>
    <w:rsid w:val="00935942"/>
    <w:rsid w:val="00935EF5"/>
    <w:rsid w:val="00936529"/>
    <w:rsid w:val="00937B0D"/>
    <w:rsid w:val="0094498D"/>
    <w:rsid w:val="0094696A"/>
    <w:rsid w:val="00950460"/>
    <w:rsid w:val="009606DC"/>
    <w:rsid w:val="009615E8"/>
    <w:rsid w:val="009633E3"/>
    <w:rsid w:val="00963786"/>
    <w:rsid w:val="009653C4"/>
    <w:rsid w:val="00966189"/>
    <w:rsid w:val="00967E76"/>
    <w:rsid w:val="00970400"/>
    <w:rsid w:val="0097399B"/>
    <w:rsid w:val="00973E6B"/>
    <w:rsid w:val="009753AC"/>
    <w:rsid w:val="0098034A"/>
    <w:rsid w:val="00980923"/>
    <w:rsid w:val="009846F2"/>
    <w:rsid w:val="00984BE8"/>
    <w:rsid w:val="00985AE6"/>
    <w:rsid w:val="00991A3D"/>
    <w:rsid w:val="00991E35"/>
    <w:rsid w:val="0099339C"/>
    <w:rsid w:val="00994796"/>
    <w:rsid w:val="00997BF4"/>
    <w:rsid w:val="00997D53"/>
    <w:rsid w:val="00997EF3"/>
    <w:rsid w:val="009A0C22"/>
    <w:rsid w:val="009A10DD"/>
    <w:rsid w:val="009A2F47"/>
    <w:rsid w:val="009A3435"/>
    <w:rsid w:val="009A39AE"/>
    <w:rsid w:val="009A40F7"/>
    <w:rsid w:val="009A5988"/>
    <w:rsid w:val="009B06E5"/>
    <w:rsid w:val="009B0CAC"/>
    <w:rsid w:val="009B54F6"/>
    <w:rsid w:val="009B5A34"/>
    <w:rsid w:val="009B79C2"/>
    <w:rsid w:val="009C3432"/>
    <w:rsid w:val="009C3D81"/>
    <w:rsid w:val="009C44FB"/>
    <w:rsid w:val="009C5EB7"/>
    <w:rsid w:val="009C6291"/>
    <w:rsid w:val="009C63B5"/>
    <w:rsid w:val="009C6508"/>
    <w:rsid w:val="009C6B5A"/>
    <w:rsid w:val="009C77AE"/>
    <w:rsid w:val="009D2BEE"/>
    <w:rsid w:val="009D7026"/>
    <w:rsid w:val="009E0004"/>
    <w:rsid w:val="009E367E"/>
    <w:rsid w:val="009E598E"/>
    <w:rsid w:val="009E5F37"/>
    <w:rsid w:val="009E61A4"/>
    <w:rsid w:val="009E74FE"/>
    <w:rsid w:val="009E7A95"/>
    <w:rsid w:val="009F1F22"/>
    <w:rsid w:val="009F3A7C"/>
    <w:rsid w:val="009F3C30"/>
    <w:rsid w:val="009F5348"/>
    <w:rsid w:val="009F7E16"/>
    <w:rsid w:val="00A0295D"/>
    <w:rsid w:val="00A02975"/>
    <w:rsid w:val="00A03CAE"/>
    <w:rsid w:val="00A03FB2"/>
    <w:rsid w:val="00A048D0"/>
    <w:rsid w:val="00A05743"/>
    <w:rsid w:val="00A06F0F"/>
    <w:rsid w:val="00A1205A"/>
    <w:rsid w:val="00A12D90"/>
    <w:rsid w:val="00A20CEB"/>
    <w:rsid w:val="00A2283F"/>
    <w:rsid w:val="00A22A7D"/>
    <w:rsid w:val="00A22E03"/>
    <w:rsid w:val="00A242DA"/>
    <w:rsid w:val="00A26D3A"/>
    <w:rsid w:val="00A30A60"/>
    <w:rsid w:val="00A30FEB"/>
    <w:rsid w:val="00A334B5"/>
    <w:rsid w:val="00A37281"/>
    <w:rsid w:val="00A40C8F"/>
    <w:rsid w:val="00A41E69"/>
    <w:rsid w:val="00A41FB1"/>
    <w:rsid w:val="00A42496"/>
    <w:rsid w:val="00A42E93"/>
    <w:rsid w:val="00A45A73"/>
    <w:rsid w:val="00A52643"/>
    <w:rsid w:val="00A5341E"/>
    <w:rsid w:val="00A62682"/>
    <w:rsid w:val="00A64E45"/>
    <w:rsid w:val="00A668EF"/>
    <w:rsid w:val="00A66AA5"/>
    <w:rsid w:val="00A71136"/>
    <w:rsid w:val="00A7256E"/>
    <w:rsid w:val="00A7393B"/>
    <w:rsid w:val="00A76F72"/>
    <w:rsid w:val="00A80AA3"/>
    <w:rsid w:val="00A81D75"/>
    <w:rsid w:val="00A82CA7"/>
    <w:rsid w:val="00A839D8"/>
    <w:rsid w:val="00A83DB7"/>
    <w:rsid w:val="00A846B3"/>
    <w:rsid w:val="00A84EE0"/>
    <w:rsid w:val="00A84FCE"/>
    <w:rsid w:val="00A857A4"/>
    <w:rsid w:val="00A874EF"/>
    <w:rsid w:val="00A87971"/>
    <w:rsid w:val="00A9010E"/>
    <w:rsid w:val="00A926BF"/>
    <w:rsid w:val="00A94363"/>
    <w:rsid w:val="00A9564D"/>
    <w:rsid w:val="00A96387"/>
    <w:rsid w:val="00AA1CDA"/>
    <w:rsid w:val="00AA1FC9"/>
    <w:rsid w:val="00AA2539"/>
    <w:rsid w:val="00AA4A62"/>
    <w:rsid w:val="00AA7D4F"/>
    <w:rsid w:val="00AB042C"/>
    <w:rsid w:val="00AB15F8"/>
    <w:rsid w:val="00AB176C"/>
    <w:rsid w:val="00AB26D5"/>
    <w:rsid w:val="00AB284D"/>
    <w:rsid w:val="00AB3952"/>
    <w:rsid w:val="00AB418B"/>
    <w:rsid w:val="00AB54F2"/>
    <w:rsid w:val="00AB6835"/>
    <w:rsid w:val="00AB6E04"/>
    <w:rsid w:val="00AB7073"/>
    <w:rsid w:val="00AC2493"/>
    <w:rsid w:val="00AC2B98"/>
    <w:rsid w:val="00AC35F9"/>
    <w:rsid w:val="00AC48F5"/>
    <w:rsid w:val="00AC7C4D"/>
    <w:rsid w:val="00AD0027"/>
    <w:rsid w:val="00AD0CF9"/>
    <w:rsid w:val="00AD0E30"/>
    <w:rsid w:val="00AD3E7C"/>
    <w:rsid w:val="00AD42F8"/>
    <w:rsid w:val="00AD4947"/>
    <w:rsid w:val="00AD4DD5"/>
    <w:rsid w:val="00AD6BEC"/>
    <w:rsid w:val="00AE0A91"/>
    <w:rsid w:val="00AE1F93"/>
    <w:rsid w:val="00AE4F2E"/>
    <w:rsid w:val="00AE62FD"/>
    <w:rsid w:val="00AF4810"/>
    <w:rsid w:val="00AF6596"/>
    <w:rsid w:val="00AF7C9A"/>
    <w:rsid w:val="00B012C9"/>
    <w:rsid w:val="00B0377E"/>
    <w:rsid w:val="00B05319"/>
    <w:rsid w:val="00B065BA"/>
    <w:rsid w:val="00B0673F"/>
    <w:rsid w:val="00B120B3"/>
    <w:rsid w:val="00B13B83"/>
    <w:rsid w:val="00B15EFF"/>
    <w:rsid w:val="00B20597"/>
    <w:rsid w:val="00B20670"/>
    <w:rsid w:val="00B27962"/>
    <w:rsid w:val="00B31038"/>
    <w:rsid w:val="00B34A5C"/>
    <w:rsid w:val="00B34C65"/>
    <w:rsid w:val="00B36E8F"/>
    <w:rsid w:val="00B40A33"/>
    <w:rsid w:val="00B41681"/>
    <w:rsid w:val="00B4189B"/>
    <w:rsid w:val="00B45FEE"/>
    <w:rsid w:val="00B46245"/>
    <w:rsid w:val="00B478E1"/>
    <w:rsid w:val="00B5263B"/>
    <w:rsid w:val="00B52C87"/>
    <w:rsid w:val="00B52E95"/>
    <w:rsid w:val="00B5404C"/>
    <w:rsid w:val="00B548BE"/>
    <w:rsid w:val="00B57663"/>
    <w:rsid w:val="00B60B2A"/>
    <w:rsid w:val="00B61B7F"/>
    <w:rsid w:val="00B62CC7"/>
    <w:rsid w:val="00B6512F"/>
    <w:rsid w:val="00B6620A"/>
    <w:rsid w:val="00B66895"/>
    <w:rsid w:val="00B67543"/>
    <w:rsid w:val="00B72E7E"/>
    <w:rsid w:val="00B767C5"/>
    <w:rsid w:val="00B773A8"/>
    <w:rsid w:val="00B77865"/>
    <w:rsid w:val="00B81079"/>
    <w:rsid w:val="00B83273"/>
    <w:rsid w:val="00B848D4"/>
    <w:rsid w:val="00B90FBD"/>
    <w:rsid w:val="00B91F9A"/>
    <w:rsid w:val="00B93577"/>
    <w:rsid w:val="00B943A0"/>
    <w:rsid w:val="00B94F5C"/>
    <w:rsid w:val="00B96661"/>
    <w:rsid w:val="00B976E5"/>
    <w:rsid w:val="00BA0E59"/>
    <w:rsid w:val="00BA14FC"/>
    <w:rsid w:val="00BA20EF"/>
    <w:rsid w:val="00BA3D2A"/>
    <w:rsid w:val="00BB1648"/>
    <w:rsid w:val="00BB50AC"/>
    <w:rsid w:val="00BB53C3"/>
    <w:rsid w:val="00BC416A"/>
    <w:rsid w:val="00BC6D6A"/>
    <w:rsid w:val="00BC6D92"/>
    <w:rsid w:val="00BD3EF0"/>
    <w:rsid w:val="00BD6937"/>
    <w:rsid w:val="00BE20E2"/>
    <w:rsid w:val="00BE2EA2"/>
    <w:rsid w:val="00BF00B2"/>
    <w:rsid w:val="00BF46C5"/>
    <w:rsid w:val="00BF4B37"/>
    <w:rsid w:val="00BF4E6F"/>
    <w:rsid w:val="00C005E5"/>
    <w:rsid w:val="00C00994"/>
    <w:rsid w:val="00C032DE"/>
    <w:rsid w:val="00C04C78"/>
    <w:rsid w:val="00C07246"/>
    <w:rsid w:val="00C106D7"/>
    <w:rsid w:val="00C1253A"/>
    <w:rsid w:val="00C13753"/>
    <w:rsid w:val="00C141B9"/>
    <w:rsid w:val="00C16B6C"/>
    <w:rsid w:val="00C17159"/>
    <w:rsid w:val="00C213CF"/>
    <w:rsid w:val="00C22FE4"/>
    <w:rsid w:val="00C25042"/>
    <w:rsid w:val="00C306C3"/>
    <w:rsid w:val="00C32EC4"/>
    <w:rsid w:val="00C34B4E"/>
    <w:rsid w:val="00C410CB"/>
    <w:rsid w:val="00C45635"/>
    <w:rsid w:val="00C4691E"/>
    <w:rsid w:val="00C51298"/>
    <w:rsid w:val="00C52C37"/>
    <w:rsid w:val="00C5404D"/>
    <w:rsid w:val="00C54C11"/>
    <w:rsid w:val="00C57189"/>
    <w:rsid w:val="00C60543"/>
    <w:rsid w:val="00C6092F"/>
    <w:rsid w:val="00C6265C"/>
    <w:rsid w:val="00C62FD0"/>
    <w:rsid w:val="00C70A56"/>
    <w:rsid w:val="00C77979"/>
    <w:rsid w:val="00C8094E"/>
    <w:rsid w:val="00C8132B"/>
    <w:rsid w:val="00C81E85"/>
    <w:rsid w:val="00C90AD3"/>
    <w:rsid w:val="00CA05E1"/>
    <w:rsid w:val="00CA1B62"/>
    <w:rsid w:val="00CA2C34"/>
    <w:rsid w:val="00CA2D0E"/>
    <w:rsid w:val="00CA348E"/>
    <w:rsid w:val="00CA4555"/>
    <w:rsid w:val="00CA61F7"/>
    <w:rsid w:val="00CB77CF"/>
    <w:rsid w:val="00CC02AF"/>
    <w:rsid w:val="00CC272C"/>
    <w:rsid w:val="00CC4429"/>
    <w:rsid w:val="00CC5411"/>
    <w:rsid w:val="00CC5FCE"/>
    <w:rsid w:val="00CD0CAF"/>
    <w:rsid w:val="00CD1391"/>
    <w:rsid w:val="00CD1BAB"/>
    <w:rsid w:val="00CD26C7"/>
    <w:rsid w:val="00CD2768"/>
    <w:rsid w:val="00CD4198"/>
    <w:rsid w:val="00CD4B34"/>
    <w:rsid w:val="00CD7D08"/>
    <w:rsid w:val="00CE06B6"/>
    <w:rsid w:val="00CE13C4"/>
    <w:rsid w:val="00CE2C75"/>
    <w:rsid w:val="00CE3AA5"/>
    <w:rsid w:val="00CE7153"/>
    <w:rsid w:val="00CF0B1E"/>
    <w:rsid w:val="00CF0F1A"/>
    <w:rsid w:val="00CF3221"/>
    <w:rsid w:val="00CF72C8"/>
    <w:rsid w:val="00D0586D"/>
    <w:rsid w:val="00D05A8B"/>
    <w:rsid w:val="00D100A9"/>
    <w:rsid w:val="00D13D9F"/>
    <w:rsid w:val="00D148D9"/>
    <w:rsid w:val="00D14CBF"/>
    <w:rsid w:val="00D14ECB"/>
    <w:rsid w:val="00D22D8A"/>
    <w:rsid w:val="00D2620D"/>
    <w:rsid w:val="00D35D0F"/>
    <w:rsid w:val="00D36DB0"/>
    <w:rsid w:val="00D3752D"/>
    <w:rsid w:val="00D43EEB"/>
    <w:rsid w:val="00D4664A"/>
    <w:rsid w:val="00D514E4"/>
    <w:rsid w:val="00D524A5"/>
    <w:rsid w:val="00D55154"/>
    <w:rsid w:val="00D5742D"/>
    <w:rsid w:val="00D6249B"/>
    <w:rsid w:val="00D664DA"/>
    <w:rsid w:val="00D66743"/>
    <w:rsid w:val="00D66E37"/>
    <w:rsid w:val="00D70F0F"/>
    <w:rsid w:val="00D71636"/>
    <w:rsid w:val="00D73192"/>
    <w:rsid w:val="00D754D0"/>
    <w:rsid w:val="00D766A6"/>
    <w:rsid w:val="00D82D5E"/>
    <w:rsid w:val="00D85243"/>
    <w:rsid w:val="00D879A0"/>
    <w:rsid w:val="00D91508"/>
    <w:rsid w:val="00D9327C"/>
    <w:rsid w:val="00D93B1A"/>
    <w:rsid w:val="00D96CBD"/>
    <w:rsid w:val="00D971DB"/>
    <w:rsid w:val="00D979A9"/>
    <w:rsid w:val="00D979D8"/>
    <w:rsid w:val="00DA3CB8"/>
    <w:rsid w:val="00DA3FE4"/>
    <w:rsid w:val="00DA7CF1"/>
    <w:rsid w:val="00DA7D2B"/>
    <w:rsid w:val="00DB0938"/>
    <w:rsid w:val="00DB1CFE"/>
    <w:rsid w:val="00DB556E"/>
    <w:rsid w:val="00DB5E56"/>
    <w:rsid w:val="00DC1093"/>
    <w:rsid w:val="00DC30E8"/>
    <w:rsid w:val="00DC3D8C"/>
    <w:rsid w:val="00DD089F"/>
    <w:rsid w:val="00DD0D79"/>
    <w:rsid w:val="00DD1309"/>
    <w:rsid w:val="00DD14B8"/>
    <w:rsid w:val="00DD7A00"/>
    <w:rsid w:val="00DE10C6"/>
    <w:rsid w:val="00DE1780"/>
    <w:rsid w:val="00DE2A49"/>
    <w:rsid w:val="00DE329E"/>
    <w:rsid w:val="00DE4475"/>
    <w:rsid w:val="00DE733A"/>
    <w:rsid w:val="00DF2FFE"/>
    <w:rsid w:val="00DF638C"/>
    <w:rsid w:val="00E00B20"/>
    <w:rsid w:val="00E02758"/>
    <w:rsid w:val="00E04A38"/>
    <w:rsid w:val="00E10F10"/>
    <w:rsid w:val="00E10F7F"/>
    <w:rsid w:val="00E22896"/>
    <w:rsid w:val="00E23109"/>
    <w:rsid w:val="00E25568"/>
    <w:rsid w:val="00E26C3B"/>
    <w:rsid w:val="00E26EAD"/>
    <w:rsid w:val="00E309F6"/>
    <w:rsid w:val="00E318C2"/>
    <w:rsid w:val="00E33E14"/>
    <w:rsid w:val="00E37ED1"/>
    <w:rsid w:val="00E41ACF"/>
    <w:rsid w:val="00E4208F"/>
    <w:rsid w:val="00E43173"/>
    <w:rsid w:val="00E43C05"/>
    <w:rsid w:val="00E45B19"/>
    <w:rsid w:val="00E45E6D"/>
    <w:rsid w:val="00E46431"/>
    <w:rsid w:val="00E47731"/>
    <w:rsid w:val="00E4781E"/>
    <w:rsid w:val="00E500B9"/>
    <w:rsid w:val="00E529F3"/>
    <w:rsid w:val="00E53355"/>
    <w:rsid w:val="00E541B1"/>
    <w:rsid w:val="00E54741"/>
    <w:rsid w:val="00E54DDA"/>
    <w:rsid w:val="00E551F5"/>
    <w:rsid w:val="00E6101C"/>
    <w:rsid w:val="00E62991"/>
    <w:rsid w:val="00E65512"/>
    <w:rsid w:val="00E65FE5"/>
    <w:rsid w:val="00E664DB"/>
    <w:rsid w:val="00E732B4"/>
    <w:rsid w:val="00E747F2"/>
    <w:rsid w:val="00E77A1E"/>
    <w:rsid w:val="00E8035D"/>
    <w:rsid w:val="00E82C03"/>
    <w:rsid w:val="00E8534F"/>
    <w:rsid w:val="00E877B6"/>
    <w:rsid w:val="00E90251"/>
    <w:rsid w:val="00E91520"/>
    <w:rsid w:val="00E91CA7"/>
    <w:rsid w:val="00E927FF"/>
    <w:rsid w:val="00E95241"/>
    <w:rsid w:val="00E964CB"/>
    <w:rsid w:val="00E978D2"/>
    <w:rsid w:val="00EA0EA0"/>
    <w:rsid w:val="00EA178C"/>
    <w:rsid w:val="00EA47D3"/>
    <w:rsid w:val="00EA53FC"/>
    <w:rsid w:val="00EA6B22"/>
    <w:rsid w:val="00EB01BB"/>
    <w:rsid w:val="00EB2545"/>
    <w:rsid w:val="00EB57C0"/>
    <w:rsid w:val="00EB6697"/>
    <w:rsid w:val="00EC16AD"/>
    <w:rsid w:val="00EC1795"/>
    <w:rsid w:val="00EC5A54"/>
    <w:rsid w:val="00EC6581"/>
    <w:rsid w:val="00EC696F"/>
    <w:rsid w:val="00ED005C"/>
    <w:rsid w:val="00ED2730"/>
    <w:rsid w:val="00ED32CC"/>
    <w:rsid w:val="00ED5647"/>
    <w:rsid w:val="00ED7148"/>
    <w:rsid w:val="00EE2678"/>
    <w:rsid w:val="00EE2EEC"/>
    <w:rsid w:val="00EE2F60"/>
    <w:rsid w:val="00EE4C1E"/>
    <w:rsid w:val="00EF1945"/>
    <w:rsid w:val="00EF2F90"/>
    <w:rsid w:val="00EF365F"/>
    <w:rsid w:val="00EF536C"/>
    <w:rsid w:val="00EF67A3"/>
    <w:rsid w:val="00F05057"/>
    <w:rsid w:val="00F05A11"/>
    <w:rsid w:val="00F07614"/>
    <w:rsid w:val="00F10B24"/>
    <w:rsid w:val="00F1199F"/>
    <w:rsid w:val="00F15504"/>
    <w:rsid w:val="00F15D30"/>
    <w:rsid w:val="00F16D98"/>
    <w:rsid w:val="00F17177"/>
    <w:rsid w:val="00F2101A"/>
    <w:rsid w:val="00F241E8"/>
    <w:rsid w:val="00F2593F"/>
    <w:rsid w:val="00F2616E"/>
    <w:rsid w:val="00F275D2"/>
    <w:rsid w:val="00F32FF5"/>
    <w:rsid w:val="00F332AA"/>
    <w:rsid w:val="00F351B3"/>
    <w:rsid w:val="00F44AF3"/>
    <w:rsid w:val="00F50ED4"/>
    <w:rsid w:val="00F5129D"/>
    <w:rsid w:val="00F51BBE"/>
    <w:rsid w:val="00F563CC"/>
    <w:rsid w:val="00F64366"/>
    <w:rsid w:val="00F65FE4"/>
    <w:rsid w:val="00F6729B"/>
    <w:rsid w:val="00F67548"/>
    <w:rsid w:val="00F67EC0"/>
    <w:rsid w:val="00F72D4C"/>
    <w:rsid w:val="00F7458B"/>
    <w:rsid w:val="00F75DA2"/>
    <w:rsid w:val="00F761D2"/>
    <w:rsid w:val="00F8091B"/>
    <w:rsid w:val="00F81304"/>
    <w:rsid w:val="00F85B8E"/>
    <w:rsid w:val="00F87166"/>
    <w:rsid w:val="00F92864"/>
    <w:rsid w:val="00F940E1"/>
    <w:rsid w:val="00F960CF"/>
    <w:rsid w:val="00F960EB"/>
    <w:rsid w:val="00F973A7"/>
    <w:rsid w:val="00F97FE7"/>
    <w:rsid w:val="00FA0D83"/>
    <w:rsid w:val="00FB28AA"/>
    <w:rsid w:val="00FB46FC"/>
    <w:rsid w:val="00FC2826"/>
    <w:rsid w:val="00FC2EDE"/>
    <w:rsid w:val="00FC320C"/>
    <w:rsid w:val="00FC3748"/>
    <w:rsid w:val="00FC5E3A"/>
    <w:rsid w:val="00FC75BF"/>
    <w:rsid w:val="00FD02EF"/>
    <w:rsid w:val="00FD32E3"/>
    <w:rsid w:val="00FD40D2"/>
    <w:rsid w:val="00FD485B"/>
    <w:rsid w:val="00FD54DD"/>
    <w:rsid w:val="00FD7902"/>
    <w:rsid w:val="00FE1BDA"/>
    <w:rsid w:val="00FE1E3D"/>
    <w:rsid w:val="00FE32D7"/>
    <w:rsid w:val="00FE33E6"/>
    <w:rsid w:val="00FF0170"/>
    <w:rsid w:val="00FF06CE"/>
    <w:rsid w:val="00FF2616"/>
    <w:rsid w:val="00FF272B"/>
    <w:rsid w:val="00FF2E88"/>
    <w:rsid w:val="00FF700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01212"/>
  <w15:chartTrackingRefBased/>
  <w15:docId w15:val="{100F5C0F-23B8-4913-B429-8B84C63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foot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uiPriority="0"/>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D25DC"/>
    <w:rPr>
      <w:sz w:val="24"/>
    </w:rPr>
  </w:style>
  <w:style w:type="paragraph" w:styleId="Heading1">
    <w:name w:val="heading 1"/>
    <w:next w:val="ParagraphText-unnumbered"/>
    <w:qFormat/>
    <w:rsid w:val="00533E0F"/>
    <w:pPr>
      <w:keepNext/>
      <w:pageBreakBefore/>
      <w:spacing w:after="284" w:line="584" w:lineRule="exact"/>
      <w:outlineLvl w:val="0"/>
    </w:pPr>
    <w:rPr>
      <w:b/>
      <w:sz w:val="48"/>
    </w:rPr>
  </w:style>
  <w:style w:type="paragraph" w:styleId="Heading2">
    <w:name w:val="heading 2"/>
    <w:next w:val="ParagraphText-unnumbered"/>
    <w:qFormat/>
    <w:rsid w:val="00533E0F"/>
    <w:pPr>
      <w:keepNext/>
      <w:keepLines/>
      <w:spacing w:before="240" w:after="240" w:line="410" w:lineRule="exact"/>
      <w:outlineLvl w:val="1"/>
    </w:pPr>
    <w:rPr>
      <w:b/>
      <w:sz w:val="33"/>
    </w:rPr>
  </w:style>
  <w:style w:type="paragraph" w:styleId="Heading3">
    <w:name w:val="heading 3"/>
    <w:next w:val="ParagraphText-unnumbered"/>
    <w:qFormat/>
    <w:rsid w:val="00E45E6D"/>
    <w:pPr>
      <w:keepNext/>
      <w:keepLines/>
      <w:spacing w:before="120" w:after="240" w:line="370" w:lineRule="exact"/>
      <w:outlineLvl w:val="2"/>
    </w:pPr>
    <w:rPr>
      <w:b/>
      <w:sz w:val="29"/>
    </w:rPr>
  </w:style>
  <w:style w:type="paragraph" w:styleId="Heading4">
    <w:name w:val="heading 4"/>
    <w:next w:val="ParagraphText-unnumbered"/>
    <w:qFormat/>
    <w:rsid w:val="00533E0F"/>
    <w:pPr>
      <w:keepNext/>
      <w:keepLines/>
      <w:spacing w:before="120" w:after="120" w:line="330" w:lineRule="exact"/>
      <w:outlineLvl w:val="3"/>
    </w:pPr>
    <w:rPr>
      <w:b/>
      <w:sz w:val="25"/>
    </w:rPr>
  </w:style>
  <w:style w:type="paragraph" w:styleId="Heading5">
    <w:name w:val="heading 5"/>
    <w:next w:val="ParagraphText-unnumbered"/>
    <w:qFormat/>
    <w:rsid w:val="00533E0F"/>
    <w:pPr>
      <w:keepNext/>
      <w:keepLines/>
      <w:spacing w:before="120" w:line="324" w:lineRule="exact"/>
      <w:outlineLvl w:val="4"/>
    </w:pPr>
    <w:rPr>
      <w:b/>
      <w:sz w:val="24"/>
    </w:rPr>
  </w:style>
  <w:style w:type="paragraph" w:styleId="Heading6">
    <w:name w:val="heading 6"/>
    <w:basedOn w:val="Heading1"/>
    <w:next w:val="ParagraphText-unnumbered"/>
    <w:uiPriority w:val="99"/>
    <w:semiHidden/>
    <w:rsid w:val="006351A9"/>
    <w:pPr>
      <w:spacing w:before="10280" w:after="0"/>
      <w:outlineLvl w:val="5"/>
    </w:pPr>
    <w:rPr>
      <w:b w:val="0"/>
      <w:sz w:val="24"/>
    </w:rPr>
  </w:style>
  <w:style w:type="paragraph" w:styleId="Heading7">
    <w:name w:val="heading 7"/>
    <w:next w:val="ParagraphText-unnumbered"/>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unnumberedChar">
    <w:name w:val="Paragraph Text - unnumbered Char"/>
    <w:basedOn w:val="DefaultParagraphFont"/>
    <w:link w:val="ParagraphText-unnumbered"/>
    <w:rsid w:val="00EC16AD"/>
    <w:rPr>
      <w:rFonts w:ascii="Arial" w:hAnsi="Arial"/>
      <w:sz w:val="24"/>
    </w:rPr>
  </w:style>
  <w:style w:type="paragraph" w:styleId="TOC1">
    <w:name w:val="toc 1"/>
    <w:uiPriority w:val="39"/>
    <w:qFormat/>
    <w:rsid w:val="0008385D"/>
    <w:pPr>
      <w:tabs>
        <w:tab w:val="right" w:leader="dot" w:pos="9639"/>
      </w:tabs>
      <w:spacing w:before="120" w:after="120"/>
    </w:pPr>
    <w:rPr>
      <w:sz w:val="24"/>
    </w:rPr>
  </w:style>
  <w:style w:type="paragraph" w:customStyle="1" w:styleId="Heading-contents">
    <w:name w:val="Heading - contents"/>
    <w:next w:val="ParagraphText-unnumbered"/>
    <w:uiPriority w:val="1"/>
    <w:rsid w:val="00533E0F"/>
    <w:pPr>
      <w:spacing w:after="360"/>
    </w:pPr>
    <w:rPr>
      <w:b/>
      <w:sz w:val="48"/>
    </w:rPr>
  </w:style>
  <w:style w:type="paragraph" w:customStyle="1" w:styleId="Bulletundernumberedlist">
    <w:name w:val="Bullet (under numbered list)"/>
    <w:uiPriority w:val="1"/>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793E5B"/>
    <w:pPr>
      <w:numPr>
        <w:numId w:val="2"/>
      </w:numPr>
      <w:tabs>
        <w:tab w:val="clear" w:pos="360"/>
      </w:tabs>
      <w:spacing w:after="284" w:line="324" w:lineRule="exact"/>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unnumbered"/>
    <w:uiPriority w:val="99"/>
    <w:semiHidden/>
    <w:rsid w:val="007C7960"/>
    <w:rPr>
      <w:b/>
      <w:sz w:val="18"/>
    </w:rPr>
  </w:style>
  <w:style w:type="paragraph" w:styleId="Footer">
    <w:name w:val="footer"/>
    <w:basedOn w:val="ParagraphText-unnumbered"/>
    <w:uiPriority w:val="99"/>
    <w:semiHidden/>
    <w:rsid w:val="00C81E85"/>
    <w:pPr>
      <w:spacing w:after="0"/>
      <w:jc w:val="center"/>
    </w:pPr>
    <w:rPr>
      <w:sz w:val="18"/>
    </w:rPr>
  </w:style>
  <w:style w:type="character" w:styleId="Hyperlink">
    <w:name w:val="Hyperlink"/>
    <w:uiPriority w:val="99"/>
    <w:rsid w:val="00117502"/>
    <w:rPr>
      <w:color w:val="0063BE"/>
      <w:u w:val="single"/>
    </w:rPr>
  </w:style>
  <w:style w:type="paragraph" w:customStyle="1" w:styleId="ParagraphText-unnumbered">
    <w:name w:val="Paragraph Text - unnumbered"/>
    <w:link w:val="ParagraphText-unnumberedChar"/>
    <w:qFormat/>
    <w:rsid w:val="00ED2730"/>
    <w:pPr>
      <w:spacing w:after="284" w:line="324" w:lineRule="exact"/>
    </w:pPr>
    <w:rPr>
      <w:sz w:val="24"/>
    </w:rPr>
  </w:style>
  <w:style w:type="paragraph" w:customStyle="1" w:styleId="Textindented">
    <w:name w:val="Text indented"/>
    <w:uiPriority w:val="1"/>
    <w:qFormat/>
    <w:rsid w:val="00793E5B"/>
    <w:pPr>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unnumbered"/>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unnumbered"/>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qFormat/>
    <w:rsid w:val="00F332AA"/>
    <w:rPr>
      <w:b/>
    </w:rPr>
  </w:style>
  <w:style w:type="character" w:customStyle="1" w:styleId="Italic">
    <w:name w:val="Italic"/>
    <w:basedOn w:val="DefaultParagraphFont"/>
    <w:uiPriority w:val="3"/>
    <w:qFormat/>
    <w:rsid w:val="00F332AA"/>
    <w:rPr>
      <w:i/>
    </w:rPr>
  </w:style>
  <w:style w:type="paragraph" w:customStyle="1" w:styleId="Heading1-numbered">
    <w:name w:val="Heading 1 - numbered"/>
    <w:next w:val="ParagraphText-unnumbered"/>
    <w:qFormat/>
    <w:rsid w:val="00533E0F"/>
    <w:pPr>
      <w:keepNext/>
      <w:pageBreakBefore/>
      <w:numPr>
        <w:numId w:val="3"/>
      </w:numPr>
      <w:spacing w:after="284" w:line="584" w:lineRule="exact"/>
      <w:outlineLvl w:val="0"/>
    </w:pPr>
    <w:rPr>
      <w:b/>
      <w:sz w:val="48"/>
    </w:rPr>
  </w:style>
  <w:style w:type="paragraph" w:customStyle="1" w:styleId="ParagraphText-numbered">
    <w:name w:val="Paragraph Text - numbered"/>
    <w:basedOn w:val="Heading1-numbered"/>
    <w:qFormat/>
    <w:rsid w:val="00012205"/>
    <w:pPr>
      <w:keepNext w:val="0"/>
      <w:pageBreakBefore w:val="0"/>
      <w:numPr>
        <w:ilvl w:val="1"/>
      </w:numPr>
      <w:spacing w:line="324" w:lineRule="exact"/>
      <w:ind w:left="851"/>
      <w:outlineLvl w:val="9"/>
    </w:pPr>
    <w:rPr>
      <w:b w:val="0"/>
      <w:sz w:val="24"/>
    </w:rPr>
  </w:style>
  <w:style w:type="paragraph" w:customStyle="1" w:styleId="ParagraphText-numbered-level3">
    <w:name w:val="Paragraph Text - numbered - level 3"/>
    <w:basedOn w:val="Heading1-numbered"/>
    <w:uiPriority w:val="1"/>
    <w:rsid w:val="00012205"/>
    <w:pPr>
      <w:keepNext w:val="0"/>
      <w:pageBreakBefore w:val="0"/>
      <w:numPr>
        <w:ilvl w:val="2"/>
      </w:numPr>
      <w:tabs>
        <w:tab w:val="num" w:pos="360"/>
      </w:tabs>
      <w:spacing w:line="324" w:lineRule="exact"/>
      <w:ind w:left="2695" w:hanging="851"/>
      <w:outlineLvl w:val="9"/>
    </w:pPr>
    <w:rPr>
      <w:b w:val="0"/>
      <w:sz w:val="24"/>
    </w:rPr>
  </w:style>
  <w:style w:type="paragraph" w:customStyle="1" w:styleId="ParagraphText-numbered-level4">
    <w:name w:val="Paragraph Text - numbered - level 4"/>
    <w:basedOn w:val="Heading1-numbered"/>
    <w:uiPriority w:val="1"/>
    <w:rsid w:val="00856395"/>
    <w:pPr>
      <w:keepNext w:val="0"/>
      <w:pageBreakBefore w:val="0"/>
      <w:numPr>
        <w:ilvl w:val="3"/>
      </w:numPr>
      <w:tabs>
        <w:tab w:val="num" w:pos="360"/>
      </w:tabs>
      <w:spacing w:line="324" w:lineRule="exact"/>
      <w:ind w:left="2695" w:hanging="851"/>
      <w:outlineLvl w:val="9"/>
    </w:pPr>
    <w:rPr>
      <w:b w:val="0"/>
      <w:sz w:val="24"/>
    </w:rPr>
  </w:style>
  <w:style w:type="paragraph" w:customStyle="1" w:styleId="Heading-figurecharttable">
    <w:name w:val="Heading - figure/chart/table"/>
    <w:uiPriority w:val="1"/>
    <w:qFormat/>
    <w:rsid w:val="00980923"/>
    <w:pPr>
      <w:keepNext/>
      <w:keepLines/>
      <w:spacing w:before="240" w:after="284" w:line="330" w:lineRule="exact"/>
    </w:pPr>
    <w:rPr>
      <w:b/>
      <w:color w:val="616265"/>
      <w:sz w:val="25"/>
    </w:rPr>
  </w:style>
  <w:style w:type="paragraph" w:customStyle="1" w:styleId="Heading2-notforToC">
    <w:name w:val="Heading 2 - not for ToC"/>
    <w:uiPriority w:val="1"/>
    <w:rsid w:val="00654C97"/>
    <w:pPr>
      <w:spacing w:before="240" w:after="240" w:line="410" w:lineRule="exact"/>
    </w:pPr>
    <w:rPr>
      <w:b/>
      <w:sz w:val="33"/>
      <w:lang w:eastAsia="en-US"/>
    </w:rPr>
  </w:style>
  <w:style w:type="paragraph" w:customStyle="1" w:styleId="Heading3-notforToC">
    <w:name w:val="Heading 3 - not for ToC"/>
    <w:uiPriority w:val="1"/>
    <w:rsid w:val="00654C97"/>
    <w:pPr>
      <w:spacing w:before="240" w:after="240" w:line="3700" w:lineRule="exact"/>
    </w:pPr>
    <w:rPr>
      <w:b/>
      <w:sz w:val="29"/>
    </w:rPr>
  </w:style>
  <w:style w:type="paragraph" w:customStyle="1" w:styleId="Footnote">
    <w:name w:val="Footnote"/>
    <w:uiPriority w:val="1"/>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uiPriority w:val="1"/>
    <w:qFormat/>
    <w:rsid w:val="00726C35"/>
    <w:pPr>
      <w:spacing w:after="960" w:line="240" w:lineRule="auto"/>
    </w:pPr>
    <w:rPr>
      <w:rFonts w:cs="Arial"/>
      <w:b/>
      <w:sz w:val="36"/>
      <w:szCs w:val="36"/>
    </w:rPr>
  </w:style>
  <w:style w:type="paragraph" w:customStyle="1" w:styleId="Text-boxed">
    <w:name w:val="Text - boxed"/>
    <w:basedOn w:val="ParagraphText-unnumbered"/>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qFormat/>
    <w:rsid w:val="0008385D"/>
    <w:pPr>
      <w:tabs>
        <w:tab w:val="right" w:leader="dot" w:pos="9639"/>
      </w:tabs>
      <w:spacing w:after="100"/>
      <w:ind w:left="221"/>
    </w:pPr>
    <w:rPr>
      <w:noProof/>
    </w:rPr>
  </w:style>
  <w:style w:type="paragraph" w:customStyle="1" w:styleId="Bullet-sub">
    <w:name w:val="Bullet-sub"/>
    <w:uiPriority w:val="1"/>
    <w:qFormat/>
    <w:rsid w:val="00793E5B"/>
    <w:pPr>
      <w:numPr>
        <w:numId w:val="4"/>
      </w:numPr>
      <w:spacing w:after="284" w:line="324" w:lineRule="exact"/>
      <w:ind w:left="850" w:hanging="425"/>
    </w:pPr>
    <w:rPr>
      <w:sz w:val="24"/>
    </w:rPr>
  </w:style>
  <w:style w:type="paragraph" w:customStyle="1" w:styleId="Bulletundernumberedparagraph">
    <w:name w:val="Bullet (under numbered paragraph)"/>
    <w:basedOn w:val="Bulletundernumberedlist"/>
    <w:uiPriority w:val="1"/>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greenborder">
    <w:name w:val="Boxed text - green border"/>
    <w:basedOn w:val="ParagraphText-unnumbered"/>
    <w:uiPriority w:val="1"/>
    <w:qFormat/>
    <w:rsid w:val="00D514E4"/>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unnumbered"/>
    <w:uiPriority w:val="1"/>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uiPriority w:val="1"/>
    <w:qFormat/>
    <w:rsid w:val="00D514E4"/>
    <w:pPr>
      <w:spacing w:line="324" w:lineRule="exact"/>
    </w:pPr>
    <w:rPr>
      <w:color w:val="000000" w:themeColor="text1"/>
    </w:rPr>
  </w:style>
  <w:style w:type="numbering" w:customStyle="1" w:styleId="Numberedlist-075">
    <w:name w:val="Numbered list - 0.75"/>
    <w:uiPriority w:val="99"/>
    <w:rsid w:val="005D25D3"/>
    <w:pPr>
      <w:numPr>
        <w:numId w:val="5"/>
      </w:numPr>
    </w:pPr>
  </w:style>
  <w:style w:type="paragraph" w:customStyle="1" w:styleId="Bullet-numberedlist">
    <w:name w:val="Bullet - numbered list"/>
    <w:basedOn w:val="ParagraphText-unnumbered"/>
    <w:uiPriority w:val="1"/>
    <w:qFormat/>
    <w:rsid w:val="00CF3221"/>
    <w:pPr>
      <w:numPr>
        <w:numId w:val="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FangSong" w:hAnsi="FangSong"/>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rsid w:val="00D979D8"/>
    <w:pPr>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character" w:styleId="CommentReference">
    <w:name w:val="annotation reference"/>
    <w:basedOn w:val="DefaultParagraphFont"/>
    <w:semiHidden/>
    <w:rsid w:val="00A84EE0"/>
    <w:rPr>
      <w:sz w:val="16"/>
      <w:szCs w:val="16"/>
    </w:rPr>
  </w:style>
  <w:style w:type="paragraph" w:styleId="CommentText">
    <w:name w:val="annotation text"/>
    <w:basedOn w:val="Normal"/>
    <w:link w:val="CommentTextChar"/>
    <w:uiPriority w:val="99"/>
    <w:rsid w:val="00A84EE0"/>
    <w:rPr>
      <w:sz w:val="20"/>
    </w:rPr>
  </w:style>
  <w:style w:type="character" w:customStyle="1" w:styleId="CommentTextChar">
    <w:name w:val="Comment Text Char"/>
    <w:basedOn w:val="DefaultParagraphFont"/>
    <w:link w:val="CommentText"/>
    <w:uiPriority w:val="99"/>
    <w:semiHidden/>
    <w:rsid w:val="00A84EE0"/>
  </w:style>
  <w:style w:type="paragraph" w:styleId="CommentSubject">
    <w:name w:val="annotation subject"/>
    <w:basedOn w:val="CommentText"/>
    <w:next w:val="CommentText"/>
    <w:link w:val="CommentSubjectChar"/>
    <w:uiPriority w:val="99"/>
    <w:semiHidden/>
    <w:rsid w:val="00A84EE0"/>
    <w:rPr>
      <w:b/>
      <w:bCs/>
    </w:rPr>
  </w:style>
  <w:style w:type="character" w:customStyle="1" w:styleId="CommentSubjectChar">
    <w:name w:val="Comment Subject Char"/>
    <w:basedOn w:val="CommentTextChar"/>
    <w:link w:val="CommentSubject"/>
    <w:uiPriority w:val="99"/>
    <w:semiHidden/>
    <w:rsid w:val="00A84EE0"/>
    <w:rPr>
      <w:b/>
      <w:bCs/>
    </w:rPr>
  </w:style>
  <w:style w:type="paragraph" w:styleId="Revision">
    <w:name w:val="Revision"/>
    <w:hidden/>
    <w:uiPriority w:val="99"/>
    <w:semiHidden/>
    <w:rsid w:val="00EA47D3"/>
    <w:rPr>
      <w:sz w:val="24"/>
    </w:rPr>
  </w:style>
  <w:style w:type="character" w:styleId="Mention">
    <w:name w:val="Mention"/>
    <w:basedOn w:val="DefaultParagraphFont"/>
    <w:uiPriority w:val="99"/>
    <w:unhideWhenUsed/>
    <w:rsid w:val="00450D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5365">
      <w:bodyDiv w:val="1"/>
      <w:marLeft w:val="0"/>
      <w:marRight w:val="0"/>
      <w:marTop w:val="0"/>
      <w:marBottom w:val="0"/>
      <w:divBdr>
        <w:top w:val="none" w:sz="0" w:space="0" w:color="auto"/>
        <w:left w:val="none" w:sz="0" w:space="0" w:color="auto"/>
        <w:bottom w:val="none" w:sz="0" w:space="0" w:color="auto"/>
        <w:right w:val="none" w:sz="0" w:space="0" w:color="auto"/>
      </w:divBdr>
    </w:div>
    <w:div w:id="510487674">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08727968">
      <w:bodyDiv w:val="1"/>
      <w:marLeft w:val="0"/>
      <w:marRight w:val="0"/>
      <w:marTop w:val="0"/>
      <w:marBottom w:val="0"/>
      <w:divBdr>
        <w:top w:val="none" w:sz="0" w:space="0" w:color="auto"/>
        <w:left w:val="none" w:sz="0" w:space="0" w:color="auto"/>
        <w:bottom w:val="none" w:sz="0" w:space="0" w:color="auto"/>
        <w:right w:val="none" w:sz="0" w:space="0" w:color="auto"/>
      </w:divBdr>
      <w:divsChild>
        <w:div w:id="18360574">
          <w:marLeft w:val="0"/>
          <w:marRight w:val="0"/>
          <w:marTop w:val="0"/>
          <w:marBottom w:val="0"/>
          <w:divBdr>
            <w:top w:val="none" w:sz="0" w:space="0" w:color="auto"/>
            <w:left w:val="none" w:sz="0" w:space="0" w:color="auto"/>
            <w:bottom w:val="none" w:sz="0" w:space="0" w:color="auto"/>
            <w:right w:val="none" w:sz="0" w:space="0" w:color="auto"/>
          </w:divBdr>
        </w:div>
        <w:div w:id="79061008">
          <w:marLeft w:val="0"/>
          <w:marRight w:val="0"/>
          <w:marTop w:val="0"/>
          <w:marBottom w:val="0"/>
          <w:divBdr>
            <w:top w:val="none" w:sz="0" w:space="0" w:color="auto"/>
            <w:left w:val="none" w:sz="0" w:space="0" w:color="auto"/>
            <w:bottom w:val="none" w:sz="0" w:space="0" w:color="auto"/>
            <w:right w:val="none" w:sz="0" w:space="0" w:color="auto"/>
          </w:divBdr>
        </w:div>
        <w:div w:id="84961125">
          <w:marLeft w:val="0"/>
          <w:marRight w:val="0"/>
          <w:marTop w:val="0"/>
          <w:marBottom w:val="0"/>
          <w:divBdr>
            <w:top w:val="none" w:sz="0" w:space="0" w:color="auto"/>
            <w:left w:val="none" w:sz="0" w:space="0" w:color="auto"/>
            <w:bottom w:val="none" w:sz="0" w:space="0" w:color="auto"/>
            <w:right w:val="none" w:sz="0" w:space="0" w:color="auto"/>
          </w:divBdr>
        </w:div>
        <w:div w:id="171992084">
          <w:marLeft w:val="0"/>
          <w:marRight w:val="0"/>
          <w:marTop w:val="0"/>
          <w:marBottom w:val="0"/>
          <w:divBdr>
            <w:top w:val="none" w:sz="0" w:space="0" w:color="auto"/>
            <w:left w:val="none" w:sz="0" w:space="0" w:color="auto"/>
            <w:bottom w:val="none" w:sz="0" w:space="0" w:color="auto"/>
            <w:right w:val="none" w:sz="0" w:space="0" w:color="auto"/>
          </w:divBdr>
        </w:div>
        <w:div w:id="187060831">
          <w:marLeft w:val="0"/>
          <w:marRight w:val="0"/>
          <w:marTop w:val="0"/>
          <w:marBottom w:val="0"/>
          <w:divBdr>
            <w:top w:val="none" w:sz="0" w:space="0" w:color="auto"/>
            <w:left w:val="none" w:sz="0" w:space="0" w:color="auto"/>
            <w:bottom w:val="none" w:sz="0" w:space="0" w:color="auto"/>
            <w:right w:val="none" w:sz="0" w:space="0" w:color="auto"/>
          </w:divBdr>
        </w:div>
        <w:div w:id="300574470">
          <w:marLeft w:val="0"/>
          <w:marRight w:val="0"/>
          <w:marTop w:val="0"/>
          <w:marBottom w:val="0"/>
          <w:divBdr>
            <w:top w:val="none" w:sz="0" w:space="0" w:color="auto"/>
            <w:left w:val="none" w:sz="0" w:space="0" w:color="auto"/>
            <w:bottom w:val="none" w:sz="0" w:space="0" w:color="auto"/>
            <w:right w:val="none" w:sz="0" w:space="0" w:color="auto"/>
          </w:divBdr>
        </w:div>
        <w:div w:id="356197399">
          <w:marLeft w:val="0"/>
          <w:marRight w:val="0"/>
          <w:marTop w:val="0"/>
          <w:marBottom w:val="0"/>
          <w:divBdr>
            <w:top w:val="none" w:sz="0" w:space="0" w:color="auto"/>
            <w:left w:val="none" w:sz="0" w:space="0" w:color="auto"/>
            <w:bottom w:val="none" w:sz="0" w:space="0" w:color="auto"/>
            <w:right w:val="none" w:sz="0" w:space="0" w:color="auto"/>
          </w:divBdr>
        </w:div>
        <w:div w:id="371686444">
          <w:marLeft w:val="0"/>
          <w:marRight w:val="0"/>
          <w:marTop w:val="0"/>
          <w:marBottom w:val="0"/>
          <w:divBdr>
            <w:top w:val="none" w:sz="0" w:space="0" w:color="auto"/>
            <w:left w:val="none" w:sz="0" w:space="0" w:color="auto"/>
            <w:bottom w:val="none" w:sz="0" w:space="0" w:color="auto"/>
            <w:right w:val="none" w:sz="0" w:space="0" w:color="auto"/>
          </w:divBdr>
        </w:div>
        <w:div w:id="378942439">
          <w:marLeft w:val="0"/>
          <w:marRight w:val="0"/>
          <w:marTop w:val="0"/>
          <w:marBottom w:val="0"/>
          <w:divBdr>
            <w:top w:val="none" w:sz="0" w:space="0" w:color="auto"/>
            <w:left w:val="none" w:sz="0" w:space="0" w:color="auto"/>
            <w:bottom w:val="none" w:sz="0" w:space="0" w:color="auto"/>
            <w:right w:val="none" w:sz="0" w:space="0" w:color="auto"/>
          </w:divBdr>
        </w:div>
        <w:div w:id="387219132">
          <w:marLeft w:val="0"/>
          <w:marRight w:val="0"/>
          <w:marTop w:val="0"/>
          <w:marBottom w:val="0"/>
          <w:divBdr>
            <w:top w:val="none" w:sz="0" w:space="0" w:color="auto"/>
            <w:left w:val="none" w:sz="0" w:space="0" w:color="auto"/>
            <w:bottom w:val="none" w:sz="0" w:space="0" w:color="auto"/>
            <w:right w:val="none" w:sz="0" w:space="0" w:color="auto"/>
          </w:divBdr>
        </w:div>
        <w:div w:id="449518712">
          <w:marLeft w:val="0"/>
          <w:marRight w:val="0"/>
          <w:marTop w:val="0"/>
          <w:marBottom w:val="0"/>
          <w:divBdr>
            <w:top w:val="none" w:sz="0" w:space="0" w:color="auto"/>
            <w:left w:val="none" w:sz="0" w:space="0" w:color="auto"/>
            <w:bottom w:val="none" w:sz="0" w:space="0" w:color="auto"/>
            <w:right w:val="none" w:sz="0" w:space="0" w:color="auto"/>
          </w:divBdr>
        </w:div>
        <w:div w:id="500658666">
          <w:marLeft w:val="0"/>
          <w:marRight w:val="0"/>
          <w:marTop w:val="0"/>
          <w:marBottom w:val="0"/>
          <w:divBdr>
            <w:top w:val="none" w:sz="0" w:space="0" w:color="auto"/>
            <w:left w:val="none" w:sz="0" w:space="0" w:color="auto"/>
            <w:bottom w:val="none" w:sz="0" w:space="0" w:color="auto"/>
            <w:right w:val="none" w:sz="0" w:space="0" w:color="auto"/>
          </w:divBdr>
        </w:div>
        <w:div w:id="517348699">
          <w:marLeft w:val="0"/>
          <w:marRight w:val="0"/>
          <w:marTop w:val="0"/>
          <w:marBottom w:val="0"/>
          <w:divBdr>
            <w:top w:val="none" w:sz="0" w:space="0" w:color="auto"/>
            <w:left w:val="none" w:sz="0" w:space="0" w:color="auto"/>
            <w:bottom w:val="none" w:sz="0" w:space="0" w:color="auto"/>
            <w:right w:val="none" w:sz="0" w:space="0" w:color="auto"/>
          </w:divBdr>
        </w:div>
        <w:div w:id="523910520">
          <w:marLeft w:val="0"/>
          <w:marRight w:val="0"/>
          <w:marTop w:val="0"/>
          <w:marBottom w:val="0"/>
          <w:divBdr>
            <w:top w:val="none" w:sz="0" w:space="0" w:color="auto"/>
            <w:left w:val="none" w:sz="0" w:space="0" w:color="auto"/>
            <w:bottom w:val="none" w:sz="0" w:space="0" w:color="auto"/>
            <w:right w:val="none" w:sz="0" w:space="0" w:color="auto"/>
          </w:divBdr>
        </w:div>
        <w:div w:id="566300988">
          <w:marLeft w:val="0"/>
          <w:marRight w:val="0"/>
          <w:marTop w:val="0"/>
          <w:marBottom w:val="0"/>
          <w:divBdr>
            <w:top w:val="none" w:sz="0" w:space="0" w:color="auto"/>
            <w:left w:val="none" w:sz="0" w:space="0" w:color="auto"/>
            <w:bottom w:val="none" w:sz="0" w:space="0" w:color="auto"/>
            <w:right w:val="none" w:sz="0" w:space="0" w:color="auto"/>
          </w:divBdr>
        </w:div>
        <w:div w:id="583219558">
          <w:marLeft w:val="0"/>
          <w:marRight w:val="0"/>
          <w:marTop w:val="0"/>
          <w:marBottom w:val="0"/>
          <w:divBdr>
            <w:top w:val="none" w:sz="0" w:space="0" w:color="auto"/>
            <w:left w:val="none" w:sz="0" w:space="0" w:color="auto"/>
            <w:bottom w:val="none" w:sz="0" w:space="0" w:color="auto"/>
            <w:right w:val="none" w:sz="0" w:space="0" w:color="auto"/>
          </w:divBdr>
        </w:div>
        <w:div w:id="610361057">
          <w:marLeft w:val="0"/>
          <w:marRight w:val="0"/>
          <w:marTop w:val="0"/>
          <w:marBottom w:val="0"/>
          <w:divBdr>
            <w:top w:val="none" w:sz="0" w:space="0" w:color="auto"/>
            <w:left w:val="none" w:sz="0" w:space="0" w:color="auto"/>
            <w:bottom w:val="none" w:sz="0" w:space="0" w:color="auto"/>
            <w:right w:val="none" w:sz="0" w:space="0" w:color="auto"/>
          </w:divBdr>
        </w:div>
        <w:div w:id="667948348">
          <w:marLeft w:val="0"/>
          <w:marRight w:val="0"/>
          <w:marTop w:val="0"/>
          <w:marBottom w:val="0"/>
          <w:divBdr>
            <w:top w:val="none" w:sz="0" w:space="0" w:color="auto"/>
            <w:left w:val="none" w:sz="0" w:space="0" w:color="auto"/>
            <w:bottom w:val="none" w:sz="0" w:space="0" w:color="auto"/>
            <w:right w:val="none" w:sz="0" w:space="0" w:color="auto"/>
          </w:divBdr>
        </w:div>
        <w:div w:id="674958749">
          <w:marLeft w:val="0"/>
          <w:marRight w:val="0"/>
          <w:marTop w:val="0"/>
          <w:marBottom w:val="0"/>
          <w:divBdr>
            <w:top w:val="none" w:sz="0" w:space="0" w:color="auto"/>
            <w:left w:val="none" w:sz="0" w:space="0" w:color="auto"/>
            <w:bottom w:val="none" w:sz="0" w:space="0" w:color="auto"/>
            <w:right w:val="none" w:sz="0" w:space="0" w:color="auto"/>
          </w:divBdr>
        </w:div>
        <w:div w:id="691687918">
          <w:marLeft w:val="0"/>
          <w:marRight w:val="0"/>
          <w:marTop w:val="0"/>
          <w:marBottom w:val="0"/>
          <w:divBdr>
            <w:top w:val="none" w:sz="0" w:space="0" w:color="auto"/>
            <w:left w:val="none" w:sz="0" w:space="0" w:color="auto"/>
            <w:bottom w:val="none" w:sz="0" w:space="0" w:color="auto"/>
            <w:right w:val="none" w:sz="0" w:space="0" w:color="auto"/>
          </w:divBdr>
        </w:div>
        <w:div w:id="776026202">
          <w:marLeft w:val="0"/>
          <w:marRight w:val="0"/>
          <w:marTop w:val="0"/>
          <w:marBottom w:val="0"/>
          <w:divBdr>
            <w:top w:val="none" w:sz="0" w:space="0" w:color="auto"/>
            <w:left w:val="none" w:sz="0" w:space="0" w:color="auto"/>
            <w:bottom w:val="none" w:sz="0" w:space="0" w:color="auto"/>
            <w:right w:val="none" w:sz="0" w:space="0" w:color="auto"/>
          </w:divBdr>
        </w:div>
        <w:div w:id="816607282">
          <w:marLeft w:val="0"/>
          <w:marRight w:val="0"/>
          <w:marTop w:val="0"/>
          <w:marBottom w:val="0"/>
          <w:divBdr>
            <w:top w:val="none" w:sz="0" w:space="0" w:color="auto"/>
            <w:left w:val="none" w:sz="0" w:space="0" w:color="auto"/>
            <w:bottom w:val="none" w:sz="0" w:space="0" w:color="auto"/>
            <w:right w:val="none" w:sz="0" w:space="0" w:color="auto"/>
          </w:divBdr>
        </w:div>
        <w:div w:id="846137530">
          <w:marLeft w:val="0"/>
          <w:marRight w:val="0"/>
          <w:marTop w:val="0"/>
          <w:marBottom w:val="0"/>
          <w:divBdr>
            <w:top w:val="none" w:sz="0" w:space="0" w:color="auto"/>
            <w:left w:val="none" w:sz="0" w:space="0" w:color="auto"/>
            <w:bottom w:val="none" w:sz="0" w:space="0" w:color="auto"/>
            <w:right w:val="none" w:sz="0" w:space="0" w:color="auto"/>
          </w:divBdr>
        </w:div>
        <w:div w:id="858473342">
          <w:marLeft w:val="0"/>
          <w:marRight w:val="0"/>
          <w:marTop w:val="0"/>
          <w:marBottom w:val="0"/>
          <w:divBdr>
            <w:top w:val="none" w:sz="0" w:space="0" w:color="auto"/>
            <w:left w:val="none" w:sz="0" w:space="0" w:color="auto"/>
            <w:bottom w:val="none" w:sz="0" w:space="0" w:color="auto"/>
            <w:right w:val="none" w:sz="0" w:space="0" w:color="auto"/>
          </w:divBdr>
        </w:div>
        <w:div w:id="944581543">
          <w:marLeft w:val="0"/>
          <w:marRight w:val="0"/>
          <w:marTop w:val="0"/>
          <w:marBottom w:val="0"/>
          <w:divBdr>
            <w:top w:val="none" w:sz="0" w:space="0" w:color="auto"/>
            <w:left w:val="none" w:sz="0" w:space="0" w:color="auto"/>
            <w:bottom w:val="none" w:sz="0" w:space="0" w:color="auto"/>
            <w:right w:val="none" w:sz="0" w:space="0" w:color="auto"/>
          </w:divBdr>
        </w:div>
        <w:div w:id="959341153">
          <w:marLeft w:val="0"/>
          <w:marRight w:val="0"/>
          <w:marTop w:val="0"/>
          <w:marBottom w:val="0"/>
          <w:divBdr>
            <w:top w:val="none" w:sz="0" w:space="0" w:color="auto"/>
            <w:left w:val="none" w:sz="0" w:space="0" w:color="auto"/>
            <w:bottom w:val="none" w:sz="0" w:space="0" w:color="auto"/>
            <w:right w:val="none" w:sz="0" w:space="0" w:color="auto"/>
          </w:divBdr>
        </w:div>
        <w:div w:id="1028481961">
          <w:marLeft w:val="0"/>
          <w:marRight w:val="0"/>
          <w:marTop w:val="0"/>
          <w:marBottom w:val="0"/>
          <w:divBdr>
            <w:top w:val="none" w:sz="0" w:space="0" w:color="auto"/>
            <w:left w:val="none" w:sz="0" w:space="0" w:color="auto"/>
            <w:bottom w:val="none" w:sz="0" w:space="0" w:color="auto"/>
            <w:right w:val="none" w:sz="0" w:space="0" w:color="auto"/>
          </w:divBdr>
        </w:div>
        <w:div w:id="1062560180">
          <w:marLeft w:val="0"/>
          <w:marRight w:val="0"/>
          <w:marTop w:val="0"/>
          <w:marBottom w:val="0"/>
          <w:divBdr>
            <w:top w:val="none" w:sz="0" w:space="0" w:color="auto"/>
            <w:left w:val="none" w:sz="0" w:space="0" w:color="auto"/>
            <w:bottom w:val="none" w:sz="0" w:space="0" w:color="auto"/>
            <w:right w:val="none" w:sz="0" w:space="0" w:color="auto"/>
          </w:divBdr>
        </w:div>
        <w:div w:id="1093167322">
          <w:marLeft w:val="0"/>
          <w:marRight w:val="0"/>
          <w:marTop w:val="0"/>
          <w:marBottom w:val="0"/>
          <w:divBdr>
            <w:top w:val="none" w:sz="0" w:space="0" w:color="auto"/>
            <w:left w:val="none" w:sz="0" w:space="0" w:color="auto"/>
            <w:bottom w:val="none" w:sz="0" w:space="0" w:color="auto"/>
            <w:right w:val="none" w:sz="0" w:space="0" w:color="auto"/>
          </w:divBdr>
        </w:div>
        <w:div w:id="1142842999">
          <w:marLeft w:val="0"/>
          <w:marRight w:val="0"/>
          <w:marTop w:val="0"/>
          <w:marBottom w:val="0"/>
          <w:divBdr>
            <w:top w:val="none" w:sz="0" w:space="0" w:color="auto"/>
            <w:left w:val="none" w:sz="0" w:space="0" w:color="auto"/>
            <w:bottom w:val="none" w:sz="0" w:space="0" w:color="auto"/>
            <w:right w:val="none" w:sz="0" w:space="0" w:color="auto"/>
          </w:divBdr>
        </w:div>
        <w:div w:id="1197768572">
          <w:marLeft w:val="0"/>
          <w:marRight w:val="0"/>
          <w:marTop w:val="0"/>
          <w:marBottom w:val="0"/>
          <w:divBdr>
            <w:top w:val="none" w:sz="0" w:space="0" w:color="auto"/>
            <w:left w:val="none" w:sz="0" w:space="0" w:color="auto"/>
            <w:bottom w:val="none" w:sz="0" w:space="0" w:color="auto"/>
            <w:right w:val="none" w:sz="0" w:space="0" w:color="auto"/>
          </w:divBdr>
        </w:div>
        <w:div w:id="1256286105">
          <w:marLeft w:val="0"/>
          <w:marRight w:val="0"/>
          <w:marTop w:val="0"/>
          <w:marBottom w:val="0"/>
          <w:divBdr>
            <w:top w:val="none" w:sz="0" w:space="0" w:color="auto"/>
            <w:left w:val="none" w:sz="0" w:space="0" w:color="auto"/>
            <w:bottom w:val="none" w:sz="0" w:space="0" w:color="auto"/>
            <w:right w:val="none" w:sz="0" w:space="0" w:color="auto"/>
          </w:divBdr>
        </w:div>
        <w:div w:id="1263025416">
          <w:marLeft w:val="0"/>
          <w:marRight w:val="0"/>
          <w:marTop w:val="0"/>
          <w:marBottom w:val="0"/>
          <w:divBdr>
            <w:top w:val="none" w:sz="0" w:space="0" w:color="auto"/>
            <w:left w:val="none" w:sz="0" w:space="0" w:color="auto"/>
            <w:bottom w:val="none" w:sz="0" w:space="0" w:color="auto"/>
            <w:right w:val="none" w:sz="0" w:space="0" w:color="auto"/>
          </w:divBdr>
        </w:div>
        <w:div w:id="1333334905">
          <w:marLeft w:val="0"/>
          <w:marRight w:val="0"/>
          <w:marTop w:val="0"/>
          <w:marBottom w:val="0"/>
          <w:divBdr>
            <w:top w:val="none" w:sz="0" w:space="0" w:color="auto"/>
            <w:left w:val="none" w:sz="0" w:space="0" w:color="auto"/>
            <w:bottom w:val="none" w:sz="0" w:space="0" w:color="auto"/>
            <w:right w:val="none" w:sz="0" w:space="0" w:color="auto"/>
          </w:divBdr>
        </w:div>
        <w:div w:id="1425765386">
          <w:marLeft w:val="0"/>
          <w:marRight w:val="0"/>
          <w:marTop w:val="0"/>
          <w:marBottom w:val="0"/>
          <w:divBdr>
            <w:top w:val="none" w:sz="0" w:space="0" w:color="auto"/>
            <w:left w:val="none" w:sz="0" w:space="0" w:color="auto"/>
            <w:bottom w:val="none" w:sz="0" w:space="0" w:color="auto"/>
            <w:right w:val="none" w:sz="0" w:space="0" w:color="auto"/>
          </w:divBdr>
        </w:div>
        <w:div w:id="1428037201">
          <w:marLeft w:val="0"/>
          <w:marRight w:val="0"/>
          <w:marTop w:val="0"/>
          <w:marBottom w:val="0"/>
          <w:divBdr>
            <w:top w:val="none" w:sz="0" w:space="0" w:color="auto"/>
            <w:left w:val="none" w:sz="0" w:space="0" w:color="auto"/>
            <w:bottom w:val="none" w:sz="0" w:space="0" w:color="auto"/>
            <w:right w:val="none" w:sz="0" w:space="0" w:color="auto"/>
          </w:divBdr>
        </w:div>
        <w:div w:id="1514685084">
          <w:marLeft w:val="0"/>
          <w:marRight w:val="0"/>
          <w:marTop w:val="0"/>
          <w:marBottom w:val="0"/>
          <w:divBdr>
            <w:top w:val="none" w:sz="0" w:space="0" w:color="auto"/>
            <w:left w:val="none" w:sz="0" w:space="0" w:color="auto"/>
            <w:bottom w:val="none" w:sz="0" w:space="0" w:color="auto"/>
            <w:right w:val="none" w:sz="0" w:space="0" w:color="auto"/>
          </w:divBdr>
        </w:div>
        <w:div w:id="1548754888">
          <w:marLeft w:val="0"/>
          <w:marRight w:val="0"/>
          <w:marTop w:val="0"/>
          <w:marBottom w:val="0"/>
          <w:divBdr>
            <w:top w:val="none" w:sz="0" w:space="0" w:color="auto"/>
            <w:left w:val="none" w:sz="0" w:space="0" w:color="auto"/>
            <w:bottom w:val="none" w:sz="0" w:space="0" w:color="auto"/>
            <w:right w:val="none" w:sz="0" w:space="0" w:color="auto"/>
          </w:divBdr>
        </w:div>
        <w:div w:id="1604805413">
          <w:marLeft w:val="0"/>
          <w:marRight w:val="0"/>
          <w:marTop w:val="0"/>
          <w:marBottom w:val="0"/>
          <w:divBdr>
            <w:top w:val="none" w:sz="0" w:space="0" w:color="auto"/>
            <w:left w:val="none" w:sz="0" w:space="0" w:color="auto"/>
            <w:bottom w:val="none" w:sz="0" w:space="0" w:color="auto"/>
            <w:right w:val="none" w:sz="0" w:space="0" w:color="auto"/>
          </w:divBdr>
        </w:div>
        <w:div w:id="1608736434">
          <w:marLeft w:val="0"/>
          <w:marRight w:val="0"/>
          <w:marTop w:val="0"/>
          <w:marBottom w:val="0"/>
          <w:divBdr>
            <w:top w:val="none" w:sz="0" w:space="0" w:color="auto"/>
            <w:left w:val="none" w:sz="0" w:space="0" w:color="auto"/>
            <w:bottom w:val="none" w:sz="0" w:space="0" w:color="auto"/>
            <w:right w:val="none" w:sz="0" w:space="0" w:color="auto"/>
          </w:divBdr>
        </w:div>
        <w:div w:id="1631126512">
          <w:marLeft w:val="0"/>
          <w:marRight w:val="0"/>
          <w:marTop w:val="0"/>
          <w:marBottom w:val="0"/>
          <w:divBdr>
            <w:top w:val="none" w:sz="0" w:space="0" w:color="auto"/>
            <w:left w:val="none" w:sz="0" w:space="0" w:color="auto"/>
            <w:bottom w:val="none" w:sz="0" w:space="0" w:color="auto"/>
            <w:right w:val="none" w:sz="0" w:space="0" w:color="auto"/>
          </w:divBdr>
        </w:div>
        <w:div w:id="1654262351">
          <w:marLeft w:val="0"/>
          <w:marRight w:val="0"/>
          <w:marTop w:val="0"/>
          <w:marBottom w:val="0"/>
          <w:divBdr>
            <w:top w:val="none" w:sz="0" w:space="0" w:color="auto"/>
            <w:left w:val="none" w:sz="0" w:space="0" w:color="auto"/>
            <w:bottom w:val="none" w:sz="0" w:space="0" w:color="auto"/>
            <w:right w:val="none" w:sz="0" w:space="0" w:color="auto"/>
          </w:divBdr>
        </w:div>
        <w:div w:id="1739743495">
          <w:marLeft w:val="0"/>
          <w:marRight w:val="0"/>
          <w:marTop w:val="0"/>
          <w:marBottom w:val="0"/>
          <w:divBdr>
            <w:top w:val="none" w:sz="0" w:space="0" w:color="auto"/>
            <w:left w:val="none" w:sz="0" w:space="0" w:color="auto"/>
            <w:bottom w:val="none" w:sz="0" w:space="0" w:color="auto"/>
            <w:right w:val="none" w:sz="0" w:space="0" w:color="auto"/>
          </w:divBdr>
        </w:div>
        <w:div w:id="1799453188">
          <w:marLeft w:val="0"/>
          <w:marRight w:val="0"/>
          <w:marTop w:val="0"/>
          <w:marBottom w:val="0"/>
          <w:divBdr>
            <w:top w:val="none" w:sz="0" w:space="0" w:color="auto"/>
            <w:left w:val="none" w:sz="0" w:space="0" w:color="auto"/>
            <w:bottom w:val="none" w:sz="0" w:space="0" w:color="auto"/>
            <w:right w:val="none" w:sz="0" w:space="0" w:color="auto"/>
          </w:divBdr>
        </w:div>
        <w:div w:id="1817796865">
          <w:marLeft w:val="0"/>
          <w:marRight w:val="0"/>
          <w:marTop w:val="0"/>
          <w:marBottom w:val="0"/>
          <w:divBdr>
            <w:top w:val="none" w:sz="0" w:space="0" w:color="auto"/>
            <w:left w:val="none" w:sz="0" w:space="0" w:color="auto"/>
            <w:bottom w:val="none" w:sz="0" w:space="0" w:color="auto"/>
            <w:right w:val="none" w:sz="0" w:space="0" w:color="auto"/>
          </w:divBdr>
        </w:div>
        <w:div w:id="1872641510">
          <w:marLeft w:val="0"/>
          <w:marRight w:val="0"/>
          <w:marTop w:val="0"/>
          <w:marBottom w:val="0"/>
          <w:divBdr>
            <w:top w:val="none" w:sz="0" w:space="0" w:color="auto"/>
            <w:left w:val="none" w:sz="0" w:space="0" w:color="auto"/>
            <w:bottom w:val="none" w:sz="0" w:space="0" w:color="auto"/>
            <w:right w:val="none" w:sz="0" w:space="0" w:color="auto"/>
          </w:divBdr>
        </w:div>
        <w:div w:id="1974871836">
          <w:marLeft w:val="0"/>
          <w:marRight w:val="0"/>
          <w:marTop w:val="0"/>
          <w:marBottom w:val="0"/>
          <w:divBdr>
            <w:top w:val="none" w:sz="0" w:space="0" w:color="auto"/>
            <w:left w:val="none" w:sz="0" w:space="0" w:color="auto"/>
            <w:bottom w:val="none" w:sz="0" w:space="0" w:color="auto"/>
            <w:right w:val="none" w:sz="0" w:space="0" w:color="auto"/>
          </w:divBdr>
        </w:div>
        <w:div w:id="1977566882">
          <w:marLeft w:val="0"/>
          <w:marRight w:val="0"/>
          <w:marTop w:val="0"/>
          <w:marBottom w:val="0"/>
          <w:divBdr>
            <w:top w:val="none" w:sz="0" w:space="0" w:color="auto"/>
            <w:left w:val="none" w:sz="0" w:space="0" w:color="auto"/>
            <w:bottom w:val="none" w:sz="0" w:space="0" w:color="auto"/>
            <w:right w:val="none" w:sz="0" w:space="0" w:color="auto"/>
          </w:divBdr>
        </w:div>
        <w:div w:id="2037343013">
          <w:marLeft w:val="0"/>
          <w:marRight w:val="0"/>
          <w:marTop w:val="0"/>
          <w:marBottom w:val="0"/>
          <w:divBdr>
            <w:top w:val="none" w:sz="0" w:space="0" w:color="auto"/>
            <w:left w:val="none" w:sz="0" w:space="0" w:color="auto"/>
            <w:bottom w:val="none" w:sz="0" w:space="0" w:color="auto"/>
            <w:right w:val="none" w:sz="0" w:space="0" w:color="auto"/>
          </w:divBdr>
        </w:div>
        <w:div w:id="2058818336">
          <w:marLeft w:val="0"/>
          <w:marRight w:val="0"/>
          <w:marTop w:val="0"/>
          <w:marBottom w:val="0"/>
          <w:divBdr>
            <w:top w:val="none" w:sz="0" w:space="0" w:color="auto"/>
            <w:left w:val="none" w:sz="0" w:space="0" w:color="auto"/>
            <w:bottom w:val="none" w:sz="0" w:space="0" w:color="auto"/>
            <w:right w:val="none" w:sz="0" w:space="0" w:color="auto"/>
          </w:divBdr>
        </w:div>
        <w:div w:id="2066297367">
          <w:marLeft w:val="0"/>
          <w:marRight w:val="0"/>
          <w:marTop w:val="0"/>
          <w:marBottom w:val="0"/>
          <w:divBdr>
            <w:top w:val="none" w:sz="0" w:space="0" w:color="auto"/>
            <w:left w:val="none" w:sz="0" w:space="0" w:color="auto"/>
            <w:bottom w:val="none" w:sz="0" w:space="0" w:color="auto"/>
            <w:right w:val="none" w:sz="0" w:space="0" w:color="auto"/>
          </w:divBdr>
        </w:div>
        <w:div w:id="2089493728">
          <w:marLeft w:val="0"/>
          <w:marRight w:val="0"/>
          <w:marTop w:val="0"/>
          <w:marBottom w:val="0"/>
          <w:divBdr>
            <w:top w:val="none" w:sz="0" w:space="0" w:color="auto"/>
            <w:left w:val="none" w:sz="0" w:space="0" w:color="auto"/>
            <w:bottom w:val="none" w:sz="0" w:space="0" w:color="auto"/>
            <w:right w:val="none" w:sz="0" w:space="0" w:color="auto"/>
          </w:divBdr>
        </w:div>
        <w:div w:id="2129008807">
          <w:marLeft w:val="0"/>
          <w:marRight w:val="0"/>
          <w:marTop w:val="0"/>
          <w:marBottom w:val="0"/>
          <w:divBdr>
            <w:top w:val="none" w:sz="0" w:space="0" w:color="auto"/>
            <w:left w:val="none" w:sz="0" w:space="0" w:color="auto"/>
            <w:bottom w:val="none" w:sz="0" w:space="0" w:color="auto"/>
            <w:right w:val="none" w:sz="0" w:space="0" w:color="auto"/>
          </w:divBdr>
        </w:div>
      </w:divsChild>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868184147">
      <w:bodyDiv w:val="1"/>
      <w:marLeft w:val="0"/>
      <w:marRight w:val="0"/>
      <w:marTop w:val="0"/>
      <w:marBottom w:val="0"/>
      <w:divBdr>
        <w:top w:val="none" w:sz="0" w:space="0" w:color="auto"/>
        <w:left w:val="none" w:sz="0" w:space="0" w:color="auto"/>
        <w:bottom w:val="none" w:sz="0" w:space="0" w:color="auto"/>
        <w:right w:val="none" w:sz="0" w:space="0" w:color="auto"/>
      </w:divBdr>
    </w:div>
    <w:div w:id="1081680054">
      <w:bodyDiv w:val="1"/>
      <w:marLeft w:val="0"/>
      <w:marRight w:val="0"/>
      <w:marTop w:val="0"/>
      <w:marBottom w:val="0"/>
      <w:divBdr>
        <w:top w:val="none" w:sz="0" w:space="0" w:color="auto"/>
        <w:left w:val="none" w:sz="0" w:space="0" w:color="auto"/>
        <w:bottom w:val="none" w:sz="0" w:space="0" w:color="auto"/>
        <w:right w:val="none" w:sz="0" w:space="0" w:color="auto"/>
      </w:divBdr>
    </w:div>
    <w:div w:id="1192915902">
      <w:bodyDiv w:val="1"/>
      <w:marLeft w:val="0"/>
      <w:marRight w:val="0"/>
      <w:marTop w:val="0"/>
      <w:marBottom w:val="0"/>
      <w:divBdr>
        <w:top w:val="none" w:sz="0" w:space="0" w:color="auto"/>
        <w:left w:val="none" w:sz="0" w:space="0" w:color="auto"/>
        <w:bottom w:val="none" w:sz="0" w:space="0" w:color="auto"/>
        <w:right w:val="none" w:sz="0" w:space="0" w:color="auto"/>
      </w:divBdr>
    </w:div>
    <w:div w:id="1617063341">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53109142">
      <w:bodyDiv w:val="1"/>
      <w:marLeft w:val="0"/>
      <w:marRight w:val="0"/>
      <w:marTop w:val="0"/>
      <w:marBottom w:val="0"/>
      <w:divBdr>
        <w:top w:val="none" w:sz="0" w:space="0" w:color="auto"/>
        <w:left w:val="none" w:sz="0" w:space="0" w:color="auto"/>
        <w:bottom w:val="none" w:sz="0" w:space="0" w:color="auto"/>
        <w:right w:val="none" w:sz="0" w:space="0" w:color="auto"/>
      </w:divBdr>
      <w:divsChild>
        <w:div w:id="60107061">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35879094">
          <w:marLeft w:val="0"/>
          <w:marRight w:val="0"/>
          <w:marTop w:val="0"/>
          <w:marBottom w:val="0"/>
          <w:divBdr>
            <w:top w:val="none" w:sz="0" w:space="0" w:color="auto"/>
            <w:left w:val="none" w:sz="0" w:space="0" w:color="auto"/>
            <w:bottom w:val="none" w:sz="0" w:space="0" w:color="auto"/>
            <w:right w:val="none" w:sz="0" w:space="0" w:color="auto"/>
          </w:divBdr>
        </w:div>
        <w:div w:id="158273089">
          <w:marLeft w:val="0"/>
          <w:marRight w:val="0"/>
          <w:marTop w:val="0"/>
          <w:marBottom w:val="0"/>
          <w:divBdr>
            <w:top w:val="none" w:sz="0" w:space="0" w:color="auto"/>
            <w:left w:val="none" w:sz="0" w:space="0" w:color="auto"/>
            <w:bottom w:val="none" w:sz="0" w:space="0" w:color="auto"/>
            <w:right w:val="none" w:sz="0" w:space="0" w:color="auto"/>
          </w:divBdr>
        </w:div>
        <w:div w:id="225193189">
          <w:marLeft w:val="0"/>
          <w:marRight w:val="0"/>
          <w:marTop w:val="0"/>
          <w:marBottom w:val="0"/>
          <w:divBdr>
            <w:top w:val="none" w:sz="0" w:space="0" w:color="auto"/>
            <w:left w:val="none" w:sz="0" w:space="0" w:color="auto"/>
            <w:bottom w:val="none" w:sz="0" w:space="0" w:color="auto"/>
            <w:right w:val="none" w:sz="0" w:space="0" w:color="auto"/>
          </w:divBdr>
        </w:div>
        <w:div w:id="286740797">
          <w:marLeft w:val="0"/>
          <w:marRight w:val="0"/>
          <w:marTop w:val="0"/>
          <w:marBottom w:val="0"/>
          <w:divBdr>
            <w:top w:val="none" w:sz="0" w:space="0" w:color="auto"/>
            <w:left w:val="none" w:sz="0" w:space="0" w:color="auto"/>
            <w:bottom w:val="none" w:sz="0" w:space="0" w:color="auto"/>
            <w:right w:val="none" w:sz="0" w:space="0" w:color="auto"/>
          </w:divBdr>
        </w:div>
        <w:div w:id="303394476">
          <w:marLeft w:val="0"/>
          <w:marRight w:val="0"/>
          <w:marTop w:val="0"/>
          <w:marBottom w:val="0"/>
          <w:divBdr>
            <w:top w:val="none" w:sz="0" w:space="0" w:color="auto"/>
            <w:left w:val="none" w:sz="0" w:space="0" w:color="auto"/>
            <w:bottom w:val="none" w:sz="0" w:space="0" w:color="auto"/>
            <w:right w:val="none" w:sz="0" w:space="0" w:color="auto"/>
          </w:divBdr>
        </w:div>
        <w:div w:id="338166651">
          <w:marLeft w:val="0"/>
          <w:marRight w:val="0"/>
          <w:marTop w:val="0"/>
          <w:marBottom w:val="0"/>
          <w:divBdr>
            <w:top w:val="none" w:sz="0" w:space="0" w:color="auto"/>
            <w:left w:val="none" w:sz="0" w:space="0" w:color="auto"/>
            <w:bottom w:val="none" w:sz="0" w:space="0" w:color="auto"/>
            <w:right w:val="none" w:sz="0" w:space="0" w:color="auto"/>
          </w:divBdr>
        </w:div>
        <w:div w:id="344214886">
          <w:marLeft w:val="0"/>
          <w:marRight w:val="0"/>
          <w:marTop w:val="0"/>
          <w:marBottom w:val="0"/>
          <w:divBdr>
            <w:top w:val="none" w:sz="0" w:space="0" w:color="auto"/>
            <w:left w:val="none" w:sz="0" w:space="0" w:color="auto"/>
            <w:bottom w:val="none" w:sz="0" w:space="0" w:color="auto"/>
            <w:right w:val="none" w:sz="0" w:space="0" w:color="auto"/>
          </w:divBdr>
        </w:div>
        <w:div w:id="382216120">
          <w:marLeft w:val="0"/>
          <w:marRight w:val="0"/>
          <w:marTop w:val="0"/>
          <w:marBottom w:val="0"/>
          <w:divBdr>
            <w:top w:val="none" w:sz="0" w:space="0" w:color="auto"/>
            <w:left w:val="none" w:sz="0" w:space="0" w:color="auto"/>
            <w:bottom w:val="none" w:sz="0" w:space="0" w:color="auto"/>
            <w:right w:val="none" w:sz="0" w:space="0" w:color="auto"/>
          </w:divBdr>
        </w:div>
        <w:div w:id="433474258">
          <w:marLeft w:val="0"/>
          <w:marRight w:val="0"/>
          <w:marTop w:val="0"/>
          <w:marBottom w:val="0"/>
          <w:divBdr>
            <w:top w:val="none" w:sz="0" w:space="0" w:color="auto"/>
            <w:left w:val="none" w:sz="0" w:space="0" w:color="auto"/>
            <w:bottom w:val="none" w:sz="0" w:space="0" w:color="auto"/>
            <w:right w:val="none" w:sz="0" w:space="0" w:color="auto"/>
          </w:divBdr>
        </w:div>
        <w:div w:id="490751311">
          <w:marLeft w:val="0"/>
          <w:marRight w:val="0"/>
          <w:marTop w:val="0"/>
          <w:marBottom w:val="0"/>
          <w:divBdr>
            <w:top w:val="none" w:sz="0" w:space="0" w:color="auto"/>
            <w:left w:val="none" w:sz="0" w:space="0" w:color="auto"/>
            <w:bottom w:val="none" w:sz="0" w:space="0" w:color="auto"/>
            <w:right w:val="none" w:sz="0" w:space="0" w:color="auto"/>
          </w:divBdr>
        </w:div>
        <w:div w:id="498275110">
          <w:marLeft w:val="0"/>
          <w:marRight w:val="0"/>
          <w:marTop w:val="0"/>
          <w:marBottom w:val="0"/>
          <w:divBdr>
            <w:top w:val="none" w:sz="0" w:space="0" w:color="auto"/>
            <w:left w:val="none" w:sz="0" w:space="0" w:color="auto"/>
            <w:bottom w:val="none" w:sz="0" w:space="0" w:color="auto"/>
            <w:right w:val="none" w:sz="0" w:space="0" w:color="auto"/>
          </w:divBdr>
        </w:div>
        <w:div w:id="622660731">
          <w:marLeft w:val="0"/>
          <w:marRight w:val="0"/>
          <w:marTop w:val="0"/>
          <w:marBottom w:val="0"/>
          <w:divBdr>
            <w:top w:val="none" w:sz="0" w:space="0" w:color="auto"/>
            <w:left w:val="none" w:sz="0" w:space="0" w:color="auto"/>
            <w:bottom w:val="none" w:sz="0" w:space="0" w:color="auto"/>
            <w:right w:val="none" w:sz="0" w:space="0" w:color="auto"/>
          </w:divBdr>
        </w:div>
        <w:div w:id="671492987">
          <w:marLeft w:val="0"/>
          <w:marRight w:val="0"/>
          <w:marTop w:val="0"/>
          <w:marBottom w:val="0"/>
          <w:divBdr>
            <w:top w:val="none" w:sz="0" w:space="0" w:color="auto"/>
            <w:left w:val="none" w:sz="0" w:space="0" w:color="auto"/>
            <w:bottom w:val="none" w:sz="0" w:space="0" w:color="auto"/>
            <w:right w:val="none" w:sz="0" w:space="0" w:color="auto"/>
          </w:divBdr>
        </w:div>
        <w:div w:id="723328916">
          <w:marLeft w:val="0"/>
          <w:marRight w:val="0"/>
          <w:marTop w:val="0"/>
          <w:marBottom w:val="0"/>
          <w:divBdr>
            <w:top w:val="none" w:sz="0" w:space="0" w:color="auto"/>
            <w:left w:val="none" w:sz="0" w:space="0" w:color="auto"/>
            <w:bottom w:val="none" w:sz="0" w:space="0" w:color="auto"/>
            <w:right w:val="none" w:sz="0" w:space="0" w:color="auto"/>
          </w:divBdr>
        </w:div>
        <w:div w:id="723985631">
          <w:marLeft w:val="0"/>
          <w:marRight w:val="0"/>
          <w:marTop w:val="0"/>
          <w:marBottom w:val="0"/>
          <w:divBdr>
            <w:top w:val="none" w:sz="0" w:space="0" w:color="auto"/>
            <w:left w:val="none" w:sz="0" w:space="0" w:color="auto"/>
            <w:bottom w:val="none" w:sz="0" w:space="0" w:color="auto"/>
            <w:right w:val="none" w:sz="0" w:space="0" w:color="auto"/>
          </w:divBdr>
        </w:div>
        <w:div w:id="795177728">
          <w:marLeft w:val="0"/>
          <w:marRight w:val="0"/>
          <w:marTop w:val="0"/>
          <w:marBottom w:val="0"/>
          <w:divBdr>
            <w:top w:val="none" w:sz="0" w:space="0" w:color="auto"/>
            <w:left w:val="none" w:sz="0" w:space="0" w:color="auto"/>
            <w:bottom w:val="none" w:sz="0" w:space="0" w:color="auto"/>
            <w:right w:val="none" w:sz="0" w:space="0" w:color="auto"/>
          </w:divBdr>
        </w:div>
        <w:div w:id="801532525">
          <w:marLeft w:val="0"/>
          <w:marRight w:val="0"/>
          <w:marTop w:val="0"/>
          <w:marBottom w:val="0"/>
          <w:divBdr>
            <w:top w:val="none" w:sz="0" w:space="0" w:color="auto"/>
            <w:left w:val="none" w:sz="0" w:space="0" w:color="auto"/>
            <w:bottom w:val="none" w:sz="0" w:space="0" w:color="auto"/>
            <w:right w:val="none" w:sz="0" w:space="0" w:color="auto"/>
          </w:divBdr>
        </w:div>
        <w:div w:id="939877086">
          <w:marLeft w:val="0"/>
          <w:marRight w:val="0"/>
          <w:marTop w:val="0"/>
          <w:marBottom w:val="0"/>
          <w:divBdr>
            <w:top w:val="none" w:sz="0" w:space="0" w:color="auto"/>
            <w:left w:val="none" w:sz="0" w:space="0" w:color="auto"/>
            <w:bottom w:val="none" w:sz="0" w:space="0" w:color="auto"/>
            <w:right w:val="none" w:sz="0" w:space="0" w:color="auto"/>
          </w:divBdr>
        </w:div>
        <w:div w:id="1080906610">
          <w:marLeft w:val="0"/>
          <w:marRight w:val="0"/>
          <w:marTop w:val="0"/>
          <w:marBottom w:val="0"/>
          <w:divBdr>
            <w:top w:val="none" w:sz="0" w:space="0" w:color="auto"/>
            <w:left w:val="none" w:sz="0" w:space="0" w:color="auto"/>
            <w:bottom w:val="none" w:sz="0" w:space="0" w:color="auto"/>
            <w:right w:val="none" w:sz="0" w:space="0" w:color="auto"/>
          </w:divBdr>
        </w:div>
        <w:div w:id="1106383239">
          <w:marLeft w:val="0"/>
          <w:marRight w:val="0"/>
          <w:marTop w:val="0"/>
          <w:marBottom w:val="0"/>
          <w:divBdr>
            <w:top w:val="none" w:sz="0" w:space="0" w:color="auto"/>
            <w:left w:val="none" w:sz="0" w:space="0" w:color="auto"/>
            <w:bottom w:val="none" w:sz="0" w:space="0" w:color="auto"/>
            <w:right w:val="none" w:sz="0" w:space="0" w:color="auto"/>
          </w:divBdr>
        </w:div>
        <w:div w:id="1114598875">
          <w:marLeft w:val="0"/>
          <w:marRight w:val="0"/>
          <w:marTop w:val="0"/>
          <w:marBottom w:val="0"/>
          <w:divBdr>
            <w:top w:val="none" w:sz="0" w:space="0" w:color="auto"/>
            <w:left w:val="none" w:sz="0" w:space="0" w:color="auto"/>
            <w:bottom w:val="none" w:sz="0" w:space="0" w:color="auto"/>
            <w:right w:val="none" w:sz="0" w:space="0" w:color="auto"/>
          </w:divBdr>
        </w:div>
        <w:div w:id="1121262208">
          <w:marLeft w:val="0"/>
          <w:marRight w:val="0"/>
          <w:marTop w:val="0"/>
          <w:marBottom w:val="0"/>
          <w:divBdr>
            <w:top w:val="none" w:sz="0" w:space="0" w:color="auto"/>
            <w:left w:val="none" w:sz="0" w:space="0" w:color="auto"/>
            <w:bottom w:val="none" w:sz="0" w:space="0" w:color="auto"/>
            <w:right w:val="none" w:sz="0" w:space="0" w:color="auto"/>
          </w:divBdr>
        </w:div>
        <w:div w:id="1150320346">
          <w:marLeft w:val="0"/>
          <w:marRight w:val="0"/>
          <w:marTop w:val="0"/>
          <w:marBottom w:val="0"/>
          <w:divBdr>
            <w:top w:val="none" w:sz="0" w:space="0" w:color="auto"/>
            <w:left w:val="none" w:sz="0" w:space="0" w:color="auto"/>
            <w:bottom w:val="none" w:sz="0" w:space="0" w:color="auto"/>
            <w:right w:val="none" w:sz="0" w:space="0" w:color="auto"/>
          </w:divBdr>
        </w:div>
        <w:div w:id="1194726889">
          <w:marLeft w:val="0"/>
          <w:marRight w:val="0"/>
          <w:marTop w:val="0"/>
          <w:marBottom w:val="0"/>
          <w:divBdr>
            <w:top w:val="none" w:sz="0" w:space="0" w:color="auto"/>
            <w:left w:val="none" w:sz="0" w:space="0" w:color="auto"/>
            <w:bottom w:val="none" w:sz="0" w:space="0" w:color="auto"/>
            <w:right w:val="none" w:sz="0" w:space="0" w:color="auto"/>
          </w:divBdr>
        </w:div>
        <w:div w:id="1248422723">
          <w:marLeft w:val="0"/>
          <w:marRight w:val="0"/>
          <w:marTop w:val="0"/>
          <w:marBottom w:val="0"/>
          <w:divBdr>
            <w:top w:val="none" w:sz="0" w:space="0" w:color="auto"/>
            <w:left w:val="none" w:sz="0" w:space="0" w:color="auto"/>
            <w:bottom w:val="none" w:sz="0" w:space="0" w:color="auto"/>
            <w:right w:val="none" w:sz="0" w:space="0" w:color="auto"/>
          </w:divBdr>
        </w:div>
        <w:div w:id="1290621620">
          <w:marLeft w:val="0"/>
          <w:marRight w:val="0"/>
          <w:marTop w:val="0"/>
          <w:marBottom w:val="0"/>
          <w:divBdr>
            <w:top w:val="none" w:sz="0" w:space="0" w:color="auto"/>
            <w:left w:val="none" w:sz="0" w:space="0" w:color="auto"/>
            <w:bottom w:val="none" w:sz="0" w:space="0" w:color="auto"/>
            <w:right w:val="none" w:sz="0" w:space="0" w:color="auto"/>
          </w:divBdr>
        </w:div>
        <w:div w:id="1336424216">
          <w:marLeft w:val="0"/>
          <w:marRight w:val="0"/>
          <w:marTop w:val="0"/>
          <w:marBottom w:val="0"/>
          <w:divBdr>
            <w:top w:val="none" w:sz="0" w:space="0" w:color="auto"/>
            <w:left w:val="none" w:sz="0" w:space="0" w:color="auto"/>
            <w:bottom w:val="none" w:sz="0" w:space="0" w:color="auto"/>
            <w:right w:val="none" w:sz="0" w:space="0" w:color="auto"/>
          </w:divBdr>
        </w:div>
        <w:div w:id="1354570229">
          <w:marLeft w:val="0"/>
          <w:marRight w:val="0"/>
          <w:marTop w:val="0"/>
          <w:marBottom w:val="0"/>
          <w:divBdr>
            <w:top w:val="none" w:sz="0" w:space="0" w:color="auto"/>
            <w:left w:val="none" w:sz="0" w:space="0" w:color="auto"/>
            <w:bottom w:val="none" w:sz="0" w:space="0" w:color="auto"/>
            <w:right w:val="none" w:sz="0" w:space="0" w:color="auto"/>
          </w:divBdr>
        </w:div>
        <w:div w:id="1362627116">
          <w:marLeft w:val="0"/>
          <w:marRight w:val="0"/>
          <w:marTop w:val="0"/>
          <w:marBottom w:val="0"/>
          <w:divBdr>
            <w:top w:val="none" w:sz="0" w:space="0" w:color="auto"/>
            <w:left w:val="none" w:sz="0" w:space="0" w:color="auto"/>
            <w:bottom w:val="none" w:sz="0" w:space="0" w:color="auto"/>
            <w:right w:val="none" w:sz="0" w:space="0" w:color="auto"/>
          </w:divBdr>
        </w:div>
        <w:div w:id="1391461729">
          <w:marLeft w:val="0"/>
          <w:marRight w:val="0"/>
          <w:marTop w:val="0"/>
          <w:marBottom w:val="0"/>
          <w:divBdr>
            <w:top w:val="none" w:sz="0" w:space="0" w:color="auto"/>
            <w:left w:val="none" w:sz="0" w:space="0" w:color="auto"/>
            <w:bottom w:val="none" w:sz="0" w:space="0" w:color="auto"/>
            <w:right w:val="none" w:sz="0" w:space="0" w:color="auto"/>
          </w:divBdr>
        </w:div>
        <w:div w:id="1399016512">
          <w:marLeft w:val="0"/>
          <w:marRight w:val="0"/>
          <w:marTop w:val="0"/>
          <w:marBottom w:val="0"/>
          <w:divBdr>
            <w:top w:val="none" w:sz="0" w:space="0" w:color="auto"/>
            <w:left w:val="none" w:sz="0" w:space="0" w:color="auto"/>
            <w:bottom w:val="none" w:sz="0" w:space="0" w:color="auto"/>
            <w:right w:val="none" w:sz="0" w:space="0" w:color="auto"/>
          </w:divBdr>
        </w:div>
        <w:div w:id="1469981450">
          <w:marLeft w:val="0"/>
          <w:marRight w:val="0"/>
          <w:marTop w:val="0"/>
          <w:marBottom w:val="0"/>
          <w:divBdr>
            <w:top w:val="none" w:sz="0" w:space="0" w:color="auto"/>
            <w:left w:val="none" w:sz="0" w:space="0" w:color="auto"/>
            <w:bottom w:val="none" w:sz="0" w:space="0" w:color="auto"/>
            <w:right w:val="none" w:sz="0" w:space="0" w:color="auto"/>
          </w:divBdr>
        </w:div>
        <w:div w:id="1472015448">
          <w:marLeft w:val="0"/>
          <w:marRight w:val="0"/>
          <w:marTop w:val="0"/>
          <w:marBottom w:val="0"/>
          <w:divBdr>
            <w:top w:val="none" w:sz="0" w:space="0" w:color="auto"/>
            <w:left w:val="none" w:sz="0" w:space="0" w:color="auto"/>
            <w:bottom w:val="none" w:sz="0" w:space="0" w:color="auto"/>
            <w:right w:val="none" w:sz="0" w:space="0" w:color="auto"/>
          </w:divBdr>
        </w:div>
        <w:div w:id="1505590079">
          <w:marLeft w:val="0"/>
          <w:marRight w:val="0"/>
          <w:marTop w:val="0"/>
          <w:marBottom w:val="0"/>
          <w:divBdr>
            <w:top w:val="none" w:sz="0" w:space="0" w:color="auto"/>
            <w:left w:val="none" w:sz="0" w:space="0" w:color="auto"/>
            <w:bottom w:val="none" w:sz="0" w:space="0" w:color="auto"/>
            <w:right w:val="none" w:sz="0" w:space="0" w:color="auto"/>
          </w:divBdr>
        </w:div>
        <w:div w:id="1536305973">
          <w:marLeft w:val="0"/>
          <w:marRight w:val="0"/>
          <w:marTop w:val="0"/>
          <w:marBottom w:val="0"/>
          <w:divBdr>
            <w:top w:val="none" w:sz="0" w:space="0" w:color="auto"/>
            <w:left w:val="none" w:sz="0" w:space="0" w:color="auto"/>
            <w:bottom w:val="none" w:sz="0" w:space="0" w:color="auto"/>
            <w:right w:val="none" w:sz="0" w:space="0" w:color="auto"/>
          </w:divBdr>
        </w:div>
        <w:div w:id="1547990424">
          <w:marLeft w:val="0"/>
          <w:marRight w:val="0"/>
          <w:marTop w:val="0"/>
          <w:marBottom w:val="0"/>
          <w:divBdr>
            <w:top w:val="none" w:sz="0" w:space="0" w:color="auto"/>
            <w:left w:val="none" w:sz="0" w:space="0" w:color="auto"/>
            <w:bottom w:val="none" w:sz="0" w:space="0" w:color="auto"/>
            <w:right w:val="none" w:sz="0" w:space="0" w:color="auto"/>
          </w:divBdr>
        </w:div>
        <w:div w:id="1606183417">
          <w:marLeft w:val="0"/>
          <w:marRight w:val="0"/>
          <w:marTop w:val="0"/>
          <w:marBottom w:val="0"/>
          <w:divBdr>
            <w:top w:val="none" w:sz="0" w:space="0" w:color="auto"/>
            <w:left w:val="none" w:sz="0" w:space="0" w:color="auto"/>
            <w:bottom w:val="none" w:sz="0" w:space="0" w:color="auto"/>
            <w:right w:val="none" w:sz="0" w:space="0" w:color="auto"/>
          </w:divBdr>
        </w:div>
        <w:div w:id="1616330695">
          <w:marLeft w:val="0"/>
          <w:marRight w:val="0"/>
          <w:marTop w:val="0"/>
          <w:marBottom w:val="0"/>
          <w:divBdr>
            <w:top w:val="none" w:sz="0" w:space="0" w:color="auto"/>
            <w:left w:val="none" w:sz="0" w:space="0" w:color="auto"/>
            <w:bottom w:val="none" w:sz="0" w:space="0" w:color="auto"/>
            <w:right w:val="none" w:sz="0" w:space="0" w:color="auto"/>
          </w:divBdr>
        </w:div>
        <w:div w:id="1637056237">
          <w:marLeft w:val="0"/>
          <w:marRight w:val="0"/>
          <w:marTop w:val="0"/>
          <w:marBottom w:val="0"/>
          <w:divBdr>
            <w:top w:val="none" w:sz="0" w:space="0" w:color="auto"/>
            <w:left w:val="none" w:sz="0" w:space="0" w:color="auto"/>
            <w:bottom w:val="none" w:sz="0" w:space="0" w:color="auto"/>
            <w:right w:val="none" w:sz="0" w:space="0" w:color="auto"/>
          </w:divBdr>
        </w:div>
        <w:div w:id="1644774764">
          <w:marLeft w:val="0"/>
          <w:marRight w:val="0"/>
          <w:marTop w:val="0"/>
          <w:marBottom w:val="0"/>
          <w:divBdr>
            <w:top w:val="none" w:sz="0" w:space="0" w:color="auto"/>
            <w:left w:val="none" w:sz="0" w:space="0" w:color="auto"/>
            <w:bottom w:val="none" w:sz="0" w:space="0" w:color="auto"/>
            <w:right w:val="none" w:sz="0" w:space="0" w:color="auto"/>
          </w:divBdr>
        </w:div>
        <w:div w:id="1667323148">
          <w:marLeft w:val="0"/>
          <w:marRight w:val="0"/>
          <w:marTop w:val="0"/>
          <w:marBottom w:val="0"/>
          <w:divBdr>
            <w:top w:val="none" w:sz="0" w:space="0" w:color="auto"/>
            <w:left w:val="none" w:sz="0" w:space="0" w:color="auto"/>
            <w:bottom w:val="none" w:sz="0" w:space="0" w:color="auto"/>
            <w:right w:val="none" w:sz="0" w:space="0" w:color="auto"/>
          </w:divBdr>
        </w:div>
        <w:div w:id="1677224026">
          <w:marLeft w:val="0"/>
          <w:marRight w:val="0"/>
          <w:marTop w:val="0"/>
          <w:marBottom w:val="0"/>
          <w:divBdr>
            <w:top w:val="none" w:sz="0" w:space="0" w:color="auto"/>
            <w:left w:val="none" w:sz="0" w:space="0" w:color="auto"/>
            <w:bottom w:val="none" w:sz="0" w:space="0" w:color="auto"/>
            <w:right w:val="none" w:sz="0" w:space="0" w:color="auto"/>
          </w:divBdr>
        </w:div>
        <w:div w:id="1715345420">
          <w:marLeft w:val="0"/>
          <w:marRight w:val="0"/>
          <w:marTop w:val="0"/>
          <w:marBottom w:val="0"/>
          <w:divBdr>
            <w:top w:val="none" w:sz="0" w:space="0" w:color="auto"/>
            <w:left w:val="none" w:sz="0" w:space="0" w:color="auto"/>
            <w:bottom w:val="none" w:sz="0" w:space="0" w:color="auto"/>
            <w:right w:val="none" w:sz="0" w:space="0" w:color="auto"/>
          </w:divBdr>
        </w:div>
        <w:div w:id="1743672111">
          <w:marLeft w:val="0"/>
          <w:marRight w:val="0"/>
          <w:marTop w:val="0"/>
          <w:marBottom w:val="0"/>
          <w:divBdr>
            <w:top w:val="none" w:sz="0" w:space="0" w:color="auto"/>
            <w:left w:val="none" w:sz="0" w:space="0" w:color="auto"/>
            <w:bottom w:val="none" w:sz="0" w:space="0" w:color="auto"/>
            <w:right w:val="none" w:sz="0" w:space="0" w:color="auto"/>
          </w:divBdr>
        </w:div>
        <w:div w:id="1809855778">
          <w:marLeft w:val="0"/>
          <w:marRight w:val="0"/>
          <w:marTop w:val="0"/>
          <w:marBottom w:val="0"/>
          <w:divBdr>
            <w:top w:val="none" w:sz="0" w:space="0" w:color="auto"/>
            <w:left w:val="none" w:sz="0" w:space="0" w:color="auto"/>
            <w:bottom w:val="none" w:sz="0" w:space="0" w:color="auto"/>
            <w:right w:val="none" w:sz="0" w:space="0" w:color="auto"/>
          </w:divBdr>
        </w:div>
        <w:div w:id="1831168991">
          <w:marLeft w:val="0"/>
          <w:marRight w:val="0"/>
          <w:marTop w:val="0"/>
          <w:marBottom w:val="0"/>
          <w:divBdr>
            <w:top w:val="none" w:sz="0" w:space="0" w:color="auto"/>
            <w:left w:val="none" w:sz="0" w:space="0" w:color="auto"/>
            <w:bottom w:val="none" w:sz="0" w:space="0" w:color="auto"/>
            <w:right w:val="none" w:sz="0" w:space="0" w:color="auto"/>
          </w:divBdr>
        </w:div>
        <w:div w:id="1861580968">
          <w:marLeft w:val="0"/>
          <w:marRight w:val="0"/>
          <w:marTop w:val="0"/>
          <w:marBottom w:val="0"/>
          <w:divBdr>
            <w:top w:val="none" w:sz="0" w:space="0" w:color="auto"/>
            <w:left w:val="none" w:sz="0" w:space="0" w:color="auto"/>
            <w:bottom w:val="none" w:sz="0" w:space="0" w:color="auto"/>
            <w:right w:val="none" w:sz="0" w:space="0" w:color="auto"/>
          </w:divBdr>
        </w:div>
        <w:div w:id="1955474320">
          <w:marLeft w:val="0"/>
          <w:marRight w:val="0"/>
          <w:marTop w:val="0"/>
          <w:marBottom w:val="0"/>
          <w:divBdr>
            <w:top w:val="none" w:sz="0" w:space="0" w:color="auto"/>
            <w:left w:val="none" w:sz="0" w:space="0" w:color="auto"/>
            <w:bottom w:val="none" w:sz="0" w:space="0" w:color="auto"/>
            <w:right w:val="none" w:sz="0" w:space="0" w:color="auto"/>
          </w:divBdr>
        </w:div>
        <w:div w:id="1965378797">
          <w:marLeft w:val="0"/>
          <w:marRight w:val="0"/>
          <w:marTop w:val="0"/>
          <w:marBottom w:val="0"/>
          <w:divBdr>
            <w:top w:val="none" w:sz="0" w:space="0" w:color="auto"/>
            <w:left w:val="none" w:sz="0" w:space="0" w:color="auto"/>
            <w:bottom w:val="none" w:sz="0" w:space="0" w:color="auto"/>
            <w:right w:val="none" w:sz="0" w:space="0" w:color="auto"/>
          </w:divBdr>
        </w:div>
        <w:div w:id="1991791925">
          <w:marLeft w:val="0"/>
          <w:marRight w:val="0"/>
          <w:marTop w:val="0"/>
          <w:marBottom w:val="0"/>
          <w:divBdr>
            <w:top w:val="none" w:sz="0" w:space="0" w:color="auto"/>
            <w:left w:val="none" w:sz="0" w:space="0" w:color="auto"/>
            <w:bottom w:val="none" w:sz="0" w:space="0" w:color="auto"/>
            <w:right w:val="none" w:sz="0" w:space="0" w:color="auto"/>
          </w:divBdr>
        </w:div>
        <w:div w:id="1992320997">
          <w:marLeft w:val="0"/>
          <w:marRight w:val="0"/>
          <w:marTop w:val="0"/>
          <w:marBottom w:val="0"/>
          <w:divBdr>
            <w:top w:val="none" w:sz="0" w:space="0" w:color="auto"/>
            <w:left w:val="none" w:sz="0" w:space="0" w:color="auto"/>
            <w:bottom w:val="none" w:sz="0" w:space="0" w:color="auto"/>
            <w:right w:val="none" w:sz="0" w:space="0" w:color="auto"/>
          </w:divBdr>
        </w:div>
      </w:divsChild>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10449475">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overnment-functional-standard-govs-013-counter-fraud" TargetMode="External"/><Relationship Id="rId21" Type="http://schemas.openxmlformats.org/officeDocument/2006/relationships/hyperlink" Target="https://www.gov.uk/government/publications/the-7-principles-of-public-life" TargetMode="External"/><Relationship Id="rId42" Type="http://schemas.openxmlformats.org/officeDocument/2006/relationships/hyperlink" Target="https://www.gov.uk/government/publications/government-financial-reporting-manual-2020-21" TargetMode="External"/><Relationship Id="rId47" Type="http://schemas.openxmlformats.org/officeDocument/2006/relationships/hyperlink" Target="https://www.ombudsman.org.uk/about-us/our-principles/principles-good-administration" TargetMode="External"/><Relationship Id="rId63" Type="http://schemas.openxmlformats.org/officeDocument/2006/relationships/hyperlink" Target="https://healthsharedservice-my.sharepoint.com/personal/keith_e_wright_dhsc_gov_uk/Documents/The%20Parliamentary%20and%20Health%20Service%20Ombudsman's%20principles%20of%20good%20administration" TargetMode="External"/><Relationship Id="rId68" Type="http://schemas.openxmlformats.org/officeDocument/2006/relationships/hyperlink" Target="https://www.gov.uk/government/publications/grants-standards" TargetMode="External"/><Relationship Id="rId84" Type="http://schemas.openxmlformats.org/officeDocument/2006/relationships/hyperlink" Target="https://www.gov.uk/government/publications/government-financial-reporting-manual-2020-21" TargetMode="External"/><Relationship Id="rId89" Type="http://schemas.openxmlformats.org/officeDocument/2006/relationships/hyperlink" Target="https://assets.publishing.service.gov.uk/government/uploads/system/uploads/attachment_data/file/690952/Public_Bodies_-_a_guide_for_departments_-_chapter_10.pdf" TargetMode="External"/><Relationship Id="rId7" Type="http://schemas.openxmlformats.org/officeDocument/2006/relationships/settings" Target="settings.xml"/><Relationship Id="rId71" Type="http://schemas.openxmlformats.org/officeDocument/2006/relationships/hyperlink" Target="https://www.gov.uk/government/publications/orange-book" TargetMode="External"/><Relationship Id="rId92" Type="http://schemas.openxmlformats.org/officeDocument/2006/relationships/hyperlink" Target="https://www.gov.uk/government/publications/security-policy-framework" TargetMode="External"/><Relationship Id="rId2" Type="http://schemas.openxmlformats.org/officeDocument/2006/relationships/customXml" Target="../customXml/item2.xml"/><Relationship Id="rId16" Type="http://schemas.openxmlformats.org/officeDocument/2006/relationships/hyperlink" Target="https://www.gov.uk/government/collections/functional-standards" TargetMode="External"/><Relationship Id="rId29" Type="http://schemas.openxmlformats.org/officeDocument/2006/relationships/hyperlink" Target="https://www.gov.uk/government/publications/public-sector-pay-and-terms-guidance-note)" TargetMode="External"/><Relationship Id="rId11" Type="http://schemas.openxmlformats.org/officeDocument/2006/relationships/header" Target="header1.xml"/><Relationship Id="rId24" Type="http://schemas.openxmlformats.org/officeDocument/2006/relationships/hyperlink" Target="https://www.gov.uk/government/publications/grants-standards" TargetMode="External"/><Relationship Id="rId32" Type="http://schemas.openxmlformats.org/officeDocument/2006/relationships/hyperlink" Target="https://www.gov.uk/government/publications/corporate-governance-code-for-central-government-departments" TargetMode="External"/><Relationship Id="rId37" Type="http://schemas.openxmlformats.org/officeDocument/2006/relationships/hyperlink" Target="https://www.gov.uk/government/publications/code-of-conduct-for-board-members-of-public-bodies" TargetMode="External"/><Relationship Id="rId40" Type="http://schemas.openxmlformats.org/officeDocument/2006/relationships/hyperlink" Target="https://www.gov.uk/government/publications/orange-book" TargetMode="External"/><Relationship Id="rId45" Type="http://schemas.openxmlformats.org/officeDocument/2006/relationships/hyperlink" Target="https://www.gov.uk/government/publications/government-functional-standard-govs-013-counter-fraud" TargetMode="External"/><Relationship Id="rId53" Type="http://schemas.openxmlformats.org/officeDocument/2006/relationships/hyperlink" Target="https://www.gov.uk/government/publications/managing-public-money" TargetMode="External"/><Relationship Id="rId58" Type="http://schemas.openxmlformats.org/officeDocument/2006/relationships/hyperlink" Target="https://www.gov.uk/government/publications/managing-public-money" TargetMode="External"/><Relationship Id="rId66" Type="http://schemas.openxmlformats.org/officeDocument/2006/relationships/hyperlink" Target="https://www.gov.uk/government/publications/managing-public-money" TargetMode="External"/><Relationship Id="rId74" Type="http://schemas.openxmlformats.org/officeDocument/2006/relationships/hyperlink" Target="https://www.gov.uk/government/publications/pay-framework-for-very-senior-managers" TargetMode="External"/><Relationship Id="rId79" Type="http://schemas.openxmlformats.org/officeDocument/2006/relationships/hyperlink" Target="https://assets.publishing.service.gov.uk/government/uploads/system/uploads/attachment_data/file/690948/Public_Bodies_-_a_guide_for_departments_-_chapter_5.pdf" TargetMode="External"/><Relationship Id="rId87" Type="http://schemas.openxmlformats.org/officeDocument/2006/relationships/hyperlink" Target="https://www.gov.uk/government/publications/managing-public-money"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healthsharedservice-my.sharepoint.com/personal/keith_e_wright_dhsc_gov_uk/Documents/Governance%20Code%20on%20Public%20Appointments" TargetMode="External"/><Relationship Id="rId82" Type="http://schemas.openxmlformats.org/officeDocument/2006/relationships/hyperlink" Target="https://www.gov.uk/government/publications/managing-public-money" TargetMode="External"/><Relationship Id="rId90" Type="http://schemas.openxmlformats.org/officeDocument/2006/relationships/hyperlink" Target="https://www.gov.uk/government/publications/greening-government-commitments-targets/greening-government-commitment-targets" TargetMode="External"/><Relationship Id="rId95" Type="http://schemas.openxmlformats.org/officeDocument/2006/relationships/hyperlink" Target="https://www.gov.uk/government/publications/confidentiality-nhs-code-of-practice" TargetMode="External"/><Relationship Id="rId19" Type="http://schemas.openxmlformats.org/officeDocument/2006/relationships/hyperlink" Target="https://www.gov.uk/government/publications/orange-book" TargetMode="External"/><Relationship Id="rId14" Type="http://schemas.openxmlformats.org/officeDocument/2006/relationships/header" Target="header2.xml"/><Relationship Id="rId22" Type="http://schemas.openxmlformats.org/officeDocument/2006/relationships/hyperlink" Target="https://www.gov.uk/government/publications/public-bodies-non-executive-director-principles/12-principles-of-governance-for-all-public-body-neds" TargetMode="External"/><Relationship Id="rId27" Type="http://schemas.openxmlformats.org/officeDocument/2006/relationships/hyperlink" Target="https://assets.publishing.service.gov.uk/government/uploads/system/uploads/attachment_data/file/690948/Public_Bodies_-_a_guide_for_departments_-_chapter_5.pdf" TargetMode="External"/><Relationship Id="rId30" Type="http://schemas.openxmlformats.org/officeDocument/2006/relationships/hyperlink" Target="https://www.gov.uk/government/publications/government-financial-reporting-manual-2020-21" TargetMode="External"/><Relationship Id="rId35" Type="http://schemas.openxmlformats.org/officeDocument/2006/relationships/hyperlink" Target="https://www.gov.uk/government/publications/greening-government-commitments-2021-to-2025/greening-government-commitments-2021-to-2025" TargetMode="External"/><Relationship Id="rId43" Type="http://schemas.openxmlformats.org/officeDocument/2006/relationships/hyperlink" Target="https://www.gov.uk/government/collections/dao-letters" TargetMode="External"/><Relationship Id="rId48" Type="http://schemas.openxmlformats.org/officeDocument/2006/relationships/hyperlink" Target="https://www.gov.uk/government/publications/partnerships-with-arms-length-bodies-code-of-good-practice" TargetMode="External"/><Relationship Id="rId56" Type="http://schemas.openxmlformats.org/officeDocument/2006/relationships/hyperlink" Target="https://www.gov.uk/government/publications/corporate-governance-code-for-central-government-departments-2017" TargetMode="External"/><Relationship Id="rId64" Type="http://schemas.openxmlformats.org/officeDocument/2006/relationships/hyperlink" Target="https://www.gov.uk/government/publications/public-bodies-non-executive-director-principles/12-principles-of-governance-for-all-public-body-neds" TargetMode="External"/><Relationship Id="rId69" Type="http://schemas.openxmlformats.org/officeDocument/2006/relationships/hyperlink" Target="https://www.gov.uk/government/publications/grants-standards" TargetMode="External"/><Relationship Id="rId77" Type="http://schemas.openxmlformats.org/officeDocument/2006/relationships/hyperlink" Target="https://healthsharedservice-my.sharepoint.com/personal/keith_e_wright_dhsc_gov_uk/Documents/Guidance%20for%20approval%20of%20senior%20pay" TargetMode="External"/><Relationship Id="rId100" Type="http://schemas.openxmlformats.org/officeDocument/2006/relationships/hyperlink" Target="http://nationalarchives.gov.uk/doc/open-government-licence/version/3/" TargetMode="External"/><Relationship Id="rId8" Type="http://schemas.openxmlformats.org/officeDocument/2006/relationships/webSettings" Target="webSettings.xml"/><Relationship Id="rId51" Type="http://schemas.openxmlformats.org/officeDocument/2006/relationships/hyperlink" Target="https://www.gov.uk/government/collections/functional-standards" TargetMode="External"/><Relationship Id="rId72" Type="http://schemas.openxmlformats.org/officeDocument/2006/relationships/hyperlink" Target="https://healthsharedservice-my.sharepoint.com/personal/keith_e_wright_dhsc_gov_uk/Documents/Government%20Functional%20Standard:%20Fraud&#160;" TargetMode="External"/><Relationship Id="rId80" Type="http://schemas.openxmlformats.org/officeDocument/2006/relationships/hyperlink" Target="https://www.gov.uk/government/publications/public-sector-pay-and-terms-guidance-note" TargetMode="External"/><Relationship Id="rId85" Type="http://schemas.openxmlformats.org/officeDocument/2006/relationships/hyperlink" Target="https://www.gov.uk/government/publications/public-sector-internal-audit-standards" TargetMode="External"/><Relationship Id="rId93" Type="http://schemas.openxmlformats.org/officeDocument/2006/relationships/hyperlink" Target="https://www.gov.uk/government/publications/security-policy-framework" TargetMode="External"/><Relationship Id="rId98" Type="http://schemas.openxmlformats.org/officeDocument/2006/relationships/hyperlink" Target="https://www.gov.uk/government/publications/managing-public-money"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publicappointments.cabinetoffice.gov.uk/wp-content/uploads/2019/11/Public-Appointments-No.-2-Order-in-Council-2019.pdf" TargetMode="External"/><Relationship Id="rId25" Type="http://schemas.openxmlformats.org/officeDocument/2006/relationships/hyperlink" Target="https://www.gov.uk/government/publications/government-functional-standard-govs-013-counter-fraud" TargetMode="External"/><Relationship Id="rId33" Type="http://schemas.openxmlformats.org/officeDocument/2006/relationships/hyperlink" Target="http://www.bl.uk/aboutus/governance/blboard/Board%20Code%20of%20Practice%202011.pdf" TargetMode="External"/><Relationship Id="rId38" Type="http://schemas.openxmlformats.org/officeDocument/2006/relationships/hyperlink" Target="https://www.gov.uk/government/publications/managing-public-money" TargetMode="External"/><Relationship Id="rId46" Type="http://schemas.openxmlformats.org/officeDocument/2006/relationships/hyperlink" Target="https://www.gov.uk/government/publications/government-functional-standard-govs-013-counter-fraud" TargetMode="External"/><Relationship Id="rId59" Type="http://schemas.openxmlformats.org/officeDocument/2006/relationships/hyperlink" Target="https://www.gov.uk/government/publications/managing-public-money" TargetMode="External"/><Relationship Id="rId67" Type="http://schemas.openxmlformats.org/officeDocument/2006/relationships/hyperlink" Target="https://www.gov.uk/government/publications/commercial-operating-standards-for-government" TargetMode="External"/><Relationship Id="rId103" Type="http://schemas.openxmlformats.org/officeDocument/2006/relationships/theme" Target="theme/theme1.xml"/><Relationship Id="rId20" Type="http://schemas.openxmlformats.org/officeDocument/2006/relationships/hyperlink" Target="https://www.gov.uk/government/publications/code-of-conduct-for-board-members-of-public-bodies" TargetMode="External"/><Relationship Id="rId41" Type="http://schemas.openxmlformats.org/officeDocument/2006/relationships/hyperlink" Target="https://www.gov.uk/government/publications/government-financial-reporting-manual-2020-21" TargetMode="External"/><Relationship Id="rId54" Type="http://schemas.openxmlformats.org/officeDocument/2006/relationships/hyperlink" Target="https://www.gov.uk/government/collections/dao-letters" TargetMode="External"/><Relationship Id="rId62" Type="http://schemas.openxmlformats.org/officeDocument/2006/relationships/hyperlink" Target="https://healthsharedservice-my.sharepoint.com/personal/keith_e_wright_dhsc_gov_uk/Documents/The%20Seven%20Principles%20of%20Public%20Life" TargetMode="External"/><Relationship Id="rId70" Type="http://schemas.openxmlformats.org/officeDocument/2006/relationships/hyperlink" Target="https://www.legislation.gov.uk/uksi/2015/102/contents/made" TargetMode="External"/><Relationship Id="rId75" Type="http://schemas.openxmlformats.org/officeDocument/2006/relationships/hyperlink" Target="https://www.gov.uk/government/publications/civil-servants-terms-and-conditions" TargetMode="External"/><Relationship Id="rId83" Type="http://schemas.openxmlformats.org/officeDocument/2006/relationships/hyperlink" Target="https://www.gov.uk/government/publications/government-financial-reporting-manual-2020-21" TargetMode="External"/><Relationship Id="rId88" Type="http://schemas.openxmlformats.org/officeDocument/2006/relationships/hyperlink" Target="https://www.gov.uk/government/collections/dao-letters" TargetMode="External"/><Relationship Id="rId91" Type="http://schemas.openxmlformats.org/officeDocument/2006/relationships/hyperlink" Target="https://nww.igt.hscic.gov.uk/" TargetMode="External"/><Relationship Id="rId96" Type="http://schemas.openxmlformats.org/officeDocument/2006/relationships/hyperlink" Target="https://www.nhsx.nhs.uk/information-governance/guidance/records-management-co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609668/PU2076_corporate_governance_guidance.pdf" TargetMode="External"/><Relationship Id="rId23" Type="http://schemas.openxmlformats.org/officeDocument/2006/relationships/hyperlink" Target="https://www.gov.uk/government/publications/commercial-operating-standards-for-government" TargetMode="External"/><Relationship Id="rId28" Type="http://schemas.openxmlformats.org/officeDocument/2006/relationships/hyperlink" Target="https://www.gov.uk/government/publications/senior-civil-service-pay-and-reward" TargetMode="External"/><Relationship Id="rId36" Type="http://schemas.openxmlformats.org/officeDocument/2006/relationships/hyperlink" Target="https://www.gov.uk/government/publications/corporate-governance-code-for-central-government-departments-2017" TargetMode="External"/><Relationship Id="rId49" Type="http://schemas.openxmlformats.org/officeDocument/2006/relationships/hyperlink" Target="https://www.gov.uk/government/publications/partnerships-with-arms-length-bodies-code-of-good-practice" TargetMode="External"/><Relationship Id="rId57" Type="http://schemas.openxmlformats.org/officeDocument/2006/relationships/hyperlink" Target="https://www.gov.uk/government/collections/functional-standards" TargetMode="External"/><Relationship Id="rId10" Type="http://schemas.openxmlformats.org/officeDocument/2006/relationships/endnotes" Target="endnotes.xml"/><Relationship Id="rId31" Type="http://schemas.openxmlformats.org/officeDocument/2006/relationships/hyperlink" Target="https://www.gov.uk/government/topics/government-efficiency-transparency-and-accountability" TargetMode="External"/><Relationship Id="rId44" Type="http://schemas.openxmlformats.org/officeDocument/2006/relationships/hyperlink" Target="https://www.gov.uk/government/collections/dao-letters" TargetMode="External"/><Relationship Id="rId52" Type="http://schemas.openxmlformats.org/officeDocument/2006/relationships/hyperlink" Target="https://www.gov.uk/government/publications/partnerships-with-arms-length-bodies-code-of-good-practice" TargetMode="External"/><Relationship Id="rId60" Type="http://schemas.openxmlformats.org/officeDocument/2006/relationships/hyperlink" Target="https://publicappointments.cabinetoffice.gov.uk/wp-content/uploads/2019/11/Public-Appointments-No.-2-Order-in-Council-2019.pdf" TargetMode="External"/><Relationship Id="rId65" Type="http://schemas.openxmlformats.org/officeDocument/2006/relationships/hyperlink" Target="https://www.gov.uk/government/publications/managing-public-money" TargetMode="External"/><Relationship Id="rId73" Type="http://schemas.openxmlformats.org/officeDocument/2006/relationships/hyperlink" Target="https://www.gov.uk/government/publications/managing-public-money" TargetMode="External"/><Relationship Id="rId78" Type="http://schemas.openxmlformats.org/officeDocument/2006/relationships/hyperlink" Target="https://www.gov.uk/government/publications/senior-civil-service-pay-and-reward" TargetMode="External"/><Relationship Id="rId81" Type="http://schemas.openxmlformats.org/officeDocument/2006/relationships/hyperlink" Target="https://www.gov.uk/government/publications/public-sector-pay-and-terms-guidance-note" TargetMode="External"/><Relationship Id="rId86" Type="http://schemas.openxmlformats.org/officeDocument/2006/relationships/hyperlink" Target="https://www.gov.uk/government/publications/managing-public-money" TargetMode="External"/><Relationship Id="rId94" Type="http://schemas.openxmlformats.org/officeDocument/2006/relationships/hyperlink" Target="https://www.gov.uk/government/publications/information-security-management-nhs-code-of-practice" TargetMode="External"/><Relationship Id="rId99" Type="http://schemas.openxmlformats.org/officeDocument/2006/relationships/hyperlink" Target="http://www.gov.uk/dhsc" TargetMode="External"/><Relationship Id="rId10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assets.publishing.service.gov.uk/government/uploads/system/uploads/attachment_data/file/578498/governance_code_on_public_appointments_16_12_2016.pdf" TargetMode="External"/><Relationship Id="rId39" Type="http://schemas.openxmlformats.org/officeDocument/2006/relationships/hyperlink" Target="https://www.gov.uk/government/publications/public-sector-internal-audit-standards" TargetMode="External"/><Relationship Id="rId34" Type="http://schemas.openxmlformats.org/officeDocument/2006/relationships/hyperlink" Target="http://www.civilservice.gov.uk/wp-content/uploads/2011/09/5_public_body_staffv2_tcm6-2484.pdf" TargetMode="External"/><Relationship Id="rId50" Type="http://schemas.openxmlformats.org/officeDocument/2006/relationships/hyperlink" Target="https://assets.publishing.service.gov.uk/government/uploads/system/uploads/attachment_data/file/690948/Public_Bodies_-_a_guide_for_departments_-_chapter_5.pdf" TargetMode="External"/><Relationship Id="rId55" Type="http://schemas.openxmlformats.org/officeDocument/2006/relationships/hyperlink" Target="https://www.gov.uk/government/collections/dao-letters" TargetMode="External"/><Relationship Id="rId76" Type="http://schemas.openxmlformats.org/officeDocument/2006/relationships/hyperlink" Target="https://www.gov.uk/government/publications/civil-servants-terms-and-conditions" TargetMode="External"/><Relationship Id="rId97" Type="http://schemas.openxmlformats.org/officeDocument/2006/relationships/hyperlink" Target="https://www.dsptoolkit.nhs.uk/Organisation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F9E2FE79AFA843B0CCF1BFA15B296C" ma:contentTypeVersion="10" ma:contentTypeDescription="Create a new document." ma:contentTypeScope="" ma:versionID="db7570778c88613a9ef5cca3c01cfc33">
  <xsd:schema xmlns:xsd="http://www.w3.org/2001/XMLSchema" xmlns:xs="http://www.w3.org/2001/XMLSchema" xmlns:p="http://schemas.microsoft.com/office/2006/metadata/properties" xmlns:ns2="86a6b958-81bd-4692-ae46-22ba05772947" targetNamespace="http://schemas.microsoft.com/office/2006/metadata/properties" ma:root="true" ma:fieldsID="cf295fb42e891aad6ff3b0db134024fd" ns2:_="">
    <xsd:import namespace="86a6b958-81bd-4692-ae46-22ba05772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6b958-81bd-4692-ae46-22ba05772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CB27A-2C33-4857-9354-83CF76D03472}">
  <ds:schemaRefs>
    <ds:schemaRef ds:uri="http://schemas.openxmlformats.org/officeDocument/2006/bibliography"/>
  </ds:schemaRefs>
</ds:datastoreItem>
</file>

<file path=customXml/itemProps2.xml><?xml version="1.0" encoding="utf-8"?>
<ds:datastoreItem xmlns:ds="http://schemas.openxmlformats.org/officeDocument/2006/customXml" ds:itemID="{9EE97B01-1624-4DE1-8090-4B1E63DAE507}">
  <ds:schemaRefs>
    <ds:schemaRef ds:uri="http://schemas.microsoft.com/sharepoint/v3/contenttype/forms"/>
  </ds:schemaRefs>
</ds:datastoreItem>
</file>

<file path=customXml/itemProps3.xml><?xml version="1.0" encoding="utf-8"?>
<ds:datastoreItem xmlns:ds="http://schemas.openxmlformats.org/officeDocument/2006/customXml" ds:itemID="{783F5D67-7C8A-41C4-9E81-D4F244622A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5ED531-9B6E-401A-80D9-56BF9078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6b958-81bd-4692-ae46-22ba0577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12481</Words>
  <Characters>79337</Characters>
  <Application>Microsoft Office Word</Application>
  <DocSecurity>4</DocSecurity>
  <Lines>661</Lines>
  <Paragraphs>183</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[Insert title of report]</vt:lpstr>
      <vt:lpstr>    Introduction and background </vt:lpstr>
      <vt:lpstr>        Purpose of document </vt:lpstr>
      <vt:lpstr>        Objectives </vt:lpstr>
      <vt:lpstr>    Purposes, aims and duties </vt:lpstr>
      <vt:lpstr>        Purposes </vt:lpstr>
      <vt:lpstr>        Powers and duties </vt:lpstr>
      <vt:lpstr>        Aims </vt:lpstr>
      <vt:lpstr>        Governance and accountability </vt:lpstr>
      <vt:lpstr>        Cross-government clearance</vt:lpstr>
      <vt:lpstr>    Role of the department </vt:lpstr>
      <vt:lpstr>        The responsible minister </vt:lpstr>
      <vt:lpstr>        Appointments to the board</vt:lpstr>
      <vt:lpstr>        Other ministerial powers and responsibilities</vt:lpstr>
      <vt:lpstr>        The principal accounting officer  </vt:lpstr>
      <vt:lpstr>        The role of the sponsorship team </vt:lpstr>
      <vt:lpstr>        Resolution of disputes between HEE and department </vt:lpstr>
      <vt:lpstr>        Freedom of information requests </vt:lpstr>
      <vt:lpstr>        Reporting on legal risk and litigation </vt:lpstr>
      <vt:lpstr>    HEE governance and structure </vt:lpstr>
      <vt:lpstr>        The chief executive</vt:lpstr>
      <vt:lpstr>        The Board </vt:lpstr>
      <vt:lpstr>        The Chair’s role and responsibilities </vt:lpstr>
      <vt:lpstr>        Individual board members’ responsibilities </vt:lpstr>
      <vt:lpstr>    Management and financial responsibilities and controls </vt:lpstr>
      <vt:lpstr>        Delegated authorities </vt:lpstr>
      <vt:lpstr>        Spending authority </vt:lpstr>
      <vt:lpstr>        Banking and managing cash </vt:lpstr>
      <vt:lpstr>        Procurement </vt:lpstr>
      <vt:lpstr>        Risk management </vt:lpstr>
      <vt:lpstr>        Counter fraud and theft </vt:lpstr>
      <vt:lpstr>        Staff</vt:lpstr>
      <vt:lpstr>    Business Plans, financial reporting and management information </vt:lpstr>
      <vt:lpstr>        Mandate, corporate and business plans </vt:lpstr>
      <vt:lpstr>        Budgeting procedures </vt:lpstr>
      <vt:lpstr>        Grant-in-aid and any ring-fenced grants </vt:lpstr>
      <vt:lpstr>        Annual report and accounts </vt:lpstr>
      <vt:lpstr>        Reporting performance to the department </vt:lpstr>
      <vt:lpstr>        Information sharing </vt:lpstr>
      <vt:lpstr>    Audit</vt:lpstr>
      <vt:lpstr>        Internal audit </vt:lpstr>
      <vt:lpstr>        External audit </vt:lpstr>
      <vt:lpstr>    Reviews and winding up arrangements </vt:lpstr>
      <vt:lpstr>        Review of HEE’s status </vt:lpstr>
      <vt:lpstr>        Arrangements in the event that HEE is wound up </vt:lpstr>
      <vt:lpstr>    Public and parliamentary accountability</vt:lpstr>
      <vt:lpstr>        Parliamentary accountability</vt:lpstr>
      <vt:lpstr>        Public accountability</vt:lpstr>
      <vt:lpstr>    Other matters</vt:lpstr>
      <vt:lpstr>        Equalities and other legal duties</vt:lpstr>
      <vt:lpstr>        Partnership working</vt:lpstr>
      <vt:lpstr>        Relationships with the department's other arm's length bodies</vt:lpstr>
      <vt:lpstr>        Transparency</vt:lpstr>
      <vt:lpstr>        Sustainability</vt:lpstr>
      <vt:lpstr>        Communications responsibilities</vt:lpstr>
      <vt:lpstr>    Annex A  Guidance  </vt:lpstr>
      <vt:lpstr>        General </vt:lpstr>
      <vt:lpstr>        Specific areas in agreement </vt:lpstr>
      <vt:lpstr>        DHSC specific  </vt:lpstr>
      <vt:lpstr/>
    </vt:vector>
  </TitlesOfParts>
  <Manager>DHSC</Manager>
  <Company>DHSC</Company>
  <LinksUpToDate>false</LinksUpToDate>
  <CharactersWithSpaces>91635</CharactersWithSpaces>
  <SharedDoc>false</SharedDoc>
  <HLinks>
    <vt:vector size="876" baseType="variant">
      <vt:variant>
        <vt:i4>5505106</vt:i4>
      </vt:variant>
      <vt:variant>
        <vt:i4>606</vt:i4>
      </vt:variant>
      <vt:variant>
        <vt:i4>0</vt:i4>
      </vt:variant>
      <vt:variant>
        <vt:i4>5</vt:i4>
      </vt:variant>
      <vt:variant>
        <vt:lpwstr>http://nationalarchives.gov.uk/doc/open-government-licence/version/3/</vt:lpwstr>
      </vt:variant>
      <vt:variant>
        <vt:lpwstr/>
      </vt:variant>
      <vt:variant>
        <vt:i4>7012461</vt:i4>
      </vt:variant>
      <vt:variant>
        <vt:i4>603</vt:i4>
      </vt:variant>
      <vt:variant>
        <vt:i4>0</vt:i4>
      </vt:variant>
      <vt:variant>
        <vt:i4>5</vt:i4>
      </vt:variant>
      <vt:variant>
        <vt:lpwstr>http://www.gov.uk/dhsc</vt:lpwstr>
      </vt:variant>
      <vt:variant>
        <vt:lpwstr/>
      </vt:variant>
      <vt:variant>
        <vt:i4>1572894</vt:i4>
      </vt:variant>
      <vt:variant>
        <vt:i4>600</vt:i4>
      </vt:variant>
      <vt:variant>
        <vt:i4>0</vt:i4>
      </vt:variant>
      <vt:variant>
        <vt:i4>5</vt:i4>
      </vt:variant>
      <vt:variant>
        <vt:lpwstr>https://www.gov.uk/government/publications/managing-public-money</vt:lpwstr>
      </vt:variant>
      <vt:variant>
        <vt:lpwstr/>
      </vt:variant>
      <vt:variant>
        <vt:i4>1769538</vt:i4>
      </vt:variant>
      <vt:variant>
        <vt:i4>597</vt:i4>
      </vt:variant>
      <vt:variant>
        <vt:i4>0</vt:i4>
      </vt:variant>
      <vt:variant>
        <vt:i4>5</vt:i4>
      </vt:variant>
      <vt:variant>
        <vt:lpwstr>https://www.dsptoolkit.nhs.uk/OrganisationSearch</vt:lpwstr>
      </vt:variant>
      <vt:variant>
        <vt:lpwstr/>
      </vt:variant>
      <vt:variant>
        <vt:i4>7274547</vt:i4>
      </vt:variant>
      <vt:variant>
        <vt:i4>594</vt:i4>
      </vt:variant>
      <vt:variant>
        <vt:i4>0</vt:i4>
      </vt:variant>
      <vt:variant>
        <vt:i4>5</vt:i4>
      </vt:variant>
      <vt:variant>
        <vt:lpwstr>https://www.nhsx.nhs.uk/information-governance/guidance/records-management-code/</vt:lpwstr>
      </vt:variant>
      <vt:variant>
        <vt:lpwstr>:~:text=The%20Records%20Management%20Code%20of%20Practice%20provides%20a,provision%20has%20an%20element%20of%20NHS%20funded%20care</vt:lpwstr>
      </vt:variant>
      <vt:variant>
        <vt:i4>7077990</vt:i4>
      </vt:variant>
      <vt:variant>
        <vt:i4>591</vt:i4>
      </vt:variant>
      <vt:variant>
        <vt:i4>0</vt:i4>
      </vt:variant>
      <vt:variant>
        <vt:i4>5</vt:i4>
      </vt:variant>
      <vt:variant>
        <vt:lpwstr>https://www.gov.uk/government/publications/confidentiality-nhs-code-of-practice</vt:lpwstr>
      </vt:variant>
      <vt:variant>
        <vt:lpwstr/>
      </vt:variant>
      <vt:variant>
        <vt:i4>3932201</vt:i4>
      </vt:variant>
      <vt:variant>
        <vt:i4>588</vt:i4>
      </vt:variant>
      <vt:variant>
        <vt:i4>0</vt:i4>
      </vt:variant>
      <vt:variant>
        <vt:i4>5</vt:i4>
      </vt:variant>
      <vt:variant>
        <vt:lpwstr>https://www.gov.uk/government/publications/information-security-management-nhs-code-of-practice</vt:lpwstr>
      </vt:variant>
      <vt:variant>
        <vt:lpwstr/>
      </vt:variant>
      <vt:variant>
        <vt:i4>1900548</vt:i4>
      </vt:variant>
      <vt:variant>
        <vt:i4>585</vt:i4>
      </vt:variant>
      <vt:variant>
        <vt:i4>0</vt:i4>
      </vt:variant>
      <vt:variant>
        <vt:i4>5</vt:i4>
      </vt:variant>
      <vt:variant>
        <vt:lpwstr>https://www.gov.uk/government/publications/security-policy-framework</vt:lpwstr>
      </vt:variant>
      <vt:variant>
        <vt:lpwstr/>
      </vt:variant>
      <vt:variant>
        <vt:i4>1900548</vt:i4>
      </vt:variant>
      <vt:variant>
        <vt:i4>582</vt:i4>
      </vt:variant>
      <vt:variant>
        <vt:i4>0</vt:i4>
      </vt:variant>
      <vt:variant>
        <vt:i4>5</vt:i4>
      </vt:variant>
      <vt:variant>
        <vt:lpwstr>https://www.gov.uk/government/publications/security-policy-framework</vt:lpwstr>
      </vt:variant>
      <vt:variant>
        <vt:lpwstr/>
      </vt:variant>
      <vt:variant>
        <vt:i4>2031688</vt:i4>
      </vt:variant>
      <vt:variant>
        <vt:i4>579</vt:i4>
      </vt:variant>
      <vt:variant>
        <vt:i4>0</vt:i4>
      </vt:variant>
      <vt:variant>
        <vt:i4>5</vt:i4>
      </vt:variant>
      <vt:variant>
        <vt:lpwstr>https://nww.igt.hscic.gov.uk/</vt:lpwstr>
      </vt:variant>
      <vt:variant>
        <vt:lpwstr/>
      </vt:variant>
      <vt:variant>
        <vt:i4>196703</vt:i4>
      </vt:variant>
      <vt:variant>
        <vt:i4>576</vt:i4>
      </vt:variant>
      <vt:variant>
        <vt:i4>0</vt:i4>
      </vt:variant>
      <vt:variant>
        <vt:i4>5</vt:i4>
      </vt:variant>
      <vt:variant>
        <vt:lpwstr>https://www.gov.uk/government/publications/greening-government-commitments-targets/greening-government-commitment-targets</vt:lpwstr>
      </vt:variant>
      <vt:variant>
        <vt:lpwstr/>
      </vt:variant>
      <vt:variant>
        <vt:i4>3670066</vt:i4>
      </vt:variant>
      <vt:variant>
        <vt:i4>573</vt:i4>
      </vt:variant>
      <vt:variant>
        <vt:i4>0</vt:i4>
      </vt:variant>
      <vt:variant>
        <vt:i4>5</vt:i4>
      </vt:variant>
      <vt:variant>
        <vt:lpwstr>https://assets.publishing.service.gov.uk/government/uploads/system/uploads/attachment_data/file/690952/Public_Bodies_-_a_guide_for_departments_-_chapter_10.pdf</vt:lpwstr>
      </vt:variant>
      <vt:variant>
        <vt:lpwstr/>
      </vt:variant>
      <vt:variant>
        <vt:i4>4849674</vt:i4>
      </vt:variant>
      <vt:variant>
        <vt:i4>570</vt:i4>
      </vt:variant>
      <vt:variant>
        <vt:i4>0</vt:i4>
      </vt:variant>
      <vt:variant>
        <vt:i4>5</vt:i4>
      </vt:variant>
      <vt:variant>
        <vt:lpwstr>https://www.gov.uk/government/collections/dao-letters</vt:lpwstr>
      </vt:variant>
      <vt:variant>
        <vt:lpwstr/>
      </vt:variant>
      <vt:variant>
        <vt:i4>1572894</vt:i4>
      </vt:variant>
      <vt:variant>
        <vt:i4>567</vt:i4>
      </vt:variant>
      <vt:variant>
        <vt:i4>0</vt:i4>
      </vt:variant>
      <vt:variant>
        <vt:i4>5</vt:i4>
      </vt:variant>
      <vt:variant>
        <vt:lpwstr>https://www.gov.uk/government/publications/managing-public-money</vt:lpwstr>
      </vt:variant>
      <vt:variant>
        <vt:lpwstr/>
      </vt:variant>
      <vt:variant>
        <vt:i4>1572894</vt:i4>
      </vt:variant>
      <vt:variant>
        <vt:i4>564</vt:i4>
      </vt:variant>
      <vt:variant>
        <vt:i4>0</vt:i4>
      </vt:variant>
      <vt:variant>
        <vt:i4>5</vt:i4>
      </vt:variant>
      <vt:variant>
        <vt:lpwstr>https://www.gov.uk/government/publications/managing-public-money</vt:lpwstr>
      </vt:variant>
      <vt:variant>
        <vt:lpwstr/>
      </vt:variant>
      <vt:variant>
        <vt:i4>458776</vt:i4>
      </vt:variant>
      <vt:variant>
        <vt:i4>561</vt:i4>
      </vt:variant>
      <vt:variant>
        <vt:i4>0</vt:i4>
      </vt:variant>
      <vt:variant>
        <vt:i4>5</vt:i4>
      </vt:variant>
      <vt:variant>
        <vt:lpwstr>https://www.gov.uk/government/publications/public-sector-internal-audit-standards</vt:lpwstr>
      </vt:variant>
      <vt:variant>
        <vt:lpwstr/>
      </vt:variant>
      <vt:variant>
        <vt:i4>786521</vt:i4>
      </vt:variant>
      <vt:variant>
        <vt:i4>558</vt:i4>
      </vt:variant>
      <vt:variant>
        <vt:i4>0</vt:i4>
      </vt:variant>
      <vt:variant>
        <vt:i4>5</vt:i4>
      </vt:variant>
      <vt:variant>
        <vt:lpwstr>https://www.gov.uk/government/publications/government-financial-reporting-manual-2020-21</vt:lpwstr>
      </vt:variant>
      <vt:variant>
        <vt:lpwstr/>
      </vt:variant>
      <vt:variant>
        <vt:i4>786521</vt:i4>
      </vt:variant>
      <vt:variant>
        <vt:i4>555</vt:i4>
      </vt:variant>
      <vt:variant>
        <vt:i4>0</vt:i4>
      </vt:variant>
      <vt:variant>
        <vt:i4>5</vt:i4>
      </vt:variant>
      <vt:variant>
        <vt:lpwstr>https://www.gov.uk/government/publications/government-financial-reporting-manual-2020-21</vt:lpwstr>
      </vt:variant>
      <vt:variant>
        <vt:lpwstr/>
      </vt:variant>
      <vt:variant>
        <vt:i4>1572894</vt:i4>
      </vt:variant>
      <vt:variant>
        <vt:i4>552</vt:i4>
      </vt:variant>
      <vt:variant>
        <vt:i4>0</vt:i4>
      </vt:variant>
      <vt:variant>
        <vt:i4>5</vt:i4>
      </vt:variant>
      <vt:variant>
        <vt:lpwstr>https://www.gov.uk/government/publications/managing-public-money</vt:lpwstr>
      </vt:variant>
      <vt:variant>
        <vt:lpwstr/>
      </vt:variant>
      <vt:variant>
        <vt:i4>5767246</vt:i4>
      </vt:variant>
      <vt:variant>
        <vt:i4>549</vt:i4>
      </vt:variant>
      <vt:variant>
        <vt:i4>0</vt:i4>
      </vt:variant>
      <vt:variant>
        <vt:i4>5</vt:i4>
      </vt:variant>
      <vt:variant>
        <vt:lpwstr>https://www.gov.uk/government/publications/public-sector-pay-and-terms-guidance-note</vt:lpwstr>
      </vt:variant>
      <vt:variant>
        <vt:lpwstr/>
      </vt:variant>
      <vt:variant>
        <vt:i4>5767246</vt:i4>
      </vt:variant>
      <vt:variant>
        <vt:i4>546</vt:i4>
      </vt:variant>
      <vt:variant>
        <vt:i4>0</vt:i4>
      </vt:variant>
      <vt:variant>
        <vt:i4>5</vt:i4>
      </vt:variant>
      <vt:variant>
        <vt:lpwstr>https://www.gov.uk/government/publications/public-sector-pay-and-terms-guidance-note</vt:lpwstr>
      </vt:variant>
      <vt:variant>
        <vt:lpwstr/>
      </vt:variant>
      <vt:variant>
        <vt:i4>6946873</vt:i4>
      </vt:variant>
      <vt:variant>
        <vt:i4>543</vt:i4>
      </vt:variant>
      <vt:variant>
        <vt:i4>0</vt:i4>
      </vt:variant>
      <vt:variant>
        <vt:i4>5</vt:i4>
      </vt:variant>
      <vt:variant>
        <vt:lpwstr>https://assets.publishing.service.gov.uk/government/uploads/system/uploads/attachment_data/file/690948/Public_Bodies_-_a_guide_for_departments_-_chapter_5.pdf</vt:lpwstr>
      </vt:variant>
      <vt:variant>
        <vt:lpwstr/>
      </vt:variant>
      <vt:variant>
        <vt:i4>8323133</vt:i4>
      </vt:variant>
      <vt:variant>
        <vt:i4>540</vt:i4>
      </vt:variant>
      <vt:variant>
        <vt:i4>0</vt:i4>
      </vt:variant>
      <vt:variant>
        <vt:i4>5</vt:i4>
      </vt:variant>
      <vt:variant>
        <vt:lpwstr>https://www.gov.uk/government/publications/senior-civil-service-pay-and-reward</vt:lpwstr>
      </vt:variant>
      <vt:variant>
        <vt:lpwstr/>
      </vt:variant>
      <vt:variant>
        <vt:i4>6553658</vt:i4>
      </vt:variant>
      <vt:variant>
        <vt:i4>537</vt:i4>
      </vt:variant>
      <vt:variant>
        <vt:i4>0</vt:i4>
      </vt:variant>
      <vt:variant>
        <vt:i4>5</vt:i4>
      </vt:variant>
      <vt:variant>
        <vt:lpwstr>Guidance for approval of senior pay</vt:lpwstr>
      </vt:variant>
      <vt:variant>
        <vt:lpwstr/>
      </vt:variant>
      <vt:variant>
        <vt:i4>7995516</vt:i4>
      </vt:variant>
      <vt:variant>
        <vt:i4>534</vt:i4>
      </vt:variant>
      <vt:variant>
        <vt:i4>0</vt:i4>
      </vt:variant>
      <vt:variant>
        <vt:i4>5</vt:i4>
      </vt:variant>
      <vt:variant>
        <vt:lpwstr>https://www.gov.uk/government/publications/civil-servants-terms-and-conditions</vt:lpwstr>
      </vt:variant>
      <vt:variant>
        <vt:lpwstr/>
      </vt:variant>
      <vt:variant>
        <vt:i4>7995516</vt:i4>
      </vt:variant>
      <vt:variant>
        <vt:i4>531</vt:i4>
      </vt:variant>
      <vt:variant>
        <vt:i4>0</vt:i4>
      </vt:variant>
      <vt:variant>
        <vt:i4>5</vt:i4>
      </vt:variant>
      <vt:variant>
        <vt:lpwstr>https://www.gov.uk/government/publications/civil-servants-terms-and-conditions</vt:lpwstr>
      </vt:variant>
      <vt:variant>
        <vt:lpwstr/>
      </vt:variant>
      <vt:variant>
        <vt:i4>327763</vt:i4>
      </vt:variant>
      <vt:variant>
        <vt:i4>528</vt:i4>
      </vt:variant>
      <vt:variant>
        <vt:i4>0</vt:i4>
      </vt:variant>
      <vt:variant>
        <vt:i4>5</vt:i4>
      </vt:variant>
      <vt:variant>
        <vt:lpwstr>https://www.gov.uk/government/publications/pay-framework-for-very-senior-managers</vt:lpwstr>
      </vt:variant>
      <vt:variant>
        <vt:lpwstr/>
      </vt:variant>
      <vt:variant>
        <vt:i4>1572894</vt:i4>
      </vt:variant>
      <vt:variant>
        <vt:i4>525</vt:i4>
      </vt:variant>
      <vt:variant>
        <vt:i4>0</vt:i4>
      </vt:variant>
      <vt:variant>
        <vt:i4>5</vt:i4>
      </vt:variant>
      <vt:variant>
        <vt:lpwstr>https://www.gov.uk/government/publications/managing-public-money</vt:lpwstr>
      </vt:variant>
      <vt:variant>
        <vt:lpwstr/>
      </vt:variant>
      <vt:variant>
        <vt:i4>12517472</vt:i4>
      </vt:variant>
      <vt:variant>
        <vt:i4>522</vt:i4>
      </vt:variant>
      <vt:variant>
        <vt:i4>0</vt:i4>
      </vt:variant>
      <vt:variant>
        <vt:i4>5</vt:i4>
      </vt:variant>
      <vt:variant>
        <vt:lpwstr>Government Functional Standard: Fraud </vt:lpwstr>
      </vt:variant>
      <vt:variant>
        <vt:lpwstr/>
      </vt:variant>
      <vt:variant>
        <vt:i4>8323128</vt:i4>
      </vt:variant>
      <vt:variant>
        <vt:i4>519</vt:i4>
      </vt:variant>
      <vt:variant>
        <vt:i4>0</vt:i4>
      </vt:variant>
      <vt:variant>
        <vt:i4>5</vt:i4>
      </vt:variant>
      <vt:variant>
        <vt:lpwstr>https://www.gov.uk/government/publications/orange-book</vt:lpwstr>
      </vt:variant>
      <vt:variant>
        <vt:lpwstr/>
      </vt:variant>
      <vt:variant>
        <vt:i4>3080235</vt:i4>
      </vt:variant>
      <vt:variant>
        <vt:i4>516</vt:i4>
      </vt:variant>
      <vt:variant>
        <vt:i4>0</vt:i4>
      </vt:variant>
      <vt:variant>
        <vt:i4>5</vt:i4>
      </vt:variant>
      <vt:variant>
        <vt:lpwstr>https://www.legislation.gov.uk/uksi/2015/102/contents/made</vt:lpwstr>
      </vt:variant>
      <vt:variant>
        <vt:lpwstr/>
      </vt:variant>
      <vt:variant>
        <vt:i4>8323111</vt:i4>
      </vt:variant>
      <vt:variant>
        <vt:i4>513</vt:i4>
      </vt:variant>
      <vt:variant>
        <vt:i4>0</vt:i4>
      </vt:variant>
      <vt:variant>
        <vt:i4>5</vt:i4>
      </vt:variant>
      <vt:variant>
        <vt:lpwstr>https://www.gov.uk/government/publications/grants-standards</vt:lpwstr>
      </vt:variant>
      <vt:variant>
        <vt:lpwstr/>
      </vt:variant>
      <vt:variant>
        <vt:i4>8323111</vt:i4>
      </vt:variant>
      <vt:variant>
        <vt:i4>510</vt:i4>
      </vt:variant>
      <vt:variant>
        <vt:i4>0</vt:i4>
      </vt:variant>
      <vt:variant>
        <vt:i4>5</vt:i4>
      </vt:variant>
      <vt:variant>
        <vt:lpwstr>https://www.gov.uk/government/publications/grants-standards</vt:lpwstr>
      </vt:variant>
      <vt:variant>
        <vt:lpwstr/>
      </vt:variant>
      <vt:variant>
        <vt:i4>4915295</vt:i4>
      </vt:variant>
      <vt:variant>
        <vt:i4>507</vt:i4>
      </vt:variant>
      <vt:variant>
        <vt:i4>0</vt:i4>
      </vt:variant>
      <vt:variant>
        <vt:i4>5</vt:i4>
      </vt:variant>
      <vt:variant>
        <vt:lpwstr>https://www.gov.uk/government/publications/commercial-operating-standards-for-government</vt:lpwstr>
      </vt:variant>
      <vt:variant>
        <vt:lpwstr/>
      </vt:variant>
      <vt:variant>
        <vt:i4>1572894</vt:i4>
      </vt:variant>
      <vt:variant>
        <vt:i4>504</vt:i4>
      </vt:variant>
      <vt:variant>
        <vt:i4>0</vt:i4>
      </vt:variant>
      <vt:variant>
        <vt:i4>5</vt:i4>
      </vt:variant>
      <vt:variant>
        <vt:lpwstr>https://www.gov.uk/government/publications/managing-public-money</vt:lpwstr>
      </vt:variant>
      <vt:variant>
        <vt:lpwstr/>
      </vt:variant>
      <vt:variant>
        <vt:i4>1572894</vt:i4>
      </vt:variant>
      <vt:variant>
        <vt:i4>501</vt:i4>
      </vt:variant>
      <vt:variant>
        <vt:i4>0</vt:i4>
      </vt:variant>
      <vt:variant>
        <vt:i4>5</vt:i4>
      </vt:variant>
      <vt:variant>
        <vt:lpwstr>https://www.gov.uk/government/publications/managing-public-money</vt:lpwstr>
      </vt:variant>
      <vt:variant>
        <vt:lpwstr/>
      </vt:variant>
      <vt:variant>
        <vt:i4>3145769</vt:i4>
      </vt:variant>
      <vt:variant>
        <vt:i4>498</vt:i4>
      </vt:variant>
      <vt:variant>
        <vt:i4>0</vt:i4>
      </vt:variant>
      <vt:variant>
        <vt:i4>5</vt:i4>
      </vt:variant>
      <vt:variant>
        <vt:lpwstr>https://www.gov.uk/government/publications/public-bodies-non-executive-director-principles/12-principles-of-governance-for-all-public-body-neds</vt:lpwstr>
      </vt:variant>
      <vt:variant>
        <vt:lpwstr/>
      </vt:variant>
      <vt:variant>
        <vt:i4>2818098</vt:i4>
      </vt:variant>
      <vt:variant>
        <vt:i4>495</vt:i4>
      </vt:variant>
      <vt:variant>
        <vt:i4>0</vt:i4>
      </vt:variant>
      <vt:variant>
        <vt:i4>5</vt:i4>
      </vt:variant>
      <vt:variant>
        <vt:lpwstr>The Parliamentary and Health Service Ombudsman's principles of good administration</vt:lpwstr>
      </vt:variant>
      <vt:variant>
        <vt:lpwstr/>
      </vt:variant>
      <vt:variant>
        <vt:i4>3997793</vt:i4>
      </vt:variant>
      <vt:variant>
        <vt:i4>492</vt:i4>
      </vt:variant>
      <vt:variant>
        <vt:i4>0</vt:i4>
      </vt:variant>
      <vt:variant>
        <vt:i4>5</vt:i4>
      </vt:variant>
      <vt:variant>
        <vt:lpwstr>The Seven Principles of Public Life</vt:lpwstr>
      </vt:variant>
      <vt:variant>
        <vt:lpwstr/>
      </vt:variant>
      <vt:variant>
        <vt:i4>8126563</vt:i4>
      </vt:variant>
      <vt:variant>
        <vt:i4>489</vt:i4>
      </vt:variant>
      <vt:variant>
        <vt:i4>0</vt:i4>
      </vt:variant>
      <vt:variant>
        <vt:i4>5</vt:i4>
      </vt:variant>
      <vt:variant>
        <vt:lpwstr>Governance Code on Public Appointments</vt:lpwstr>
      </vt:variant>
      <vt:variant>
        <vt:lpwstr/>
      </vt:variant>
      <vt:variant>
        <vt:i4>6815849</vt:i4>
      </vt:variant>
      <vt:variant>
        <vt:i4>486</vt:i4>
      </vt:variant>
      <vt:variant>
        <vt:i4>0</vt:i4>
      </vt:variant>
      <vt:variant>
        <vt:i4>5</vt:i4>
      </vt:variant>
      <vt:variant>
        <vt:lpwstr>https://publicappointments.cabinetoffice.gov.uk/wp-content/uploads/2019/11/Public-Appointments-No.-2-Order-in-Council-2019.pdf</vt:lpwstr>
      </vt:variant>
      <vt:variant>
        <vt:lpwstr/>
      </vt:variant>
      <vt:variant>
        <vt:i4>1572894</vt:i4>
      </vt:variant>
      <vt:variant>
        <vt:i4>483</vt:i4>
      </vt:variant>
      <vt:variant>
        <vt:i4>0</vt:i4>
      </vt:variant>
      <vt:variant>
        <vt:i4>5</vt:i4>
      </vt:variant>
      <vt:variant>
        <vt:lpwstr>https://www.gov.uk/government/publications/managing-public-money</vt:lpwstr>
      </vt:variant>
      <vt:variant>
        <vt:lpwstr/>
      </vt:variant>
      <vt:variant>
        <vt:i4>1572894</vt:i4>
      </vt:variant>
      <vt:variant>
        <vt:i4>480</vt:i4>
      </vt:variant>
      <vt:variant>
        <vt:i4>0</vt:i4>
      </vt:variant>
      <vt:variant>
        <vt:i4>5</vt:i4>
      </vt:variant>
      <vt:variant>
        <vt:lpwstr>https://www.gov.uk/government/publications/managing-public-money</vt:lpwstr>
      </vt:variant>
      <vt:variant>
        <vt:lpwstr/>
      </vt:variant>
      <vt:variant>
        <vt:i4>7274556</vt:i4>
      </vt:variant>
      <vt:variant>
        <vt:i4>477</vt:i4>
      </vt:variant>
      <vt:variant>
        <vt:i4>0</vt:i4>
      </vt:variant>
      <vt:variant>
        <vt:i4>5</vt:i4>
      </vt:variant>
      <vt:variant>
        <vt:lpwstr>https://www.gov.uk/government/collections/functional-standards</vt:lpwstr>
      </vt:variant>
      <vt:variant>
        <vt:lpwstr/>
      </vt:variant>
      <vt:variant>
        <vt:i4>131138</vt:i4>
      </vt:variant>
      <vt:variant>
        <vt:i4>474</vt:i4>
      </vt:variant>
      <vt:variant>
        <vt:i4>0</vt:i4>
      </vt:variant>
      <vt:variant>
        <vt:i4>5</vt:i4>
      </vt:variant>
      <vt:variant>
        <vt:lpwstr>https://www.gov.uk/government/publications/corporate-governance-code-for-central-government-departments-2017</vt:lpwstr>
      </vt:variant>
      <vt:variant>
        <vt:lpwstr/>
      </vt:variant>
      <vt:variant>
        <vt:i4>4849674</vt:i4>
      </vt:variant>
      <vt:variant>
        <vt:i4>471</vt:i4>
      </vt:variant>
      <vt:variant>
        <vt:i4>0</vt:i4>
      </vt:variant>
      <vt:variant>
        <vt:i4>5</vt:i4>
      </vt:variant>
      <vt:variant>
        <vt:lpwstr>https://www.gov.uk/government/collections/dao-letters</vt:lpwstr>
      </vt:variant>
      <vt:variant>
        <vt:lpwstr/>
      </vt:variant>
      <vt:variant>
        <vt:i4>4849674</vt:i4>
      </vt:variant>
      <vt:variant>
        <vt:i4>468</vt:i4>
      </vt:variant>
      <vt:variant>
        <vt:i4>0</vt:i4>
      </vt:variant>
      <vt:variant>
        <vt:i4>5</vt:i4>
      </vt:variant>
      <vt:variant>
        <vt:lpwstr>https://www.gov.uk/government/collections/dao-letters</vt:lpwstr>
      </vt:variant>
      <vt:variant>
        <vt:lpwstr/>
      </vt:variant>
      <vt:variant>
        <vt:i4>1572894</vt:i4>
      </vt:variant>
      <vt:variant>
        <vt:i4>465</vt:i4>
      </vt:variant>
      <vt:variant>
        <vt:i4>0</vt:i4>
      </vt:variant>
      <vt:variant>
        <vt:i4>5</vt:i4>
      </vt:variant>
      <vt:variant>
        <vt:lpwstr>https://www.gov.uk/government/publications/managing-public-money</vt:lpwstr>
      </vt:variant>
      <vt:variant>
        <vt:lpwstr/>
      </vt:variant>
      <vt:variant>
        <vt:i4>5570629</vt:i4>
      </vt:variant>
      <vt:variant>
        <vt:i4>462</vt:i4>
      </vt:variant>
      <vt:variant>
        <vt:i4>0</vt:i4>
      </vt:variant>
      <vt:variant>
        <vt:i4>5</vt:i4>
      </vt:variant>
      <vt:variant>
        <vt:lpwstr>https://www.gov.uk/government/publications/partnerships-with-arms-length-bodies-code-of-good-practice</vt:lpwstr>
      </vt:variant>
      <vt:variant>
        <vt:lpwstr/>
      </vt:variant>
      <vt:variant>
        <vt:i4>7274556</vt:i4>
      </vt:variant>
      <vt:variant>
        <vt:i4>459</vt:i4>
      </vt:variant>
      <vt:variant>
        <vt:i4>0</vt:i4>
      </vt:variant>
      <vt:variant>
        <vt:i4>5</vt:i4>
      </vt:variant>
      <vt:variant>
        <vt:lpwstr>https://www.gov.uk/government/collections/functional-standards</vt:lpwstr>
      </vt:variant>
      <vt:variant>
        <vt:lpwstr/>
      </vt:variant>
      <vt:variant>
        <vt:i4>6946873</vt:i4>
      </vt:variant>
      <vt:variant>
        <vt:i4>456</vt:i4>
      </vt:variant>
      <vt:variant>
        <vt:i4>0</vt:i4>
      </vt:variant>
      <vt:variant>
        <vt:i4>5</vt:i4>
      </vt:variant>
      <vt:variant>
        <vt:lpwstr>https://assets.publishing.service.gov.uk/government/uploads/system/uploads/attachment_data/file/690948/Public_Bodies_-_a_guide_for_departments_-_chapter_5.pdf</vt:lpwstr>
      </vt:variant>
      <vt:variant>
        <vt:lpwstr/>
      </vt:variant>
      <vt:variant>
        <vt:i4>5570629</vt:i4>
      </vt:variant>
      <vt:variant>
        <vt:i4>453</vt:i4>
      </vt:variant>
      <vt:variant>
        <vt:i4>0</vt:i4>
      </vt:variant>
      <vt:variant>
        <vt:i4>5</vt:i4>
      </vt:variant>
      <vt:variant>
        <vt:lpwstr>https://www.gov.uk/government/publications/partnerships-with-arms-length-bodies-code-of-good-practice</vt:lpwstr>
      </vt:variant>
      <vt:variant>
        <vt:lpwstr/>
      </vt:variant>
      <vt:variant>
        <vt:i4>5570629</vt:i4>
      </vt:variant>
      <vt:variant>
        <vt:i4>450</vt:i4>
      </vt:variant>
      <vt:variant>
        <vt:i4>0</vt:i4>
      </vt:variant>
      <vt:variant>
        <vt:i4>5</vt:i4>
      </vt:variant>
      <vt:variant>
        <vt:lpwstr>https://www.gov.uk/government/publications/partnerships-with-arms-length-bodies-code-of-good-practice</vt:lpwstr>
      </vt:variant>
      <vt:variant>
        <vt:lpwstr/>
      </vt:variant>
      <vt:variant>
        <vt:i4>7864379</vt:i4>
      </vt:variant>
      <vt:variant>
        <vt:i4>447</vt:i4>
      </vt:variant>
      <vt:variant>
        <vt:i4>0</vt:i4>
      </vt:variant>
      <vt:variant>
        <vt:i4>5</vt:i4>
      </vt:variant>
      <vt:variant>
        <vt:lpwstr>https://www.ombudsman.org.uk/about-us/our-principles/principles-good-administration</vt:lpwstr>
      </vt:variant>
      <vt:variant>
        <vt:lpwstr/>
      </vt:variant>
      <vt:variant>
        <vt:i4>4849687</vt:i4>
      </vt:variant>
      <vt:variant>
        <vt:i4>444</vt:i4>
      </vt:variant>
      <vt:variant>
        <vt:i4>0</vt:i4>
      </vt:variant>
      <vt:variant>
        <vt:i4>5</vt:i4>
      </vt:variant>
      <vt:variant>
        <vt:lpwstr>https://www.gov.uk/government/publications/government-functional-standard-govs-013-counter-fraud</vt:lpwstr>
      </vt:variant>
      <vt:variant>
        <vt:lpwstr/>
      </vt:variant>
      <vt:variant>
        <vt:i4>4849687</vt:i4>
      </vt:variant>
      <vt:variant>
        <vt:i4>441</vt:i4>
      </vt:variant>
      <vt:variant>
        <vt:i4>0</vt:i4>
      </vt:variant>
      <vt:variant>
        <vt:i4>5</vt:i4>
      </vt:variant>
      <vt:variant>
        <vt:lpwstr>https://www.gov.uk/government/publications/government-functional-standard-govs-013-counter-fraud</vt:lpwstr>
      </vt:variant>
      <vt:variant>
        <vt:lpwstr/>
      </vt:variant>
      <vt:variant>
        <vt:i4>4849674</vt:i4>
      </vt:variant>
      <vt:variant>
        <vt:i4>438</vt:i4>
      </vt:variant>
      <vt:variant>
        <vt:i4>0</vt:i4>
      </vt:variant>
      <vt:variant>
        <vt:i4>5</vt:i4>
      </vt:variant>
      <vt:variant>
        <vt:lpwstr>https://www.gov.uk/government/collections/dao-letters</vt:lpwstr>
      </vt:variant>
      <vt:variant>
        <vt:lpwstr/>
      </vt:variant>
      <vt:variant>
        <vt:i4>4849674</vt:i4>
      </vt:variant>
      <vt:variant>
        <vt:i4>435</vt:i4>
      </vt:variant>
      <vt:variant>
        <vt:i4>0</vt:i4>
      </vt:variant>
      <vt:variant>
        <vt:i4>5</vt:i4>
      </vt:variant>
      <vt:variant>
        <vt:lpwstr>https://www.gov.uk/government/collections/dao-letters</vt:lpwstr>
      </vt:variant>
      <vt:variant>
        <vt:lpwstr/>
      </vt:variant>
      <vt:variant>
        <vt:i4>786521</vt:i4>
      </vt:variant>
      <vt:variant>
        <vt:i4>432</vt:i4>
      </vt:variant>
      <vt:variant>
        <vt:i4>0</vt:i4>
      </vt:variant>
      <vt:variant>
        <vt:i4>5</vt:i4>
      </vt:variant>
      <vt:variant>
        <vt:lpwstr>https://www.gov.uk/government/publications/government-financial-reporting-manual-2020-21</vt:lpwstr>
      </vt:variant>
      <vt:variant>
        <vt:lpwstr/>
      </vt:variant>
      <vt:variant>
        <vt:i4>786521</vt:i4>
      </vt:variant>
      <vt:variant>
        <vt:i4>429</vt:i4>
      </vt:variant>
      <vt:variant>
        <vt:i4>0</vt:i4>
      </vt:variant>
      <vt:variant>
        <vt:i4>5</vt:i4>
      </vt:variant>
      <vt:variant>
        <vt:lpwstr>https://www.gov.uk/government/publications/government-financial-reporting-manual-2020-21</vt:lpwstr>
      </vt:variant>
      <vt:variant>
        <vt:lpwstr/>
      </vt:variant>
      <vt:variant>
        <vt:i4>8323128</vt:i4>
      </vt:variant>
      <vt:variant>
        <vt:i4>426</vt:i4>
      </vt:variant>
      <vt:variant>
        <vt:i4>0</vt:i4>
      </vt:variant>
      <vt:variant>
        <vt:i4>5</vt:i4>
      </vt:variant>
      <vt:variant>
        <vt:lpwstr>https://www.gov.uk/government/publications/orange-book</vt:lpwstr>
      </vt:variant>
      <vt:variant>
        <vt:lpwstr/>
      </vt:variant>
      <vt:variant>
        <vt:i4>458776</vt:i4>
      </vt:variant>
      <vt:variant>
        <vt:i4>423</vt:i4>
      </vt:variant>
      <vt:variant>
        <vt:i4>0</vt:i4>
      </vt:variant>
      <vt:variant>
        <vt:i4>5</vt:i4>
      </vt:variant>
      <vt:variant>
        <vt:lpwstr>https://www.gov.uk/government/publications/public-sector-internal-audit-standards</vt:lpwstr>
      </vt:variant>
      <vt:variant>
        <vt:lpwstr/>
      </vt:variant>
      <vt:variant>
        <vt:i4>1572894</vt:i4>
      </vt:variant>
      <vt:variant>
        <vt:i4>420</vt:i4>
      </vt:variant>
      <vt:variant>
        <vt:i4>0</vt:i4>
      </vt:variant>
      <vt:variant>
        <vt:i4>5</vt:i4>
      </vt:variant>
      <vt:variant>
        <vt:lpwstr>https://www.gov.uk/government/publications/managing-public-money</vt:lpwstr>
      </vt:variant>
      <vt:variant>
        <vt:lpwstr/>
      </vt:variant>
      <vt:variant>
        <vt:i4>4259933</vt:i4>
      </vt:variant>
      <vt:variant>
        <vt:i4>417</vt:i4>
      </vt:variant>
      <vt:variant>
        <vt:i4>0</vt:i4>
      </vt:variant>
      <vt:variant>
        <vt:i4>5</vt:i4>
      </vt:variant>
      <vt:variant>
        <vt:lpwstr>https://www.gov.uk/government/publications/code-of-conduct-for-board-members-of-public-bodies</vt:lpwstr>
      </vt:variant>
      <vt:variant>
        <vt:lpwstr/>
      </vt:variant>
      <vt:variant>
        <vt:i4>131138</vt:i4>
      </vt:variant>
      <vt:variant>
        <vt:i4>414</vt:i4>
      </vt:variant>
      <vt:variant>
        <vt:i4>0</vt:i4>
      </vt:variant>
      <vt:variant>
        <vt:i4>5</vt:i4>
      </vt:variant>
      <vt:variant>
        <vt:lpwstr>https://www.gov.uk/government/publications/corporate-governance-code-for-central-government-departments-2017</vt:lpwstr>
      </vt:variant>
      <vt:variant>
        <vt:lpwstr/>
      </vt:variant>
      <vt:variant>
        <vt:i4>4063329</vt:i4>
      </vt:variant>
      <vt:variant>
        <vt:i4>411</vt:i4>
      </vt:variant>
      <vt:variant>
        <vt:i4>0</vt:i4>
      </vt:variant>
      <vt:variant>
        <vt:i4>5</vt:i4>
      </vt:variant>
      <vt:variant>
        <vt:lpwstr>http://www.civilservice.gov.uk/wp-content/uploads/2011/09/5_public_body_staffv2_tcm6-2484.pdf</vt:lpwstr>
      </vt:variant>
      <vt:variant>
        <vt:lpwstr/>
      </vt:variant>
      <vt:variant>
        <vt:i4>3735600</vt:i4>
      </vt:variant>
      <vt:variant>
        <vt:i4>408</vt:i4>
      </vt:variant>
      <vt:variant>
        <vt:i4>0</vt:i4>
      </vt:variant>
      <vt:variant>
        <vt:i4>5</vt:i4>
      </vt:variant>
      <vt:variant>
        <vt:lpwstr>http://www.bl.uk/aboutus/governance/blboard/Board Code of Practice 2011.pdf</vt:lpwstr>
      </vt:variant>
      <vt:variant>
        <vt:lpwstr/>
      </vt:variant>
      <vt:variant>
        <vt:i4>2621490</vt:i4>
      </vt:variant>
      <vt:variant>
        <vt:i4>405</vt:i4>
      </vt:variant>
      <vt:variant>
        <vt:i4>0</vt:i4>
      </vt:variant>
      <vt:variant>
        <vt:i4>5</vt:i4>
      </vt:variant>
      <vt:variant>
        <vt:lpwstr>https://www.gov.uk/government/publications/corporate-governance-code-for-central-government-departments</vt:lpwstr>
      </vt:variant>
      <vt:variant>
        <vt:lpwstr/>
      </vt:variant>
      <vt:variant>
        <vt:i4>7405693</vt:i4>
      </vt:variant>
      <vt:variant>
        <vt:i4>402</vt:i4>
      </vt:variant>
      <vt:variant>
        <vt:i4>0</vt:i4>
      </vt:variant>
      <vt:variant>
        <vt:i4>5</vt:i4>
      </vt:variant>
      <vt:variant>
        <vt:lpwstr>https://www.gov.uk/government/topics/government-efficiency-transparency-and-accountability</vt:lpwstr>
      </vt:variant>
      <vt:variant>
        <vt:lpwstr/>
      </vt:variant>
      <vt:variant>
        <vt:i4>786521</vt:i4>
      </vt:variant>
      <vt:variant>
        <vt:i4>399</vt:i4>
      </vt:variant>
      <vt:variant>
        <vt:i4>0</vt:i4>
      </vt:variant>
      <vt:variant>
        <vt:i4>5</vt:i4>
      </vt:variant>
      <vt:variant>
        <vt:lpwstr>https://www.gov.uk/government/publications/government-financial-reporting-manual-2020-21</vt:lpwstr>
      </vt:variant>
      <vt:variant>
        <vt:lpwstr/>
      </vt:variant>
      <vt:variant>
        <vt:i4>5767246</vt:i4>
      </vt:variant>
      <vt:variant>
        <vt:i4>396</vt:i4>
      </vt:variant>
      <vt:variant>
        <vt:i4>0</vt:i4>
      </vt:variant>
      <vt:variant>
        <vt:i4>5</vt:i4>
      </vt:variant>
      <vt:variant>
        <vt:lpwstr>https://www.gov.uk/government/publications/public-sector-pay-and-terms-guidance-note)</vt:lpwstr>
      </vt:variant>
      <vt:variant>
        <vt:lpwstr/>
      </vt:variant>
      <vt:variant>
        <vt:i4>8323133</vt:i4>
      </vt:variant>
      <vt:variant>
        <vt:i4>393</vt:i4>
      </vt:variant>
      <vt:variant>
        <vt:i4>0</vt:i4>
      </vt:variant>
      <vt:variant>
        <vt:i4>5</vt:i4>
      </vt:variant>
      <vt:variant>
        <vt:lpwstr>https://www.gov.uk/government/publications/senior-civil-service-pay-and-reward</vt:lpwstr>
      </vt:variant>
      <vt:variant>
        <vt:lpwstr/>
      </vt:variant>
      <vt:variant>
        <vt:i4>6946873</vt:i4>
      </vt:variant>
      <vt:variant>
        <vt:i4>390</vt:i4>
      </vt:variant>
      <vt:variant>
        <vt:i4>0</vt:i4>
      </vt:variant>
      <vt:variant>
        <vt:i4>5</vt:i4>
      </vt:variant>
      <vt:variant>
        <vt:lpwstr>https://assets.publishing.service.gov.uk/government/uploads/system/uploads/attachment_data/file/690948/Public_Bodies_-_a_guide_for_departments_-_chapter_5.pdf</vt:lpwstr>
      </vt:variant>
      <vt:variant>
        <vt:lpwstr/>
      </vt:variant>
      <vt:variant>
        <vt:i4>4849687</vt:i4>
      </vt:variant>
      <vt:variant>
        <vt:i4>387</vt:i4>
      </vt:variant>
      <vt:variant>
        <vt:i4>0</vt:i4>
      </vt:variant>
      <vt:variant>
        <vt:i4>5</vt:i4>
      </vt:variant>
      <vt:variant>
        <vt:lpwstr>https://www.gov.uk/government/publications/government-functional-standard-govs-013-counter-fraud</vt:lpwstr>
      </vt:variant>
      <vt:variant>
        <vt:lpwstr/>
      </vt:variant>
      <vt:variant>
        <vt:i4>4849687</vt:i4>
      </vt:variant>
      <vt:variant>
        <vt:i4>384</vt:i4>
      </vt:variant>
      <vt:variant>
        <vt:i4>0</vt:i4>
      </vt:variant>
      <vt:variant>
        <vt:i4>5</vt:i4>
      </vt:variant>
      <vt:variant>
        <vt:lpwstr>https://www.gov.uk/government/publications/government-functional-standard-govs-013-counter-fraud</vt:lpwstr>
      </vt:variant>
      <vt:variant>
        <vt:lpwstr/>
      </vt:variant>
      <vt:variant>
        <vt:i4>8323111</vt:i4>
      </vt:variant>
      <vt:variant>
        <vt:i4>381</vt:i4>
      </vt:variant>
      <vt:variant>
        <vt:i4>0</vt:i4>
      </vt:variant>
      <vt:variant>
        <vt:i4>5</vt:i4>
      </vt:variant>
      <vt:variant>
        <vt:lpwstr>https://www.gov.uk/government/publications/grants-standards</vt:lpwstr>
      </vt:variant>
      <vt:variant>
        <vt:lpwstr/>
      </vt:variant>
      <vt:variant>
        <vt:i4>4915295</vt:i4>
      </vt:variant>
      <vt:variant>
        <vt:i4>378</vt:i4>
      </vt:variant>
      <vt:variant>
        <vt:i4>0</vt:i4>
      </vt:variant>
      <vt:variant>
        <vt:i4>5</vt:i4>
      </vt:variant>
      <vt:variant>
        <vt:lpwstr>https://www.gov.uk/government/publications/commercial-operating-standards-for-government</vt:lpwstr>
      </vt:variant>
      <vt:variant>
        <vt:lpwstr/>
      </vt:variant>
      <vt:variant>
        <vt:i4>7143470</vt:i4>
      </vt:variant>
      <vt:variant>
        <vt:i4>375</vt:i4>
      </vt:variant>
      <vt:variant>
        <vt:i4>0</vt:i4>
      </vt:variant>
      <vt:variant>
        <vt:i4>5</vt:i4>
      </vt:variant>
      <vt:variant>
        <vt:lpwstr>https://assets.publishing.service.gov.uk/government/uploads/system/uploads/attachment_data/file/984460/__Government_Commercial_Function__GCF__People_Standards_for_the_Profession_Version_3.0_.pdf</vt:lpwstr>
      </vt:variant>
      <vt:variant>
        <vt:lpwstr/>
      </vt:variant>
      <vt:variant>
        <vt:i4>3145769</vt:i4>
      </vt:variant>
      <vt:variant>
        <vt:i4>372</vt:i4>
      </vt:variant>
      <vt:variant>
        <vt:i4>0</vt:i4>
      </vt:variant>
      <vt:variant>
        <vt:i4>5</vt:i4>
      </vt:variant>
      <vt:variant>
        <vt:lpwstr>https://www.gov.uk/government/publications/public-bodies-non-executive-director-principles/12-principles-of-governance-for-all-public-body-neds</vt:lpwstr>
      </vt:variant>
      <vt:variant>
        <vt:lpwstr/>
      </vt:variant>
      <vt:variant>
        <vt:i4>6750332</vt:i4>
      </vt:variant>
      <vt:variant>
        <vt:i4>369</vt:i4>
      </vt:variant>
      <vt:variant>
        <vt:i4>0</vt:i4>
      </vt:variant>
      <vt:variant>
        <vt:i4>5</vt:i4>
      </vt:variant>
      <vt:variant>
        <vt:lpwstr>https://www.gov.uk/government/publications/the-7-principles-of-public-life</vt:lpwstr>
      </vt:variant>
      <vt:variant>
        <vt:lpwstr/>
      </vt:variant>
      <vt:variant>
        <vt:i4>4259933</vt:i4>
      </vt:variant>
      <vt:variant>
        <vt:i4>366</vt:i4>
      </vt:variant>
      <vt:variant>
        <vt:i4>0</vt:i4>
      </vt:variant>
      <vt:variant>
        <vt:i4>5</vt:i4>
      </vt:variant>
      <vt:variant>
        <vt:lpwstr>https://www.gov.uk/government/publications/code-of-conduct-for-board-members-of-public-bodies</vt:lpwstr>
      </vt:variant>
      <vt:variant>
        <vt:lpwstr/>
      </vt:variant>
      <vt:variant>
        <vt:i4>8323128</vt:i4>
      </vt:variant>
      <vt:variant>
        <vt:i4>363</vt:i4>
      </vt:variant>
      <vt:variant>
        <vt:i4>0</vt:i4>
      </vt:variant>
      <vt:variant>
        <vt:i4>5</vt:i4>
      </vt:variant>
      <vt:variant>
        <vt:lpwstr>https://www.gov.uk/government/publications/orange-book</vt:lpwstr>
      </vt:variant>
      <vt:variant>
        <vt:lpwstr/>
      </vt:variant>
      <vt:variant>
        <vt:i4>6488167</vt:i4>
      </vt:variant>
      <vt:variant>
        <vt:i4>360</vt:i4>
      </vt:variant>
      <vt:variant>
        <vt:i4>0</vt:i4>
      </vt:variant>
      <vt:variant>
        <vt:i4>5</vt:i4>
      </vt:variant>
      <vt:variant>
        <vt:lpwstr>https://assets.publishing.service.gov.uk/government/uploads/system/uploads/attachment_data/file/578498/governance_code_on_public_appointments_16_12_2016.pdf</vt:lpwstr>
      </vt:variant>
      <vt:variant>
        <vt:lpwstr/>
      </vt:variant>
      <vt:variant>
        <vt:i4>6815849</vt:i4>
      </vt:variant>
      <vt:variant>
        <vt:i4>357</vt:i4>
      </vt:variant>
      <vt:variant>
        <vt:i4>0</vt:i4>
      </vt:variant>
      <vt:variant>
        <vt:i4>5</vt:i4>
      </vt:variant>
      <vt:variant>
        <vt:lpwstr>https://publicappointments.cabinetoffice.gov.uk/wp-content/uploads/2019/11/Public-Appointments-No.-2-Order-in-Council-2019.pdf</vt:lpwstr>
      </vt:variant>
      <vt:variant>
        <vt:lpwstr/>
      </vt:variant>
      <vt:variant>
        <vt:i4>7274556</vt:i4>
      </vt:variant>
      <vt:variant>
        <vt:i4>354</vt:i4>
      </vt:variant>
      <vt:variant>
        <vt:i4>0</vt:i4>
      </vt:variant>
      <vt:variant>
        <vt:i4>5</vt:i4>
      </vt:variant>
      <vt:variant>
        <vt:lpwstr>https://www.gov.uk/government/collections/functional-standards</vt:lpwstr>
      </vt:variant>
      <vt:variant>
        <vt:lpwstr/>
      </vt:variant>
      <vt:variant>
        <vt:i4>5701726</vt:i4>
      </vt:variant>
      <vt:variant>
        <vt:i4>351</vt:i4>
      </vt:variant>
      <vt:variant>
        <vt:i4>0</vt:i4>
      </vt:variant>
      <vt:variant>
        <vt:i4>5</vt:i4>
      </vt:variant>
      <vt:variant>
        <vt:lpwstr>https://assets.publishing.service.gov.uk/government/uploads/system/uploads/attachment_data/file/609668/PU2076_corporate_governance_guidance.pdf</vt:lpwstr>
      </vt:variant>
      <vt:variant>
        <vt:lpwstr/>
      </vt:variant>
      <vt:variant>
        <vt:i4>5570629</vt:i4>
      </vt:variant>
      <vt:variant>
        <vt:i4>348</vt:i4>
      </vt:variant>
      <vt:variant>
        <vt:i4>0</vt:i4>
      </vt:variant>
      <vt:variant>
        <vt:i4>5</vt:i4>
      </vt:variant>
      <vt:variant>
        <vt:lpwstr>https://www.gov.uk/government/publications/partnerships-with-arms-length-bodies-code-of-good-practice</vt:lpwstr>
      </vt:variant>
      <vt:variant>
        <vt:lpwstr/>
      </vt:variant>
      <vt:variant>
        <vt:i4>1638456</vt:i4>
      </vt:variant>
      <vt:variant>
        <vt:i4>341</vt:i4>
      </vt:variant>
      <vt:variant>
        <vt:i4>0</vt:i4>
      </vt:variant>
      <vt:variant>
        <vt:i4>5</vt:i4>
      </vt:variant>
      <vt:variant>
        <vt:lpwstr/>
      </vt:variant>
      <vt:variant>
        <vt:lpwstr>_Toc85192032</vt:lpwstr>
      </vt:variant>
      <vt:variant>
        <vt:i4>1703992</vt:i4>
      </vt:variant>
      <vt:variant>
        <vt:i4>335</vt:i4>
      </vt:variant>
      <vt:variant>
        <vt:i4>0</vt:i4>
      </vt:variant>
      <vt:variant>
        <vt:i4>5</vt:i4>
      </vt:variant>
      <vt:variant>
        <vt:lpwstr/>
      </vt:variant>
      <vt:variant>
        <vt:lpwstr>_Toc85192031</vt:lpwstr>
      </vt:variant>
      <vt:variant>
        <vt:i4>1769528</vt:i4>
      </vt:variant>
      <vt:variant>
        <vt:i4>329</vt:i4>
      </vt:variant>
      <vt:variant>
        <vt:i4>0</vt:i4>
      </vt:variant>
      <vt:variant>
        <vt:i4>5</vt:i4>
      </vt:variant>
      <vt:variant>
        <vt:lpwstr/>
      </vt:variant>
      <vt:variant>
        <vt:lpwstr>_Toc85192030</vt:lpwstr>
      </vt:variant>
      <vt:variant>
        <vt:i4>1179705</vt:i4>
      </vt:variant>
      <vt:variant>
        <vt:i4>323</vt:i4>
      </vt:variant>
      <vt:variant>
        <vt:i4>0</vt:i4>
      </vt:variant>
      <vt:variant>
        <vt:i4>5</vt:i4>
      </vt:variant>
      <vt:variant>
        <vt:lpwstr/>
      </vt:variant>
      <vt:variant>
        <vt:lpwstr>_Toc85192029</vt:lpwstr>
      </vt:variant>
      <vt:variant>
        <vt:i4>1245241</vt:i4>
      </vt:variant>
      <vt:variant>
        <vt:i4>317</vt:i4>
      </vt:variant>
      <vt:variant>
        <vt:i4>0</vt:i4>
      </vt:variant>
      <vt:variant>
        <vt:i4>5</vt:i4>
      </vt:variant>
      <vt:variant>
        <vt:lpwstr/>
      </vt:variant>
      <vt:variant>
        <vt:lpwstr>_Toc85192028</vt:lpwstr>
      </vt:variant>
      <vt:variant>
        <vt:i4>1835065</vt:i4>
      </vt:variant>
      <vt:variant>
        <vt:i4>311</vt:i4>
      </vt:variant>
      <vt:variant>
        <vt:i4>0</vt:i4>
      </vt:variant>
      <vt:variant>
        <vt:i4>5</vt:i4>
      </vt:variant>
      <vt:variant>
        <vt:lpwstr/>
      </vt:variant>
      <vt:variant>
        <vt:lpwstr>_Toc85192027</vt:lpwstr>
      </vt:variant>
      <vt:variant>
        <vt:i4>1900601</vt:i4>
      </vt:variant>
      <vt:variant>
        <vt:i4>305</vt:i4>
      </vt:variant>
      <vt:variant>
        <vt:i4>0</vt:i4>
      </vt:variant>
      <vt:variant>
        <vt:i4>5</vt:i4>
      </vt:variant>
      <vt:variant>
        <vt:lpwstr/>
      </vt:variant>
      <vt:variant>
        <vt:lpwstr>_Toc85192026</vt:lpwstr>
      </vt:variant>
      <vt:variant>
        <vt:i4>1966137</vt:i4>
      </vt:variant>
      <vt:variant>
        <vt:i4>299</vt:i4>
      </vt:variant>
      <vt:variant>
        <vt:i4>0</vt:i4>
      </vt:variant>
      <vt:variant>
        <vt:i4>5</vt:i4>
      </vt:variant>
      <vt:variant>
        <vt:lpwstr/>
      </vt:variant>
      <vt:variant>
        <vt:lpwstr>_Toc85192025</vt:lpwstr>
      </vt:variant>
      <vt:variant>
        <vt:i4>2031673</vt:i4>
      </vt:variant>
      <vt:variant>
        <vt:i4>293</vt:i4>
      </vt:variant>
      <vt:variant>
        <vt:i4>0</vt:i4>
      </vt:variant>
      <vt:variant>
        <vt:i4>5</vt:i4>
      </vt:variant>
      <vt:variant>
        <vt:lpwstr/>
      </vt:variant>
      <vt:variant>
        <vt:lpwstr>_Toc85192024</vt:lpwstr>
      </vt:variant>
      <vt:variant>
        <vt:i4>1572921</vt:i4>
      </vt:variant>
      <vt:variant>
        <vt:i4>287</vt:i4>
      </vt:variant>
      <vt:variant>
        <vt:i4>0</vt:i4>
      </vt:variant>
      <vt:variant>
        <vt:i4>5</vt:i4>
      </vt:variant>
      <vt:variant>
        <vt:lpwstr/>
      </vt:variant>
      <vt:variant>
        <vt:lpwstr>_Toc85192023</vt:lpwstr>
      </vt:variant>
      <vt:variant>
        <vt:i4>1638457</vt:i4>
      </vt:variant>
      <vt:variant>
        <vt:i4>281</vt:i4>
      </vt:variant>
      <vt:variant>
        <vt:i4>0</vt:i4>
      </vt:variant>
      <vt:variant>
        <vt:i4>5</vt:i4>
      </vt:variant>
      <vt:variant>
        <vt:lpwstr/>
      </vt:variant>
      <vt:variant>
        <vt:lpwstr>_Toc85192022</vt:lpwstr>
      </vt:variant>
      <vt:variant>
        <vt:i4>1703993</vt:i4>
      </vt:variant>
      <vt:variant>
        <vt:i4>275</vt:i4>
      </vt:variant>
      <vt:variant>
        <vt:i4>0</vt:i4>
      </vt:variant>
      <vt:variant>
        <vt:i4>5</vt:i4>
      </vt:variant>
      <vt:variant>
        <vt:lpwstr/>
      </vt:variant>
      <vt:variant>
        <vt:lpwstr>_Toc85192021</vt:lpwstr>
      </vt:variant>
      <vt:variant>
        <vt:i4>1769529</vt:i4>
      </vt:variant>
      <vt:variant>
        <vt:i4>269</vt:i4>
      </vt:variant>
      <vt:variant>
        <vt:i4>0</vt:i4>
      </vt:variant>
      <vt:variant>
        <vt:i4>5</vt:i4>
      </vt:variant>
      <vt:variant>
        <vt:lpwstr/>
      </vt:variant>
      <vt:variant>
        <vt:lpwstr>_Toc85192020</vt:lpwstr>
      </vt:variant>
      <vt:variant>
        <vt:i4>1179706</vt:i4>
      </vt:variant>
      <vt:variant>
        <vt:i4>263</vt:i4>
      </vt:variant>
      <vt:variant>
        <vt:i4>0</vt:i4>
      </vt:variant>
      <vt:variant>
        <vt:i4>5</vt:i4>
      </vt:variant>
      <vt:variant>
        <vt:lpwstr/>
      </vt:variant>
      <vt:variant>
        <vt:lpwstr>_Toc85192019</vt:lpwstr>
      </vt:variant>
      <vt:variant>
        <vt:i4>1245242</vt:i4>
      </vt:variant>
      <vt:variant>
        <vt:i4>257</vt:i4>
      </vt:variant>
      <vt:variant>
        <vt:i4>0</vt:i4>
      </vt:variant>
      <vt:variant>
        <vt:i4>5</vt:i4>
      </vt:variant>
      <vt:variant>
        <vt:lpwstr/>
      </vt:variant>
      <vt:variant>
        <vt:lpwstr>_Toc85192018</vt:lpwstr>
      </vt:variant>
      <vt:variant>
        <vt:i4>1835066</vt:i4>
      </vt:variant>
      <vt:variant>
        <vt:i4>251</vt:i4>
      </vt:variant>
      <vt:variant>
        <vt:i4>0</vt:i4>
      </vt:variant>
      <vt:variant>
        <vt:i4>5</vt:i4>
      </vt:variant>
      <vt:variant>
        <vt:lpwstr/>
      </vt:variant>
      <vt:variant>
        <vt:lpwstr>_Toc85192017</vt:lpwstr>
      </vt:variant>
      <vt:variant>
        <vt:i4>1900602</vt:i4>
      </vt:variant>
      <vt:variant>
        <vt:i4>245</vt:i4>
      </vt:variant>
      <vt:variant>
        <vt:i4>0</vt:i4>
      </vt:variant>
      <vt:variant>
        <vt:i4>5</vt:i4>
      </vt:variant>
      <vt:variant>
        <vt:lpwstr/>
      </vt:variant>
      <vt:variant>
        <vt:lpwstr>_Toc85192016</vt:lpwstr>
      </vt:variant>
      <vt:variant>
        <vt:i4>1966138</vt:i4>
      </vt:variant>
      <vt:variant>
        <vt:i4>239</vt:i4>
      </vt:variant>
      <vt:variant>
        <vt:i4>0</vt:i4>
      </vt:variant>
      <vt:variant>
        <vt:i4>5</vt:i4>
      </vt:variant>
      <vt:variant>
        <vt:lpwstr/>
      </vt:variant>
      <vt:variant>
        <vt:lpwstr>_Toc85192015</vt:lpwstr>
      </vt:variant>
      <vt:variant>
        <vt:i4>2031674</vt:i4>
      </vt:variant>
      <vt:variant>
        <vt:i4>233</vt:i4>
      </vt:variant>
      <vt:variant>
        <vt:i4>0</vt:i4>
      </vt:variant>
      <vt:variant>
        <vt:i4>5</vt:i4>
      </vt:variant>
      <vt:variant>
        <vt:lpwstr/>
      </vt:variant>
      <vt:variant>
        <vt:lpwstr>_Toc85192014</vt:lpwstr>
      </vt:variant>
      <vt:variant>
        <vt:i4>1572922</vt:i4>
      </vt:variant>
      <vt:variant>
        <vt:i4>227</vt:i4>
      </vt:variant>
      <vt:variant>
        <vt:i4>0</vt:i4>
      </vt:variant>
      <vt:variant>
        <vt:i4>5</vt:i4>
      </vt:variant>
      <vt:variant>
        <vt:lpwstr/>
      </vt:variant>
      <vt:variant>
        <vt:lpwstr>_Toc85192013</vt:lpwstr>
      </vt:variant>
      <vt:variant>
        <vt:i4>1638458</vt:i4>
      </vt:variant>
      <vt:variant>
        <vt:i4>221</vt:i4>
      </vt:variant>
      <vt:variant>
        <vt:i4>0</vt:i4>
      </vt:variant>
      <vt:variant>
        <vt:i4>5</vt:i4>
      </vt:variant>
      <vt:variant>
        <vt:lpwstr/>
      </vt:variant>
      <vt:variant>
        <vt:lpwstr>_Toc85192012</vt:lpwstr>
      </vt:variant>
      <vt:variant>
        <vt:i4>1703994</vt:i4>
      </vt:variant>
      <vt:variant>
        <vt:i4>215</vt:i4>
      </vt:variant>
      <vt:variant>
        <vt:i4>0</vt:i4>
      </vt:variant>
      <vt:variant>
        <vt:i4>5</vt:i4>
      </vt:variant>
      <vt:variant>
        <vt:lpwstr/>
      </vt:variant>
      <vt:variant>
        <vt:lpwstr>_Toc85192011</vt:lpwstr>
      </vt:variant>
      <vt:variant>
        <vt:i4>1769530</vt:i4>
      </vt:variant>
      <vt:variant>
        <vt:i4>209</vt:i4>
      </vt:variant>
      <vt:variant>
        <vt:i4>0</vt:i4>
      </vt:variant>
      <vt:variant>
        <vt:i4>5</vt:i4>
      </vt:variant>
      <vt:variant>
        <vt:lpwstr/>
      </vt:variant>
      <vt:variant>
        <vt:lpwstr>_Toc85192010</vt:lpwstr>
      </vt:variant>
      <vt:variant>
        <vt:i4>1179707</vt:i4>
      </vt:variant>
      <vt:variant>
        <vt:i4>203</vt:i4>
      </vt:variant>
      <vt:variant>
        <vt:i4>0</vt:i4>
      </vt:variant>
      <vt:variant>
        <vt:i4>5</vt:i4>
      </vt:variant>
      <vt:variant>
        <vt:lpwstr/>
      </vt:variant>
      <vt:variant>
        <vt:lpwstr>_Toc85192009</vt:lpwstr>
      </vt:variant>
      <vt:variant>
        <vt:i4>1245243</vt:i4>
      </vt:variant>
      <vt:variant>
        <vt:i4>197</vt:i4>
      </vt:variant>
      <vt:variant>
        <vt:i4>0</vt:i4>
      </vt:variant>
      <vt:variant>
        <vt:i4>5</vt:i4>
      </vt:variant>
      <vt:variant>
        <vt:lpwstr/>
      </vt:variant>
      <vt:variant>
        <vt:lpwstr>_Toc85192008</vt:lpwstr>
      </vt:variant>
      <vt:variant>
        <vt:i4>1835067</vt:i4>
      </vt:variant>
      <vt:variant>
        <vt:i4>191</vt:i4>
      </vt:variant>
      <vt:variant>
        <vt:i4>0</vt:i4>
      </vt:variant>
      <vt:variant>
        <vt:i4>5</vt:i4>
      </vt:variant>
      <vt:variant>
        <vt:lpwstr/>
      </vt:variant>
      <vt:variant>
        <vt:lpwstr>_Toc85192007</vt:lpwstr>
      </vt:variant>
      <vt:variant>
        <vt:i4>1900603</vt:i4>
      </vt:variant>
      <vt:variant>
        <vt:i4>185</vt:i4>
      </vt:variant>
      <vt:variant>
        <vt:i4>0</vt:i4>
      </vt:variant>
      <vt:variant>
        <vt:i4>5</vt:i4>
      </vt:variant>
      <vt:variant>
        <vt:lpwstr/>
      </vt:variant>
      <vt:variant>
        <vt:lpwstr>_Toc85192006</vt:lpwstr>
      </vt:variant>
      <vt:variant>
        <vt:i4>1966139</vt:i4>
      </vt:variant>
      <vt:variant>
        <vt:i4>179</vt:i4>
      </vt:variant>
      <vt:variant>
        <vt:i4>0</vt:i4>
      </vt:variant>
      <vt:variant>
        <vt:i4>5</vt:i4>
      </vt:variant>
      <vt:variant>
        <vt:lpwstr/>
      </vt:variant>
      <vt:variant>
        <vt:lpwstr>_Toc85192005</vt:lpwstr>
      </vt:variant>
      <vt:variant>
        <vt:i4>2031675</vt:i4>
      </vt:variant>
      <vt:variant>
        <vt:i4>173</vt:i4>
      </vt:variant>
      <vt:variant>
        <vt:i4>0</vt:i4>
      </vt:variant>
      <vt:variant>
        <vt:i4>5</vt:i4>
      </vt:variant>
      <vt:variant>
        <vt:lpwstr/>
      </vt:variant>
      <vt:variant>
        <vt:lpwstr>_Toc85192004</vt:lpwstr>
      </vt:variant>
      <vt:variant>
        <vt:i4>1572923</vt:i4>
      </vt:variant>
      <vt:variant>
        <vt:i4>167</vt:i4>
      </vt:variant>
      <vt:variant>
        <vt:i4>0</vt:i4>
      </vt:variant>
      <vt:variant>
        <vt:i4>5</vt:i4>
      </vt:variant>
      <vt:variant>
        <vt:lpwstr/>
      </vt:variant>
      <vt:variant>
        <vt:lpwstr>_Toc85192003</vt:lpwstr>
      </vt:variant>
      <vt:variant>
        <vt:i4>1638459</vt:i4>
      </vt:variant>
      <vt:variant>
        <vt:i4>161</vt:i4>
      </vt:variant>
      <vt:variant>
        <vt:i4>0</vt:i4>
      </vt:variant>
      <vt:variant>
        <vt:i4>5</vt:i4>
      </vt:variant>
      <vt:variant>
        <vt:lpwstr/>
      </vt:variant>
      <vt:variant>
        <vt:lpwstr>_Toc85192002</vt:lpwstr>
      </vt:variant>
      <vt:variant>
        <vt:i4>1703995</vt:i4>
      </vt:variant>
      <vt:variant>
        <vt:i4>155</vt:i4>
      </vt:variant>
      <vt:variant>
        <vt:i4>0</vt:i4>
      </vt:variant>
      <vt:variant>
        <vt:i4>5</vt:i4>
      </vt:variant>
      <vt:variant>
        <vt:lpwstr/>
      </vt:variant>
      <vt:variant>
        <vt:lpwstr>_Toc85192001</vt:lpwstr>
      </vt:variant>
      <vt:variant>
        <vt:i4>1769531</vt:i4>
      </vt:variant>
      <vt:variant>
        <vt:i4>149</vt:i4>
      </vt:variant>
      <vt:variant>
        <vt:i4>0</vt:i4>
      </vt:variant>
      <vt:variant>
        <vt:i4>5</vt:i4>
      </vt:variant>
      <vt:variant>
        <vt:lpwstr/>
      </vt:variant>
      <vt:variant>
        <vt:lpwstr>_Toc85192000</vt:lpwstr>
      </vt:variant>
      <vt:variant>
        <vt:i4>1769521</vt:i4>
      </vt:variant>
      <vt:variant>
        <vt:i4>143</vt:i4>
      </vt:variant>
      <vt:variant>
        <vt:i4>0</vt:i4>
      </vt:variant>
      <vt:variant>
        <vt:i4>5</vt:i4>
      </vt:variant>
      <vt:variant>
        <vt:lpwstr/>
      </vt:variant>
      <vt:variant>
        <vt:lpwstr>_Toc85191999</vt:lpwstr>
      </vt:variant>
      <vt:variant>
        <vt:i4>1703985</vt:i4>
      </vt:variant>
      <vt:variant>
        <vt:i4>137</vt:i4>
      </vt:variant>
      <vt:variant>
        <vt:i4>0</vt:i4>
      </vt:variant>
      <vt:variant>
        <vt:i4>5</vt:i4>
      </vt:variant>
      <vt:variant>
        <vt:lpwstr/>
      </vt:variant>
      <vt:variant>
        <vt:lpwstr>_Toc85191998</vt:lpwstr>
      </vt:variant>
      <vt:variant>
        <vt:i4>1376305</vt:i4>
      </vt:variant>
      <vt:variant>
        <vt:i4>131</vt:i4>
      </vt:variant>
      <vt:variant>
        <vt:i4>0</vt:i4>
      </vt:variant>
      <vt:variant>
        <vt:i4>5</vt:i4>
      </vt:variant>
      <vt:variant>
        <vt:lpwstr/>
      </vt:variant>
      <vt:variant>
        <vt:lpwstr>_Toc85191997</vt:lpwstr>
      </vt:variant>
      <vt:variant>
        <vt:i4>1310769</vt:i4>
      </vt:variant>
      <vt:variant>
        <vt:i4>125</vt:i4>
      </vt:variant>
      <vt:variant>
        <vt:i4>0</vt:i4>
      </vt:variant>
      <vt:variant>
        <vt:i4>5</vt:i4>
      </vt:variant>
      <vt:variant>
        <vt:lpwstr/>
      </vt:variant>
      <vt:variant>
        <vt:lpwstr>_Toc85191996</vt:lpwstr>
      </vt:variant>
      <vt:variant>
        <vt:i4>1507377</vt:i4>
      </vt:variant>
      <vt:variant>
        <vt:i4>119</vt:i4>
      </vt:variant>
      <vt:variant>
        <vt:i4>0</vt:i4>
      </vt:variant>
      <vt:variant>
        <vt:i4>5</vt:i4>
      </vt:variant>
      <vt:variant>
        <vt:lpwstr/>
      </vt:variant>
      <vt:variant>
        <vt:lpwstr>_Toc85191995</vt:lpwstr>
      </vt:variant>
      <vt:variant>
        <vt:i4>1441841</vt:i4>
      </vt:variant>
      <vt:variant>
        <vt:i4>113</vt:i4>
      </vt:variant>
      <vt:variant>
        <vt:i4>0</vt:i4>
      </vt:variant>
      <vt:variant>
        <vt:i4>5</vt:i4>
      </vt:variant>
      <vt:variant>
        <vt:lpwstr/>
      </vt:variant>
      <vt:variant>
        <vt:lpwstr>_Toc85191994</vt:lpwstr>
      </vt:variant>
      <vt:variant>
        <vt:i4>1114161</vt:i4>
      </vt:variant>
      <vt:variant>
        <vt:i4>107</vt:i4>
      </vt:variant>
      <vt:variant>
        <vt:i4>0</vt:i4>
      </vt:variant>
      <vt:variant>
        <vt:i4>5</vt:i4>
      </vt:variant>
      <vt:variant>
        <vt:lpwstr/>
      </vt:variant>
      <vt:variant>
        <vt:lpwstr>_Toc85191993</vt:lpwstr>
      </vt:variant>
      <vt:variant>
        <vt:i4>1048625</vt:i4>
      </vt:variant>
      <vt:variant>
        <vt:i4>101</vt:i4>
      </vt:variant>
      <vt:variant>
        <vt:i4>0</vt:i4>
      </vt:variant>
      <vt:variant>
        <vt:i4>5</vt:i4>
      </vt:variant>
      <vt:variant>
        <vt:lpwstr/>
      </vt:variant>
      <vt:variant>
        <vt:lpwstr>_Toc85191992</vt:lpwstr>
      </vt:variant>
      <vt:variant>
        <vt:i4>1245233</vt:i4>
      </vt:variant>
      <vt:variant>
        <vt:i4>95</vt:i4>
      </vt:variant>
      <vt:variant>
        <vt:i4>0</vt:i4>
      </vt:variant>
      <vt:variant>
        <vt:i4>5</vt:i4>
      </vt:variant>
      <vt:variant>
        <vt:lpwstr/>
      </vt:variant>
      <vt:variant>
        <vt:lpwstr>_Toc85191991</vt:lpwstr>
      </vt:variant>
      <vt:variant>
        <vt:i4>1179697</vt:i4>
      </vt:variant>
      <vt:variant>
        <vt:i4>89</vt:i4>
      </vt:variant>
      <vt:variant>
        <vt:i4>0</vt:i4>
      </vt:variant>
      <vt:variant>
        <vt:i4>5</vt:i4>
      </vt:variant>
      <vt:variant>
        <vt:lpwstr/>
      </vt:variant>
      <vt:variant>
        <vt:lpwstr>_Toc85191990</vt:lpwstr>
      </vt:variant>
      <vt:variant>
        <vt:i4>1769520</vt:i4>
      </vt:variant>
      <vt:variant>
        <vt:i4>83</vt:i4>
      </vt:variant>
      <vt:variant>
        <vt:i4>0</vt:i4>
      </vt:variant>
      <vt:variant>
        <vt:i4>5</vt:i4>
      </vt:variant>
      <vt:variant>
        <vt:lpwstr/>
      </vt:variant>
      <vt:variant>
        <vt:lpwstr>_Toc85191989</vt:lpwstr>
      </vt:variant>
      <vt:variant>
        <vt:i4>1703984</vt:i4>
      </vt:variant>
      <vt:variant>
        <vt:i4>77</vt:i4>
      </vt:variant>
      <vt:variant>
        <vt:i4>0</vt:i4>
      </vt:variant>
      <vt:variant>
        <vt:i4>5</vt:i4>
      </vt:variant>
      <vt:variant>
        <vt:lpwstr/>
      </vt:variant>
      <vt:variant>
        <vt:lpwstr>_Toc85191988</vt:lpwstr>
      </vt:variant>
      <vt:variant>
        <vt:i4>1376304</vt:i4>
      </vt:variant>
      <vt:variant>
        <vt:i4>71</vt:i4>
      </vt:variant>
      <vt:variant>
        <vt:i4>0</vt:i4>
      </vt:variant>
      <vt:variant>
        <vt:i4>5</vt:i4>
      </vt:variant>
      <vt:variant>
        <vt:lpwstr/>
      </vt:variant>
      <vt:variant>
        <vt:lpwstr>_Toc85191987</vt:lpwstr>
      </vt:variant>
      <vt:variant>
        <vt:i4>1310768</vt:i4>
      </vt:variant>
      <vt:variant>
        <vt:i4>65</vt:i4>
      </vt:variant>
      <vt:variant>
        <vt:i4>0</vt:i4>
      </vt:variant>
      <vt:variant>
        <vt:i4>5</vt:i4>
      </vt:variant>
      <vt:variant>
        <vt:lpwstr/>
      </vt:variant>
      <vt:variant>
        <vt:lpwstr>_Toc85191986</vt:lpwstr>
      </vt:variant>
      <vt:variant>
        <vt:i4>1507376</vt:i4>
      </vt:variant>
      <vt:variant>
        <vt:i4>59</vt:i4>
      </vt:variant>
      <vt:variant>
        <vt:i4>0</vt:i4>
      </vt:variant>
      <vt:variant>
        <vt:i4>5</vt:i4>
      </vt:variant>
      <vt:variant>
        <vt:lpwstr/>
      </vt:variant>
      <vt:variant>
        <vt:lpwstr>_Toc85191985</vt:lpwstr>
      </vt:variant>
      <vt:variant>
        <vt:i4>1441840</vt:i4>
      </vt:variant>
      <vt:variant>
        <vt:i4>53</vt:i4>
      </vt:variant>
      <vt:variant>
        <vt:i4>0</vt:i4>
      </vt:variant>
      <vt:variant>
        <vt:i4>5</vt:i4>
      </vt:variant>
      <vt:variant>
        <vt:lpwstr/>
      </vt:variant>
      <vt:variant>
        <vt:lpwstr>_Toc85191984</vt:lpwstr>
      </vt:variant>
      <vt:variant>
        <vt:i4>1114160</vt:i4>
      </vt:variant>
      <vt:variant>
        <vt:i4>47</vt:i4>
      </vt:variant>
      <vt:variant>
        <vt:i4>0</vt:i4>
      </vt:variant>
      <vt:variant>
        <vt:i4>5</vt:i4>
      </vt:variant>
      <vt:variant>
        <vt:lpwstr/>
      </vt:variant>
      <vt:variant>
        <vt:lpwstr>_Toc85191983</vt:lpwstr>
      </vt:variant>
      <vt:variant>
        <vt:i4>1048624</vt:i4>
      </vt:variant>
      <vt:variant>
        <vt:i4>41</vt:i4>
      </vt:variant>
      <vt:variant>
        <vt:i4>0</vt:i4>
      </vt:variant>
      <vt:variant>
        <vt:i4>5</vt:i4>
      </vt:variant>
      <vt:variant>
        <vt:lpwstr/>
      </vt:variant>
      <vt:variant>
        <vt:lpwstr>_Toc85191982</vt:lpwstr>
      </vt:variant>
      <vt:variant>
        <vt:i4>1245232</vt:i4>
      </vt:variant>
      <vt:variant>
        <vt:i4>35</vt:i4>
      </vt:variant>
      <vt:variant>
        <vt:i4>0</vt:i4>
      </vt:variant>
      <vt:variant>
        <vt:i4>5</vt:i4>
      </vt:variant>
      <vt:variant>
        <vt:lpwstr/>
      </vt:variant>
      <vt:variant>
        <vt:lpwstr>_Toc85191981</vt:lpwstr>
      </vt:variant>
      <vt:variant>
        <vt:i4>1179696</vt:i4>
      </vt:variant>
      <vt:variant>
        <vt:i4>29</vt:i4>
      </vt:variant>
      <vt:variant>
        <vt:i4>0</vt:i4>
      </vt:variant>
      <vt:variant>
        <vt:i4>5</vt:i4>
      </vt:variant>
      <vt:variant>
        <vt:lpwstr/>
      </vt:variant>
      <vt:variant>
        <vt:lpwstr>_Toc85191980</vt:lpwstr>
      </vt:variant>
      <vt:variant>
        <vt:i4>1769535</vt:i4>
      </vt:variant>
      <vt:variant>
        <vt:i4>23</vt:i4>
      </vt:variant>
      <vt:variant>
        <vt:i4>0</vt:i4>
      </vt:variant>
      <vt:variant>
        <vt:i4>5</vt:i4>
      </vt:variant>
      <vt:variant>
        <vt:lpwstr/>
      </vt:variant>
      <vt:variant>
        <vt:lpwstr>_Toc85191979</vt:lpwstr>
      </vt:variant>
      <vt:variant>
        <vt:i4>1703999</vt:i4>
      </vt:variant>
      <vt:variant>
        <vt:i4>17</vt:i4>
      </vt:variant>
      <vt:variant>
        <vt:i4>0</vt:i4>
      </vt:variant>
      <vt:variant>
        <vt:i4>5</vt:i4>
      </vt:variant>
      <vt:variant>
        <vt:lpwstr/>
      </vt:variant>
      <vt:variant>
        <vt:lpwstr>_Toc85191978</vt:lpwstr>
      </vt:variant>
      <vt:variant>
        <vt:i4>1376319</vt:i4>
      </vt:variant>
      <vt:variant>
        <vt:i4>11</vt:i4>
      </vt:variant>
      <vt:variant>
        <vt:i4>0</vt:i4>
      </vt:variant>
      <vt:variant>
        <vt:i4>5</vt:i4>
      </vt:variant>
      <vt:variant>
        <vt:lpwstr/>
      </vt:variant>
      <vt:variant>
        <vt:lpwstr>_Toc85191977</vt:lpwstr>
      </vt:variant>
      <vt:variant>
        <vt:i4>1310783</vt:i4>
      </vt:variant>
      <vt:variant>
        <vt:i4>5</vt:i4>
      </vt:variant>
      <vt:variant>
        <vt:i4>0</vt:i4>
      </vt:variant>
      <vt:variant>
        <vt:i4>5</vt:i4>
      </vt:variant>
      <vt:variant>
        <vt:lpwstr/>
      </vt:variant>
      <vt:variant>
        <vt:lpwstr>_Toc85191976</vt:lpwstr>
      </vt:variant>
      <vt:variant>
        <vt:i4>1572894</vt:i4>
      </vt:variant>
      <vt:variant>
        <vt:i4>0</vt:i4>
      </vt:variant>
      <vt:variant>
        <vt:i4>0</vt:i4>
      </vt:variant>
      <vt:variant>
        <vt:i4>5</vt:i4>
      </vt:variant>
      <vt:variant>
        <vt:lpwstr>https://www.gov.uk/government/publications/managing-public-money</vt:lpwstr>
      </vt:variant>
      <vt:variant>
        <vt:lpwstr/>
      </vt:variant>
      <vt:variant>
        <vt:i4>2293826</vt:i4>
      </vt:variant>
      <vt:variant>
        <vt:i4>0</vt:i4>
      </vt:variant>
      <vt:variant>
        <vt:i4>0</vt:i4>
      </vt:variant>
      <vt:variant>
        <vt:i4>5</vt:i4>
      </vt:variant>
      <vt:variant>
        <vt:lpwstr>mailto:mike.jones@nhs.net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Watson, Anastasia</cp:lastModifiedBy>
  <cp:revision>2</cp:revision>
  <cp:lastPrinted>2018-09-11T09:42:00Z</cp:lastPrinted>
  <dcterms:created xsi:type="dcterms:W3CDTF">2022-08-11T09:42:00Z</dcterms:created>
  <dcterms:modified xsi:type="dcterms:W3CDTF">2022-08-11T09:42:00Z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0x01010063F9E2FE79AFA843B0CCF1BFA15B296C</vt:lpwstr>
  </property>
  <property fmtid="{D5CDD505-2E9C-101B-9397-08002B2CF9AE}" pid="3" name="_dlc_DocIdItemGuid">
    <vt:lpwstr>47f4c2f3-2c56-41bb-8935-1d8a5c77b8c0</vt:lpwstr>
  </property>
</Properties>
</file>