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684" w:rsidRPr="00BD5138" w:rsidRDefault="000D0684" w:rsidP="00BD5138">
      <w:pPr>
        <w:widowControl/>
        <w:tabs>
          <w:tab w:val="num" w:pos="720"/>
        </w:tabs>
        <w:spacing w:line="360" w:lineRule="auto"/>
        <w:jc w:val="both"/>
        <w:rPr>
          <w:color w:val="000000" w:themeColor="text1"/>
        </w:rPr>
      </w:pPr>
      <w:r w:rsidRPr="00BD5138">
        <w:rPr>
          <w:b/>
          <w:color w:val="000000" w:themeColor="text1"/>
        </w:rPr>
        <w:t xml:space="preserve">Fuller answer to Luciana Berger WPQ 157974 </w:t>
      </w:r>
      <w:r w:rsidRPr="00BD5138">
        <w:rPr>
          <w:color w:val="000000" w:themeColor="text1"/>
        </w:rPr>
        <w:t>(appeared 5</w:t>
      </w:r>
      <w:r w:rsidRPr="00BD5138">
        <w:rPr>
          <w:color w:val="000000" w:themeColor="text1"/>
          <w:vertAlign w:val="superscript"/>
        </w:rPr>
        <w:t>th</w:t>
      </w:r>
      <w:r w:rsidRPr="00BD5138">
        <w:rPr>
          <w:color w:val="000000" w:themeColor="text1"/>
        </w:rPr>
        <w:t xml:space="preserve"> June, 2013, </w:t>
      </w:r>
      <w:r w:rsidRPr="00BD5138">
        <w:rPr>
          <w:i/>
          <w:color w:val="000000" w:themeColor="text1"/>
        </w:rPr>
        <w:t>Official Report</w:t>
      </w:r>
      <w:r w:rsidRPr="00BD5138">
        <w:rPr>
          <w:color w:val="000000" w:themeColor="text1"/>
        </w:rPr>
        <w:t>, Column</w:t>
      </w:r>
      <w:r w:rsidR="00BD5138" w:rsidRPr="00BD5138">
        <w:rPr>
          <w:color w:val="000000" w:themeColor="text1"/>
        </w:rPr>
        <w:t xml:space="preserve"> 1141W)</w:t>
      </w:r>
    </w:p>
    <w:p w:rsidR="000D0684" w:rsidRPr="00BD5138" w:rsidRDefault="000D0684" w:rsidP="00BD5138">
      <w:pPr>
        <w:widowControl/>
        <w:tabs>
          <w:tab w:val="num" w:pos="720"/>
        </w:tabs>
        <w:spacing w:line="360" w:lineRule="auto"/>
        <w:jc w:val="both"/>
        <w:rPr>
          <w:color w:val="000000" w:themeColor="text1"/>
        </w:rPr>
      </w:pPr>
    </w:p>
    <w:p w:rsidR="000D0684" w:rsidRPr="00BD5138" w:rsidRDefault="000D0684" w:rsidP="00BD5138">
      <w:pPr>
        <w:jc w:val="both"/>
        <w:rPr>
          <w:i/>
          <w:color w:val="000000" w:themeColor="text1"/>
        </w:rPr>
      </w:pPr>
      <w:r w:rsidRPr="00BD5138">
        <w:rPr>
          <w:i/>
          <w:color w:val="000000" w:themeColor="text1"/>
        </w:rPr>
        <w:t>Luciana Berger: To ask the Secretary of State for Energy and Climate Change what the role of the International Climate Change and Energy Efficiency Business Group is; and what progress it has made on its objectives. [157974]</w:t>
      </w:r>
    </w:p>
    <w:p w:rsidR="000D0684" w:rsidRPr="00BD5138" w:rsidRDefault="000D0684" w:rsidP="00BD5138">
      <w:pPr>
        <w:jc w:val="both"/>
        <w:rPr>
          <w:color w:val="000000" w:themeColor="text1"/>
        </w:rPr>
      </w:pPr>
      <w:r w:rsidRPr="00BD5138">
        <w:rPr>
          <w:color w:val="000000" w:themeColor="text1"/>
        </w:rPr>
        <w:t> </w:t>
      </w:r>
    </w:p>
    <w:p w:rsidR="00BD5138" w:rsidRDefault="00BD5138" w:rsidP="00BD5138">
      <w:pPr>
        <w:widowControl/>
        <w:tabs>
          <w:tab w:val="num" w:pos="720"/>
        </w:tabs>
        <w:spacing w:line="360" w:lineRule="auto"/>
        <w:jc w:val="both"/>
        <w:rPr>
          <w:color w:val="000000" w:themeColor="text1"/>
        </w:rPr>
      </w:pPr>
    </w:p>
    <w:p w:rsidR="000D0684" w:rsidRPr="00BD5138" w:rsidRDefault="000D0684" w:rsidP="00BD5138">
      <w:pPr>
        <w:widowControl/>
        <w:tabs>
          <w:tab w:val="num" w:pos="720"/>
        </w:tabs>
        <w:spacing w:line="360" w:lineRule="auto"/>
        <w:jc w:val="both"/>
        <w:rPr>
          <w:color w:val="000000" w:themeColor="text1"/>
        </w:rPr>
      </w:pPr>
      <w:r w:rsidRPr="00BD5138">
        <w:rPr>
          <w:color w:val="000000" w:themeColor="text1"/>
        </w:rPr>
        <w:t xml:space="preserve">DECC’s International Climate Change and Energy Efficiency Business Group (ICCEE) is responsible for progressing international action to combat climate change with the EU and worldwide, taking measures to reduce carbon in the UK and improving our energy efficiency. </w:t>
      </w:r>
    </w:p>
    <w:p w:rsidR="000D0684" w:rsidRPr="00BD5138" w:rsidRDefault="000D0684" w:rsidP="00BD5138">
      <w:pPr>
        <w:widowControl/>
        <w:spacing w:line="360" w:lineRule="auto"/>
        <w:jc w:val="both"/>
        <w:rPr>
          <w:color w:val="000000" w:themeColor="text1"/>
        </w:rPr>
      </w:pPr>
    </w:p>
    <w:p w:rsidR="000D0684" w:rsidRPr="00BD5138" w:rsidRDefault="000D0684" w:rsidP="00BD5138">
      <w:pPr>
        <w:widowControl/>
        <w:spacing w:line="360" w:lineRule="auto"/>
        <w:jc w:val="both"/>
        <w:rPr>
          <w:color w:val="000000" w:themeColor="text1"/>
        </w:rPr>
      </w:pPr>
      <w:r w:rsidRPr="00BD5138">
        <w:rPr>
          <w:color w:val="000000" w:themeColor="text1"/>
        </w:rPr>
        <w:t xml:space="preserve">In delivering our worldwide goal of avoiding dangerous climate change, DECC’s International Climate Change Programme is organised around four pillars. These are: </w:t>
      </w:r>
    </w:p>
    <w:p w:rsidR="000D0684" w:rsidRPr="00BD5138" w:rsidRDefault="000D0684" w:rsidP="00BD5138">
      <w:pPr>
        <w:widowControl/>
        <w:spacing w:line="360" w:lineRule="auto"/>
        <w:jc w:val="both"/>
        <w:rPr>
          <w:color w:val="000000" w:themeColor="text1"/>
        </w:rPr>
      </w:pPr>
    </w:p>
    <w:p w:rsidR="000D0684" w:rsidRPr="00BD5138" w:rsidRDefault="000D0684" w:rsidP="00BD5138">
      <w:pPr>
        <w:widowControl/>
        <w:spacing w:line="360" w:lineRule="auto"/>
        <w:jc w:val="both"/>
        <w:rPr>
          <w:color w:val="000000" w:themeColor="text1"/>
        </w:rPr>
      </w:pPr>
      <w:r w:rsidRPr="00BD5138">
        <w:rPr>
          <w:color w:val="000000" w:themeColor="text1"/>
        </w:rPr>
        <w:t xml:space="preserve">i) ensuring progress in international negotiations, where we agreed at the UNFCCC Conference of the Parties in 2011 to negotiate a new legally binding global agreement by 2015; </w:t>
      </w:r>
    </w:p>
    <w:p w:rsidR="000D0684" w:rsidRPr="00BD5138" w:rsidRDefault="000D0684" w:rsidP="00BD5138">
      <w:pPr>
        <w:widowControl/>
        <w:spacing w:line="360" w:lineRule="auto"/>
        <w:jc w:val="both"/>
        <w:rPr>
          <w:color w:val="000000" w:themeColor="text1"/>
        </w:rPr>
      </w:pPr>
    </w:p>
    <w:p w:rsidR="000D0684" w:rsidRPr="00BD5138" w:rsidRDefault="000D0684" w:rsidP="00BD5138">
      <w:pPr>
        <w:widowControl/>
        <w:spacing w:line="360" w:lineRule="auto"/>
        <w:jc w:val="both"/>
        <w:rPr>
          <w:color w:val="000000" w:themeColor="text1"/>
        </w:rPr>
      </w:pPr>
      <w:r w:rsidRPr="00BD5138">
        <w:rPr>
          <w:color w:val="000000" w:themeColor="text1"/>
        </w:rPr>
        <w:t xml:space="preserve">ii) working with the FCO to encourage key emitting economies towards greater ambition and support low carbon development, where we have seen countries such as China, Mexico and South Korea take additional action;  </w:t>
      </w:r>
    </w:p>
    <w:p w:rsidR="000D0684" w:rsidRPr="00BD5138" w:rsidRDefault="000D0684" w:rsidP="00BD5138">
      <w:pPr>
        <w:widowControl/>
        <w:spacing w:line="360" w:lineRule="auto"/>
        <w:jc w:val="both"/>
        <w:rPr>
          <w:color w:val="000000" w:themeColor="text1"/>
        </w:rPr>
      </w:pPr>
    </w:p>
    <w:p w:rsidR="000D0684" w:rsidRPr="00BD5138" w:rsidRDefault="000D0684" w:rsidP="00BD5138">
      <w:pPr>
        <w:widowControl/>
        <w:spacing w:line="360" w:lineRule="auto"/>
        <w:jc w:val="both"/>
        <w:rPr>
          <w:color w:val="000000" w:themeColor="text1"/>
        </w:rPr>
      </w:pPr>
      <w:r w:rsidRPr="00BD5138">
        <w:rPr>
          <w:color w:val="000000" w:themeColor="text1"/>
        </w:rPr>
        <w:t>iii) supporting and demonstrating that low carbon climate resilient development is desirable and feasible, including working closely with DFID, Defra, FCO and HMT to deliver our £1bn share of the UK’s £2.9 billion International Climate Fund over the Spending Review period of 2011/12-2014/15, where we are using finance to support transformational programmes in developing countries; and</w:t>
      </w:r>
    </w:p>
    <w:p w:rsidR="000D0684" w:rsidRPr="00BD5138" w:rsidRDefault="000D0684" w:rsidP="00BD5138">
      <w:pPr>
        <w:widowControl/>
        <w:spacing w:line="360" w:lineRule="auto"/>
        <w:jc w:val="both"/>
        <w:rPr>
          <w:color w:val="000000" w:themeColor="text1"/>
        </w:rPr>
      </w:pPr>
    </w:p>
    <w:p w:rsidR="000D0684" w:rsidRPr="00BD5138" w:rsidRDefault="000D0684" w:rsidP="00BD5138">
      <w:pPr>
        <w:widowControl/>
        <w:spacing w:line="360" w:lineRule="auto"/>
        <w:jc w:val="both"/>
        <w:rPr>
          <w:color w:val="000000" w:themeColor="text1"/>
        </w:rPr>
      </w:pPr>
      <w:r w:rsidRPr="00BD5138">
        <w:rPr>
          <w:color w:val="000000" w:themeColor="text1"/>
        </w:rPr>
        <w:t xml:space="preserve">iv) encouraging the EU to show leadership in tackling climate change to help deliver a global climate deal.  The UK is making the case for the EU to adopt an EU wide binding GHG target of 50% in the context of a global climate deal and even a 40% unilateral binding EU target without a global deal.  Agreeing an ambitious target in the EU will give businesses the certainty they need to invest in low carbon.  </w:t>
      </w:r>
    </w:p>
    <w:p w:rsidR="000D0684" w:rsidRPr="00BD5138" w:rsidRDefault="000D0684" w:rsidP="00BD5138">
      <w:pPr>
        <w:widowControl/>
        <w:spacing w:line="360" w:lineRule="auto"/>
        <w:jc w:val="both"/>
        <w:rPr>
          <w:color w:val="000000" w:themeColor="text1"/>
        </w:rPr>
      </w:pPr>
    </w:p>
    <w:p w:rsidR="000D0684" w:rsidRPr="00BD5138" w:rsidRDefault="000D0684" w:rsidP="00BD5138">
      <w:pPr>
        <w:widowControl/>
        <w:spacing w:line="360" w:lineRule="auto"/>
        <w:jc w:val="both"/>
        <w:rPr>
          <w:i/>
          <w:color w:val="000000" w:themeColor="text1"/>
        </w:rPr>
      </w:pPr>
      <w:r w:rsidRPr="00BD5138">
        <w:rPr>
          <w:color w:val="000000" w:themeColor="text1"/>
        </w:rPr>
        <w:lastRenderedPageBreak/>
        <w:t>In delivering our domestic UK objectives the Government has put in place many innovative policy measures with energy efficiency at their heart. Over the five years to 2012, UK final energy consumption (on a temperature corrected basis) has fallen annually by an average of 2.1 per cent and in the domestic sector by an average of 2.6 per cent. In addition, the Carbon Emissions Reduction Target and Community Energy Savings Target which concluded in 2012, delivered a total of 3.9 million Professional Loft insulations, 2.6 million Cavity wall insulation and 140 thousand Solid Wall Insulations. In addition Ofgem estimate 2.8 million homes have benefitted from DIY loft insulation.]</w:t>
      </w:r>
      <w:r w:rsidRPr="00BD5138">
        <w:rPr>
          <w:i/>
          <w:color w:val="000000" w:themeColor="text1"/>
        </w:rPr>
        <w:t xml:space="preserve"> </w:t>
      </w:r>
    </w:p>
    <w:p w:rsidR="000D0684" w:rsidRPr="00BD5138" w:rsidRDefault="000D0684" w:rsidP="00BD5138">
      <w:pPr>
        <w:widowControl/>
        <w:spacing w:line="360" w:lineRule="auto"/>
        <w:jc w:val="both"/>
        <w:rPr>
          <w:color w:val="000000" w:themeColor="text1"/>
        </w:rPr>
      </w:pPr>
    </w:p>
    <w:p w:rsidR="000D0684" w:rsidRPr="00BD5138" w:rsidRDefault="000D0684" w:rsidP="00BD5138">
      <w:pPr>
        <w:widowControl/>
        <w:spacing w:line="360" w:lineRule="auto"/>
        <w:jc w:val="both"/>
        <w:rPr>
          <w:color w:val="000000" w:themeColor="text1"/>
        </w:rPr>
      </w:pPr>
      <w:r w:rsidRPr="00BD5138">
        <w:rPr>
          <w:color w:val="000000" w:themeColor="text1"/>
        </w:rPr>
        <w:t xml:space="preserve">The Green Deal is an ambitious long term initiative designed to grow and sustain a dynamic and transparent energy efficiency market and deliver still more home improvement in Great Britain. Its launch on 28 January 2013 has been followed by positive early activity in the market; by the end of April 18,816 Green Deal assessments had been lodged, 55 companies were approved to act as Providers and a further 942 as installers. In addition, the system of brokerage through auctions for the associated Energy Company Obligation had led to contracts with a value of over £85m being let.  </w:t>
      </w:r>
    </w:p>
    <w:p w:rsidR="000D0684" w:rsidRPr="00BD5138" w:rsidRDefault="000D0684" w:rsidP="00BD5138">
      <w:pPr>
        <w:widowControl/>
        <w:spacing w:line="360" w:lineRule="auto"/>
        <w:jc w:val="both"/>
        <w:rPr>
          <w:color w:val="000000" w:themeColor="text1"/>
        </w:rPr>
      </w:pPr>
    </w:p>
    <w:p w:rsidR="000D0684" w:rsidRPr="00BD5138" w:rsidRDefault="000D0684" w:rsidP="00BD5138">
      <w:pPr>
        <w:widowControl/>
        <w:spacing w:line="360" w:lineRule="auto"/>
        <w:jc w:val="both"/>
        <w:rPr>
          <w:color w:val="000000" w:themeColor="text1"/>
        </w:rPr>
      </w:pPr>
      <w:r w:rsidRPr="00BD5138">
        <w:rPr>
          <w:color w:val="000000" w:themeColor="text1"/>
        </w:rPr>
        <w:t>The Fuel Poverty Programme oversees the delivery of a range of fuel poverty policies. This includes the Civil Service collaboration award-winning Warm Home Discount – which delivers support to around 2 million low income households per year – and the Affordable Warmth Obligation, which supports low income households through the installation of energy efficiency and heating measures. The most recent fuel poverty statistics showed a reduction in the level of fuel poverty in 2011 compared to the previous year - they showed 3.2 million fuel poor households in England in 2011 compared with 3.5 million in 2010. But there remains much to be done. Last year we consulted on proposed changes to the fuel poverty definition, building on the work of the Hills Review, and aim to be responding shortly.</w:t>
      </w:r>
    </w:p>
    <w:p w:rsidR="000D0684" w:rsidRPr="00BD5138" w:rsidRDefault="000D0684" w:rsidP="00BD5138">
      <w:pPr>
        <w:widowControl/>
        <w:spacing w:line="360" w:lineRule="auto"/>
        <w:jc w:val="both"/>
        <w:rPr>
          <w:color w:val="000000" w:themeColor="text1"/>
        </w:rPr>
      </w:pPr>
    </w:p>
    <w:p w:rsidR="000D0684" w:rsidRPr="00BD5138" w:rsidRDefault="000D0684" w:rsidP="00BD5138">
      <w:pPr>
        <w:widowControl/>
        <w:spacing w:line="360" w:lineRule="auto"/>
        <w:jc w:val="both"/>
        <w:rPr>
          <w:color w:val="000000" w:themeColor="text1"/>
        </w:rPr>
      </w:pPr>
      <w:r w:rsidRPr="00BD5138">
        <w:rPr>
          <w:color w:val="000000" w:themeColor="text1"/>
        </w:rPr>
        <w:t xml:space="preserve">Our Heat Strategy seeks to deliver the Government’s vision for heating our homes, businesses and industry in the decades ahead and the infrastructure required. The Government’s strategic framework, published in March 2012, set out the possible ways in which the supply of heat can be decarbonised to meet our renewables and emissions reduction targets.  On 26th March 2013, the Government published “The Future of Heating: Meeting the Challenge ”, which set out the initial actions the Government proposes to take in </w:t>
      </w:r>
      <w:r w:rsidRPr="00BD5138">
        <w:rPr>
          <w:color w:val="000000" w:themeColor="text1"/>
        </w:rPr>
        <w:lastRenderedPageBreak/>
        <w:t xml:space="preserve">order to support the transition to low carbon heating by 2050.  This includes a package of 20 actions across four areas: i) industrial heat and combined heat and power; ii) heat delivered through heat networks; iii) heating in buildings; and iv) the implications for our energy grids and infrastructure. For example, we will be establishing a new Heat Networks Delivery Unit in DECC to work alongside local authorities to support the deployment of low carbon heat networks in towns and cities across the country.   On the industrial side, we will be working in partnership with BIS and heat-intensive industrial sectors to design long term plans to cut carbon and improve energy efficiency in each sector out to 2050.  </w:t>
      </w:r>
    </w:p>
    <w:p w:rsidR="000D0684" w:rsidRPr="00BD5138" w:rsidRDefault="000D0684" w:rsidP="00BD5138">
      <w:pPr>
        <w:widowControl/>
        <w:spacing w:line="360" w:lineRule="auto"/>
        <w:jc w:val="both"/>
        <w:rPr>
          <w:color w:val="000000" w:themeColor="text1"/>
        </w:rPr>
      </w:pPr>
    </w:p>
    <w:p w:rsidR="000D0684" w:rsidRPr="00BD5138" w:rsidRDefault="000D0684" w:rsidP="00BD5138">
      <w:pPr>
        <w:widowControl/>
        <w:spacing w:line="360" w:lineRule="auto"/>
        <w:jc w:val="both"/>
        <w:rPr>
          <w:color w:val="000000" w:themeColor="text1"/>
        </w:rPr>
      </w:pPr>
      <w:r w:rsidRPr="00BD5138">
        <w:rPr>
          <w:color w:val="000000" w:themeColor="text1"/>
        </w:rPr>
        <w:t xml:space="preserve">The Renewable Heat Incentive (RHI) - the world’s first ever heat incentive of its kind and a key part of delivering our heat strategy - was launched in November 2011 and has incentivised 236,000 MWh of heat up until the end of April 2013.  Good uptake in the medium biomass sector has led to a reduction in the tariff offered to that technology (from 1 July 2013), whilst a review of our evidence base has resulted in a consultation (published on 31 May 2013) to increase tariffs for a number of other technologies.  We are also progressing plans to extend and improve the RHI.  These include introducing a new scheme to incentivise householders to install renewable heat and building on the successful Renewable Heat Premium Payment Scheme (which incentivised 6,178 installations as part of RHPP1 and is anticipated to incentivise another 10,000 by the end of June).   </w:t>
      </w:r>
    </w:p>
    <w:p w:rsidR="000D0684" w:rsidRPr="00BD5138" w:rsidRDefault="000D0684" w:rsidP="00BD5138">
      <w:pPr>
        <w:widowControl/>
        <w:spacing w:line="360" w:lineRule="auto"/>
        <w:jc w:val="both"/>
        <w:rPr>
          <w:color w:val="000000" w:themeColor="text1"/>
        </w:rPr>
      </w:pPr>
    </w:p>
    <w:p w:rsidR="000D0684" w:rsidRPr="00BD5138" w:rsidRDefault="000D0684" w:rsidP="00BD5138">
      <w:pPr>
        <w:widowControl/>
        <w:spacing w:line="360" w:lineRule="auto"/>
        <w:jc w:val="both"/>
        <w:rPr>
          <w:color w:val="000000" w:themeColor="text1"/>
        </w:rPr>
      </w:pPr>
      <w:r w:rsidRPr="00BD5138">
        <w:rPr>
          <w:color w:val="000000" w:themeColor="text1"/>
        </w:rPr>
        <w:t>The Industrial Energy Efficiency Programme continues to deliver significant reductions in emissions. Phase III of the EU Emissions Trading System commenced on 1 January and caps industrial emissions. We have transposed EU requirements to enable maximum deregulatory benefit from the small emitters (&lt;25ktCO2e a year) and hospitals opt out which offers savings of up to £39 million over Phase III (2013-2020) to UK businesses while maintaining the environmental integrity of the System. The new simplified Climate Change Agreements scheme commenced on schedule on 1 April 2013. CCA participants have committed to improving energy efficiency by 11% from 2008 to 2020 while our simplifications have reduced the administrative costs of the scheme by up to £3.5m. The legislation simplifying the CRC Energy Efficiency Scheme came into force on 20 May. These changes will deliver a 55% reduction in administration costs, saving participants around £272 million up to 2030 while maintaining the incentives on large energy users to improve energy efficiency which will reduce emissions.</w:t>
      </w:r>
    </w:p>
    <w:p w:rsidR="000D0684" w:rsidRPr="00BD5138" w:rsidRDefault="000D0684" w:rsidP="00BD5138">
      <w:pPr>
        <w:widowControl/>
        <w:spacing w:line="360" w:lineRule="auto"/>
        <w:jc w:val="both"/>
        <w:rPr>
          <w:color w:val="000000" w:themeColor="text1"/>
        </w:rPr>
      </w:pPr>
    </w:p>
    <w:p w:rsidR="000D0684" w:rsidRPr="00BD5138" w:rsidRDefault="000D0684" w:rsidP="00BD5138">
      <w:pPr>
        <w:pStyle w:val="AnswerStyle"/>
        <w:numPr>
          <w:ilvl w:val="0"/>
          <w:numId w:val="0"/>
        </w:numPr>
        <w:spacing w:after="0" w:line="360" w:lineRule="auto"/>
        <w:rPr>
          <w:rFonts w:ascii="Times New Roman" w:hAnsi="Times New Roman"/>
          <w:color w:val="000000" w:themeColor="text1"/>
          <w:sz w:val="24"/>
          <w:szCs w:val="24"/>
        </w:rPr>
      </w:pPr>
      <w:r w:rsidRPr="00BD5138">
        <w:rPr>
          <w:rFonts w:ascii="Times New Roman" w:hAnsi="Times New Roman"/>
          <w:color w:val="000000" w:themeColor="text1"/>
          <w:sz w:val="24"/>
          <w:szCs w:val="24"/>
        </w:rPr>
        <w:lastRenderedPageBreak/>
        <w:t>The roll-out of Smart Meters will also play an important role in Britain’s transition to a low carbon economy, delivering a number of economic and other benefits.    Consumers will have near real time information on their energy consumption to help them control and manage their energy use, save money and reduce emissions. Smart meters will also provide consumers with more accurate information and bring an end to estimated billing. Joint working by DECC, the energy industry and stakeholders during the current Foundation Stage of the Smart Metering Implementation Programme has enabled good progress to be made, notably on:</w:t>
      </w:r>
    </w:p>
    <w:p w:rsidR="000D0684" w:rsidRPr="00BD5138" w:rsidRDefault="000D0684" w:rsidP="00BD5138">
      <w:pPr>
        <w:jc w:val="both"/>
        <w:rPr>
          <w:color w:val="000000" w:themeColor="text1"/>
          <w:lang w:eastAsia="en-US"/>
        </w:rPr>
      </w:pPr>
    </w:p>
    <w:p w:rsidR="000D0684" w:rsidRPr="00BD5138" w:rsidRDefault="000D0684" w:rsidP="00BD5138">
      <w:pPr>
        <w:pStyle w:val="AnswerStyle"/>
        <w:numPr>
          <w:ilvl w:val="0"/>
          <w:numId w:val="2"/>
        </w:numPr>
        <w:spacing w:after="0" w:line="360" w:lineRule="auto"/>
        <w:rPr>
          <w:rFonts w:ascii="Times New Roman" w:hAnsi="Times New Roman"/>
          <w:color w:val="000000" w:themeColor="text1"/>
          <w:sz w:val="24"/>
          <w:szCs w:val="24"/>
        </w:rPr>
      </w:pPr>
      <w:r w:rsidRPr="00BD5138">
        <w:rPr>
          <w:rFonts w:ascii="Times New Roman" w:hAnsi="Times New Roman"/>
          <w:color w:val="000000" w:themeColor="text1"/>
          <w:sz w:val="24"/>
          <w:szCs w:val="24"/>
        </w:rPr>
        <w:t>establishing the regulatory framework for the roll-out of smart meters to drive roll-out while protecting consumers;</w:t>
      </w:r>
    </w:p>
    <w:p w:rsidR="000D0684" w:rsidRPr="00BD5138" w:rsidRDefault="000D0684" w:rsidP="00BD5138">
      <w:pPr>
        <w:pStyle w:val="AnswerStyle"/>
        <w:numPr>
          <w:ilvl w:val="0"/>
          <w:numId w:val="2"/>
        </w:numPr>
        <w:spacing w:after="0" w:line="360" w:lineRule="auto"/>
        <w:rPr>
          <w:rFonts w:ascii="Times New Roman" w:hAnsi="Times New Roman"/>
          <w:color w:val="000000" w:themeColor="text1"/>
          <w:sz w:val="24"/>
          <w:szCs w:val="24"/>
        </w:rPr>
      </w:pPr>
      <w:r w:rsidRPr="00BD5138">
        <w:rPr>
          <w:rFonts w:ascii="Times New Roman" w:hAnsi="Times New Roman"/>
          <w:color w:val="000000" w:themeColor="text1"/>
          <w:sz w:val="24"/>
          <w:szCs w:val="24"/>
        </w:rPr>
        <w:t>developing the technical specifications for smart meters, including notification of these to the EU;</w:t>
      </w:r>
    </w:p>
    <w:p w:rsidR="000D0684" w:rsidRPr="00BD5138" w:rsidRDefault="000D0684" w:rsidP="00BD5138">
      <w:pPr>
        <w:pStyle w:val="AnswerStyle"/>
        <w:numPr>
          <w:ilvl w:val="0"/>
          <w:numId w:val="2"/>
        </w:numPr>
        <w:spacing w:after="0" w:line="360" w:lineRule="auto"/>
        <w:rPr>
          <w:rFonts w:ascii="Times New Roman" w:hAnsi="Times New Roman"/>
          <w:color w:val="000000" w:themeColor="text1"/>
          <w:sz w:val="24"/>
          <w:szCs w:val="24"/>
        </w:rPr>
      </w:pPr>
      <w:r w:rsidRPr="00BD5138">
        <w:rPr>
          <w:rFonts w:ascii="Times New Roman" w:hAnsi="Times New Roman"/>
          <w:color w:val="000000" w:themeColor="text1"/>
          <w:sz w:val="24"/>
          <w:szCs w:val="24"/>
        </w:rPr>
        <w:t>supporting the delivery of early benefits and operational experience from energy suppliers already deploying smart meters; and</w:t>
      </w:r>
    </w:p>
    <w:p w:rsidR="000D0684" w:rsidRPr="00BD5138" w:rsidRDefault="000D0684" w:rsidP="00BD5138">
      <w:pPr>
        <w:pStyle w:val="AnswerStyle"/>
        <w:numPr>
          <w:ilvl w:val="0"/>
          <w:numId w:val="2"/>
        </w:numPr>
        <w:spacing w:after="0" w:line="360" w:lineRule="auto"/>
        <w:rPr>
          <w:rFonts w:ascii="Times New Roman" w:hAnsi="Times New Roman"/>
          <w:color w:val="000000" w:themeColor="text1"/>
          <w:sz w:val="24"/>
          <w:szCs w:val="24"/>
        </w:rPr>
      </w:pPr>
      <w:r w:rsidRPr="00BD5138">
        <w:rPr>
          <w:rFonts w:ascii="Times New Roman" w:hAnsi="Times New Roman"/>
          <w:color w:val="000000" w:themeColor="text1"/>
          <w:sz w:val="24"/>
          <w:szCs w:val="24"/>
        </w:rPr>
        <w:t>inviting final tenders from companies bidding for the Data and Communications Company licence, as well as its data and communication service providers.</w:t>
      </w:r>
    </w:p>
    <w:p w:rsidR="000D0684" w:rsidRPr="00BD5138" w:rsidRDefault="000D0684" w:rsidP="00BD5138">
      <w:pPr>
        <w:jc w:val="both"/>
        <w:rPr>
          <w:color w:val="000000" w:themeColor="text1"/>
          <w:lang w:eastAsia="en-US"/>
        </w:rPr>
      </w:pPr>
      <w:r w:rsidRPr="00BD5138" w:rsidDel="00D77ADE">
        <w:rPr>
          <w:color w:val="000000" w:themeColor="text1"/>
          <w:lang w:eastAsia="en-US"/>
        </w:rPr>
        <w:t xml:space="preserve"> </w:t>
      </w:r>
    </w:p>
    <w:p w:rsidR="000D0684" w:rsidRPr="00BD5138" w:rsidRDefault="000D0684" w:rsidP="00BD5138">
      <w:pPr>
        <w:pStyle w:val="ListParagraph"/>
        <w:spacing w:line="360" w:lineRule="auto"/>
        <w:ind w:left="0"/>
        <w:contextualSpacing/>
        <w:jc w:val="both"/>
        <w:rPr>
          <w:rFonts w:ascii="Times New Roman" w:hAnsi="Times New Roman" w:cs="Times New Roman"/>
          <w:color w:val="000000" w:themeColor="text1"/>
          <w:sz w:val="24"/>
          <w:szCs w:val="24"/>
        </w:rPr>
      </w:pPr>
      <w:r w:rsidRPr="00BD5138">
        <w:rPr>
          <w:rFonts w:ascii="Times New Roman" w:hAnsi="Times New Roman" w:cs="Times New Roman"/>
          <w:color w:val="000000" w:themeColor="text1"/>
          <w:sz w:val="24"/>
          <w:szCs w:val="24"/>
        </w:rPr>
        <w:t xml:space="preserve">Completing the national rollout will be an enormous logistical and technical challenge for the industry, involving visits to around 30 million homes and small businesses and installing over 50 million meters. To this end, and reflecting the extended period to build and test the systems required by industry, the Government recently announced that it would move the completion date for the mass roll-out from end 2019 to end 2020.  </w:t>
      </w:r>
    </w:p>
    <w:p w:rsidR="000D0684" w:rsidRPr="00BD5138" w:rsidRDefault="000D0684" w:rsidP="00BD5138">
      <w:pPr>
        <w:jc w:val="both"/>
        <w:rPr>
          <w:color w:val="000000" w:themeColor="text1"/>
          <w:lang w:eastAsia="en-US"/>
        </w:rPr>
      </w:pPr>
    </w:p>
    <w:p w:rsidR="000D0684" w:rsidRPr="00BD5138" w:rsidRDefault="000D0684" w:rsidP="00BD5138">
      <w:pPr>
        <w:jc w:val="both"/>
        <w:rPr>
          <w:color w:val="000000" w:themeColor="text1"/>
          <w:lang w:eastAsia="en-US"/>
        </w:rPr>
      </w:pPr>
    </w:p>
    <w:p w:rsidR="000D0684" w:rsidRPr="00BD5138" w:rsidRDefault="000D0684" w:rsidP="00BD5138">
      <w:pPr>
        <w:pStyle w:val="AnswerStyle"/>
        <w:numPr>
          <w:ilvl w:val="0"/>
          <w:numId w:val="0"/>
        </w:numPr>
        <w:spacing w:after="0" w:line="360" w:lineRule="auto"/>
        <w:rPr>
          <w:rFonts w:ascii="Times New Roman" w:hAnsi="Times New Roman"/>
          <w:color w:val="000000" w:themeColor="text1"/>
          <w:sz w:val="24"/>
          <w:szCs w:val="24"/>
        </w:rPr>
      </w:pPr>
      <w:r w:rsidRPr="00BD5138">
        <w:rPr>
          <w:rFonts w:ascii="Times New Roman" w:hAnsi="Times New Roman"/>
          <w:color w:val="000000" w:themeColor="text1"/>
          <w:sz w:val="24"/>
          <w:szCs w:val="24"/>
        </w:rPr>
        <w:t>The November 2012 Energy Efficiency Strategy, developed by the Energy Efficiency Deployment Office, sets the direction for energy efficiency policy in the UK over the coming decades. It identifies untapped cost-effective energy efficiency potential in the UK economy and clearly sets out the barriers that we need to overcome if we are to become a world leader on energy efficiency.</w:t>
      </w:r>
    </w:p>
    <w:p w:rsidR="000D0684" w:rsidRPr="00BD5138" w:rsidRDefault="000D0684" w:rsidP="00BD5138">
      <w:pPr>
        <w:pStyle w:val="AnswerStyle"/>
        <w:numPr>
          <w:ilvl w:val="0"/>
          <w:numId w:val="0"/>
        </w:numPr>
        <w:spacing w:after="0" w:line="360" w:lineRule="auto"/>
        <w:rPr>
          <w:rFonts w:ascii="Times New Roman" w:hAnsi="Times New Roman"/>
          <w:color w:val="000000" w:themeColor="text1"/>
          <w:sz w:val="24"/>
          <w:szCs w:val="24"/>
        </w:rPr>
      </w:pPr>
    </w:p>
    <w:p w:rsidR="000D0684" w:rsidRPr="00BD5138" w:rsidRDefault="000D0684" w:rsidP="00BD5138">
      <w:pPr>
        <w:pStyle w:val="AnswerStyle"/>
        <w:numPr>
          <w:ilvl w:val="0"/>
          <w:numId w:val="0"/>
        </w:numPr>
        <w:spacing w:after="0" w:line="360" w:lineRule="auto"/>
        <w:rPr>
          <w:rFonts w:ascii="Times New Roman" w:hAnsi="Times New Roman"/>
          <w:color w:val="000000" w:themeColor="text1"/>
          <w:sz w:val="24"/>
          <w:szCs w:val="24"/>
        </w:rPr>
      </w:pPr>
      <w:r w:rsidRPr="00BD5138">
        <w:rPr>
          <w:rFonts w:ascii="Times New Roman" w:hAnsi="Times New Roman"/>
          <w:color w:val="000000" w:themeColor="text1"/>
          <w:sz w:val="24"/>
          <w:szCs w:val="24"/>
        </w:rPr>
        <w:t xml:space="preserve">Our analysis shows that the existing UK policy package, including low carbon generation, transport, building regulations and products, is due to deliver savings in greenhouse gas emissions of 134 MtCO2e in 2020 relative to 2009 business as usual. All this work is essential in driving forward the Government’s agenda in the UK and abroad, communicating </w:t>
      </w:r>
      <w:r w:rsidRPr="00BD5138">
        <w:rPr>
          <w:rFonts w:ascii="Times New Roman" w:hAnsi="Times New Roman"/>
          <w:color w:val="000000" w:themeColor="text1"/>
          <w:sz w:val="24"/>
          <w:szCs w:val="24"/>
        </w:rPr>
        <w:lastRenderedPageBreak/>
        <w:t>the importance of emissions reductions and demonstrating how everyone can play their part, while backing that up with support for businesses and citizens, including the most vulnerable.</w:t>
      </w:r>
    </w:p>
    <w:p w:rsidR="000D0684" w:rsidRPr="00BD5138" w:rsidRDefault="000D0684" w:rsidP="00BD5138">
      <w:pPr>
        <w:spacing w:line="360" w:lineRule="auto"/>
        <w:jc w:val="both"/>
        <w:rPr>
          <w:color w:val="000000" w:themeColor="text1"/>
          <w:lang w:eastAsia="en-US"/>
        </w:rPr>
      </w:pPr>
    </w:p>
    <w:p w:rsidR="00204586" w:rsidRPr="00BD5138" w:rsidRDefault="00B125A5" w:rsidP="00BD5138">
      <w:pPr>
        <w:jc w:val="both"/>
        <w:rPr>
          <w:color w:val="000000" w:themeColor="text1"/>
        </w:rPr>
      </w:pPr>
    </w:p>
    <w:sectPr w:rsidR="00204586" w:rsidRPr="00BD5138" w:rsidSect="005107B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24F37"/>
    <w:multiLevelType w:val="hybridMultilevel"/>
    <w:tmpl w:val="40EE3B1E"/>
    <w:lvl w:ilvl="0" w:tplc="5C6CEDF0">
      <w:start w:val="1"/>
      <w:numFmt w:val="bullet"/>
      <w:pStyle w:val="AnswerStyle"/>
      <w:lvlText w:val=""/>
      <w:lvlJc w:val="left"/>
      <w:pPr>
        <w:ind w:left="360" w:hanging="360"/>
      </w:pPr>
      <w:rPr>
        <w:rFonts w:ascii="Symbol" w:hAnsi="Symbol" w:hint="default"/>
        <w:color w:val="auto"/>
      </w:rPr>
    </w:lvl>
    <w:lvl w:ilvl="1" w:tplc="EAB826B0">
      <w:start w:val="1"/>
      <w:numFmt w:val="bullet"/>
      <w:pStyle w:val="Sub-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54557FAF"/>
    <w:multiLevelType w:val="hybridMultilevel"/>
    <w:tmpl w:val="87ECD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D0684"/>
    <w:rsid w:val="00047E9D"/>
    <w:rsid w:val="000D0684"/>
    <w:rsid w:val="00113BB7"/>
    <w:rsid w:val="00120FD0"/>
    <w:rsid w:val="00186776"/>
    <w:rsid w:val="001C7EE9"/>
    <w:rsid w:val="0020629D"/>
    <w:rsid w:val="00280503"/>
    <w:rsid w:val="002E7D20"/>
    <w:rsid w:val="002F4AC7"/>
    <w:rsid w:val="002F768D"/>
    <w:rsid w:val="00405813"/>
    <w:rsid w:val="00480C19"/>
    <w:rsid w:val="004E0AEB"/>
    <w:rsid w:val="005107B1"/>
    <w:rsid w:val="005B2F6D"/>
    <w:rsid w:val="00655308"/>
    <w:rsid w:val="006C2F62"/>
    <w:rsid w:val="006D1EFB"/>
    <w:rsid w:val="006E1320"/>
    <w:rsid w:val="007F3FC6"/>
    <w:rsid w:val="008B133A"/>
    <w:rsid w:val="008E24D3"/>
    <w:rsid w:val="008E4012"/>
    <w:rsid w:val="00992220"/>
    <w:rsid w:val="00AC721D"/>
    <w:rsid w:val="00AD4299"/>
    <w:rsid w:val="00B125A5"/>
    <w:rsid w:val="00BA1FDA"/>
    <w:rsid w:val="00BA2F6F"/>
    <w:rsid w:val="00BD5138"/>
    <w:rsid w:val="00C530FE"/>
    <w:rsid w:val="00C86D9F"/>
    <w:rsid w:val="00C92347"/>
    <w:rsid w:val="00CD2A8C"/>
    <w:rsid w:val="00CE443F"/>
    <w:rsid w:val="00CF03A1"/>
    <w:rsid w:val="00D97B77"/>
    <w:rsid w:val="00E45BCC"/>
    <w:rsid w:val="00E8173F"/>
    <w:rsid w:val="00F31CB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684"/>
    <w:pPr>
      <w:widowControl w:val="0"/>
      <w:autoSpaceDE w:val="0"/>
      <w:autoSpaceDN w:val="0"/>
      <w:adjustRightInd w:val="0"/>
      <w:spacing w:after="0"/>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swerStyle">
    <w:name w:val="Answer Style"/>
    <w:basedOn w:val="Normal"/>
    <w:next w:val="Normal"/>
    <w:link w:val="AnswerStyleChar"/>
    <w:qFormat/>
    <w:rsid w:val="000D0684"/>
    <w:pPr>
      <w:widowControl/>
      <w:numPr>
        <w:numId w:val="1"/>
      </w:numPr>
      <w:autoSpaceDE/>
      <w:autoSpaceDN/>
      <w:adjustRightInd/>
      <w:spacing w:after="240"/>
      <w:jc w:val="both"/>
    </w:pPr>
    <w:rPr>
      <w:rFonts w:ascii="Arial" w:hAnsi="Arial"/>
      <w:sz w:val="28"/>
      <w:szCs w:val="20"/>
      <w:lang w:eastAsia="en-US"/>
    </w:rPr>
  </w:style>
  <w:style w:type="character" w:customStyle="1" w:styleId="AnswerStyleChar">
    <w:name w:val="Answer Style Char"/>
    <w:link w:val="AnswerStyle"/>
    <w:locked/>
    <w:rsid w:val="000D0684"/>
    <w:rPr>
      <w:rFonts w:ascii="Arial" w:eastAsia="Times New Roman" w:hAnsi="Arial" w:cs="Times New Roman"/>
      <w:sz w:val="28"/>
      <w:szCs w:val="20"/>
    </w:rPr>
  </w:style>
  <w:style w:type="paragraph" w:customStyle="1" w:styleId="Sub-Bullet">
    <w:name w:val="Sub-Bullet"/>
    <w:basedOn w:val="AnswerStyle"/>
    <w:qFormat/>
    <w:rsid w:val="000D0684"/>
    <w:pPr>
      <w:numPr>
        <w:ilvl w:val="1"/>
      </w:numPr>
      <w:tabs>
        <w:tab w:val="num" w:pos="360"/>
      </w:tabs>
      <w:ind w:left="567"/>
    </w:pPr>
  </w:style>
  <w:style w:type="paragraph" w:styleId="ListParagraph">
    <w:name w:val="List Paragraph"/>
    <w:aliases w:val="Dot pt,No Spacing1,List Paragraph Char Char Char,Indicator Text,Numbered Para 1,List Paragraph1,Bullet 1,Bullet Points,MAIN CONTENT,List Paragraph12,OBC Bullet,F5 List Paragraph,List Paragraph11,Colorful List - Accent 11,Normal numbered"/>
    <w:basedOn w:val="Normal"/>
    <w:link w:val="ListParagraphChar"/>
    <w:uiPriority w:val="34"/>
    <w:qFormat/>
    <w:rsid w:val="000D0684"/>
    <w:pPr>
      <w:widowControl/>
      <w:autoSpaceDE/>
      <w:autoSpaceDN/>
      <w:adjustRightInd/>
      <w:ind w:left="720"/>
    </w:pPr>
    <w:rPr>
      <w:rFonts w:ascii="Calibri" w:hAnsi="Calibri" w:cs="Calibri"/>
      <w:sz w:val="22"/>
      <w:szCs w:val="22"/>
      <w:lang w:eastAsia="en-US"/>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12 Char,OBC Bullet Char"/>
    <w:link w:val="ListParagraph"/>
    <w:uiPriority w:val="34"/>
    <w:qFormat/>
    <w:locked/>
    <w:rsid w:val="000D0684"/>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divs>
    <w:div w:id="16023032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1448</Words>
  <Characters>8259</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DECC</Company>
  <LinksUpToDate>false</LinksUpToDate>
  <CharactersWithSpaces>9688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gwinches</dc:creator>
  <cp:lastModifiedBy>mcdonaldl</cp:lastModifiedBy>
  <cp:revision>2</cp:revision>
  <dcterms:created xsi:type="dcterms:W3CDTF">2013-06-10T12:40:00Z</dcterms:created>
  <dcterms:modified xsi:type="dcterms:W3CDTF">2013-06-10T12:40:00Z</dcterms:modified>
</cp:coreProperties>
</file>