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70A99" w14:textId="73B8BB45" w:rsidR="00D11093" w:rsidRDefault="006E33B3" w:rsidP="00D11093">
      <w:pPr>
        <w:pStyle w:val="Default"/>
      </w:pPr>
      <w:r>
        <w:rPr>
          <w:rFonts w:hAnsi="Arial"/>
        </w:rPr>
        <w:t>MSU/</w:t>
      </w:r>
      <w:r w:rsidR="00A74A02">
        <w:rPr>
          <w:rFonts w:hAnsi="Arial"/>
        </w:rPr>
        <w:t>4/8/2/3/is</w:t>
      </w:r>
      <w:r>
        <w:rPr>
          <w:rFonts w:hAnsi="Arial"/>
        </w:rPr>
        <w:tab/>
      </w:r>
      <w:r>
        <w:rPr>
          <w:rFonts w:hAnsi="Arial"/>
        </w:rPr>
        <w:tab/>
      </w:r>
      <w:r>
        <w:rPr>
          <w:rFonts w:hAnsi="Arial"/>
        </w:rPr>
        <w:tab/>
      </w:r>
      <w:r>
        <w:rPr>
          <w:rFonts w:hAnsi="Arial"/>
        </w:rPr>
        <w:tab/>
      </w:r>
      <w:r>
        <w:rPr>
          <w:rFonts w:hAnsi="Arial"/>
        </w:rPr>
        <w:tab/>
      </w:r>
      <w:r w:rsidR="00D11093">
        <w:rPr>
          <w:rFonts w:hAnsi="Arial"/>
        </w:rPr>
        <w:tab/>
      </w:r>
      <w:r w:rsidR="00D11093">
        <w:rPr>
          <w:rFonts w:hAnsi="Arial"/>
        </w:rPr>
        <w:tab/>
      </w:r>
      <w:r w:rsidR="00D11093">
        <w:rPr>
          <w:rFonts w:hAnsi="Arial"/>
        </w:rPr>
        <w:tab/>
      </w:r>
      <w:r w:rsidR="00A74A02">
        <w:rPr>
          <w:rFonts w:hAnsi="Arial"/>
        </w:rPr>
        <w:t>3 November 2020</w:t>
      </w:r>
    </w:p>
    <w:p w14:paraId="4D9E484D" w14:textId="77777777" w:rsidR="00D11093" w:rsidRDefault="00D11093" w:rsidP="00D11093">
      <w:pPr>
        <w:pStyle w:val="Default"/>
        <w:rPr>
          <w:rFonts w:cs="Times New Roman"/>
        </w:rPr>
      </w:pPr>
    </w:p>
    <w:p w14:paraId="4C489F11" w14:textId="77777777" w:rsidR="00D11093" w:rsidRDefault="00D11093" w:rsidP="00D11093">
      <w:pPr>
        <w:pStyle w:val="Default"/>
        <w:rPr>
          <w:rFonts w:cs="Times New Roman"/>
        </w:rPr>
      </w:pPr>
    </w:p>
    <w:p w14:paraId="190B3B00" w14:textId="77777777" w:rsidR="00D11093" w:rsidRDefault="00D11093" w:rsidP="00D11093">
      <w:pPr>
        <w:pStyle w:val="Default"/>
        <w:rPr>
          <w:rFonts w:cs="Times New Roman"/>
        </w:rPr>
      </w:pPr>
    </w:p>
    <w:p w14:paraId="4CDEFAC6" w14:textId="77777777" w:rsidR="00D11093" w:rsidRDefault="00D11093" w:rsidP="00D11093">
      <w:pPr>
        <w:pStyle w:val="Default"/>
        <w:rPr>
          <w:rFonts w:cs="Times New Roman"/>
        </w:rPr>
      </w:pPr>
    </w:p>
    <w:p w14:paraId="21475958" w14:textId="77777777" w:rsidR="00D11093" w:rsidRDefault="00D11093" w:rsidP="00D11093">
      <w:pPr>
        <w:pStyle w:val="Default"/>
        <w:rPr>
          <w:rFonts w:cs="Times New Roman"/>
        </w:rPr>
      </w:pPr>
    </w:p>
    <w:p w14:paraId="493B4F86" w14:textId="77777777" w:rsidR="00D11093" w:rsidRDefault="00D11093" w:rsidP="00D11093">
      <w:pPr>
        <w:pStyle w:val="Default"/>
        <w:rPr>
          <w:rFonts w:cs="Times New Roman"/>
        </w:rPr>
      </w:pPr>
    </w:p>
    <w:p w14:paraId="3443CD06" w14:textId="1F626084" w:rsidR="00A74A02" w:rsidRDefault="00A74A02" w:rsidP="00A74A02">
      <w:pPr>
        <w:rPr>
          <w:rFonts w:hAnsi="Arial"/>
        </w:rPr>
      </w:pPr>
      <w:r>
        <w:rPr>
          <w:rFonts w:hAnsi="Arial"/>
        </w:rPr>
        <w:t>Dear Kevan,</w:t>
      </w:r>
    </w:p>
    <w:p w14:paraId="1C1D78CE" w14:textId="77777777" w:rsidR="00A74A02" w:rsidRPr="00A74A02" w:rsidRDefault="00A74A02" w:rsidP="00A74A02">
      <w:pPr>
        <w:rPr>
          <w:rFonts w:hAnsi="Arial"/>
        </w:rPr>
      </w:pPr>
    </w:p>
    <w:p w14:paraId="281D2384" w14:textId="3001BDB6" w:rsidR="00A74A02" w:rsidRPr="00177140" w:rsidRDefault="00A74A02" w:rsidP="00A74A02">
      <w:pPr>
        <w:rPr>
          <w:rFonts w:eastAsia="Calibri" w:hAnsi="Arial"/>
        </w:rPr>
      </w:pPr>
      <w:r w:rsidRPr="00177140">
        <w:rPr>
          <w:rFonts w:eastAsia="Calibri" w:hAnsi="Arial"/>
        </w:rPr>
        <w:t>During the Committee Stage debate on the Overseas Operations (Service Personnel and Veterans) Bill, I undertook to write to you to on two issues;</w:t>
      </w:r>
    </w:p>
    <w:p w14:paraId="00E84B9C" w14:textId="77777777" w:rsidR="00A74A02" w:rsidRDefault="00A74A02" w:rsidP="00A74A02">
      <w:pPr>
        <w:rPr>
          <w:rFonts w:eastAsia="Calibri" w:hAnsi="Arial"/>
        </w:rPr>
      </w:pPr>
    </w:p>
    <w:p w14:paraId="6AA94C2D" w14:textId="77777777" w:rsidR="00A74A02" w:rsidRDefault="00A74A02" w:rsidP="00A74A02">
      <w:pPr>
        <w:rPr>
          <w:rFonts w:eastAsia="Calibri" w:hAnsi="Arial"/>
        </w:rPr>
      </w:pPr>
      <w:r>
        <w:rPr>
          <w:rFonts w:eastAsia="Calibri" w:hAnsi="Arial"/>
        </w:rPr>
        <w:t xml:space="preserve">to </w:t>
      </w:r>
      <w:r w:rsidRPr="00177140">
        <w:rPr>
          <w:rFonts w:eastAsia="Calibri" w:hAnsi="Arial"/>
        </w:rPr>
        <w:t>provide details in relation to our decision to include a five-year timeframe for the statutory presumption in the Bill, as opposed to the ten-year timeframe in the measure in the public consultation document.</w:t>
      </w:r>
    </w:p>
    <w:p w14:paraId="7BDC5680" w14:textId="77777777" w:rsidR="00A74A02" w:rsidRDefault="00A74A02" w:rsidP="00A74A02">
      <w:pPr>
        <w:rPr>
          <w:rFonts w:eastAsia="Calibri" w:hAnsi="Arial"/>
        </w:rPr>
      </w:pPr>
    </w:p>
    <w:p w14:paraId="4EEF7757" w14:textId="77777777" w:rsidR="00A74A02" w:rsidRPr="00177140" w:rsidRDefault="00A74A02" w:rsidP="00A74A02">
      <w:pPr>
        <w:rPr>
          <w:rFonts w:eastAsia="Calibri" w:hAnsi="Arial"/>
        </w:rPr>
      </w:pPr>
      <w:r>
        <w:rPr>
          <w:rFonts w:eastAsia="Calibri" w:hAnsi="Arial"/>
        </w:rPr>
        <w:t>and:</w:t>
      </w:r>
    </w:p>
    <w:p w14:paraId="53C234C6" w14:textId="77777777" w:rsidR="00A74A02" w:rsidRDefault="00A74A02" w:rsidP="00A74A02">
      <w:pPr>
        <w:rPr>
          <w:rFonts w:eastAsia="Calibri" w:hAnsi="Arial"/>
        </w:rPr>
      </w:pPr>
    </w:p>
    <w:p w14:paraId="5C6F668C" w14:textId="77777777" w:rsidR="00A74A02" w:rsidRDefault="00A74A02" w:rsidP="00A74A02">
      <w:pPr>
        <w:rPr>
          <w:rFonts w:eastAsia="Calibri" w:hAnsi="Arial"/>
        </w:rPr>
      </w:pPr>
      <w:r w:rsidRPr="00177140">
        <w:rPr>
          <w:rFonts w:eastAsia="Calibri" w:hAnsi="Arial"/>
        </w:rPr>
        <w:t>on the issue of legal representation provided to families at inquests.</w:t>
      </w:r>
    </w:p>
    <w:p w14:paraId="38BDE1CD" w14:textId="77777777" w:rsidR="00A74A02" w:rsidRPr="00177140" w:rsidRDefault="00A74A02" w:rsidP="00A74A02">
      <w:pPr>
        <w:rPr>
          <w:rFonts w:eastAsia="Calibri" w:hAnsi="Arial"/>
        </w:rPr>
      </w:pPr>
    </w:p>
    <w:p w14:paraId="678C4040" w14:textId="4DD7B5B3" w:rsidR="00A74A02" w:rsidRPr="00177140" w:rsidRDefault="00A74A02" w:rsidP="00A74A02">
      <w:pPr>
        <w:rPr>
          <w:rFonts w:eastAsia="Calibri" w:hAnsi="Arial"/>
        </w:rPr>
      </w:pPr>
      <w:r w:rsidRPr="00177140">
        <w:rPr>
          <w:rFonts w:eastAsia="Calibri" w:hAnsi="Arial"/>
        </w:rPr>
        <w:t>The following data was contained in the MOD's Analysis and Response to the public consultation on legal protections, which was published on 17 September 2020:</w:t>
      </w:r>
    </w:p>
    <w:p w14:paraId="0A89BBBC" w14:textId="77777777" w:rsidR="00A74A02" w:rsidRPr="00177140" w:rsidRDefault="00A74A02" w:rsidP="00A74A02">
      <w:pPr>
        <w:rPr>
          <w:rFonts w:eastAsia="Calibri" w:hAnsi="Arial"/>
        </w:rPr>
      </w:pPr>
    </w:p>
    <w:p w14:paraId="60F3BEA9" w14:textId="77777777" w:rsidR="00A74A02" w:rsidRPr="00177140" w:rsidRDefault="00A74A02" w:rsidP="00A74A02">
      <w:pPr>
        <w:numPr>
          <w:ilvl w:val="0"/>
          <w:numId w:val="2"/>
        </w:numPr>
        <w:contextualSpacing/>
        <w:rPr>
          <w:rFonts w:eastAsia="Calibri" w:hAnsi="Arial"/>
        </w:rPr>
      </w:pPr>
      <w:r w:rsidRPr="00177140">
        <w:rPr>
          <w:rFonts w:eastAsia="Calibri" w:hAnsi="Arial"/>
        </w:rPr>
        <w:t>Question 8 - Do you agree that ten years is an appropriate qualifying time?</w:t>
      </w:r>
    </w:p>
    <w:p w14:paraId="01E64F69" w14:textId="77777777" w:rsidR="00A74A02" w:rsidRPr="00177140" w:rsidRDefault="00A74A02" w:rsidP="00A74A02">
      <w:pPr>
        <w:rPr>
          <w:rFonts w:eastAsia="Calibri" w:hAnsi="Arial"/>
        </w:rPr>
      </w:pPr>
      <w:r w:rsidRPr="00177140">
        <w:rPr>
          <w:rFonts w:eastAsia="Calibri" w:hAnsi="Arial"/>
        </w:rPr>
        <w:t xml:space="preserve"> </w:t>
      </w:r>
    </w:p>
    <w:tbl>
      <w:tblPr>
        <w:tblStyle w:val="TableGrid1"/>
        <w:tblW w:w="0" w:type="auto"/>
        <w:tblInd w:w="607" w:type="dxa"/>
        <w:tblLook w:val="04A0" w:firstRow="1" w:lastRow="0" w:firstColumn="1" w:lastColumn="0" w:noHBand="0" w:noVBand="1"/>
      </w:tblPr>
      <w:tblGrid>
        <w:gridCol w:w="4190"/>
        <w:gridCol w:w="2031"/>
      </w:tblGrid>
      <w:tr w:rsidR="00A74A02" w:rsidRPr="00177140" w14:paraId="1A3CFF05" w14:textId="77777777" w:rsidTr="00B94D19">
        <w:tc>
          <w:tcPr>
            <w:tcW w:w="4190" w:type="dxa"/>
          </w:tcPr>
          <w:p w14:paraId="7B8125D7" w14:textId="77777777" w:rsidR="00A74A02" w:rsidRPr="00177140" w:rsidRDefault="00A74A02" w:rsidP="00B94D19">
            <w:pPr>
              <w:rPr>
                <w:rFonts w:eastAsia="Calibri" w:hAnsi="Arial"/>
              </w:rPr>
            </w:pPr>
            <w:bookmarkStart w:id="0" w:name="_Hlk54017675"/>
            <w:r w:rsidRPr="00177140">
              <w:rPr>
                <w:rFonts w:eastAsia="Calibri" w:hAnsi="Arial"/>
              </w:rPr>
              <w:t>Number of respondents to question</w:t>
            </w:r>
          </w:p>
        </w:tc>
        <w:tc>
          <w:tcPr>
            <w:tcW w:w="2031" w:type="dxa"/>
          </w:tcPr>
          <w:p w14:paraId="249599E0" w14:textId="676271E9" w:rsidR="00A74A02" w:rsidRPr="00177140" w:rsidRDefault="00A74A02" w:rsidP="00B94D19">
            <w:pPr>
              <w:rPr>
                <w:rFonts w:eastAsia="Calibri" w:hAnsi="Arial"/>
              </w:rPr>
            </w:pPr>
            <w:r w:rsidRPr="00177140">
              <w:rPr>
                <w:rFonts w:eastAsia="Calibri" w:hAnsi="Arial"/>
              </w:rPr>
              <w:t>1</w:t>
            </w:r>
            <w:r>
              <w:rPr>
                <w:rFonts w:eastAsia="Calibri" w:hAnsi="Arial"/>
              </w:rPr>
              <w:t>,</w:t>
            </w:r>
            <w:r w:rsidRPr="00177140">
              <w:rPr>
                <w:rFonts w:eastAsia="Calibri" w:hAnsi="Arial"/>
              </w:rPr>
              <w:t>510</w:t>
            </w:r>
          </w:p>
        </w:tc>
      </w:tr>
      <w:tr w:rsidR="00A74A02" w:rsidRPr="00177140" w14:paraId="0E19316F" w14:textId="77777777" w:rsidTr="00B94D19">
        <w:tc>
          <w:tcPr>
            <w:tcW w:w="4190" w:type="dxa"/>
          </w:tcPr>
          <w:p w14:paraId="311011B9" w14:textId="77777777" w:rsidR="00A74A02" w:rsidRPr="00177140" w:rsidRDefault="00A74A02" w:rsidP="00B94D19">
            <w:pPr>
              <w:rPr>
                <w:rFonts w:eastAsia="Calibri" w:hAnsi="Arial"/>
              </w:rPr>
            </w:pPr>
            <w:r w:rsidRPr="00177140">
              <w:rPr>
                <w:rFonts w:eastAsia="Calibri" w:hAnsi="Arial"/>
              </w:rPr>
              <w:t>Responded Yes</w:t>
            </w:r>
          </w:p>
        </w:tc>
        <w:tc>
          <w:tcPr>
            <w:tcW w:w="2031" w:type="dxa"/>
          </w:tcPr>
          <w:p w14:paraId="5084B4CE" w14:textId="77777777" w:rsidR="00A74A02" w:rsidRPr="00177140" w:rsidRDefault="00A74A02" w:rsidP="00B94D19">
            <w:pPr>
              <w:rPr>
                <w:rFonts w:eastAsia="Calibri" w:hAnsi="Arial"/>
              </w:rPr>
            </w:pPr>
            <w:r w:rsidRPr="00177140">
              <w:rPr>
                <w:rFonts w:eastAsia="Calibri" w:hAnsi="Arial"/>
              </w:rPr>
              <w:t>911</w:t>
            </w:r>
          </w:p>
        </w:tc>
      </w:tr>
      <w:tr w:rsidR="00A74A02" w:rsidRPr="00177140" w14:paraId="0B3BBB4C" w14:textId="77777777" w:rsidTr="00B94D19">
        <w:tc>
          <w:tcPr>
            <w:tcW w:w="4190" w:type="dxa"/>
          </w:tcPr>
          <w:p w14:paraId="778A26B1" w14:textId="77777777" w:rsidR="00A74A02" w:rsidRPr="00177140" w:rsidRDefault="00A74A02" w:rsidP="00B94D19">
            <w:pPr>
              <w:rPr>
                <w:rFonts w:eastAsia="Calibri" w:hAnsi="Arial"/>
              </w:rPr>
            </w:pPr>
            <w:r w:rsidRPr="00177140">
              <w:rPr>
                <w:rFonts w:eastAsia="Calibri" w:hAnsi="Arial"/>
              </w:rPr>
              <w:t>Responded No</w:t>
            </w:r>
          </w:p>
        </w:tc>
        <w:tc>
          <w:tcPr>
            <w:tcW w:w="2031" w:type="dxa"/>
          </w:tcPr>
          <w:p w14:paraId="09FB5D6C" w14:textId="77777777" w:rsidR="00A74A02" w:rsidRPr="00177140" w:rsidRDefault="00A74A02" w:rsidP="00B94D19">
            <w:pPr>
              <w:rPr>
                <w:rFonts w:eastAsia="Calibri" w:hAnsi="Arial"/>
              </w:rPr>
            </w:pPr>
            <w:r w:rsidRPr="00177140">
              <w:rPr>
                <w:rFonts w:eastAsia="Calibri" w:hAnsi="Arial"/>
              </w:rPr>
              <w:t>599</w:t>
            </w:r>
          </w:p>
        </w:tc>
      </w:tr>
    </w:tbl>
    <w:p w14:paraId="0D8D1BE5" w14:textId="77777777" w:rsidR="00A74A02" w:rsidRPr="00177140" w:rsidRDefault="00A74A02" w:rsidP="00A74A02">
      <w:pPr>
        <w:ind w:left="720"/>
        <w:rPr>
          <w:rFonts w:eastAsia="Calibri" w:hAnsi="Arial"/>
        </w:rPr>
      </w:pPr>
    </w:p>
    <w:bookmarkEnd w:id="0"/>
    <w:p w14:paraId="7973C607" w14:textId="77777777" w:rsidR="00A74A02" w:rsidRPr="00177140" w:rsidRDefault="00A74A02" w:rsidP="00A74A02">
      <w:pPr>
        <w:numPr>
          <w:ilvl w:val="0"/>
          <w:numId w:val="2"/>
        </w:numPr>
        <w:contextualSpacing/>
        <w:rPr>
          <w:rFonts w:eastAsia="Calibri" w:hAnsi="Arial"/>
        </w:rPr>
      </w:pPr>
      <w:r w:rsidRPr="00177140">
        <w:rPr>
          <w:rFonts w:eastAsia="Calibri" w:hAnsi="Arial"/>
        </w:rPr>
        <w:t>Question 9 - Do you agree that the measure (the statutory presumption) should apply regardless of how long ago the relevant events occurred?</w:t>
      </w:r>
    </w:p>
    <w:p w14:paraId="6980F054" w14:textId="77777777" w:rsidR="00A74A02" w:rsidRPr="00177140" w:rsidRDefault="00A74A02" w:rsidP="00A74A02">
      <w:pPr>
        <w:rPr>
          <w:rFonts w:eastAsia="Calibri" w:hAnsi="Arial"/>
        </w:rPr>
      </w:pPr>
    </w:p>
    <w:tbl>
      <w:tblPr>
        <w:tblStyle w:val="TableGrid1"/>
        <w:tblW w:w="0" w:type="auto"/>
        <w:tblInd w:w="720" w:type="dxa"/>
        <w:tblLook w:val="04A0" w:firstRow="1" w:lastRow="0" w:firstColumn="1" w:lastColumn="0" w:noHBand="0" w:noVBand="1"/>
      </w:tblPr>
      <w:tblGrid>
        <w:gridCol w:w="4190"/>
        <w:gridCol w:w="2031"/>
      </w:tblGrid>
      <w:tr w:rsidR="00A74A02" w:rsidRPr="00177140" w14:paraId="7E94CD25" w14:textId="77777777" w:rsidTr="00B94D19">
        <w:tc>
          <w:tcPr>
            <w:tcW w:w="4190" w:type="dxa"/>
          </w:tcPr>
          <w:p w14:paraId="1290B50A" w14:textId="77777777" w:rsidR="00A74A02" w:rsidRPr="00177140" w:rsidRDefault="00A74A02" w:rsidP="00B94D19">
            <w:pPr>
              <w:rPr>
                <w:rFonts w:eastAsia="Calibri" w:hAnsi="Arial"/>
              </w:rPr>
            </w:pPr>
            <w:bookmarkStart w:id="1" w:name="_Hlk54017950"/>
            <w:r w:rsidRPr="00177140">
              <w:rPr>
                <w:rFonts w:eastAsia="Calibri" w:hAnsi="Arial"/>
              </w:rPr>
              <w:t>Number of respondents to question</w:t>
            </w:r>
          </w:p>
        </w:tc>
        <w:tc>
          <w:tcPr>
            <w:tcW w:w="2031" w:type="dxa"/>
          </w:tcPr>
          <w:p w14:paraId="547DF109" w14:textId="46B8E856" w:rsidR="00A74A02" w:rsidRPr="00177140" w:rsidRDefault="00A74A02" w:rsidP="00B94D19">
            <w:pPr>
              <w:rPr>
                <w:rFonts w:eastAsia="Calibri" w:hAnsi="Arial"/>
              </w:rPr>
            </w:pPr>
            <w:r w:rsidRPr="00177140">
              <w:rPr>
                <w:rFonts w:eastAsia="Calibri" w:hAnsi="Arial"/>
              </w:rPr>
              <w:t>1</w:t>
            </w:r>
            <w:r>
              <w:rPr>
                <w:rFonts w:eastAsia="Calibri" w:hAnsi="Arial"/>
              </w:rPr>
              <w:t>,</w:t>
            </w:r>
            <w:r w:rsidRPr="00177140">
              <w:rPr>
                <w:rFonts w:eastAsia="Calibri" w:hAnsi="Arial"/>
              </w:rPr>
              <w:t>517</w:t>
            </w:r>
          </w:p>
        </w:tc>
      </w:tr>
      <w:tr w:rsidR="00A74A02" w:rsidRPr="00177140" w14:paraId="6A1D5F6D" w14:textId="77777777" w:rsidTr="00B94D19">
        <w:tc>
          <w:tcPr>
            <w:tcW w:w="4190" w:type="dxa"/>
          </w:tcPr>
          <w:p w14:paraId="2D8EED58" w14:textId="77777777" w:rsidR="00A74A02" w:rsidRPr="00177140" w:rsidRDefault="00A74A02" w:rsidP="00B94D19">
            <w:pPr>
              <w:rPr>
                <w:rFonts w:eastAsia="Calibri" w:hAnsi="Arial"/>
              </w:rPr>
            </w:pPr>
            <w:r w:rsidRPr="00177140">
              <w:rPr>
                <w:rFonts w:eastAsia="Calibri" w:hAnsi="Arial"/>
              </w:rPr>
              <w:t>Responded Yes</w:t>
            </w:r>
          </w:p>
        </w:tc>
        <w:tc>
          <w:tcPr>
            <w:tcW w:w="2031" w:type="dxa"/>
          </w:tcPr>
          <w:p w14:paraId="5F3407D5" w14:textId="77777777" w:rsidR="00A74A02" w:rsidRPr="00177140" w:rsidRDefault="00A74A02" w:rsidP="00B94D19">
            <w:pPr>
              <w:rPr>
                <w:rFonts w:eastAsia="Calibri" w:hAnsi="Arial"/>
              </w:rPr>
            </w:pPr>
            <w:r w:rsidRPr="00177140">
              <w:rPr>
                <w:rFonts w:eastAsia="Calibri" w:hAnsi="Arial"/>
              </w:rPr>
              <w:t>912</w:t>
            </w:r>
          </w:p>
        </w:tc>
      </w:tr>
      <w:tr w:rsidR="00A74A02" w:rsidRPr="00177140" w14:paraId="2B1725DB" w14:textId="77777777" w:rsidTr="00B94D19">
        <w:tc>
          <w:tcPr>
            <w:tcW w:w="4190" w:type="dxa"/>
          </w:tcPr>
          <w:p w14:paraId="03E2CBC4" w14:textId="77777777" w:rsidR="00A74A02" w:rsidRPr="00177140" w:rsidRDefault="00A74A02" w:rsidP="00B94D19">
            <w:pPr>
              <w:rPr>
                <w:rFonts w:eastAsia="Calibri" w:hAnsi="Arial"/>
              </w:rPr>
            </w:pPr>
            <w:r w:rsidRPr="00177140">
              <w:rPr>
                <w:rFonts w:eastAsia="Calibri" w:hAnsi="Arial"/>
              </w:rPr>
              <w:t>Responded No</w:t>
            </w:r>
          </w:p>
        </w:tc>
        <w:tc>
          <w:tcPr>
            <w:tcW w:w="2031" w:type="dxa"/>
          </w:tcPr>
          <w:p w14:paraId="2EAFD8A6" w14:textId="77777777" w:rsidR="00A74A02" w:rsidRPr="00177140" w:rsidRDefault="00A74A02" w:rsidP="00B94D19">
            <w:pPr>
              <w:rPr>
                <w:rFonts w:eastAsia="Calibri" w:hAnsi="Arial"/>
              </w:rPr>
            </w:pPr>
            <w:r w:rsidRPr="00177140">
              <w:rPr>
                <w:rFonts w:eastAsia="Calibri" w:hAnsi="Arial"/>
              </w:rPr>
              <w:t>605</w:t>
            </w:r>
          </w:p>
        </w:tc>
      </w:tr>
      <w:bookmarkEnd w:id="1"/>
    </w:tbl>
    <w:p w14:paraId="32141C53" w14:textId="77777777" w:rsidR="00A74A02" w:rsidRPr="00177140" w:rsidRDefault="00A74A02" w:rsidP="00A74A02">
      <w:pPr>
        <w:ind w:left="720"/>
        <w:rPr>
          <w:rFonts w:eastAsia="Calibri" w:hAnsi="Arial"/>
        </w:rPr>
      </w:pPr>
    </w:p>
    <w:p w14:paraId="488F66DB" w14:textId="0C54B1F9" w:rsidR="00A74A02" w:rsidRDefault="00A74A02" w:rsidP="00A74A02">
      <w:pPr>
        <w:rPr>
          <w:rFonts w:eastAsia="Calibri" w:hAnsi="Arial"/>
        </w:rPr>
      </w:pPr>
      <w:r w:rsidRPr="00177140">
        <w:rPr>
          <w:rFonts w:eastAsia="Calibri" w:hAnsi="Arial"/>
        </w:rPr>
        <w:t xml:space="preserve">Question 10 provided respondents with the opportunity to provide any explanatory comments in relation to their responses to Questions 8 and 9; 708 respondents chose to comment.  </w:t>
      </w:r>
      <w:r w:rsidRPr="00177140">
        <w:rPr>
          <w:rFonts w:eastAsia="Calibri" w:hAnsi="Arial"/>
          <w:u w:val="single"/>
        </w:rPr>
        <w:t>Of these, the following referred specifically to timeframes</w:t>
      </w:r>
      <w:r w:rsidRPr="00177140">
        <w:rPr>
          <w:rFonts w:eastAsia="Calibri" w:hAnsi="Arial"/>
        </w:rPr>
        <w:t>:</w:t>
      </w:r>
    </w:p>
    <w:p w14:paraId="283C53B5" w14:textId="77777777" w:rsidR="00A74A02" w:rsidRPr="00177140" w:rsidRDefault="00A74A02" w:rsidP="00A74A02">
      <w:pPr>
        <w:rPr>
          <w:rFonts w:eastAsia="Calibri" w:hAnsi="Arial"/>
        </w:rPr>
      </w:pPr>
    </w:p>
    <w:p w14:paraId="4069BD12" w14:textId="77777777" w:rsidR="00A74A02" w:rsidRPr="00177140" w:rsidRDefault="00A74A02" w:rsidP="00A74A02">
      <w:pPr>
        <w:rPr>
          <w:rFonts w:eastAsia="Calibri" w:hAnsi="Arial"/>
        </w:rPr>
      </w:pPr>
    </w:p>
    <w:tbl>
      <w:tblPr>
        <w:tblStyle w:val="TableGrid1"/>
        <w:tblW w:w="0" w:type="auto"/>
        <w:tblInd w:w="720" w:type="dxa"/>
        <w:tblLook w:val="04A0" w:firstRow="1" w:lastRow="0" w:firstColumn="1" w:lastColumn="0" w:noHBand="0" w:noVBand="1"/>
      </w:tblPr>
      <w:tblGrid>
        <w:gridCol w:w="417"/>
        <w:gridCol w:w="6215"/>
        <w:gridCol w:w="1007"/>
      </w:tblGrid>
      <w:tr w:rsidR="00A74A02" w:rsidRPr="00177140" w14:paraId="74C5EE0D" w14:textId="77777777" w:rsidTr="00B94D19">
        <w:tc>
          <w:tcPr>
            <w:tcW w:w="417" w:type="dxa"/>
          </w:tcPr>
          <w:p w14:paraId="33872964" w14:textId="77777777" w:rsidR="00A74A02" w:rsidRPr="00177140" w:rsidRDefault="00A74A02" w:rsidP="00B94D19">
            <w:pPr>
              <w:rPr>
                <w:rFonts w:eastAsia="Calibri" w:hAnsi="Arial"/>
              </w:rPr>
            </w:pPr>
            <w:r w:rsidRPr="00177140">
              <w:rPr>
                <w:rFonts w:eastAsia="Calibri" w:hAnsi="Arial"/>
              </w:rPr>
              <w:t>a.</w:t>
            </w:r>
          </w:p>
        </w:tc>
        <w:tc>
          <w:tcPr>
            <w:tcW w:w="6215" w:type="dxa"/>
          </w:tcPr>
          <w:p w14:paraId="634BB09A" w14:textId="77777777" w:rsidR="00A74A02" w:rsidRPr="00177140" w:rsidRDefault="00A74A02" w:rsidP="00B94D19">
            <w:pPr>
              <w:rPr>
                <w:rFonts w:eastAsia="Calibri" w:hAnsi="Arial"/>
              </w:rPr>
            </w:pPr>
            <w:r w:rsidRPr="00177140">
              <w:rPr>
                <w:rFonts w:eastAsia="Calibri" w:hAnsi="Arial"/>
              </w:rPr>
              <w:t>Supported a ten-year timeframe</w:t>
            </w:r>
          </w:p>
        </w:tc>
        <w:tc>
          <w:tcPr>
            <w:tcW w:w="1007" w:type="dxa"/>
          </w:tcPr>
          <w:p w14:paraId="69C2E487" w14:textId="77777777" w:rsidR="00A74A02" w:rsidRPr="00177140" w:rsidRDefault="00A74A02" w:rsidP="00B94D19">
            <w:pPr>
              <w:rPr>
                <w:rFonts w:eastAsia="Calibri" w:hAnsi="Arial"/>
              </w:rPr>
            </w:pPr>
            <w:r w:rsidRPr="00177140">
              <w:rPr>
                <w:rFonts w:eastAsia="Calibri" w:hAnsi="Arial"/>
              </w:rPr>
              <w:t>102</w:t>
            </w:r>
          </w:p>
        </w:tc>
      </w:tr>
      <w:tr w:rsidR="00A74A02" w:rsidRPr="00177140" w14:paraId="0B7AD38F" w14:textId="77777777" w:rsidTr="00B94D19">
        <w:tc>
          <w:tcPr>
            <w:tcW w:w="417" w:type="dxa"/>
          </w:tcPr>
          <w:p w14:paraId="684A4ED9" w14:textId="77777777" w:rsidR="00A74A02" w:rsidRPr="00177140" w:rsidRDefault="00A74A02" w:rsidP="00B94D19">
            <w:pPr>
              <w:rPr>
                <w:rFonts w:eastAsia="Calibri" w:hAnsi="Arial"/>
              </w:rPr>
            </w:pPr>
            <w:r w:rsidRPr="00177140">
              <w:rPr>
                <w:rFonts w:eastAsia="Calibri" w:hAnsi="Arial"/>
              </w:rPr>
              <w:t>b.</w:t>
            </w:r>
          </w:p>
        </w:tc>
        <w:tc>
          <w:tcPr>
            <w:tcW w:w="6215" w:type="dxa"/>
          </w:tcPr>
          <w:p w14:paraId="05BFCADB" w14:textId="77777777" w:rsidR="00A74A02" w:rsidRPr="00177140" w:rsidRDefault="00A74A02" w:rsidP="00B94D19">
            <w:pPr>
              <w:rPr>
                <w:rFonts w:eastAsia="Calibri" w:hAnsi="Arial"/>
              </w:rPr>
            </w:pPr>
            <w:r w:rsidRPr="00177140">
              <w:rPr>
                <w:rFonts w:eastAsia="Calibri" w:hAnsi="Arial"/>
              </w:rPr>
              <w:t xml:space="preserve">Supported a timeframe, but not ten years </w:t>
            </w:r>
          </w:p>
        </w:tc>
        <w:tc>
          <w:tcPr>
            <w:tcW w:w="1007" w:type="dxa"/>
          </w:tcPr>
          <w:p w14:paraId="29D5D5E1" w14:textId="77777777" w:rsidR="00A74A02" w:rsidRPr="00177140" w:rsidRDefault="00A74A02" w:rsidP="00B94D19">
            <w:pPr>
              <w:rPr>
                <w:rFonts w:eastAsia="Calibri" w:hAnsi="Arial"/>
              </w:rPr>
            </w:pPr>
            <w:r w:rsidRPr="00177140">
              <w:rPr>
                <w:rFonts w:eastAsia="Calibri" w:hAnsi="Arial"/>
              </w:rPr>
              <w:t>291</w:t>
            </w:r>
          </w:p>
        </w:tc>
      </w:tr>
      <w:tr w:rsidR="00A74A02" w:rsidRPr="00177140" w14:paraId="3BB1B1C4" w14:textId="77777777" w:rsidTr="00B94D19">
        <w:tc>
          <w:tcPr>
            <w:tcW w:w="417" w:type="dxa"/>
          </w:tcPr>
          <w:p w14:paraId="0212DEFC" w14:textId="77777777" w:rsidR="00A74A02" w:rsidRPr="00177140" w:rsidRDefault="00A74A02" w:rsidP="00B94D19">
            <w:pPr>
              <w:rPr>
                <w:rFonts w:eastAsia="Calibri" w:hAnsi="Arial"/>
              </w:rPr>
            </w:pPr>
            <w:r w:rsidRPr="00177140">
              <w:rPr>
                <w:rFonts w:eastAsia="Calibri" w:hAnsi="Arial"/>
              </w:rPr>
              <w:t>c.</w:t>
            </w:r>
          </w:p>
        </w:tc>
        <w:tc>
          <w:tcPr>
            <w:tcW w:w="6215" w:type="dxa"/>
          </w:tcPr>
          <w:p w14:paraId="29010858" w14:textId="77777777" w:rsidR="00A74A02" w:rsidRPr="00177140" w:rsidRDefault="00A74A02" w:rsidP="00B94D19">
            <w:pPr>
              <w:rPr>
                <w:rFonts w:eastAsia="Calibri" w:hAnsi="Arial"/>
              </w:rPr>
            </w:pPr>
            <w:r w:rsidRPr="00177140">
              <w:rPr>
                <w:rFonts w:eastAsia="Calibri" w:hAnsi="Arial"/>
              </w:rPr>
              <w:t>Of (b), supported a five-year timeframe</w:t>
            </w:r>
          </w:p>
        </w:tc>
        <w:tc>
          <w:tcPr>
            <w:tcW w:w="1007" w:type="dxa"/>
          </w:tcPr>
          <w:p w14:paraId="27A9E48D" w14:textId="77777777" w:rsidR="00A74A02" w:rsidRPr="00177140" w:rsidRDefault="00A74A02" w:rsidP="00B94D19">
            <w:pPr>
              <w:rPr>
                <w:rFonts w:eastAsia="Calibri" w:hAnsi="Arial"/>
              </w:rPr>
            </w:pPr>
            <w:r w:rsidRPr="00177140">
              <w:rPr>
                <w:rFonts w:eastAsia="Calibri" w:hAnsi="Arial"/>
              </w:rPr>
              <w:t>109</w:t>
            </w:r>
          </w:p>
        </w:tc>
      </w:tr>
      <w:tr w:rsidR="00A74A02" w:rsidRPr="00177140" w14:paraId="28C91768" w14:textId="77777777" w:rsidTr="00B94D19">
        <w:tc>
          <w:tcPr>
            <w:tcW w:w="417" w:type="dxa"/>
          </w:tcPr>
          <w:p w14:paraId="2AFD7D0D" w14:textId="77777777" w:rsidR="00A74A02" w:rsidRPr="00177140" w:rsidRDefault="00A74A02" w:rsidP="00B94D19">
            <w:pPr>
              <w:rPr>
                <w:rFonts w:eastAsia="Calibri" w:hAnsi="Arial"/>
              </w:rPr>
            </w:pPr>
            <w:r w:rsidRPr="00177140">
              <w:rPr>
                <w:rFonts w:eastAsia="Calibri" w:hAnsi="Arial"/>
              </w:rPr>
              <w:t>d.</w:t>
            </w:r>
          </w:p>
        </w:tc>
        <w:tc>
          <w:tcPr>
            <w:tcW w:w="6215" w:type="dxa"/>
          </w:tcPr>
          <w:p w14:paraId="59B33530" w14:textId="77777777" w:rsidR="00A74A02" w:rsidRPr="00177140" w:rsidRDefault="00A74A02" w:rsidP="00B94D19">
            <w:pPr>
              <w:rPr>
                <w:rFonts w:eastAsia="Calibri" w:hAnsi="Arial"/>
              </w:rPr>
            </w:pPr>
            <w:r w:rsidRPr="00177140">
              <w:rPr>
                <w:rFonts w:eastAsia="Calibri" w:hAnsi="Arial"/>
              </w:rPr>
              <w:t>Of (b), supported other timeframes, including:</w:t>
            </w:r>
          </w:p>
          <w:p w14:paraId="4B0C47A1" w14:textId="77777777" w:rsidR="00A74A02" w:rsidRPr="00177140" w:rsidRDefault="00A74A02" w:rsidP="00B94D19">
            <w:pPr>
              <w:rPr>
                <w:rFonts w:eastAsia="Calibri" w:hAnsi="Arial"/>
              </w:rPr>
            </w:pPr>
            <w:r w:rsidRPr="00177140">
              <w:rPr>
                <w:rFonts w:eastAsia="Calibri" w:hAnsi="Arial"/>
              </w:rPr>
              <w:t>(</w:t>
            </w:r>
            <w:proofErr w:type="spellStart"/>
            <w:r w:rsidRPr="00177140">
              <w:rPr>
                <w:rFonts w:eastAsia="Calibri" w:hAnsi="Arial"/>
              </w:rPr>
              <w:t>i</w:t>
            </w:r>
            <w:proofErr w:type="spellEnd"/>
            <w:r w:rsidRPr="00177140">
              <w:rPr>
                <w:rFonts w:eastAsia="Calibri" w:hAnsi="Arial"/>
              </w:rPr>
              <w:t>)   three years</w:t>
            </w:r>
          </w:p>
          <w:p w14:paraId="3124D97C" w14:textId="77777777" w:rsidR="00A74A02" w:rsidRPr="00177140" w:rsidRDefault="00A74A02" w:rsidP="00B94D19">
            <w:pPr>
              <w:rPr>
                <w:rFonts w:eastAsia="Calibri" w:hAnsi="Arial"/>
              </w:rPr>
            </w:pPr>
            <w:r w:rsidRPr="00177140">
              <w:rPr>
                <w:rFonts w:eastAsia="Calibri" w:hAnsi="Arial"/>
              </w:rPr>
              <w:t>(ii)  two years</w:t>
            </w:r>
          </w:p>
          <w:p w14:paraId="6DB83665" w14:textId="77777777" w:rsidR="00A74A02" w:rsidRPr="00177140" w:rsidRDefault="00A74A02" w:rsidP="00B94D19">
            <w:pPr>
              <w:rPr>
                <w:rFonts w:eastAsia="Calibri" w:hAnsi="Arial"/>
              </w:rPr>
            </w:pPr>
            <w:r w:rsidRPr="00177140">
              <w:rPr>
                <w:rFonts w:eastAsia="Calibri" w:hAnsi="Arial"/>
              </w:rPr>
              <w:t>(iii) one year</w:t>
            </w:r>
          </w:p>
        </w:tc>
        <w:tc>
          <w:tcPr>
            <w:tcW w:w="1007" w:type="dxa"/>
          </w:tcPr>
          <w:p w14:paraId="4F0BC46A" w14:textId="77777777" w:rsidR="00A74A02" w:rsidRPr="00177140" w:rsidRDefault="00A74A02" w:rsidP="00B94D19">
            <w:pPr>
              <w:rPr>
                <w:rFonts w:eastAsia="Calibri" w:hAnsi="Arial"/>
              </w:rPr>
            </w:pPr>
          </w:p>
          <w:p w14:paraId="117AFCF0" w14:textId="77777777" w:rsidR="00A74A02" w:rsidRPr="00177140" w:rsidRDefault="00A74A02" w:rsidP="00B94D19">
            <w:pPr>
              <w:rPr>
                <w:rFonts w:eastAsia="Calibri" w:hAnsi="Arial"/>
              </w:rPr>
            </w:pPr>
            <w:r w:rsidRPr="00177140">
              <w:rPr>
                <w:rFonts w:eastAsia="Calibri" w:hAnsi="Arial"/>
              </w:rPr>
              <w:t>14</w:t>
            </w:r>
          </w:p>
          <w:p w14:paraId="36464247" w14:textId="77777777" w:rsidR="00A74A02" w:rsidRPr="00177140" w:rsidRDefault="00A74A02" w:rsidP="00B94D19">
            <w:pPr>
              <w:rPr>
                <w:rFonts w:eastAsia="Calibri" w:hAnsi="Arial"/>
              </w:rPr>
            </w:pPr>
            <w:r w:rsidRPr="00177140">
              <w:rPr>
                <w:rFonts w:eastAsia="Calibri" w:hAnsi="Arial"/>
              </w:rPr>
              <w:t>16</w:t>
            </w:r>
          </w:p>
          <w:p w14:paraId="40697562" w14:textId="77777777" w:rsidR="00A74A02" w:rsidRPr="00177140" w:rsidRDefault="00A74A02" w:rsidP="00B94D19">
            <w:pPr>
              <w:rPr>
                <w:rFonts w:eastAsia="Calibri" w:hAnsi="Arial"/>
              </w:rPr>
            </w:pPr>
            <w:r w:rsidRPr="00177140">
              <w:rPr>
                <w:rFonts w:eastAsia="Calibri" w:hAnsi="Arial"/>
              </w:rPr>
              <w:t>9</w:t>
            </w:r>
          </w:p>
        </w:tc>
      </w:tr>
      <w:tr w:rsidR="00A74A02" w:rsidRPr="00177140" w14:paraId="68FAD6C9" w14:textId="77777777" w:rsidTr="00B94D19">
        <w:tc>
          <w:tcPr>
            <w:tcW w:w="417" w:type="dxa"/>
          </w:tcPr>
          <w:p w14:paraId="4593AC59" w14:textId="77777777" w:rsidR="00A74A02" w:rsidRPr="00177140" w:rsidRDefault="00A74A02" w:rsidP="00B94D19">
            <w:pPr>
              <w:rPr>
                <w:rFonts w:eastAsia="Calibri" w:hAnsi="Arial"/>
              </w:rPr>
            </w:pPr>
            <w:r w:rsidRPr="00177140">
              <w:rPr>
                <w:rFonts w:eastAsia="Calibri" w:hAnsi="Arial"/>
              </w:rPr>
              <w:t>e.</w:t>
            </w:r>
          </w:p>
        </w:tc>
        <w:tc>
          <w:tcPr>
            <w:tcW w:w="6215" w:type="dxa"/>
          </w:tcPr>
          <w:p w14:paraId="4D47BBAE" w14:textId="77777777" w:rsidR="00A74A02" w:rsidRPr="00177140" w:rsidRDefault="00A74A02" w:rsidP="00B94D19">
            <w:pPr>
              <w:rPr>
                <w:rFonts w:eastAsia="Calibri" w:hAnsi="Arial"/>
              </w:rPr>
            </w:pPr>
            <w:r w:rsidRPr="00177140">
              <w:rPr>
                <w:rFonts w:eastAsia="Calibri" w:hAnsi="Arial"/>
              </w:rPr>
              <w:t>Did not agree with the measure or with applying a timeframe</w:t>
            </w:r>
          </w:p>
        </w:tc>
        <w:tc>
          <w:tcPr>
            <w:tcW w:w="1007" w:type="dxa"/>
          </w:tcPr>
          <w:p w14:paraId="53F7EAE3" w14:textId="77777777" w:rsidR="00A74A02" w:rsidRPr="00177140" w:rsidRDefault="00A74A02" w:rsidP="00B94D19">
            <w:pPr>
              <w:rPr>
                <w:rFonts w:eastAsia="Calibri" w:hAnsi="Arial"/>
              </w:rPr>
            </w:pPr>
            <w:r w:rsidRPr="00177140">
              <w:rPr>
                <w:rFonts w:eastAsia="Calibri" w:hAnsi="Arial"/>
              </w:rPr>
              <w:t>59</w:t>
            </w:r>
          </w:p>
        </w:tc>
      </w:tr>
    </w:tbl>
    <w:p w14:paraId="7A0ED26E" w14:textId="77777777" w:rsidR="00A74A02" w:rsidRPr="00177140" w:rsidRDefault="00A74A02" w:rsidP="00A74A02">
      <w:pPr>
        <w:rPr>
          <w:rFonts w:eastAsia="Calibri" w:hAnsi="Arial"/>
        </w:rPr>
      </w:pPr>
    </w:p>
    <w:p w14:paraId="25ABB801" w14:textId="77777777" w:rsidR="00A74A02" w:rsidRPr="00177140" w:rsidRDefault="00A74A02" w:rsidP="00A74A02">
      <w:pPr>
        <w:ind w:left="720"/>
        <w:rPr>
          <w:rFonts w:eastAsia="Calibri" w:hAnsi="Arial"/>
        </w:rPr>
      </w:pPr>
      <w:r w:rsidRPr="00177140">
        <w:rPr>
          <w:rFonts w:eastAsia="Calibri" w:hAnsi="Arial"/>
        </w:rPr>
        <w:t xml:space="preserve">Note: </w:t>
      </w:r>
    </w:p>
    <w:p w14:paraId="47BEC386" w14:textId="77777777" w:rsidR="00A74A02" w:rsidRPr="00177140" w:rsidRDefault="00A74A02" w:rsidP="00A74A02">
      <w:pPr>
        <w:ind w:left="720"/>
        <w:rPr>
          <w:rFonts w:eastAsia="Calibri" w:hAnsi="Arial"/>
        </w:rPr>
      </w:pPr>
      <w:r w:rsidRPr="00177140">
        <w:rPr>
          <w:rFonts w:eastAsia="Calibri" w:hAnsi="Arial"/>
        </w:rPr>
        <w:t xml:space="preserve">(b) 69 respondents did not specify a timeframe, they simply said "longer" or "shorter" than 10 years.  </w:t>
      </w:r>
    </w:p>
    <w:p w14:paraId="7C5FB841" w14:textId="77777777" w:rsidR="00A74A02" w:rsidRPr="00177140" w:rsidRDefault="00A74A02" w:rsidP="00A74A02">
      <w:pPr>
        <w:ind w:left="720"/>
        <w:rPr>
          <w:rFonts w:eastAsia="Calibri" w:hAnsi="Arial"/>
        </w:rPr>
      </w:pPr>
    </w:p>
    <w:p w14:paraId="7F2C87E0" w14:textId="6901BBE2" w:rsidR="00A74A02" w:rsidRPr="00177140" w:rsidRDefault="00A74A02" w:rsidP="00A74A02">
      <w:pPr>
        <w:rPr>
          <w:rFonts w:eastAsia="Calibri" w:hAnsi="Arial"/>
        </w:rPr>
      </w:pPr>
      <w:r w:rsidRPr="00177140">
        <w:rPr>
          <w:rFonts w:eastAsia="Calibri" w:hAnsi="Arial"/>
        </w:rPr>
        <w:t xml:space="preserve">As we set out in our published response to the consultation, there was support for a 10-year timeframe, but equally there was also support for the presumption to apply without a timeframe (tables at paragraph 2).  </w:t>
      </w:r>
    </w:p>
    <w:p w14:paraId="6A659CBA" w14:textId="77777777" w:rsidR="00A74A02" w:rsidRPr="00177140" w:rsidRDefault="00A74A02" w:rsidP="00A74A02">
      <w:pPr>
        <w:rPr>
          <w:rFonts w:eastAsia="Calibri" w:hAnsi="Arial"/>
        </w:rPr>
      </w:pPr>
    </w:p>
    <w:p w14:paraId="573A6B41" w14:textId="0291C0DF" w:rsidR="00A74A02" w:rsidRPr="00177140" w:rsidRDefault="00A74A02" w:rsidP="00A74A02">
      <w:pPr>
        <w:rPr>
          <w:rFonts w:eastAsia="Calibri" w:hAnsi="Arial"/>
        </w:rPr>
      </w:pPr>
      <w:r w:rsidRPr="00177140">
        <w:rPr>
          <w:rFonts w:eastAsia="Calibri" w:hAnsi="Arial"/>
        </w:rPr>
        <w:t xml:space="preserve">As the issue we are seeking to address relates to historical alleged offences, we did not feel able to apply the presumption without a timeframe.  We considered the written responses which clearly indicated the concerns that a 10-year timeframe was too long - memories can fade, evidence tends to </w:t>
      </w:r>
      <w:proofErr w:type="gramStart"/>
      <w:r w:rsidRPr="00177140">
        <w:rPr>
          <w:rFonts w:eastAsia="Calibri" w:hAnsi="Arial"/>
        </w:rPr>
        <w:t>deteriorate</w:t>
      </w:r>
      <w:proofErr w:type="gramEnd"/>
      <w:r w:rsidRPr="00177140">
        <w:rPr>
          <w:rFonts w:eastAsia="Calibri" w:hAnsi="Arial"/>
        </w:rPr>
        <w:t xml:space="preserve"> and the context of events change.  There were also concerns that 10 years was too long a time to have the threat of prosecution hanging over a Service person's head.  There were 78 comments that covered these concerns.</w:t>
      </w:r>
    </w:p>
    <w:p w14:paraId="773174BA" w14:textId="77777777" w:rsidR="00A74A02" w:rsidRPr="00177140" w:rsidRDefault="00A74A02" w:rsidP="00A74A02">
      <w:pPr>
        <w:rPr>
          <w:rFonts w:eastAsia="Calibri" w:hAnsi="Arial"/>
        </w:rPr>
      </w:pPr>
    </w:p>
    <w:p w14:paraId="3F57F4CA" w14:textId="2CA0D07A" w:rsidR="00A74A02" w:rsidRPr="00177140" w:rsidRDefault="00A74A02" w:rsidP="00A74A02">
      <w:pPr>
        <w:rPr>
          <w:rFonts w:eastAsia="Calibri" w:hAnsi="Arial"/>
        </w:rPr>
      </w:pPr>
      <w:r w:rsidRPr="00177140">
        <w:rPr>
          <w:rFonts w:eastAsia="Calibri" w:hAnsi="Arial"/>
        </w:rPr>
        <w:t>Given the strength of the views expressed, we felt that a timeframe of less than ten years would be more appropriate and, as detailed in the table above, 5 years was the most popular alternative timeframe.</w:t>
      </w:r>
    </w:p>
    <w:p w14:paraId="2C56AE8B" w14:textId="77777777" w:rsidR="00A74A02" w:rsidRDefault="00A74A02" w:rsidP="00A74A02"/>
    <w:p w14:paraId="1472D713" w14:textId="306AAB45" w:rsidR="00A74A02" w:rsidRPr="00177140" w:rsidRDefault="00A74A02" w:rsidP="00A74A02">
      <w:pPr>
        <w:ind w:right="-64"/>
        <w:rPr>
          <w:rFonts w:hAnsi="Arial"/>
        </w:rPr>
      </w:pPr>
      <w:r>
        <w:rPr>
          <w:rFonts w:hAnsi="Arial"/>
        </w:rPr>
        <w:t>Turning to</w:t>
      </w:r>
      <w:r w:rsidRPr="00177140">
        <w:rPr>
          <w:rFonts w:hAnsi="Arial"/>
        </w:rPr>
        <w:t xml:space="preserve"> the issue of legal representation at inquests, you will appreciate that Coronial investigations are completely independent from the MOD.  Their purpose is to obtain answers to four statutory questions pertaining to the deceased:  who the deceased was, and when, where and how they died.  The inquest, which forms part of the Coroner’s investigation, is an inquisitorial process, with the Coroner leading the direction of the hearing and the questioning of witnesses.  It is a </w:t>
      </w:r>
      <w:proofErr w:type="gramStart"/>
      <w:r w:rsidRPr="00177140">
        <w:rPr>
          <w:rFonts w:hAnsi="Arial"/>
        </w:rPr>
        <w:t>fact finding</w:t>
      </w:r>
      <w:proofErr w:type="gramEnd"/>
      <w:r w:rsidRPr="00177140">
        <w:rPr>
          <w:rFonts w:hAnsi="Arial"/>
        </w:rPr>
        <w:t xml:space="preserve"> exercise and legal representation is not essential.  The MOD does not routinely engage legal representation at inquest and will only seek legal representation if the case is particularly complicated or if the deceased’s next of kin have appointed their own legal team. There is no funding mechanism in the MOD to provide legal support to families at an inquest.  If families wish to be legally represented at </w:t>
      </w:r>
      <w:proofErr w:type="gramStart"/>
      <w:r w:rsidRPr="00177140">
        <w:rPr>
          <w:rFonts w:hAnsi="Arial"/>
        </w:rPr>
        <w:t>inquest</w:t>
      </w:r>
      <w:proofErr w:type="gramEnd"/>
      <w:r w:rsidRPr="00177140">
        <w:rPr>
          <w:rFonts w:hAnsi="Arial"/>
        </w:rPr>
        <w:t xml:space="preserve"> then an applications for Legal Aid can be submitted to the Ministry of Justice’s Legal Aid Agency. </w:t>
      </w:r>
    </w:p>
    <w:p w14:paraId="14B1BFCF" w14:textId="77777777" w:rsidR="00A74A02" w:rsidRPr="00177140" w:rsidRDefault="00A74A02" w:rsidP="00A74A02">
      <w:pPr>
        <w:rPr>
          <w:rFonts w:hAnsi="Arial"/>
        </w:rPr>
      </w:pPr>
    </w:p>
    <w:p w14:paraId="02181BC1" w14:textId="697FAC0E" w:rsidR="00A74A02" w:rsidRPr="00177140" w:rsidRDefault="00A74A02" w:rsidP="00A74A02">
      <w:pPr>
        <w:rPr>
          <w:rFonts w:hAnsi="Arial"/>
        </w:rPr>
      </w:pPr>
      <w:r w:rsidRPr="00177140">
        <w:rPr>
          <w:rFonts w:hAnsi="Arial"/>
        </w:rPr>
        <w:t xml:space="preserve">Visiting Officers (VO) are provided by the single services to support the family and are the primary point of contact with the MoD.  VOs will support the family to and beyond the </w:t>
      </w:r>
      <w:proofErr w:type="gramStart"/>
      <w:r w:rsidRPr="00177140">
        <w:rPr>
          <w:rFonts w:hAnsi="Arial"/>
        </w:rPr>
        <w:t>inquest, but</w:t>
      </w:r>
      <w:proofErr w:type="gramEnd"/>
      <w:r w:rsidRPr="00177140">
        <w:rPr>
          <w:rFonts w:hAnsi="Arial"/>
        </w:rPr>
        <w:t xml:space="preserve"> will make families aware that Defence Inquest Unit (DIU) exists to assist the Coroner with his or her investigation.  DIU Case Officers are always on hand to speak to the family about the inquest process and to assist so far as they can. </w:t>
      </w:r>
    </w:p>
    <w:p w14:paraId="71ED6D63" w14:textId="77777777" w:rsidR="00A74A02" w:rsidRPr="00177140" w:rsidRDefault="00A74A02" w:rsidP="00A74A02">
      <w:pPr>
        <w:rPr>
          <w:rFonts w:hAnsi="Arial"/>
        </w:rPr>
      </w:pPr>
    </w:p>
    <w:p w14:paraId="3C8A6A99" w14:textId="1BDDC106" w:rsidR="00A74A02" w:rsidRPr="00177140" w:rsidRDefault="00A74A02" w:rsidP="00A74A02">
      <w:pPr>
        <w:rPr>
          <w:rFonts w:hAnsi="Arial"/>
        </w:rPr>
      </w:pPr>
      <w:r>
        <w:rPr>
          <w:rFonts w:hAnsi="Arial"/>
        </w:rPr>
        <w:t>I am copying</w:t>
      </w:r>
      <w:r w:rsidRPr="00177140">
        <w:rPr>
          <w:rFonts w:hAnsi="Arial"/>
        </w:rPr>
        <w:t xml:space="preserve"> this letter to other Members of the Committee and a copy will be placed in the Library of the House. </w:t>
      </w:r>
    </w:p>
    <w:p w14:paraId="25285543" w14:textId="77777777" w:rsidR="00A74A02" w:rsidRPr="00177140" w:rsidRDefault="00A74A02" w:rsidP="00A74A02">
      <w:pPr>
        <w:rPr>
          <w:rFonts w:hAnsi="Arial"/>
        </w:rPr>
      </w:pPr>
    </w:p>
    <w:p w14:paraId="115E2FA0" w14:textId="77777777" w:rsidR="006E33B3" w:rsidRDefault="003D2A47" w:rsidP="003D2A47">
      <w:pPr>
        <w:pStyle w:val="Default"/>
        <w:tabs>
          <w:tab w:val="left" w:pos="720"/>
          <w:tab w:val="left" w:pos="2880"/>
        </w:tabs>
        <w:jc w:val="center"/>
        <w:rPr>
          <w:rFonts w:cs="Times New Roman"/>
        </w:rPr>
      </w:pPr>
      <w:r>
        <w:rPr>
          <w:rFonts w:cs="Times New Roman"/>
        </w:rPr>
        <w:t>Yours sincerely,</w:t>
      </w:r>
    </w:p>
    <w:p w14:paraId="6555C851" w14:textId="77777777" w:rsidR="006E33B3" w:rsidRDefault="006E33B3" w:rsidP="006E33B3">
      <w:pPr>
        <w:pStyle w:val="Default"/>
        <w:tabs>
          <w:tab w:val="left" w:pos="720"/>
          <w:tab w:val="left" w:pos="2880"/>
        </w:tabs>
        <w:jc w:val="center"/>
        <w:rPr>
          <w:rFonts w:cs="Times New Roman"/>
        </w:rPr>
      </w:pPr>
      <w:r>
        <w:rPr>
          <w:noProof/>
        </w:rPr>
        <w:drawing>
          <wp:inline distT="0" distB="0" distL="0" distR="0" wp14:anchorId="0B0B4732" wp14:editId="4AB7131E">
            <wp:extent cx="1514475" cy="1600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600200"/>
                    </a:xfrm>
                    <a:prstGeom prst="rect">
                      <a:avLst/>
                    </a:prstGeom>
                    <a:noFill/>
                    <a:ln>
                      <a:noFill/>
                    </a:ln>
                  </pic:spPr>
                </pic:pic>
              </a:graphicData>
            </a:graphic>
          </wp:inline>
        </w:drawing>
      </w:r>
    </w:p>
    <w:p w14:paraId="26F2B84C" w14:textId="77777777" w:rsidR="00D11093" w:rsidRDefault="00D11093" w:rsidP="00D11093">
      <w:pPr>
        <w:pStyle w:val="Default"/>
        <w:tabs>
          <w:tab w:val="left" w:pos="720"/>
          <w:tab w:val="left" w:pos="2880"/>
        </w:tabs>
        <w:rPr>
          <w:rFonts w:cs="Times New Roman"/>
        </w:rPr>
      </w:pPr>
    </w:p>
    <w:p w14:paraId="48951287" w14:textId="2542BCE0" w:rsidR="00D11093" w:rsidRDefault="008160FB" w:rsidP="00A74A02">
      <w:pPr>
        <w:pStyle w:val="Default"/>
        <w:tabs>
          <w:tab w:val="left" w:pos="720"/>
          <w:tab w:val="left" w:pos="2880"/>
          <w:tab w:val="center" w:pos="4693"/>
        </w:tabs>
        <w:jc w:val="center"/>
        <w:rPr>
          <w:rFonts w:cs="Times New Roman"/>
        </w:rPr>
      </w:pPr>
      <w:r>
        <w:rPr>
          <w:rFonts w:hAnsi="Arial" w:cs="Times New Roman"/>
          <w:b/>
        </w:rPr>
        <w:t>JOHNNY MERCER MP</w:t>
      </w:r>
    </w:p>
    <w:p w14:paraId="19F4937F" w14:textId="77777777" w:rsidR="00B43930" w:rsidRPr="007B5EC0" w:rsidRDefault="00B43930" w:rsidP="009E7F11">
      <w:pPr>
        <w:tabs>
          <w:tab w:val="left" w:pos="720"/>
          <w:tab w:val="left" w:pos="2880"/>
        </w:tabs>
        <w:rPr>
          <w:rFonts w:hAnsi="Arial" w:cs="Times New Roman"/>
        </w:rPr>
      </w:pPr>
    </w:p>
    <w:p w14:paraId="56CB296E" w14:textId="77777777" w:rsidR="00C00D0B" w:rsidRDefault="00C00D0B" w:rsidP="00D9422B">
      <w:pPr>
        <w:rPr>
          <w:rFonts w:hAnsi="Arial" w:cs="Times New Roman"/>
        </w:rPr>
      </w:pPr>
    </w:p>
    <w:p w14:paraId="4B0146F0" w14:textId="77777777" w:rsidR="00B43930" w:rsidRPr="007B5EC0" w:rsidRDefault="00B43930" w:rsidP="00D9422B">
      <w:pPr>
        <w:rPr>
          <w:rFonts w:hAnsi="Arial" w:cs="Times New Roman"/>
        </w:rPr>
      </w:pPr>
    </w:p>
    <w:sectPr w:rsidR="00B43930" w:rsidRPr="007B5EC0" w:rsidSect="00A74A02">
      <w:headerReference w:type="first" r:id="rId8"/>
      <w:footerReference w:type="first" r:id="rId9"/>
      <w:pgSz w:w="11906" w:h="16838" w:code="9"/>
      <w:pgMar w:top="2160" w:right="1080" w:bottom="216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7A0F" w14:textId="77777777" w:rsidR="00C11010" w:rsidRDefault="00C11010">
      <w:pPr>
        <w:rPr>
          <w:rFonts w:cs="Times New Roman"/>
        </w:rPr>
      </w:pPr>
      <w:r>
        <w:rPr>
          <w:rFonts w:cs="Times New Roman"/>
        </w:rPr>
        <w:separator/>
      </w:r>
    </w:p>
  </w:endnote>
  <w:endnote w:type="continuationSeparator" w:id="0">
    <w:p w14:paraId="095B1F9D" w14:textId="77777777" w:rsidR="00C11010" w:rsidRDefault="00C1101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7135" w14:textId="77777777" w:rsidR="00A74A02" w:rsidRDefault="00A74A02">
    <w:pPr>
      <w:pStyle w:val="Footer"/>
      <w:rPr>
        <w:rFonts w:cs="Times New Roman"/>
      </w:rPr>
    </w:pPr>
  </w:p>
  <w:p w14:paraId="4F4C705A" w14:textId="157658AC" w:rsidR="00D11873" w:rsidRDefault="00A74A02">
    <w:pPr>
      <w:pStyle w:val="Footer"/>
      <w:rPr>
        <w:rFonts w:cs="Times New Roman"/>
      </w:rPr>
    </w:pPr>
    <w:r>
      <w:rPr>
        <w:rFonts w:cs="Times New Roman"/>
      </w:rPr>
      <w:t>The Rt Hon Kevan Jones MP</w:t>
    </w:r>
  </w:p>
  <w:p w14:paraId="05BEAB98" w14:textId="0A1C2C55" w:rsidR="00A74A02" w:rsidRDefault="00A74A02">
    <w:pPr>
      <w:pStyle w:val="Footer"/>
      <w:rPr>
        <w:rFonts w:cs="Times New Roman"/>
      </w:rPr>
    </w:pPr>
    <w:r>
      <w:rPr>
        <w:rFonts w:cs="Times New Roman"/>
      </w:rPr>
      <w:t>House of Commons</w:t>
    </w:r>
  </w:p>
  <w:p w14:paraId="75DD7CD6" w14:textId="2C4F46C5" w:rsidR="00A74A02" w:rsidRDefault="00A74A02">
    <w:pPr>
      <w:pStyle w:val="Footer"/>
      <w:rPr>
        <w:rFonts w:cs="Times New Roman"/>
      </w:rPr>
    </w:pPr>
    <w:r>
      <w:rPr>
        <w:rFonts w:cs="Times New Roman"/>
      </w:rPr>
      <w:t>London</w:t>
    </w:r>
  </w:p>
  <w:p w14:paraId="785AAD7C" w14:textId="06FF9150" w:rsidR="00A74A02" w:rsidRDefault="00A74A02">
    <w:pPr>
      <w:pStyle w:val="Footer"/>
      <w:rPr>
        <w:rFonts w:cs="Times New Roman"/>
      </w:rPr>
    </w:pPr>
    <w:r>
      <w:rPr>
        <w:rFonts w:cs="Times New Roman"/>
      </w:rPr>
      <w:t>SW1A 0AA</w:t>
    </w:r>
  </w:p>
  <w:p w14:paraId="427F0EB4" w14:textId="77777777" w:rsidR="00981ED4" w:rsidRDefault="00981ED4" w:rsidP="00EC5339">
    <w:pPr>
      <w:pStyle w:val="Footer"/>
    </w:pPr>
  </w:p>
  <w:p w14:paraId="1F63D959" w14:textId="77777777" w:rsidR="00446434" w:rsidRDefault="00446434" w:rsidP="00EC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5E6F3" w14:textId="77777777" w:rsidR="00C11010" w:rsidRDefault="00C11010">
      <w:pPr>
        <w:rPr>
          <w:rFonts w:cs="Times New Roman"/>
        </w:rPr>
      </w:pPr>
      <w:r>
        <w:rPr>
          <w:rFonts w:cs="Times New Roman"/>
        </w:rPr>
        <w:separator/>
      </w:r>
    </w:p>
  </w:footnote>
  <w:footnote w:type="continuationSeparator" w:id="0">
    <w:p w14:paraId="3EF84DE6" w14:textId="77777777" w:rsidR="00C11010" w:rsidRDefault="00C1101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3E16" w14:textId="77777777" w:rsidR="00B43930" w:rsidRPr="00D81BEB" w:rsidRDefault="00AA18D9" w:rsidP="00B43930">
    <w:pPr>
      <w:pStyle w:val="Header"/>
    </w:pPr>
    <w:r>
      <w:rPr>
        <w:noProof/>
      </w:rPr>
      <w:drawing>
        <wp:anchor distT="0" distB="0" distL="114300" distR="114300" simplePos="0" relativeHeight="251658240" behindDoc="0" locked="0" layoutInCell="1" allowOverlap="1" wp14:anchorId="45C576C4" wp14:editId="436A1AA4">
          <wp:simplePos x="0" y="0"/>
          <wp:positionH relativeFrom="column">
            <wp:posOffset>-76200</wp:posOffset>
          </wp:positionH>
          <wp:positionV relativeFrom="paragraph">
            <wp:posOffset>-105410</wp:posOffset>
          </wp:positionV>
          <wp:extent cx="1360805" cy="10883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588CCC76" wp14:editId="2C8C9E44">
              <wp:simplePos x="0" y="0"/>
              <wp:positionH relativeFrom="column">
                <wp:posOffset>3505200</wp:posOffset>
              </wp:positionH>
              <wp:positionV relativeFrom="paragraph">
                <wp:posOffset>96520</wp:posOffset>
              </wp:positionV>
              <wp:extent cx="2766060" cy="1280160"/>
              <wp:effectExtent l="0" t="1905"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A0508D"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063EED65"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3725E9B3" w14:textId="77777777" w:rsidR="00B43930" w:rsidRPr="00D81BEB" w:rsidRDefault="00B43930" w:rsidP="00B43930">
                          <w:pPr>
                            <w:rPr>
                              <w:rFonts w:hAnsi="Arial" w:cs="Times New Roman"/>
                              <w:color w:val="000000"/>
                            </w:rPr>
                          </w:pPr>
                          <w:proofErr w:type="gramStart"/>
                          <w:r w:rsidRPr="00D81BEB">
                            <w:rPr>
                              <w:rFonts w:hAnsi="Arial" w:cs="Times New Roman"/>
                              <w:color w:val="000000"/>
                              <w:sz w:val="20"/>
                              <w:szCs w:val="20"/>
                            </w:rPr>
                            <w:t>WHITEHALL  LONDON</w:t>
                          </w:r>
                          <w:proofErr w:type="gramEnd"/>
                          <w:r w:rsidRPr="00D81BEB">
                            <w:rPr>
                              <w:rFonts w:hAnsi="Arial" w:cs="Times New Roman"/>
                              <w:color w:val="000000"/>
                              <w:sz w:val="20"/>
                              <w:szCs w:val="20"/>
                            </w:rPr>
                            <w:t xml:space="preserve">  SW1A 2HB</w:t>
                          </w:r>
                        </w:p>
                        <w:p w14:paraId="44833FBC" w14:textId="77777777" w:rsidR="00B43930" w:rsidRPr="00D81BEB" w:rsidRDefault="00B43930" w:rsidP="00B43930">
                          <w:pPr>
                            <w:rPr>
                              <w:rFonts w:hAnsi="Arial" w:cs="Times New Roman"/>
                              <w:color w:val="000000"/>
                              <w:sz w:val="18"/>
                              <w:szCs w:val="18"/>
                            </w:rPr>
                          </w:pPr>
                        </w:p>
                        <w:p w14:paraId="7A30E29D"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4072A0A3" w14:textId="77777777" w:rsidR="00B43930" w:rsidRDefault="00B43930" w:rsidP="00B43930">
                          <w:pPr>
                            <w:rPr>
                              <w:rFonts w:cs="Times New Roman"/>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CCC76" id="_x0000_t202" coordsize="21600,21600" o:spt="202" path="m,l,21600r21600,l21600,xe">
              <v:stroke joinstyle="miter"/>
              <v:path gradientshapeok="t" o:connecttype="rect"/>
            </v:shapetype>
            <v:shape id="Text Box 2" o:spid="_x0000_s1026" type="#_x0000_t202" style="position:absolute;margin-left:276pt;margin-top:7.6pt;width:217.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RfOgQIAABAFAAAOAAAAZHJzL2Uyb0RvYy54bWysVNuO2yAQfa/Uf0C8Z32Rc7G1zmovTVVp&#10;e5F2+wEEcIyKgQKJva323zvgJOteHqqqfsAMMxxmOGe4vBo6iQ7cOqFVjbOLFCOuqGZC7Wr8+XEz&#10;W2HkPFGMSK14jZ+4w1fr168ue1PxXLdaMm4RgChX9abGrfemShJHW94Rd6ENV+BstO2IB9PuEmZJ&#10;D+idTPI0XSS9tsxYTblzsHo3OvE64jcNp/5j0zjukawx5ObjaOO4DWOyviTVzhLTCnpMg/xDFh0R&#10;Cg49Q90RT9Deit+gOkGtdrrxF1R3iW4aQXmsAarJ0l+qeWiJ4bEWuBxnztfk/h8s/XD4ZJFgwB1G&#10;inRA0SMfPLrRA8rD7fTGVRD0YCDMD7AcIkOlztxr+sUhpW9bonb82lrdt5wwyC4LO5PJ1hHHBZBt&#10;/14zOIbsvY5AQ2O7AAiXgQAdWHo6MxNSobCYLxeLdAEuCr4sX6UZGOEMUp22G+v8W647FCY1tkB9&#10;hCeHe+fH0FNITF9LwTZCymjY3fZWWnQgIJNN/I7obhomVQhWOmwbEccVyBLOCL6Qb6T9e5nlRXqT&#10;l7PNYrWcFZtiPiuX6WqWZuVNuUiLsrjbPIcEs6JqBWNc3QvFTxLMir+j+NgMo3iiCFFf43Kez0eO&#10;ptm7aZFp/P5UZCc8dKQUXY1X5yBSBWbfKAZlk8oTIcd58nP6kRC4g9M/3krUQaB+FIEftgOgBHFs&#10;NXsCRVgNfAG38IzApNX2G0Y9tGSN3dc9sRwj+U6BqsqsKEIPR6OYL3Mw7NSznXqIogBVY4/ROL31&#10;Y9/vjRW7Fk4adaz0NSixEVEjL1kd9QttF4s5PhGhr6d2jHp5yNY/AAAA//8DAFBLAwQUAAYACAAA&#10;ACEAxsS2dt8AAAAKAQAADwAAAGRycy9kb3ducmV2LnhtbEyPzU7DMBCE70i8g7VIXBB1GpGfpnEq&#10;QAJxbekDbOJtEjVeR7HbpG+POcFxNKOZb8rdYgZxpcn1lhWsVxEI4sbqnlsFx++P5xyE88gaB8uk&#10;4EYOdtX9XYmFtjPv6XrwrQgl7ApU0Hk/FlK6piODbmVH4uCd7GTQBzm1Uk84h3IzyDiKUmmw57DQ&#10;4UjvHTXnw8UoOH3NT8lmrj/9Mdu/pG/YZ7W9KfX4sLxuQXha/F8YfvEDOlSBqbYX1k4MCpIkDl98&#10;MJIYRAhs8iwFUSuI12kOsirl/wvVDwAAAP//AwBQSwECLQAUAAYACAAAACEAtoM4kv4AAADhAQAA&#10;EwAAAAAAAAAAAAAAAAAAAAAAW0NvbnRlbnRfVHlwZXNdLnhtbFBLAQItABQABgAIAAAAIQA4/SH/&#10;1gAAAJQBAAALAAAAAAAAAAAAAAAAAC8BAABfcmVscy8ucmVsc1BLAQItABQABgAIAAAAIQB75RfO&#10;gQIAABAFAAAOAAAAAAAAAAAAAAAAAC4CAABkcnMvZTJvRG9jLnhtbFBLAQItABQABgAIAAAAIQDG&#10;xLZ23wAAAAoBAAAPAAAAAAAAAAAAAAAAANsEAABkcnMvZG93bnJldi54bWxQSwUGAAAAAAQABADz&#10;AAAA5wUAAAAA&#10;" o:allowincell="f" stroked="f">
              <v:textbox>
                <w:txbxContent>
                  <w:p w14:paraId="29A0508D"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MINISTRY OF DEFENCE</w:t>
                    </w:r>
                  </w:p>
                  <w:p w14:paraId="063EED65" w14:textId="77777777" w:rsidR="00B43930" w:rsidRPr="00D81BEB" w:rsidRDefault="00B43930" w:rsidP="00B43930">
                    <w:pPr>
                      <w:rPr>
                        <w:rFonts w:hAnsi="Arial" w:cs="Times New Roman"/>
                        <w:color w:val="000000"/>
                        <w:sz w:val="20"/>
                        <w:szCs w:val="20"/>
                      </w:rPr>
                    </w:pPr>
                    <w:r w:rsidRPr="00D81BEB">
                      <w:rPr>
                        <w:rFonts w:hAnsi="Arial" w:cs="Times New Roman"/>
                        <w:color w:val="000000"/>
                        <w:sz w:val="20"/>
                        <w:szCs w:val="20"/>
                      </w:rPr>
                      <w:t xml:space="preserve">FLOOR 5, ZONE </w:t>
                    </w:r>
                    <w:r w:rsidR="00936FC5">
                      <w:rPr>
                        <w:rFonts w:hAnsi="Arial" w:cs="Times New Roman"/>
                        <w:color w:val="000000"/>
                        <w:sz w:val="20"/>
                        <w:szCs w:val="20"/>
                      </w:rPr>
                      <w:t>B</w:t>
                    </w:r>
                    <w:r w:rsidRPr="00D81BEB">
                      <w:rPr>
                        <w:rFonts w:hAnsi="Arial" w:cs="Times New Roman"/>
                        <w:color w:val="000000"/>
                        <w:sz w:val="20"/>
                        <w:szCs w:val="20"/>
                      </w:rPr>
                      <w:t>, MAIN BUILDING</w:t>
                    </w:r>
                  </w:p>
                  <w:p w14:paraId="3725E9B3" w14:textId="77777777" w:rsidR="00B43930" w:rsidRPr="00D81BEB" w:rsidRDefault="00B43930" w:rsidP="00B43930">
                    <w:pPr>
                      <w:rPr>
                        <w:rFonts w:hAnsi="Arial" w:cs="Times New Roman"/>
                        <w:color w:val="000000"/>
                      </w:rPr>
                    </w:pPr>
                    <w:proofErr w:type="gramStart"/>
                    <w:r w:rsidRPr="00D81BEB">
                      <w:rPr>
                        <w:rFonts w:hAnsi="Arial" w:cs="Times New Roman"/>
                        <w:color w:val="000000"/>
                        <w:sz w:val="20"/>
                        <w:szCs w:val="20"/>
                      </w:rPr>
                      <w:t>WHITEHALL  LONDON</w:t>
                    </w:r>
                    <w:proofErr w:type="gramEnd"/>
                    <w:r w:rsidRPr="00D81BEB">
                      <w:rPr>
                        <w:rFonts w:hAnsi="Arial" w:cs="Times New Roman"/>
                        <w:color w:val="000000"/>
                        <w:sz w:val="20"/>
                        <w:szCs w:val="20"/>
                      </w:rPr>
                      <w:t xml:space="preserve">  SW1A 2HB</w:t>
                    </w:r>
                  </w:p>
                  <w:p w14:paraId="44833FBC" w14:textId="77777777" w:rsidR="00B43930" w:rsidRPr="00D81BEB" w:rsidRDefault="00B43930" w:rsidP="00B43930">
                    <w:pPr>
                      <w:rPr>
                        <w:rFonts w:hAnsi="Arial" w:cs="Times New Roman"/>
                        <w:color w:val="000000"/>
                        <w:sz w:val="18"/>
                        <w:szCs w:val="18"/>
                      </w:rPr>
                    </w:pPr>
                  </w:p>
                  <w:p w14:paraId="7A30E29D" w14:textId="77777777" w:rsidR="00B43930" w:rsidRPr="00D81BEB" w:rsidRDefault="00B43930" w:rsidP="00B43930">
                    <w:pPr>
                      <w:rPr>
                        <w:rFonts w:hAnsi="Arial" w:cs="Times New Roman"/>
                        <w:color w:val="000000"/>
                        <w:sz w:val="18"/>
                        <w:szCs w:val="18"/>
                      </w:rPr>
                    </w:pPr>
                    <w:r>
                      <w:rPr>
                        <w:rFonts w:hAnsi="Arial" w:cs="Times New Roman"/>
                        <w:color w:val="000000"/>
                        <w:sz w:val="18"/>
                        <w:szCs w:val="18"/>
                      </w:rPr>
                      <w:t>Telephone 020 721</w:t>
                    </w:r>
                    <w:r w:rsidRPr="00D81BEB">
                      <w:rPr>
                        <w:rFonts w:hAnsi="Arial" w:cs="Times New Roman"/>
                        <w:color w:val="000000"/>
                        <w:sz w:val="18"/>
                        <w:szCs w:val="18"/>
                      </w:rPr>
                      <w:t>8</w:t>
                    </w:r>
                    <w:r>
                      <w:rPr>
                        <w:rFonts w:hAnsi="Arial" w:cs="Times New Roman"/>
                        <w:color w:val="000000"/>
                        <w:sz w:val="18"/>
                        <w:szCs w:val="18"/>
                      </w:rPr>
                      <w:t xml:space="preserve"> </w:t>
                    </w:r>
                    <w:r w:rsidRPr="00D81BEB">
                      <w:rPr>
                        <w:rFonts w:hAnsi="Arial" w:cs="Times New Roman"/>
                        <w:color w:val="000000"/>
                        <w:sz w:val="18"/>
                        <w:szCs w:val="18"/>
                      </w:rPr>
                      <w:t>9000</w:t>
                    </w:r>
                    <w:r>
                      <w:rPr>
                        <w:rFonts w:hAnsi="Arial" w:cs="Times New Roman"/>
                        <w:color w:val="000000"/>
                        <w:sz w:val="18"/>
                        <w:szCs w:val="18"/>
                      </w:rPr>
                      <w:t xml:space="preserve"> </w:t>
                    </w:r>
                    <w:r w:rsidRPr="00D81BEB">
                      <w:rPr>
                        <w:rFonts w:hAnsi="Arial" w:cs="Times New Roman"/>
                        <w:color w:val="000000"/>
                        <w:sz w:val="18"/>
                        <w:szCs w:val="18"/>
                      </w:rPr>
                      <w:t>(Switchboard)</w:t>
                    </w:r>
                  </w:p>
                  <w:p w14:paraId="4072A0A3" w14:textId="77777777" w:rsidR="00B43930" w:rsidRDefault="00B43930" w:rsidP="00B43930">
                    <w:pPr>
                      <w:rPr>
                        <w:rFonts w:cs="Times New Roman"/>
                        <w:color w:val="000000"/>
                        <w:sz w:val="18"/>
                        <w:szCs w:val="18"/>
                      </w:rPr>
                    </w:pPr>
                  </w:p>
                </w:txbxContent>
              </v:textbox>
            </v:shape>
          </w:pict>
        </mc:Fallback>
      </mc:AlternateContent>
    </w:r>
    <w:r w:rsidR="00B43930" w:rsidRPr="00D81BEB">
      <w:t xml:space="preserve">         </w:t>
    </w:r>
  </w:p>
  <w:p w14:paraId="3440A457" w14:textId="77777777" w:rsidR="00B43930" w:rsidRPr="004E3F29" w:rsidRDefault="00B43930" w:rsidP="00B43930">
    <w:pPr>
      <w:pStyle w:val="Header"/>
      <w:rPr>
        <w:rFonts w:cs="Times New Roman"/>
        <w:b/>
        <w:bCs/>
        <w:sz w:val="16"/>
        <w:szCs w:val="16"/>
      </w:rPr>
    </w:pPr>
  </w:p>
  <w:p w14:paraId="2EED68FC" w14:textId="77777777" w:rsidR="009A7941" w:rsidRDefault="009A7941" w:rsidP="00F97D10">
    <w:pPr>
      <w:pStyle w:val="Header"/>
      <w:rPr>
        <w:b/>
        <w:bCs/>
        <w:color w:val="000000"/>
        <w:sz w:val="16"/>
        <w:szCs w:val="16"/>
      </w:rPr>
    </w:pPr>
  </w:p>
  <w:p w14:paraId="64E15B0B" w14:textId="77777777" w:rsidR="009A7941" w:rsidRDefault="009A7941" w:rsidP="00F97D10">
    <w:pPr>
      <w:pStyle w:val="Header"/>
      <w:rPr>
        <w:b/>
        <w:bCs/>
        <w:color w:val="000000"/>
        <w:sz w:val="16"/>
        <w:szCs w:val="16"/>
      </w:rPr>
    </w:pPr>
  </w:p>
  <w:p w14:paraId="346EAA7C" w14:textId="77777777" w:rsidR="009A7941" w:rsidRDefault="009A7941" w:rsidP="00F97D10">
    <w:pPr>
      <w:pStyle w:val="Header"/>
      <w:rPr>
        <w:b/>
        <w:bCs/>
        <w:color w:val="000000"/>
        <w:sz w:val="16"/>
        <w:szCs w:val="16"/>
      </w:rPr>
    </w:pPr>
  </w:p>
  <w:p w14:paraId="148F29B2" w14:textId="77777777" w:rsidR="009A7941" w:rsidRDefault="009A7941" w:rsidP="00F97D10">
    <w:pPr>
      <w:pStyle w:val="Header"/>
      <w:rPr>
        <w:b/>
        <w:bCs/>
        <w:color w:val="000000"/>
        <w:sz w:val="16"/>
        <w:szCs w:val="16"/>
      </w:rPr>
    </w:pPr>
  </w:p>
  <w:p w14:paraId="533F528D" w14:textId="77777777" w:rsidR="009A7941" w:rsidRDefault="009A7941" w:rsidP="00F97D10">
    <w:pPr>
      <w:pStyle w:val="Header"/>
      <w:rPr>
        <w:b/>
        <w:bCs/>
        <w:color w:val="000000"/>
        <w:sz w:val="16"/>
        <w:szCs w:val="16"/>
      </w:rPr>
    </w:pPr>
  </w:p>
  <w:p w14:paraId="3F4ED09A" w14:textId="77777777" w:rsidR="009A7941" w:rsidRDefault="009A7941" w:rsidP="00F97D10">
    <w:pPr>
      <w:pStyle w:val="Header"/>
      <w:rPr>
        <w:b/>
        <w:bCs/>
        <w:color w:val="000000"/>
        <w:sz w:val="16"/>
        <w:szCs w:val="16"/>
      </w:rPr>
    </w:pPr>
  </w:p>
  <w:p w14:paraId="4DA57491" w14:textId="77777777" w:rsidR="009A7941" w:rsidRDefault="009A7941" w:rsidP="00F97D10">
    <w:pPr>
      <w:pStyle w:val="Header"/>
      <w:rPr>
        <w:b/>
        <w:bCs/>
        <w:color w:val="000000"/>
        <w:sz w:val="16"/>
        <w:szCs w:val="16"/>
      </w:rPr>
    </w:pPr>
  </w:p>
  <w:p w14:paraId="5F75C999" w14:textId="77777777" w:rsidR="00D11093" w:rsidRPr="00D11093" w:rsidRDefault="008160FB" w:rsidP="00F97D10">
    <w:pPr>
      <w:pStyle w:val="Header"/>
      <w:rPr>
        <w:color w:val="000000"/>
        <w:sz w:val="8"/>
        <w:szCs w:val="16"/>
      </w:rPr>
    </w:pPr>
    <w:r>
      <w:rPr>
        <w:rFonts w:hAnsi="Arial" w:cs="Times New Roman"/>
        <w:b/>
        <w:sz w:val="16"/>
      </w:rPr>
      <w:t>JOHNNY MERCER MP</w:t>
    </w:r>
  </w:p>
  <w:p w14:paraId="44C3D424" w14:textId="77777777" w:rsidR="00ED589C" w:rsidRDefault="00ED589C" w:rsidP="00ED589C">
    <w:pPr>
      <w:pStyle w:val="Header"/>
      <w:rPr>
        <w:color w:val="000000"/>
        <w:sz w:val="16"/>
        <w:szCs w:val="16"/>
      </w:rPr>
    </w:pPr>
    <w:r>
      <w:rPr>
        <w:color w:val="000000"/>
        <w:sz w:val="16"/>
        <w:szCs w:val="16"/>
      </w:rPr>
      <w:t xml:space="preserve">PARLIAMENTARY UNDER-SECRETARY OF STATE AND MINISTER </w:t>
    </w:r>
  </w:p>
  <w:p w14:paraId="27AE2F96" w14:textId="77777777" w:rsidR="00ED589C" w:rsidRPr="0081294E" w:rsidRDefault="00ED589C" w:rsidP="00ED589C">
    <w:pPr>
      <w:pStyle w:val="Header"/>
      <w:rPr>
        <w:color w:val="000000"/>
        <w:sz w:val="16"/>
        <w:szCs w:val="16"/>
      </w:rPr>
    </w:pPr>
    <w:r>
      <w:rPr>
        <w:color w:val="000000"/>
        <w:sz w:val="16"/>
        <w:szCs w:val="16"/>
      </w:rPr>
      <w:t>FOR DEFENCE PEOPLE AND VETERANS</w:t>
    </w:r>
  </w:p>
  <w:p w14:paraId="60646468" w14:textId="77777777" w:rsidR="00B43930" w:rsidRPr="00D81BEB" w:rsidRDefault="00B43930" w:rsidP="00B43930">
    <w:pPr>
      <w:pStyle w:val="Header"/>
      <w:rPr>
        <w:rFonts w:cs="Times New Roman"/>
        <w:color w:val="000000"/>
      </w:rPr>
    </w:pPr>
  </w:p>
  <w:p w14:paraId="066CDE99" w14:textId="77777777" w:rsidR="00D11873" w:rsidRPr="00B43930" w:rsidRDefault="00D11873" w:rsidP="00B43930">
    <w:pPr>
      <w:pStyle w:val="Head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13701"/>
    <w:multiLevelType w:val="hybridMultilevel"/>
    <w:tmpl w:val="D3B8D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D6CE8"/>
    <w:multiLevelType w:val="hybridMultilevel"/>
    <w:tmpl w:val="D4206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D0B"/>
    <w:rsid w:val="00014272"/>
    <w:rsid w:val="00017D65"/>
    <w:rsid w:val="000319FB"/>
    <w:rsid w:val="00047737"/>
    <w:rsid w:val="000529B8"/>
    <w:rsid w:val="00081263"/>
    <w:rsid w:val="000923B1"/>
    <w:rsid w:val="000A45D7"/>
    <w:rsid w:val="000C73C5"/>
    <w:rsid w:val="000F6A4A"/>
    <w:rsid w:val="00111E0D"/>
    <w:rsid w:val="00140D36"/>
    <w:rsid w:val="001C2815"/>
    <w:rsid w:val="00217A81"/>
    <w:rsid w:val="00263A28"/>
    <w:rsid w:val="002735A9"/>
    <w:rsid w:val="00291E06"/>
    <w:rsid w:val="002C3AD4"/>
    <w:rsid w:val="002C5CD3"/>
    <w:rsid w:val="002E67AA"/>
    <w:rsid w:val="002F1F2F"/>
    <w:rsid w:val="002F73E6"/>
    <w:rsid w:val="003054A0"/>
    <w:rsid w:val="00320E8F"/>
    <w:rsid w:val="003315E9"/>
    <w:rsid w:val="003469A1"/>
    <w:rsid w:val="003522B9"/>
    <w:rsid w:val="0037392E"/>
    <w:rsid w:val="003B6771"/>
    <w:rsid w:val="003C1DF7"/>
    <w:rsid w:val="003C3E6E"/>
    <w:rsid w:val="003D1A45"/>
    <w:rsid w:val="003D2A47"/>
    <w:rsid w:val="003E404B"/>
    <w:rsid w:val="003E4C16"/>
    <w:rsid w:val="004337F0"/>
    <w:rsid w:val="00446434"/>
    <w:rsid w:val="0047782B"/>
    <w:rsid w:val="004B295B"/>
    <w:rsid w:val="004D28E4"/>
    <w:rsid w:val="004E31F0"/>
    <w:rsid w:val="004E3F29"/>
    <w:rsid w:val="004F6EAA"/>
    <w:rsid w:val="00520C4D"/>
    <w:rsid w:val="00534A3E"/>
    <w:rsid w:val="005420D6"/>
    <w:rsid w:val="00543398"/>
    <w:rsid w:val="00546E80"/>
    <w:rsid w:val="0055111D"/>
    <w:rsid w:val="005779C9"/>
    <w:rsid w:val="00593E2F"/>
    <w:rsid w:val="005B20A0"/>
    <w:rsid w:val="005B4170"/>
    <w:rsid w:val="005D1265"/>
    <w:rsid w:val="005F49EB"/>
    <w:rsid w:val="00623940"/>
    <w:rsid w:val="006301EE"/>
    <w:rsid w:val="00650546"/>
    <w:rsid w:val="0067723B"/>
    <w:rsid w:val="0069540D"/>
    <w:rsid w:val="006B29B1"/>
    <w:rsid w:val="006B6B2B"/>
    <w:rsid w:val="006E0D90"/>
    <w:rsid w:val="006E182D"/>
    <w:rsid w:val="006E33B3"/>
    <w:rsid w:val="00710D23"/>
    <w:rsid w:val="0072332E"/>
    <w:rsid w:val="00727146"/>
    <w:rsid w:val="00770B88"/>
    <w:rsid w:val="00775F73"/>
    <w:rsid w:val="00785079"/>
    <w:rsid w:val="007B5EC0"/>
    <w:rsid w:val="007E4C6A"/>
    <w:rsid w:val="007F24EE"/>
    <w:rsid w:val="007F577D"/>
    <w:rsid w:val="0080149D"/>
    <w:rsid w:val="008125B0"/>
    <w:rsid w:val="0081294E"/>
    <w:rsid w:val="00813547"/>
    <w:rsid w:val="008160FB"/>
    <w:rsid w:val="00823E6A"/>
    <w:rsid w:val="00841CAE"/>
    <w:rsid w:val="0086276E"/>
    <w:rsid w:val="008717B1"/>
    <w:rsid w:val="0089502D"/>
    <w:rsid w:val="008D304E"/>
    <w:rsid w:val="0090129C"/>
    <w:rsid w:val="00911FBE"/>
    <w:rsid w:val="00912F15"/>
    <w:rsid w:val="00936FC5"/>
    <w:rsid w:val="00940DE7"/>
    <w:rsid w:val="00977609"/>
    <w:rsid w:val="00981ED4"/>
    <w:rsid w:val="009A7941"/>
    <w:rsid w:val="009C4F2C"/>
    <w:rsid w:val="009D34CF"/>
    <w:rsid w:val="009E65EC"/>
    <w:rsid w:val="009E7F11"/>
    <w:rsid w:val="00A007F6"/>
    <w:rsid w:val="00A07824"/>
    <w:rsid w:val="00A74A02"/>
    <w:rsid w:val="00A84EDF"/>
    <w:rsid w:val="00A90E77"/>
    <w:rsid w:val="00AA18D9"/>
    <w:rsid w:val="00AB4F86"/>
    <w:rsid w:val="00AC2E21"/>
    <w:rsid w:val="00AC6E60"/>
    <w:rsid w:val="00AE5107"/>
    <w:rsid w:val="00B3247F"/>
    <w:rsid w:val="00B36A5E"/>
    <w:rsid w:val="00B43930"/>
    <w:rsid w:val="00B46182"/>
    <w:rsid w:val="00B52E3F"/>
    <w:rsid w:val="00B54B31"/>
    <w:rsid w:val="00B61CD3"/>
    <w:rsid w:val="00B62BFD"/>
    <w:rsid w:val="00B6524D"/>
    <w:rsid w:val="00BC6E13"/>
    <w:rsid w:val="00BD114D"/>
    <w:rsid w:val="00BE4157"/>
    <w:rsid w:val="00BF3608"/>
    <w:rsid w:val="00C00D0B"/>
    <w:rsid w:val="00C02A7F"/>
    <w:rsid w:val="00C055FD"/>
    <w:rsid w:val="00C11010"/>
    <w:rsid w:val="00C16AE2"/>
    <w:rsid w:val="00C26459"/>
    <w:rsid w:val="00C348BC"/>
    <w:rsid w:val="00C37A1A"/>
    <w:rsid w:val="00C62584"/>
    <w:rsid w:val="00C7494F"/>
    <w:rsid w:val="00C779FA"/>
    <w:rsid w:val="00C86A76"/>
    <w:rsid w:val="00C96FCF"/>
    <w:rsid w:val="00CA3CC3"/>
    <w:rsid w:val="00CC1DAB"/>
    <w:rsid w:val="00CD4F23"/>
    <w:rsid w:val="00D03FC6"/>
    <w:rsid w:val="00D11093"/>
    <w:rsid w:val="00D11873"/>
    <w:rsid w:val="00D223A1"/>
    <w:rsid w:val="00D33813"/>
    <w:rsid w:val="00D55486"/>
    <w:rsid w:val="00D77024"/>
    <w:rsid w:val="00D81BEB"/>
    <w:rsid w:val="00D9422B"/>
    <w:rsid w:val="00D97E95"/>
    <w:rsid w:val="00DA5B6A"/>
    <w:rsid w:val="00DE18F6"/>
    <w:rsid w:val="00DE35D4"/>
    <w:rsid w:val="00DE6A9A"/>
    <w:rsid w:val="00DF6771"/>
    <w:rsid w:val="00E04F1D"/>
    <w:rsid w:val="00E1038A"/>
    <w:rsid w:val="00E55BD8"/>
    <w:rsid w:val="00E63A49"/>
    <w:rsid w:val="00E9516E"/>
    <w:rsid w:val="00EB083B"/>
    <w:rsid w:val="00EC1815"/>
    <w:rsid w:val="00EC5225"/>
    <w:rsid w:val="00EC5339"/>
    <w:rsid w:val="00EC7E9A"/>
    <w:rsid w:val="00ED589C"/>
    <w:rsid w:val="00F102FC"/>
    <w:rsid w:val="00F42B6C"/>
    <w:rsid w:val="00F435CC"/>
    <w:rsid w:val="00F71A49"/>
    <w:rsid w:val="00F73F07"/>
    <w:rsid w:val="00F87A72"/>
    <w:rsid w:val="00F97D10"/>
    <w:rsid w:val="00FB6BD6"/>
    <w:rsid w:val="00FD11BB"/>
    <w:rsid w:val="00FF6E81"/>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F11C0"/>
  <w14:defaultImageDpi w14:val="0"/>
  <w15:docId w15:val="{AED6056F-798B-444D-A8A4-8904D005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eastAsia="Times New Roman" w:cs="Arial"/>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0D0B"/>
    <w:pPr>
      <w:tabs>
        <w:tab w:val="center" w:pos="4153"/>
        <w:tab w:val="right" w:pos="8306"/>
      </w:tabs>
    </w:pPr>
  </w:style>
  <w:style w:type="character" w:customStyle="1" w:styleId="HeaderChar">
    <w:name w:val="Header Char"/>
    <w:basedOn w:val="DefaultParagraphFont"/>
    <w:link w:val="Header"/>
    <w:uiPriority w:val="99"/>
    <w:semiHidden/>
    <w:locked/>
    <w:rPr>
      <w:rFonts w:ascii="Arial" w:eastAsia="Times New Roman" w:cs="Arial"/>
      <w:sz w:val="24"/>
      <w:szCs w:val="24"/>
      <w:lang w:val="x-none" w:eastAsia="zh-TW"/>
    </w:rPr>
  </w:style>
  <w:style w:type="paragraph" w:styleId="Footer">
    <w:name w:val="footer"/>
    <w:basedOn w:val="Normal"/>
    <w:link w:val="FooterChar"/>
    <w:uiPriority w:val="99"/>
    <w:rsid w:val="00C00D0B"/>
    <w:pPr>
      <w:tabs>
        <w:tab w:val="center" w:pos="4153"/>
        <w:tab w:val="right" w:pos="8306"/>
      </w:tabs>
    </w:pPr>
  </w:style>
  <w:style w:type="character" w:customStyle="1" w:styleId="FooterChar">
    <w:name w:val="Footer Char"/>
    <w:basedOn w:val="DefaultParagraphFont"/>
    <w:link w:val="Footer"/>
    <w:uiPriority w:val="99"/>
    <w:semiHidden/>
    <w:locked/>
    <w:rPr>
      <w:rFonts w:ascii="Arial" w:eastAsia="Times New Roman" w:cs="Arial"/>
      <w:sz w:val="24"/>
      <w:szCs w:val="24"/>
      <w:lang w:val="x-none" w:eastAsia="zh-TW"/>
    </w:rPr>
  </w:style>
  <w:style w:type="paragraph" w:customStyle="1" w:styleId="Char">
    <w:name w:val="Char"/>
    <w:basedOn w:val="Normal"/>
    <w:uiPriority w:val="99"/>
    <w:rsid w:val="005B20A0"/>
    <w:pPr>
      <w:spacing w:after="160" w:line="240" w:lineRule="exact"/>
    </w:pPr>
    <w:rPr>
      <w:rFonts w:ascii="Verdana" w:eastAsia="Arial Unicode MS" w:hAnsi="Verdana" w:cs="Verdana"/>
      <w:sz w:val="20"/>
      <w:szCs w:val="20"/>
      <w:lang w:val="en-US" w:eastAsia="en-US"/>
    </w:rPr>
  </w:style>
  <w:style w:type="paragraph" w:styleId="BalloonText">
    <w:name w:val="Balloon Text"/>
    <w:basedOn w:val="Normal"/>
    <w:link w:val="BalloonTextChar"/>
    <w:uiPriority w:val="99"/>
    <w:semiHidden/>
    <w:rsid w:val="005B20A0"/>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DocumentMap">
    <w:name w:val="Document Map"/>
    <w:basedOn w:val="Normal"/>
    <w:link w:val="DocumentMapChar"/>
    <w:uiPriority w:val="99"/>
    <w:semiHidden/>
    <w:rsid w:val="00785079"/>
    <w:pPr>
      <w:shd w:val="clear" w:color="auto" w:fill="000080"/>
    </w:pPr>
    <w:rPr>
      <w:rFonts w:ascii="Tahoma" w:eastAsia="Arial Unicode MS"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zh-TW"/>
    </w:rPr>
  </w:style>
  <w:style w:type="paragraph" w:customStyle="1" w:styleId="Default">
    <w:name w:val="Default"/>
    <w:rsid w:val="00D11093"/>
    <w:pPr>
      <w:widowControl w:val="0"/>
      <w:autoSpaceDN w:val="0"/>
      <w:adjustRightInd w:val="0"/>
      <w:spacing w:after="0" w:line="240" w:lineRule="auto"/>
    </w:pPr>
    <w:rPr>
      <w:rFonts w:ascii="Arial" w:eastAsia="Times New Roman" w:cs="Arial"/>
      <w:sz w:val="24"/>
      <w:szCs w:val="24"/>
      <w:lang w:eastAsia="zh-TW" w:bidi="hi-IN"/>
    </w:rPr>
  </w:style>
  <w:style w:type="table" w:customStyle="1" w:styleId="TableGrid1">
    <w:name w:val="Table Grid1"/>
    <w:basedOn w:val="TableNormal"/>
    <w:next w:val="TableGrid"/>
    <w:uiPriority w:val="39"/>
    <w:rsid w:val="00A74A0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7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FROM:  LORD DRAYSON</vt:lpstr>
    </vt:vector>
  </TitlesOfParts>
  <Company>Ministry of Defence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LORD DRAYSON</dc:title>
  <dc:subject/>
  <dc:creator>shahi857</dc:creator>
  <cp:keywords/>
  <dc:description/>
  <cp:lastModifiedBy>Shah, Illa E2 (Parli Branch-MinistersTypist2)</cp:lastModifiedBy>
  <cp:revision>3</cp:revision>
  <cp:lastPrinted>2007-03-12T11:52:00Z</cp:lastPrinted>
  <dcterms:created xsi:type="dcterms:W3CDTF">2020-11-03T12:13:00Z</dcterms:created>
  <dcterms:modified xsi:type="dcterms:W3CDTF">2020-11-03T12:14:00Z</dcterms:modified>
</cp:coreProperties>
</file>