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20"/>
        <w:tblW w:w="9548" w:type="dxa"/>
        <w:tblLayout w:type="fixed"/>
        <w:tblCellMar>
          <w:left w:w="0" w:type="dxa"/>
          <w:right w:w="0" w:type="dxa"/>
        </w:tblCellMar>
        <w:tblLook w:val="04A0" w:firstRow="1" w:lastRow="0" w:firstColumn="1" w:lastColumn="0" w:noHBand="0" w:noVBand="1"/>
      </w:tblPr>
      <w:tblGrid>
        <w:gridCol w:w="3941"/>
        <w:gridCol w:w="2438"/>
        <w:gridCol w:w="3169"/>
      </w:tblGrid>
      <w:tr w:rsidR="008071E2" w14:paraId="259A243A" w14:textId="77777777" w:rsidTr="008019E7">
        <w:trPr>
          <w:trHeight w:val="1128"/>
        </w:trPr>
        <w:tc>
          <w:tcPr>
            <w:tcW w:w="3941" w:type="dxa"/>
            <w:vMerge w:val="restart"/>
          </w:tcPr>
          <w:p w14:paraId="4CD7A081" w14:textId="77777777" w:rsidR="008019E7" w:rsidRPr="00B439E1" w:rsidRDefault="00494F27" w:rsidP="008019E7">
            <w:pPr>
              <w:spacing w:before="0" w:after="480"/>
              <w:rPr>
                <w:rFonts w:ascii="Arial (W1)" w:hAnsi="Arial (W1)" w:cs="Arial (W1)"/>
                <w:noProof/>
                <w:color w:val="00AF41"/>
              </w:rPr>
            </w:pPr>
            <w:r>
              <w:rPr>
                <w:rFonts w:cs="Arial"/>
                <w:noProof/>
                <w:color w:val="FFFFFF"/>
                <w:sz w:val="28"/>
                <w:lang w:eastAsia="en-GB"/>
              </w:rPr>
              <w:drawing>
                <wp:inline distT="0" distB="0" distL="0" distR="0" wp14:anchorId="25A43F83" wp14:editId="29254EFF">
                  <wp:extent cx="2286000" cy="11588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158875"/>
                          </a:xfrm>
                          <a:prstGeom prst="rect">
                            <a:avLst/>
                          </a:prstGeom>
                          <a:noFill/>
                          <a:ln>
                            <a:noFill/>
                          </a:ln>
                        </pic:spPr>
                      </pic:pic>
                    </a:graphicData>
                  </a:graphic>
                </wp:inline>
              </w:drawing>
            </w:r>
          </w:p>
        </w:tc>
        <w:tc>
          <w:tcPr>
            <w:tcW w:w="5607" w:type="dxa"/>
            <w:gridSpan w:val="2"/>
          </w:tcPr>
          <w:p w14:paraId="07355F6A" w14:textId="77777777" w:rsidR="008019E7" w:rsidRPr="00B439E1" w:rsidRDefault="00494F27" w:rsidP="008019E7">
            <w:pPr>
              <w:tabs>
                <w:tab w:val="left" w:pos="921"/>
              </w:tabs>
              <w:spacing w:before="0" w:after="0" w:line="240" w:lineRule="auto"/>
              <w:jc w:val="right"/>
              <w:rPr>
                <w:rFonts w:ascii="Arial (W1)" w:hAnsi="Arial (W1)" w:cs="Arial (W1)"/>
                <w:noProof/>
                <w:color w:val="00AF41"/>
                <w:szCs w:val="24"/>
              </w:rPr>
            </w:pPr>
            <w:r w:rsidRPr="00B439E1">
              <w:rPr>
                <w:rFonts w:ascii="Arial (W1)" w:hAnsi="Arial (W1)" w:cs="Arial (W1)"/>
                <w:b/>
                <w:noProof/>
                <w:color w:val="00AF41"/>
                <w:szCs w:val="24"/>
              </w:rPr>
              <w:t>Lord Gardiner of Kimble</w:t>
            </w:r>
            <w:r w:rsidRPr="00B439E1">
              <w:rPr>
                <w:rFonts w:ascii="Arial (W1)" w:hAnsi="Arial (W1)" w:cs="Arial (W1)"/>
                <w:noProof/>
                <w:color w:val="00AF41"/>
                <w:szCs w:val="24"/>
              </w:rPr>
              <w:br/>
              <w:t>Parliamentary Under Secretary of State for Rural Affairs and Biosecurity</w:t>
            </w:r>
          </w:p>
        </w:tc>
      </w:tr>
      <w:tr w:rsidR="008071E2" w14:paraId="7540D005" w14:textId="77777777" w:rsidTr="008019E7">
        <w:trPr>
          <w:trHeight w:val="559"/>
        </w:trPr>
        <w:tc>
          <w:tcPr>
            <w:tcW w:w="3941" w:type="dxa"/>
            <w:vMerge/>
          </w:tcPr>
          <w:p w14:paraId="256C79D2" w14:textId="77777777" w:rsidR="008019E7" w:rsidRPr="00B439E1" w:rsidRDefault="000E0023" w:rsidP="008019E7">
            <w:pPr>
              <w:spacing w:before="0" w:after="480"/>
              <w:rPr>
                <w:rFonts w:cs="Arial"/>
                <w:color w:val="FFFFFF"/>
                <w:sz w:val="28"/>
              </w:rPr>
            </w:pPr>
          </w:p>
        </w:tc>
        <w:tc>
          <w:tcPr>
            <w:tcW w:w="2438" w:type="dxa"/>
          </w:tcPr>
          <w:p w14:paraId="4D8A4255" w14:textId="77777777" w:rsidR="008019E7" w:rsidRPr="00B439E1" w:rsidRDefault="004C2A48" w:rsidP="00401F6D">
            <w:pPr>
              <w:spacing w:before="0" w:after="0" w:line="240" w:lineRule="auto"/>
              <w:rPr>
                <w:sz w:val="22"/>
              </w:rPr>
            </w:pPr>
            <w:r>
              <w:rPr>
                <w:sz w:val="22"/>
              </w:rPr>
              <w:t>Seacole Building</w:t>
            </w:r>
            <w:r w:rsidR="00401F6D">
              <w:rPr>
                <w:sz w:val="22"/>
              </w:rPr>
              <w:br/>
              <w:t>2 Marsham Street London SW1P 4DF</w:t>
            </w:r>
          </w:p>
        </w:tc>
        <w:tc>
          <w:tcPr>
            <w:tcW w:w="3169" w:type="dxa"/>
          </w:tcPr>
          <w:p w14:paraId="4C1F96F0" w14:textId="77777777" w:rsidR="008019E7" w:rsidRPr="00B439E1" w:rsidRDefault="00494F27" w:rsidP="008019E7">
            <w:pPr>
              <w:spacing w:before="0" w:after="0" w:line="240" w:lineRule="auto"/>
              <w:rPr>
                <w:rFonts w:ascii="Arial (W1)" w:hAnsi="Arial (W1)" w:cs="Arial (W1)"/>
                <w:noProof/>
                <w:color w:val="00AF41"/>
                <w:sz w:val="22"/>
              </w:rPr>
            </w:pPr>
            <w:r w:rsidRPr="00B439E1">
              <w:rPr>
                <w:sz w:val="22"/>
              </w:rPr>
              <w:t>T  03459 335577</w:t>
            </w:r>
          </w:p>
          <w:p w14:paraId="72EE49C7" w14:textId="77777777" w:rsidR="008019E7" w:rsidRPr="00C90B04" w:rsidRDefault="000E0023" w:rsidP="008019E7">
            <w:pPr>
              <w:spacing w:before="0" w:after="0" w:line="240" w:lineRule="auto"/>
              <w:rPr>
                <w:sz w:val="22"/>
              </w:rPr>
            </w:pPr>
            <w:hyperlink r:id="rId11" w:history="1">
              <w:r w:rsidR="00065E20" w:rsidRPr="00C90B04">
                <w:rPr>
                  <w:rStyle w:val="Hyperlink"/>
                  <w:color w:val="auto"/>
                  <w:sz w:val="22"/>
                  <w:u w:val="none"/>
                </w:rPr>
                <w:t>defra.helpline@defra.gov.uk</w:t>
              </w:r>
            </w:hyperlink>
            <w:r w:rsidR="00E35719" w:rsidRPr="00C90B04">
              <w:rPr>
                <w:sz w:val="22"/>
              </w:rPr>
              <w:t xml:space="preserve"> </w:t>
            </w:r>
          </w:p>
          <w:p w14:paraId="3A915A45" w14:textId="77777777" w:rsidR="008019E7" w:rsidRPr="00B439E1" w:rsidRDefault="00494F27" w:rsidP="008019E7">
            <w:pPr>
              <w:spacing w:before="0" w:after="0" w:line="240" w:lineRule="auto"/>
              <w:rPr>
                <w:color w:val="00AF41"/>
              </w:rPr>
            </w:pPr>
            <w:r w:rsidRPr="00B439E1">
              <w:rPr>
                <w:color w:val="00AF41"/>
                <w:sz w:val="22"/>
              </w:rPr>
              <w:t>www.gov.uk/defra</w:t>
            </w:r>
          </w:p>
        </w:tc>
      </w:tr>
    </w:tbl>
    <w:p w14:paraId="5279508B" w14:textId="77777777" w:rsidR="00286099" w:rsidRDefault="000E0023" w:rsidP="00286099">
      <w:pPr>
        <w:spacing w:before="0" w:after="0"/>
      </w:pPr>
    </w:p>
    <w:p w14:paraId="1313C0BC" w14:textId="098922ED" w:rsidR="00843022" w:rsidRDefault="00AE4DD6" w:rsidP="00286099">
      <w:pPr>
        <w:spacing w:before="0" w:after="0"/>
      </w:pPr>
      <w:r>
        <w:t>Dear Anne,</w:t>
      </w:r>
    </w:p>
    <w:p w14:paraId="6D0D8BA7" w14:textId="77777777" w:rsidR="00AE4DD6" w:rsidRPr="00B439E1" w:rsidRDefault="00AE4DD6" w:rsidP="00286099">
      <w:pPr>
        <w:spacing w:before="0" w:after="0"/>
      </w:pPr>
    </w:p>
    <w:tbl>
      <w:tblPr>
        <w:tblpPr w:leftFromText="180" w:rightFromText="180" w:vertAnchor="page" w:horzAnchor="margin" w:tblpY="2981"/>
        <w:tblW w:w="10065" w:type="dxa"/>
        <w:tblLayout w:type="fixed"/>
        <w:tblCellMar>
          <w:left w:w="0" w:type="dxa"/>
          <w:right w:w="0" w:type="dxa"/>
        </w:tblCellMar>
        <w:tblLook w:val="04A0" w:firstRow="1" w:lastRow="0" w:firstColumn="1" w:lastColumn="0" w:noHBand="0" w:noVBand="1"/>
      </w:tblPr>
      <w:tblGrid>
        <w:gridCol w:w="5905"/>
        <w:gridCol w:w="4160"/>
      </w:tblGrid>
      <w:tr w:rsidR="008071E2" w14:paraId="45D1F43D" w14:textId="77777777" w:rsidTr="006E1F6D">
        <w:trPr>
          <w:trHeight w:val="2044"/>
        </w:trPr>
        <w:tc>
          <w:tcPr>
            <w:tcW w:w="5905" w:type="dxa"/>
          </w:tcPr>
          <w:p w14:paraId="77D5B6C6" w14:textId="77777777" w:rsidR="00286099" w:rsidRPr="00B439E1" w:rsidRDefault="00973BFE" w:rsidP="006E1F6D">
            <w:pPr>
              <w:spacing w:before="0" w:after="0" w:line="240" w:lineRule="auto"/>
              <w:rPr>
                <w:rFonts w:cs="Arial"/>
                <w:szCs w:val="24"/>
              </w:rPr>
            </w:pPr>
            <w:r>
              <w:rPr>
                <w:rFonts w:cs="Arial"/>
                <w:szCs w:val="24"/>
              </w:rPr>
              <w:t>Baroness McIntosh of Pickering</w:t>
            </w:r>
          </w:p>
          <w:p w14:paraId="5CD1B8E6" w14:textId="77777777" w:rsidR="00286099" w:rsidRPr="00B439E1" w:rsidRDefault="00494F27" w:rsidP="006E1F6D">
            <w:pPr>
              <w:spacing w:before="0" w:after="0" w:line="240" w:lineRule="auto"/>
              <w:rPr>
                <w:rFonts w:cs="Arial"/>
                <w:szCs w:val="24"/>
              </w:rPr>
            </w:pPr>
            <w:r w:rsidRPr="00B439E1">
              <w:rPr>
                <w:rFonts w:cs="Arial"/>
                <w:szCs w:val="24"/>
              </w:rPr>
              <w:t xml:space="preserve">House of </w:t>
            </w:r>
            <w:r w:rsidR="00973BFE">
              <w:rPr>
                <w:rFonts w:cs="Arial"/>
                <w:szCs w:val="24"/>
              </w:rPr>
              <w:t>Lords</w:t>
            </w:r>
          </w:p>
          <w:p w14:paraId="74AF29D7" w14:textId="77777777" w:rsidR="00286099" w:rsidRPr="00B439E1" w:rsidRDefault="00494F27" w:rsidP="006E1F6D">
            <w:pPr>
              <w:spacing w:before="0" w:after="0" w:line="240" w:lineRule="auto"/>
              <w:rPr>
                <w:rFonts w:cs="Arial"/>
                <w:szCs w:val="24"/>
              </w:rPr>
            </w:pPr>
            <w:r w:rsidRPr="00B439E1">
              <w:rPr>
                <w:rFonts w:cs="Arial"/>
                <w:szCs w:val="24"/>
              </w:rPr>
              <w:t>London</w:t>
            </w:r>
          </w:p>
          <w:p w14:paraId="7EE51895" w14:textId="77777777" w:rsidR="00286099" w:rsidRPr="00B439E1" w:rsidRDefault="00494F27" w:rsidP="006E1F6D">
            <w:pPr>
              <w:spacing w:before="0" w:after="0" w:line="240" w:lineRule="auto"/>
              <w:rPr>
                <w:szCs w:val="24"/>
              </w:rPr>
            </w:pPr>
            <w:r w:rsidRPr="00B439E1">
              <w:rPr>
                <w:rFonts w:cs="Arial"/>
                <w:szCs w:val="24"/>
              </w:rPr>
              <w:t>SW1A 0</w:t>
            </w:r>
            <w:r w:rsidR="00973BFE">
              <w:rPr>
                <w:rFonts w:cs="Arial"/>
                <w:szCs w:val="24"/>
              </w:rPr>
              <w:t>PW</w:t>
            </w:r>
          </w:p>
        </w:tc>
        <w:tc>
          <w:tcPr>
            <w:tcW w:w="4160" w:type="dxa"/>
          </w:tcPr>
          <w:p w14:paraId="35ED1985" w14:textId="77777777" w:rsidR="00286099" w:rsidRPr="00B439E1" w:rsidRDefault="00E331CF" w:rsidP="006E1F6D">
            <w:pPr>
              <w:tabs>
                <w:tab w:val="left" w:pos="967"/>
                <w:tab w:val="left" w:pos="3593"/>
                <w:tab w:val="left" w:pos="4270"/>
              </w:tabs>
              <w:spacing w:before="0" w:after="0"/>
              <w:ind w:left="284" w:right="567"/>
              <w:jc w:val="right"/>
              <w:rPr>
                <w:rFonts w:cs="Arial"/>
                <w:bCs/>
                <w:szCs w:val="24"/>
              </w:rPr>
            </w:pPr>
            <w:r>
              <w:rPr>
                <w:rFonts w:cs="Arial"/>
                <w:bCs/>
                <w:szCs w:val="24"/>
              </w:rPr>
              <w:t xml:space="preserve"> </w:t>
            </w:r>
          </w:p>
          <w:p w14:paraId="63F8D3DD" w14:textId="77777777" w:rsidR="00286099" w:rsidRPr="00B439E1" w:rsidRDefault="00E331CF" w:rsidP="006E1F6D">
            <w:pPr>
              <w:tabs>
                <w:tab w:val="left" w:pos="967"/>
                <w:tab w:val="left" w:pos="3593"/>
                <w:tab w:val="left" w:pos="4270"/>
              </w:tabs>
              <w:spacing w:before="0" w:after="0" w:line="240" w:lineRule="auto"/>
              <w:ind w:left="284" w:right="567"/>
              <w:jc w:val="right"/>
              <w:rPr>
                <w:rFonts w:cs="Arial"/>
                <w:sz w:val="22"/>
              </w:rPr>
            </w:pPr>
            <w:r>
              <w:rPr>
                <w:rFonts w:cs="Arial"/>
                <w:bCs/>
                <w:szCs w:val="24"/>
              </w:rPr>
              <w:t xml:space="preserve"> </w:t>
            </w:r>
          </w:p>
          <w:p w14:paraId="5BE4A93D" w14:textId="77777777" w:rsidR="00286099" w:rsidRPr="00B439E1" w:rsidRDefault="000E0023" w:rsidP="006E1F6D">
            <w:pPr>
              <w:tabs>
                <w:tab w:val="left" w:pos="967"/>
                <w:tab w:val="left" w:pos="3593"/>
                <w:tab w:val="left" w:pos="4270"/>
              </w:tabs>
              <w:spacing w:before="0" w:after="0"/>
              <w:ind w:left="284" w:right="567"/>
              <w:jc w:val="right"/>
              <w:rPr>
                <w:rFonts w:cs="Arial"/>
                <w:szCs w:val="24"/>
              </w:rPr>
            </w:pPr>
          </w:p>
          <w:p w14:paraId="6E3D6ED6" w14:textId="254A908B" w:rsidR="00286099" w:rsidRPr="00B439E1" w:rsidRDefault="00D564BE" w:rsidP="006E1F6D">
            <w:pPr>
              <w:tabs>
                <w:tab w:val="left" w:pos="967"/>
                <w:tab w:val="left" w:pos="3593"/>
                <w:tab w:val="left" w:pos="4270"/>
              </w:tabs>
              <w:spacing w:before="0" w:after="0"/>
              <w:ind w:left="284" w:right="567"/>
              <w:jc w:val="right"/>
              <w:rPr>
                <w:rFonts w:cs="Arial"/>
                <w:szCs w:val="24"/>
              </w:rPr>
            </w:pPr>
            <w:r>
              <w:rPr>
                <w:rFonts w:cs="Arial"/>
                <w:szCs w:val="24"/>
              </w:rPr>
              <w:t xml:space="preserve"> 6 </w:t>
            </w:r>
            <w:r w:rsidR="00AE4DD6">
              <w:rPr>
                <w:rFonts w:cs="Arial"/>
                <w:szCs w:val="24"/>
              </w:rPr>
              <w:t>October</w:t>
            </w:r>
            <w:r w:rsidR="00E331CF">
              <w:rPr>
                <w:rFonts w:cs="Arial"/>
                <w:szCs w:val="24"/>
              </w:rPr>
              <w:t xml:space="preserve"> 2020</w:t>
            </w:r>
          </w:p>
        </w:tc>
      </w:tr>
    </w:tbl>
    <w:p w14:paraId="2293A29A" w14:textId="63E86BBD" w:rsidR="00973BFE" w:rsidRPr="00973BFE" w:rsidRDefault="00973BFE" w:rsidP="00AE4DD6">
      <w:pPr>
        <w:spacing w:before="0" w:after="0" w:line="240" w:lineRule="auto"/>
        <w:jc w:val="both"/>
        <w:rPr>
          <w:rFonts w:cs="Arial"/>
        </w:rPr>
      </w:pPr>
      <w:r w:rsidRPr="006F2B73">
        <w:rPr>
          <w:rFonts w:cs="Arial"/>
        </w:rPr>
        <w:t xml:space="preserve">I am writing to answer a question you raised </w:t>
      </w:r>
      <w:r w:rsidR="00D85C2A">
        <w:rPr>
          <w:rFonts w:cs="Arial"/>
        </w:rPr>
        <w:t>on the first</w:t>
      </w:r>
      <w:r>
        <w:rPr>
          <w:rFonts w:cs="Arial"/>
        </w:rPr>
        <w:t xml:space="preserve"> </w:t>
      </w:r>
      <w:r w:rsidR="00D85C2A">
        <w:rPr>
          <w:rFonts w:cs="Arial"/>
        </w:rPr>
        <w:t>day of the</w:t>
      </w:r>
      <w:r>
        <w:rPr>
          <w:rFonts w:cs="Arial"/>
        </w:rPr>
        <w:t xml:space="preserve"> Report stage debate on the </w:t>
      </w:r>
      <w:r w:rsidRPr="006F2B73">
        <w:rPr>
          <w:rFonts w:cs="Arial"/>
        </w:rPr>
        <w:t>Agriculture Bill</w:t>
      </w:r>
      <w:r w:rsidR="00D85C2A">
        <w:rPr>
          <w:rFonts w:cs="Arial"/>
        </w:rPr>
        <w:t>.</w:t>
      </w:r>
      <w:r w:rsidRPr="00973BFE">
        <w:rPr>
          <w:rFonts w:cs="Arial"/>
        </w:rPr>
        <w:t xml:space="preserve"> You asked whether the registration of common land would be complete before the pilots are finished and the new </w:t>
      </w:r>
      <w:r w:rsidR="00535B82">
        <w:rPr>
          <w:rFonts w:cs="Arial"/>
        </w:rPr>
        <w:t>Environmental Land Management (</w:t>
      </w:r>
      <w:r w:rsidRPr="00973BFE">
        <w:rPr>
          <w:rFonts w:cs="Arial"/>
        </w:rPr>
        <w:t>ELM</w:t>
      </w:r>
      <w:r w:rsidR="00535B82">
        <w:rPr>
          <w:rFonts w:cs="Arial"/>
        </w:rPr>
        <w:t>)</w:t>
      </w:r>
      <w:r w:rsidRPr="00973BFE">
        <w:rPr>
          <w:rFonts w:cs="Arial"/>
        </w:rPr>
        <w:t xml:space="preserve"> scheme comes into effect.</w:t>
      </w:r>
    </w:p>
    <w:p w14:paraId="14D1AAA4" w14:textId="77777777" w:rsidR="00973BFE" w:rsidRPr="00973BFE" w:rsidRDefault="00973BFE" w:rsidP="00AE4DD6">
      <w:pPr>
        <w:spacing w:before="0" w:after="0" w:line="240" w:lineRule="auto"/>
        <w:jc w:val="both"/>
        <w:rPr>
          <w:rFonts w:cs="Arial"/>
        </w:rPr>
      </w:pPr>
    </w:p>
    <w:p w14:paraId="4A8C0E00" w14:textId="3ABEBAA8" w:rsidR="00973BFE" w:rsidRPr="00973BFE" w:rsidRDefault="00973BFE" w:rsidP="00AE4DD6">
      <w:pPr>
        <w:spacing w:before="0" w:after="0" w:line="240" w:lineRule="auto"/>
        <w:jc w:val="both"/>
        <w:rPr>
          <w:rFonts w:cs="Arial"/>
        </w:rPr>
      </w:pPr>
      <w:r w:rsidRPr="00973BFE">
        <w:rPr>
          <w:rFonts w:cs="Arial"/>
        </w:rPr>
        <w:t xml:space="preserve">The </w:t>
      </w:r>
      <w:r w:rsidR="00D85C2A">
        <w:rPr>
          <w:rFonts w:cs="Arial"/>
        </w:rPr>
        <w:t>d</w:t>
      </w:r>
      <w:r w:rsidRPr="00973BFE">
        <w:rPr>
          <w:rFonts w:cs="Arial"/>
        </w:rPr>
        <w:t>eadline for the registration of Common Land in seven English local authority areas was set by the 2014 Commons Regulations as the 31st December 2020. At present the government has no plans to change this deadline and we expect the registration process to be complete in advance of ELM coming into effect.</w:t>
      </w:r>
    </w:p>
    <w:p w14:paraId="7A01E738" w14:textId="77777777" w:rsidR="00973BFE" w:rsidRPr="00973BFE" w:rsidRDefault="00973BFE" w:rsidP="00AE4DD6">
      <w:pPr>
        <w:spacing w:before="0" w:after="0" w:line="240" w:lineRule="auto"/>
        <w:jc w:val="both"/>
        <w:rPr>
          <w:rFonts w:cs="Arial"/>
        </w:rPr>
      </w:pPr>
    </w:p>
    <w:p w14:paraId="47DD5569" w14:textId="38B98377" w:rsidR="00FD71EA" w:rsidRDefault="00973BFE" w:rsidP="00AE4DD6">
      <w:pPr>
        <w:spacing w:before="0" w:after="0" w:line="240" w:lineRule="auto"/>
        <w:jc w:val="both"/>
        <w:rPr>
          <w:rFonts w:cs="Arial"/>
        </w:rPr>
      </w:pPr>
      <w:r w:rsidRPr="00973BFE">
        <w:rPr>
          <w:rFonts w:cs="Arial"/>
        </w:rPr>
        <w:t>The Government recognises that common</w:t>
      </w:r>
      <w:r w:rsidR="00FD71EA">
        <w:rPr>
          <w:rFonts w:cs="Arial"/>
        </w:rPr>
        <w:t xml:space="preserve"> land</w:t>
      </w:r>
      <w:r w:rsidRPr="00973BFE">
        <w:rPr>
          <w:rFonts w:cs="Arial"/>
        </w:rPr>
        <w:t xml:space="preserve"> frequently provide</w:t>
      </w:r>
      <w:r w:rsidR="00FD71EA">
        <w:rPr>
          <w:rFonts w:cs="Arial"/>
        </w:rPr>
        <w:t>s</w:t>
      </w:r>
      <w:r w:rsidRPr="00973BFE">
        <w:rPr>
          <w:rFonts w:cs="Arial"/>
        </w:rPr>
        <w:t xml:space="preserve"> some of the richest opportunities for the provision of environmental public goods. To support the development of the ELM scheme, we are working with a</w:t>
      </w:r>
      <w:r w:rsidR="00FD71EA">
        <w:rPr>
          <w:rFonts w:cs="Arial"/>
        </w:rPr>
        <w:t xml:space="preserve"> diverse</w:t>
      </w:r>
      <w:r w:rsidRPr="00973BFE">
        <w:rPr>
          <w:rFonts w:cs="Arial"/>
        </w:rPr>
        <w:t xml:space="preserve"> </w:t>
      </w:r>
      <w:r w:rsidR="00FD71EA">
        <w:rPr>
          <w:rFonts w:cs="Arial"/>
        </w:rPr>
        <w:t>group</w:t>
      </w:r>
      <w:r w:rsidRPr="00973BFE">
        <w:rPr>
          <w:rFonts w:cs="Arial"/>
        </w:rPr>
        <w:t xml:space="preserve"> of stakeholders to undertake a number of tests and trials across a range of geographies and sectors. </w:t>
      </w:r>
      <w:r w:rsidR="00FD71EA">
        <w:rPr>
          <w:rFonts w:cs="Arial"/>
        </w:rPr>
        <w:t>We will ensure that we work with those who farm or manage common land throughout this process.  A</w:t>
      </w:r>
      <w:r w:rsidRPr="00973BFE">
        <w:rPr>
          <w:rFonts w:cs="Arial"/>
        </w:rPr>
        <w:t>s part of the planned 3</w:t>
      </w:r>
      <w:r w:rsidR="00FD71EA">
        <w:rPr>
          <w:rFonts w:cs="Arial"/>
        </w:rPr>
        <w:t>-</w:t>
      </w:r>
      <w:r w:rsidRPr="00973BFE">
        <w:rPr>
          <w:rFonts w:cs="Arial"/>
        </w:rPr>
        <w:t>year pilot of ELM we will ensur</w:t>
      </w:r>
      <w:r w:rsidR="00FD71EA">
        <w:rPr>
          <w:rFonts w:cs="Arial"/>
        </w:rPr>
        <w:t>e</w:t>
      </w:r>
      <w:r w:rsidRPr="00973BFE">
        <w:rPr>
          <w:rFonts w:cs="Arial"/>
        </w:rPr>
        <w:t xml:space="preserve"> that</w:t>
      </w:r>
      <w:r w:rsidR="00FD71EA">
        <w:rPr>
          <w:rFonts w:cs="Arial"/>
        </w:rPr>
        <w:t xml:space="preserve"> Commoners are able to participate in ELM and fulfil the Government’s ambition to ‘provide public money for public goods.’</w:t>
      </w:r>
    </w:p>
    <w:p w14:paraId="7523F1B8" w14:textId="77777777" w:rsidR="00FD71EA" w:rsidRDefault="00FD71EA" w:rsidP="00AE4DD6">
      <w:pPr>
        <w:spacing w:before="0" w:after="0" w:line="240" w:lineRule="auto"/>
        <w:jc w:val="both"/>
        <w:rPr>
          <w:rFonts w:cs="Arial"/>
        </w:rPr>
      </w:pPr>
    </w:p>
    <w:p w14:paraId="0286BB5B" w14:textId="6BB5B51F" w:rsidR="00E5272A" w:rsidRDefault="00973BFE" w:rsidP="00AE4DD6">
      <w:pPr>
        <w:spacing w:before="0" w:after="0" w:line="240" w:lineRule="auto"/>
        <w:jc w:val="both"/>
        <w:rPr>
          <w:rFonts w:cs="Arial"/>
        </w:rPr>
      </w:pPr>
      <w:r w:rsidRPr="00973BFE">
        <w:rPr>
          <w:rFonts w:cs="Arial"/>
        </w:rPr>
        <w:t>Ongoing consultation with stakeholders is taking place in a variety of ways</w:t>
      </w:r>
      <w:r w:rsidR="00FD71EA">
        <w:rPr>
          <w:rFonts w:cs="Arial"/>
        </w:rPr>
        <w:t>.</w:t>
      </w:r>
      <w:r w:rsidRPr="00973BFE">
        <w:rPr>
          <w:rFonts w:cs="Arial"/>
        </w:rPr>
        <w:t xml:space="preserve"> </w:t>
      </w:r>
      <w:r w:rsidR="00FD71EA">
        <w:rPr>
          <w:rFonts w:cs="Arial"/>
        </w:rPr>
        <w:t>In the next year, Defra officials</w:t>
      </w:r>
      <w:r w:rsidRPr="00973BFE">
        <w:rPr>
          <w:rFonts w:cs="Arial"/>
        </w:rPr>
        <w:t xml:space="preserve"> are planning to </w:t>
      </w:r>
      <w:r w:rsidR="007B0732">
        <w:rPr>
          <w:rFonts w:cs="Arial"/>
        </w:rPr>
        <w:t>meet with the</w:t>
      </w:r>
      <w:r w:rsidRPr="00973BFE">
        <w:rPr>
          <w:rFonts w:cs="Arial"/>
        </w:rPr>
        <w:t xml:space="preserve"> National Common Land Stakeholder Group </w:t>
      </w:r>
      <w:r w:rsidR="00FD71EA">
        <w:rPr>
          <w:rFonts w:cs="Arial"/>
        </w:rPr>
        <w:t xml:space="preserve">and </w:t>
      </w:r>
      <w:r w:rsidR="007B0732">
        <w:rPr>
          <w:rFonts w:cs="Arial"/>
        </w:rPr>
        <w:t xml:space="preserve">in the summer will hold a deep dive event with commons stakeholders. </w:t>
      </w:r>
      <w:r w:rsidRPr="00973BFE">
        <w:rPr>
          <w:rFonts w:cs="Arial"/>
        </w:rPr>
        <w:t xml:space="preserve">Through this engagement, we </w:t>
      </w:r>
      <w:r w:rsidR="00D564BE">
        <w:rPr>
          <w:rFonts w:cs="Arial"/>
        </w:rPr>
        <w:t>will ensure that Commoners are able to realise the benefits of ELM.</w:t>
      </w:r>
    </w:p>
    <w:p w14:paraId="34F25B3A" w14:textId="50A28860" w:rsidR="00D564BE" w:rsidRDefault="00D564BE" w:rsidP="00AE4DD6">
      <w:pPr>
        <w:spacing w:before="0" w:after="0" w:line="240" w:lineRule="auto"/>
        <w:jc w:val="both"/>
        <w:rPr>
          <w:rFonts w:cs="Arial"/>
        </w:rPr>
      </w:pPr>
    </w:p>
    <w:p w14:paraId="0656AF95" w14:textId="5D1C90BF" w:rsidR="00D564BE" w:rsidRPr="00B439E1" w:rsidRDefault="00D564BE" w:rsidP="00AE4DD6">
      <w:pPr>
        <w:spacing w:before="0" w:after="0" w:line="240" w:lineRule="auto"/>
        <w:jc w:val="both"/>
        <w:rPr>
          <w:rFonts w:cs="Arial"/>
        </w:rPr>
      </w:pPr>
      <w:r>
        <w:rPr>
          <w:rFonts w:cs="Arial"/>
        </w:rPr>
        <w:t>Turning to the points you made on the second day of the Report debate, Lady Bloomfield said she would write to you about the Farming Recovery Fund.</w:t>
      </w:r>
    </w:p>
    <w:p w14:paraId="05CE48AF" w14:textId="77777777" w:rsidR="00E5272A" w:rsidRPr="00B439E1" w:rsidRDefault="000E0023" w:rsidP="00F64465">
      <w:pPr>
        <w:spacing w:before="0" w:after="0" w:line="240" w:lineRule="auto"/>
        <w:rPr>
          <w:rFonts w:cs="Arial"/>
        </w:rPr>
      </w:pPr>
    </w:p>
    <w:p w14:paraId="314F6AA2" w14:textId="77777777" w:rsidR="00D564BE" w:rsidRDefault="00D564BE" w:rsidP="00D564BE">
      <w:pPr>
        <w:spacing w:before="0" w:after="0" w:line="240" w:lineRule="auto"/>
        <w:jc w:val="both"/>
        <w:rPr>
          <w:bCs/>
        </w:rPr>
      </w:pPr>
      <w:r>
        <w:rPr>
          <w:bCs/>
        </w:rPr>
        <w:t>We recognise that many communities, including farmers, were affected by the wet weather conditions during the autumn and winter of 2019/20, with high rainfall falling on already saturated land.  The Farming Recovery Fund established under section 98 of the Natural Environment and Rural Communities Act, provided support to farmers for uninsurable losses when there was exceptional flooding of their agricultural land.</w:t>
      </w:r>
    </w:p>
    <w:p w14:paraId="4EBA9DF8" w14:textId="77777777" w:rsidR="00D564BE" w:rsidRDefault="00D564BE" w:rsidP="00D564BE">
      <w:pPr>
        <w:spacing w:before="0" w:after="0" w:line="240" w:lineRule="auto"/>
        <w:jc w:val="both"/>
        <w:rPr>
          <w:bCs/>
        </w:rPr>
      </w:pPr>
    </w:p>
    <w:p w14:paraId="684B1A1E" w14:textId="77777777" w:rsidR="00D564BE" w:rsidRDefault="00D564BE" w:rsidP="00D564BE">
      <w:pPr>
        <w:spacing w:before="0" w:after="0" w:line="240" w:lineRule="auto"/>
        <w:jc w:val="both"/>
        <w:rPr>
          <w:bCs/>
        </w:rPr>
      </w:pPr>
      <w:r>
        <w:rPr>
          <w:bCs/>
        </w:rPr>
        <w:t xml:space="preserve">We have opened the Farming Recovery Fund 3 times across 2019 and 2020, starting with the flash flooding in Yorkshire Dales in July 2019.  We received 310 applications by the </w:t>
      </w:r>
      <w:r>
        <w:rPr>
          <w:bCs/>
        </w:rPr>
        <w:lastRenderedPageBreak/>
        <w:t xml:space="preserve">closing date for the final round of 1st September 2020 and have approved 193 applications with a value of £1.23m with a further 59 being appraised, at a value of £884,000.  Across the whole scheme the average payment is currently around £6,411 per application. </w:t>
      </w:r>
    </w:p>
    <w:p w14:paraId="2435E7BD" w14:textId="77777777" w:rsidR="00D564BE" w:rsidRDefault="00D564BE" w:rsidP="00D564BE">
      <w:pPr>
        <w:spacing w:before="0" w:after="0" w:line="240" w:lineRule="auto"/>
        <w:jc w:val="both"/>
        <w:rPr>
          <w:bCs/>
        </w:rPr>
      </w:pPr>
    </w:p>
    <w:p w14:paraId="4307F448" w14:textId="77777777" w:rsidR="00D564BE" w:rsidRDefault="00D564BE" w:rsidP="00D564BE">
      <w:pPr>
        <w:spacing w:before="0" w:after="0" w:line="240" w:lineRule="auto"/>
        <w:jc w:val="both"/>
        <w:rPr>
          <w:bCs/>
        </w:rPr>
      </w:pPr>
      <w:r>
        <w:rPr>
          <w:bCs/>
        </w:rPr>
        <w:t>For each iteration of the Farming Recovery Fund we review the evidence and ensure the available funding is focused where it is most needed, setting eligibility conditions accordingly.  The Fund only targets areas where there is unexpected or exceptional flooding and as a result a ‘natural disaster’ has been declared.</w:t>
      </w:r>
    </w:p>
    <w:p w14:paraId="233357F5" w14:textId="77777777" w:rsidR="00D564BE" w:rsidRDefault="00D564BE" w:rsidP="00D564BE">
      <w:pPr>
        <w:spacing w:before="0" w:after="0" w:line="240" w:lineRule="auto"/>
        <w:jc w:val="both"/>
        <w:rPr>
          <w:bCs/>
        </w:rPr>
      </w:pPr>
    </w:p>
    <w:p w14:paraId="03C217C4" w14:textId="77777777" w:rsidR="00D564BE" w:rsidRDefault="00D564BE" w:rsidP="00D564BE">
      <w:pPr>
        <w:spacing w:before="0" w:after="0" w:line="240" w:lineRule="auto"/>
        <w:jc w:val="both"/>
        <w:rPr>
          <w:b/>
          <w:bCs/>
        </w:rPr>
      </w:pPr>
      <w:r>
        <w:rPr>
          <w:b/>
          <w:bCs/>
        </w:rPr>
        <w:t>Future flood policy</w:t>
      </w:r>
    </w:p>
    <w:p w14:paraId="481671CD" w14:textId="77777777" w:rsidR="00D564BE" w:rsidRDefault="00D564BE" w:rsidP="00D564BE">
      <w:pPr>
        <w:spacing w:before="0" w:after="0" w:line="240" w:lineRule="auto"/>
        <w:jc w:val="both"/>
        <w:rPr>
          <w:bCs/>
        </w:rPr>
      </w:pPr>
    </w:p>
    <w:p w14:paraId="201896C6" w14:textId="77777777" w:rsidR="00D564BE" w:rsidRDefault="00D564BE" w:rsidP="00D564BE">
      <w:pPr>
        <w:spacing w:before="0" w:after="0" w:line="240" w:lineRule="auto"/>
        <w:jc w:val="both"/>
        <w:rPr>
          <w:bCs/>
        </w:rPr>
      </w:pPr>
      <w:r>
        <w:rPr>
          <w:bCs/>
        </w:rPr>
        <w:t xml:space="preserve">We believe that farmers have an important role to play in being aware of the risks they face, improving both their own flood resilience and supporting others by providing and supporting flood risk mitigation measures.  </w:t>
      </w:r>
    </w:p>
    <w:p w14:paraId="6A5CE07A" w14:textId="77777777" w:rsidR="00D564BE" w:rsidRDefault="00D564BE" w:rsidP="00D564BE">
      <w:pPr>
        <w:spacing w:before="0" w:after="0" w:line="240" w:lineRule="auto"/>
        <w:jc w:val="both"/>
        <w:rPr>
          <w:bCs/>
        </w:rPr>
      </w:pPr>
    </w:p>
    <w:p w14:paraId="081C8B28" w14:textId="43B0A02F" w:rsidR="00D564BE" w:rsidRDefault="00D564BE" w:rsidP="00D564BE">
      <w:pPr>
        <w:spacing w:before="0" w:after="0" w:line="240" w:lineRule="auto"/>
        <w:jc w:val="both"/>
        <w:rPr>
          <w:bCs/>
        </w:rPr>
      </w:pPr>
      <w:r>
        <w:rPr>
          <w:bCs/>
        </w:rPr>
        <w:t>For this reason, we are considering how the future Environmental Land Management scheme, which is the cornerstone of our new agricultural policy and founded on the principle of ‘public money for public goods’, might help support and incentivise the delivery of actions that provide protection from, and mitigation of, environmental hazards, including flooding.</w:t>
      </w:r>
      <w:r w:rsidR="00295BD3">
        <w:rPr>
          <w:bCs/>
        </w:rPr>
        <w:t xml:space="preserve"> </w:t>
      </w:r>
      <w:r w:rsidR="00BF2DB0">
        <w:rPr>
          <w:bCs/>
        </w:rPr>
        <w:t>A</w:t>
      </w:r>
      <w:r w:rsidR="00295BD3">
        <w:rPr>
          <w:bCs/>
        </w:rPr>
        <w:t xml:space="preserve"> copy of this letter </w:t>
      </w:r>
      <w:r w:rsidR="004F3BB7">
        <w:rPr>
          <w:bCs/>
        </w:rPr>
        <w:t xml:space="preserve">will be placed </w:t>
      </w:r>
      <w:bookmarkStart w:id="0" w:name="_GoBack"/>
      <w:bookmarkEnd w:id="0"/>
      <w:r w:rsidR="00295BD3">
        <w:rPr>
          <w:bCs/>
        </w:rPr>
        <w:t>in the House Library.</w:t>
      </w:r>
    </w:p>
    <w:p w14:paraId="55C72503" w14:textId="77777777" w:rsidR="00E5272A" w:rsidRPr="00B439E1" w:rsidRDefault="000E0023" w:rsidP="00F64465">
      <w:pPr>
        <w:spacing w:before="0" w:after="0" w:line="240" w:lineRule="auto"/>
        <w:rPr>
          <w:rFonts w:cs="Arial"/>
        </w:rPr>
      </w:pPr>
    </w:p>
    <w:p w14:paraId="53E3C0D7" w14:textId="766CC328" w:rsidR="00E5272A" w:rsidRPr="00B439E1" w:rsidRDefault="000E0023" w:rsidP="00F64465">
      <w:pPr>
        <w:spacing w:before="0" w:after="0" w:line="240" w:lineRule="auto"/>
        <w:rPr>
          <w:rFonts w:cs="Arial"/>
        </w:rPr>
      </w:pPr>
    </w:p>
    <w:p w14:paraId="6369E413" w14:textId="4587D7C2" w:rsidR="00CE2D45" w:rsidRPr="00B439E1" w:rsidRDefault="00D564BE" w:rsidP="0046088C">
      <w:pPr>
        <w:spacing w:before="0" w:after="0" w:line="240" w:lineRule="auto"/>
        <w:ind w:left="-142"/>
        <w:rPr>
          <w:rFonts w:cs="Arial"/>
        </w:rPr>
      </w:pPr>
      <w:r>
        <w:rPr>
          <w:noProof/>
        </w:rPr>
        <w:drawing>
          <wp:anchor distT="0" distB="0" distL="114300" distR="114300" simplePos="0" relativeHeight="251658240" behindDoc="1" locked="0" layoutInCell="1" allowOverlap="1" wp14:anchorId="5DA0D95B" wp14:editId="158C8DD5">
            <wp:simplePos x="0" y="0"/>
            <wp:positionH relativeFrom="column">
              <wp:posOffset>1975485</wp:posOffset>
            </wp:positionH>
            <wp:positionV relativeFrom="paragraph">
              <wp:posOffset>9525</wp:posOffset>
            </wp:positionV>
            <wp:extent cx="2371725" cy="1329055"/>
            <wp:effectExtent l="0" t="0" r="9525" b="4445"/>
            <wp:wrapTight wrapText="bothSides">
              <wp:wrapPolygon edited="0">
                <wp:start x="0" y="0"/>
                <wp:lineTo x="0" y="21363"/>
                <wp:lineTo x="21513" y="21363"/>
                <wp:lineTo x="215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1329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5FA349" w14:textId="77777777" w:rsidR="008019E7" w:rsidRPr="00B439E1" w:rsidRDefault="000E0023" w:rsidP="0046088C">
      <w:pPr>
        <w:spacing w:before="0" w:after="0" w:line="240" w:lineRule="auto"/>
        <w:ind w:left="-142"/>
        <w:rPr>
          <w:rFonts w:cs="Arial"/>
        </w:rPr>
      </w:pPr>
    </w:p>
    <w:p w14:paraId="2008276D" w14:textId="77777777" w:rsidR="008019E7" w:rsidRPr="00B439E1" w:rsidRDefault="000E0023" w:rsidP="0046088C">
      <w:pPr>
        <w:spacing w:before="0" w:after="0" w:line="240" w:lineRule="auto"/>
        <w:ind w:left="-142"/>
        <w:rPr>
          <w:rFonts w:cs="Arial"/>
        </w:rPr>
      </w:pPr>
    </w:p>
    <w:p w14:paraId="73DD3678" w14:textId="77777777" w:rsidR="008019E7" w:rsidRPr="00B439E1" w:rsidRDefault="000E0023" w:rsidP="0046088C">
      <w:pPr>
        <w:spacing w:before="0" w:after="0" w:line="240" w:lineRule="auto"/>
        <w:ind w:left="-142"/>
        <w:rPr>
          <w:rFonts w:cs="Arial"/>
        </w:rPr>
      </w:pPr>
    </w:p>
    <w:p w14:paraId="087F8A71" w14:textId="77777777" w:rsidR="008019E7" w:rsidRPr="00B439E1" w:rsidRDefault="000E0023" w:rsidP="0046088C">
      <w:pPr>
        <w:spacing w:before="0" w:after="0" w:line="240" w:lineRule="auto"/>
        <w:ind w:left="-142"/>
        <w:rPr>
          <w:rFonts w:cs="Arial"/>
        </w:rPr>
      </w:pPr>
    </w:p>
    <w:p w14:paraId="1FEEB372" w14:textId="77777777" w:rsidR="008019E7" w:rsidRPr="00B439E1" w:rsidRDefault="000E0023" w:rsidP="0046088C">
      <w:pPr>
        <w:spacing w:before="0" w:after="0" w:line="240" w:lineRule="auto"/>
        <w:ind w:left="-142"/>
        <w:rPr>
          <w:rFonts w:cs="Arial"/>
        </w:rPr>
      </w:pPr>
    </w:p>
    <w:sectPr w:rsidR="008019E7" w:rsidRPr="00B439E1" w:rsidSect="004D5D2B">
      <w:footerReference w:type="default" r:id="rId13"/>
      <w:headerReference w:type="first" r:id="rId14"/>
      <w:footerReference w:type="first" r:id="rId15"/>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F5634" w14:textId="77777777" w:rsidR="000235AC" w:rsidRDefault="000235AC">
      <w:pPr>
        <w:spacing w:before="0" w:after="0" w:line="240" w:lineRule="auto"/>
      </w:pPr>
      <w:r>
        <w:separator/>
      </w:r>
    </w:p>
  </w:endnote>
  <w:endnote w:type="continuationSeparator" w:id="0">
    <w:p w14:paraId="618AC5F5" w14:textId="77777777" w:rsidR="000235AC" w:rsidRDefault="000235A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736CD" w14:textId="77777777" w:rsidR="00B40CFB" w:rsidRPr="00EF7E2A" w:rsidRDefault="00494F27" w:rsidP="00D8237F">
    <w:pPr>
      <w:pStyle w:val="Footer"/>
      <w:tabs>
        <w:tab w:val="clear" w:pos="4513"/>
        <w:tab w:val="clear" w:pos="9026"/>
        <w:tab w:val="center" w:pos="4820"/>
        <w:tab w:val="right" w:pos="9639"/>
      </w:tabs>
      <w:spacing w:before="0" w:after="0" w:line="240" w:lineRule="auto"/>
      <w:jc w:val="right"/>
      <w:rPr>
        <w:sz w:val="20"/>
        <w:szCs w:val="20"/>
      </w:rPr>
    </w:pPr>
    <w:r>
      <w:rPr>
        <w:noProof/>
        <w:sz w:val="20"/>
        <w:szCs w:val="20"/>
        <w:lang w:eastAsia="en-GB"/>
      </w:rPr>
      <w:drawing>
        <wp:anchor distT="0" distB="0" distL="114300" distR="114300" simplePos="0" relativeHeight="251658240" behindDoc="0" locked="1" layoutInCell="0" allowOverlap="1" wp14:anchorId="17544E47" wp14:editId="184BB1C4">
          <wp:simplePos x="0" y="0"/>
          <wp:positionH relativeFrom="margin">
            <wp:posOffset>6021070</wp:posOffset>
          </wp:positionH>
          <wp:positionV relativeFrom="page">
            <wp:posOffset>10109200</wp:posOffset>
          </wp:positionV>
          <wp:extent cx="448945" cy="359410"/>
          <wp:effectExtent l="0" t="0" r="8255" b="2540"/>
          <wp:wrapNone/>
          <wp:docPr id="1" name="Picture 1" descr="disabled550x439x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led550x439x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 cy="3594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9C636" w14:textId="77777777" w:rsidR="003303AE" w:rsidRDefault="00494F27">
    <w:pPr>
      <w:pStyle w:val="Footer"/>
    </w:pPr>
    <w:r>
      <w:rPr>
        <w:noProof/>
        <w:lang w:eastAsia="en-GB"/>
      </w:rPr>
      <w:drawing>
        <wp:anchor distT="0" distB="0" distL="114300" distR="114300" simplePos="0" relativeHeight="251659264" behindDoc="0" locked="1" layoutInCell="0" allowOverlap="1" wp14:anchorId="2AEF79FB" wp14:editId="40275A7D">
          <wp:simplePos x="0" y="0"/>
          <wp:positionH relativeFrom="margin">
            <wp:posOffset>5765800</wp:posOffset>
          </wp:positionH>
          <wp:positionV relativeFrom="page">
            <wp:posOffset>9970770</wp:posOffset>
          </wp:positionV>
          <wp:extent cx="448945" cy="359410"/>
          <wp:effectExtent l="0" t="0" r="8255" b="2540"/>
          <wp:wrapNone/>
          <wp:docPr id="2" name="Picture 1" descr="disabled550x439x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led550x439x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 cy="3594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5F304" w14:textId="77777777" w:rsidR="000235AC" w:rsidRDefault="000235AC">
      <w:pPr>
        <w:spacing w:before="0" w:after="0" w:line="240" w:lineRule="auto"/>
      </w:pPr>
      <w:r>
        <w:separator/>
      </w:r>
    </w:p>
  </w:footnote>
  <w:footnote w:type="continuationSeparator" w:id="0">
    <w:p w14:paraId="72389B6B" w14:textId="77777777" w:rsidR="000235AC" w:rsidRDefault="000235A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541C8" w14:textId="77777777" w:rsidR="007513F3" w:rsidRDefault="000E0023" w:rsidP="004D26C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1E2"/>
    <w:rsid w:val="000235AC"/>
    <w:rsid w:val="00065E20"/>
    <w:rsid w:val="000F35A2"/>
    <w:rsid w:val="001B558E"/>
    <w:rsid w:val="001C4D23"/>
    <w:rsid w:val="001D138D"/>
    <w:rsid w:val="002811E6"/>
    <w:rsid w:val="0028212C"/>
    <w:rsid w:val="00295BD3"/>
    <w:rsid w:val="003173E5"/>
    <w:rsid w:val="00401F6D"/>
    <w:rsid w:val="004837FE"/>
    <w:rsid w:val="00494F27"/>
    <w:rsid w:val="004C2A48"/>
    <w:rsid w:val="004E0306"/>
    <w:rsid w:val="004F3BB7"/>
    <w:rsid w:val="00535B82"/>
    <w:rsid w:val="00563540"/>
    <w:rsid w:val="00780880"/>
    <w:rsid w:val="007B0732"/>
    <w:rsid w:val="008071E2"/>
    <w:rsid w:val="00843022"/>
    <w:rsid w:val="00895900"/>
    <w:rsid w:val="00943967"/>
    <w:rsid w:val="00973BFE"/>
    <w:rsid w:val="00AA75FB"/>
    <w:rsid w:val="00AE4055"/>
    <w:rsid w:val="00AE4DD6"/>
    <w:rsid w:val="00B95F8D"/>
    <w:rsid w:val="00BF2DB0"/>
    <w:rsid w:val="00C27AB8"/>
    <w:rsid w:val="00C90B04"/>
    <w:rsid w:val="00D564BE"/>
    <w:rsid w:val="00D85C2A"/>
    <w:rsid w:val="00E331CF"/>
    <w:rsid w:val="00E35719"/>
    <w:rsid w:val="00FD7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927950"/>
  <w15:docId w15:val="{4E0213F3-E936-4030-850D-3B6404C5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unhideWhenUsed/>
    <w:qFormat/>
    <w:rsid w:val="00E225B6"/>
    <w:pPr>
      <w:spacing w:before="120" w:after="240" w:line="276" w:lineRule="auto"/>
    </w:pPr>
    <w:rPr>
      <w:sz w:val="24"/>
      <w:szCs w:val="22"/>
      <w:lang w:eastAsia="en-US"/>
    </w:rPr>
  </w:style>
  <w:style w:type="paragraph" w:styleId="Heading1">
    <w:name w:val="heading 1"/>
    <w:basedOn w:val="Normal"/>
    <w:next w:val="Normal"/>
    <w:link w:val="Heading1Char"/>
    <w:uiPriority w:val="9"/>
    <w:unhideWhenUsed/>
    <w:qFormat/>
    <w:locked/>
    <w:rsid w:val="00AA75FB"/>
    <w:pPr>
      <w:keepNext/>
      <w:keepLines/>
      <w:spacing w:before="480" w:after="120" w:line="240" w:lineRule="auto"/>
      <w:outlineLvl w:val="0"/>
    </w:pPr>
    <w:rPr>
      <w:rFonts w:eastAsia="Times New Roman"/>
      <w:b/>
      <w:bCs/>
      <w:color w:val="00B050"/>
      <w:sz w:val="44"/>
      <w:szCs w:val="28"/>
    </w:rPr>
  </w:style>
  <w:style w:type="paragraph" w:styleId="Heading2">
    <w:name w:val="heading 2"/>
    <w:basedOn w:val="Normal"/>
    <w:next w:val="Normal"/>
    <w:link w:val="Heading2Char"/>
    <w:uiPriority w:val="9"/>
    <w:unhideWhenUsed/>
    <w:qFormat/>
    <w:locked/>
    <w:rsid w:val="00AA75FB"/>
    <w:pPr>
      <w:keepNext/>
      <w:keepLines/>
      <w:spacing w:before="480" w:after="120" w:line="240" w:lineRule="auto"/>
      <w:outlineLvl w:val="1"/>
    </w:pPr>
    <w:rPr>
      <w:rFonts w:eastAsia="Times New Roman"/>
      <w:b/>
      <w:bCs/>
      <w:color w:val="00B050"/>
      <w:sz w:val="36"/>
      <w:szCs w:val="26"/>
    </w:rPr>
  </w:style>
  <w:style w:type="paragraph" w:styleId="Heading3">
    <w:name w:val="heading 3"/>
    <w:basedOn w:val="Normal"/>
    <w:next w:val="Normal"/>
    <w:link w:val="Heading3Char"/>
    <w:uiPriority w:val="9"/>
    <w:unhideWhenUsed/>
    <w:qFormat/>
    <w:locked/>
    <w:rsid w:val="00AA75FB"/>
    <w:pPr>
      <w:keepNext/>
      <w:keepLines/>
      <w:spacing w:before="360" w:after="0" w:line="240" w:lineRule="auto"/>
      <w:outlineLvl w:val="2"/>
    </w:pPr>
    <w:rPr>
      <w:rFonts w:eastAsia="Times New Roman"/>
      <w:b/>
      <w:bCs/>
      <w:color w:val="00B050"/>
      <w:sz w:val="28"/>
    </w:rPr>
  </w:style>
  <w:style w:type="paragraph" w:styleId="Heading4">
    <w:name w:val="heading 4"/>
    <w:basedOn w:val="Normal"/>
    <w:next w:val="Normal"/>
    <w:link w:val="Heading4Char"/>
    <w:uiPriority w:val="9"/>
    <w:unhideWhenUsed/>
    <w:locked/>
    <w:rsid w:val="005E6B7E"/>
    <w:pPr>
      <w:keepNext/>
      <w:keepLines/>
      <w:spacing w:before="200" w:after="0"/>
      <w:outlineLvl w:val="3"/>
    </w:pPr>
    <w:rPr>
      <w:rFonts w:ascii="Cambria" w:eastAsia="Times New Roman" w:hAnsi="Cambria"/>
      <w:b/>
      <w:bCs/>
      <w:i/>
      <w:iCs/>
      <w:color w:val="4F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A75FB"/>
    <w:rPr>
      <w:rFonts w:eastAsia="Times New Roman"/>
      <w:b/>
      <w:bCs/>
      <w:color w:val="00B050"/>
      <w:sz w:val="44"/>
      <w:szCs w:val="28"/>
      <w:lang w:eastAsia="en-US"/>
    </w:rPr>
  </w:style>
  <w:style w:type="character" w:customStyle="1" w:styleId="Heading2Char">
    <w:name w:val="Heading 2 Char"/>
    <w:link w:val="Heading2"/>
    <w:uiPriority w:val="9"/>
    <w:rsid w:val="00AA75FB"/>
    <w:rPr>
      <w:rFonts w:eastAsia="Times New Roman"/>
      <w:b/>
      <w:bCs/>
      <w:color w:val="00B050"/>
      <w:sz w:val="36"/>
      <w:szCs w:val="26"/>
      <w:lang w:eastAsia="en-US"/>
    </w:rPr>
  </w:style>
  <w:style w:type="character" w:customStyle="1" w:styleId="Heading3Char">
    <w:name w:val="Heading 3 Char"/>
    <w:link w:val="Heading3"/>
    <w:uiPriority w:val="9"/>
    <w:rsid w:val="00AA75FB"/>
    <w:rPr>
      <w:rFonts w:eastAsia="Times New Roman"/>
      <w:b/>
      <w:bCs/>
      <w:color w:val="00B050"/>
      <w:sz w:val="28"/>
      <w:szCs w:val="22"/>
      <w:lang w:eastAsia="en-US"/>
    </w:rPr>
  </w:style>
  <w:style w:type="character" w:customStyle="1" w:styleId="Heading4Char">
    <w:name w:val="Heading 4 Char"/>
    <w:link w:val="Heading4"/>
    <w:uiPriority w:val="9"/>
    <w:rsid w:val="005E6B7E"/>
    <w:rPr>
      <w:rFonts w:ascii="Cambria" w:eastAsia="Times New Roman" w:hAnsi="Cambria" w:cs="Times New Roman"/>
      <w:b/>
      <w:bCs/>
      <w:i/>
      <w:iCs/>
      <w:color w:val="4F81BD"/>
      <w:sz w:val="24"/>
    </w:rPr>
  </w:style>
  <w:style w:type="paragraph" w:customStyle="1" w:styleId="Contents">
    <w:name w:val="Contents"/>
    <w:basedOn w:val="Normal"/>
    <w:rsid w:val="003C06F9"/>
    <w:pPr>
      <w:spacing w:before="0" w:after="120"/>
    </w:pPr>
    <w:rPr>
      <w:b/>
      <w:color w:val="8B8D09"/>
      <w:sz w:val="28"/>
    </w:rPr>
  </w:style>
  <w:style w:type="paragraph" w:styleId="BalloonText">
    <w:name w:val="Balloon Text"/>
    <w:basedOn w:val="Normal"/>
    <w:link w:val="BalloonTextChar"/>
    <w:uiPriority w:val="99"/>
    <w:semiHidden/>
    <w:unhideWhenUsed/>
    <w:locked/>
    <w:rsid w:val="005E6B7E"/>
    <w:pPr>
      <w:spacing w:before="0" w:after="0"/>
    </w:pPr>
    <w:rPr>
      <w:rFonts w:ascii="Tahoma" w:hAnsi="Tahoma"/>
      <w:sz w:val="16"/>
      <w:szCs w:val="16"/>
    </w:rPr>
  </w:style>
  <w:style w:type="character" w:customStyle="1" w:styleId="BalloonTextChar">
    <w:name w:val="Balloon Text Char"/>
    <w:link w:val="BalloonText"/>
    <w:uiPriority w:val="99"/>
    <w:semiHidden/>
    <w:rsid w:val="005E6B7E"/>
    <w:rPr>
      <w:rFonts w:ascii="Tahoma" w:hAnsi="Tahoma" w:cs="Tahoma"/>
      <w:sz w:val="16"/>
      <w:szCs w:val="16"/>
    </w:rPr>
  </w:style>
  <w:style w:type="character" w:styleId="Hyperlink">
    <w:name w:val="Hyperlink"/>
    <w:uiPriority w:val="99"/>
    <w:locked/>
    <w:rsid w:val="00241F9E"/>
    <w:rPr>
      <w:color w:val="0000FF"/>
      <w:u w:val="single"/>
    </w:rPr>
  </w:style>
  <w:style w:type="paragraph" w:styleId="TOCHeading">
    <w:name w:val="TOC Heading"/>
    <w:basedOn w:val="Heading1"/>
    <w:next w:val="Normal"/>
    <w:uiPriority w:val="39"/>
    <w:semiHidden/>
    <w:unhideWhenUsed/>
    <w:qFormat/>
    <w:locked/>
    <w:rsid w:val="00316023"/>
    <w:pPr>
      <w:spacing w:after="0" w:line="276" w:lineRule="auto"/>
      <w:outlineLvl w:val="9"/>
    </w:pPr>
    <w:rPr>
      <w:rFonts w:ascii="Cambria" w:hAnsi="Cambria"/>
      <w:color w:val="365F91"/>
      <w:sz w:val="28"/>
      <w:lang w:val="en-US"/>
    </w:rPr>
  </w:style>
  <w:style w:type="paragraph" w:styleId="TOC3">
    <w:name w:val="toc 3"/>
    <w:basedOn w:val="Normal"/>
    <w:next w:val="Normal"/>
    <w:autoRedefine/>
    <w:uiPriority w:val="39"/>
    <w:unhideWhenUsed/>
    <w:locked/>
    <w:rsid w:val="00316023"/>
    <w:pPr>
      <w:ind w:left="480"/>
    </w:pPr>
  </w:style>
  <w:style w:type="paragraph" w:styleId="TOC1">
    <w:name w:val="toc 1"/>
    <w:basedOn w:val="Normal"/>
    <w:next w:val="Normal"/>
    <w:autoRedefine/>
    <w:uiPriority w:val="39"/>
    <w:unhideWhenUsed/>
    <w:locked/>
    <w:rsid w:val="00316023"/>
  </w:style>
  <w:style w:type="paragraph" w:styleId="Header">
    <w:name w:val="header"/>
    <w:basedOn w:val="Normal"/>
    <w:link w:val="HeaderChar"/>
    <w:uiPriority w:val="99"/>
    <w:unhideWhenUsed/>
    <w:locked/>
    <w:rsid w:val="00EF7E2A"/>
    <w:pPr>
      <w:tabs>
        <w:tab w:val="center" w:pos="4513"/>
        <w:tab w:val="right" w:pos="9026"/>
      </w:tabs>
    </w:pPr>
  </w:style>
  <w:style w:type="character" w:customStyle="1" w:styleId="HeaderChar">
    <w:name w:val="Header Char"/>
    <w:link w:val="Header"/>
    <w:uiPriority w:val="99"/>
    <w:rsid w:val="00EF7E2A"/>
    <w:rPr>
      <w:sz w:val="24"/>
      <w:szCs w:val="22"/>
      <w:lang w:eastAsia="en-US"/>
    </w:rPr>
  </w:style>
  <w:style w:type="paragraph" w:styleId="Footer">
    <w:name w:val="footer"/>
    <w:basedOn w:val="Normal"/>
    <w:link w:val="FooterChar"/>
    <w:uiPriority w:val="99"/>
    <w:unhideWhenUsed/>
    <w:locked/>
    <w:rsid w:val="00EF7E2A"/>
    <w:pPr>
      <w:tabs>
        <w:tab w:val="center" w:pos="4513"/>
        <w:tab w:val="right" w:pos="9026"/>
      </w:tabs>
    </w:pPr>
  </w:style>
  <w:style w:type="character" w:customStyle="1" w:styleId="FooterChar">
    <w:name w:val="Footer Char"/>
    <w:link w:val="Footer"/>
    <w:uiPriority w:val="99"/>
    <w:rsid w:val="00EF7E2A"/>
    <w:rPr>
      <w:sz w:val="24"/>
      <w:szCs w:val="22"/>
      <w:lang w:eastAsia="en-US"/>
    </w:rPr>
  </w:style>
  <w:style w:type="table" w:styleId="TableGrid">
    <w:name w:val="Table Grid"/>
    <w:basedOn w:val="TableNormal"/>
    <w:uiPriority w:val="59"/>
    <w:locked/>
    <w:rsid w:val="00831CC7"/>
    <w:tblPr/>
  </w:style>
  <w:style w:type="table" w:customStyle="1" w:styleId="Fruit1">
    <w:name w:val="Fruit1"/>
    <w:basedOn w:val="TableNormal"/>
    <w:uiPriority w:val="99"/>
    <w:qFormat/>
    <w:rsid w:val="00612791"/>
    <w:tblPr/>
  </w:style>
  <w:style w:type="table" w:customStyle="1" w:styleId="Fruit2">
    <w:name w:val="Fruit2"/>
    <w:basedOn w:val="Fruit1"/>
    <w:uiPriority w:val="99"/>
    <w:qFormat/>
    <w:rsid w:val="00CA2987"/>
    <w:tblPr/>
  </w:style>
  <w:style w:type="character" w:customStyle="1" w:styleId="TableTextCharChar">
    <w:name w:val="Table Text Char Char"/>
    <w:link w:val="TableText"/>
    <w:rsid w:val="009C6F90"/>
    <w:rPr>
      <w:sz w:val="22"/>
      <w:szCs w:val="22"/>
      <w:lang w:eastAsia="en-US"/>
    </w:rPr>
  </w:style>
  <w:style w:type="paragraph" w:customStyle="1" w:styleId="TableText">
    <w:name w:val="Table Text"/>
    <w:basedOn w:val="Normal"/>
    <w:link w:val="TableTextCharChar"/>
    <w:qFormat/>
    <w:rsid w:val="009C6F90"/>
    <w:pPr>
      <w:spacing w:before="60" w:after="80"/>
    </w:pPr>
    <w:rPr>
      <w:sz w:val="22"/>
    </w:rPr>
  </w:style>
  <w:style w:type="paragraph" w:styleId="TOC2">
    <w:name w:val="toc 2"/>
    <w:basedOn w:val="Normal"/>
    <w:next w:val="Normal"/>
    <w:autoRedefine/>
    <w:uiPriority w:val="39"/>
    <w:unhideWhenUsed/>
    <w:locked/>
    <w:rsid w:val="00860216"/>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754833">
      <w:bodyDiv w:val="1"/>
      <w:marLeft w:val="0"/>
      <w:marRight w:val="0"/>
      <w:marTop w:val="0"/>
      <w:marBottom w:val="0"/>
      <w:divBdr>
        <w:top w:val="none" w:sz="0" w:space="0" w:color="auto"/>
        <w:left w:val="none" w:sz="0" w:space="0" w:color="auto"/>
        <w:bottom w:val="none" w:sz="0" w:space="0" w:color="auto"/>
        <w:right w:val="none" w:sz="0" w:space="0" w:color="auto"/>
      </w:divBdr>
    </w:div>
    <w:div w:id="1807315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fra.helpline@defra.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lc_EmailSentUTC xmlns="41b3ec6c-eebd-4435-b1cb-6f93f025f7d1" xsi:nil="true"/>
    <peb8f3fab875401ca34a9f28cac46400 xmlns="41b3ec6c-eebd-4435-b1cb-6f93f025f7d1">
      <Terms xmlns="http://schemas.microsoft.com/office/infopath/2007/PartnerControls"/>
    </peb8f3fab875401ca34a9f28cac46400>
    <dlc_EmailReceivedUTC xmlns="41b3ec6c-eebd-4435-b1cb-6f93f025f7d1" xsi:nil="true"/>
    <dlc_EmailFrom xmlns="41b3ec6c-eebd-4435-b1cb-6f93f025f7d1" xsi:nil="true"/>
    <dlc_EmailCC xmlns="41b3ec6c-eebd-4435-b1cb-6f93f025f7d1" xsi:nil="true"/>
    <dlc_EmailSubject xmlns="41b3ec6c-eebd-4435-b1cb-6f93f025f7d1" xsi:nil="true"/>
    <TaxCatchAll xmlns="41b3ec6c-eebd-4435-b1cb-6f93f025f7d1"/>
    <dlc_EmailTo xmlns="41b3ec6c-eebd-4435-b1cb-6f93f025f7d1" xsi:nil="true"/>
    <bcb1675984d34ae3a1ed6b6e433c98de xmlns="41b3ec6c-eebd-4435-b1cb-6f93f025f7d1">
      <Terms xmlns="http://schemas.microsoft.com/office/infopath/2007/PartnerControls"/>
    </bcb1675984d34ae3a1ed6b6e433c98de>
  </documentManagement>
</p:properties>
</file>

<file path=customXml/item3.xml><?xml version="1.0" encoding="utf-8"?>
<ct:contentTypeSchema xmlns:ct="http://schemas.microsoft.com/office/2006/metadata/contentType" xmlns:ma="http://schemas.microsoft.com/office/2006/metadata/properties/metaAttributes" ct:_="" ma:_="" ma:contentTypeName="Defra Document" ma:contentTypeID="0x010100672A3FCA98991645BE083C320B7539B70204007F6BA6A9C068BB44887CE971915DC6AA" ma:contentTypeVersion="0" ma:contentTypeDescription="new Document or upload" ma:contentTypeScope="" ma:versionID="d1d50dd1cc1e67caa8a38a48d7db2305">
  <xsd:schema xmlns:xsd="http://www.w3.org/2001/XMLSchema" xmlns:xs="http://www.w3.org/2001/XMLSchema" xmlns:p="http://schemas.microsoft.com/office/2006/metadata/properties" xmlns:ns2="41b3ec6c-eebd-4435-b1cb-6f93f025f7d1" targetNamespace="http://schemas.microsoft.com/office/2006/metadata/properties" ma:root="true" ma:fieldsID="f3eaae292184f08b030f37c90f9006c2" ns2:_="">
    <xsd:import namespace="41b3ec6c-eebd-4435-b1cb-6f93f025f7d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2:bcb1675984d34ae3a1ed6b6e433c98de" minOccurs="0"/>
                <xsd:element ref="ns2:TaxCatchAll" minOccurs="0"/>
                <xsd:element ref="ns2:TaxCatchAllLabel" minOccurs="0"/>
                <xsd:element ref="ns2:peb8f3fab875401ca34a9f28cac464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3ec6c-eebd-4435-b1cb-6f93f025f7d1" elementFormDefault="qualified">
    <xsd:import namespace="http://schemas.microsoft.com/office/2006/documentManagement/types"/>
    <xsd:import namespace="http://schemas.microsoft.com/office/infopath/2007/PartnerControls"/>
    <xsd:element name="dlc_EmailSubject" ma:index="8" nillable="true" ma:displayName="Subject" ma:description="" ma:internalName="dlc_EmailSubject" ma:readOnly="false">
      <xsd:simpleType>
        <xsd:restriction base="dms:Note"/>
      </xsd:simpleType>
    </xsd:element>
    <xsd:element name="dlc_EmailTo" ma:index="9" nillable="true" ma:displayName="To" ma:description="" ma:internalName="dlc_EmailTo" ma:readOnly="false">
      <xsd:simpleType>
        <xsd:restriction base="dms:Note"/>
      </xsd:simpleType>
    </xsd:element>
    <xsd:element name="dlc_EmailFrom" ma:index="10" nillable="true" ma:displayName="From" ma:description="" ma:internalName="dlc_EmailFrom" ma:readOnly="false">
      <xsd:simpleType>
        <xsd:restriction base="dms:Text">
          <xsd:maxLength value="255"/>
        </xsd:restriction>
      </xsd:simpleType>
    </xsd:element>
    <xsd:element name="dlc_EmailCC" ma:index="11" nillable="true" ma:displayName="CC" ma:description="" ma:internalName="dlc_EmailCC" ma:readOnly="false">
      <xsd:simpleType>
        <xsd:restriction base="dms:Note">
          <xsd:maxLength value="1024"/>
        </xsd:restriction>
      </xsd:simpleType>
    </xsd:element>
    <xsd:element name="dlc_EmailSentUTC" ma:index="12" nillable="true" ma:displayName="Date Sent" ma:description="" ma:internalName="dlc_EmailSentUTC" ma:readOnly="false">
      <xsd:simpleType>
        <xsd:restriction base="dms:DateTime"/>
      </xsd:simpleType>
    </xsd:element>
    <xsd:element name="dlc_EmailReceivedUTC" ma:index="13" nillable="true" ma:displayName="Date Received" ma:description="" ma:internalName="dlc_EmailReceivedUTC" ma:readOnly="false">
      <xsd:simpleType>
        <xsd:restriction base="dms:DateTime"/>
      </xsd:simpleType>
    </xsd:element>
    <xsd:element name="bcb1675984d34ae3a1ed6b6e433c98de" ma:index="14" nillable="true" ma:taxonomy="true" ma:internalName="bcb1675984d34ae3a1ed6b6e433c98de" ma:taxonomyFieldName="Directorate" ma:displayName="Directorate" ma:default="" ma:fieldId="{bcb16759-84d3-4ae3-a1ed-6b6e433c98de}" ma:sspId="fbabd5ee-c98c-4a9b-aa64-c82fd249b873" ma:termSetId="a3042207-bc74-4e42-93b3-dbb4e6115b83"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ce45e0a4-74f0-41db-b90b-1c3248e21f9b}" ma:internalName="TaxCatchAll" ma:showField="CatchAllData" ma:web="8344ce34-14a5-496e-ab9e-f581766bdec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ce45e0a4-74f0-41db-b90b-1c3248e21f9b}" ma:internalName="TaxCatchAllLabel" ma:readOnly="true" ma:showField="CatchAllDataLabel" ma:web="8344ce34-14a5-496e-ab9e-f581766bdecd">
      <xsd:complexType>
        <xsd:complexContent>
          <xsd:extension base="dms:MultiChoiceLookup">
            <xsd:sequence>
              <xsd:element name="Value" type="dms:Lookup" maxOccurs="unbounded" minOccurs="0" nillable="true"/>
            </xsd:sequence>
          </xsd:extension>
        </xsd:complexContent>
      </xsd:complexType>
    </xsd:element>
    <xsd:element name="peb8f3fab875401ca34a9f28cac46400" ma:index="18" nillable="true" ma:taxonomy="true" ma:internalName="peb8f3fab875401ca34a9f28cac46400" ma:taxonomyFieldName="SecurityClassification" ma:displayName="SecurityClassification" ma:default="" ma:fieldId="{9eb8f3fa-b875-401c-a34a-9f28cac46400}" ma:sspId="fbabd5ee-c98c-4a9b-aa64-c82fd249b873" ma:termSetId="cb8bbbf2-2a11-43af-a18e-40ed7c8e4b1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babd5ee-c98c-4a9b-aa64-c82fd249b873" ContentTypeId="0x010100672A3FCA98991645BE083C320B7539B70204" PreviousValue="false"/>
</file>

<file path=customXml/itemProps1.xml><?xml version="1.0" encoding="utf-8"?>
<ds:datastoreItem xmlns:ds="http://schemas.openxmlformats.org/officeDocument/2006/customXml" ds:itemID="{A3D528BE-889F-4BDC-94D3-439297FEC691}">
  <ds:schemaRefs>
    <ds:schemaRef ds:uri="http://schemas.microsoft.com/sharepoint/v3/contenttype/forms"/>
  </ds:schemaRefs>
</ds:datastoreItem>
</file>

<file path=customXml/itemProps2.xml><?xml version="1.0" encoding="utf-8"?>
<ds:datastoreItem xmlns:ds="http://schemas.openxmlformats.org/officeDocument/2006/customXml" ds:itemID="{D091E8AE-3389-4387-B9BC-C50BE6E08BAF}">
  <ds:schemaRefs>
    <ds:schemaRef ds:uri="http://schemas.microsoft.com/office/infopath/2007/PartnerControls"/>
    <ds:schemaRef ds:uri="http://purl.org/dc/terms/"/>
    <ds:schemaRef ds:uri="41b3ec6c-eebd-4435-b1cb-6f93f025f7d1"/>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http://www.w3.org/XML/1998/namespace"/>
  </ds:schemaRefs>
</ds:datastoreItem>
</file>

<file path=customXml/itemProps3.xml><?xml version="1.0" encoding="utf-8"?>
<ds:datastoreItem xmlns:ds="http://schemas.openxmlformats.org/officeDocument/2006/customXml" ds:itemID="{96A0F0E9-BB5F-4661-A231-C09ADA60F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3ec6c-eebd-4435-b1cb-6f93f025f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A0CD7B-5268-4ECF-A795-BA914263B82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Defra</dc:creator>
  <dc:description>Version 2.0 last updated: 7 March 2012</dc:description>
  <cp:lastModifiedBy>Featherstone, Peter</cp:lastModifiedBy>
  <cp:revision>2</cp:revision>
  <cp:lastPrinted>2012-08-24T14:28:00Z</cp:lastPrinted>
  <dcterms:created xsi:type="dcterms:W3CDTF">2020-10-06T13:54:00Z</dcterms:created>
  <dcterms:modified xsi:type="dcterms:W3CDTF">2020-10-06T13:54:00Z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0x010100672A3FCA98991645BE083C320B7539B70204007F6BA6A9C068BB44887CE971915DC6AA</vt:lpwstr>
  </property>
  <property fmtid="{D5CDD505-2E9C-101B-9397-08002B2CF9AE}" pid="4" name="Directorate">
    <vt:lpwstr/>
  </property>
  <property fmtid="{D5CDD505-2E9C-101B-9397-08002B2CF9AE}" pid="5" name="SecurityClassification">
    <vt:lpwstr/>
  </property>
</Properties>
</file>