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F2D3" w14:textId="23B8E08E" w:rsidR="001B3892" w:rsidRDefault="001B3892" w:rsidP="001B3892">
      <w:pPr>
        <w:rPr>
          <w:b/>
          <w:bCs/>
        </w:rPr>
      </w:pPr>
      <w:r w:rsidRPr="669FFF8F">
        <w:rPr>
          <w:b/>
          <w:bCs/>
        </w:rPr>
        <w:t>What is the purpose of the provisions</w:t>
      </w:r>
      <w:r w:rsidR="002E0581" w:rsidRPr="669FFF8F">
        <w:rPr>
          <w:b/>
          <w:bCs/>
        </w:rPr>
        <w:t xml:space="preserve"> </w:t>
      </w:r>
      <w:r w:rsidR="628C119C" w:rsidRPr="669FFF8F">
        <w:rPr>
          <w:b/>
          <w:bCs/>
        </w:rPr>
        <w:t xml:space="preserve">in </w:t>
      </w:r>
      <w:r w:rsidR="14B17BB6" w:rsidRPr="17B7C604">
        <w:rPr>
          <w:b/>
          <w:bCs/>
        </w:rPr>
        <w:t>the</w:t>
      </w:r>
      <w:r w:rsidR="628C119C" w:rsidRPr="17B7C604">
        <w:rPr>
          <w:b/>
          <w:bCs/>
        </w:rPr>
        <w:t xml:space="preserve"> </w:t>
      </w:r>
      <w:r w:rsidR="00E47B2C">
        <w:rPr>
          <w:b/>
          <w:bCs/>
        </w:rPr>
        <w:t>Business and Planning</w:t>
      </w:r>
      <w:r w:rsidR="628C119C" w:rsidRPr="669FFF8F">
        <w:rPr>
          <w:b/>
          <w:bCs/>
        </w:rPr>
        <w:t xml:space="preserve"> Act 2020 </w:t>
      </w:r>
      <w:r w:rsidR="002E0581" w:rsidRPr="669FFF8F">
        <w:rPr>
          <w:b/>
          <w:bCs/>
        </w:rPr>
        <w:t>for</w:t>
      </w:r>
      <w:r w:rsidRPr="669FFF8F">
        <w:rPr>
          <w:b/>
          <w:bCs/>
        </w:rPr>
        <w:t xml:space="preserve"> extending planning permissions and listed building consents?</w:t>
      </w:r>
    </w:p>
    <w:p w14:paraId="36CE14FA" w14:textId="27192FB5" w:rsidR="005960A9" w:rsidRDefault="666B0A90">
      <w:r>
        <w:t xml:space="preserve">The </w:t>
      </w:r>
      <w:r w:rsidR="00E47B2C">
        <w:t xml:space="preserve">Business and Planning </w:t>
      </w:r>
      <w:r>
        <w:t xml:space="preserve">Act 2020 </w:t>
      </w:r>
      <w:r w:rsidR="000E07E5">
        <w:t xml:space="preserve">temporarily modifies </w:t>
      </w:r>
      <w:r>
        <w:t xml:space="preserve">the Town and Country Planning Act 1990 and </w:t>
      </w:r>
      <w:r w:rsidR="124EB12A">
        <w:t>the Planning (Listed Buildings and Conservation Areas) Act 1990</w:t>
      </w:r>
      <w:r w:rsidR="356B6770">
        <w:t xml:space="preserve"> to enable certain planning permissions and listed building consents</w:t>
      </w:r>
      <w:r w:rsidR="6AB93625">
        <w:t xml:space="preserve"> </w:t>
      </w:r>
      <w:r w:rsidR="6498097F">
        <w:t xml:space="preserve">in England </w:t>
      </w:r>
      <w:r w:rsidR="6AB93625">
        <w:t>which have lapsed or are due to lapse during 2020 to be extended.</w:t>
      </w:r>
    </w:p>
    <w:p w14:paraId="467ABE92" w14:textId="291E2CA0" w:rsidR="666B0A90" w:rsidRDefault="6AB93625">
      <w:r>
        <w:t>This is in recogni</w:t>
      </w:r>
      <w:r w:rsidR="5228B7BF">
        <w:t xml:space="preserve">tion of the </w:t>
      </w:r>
      <w:r w:rsidR="25221CD8">
        <w:t>e</w:t>
      </w:r>
      <w:r w:rsidR="5228B7BF">
        <w:t xml:space="preserve">ffect coronavirus </w:t>
      </w:r>
      <w:r w:rsidR="75F265F6">
        <w:t xml:space="preserve">has had </w:t>
      </w:r>
      <w:r w:rsidR="5228B7BF">
        <w:t xml:space="preserve">on </w:t>
      </w:r>
      <w:r w:rsidR="004A02FE">
        <w:t xml:space="preserve">the planning system and </w:t>
      </w:r>
      <w:r w:rsidR="59F6CB11">
        <w:t xml:space="preserve">the construction sector </w:t>
      </w:r>
      <w:r w:rsidR="5FF8799B">
        <w:t>and in particular the</w:t>
      </w:r>
      <w:r w:rsidR="141E591B">
        <w:t xml:space="preserve"> </w:t>
      </w:r>
      <w:r w:rsidR="7BBA7CBD">
        <w:t>delays it has caused to the commencement of new development.</w:t>
      </w:r>
      <w:r w:rsidR="5FF8799B">
        <w:t xml:space="preserve"> </w:t>
      </w:r>
      <w:r w:rsidR="56E2D752">
        <w:t xml:space="preserve"> This extension will allow the commencement of the planning permissions and listed building cons</w:t>
      </w:r>
      <w:r w:rsidR="6EA07955">
        <w:t>ents without the need for a new application.</w:t>
      </w:r>
    </w:p>
    <w:p w14:paraId="30CC79CC" w14:textId="7DBB0712" w:rsidR="001B3892" w:rsidRDefault="001B3892" w:rsidP="001B3892">
      <w:pPr>
        <w:rPr>
          <w:b/>
          <w:bCs/>
        </w:rPr>
      </w:pPr>
      <w:r w:rsidRPr="000254B2">
        <w:rPr>
          <w:b/>
          <w:bCs/>
        </w:rPr>
        <w:t>Which planning permissions are extended?</w:t>
      </w:r>
    </w:p>
    <w:p w14:paraId="4508B17E" w14:textId="74D41F1E" w:rsidR="00C7677C" w:rsidRDefault="2923E7B2" w:rsidP="669FFF8F">
      <w:r>
        <w:t>Under section</w:t>
      </w:r>
      <w:r w:rsidR="0FC932E4">
        <w:t xml:space="preserve"> </w:t>
      </w:r>
      <w:r w:rsidR="71561E80">
        <w:t>93A</w:t>
      </w:r>
      <w:r>
        <w:t xml:space="preserve"> of the Town and Country P</w:t>
      </w:r>
      <w:r w:rsidR="3BFC8535">
        <w:t xml:space="preserve">lanning Act 1990, </w:t>
      </w:r>
      <w:r w:rsidR="139C1C63">
        <w:t>unimplemented</w:t>
      </w:r>
      <w:r w:rsidR="2CE2A7F4">
        <w:t xml:space="preserve"> planning </w:t>
      </w:r>
      <w:r w:rsidR="2344C0C7">
        <w:t>p</w:t>
      </w:r>
      <w:r w:rsidR="001E0C1B">
        <w:t>ermissions</w:t>
      </w:r>
      <w:r w:rsidR="77ADA116">
        <w:t xml:space="preserve"> </w:t>
      </w:r>
      <w:r w:rsidR="00192345">
        <w:t xml:space="preserve">with time limits for implementation </w:t>
      </w:r>
      <w:r w:rsidR="6C17DFF7">
        <w:t xml:space="preserve">which </w:t>
      </w:r>
      <w:r w:rsidR="65A3F394">
        <w:t xml:space="preserve">were </w:t>
      </w:r>
      <w:r w:rsidR="6C17DFF7">
        <w:t xml:space="preserve">due to lapse </w:t>
      </w:r>
      <w:r w:rsidR="00D85689">
        <w:t xml:space="preserve">between </w:t>
      </w:r>
      <w:r w:rsidR="00845ECB">
        <w:t>[28 days after royal assent]</w:t>
      </w:r>
      <w:r w:rsidR="0EEEDEE8">
        <w:t xml:space="preserve"> </w:t>
      </w:r>
      <w:r w:rsidR="6B6FB083">
        <w:t>(</w:t>
      </w:r>
      <w:r w:rsidR="0EEEDEE8">
        <w:t>when</w:t>
      </w:r>
      <w:r w:rsidR="3704F7BE">
        <w:t xml:space="preserve"> the provisions c</w:t>
      </w:r>
      <w:r w:rsidR="137FE13C">
        <w:t xml:space="preserve">ame into force) and </w:t>
      </w:r>
      <w:r w:rsidR="0EEEDEE8">
        <w:t xml:space="preserve">31 December 2020 </w:t>
      </w:r>
      <w:r w:rsidR="5CA6C310">
        <w:t>are</w:t>
      </w:r>
      <w:r w:rsidR="0EEEDEE8">
        <w:t xml:space="preserve"> extended to 1 April 2021.</w:t>
      </w:r>
      <w:r w:rsidR="00DB01C0">
        <w:t xml:space="preserve">  This happens automatically, with no requirement to obtain Additional Environmental Approval</w:t>
      </w:r>
      <w:r w:rsidR="008A5FE9">
        <w:t>.</w:t>
      </w:r>
    </w:p>
    <w:p w14:paraId="0C7452B5" w14:textId="2CF35099" w:rsidR="00192345" w:rsidRDefault="00192345" w:rsidP="669FFF8F">
      <w:r>
        <w:t xml:space="preserve">In this guidance, </w:t>
      </w:r>
      <w:r w:rsidR="00A77B9C">
        <w:t xml:space="preserve">a </w:t>
      </w:r>
      <w:r>
        <w:t>‘time limit for</w:t>
      </w:r>
      <w:r w:rsidR="00A77B9C">
        <w:t xml:space="preserve"> implementation’</w:t>
      </w:r>
      <w:r w:rsidR="00840A56">
        <w:t xml:space="preserve"> refers to </w:t>
      </w:r>
      <w:r w:rsidR="00DB01C0">
        <w:t xml:space="preserve">a condition which has the effect that development pursuant to a planning permission, or works pursuant to a listed building consent, must be begun not later than a certain date.  In most cases, a condition (or deemed condition) imposing a </w:t>
      </w:r>
      <w:r w:rsidR="000650F4">
        <w:t>time limit for implementation</w:t>
      </w:r>
      <w:r w:rsidR="00DB01C0">
        <w:t xml:space="preserve"> is attached to a planning permission by or under section 91 of the Town and Country Planning Act 1990; and to a listed building consent by or under section 18 of the Planning (Listed Buildings and Conservation Areas) Act 1990.</w:t>
      </w:r>
    </w:p>
    <w:p w14:paraId="52F3432D" w14:textId="0CE88696" w:rsidR="00431E63" w:rsidRDefault="6D565989" w:rsidP="001B3892">
      <w:r>
        <w:t xml:space="preserve">In addition, </w:t>
      </w:r>
      <w:r w:rsidR="6977FF40">
        <w:t xml:space="preserve">unimplemented </w:t>
      </w:r>
      <w:r w:rsidR="003A40BE">
        <w:t xml:space="preserve">planning </w:t>
      </w:r>
      <w:r>
        <w:t xml:space="preserve">permissions </w:t>
      </w:r>
      <w:r w:rsidR="00DB01C0">
        <w:t>with time limits for implementation</w:t>
      </w:r>
      <w:r w:rsidR="00617141">
        <w:t xml:space="preserve"> </w:t>
      </w:r>
      <w:r w:rsidR="0E87FBE0">
        <w:t xml:space="preserve">which </w:t>
      </w:r>
      <w:r w:rsidR="00522A4B">
        <w:t xml:space="preserve">passed </w:t>
      </w:r>
      <w:r w:rsidR="00AD605F">
        <w:t>between 23 March 2020 and</w:t>
      </w:r>
      <w:r w:rsidR="001E0C1B">
        <w:t xml:space="preserve"> </w:t>
      </w:r>
      <w:r w:rsidR="00845ECB">
        <w:t>[28 days after royal assent]</w:t>
      </w:r>
      <w:r w:rsidR="00610821">
        <w:t xml:space="preserve"> </w:t>
      </w:r>
      <w:r w:rsidR="1475A710">
        <w:t xml:space="preserve">are also </w:t>
      </w:r>
      <w:r w:rsidR="59E3337B">
        <w:t xml:space="preserve">restored and </w:t>
      </w:r>
      <w:r w:rsidR="00522A4B">
        <w:t xml:space="preserve">the time limit </w:t>
      </w:r>
      <w:r w:rsidR="1475A710">
        <w:t>extended to 1 April 2021</w:t>
      </w:r>
      <w:r w:rsidR="00B35CA6">
        <w:t xml:space="preserve">, subject to </w:t>
      </w:r>
      <w:r w:rsidR="00B92B2A">
        <w:t>Additional Environmental Approval</w:t>
      </w:r>
      <w:r w:rsidR="00A565BB">
        <w:t xml:space="preserve"> being granted</w:t>
      </w:r>
      <w:r w:rsidR="00B92B2A">
        <w:t xml:space="preserve">. </w:t>
      </w:r>
      <w:r w:rsidR="006E753D">
        <w:t xml:space="preserve">Further details of the Additional Environmental Approval process </w:t>
      </w:r>
      <w:r w:rsidR="4D25EB76">
        <w:t>are</w:t>
      </w:r>
      <w:r w:rsidR="00617141">
        <w:t xml:space="preserve"> </w:t>
      </w:r>
      <w:r w:rsidR="4C50F06B">
        <w:t>set out</w:t>
      </w:r>
      <w:r w:rsidR="00617141">
        <w:t xml:space="preserve"> </w:t>
      </w:r>
      <w:r w:rsidR="4ADDF239">
        <w:t>below</w:t>
      </w:r>
      <w:r w:rsidR="006E753D">
        <w:t>.</w:t>
      </w:r>
    </w:p>
    <w:p w14:paraId="6F268CD7" w14:textId="08210286" w:rsidR="00C917DC" w:rsidRPr="00617141" w:rsidRDefault="00C917DC" w:rsidP="001B3892">
      <w:pPr>
        <w:rPr>
          <w:b/>
        </w:rPr>
      </w:pPr>
      <w:r>
        <w:rPr>
          <w:b/>
        </w:rPr>
        <w:t>What is the position in relation to outline planning permission</w:t>
      </w:r>
      <w:r w:rsidR="009F6117">
        <w:rPr>
          <w:b/>
        </w:rPr>
        <w:t>?</w:t>
      </w:r>
    </w:p>
    <w:p w14:paraId="4E6461E8" w14:textId="0C480BD9" w:rsidR="000B73AD" w:rsidRPr="00290DB1" w:rsidRDefault="11236C41" w:rsidP="001B3892">
      <w:r>
        <w:t>O</w:t>
      </w:r>
      <w:r w:rsidR="1F3DA594">
        <w:t>utline planning permissions may have lapsed or be at risk of lapsing</w:t>
      </w:r>
      <w:r w:rsidR="2D9E702E">
        <w:t xml:space="preserve"> for two reasons</w:t>
      </w:r>
      <w:r w:rsidR="65D62EE9">
        <w:t>:</w:t>
      </w:r>
      <w:r w:rsidR="4CEC7897">
        <w:t xml:space="preserve"> </w:t>
      </w:r>
      <w:r w:rsidR="00DA5A00">
        <w:t xml:space="preserve">(a) </w:t>
      </w:r>
      <w:r w:rsidR="2C66C7BB">
        <w:t>development has not commenced</w:t>
      </w:r>
      <w:r w:rsidR="2CDAC406">
        <w:t>;</w:t>
      </w:r>
      <w:r w:rsidR="2C66C7BB">
        <w:t xml:space="preserve"> or </w:t>
      </w:r>
      <w:r w:rsidR="00DA5A00">
        <w:t xml:space="preserve">(b) </w:t>
      </w:r>
      <w:r w:rsidR="2C66C7BB">
        <w:t>applications for reserved matters approval have not been submitted for determination by the local planning authority</w:t>
      </w:r>
      <w:r w:rsidR="12381A2F">
        <w:t xml:space="preserve"> within the period specified </w:t>
      </w:r>
      <w:r w:rsidR="001568A6">
        <w:t xml:space="preserve">by a condition </w:t>
      </w:r>
      <w:r w:rsidR="00F74F92">
        <w:t xml:space="preserve">imposed on an outline planning permission by or </w:t>
      </w:r>
      <w:r w:rsidR="12381A2F">
        <w:t>under section 92(2)(a) of the Town an</w:t>
      </w:r>
      <w:r w:rsidR="306399A4">
        <w:t>d Country Planning Act 1990</w:t>
      </w:r>
      <w:r w:rsidR="2C66C7BB">
        <w:t xml:space="preserve">. </w:t>
      </w:r>
    </w:p>
    <w:p w14:paraId="155C3828" w14:textId="6CF747B3" w:rsidR="00DA5A00" w:rsidRDefault="00DA5A00" w:rsidP="00DA5A00">
      <w:r>
        <w:t>Time limits for implementation relating to outline planning permissions are subject to extension in the same way as other planning permissions:</w:t>
      </w:r>
    </w:p>
    <w:p w14:paraId="0DE3006B" w14:textId="7A820418" w:rsidR="00DA5A00" w:rsidRDefault="000650F4" w:rsidP="008B1447">
      <w:pPr>
        <w:pStyle w:val="ListParagraph"/>
        <w:numPr>
          <w:ilvl w:val="0"/>
          <w:numId w:val="5"/>
        </w:numPr>
      </w:pPr>
      <w:r>
        <w:t>t</w:t>
      </w:r>
      <w:r w:rsidR="00DA5A00">
        <w:t xml:space="preserve">ime limits for implementation </w:t>
      </w:r>
      <w:r w:rsidR="00522A4B">
        <w:t xml:space="preserve">passed </w:t>
      </w:r>
      <w:r w:rsidR="00DA5A00">
        <w:t xml:space="preserve">between </w:t>
      </w:r>
      <w:bookmarkStart w:id="0" w:name="_GoBack"/>
      <w:r w:rsidR="00845ECB">
        <w:t>[28 days after royal assent]</w:t>
      </w:r>
      <w:bookmarkEnd w:id="0"/>
      <w:r w:rsidR="00DA5A00">
        <w:t xml:space="preserve"> and 31 December 2020 are automatically extended to 1 April 2021;</w:t>
      </w:r>
    </w:p>
    <w:p w14:paraId="5893D0F3" w14:textId="0F0FF413" w:rsidR="00DA5A00" w:rsidRDefault="000650F4" w:rsidP="00F1054F">
      <w:pPr>
        <w:pStyle w:val="ListParagraph"/>
        <w:numPr>
          <w:ilvl w:val="0"/>
          <w:numId w:val="5"/>
        </w:numPr>
      </w:pPr>
      <w:r>
        <w:t>t</w:t>
      </w:r>
      <w:r w:rsidR="00DA5A00">
        <w:t xml:space="preserve">ime limits for implementation </w:t>
      </w:r>
      <w:r w:rsidR="00522A4B">
        <w:t xml:space="preserve">passed </w:t>
      </w:r>
      <w:r w:rsidR="00DA5A00">
        <w:t xml:space="preserve">between 23 March 2020 and </w:t>
      </w:r>
      <w:r w:rsidR="00845ECB">
        <w:t>[28 days after royal assent]</w:t>
      </w:r>
      <w:r w:rsidR="00DA5A00">
        <w:t xml:space="preserve"> are extended to 1 April 2021 if Additional Environmental Approval is granted in respect of the relevant planning permission.</w:t>
      </w:r>
    </w:p>
    <w:p w14:paraId="39C3F071" w14:textId="100FC686" w:rsidR="00DA5A00" w:rsidRDefault="00DA5A00" w:rsidP="00DA5A00">
      <w:pPr>
        <w:rPr>
          <w:bCs/>
        </w:rPr>
      </w:pPr>
      <w:r>
        <w:t xml:space="preserve">In addition, any deadline for the submission </w:t>
      </w:r>
      <w:r>
        <w:rPr>
          <w:bCs/>
        </w:rPr>
        <w:t>of applications for the approval of reserved matters under an outline planning permission which would otherwise expire between 23 March 2020 and 31 December 2020 is extended to 1 April 2021.</w:t>
      </w:r>
    </w:p>
    <w:p w14:paraId="51CDF5EB" w14:textId="2B603B81" w:rsidR="00532523" w:rsidRDefault="00532523" w:rsidP="001B3892">
      <w:pPr>
        <w:rPr>
          <w:b/>
          <w:bCs/>
        </w:rPr>
      </w:pPr>
      <w:r>
        <w:rPr>
          <w:b/>
          <w:bCs/>
        </w:rPr>
        <w:lastRenderedPageBreak/>
        <w:t xml:space="preserve">What is the position in relation to </w:t>
      </w:r>
      <w:r w:rsidR="000650F4">
        <w:rPr>
          <w:b/>
          <w:bCs/>
        </w:rPr>
        <w:t>l</w:t>
      </w:r>
      <w:r>
        <w:rPr>
          <w:b/>
          <w:bCs/>
        </w:rPr>
        <w:t xml:space="preserve">isted </w:t>
      </w:r>
      <w:r w:rsidR="000650F4">
        <w:rPr>
          <w:b/>
          <w:bCs/>
        </w:rPr>
        <w:t>b</w:t>
      </w:r>
      <w:r>
        <w:rPr>
          <w:b/>
          <w:bCs/>
        </w:rPr>
        <w:t xml:space="preserve">uilding </w:t>
      </w:r>
      <w:r w:rsidR="000650F4">
        <w:rPr>
          <w:b/>
          <w:bCs/>
        </w:rPr>
        <w:t>c</w:t>
      </w:r>
      <w:r>
        <w:rPr>
          <w:b/>
          <w:bCs/>
        </w:rPr>
        <w:t>onsent?</w:t>
      </w:r>
    </w:p>
    <w:p w14:paraId="57580BB6" w14:textId="5B6FC197" w:rsidR="00532523" w:rsidRPr="00617141" w:rsidRDefault="000650F4" w:rsidP="001B3892">
      <w:pPr>
        <w:rPr>
          <w:bCs/>
        </w:rPr>
      </w:pPr>
      <w:r w:rsidRPr="00617141">
        <w:rPr>
          <w:bCs/>
        </w:rPr>
        <w:t xml:space="preserve">All </w:t>
      </w:r>
      <w:r>
        <w:rPr>
          <w:bCs/>
        </w:rPr>
        <w:t xml:space="preserve">listed building consents with a time limit for implementation </w:t>
      </w:r>
      <w:r w:rsidR="00BC1BD1">
        <w:rPr>
          <w:bCs/>
        </w:rPr>
        <w:t>between 23 March 2020 and 31 December 2020 will be extended to 1 April 2021.  Listed building consents will not be subject to a requirement to obtain Additional Environmental Approval.</w:t>
      </w:r>
    </w:p>
    <w:p w14:paraId="2F69453A" w14:textId="6644DE9F" w:rsidR="001B3892" w:rsidRDefault="001B3892" w:rsidP="001B3892">
      <w:pPr>
        <w:rPr>
          <w:b/>
          <w:bCs/>
        </w:rPr>
      </w:pPr>
      <w:r w:rsidRPr="000254B2">
        <w:rPr>
          <w:b/>
          <w:bCs/>
        </w:rPr>
        <w:t>What does a</w:t>
      </w:r>
      <w:r w:rsidR="005F040A">
        <w:rPr>
          <w:b/>
          <w:bCs/>
        </w:rPr>
        <w:t xml:space="preserve">n applicant </w:t>
      </w:r>
      <w:r w:rsidRPr="000254B2">
        <w:rPr>
          <w:b/>
          <w:bCs/>
        </w:rPr>
        <w:t xml:space="preserve">need to do for permissions or consent which are due to lapse between </w:t>
      </w:r>
      <w:r w:rsidR="00845ECB">
        <w:rPr>
          <w:b/>
          <w:bCs/>
        </w:rPr>
        <w:t>[28 days after royal assent]</w:t>
      </w:r>
      <w:r w:rsidRPr="000254B2">
        <w:rPr>
          <w:b/>
          <w:bCs/>
        </w:rPr>
        <w:t xml:space="preserve"> and 31 December 2020?</w:t>
      </w:r>
    </w:p>
    <w:p w14:paraId="77E08068" w14:textId="7509DFD2" w:rsidR="00156B37" w:rsidRDefault="0071666C" w:rsidP="001B3892">
      <w:r>
        <w:t xml:space="preserve">These </w:t>
      </w:r>
      <w:r w:rsidR="00027D03">
        <w:t xml:space="preserve">time limits </w:t>
      </w:r>
      <w:r>
        <w:t xml:space="preserve">will be extended automatically to </w:t>
      </w:r>
      <w:r w:rsidR="002F6476">
        <w:t>1</w:t>
      </w:r>
      <w:r w:rsidR="00BE1668">
        <w:t xml:space="preserve"> </w:t>
      </w:r>
      <w:r w:rsidR="002F6476">
        <w:t>April</w:t>
      </w:r>
      <w:r w:rsidR="00BE1668">
        <w:t xml:space="preserve"> 2021. </w:t>
      </w:r>
      <w:r w:rsidR="00896D59">
        <w:t xml:space="preserve">The </w:t>
      </w:r>
      <w:r w:rsidR="005F040A">
        <w:t>applicant</w:t>
      </w:r>
      <w:r w:rsidR="00896D59">
        <w:t xml:space="preserve"> will not be required to </w:t>
      </w:r>
      <w:r w:rsidR="008638FF">
        <w:t xml:space="preserve">take </w:t>
      </w:r>
      <w:r w:rsidR="00896D59">
        <w:t xml:space="preserve">any further action in order for this to </w:t>
      </w:r>
      <w:r w:rsidR="003402E3">
        <w:t>take effect.</w:t>
      </w:r>
    </w:p>
    <w:p w14:paraId="74918BCC" w14:textId="14C96AC4" w:rsidR="001B3892" w:rsidRDefault="001B3892" w:rsidP="001B3892">
      <w:pPr>
        <w:rPr>
          <w:b/>
          <w:bCs/>
        </w:rPr>
      </w:pPr>
      <w:r w:rsidRPr="000254B2">
        <w:rPr>
          <w:b/>
          <w:bCs/>
        </w:rPr>
        <w:t>How can a</w:t>
      </w:r>
      <w:r w:rsidR="005F040A">
        <w:rPr>
          <w:b/>
          <w:bCs/>
        </w:rPr>
        <w:t>n applicant</w:t>
      </w:r>
      <w:r w:rsidRPr="000254B2">
        <w:rPr>
          <w:b/>
          <w:bCs/>
        </w:rPr>
        <w:t xml:space="preserve"> confirm that permission or consent has been extended?</w:t>
      </w:r>
    </w:p>
    <w:p w14:paraId="5AB74DE4" w14:textId="628AFD79" w:rsidR="00896D59" w:rsidRDefault="00896D59" w:rsidP="008A14B9">
      <w:r>
        <w:t>Should a</w:t>
      </w:r>
      <w:r w:rsidR="005F040A">
        <w:t xml:space="preserve">n applicant </w:t>
      </w:r>
      <w:r>
        <w:t>want written confirmation of the extension to the commencement date, they should contact the relevant local planning authority to which the permission relates.</w:t>
      </w:r>
    </w:p>
    <w:p w14:paraId="45B529D8" w14:textId="764CF1E2" w:rsidR="002E6758" w:rsidRDefault="00BB560C" w:rsidP="001B3892">
      <w:r>
        <w:t xml:space="preserve">Local planning authorities should work constructively with the applicant to provide written confirmation of the extension to the commencement date and </w:t>
      </w:r>
      <w:r w:rsidR="00697562">
        <w:t xml:space="preserve">aim to provide a response as quickly as possible so that </w:t>
      </w:r>
      <w:r w:rsidR="00522A4B">
        <w:t xml:space="preserve">applicants </w:t>
      </w:r>
      <w:r w:rsidR="00697562">
        <w:t>have the certainty to carry out development</w:t>
      </w:r>
      <w:r w:rsidR="004B33C2">
        <w:t xml:space="preserve"> </w:t>
      </w:r>
      <w:r w:rsidR="769AB861">
        <w:t>lawfully</w:t>
      </w:r>
      <w:r w:rsidR="004B33C2">
        <w:t>.</w:t>
      </w:r>
    </w:p>
    <w:p w14:paraId="00E85A73" w14:textId="0E50652B" w:rsidR="002E6758" w:rsidRPr="002E6758" w:rsidRDefault="002E6758" w:rsidP="001B3892">
      <w:r>
        <w:t xml:space="preserve">In cases of doubt, an applicant </w:t>
      </w:r>
      <w:r w:rsidR="0071009E">
        <w:t>may</w:t>
      </w:r>
      <w:r>
        <w:t xml:space="preserve"> apply for a certificate of lawfulness of proposed development under section 192 of the Town and Country Planning Act 1990.</w:t>
      </w:r>
    </w:p>
    <w:p w14:paraId="41C11850" w14:textId="42D8E9DE" w:rsidR="00381A72" w:rsidRPr="00381A72" w:rsidRDefault="0476E921" w:rsidP="00381A72">
      <w:pPr>
        <w:rPr>
          <w:b/>
          <w:bCs/>
        </w:rPr>
      </w:pPr>
      <w:r w:rsidRPr="0BB31C9B">
        <w:rPr>
          <w:b/>
          <w:bCs/>
        </w:rPr>
        <w:t xml:space="preserve">Will </w:t>
      </w:r>
      <w:r w:rsidRPr="1E2FE855">
        <w:rPr>
          <w:b/>
          <w:bCs/>
        </w:rPr>
        <w:t xml:space="preserve">the </w:t>
      </w:r>
      <w:r w:rsidRPr="19D7650C">
        <w:rPr>
          <w:b/>
          <w:bCs/>
        </w:rPr>
        <w:t xml:space="preserve">time limits </w:t>
      </w:r>
      <w:r w:rsidR="59272D37" w:rsidRPr="62B247B4">
        <w:rPr>
          <w:b/>
          <w:bCs/>
        </w:rPr>
        <w:t xml:space="preserve">for </w:t>
      </w:r>
      <w:r w:rsidR="59272D37" w:rsidRPr="654991EF">
        <w:rPr>
          <w:b/>
          <w:bCs/>
        </w:rPr>
        <w:t>implementation be extended</w:t>
      </w:r>
      <w:r w:rsidR="59272D37" w:rsidRPr="061F7982">
        <w:rPr>
          <w:b/>
          <w:bCs/>
        </w:rPr>
        <w:t>?</w:t>
      </w:r>
    </w:p>
    <w:p w14:paraId="615E361B" w14:textId="7E9987DD" w:rsidR="0BB31C9B" w:rsidRPr="0058137F" w:rsidRDefault="59272D37" w:rsidP="0BB31C9B">
      <w:r>
        <w:t xml:space="preserve">The Secretary of State has the power </w:t>
      </w:r>
      <w:r w:rsidR="002A5967">
        <w:t>t</w:t>
      </w:r>
      <w:r>
        <w:t xml:space="preserve">o extend both the </w:t>
      </w:r>
      <w:r w:rsidR="34193649">
        <w:t xml:space="preserve">eligibility date for permissions and consents </w:t>
      </w:r>
      <w:r w:rsidR="09D78856">
        <w:t>(31 December 2020) and the new time period for implementation (1 Apr</w:t>
      </w:r>
      <w:r w:rsidR="7F006D7C">
        <w:t>il 2021.)   This is to provide flexibility in the event the impact of the coron</w:t>
      </w:r>
      <w:r w:rsidR="666FA779">
        <w:t xml:space="preserve">avirus continues.   </w:t>
      </w:r>
      <w:r w:rsidR="1DD0ED23">
        <w:t>At present, t</w:t>
      </w:r>
      <w:r w:rsidR="666FA779">
        <w:t>here are no plans to amend these dates</w:t>
      </w:r>
      <w:r w:rsidR="411F0D45">
        <w:t>.</w:t>
      </w:r>
    </w:p>
    <w:p w14:paraId="0EAD0720" w14:textId="0B5C4FA9" w:rsidR="001B3892" w:rsidRDefault="001B3892" w:rsidP="001B3892">
      <w:pPr>
        <w:rPr>
          <w:b/>
          <w:bCs/>
        </w:rPr>
      </w:pPr>
      <w:r w:rsidRPr="72E7B83A">
        <w:rPr>
          <w:b/>
          <w:bCs/>
        </w:rPr>
        <w:t xml:space="preserve">When is </w:t>
      </w:r>
      <w:r w:rsidR="530981C2" w:rsidRPr="72E7B83A">
        <w:rPr>
          <w:b/>
          <w:bCs/>
        </w:rPr>
        <w:t xml:space="preserve">an </w:t>
      </w:r>
      <w:r w:rsidRPr="72E7B83A">
        <w:rPr>
          <w:b/>
          <w:bCs/>
        </w:rPr>
        <w:t>Additional Environmental Approval required?</w:t>
      </w:r>
    </w:p>
    <w:p w14:paraId="4FBD4FA3" w14:textId="33A098A1" w:rsidR="00DD16BF" w:rsidRDefault="00AE7EE6" w:rsidP="001B3892">
      <w:r>
        <w:t xml:space="preserve">A planning permission with a time limit for implementation </w:t>
      </w:r>
      <w:r w:rsidR="00DC0EFD">
        <w:t xml:space="preserve">between </w:t>
      </w:r>
      <w:r w:rsidR="00A240E3">
        <w:t xml:space="preserve">23 March 2020 and </w:t>
      </w:r>
      <w:r w:rsidR="00845ECB">
        <w:t>[28 days after royal assent]</w:t>
      </w:r>
      <w:r w:rsidR="00A240E3">
        <w:t xml:space="preserve"> will </w:t>
      </w:r>
      <w:r w:rsidR="00BE03A4">
        <w:t>only benefit from the sta</w:t>
      </w:r>
      <w:r w:rsidR="00731E4F">
        <w:t>t</w:t>
      </w:r>
      <w:r w:rsidR="00BE03A4">
        <w:t xml:space="preserve">utory extension to 1 April 2021 </w:t>
      </w:r>
      <w:r w:rsidR="007D5DEF">
        <w:t>where</w:t>
      </w:r>
      <w:r w:rsidR="0026756C">
        <w:t xml:space="preserve"> </w:t>
      </w:r>
      <w:r w:rsidR="007A4C1B">
        <w:t>Additional Environmental Approval</w:t>
      </w:r>
      <w:r w:rsidR="0026756C">
        <w:t xml:space="preserve"> is granted </w:t>
      </w:r>
      <w:r w:rsidR="7488E6C1">
        <w:t xml:space="preserve">by the local planning authority </w:t>
      </w:r>
      <w:r w:rsidR="0026756C">
        <w:t>(or deemed to be granted)</w:t>
      </w:r>
      <w:r w:rsidR="140DAA23">
        <w:t>.</w:t>
      </w:r>
    </w:p>
    <w:p w14:paraId="47D56DFE" w14:textId="6953A98A" w:rsidR="001C5B68" w:rsidRPr="000254B2" w:rsidRDefault="001C5B68" w:rsidP="001C5B68">
      <w:pPr>
        <w:rPr>
          <w:b/>
          <w:bCs/>
        </w:rPr>
      </w:pPr>
      <w:r w:rsidRPr="72E7B83A">
        <w:rPr>
          <w:b/>
          <w:bCs/>
        </w:rPr>
        <w:t xml:space="preserve">Who can apply for </w:t>
      </w:r>
      <w:r w:rsidR="04CA328C" w:rsidRPr="72E7B83A">
        <w:rPr>
          <w:b/>
          <w:bCs/>
        </w:rPr>
        <w:t xml:space="preserve">an </w:t>
      </w:r>
      <w:r w:rsidRPr="72E7B83A">
        <w:rPr>
          <w:b/>
          <w:bCs/>
        </w:rPr>
        <w:t>Additional Environmental Approval?</w:t>
      </w:r>
    </w:p>
    <w:p w14:paraId="1C62A7DF" w14:textId="42FB362F" w:rsidR="001C5B68" w:rsidRDefault="001C5B68" w:rsidP="001C5B68">
      <w:pPr>
        <w:rPr>
          <w:b/>
          <w:bCs/>
        </w:rPr>
      </w:pPr>
      <w:r>
        <w:t xml:space="preserve">An application for Additional Environmental Approval can be made by </w:t>
      </w:r>
      <w:r w:rsidR="00D0579D">
        <w:t xml:space="preserve">or on behalf of </w:t>
      </w:r>
      <w:r>
        <w:t xml:space="preserve">any person </w:t>
      </w:r>
      <w:r w:rsidR="00D0579D">
        <w:t xml:space="preserve">with an interest in the land </w:t>
      </w:r>
      <w:r>
        <w:t>to which the relevant planning permission relates.</w:t>
      </w:r>
      <w:r w:rsidR="000217A7">
        <w:t xml:space="preserve"> </w:t>
      </w:r>
    </w:p>
    <w:p w14:paraId="4189EEE3" w14:textId="702C58FC" w:rsidR="001C5B68" w:rsidRDefault="001C5B68" w:rsidP="001C5B68">
      <w:pPr>
        <w:rPr>
          <w:b/>
          <w:bCs/>
        </w:rPr>
      </w:pPr>
      <w:r w:rsidRPr="72E7B83A">
        <w:rPr>
          <w:b/>
          <w:bCs/>
        </w:rPr>
        <w:t>Is there a fee to apply</w:t>
      </w:r>
      <w:r w:rsidR="78FEC479" w:rsidRPr="72E7B83A">
        <w:rPr>
          <w:b/>
          <w:bCs/>
        </w:rPr>
        <w:t xml:space="preserve"> for </w:t>
      </w:r>
      <w:r w:rsidR="65F611DE" w:rsidRPr="72E7B83A">
        <w:rPr>
          <w:b/>
          <w:bCs/>
        </w:rPr>
        <w:t>an Additional Environmental Approval</w:t>
      </w:r>
      <w:r w:rsidRPr="72E7B83A">
        <w:rPr>
          <w:b/>
          <w:bCs/>
        </w:rPr>
        <w:t>?</w:t>
      </w:r>
    </w:p>
    <w:p w14:paraId="176E8E54" w14:textId="02FDC6CD" w:rsidR="00E47015" w:rsidRDefault="001C5B68" w:rsidP="001B3892">
      <w:r>
        <w:t>There is no fee required for an application for Additional Environmental Approval.</w:t>
      </w:r>
    </w:p>
    <w:p w14:paraId="43624F3C" w14:textId="77777777" w:rsidR="001C5B68" w:rsidRPr="000254B2" w:rsidRDefault="001C5B68" w:rsidP="001C5B68">
      <w:pPr>
        <w:rPr>
          <w:b/>
          <w:bCs/>
        </w:rPr>
      </w:pPr>
      <w:r w:rsidRPr="000254B2">
        <w:rPr>
          <w:b/>
          <w:bCs/>
        </w:rPr>
        <w:t>How should an application for Additional Environmental Approval be submitted?</w:t>
      </w:r>
    </w:p>
    <w:p w14:paraId="0CFC7EBF" w14:textId="205C5FD5" w:rsidR="001C5B68" w:rsidRDefault="001C5B68" w:rsidP="0EE88E71">
      <w:r>
        <w:t>Applications must be made in writing and submitted electronically to the relevant local planning authority</w:t>
      </w:r>
      <w:r w:rsidR="2C7F08F4">
        <w:t>.</w:t>
      </w:r>
      <w:r w:rsidR="00F61364">
        <w:t xml:space="preserve"> </w:t>
      </w:r>
      <w:r w:rsidR="601E0B6D">
        <w:t xml:space="preserve">To help applicants, local planning authorities </w:t>
      </w:r>
      <w:r w:rsidR="56407818">
        <w:t>should</w:t>
      </w:r>
      <w:r w:rsidR="601E0B6D">
        <w:t xml:space="preserve"> specify an address for the purposes of applications for Additional Environmental Approval and make this clear on their websites.  This could be, for example, an email address or a webpage.  Authorities should ensure that</w:t>
      </w:r>
      <w:r w:rsidR="635D50C9">
        <w:t xml:space="preserve"> any</w:t>
      </w:r>
      <w:r w:rsidR="601E0B6D">
        <w:t xml:space="preserve"> address specified is capable of receiving supporting material.</w:t>
      </w:r>
    </w:p>
    <w:p w14:paraId="4F5F3D9D" w14:textId="77777777" w:rsidR="00D379E7" w:rsidRDefault="001C5B68" w:rsidP="001C5B68">
      <w:r>
        <w:t>The application must specify the date which it has been sent and provide sufficient information to allow the local planning authority</w:t>
      </w:r>
      <w:r w:rsidR="00D379E7">
        <w:t>:</w:t>
      </w:r>
    </w:p>
    <w:p w14:paraId="530F0E6C" w14:textId="59A7B1EE" w:rsidR="00D379E7" w:rsidRDefault="001C5B68" w:rsidP="00D379E7">
      <w:pPr>
        <w:pStyle w:val="ListParagraph"/>
        <w:numPr>
          <w:ilvl w:val="0"/>
          <w:numId w:val="7"/>
        </w:numPr>
      </w:pPr>
      <w:r>
        <w:lastRenderedPageBreak/>
        <w:t>to identify the relevant planning permission and condition in respect of which it is made</w:t>
      </w:r>
      <w:r w:rsidR="00D379E7">
        <w:t>; and</w:t>
      </w:r>
    </w:p>
    <w:p w14:paraId="1B5979B8" w14:textId="1F75116E" w:rsidR="001C5B68" w:rsidRDefault="00D379E7" w:rsidP="00F61364">
      <w:pPr>
        <w:pStyle w:val="ListParagraph"/>
        <w:numPr>
          <w:ilvl w:val="0"/>
          <w:numId w:val="7"/>
        </w:numPr>
        <w:rPr>
          <w:rFonts w:eastAsiaTheme="minorEastAsia"/>
        </w:rPr>
      </w:pPr>
      <w:r>
        <w:t>to determine whether Additional Environmental Approval should be granted</w:t>
      </w:r>
      <w:r w:rsidR="001C5B68">
        <w:t>.</w:t>
      </w:r>
    </w:p>
    <w:p w14:paraId="453A21DA" w14:textId="31B975E2" w:rsidR="001C5B68" w:rsidRDefault="001C5B68" w:rsidP="001C5B68">
      <w:pPr>
        <w:rPr>
          <w:b/>
          <w:bCs/>
        </w:rPr>
      </w:pPr>
      <w:r w:rsidRPr="000254B2">
        <w:rPr>
          <w:b/>
          <w:bCs/>
        </w:rPr>
        <w:t>What information does an applicant need to provide</w:t>
      </w:r>
      <w:r w:rsidR="008A19A9">
        <w:rPr>
          <w:b/>
          <w:bCs/>
        </w:rPr>
        <w:t xml:space="preserve"> to enable a local planning authority to determine whether Additional Environmental Approval </w:t>
      </w:r>
      <w:r w:rsidR="000178AB">
        <w:rPr>
          <w:b/>
          <w:bCs/>
        </w:rPr>
        <w:t>should be granted</w:t>
      </w:r>
      <w:r w:rsidRPr="000254B2">
        <w:rPr>
          <w:b/>
          <w:bCs/>
        </w:rPr>
        <w:t>?</w:t>
      </w:r>
    </w:p>
    <w:p w14:paraId="62318BEC" w14:textId="32EC1C65" w:rsidR="001C5B68" w:rsidRDefault="001C5B68" w:rsidP="001C5B68">
      <w:r>
        <w:t xml:space="preserve">Applicants </w:t>
      </w:r>
      <w:r w:rsidR="00517D32">
        <w:t xml:space="preserve">should </w:t>
      </w:r>
      <w:r>
        <w:t>provide details of:</w:t>
      </w:r>
    </w:p>
    <w:p w14:paraId="21D1D3DF" w14:textId="516819E0" w:rsidR="001C5B68" w:rsidRDefault="001C5B68" w:rsidP="001C5B68">
      <w:pPr>
        <w:pStyle w:val="ListParagraph"/>
        <w:numPr>
          <w:ilvl w:val="0"/>
          <w:numId w:val="3"/>
        </w:numPr>
      </w:pPr>
      <w:r>
        <w:t xml:space="preserve">The planning permission </w:t>
      </w:r>
      <w:r w:rsidR="00787050">
        <w:t xml:space="preserve">to </w:t>
      </w:r>
      <w:r>
        <w:t>which the application relates</w:t>
      </w:r>
    </w:p>
    <w:p w14:paraId="09B9E483" w14:textId="56DCB21A" w:rsidR="001C5B68" w:rsidRDefault="001C5B68" w:rsidP="001C5B68">
      <w:pPr>
        <w:pStyle w:val="ListParagraph"/>
        <w:numPr>
          <w:ilvl w:val="0"/>
          <w:numId w:val="3"/>
        </w:numPr>
      </w:pPr>
      <w:r>
        <w:t xml:space="preserve">The </w:t>
      </w:r>
      <w:r w:rsidR="30BB2D3F">
        <w:t>condition</w:t>
      </w:r>
      <w:r w:rsidR="7D8098D5">
        <w:t>(</w:t>
      </w:r>
      <w:r w:rsidR="30BB2D3F">
        <w:t>s</w:t>
      </w:r>
      <w:r w:rsidR="4609043D">
        <w:t>)</w:t>
      </w:r>
      <w:r w:rsidR="00113110">
        <w:t xml:space="preserve"> which set out the </w:t>
      </w:r>
      <w:r w:rsidR="2C83851D">
        <w:t>time limit(s) for implementation</w:t>
      </w:r>
    </w:p>
    <w:p w14:paraId="4F40D050" w14:textId="45C86490" w:rsidR="00AF7D38" w:rsidRDefault="002E6758" w:rsidP="001C5B68">
      <w:pPr>
        <w:pStyle w:val="ListParagraph"/>
        <w:numPr>
          <w:ilvl w:val="0"/>
          <w:numId w:val="3"/>
        </w:numPr>
      </w:pPr>
      <w:r>
        <w:t>Any</w:t>
      </w:r>
      <w:r w:rsidR="00AF7D38">
        <w:t xml:space="preserve"> condition(s) </w:t>
      </w:r>
      <w:r>
        <w:t xml:space="preserve">or </w:t>
      </w:r>
      <w:r w:rsidR="00517F43">
        <w:t xml:space="preserve">other agreements </w:t>
      </w:r>
      <w:r w:rsidR="00AF7D38">
        <w:t>which relate to environmental mitigation or enhancement measures</w:t>
      </w:r>
    </w:p>
    <w:p w14:paraId="3E78DD78" w14:textId="4CD30C28" w:rsidR="002E6758" w:rsidRDefault="58118513" w:rsidP="002E6758">
      <w:pPr>
        <w:pStyle w:val="ListParagraph"/>
        <w:numPr>
          <w:ilvl w:val="0"/>
          <w:numId w:val="3"/>
        </w:numPr>
      </w:pPr>
      <w:r>
        <w:t xml:space="preserve">Whether the original </w:t>
      </w:r>
      <w:r w:rsidR="00516EC8">
        <w:t xml:space="preserve">permission </w:t>
      </w:r>
      <w:r>
        <w:t xml:space="preserve">was subject to an Environmental Impact Assessment </w:t>
      </w:r>
      <w:r w:rsidR="74C67AD0">
        <w:t>and</w:t>
      </w:r>
      <w:r w:rsidR="00CD1B9C">
        <w:t>/or</w:t>
      </w:r>
      <w:r>
        <w:t xml:space="preserve"> a Habitats Regulation Assessment</w:t>
      </w:r>
      <w:r w:rsidR="005C3D3D">
        <w:t>, or screening for either type of assessment</w:t>
      </w:r>
      <w:r>
        <w:t>.</w:t>
      </w:r>
    </w:p>
    <w:p w14:paraId="3EA023C1" w14:textId="1E17AC9E" w:rsidR="001C5B68" w:rsidRDefault="001C5B68" w:rsidP="001C5B68">
      <w:r>
        <w:t xml:space="preserve">If the original planning </w:t>
      </w:r>
      <w:r w:rsidR="00517D32">
        <w:t xml:space="preserve">permission </w:t>
      </w:r>
      <w:r>
        <w:t xml:space="preserve">was subject to one </w:t>
      </w:r>
      <w:r w:rsidR="00517D32">
        <w:t>or both</w:t>
      </w:r>
      <w:r>
        <w:t xml:space="preserve"> of these assessments, </w:t>
      </w:r>
      <w:r w:rsidR="009950B6">
        <w:t xml:space="preserve">or screening for either, </w:t>
      </w:r>
      <w:r>
        <w:t>applicants should also provide details of:</w:t>
      </w:r>
    </w:p>
    <w:p w14:paraId="208872FD" w14:textId="4D9CF06E" w:rsidR="001C5B68" w:rsidRDefault="001C5B68" w:rsidP="001C5B68">
      <w:pPr>
        <w:pStyle w:val="ListParagraph"/>
        <w:numPr>
          <w:ilvl w:val="0"/>
          <w:numId w:val="4"/>
        </w:numPr>
      </w:pPr>
      <w:r>
        <w:t>The original assessment</w:t>
      </w:r>
      <w:r w:rsidR="00517D32">
        <w:t>(s)</w:t>
      </w:r>
      <w:r>
        <w:t xml:space="preserve"> </w:t>
      </w:r>
      <w:r w:rsidR="009950B6">
        <w:t xml:space="preserve">or screening(s) </w:t>
      </w:r>
      <w:r>
        <w:t>and a summary of the key findings</w:t>
      </w:r>
    </w:p>
    <w:p w14:paraId="6B44E4FF" w14:textId="4D120598" w:rsidR="00BB3A5F" w:rsidRDefault="001C5B68" w:rsidP="001C5B68">
      <w:pPr>
        <w:pStyle w:val="ListParagraph"/>
        <w:numPr>
          <w:ilvl w:val="0"/>
          <w:numId w:val="4"/>
        </w:numPr>
      </w:pPr>
      <w:r>
        <w:t xml:space="preserve">Information on any </w:t>
      </w:r>
      <w:r w:rsidR="00BB3A5F">
        <w:t>mitigation measures secured to address environmental effects, and the progress toward delivering these measures</w:t>
      </w:r>
    </w:p>
    <w:p w14:paraId="1E34D83A" w14:textId="58C8AC0A" w:rsidR="001C5B68" w:rsidRDefault="4EC5B97F" w:rsidP="001C5B68">
      <w:pPr>
        <w:pStyle w:val="ListParagraph"/>
        <w:numPr>
          <w:ilvl w:val="0"/>
          <w:numId w:val="4"/>
        </w:numPr>
      </w:pPr>
      <w:r>
        <w:t>A</w:t>
      </w:r>
      <w:r w:rsidR="00F26FD3">
        <w:t>n environmental report containing a</w:t>
      </w:r>
      <w:r w:rsidR="00D138C4">
        <w:t xml:space="preserve"> reasoned</w:t>
      </w:r>
      <w:r>
        <w:t xml:space="preserve"> explanation of why </w:t>
      </w:r>
      <w:r w:rsidR="08830299">
        <w:t>in the applicant’s view</w:t>
      </w:r>
      <w:r>
        <w:t xml:space="preserve"> there </w:t>
      </w:r>
      <w:r w:rsidR="001E7B41">
        <w:t>have been no</w:t>
      </w:r>
      <w:r w:rsidR="001C5B68">
        <w:t xml:space="preserve"> changes </w:t>
      </w:r>
      <w:r w:rsidR="008351AC">
        <w:t xml:space="preserve">to environmental circumstances </w:t>
      </w:r>
      <w:r w:rsidR="001C5B68">
        <w:t xml:space="preserve">which would make the original </w:t>
      </w:r>
      <w:r w:rsidR="009950B6">
        <w:t xml:space="preserve">screening or </w:t>
      </w:r>
      <w:r w:rsidR="001C5B68">
        <w:t>assessment out of date</w:t>
      </w:r>
      <w:r w:rsidR="7E40F638">
        <w:t xml:space="preserve">.  </w:t>
      </w:r>
      <w:r w:rsidR="44A019A9">
        <w:t xml:space="preserve">For </w:t>
      </w:r>
      <w:r w:rsidR="001C5B68">
        <w:t>example</w:t>
      </w:r>
      <w:r w:rsidR="4520B9A8">
        <w:t xml:space="preserve">, </w:t>
      </w:r>
      <w:r w:rsidR="52EF854F">
        <w:t>it may be appropriate to</w:t>
      </w:r>
      <w:r w:rsidR="4520B9A8">
        <w:t xml:space="preserve"> include</w:t>
      </w:r>
      <w:r w:rsidR="0600F679">
        <w:t>:</w:t>
      </w:r>
    </w:p>
    <w:p w14:paraId="2DB01F84" w14:textId="6C24EDE8" w:rsidR="001C5B68" w:rsidRDefault="4520B9A8" w:rsidP="00F61364">
      <w:pPr>
        <w:pStyle w:val="ListParagraph"/>
        <w:numPr>
          <w:ilvl w:val="1"/>
          <w:numId w:val="4"/>
        </w:numPr>
      </w:pPr>
      <w:r>
        <w:t>an analysis of</w:t>
      </w:r>
      <w:r w:rsidR="001C5B68">
        <w:t xml:space="preserve"> any </w:t>
      </w:r>
      <w:r w:rsidR="001E7B41">
        <w:t xml:space="preserve">further </w:t>
      </w:r>
      <w:r w:rsidR="03CF9631">
        <w:t xml:space="preserve">committed </w:t>
      </w:r>
      <w:r w:rsidR="001E7B41">
        <w:t xml:space="preserve">development </w:t>
      </w:r>
      <w:r w:rsidR="3C6511B0">
        <w:t xml:space="preserve">proposals </w:t>
      </w:r>
      <w:r w:rsidR="001E7B41">
        <w:t xml:space="preserve">which </w:t>
      </w:r>
      <w:r w:rsidR="3D8999B2">
        <w:t xml:space="preserve">may </w:t>
      </w:r>
      <w:r w:rsidR="00F402E1">
        <w:t xml:space="preserve">affect </w:t>
      </w:r>
      <w:r w:rsidR="14B2CCE2">
        <w:t xml:space="preserve">the assessment of </w:t>
      </w:r>
      <w:r w:rsidR="00F402E1">
        <w:t>cumulative effect</w:t>
      </w:r>
      <w:r w:rsidR="1C9F94E9">
        <w:t>s,</w:t>
      </w:r>
      <w:r w:rsidR="00DC04B4">
        <w:t xml:space="preserve"> and why </w:t>
      </w:r>
      <w:r w:rsidR="7CD19149">
        <w:t>in the applicant’s view</w:t>
      </w:r>
      <w:r w:rsidR="00DC04B4">
        <w:t xml:space="preserve"> this does not make the original assessment out of date</w:t>
      </w:r>
    </w:p>
    <w:p w14:paraId="57641D28" w14:textId="4BFBD5FC" w:rsidR="00F26FD3" w:rsidRDefault="00E26C3F" w:rsidP="00F26FD3">
      <w:pPr>
        <w:pStyle w:val="ListParagraph"/>
        <w:numPr>
          <w:ilvl w:val="1"/>
          <w:numId w:val="4"/>
        </w:numPr>
      </w:pPr>
      <w:r>
        <w:t>a</w:t>
      </w:r>
      <w:r w:rsidR="79F3D6DE">
        <w:t xml:space="preserve"> description of any </w:t>
      </w:r>
      <w:r w:rsidR="001C5B68">
        <w:t xml:space="preserve">changes to the </w:t>
      </w:r>
      <w:r w:rsidR="00C63D1B">
        <w:t xml:space="preserve">factual </w:t>
      </w:r>
      <w:r w:rsidR="001C5B68">
        <w:t>circumstances of the proposed development, such as a new environmental designation</w:t>
      </w:r>
      <w:r w:rsidR="00662CBC">
        <w:t xml:space="preserve">, new </w:t>
      </w:r>
      <w:r w:rsidR="00872973">
        <w:t xml:space="preserve">environmental </w:t>
      </w:r>
      <w:r w:rsidR="00662CBC">
        <w:t xml:space="preserve">information or </w:t>
      </w:r>
      <w:r w:rsidR="0095430A">
        <w:t>other</w:t>
      </w:r>
      <w:r w:rsidR="00872973">
        <w:t xml:space="preserve"> changes of circumstance,</w:t>
      </w:r>
      <w:r w:rsidR="0095430A">
        <w:t xml:space="preserve"> </w:t>
      </w:r>
      <w:r w:rsidR="008A3351">
        <w:t xml:space="preserve">and </w:t>
      </w:r>
      <w:r w:rsidR="68F8A331">
        <w:t xml:space="preserve">an analysis of </w:t>
      </w:r>
      <w:r w:rsidR="008A3351">
        <w:t xml:space="preserve">why </w:t>
      </w:r>
      <w:r w:rsidR="3653BDEB">
        <w:t xml:space="preserve">in the applicant’s view </w:t>
      </w:r>
      <w:r w:rsidR="008A3351">
        <w:t>this does not make the original assessment out of date</w:t>
      </w:r>
    </w:p>
    <w:p w14:paraId="648E5AB1" w14:textId="4BFBD5FC" w:rsidR="00516EC8" w:rsidRDefault="00A05D6F" w:rsidP="00617141">
      <w:pPr>
        <w:pStyle w:val="ListParagraph"/>
        <w:numPr>
          <w:ilvl w:val="0"/>
          <w:numId w:val="4"/>
        </w:numPr>
      </w:pPr>
      <w:r>
        <w:t xml:space="preserve">Any other relevant information which would </w:t>
      </w:r>
      <w:r w:rsidR="0E78CE99">
        <w:t xml:space="preserve">in the applicant’s view </w:t>
      </w:r>
      <w:r>
        <w:t xml:space="preserve">support the </w:t>
      </w:r>
      <w:r w:rsidR="7954E349">
        <w:t xml:space="preserve">case that </w:t>
      </w:r>
      <w:r>
        <w:t xml:space="preserve">the </w:t>
      </w:r>
      <w:r w:rsidR="7EEFE632">
        <w:t>previous</w:t>
      </w:r>
      <w:r w:rsidR="009950B6">
        <w:t xml:space="preserve"> screenings or</w:t>
      </w:r>
      <w:r w:rsidR="7EEFE632">
        <w:t xml:space="preserve"> </w:t>
      </w:r>
      <w:r>
        <w:t>assessments</w:t>
      </w:r>
      <w:r w:rsidR="1DEEEB00">
        <w:t xml:space="preserve"> remain </w:t>
      </w:r>
      <w:r w:rsidR="009D1565">
        <w:t>up to date</w:t>
      </w:r>
      <w:r w:rsidR="00F513ED">
        <w:t>.</w:t>
      </w:r>
    </w:p>
    <w:p w14:paraId="7617151D" w14:textId="2A430DB8" w:rsidR="00E627F4" w:rsidRDefault="00E627F4" w:rsidP="00FF1AE8">
      <w:r>
        <w:t xml:space="preserve">If the original planning permission </w:t>
      </w:r>
      <w:r w:rsidR="00FC3252">
        <w:t>was granted without the need for an Environmental Impact Assessment or a Habitats Regulations Assessment, applicants should provide a brief explanation of why they consider it remains the case that neither of these assessments would be needed</w:t>
      </w:r>
      <w:r w:rsidR="00E26C3F">
        <w:t xml:space="preserve"> if an application for planning permission was being made now</w:t>
      </w:r>
      <w:r w:rsidR="00FC3252">
        <w:t>.</w:t>
      </w:r>
    </w:p>
    <w:p w14:paraId="6972272E" w14:textId="3D45CD08" w:rsidR="007C6655" w:rsidRDefault="007C6655" w:rsidP="00FF1AE8">
      <w:r>
        <w:t xml:space="preserve">If the original planning permission was granted without the need for screening for an Environmental Impact Assessment or a Habitats Regulations Assessment, but an applicant thinks that screening </w:t>
      </w:r>
      <w:r w:rsidR="0061344D">
        <w:t>might</w:t>
      </w:r>
      <w:r>
        <w:t xml:space="preserve"> be needed if an application for planning permission was being made now and that the screening would show that no substantive assessment was required, then it should provide sufficient information to enable the authority to undertake screening within the 28-day period. </w:t>
      </w:r>
    </w:p>
    <w:p w14:paraId="39D77E67" w14:textId="3A5A8550" w:rsidR="0071009E" w:rsidRDefault="0071009E" w:rsidP="00FF1AE8"/>
    <w:p w14:paraId="3DB9188B" w14:textId="77777777" w:rsidR="00E47B2C" w:rsidRDefault="00E47B2C" w:rsidP="00FF1AE8"/>
    <w:p w14:paraId="2B57098E" w14:textId="77777777" w:rsidR="0071009E" w:rsidRDefault="0071009E" w:rsidP="00FF1AE8"/>
    <w:p w14:paraId="409704A9" w14:textId="08C7EE8F" w:rsidR="41330064" w:rsidRDefault="41330064" w:rsidP="17ADE516">
      <w:pPr>
        <w:rPr>
          <w:b/>
          <w:bCs/>
        </w:rPr>
      </w:pPr>
      <w:r w:rsidRPr="17ADE516">
        <w:rPr>
          <w:b/>
          <w:bCs/>
        </w:rPr>
        <w:lastRenderedPageBreak/>
        <w:t>Is there a prescribed form for an Additional Environmental Approval application?</w:t>
      </w:r>
    </w:p>
    <w:p w14:paraId="702485C3" w14:textId="4843CACD" w:rsidR="41330064" w:rsidRDefault="41330064">
      <w:r>
        <w:t>There is no prescribed form. Applications should be submitted electronically to the local planning authority via the address specified by them for this purpose and provide the required information as set out in this guidance.</w:t>
      </w:r>
      <w:r w:rsidR="00E26C3F">
        <w:t xml:space="preserve"> Applications should be clear and complete to allow authorities to deal with them as efficiently and swiftly as possible. </w:t>
      </w:r>
    </w:p>
    <w:p w14:paraId="3DFEB6E7" w14:textId="1561ED8F" w:rsidR="001C5B68" w:rsidRPr="001C5B68" w:rsidRDefault="00517F43" w:rsidP="001C5B68">
      <w:pPr>
        <w:rPr>
          <w:b/>
          <w:bCs/>
        </w:rPr>
      </w:pPr>
      <w:r>
        <w:rPr>
          <w:b/>
          <w:bCs/>
        </w:rPr>
        <w:t>W</w:t>
      </w:r>
      <w:r w:rsidR="001C5B68" w:rsidRPr="001C5B68">
        <w:rPr>
          <w:b/>
          <w:bCs/>
        </w:rPr>
        <w:t xml:space="preserve">hat </w:t>
      </w:r>
      <w:r w:rsidR="000624C0">
        <w:rPr>
          <w:b/>
          <w:bCs/>
        </w:rPr>
        <w:t>should</w:t>
      </w:r>
      <w:r w:rsidR="001C5B68" w:rsidRPr="001C5B68">
        <w:rPr>
          <w:b/>
          <w:bCs/>
        </w:rPr>
        <w:t xml:space="preserve"> a local planning authority consider when assessing an application for Additional Environmental Approval?</w:t>
      </w:r>
    </w:p>
    <w:p w14:paraId="6FBB8AF7" w14:textId="3B5FD4AD" w:rsidR="001C5B68" w:rsidRDefault="001C5B68" w:rsidP="001C5B68">
      <w:r>
        <w:t>The purpose of the Additional Environmental Approval consent route is to ensure that there have not been any changes since the original</w:t>
      </w:r>
      <w:r w:rsidR="00971272">
        <w:t xml:space="preserve"> consideration of</w:t>
      </w:r>
      <w:r>
        <w:t xml:space="preserve"> Environmental Impact Assessment </w:t>
      </w:r>
      <w:r w:rsidR="0065075C">
        <w:t>and</w:t>
      </w:r>
      <w:r>
        <w:t xml:space="preserve"> Habitats Regulation Assessment which would make th</w:t>
      </w:r>
      <w:r w:rsidR="00971272">
        <w:t>at consideration</w:t>
      </w:r>
      <w:r>
        <w:t xml:space="preserve"> out of date. </w:t>
      </w:r>
      <w:r w:rsidR="00393D64">
        <w:t>Local planning authorities should consider the information submitted by the applicant and take into account any other information available to them</w:t>
      </w:r>
      <w:r w:rsidR="00517F43">
        <w:t>. This may</w:t>
      </w:r>
      <w:r w:rsidR="00393D64">
        <w:t xml:space="preserve"> includ</w:t>
      </w:r>
      <w:r w:rsidR="00517F43">
        <w:t>e</w:t>
      </w:r>
      <w:r w:rsidR="00393D64">
        <w:t xml:space="preserve"> seeking the views of statutory consultees where appropriate (as set out below).</w:t>
      </w:r>
    </w:p>
    <w:p w14:paraId="20A63AA6" w14:textId="4411EBB8" w:rsidR="00833C1F" w:rsidRDefault="00833C1F" w:rsidP="001C5B68">
      <w:r>
        <w:t xml:space="preserve">Additional Environmental Approval </w:t>
      </w:r>
      <w:r w:rsidR="006C46D3">
        <w:t>sh</w:t>
      </w:r>
      <w:r>
        <w:t xml:space="preserve">ould be granted for a development where the authority </w:t>
      </w:r>
      <w:r w:rsidR="006F0B87">
        <w:t>is</w:t>
      </w:r>
      <w:r>
        <w:t xml:space="preserve"> satisfied either:</w:t>
      </w:r>
    </w:p>
    <w:p w14:paraId="4866173E" w14:textId="7E8CDC63" w:rsidR="00833C1F" w:rsidRDefault="00833C1F" w:rsidP="001C5B68">
      <w:r>
        <w:t xml:space="preserve">(a) that, if an application for planning permission </w:t>
      </w:r>
      <w:r w:rsidR="006F0B87">
        <w:t>were</w:t>
      </w:r>
      <w:r>
        <w:t xml:space="preserve"> made now, the development would not need Environmental Impact Assessment or Habitats Regulation Assessment, or</w:t>
      </w:r>
    </w:p>
    <w:p w14:paraId="23242A50" w14:textId="46D66810" w:rsidR="00833C1F" w:rsidRDefault="00833C1F" w:rsidP="001C5B68">
      <w:r>
        <w:t xml:space="preserve">(b) if </w:t>
      </w:r>
      <w:r w:rsidR="0065075C">
        <w:t xml:space="preserve">either or both </w:t>
      </w:r>
      <w:r>
        <w:t>assessment</w:t>
      </w:r>
      <w:r w:rsidR="0065075C">
        <w:t>s</w:t>
      </w:r>
      <w:r>
        <w:t xml:space="preserve"> would be required, </w:t>
      </w:r>
      <w:r w:rsidR="0065075C">
        <w:t>they</w:t>
      </w:r>
      <w:r>
        <w:t xml:space="preserve"> </w:t>
      </w:r>
      <w:r w:rsidR="0065075C">
        <w:t>had been</w:t>
      </w:r>
      <w:r>
        <w:t xml:space="preserve"> undertaken for the grant of the planning permission originally and </w:t>
      </w:r>
      <w:r w:rsidR="0065075C">
        <w:t>they</w:t>
      </w:r>
      <w:r>
        <w:t xml:space="preserve"> remain up to date.</w:t>
      </w:r>
    </w:p>
    <w:p w14:paraId="3A557891" w14:textId="16A7E9F9" w:rsidR="00D341F1" w:rsidRDefault="001C5B68" w:rsidP="001C5B68">
      <w:r>
        <w:t xml:space="preserve">Local planning authorities should also consider whether the original application would now require any additional </w:t>
      </w:r>
      <w:r w:rsidR="00D55039">
        <w:t xml:space="preserve">Environmental Impact Assessment or Habitats Regulations Assessment </w:t>
      </w:r>
      <w:r>
        <w:t xml:space="preserve">due to changes to environmental </w:t>
      </w:r>
      <w:r w:rsidR="00FC3252">
        <w:t xml:space="preserve">circumstances, </w:t>
      </w:r>
      <w:r>
        <w:t>designations</w:t>
      </w:r>
      <w:r w:rsidR="00971272">
        <w:t>,</w:t>
      </w:r>
      <w:r>
        <w:t xml:space="preserve"> </w:t>
      </w:r>
      <w:r w:rsidR="00FC3252">
        <w:t>information</w:t>
      </w:r>
      <w:r>
        <w:t xml:space="preserve"> </w:t>
      </w:r>
      <w:r w:rsidR="00971272">
        <w:t xml:space="preserve">or other matters </w:t>
      </w:r>
      <w:r>
        <w:t xml:space="preserve">which would make the original </w:t>
      </w:r>
      <w:r w:rsidR="0065075C">
        <w:t xml:space="preserve">screening or </w:t>
      </w:r>
      <w:r>
        <w:t>assessment out of date.</w:t>
      </w:r>
      <w:r w:rsidR="004B33C2">
        <w:t xml:space="preserve"> </w:t>
      </w:r>
    </w:p>
    <w:p w14:paraId="40C902EC" w14:textId="7C4E5C22" w:rsidR="001C5B68" w:rsidRDefault="00A413C6" w:rsidP="001C5B68">
      <w:r>
        <w:t>If a development did not need assessment originally but might do now, the authority should undertake a screening exercise to decide whether assessment would now be required.</w:t>
      </w:r>
      <w:r w:rsidR="00D341F1">
        <w:t xml:space="preserve"> If the screening shows that assessment would be required, then Additional Environmental Approval must be refused. </w:t>
      </w:r>
    </w:p>
    <w:p w14:paraId="653172B8" w14:textId="6FFB0BF8" w:rsidR="00A11DBB" w:rsidRDefault="00A11DBB" w:rsidP="001C5B68">
      <w:r>
        <w:t>If an authority does not have enough information to conclude that both the EIA requirement and the habitats requirement are met, then it should refuse to grant the Additional Environmental Approval.</w:t>
      </w:r>
    </w:p>
    <w:p w14:paraId="237F5FC8" w14:textId="00FEE69F" w:rsidR="004B33C2" w:rsidRPr="00891AD4" w:rsidRDefault="004B33C2" w:rsidP="001C5B68">
      <w:pPr>
        <w:rPr>
          <w:b/>
          <w:bCs/>
        </w:rPr>
      </w:pPr>
      <w:r w:rsidRPr="00891AD4">
        <w:rPr>
          <w:b/>
          <w:bCs/>
        </w:rPr>
        <w:t>Should an applicant provide a shadow or informal Habitats Regulation Assessment with their application?</w:t>
      </w:r>
    </w:p>
    <w:p w14:paraId="7809CFE4" w14:textId="302BEE29" w:rsidR="005D4923" w:rsidRPr="00891AD4" w:rsidRDefault="004B33C2" w:rsidP="001C5B68">
      <w:r w:rsidRPr="00891AD4">
        <w:t>An application for Additional Environmental Approval should not require any additional Habitats Regulation</w:t>
      </w:r>
      <w:r w:rsidR="00695B44" w:rsidRPr="00891AD4">
        <w:t>s</w:t>
      </w:r>
      <w:r w:rsidRPr="00891AD4">
        <w:t xml:space="preserve"> Assessment as the local planning authority is only considering </w:t>
      </w:r>
      <w:r w:rsidR="004F0F3D" w:rsidRPr="00891AD4">
        <w:t xml:space="preserve">whether Environmental Impact Assessment or Habitats Regulation Assessment are required and, if so, </w:t>
      </w:r>
      <w:r w:rsidRPr="00891AD4">
        <w:t>whether the original assessment</w:t>
      </w:r>
      <w:r w:rsidR="004F0F3D" w:rsidRPr="00891AD4">
        <w:t>s</w:t>
      </w:r>
      <w:r w:rsidRPr="00891AD4">
        <w:t xml:space="preserve"> </w:t>
      </w:r>
      <w:r w:rsidR="004F0F3D" w:rsidRPr="00891AD4">
        <w:t>are</w:t>
      </w:r>
      <w:r w:rsidRPr="00891AD4">
        <w:t xml:space="preserve"> still relevant and up to date. If additional assessment is required, then </w:t>
      </w:r>
      <w:r w:rsidR="1D960DB4" w:rsidRPr="00891AD4">
        <w:t xml:space="preserve">this is an indication that the previous assessment does not remain </w:t>
      </w:r>
      <w:r w:rsidR="009D1565" w:rsidRPr="00891AD4">
        <w:t>up to date</w:t>
      </w:r>
      <w:r w:rsidR="1D960DB4" w:rsidRPr="00891AD4">
        <w:t xml:space="preserve">, with the result that </w:t>
      </w:r>
      <w:r w:rsidRPr="00891AD4">
        <w:t>the local planning authority should refuse Additional Environmental Approval and a new planning application will be required.</w:t>
      </w:r>
    </w:p>
    <w:p w14:paraId="0AC06793" w14:textId="77777777" w:rsidR="005D4923" w:rsidRPr="00891AD4" w:rsidRDefault="005D4923" w:rsidP="005D4923">
      <w:r w:rsidRPr="00891AD4">
        <w:t xml:space="preserve">Where an applicant anticipates that the development to which the Additional Environmental Approval relates would be likely to have a significant effect on a Habitats Site (either alone or in combination with other plans or projects) and is not directly connected with or necessary to the </w:t>
      </w:r>
      <w:r w:rsidRPr="00891AD4">
        <w:lastRenderedPageBreak/>
        <w:t>management of that site, the application should be accompanied by sufficient information to demonstrate that the previous appropriate assessment remains up to date. </w:t>
      </w:r>
    </w:p>
    <w:p w14:paraId="1F040387" w14:textId="7DD20FBC" w:rsidR="00220487" w:rsidRPr="00891AD4" w:rsidRDefault="00220487" w:rsidP="005D4923">
      <w:r w:rsidRPr="00891AD4">
        <w:t>As part of th</w:t>
      </w:r>
      <w:r w:rsidR="00237398" w:rsidRPr="00891AD4">
        <w:t>is</w:t>
      </w:r>
      <w:r w:rsidRPr="00891AD4">
        <w:t xml:space="preserve"> </w:t>
      </w:r>
      <w:r w:rsidR="00931C9C">
        <w:t>process</w:t>
      </w:r>
      <w:r w:rsidRPr="00891AD4">
        <w:t xml:space="preserve">, applicants </w:t>
      </w:r>
      <w:r w:rsidR="002C6CFE" w:rsidRPr="00891AD4">
        <w:t xml:space="preserve">and local planning authorities </w:t>
      </w:r>
      <w:r w:rsidRPr="00891AD4">
        <w:t xml:space="preserve">may need to consider the implications of recent legal judgments, including </w:t>
      </w:r>
      <w:hyperlink r:id="rId11" w:anchor="what-are-the-implications-of-the-people-over-wind-judgment-for-habitats-regulations-assessments" w:history="1">
        <w:r w:rsidRPr="00891AD4">
          <w:rPr>
            <w:rStyle w:val="Hyperlink"/>
          </w:rPr>
          <w:t>People over Wind.</w:t>
        </w:r>
      </w:hyperlink>
    </w:p>
    <w:p w14:paraId="4E02FAEF" w14:textId="5E26B3C7" w:rsidR="004B33C2" w:rsidRPr="004B33C2" w:rsidRDefault="00695B44" w:rsidP="001C5B68">
      <w:r w:rsidRPr="00891AD4">
        <w:t xml:space="preserve"> Applicants can obtain advice on this from Natural England (see below)</w:t>
      </w:r>
      <w:r w:rsidR="002C6CFE" w:rsidRPr="00891AD4">
        <w:t>.</w:t>
      </w:r>
    </w:p>
    <w:p w14:paraId="550B77D2" w14:textId="7DBB4821" w:rsidR="00FA54D8" w:rsidRPr="00FA54D8" w:rsidRDefault="00FA54D8" w:rsidP="001B3892">
      <w:pPr>
        <w:rPr>
          <w:b/>
          <w:bCs/>
        </w:rPr>
      </w:pPr>
      <w:r>
        <w:rPr>
          <w:b/>
          <w:bCs/>
        </w:rPr>
        <w:t>When should a local planning authority grant Additional Environmental Approval?</w:t>
      </w:r>
    </w:p>
    <w:p w14:paraId="32F7D428" w14:textId="77777777" w:rsidR="002C6CFE" w:rsidRDefault="005031A1" w:rsidP="005031A1">
      <w:r>
        <w:t>Local planning authorities will need to consider whether, if planning permission for the same development were being granted now, an Environmental Impact Assessment and/or a Habitats Regulations Assessment would be required.</w:t>
      </w:r>
    </w:p>
    <w:p w14:paraId="59FBDACA" w14:textId="173F981D" w:rsidR="005031A1" w:rsidRDefault="002C6CFE" w:rsidP="005031A1">
      <w:r>
        <w:t>This is comparable to the existing situation where a local planning authority has to consider whether an earlier screening decision needs to be re-considered, or consider conducting a Habitats Directive article 6(2) review where the appropriate assessment conducted might not have fully met all the requirements of article 6(3), or consider whether a post-application change to a proposed development (for example, by way of non-material amendment, or through details submitted pursuant to a condition) creates a requirement for further screening or assessment under the relevant Directives.  These are informal assessment procedures local planning authorities are already required to undertake to ensure compliance with the Directives.</w:t>
      </w:r>
    </w:p>
    <w:p w14:paraId="2E054E4D" w14:textId="77777777" w:rsidR="005031A1" w:rsidRDefault="005031A1" w:rsidP="005031A1">
      <w:r>
        <w:t>If neither of these would be required, Additional Environmental Approval should be granted.</w:t>
      </w:r>
    </w:p>
    <w:p w14:paraId="1C99AE6D" w14:textId="30A8157E" w:rsidR="005031A1" w:rsidRDefault="005031A1" w:rsidP="005031A1">
      <w:r>
        <w:t xml:space="preserve">If either or both of these would be required, the local planning authority should note whether the original grant of permission was subject to these assessments (or either of them as relevant).  If it was, then the local planning authority should consider whether those assessments remain </w:t>
      </w:r>
      <w:r w:rsidR="009D1565">
        <w:t>up to date</w:t>
      </w:r>
      <w:r>
        <w:t xml:space="preserve">.  </w:t>
      </w:r>
    </w:p>
    <w:p w14:paraId="4EC545E4" w14:textId="1DED327E" w:rsidR="005031A1" w:rsidRDefault="005031A1" w:rsidP="005031A1">
      <w:r>
        <w:t xml:space="preserve">If </w:t>
      </w:r>
      <w:r w:rsidR="00F11179">
        <w:t>the requisite assessments</w:t>
      </w:r>
      <w:r>
        <w:t xml:space="preserve"> do remain </w:t>
      </w:r>
      <w:r w:rsidR="009D1565">
        <w:t>up to date</w:t>
      </w:r>
      <w:r>
        <w:t>, then Additional Environmental Approval should be granted.</w:t>
      </w:r>
    </w:p>
    <w:p w14:paraId="011721CF" w14:textId="21C0FBEB" w:rsidR="005031A1" w:rsidRDefault="005031A1" w:rsidP="005031A1">
      <w:r>
        <w:t xml:space="preserve">If </w:t>
      </w:r>
      <w:r w:rsidR="00F11179">
        <w:t>the requisite assessments</w:t>
      </w:r>
      <w:r>
        <w:t xml:space="preserve"> are no longer up</w:t>
      </w:r>
      <w:r w:rsidR="002C6CFE">
        <w:t xml:space="preserve"> </w:t>
      </w:r>
      <w:r>
        <w:t>to</w:t>
      </w:r>
      <w:r w:rsidR="002C6CFE">
        <w:t xml:space="preserve"> </w:t>
      </w:r>
      <w:r>
        <w:t>date, or if either or both of the assessments were not carried out on the original grant of permission (but would now be required), Additional Environmental Approval should be refused.</w:t>
      </w:r>
    </w:p>
    <w:p w14:paraId="038D3114" w14:textId="0F4A0548" w:rsidR="00B07E75" w:rsidRDefault="00B07E75" w:rsidP="005031A1">
      <w:pPr>
        <w:rPr>
          <w:b/>
          <w:bCs/>
        </w:rPr>
      </w:pPr>
      <w:r>
        <w:rPr>
          <w:b/>
          <w:bCs/>
        </w:rPr>
        <w:t>Should reasons be given following a decision to refuse or grant Additional Environmental Approval?</w:t>
      </w:r>
    </w:p>
    <w:p w14:paraId="25B9499D" w14:textId="3D4E536A" w:rsidR="00B07E75" w:rsidRPr="00B07E75" w:rsidRDefault="001858E0" w:rsidP="005031A1">
      <w:r>
        <w:t xml:space="preserve">Local planning authorities should set out the reasons for their decision to either grant or refuse an application for Additional Environmental Approval. </w:t>
      </w:r>
    </w:p>
    <w:p w14:paraId="30CC6704" w14:textId="2C98C93D" w:rsidR="0071009E" w:rsidRDefault="0071009E" w:rsidP="005031A1"/>
    <w:p w14:paraId="7C6CF941" w14:textId="7BA3397B" w:rsidR="0071009E" w:rsidRDefault="0071009E" w:rsidP="005031A1"/>
    <w:p w14:paraId="3FE12217" w14:textId="3AE59051" w:rsidR="0071009E" w:rsidRDefault="0071009E" w:rsidP="005031A1"/>
    <w:p w14:paraId="13DE439A" w14:textId="50D42C0F" w:rsidR="0071009E" w:rsidRDefault="0071009E" w:rsidP="005031A1"/>
    <w:p w14:paraId="76AB0F5E" w14:textId="1B7973C6" w:rsidR="0071009E" w:rsidRDefault="0071009E" w:rsidP="005031A1"/>
    <w:p w14:paraId="1D5B38B1" w14:textId="4F9A95E6" w:rsidR="0071009E" w:rsidRDefault="0071009E" w:rsidP="005031A1"/>
    <w:p w14:paraId="787569D9" w14:textId="4B6AAD1B" w:rsidR="0071009E" w:rsidRDefault="0071009E" w:rsidP="005031A1"/>
    <w:p w14:paraId="567FC7A3" w14:textId="7F1AA874" w:rsidR="0071009E" w:rsidRDefault="0071009E" w:rsidP="005031A1"/>
    <w:p w14:paraId="3CBD6E17" w14:textId="77777777" w:rsidR="0071009E" w:rsidRDefault="0071009E" w:rsidP="005031A1"/>
    <w:tbl>
      <w:tblPr>
        <w:tblStyle w:val="TableGrid"/>
        <w:tblW w:w="5676" w:type="pct"/>
        <w:tblInd w:w="-431" w:type="dxa"/>
        <w:tblLook w:val="04A0" w:firstRow="1" w:lastRow="0" w:firstColumn="1" w:lastColumn="0" w:noHBand="0" w:noVBand="1"/>
      </w:tblPr>
      <w:tblGrid>
        <w:gridCol w:w="2977"/>
        <w:gridCol w:w="1376"/>
        <w:gridCol w:w="2027"/>
        <w:gridCol w:w="1896"/>
        <w:gridCol w:w="1959"/>
      </w:tblGrid>
      <w:tr w:rsidR="00C026E1" w:rsidRPr="002135E6" w14:paraId="5BA45D6E" w14:textId="77777777" w:rsidTr="0071009E">
        <w:trPr>
          <w:trHeight w:val="727"/>
        </w:trPr>
        <w:tc>
          <w:tcPr>
            <w:tcW w:w="1454" w:type="pct"/>
          </w:tcPr>
          <w:p w14:paraId="13A9DAAB" w14:textId="77777777" w:rsidR="000217A7" w:rsidRDefault="000217A7" w:rsidP="005F1E3C">
            <w:pPr>
              <w:spacing w:before="240"/>
              <w:rPr>
                <w:b/>
              </w:rPr>
            </w:pPr>
          </w:p>
          <w:p w14:paraId="5A55A8D9" w14:textId="3C994A81" w:rsidR="004B33C2" w:rsidRDefault="004B33C2" w:rsidP="005F1E3C">
            <w:pPr>
              <w:spacing w:before="240"/>
              <w:rPr>
                <w:rFonts w:cs="Arial"/>
                <w:b/>
              </w:rPr>
            </w:pPr>
            <w:r w:rsidRPr="002135E6">
              <w:rPr>
                <w:b/>
              </w:rPr>
              <w:t xml:space="preserve">Position if PP were being granted now </w:t>
            </w:r>
            <w:r w:rsidRPr="002135E6">
              <w:rPr>
                <w:rFonts w:cs="Arial"/>
                <w:b/>
              </w:rPr>
              <w:t>►</w:t>
            </w:r>
          </w:p>
          <w:p w14:paraId="233B6BEB" w14:textId="77777777" w:rsidR="004B33C2" w:rsidRPr="002135E6" w:rsidRDefault="004B33C2" w:rsidP="005F1E3C">
            <w:pPr>
              <w:spacing w:before="240"/>
              <w:rPr>
                <w:b/>
              </w:rPr>
            </w:pPr>
          </w:p>
        </w:tc>
        <w:tc>
          <w:tcPr>
            <w:tcW w:w="672" w:type="pct"/>
            <w:vMerge w:val="restart"/>
          </w:tcPr>
          <w:p w14:paraId="39A7DD1B" w14:textId="77777777" w:rsidR="004B33C2" w:rsidRPr="002135E6" w:rsidRDefault="004B33C2" w:rsidP="005F1E3C">
            <w:pPr>
              <w:spacing w:before="240"/>
              <w:rPr>
                <w:b/>
              </w:rPr>
            </w:pPr>
            <w:r w:rsidRPr="002135E6">
              <w:rPr>
                <w:b/>
              </w:rPr>
              <w:t>No EIA or HRA required</w:t>
            </w:r>
          </w:p>
        </w:tc>
        <w:tc>
          <w:tcPr>
            <w:tcW w:w="990" w:type="pct"/>
            <w:vMerge w:val="restart"/>
          </w:tcPr>
          <w:p w14:paraId="77DA1A44" w14:textId="77777777" w:rsidR="004B33C2" w:rsidRPr="002135E6" w:rsidRDefault="004B33C2" w:rsidP="005F1E3C">
            <w:pPr>
              <w:spacing w:before="240"/>
              <w:rPr>
                <w:b/>
              </w:rPr>
            </w:pPr>
            <w:r w:rsidRPr="002135E6">
              <w:rPr>
                <w:b/>
              </w:rPr>
              <w:t>EIA only required</w:t>
            </w:r>
          </w:p>
        </w:tc>
        <w:tc>
          <w:tcPr>
            <w:tcW w:w="926" w:type="pct"/>
            <w:vMerge w:val="restart"/>
          </w:tcPr>
          <w:p w14:paraId="052E8B28" w14:textId="77777777" w:rsidR="004B33C2" w:rsidRPr="002135E6" w:rsidRDefault="004B33C2" w:rsidP="005F1E3C">
            <w:pPr>
              <w:spacing w:before="240"/>
              <w:rPr>
                <w:b/>
              </w:rPr>
            </w:pPr>
            <w:r>
              <w:rPr>
                <w:b/>
              </w:rPr>
              <w:t>HRA only required</w:t>
            </w:r>
          </w:p>
        </w:tc>
        <w:tc>
          <w:tcPr>
            <w:tcW w:w="957" w:type="pct"/>
            <w:vMerge w:val="restart"/>
          </w:tcPr>
          <w:p w14:paraId="659D3919" w14:textId="77777777" w:rsidR="004B33C2" w:rsidRPr="002135E6" w:rsidRDefault="004B33C2" w:rsidP="005F1E3C">
            <w:pPr>
              <w:spacing w:before="240"/>
              <w:rPr>
                <w:b/>
              </w:rPr>
            </w:pPr>
            <w:r>
              <w:rPr>
                <w:b/>
              </w:rPr>
              <w:t>EIA and HRA required</w:t>
            </w:r>
          </w:p>
        </w:tc>
      </w:tr>
      <w:tr w:rsidR="00C026E1" w14:paraId="5C7EEC02" w14:textId="77777777" w:rsidTr="0071009E">
        <w:trPr>
          <w:trHeight w:val="731"/>
        </w:trPr>
        <w:tc>
          <w:tcPr>
            <w:tcW w:w="1454" w:type="pct"/>
          </w:tcPr>
          <w:p w14:paraId="4BA12DA3" w14:textId="77777777" w:rsidR="004B33C2" w:rsidRDefault="004B33C2" w:rsidP="005F1E3C">
            <w:pPr>
              <w:spacing w:before="240"/>
              <w:rPr>
                <w:rFonts w:cs="Arial"/>
                <w:b/>
              </w:rPr>
            </w:pPr>
            <w:r w:rsidRPr="002135E6">
              <w:rPr>
                <w:b/>
              </w:rPr>
              <w:t xml:space="preserve">Position at time of original grant of PP </w:t>
            </w:r>
            <w:r w:rsidRPr="002135E6">
              <w:rPr>
                <w:rFonts w:cs="Arial"/>
                <w:b/>
              </w:rPr>
              <w:t>▼</w:t>
            </w:r>
          </w:p>
          <w:p w14:paraId="0160968B" w14:textId="77777777" w:rsidR="004B33C2" w:rsidRPr="002135E6" w:rsidRDefault="004B33C2" w:rsidP="005F1E3C">
            <w:pPr>
              <w:spacing w:before="240"/>
              <w:rPr>
                <w:b/>
              </w:rPr>
            </w:pPr>
          </w:p>
        </w:tc>
        <w:tc>
          <w:tcPr>
            <w:tcW w:w="672" w:type="pct"/>
            <w:vMerge/>
          </w:tcPr>
          <w:p w14:paraId="717BFB2E" w14:textId="77777777" w:rsidR="004B33C2" w:rsidRDefault="004B33C2" w:rsidP="005F1E3C">
            <w:pPr>
              <w:spacing w:before="240"/>
            </w:pPr>
          </w:p>
        </w:tc>
        <w:tc>
          <w:tcPr>
            <w:tcW w:w="990" w:type="pct"/>
            <w:vMerge/>
          </w:tcPr>
          <w:p w14:paraId="3C6005C1" w14:textId="77777777" w:rsidR="004B33C2" w:rsidRDefault="004B33C2" w:rsidP="005F1E3C">
            <w:pPr>
              <w:spacing w:before="240"/>
            </w:pPr>
          </w:p>
        </w:tc>
        <w:tc>
          <w:tcPr>
            <w:tcW w:w="926" w:type="pct"/>
            <w:vMerge/>
          </w:tcPr>
          <w:p w14:paraId="4AC98DA9" w14:textId="77777777" w:rsidR="004B33C2" w:rsidRDefault="004B33C2" w:rsidP="005F1E3C">
            <w:pPr>
              <w:spacing w:before="240"/>
            </w:pPr>
          </w:p>
        </w:tc>
        <w:tc>
          <w:tcPr>
            <w:tcW w:w="957" w:type="pct"/>
            <w:vMerge/>
          </w:tcPr>
          <w:p w14:paraId="314C705A" w14:textId="77777777" w:rsidR="004B33C2" w:rsidRDefault="004B33C2" w:rsidP="005F1E3C">
            <w:pPr>
              <w:spacing w:before="240"/>
            </w:pPr>
          </w:p>
        </w:tc>
      </w:tr>
      <w:tr w:rsidR="00C86FE6" w14:paraId="0D32F5DF" w14:textId="77777777" w:rsidTr="0071009E">
        <w:trPr>
          <w:trHeight w:val="566"/>
        </w:trPr>
        <w:tc>
          <w:tcPr>
            <w:tcW w:w="1454" w:type="pct"/>
          </w:tcPr>
          <w:p w14:paraId="0C30F53A" w14:textId="77777777" w:rsidR="004B33C2" w:rsidRDefault="004B33C2" w:rsidP="005F1E3C">
            <w:pPr>
              <w:spacing w:before="240"/>
              <w:rPr>
                <w:b/>
              </w:rPr>
            </w:pPr>
            <w:r w:rsidRPr="002135E6">
              <w:rPr>
                <w:b/>
              </w:rPr>
              <w:t xml:space="preserve">No EIA or HRA </w:t>
            </w:r>
            <w:r>
              <w:rPr>
                <w:b/>
              </w:rPr>
              <w:t>carried out</w:t>
            </w:r>
          </w:p>
          <w:p w14:paraId="4D3C6625" w14:textId="77777777" w:rsidR="004B33C2" w:rsidRPr="002135E6" w:rsidRDefault="004B33C2" w:rsidP="005F1E3C">
            <w:pPr>
              <w:spacing w:before="240"/>
              <w:rPr>
                <w:b/>
              </w:rPr>
            </w:pPr>
          </w:p>
        </w:tc>
        <w:tc>
          <w:tcPr>
            <w:tcW w:w="672" w:type="pct"/>
          </w:tcPr>
          <w:p w14:paraId="21277C80" w14:textId="77777777" w:rsidR="004B33C2" w:rsidRDefault="004B33C2" w:rsidP="005F1E3C">
            <w:pPr>
              <w:spacing w:before="240"/>
            </w:pPr>
            <w:r>
              <w:t>Grant AEA</w:t>
            </w:r>
          </w:p>
        </w:tc>
        <w:tc>
          <w:tcPr>
            <w:tcW w:w="990" w:type="pct"/>
          </w:tcPr>
          <w:p w14:paraId="02DFF2ED" w14:textId="77777777" w:rsidR="004B33C2" w:rsidRDefault="004B33C2" w:rsidP="005F1E3C">
            <w:pPr>
              <w:spacing w:before="240"/>
            </w:pPr>
            <w:r>
              <w:t>Refuse AEA</w:t>
            </w:r>
          </w:p>
        </w:tc>
        <w:tc>
          <w:tcPr>
            <w:tcW w:w="926" w:type="pct"/>
          </w:tcPr>
          <w:p w14:paraId="647718F4" w14:textId="77777777" w:rsidR="004B33C2" w:rsidRDefault="004B33C2" w:rsidP="005F1E3C">
            <w:pPr>
              <w:spacing w:before="240"/>
            </w:pPr>
            <w:r>
              <w:t>Refuse AEA</w:t>
            </w:r>
          </w:p>
        </w:tc>
        <w:tc>
          <w:tcPr>
            <w:tcW w:w="957" w:type="pct"/>
          </w:tcPr>
          <w:p w14:paraId="480544F3" w14:textId="77777777" w:rsidR="004B33C2" w:rsidRDefault="004B33C2" w:rsidP="005F1E3C">
            <w:pPr>
              <w:spacing w:before="240"/>
            </w:pPr>
            <w:r>
              <w:t>Refuse AEA</w:t>
            </w:r>
          </w:p>
        </w:tc>
      </w:tr>
      <w:tr w:rsidR="00C86FE6" w14:paraId="1E073154" w14:textId="77777777" w:rsidTr="0071009E">
        <w:trPr>
          <w:trHeight w:val="570"/>
        </w:trPr>
        <w:tc>
          <w:tcPr>
            <w:tcW w:w="1454" w:type="pct"/>
          </w:tcPr>
          <w:p w14:paraId="770F2C72" w14:textId="77777777" w:rsidR="004B33C2" w:rsidRDefault="004B33C2" w:rsidP="005F1E3C">
            <w:pPr>
              <w:spacing w:before="240"/>
              <w:rPr>
                <w:b/>
              </w:rPr>
            </w:pPr>
            <w:r w:rsidRPr="002135E6">
              <w:rPr>
                <w:b/>
              </w:rPr>
              <w:t xml:space="preserve">EIA only </w:t>
            </w:r>
            <w:r>
              <w:rPr>
                <w:b/>
              </w:rPr>
              <w:t>carried out</w:t>
            </w:r>
          </w:p>
          <w:p w14:paraId="1C2919B6" w14:textId="77777777" w:rsidR="004B33C2" w:rsidRPr="002135E6" w:rsidRDefault="004B33C2" w:rsidP="005F1E3C">
            <w:pPr>
              <w:spacing w:before="240"/>
              <w:rPr>
                <w:b/>
              </w:rPr>
            </w:pPr>
          </w:p>
        </w:tc>
        <w:tc>
          <w:tcPr>
            <w:tcW w:w="672" w:type="pct"/>
          </w:tcPr>
          <w:p w14:paraId="6FCC1E2D" w14:textId="77777777" w:rsidR="004B33C2" w:rsidRDefault="004B33C2" w:rsidP="005F1E3C">
            <w:pPr>
              <w:spacing w:before="240"/>
            </w:pPr>
            <w:r>
              <w:t>Grant AEA</w:t>
            </w:r>
          </w:p>
        </w:tc>
        <w:tc>
          <w:tcPr>
            <w:tcW w:w="990" w:type="pct"/>
          </w:tcPr>
          <w:p w14:paraId="04AE93FF" w14:textId="10EACAE4" w:rsidR="004B33C2" w:rsidRDefault="004B33C2" w:rsidP="005F1E3C">
            <w:pPr>
              <w:spacing w:before="240"/>
            </w:pPr>
            <w:r>
              <w:t xml:space="preserve">Grant AEA if EIA remains </w:t>
            </w:r>
            <w:r w:rsidR="009D1565">
              <w:t>up to date</w:t>
            </w:r>
            <w:r>
              <w:t>, otherwise refuse</w:t>
            </w:r>
          </w:p>
        </w:tc>
        <w:tc>
          <w:tcPr>
            <w:tcW w:w="926" w:type="pct"/>
          </w:tcPr>
          <w:p w14:paraId="387043A0" w14:textId="77777777" w:rsidR="004B33C2" w:rsidRDefault="004B33C2" w:rsidP="005F1E3C">
            <w:pPr>
              <w:spacing w:before="240"/>
            </w:pPr>
            <w:r>
              <w:t>Refuse AEA</w:t>
            </w:r>
          </w:p>
        </w:tc>
        <w:tc>
          <w:tcPr>
            <w:tcW w:w="957" w:type="pct"/>
          </w:tcPr>
          <w:p w14:paraId="45DF2E7C" w14:textId="77777777" w:rsidR="004B33C2" w:rsidRDefault="004B33C2" w:rsidP="005F1E3C">
            <w:pPr>
              <w:spacing w:before="240"/>
            </w:pPr>
            <w:r>
              <w:t>Refuse AEA</w:t>
            </w:r>
          </w:p>
        </w:tc>
      </w:tr>
      <w:tr w:rsidR="00C86FE6" w14:paraId="7D926242" w14:textId="77777777" w:rsidTr="0071009E">
        <w:trPr>
          <w:trHeight w:val="570"/>
        </w:trPr>
        <w:tc>
          <w:tcPr>
            <w:tcW w:w="1454" w:type="pct"/>
          </w:tcPr>
          <w:p w14:paraId="14FC14AC" w14:textId="77777777" w:rsidR="004B33C2" w:rsidRDefault="004B33C2" w:rsidP="005F1E3C">
            <w:pPr>
              <w:spacing w:before="240"/>
              <w:rPr>
                <w:b/>
              </w:rPr>
            </w:pPr>
            <w:r w:rsidRPr="002135E6">
              <w:rPr>
                <w:b/>
              </w:rPr>
              <w:t xml:space="preserve">HRA only </w:t>
            </w:r>
            <w:r>
              <w:rPr>
                <w:b/>
              </w:rPr>
              <w:t>carried out</w:t>
            </w:r>
          </w:p>
          <w:p w14:paraId="25B1C3F5" w14:textId="77777777" w:rsidR="004B33C2" w:rsidRPr="002135E6" w:rsidRDefault="004B33C2" w:rsidP="005F1E3C">
            <w:pPr>
              <w:spacing w:before="240"/>
              <w:rPr>
                <w:b/>
              </w:rPr>
            </w:pPr>
          </w:p>
        </w:tc>
        <w:tc>
          <w:tcPr>
            <w:tcW w:w="672" w:type="pct"/>
          </w:tcPr>
          <w:p w14:paraId="2FB74DB2" w14:textId="77777777" w:rsidR="004B33C2" w:rsidRDefault="004B33C2" w:rsidP="005F1E3C">
            <w:pPr>
              <w:spacing w:before="240"/>
            </w:pPr>
            <w:r>
              <w:t>Grant AEA</w:t>
            </w:r>
          </w:p>
        </w:tc>
        <w:tc>
          <w:tcPr>
            <w:tcW w:w="990" w:type="pct"/>
          </w:tcPr>
          <w:p w14:paraId="262C6847" w14:textId="77777777" w:rsidR="004B33C2" w:rsidRDefault="004B33C2" w:rsidP="005F1E3C">
            <w:pPr>
              <w:spacing w:before="240"/>
            </w:pPr>
            <w:r>
              <w:t>Refuse AEA</w:t>
            </w:r>
          </w:p>
        </w:tc>
        <w:tc>
          <w:tcPr>
            <w:tcW w:w="926" w:type="pct"/>
          </w:tcPr>
          <w:p w14:paraId="10A931A1" w14:textId="464B7979" w:rsidR="004B33C2" w:rsidRDefault="004B33C2" w:rsidP="005F1E3C">
            <w:pPr>
              <w:spacing w:before="240"/>
            </w:pPr>
            <w:r>
              <w:t xml:space="preserve">Grant AEA if HRA remains </w:t>
            </w:r>
            <w:r w:rsidR="009D1565">
              <w:t>up to date</w:t>
            </w:r>
            <w:r>
              <w:t>, otherwise refuse</w:t>
            </w:r>
          </w:p>
        </w:tc>
        <w:tc>
          <w:tcPr>
            <w:tcW w:w="957" w:type="pct"/>
          </w:tcPr>
          <w:p w14:paraId="45E1AC0E" w14:textId="77777777" w:rsidR="004B33C2" w:rsidRDefault="004B33C2" w:rsidP="005F1E3C">
            <w:pPr>
              <w:spacing w:before="240"/>
            </w:pPr>
            <w:r>
              <w:t>Refuse AEA</w:t>
            </w:r>
          </w:p>
        </w:tc>
      </w:tr>
      <w:tr w:rsidR="00102D31" w14:paraId="4574A722" w14:textId="77777777" w:rsidTr="0071009E">
        <w:trPr>
          <w:trHeight w:val="40"/>
        </w:trPr>
        <w:tc>
          <w:tcPr>
            <w:tcW w:w="1454" w:type="pct"/>
          </w:tcPr>
          <w:p w14:paraId="73D0819F" w14:textId="77777777" w:rsidR="004B33C2" w:rsidRPr="002135E6" w:rsidRDefault="004B33C2" w:rsidP="005F1E3C">
            <w:pPr>
              <w:spacing w:before="240"/>
              <w:rPr>
                <w:b/>
              </w:rPr>
            </w:pPr>
            <w:r w:rsidRPr="002135E6">
              <w:rPr>
                <w:b/>
              </w:rPr>
              <w:t xml:space="preserve">EIA and HRA </w:t>
            </w:r>
            <w:r>
              <w:rPr>
                <w:b/>
              </w:rPr>
              <w:t>carried out</w:t>
            </w:r>
          </w:p>
        </w:tc>
        <w:tc>
          <w:tcPr>
            <w:tcW w:w="672" w:type="pct"/>
          </w:tcPr>
          <w:p w14:paraId="2109B683" w14:textId="77777777" w:rsidR="004B33C2" w:rsidRDefault="004B33C2" w:rsidP="005F1E3C">
            <w:pPr>
              <w:spacing w:before="240"/>
            </w:pPr>
            <w:r>
              <w:t>Grant AEA</w:t>
            </w:r>
          </w:p>
        </w:tc>
        <w:tc>
          <w:tcPr>
            <w:tcW w:w="990" w:type="pct"/>
          </w:tcPr>
          <w:p w14:paraId="0CAB7BE9" w14:textId="3EB01A82" w:rsidR="004B33C2" w:rsidRDefault="004B33C2" w:rsidP="005F1E3C">
            <w:pPr>
              <w:spacing w:before="240"/>
            </w:pPr>
            <w:r>
              <w:t xml:space="preserve">Grant AEA if EIA remains </w:t>
            </w:r>
            <w:r w:rsidR="009D1565">
              <w:t>up to date</w:t>
            </w:r>
            <w:r>
              <w:t xml:space="preserve">, otherwise refuse  </w:t>
            </w:r>
          </w:p>
          <w:p w14:paraId="29BD5597" w14:textId="47D48238" w:rsidR="004B33C2" w:rsidRDefault="004B33C2" w:rsidP="005F1E3C">
            <w:pPr>
              <w:spacing w:before="240"/>
            </w:pPr>
            <w:r>
              <w:t xml:space="preserve">No need to </w:t>
            </w:r>
            <w:r w:rsidR="00E26C3F">
              <w:t xml:space="preserve">review </w:t>
            </w:r>
            <w:r>
              <w:t>HRA</w:t>
            </w:r>
          </w:p>
          <w:p w14:paraId="5F894151" w14:textId="77777777" w:rsidR="004B33C2" w:rsidRDefault="004B33C2" w:rsidP="005F1E3C">
            <w:pPr>
              <w:spacing w:before="240"/>
            </w:pPr>
          </w:p>
        </w:tc>
        <w:tc>
          <w:tcPr>
            <w:tcW w:w="926" w:type="pct"/>
          </w:tcPr>
          <w:p w14:paraId="2F9BBADC" w14:textId="6170050A" w:rsidR="004B33C2" w:rsidRDefault="004B33C2" w:rsidP="005F1E3C">
            <w:pPr>
              <w:spacing w:before="240"/>
            </w:pPr>
            <w:r>
              <w:t xml:space="preserve">Grant AEA if HRA remains </w:t>
            </w:r>
            <w:r w:rsidR="009D1565">
              <w:t>up to date</w:t>
            </w:r>
            <w:r>
              <w:t>, otherwise refuse</w:t>
            </w:r>
          </w:p>
          <w:p w14:paraId="045C5C1F" w14:textId="3E94818D" w:rsidR="004B33C2" w:rsidRDefault="004B33C2" w:rsidP="005F1E3C">
            <w:pPr>
              <w:spacing w:before="240"/>
            </w:pPr>
            <w:r>
              <w:t xml:space="preserve">No need to </w:t>
            </w:r>
            <w:r w:rsidR="00E26C3F">
              <w:t xml:space="preserve">review </w:t>
            </w:r>
            <w:r>
              <w:t>EIA</w:t>
            </w:r>
          </w:p>
        </w:tc>
        <w:tc>
          <w:tcPr>
            <w:tcW w:w="957" w:type="pct"/>
          </w:tcPr>
          <w:p w14:paraId="6646CEB3" w14:textId="02861ABC" w:rsidR="004B33C2" w:rsidRDefault="004B33C2" w:rsidP="005F1E3C">
            <w:pPr>
              <w:spacing w:before="240"/>
            </w:pPr>
            <w:r>
              <w:t xml:space="preserve">Grant AEA if both EIA and HRA remain </w:t>
            </w:r>
            <w:r w:rsidR="009D1565">
              <w:t>up to date</w:t>
            </w:r>
            <w:r>
              <w:t>, otherwise refuse</w:t>
            </w:r>
          </w:p>
        </w:tc>
      </w:tr>
    </w:tbl>
    <w:p w14:paraId="49DE1097" w14:textId="77777777" w:rsidR="0058137F" w:rsidRDefault="0058137F" w:rsidP="00423B8A">
      <w:pPr>
        <w:rPr>
          <w:b/>
          <w:bCs/>
        </w:rPr>
      </w:pPr>
    </w:p>
    <w:p w14:paraId="764A5F72" w14:textId="4A20B8C2" w:rsidR="00423B8A" w:rsidRPr="000254B2" w:rsidRDefault="00423B8A" w:rsidP="00423B8A">
      <w:pPr>
        <w:rPr>
          <w:b/>
          <w:bCs/>
        </w:rPr>
      </w:pPr>
      <w:r w:rsidRPr="000254B2">
        <w:rPr>
          <w:b/>
          <w:bCs/>
        </w:rPr>
        <w:t xml:space="preserve">What are the timescales </w:t>
      </w:r>
      <w:r>
        <w:rPr>
          <w:b/>
          <w:bCs/>
        </w:rPr>
        <w:t xml:space="preserve">in which </w:t>
      </w:r>
      <w:r w:rsidRPr="000254B2">
        <w:rPr>
          <w:b/>
          <w:bCs/>
        </w:rPr>
        <w:t>a local planning authority should determine an application for Additional Environmental Approval?</w:t>
      </w:r>
    </w:p>
    <w:p w14:paraId="1E3C8211" w14:textId="6785C824" w:rsidR="00423B8A" w:rsidRDefault="00423B8A" w:rsidP="00423B8A">
      <w:r w:rsidRPr="000254B2">
        <w:t xml:space="preserve">Applications should be determined </w:t>
      </w:r>
      <w:r w:rsidR="002D60B4">
        <w:t xml:space="preserve">by the local planning authority </w:t>
      </w:r>
      <w:r w:rsidR="00A8208B">
        <w:t>with</w:t>
      </w:r>
      <w:r w:rsidRPr="000254B2">
        <w:t xml:space="preserve">in 28 days from the </w:t>
      </w:r>
      <w:r w:rsidR="00E26C3F">
        <w:t>sending</w:t>
      </w:r>
      <w:r w:rsidR="00E26C3F" w:rsidRPr="000254B2">
        <w:t xml:space="preserve"> </w:t>
      </w:r>
      <w:r w:rsidRPr="000254B2">
        <w:t xml:space="preserve">of the application. </w:t>
      </w:r>
    </w:p>
    <w:p w14:paraId="12567E26" w14:textId="77777777" w:rsidR="00423B8A" w:rsidRPr="000254B2" w:rsidRDefault="00423B8A" w:rsidP="00423B8A">
      <w:pPr>
        <w:rPr>
          <w:b/>
          <w:bCs/>
        </w:rPr>
      </w:pPr>
      <w:r w:rsidRPr="000254B2">
        <w:rPr>
          <w:b/>
          <w:bCs/>
        </w:rPr>
        <w:t>Can a local planning authority extend the decision timescale?</w:t>
      </w:r>
    </w:p>
    <w:p w14:paraId="1B324595" w14:textId="5E3374A1" w:rsidR="00423B8A" w:rsidRDefault="00423B8A" w:rsidP="00423B8A">
      <w:r w:rsidRPr="000254B2">
        <w:t xml:space="preserve">Applicants and </w:t>
      </w:r>
      <w:r>
        <w:t>local planning authorities</w:t>
      </w:r>
      <w:r w:rsidRPr="000254B2">
        <w:t xml:space="preserve"> can agree an extension </w:t>
      </w:r>
      <w:r w:rsidR="006F1837">
        <w:t>to the 28-day</w:t>
      </w:r>
      <w:r w:rsidRPr="000254B2">
        <w:t xml:space="preserve"> period, but the total of the extension should not exceed 21 days</w:t>
      </w:r>
      <w:r>
        <w:t xml:space="preserve"> in order to ensure that decisions are made as quickly as possible</w:t>
      </w:r>
      <w:r w:rsidRPr="000254B2">
        <w:t>.</w:t>
      </w:r>
      <w:r w:rsidR="008F6F2F">
        <w:t xml:space="preserve">  Any such agreement must be in writing</w:t>
      </w:r>
      <w:r w:rsidR="00701921">
        <w:t>.</w:t>
      </w:r>
    </w:p>
    <w:p w14:paraId="770E2837" w14:textId="00EF551B" w:rsidR="00F06D21" w:rsidRDefault="00F06D21" w:rsidP="00423B8A"/>
    <w:p w14:paraId="78A0A0A8" w14:textId="4540418C" w:rsidR="00E47B2C" w:rsidRDefault="00E47B2C" w:rsidP="00423B8A"/>
    <w:p w14:paraId="4D1F6842" w14:textId="77777777" w:rsidR="00E47B2C" w:rsidRDefault="00E47B2C" w:rsidP="00423B8A"/>
    <w:p w14:paraId="5D48FA8B" w14:textId="77777777" w:rsidR="00F06D21" w:rsidRDefault="00F06D21" w:rsidP="00423B8A"/>
    <w:p w14:paraId="1F6FE008" w14:textId="7C90CFD7" w:rsidR="00423B8A" w:rsidRPr="000254B2" w:rsidRDefault="00423B8A" w:rsidP="00423B8A">
      <w:pPr>
        <w:rPr>
          <w:b/>
          <w:bCs/>
        </w:rPr>
      </w:pPr>
      <w:r w:rsidRPr="000254B2">
        <w:rPr>
          <w:b/>
          <w:bCs/>
        </w:rPr>
        <w:lastRenderedPageBreak/>
        <w:t>What happens if a local planning authority does not make a decision within the timescale?</w:t>
      </w:r>
    </w:p>
    <w:p w14:paraId="1C73DEC9" w14:textId="53C08DD2" w:rsidR="0058137F" w:rsidRPr="00F06D21" w:rsidRDefault="00423B8A" w:rsidP="00B20EAA">
      <w:pPr>
        <w:rPr>
          <w:rFonts w:ascii="BookAntiquaParliamentary" w:hAnsi="BookAntiquaParliamentary" w:cs="BookAntiquaParliamentary"/>
        </w:rPr>
      </w:pPr>
      <w:r w:rsidRPr="000254B2">
        <w:t xml:space="preserve">If the application is not determined in the </w:t>
      </w:r>
      <w:r w:rsidR="00A8208B" w:rsidRPr="000254B2">
        <w:t>28-day</w:t>
      </w:r>
      <w:r w:rsidRPr="000254B2">
        <w:t xml:space="preserve"> timescale</w:t>
      </w:r>
      <w:r w:rsidR="003C50B7">
        <w:t xml:space="preserve"> </w:t>
      </w:r>
      <w:r w:rsidR="006173E6">
        <w:t>(or, where the applicant and local</w:t>
      </w:r>
      <w:r w:rsidRPr="000254B2">
        <w:t xml:space="preserve"> </w:t>
      </w:r>
      <w:r w:rsidR="006173E6">
        <w:t>authority have agreed in writing to an extension of not more than 21 days, the timescale as extended)</w:t>
      </w:r>
      <w:r w:rsidRPr="000254B2">
        <w:t xml:space="preserve">, </w:t>
      </w:r>
      <w:r w:rsidR="00597C6C">
        <w:t xml:space="preserve">the Additional Environmental </w:t>
      </w:r>
      <w:r w:rsidR="005A5450">
        <w:t>Approval</w:t>
      </w:r>
      <w:r w:rsidRPr="000254B2">
        <w:t xml:space="preserve"> </w:t>
      </w:r>
      <w:r w:rsidR="006173E6">
        <w:t>is</w:t>
      </w:r>
      <w:r w:rsidRPr="000254B2">
        <w:t xml:space="preserve"> deemed </w:t>
      </w:r>
      <w:r>
        <w:t xml:space="preserve">to be </w:t>
      </w:r>
      <w:r w:rsidRPr="000254B2">
        <w:t>granted.</w:t>
      </w:r>
      <w:r w:rsidR="00E26C3F">
        <w:t xml:space="preserve"> If an application cannot properly be considered within the extended timescale</w:t>
      </w:r>
      <w:r w:rsidR="00C15553">
        <w:t>, the authority should refuse the application so that there is not a deemed grant of approval.</w:t>
      </w:r>
    </w:p>
    <w:p w14:paraId="04FA6AF9" w14:textId="50C58261" w:rsidR="006047B2" w:rsidRDefault="00B20EAA" w:rsidP="00B20EAA">
      <w:pPr>
        <w:rPr>
          <w:b/>
          <w:bCs/>
        </w:rPr>
      </w:pPr>
      <w:r w:rsidRPr="000254B2">
        <w:rPr>
          <w:b/>
          <w:bCs/>
        </w:rPr>
        <w:t xml:space="preserve">What should I do if there has been a change of environmental circumstances since the original </w:t>
      </w:r>
      <w:r w:rsidR="0027782D">
        <w:rPr>
          <w:b/>
          <w:bCs/>
        </w:rPr>
        <w:t>permission</w:t>
      </w:r>
      <w:r>
        <w:rPr>
          <w:b/>
          <w:bCs/>
        </w:rPr>
        <w:t>?</w:t>
      </w:r>
    </w:p>
    <w:p w14:paraId="0CF69388" w14:textId="125BF9A7" w:rsidR="000A59D6" w:rsidRPr="006047B2" w:rsidRDefault="000A59D6" w:rsidP="00B20EAA">
      <w:pPr>
        <w:rPr>
          <w:b/>
          <w:bCs/>
        </w:rPr>
      </w:pPr>
      <w:r>
        <w:t xml:space="preserve">If it is </w:t>
      </w:r>
      <w:r w:rsidR="00D0260A">
        <w:t xml:space="preserve">clear that there has been a change in the environmental circumstances </w:t>
      </w:r>
      <w:r w:rsidR="005A5EE9">
        <w:t xml:space="preserve">of the </w:t>
      </w:r>
      <w:r w:rsidR="49DECD82">
        <w:t>development</w:t>
      </w:r>
      <w:r w:rsidR="005A5EE9">
        <w:t xml:space="preserve"> which would make </w:t>
      </w:r>
      <w:r w:rsidR="09C387FE">
        <w:t xml:space="preserve">the previous </w:t>
      </w:r>
      <w:r w:rsidR="005A5EE9">
        <w:t xml:space="preserve">Environmental Impact Assessment or Habitats Regulation Assessment </w:t>
      </w:r>
      <w:r w:rsidR="00E7311E">
        <w:t xml:space="preserve">out of date, </w:t>
      </w:r>
      <w:r w:rsidR="005A5450">
        <w:t xml:space="preserve">the </w:t>
      </w:r>
      <w:r w:rsidR="0027782D">
        <w:t xml:space="preserve">Additional Environmental Approval </w:t>
      </w:r>
      <w:r w:rsidR="0884182B">
        <w:t xml:space="preserve">should be refused, meaning that </w:t>
      </w:r>
      <w:r w:rsidR="00525B33">
        <w:t>the planning permission would not be extended</w:t>
      </w:r>
      <w:r w:rsidR="006F0015">
        <w:t>.  In these circumstances,</w:t>
      </w:r>
      <w:r w:rsidR="00AA6CEC">
        <w:t xml:space="preserve"> there is no point in applying for Additional Environmental Approval and</w:t>
      </w:r>
      <w:r w:rsidR="006F0015">
        <w:t xml:space="preserve"> </w:t>
      </w:r>
      <w:r w:rsidR="00E7311E">
        <w:t xml:space="preserve">the </w:t>
      </w:r>
      <w:r w:rsidR="005F040A">
        <w:t xml:space="preserve">applicant </w:t>
      </w:r>
      <w:r w:rsidR="006F0015">
        <w:t xml:space="preserve">would need </w:t>
      </w:r>
      <w:r w:rsidR="001474F1">
        <w:t>to</w:t>
      </w:r>
      <w:r w:rsidR="00E7311E">
        <w:t xml:space="preserve"> submit a new planning applicat</w:t>
      </w:r>
      <w:r w:rsidR="00C60625">
        <w:t>ion</w:t>
      </w:r>
      <w:r w:rsidR="001474F1">
        <w:t xml:space="preserve"> if they wished to </w:t>
      </w:r>
      <w:r w:rsidR="00525B33">
        <w:t>commence the development</w:t>
      </w:r>
      <w:r w:rsidR="00C60625">
        <w:t>.</w:t>
      </w:r>
    </w:p>
    <w:p w14:paraId="73ED6D1B" w14:textId="0968C4A1" w:rsidR="003207F1" w:rsidRDefault="003207F1" w:rsidP="003207F1">
      <w:pPr>
        <w:rPr>
          <w:b/>
          <w:bCs/>
        </w:rPr>
      </w:pPr>
      <w:r w:rsidRPr="000254B2">
        <w:rPr>
          <w:b/>
          <w:bCs/>
        </w:rPr>
        <w:t xml:space="preserve">What should a local planning authority do if sufficient </w:t>
      </w:r>
      <w:r w:rsidR="007F35B0">
        <w:rPr>
          <w:b/>
          <w:bCs/>
        </w:rPr>
        <w:t>material</w:t>
      </w:r>
      <w:r w:rsidR="007F35B0" w:rsidRPr="000254B2">
        <w:rPr>
          <w:b/>
          <w:bCs/>
        </w:rPr>
        <w:t xml:space="preserve"> </w:t>
      </w:r>
      <w:r w:rsidRPr="000254B2">
        <w:rPr>
          <w:b/>
          <w:bCs/>
        </w:rPr>
        <w:t>is not provided?</w:t>
      </w:r>
    </w:p>
    <w:p w14:paraId="137D2718" w14:textId="6E0AB215" w:rsidR="3D03617E" w:rsidRDefault="3D03617E" w:rsidP="59CA26B9">
      <w:r>
        <w:t xml:space="preserve">The legislation requires that sufficient information </w:t>
      </w:r>
      <w:r w:rsidR="072EEB25">
        <w:t xml:space="preserve">be provided with the application </w:t>
      </w:r>
      <w:r>
        <w:t>to allow the local planning authority to reach a decision</w:t>
      </w:r>
      <w:r w:rsidR="7D58EA88">
        <w:t xml:space="preserve"> as to whether Additional Environmental Approval should b</w:t>
      </w:r>
      <w:r w:rsidR="002C6CFE">
        <w:t>e</w:t>
      </w:r>
      <w:r w:rsidR="008A5FE9">
        <w:t xml:space="preserve"> granted</w:t>
      </w:r>
      <w:r>
        <w:t>.  The local planning authority should first form a view on whether it has sufficient information</w:t>
      </w:r>
      <w:r w:rsidR="676CA560">
        <w:t xml:space="preserve">.  </w:t>
      </w:r>
      <w:r w:rsidR="494A26FA">
        <w:t xml:space="preserve">It should do </w:t>
      </w:r>
      <w:r w:rsidR="56291B92">
        <w:t>as soon as practicable after receiving the application.</w:t>
      </w:r>
    </w:p>
    <w:p w14:paraId="08A31BD5" w14:textId="2B5ED41B" w:rsidR="3D03617E" w:rsidRDefault="676CA560">
      <w:r>
        <w:t xml:space="preserve">If the local planning authority considers that insufficient information has been provided, then it should write to the applicant explaining that </w:t>
      </w:r>
      <w:r w:rsidR="5D477588">
        <w:t>the application as submitted does not comply with the legislation, and the authority</w:t>
      </w:r>
      <w:r>
        <w:t xml:space="preserve"> is </w:t>
      </w:r>
      <w:r w:rsidR="5D477588">
        <w:t xml:space="preserve">accordingly </w:t>
      </w:r>
      <w:r>
        <w:t xml:space="preserve">unable to </w:t>
      </w:r>
      <w:r w:rsidR="00891165">
        <w:t xml:space="preserve">entertain </w:t>
      </w:r>
      <w:r w:rsidR="05590271">
        <w:t>the application, unless and until sufficient information is provided.</w:t>
      </w:r>
    </w:p>
    <w:p w14:paraId="1CAED633" w14:textId="6FFBC8AD" w:rsidR="0929AE7C" w:rsidRDefault="158BE566" w:rsidP="0929AE7C">
      <w:r>
        <w:t xml:space="preserve">If the applicant then submits further information to the local planning authority, such that the information submitted as a whole is sufficient, then the local planning authority </w:t>
      </w:r>
      <w:r w:rsidR="545CBF3B">
        <w:t xml:space="preserve">should go on to determine the application.  In this case, the determination period (28 days or as extended by agreement) will only begin to run from the date on which sufficient information was </w:t>
      </w:r>
      <w:r w:rsidR="00E51092">
        <w:t>sent</w:t>
      </w:r>
      <w:r w:rsidR="545CBF3B">
        <w:t>.</w:t>
      </w:r>
    </w:p>
    <w:p w14:paraId="55FA039F" w14:textId="7744CCC6" w:rsidR="00C02B13" w:rsidRPr="00C02B13" w:rsidRDefault="00C02B13" w:rsidP="00C02B13">
      <w:pPr>
        <w:rPr>
          <w:b/>
          <w:bCs/>
        </w:rPr>
      </w:pPr>
      <w:r w:rsidRPr="00C02B13">
        <w:rPr>
          <w:b/>
          <w:bCs/>
        </w:rPr>
        <w:t xml:space="preserve">Can an applicant submit additional material to supplement an application for </w:t>
      </w:r>
      <w:r w:rsidR="004E53FC">
        <w:rPr>
          <w:b/>
          <w:bCs/>
        </w:rPr>
        <w:t>Additional Environmental Approval</w:t>
      </w:r>
      <w:r w:rsidRPr="00C02B13">
        <w:rPr>
          <w:b/>
          <w:bCs/>
        </w:rPr>
        <w:t xml:space="preserve"> during the determination period?  </w:t>
      </w:r>
    </w:p>
    <w:p w14:paraId="64BC04F0" w14:textId="3D8FE1AC" w:rsidR="00C02B13" w:rsidRPr="00617141" w:rsidRDefault="00C02B13" w:rsidP="00C02B13">
      <w:r w:rsidRPr="00617141">
        <w:rPr>
          <w:bCs/>
        </w:rPr>
        <w:t xml:space="preserve">Applicants </w:t>
      </w:r>
      <w:r w:rsidR="1B29B0F0">
        <w:t xml:space="preserve">should </w:t>
      </w:r>
      <w:r w:rsidRPr="00617141">
        <w:rPr>
          <w:bCs/>
        </w:rPr>
        <w:t xml:space="preserve">ensure that all material which is likely to be relevant is included within the application for </w:t>
      </w:r>
      <w:r w:rsidR="004E53FC">
        <w:rPr>
          <w:bCs/>
        </w:rPr>
        <w:t>Additional Environmental Approval</w:t>
      </w:r>
      <w:r>
        <w:t>.</w:t>
      </w:r>
      <w:r w:rsidRPr="00617141">
        <w:rPr>
          <w:bCs/>
        </w:rPr>
        <w:t xml:space="preserve">  </w:t>
      </w:r>
    </w:p>
    <w:p w14:paraId="3AF8C182" w14:textId="00E2E3F3" w:rsidR="00C02B13" w:rsidRDefault="7AB0D16E" w:rsidP="00C02B13">
      <w:r>
        <w:t xml:space="preserve">Further substantive information should not be submitted during </w:t>
      </w:r>
      <w:r w:rsidR="6F43E728">
        <w:t>the determination period</w:t>
      </w:r>
      <w:r w:rsidR="59C3CC01">
        <w:t xml:space="preserve">.  The </w:t>
      </w:r>
      <w:r w:rsidR="6F43E728">
        <w:t>local planning authority</w:t>
      </w:r>
      <w:r w:rsidR="59C3CC01">
        <w:t xml:space="preserve"> is entitled to sufficient information at the star</w:t>
      </w:r>
      <w:r w:rsidR="409B9336">
        <w:t>t of the 28-day period</w:t>
      </w:r>
      <w:r w:rsidR="59C3CC01">
        <w:t xml:space="preserve">.  If during the determination period it becomes apparent that </w:t>
      </w:r>
      <w:r w:rsidR="5732CE28">
        <w:t xml:space="preserve">the local planning authority cannot determine whether the EIA and Habitats requirements are met without </w:t>
      </w:r>
      <w:r w:rsidR="59C3CC01">
        <w:t xml:space="preserve">further </w:t>
      </w:r>
      <w:r w:rsidR="5732CE28">
        <w:t>substantive</w:t>
      </w:r>
      <w:r w:rsidR="59C3CC01">
        <w:t xml:space="preserve"> information</w:t>
      </w:r>
      <w:r w:rsidR="313B7E49">
        <w:t xml:space="preserve"> from the applicant</w:t>
      </w:r>
      <w:r w:rsidR="59C3CC01">
        <w:t xml:space="preserve">, </w:t>
      </w:r>
      <w:r w:rsidR="00C02B13" w:rsidRPr="00617141">
        <w:rPr>
          <w:bCs/>
        </w:rPr>
        <w:t xml:space="preserve">the authority </w:t>
      </w:r>
      <w:r w:rsidR="00B77101">
        <w:rPr>
          <w:bCs/>
        </w:rPr>
        <w:t xml:space="preserve">should refuse </w:t>
      </w:r>
      <w:r w:rsidR="004E53FC">
        <w:rPr>
          <w:bCs/>
        </w:rPr>
        <w:t>Additional Environmental Approval</w:t>
      </w:r>
      <w:r w:rsidR="00C02B13" w:rsidRPr="00617141">
        <w:rPr>
          <w:bCs/>
        </w:rPr>
        <w:t>.</w:t>
      </w:r>
      <w:r w:rsidR="005F368C">
        <w:rPr>
          <w:bCs/>
        </w:rPr>
        <w:t xml:space="preserve">  An applicant may then make a new application for </w:t>
      </w:r>
      <w:r w:rsidR="005F368C">
        <w:t>Additional Environmental Approval containing further information so that the authority can deal with it in a fresh 28-day period.</w:t>
      </w:r>
    </w:p>
    <w:p w14:paraId="2E6542B8" w14:textId="7DBD51C6" w:rsidR="00F06D21" w:rsidRDefault="00F06D21" w:rsidP="00C02B13"/>
    <w:p w14:paraId="62F71D54" w14:textId="77777777" w:rsidR="00F06D21" w:rsidRPr="00617141" w:rsidRDefault="00F06D21" w:rsidP="00C02B13">
      <w:pPr>
        <w:rPr>
          <w:bCs/>
        </w:rPr>
      </w:pPr>
    </w:p>
    <w:p w14:paraId="50F1699E" w14:textId="640E93D0" w:rsidR="00815F5B" w:rsidRDefault="007E1176" w:rsidP="001B3892">
      <w:pPr>
        <w:rPr>
          <w:b/>
          <w:bCs/>
        </w:rPr>
      </w:pPr>
      <w:r>
        <w:rPr>
          <w:b/>
          <w:bCs/>
        </w:rPr>
        <w:lastRenderedPageBreak/>
        <w:t>Will additional surveys be required</w:t>
      </w:r>
      <w:r w:rsidR="00815F5B">
        <w:rPr>
          <w:b/>
          <w:bCs/>
        </w:rPr>
        <w:t>? How will they be completed given the current lockdown restrictions?</w:t>
      </w:r>
    </w:p>
    <w:p w14:paraId="73F4D4B1" w14:textId="77777777" w:rsidR="00D93A23" w:rsidRDefault="00D93A23" w:rsidP="00D93A23">
      <w:r>
        <w:t>It should not be necessary for applicants to carry out any additional on-site</w:t>
      </w:r>
      <w:r w:rsidRPr="002B67A8">
        <w:t xml:space="preserve"> </w:t>
      </w:r>
      <w:r>
        <w:t>surveys. The majority of information for determining whether the original Environmental Impact Assessment or Habitats Regulation Assessment is still up to date can be obtained by reviewing existing surveys and evidence. In some circumstances, it may be that a new desktop survey will assist in demonstrating that the previous Environmental Impact Assessment or Habitats Regulation Assessment remains up to date</w:t>
      </w:r>
    </w:p>
    <w:p w14:paraId="12907A06" w14:textId="77777777" w:rsidR="00D93A23" w:rsidRDefault="00D93A23" w:rsidP="00D93A23">
      <w:r>
        <w:t>If it is felt necessary to submit further substantive environmental information, this is an indication that the previous assessments may not remain up to date.   In these circumstances it would be more appropriate to submit a new planning application rather than seek an Additional Environmental Approval.</w:t>
      </w:r>
    </w:p>
    <w:p w14:paraId="14B7DBE0" w14:textId="1B4F9DF9" w:rsidR="00D93A23" w:rsidRDefault="00BD560F" w:rsidP="001B3892">
      <w:r>
        <w:t xml:space="preserve">It should be noted that </w:t>
      </w:r>
      <w:r w:rsidR="00D93A23">
        <w:t>this legislation does not affect any need to obtain a protected species mitigation licence.</w:t>
      </w:r>
    </w:p>
    <w:p w14:paraId="45713DB4" w14:textId="48D547B6" w:rsidR="007310EE" w:rsidRPr="00617141" w:rsidRDefault="007310EE" w:rsidP="007310EE">
      <w:pPr>
        <w:pStyle w:val="paragraph"/>
        <w:spacing w:before="0" w:beforeAutospacing="0" w:after="0" w:afterAutospacing="0"/>
        <w:textAlignment w:val="baseline"/>
        <w:rPr>
          <w:rStyle w:val="eop"/>
          <w:rFonts w:ascii="Calibri" w:hAnsi="Calibri"/>
          <w:sz w:val="22"/>
        </w:rPr>
      </w:pPr>
      <w:r>
        <w:rPr>
          <w:rStyle w:val="normaltextrun"/>
          <w:rFonts w:ascii="Calibri" w:hAnsi="Calibri" w:cs="Calibri"/>
          <w:b/>
          <w:bCs/>
          <w:sz w:val="22"/>
          <w:szCs w:val="22"/>
        </w:rPr>
        <w:t>Do local planning authorities need to consult local communities?</w:t>
      </w:r>
      <w:r>
        <w:rPr>
          <w:rStyle w:val="eop"/>
          <w:rFonts w:ascii="Calibri" w:hAnsi="Calibri" w:cs="Calibri"/>
          <w:sz w:val="22"/>
          <w:szCs w:val="22"/>
        </w:rPr>
        <w:t> </w:t>
      </w:r>
    </w:p>
    <w:p w14:paraId="392CEC88" w14:textId="77777777" w:rsidR="00B84EFC" w:rsidRDefault="00B84EFC" w:rsidP="007310EE">
      <w:pPr>
        <w:pStyle w:val="paragraph"/>
        <w:spacing w:before="0" w:beforeAutospacing="0" w:after="0" w:afterAutospacing="0"/>
        <w:textAlignment w:val="baseline"/>
        <w:rPr>
          <w:rFonts w:ascii="Segoe UI" w:hAnsi="Segoe UI" w:cs="Segoe UI"/>
          <w:sz w:val="18"/>
          <w:szCs w:val="18"/>
        </w:rPr>
      </w:pPr>
    </w:p>
    <w:p w14:paraId="3BA0FEA3" w14:textId="20D1A29F" w:rsidR="007310EE" w:rsidRPr="00A42766" w:rsidRDefault="007310EE" w:rsidP="00A42766">
      <w:r w:rsidRPr="00A42766">
        <w:t>Local planning authorities will need to make a decision within 28 days</w:t>
      </w:r>
      <w:r w:rsidR="17DEEDD9">
        <w:t xml:space="preserve"> (or as extended by agreement)</w:t>
      </w:r>
      <w:r w:rsidR="0448B396">
        <w:t>.</w:t>
      </w:r>
      <w:r w:rsidRPr="00A42766">
        <w:t xml:space="preserve"> </w:t>
      </w:r>
      <w:r w:rsidR="002A50B1">
        <w:t xml:space="preserve"> The legislation does not require local planning authorities to undertake any specific consultation.  However</w:t>
      </w:r>
      <w:r w:rsidR="005C68BC">
        <w:t>, w</w:t>
      </w:r>
      <w:r w:rsidR="00121D7E">
        <w:t xml:space="preserve">ithin this period, </w:t>
      </w:r>
      <w:r w:rsidRPr="00A42766">
        <w:t xml:space="preserve">LPAs may </w:t>
      </w:r>
      <w:r w:rsidR="000C3ACB">
        <w:t xml:space="preserve">if they consider it </w:t>
      </w:r>
      <w:r w:rsidR="00BE7453">
        <w:t xml:space="preserve">necessary </w:t>
      </w:r>
      <w:r w:rsidRPr="00A42766">
        <w:t>engage relevant ward councillors</w:t>
      </w:r>
      <w:r w:rsidR="00A42766" w:rsidRPr="00A42766">
        <w:t xml:space="preserve"> </w:t>
      </w:r>
      <w:r w:rsidRPr="00A42766">
        <w:t xml:space="preserve">and others who they consider will have </w:t>
      </w:r>
      <w:r w:rsidR="00544FE0">
        <w:t>appropriate expertise</w:t>
      </w:r>
      <w:r w:rsidRPr="00A42766">
        <w:t>.  </w:t>
      </w:r>
      <w:r w:rsidR="00121D7E">
        <w:t xml:space="preserve">  Any engagement </w:t>
      </w:r>
      <w:r w:rsidR="00D87880">
        <w:t xml:space="preserve">should be </w:t>
      </w:r>
      <w:r w:rsidR="00FF7D06">
        <w:t xml:space="preserve">clear that </w:t>
      </w:r>
      <w:r w:rsidR="2323A3E7">
        <w:t>the only question</w:t>
      </w:r>
      <w:r w:rsidR="00817601">
        <w:t>s</w:t>
      </w:r>
      <w:r w:rsidR="2323A3E7">
        <w:t xml:space="preserve"> </w:t>
      </w:r>
      <w:r w:rsidR="00817601">
        <w:t>are</w:t>
      </w:r>
      <w:r w:rsidR="2323A3E7">
        <w:t xml:space="preserve"> </w:t>
      </w:r>
      <w:r w:rsidR="008D369E">
        <w:t xml:space="preserve">whether Environmental Impact Assessment or Habitats Regulation Assessment are required and, if so, </w:t>
      </w:r>
      <w:r w:rsidR="2323A3E7">
        <w:t>whether the previous Environmental Impact Assessment or Habitats Regulations Assessment remains up</w:t>
      </w:r>
      <w:r w:rsidR="003074B5">
        <w:t xml:space="preserve"> </w:t>
      </w:r>
      <w:r w:rsidR="2323A3E7">
        <w:t>to</w:t>
      </w:r>
      <w:r w:rsidR="003074B5">
        <w:t xml:space="preserve"> </w:t>
      </w:r>
      <w:r w:rsidR="2323A3E7">
        <w:t>date</w:t>
      </w:r>
      <w:r w:rsidR="00FB04A1">
        <w:t>.</w:t>
      </w:r>
    </w:p>
    <w:p w14:paraId="60D069C5" w14:textId="478A5745" w:rsidR="001B3892" w:rsidRDefault="001B3892" w:rsidP="001B3892">
      <w:pPr>
        <w:rPr>
          <w:b/>
          <w:bCs/>
        </w:rPr>
      </w:pPr>
      <w:r w:rsidRPr="000254B2">
        <w:rPr>
          <w:b/>
          <w:bCs/>
        </w:rPr>
        <w:t>Is there a requirement for publicity?</w:t>
      </w:r>
    </w:p>
    <w:p w14:paraId="74439791" w14:textId="03A15C0C" w:rsidR="00166577" w:rsidRPr="00317E42" w:rsidRDefault="00FB04A1" w:rsidP="00317E42">
      <w:r>
        <w:t>T</w:t>
      </w:r>
      <w:r w:rsidR="00166577" w:rsidRPr="00317E42">
        <w:t>here is no</w:t>
      </w:r>
      <w:r w:rsidR="00166577">
        <w:t xml:space="preserve"> </w:t>
      </w:r>
      <w:r w:rsidR="708579D2">
        <w:t>statutory</w:t>
      </w:r>
      <w:r w:rsidR="00166577" w:rsidRPr="00317E42">
        <w:t xml:space="preserve"> requirement to publicise applications for </w:t>
      </w:r>
      <w:r w:rsidR="00317E42" w:rsidRPr="00317E42">
        <w:t>Additional Environmental Approval</w:t>
      </w:r>
      <w:r>
        <w:t xml:space="preserve">, similar to </w:t>
      </w:r>
      <w:r w:rsidRPr="00317E42">
        <w:t>a discharge of condition</w:t>
      </w:r>
      <w:r>
        <w:t xml:space="preserve"> or a section 96A non-material amendment</w:t>
      </w:r>
      <w:r w:rsidR="008A0525">
        <w:t>.</w:t>
      </w:r>
      <w:r>
        <w:t xml:space="preserve"> </w:t>
      </w:r>
    </w:p>
    <w:p w14:paraId="36769125" w14:textId="3860201E" w:rsidR="001B3892" w:rsidRPr="005960A9" w:rsidRDefault="001B3892" w:rsidP="005960A9">
      <w:pPr>
        <w:rPr>
          <w:b/>
          <w:bCs/>
        </w:rPr>
      </w:pPr>
      <w:r w:rsidRPr="005960A9">
        <w:rPr>
          <w:b/>
          <w:bCs/>
        </w:rPr>
        <w:t>What steps should an applicant take to engage with their community?</w:t>
      </w:r>
    </w:p>
    <w:p w14:paraId="5ABCE362" w14:textId="2F953507" w:rsidR="007310EE" w:rsidRPr="00912145" w:rsidRDefault="00AF1494" w:rsidP="005960A9">
      <w:r>
        <w:t xml:space="preserve">There is no </w:t>
      </w:r>
      <w:r w:rsidR="65BDA3DC">
        <w:t xml:space="preserve">statutory </w:t>
      </w:r>
      <w:r>
        <w:t>requirement for an applicant</w:t>
      </w:r>
      <w:r w:rsidR="006306BE" w:rsidRPr="00912145">
        <w:t xml:space="preserve"> to engage with the public prior to an application for Additional Environmental Approval being submitted</w:t>
      </w:r>
      <w:r w:rsidR="008429D8" w:rsidRPr="00912145">
        <w:t xml:space="preserve">. The process only considers </w:t>
      </w:r>
      <w:r w:rsidR="008D369E">
        <w:t xml:space="preserve">whether Environmental Impact Assessment or Habitats Regulation Assessment are required and, if so, </w:t>
      </w:r>
      <w:r w:rsidR="008429D8" w:rsidRPr="00912145">
        <w:t>whether</w:t>
      </w:r>
      <w:r w:rsidR="003F30F8">
        <w:t xml:space="preserve"> </w:t>
      </w:r>
      <w:r w:rsidR="008D369E">
        <w:t xml:space="preserve">the previous </w:t>
      </w:r>
      <w:r w:rsidR="008429D8" w:rsidRPr="00912145">
        <w:t>Environmental Impact Assessment or Habitats Regulation</w:t>
      </w:r>
      <w:r w:rsidR="0086361B">
        <w:t>s</w:t>
      </w:r>
      <w:r w:rsidR="008429D8" w:rsidRPr="00912145">
        <w:t xml:space="preserve"> Assessment </w:t>
      </w:r>
      <w:r w:rsidR="003F30F8">
        <w:t>is still up to date.</w:t>
      </w:r>
    </w:p>
    <w:p w14:paraId="5E5CB65A" w14:textId="77777777" w:rsidR="00A234D9" w:rsidRDefault="00A234D9" w:rsidP="00A234D9">
      <w:pPr>
        <w:rPr>
          <w:b/>
          <w:bCs/>
        </w:rPr>
      </w:pPr>
      <w:r>
        <w:rPr>
          <w:b/>
          <w:bCs/>
        </w:rPr>
        <w:t>Do local planning authorities need to consult Natural England, Environment Agency or other statutory consultees?</w:t>
      </w:r>
    </w:p>
    <w:p w14:paraId="25CC7702" w14:textId="77777777" w:rsidR="00A234D9" w:rsidRDefault="00A234D9" w:rsidP="00A234D9">
      <w:pPr>
        <w:rPr>
          <w:highlight w:val="green"/>
        </w:rPr>
      </w:pPr>
      <w:r w:rsidRPr="00A234D9">
        <w:t>There is no statutory requirement for a local planning authority to consult with statutory consultees, though they may do so if they consider it appropriate.  For example, a local planning authority may wish to consult with statutory consultees where there are specific complex issues, but they should ensure that a decision can still be made within the 28-day determination period. Complex issues could arise if environmental circumstances have changed since permission was granted, such as flood risk or groundwater vulnerability has increased, or if recent uses or new information about historic uses have increased land contamination risks.   Local planning authorities should cite the reason for consultation when seeking advice from statutory consultees.</w:t>
      </w:r>
      <w:r>
        <w:t xml:space="preserve"> </w:t>
      </w:r>
    </w:p>
    <w:p w14:paraId="152E41D2" w14:textId="77777777" w:rsidR="00401403" w:rsidRDefault="00401403" w:rsidP="005960A9"/>
    <w:p w14:paraId="0A6460A1" w14:textId="5D01D44C" w:rsidR="00B1033A" w:rsidRPr="005960A9" w:rsidRDefault="00B1033A" w:rsidP="005960A9">
      <w:pPr>
        <w:rPr>
          <w:b/>
          <w:bCs/>
        </w:rPr>
      </w:pPr>
      <w:r w:rsidRPr="005960A9">
        <w:rPr>
          <w:b/>
          <w:bCs/>
        </w:rPr>
        <w:lastRenderedPageBreak/>
        <w:t xml:space="preserve">Should applicants consider using a statutory </w:t>
      </w:r>
      <w:r w:rsidRPr="5468C7E8">
        <w:rPr>
          <w:b/>
          <w:bCs/>
        </w:rPr>
        <w:t>consultee</w:t>
      </w:r>
      <w:r w:rsidR="72767538" w:rsidRPr="5468C7E8">
        <w:rPr>
          <w:b/>
          <w:bCs/>
        </w:rPr>
        <w:t>’</w:t>
      </w:r>
      <w:r w:rsidRPr="5468C7E8">
        <w:rPr>
          <w:b/>
          <w:bCs/>
        </w:rPr>
        <w:t>s</w:t>
      </w:r>
      <w:r w:rsidRPr="005960A9">
        <w:rPr>
          <w:b/>
          <w:bCs/>
        </w:rPr>
        <w:t xml:space="preserve"> pre-application service before submitting an application for Additional Environmental Approval?</w:t>
      </w:r>
    </w:p>
    <w:p w14:paraId="47DBC306" w14:textId="18F71169" w:rsidR="00B1033A" w:rsidRDefault="006104E0" w:rsidP="005960A9">
      <w:r>
        <w:t xml:space="preserve">Applicants are encouraged to consider utilising the paid for services provided by </w:t>
      </w:r>
      <w:hyperlink r:id="rId12" w:anchor="when-you-can-pay-for-agency-advice" w:history="1">
        <w:r w:rsidRPr="00D93A23">
          <w:rPr>
            <w:rStyle w:val="Hyperlink"/>
          </w:rPr>
          <w:t>Natural England</w:t>
        </w:r>
      </w:hyperlink>
      <w:r>
        <w:t xml:space="preserve"> and Envi</w:t>
      </w:r>
      <w:r w:rsidR="002C29EE">
        <w:t>r</w:t>
      </w:r>
      <w:r>
        <w:t xml:space="preserve">onment Agency to </w:t>
      </w:r>
      <w:r w:rsidR="002C29EE">
        <w:t>address</w:t>
      </w:r>
      <w:r>
        <w:t xml:space="preserve"> </w:t>
      </w:r>
      <w:r w:rsidR="00B1033A" w:rsidRPr="00912145">
        <w:t xml:space="preserve">any particular </w:t>
      </w:r>
      <w:r w:rsidR="00B1033A">
        <w:t xml:space="preserve">complex </w:t>
      </w:r>
      <w:r w:rsidR="00B1033A" w:rsidRPr="00912145">
        <w:t xml:space="preserve">issues </w:t>
      </w:r>
      <w:r w:rsidR="002C29EE" w:rsidRPr="00912145">
        <w:t>prior to submitting an application for Additional Environmental Approval.</w:t>
      </w:r>
      <w:r w:rsidR="002C29EE">
        <w:t xml:space="preserve"> </w:t>
      </w:r>
      <w:r w:rsidR="00B1033A" w:rsidRPr="00912145">
        <w:t xml:space="preserve"> </w:t>
      </w:r>
    </w:p>
    <w:p w14:paraId="619FB3DA" w14:textId="35886C0E" w:rsidR="00D15AF2" w:rsidRPr="005960A9" w:rsidRDefault="00D15AF2" w:rsidP="005960A9">
      <w:pPr>
        <w:rPr>
          <w:b/>
          <w:bCs/>
        </w:rPr>
      </w:pPr>
      <w:r w:rsidRPr="005960A9">
        <w:rPr>
          <w:b/>
          <w:bCs/>
        </w:rPr>
        <w:t xml:space="preserve">Will </w:t>
      </w:r>
      <w:r w:rsidR="006F6D54" w:rsidRPr="005960A9">
        <w:rPr>
          <w:b/>
          <w:bCs/>
        </w:rPr>
        <w:t>the decision be taken by officers or a planning committee</w:t>
      </w:r>
      <w:r w:rsidR="00CB59AB" w:rsidRPr="005960A9">
        <w:rPr>
          <w:b/>
          <w:bCs/>
        </w:rPr>
        <w:t xml:space="preserve"> of elected members?</w:t>
      </w:r>
    </w:p>
    <w:p w14:paraId="6FDD7843" w14:textId="258C2D42" w:rsidR="009768C2" w:rsidRDefault="00B80D4A" w:rsidP="005960A9">
      <w:r>
        <w:t xml:space="preserve">This is a matter for the local planning </w:t>
      </w:r>
      <w:r w:rsidR="002D4DAE">
        <w:t xml:space="preserve">authority.   However, </w:t>
      </w:r>
      <w:r w:rsidR="003C1A26">
        <w:t>g</w:t>
      </w:r>
      <w:r w:rsidR="007B43E9" w:rsidRPr="00743858">
        <w:t>iv</w:t>
      </w:r>
      <w:r w:rsidR="00F36929" w:rsidRPr="00743858">
        <w:t xml:space="preserve">en the </w:t>
      </w:r>
      <w:r w:rsidR="00E059A2">
        <w:t xml:space="preserve">default </w:t>
      </w:r>
      <w:r w:rsidR="00034C70" w:rsidRPr="00743858">
        <w:t xml:space="preserve">requirement for decisions to be made </w:t>
      </w:r>
      <w:r w:rsidR="00DA35BB">
        <w:t>within</w:t>
      </w:r>
      <w:r w:rsidR="00DA35BB" w:rsidRPr="00743858">
        <w:t xml:space="preserve"> </w:t>
      </w:r>
      <w:r w:rsidR="00427E86" w:rsidRPr="00743858">
        <w:t>28 days</w:t>
      </w:r>
      <w:r w:rsidR="003C1A26">
        <w:t>,</w:t>
      </w:r>
      <w:r w:rsidR="008C0943" w:rsidRPr="00743858">
        <w:t xml:space="preserve"> local planning authorities </w:t>
      </w:r>
      <w:r w:rsidR="00DA35BB">
        <w:t xml:space="preserve">should </w:t>
      </w:r>
      <w:r w:rsidR="006F322D" w:rsidRPr="00743858">
        <w:t xml:space="preserve">ensure </w:t>
      </w:r>
      <w:r w:rsidR="00A971FC" w:rsidRPr="00743858">
        <w:t xml:space="preserve">that </w:t>
      </w:r>
      <w:r w:rsidR="006F322D" w:rsidRPr="00743858">
        <w:t xml:space="preserve">their </w:t>
      </w:r>
      <w:r w:rsidR="0019336C" w:rsidRPr="00743858">
        <w:t xml:space="preserve">local </w:t>
      </w:r>
      <w:r w:rsidR="00105F98" w:rsidRPr="00743858">
        <w:t xml:space="preserve">delegation arrangements </w:t>
      </w:r>
      <w:r w:rsidR="00DA35BB">
        <w:t xml:space="preserve">facilitate the issuing of </w:t>
      </w:r>
      <w:r w:rsidR="00EA4F4B" w:rsidRPr="00743858">
        <w:t xml:space="preserve">a </w:t>
      </w:r>
      <w:r w:rsidR="005708FE" w:rsidRPr="00743858">
        <w:t xml:space="preserve">decision within the time limit. </w:t>
      </w:r>
    </w:p>
    <w:p w14:paraId="1907D57D" w14:textId="471C2BA3" w:rsidR="4957E450" w:rsidRPr="00CF1EFD" w:rsidRDefault="798FF416" w:rsidP="005960A9">
      <w:pPr>
        <w:rPr>
          <w:b/>
          <w:bCs/>
        </w:rPr>
      </w:pPr>
      <w:r w:rsidRPr="00CF1EFD">
        <w:rPr>
          <w:b/>
          <w:bCs/>
        </w:rPr>
        <w:t>Should the application</w:t>
      </w:r>
      <w:r w:rsidR="2C9E1189" w:rsidRPr="00CF1EFD">
        <w:rPr>
          <w:b/>
          <w:bCs/>
        </w:rPr>
        <w:t xml:space="preserve"> and decision be recorded in the Planning Register?</w:t>
      </w:r>
    </w:p>
    <w:p w14:paraId="1DF9B457" w14:textId="13789591" w:rsidR="3496D8D1" w:rsidRDefault="00C74CE5" w:rsidP="005960A9">
      <w:r>
        <w:t xml:space="preserve">Yes.  </w:t>
      </w:r>
      <w:r w:rsidR="2D515447">
        <w:t xml:space="preserve">Local planning </w:t>
      </w:r>
      <w:r>
        <w:t xml:space="preserve">register </w:t>
      </w:r>
      <w:r w:rsidR="2D515447">
        <w:t xml:space="preserve">authorities will be required to update their local planning registers to include </w:t>
      </w:r>
      <w:r w:rsidR="001D2D64">
        <w:t xml:space="preserve">applications for and decisions </w:t>
      </w:r>
      <w:r w:rsidR="00336DF8">
        <w:t xml:space="preserve">relating to Additional Environmental Approval </w:t>
      </w:r>
      <w:r w:rsidR="3496D8D1">
        <w:t>under these measures.</w:t>
      </w:r>
    </w:p>
    <w:p w14:paraId="7BD71975" w14:textId="21FC966A" w:rsidR="001B3892" w:rsidRDefault="001B3892" w:rsidP="005960A9">
      <w:pPr>
        <w:rPr>
          <w:b/>
          <w:bCs/>
        </w:rPr>
      </w:pPr>
      <w:r w:rsidRPr="000254B2">
        <w:rPr>
          <w:b/>
          <w:bCs/>
        </w:rPr>
        <w:t>Can a local planning authority impose conditions on Additional Environmental Approval?</w:t>
      </w:r>
    </w:p>
    <w:p w14:paraId="722335D9" w14:textId="5FA1DFCE" w:rsidR="00AC3A74" w:rsidRDefault="008D2D75" w:rsidP="005960A9">
      <w:r>
        <w:t xml:space="preserve">No. </w:t>
      </w:r>
      <w:r w:rsidR="007A493F">
        <w:t xml:space="preserve">Conditions </w:t>
      </w:r>
      <w:r w:rsidR="00336DF8">
        <w:t>may</w:t>
      </w:r>
      <w:r w:rsidR="00516EC8">
        <w:t xml:space="preserve"> </w:t>
      </w:r>
      <w:r w:rsidR="009A6283">
        <w:t>not</w:t>
      </w:r>
      <w:r w:rsidR="007A493F">
        <w:t xml:space="preserve"> be attached to the grant of Additional Environmental Approval.</w:t>
      </w:r>
      <w:r w:rsidR="009240F3">
        <w:t xml:space="preserve">  The grant of Additional Environmental Approval does not amount to a planning permission.  It leads to a statutory amendment of the condition governing time for commencement on the previous planning permission. </w:t>
      </w:r>
      <w:r w:rsidR="007A493F">
        <w:t xml:space="preserve"> </w:t>
      </w:r>
      <w:r w:rsidR="008D4AA2">
        <w:t xml:space="preserve">If new conditions </w:t>
      </w:r>
      <w:r w:rsidR="000F6A41">
        <w:t xml:space="preserve">are required in order to make the </w:t>
      </w:r>
      <w:r w:rsidR="42FC6290">
        <w:t>development</w:t>
      </w:r>
      <w:r w:rsidR="000F6A41">
        <w:t xml:space="preserve"> acceptable, then Additional Environmental Approval should be refused</w:t>
      </w:r>
      <w:r w:rsidR="00984369">
        <w:t>.</w:t>
      </w:r>
      <w:r w:rsidR="000F6A41">
        <w:t xml:space="preserve"> </w:t>
      </w:r>
      <w:r w:rsidR="00984369">
        <w:t xml:space="preserve"> In these circumstances, </w:t>
      </w:r>
      <w:r w:rsidR="000F6A41">
        <w:t xml:space="preserve">a new planning application </w:t>
      </w:r>
      <w:r w:rsidR="00984369">
        <w:t xml:space="preserve">would be </w:t>
      </w:r>
      <w:r w:rsidR="000F6A41">
        <w:t>required.</w:t>
      </w:r>
    </w:p>
    <w:p w14:paraId="4FFF722B" w14:textId="1F5FE5A4" w:rsidR="00F24253" w:rsidRDefault="005E3322" w:rsidP="005960A9">
      <w:pPr>
        <w:rPr>
          <w:b/>
          <w:bCs/>
        </w:rPr>
      </w:pPr>
      <w:r>
        <w:rPr>
          <w:b/>
          <w:bCs/>
        </w:rPr>
        <w:t xml:space="preserve">Can a local planning authority revise a S106 obligation </w:t>
      </w:r>
      <w:r w:rsidR="00D335A9">
        <w:rPr>
          <w:b/>
          <w:bCs/>
        </w:rPr>
        <w:t>to mitigate the impacts?</w:t>
      </w:r>
    </w:p>
    <w:p w14:paraId="6F520275" w14:textId="6DDB4534" w:rsidR="003E63C0" w:rsidRPr="003E63C0" w:rsidRDefault="008D2D75" w:rsidP="005960A9">
      <w:r>
        <w:t xml:space="preserve">No. </w:t>
      </w:r>
      <w:r w:rsidR="003E63C0">
        <w:t xml:space="preserve">If a local planning authority needs </w:t>
      </w:r>
      <w:r w:rsidR="004535CB">
        <w:t xml:space="preserve">to </w:t>
      </w:r>
      <w:r w:rsidR="00F505A9">
        <w:t xml:space="preserve">make changes to </w:t>
      </w:r>
      <w:r w:rsidR="004535CB">
        <w:t xml:space="preserve">a </w:t>
      </w:r>
      <w:r w:rsidR="001F58B8">
        <w:t>substantive</w:t>
      </w:r>
      <w:r w:rsidR="004535CB">
        <w:t xml:space="preserve"> S106 obligation</w:t>
      </w:r>
      <w:r w:rsidR="000F6A41">
        <w:t>, for example</w:t>
      </w:r>
      <w:r w:rsidR="004535CB">
        <w:t xml:space="preserve"> in order to allow a conclusion of no adverse effect on the integrity of a European </w:t>
      </w:r>
      <w:r w:rsidR="00246DAC">
        <w:t>site,</w:t>
      </w:r>
      <w:r w:rsidR="004535CB">
        <w:t xml:space="preserve"> then </w:t>
      </w:r>
      <w:r w:rsidR="00787DDB">
        <w:t>this is an indication that the previous Environmental Impact Assessment and/or Habitats Regulations Assessment does not remain up</w:t>
      </w:r>
      <w:r w:rsidR="00D93A23">
        <w:t xml:space="preserve"> </w:t>
      </w:r>
      <w:r w:rsidR="00787DDB">
        <w:t>to</w:t>
      </w:r>
      <w:r w:rsidR="00D93A23">
        <w:t xml:space="preserve"> </w:t>
      </w:r>
      <w:r w:rsidR="00787DDB">
        <w:t xml:space="preserve">date, and </w:t>
      </w:r>
      <w:r w:rsidR="007C0353">
        <w:t xml:space="preserve">Additional Environmental Approval </w:t>
      </w:r>
      <w:r w:rsidR="00246DAC">
        <w:t xml:space="preserve">should </w:t>
      </w:r>
      <w:r w:rsidR="00280719">
        <w:t xml:space="preserve">therefore </w:t>
      </w:r>
      <w:r w:rsidR="00246DAC">
        <w:t>not</w:t>
      </w:r>
      <w:r w:rsidR="00591D15">
        <w:t xml:space="preserve"> be</w:t>
      </w:r>
      <w:r w:rsidR="00246DAC">
        <w:t xml:space="preserve"> grant</w:t>
      </w:r>
      <w:r w:rsidR="00591D15">
        <w:t>ed</w:t>
      </w:r>
      <w:r w:rsidR="00D12B9B">
        <w:t xml:space="preserve">.  </w:t>
      </w:r>
    </w:p>
    <w:p w14:paraId="05F8941F" w14:textId="3FF960DB" w:rsidR="001B3892" w:rsidRDefault="001B3892" w:rsidP="005960A9">
      <w:pPr>
        <w:rPr>
          <w:b/>
          <w:bCs/>
        </w:rPr>
      </w:pPr>
      <w:r w:rsidRPr="000254B2">
        <w:rPr>
          <w:b/>
          <w:bCs/>
        </w:rPr>
        <w:t>How long will the new Additional Environmental Approval route be in place?</w:t>
      </w:r>
    </w:p>
    <w:p w14:paraId="53630A3B" w14:textId="6A9AB150" w:rsidR="0010146D" w:rsidRPr="0010146D" w:rsidRDefault="0010146D" w:rsidP="005960A9">
      <w:r>
        <w:t xml:space="preserve">Applicants will be able to apply for Additional Environmental </w:t>
      </w:r>
      <w:r w:rsidR="00746D5A">
        <w:t xml:space="preserve">Approval </w:t>
      </w:r>
      <w:r>
        <w:t>up until 31 December 2020</w:t>
      </w:r>
      <w:r w:rsidR="00447630">
        <w:t>.</w:t>
      </w:r>
    </w:p>
    <w:p w14:paraId="5FF8B504" w14:textId="2B04325E" w:rsidR="00746D5A" w:rsidRDefault="00746D5A" w:rsidP="005960A9">
      <w:r>
        <w:t xml:space="preserve">No Additional </w:t>
      </w:r>
      <w:r w:rsidR="002505A6">
        <w:t xml:space="preserve">Environmental Approval may be granted </w:t>
      </w:r>
      <w:r w:rsidR="00F07F89">
        <w:t xml:space="preserve">or deemed to be granted </w:t>
      </w:r>
      <w:r w:rsidR="002505A6">
        <w:t>after 31 December 2020</w:t>
      </w:r>
      <w:r w:rsidR="006A1A1B">
        <w:t xml:space="preserve"> (except on an appeal lodged</w:t>
      </w:r>
      <w:r w:rsidR="00931C9C">
        <w:t xml:space="preserve"> on or</w:t>
      </w:r>
      <w:r w:rsidR="006A1A1B">
        <w:t xml:space="preserve"> before that date).</w:t>
      </w:r>
    </w:p>
    <w:p w14:paraId="63ADB7E4" w14:textId="6F538E24" w:rsidR="008F5AFA" w:rsidRDefault="008F5AFA" w:rsidP="005960A9">
      <w:r>
        <w:t xml:space="preserve">This means that, </w:t>
      </w:r>
      <w:r w:rsidR="00FB27D4">
        <w:t xml:space="preserve">in order to be certain that a decision to grant or refuse Additional Environmental Approval will be </w:t>
      </w:r>
      <w:r w:rsidR="006328E4">
        <w:t>made</w:t>
      </w:r>
      <w:r w:rsidR="00050DD4">
        <w:t xml:space="preserve"> one way or the other</w:t>
      </w:r>
      <w:r w:rsidR="00061BCD">
        <w:t xml:space="preserve"> (or that failing that Additional Environmental Approval will be deemed to be granted)</w:t>
      </w:r>
      <w:r w:rsidR="006328E4">
        <w:t xml:space="preserve">, applicants </w:t>
      </w:r>
      <w:r w:rsidR="00050DD4">
        <w:t xml:space="preserve">should submit applications </w:t>
      </w:r>
      <w:r w:rsidR="00F83B71">
        <w:t xml:space="preserve">no later than 2 December 2020.  </w:t>
      </w:r>
      <w:r w:rsidR="644EB0C0">
        <w:t>In practice, applicants should aim to submit comfortably in advance of that date, to allow time to resolve any issues as to whether sufficient information has been supplied</w:t>
      </w:r>
      <w:r w:rsidR="00AC1CE5">
        <w:t xml:space="preserve"> and/or to allow the applicant and local planning authority to agree an extension to the determination period</w:t>
      </w:r>
      <w:r w:rsidR="644EB0C0">
        <w:t>.</w:t>
      </w:r>
    </w:p>
    <w:p w14:paraId="7F1E4CA2" w14:textId="445C1140" w:rsidR="00516EC8" w:rsidRDefault="0006359E" w:rsidP="005960A9">
      <w:r>
        <w:t xml:space="preserve">Where an application is submitted after 2 December 2020, the local planning authority may still determine the application up to </w:t>
      </w:r>
      <w:r w:rsidR="004D1D50">
        <w:t>31 December 2020.  But there will be no deemed grant of Additional Environmental Approval if the local planning authority fails to do so</w:t>
      </w:r>
      <w:r w:rsidR="00EB133F">
        <w:t>.  This is because</w:t>
      </w:r>
      <w:r w:rsidR="00F85417">
        <w:t>, in those circumstances, there is not enough time for the 28-day period to elapse before 31 December 2020.</w:t>
      </w:r>
    </w:p>
    <w:p w14:paraId="43C18370" w14:textId="16F0CFD7" w:rsidR="001B3892" w:rsidRDefault="001B3892" w:rsidP="005960A9">
      <w:pPr>
        <w:rPr>
          <w:b/>
          <w:bCs/>
        </w:rPr>
      </w:pPr>
      <w:r w:rsidRPr="000254B2">
        <w:rPr>
          <w:b/>
          <w:bCs/>
        </w:rPr>
        <w:lastRenderedPageBreak/>
        <w:t>Is there a right to appeal?</w:t>
      </w:r>
    </w:p>
    <w:p w14:paraId="2F6234E0" w14:textId="23813DC8" w:rsidR="00743858" w:rsidRDefault="00B968D6" w:rsidP="005960A9">
      <w:r w:rsidRPr="00B968D6">
        <w:t>Where a</w:t>
      </w:r>
      <w:r w:rsidR="00641E1F">
        <w:t xml:space="preserve"> local planning authority </w:t>
      </w:r>
      <w:r w:rsidRPr="00B968D6">
        <w:t>refuses Additional Environmental Approval, the applicant has the right of appeal to the Secretary of State under s</w:t>
      </w:r>
      <w:r w:rsidR="00AC1CE5">
        <w:t xml:space="preserve">ection </w:t>
      </w:r>
      <w:r w:rsidRPr="00B968D6">
        <w:t xml:space="preserve">78 </w:t>
      </w:r>
      <w:r w:rsidR="006427F2">
        <w:t>Town and Country Planning Act</w:t>
      </w:r>
      <w:r w:rsidRPr="00B968D6">
        <w:t xml:space="preserve"> 1990.  There is no right of appeal against non-determination as</w:t>
      </w:r>
      <w:r w:rsidR="008D2D75">
        <w:t>,</w:t>
      </w:r>
      <w:r w:rsidRPr="00B968D6">
        <w:t xml:space="preserve"> </w:t>
      </w:r>
      <w:r w:rsidR="00D027C6">
        <w:t>in the event of non-determination, Additional Environmental Approval is</w:t>
      </w:r>
      <w:r w:rsidRPr="00B968D6">
        <w:t xml:space="preserve"> deemed </w:t>
      </w:r>
      <w:r w:rsidR="00D027C6">
        <w:t>to be granted</w:t>
      </w:r>
      <w:r w:rsidR="00AC1CE5">
        <w:t>.</w:t>
      </w:r>
    </w:p>
    <w:p w14:paraId="1DA72E97" w14:textId="4542F01C" w:rsidR="008D2D75" w:rsidRPr="00B968D6" w:rsidRDefault="008D2D75" w:rsidP="005960A9">
      <w:r>
        <w:rPr>
          <w:bCs/>
        </w:rPr>
        <w:t xml:space="preserve">Rather than appeal, an applicant may make a new application for </w:t>
      </w:r>
      <w:r>
        <w:t>Additional Environmental Approval containing further information so that the authority can reconsider the position in a fresh 28-day period.</w:t>
      </w:r>
    </w:p>
    <w:p w14:paraId="500631CC" w14:textId="77777777" w:rsidR="00733469" w:rsidRPr="000254B2" w:rsidRDefault="00733469" w:rsidP="005960A9"/>
    <w:sectPr w:rsidR="00733469" w:rsidRPr="000254B2">
      <w:headerReference w:type="default" r:id="rId13"/>
      <w:footerReference w:type="defaul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47C1427" w16cex:dateUtc="2020-06-16T16:39:00Z"/>
  <w16cex:commentExtensible w16cex:durableId="0038B667" w16cex:dateUtc="2020-06-16T12: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11A97" w14:textId="77777777" w:rsidR="00B85EC8" w:rsidRDefault="00B85EC8" w:rsidP="00E75F13">
      <w:pPr>
        <w:spacing w:after="0" w:line="240" w:lineRule="auto"/>
      </w:pPr>
      <w:r>
        <w:separator/>
      </w:r>
    </w:p>
  </w:endnote>
  <w:endnote w:type="continuationSeparator" w:id="0">
    <w:p w14:paraId="1E4B32FC" w14:textId="77777777" w:rsidR="00B85EC8" w:rsidRDefault="00B85EC8" w:rsidP="00E75F13">
      <w:pPr>
        <w:spacing w:after="0" w:line="240" w:lineRule="auto"/>
      </w:pPr>
      <w:r>
        <w:continuationSeparator/>
      </w:r>
    </w:p>
  </w:endnote>
  <w:endnote w:type="continuationNotice" w:id="1">
    <w:p w14:paraId="153AB245" w14:textId="77777777" w:rsidR="00B85EC8" w:rsidRDefault="00B85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BookAntiquaParliamentary">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BA92" w14:textId="77777777" w:rsidR="00CD3917" w:rsidRDefault="00CD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87DA0" w14:textId="77777777" w:rsidR="00B85EC8" w:rsidRDefault="00B85EC8" w:rsidP="00E75F13">
      <w:pPr>
        <w:spacing w:after="0" w:line="240" w:lineRule="auto"/>
      </w:pPr>
      <w:r>
        <w:separator/>
      </w:r>
    </w:p>
  </w:footnote>
  <w:footnote w:type="continuationSeparator" w:id="0">
    <w:p w14:paraId="62420705" w14:textId="77777777" w:rsidR="00B85EC8" w:rsidRDefault="00B85EC8" w:rsidP="00E75F13">
      <w:pPr>
        <w:spacing w:after="0" w:line="240" w:lineRule="auto"/>
      </w:pPr>
      <w:r>
        <w:continuationSeparator/>
      </w:r>
    </w:p>
  </w:footnote>
  <w:footnote w:type="continuationNotice" w:id="1">
    <w:p w14:paraId="123C4DCB" w14:textId="77777777" w:rsidR="00B85EC8" w:rsidRDefault="00B85E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8395" w14:textId="77777777" w:rsidR="00CD3917" w:rsidRDefault="00CD3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6BE"/>
    <w:multiLevelType w:val="hybridMultilevel"/>
    <w:tmpl w:val="AB42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C0C17"/>
    <w:multiLevelType w:val="hybridMultilevel"/>
    <w:tmpl w:val="2250AA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64EC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377FD9"/>
    <w:multiLevelType w:val="hybridMultilevel"/>
    <w:tmpl w:val="DE22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B00A9"/>
    <w:multiLevelType w:val="hybridMultilevel"/>
    <w:tmpl w:val="EF16A19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1FA368E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09140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EE0BBA"/>
    <w:multiLevelType w:val="hybridMultilevel"/>
    <w:tmpl w:val="3104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E14B2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7E433B"/>
    <w:multiLevelType w:val="hybridMultilevel"/>
    <w:tmpl w:val="C3983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5D24D1"/>
    <w:multiLevelType w:val="hybridMultilevel"/>
    <w:tmpl w:val="C3A87C5E"/>
    <w:lvl w:ilvl="0" w:tplc="AA9A440A">
      <w:start w:val="1"/>
      <w:numFmt w:val="decimal"/>
      <w:lvlText w:val="%1"/>
      <w:lvlJc w:val="left"/>
      <w:pPr>
        <w:ind w:left="360" w:hanging="360"/>
      </w:pPr>
      <w:rPr>
        <w:rFonts w:hint="default"/>
      </w:rPr>
    </w:lvl>
    <w:lvl w:ilvl="1" w:tplc="B66610BC">
      <w:start w:val="1"/>
      <w:numFmt w:val="lowerLetter"/>
      <w:pStyle w:val="Second-levelparagraph"/>
      <w:lvlText w:val="(%2)"/>
      <w:lvlJc w:val="left"/>
      <w:pPr>
        <w:ind w:left="1080" w:hanging="360"/>
      </w:pPr>
      <w:rPr>
        <w:rFonts w:hint="default"/>
        <w:b w:val="0"/>
        <w:bCs/>
      </w:rPr>
    </w:lvl>
    <w:lvl w:ilvl="2" w:tplc="0CA8DDB0">
      <w:start w:val="1"/>
      <w:numFmt w:val="lowerRoman"/>
      <w:lvlText w:val="(%3)"/>
      <w:lvlJc w:val="left"/>
      <w:pPr>
        <w:ind w:left="1800" w:hanging="18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A77267"/>
    <w:multiLevelType w:val="hybridMultilevel"/>
    <w:tmpl w:val="5B34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0"/>
  </w:num>
  <w:num w:numId="6">
    <w:abstractNumId w:val="3"/>
  </w:num>
  <w:num w:numId="7">
    <w:abstractNumId w:val="4"/>
  </w:num>
  <w:num w:numId="8">
    <w:abstractNumId w:val="1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69"/>
    <w:rsid w:val="00001BB3"/>
    <w:rsid w:val="00004642"/>
    <w:rsid w:val="000047A5"/>
    <w:rsid w:val="0000543C"/>
    <w:rsid w:val="00005530"/>
    <w:rsid w:val="00006219"/>
    <w:rsid w:val="00006318"/>
    <w:rsid w:val="00006E31"/>
    <w:rsid w:val="00007192"/>
    <w:rsid w:val="00011220"/>
    <w:rsid w:val="00012FBC"/>
    <w:rsid w:val="000178AB"/>
    <w:rsid w:val="000217A7"/>
    <w:rsid w:val="00023958"/>
    <w:rsid w:val="000254B2"/>
    <w:rsid w:val="000271C4"/>
    <w:rsid w:val="00027D03"/>
    <w:rsid w:val="000332A1"/>
    <w:rsid w:val="00034C70"/>
    <w:rsid w:val="00036252"/>
    <w:rsid w:val="0003735B"/>
    <w:rsid w:val="00040AC8"/>
    <w:rsid w:val="000413ED"/>
    <w:rsid w:val="00041477"/>
    <w:rsid w:val="00042AB6"/>
    <w:rsid w:val="00042D5B"/>
    <w:rsid w:val="00042DEE"/>
    <w:rsid w:val="0004595A"/>
    <w:rsid w:val="00050DD4"/>
    <w:rsid w:val="000518DF"/>
    <w:rsid w:val="00051AA1"/>
    <w:rsid w:val="00051D90"/>
    <w:rsid w:val="00054EB7"/>
    <w:rsid w:val="000557B3"/>
    <w:rsid w:val="000558F4"/>
    <w:rsid w:val="00055C69"/>
    <w:rsid w:val="00056FA3"/>
    <w:rsid w:val="0005759E"/>
    <w:rsid w:val="00061BCD"/>
    <w:rsid w:val="000624C0"/>
    <w:rsid w:val="00062897"/>
    <w:rsid w:val="0006359E"/>
    <w:rsid w:val="000648A5"/>
    <w:rsid w:val="00064E45"/>
    <w:rsid w:val="000650F4"/>
    <w:rsid w:val="000671F1"/>
    <w:rsid w:val="000700A1"/>
    <w:rsid w:val="0007046B"/>
    <w:rsid w:val="00070727"/>
    <w:rsid w:val="000730E1"/>
    <w:rsid w:val="000734E6"/>
    <w:rsid w:val="00076153"/>
    <w:rsid w:val="0008178F"/>
    <w:rsid w:val="0008199B"/>
    <w:rsid w:val="000832F3"/>
    <w:rsid w:val="00083DFB"/>
    <w:rsid w:val="000868CE"/>
    <w:rsid w:val="00086F47"/>
    <w:rsid w:val="0008708A"/>
    <w:rsid w:val="00087206"/>
    <w:rsid w:val="00092E75"/>
    <w:rsid w:val="00093CFA"/>
    <w:rsid w:val="000955B2"/>
    <w:rsid w:val="00097830"/>
    <w:rsid w:val="000A19D4"/>
    <w:rsid w:val="000A1F68"/>
    <w:rsid w:val="000A33A7"/>
    <w:rsid w:val="000A4927"/>
    <w:rsid w:val="000A59D6"/>
    <w:rsid w:val="000B2AAF"/>
    <w:rsid w:val="000B3D67"/>
    <w:rsid w:val="000B4F88"/>
    <w:rsid w:val="000B73AD"/>
    <w:rsid w:val="000B7BE7"/>
    <w:rsid w:val="000B7BEF"/>
    <w:rsid w:val="000C04F7"/>
    <w:rsid w:val="000C114C"/>
    <w:rsid w:val="000C3391"/>
    <w:rsid w:val="000C3A4D"/>
    <w:rsid w:val="000C3ACB"/>
    <w:rsid w:val="000C7A63"/>
    <w:rsid w:val="000D063C"/>
    <w:rsid w:val="000D0676"/>
    <w:rsid w:val="000D07C8"/>
    <w:rsid w:val="000D12C4"/>
    <w:rsid w:val="000D164E"/>
    <w:rsid w:val="000D3D00"/>
    <w:rsid w:val="000D40B3"/>
    <w:rsid w:val="000D6BD1"/>
    <w:rsid w:val="000E07E5"/>
    <w:rsid w:val="000E0D0C"/>
    <w:rsid w:val="000E1E52"/>
    <w:rsid w:val="000E27F2"/>
    <w:rsid w:val="000E2A2B"/>
    <w:rsid w:val="000E3474"/>
    <w:rsid w:val="000E3635"/>
    <w:rsid w:val="000E36E9"/>
    <w:rsid w:val="000E620C"/>
    <w:rsid w:val="000F033F"/>
    <w:rsid w:val="000F09AF"/>
    <w:rsid w:val="000F1561"/>
    <w:rsid w:val="000F2101"/>
    <w:rsid w:val="000F2F77"/>
    <w:rsid w:val="000F3E6A"/>
    <w:rsid w:val="000F6A41"/>
    <w:rsid w:val="001000A8"/>
    <w:rsid w:val="0010146D"/>
    <w:rsid w:val="00102D31"/>
    <w:rsid w:val="00105F98"/>
    <w:rsid w:val="00106F8B"/>
    <w:rsid w:val="00110C7C"/>
    <w:rsid w:val="00112EAB"/>
    <w:rsid w:val="00113110"/>
    <w:rsid w:val="00116420"/>
    <w:rsid w:val="00116A8F"/>
    <w:rsid w:val="00117198"/>
    <w:rsid w:val="001178EB"/>
    <w:rsid w:val="00117FED"/>
    <w:rsid w:val="00121548"/>
    <w:rsid w:val="0012156F"/>
    <w:rsid w:val="00121D7E"/>
    <w:rsid w:val="00122722"/>
    <w:rsid w:val="00122B1B"/>
    <w:rsid w:val="00124E0F"/>
    <w:rsid w:val="0012534C"/>
    <w:rsid w:val="0012617E"/>
    <w:rsid w:val="00126240"/>
    <w:rsid w:val="00127B74"/>
    <w:rsid w:val="00133992"/>
    <w:rsid w:val="00136AB7"/>
    <w:rsid w:val="001371E3"/>
    <w:rsid w:val="001412A4"/>
    <w:rsid w:val="0014417E"/>
    <w:rsid w:val="00146341"/>
    <w:rsid w:val="001474F1"/>
    <w:rsid w:val="0014759F"/>
    <w:rsid w:val="00150E09"/>
    <w:rsid w:val="0015207B"/>
    <w:rsid w:val="0015350C"/>
    <w:rsid w:val="00153D9D"/>
    <w:rsid w:val="001568A6"/>
    <w:rsid w:val="00156B37"/>
    <w:rsid w:val="00162BF3"/>
    <w:rsid w:val="00163E4A"/>
    <w:rsid w:val="00165557"/>
    <w:rsid w:val="00165595"/>
    <w:rsid w:val="00166577"/>
    <w:rsid w:val="001675D4"/>
    <w:rsid w:val="00171A71"/>
    <w:rsid w:val="00172BB3"/>
    <w:rsid w:val="0017573E"/>
    <w:rsid w:val="001831DB"/>
    <w:rsid w:val="00184282"/>
    <w:rsid w:val="0018429A"/>
    <w:rsid w:val="0018487D"/>
    <w:rsid w:val="001858E0"/>
    <w:rsid w:val="0018774A"/>
    <w:rsid w:val="00192345"/>
    <w:rsid w:val="001924FC"/>
    <w:rsid w:val="0019336C"/>
    <w:rsid w:val="0019502F"/>
    <w:rsid w:val="00196DEF"/>
    <w:rsid w:val="00197A76"/>
    <w:rsid w:val="001A166A"/>
    <w:rsid w:val="001A3153"/>
    <w:rsid w:val="001A4B7D"/>
    <w:rsid w:val="001A53CA"/>
    <w:rsid w:val="001A7D4B"/>
    <w:rsid w:val="001B3892"/>
    <w:rsid w:val="001B3A19"/>
    <w:rsid w:val="001B6431"/>
    <w:rsid w:val="001C548F"/>
    <w:rsid w:val="001C58C6"/>
    <w:rsid w:val="001C5B68"/>
    <w:rsid w:val="001C6152"/>
    <w:rsid w:val="001C6338"/>
    <w:rsid w:val="001C67C0"/>
    <w:rsid w:val="001C75D7"/>
    <w:rsid w:val="001D02A5"/>
    <w:rsid w:val="001D2D64"/>
    <w:rsid w:val="001D53B7"/>
    <w:rsid w:val="001D5B27"/>
    <w:rsid w:val="001D641A"/>
    <w:rsid w:val="001D71E5"/>
    <w:rsid w:val="001E0C1B"/>
    <w:rsid w:val="001E3154"/>
    <w:rsid w:val="001E3CB6"/>
    <w:rsid w:val="001E3F90"/>
    <w:rsid w:val="001E4436"/>
    <w:rsid w:val="001E66FC"/>
    <w:rsid w:val="001E7B41"/>
    <w:rsid w:val="001E7D42"/>
    <w:rsid w:val="001F0C24"/>
    <w:rsid w:val="001F343B"/>
    <w:rsid w:val="001F3AFC"/>
    <w:rsid w:val="001F3F55"/>
    <w:rsid w:val="001F3F7E"/>
    <w:rsid w:val="001F58B8"/>
    <w:rsid w:val="001F62AC"/>
    <w:rsid w:val="001F706B"/>
    <w:rsid w:val="001F758C"/>
    <w:rsid w:val="002011C1"/>
    <w:rsid w:val="002017AA"/>
    <w:rsid w:val="0020304F"/>
    <w:rsid w:val="00207A58"/>
    <w:rsid w:val="002106BD"/>
    <w:rsid w:val="00210A56"/>
    <w:rsid w:val="00210EFE"/>
    <w:rsid w:val="00211389"/>
    <w:rsid w:val="00211E93"/>
    <w:rsid w:val="002133FF"/>
    <w:rsid w:val="00214954"/>
    <w:rsid w:val="00215BCD"/>
    <w:rsid w:val="00220487"/>
    <w:rsid w:val="00220CE6"/>
    <w:rsid w:val="00221247"/>
    <w:rsid w:val="00221BFD"/>
    <w:rsid w:val="00222600"/>
    <w:rsid w:val="002227F5"/>
    <w:rsid w:val="00222DF9"/>
    <w:rsid w:val="00223565"/>
    <w:rsid w:val="00224D69"/>
    <w:rsid w:val="00227169"/>
    <w:rsid w:val="00230211"/>
    <w:rsid w:val="00230FD6"/>
    <w:rsid w:val="00237398"/>
    <w:rsid w:val="0023797D"/>
    <w:rsid w:val="002417EC"/>
    <w:rsid w:val="002419DA"/>
    <w:rsid w:val="00243632"/>
    <w:rsid w:val="00246DAC"/>
    <w:rsid w:val="002505A6"/>
    <w:rsid w:val="002507CA"/>
    <w:rsid w:val="002511B2"/>
    <w:rsid w:val="00251D11"/>
    <w:rsid w:val="00252773"/>
    <w:rsid w:val="002557D3"/>
    <w:rsid w:val="0025785A"/>
    <w:rsid w:val="002614B6"/>
    <w:rsid w:val="00261DCD"/>
    <w:rsid w:val="002649C6"/>
    <w:rsid w:val="00265D75"/>
    <w:rsid w:val="00265DF2"/>
    <w:rsid w:val="0026756C"/>
    <w:rsid w:val="00267CB2"/>
    <w:rsid w:val="0027191F"/>
    <w:rsid w:val="0027385C"/>
    <w:rsid w:val="00275DAB"/>
    <w:rsid w:val="00275E95"/>
    <w:rsid w:val="00277020"/>
    <w:rsid w:val="002770FE"/>
    <w:rsid w:val="0027782D"/>
    <w:rsid w:val="00277948"/>
    <w:rsid w:val="00280719"/>
    <w:rsid w:val="002810EA"/>
    <w:rsid w:val="002840EA"/>
    <w:rsid w:val="00285E67"/>
    <w:rsid w:val="00290230"/>
    <w:rsid w:val="002903A3"/>
    <w:rsid w:val="00290DB1"/>
    <w:rsid w:val="00291973"/>
    <w:rsid w:val="00291F8D"/>
    <w:rsid w:val="00294372"/>
    <w:rsid w:val="00296E6B"/>
    <w:rsid w:val="002971D2"/>
    <w:rsid w:val="00297CD1"/>
    <w:rsid w:val="002A4FB3"/>
    <w:rsid w:val="002A50B1"/>
    <w:rsid w:val="002A5967"/>
    <w:rsid w:val="002A6FF2"/>
    <w:rsid w:val="002A7A01"/>
    <w:rsid w:val="002B0B8F"/>
    <w:rsid w:val="002B27E2"/>
    <w:rsid w:val="002B2D8B"/>
    <w:rsid w:val="002B53AA"/>
    <w:rsid w:val="002B6089"/>
    <w:rsid w:val="002B609C"/>
    <w:rsid w:val="002B67A8"/>
    <w:rsid w:val="002B6CCF"/>
    <w:rsid w:val="002B7AF0"/>
    <w:rsid w:val="002B7BFC"/>
    <w:rsid w:val="002C29EE"/>
    <w:rsid w:val="002C32C8"/>
    <w:rsid w:val="002C6CFE"/>
    <w:rsid w:val="002D0DCB"/>
    <w:rsid w:val="002D10C2"/>
    <w:rsid w:val="002D3E73"/>
    <w:rsid w:val="002D4DAE"/>
    <w:rsid w:val="002D60B4"/>
    <w:rsid w:val="002E0581"/>
    <w:rsid w:val="002E196E"/>
    <w:rsid w:val="002E1CFE"/>
    <w:rsid w:val="002E20CA"/>
    <w:rsid w:val="002E2276"/>
    <w:rsid w:val="002E2E5F"/>
    <w:rsid w:val="002E3590"/>
    <w:rsid w:val="002E37C1"/>
    <w:rsid w:val="002E6758"/>
    <w:rsid w:val="002F21C2"/>
    <w:rsid w:val="002F3116"/>
    <w:rsid w:val="002F536A"/>
    <w:rsid w:val="002F6476"/>
    <w:rsid w:val="002F69A6"/>
    <w:rsid w:val="002F7CDC"/>
    <w:rsid w:val="00300BF5"/>
    <w:rsid w:val="003033FD"/>
    <w:rsid w:val="00303984"/>
    <w:rsid w:val="00303EA9"/>
    <w:rsid w:val="00304ABE"/>
    <w:rsid w:val="00305089"/>
    <w:rsid w:val="003074B5"/>
    <w:rsid w:val="003078B4"/>
    <w:rsid w:val="00307A5A"/>
    <w:rsid w:val="003123B3"/>
    <w:rsid w:val="003134C4"/>
    <w:rsid w:val="00313BE3"/>
    <w:rsid w:val="00314221"/>
    <w:rsid w:val="00317E42"/>
    <w:rsid w:val="003202D4"/>
    <w:rsid w:val="003207F1"/>
    <w:rsid w:val="00321AA8"/>
    <w:rsid w:val="00321E17"/>
    <w:rsid w:val="00324C6F"/>
    <w:rsid w:val="003250A4"/>
    <w:rsid w:val="00326F3D"/>
    <w:rsid w:val="0033145E"/>
    <w:rsid w:val="00333571"/>
    <w:rsid w:val="003356E6"/>
    <w:rsid w:val="0033614F"/>
    <w:rsid w:val="00336DF8"/>
    <w:rsid w:val="0033795A"/>
    <w:rsid w:val="003402E3"/>
    <w:rsid w:val="00340CFF"/>
    <w:rsid w:val="00342D7E"/>
    <w:rsid w:val="00344CB2"/>
    <w:rsid w:val="003468A2"/>
    <w:rsid w:val="00347DAD"/>
    <w:rsid w:val="003535F2"/>
    <w:rsid w:val="00355323"/>
    <w:rsid w:val="00355812"/>
    <w:rsid w:val="00356CA4"/>
    <w:rsid w:val="00356F1B"/>
    <w:rsid w:val="00357BD2"/>
    <w:rsid w:val="00361358"/>
    <w:rsid w:val="00363304"/>
    <w:rsid w:val="00365C6C"/>
    <w:rsid w:val="00366CDA"/>
    <w:rsid w:val="003676E3"/>
    <w:rsid w:val="0037324F"/>
    <w:rsid w:val="00380C20"/>
    <w:rsid w:val="003813DD"/>
    <w:rsid w:val="00381A72"/>
    <w:rsid w:val="00382A70"/>
    <w:rsid w:val="003842E5"/>
    <w:rsid w:val="00384EEB"/>
    <w:rsid w:val="00384FA1"/>
    <w:rsid w:val="00387550"/>
    <w:rsid w:val="00387CDB"/>
    <w:rsid w:val="00387F16"/>
    <w:rsid w:val="00393C31"/>
    <w:rsid w:val="00393D04"/>
    <w:rsid w:val="00393D64"/>
    <w:rsid w:val="003941A8"/>
    <w:rsid w:val="003952CD"/>
    <w:rsid w:val="003953C7"/>
    <w:rsid w:val="003A01A5"/>
    <w:rsid w:val="003A1798"/>
    <w:rsid w:val="003A24B7"/>
    <w:rsid w:val="003A40BE"/>
    <w:rsid w:val="003A4E95"/>
    <w:rsid w:val="003A508E"/>
    <w:rsid w:val="003A5D2C"/>
    <w:rsid w:val="003A616F"/>
    <w:rsid w:val="003A70F4"/>
    <w:rsid w:val="003A7B88"/>
    <w:rsid w:val="003A7C46"/>
    <w:rsid w:val="003B1137"/>
    <w:rsid w:val="003B23A3"/>
    <w:rsid w:val="003B3764"/>
    <w:rsid w:val="003B4BA6"/>
    <w:rsid w:val="003B4EE0"/>
    <w:rsid w:val="003B522F"/>
    <w:rsid w:val="003B5510"/>
    <w:rsid w:val="003B6E5D"/>
    <w:rsid w:val="003C05ED"/>
    <w:rsid w:val="003C144D"/>
    <w:rsid w:val="003C1A26"/>
    <w:rsid w:val="003C30B8"/>
    <w:rsid w:val="003C50B7"/>
    <w:rsid w:val="003C6586"/>
    <w:rsid w:val="003D0525"/>
    <w:rsid w:val="003D29C6"/>
    <w:rsid w:val="003D2A89"/>
    <w:rsid w:val="003D3D94"/>
    <w:rsid w:val="003D4E7D"/>
    <w:rsid w:val="003D5675"/>
    <w:rsid w:val="003D75B7"/>
    <w:rsid w:val="003E1B90"/>
    <w:rsid w:val="003E2D2A"/>
    <w:rsid w:val="003E2F6E"/>
    <w:rsid w:val="003E3F2E"/>
    <w:rsid w:val="003E450F"/>
    <w:rsid w:val="003E63C0"/>
    <w:rsid w:val="003F0C26"/>
    <w:rsid w:val="003F13EC"/>
    <w:rsid w:val="003F1EC5"/>
    <w:rsid w:val="003F2311"/>
    <w:rsid w:val="003F28C1"/>
    <w:rsid w:val="003F30F8"/>
    <w:rsid w:val="003F3FE4"/>
    <w:rsid w:val="003F5F5E"/>
    <w:rsid w:val="003F6070"/>
    <w:rsid w:val="003F70DC"/>
    <w:rsid w:val="00400FC2"/>
    <w:rsid w:val="00401403"/>
    <w:rsid w:val="004022DC"/>
    <w:rsid w:val="004028B4"/>
    <w:rsid w:val="00402BD5"/>
    <w:rsid w:val="00403A3E"/>
    <w:rsid w:val="00404E61"/>
    <w:rsid w:val="00404FB4"/>
    <w:rsid w:val="004071B0"/>
    <w:rsid w:val="00407537"/>
    <w:rsid w:val="0041762D"/>
    <w:rsid w:val="0042188F"/>
    <w:rsid w:val="00423B8A"/>
    <w:rsid w:val="00424154"/>
    <w:rsid w:val="00427E86"/>
    <w:rsid w:val="004313E7"/>
    <w:rsid w:val="00431631"/>
    <w:rsid w:val="00431E63"/>
    <w:rsid w:val="0043248C"/>
    <w:rsid w:val="004328C8"/>
    <w:rsid w:val="004341D4"/>
    <w:rsid w:val="0043664A"/>
    <w:rsid w:val="00436FC1"/>
    <w:rsid w:val="00437666"/>
    <w:rsid w:val="004378F9"/>
    <w:rsid w:val="00441572"/>
    <w:rsid w:val="00441A51"/>
    <w:rsid w:val="0044520D"/>
    <w:rsid w:val="004453FB"/>
    <w:rsid w:val="00445A5C"/>
    <w:rsid w:val="00446817"/>
    <w:rsid w:val="00447630"/>
    <w:rsid w:val="00450F8C"/>
    <w:rsid w:val="004513CE"/>
    <w:rsid w:val="004535CB"/>
    <w:rsid w:val="004537B7"/>
    <w:rsid w:val="0045586D"/>
    <w:rsid w:val="004566AF"/>
    <w:rsid w:val="004566F0"/>
    <w:rsid w:val="00457003"/>
    <w:rsid w:val="004600C7"/>
    <w:rsid w:val="0046149A"/>
    <w:rsid w:val="00464011"/>
    <w:rsid w:val="00464BEC"/>
    <w:rsid w:val="00464EED"/>
    <w:rsid w:val="004660AC"/>
    <w:rsid w:val="004668B9"/>
    <w:rsid w:val="00466C50"/>
    <w:rsid w:val="00470124"/>
    <w:rsid w:val="00470311"/>
    <w:rsid w:val="00471F96"/>
    <w:rsid w:val="00472C20"/>
    <w:rsid w:val="00472CFF"/>
    <w:rsid w:val="00472E27"/>
    <w:rsid w:val="00473AAB"/>
    <w:rsid w:val="004757D7"/>
    <w:rsid w:val="00476C71"/>
    <w:rsid w:val="0047704F"/>
    <w:rsid w:val="00477189"/>
    <w:rsid w:val="0048074C"/>
    <w:rsid w:val="004816D8"/>
    <w:rsid w:val="00484BE3"/>
    <w:rsid w:val="00484CF3"/>
    <w:rsid w:val="00487FCE"/>
    <w:rsid w:val="00490443"/>
    <w:rsid w:val="004914C1"/>
    <w:rsid w:val="00493F58"/>
    <w:rsid w:val="004941E3"/>
    <w:rsid w:val="00495CC2"/>
    <w:rsid w:val="00497192"/>
    <w:rsid w:val="004A02FE"/>
    <w:rsid w:val="004A0594"/>
    <w:rsid w:val="004A255F"/>
    <w:rsid w:val="004A2F74"/>
    <w:rsid w:val="004A41E5"/>
    <w:rsid w:val="004A4587"/>
    <w:rsid w:val="004A46AC"/>
    <w:rsid w:val="004B09C9"/>
    <w:rsid w:val="004B0BA2"/>
    <w:rsid w:val="004B0BFD"/>
    <w:rsid w:val="004B1B4B"/>
    <w:rsid w:val="004B2204"/>
    <w:rsid w:val="004B229C"/>
    <w:rsid w:val="004B33C2"/>
    <w:rsid w:val="004B4241"/>
    <w:rsid w:val="004B4D78"/>
    <w:rsid w:val="004B4F2F"/>
    <w:rsid w:val="004B667B"/>
    <w:rsid w:val="004C0110"/>
    <w:rsid w:val="004C1622"/>
    <w:rsid w:val="004C2BB9"/>
    <w:rsid w:val="004C2E41"/>
    <w:rsid w:val="004C372C"/>
    <w:rsid w:val="004C4DEC"/>
    <w:rsid w:val="004D108E"/>
    <w:rsid w:val="004D1D50"/>
    <w:rsid w:val="004D25A7"/>
    <w:rsid w:val="004D327B"/>
    <w:rsid w:val="004D6961"/>
    <w:rsid w:val="004D6BF7"/>
    <w:rsid w:val="004D7A65"/>
    <w:rsid w:val="004E259F"/>
    <w:rsid w:val="004E346D"/>
    <w:rsid w:val="004E3A94"/>
    <w:rsid w:val="004E46E4"/>
    <w:rsid w:val="004E524B"/>
    <w:rsid w:val="004E52FB"/>
    <w:rsid w:val="004E53FC"/>
    <w:rsid w:val="004E7059"/>
    <w:rsid w:val="004E7DAD"/>
    <w:rsid w:val="004F0F3D"/>
    <w:rsid w:val="004F27F4"/>
    <w:rsid w:val="004F4A83"/>
    <w:rsid w:val="004F5376"/>
    <w:rsid w:val="004F705A"/>
    <w:rsid w:val="00500254"/>
    <w:rsid w:val="005005C3"/>
    <w:rsid w:val="005031A1"/>
    <w:rsid w:val="00506C70"/>
    <w:rsid w:val="00507CB0"/>
    <w:rsid w:val="005100D5"/>
    <w:rsid w:val="00513155"/>
    <w:rsid w:val="00513DEE"/>
    <w:rsid w:val="0051416B"/>
    <w:rsid w:val="0051458A"/>
    <w:rsid w:val="00514ED7"/>
    <w:rsid w:val="00516C0E"/>
    <w:rsid w:val="00516EC8"/>
    <w:rsid w:val="00517D32"/>
    <w:rsid w:val="00517F43"/>
    <w:rsid w:val="00522A4B"/>
    <w:rsid w:val="00525B33"/>
    <w:rsid w:val="005260DB"/>
    <w:rsid w:val="00527A54"/>
    <w:rsid w:val="005308BF"/>
    <w:rsid w:val="00531145"/>
    <w:rsid w:val="00532523"/>
    <w:rsid w:val="005338F2"/>
    <w:rsid w:val="0053423B"/>
    <w:rsid w:val="0053593C"/>
    <w:rsid w:val="0054232F"/>
    <w:rsid w:val="00542AA5"/>
    <w:rsid w:val="00544FE0"/>
    <w:rsid w:val="00547195"/>
    <w:rsid w:val="00547AB5"/>
    <w:rsid w:val="0055130B"/>
    <w:rsid w:val="00553B74"/>
    <w:rsid w:val="0055571B"/>
    <w:rsid w:val="00557811"/>
    <w:rsid w:val="00561DC5"/>
    <w:rsid w:val="005623A3"/>
    <w:rsid w:val="00562987"/>
    <w:rsid w:val="00563D77"/>
    <w:rsid w:val="00567A5D"/>
    <w:rsid w:val="00567FBD"/>
    <w:rsid w:val="0057050F"/>
    <w:rsid w:val="005707D3"/>
    <w:rsid w:val="005708FE"/>
    <w:rsid w:val="00571086"/>
    <w:rsid w:val="005710E4"/>
    <w:rsid w:val="005727FB"/>
    <w:rsid w:val="00576E81"/>
    <w:rsid w:val="00577787"/>
    <w:rsid w:val="00580CA3"/>
    <w:rsid w:val="0058137F"/>
    <w:rsid w:val="00581A79"/>
    <w:rsid w:val="005839F3"/>
    <w:rsid w:val="00583AD4"/>
    <w:rsid w:val="00585A6C"/>
    <w:rsid w:val="00585F47"/>
    <w:rsid w:val="00590221"/>
    <w:rsid w:val="005915AC"/>
    <w:rsid w:val="00591D15"/>
    <w:rsid w:val="00593F0E"/>
    <w:rsid w:val="00595776"/>
    <w:rsid w:val="005960A9"/>
    <w:rsid w:val="005968DB"/>
    <w:rsid w:val="0059714E"/>
    <w:rsid w:val="005979CD"/>
    <w:rsid w:val="00597C6C"/>
    <w:rsid w:val="005A0425"/>
    <w:rsid w:val="005A0A57"/>
    <w:rsid w:val="005A3C34"/>
    <w:rsid w:val="005A53C4"/>
    <w:rsid w:val="005A5450"/>
    <w:rsid w:val="005A5EE9"/>
    <w:rsid w:val="005B1E53"/>
    <w:rsid w:val="005B253C"/>
    <w:rsid w:val="005B5CFC"/>
    <w:rsid w:val="005C0790"/>
    <w:rsid w:val="005C2EA6"/>
    <w:rsid w:val="005C3D3D"/>
    <w:rsid w:val="005C68BC"/>
    <w:rsid w:val="005C6FD9"/>
    <w:rsid w:val="005C7B10"/>
    <w:rsid w:val="005D1313"/>
    <w:rsid w:val="005D4923"/>
    <w:rsid w:val="005D782C"/>
    <w:rsid w:val="005E00BC"/>
    <w:rsid w:val="005E3322"/>
    <w:rsid w:val="005E490B"/>
    <w:rsid w:val="005E6095"/>
    <w:rsid w:val="005E67FA"/>
    <w:rsid w:val="005E6CD2"/>
    <w:rsid w:val="005E6D12"/>
    <w:rsid w:val="005F040A"/>
    <w:rsid w:val="005F368C"/>
    <w:rsid w:val="005F3D74"/>
    <w:rsid w:val="005F64D4"/>
    <w:rsid w:val="005F7DAF"/>
    <w:rsid w:val="00602280"/>
    <w:rsid w:val="006047B2"/>
    <w:rsid w:val="00606FEC"/>
    <w:rsid w:val="00607095"/>
    <w:rsid w:val="0060744D"/>
    <w:rsid w:val="00607BC1"/>
    <w:rsid w:val="006104E0"/>
    <w:rsid w:val="00610821"/>
    <w:rsid w:val="006112CA"/>
    <w:rsid w:val="0061171B"/>
    <w:rsid w:val="00611C1B"/>
    <w:rsid w:val="00611CB8"/>
    <w:rsid w:val="0061344D"/>
    <w:rsid w:val="00613D6B"/>
    <w:rsid w:val="006153DC"/>
    <w:rsid w:val="00616361"/>
    <w:rsid w:val="00617056"/>
    <w:rsid w:val="00617141"/>
    <w:rsid w:val="006173E6"/>
    <w:rsid w:val="00620933"/>
    <w:rsid w:val="00621331"/>
    <w:rsid w:val="00621DF5"/>
    <w:rsid w:val="0062220E"/>
    <w:rsid w:val="00622F09"/>
    <w:rsid w:val="006265B2"/>
    <w:rsid w:val="00627B26"/>
    <w:rsid w:val="006305A7"/>
    <w:rsid w:val="006306BE"/>
    <w:rsid w:val="006328E4"/>
    <w:rsid w:val="006333DB"/>
    <w:rsid w:val="00636FBD"/>
    <w:rsid w:val="00640D46"/>
    <w:rsid w:val="00641E1F"/>
    <w:rsid w:val="0064219D"/>
    <w:rsid w:val="006427F2"/>
    <w:rsid w:val="00642FCB"/>
    <w:rsid w:val="006434FD"/>
    <w:rsid w:val="00646335"/>
    <w:rsid w:val="0064787D"/>
    <w:rsid w:val="006506B7"/>
    <w:rsid w:val="0065075C"/>
    <w:rsid w:val="0065149E"/>
    <w:rsid w:val="006516A5"/>
    <w:rsid w:val="006550FE"/>
    <w:rsid w:val="00656A4A"/>
    <w:rsid w:val="00661D03"/>
    <w:rsid w:val="00662CBC"/>
    <w:rsid w:val="00664019"/>
    <w:rsid w:val="006644F8"/>
    <w:rsid w:val="006645FA"/>
    <w:rsid w:val="00666D03"/>
    <w:rsid w:val="00673B20"/>
    <w:rsid w:val="00674A94"/>
    <w:rsid w:val="006762FB"/>
    <w:rsid w:val="00691951"/>
    <w:rsid w:val="0069399A"/>
    <w:rsid w:val="00695B44"/>
    <w:rsid w:val="00697562"/>
    <w:rsid w:val="006A1A1B"/>
    <w:rsid w:val="006A2051"/>
    <w:rsid w:val="006A2446"/>
    <w:rsid w:val="006A3836"/>
    <w:rsid w:val="006A4C3A"/>
    <w:rsid w:val="006A4ED3"/>
    <w:rsid w:val="006A638D"/>
    <w:rsid w:val="006A67C2"/>
    <w:rsid w:val="006A6FCF"/>
    <w:rsid w:val="006B14FD"/>
    <w:rsid w:val="006B3691"/>
    <w:rsid w:val="006B4346"/>
    <w:rsid w:val="006B4433"/>
    <w:rsid w:val="006C2DEA"/>
    <w:rsid w:val="006C46D3"/>
    <w:rsid w:val="006C522A"/>
    <w:rsid w:val="006C7C0C"/>
    <w:rsid w:val="006D1818"/>
    <w:rsid w:val="006D1CDE"/>
    <w:rsid w:val="006D4DAF"/>
    <w:rsid w:val="006D568F"/>
    <w:rsid w:val="006E08EF"/>
    <w:rsid w:val="006E0C3F"/>
    <w:rsid w:val="006E5B40"/>
    <w:rsid w:val="006E753D"/>
    <w:rsid w:val="006F0015"/>
    <w:rsid w:val="006F0B87"/>
    <w:rsid w:val="006F1837"/>
    <w:rsid w:val="006F2128"/>
    <w:rsid w:val="006F2349"/>
    <w:rsid w:val="006F322D"/>
    <w:rsid w:val="006F6D54"/>
    <w:rsid w:val="00700F66"/>
    <w:rsid w:val="00701921"/>
    <w:rsid w:val="00702D1B"/>
    <w:rsid w:val="00703088"/>
    <w:rsid w:val="007069C5"/>
    <w:rsid w:val="0071009E"/>
    <w:rsid w:val="007119DB"/>
    <w:rsid w:val="00714DEE"/>
    <w:rsid w:val="0071666C"/>
    <w:rsid w:val="007168CB"/>
    <w:rsid w:val="007176D0"/>
    <w:rsid w:val="007267A0"/>
    <w:rsid w:val="00726CD2"/>
    <w:rsid w:val="007306E3"/>
    <w:rsid w:val="007310EE"/>
    <w:rsid w:val="00731E4F"/>
    <w:rsid w:val="00732365"/>
    <w:rsid w:val="00732A30"/>
    <w:rsid w:val="00733469"/>
    <w:rsid w:val="0073643C"/>
    <w:rsid w:val="00742D0F"/>
    <w:rsid w:val="00743858"/>
    <w:rsid w:val="00744B65"/>
    <w:rsid w:val="00745941"/>
    <w:rsid w:val="007462D7"/>
    <w:rsid w:val="0074656B"/>
    <w:rsid w:val="00746D5A"/>
    <w:rsid w:val="00747D75"/>
    <w:rsid w:val="007509BB"/>
    <w:rsid w:val="00751C74"/>
    <w:rsid w:val="00751CF2"/>
    <w:rsid w:val="00761FE4"/>
    <w:rsid w:val="00762266"/>
    <w:rsid w:val="0076280A"/>
    <w:rsid w:val="00762B82"/>
    <w:rsid w:val="0076351C"/>
    <w:rsid w:val="007714C8"/>
    <w:rsid w:val="00773C23"/>
    <w:rsid w:val="00773F4B"/>
    <w:rsid w:val="00774179"/>
    <w:rsid w:val="007767DE"/>
    <w:rsid w:val="00777256"/>
    <w:rsid w:val="0077743C"/>
    <w:rsid w:val="00785E26"/>
    <w:rsid w:val="00787050"/>
    <w:rsid w:val="007875D1"/>
    <w:rsid w:val="007879B9"/>
    <w:rsid w:val="00787DDB"/>
    <w:rsid w:val="0079035B"/>
    <w:rsid w:val="00791399"/>
    <w:rsid w:val="00792B6A"/>
    <w:rsid w:val="0079412B"/>
    <w:rsid w:val="00794175"/>
    <w:rsid w:val="0079527B"/>
    <w:rsid w:val="00795360"/>
    <w:rsid w:val="00796817"/>
    <w:rsid w:val="007A0066"/>
    <w:rsid w:val="007A2775"/>
    <w:rsid w:val="007A493F"/>
    <w:rsid w:val="007A4C1B"/>
    <w:rsid w:val="007A6B63"/>
    <w:rsid w:val="007B0558"/>
    <w:rsid w:val="007B1A31"/>
    <w:rsid w:val="007B1B7C"/>
    <w:rsid w:val="007B3885"/>
    <w:rsid w:val="007B3A1E"/>
    <w:rsid w:val="007B43E9"/>
    <w:rsid w:val="007B7B01"/>
    <w:rsid w:val="007C0353"/>
    <w:rsid w:val="007C20D4"/>
    <w:rsid w:val="007C6364"/>
    <w:rsid w:val="007C6655"/>
    <w:rsid w:val="007D0CAA"/>
    <w:rsid w:val="007D517F"/>
    <w:rsid w:val="007D546A"/>
    <w:rsid w:val="007D5DEF"/>
    <w:rsid w:val="007E0C24"/>
    <w:rsid w:val="007E0DB9"/>
    <w:rsid w:val="007E1176"/>
    <w:rsid w:val="007E1573"/>
    <w:rsid w:val="007E6F46"/>
    <w:rsid w:val="007F0214"/>
    <w:rsid w:val="007F092F"/>
    <w:rsid w:val="007F11E0"/>
    <w:rsid w:val="007F21EE"/>
    <w:rsid w:val="007F2F22"/>
    <w:rsid w:val="007F35B0"/>
    <w:rsid w:val="007F4E90"/>
    <w:rsid w:val="007F6188"/>
    <w:rsid w:val="007F6D90"/>
    <w:rsid w:val="00802628"/>
    <w:rsid w:val="008058D4"/>
    <w:rsid w:val="0080671B"/>
    <w:rsid w:val="008076A6"/>
    <w:rsid w:val="0081008C"/>
    <w:rsid w:val="008125DA"/>
    <w:rsid w:val="00812712"/>
    <w:rsid w:val="00812BCB"/>
    <w:rsid w:val="00813260"/>
    <w:rsid w:val="0081387D"/>
    <w:rsid w:val="0081484B"/>
    <w:rsid w:val="00815ED1"/>
    <w:rsid w:val="00815F5B"/>
    <w:rsid w:val="00816263"/>
    <w:rsid w:val="00817601"/>
    <w:rsid w:val="008217FA"/>
    <w:rsid w:val="00822B5E"/>
    <w:rsid w:val="008235F3"/>
    <w:rsid w:val="00824D7B"/>
    <w:rsid w:val="00830666"/>
    <w:rsid w:val="0083152D"/>
    <w:rsid w:val="00831FD3"/>
    <w:rsid w:val="008322FE"/>
    <w:rsid w:val="00833C1F"/>
    <w:rsid w:val="008351AC"/>
    <w:rsid w:val="00836F32"/>
    <w:rsid w:val="008407AD"/>
    <w:rsid w:val="00840A56"/>
    <w:rsid w:val="00841AF0"/>
    <w:rsid w:val="008429D8"/>
    <w:rsid w:val="00843C1B"/>
    <w:rsid w:val="00845ECB"/>
    <w:rsid w:val="00846F72"/>
    <w:rsid w:val="0085106B"/>
    <w:rsid w:val="00853FBC"/>
    <w:rsid w:val="008567C0"/>
    <w:rsid w:val="008569F6"/>
    <w:rsid w:val="00861976"/>
    <w:rsid w:val="0086361B"/>
    <w:rsid w:val="008638FF"/>
    <w:rsid w:val="00863D67"/>
    <w:rsid w:val="00864824"/>
    <w:rsid w:val="00865CB6"/>
    <w:rsid w:val="00872973"/>
    <w:rsid w:val="008747B9"/>
    <w:rsid w:val="00876236"/>
    <w:rsid w:val="008770E2"/>
    <w:rsid w:val="008779D4"/>
    <w:rsid w:val="0088367D"/>
    <w:rsid w:val="008837A4"/>
    <w:rsid w:val="00883F34"/>
    <w:rsid w:val="0088706B"/>
    <w:rsid w:val="00887BD0"/>
    <w:rsid w:val="00887E72"/>
    <w:rsid w:val="00891165"/>
    <w:rsid w:val="008915F4"/>
    <w:rsid w:val="00891AD4"/>
    <w:rsid w:val="00891AE0"/>
    <w:rsid w:val="008931DD"/>
    <w:rsid w:val="0089367A"/>
    <w:rsid w:val="0089696E"/>
    <w:rsid w:val="00896B54"/>
    <w:rsid w:val="00896D59"/>
    <w:rsid w:val="00897C20"/>
    <w:rsid w:val="00897E13"/>
    <w:rsid w:val="008A0525"/>
    <w:rsid w:val="008A0E5F"/>
    <w:rsid w:val="008A14B9"/>
    <w:rsid w:val="008A19A9"/>
    <w:rsid w:val="008A3351"/>
    <w:rsid w:val="008A43B8"/>
    <w:rsid w:val="008A4401"/>
    <w:rsid w:val="008A4861"/>
    <w:rsid w:val="008A5FE9"/>
    <w:rsid w:val="008A65EF"/>
    <w:rsid w:val="008A6CD4"/>
    <w:rsid w:val="008B050A"/>
    <w:rsid w:val="008B1447"/>
    <w:rsid w:val="008B2047"/>
    <w:rsid w:val="008B33C9"/>
    <w:rsid w:val="008B4019"/>
    <w:rsid w:val="008B4A2C"/>
    <w:rsid w:val="008B6607"/>
    <w:rsid w:val="008B7A2A"/>
    <w:rsid w:val="008B7EBC"/>
    <w:rsid w:val="008C0943"/>
    <w:rsid w:val="008C2368"/>
    <w:rsid w:val="008C7B99"/>
    <w:rsid w:val="008D1F52"/>
    <w:rsid w:val="008D244A"/>
    <w:rsid w:val="008D2CE3"/>
    <w:rsid w:val="008D2D75"/>
    <w:rsid w:val="008D369E"/>
    <w:rsid w:val="008D3909"/>
    <w:rsid w:val="008D42D5"/>
    <w:rsid w:val="008D4A06"/>
    <w:rsid w:val="008D4AA2"/>
    <w:rsid w:val="008D4DF2"/>
    <w:rsid w:val="008E16BE"/>
    <w:rsid w:val="008E2970"/>
    <w:rsid w:val="008E2D93"/>
    <w:rsid w:val="008E2E90"/>
    <w:rsid w:val="008E33EC"/>
    <w:rsid w:val="008E6815"/>
    <w:rsid w:val="008E736E"/>
    <w:rsid w:val="008F22AE"/>
    <w:rsid w:val="008F33C4"/>
    <w:rsid w:val="008F4532"/>
    <w:rsid w:val="008F567F"/>
    <w:rsid w:val="008F5AFA"/>
    <w:rsid w:val="008F6425"/>
    <w:rsid w:val="008F6F2F"/>
    <w:rsid w:val="008F704B"/>
    <w:rsid w:val="00900641"/>
    <w:rsid w:val="0090065C"/>
    <w:rsid w:val="00901064"/>
    <w:rsid w:val="0090320C"/>
    <w:rsid w:val="0090751F"/>
    <w:rsid w:val="009101A3"/>
    <w:rsid w:val="009113D3"/>
    <w:rsid w:val="009113F7"/>
    <w:rsid w:val="00911C1A"/>
    <w:rsid w:val="00912145"/>
    <w:rsid w:val="00912585"/>
    <w:rsid w:val="00912A4F"/>
    <w:rsid w:val="009178D7"/>
    <w:rsid w:val="009206B1"/>
    <w:rsid w:val="00922E89"/>
    <w:rsid w:val="00923B78"/>
    <w:rsid w:val="009240F3"/>
    <w:rsid w:val="00924B9D"/>
    <w:rsid w:val="009305EA"/>
    <w:rsid w:val="00931C9C"/>
    <w:rsid w:val="00932139"/>
    <w:rsid w:val="00935B10"/>
    <w:rsid w:val="00936403"/>
    <w:rsid w:val="00941C13"/>
    <w:rsid w:val="009429EC"/>
    <w:rsid w:val="0094548C"/>
    <w:rsid w:val="0094683D"/>
    <w:rsid w:val="00950BF4"/>
    <w:rsid w:val="0095430A"/>
    <w:rsid w:val="00954C04"/>
    <w:rsid w:val="00955E78"/>
    <w:rsid w:val="00960C6B"/>
    <w:rsid w:val="00965E63"/>
    <w:rsid w:val="00967D44"/>
    <w:rsid w:val="00971272"/>
    <w:rsid w:val="00971AC5"/>
    <w:rsid w:val="009726B2"/>
    <w:rsid w:val="00975ED5"/>
    <w:rsid w:val="009768C2"/>
    <w:rsid w:val="00980FFA"/>
    <w:rsid w:val="00981C3E"/>
    <w:rsid w:val="00984369"/>
    <w:rsid w:val="00984CF8"/>
    <w:rsid w:val="0099058B"/>
    <w:rsid w:val="00992604"/>
    <w:rsid w:val="00992B58"/>
    <w:rsid w:val="00993EA1"/>
    <w:rsid w:val="009950B6"/>
    <w:rsid w:val="00995150"/>
    <w:rsid w:val="009A0D1F"/>
    <w:rsid w:val="009A1316"/>
    <w:rsid w:val="009A2A8E"/>
    <w:rsid w:val="009A2EE4"/>
    <w:rsid w:val="009A6283"/>
    <w:rsid w:val="009A7056"/>
    <w:rsid w:val="009A74A7"/>
    <w:rsid w:val="009A7EC2"/>
    <w:rsid w:val="009B2D8B"/>
    <w:rsid w:val="009B61F9"/>
    <w:rsid w:val="009B6562"/>
    <w:rsid w:val="009B741E"/>
    <w:rsid w:val="009B7E5A"/>
    <w:rsid w:val="009C412B"/>
    <w:rsid w:val="009C62D1"/>
    <w:rsid w:val="009D1565"/>
    <w:rsid w:val="009D2E41"/>
    <w:rsid w:val="009D310E"/>
    <w:rsid w:val="009D3AF0"/>
    <w:rsid w:val="009D5BE7"/>
    <w:rsid w:val="009D5C68"/>
    <w:rsid w:val="009D5E11"/>
    <w:rsid w:val="009D5FD7"/>
    <w:rsid w:val="009D7CBD"/>
    <w:rsid w:val="009E1287"/>
    <w:rsid w:val="009E12E1"/>
    <w:rsid w:val="009E1436"/>
    <w:rsid w:val="009E1572"/>
    <w:rsid w:val="009E38E5"/>
    <w:rsid w:val="009E5CDD"/>
    <w:rsid w:val="009F0448"/>
    <w:rsid w:val="009F0BF0"/>
    <w:rsid w:val="009F23BE"/>
    <w:rsid w:val="009F2F1A"/>
    <w:rsid w:val="009F4096"/>
    <w:rsid w:val="009F4525"/>
    <w:rsid w:val="009F4BB3"/>
    <w:rsid w:val="009F5B21"/>
    <w:rsid w:val="009F6117"/>
    <w:rsid w:val="009F6810"/>
    <w:rsid w:val="009F7345"/>
    <w:rsid w:val="00A046AC"/>
    <w:rsid w:val="00A05D6F"/>
    <w:rsid w:val="00A11DBB"/>
    <w:rsid w:val="00A12EB1"/>
    <w:rsid w:val="00A15BC1"/>
    <w:rsid w:val="00A15DBF"/>
    <w:rsid w:val="00A168C2"/>
    <w:rsid w:val="00A16AEC"/>
    <w:rsid w:val="00A228A1"/>
    <w:rsid w:val="00A22CFC"/>
    <w:rsid w:val="00A234D9"/>
    <w:rsid w:val="00A240E3"/>
    <w:rsid w:val="00A25D68"/>
    <w:rsid w:val="00A25EA7"/>
    <w:rsid w:val="00A31203"/>
    <w:rsid w:val="00A33C7F"/>
    <w:rsid w:val="00A413C6"/>
    <w:rsid w:val="00A41879"/>
    <w:rsid w:val="00A41DA6"/>
    <w:rsid w:val="00A4211B"/>
    <w:rsid w:val="00A42766"/>
    <w:rsid w:val="00A432FA"/>
    <w:rsid w:val="00A44C7B"/>
    <w:rsid w:val="00A44F03"/>
    <w:rsid w:val="00A455BA"/>
    <w:rsid w:val="00A47E18"/>
    <w:rsid w:val="00A52860"/>
    <w:rsid w:val="00A5471F"/>
    <w:rsid w:val="00A55160"/>
    <w:rsid w:val="00A55D51"/>
    <w:rsid w:val="00A55D59"/>
    <w:rsid w:val="00A565BB"/>
    <w:rsid w:val="00A57345"/>
    <w:rsid w:val="00A574FB"/>
    <w:rsid w:val="00A6063C"/>
    <w:rsid w:val="00A62C10"/>
    <w:rsid w:val="00A62D29"/>
    <w:rsid w:val="00A639A7"/>
    <w:rsid w:val="00A65137"/>
    <w:rsid w:val="00A669D6"/>
    <w:rsid w:val="00A70D63"/>
    <w:rsid w:val="00A7210A"/>
    <w:rsid w:val="00A72319"/>
    <w:rsid w:val="00A73B6E"/>
    <w:rsid w:val="00A75F1D"/>
    <w:rsid w:val="00A76195"/>
    <w:rsid w:val="00A76D2B"/>
    <w:rsid w:val="00A77B9C"/>
    <w:rsid w:val="00A80341"/>
    <w:rsid w:val="00A806B9"/>
    <w:rsid w:val="00A816AF"/>
    <w:rsid w:val="00A8208B"/>
    <w:rsid w:val="00A914BB"/>
    <w:rsid w:val="00A93DCB"/>
    <w:rsid w:val="00A945EC"/>
    <w:rsid w:val="00A971FC"/>
    <w:rsid w:val="00AA0D4C"/>
    <w:rsid w:val="00AA1ADE"/>
    <w:rsid w:val="00AA2FCF"/>
    <w:rsid w:val="00AA3060"/>
    <w:rsid w:val="00AA33A8"/>
    <w:rsid w:val="00AA507B"/>
    <w:rsid w:val="00AA6CEC"/>
    <w:rsid w:val="00AB0737"/>
    <w:rsid w:val="00AB4283"/>
    <w:rsid w:val="00AB5514"/>
    <w:rsid w:val="00AC00E9"/>
    <w:rsid w:val="00AC061B"/>
    <w:rsid w:val="00AC1CE5"/>
    <w:rsid w:val="00AC1DAF"/>
    <w:rsid w:val="00AC3A74"/>
    <w:rsid w:val="00AC482A"/>
    <w:rsid w:val="00AC5B03"/>
    <w:rsid w:val="00AD2409"/>
    <w:rsid w:val="00AD47B3"/>
    <w:rsid w:val="00AD605F"/>
    <w:rsid w:val="00AE0462"/>
    <w:rsid w:val="00AE1B63"/>
    <w:rsid w:val="00AE432A"/>
    <w:rsid w:val="00AE4857"/>
    <w:rsid w:val="00AE4995"/>
    <w:rsid w:val="00AE7EE6"/>
    <w:rsid w:val="00AF1494"/>
    <w:rsid w:val="00AF19F0"/>
    <w:rsid w:val="00AF6857"/>
    <w:rsid w:val="00AF7D38"/>
    <w:rsid w:val="00B040FC"/>
    <w:rsid w:val="00B06FBD"/>
    <w:rsid w:val="00B07E75"/>
    <w:rsid w:val="00B1025C"/>
    <w:rsid w:val="00B1033A"/>
    <w:rsid w:val="00B105B5"/>
    <w:rsid w:val="00B10E63"/>
    <w:rsid w:val="00B11391"/>
    <w:rsid w:val="00B11E51"/>
    <w:rsid w:val="00B14285"/>
    <w:rsid w:val="00B146AF"/>
    <w:rsid w:val="00B152C9"/>
    <w:rsid w:val="00B20EAA"/>
    <w:rsid w:val="00B22186"/>
    <w:rsid w:val="00B24419"/>
    <w:rsid w:val="00B25CB2"/>
    <w:rsid w:val="00B27653"/>
    <w:rsid w:val="00B30DFB"/>
    <w:rsid w:val="00B319A2"/>
    <w:rsid w:val="00B338BE"/>
    <w:rsid w:val="00B35571"/>
    <w:rsid w:val="00B35C59"/>
    <w:rsid w:val="00B35CA6"/>
    <w:rsid w:val="00B35FBB"/>
    <w:rsid w:val="00B377F7"/>
    <w:rsid w:val="00B406E7"/>
    <w:rsid w:val="00B41537"/>
    <w:rsid w:val="00B416D5"/>
    <w:rsid w:val="00B45E16"/>
    <w:rsid w:val="00B510B5"/>
    <w:rsid w:val="00B5188A"/>
    <w:rsid w:val="00B5493B"/>
    <w:rsid w:val="00B57739"/>
    <w:rsid w:val="00B5782E"/>
    <w:rsid w:val="00B6184B"/>
    <w:rsid w:val="00B63A38"/>
    <w:rsid w:val="00B70FF1"/>
    <w:rsid w:val="00B7327E"/>
    <w:rsid w:val="00B73BDF"/>
    <w:rsid w:val="00B76BEF"/>
    <w:rsid w:val="00B77101"/>
    <w:rsid w:val="00B802A2"/>
    <w:rsid w:val="00B80D42"/>
    <w:rsid w:val="00B80D4A"/>
    <w:rsid w:val="00B8237B"/>
    <w:rsid w:val="00B823D3"/>
    <w:rsid w:val="00B82A20"/>
    <w:rsid w:val="00B82D5F"/>
    <w:rsid w:val="00B83239"/>
    <w:rsid w:val="00B84EFC"/>
    <w:rsid w:val="00B85EC8"/>
    <w:rsid w:val="00B865D7"/>
    <w:rsid w:val="00B86BC3"/>
    <w:rsid w:val="00B92014"/>
    <w:rsid w:val="00B92B2A"/>
    <w:rsid w:val="00B93D6D"/>
    <w:rsid w:val="00B94169"/>
    <w:rsid w:val="00B968D6"/>
    <w:rsid w:val="00BA1825"/>
    <w:rsid w:val="00BA351D"/>
    <w:rsid w:val="00BA5E60"/>
    <w:rsid w:val="00BA7036"/>
    <w:rsid w:val="00BA7DAA"/>
    <w:rsid w:val="00BB03AB"/>
    <w:rsid w:val="00BB38DD"/>
    <w:rsid w:val="00BB3A5F"/>
    <w:rsid w:val="00BB560C"/>
    <w:rsid w:val="00BB5D12"/>
    <w:rsid w:val="00BB6131"/>
    <w:rsid w:val="00BB6BB1"/>
    <w:rsid w:val="00BC1BD1"/>
    <w:rsid w:val="00BC24CA"/>
    <w:rsid w:val="00BC2C18"/>
    <w:rsid w:val="00BC351E"/>
    <w:rsid w:val="00BC5501"/>
    <w:rsid w:val="00BC5C01"/>
    <w:rsid w:val="00BC61EC"/>
    <w:rsid w:val="00BC63E8"/>
    <w:rsid w:val="00BC6535"/>
    <w:rsid w:val="00BD2183"/>
    <w:rsid w:val="00BD2AEE"/>
    <w:rsid w:val="00BD2BD0"/>
    <w:rsid w:val="00BD32FA"/>
    <w:rsid w:val="00BD40B3"/>
    <w:rsid w:val="00BD429A"/>
    <w:rsid w:val="00BD45D7"/>
    <w:rsid w:val="00BD560F"/>
    <w:rsid w:val="00BD57BA"/>
    <w:rsid w:val="00BE01AD"/>
    <w:rsid w:val="00BE03A4"/>
    <w:rsid w:val="00BE1668"/>
    <w:rsid w:val="00BE2F64"/>
    <w:rsid w:val="00BE4AE0"/>
    <w:rsid w:val="00BE4E24"/>
    <w:rsid w:val="00BE55CB"/>
    <w:rsid w:val="00BE63EC"/>
    <w:rsid w:val="00BE6CC5"/>
    <w:rsid w:val="00BE7453"/>
    <w:rsid w:val="00BF5DED"/>
    <w:rsid w:val="00BF6B06"/>
    <w:rsid w:val="00C0125D"/>
    <w:rsid w:val="00C01A2E"/>
    <w:rsid w:val="00C01A62"/>
    <w:rsid w:val="00C026E1"/>
    <w:rsid w:val="00C02B13"/>
    <w:rsid w:val="00C03071"/>
    <w:rsid w:val="00C03156"/>
    <w:rsid w:val="00C0574D"/>
    <w:rsid w:val="00C05EB8"/>
    <w:rsid w:val="00C061AD"/>
    <w:rsid w:val="00C0698C"/>
    <w:rsid w:val="00C113CD"/>
    <w:rsid w:val="00C15553"/>
    <w:rsid w:val="00C16580"/>
    <w:rsid w:val="00C172A4"/>
    <w:rsid w:val="00C2119E"/>
    <w:rsid w:val="00C211E1"/>
    <w:rsid w:val="00C22A01"/>
    <w:rsid w:val="00C31995"/>
    <w:rsid w:val="00C33650"/>
    <w:rsid w:val="00C33AB5"/>
    <w:rsid w:val="00C34F25"/>
    <w:rsid w:val="00C35886"/>
    <w:rsid w:val="00C36100"/>
    <w:rsid w:val="00C3665E"/>
    <w:rsid w:val="00C36952"/>
    <w:rsid w:val="00C441ED"/>
    <w:rsid w:val="00C44E4D"/>
    <w:rsid w:val="00C44FEB"/>
    <w:rsid w:val="00C47F21"/>
    <w:rsid w:val="00C54423"/>
    <w:rsid w:val="00C56D3B"/>
    <w:rsid w:val="00C60625"/>
    <w:rsid w:val="00C60BB8"/>
    <w:rsid w:val="00C611D0"/>
    <w:rsid w:val="00C62C1E"/>
    <w:rsid w:val="00C62EB8"/>
    <w:rsid w:val="00C63D1B"/>
    <w:rsid w:val="00C6519B"/>
    <w:rsid w:val="00C65AFC"/>
    <w:rsid w:val="00C660C0"/>
    <w:rsid w:val="00C679E2"/>
    <w:rsid w:val="00C702EF"/>
    <w:rsid w:val="00C72986"/>
    <w:rsid w:val="00C74CE5"/>
    <w:rsid w:val="00C7677C"/>
    <w:rsid w:val="00C82056"/>
    <w:rsid w:val="00C82D60"/>
    <w:rsid w:val="00C83374"/>
    <w:rsid w:val="00C846C5"/>
    <w:rsid w:val="00C8591B"/>
    <w:rsid w:val="00C86FE6"/>
    <w:rsid w:val="00C905A7"/>
    <w:rsid w:val="00C9135E"/>
    <w:rsid w:val="00C917DC"/>
    <w:rsid w:val="00C9329F"/>
    <w:rsid w:val="00C93A15"/>
    <w:rsid w:val="00C947EB"/>
    <w:rsid w:val="00C96ECF"/>
    <w:rsid w:val="00C96FDE"/>
    <w:rsid w:val="00CA09A0"/>
    <w:rsid w:val="00CA155A"/>
    <w:rsid w:val="00CA2410"/>
    <w:rsid w:val="00CA3FB7"/>
    <w:rsid w:val="00CA48FD"/>
    <w:rsid w:val="00CA52F7"/>
    <w:rsid w:val="00CA546C"/>
    <w:rsid w:val="00CB06A7"/>
    <w:rsid w:val="00CB0804"/>
    <w:rsid w:val="00CB1637"/>
    <w:rsid w:val="00CB2BE7"/>
    <w:rsid w:val="00CB3261"/>
    <w:rsid w:val="00CB38BE"/>
    <w:rsid w:val="00CB42A6"/>
    <w:rsid w:val="00CB59AB"/>
    <w:rsid w:val="00CC020E"/>
    <w:rsid w:val="00CC068C"/>
    <w:rsid w:val="00CC1AAA"/>
    <w:rsid w:val="00CC5413"/>
    <w:rsid w:val="00CC5ABE"/>
    <w:rsid w:val="00CC6422"/>
    <w:rsid w:val="00CD012E"/>
    <w:rsid w:val="00CD1B9C"/>
    <w:rsid w:val="00CD3036"/>
    <w:rsid w:val="00CD3917"/>
    <w:rsid w:val="00CD45E2"/>
    <w:rsid w:val="00CD5CF1"/>
    <w:rsid w:val="00CD7771"/>
    <w:rsid w:val="00CE087D"/>
    <w:rsid w:val="00CE0A77"/>
    <w:rsid w:val="00CE16A7"/>
    <w:rsid w:val="00CE2CAB"/>
    <w:rsid w:val="00CE4C4A"/>
    <w:rsid w:val="00CF1EFD"/>
    <w:rsid w:val="00CF2DFA"/>
    <w:rsid w:val="00CF4621"/>
    <w:rsid w:val="00CF4E17"/>
    <w:rsid w:val="00CF6924"/>
    <w:rsid w:val="00D00802"/>
    <w:rsid w:val="00D01448"/>
    <w:rsid w:val="00D0260A"/>
    <w:rsid w:val="00D027C6"/>
    <w:rsid w:val="00D03356"/>
    <w:rsid w:val="00D0579D"/>
    <w:rsid w:val="00D0622B"/>
    <w:rsid w:val="00D0741A"/>
    <w:rsid w:val="00D1025C"/>
    <w:rsid w:val="00D12B9B"/>
    <w:rsid w:val="00D13713"/>
    <w:rsid w:val="00D138C4"/>
    <w:rsid w:val="00D13FD2"/>
    <w:rsid w:val="00D15471"/>
    <w:rsid w:val="00D15AF2"/>
    <w:rsid w:val="00D163FE"/>
    <w:rsid w:val="00D16F06"/>
    <w:rsid w:val="00D17DBF"/>
    <w:rsid w:val="00D20703"/>
    <w:rsid w:val="00D22403"/>
    <w:rsid w:val="00D2335D"/>
    <w:rsid w:val="00D27014"/>
    <w:rsid w:val="00D31513"/>
    <w:rsid w:val="00D3204E"/>
    <w:rsid w:val="00D321DE"/>
    <w:rsid w:val="00D335A9"/>
    <w:rsid w:val="00D341F1"/>
    <w:rsid w:val="00D379E7"/>
    <w:rsid w:val="00D422CF"/>
    <w:rsid w:val="00D42BBD"/>
    <w:rsid w:val="00D42C39"/>
    <w:rsid w:val="00D43850"/>
    <w:rsid w:val="00D44E20"/>
    <w:rsid w:val="00D4679E"/>
    <w:rsid w:val="00D47A24"/>
    <w:rsid w:val="00D47DE8"/>
    <w:rsid w:val="00D50B31"/>
    <w:rsid w:val="00D55039"/>
    <w:rsid w:val="00D56603"/>
    <w:rsid w:val="00D56639"/>
    <w:rsid w:val="00D57301"/>
    <w:rsid w:val="00D61742"/>
    <w:rsid w:val="00D62801"/>
    <w:rsid w:val="00D62F43"/>
    <w:rsid w:val="00D6430C"/>
    <w:rsid w:val="00D65EF2"/>
    <w:rsid w:val="00D666E2"/>
    <w:rsid w:val="00D66E83"/>
    <w:rsid w:val="00D67F87"/>
    <w:rsid w:val="00D67FA6"/>
    <w:rsid w:val="00D7008A"/>
    <w:rsid w:val="00D71D05"/>
    <w:rsid w:val="00D724ED"/>
    <w:rsid w:val="00D73D74"/>
    <w:rsid w:val="00D76030"/>
    <w:rsid w:val="00D800E8"/>
    <w:rsid w:val="00D8145F"/>
    <w:rsid w:val="00D82AD4"/>
    <w:rsid w:val="00D83F58"/>
    <w:rsid w:val="00D851D3"/>
    <w:rsid w:val="00D85689"/>
    <w:rsid w:val="00D86208"/>
    <w:rsid w:val="00D86718"/>
    <w:rsid w:val="00D8686F"/>
    <w:rsid w:val="00D87880"/>
    <w:rsid w:val="00D900C0"/>
    <w:rsid w:val="00D90E51"/>
    <w:rsid w:val="00D91170"/>
    <w:rsid w:val="00D93A23"/>
    <w:rsid w:val="00D96D7A"/>
    <w:rsid w:val="00DA0991"/>
    <w:rsid w:val="00DA27A0"/>
    <w:rsid w:val="00DA35BB"/>
    <w:rsid w:val="00DA424B"/>
    <w:rsid w:val="00DA5A00"/>
    <w:rsid w:val="00DA62BE"/>
    <w:rsid w:val="00DB01C0"/>
    <w:rsid w:val="00DB08F2"/>
    <w:rsid w:val="00DB1862"/>
    <w:rsid w:val="00DB3760"/>
    <w:rsid w:val="00DB48FB"/>
    <w:rsid w:val="00DB6810"/>
    <w:rsid w:val="00DC04B4"/>
    <w:rsid w:val="00DC0EFD"/>
    <w:rsid w:val="00DC26C2"/>
    <w:rsid w:val="00DC2E22"/>
    <w:rsid w:val="00DC45F9"/>
    <w:rsid w:val="00DD0051"/>
    <w:rsid w:val="00DD014F"/>
    <w:rsid w:val="00DD0A2B"/>
    <w:rsid w:val="00DD1075"/>
    <w:rsid w:val="00DD16BF"/>
    <w:rsid w:val="00DD1E32"/>
    <w:rsid w:val="00DD2940"/>
    <w:rsid w:val="00DD38E7"/>
    <w:rsid w:val="00DD3BE7"/>
    <w:rsid w:val="00DD7647"/>
    <w:rsid w:val="00DE3803"/>
    <w:rsid w:val="00DE4BE4"/>
    <w:rsid w:val="00DE5E46"/>
    <w:rsid w:val="00DE657A"/>
    <w:rsid w:val="00DE703F"/>
    <w:rsid w:val="00DF20B2"/>
    <w:rsid w:val="00DF45E4"/>
    <w:rsid w:val="00DFB123"/>
    <w:rsid w:val="00E01403"/>
    <w:rsid w:val="00E01416"/>
    <w:rsid w:val="00E01FDA"/>
    <w:rsid w:val="00E0369C"/>
    <w:rsid w:val="00E059A2"/>
    <w:rsid w:val="00E070D9"/>
    <w:rsid w:val="00E1576D"/>
    <w:rsid w:val="00E20E5E"/>
    <w:rsid w:val="00E21237"/>
    <w:rsid w:val="00E21E3B"/>
    <w:rsid w:val="00E22BDE"/>
    <w:rsid w:val="00E233B7"/>
    <w:rsid w:val="00E239CC"/>
    <w:rsid w:val="00E244A6"/>
    <w:rsid w:val="00E24FC4"/>
    <w:rsid w:val="00E25921"/>
    <w:rsid w:val="00E26C3F"/>
    <w:rsid w:val="00E344BA"/>
    <w:rsid w:val="00E40BC5"/>
    <w:rsid w:val="00E42E75"/>
    <w:rsid w:val="00E4423D"/>
    <w:rsid w:val="00E45374"/>
    <w:rsid w:val="00E47015"/>
    <w:rsid w:val="00E47B2C"/>
    <w:rsid w:val="00E50B0C"/>
    <w:rsid w:val="00E51092"/>
    <w:rsid w:val="00E53973"/>
    <w:rsid w:val="00E5607D"/>
    <w:rsid w:val="00E5654C"/>
    <w:rsid w:val="00E61044"/>
    <w:rsid w:val="00E6151B"/>
    <w:rsid w:val="00E6204F"/>
    <w:rsid w:val="00E627F4"/>
    <w:rsid w:val="00E64171"/>
    <w:rsid w:val="00E6432D"/>
    <w:rsid w:val="00E64F99"/>
    <w:rsid w:val="00E65D06"/>
    <w:rsid w:val="00E70858"/>
    <w:rsid w:val="00E7311E"/>
    <w:rsid w:val="00E73585"/>
    <w:rsid w:val="00E7546F"/>
    <w:rsid w:val="00E75F13"/>
    <w:rsid w:val="00E767F0"/>
    <w:rsid w:val="00E76EE4"/>
    <w:rsid w:val="00E77EA9"/>
    <w:rsid w:val="00E82109"/>
    <w:rsid w:val="00E86DB5"/>
    <w:rsid w:val="00E92453"/>
    <w:rsid w:val="00E93794"/>
    <w:rsid w:val="00E9701E"/>
    <w:rsid w:val="00EA0C5C"/>
    <w:rsid w:val="00EA119D"/>
    <w:rsid w:val="00EA1B20"/>
    <w:rsid w:val="00EA4377"/>
    <w:rsid w:val="00EA4F4B"/>
    <w:rsid w:val="00EA58C3"/>
    <w:rsid w:val="00EA5E68"/>
    <w:rsid w:val="00EA6387"/>
    <w:rsid w:val="00EB133F"/>
    <w:rsid w:val="00EB27F6"/>
    <w:rsid w:val="00EB354F"/>
    <w:rsid w:val="00EB622D"/>
    <w:rsid w:val="00EC342F"/>
    <w:rsid w:val="00EC431E"/>
    <w:rsid w:val="00EC649C"/>
    <w:rsid w:val="00EC7DB6"/>
    <w:rsid w:val="00ED4433"/>
    <w:rsid w:val="00ED513D"/>
    <w:rsid w:val="00ED5C8E"/>
    <w:rsid w:val="00ED5E64"/>
    <w:rsid w:val="00ED7597"/>
    <w:rsid w:val="00EE1B3A"/>
    <w:rsid w:val="00EE3458"/>
    <w:rsid w:val="00EE3E8A"/>
    <w:rsid w:val="00EE5768"/>
    <w:rsid w:val="00EE6D60"/>
    <w:rsid w:val="00EF1CEE"/>
    <w:rsid w:val="00EF1E78"/>
    <w:rsid w:val="00EF6A8F"/>
    <w:rsid w:val="00EF71D6"/>
    <w:rsid w:val="00F0130A"/>
    <w:rsid w:val="00F03F10"/>
    <w:rsid w:val="00F0635C"/>
    <w:rsid w:val="00F06D21"/>
    <w:rsid w:val="00F07F89"/>
    <w:rsid w:val="00F1054F"/>
    <w:rsid w:val="00F1078E"/>
    <w:rsid w:val="00F11179"/>
    <w:rsid w:val="00F11B13"/>
    <w:rsid w:val="00F120BF"/>
    <w:rsid w:val="00F13ACB"/>
    <w:rsid w:val="00F14012"/>
    <w:rsid w:val="00F14D6B"/>
    <w:rsid w:val="00F152D6"/>
    <w:rsid w:val="00F15E35"/>
    <w:rsid w:val="00F24253"/>
    <w:rsid w:val="00F26FD3"/>
    <w:rsid w:val="00F2ABCC"/>
    <w:rsid w:val="00F3043D"/>
    <w:rsid w:val="00F30CF5"/>
    <w:rsid w:val="00F30EBF"/>
    <w:rsid w:val="00F31135"/>
    <w:rsid w:val="00F31EF3"/>
    <w:rsid w:val="00F323A0"/>
    <w:rsid w:val="00F368FA"/>
    <w:rsid w:val="00F36929"/>
    <w:rsid w:val="00F402E1"/>
    <w:rsid w:val="00F419DF"/>
    <w:rsid w:val="00F426AE"/>
    <w:rsid w:val="00F43ABC"/>
    <w:rsid w:val="00F43B00"/>
    <w:rsid w:val="00F45DC9"/>
    <w:rsid w:val="00F473C7"/>
    <w:rsid w:val="00F505A9"/>
    <w:rsid w:val="00F513ED"/>
    <w:rsid w:val="00F51625"/>
    <w:rsid w:val="00F523D9"/>
    <w:rsid w:val="00F54537"/>
    <w:rsid w:val="00F54F38"/>
    <w:rsid w:val="00F55A86"/>
    <w:rsid w:val="00F55D29"/>
    <w:rsid w:val="00F57676"/>
    <w:rsid w:val="00F61167"/>
    <w:rsid w:val="00F61364"/>
    <w:rsid w:val="00F6234C"/>
    <w:rsid w:val="00F62A38"/>
    <w:rsid w:val="00F64D58"/>
    <w:rsid w:val="00F655A1"/>
    <w:rsid w:val="00F65B9A"/>
    <w:rsid w:val="00F668BA"/>
    <w:rsid w:val="00F72837"/>
    <w:rsid w:val="00F73DC0"/>
    <w:rsid w:val="00F74A07"/>
    <w:rsid w:val="00F74DAC"/>
    <w:rsid w:val="00F74F92"/>
    <w:rsid w:val="00F77069"/>
    <w:rsid w:val="00F778C7"/>
    <w:rsid w:val="00F81487"/>
    <w:rsid w:val="00F83B71"/>
    <w:rsid w:val="00F85417"/>
    <w:rsid w:val="00F86852"/>
    <w:rsid w:val="00F90253"/>
    <w:rsid w:val="00F91616"/>
    <w:rsid w:val="00F92E10"/>
    <w:rsid w:val="00F940A6"/>
    <w:rsid w:val="00F94AAF"/>
    <w:rsid w:val="00F96691"/>
    <w:rsid w:val="00FA0FFA"/>
    <w:rsid w:val="00FA15D5"/>
    <w:rsid w:val="00FA200A"/>
    <w:rsid w:val="00FA26EB"/>
    <w:rsid w:val="00FA525F"/>
    <w:rsid w:val="00FA54D8"/>
    <w:rsid w:val="00FA7D96"/>
    <w:rsid w:val="00FB04A1"/>
    <w:rsid w:val="00FB118E"/>
    <w:rsid w:val="00FB1905"/>
    <w:rsid w:val="00FB2137"/>
    <w:rsid w:val="00FB278A"/>
    <w:rsid w:val="00FB27D4"/>
    <w:rsid w:val="00FB2DCA"/>
    <w:rsid w:val="00FB3D71"/>
    <w:rsid w:val="00FB573F"/>
    <w:rsid w:val="00FC14F8"/>
    <w:rsid w:val="00FC1837"/>
    <w:rsid w:val="00FC3252"/>
    <w:rsid w:val="00FD0E2B"/>
    <w:rsid w:val="00FD0E58"/>
    <w:rsid w:val="00FD15FB"/>
    <w:rsid w:val="00FD18FD"/>
    <w:rsid w:val="00FD2AF8"/>
    <w:rsid w:val="00FD3E27"/>
    <w:rsid w:val="00FD5267"/>
    <w:rsid w:val="00FD5DAA"/>
    <w:rsid w:val="00FD7EAF"/>
    <w:rsid w:val="00FE126A"/>
    <w:rsid w:val="00FE7415"/>
    <w:rsid w:val="00FE7EDA"/>
    <w:rsid w:val="00FF1AE8"/>
    <w:rsid w:val="00FF3D9C"/>
    <w:rsid w:val="00FF622F"/>
    <w:rsid w:val="00FF7D06"/>
    <w:rsid w:val="016795DB"/>
    <w:rsid w:val="016FC7F7"/>
    <w:rsid w:val="022B246E"/>
    <w:rsid w:val="027C478A"/>
    <w:rsid w:val="0286FCCE"/>
    <w:rsid w:val="02CAF41C"/>
    <w:rsid w:val="02DFEEC2"/>
    <w:rsid w:val="032733D7"/>
    <w:rsid w:val="035B5FC5"/>
    <w:rsid w:val="03908040"/>
    <w:rsid w:val="03CF9631"/>
    <w:rsid w:val="03F9DC5D"/>
    <w:rsid w:val="0448B396"/>
    <w:rsid w:val="0451AF54"/>
    <w:rsid w:val="0455B3F4"/>
    <w:rsid w:val="0463136C"/>
    <w:rsid w:val="0476E921"/>
    <w:rsid w:val="0480B589"/>
    <w:rsid w:val="04CA328C"/>
    <w:rsid w:val="04E03F26"/>
    <w:rsid w:val="053EDFBF"/>
    <w:rsid w:val="05590271"/>
    <w:rsid w:val="05BB618B"/>
    <w:rsid w:val="05CD8BA6"/>
    <w:rsid w:val="0600F679"/>
    <w:rsid w:val="060D36F9"/>
    <w:rsid w:val="061F7982"/>
    <w:rsid w:val="069C2C9D"/>
    <w:rsid w:val="06B7F834"/>
    <w:rsid w:val="06B8B86B"/>
    <w:rsid w:val="06CFBCAD"/>
    <w:rsid w:val="06D30445"/>
    <w:rsid w:val="06E16AED"/>
    <w:rsid w:val="072EEB25"/>
    <w:rsid w:val="077E9A41"/>
    <w:rsid w:val="077FB3D2"/>
    <w:rsid w:val="082A6341"/>
    <w:rsid w:val="08830299"/>
    <w:rsid w:val="0884182B"/>
    <w:rsid w:val="0929AE7C"/>
    <w:rsid w:val="09353CE0"/>
    <w:rsid w:val="09C387FE"/>
    <w:rsid w:val="09D6EE81"/>
    <w:rsid w:val="09D78856"/>
    <w:rsid w:val="0A089839"/>
    <w:rsid w:val="0A163B26"/>
    <w:rsid w:val="0A397FF9"/>
    <w:rsid w:val="0B40DCB8"/>
    <w:rsid w:val="0BB31C9B"/>
    <w:rsid w:val="0BE3ABA1"/>
    <w:rsid w:val="0BEF09BE"/>
    <w:rsid w:val="0C432200"/>
    <w:rsid w:val="0C8920C8"/>
    <w:rsid w:val="0C8CECD9"/>
    <w:rsid w:val="0C8E7E50"/>
    <w:rsid w:val="0CD36E0C"/>
    <w:rsid w:val="0CE31C28"/>
    <w:rsid w:val="0D1C9068"/>
    <w:rsid w:val="0DD1439D"/>
    <w:rsid w:val="0E78CE99"/>
    <w:rsid w:val="0E87FBE0"/>
    <w:rsid w:val="0EE88E71"/>
    <w:rsid w:val="0EEEDEE8"/>
    <w:rsid w:val="0F140FA4"/>
    <w:rsid w:val="0F371FD4"/>
    <w:rsid w:val="0F6931C4"/>
    <w:rsid w:val="0F696485"/>
    <w:rsid w:val="0F79EDAC"/>
    <w:rsid w:val="0FACF6B5"/>
    <w:rsid w:val="0FC932E4"/>
    <w:rsid w:val="103BDBE2"/>
    <w:rsid w:val="1060F8EF"/>
    <w:rsid w:val="11236C41"/>
    <w:rsid w:val="11CD0ECF"/>
    <w:rsid w:val="11D08837"/>
    <w:rsid w:val="11EC6AE1"/>
    <w:rsid w:val="12381A2F"/>
    <w:rsid w:val="123E3411"/>
    <w:rsid w:val="124EB12A"/>
    <w:rsid w:val="12609609"/>
    <w:rsid w:val="12B9C1B0"/>
    <w:rsid w:val="12D099C2"/>
    <w:rsid w:val="136E4795"/>
    <w:rsid w:val="137FE13C"/>
    <w:rsid w:val="139C1C63"/>
    <w:rsid w:val="13CB700E"/>
    <w:rsid w:val="13E8A926"/>
    <w:rsid w:val="140DAA23"/>
    <w:rsid w:val="141E591B"/>
    <w:rsid w:val="14241562"/>
    <w:rsid w:val="1468A13C"/>
    <w:rsid w:val="1475A710"/>
    <w:rsid w:val="14B17BB6"/>
    <w:rsid w:val="14B2CCE2"/>
    <w:rsid w:val="158BE566"/>
    <w:rsid w:val="16384E21"/>
    <w:rsid w:val="169C0495"/>
    <w:rsid w:val="16B098C8"/>
    <w:rsid w:val="16DCC825"/>
    <w:rsid w:val="17661F06"/>
    <w:rsid w:val="1782903D"/>
    <w:rsid w:val="1798EBF0"/>
    <w:rsid w:val="17ADE516"/>
    <w:rsid w:val="17B7C604"/>
    <w:rsid w:val="17D9424E"/>
    <w:rsid w:val="17DEEDD9"/>
    <w:rsid w:val="18D1E6F6"/>
    <w:rsid w:val="18F56D96"/>
    <w:rsid w:val="197006C8"/>
    <w:rsid w:val="19A2809D"/>
    <w:rsid w:val="19AC8938"/>
    <w:rsid w:val="19D7650C"/>
    <w:rsid w:val="1A65EF49"/>
    <w:rsid w:val="1AB7C9A0"/>
    <w:rsid w:val="1AC4E22B"/>
    <w:rsid w:val="1AC93090"/>
    <w:rsid w:val="1B1879A2"/>
    <w:rsid w:val="1B29B0F0"/>
    <w:rsid w:val="1B71047C"/>
    <w:rsid w:val="1B78AD31"/>
    <w:rsid w:val="1BAD438E"/>
    <w:rsid w:val="1C11EDB8"/>
    <w:rsid w:val="1C2C6276"/>
    <w:rsid w:val="1C87CFC9"/>
    <w:rsid w:val="1C8E0B75"/>
    <w:rsid w:val="1C9F94E9"/>
    <w:rsid w:val="1CBEE149"/>
    <w:rsid w:val="1D461307"/>
    <w:rsid w:val="1D93C219"/>
    <w:rsid w:val="1D960DB4"/>
    <w:rsid w:val="1DA09737"/>
    <w:rsid w:val="1DD0ED23"/>
    <w:rsid w:val="1DEEEB00"/>
    <w:rsid w:val="1DF60B9A"/>
    <w:rsid w:val="1E2FE855"/>
    <w:rsid w:val="1E89864D"/>
    <w:rsid w:val="1F3DA594"/>
    <w:rsid w:val="1FC63E9C"/>
    <w:rsid w:val="1FE2FAC8"/>
    <w:rsid w:val="20B0E872"/>
    <w:rsid w:val="20CFD09F"/>
    <w:rsid w:val="2113DD22"/>
    <w:rsid w:val="2138AC95"/>
    <w:rsid w:val="219F2934"/>
    <w:rsid w:val="21BB3831"/>
    <w:rsid w:val="2323A3E7"/>
    <w:rsid w:val="2344C0C7"/>
    <w:rsid w:val="24026617"/>
    <w:rsid w:val="24557E81"/>
    <w:rsid w:val="24565C62"/>
    <w:rsid w:val="245D4242"/>
    <w:rsid w:val="24813412"/>
    <w:rsid w:val="24B50BC1"/>
    <w:rsid w:val="24DA57D0"/>
    <w:rsid w:val="251EAEE7"/>
    <w:rsid w:val="25221CD8"/>
    <w:rsid w:val="2522ECD9"/>
    <w:rsid w:val="25AD9D78"/>
    <w:rsid w:val="26594328"/>
    <w:rsid w:val="26754D92"/>
    <w:rsid w:val="26E12086"/>
    <w:rsid w:val="27073491"/>
    <w:rsid w:val="2715C854"/>
    <w:rsid w:val="275A8DF4"/>
    <w:rsid w:val="278F2BD4"/>
    <w:rsid w:val="279B2C9A"/>
    <w:rsid w:val="27A4DE1B"/>
    <w:rsid w:val="282C87C7"/>
    <w:rsid w:val="28D1B06F"/>
    <w:rsid w:val="28DFCB1F"/>
    <w:rsid w:val="2923E7B2"/>
    <w:rsid w:val="29391871"/>
    <w:rsid w:val="294E19F9"/>
    <w:rsid w:val="29903E98"/>
    <w:rsid w:val="2A4FB7B3"/>
    <w:rsid w:val="2AEC729C"/>
    <w:rsid w:val="2B23773F"/>
    <w:rsid w:val="2BAECC63"/>
    <w:rsid w:val="2BD69465"/>
    <w:rsid w:val="2C66C7BB"/>
    <w:rsid w:val="2C7F08F4"/>
    <w:rsid w:val="2C81157F"/>
    <w:rsid w:val="2C83851D"/>
    <w:rsid w:val="2C99D72B"/>
    <w:rsid w:val="2C9E1189"/>
    <w:rsid w:val="2CBAC4C4"/>
    <w:rsid w:val="2CDAC406"/>
    <w:rsid w:val="2CE2A7F4"/>
    <w:rsid w:val="2D515447"/>
    <w:rsid w:val="2D88B3F1"/>
    <w:rsid w:val="2D96F6F8"/>
    <w:rsid w:val="2D9E702E"/>
    <w:rsid w:val="2ECAE744"/>
    <w:rsid w:val="2EEFD248"/>
    <w:rsid w:val="2F5013DD"/>
    <w:rsid w:val="2F9652CB"/>
    <w:rsid w:val="306399A4"/>
    <w:rsid w:val="306823A2"/>
    <w:rsid w:val="30BB2D3F"/>
    <w:rsid w:val="30DF95E8"/>
    <w:rsid w:val="3121CACF"/>
    <w:rsid w:val="312B1955"/>
    <w:rsid w:val="312E38CF"/>
    <w:rsid w:val="313B7E49"/>
    <w:rsid w:val="31A8F45E"/>
    <w:rsid w:val="31F1F38B"/>
    <w:rsid w:val="31F58083"/>
    <w:rsid w:val="320974AC"/>
    <w:rsid w:val="3232C9B3"/>
    <w:rsid w:val="327B6CE3"/>
    <w:rsid w:val="33489817"/>
    <w:rsid w:val="3379472D"/>
    <w:rsid w:val="338D0E3C"/>
    <w:rsid w:val="34193649"/>
    <w:rsid w:val="341F1B76"/>
    <w:rsid w:val="343F0C74"/>
    <w:rsid w:val="3496D8D1"/>
    <w:rsid w:val="34AFB48A"/>
    <w:rsid w:val="350499AE"/>
    <w:rsid w:val="352552AF"/>
    <w:rsid w:val="356B6770"/>
    <w:rsid w:val="35E1FCA5"/>
    <w:rsid w:val="35FC5315"/>
    <w:rsid w:val="36534D54"/>
    <w:rsid w:val="3653BDEB"/>
    <w:rsid w:val="368A6347"/>
    <w:rsid w:val="3704F7BE"/>
    <w:rsid w:val="3737B9BD"/>
    <w:rsid w:val="3740A4C5"/>
    <w:rsid w:val="37B20AB0"/>
    <w:rsid w:val="37EC9FB1"/>
    <w:rsid w:val="382CB6F4"/>
    <w:rsid w:val="3835A4AD"/>
    <w:rsid w:val="386024BB"/>
    <w:rsid w:val="38A4110F"/>
    <w:rsid w:val="38CE6437"/>
    <w:rsid w:val="394B94F1"/>
    <w:rsid w:val="3996F5F8"/>
    <w:rsid w:val="39F31479"/>
    <w:rsid w:val="3A01853E"/>
    <w:rsid w:val="3A37EF71"/>
    <w:rsid w:val="3AB4AC03"/>
    <w:rsid w:val="3B254EA0"/>
    <w:rsid w:val="3B49985F"/>
    <w:rsid w:val="3B4CC085"/>
    <w:rsid w:val="3B8AEBD8"/>
    <w:rsid w:val="3BFC8535"/>
    <w:rsid w:val="3C6511B0"/>
    <w:rsid w:val="3C69F077"/>
    <w:rsid w:val="3C7D37FE"/>
    <w:rsid w:val="3D03617E"/>
    <w:rsid w:val="3D06C9FE"/>
    <w:rsid w:val="3D10E1EB"/>
    <w:rsid w:val="3D467D07"/>
    <w:rsid w:val="3D7CB820"/>
    <w:rsid w:val="3D8999B2"/>
    <w:rsid w:val="3DA0A6C1"/>
    <w:rsid w:val="3E0AF032"/>
    <w:rsid w:val="3E40EF03"/>
    <w:rsid w:val="3E49FF2E"/>
    <w:rsid w:val="4032ED75"/>
    <w:rsid w:val="4032FC3C"/>
    <w:rsid w:val="4082B157"/>
    <w:rsid w:val="40924786"/>
    <w:rsid w:val="409B9336"/>
    <w:rsid w:val="40DBB977"/>
    <w:rsid w:val="40F79532"/>
    <w:rsid w:val="411F0D45"/>
    <w:rsid w:val="412BB775"/>
    <w:rsid w:val="41330064"/>
    <w:rsid w:val="41597052"/>
    <w:rsid w:val="41C788BA"/>
    <w:rsid w:val="41C8D7CA"/>
    <w:rsid w:val="42058A28"/>
    <w:rsid w:val="420B0285"/>
    <w:rsid w:val="42731863"/>
    <w:rsid w:val="4274BBB8"/>
    <w:rsid w:val="42FC6290"/>
    <w:rsid w:val="4319DA38"/>
    <w:rsid w:val="431C36C6"/>
    <w:rsid w:val="433B3BC6"/>
    <w:rsid w:val="433D6398"/>
    <w:rsid w:val="437A2AF8"/>
    <w:rsid w:val="43A00E77"/>
    <w:rsid w:val="4433D95D"/>
    <w:rsid w:val="443C0855"/>
    <w:rsid w:val="447B8F4A"/>
    <w:rsid w:val="44A019A9"/>
    <w:rsid w:val="44B287F4"/>
    <w:rsid w:val="4520B9A8"/>
    <w:rsid w:val="4609043D"/>
    <w:rsid w:val="46354C75"/>
    <w:rsid w:val="468C0189"/>
    <w:rsid w:val="46A0EF92"/>
    <w:rsid w:val="46AE53E3"/>
    <w:rsid w:val="46B8F24D"/>
    <w:rsid w:val="46E18824"/>
    <w:rsid w:val="46ED82E0"/>
    <w:rsid w:val="47022FE3"/>
    <w:rsid w:val="470EEAAE"/>
    <w:rsid w:val="470F5AE3"/>
    <w:rsid w:val="47949287"/>
    <w:rsid w:val="47F6FFF4"/>
    <w:rsid w:val="4861E731"/>
    <w:rsid w:val="48F9DFAA"/>
    <w:rsid w:val="49222B14"/>
    <w:rsid w:val="494A26FA"/>
    <w:rsid w:val="4957E450"/>
    <w:rsid w:val="49B91EB1"/>
    <w:rsid w:val="49DECD82"/>
    <w:rsid w:val="49EE86E6"/>
    <w:rsid w:val="4A40B3C4"/>
    <w:rsid w:val="4A4B99BA"/>
    <w:rsid w:val="4A7604A6"/>
    <w:rsid w:val="4A79960B"/>
    <w:rsid w:val="4ADDF239"/>
    <w:rsid w:val="4B0FE021"/>
    <w:rsid w:val="4B79C904"/>
    <w:rsid w:val="4BB3B014"/>
    <w:rsid w:val="4BBCDFCC"/>
    <w:rsid w:val="4BE0C83A"/>
    <w:rsid w:val="4BF16D1A"/>
    <w:rsid w:val="4C337742"/>
    <w:rsid w:val="4C50F06B"/>
    <w:rsid w:val="4CC11E6B"/>
    <w:rsid w:val="4CCBC8B6"/>
    <w:rsid w:val="4CEC7897"/>
    <w:rsid w:val="4D25EB76"/>
    <w:rsid w:val="4D3CA740"/>
    <w:rsid w:val="4D58D495"/>
    <w:rsid w:val="4D7DA034"/>
    <w:rsid w:val="4DA96B76"/>
    <w:rsid w:val="4EC5B97F"/>
    <w:rsid w:val="4EE881B5"/>
    <w:rsid w:val="502D8B79"/>
    <w:rsid w:val="50520F90"/>
    <w:rsid w:val="50F1A868"/>
    <w:rsid w:val="511D3A77"/>
    <w:rsid w:val="519E7B33"/>
    <w:rsid w:val="51BE6530"/>
    <w:rsid w:val="51DE04F7"/>
    <w:rsid w:val="5208B0B0"/>
    <w:rsid w:val="5210DE06"/>
    <w:rsid w:val="52197DE4"/>
    <w:rsid w:val="5228B7BF"/>
    <w:rsid w:val="52EF854F"/>
    <w:rsid w:val="530981C2"/>
    <w:rsid w:val="533DA7EC"/>
    <w:rsid w:val="53702CC0"/>
    <w:rsid w:val="545CBF3B"/>
    <w:rsid w:val="5468C7E8"/>
    <w:rsid w:val="552027CC"/>
    <w:rsid w:val="55571F05"/>
    <w:rsid w:val="5557CA4C"/>
    <w:rsid w:val="559598ED"/>
    <w:rsid w:val="55E27F1C"/>
    <w:rsid w:val="55F3A9E5"/>
    <w:rsid w:val="56278AAC"/>
    <w:rsid w:val="56291B92"/>
    <w:rsid w:val="56407818"/>
    <w:rsid w:val="56949F01"/>
    <w:rsid w:val="56ACC3C9"/>
    <w:rsid w:val="56C1C641"/>
    <w:rsid w:val="56D5DC85"/>
    <w:rsid w:val="56E2D752"/>
    <w:rsid w:val="56E4C2E1"/>
    <w:rsid w:val="56E752F3"/>
    <w:rsid w:val="5732CE28"/>
    <w:rsid w:val="578F63F9"/>
    <w:rsid w:val="57B5F7CD"/>
    <w:rsid w:val="58118513"/>
    <w:rsid w:val="589266EC"/>
    <w:rsid w:val="58B3AAE7"/>
    <w:rsid w:val="59091962"/>
    <w:rsid w:val="59272D37"/>
    <w:rsid w:val="5953330D"/>
    <w:rsid w:val="59744037"/>
    <w:rsid w:val="598419BF"/>
    <w:rsid w:val="59AEF580"/>
    <w:rsid w:val="59B2C375"/>
    <w:rsid w:val="59C3CC01"/>
    <w:rsid w:val="59CA26B9"/>
    <w:rsid w:val="59E3337B"/>
    <w:rsid w:val="59F6CB11"/>
    <w:rsid w:val="5A7492A7"/>
    <w:rsid w:val="5A958BCC"/>
    <w:rsid w:val="5ACA5B22"/>
    <w:rsid w:val="5B99C9B9"/>
    <w:rsid w:val="5C2ED92D"/>
    <w:rsid w:val="5C685B49"/>
    <w:rsid w:val="5CA6C310"/>
    <w:rsid w:val="5D2269CE"/>
    <w:rsid w:val="5D477588"/>
    <w:rsid w:val="5D636E98"/>
    <w:rsid w:val="5D8913E3"/>
    <w:rsid w:val="5E22E932"/>
    <w:rsid w:val="5E47B4E0"/>
    <w:rsid w:val="5E8D234A"/>
    <w:rsid w:val="5F153F14"/>
    <w:rsid w:val="5FACEE3E"/>
    <w:rsid w:val="5FCA8412"/>
    <w:rsid w:val="5FF2BDD9"/>
    <w:rsid w:val="5FF8799B"/>
    <w:rsid w:val="601E0B6D"/>
    <w:rsid w:val="6062F748"/>
    <w:rsid w:val="609E3305"/>
    <w:rsid w:val="61962E75"/>
    <w:rsid w:val="61C54D39"/>
    <w:rsid w:val="61C6FA0A"/>
    <w:rsid w:val="61ECF480"/>
    <w:rsid w:val="6208D86C"/>
    <w:rsid w:val="62126FDC"/>
    <w:rsid w:val="6244FAB3"/>
    <w:rsid w:val="626AF7FC"/>
    <w:rsid w:val="627F6F75"/>
    <w:rsid w:val="628C119C"/>
    <w:rsid w:val="62B247B4"/>
    <w:rsid w:val="62D6E6F0"/>
    <w:rsid w:val="6315CB49"/>
    <w:rsid w:val="6321AC6A"/>
    <w:rsid w:val="634AF6D9"/>
    <w:rsid w:val="63546BAD"/>
    <w:rsid w:val="635D50C9"/>
    <w:rsid w:val="6394CD6E"/>
    <w:rsid w:val="63B86F1D"/>
    <w:rsid w:val="63C53DCB"/>
    <w:rsid w:val="643334DE"/>
    <w:rsid w:val="644EB0C0"/>
    <w:rsid w:val="6458FB5B"/>
    <w:rsid w:val="647335FD"/>
    <w:rsid w:val="648A9A50"/>
    <w:rsid w:val="6498097F"/>
    <w:rsid w:val="64F73195"/>
    <w:rsid w:val="654991EF"/>
    <w:rsid w:val="656B5F1A"/>
    <w:rsid w:val="65A3F394"/>
    <w:rsid w:val="65BDA3DC"/>
    <w:rsid w:val="65D62EE9"/>
    <w:rsid w:val="65F611DE"/>
    <w:rsid w:val="666B0A90"/>
    <w:rsid w:val="666FA779"/>
    <w:rsid w:val="667439A5"/>
    <w:rsid w:val="669FFF8F"/>
    <w:rsid w:val="66D31D71"/>
    <w:rsid w:val="676CA560"/>
    <w:rsid w:val="677D6E5E"/>
    <w:rsid w:val="67B2BBB8"/>
    <w:rsid w:val="67F9E2F7"/>
    <w:rsid w:val="681A6BB3"/>
    <w:rsid w:val="686837B9"/>
    <w:rsid w:val="68828CA8"/>
    <w:rsid w:val="688E56C9"/>
    <w:rsid w:val="6890F62C"/>
    <w:rsid w:val="68AF1520"/>
    <w:rsid w:val="68F8A331"/>
    <w:rsid w:val="69451E21"/>
    <w:rsid w:val="696B0BA1"/>
    <w:rsid w:val="6977FF40"/>
    <w:rsid w:val="6981C015"/>
    <w:rsid w:val="69C59106"/>
    <w:rsid w:val="69D586B4"/>
    <w:rsid w:val="69DCB6E4"/>
    <w:rsid w:val="69EA4C5A"/>
    <w:rsid w:val="6A37F5B1"/>
    <w:rsid w:val="6AB93625"/>
    <w:rsid w:val="6AC60914"/>
    <w:rsid w:val="6AFE139E"/>
    <w:rsid w:val="6B6FB083"/>
    <w:rsid w:val="6BA956DE"/>
    <w:rsid w:val="6BD4BA36"/>
    <w:rsid w:val="6BE1FFB4"/>
    <w:rsid w:val="6C17DFF7"/>
    <w:rsid w:val="6C34FAC1"/>
    <w:rsid w:val="6C4BB759"/>
    <w:rsid w:val="6C72FEFF"/>
    <w:rsid w:val="6C817A27"/>
    <w:rsid w:val="6D565989"/>
    <w:rsid w:val="6D74B381"/>
    <w:rsid w:val="6D857535"/>
    <w:rsid w:val="6DC4BC5C"/>
    <w:rsid w:val="6DD616F8"/>
    <w:rsid w:val="6E17440E"/>
    <w:rsid w:val="6E9AA354"/>
    <w:rsid w:val="6EA07955"/>
    <w:rsid w:val="6ECD9169"/>
    <w:rsid w:val="6EDF5D08"/>
    <w:rsid w:val="6F24839E"/>
    <w:rsid w:val="6F43E728"/>
    <w:rsid w:val="708579D2"/>
    <w:rsid w:val="709B255B"/>
    <w:rsid w:val="70F90DA0"/>
    <w:rsid w:val="71561E80"/>
    <w:rsid w:val="7157E4DF"/>
    <w:rsid w:val="7222EAD7"/>
    <w:rsid w:val="72608F41"/>
    <w:rsid w:val="72767538"/>
    <w:rsid w:val="72B10BE2"/>
    <w:rsid w:val="72CBC0A3"/>
    <w:rsid w:val="72CBEBC6"/>
    <w:rsid w:val="72E7B83A"/>
    <w:rsid w:val="72EEB3EF"/>
    <w:rsid w:val="72F099B7"/>
    <w:rsid w:val="73018968"/>
    <w:rsid w:val="7314156B"/>
    <w:rsid w:val="7488E6C1"/>
    <w:rsid w:val="748AAA0A"/>
    <w:rsid w:val="748F485D"/>
    <w:rsid w:val="74A09E08"/>
    <w:rsid w:val="74B76943"/>
    <w:rsid w:val="74C67AD0"/>
    <w:rsid w:val="75C4AF03"/>
    <w:rsid w:val="75F265F6"/>
    <w:rsid w:val="76280480"/>
    <w:rsid w:val="765B3043"/>
    <w:rsid w:val="769AB861"/>
    <w:rsid w:val="778598E0"/>
    <w:rsid w:val="77ADA116"/>
    <w:rsid w:val="77EB4EE3"/>
    <w:rsid w:val="77FFEF53"/>
    <w:rsid w:val="78009F83"/>
    <w:rsid w:val="785B220C"/>
    <w:rsid w:val="78C9EC7C"/>
    <w:rsid w:val="78E587E4"/>
    <w:rsid w:val="78FEC479"/>
    <w:rsid w:val="7954E349"/>
    <w:rsid w:val="798FF416"/>
    <w:rsid w:val="79F3D6DE"/>
    <w:rsid w:val="79FE333A"/>
    <w:rsid w:val="7A90AD4D"/>
    <w:rsid w:val="7A95D4F3"/>
    <w:rsid w:val="7A98B49C"/>
    <w:rsid w:val="7AB0D16E"/>
    <w:rsid w:val="7ACC8D35"/>
    <w:rsid w:val="7ADB4C83"/>
    <w:rsid w:val="7B777387"/>
    <w:rsid w:val="7BBA7CBD"/>
    <w:rsid w:val="7C332171"/>
    <w:rsid w:val="7CA50C3D"/>
    <w:rsid w:val="7CA66ECD"/>
    <w:rsid w:val="7CAF3E06"/>
    <w:rsid w:val="7CB8D3A7"/>
    <w:rsid w:val="7CD19149"/>
    <w:rsid w:val="7D58EA88"/>
    <w:rsid w:val="7D8098D5"/>
    <w:rsid w:val="7DA28117"/>
    <w:rsid w:val="7E21C8A3"/>
    <w:rsid w:val="7E2D5A3B"/>
    <w:rsid w:val="7E40F638"/>
    <w:rsid w:val="7EEFE632"/>
    <w:rsid w:val="7EF8A34C"/>
    <w:rsid w:val="7F006D7C"/>
    <w:rsid w:val="7F0181C8"/>
    <w:rsid w:val="7F2D73FD"/>
    <w:rsid w:val="7F3D1FE7"/>
    <w:rsid w:val="7F3F4817"/>
    <w:rsid w:val="7F6192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5410"/>
  <w15:chartTrackingRefBased/>
  <w15:docId w15:val="{207FBB33-7AFB-4784-9679-DFA43D2B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paragraph">
    <w:name w:val="First-level paragraph"/>
    <w:basedOn w:val="ListParagraph"/>
    <w:autoRedefine/>
    <w:qFormat/>
    <w:rsid w:val="00516EC8"/>
    <w:pPr>
      <w:tabs>
        <w:tab w:val="left" w:pos="567"/>
        <w:tab w:val="left" w:pos="1134"/>
        <w:tab w:val="left" w:pos="1701"/>
      </w:tabs>
      <w:spacing w:line="360" w:lineRule="auto"/>
      <w:ind w:left="0"/>
      <w:contextualSpacing w:val="0"/>
      <w:jc w:val="both"/>
    </w:pPr>
    <w:rPr>
      <w:rFonts w:ascii="Arial" w:hAnsi="Arial"/>
      <w:b/>
      <w:bCs/>
      <w:sz w:val="20"/>
      <w:szCs w:val="20"/>
    </w:rPr>
  </w:style>
  <w:style w:type="paragraph" w:customStyle="1" w:styleId="Second-levelparagraph">
    <w:name w:val="Second-level paragraph"/>
    <w:basedOn w:val="ListParagraph"/>
    <w:autoRedefine/>
    <w:qFormat/>
    <w:rsid w:val="00733469"/>
    <w:pPr>
      <w:numPr>
        <w:ilvl w:val="1"/>
        <w:numId w:val="1"/>
      </w:numPr>
      <w:tabs>
        <w:tab w:val="left" w:pos="567"/>
        <w:tab w:val="left" w:pos="1134"/>
        <w:tab w:val="left" w:pos="1701"/>
      </w:tabs>
      <w:spacing w:line="360" w:lineRule="auto"/>
      <w:ind w:left="1134" w:hanging="567"/>
      <w:contextualSpacing w:val="0"/>
      <w:jc w:val="both"/>
    </w:pPr>
    <w:rPr>
      <w:rFonts w:ascii="Arial" w:hAnsi="Arial"/>
      <w:sz w:val="20"/>
    </w:rPr>
  </w:style>
  <w:style w:type="paragraph" w:customStyle="1" w:styleId="Third-levelparagraph">
    <w:name w:val="Third-level paragraph"/>
    <w:basedOn w:val="ListParagraph"/>
    <w:autoRedefine/>
    <w:qFormat/>
    <w:rsid w:val="00E75F13"/>
    <w:pPr>
      <w:tabs>
        <w:tab w:val="left" w:pos="567"/>
        <w:tab w:val="left" w:pos="1134"/>
        <w:tab w:val="left" w:pos="1701"/>
      </w:tabs>
      <w:spacing w:line="360" w:lineRule="auto"/>
      <w:ind w:left="1134"/>
      <w:contextualSpacing w:val="0"/>
    </w:pPr>
    <w:rPr>
      <w:rFonts w:ascii="Arial" w:hAnsi="Arial"/>
      <w:sz w:val="20"/>
    </w:rPr>
  </w:style>
  <w:style w:type="paragraph" w:styleId="ListParagraph">
    <w:name w:val="List Paragraph"/>
    <w:basedOn w:val="Normal"/>
    <w:uiPriority w:val="34"/>
    <w:qFormat/>
    <w:rsid w:val="00733469"/>
    <w:pPr>
      <w:ind w:left="720"/>
      <w:contextualSpacing/>
    </w:pPr>
  </w:style>
  <w:style w:type="paragraph" w:styleId="BalloonText">
    <w:name w:val="Balloon Text"/>
    <w:basedOn w:val="Normal"/>
    <w:link w:val="BalloonTextChar"/>
    <w:uiPriority w:val="99"/>
    <w:semiHidden/>
    <w:unhideWhenUsed/>
    <w:rsid w:val="00733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469"/>
    <w:rPr>
      <w:rFonts w:ascii="Segoe UI" w:hAnsi="Segoe UI" w:cs="Segoe UI"/>
      <w:sz w:val="18"/>
      <w:szCs w:val="18"/>
    </w:rPr>
  </w:style>
  <w:style w:type="paragraph" w:styleId="FootnoteText">
    <w:name w:val="footnote text"/>
    <w:basedOn w:val="Normal"/>
    <w:link w:val="FootnoteTextChar"/>
    <w:uiPriority w:val="99"/>
    <w:semiHidden/>
    <w:unhideWhenUsed/>
    <w:rsid w:val="00E75F13"/>
    <w:pPr>
      <w:tabs>
        <w:tab w:val="left" w:pos="567"/>
        <w:tab w:val="left" w:pos="1134"/>
        <w:tab w:val="left" w:pos="1701"/>
      </w:tabs>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E75F13"/>
    <w:rPr>
      <w:rFonts w:ascii="Arial" w:hAnsi="Arial"/>
      <w:sz w:val="20"/>
      <w:szCs w:val="20"/>
    </w:rPr>
  </w:style>
  <w:style w:type="character" w:styleId="FootnoteReference">
    <w:name w:val="footnote reference"/>
    <w:basedOn w:val="DefaultParagraphFont"/>
    <w:uiPriority w:val="99"/>
    <w:semiHidden/>
    <w:unhideWhenUsed/>
    <w:rsid w:val="00E75F13"/>
    <w:rPr>
      <w:vertAlign w:val="superscript"/>
    </w:rPr>
  </w:style>
  <w:style w:type="paragraph" w:customStyle="1" w:styleId="Boldheading">
    <w:name w:val="Bold heading"/>
    <w:basedOn w:val="Normal"/>
    <w:autoRedefine/>
    <w:qFormat/>
    <w:rsid w:val="00E75F13"/>
    <w:pPr>
      <w:keepNext/>
      <w:tabs>
        <w:tab w:val="left" w:pos="567"/>
        <w:tab w:val="left" w:pos="1134"/>
        <w:tab w:val="left" w:pos="1701"/>
      </w:tabs>
      <w:spacing w:before="480" w:line="360" w:lineRule="auto"/>
      <w:jc w:val="both"/>
    </w:pPr>
    <w:rPr>
      <w:rFonts w:ascii="Arial" w:hAnsi="Arial"/>
      <w:b/>
      <w:sz w:val="20"/>
    </w:rPr>
  </w:style>
  <w:style w:type="character" w:styleId="CommentReference">
    <w:name w:val="annotation reference"/>
    <w:basedOn w:val="DefaultParagraphFont"/>
    <w:uiPriority w:val="99"/>
    <w:semiHidden/>
    <w:unhideWhenUsed/>
    <w:rsid w:val="008915F4"/>
    <w:rPr>
      <w:sz w:val="16"/>
      <w:szCs w:val="16"/>
    </w:rPr>
  </w:style>
  <w:style w:type="paragraph" w:styleId="CommentText">
    <w:name w:val="annotation text"/>
    <w:basedOn w:val="Normal"/>
    <w:link w:val="CommentTextChar"/>
    <w:uiPriority w:val="99"/>
    <w:semiHidden/>
    <w:unhideWhenUsed/>
    <w:rsid w:val="008915F4"/>
    <w:pPr>
      <w:spacing w:line="240" w:lineRule="auto"/>
    </w:pPr>
    <w:rPr>
      <w:sz w:val="20"/>
      <w:szCs w:val="20"/>
    </w:rPr>
  </w:style>
  <w:style w:type="character" w:customStyle="1" w:styleId="CommentTextChar">
    <w:name w:val="Comment Text Char"/>
    <w:basedOn w:val="DefaultParagraphFont"/>
    <w:link w:val="CommentText"/>
    <w:uiPriority w:val="99"/>
    <w:semiHidden/>
    <w:rsid w:val="008915F4"/>
    <w:rPr>
      <w:sz w:val="20"/>
      <w:szCs w:val="20"/>
    </w:rPr>
  </w:style>
  <w:style w:type="paragraph" w:styleId="CommentSubject">
    <w:name w:val="annotation subject"/>
    <w:basedOn w:val="CommentText"/>
    <w:next w:val="CommentText"/>
    <w:link w:val="CommentSubjectChar"/>
    <w:uiPriority w:val="99"/>
    <w:semiHidden/>
    <w:unhideWhenUsed/>
    <w:rsid w:val="008915F4"/>
    <w:rPr>
      <w:b/>
      <w:bCs/>
    </w:rPr>
  </w:style>
  <w:style w:type="character" w:customStyle="1" w:styleId="CommentSubjectChar">
    <w:name w:val="Comment Subject Char"/>
    <w:basedOn w:val="CommentTextChar"/>
    <w:link w:val="CommentSubject"/>
    <w:uiPriority w:val="99"/>
    <w:semiHidden/>
    <w:rsid w:val="008915F4"/>
    <w:rPr>
      <w:b/>
      <w:bCs/>
      <w:sz w:val="20"/>
      <w:szCs w:val="20"/>
    </w:rPr>
  </w:style>
  <w:style w:type="paragraph" w:styleId="Header">
    <w:name w:val="header"/>
    <w:basedOn w:val="Normal"/>
    <w:link w:val="HeaderChar"/>
    <w:uiPriority w:val="99"/>
    <w:unhideWhenUsed/>
    <w:rsid w:val="00B82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D5F"/>
  </w:style>
  <w:style w:type="paragraph" w:styleId="Footer">
    <w:name w:val="footer"/>
    <w:basedOn w:val="Normal"/>
    <w:link w:val="FooterChar"/>
    <w:uiPriority w:val="99"/>
    <w:unhideWhenUsed/>
    <w:rsid w:val="00B82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D5F"/>
  </w:style>
  <w:style w:type="paragraph" w:styleId="NormalWeb">
    <w:name w:val="Normal (Web)"/>
    <w:basedOn w:val="Normal"/>
    <w:uiPriority w:val="99"/>
    <w:unhideWhenUsed/>
    <w:rsid w:val="001E3154"/>
    <w:pPr>
      <w:spacing w:after="0" w:line="240" w:lineRule="auto"/>
    </w:pPr>
    <w:rPr>
      <w:rFonts w:ascii="Calibri" w:hAnsi="Calibri" w:cs="Calibri"/>
      <w:lang w:eastAsia="en-GB"/>
    </w:rPr>
  </w:style>
  <w:style w:type="character" w:styleId="Hyperlink">
    <w:name w:val="Hyperlink"/>
    <w:basedOn w:val="DefaultParagraphFont"/>
    <w:uiPriority w:val="99"/>
    <w:unhideWhenUsed/>
    <w:rsid w:val="000C3391"/>
    <w:rPr>
      <w:color w:val="0563C1" w:themeColor="hyperlink"/>
      <w:u w:val="single"/>
    </w:rPr>
  </w:style>
  <w:style w:type="character" w:styleId="UnresolvedMention">
    <w:name w:val="Unresolved Mention"/>
    <w:basedOn w:val="DefaultParagraphFont"/>
    <w:uiPriority w:val="99"/>
    <w:semiHidden/>
    <w:unhideWhenUsed/>
    <w:rsid w:val="000C3391"/>
    <w:rPr>
      <w:color w:val="605E5C"/>
      <w:shd w:val="clear" w:color="auto" w:fill="E1DFDD"/>
    </w:rPr>
  </w:style>
  <w:style w:type="character" w:customStyle="1" w:styleId="normaltextrun">
    <w:name w:val="normaltextrun"/>
    <w:basedOn w:val="DefaultParagraphFont"/>
    <w:rsid w:val="00A62C10"/>
  </w:style>
  <w:style w:type="paragraph" w:customStyle="1" w:styleId="paragraph">
    <w:name w:val="paragraph"/>
    <w:basedOn w:val="Normal"/>
    <w:rsid w:val="007310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310EE"/>
  </w:style>
  <w:style w:type="character" w:customStyle="1" w:styleId="advancedproofingissue">
    <w:name w:val="advancedproofingissue"/>
    <w:basedOn w:val="DefaultParagraphFont"/>
    <w:rsid w:val="007310EE"/>
  </w:style>
  <w:style w:type="character" w:styleId="FollowedHyperlink">
    <w:name w:val="FollowedHyperlink"/>
    <w:basedOn w:val="DefaultParagraphFont"/>
    <w:uiPriority w:val="99"/>
    <w:semiHidden/>
    <w:unhideWhenUsed/>
    <w:rsid w:val="009F23BE"/>
    <w:rPr>
      <w:color w:val="954F72" w:themeColor="followedHyperlink"/>
      <w:u w:val="single"/>
    </w:rPr>
  </w:style>
  <w:style w:type="paragraph" w:styleId="Revision">
    <w:name w:val="Revision"/>
    <w:hidden/>
    <w:uiPriority w:val="99"/>
    <w:semiHidden/>
    <w:rsid w:val="00CD3917"/>
    <w:pPr>
      <w:spacing w:after="0" w:line="240" w:lineRule="auto"/>
    </w:pPr>
  </w:style>
  <w:style w:type="table" w:styleId="TableGrid">
    <w:name w:val="Table Grid"/>
    <w:basedOn w:val="TableNormal"/>
    <w:uiPriority w:val="39"/>
    <w:rsid w:val="004B33C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A3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32197">
      <w:bodyDiv w:val="1"/>
      <w:marLeft w:val="0"/>
      <w:marRight w:val="0"/>
      <w:marTop w:val="0"/>
      <w:marBottom w:val="0"/>
      <w:divBdr>
        <w:top w:val="none" w:sz="0" w:space="0" w:color="auto"/>
        <w:left w:val="none" w:sz="0" w:space="0" w:color="auto"/>
        <w:bottom w:val="none" w:sz="0" w:space="0" w:color="auto"/>
        <w:right w:val="none" w:sz="0" w:space="0" w:color="auto"/>
      </w:divBdr>
      <w:divsChild>
        <w:div w:id="412508797">
          <w:marLeft w:val="0"/>
          <w:marRight w:val="0"/>
          <w:marTop w:val="0"/>
          <w:marBottom w:val="0"/>
          <w:divBdr>
            <w:top w:val="none" w:sz="0" w:space="0" w:color="auto"/>
            <w:left w:val="none" w:sz="0" w:space="0" w:color="auto"/>
            <w:bottom w:val="none" w:sz="0" w:space="0" w:color="auto"/>
            <w:right w:val="none" w:sz="0" w:space="0" w:color="auto"/>
          </w:divBdr>
        </w:div>
        <w:div w:id="1912736192">
          <w:marLeft w:val="0"/>
          <w:marRight w:val="0"/>
          <w:marTop w:val="0"/>
          <w:marBottom w:val="0"/>
          <w:divBdr>
            <w:top w:val="none" w:sz="0" w:space="0" w:color="auto"/>
            <w:left w:val="none" w:sz="0" w:space="0" w:color="auto"/>
            <w:bottom w:val="none" w:sz="0" w:space="0" w:color="auto"/>
            <w:right w:val="none" w:sz="0" w:space="0" w:color="auto"/>
          </w:divBdr>
        </w:div>
      </w:divsChild>
    </w:div>
    <w:div w:id="341050549">
      <w:bodyDiv w:val="1"/>
      <w:marLeft w:val="0"/>
      <w:marRight w:val="0"/>
      <w:marTop w:val="0"/>
      <w:marBottom w:val="0"/>
      <w:divBdr>
        <w:top w:val="none" w:sz="0" w:space="0" w:color="auto"/>
        <w:left w:val="none" w:sz="0" w:space="0" w:color="auto"/>
        <w:bottom w:val="none" w:sz="0" w:space="0" w:color="auto"/>
        <w:right w:val="none" w:sz="0" w:space="0" w:color="auto"/>
      </w:divBdr>
    </w:div>
    <w:div w:id="430047477">
      <w:bodyDiv w:val="1"/>
      <w:marLeft w:val="0"/>
      <w:marRight w:val="0"/>
      <w:marTop w:val="0"/>
      <w:marBottom w:val="0"/>
      <w:divBdr>
        <w:top w:val="none" w:sz="0" w:space="0" w:color="auto"/>
        <w:left w:val="none" w:sz="0" w:space="0" w:color="auto"/>
        <w:bottom w:val="none" w:sz="0" w:space="0" w:color="auto"/>
        <w:right w:val="none" w:sz="0" w:space="0" w:color="auto"/>
      </w:divBdr>
    </w:div>
    <w:div w:id="1004288165">
      <w:bodyDiv w:val="1"/>
      <w:marLeft w:val="0"/>
      <w:marRight w:val="0"/>
      <w:marTop w:val="0"/>
      <w:marBottom w:val="0"/>
      <w:divBdr>
        <w:top w:val="none" w:sz="0" w:space="0" w:color="auto"/>
        <w:left w:val="none" w:sz="0" w:space="0" w:color="auto"/>
        <w:bottom w:val="none" w:sz="0" w:space="0" w:color="auto"/>
        <w:right w:val="none" w:sz="0" w:space="0" w:color="auto"/>
      </w:divBdr>
    </w:div>
    <w:div w:id="1214925349">
      <w:bodyDiv w:val="1"/>
      <w:marLeft w:val="0"/>
      <w:marRight w:val="0"/>
      <w:marTop w:val="0"/>
      <w:marBottom w:val="0"/>
      <w:divBdr>
        <w:top w:val="none" w:sz="0" w:space="0" w:color="auto"/>
        <w:left w:val="none" w:sz="0" w:space="0" w:color="auto"/>
        <w:bottom w:val="none" w:sz="0" w:space="0" w:color="auto"/>
        <w:right w:val="none" w:sz="0" w:space="0" w:color="auto"/>
      </w:divBdr>
    </w:div>
    <w:div w:id="1271548243">
      <w:bodyDiv w:val="1"/>
      <w:marLeft w:val="0"/>
      <w:marRight w:val="0"/>
      <w:marTop w:val="0"/>
      <w:marBottom w:val="0"/>
      <w:divBdr>
        <w:top w:val="none" w:sz="0" w:space="0" w:color="auto"/>
        <w:left w:val="none" w:sz="0" w:space="0" w:color="auto"/>
        <w:bottom w:val="none" w:sz="0" w:space="0" w:color="auto"/>
        <w:right w:val="none" w:sz="0" w:space="0" w:color="auto"/>
      </w:divBdr>
    </w:div>
    <w:div w:id="1446345053">
      <w:bodyDiv w:val="1"/>
      <w:marLeft w:val="0"/>
      <w:marRight w:val="0"/>
      <w:marTop w:val="0"/>
      <w:marBottom w:val="0"/>
      <w:divBdr>
        <w:top w:val="none" w:sz="0" w:space="0" w:color="auto"/>
        <w:left w:val="none" w:sz="0" w:space="0" w:color="auto"/>
        <w:bottom w:val="none" w:sz="0" w:space="0" w:color="auto"/>
        <w:right w:val="none" w:sz="0" w:space="0" w:color="auto"/>
      </w:divBdr>
    </w:div>
    <w:div w:id="212017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developers-get-environmental-advice-on-your-planning-propos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appropriate-assess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58399CCF6154B9A7FF3CC77E633E5" ma:contentTypeVersion="13" ma:contentTypeDescription="Create a new document." ma:contentTypeScope="" ma:versionID="06f1bad9468559895be5bbf77654764e">
  <xsd:schema xmlns:xsd="http://www.w3.org/2001/XMLSchema" xmlns:xs="http://www.w3.org/2001/XMLSchema" xmlns:p="http://schemas.microsoft.com/office/2006/metadata/properties" xmlns:ns3="e87b2474-b9fa-429a-9ceb-404204870b09" xmlns:ns4="860e6834-b69d-4cbc-96de-acb7855eaead" targetNamespace="http://schemas.microsoft.com/office/2006/metadata/properties" ma:root="true" ma:fieldsID="71e7164e7363f7c561439561f17ba048" ns3:_="" ns4:_="">
    <xsd:import namespace="e87b2474-b9fa-429a-9ceb-404204870b09"/>
    <xsd:import namespace="860e6834-b69d-4cbc-96de-acb7855eae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b2474-b9fa-429a-9ceb-404204870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e6834-b69d-4cbc-96de-acb7855eae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80f9663b-59d8-4054-8788-2c8a55bfb5bc"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2EE59-69BD-490A-BF22-47DC70DB4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b2474-b9fa-429a-9ceb-404204870b09"/>
    <ds:schemaRef ds:uri="860e6834-b69d-4cbc-96de-acb7855ea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9F3B9-7C18-4CC9-9A7D-AA95E5712FD0}">
  <ds:schemaRefs>
    <ds:schemaRef ds:uri="http://schemas.microsoft.com/office/2006/metadata/properties"/>
    <ds:schemaRef ds:uri="http://schemas.microsoft.com/office/infopath/2007/PartnerControls"/>
    <ds:schemaRef ds:uri="http://schemas.microsoft.com/sharepoint/v3"/>
    <ds:schemaRef ds:uri="80f9663b-59d8-4054-8788-2c8a55bfb5bc"/>
  </ds:schemaRefs>
</ds:datastoreItem>
</file>

<file path=customXml/itemProps3.xml><?xml version="1.0" encoding="utf-8"?>
<ds:datastoreItem xmlns:ds="http://schemas.openxmlformats.org/officeDocument/2006/customXml" ds:itemID="{A6FB89F0-BD12-4466-9D90-F26B94D7876E}">
  <ds:schemaRefs>
    <ds:schemaRef ds:uri="http://schemas.microsoft.com/sharepoint/v3/contenttype/forms"/>
  </ds:schemaRefs>
</ds:datastoreItem>
</file>

<file path=customXml/itemProps4.xml><?xml version="1.0" encoding="utf-8"?>
<ds:datastoreItem xmlns:ds="http://schemas.openxmlformats.org/officeDocument/2006/customXml" ds:itemID="{4DB329AC-A69B-4076-BE70-CC440AF0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Philpott</dc:creator>
  <cp:keywords/>
  <dc:description/>
  <cp:lastModifiedBy>Alex Philpott</cp:lastModifiedBy>
  <cp:revision>3</cp:revision>
  <dcterms:created xsi:type="dcterms:W3CDTF">2020-06-29T10:29:00Z</dcterms:created>
  <dcterms:modified xsi:type="dcterms:W3CDTF">2020-07-06T10:16:00Z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0x010100D721B6B38C00674CADD406C478CD4C54</vt:lpwstr>
  </property>
</Properties>
</file>