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E4B73" w14:textId="77777777" w:rsidR="00EC04F8" w:rsidRDefault="00EC04F8" w:rsidP="00EC04F8">
      <w:pPr>
        <w:pStyle w:val="SubHeading"/>
      </w:pPr>
      <w:r>
        <w:t>dynamic framework</w:t>
      </w:r>
    </w:p>
    <w:p w14:paraId="6646B3F9" w14:textId="77777777" w:rsidR="00BE7429" w:rsidRPr="0017214D" w:rsidRDefault="00CB26D8" w:rsidP="00F5169D">
      <w:pPr>
        <w:pStyle w:val="Body"/>
        <w:jc w:val="center"/>
        <w:rPr>
          <w:b/>
        </w:rPr>
      </w:pPr>
      <w:r w:rsidRPr="0017214D">
        <w:rPr>
          <w:b/>
        </w:rPr>
        <w:t>SCHEDUL</w:t>
      </w:r>
      <w:r w:rsidR="00D05BDE" w:rsidRPr="0017214D">
        <w:rPr>
          <w:b/>
        </w:rPr>
        <w:t>E</w:t>
      </w:r>
      <w:r w:rsidR="00D05BDE">
        <w:rPr>
          <w:b/>
        </w:rPr>
        <w:t> </w:t>
      </w:r>
      <w:r w:rsidR="00D05BDE" w:rsidRPr="0017214D">
        <w:rPr>
          <w:b/>
        </w:rPr>
        <w:t>7</w:t>
      </w:r>
      <w:r w:rsidRPr="0017214D">
        <w:rPr>
          <w:b/>
        </w:rPr>
        <w:t>.4</w:t>
      </w:r>
    </w:p>
    <w:p w14:paraId="41734E98" w14:textId="77777777" w:rsidR="00F5169D" w:rsidRDefault="00CB26D8" w:rsidP="00F5169D">
      <w:pPr>
        <w:pStyle w:val="Body"/>
        <w:jc w:val="center"/>
        <w:rPr>
          <w:b/>
        </w:rPr>
      </w:pPr>
      <w:r w:rsidRPr="00F5169D">
        <w:rPr>
          <w:b/>
        </w:rPr>
        <w:t>FINANCIAL DISTRESS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039"/>
        <w:gridCol w:w="5210"/>
      </w:tblGrid>
      <w:tr w:rsidR="00964CD1" w:rsidRPr="00EF7B6D" w14:paraId="17121D73" w14:textId="77777777" w:rsidTr="00FA6348">
        <w:trPr>
          <w:jc w:val="center"/>
        </w:trPr>
        <w:tc>
          <w:tcPr>
            <w:tcW w:w="1471" w:type="dxa"/>
            <w:shd w:val="clear" w:color="auto" w:fill="D9D9D9"/>
            <w:tcMar>
              <w:top w:w="0" w:type="dxa"/>
              <w:left w:w="108" w:type="dxa"/>
              <w:bottom w:w="0" w:type="dxa"/>
              <w:right w:w="108" w:type="dxa"/>
            </w:tcMar>
            <w:hideMark/>
          </w:tcPr>
          <w:p w14:paraId="5A0117C8" w14:textId="77777777" w:rsidR="00964CD1" w:rsidRPr="00EF7B6D" w:rsidRDefault="00964CD1" w:rsidP="00CE27A2">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shd w:val="clear" w:color="auto" w:fill="D9D9D9"/>
            <w:tcMar>
              <w:top w:w="0" w:type="dxa"/>
              <w:left w:w="108" w:type="dxa"/>
              <w:bottom w:w="0" w:type="dxa"/>
              <w:right w:w="108" w:type="dxa"/>
            </w:tcMar>
            <w:hideMark/>
          </w:tcPr>
          <w:p w14:paraId="76FA4851" w14:textId="77777777" w:rsidR="00964CD1" w:rsidRPr="00EF7B6D" w:rsidRDefault="00964CD1" w:rsidP="00CE27A2">
            <w:pPr>
              <w:keepNext/>
              <w:spacing w:before="120" w:after="120" w:line="276" w:lineRule="auto"/>
              <w:ind w:left="57" w:right="57"/>
              <w:rPr>
                <w:b/>
                <w:bCs/>
                <w:lang w:eastAsia="en-US"/>
              </w:rPr>
            </w:pPr>
            <w:r w:rsidRPr="00EF7B6D">
              <w:rPr>
                <w:b/>
                <w:bCs/>
              </w:rPr>
              <w:t>DATE</w:t>
            </w:r>
          </w:p>
        </w:tc>
        <w:tc>
          <w:tcPr>
            <w:tcW w:w="5210" w:type="dxa"/>
            <w:shd w:val="clear" w:color="auto" w:fill="D9D9D9"/>
            <w:tcMar>
              <w:top w:w="0" w:type="dxa"/>
              <w:left w:w="108" w:type="dxa"/>
              <w:bottom w:w="0" w:type="dxa"/>
              <w:right w:w="108" w:type="dxa"/>
            </w:tcMar>
            <w:hideMark/>
          </w:tcPr>
          <w:p w14:paraId="7AB54482" w14:textId="77777777" w:rsidR="00964CD1" w:rsidRPr="00EF7B6D" w:rsidRDefault="00964CD1" w:rsidP="00CE27A2">
            <w:pPr>
              <w:keepNext/>
              <w:spacing w:before="120" w:after="120" w:line="276" w:lineRule="auto"/>
              <w:ind w:left="57" w:right="57"/>
              <w:rPr>
                <w:b/>
                <w:bCs/>
                <w:lang w:eastAsia="en-US"/>
              </w:rPr>
            </w:pPr>
            <w:r w:rsidRPr="00EF7B6D">
              <w:rPr>
                <w:b/>
                <w:bCs/>
              </w:rPr>
              <w:t>COMMENT</w:t>
            </w:r>
          </w:p>
        </w:tc>
      </w:tr>
      <w:tr w:rsidR="00964CD1" w:rsidRPr="00EF7B6D" w14:paraId="0884B126" w14:textId="77777777" w:rsidTr="00FA6348">
        <w:trPr>
          <w:jc w:val="center"/>
        </w:trPr>
        <w:tc>
          <w:tcPr>
            <w:tcW w:w="1471" w:type="dxa"/>
            <w:tcMar>
              <w:top w:w="0" w:type="dxa"/>
              <w:left w:w="108" w:type="dxa"/>
              <w:bottom w:w="0" w:type="dxa"/>
              <w:right w:w="108" w:type="dxa"/>
            </w:tcMar>
          </w:tcPr>
          <w:p w14:paraId="2D007FBF" w14:textId="77777777" w:rsidR="00964CD1" w:rsidRPr="00EF7B6D" w:rsidRDefault="00964CD1" w:rsidP="00CE27A2">
            <w:pPr>
              <w:keepNext/>
              <w:spacing w:before="120" w:after="120" w:line="276" w:lineRule="auto"/>
              <w:ind w:left="57" w:right="57"/>
              <w:rPr>
                <w:b/>
                <w:bCs/>
                <w:lang w:eastAsia="en-US"/>
              </w:rPr>
            </w:pPr>
            <w:r w:rsidRPr="00EF7B6D">
              <w:rPr>
                <w:lang w:eastAsia="en-US"/>
              </w:rPr>
              <w:t>1.0</w:t>
            </w:r>
          </w:p>
        </w:tc>
        <w:tc>
          <w:tcPr>
            <w:tcW w:w="2039" w:type="dxa"/>
            <w:tcMar>
              <w:top w:w="0" w:type="dxa"/>
              <w:left w:w="108" w:type="dxa"/>
              <w:bottom w:w="0" w:type="dxa"/>
              <w:right w:w="108" w:type="dxa"/>
            </w:tcMar>
          </w:tcPr>
          <w:p w14:paraId="07319A5B" w14:textId="77777777" w:rsidR="00964CD1" w:rsidRPr="00EF7B6D" w:rsidRDefault="00964CD1" w:rsidP="00CE27A2">
            <w:pPr>
              <w:keepNext/>
              <w:spacing w:before="120" w:after="120" w:line="276" w:lineRule="auto"/>
              <w:ind w:left="57" w:right="57"/>
              <w:rPr>
                <w:b/>
                <w:bCs/>
                <w:lang w:eastAsia="en-US"/>
              </w:rPr>
            </w:pPr>
            <w:r>
              <w:rPr>
                <w:lang w:eastAsia="en-US"/>
              </w:rPr>
              <w:t>10</w:t>
            </w:r>
            <w:r w:rsidRPr="00EF7B6D">
              <w:rPr>
                <w:lang w:eastAsia="en-US"/>
              </w:rPr>
              <w:t xml:space="preserve"> </w:t>
            </w:r>
            <w:r>
              <w:rPr>
                <w:lang w:eastAsia="en-US"/>
              </w:rPr>
              <w:t>June</w:t>
            </w:r>
            <w:r w:rsidRPr="00EF7B6D">
              <w:rPr>
                <w:lang w:eastAsia="en-US"/>
              </w:rPr>
              <w:t xml:space="preserve"> 2020</w:t>
            </w:r>
          </w:p>
        </w:tc>
        <w:tc>
          <w:tcPr>
            <w:tcW w:w="5210" w:type="dxa"/>
            <w:tcMar>
              <w:top w:w="0" w:type="dxa"/>
              <w:left w:w="108" w:type="dxa"/>
              <w:bottom w:w="0" w:type="dxa"/>
              <w:right w:w="108" w:type="dxa"/>
            </w:tcMar>
          </w:tcPr>
          <w:p w14:paraId="14FB51FA" w14:textId="77777777" w:rsidR="00964CD1" w:rsidRPr="00EF7B6D" w:rsidRDefault="00964CD1" w:rsidP="00CE27A2">
            <w:pPr>
              <w:keepNext/>
              <w:spacing w:before="120" w:after="120" w:line="276" w:lineRule="auto"/>
              <w:ind w:left="57" w:right="57"/>
              <w:rPr>
                <w:b/>
                <w:bCs/>
                <w:lang w:eastAsia="en-US"/>
              </w:rPr>
            </w:pPr>
            <w:r w:rsidRPr="00EF7B6D">
              <w:rPr>
                <w:lang w:eastAsia="en-US"/>
              </w:rPr>
              <w:t xml:space="preserve">Initial </w:t>
            </w:r>
            <w:r>
              <w:rPr>
                <w:lang w:eastAsia="en-US"/>
              </w:rPr>
              <w:t>Release</w:t>
            </w:r>
            <w:r w:rsidRPr="00EF7B6D">
              <w:rPr>
                <w:lang w:eastAsia="en-US"/>
              </w:rPr>
              <w:t>      </w:t>
            </w:r>
          </w:p>
        </w:tc>
      </w:tr>
      <w:tr w:rsidR="00964CD1" w:rsidRPr="002A588D" w14:paraId="0BB5A60D" w14:textId="77777777" w:rsidTr="00FA6348">
        <w:trPr>
          <w:jc w:val="center"/>
        </w:trPr>
        <w:tc>
          <w:tcPr>
            <w:tcW w:w="1471" w:type="dxa"/>
            <w:tcMar>
              <w:top w:w="0" w:type="dxa"/>
              <w:left w:w="108" w:type="dxa"/>
              <w:bottom w:w="0" w:type="dxa"/>
              <w:right w:w="108" w:type="dxa"/>
            </w:tcMar>
          </w:tcPr>
          <w:p w14:paraId="658CC3A9" w14:textId="77777777" w:rsidR="00964CD1" w:rsidRPr="00433EF4" w:rsidRDefault="00964CD1" w:rsidP="00CE27A2">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643B27D3" w14:textId="77777777" w:rsidR="00964CD1" w:rsidRPr="00433EF4" w:rsidRDefault="00964CD1" w:rsidP="00CE27A2">
            <w:pPr>
              <w:keepNext/>
              <w:spacing w:before="120" w:after="120" w:line="276" w:lineRule="auto"/>
              <w:ind w:left="57" w:right="57"/>
              <w:rPr>
                <w:bCs/>
                <w:snapToGrid w:val="0"/>
                <w:lang w:eastAsia="en-US"/>
              </w:rPr>
            </w:pPr>
          </w:p>
        </w:tc>
        <w:tc>
          <w:tcPr>
            <w:tcW w:w="5210" w:type="dxa"/>
            <w:tcMar>
              <w:top w:w="0" w:type="dxa"/>
              <w:left w:w="108" w:type="dxa"/>
              <w:bottom w:w="0" w:type="dxa"/>
              <w:right w:w="108" w:type="dxa"/>
            </w:tcMar>
          </w:tcPr>
          <w:p w14:paraId="4C73A60A" w14:textId="77777777" w:rsidR="00964CD1" w:rsidRPr="00433EF4" w:rsidRDefault="00964CD1" w:rsidP="00CE27A2">
            <w:pPr>
              <w:keepNext/>
              <w:spacing w:before="120" w:after="120" w:line="276" w:lineRule="auto"/>
              <w:ind w:left="57" w:right="57"/>
              <w:rPr>
                <w:bCs/>
                <w:lang w:eastAsia="en-US"/>
              </w:rPr>
            </w:pPr>
          </w:p>
        </w:tc>
      </w:tr>
      <w:tr w:rsidR="00964CD1" w:rsidRPr="00BF246C" w14:paraId="4BB3BB79" w14:textId="77777777" w:rsidTr="00FA6348">
        <w:trPr>
          <w:jc w:val="center"/>
        </w:trPr>
        <w:tc>
          <w:tcPr>
            <w:tcW w:w="1471" w:type="dxa"/>
            <w:tcMar>
              <w:top w:w="0" w:type="dxa"/>
              <w:left w:w="108" w:type="dxa"/>
              <w:bottom w:w="0" w:type="dxa"/>
              <w:right w:w="108" w:type="dxa"/>
            </w:tcMar>
          </w:tcPr>
          <w:p w14:paraId="52B00116" w14:textId="77777777" w:rsidR="00964CD1" w:rsidRPr="00BF246C" w:rsidRDefault="00964CD1" w:rsidP="00CE27A2">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452683F5" w14:textId="77777777" w:rsidR="00964CD1" w:rsidRPr="00BF246C" w:rsidRDefault="00964CD1" w:rsidP="00CE27A2">
            <w:pPr>
              <w:keepNext/>
              <w:spacing w:before="120" w:after="120" w:line="276" w:lineRule="auto"/>
              <w:ind w:left="57" w:right="57"/>
              <w:rPr>
                <w:bCs/>
                <w:lang w:eastAsia="en-US"/>
              </w:rPr>
            </w:pPr>
          </w:p>
        </w:tc>
        <w:tc>
          <w:tcPr>
            <w:tcW w:w="5210" w:type="dxa"/>
            <w:tcMar>
              <w:top w:w="0" w:type="dxa"/>
              <w:left w:w="108" w:type="dxa"/>
              <w:bottom w:w="0" w:type="dxa"/>
              <w:right w:w="108" w:type="dxa"/>
            </w:tcMar>
          </w:tcPr>
          <w:p w14:paraId="71A1151C" w14:textId="77777777" w:rsidR="00964CD1" w:rsidRPr="00BF246C" w:rsidRDefault="00964CD1" w:rsidP="00CE27A2">
            <w:pPr>
              <w:keepNext/>
              <w:spacing w:before="120" w:after="120" w:line="276" w:lineRule="auto"/>
              <w:ind w:left="57" w:right="57"/>
              <w:rPr>
                <w:bCs/>
                <w:lang w:eastAsia="en-US"/>
              </w:rPr>
            </w:pPr>
          </w:p>
        </w:tc>
      </w:tr>
    </w:tbl>
    <w:p w14:paraId="74357D07" w14:textId="448C3F56" w:rsidR="00B631C8" w:rsidRDefault="00B631C8" w:rsidP="00F5169D">
      <w:pPr>
        <w:pStyle w:val="Body"/>
        <w:jc w:val="center"/>
        <w:rPr>
          <w:b/>
        </w:rPr>
      </w:pPr>
    </w:p>
    <w:p w14:paraId="53669298" w14:textId="77777777" w:rsidR="00B631C8" w:rsidRDefault="00B631C8">
      <w:pPr>
        <w:adjustRightInd/>
        <w:jc w:val="left"/>
        <w:rPr>
          <w:b/>
        </w:rPr>
      </w:pPr>
      <w:r>
        <w:rPr>
          <w:b/>
        </w:rPr>
        <w:br w:type="page"/>
      </w:r>
      <w:bookmarkStart w:id="0" w:name="_GoBack"/>
      <w:bookmarkEnd w:id="0"/>
    </w:p>
    <w:p w14:paraId="5D8E046C" w14:textId="77777777" w:rsidR="00B631C8" w:rsidRPr="0017214D" w:rsidRDefault="00B631C8" w:rsidP="00B631C8">
      <w:pPr>
        <w:pStyle w:val="Body"/>
        <w:jc w:val="center"/>
        <w:rPr>
          <w:b/>
        </w:rPr>
      </w:pPr>
      <w:r w:rsidRPr="0017214D">
        <w:rPr>
          <w:b/>
        </w:rPr>
        <w:lastRenderedPageBreak/>
        <w:t>SCHEDULE</w:t>
      </w:r>
      <w:r>
        <w:rPr>
          <w:b/>
        </w:rPr>
        <w:t> </w:t>
      </w:r>
      <w:r w:rsidRPr="0017214D">
        <w:rPr>
          <w:b/>
        </w:rPr>
        <w:t>7.4</w:t>
      </w:r>
    </w:p>
    <w:p w14:paraId="2C4C894A" w14:textId="77777777" w:rsidR="00B631C8" w:rsidRDefault="00B631C8" w:rsidP="00B631C8">
      <w:pPr>
        <w:pStyle w:val="Body"/>
        <w:jc w:val="center"/>
        <w:rPr>
          <w:b/>
        </w:rPr>
      </w:pPr>
      <w:r w:rsidRPr="00F5169D">
        <w:rPr>
          <w:b/>
        </w:rPr>
        <w:t>FINANCIAL DISTRESS</w:t>
      </w:r>
    </w:p>
    <w:p w14:paraId="430A7C31" w14:textId="77777777" w:rsidR="00BE7429" w:rsidRPr="00F5169D" w:rsidRDefault="00F5169D" w:rsidP="00F5169D">
      <w:pPr>
        <w:pStyle w:val="Level1"/>
        <w:keepNext/>
        <w:rPr>
          <w:rStyle w:val="Level1asHeadingtext"/>
        </w:rPr>
      </w:pPr>
      <w:r w:rsidRPr="00F5169D">
        <w:rPr>
          <w:rStyle w:val="Level1asHeadingtext"/>
        </w:rPr>
        <w:t>Definitions</w:t>
      </w:r>
    </w:p>
    <w:p w14:paraId="77C77B33" w14:textId="634847D1" w:rsidR="0073310A" w:rsidRDefault="00CB26D8" w:rsidP="0073310A">
      <w:pPr>
        <w:pStyle w:val="Body1"/>
        <w:keepNext/>
      </w:pPr>
      <w:r w:rsidRPr="00D64141">
        <w:t xml:space="preserve">In this Schedule, </w:t>
      </w:r>
      <w:r w:rsidR="0073310A" w:rsidRPr="00927943">
        <w:t xml:space="preserve">the </w:t>
      </w:r>
      <w:r w:rsidR="0073310A">
        <w:t>definitions set out in Schedule 1 (Definitions) shall apply unless otherwise stated.</w:t>
      </w:r>
    </w:p>
    <w:p w14:paraId="409FCE16" w14:textId="77777777" w:rsidR="00BE7429" w:rsidRPr="00D64141" w:rsidRDefault="00F5169D" w:rsidP="00F5169D">
      <w:pPr>
        <w:pStyle w:val="Level1"/>
        <w:keepNext/>
        <w:rPr>
          <w:rStyle w:val="Level1asHeadingtext"/>
        </w:rPr>
      </w:pPr>
      <w:bookmarkStart w:id="1" w:name="_Ref70000024"/>
      <w:r w:rsidRPr="00D64141">
        <w:rPr>
          <w:rStyle w:val="Level1asHeadingtext"/>
        </w:rPr>
        <w:t>Warranties And Duty To Notify</w:t>
      </w:r>
      <w:bookmarkEnd w:id="1"/>
    </w:p>
    <w:p w14:paraId="77F6D39D" w14:textId="55820103" w:rsidR="00B70E32" w:rsidRDefault="00B70E32" w:rsidP="00D05BDE">
      <w:pPr>
        <w:pStyle w:val="Level2"/>
        <w:keepNext/>
      </w:pPr>
      <w:r w:rsidRPr="00F81D74">
        <w:t xml:space="preserve">Following the </w:t>
      </w:r>
      <w:r>
        <w:t>Call-Off Effective Date</w:t>
      </w:r>
      <w:r w:rsidRPr="00F81D74">
        <w:t xml:space="preserve">, the </w:t>
      </w:r>
      <w:r>
        <w:t xml:space="preserve">financial health of </w:t>
      </w:r>
      <w:r w:rsidR="00F00A78">
        <w:t xml:space="preserve">each entity within </w:t>
      </w:r>
      <w:r>
        <w:t xml:space="preserve">the </w:t>
      </w:r>
      <w:proofErr w:type="spellStart"/>
      <w:r>
        <w:t>FDE</w:t>
      </w:r>
      <w:proofErr w:type="spellEnd"/>
      <w:r>
        <w:t xml:space="preserve"> Group shall be measured and reported in accordance with this Schedule </w:t>
      </w:r>
      <w:r w:rsidR="007A7C98">
        <w:t>7.4</w:t>
      </w:r>
      <w:r>
        <w:t xml:space="preserve"> (</w:t>
      </w:r>
      <w:r w:rsidR="007A7C98">
        <w:t>Financial Distress Events</w:t>
      </w:r>
      <w:r>
        <w:t>).</w:t>
      </w:r>
    </w:p>
    <w:p w14:paraId="4DB1F40A" w14:textId="1F4DF1CB" w:rsidR="00D05BDE" w:rsidRDefault="00CB26D8" w:rsidP="00D05BDE">
      <w:pPr>
        <w:pStyle w:val="Level2"/>
        <w:keepNext/>
      </w:pPr>
      <w:r w:rsidRPr="00D64141">
        <w:t xml:space="preserve">The Supplier warrants and represents to </w:t>
      </w:r>
      <w:r w:rsidR="00CB309B">
        <w:t xml:space="preserve">the </w:t>
      </w:r>
      <w:r w:rsidR="004D0C83">
        <w:t>Customer</w:t>
      </w:r>
      <w:r w:rsidRPr="00D64141">
        <w:t xml:space="preserve"> for the benefit of </w:t>
      </w:r>
      <w:r w:rsidR="00CB309B">
        <w:t>the</w:t>
      </w:r>
      <w:r w:rsidR="00630FBA">
        <w:t xml:space="preserve"> </w:t>
      </w:r>
      <w:r w:rsidR="004D0C83">
        <w:t>Customer</w:t>
      </w:r>
      <w:r w:rsidRPr="00D64141">
        <w:t xml:space="preserve"> that as at the</w:t>
      </w:r>
      <w:r w:rsidR="00041875">
        <w:t xml:space="preserve"> </w:t>
      </w:r>
      <w:r w:rsidR="00123D46">
        <w:t xml:space="preserve">Call-Off </w:t>
      </w:r>
      <w:r w:rsidRPr="00D64141">
        <w:t>Effective Date</w:t>
      </w:r>
      <w:r w:rsidR="00D05BDE">
        <w:t>:</w:t>
      </w:r>
      <w:r w:rsidR="00D05BDE">
        <w:noBreakHyphen/>
      </w:r>
    </w:p>
    <w:p w14:paraId="5721E06A" w14:textId="34164E36" w:rsidR="00D63255" w:rsidRDefault="00556784" w:rsidP="00F5169D">
      <w:pPr>
        <w:pStyle w:val="Level3"/>
      </w:pPr>
      <w:r>
        <w:t xml:space="preserve">if </w:t>
      </w:r>
      <w:r w:rsidR="00AB04AB">
        <w:t xml:space="preserve">the Call-off Contract </w:t>
      </w:r>
      <w:r>
        <w:t>is</w:t>
      </w:r>
      <w:r w:rsidR="006E2D70">
        <w:t xml:space="preserve"> classif</w:t>
      </w:r>
      <w:r w:rsidR="002D18D6">
        <w:t xml:space="preserve">ied as </w:t>
      </w:r>
      <w:r>
        <w:t xml:space="preserve">Tier </w:t>
      </w:r>
      <w:r w:rsidR="00AB04AB">
        <w:t xml:space="preserve">One </w:t>
      </w:r>
      <w:r>
        <w:t>for Schedule 7.4 (Financial Distress) within the Tiering Matrix</w:t>
      </w:r>
      <w:r w:rsidR="009044B7">
        <w:t xml:space="preserve"> </w:t>
      </w:r>
      <w:r>
        <w:t xml:space="preserve">that </w:t>
      </w:r>
      <w:r w:rsidR="00CB26D8" w:rsidRPr="00D64141">
        <w:t>the long term credit ratings issued f</w:t>
      </w:r>
      <w:r w:rsidR="00E63CD2">
        <w:t xml:space="preserve">or </w:t>
      </w:r>
      <w:r w:rsidR="00B371EB">
        <w:t xml:space="preserve">each of </w:t>
      </w:r>
      <w:r w:rsidR="00E63CD2">
        <w:t xml:space="preserve">the </w:t>
      </w:r>
      <w:proofErr w:type="spellStart"/>
      <w:r w:rsidR="004A6ECC">
        <w:t>FDE</w:t>
      </w:r>
      <w:proofErr w:type="spellEnd"/>
      <w:r w:rsidR="004A6ECC">
        <w:t xml:space="preserve"> Group (</w:t>
      </w:r>
      <w:r w:rsidR="00AB04AB">
        <w:t>to the extent</w:t>
      </w:r>
      <w:r w:rsidR="004A0916">
        <w:t xml:space="preserve"> only that</w:t>
      </w:r>
      <w:r w:rsidR="00AB04AB">
        <w:t xml:space="preserve"> each member of the </w:t>
      </w:r>
      <w:proofErr w:type="spellStart"/>
      <w:r w:rsidR="00AB04AB">
        <w:t>FDE</w:t>
      </w:r>
      <w:proofErr w:type="spellEnd"/>
      <w:r w:rsidR="00AB04AB">
        <w:t xml:space="preserve"> Group has a long term credit rating</w:t>
      </w:r>
      <w:r w:rsidR="004A6ECC">
        <w:t>)</w:t>
      </w:r>
      <w:r w:rsidR="004A6ECC" w:rsidRPr="00D64141">
        <w:t xml:space="preserve"> </w:t>
      </w:r>
      <w:r w:rsidR="00CB26D8" w:rsidRPr="00D64141">
        <w:t xml:space="preserve">by each of the Rating Agencies are as set out in </w:t>
      </w:r>
      <w:r w:rsidR="00123D46">
        <w:t>the Appendix</w:t>
      </w:r>
      <w:r w:rsidR="00F00A78">
        <w:t xml:space="preserve"> 2</w:t>
      </w:r>
      <w:r w:rsidR="004A0CFC">
        <w:t xml:space="preserve"> to Schedule 7.4 (Call-Off Financial Distress)</w:t>
      </w:r>
      <w:r w:rsidR="00123D46">
        <w:t xml:space="preserve"> to the Call-Off Contract</w:t>
      </w:r>
      <w:r w:rsidR="00CB26D8" w:rsidRPr="00D64141">
        <w:t xml:space="preserve">; </w:t>
      </w:r>
    </w:p>
    <w:p w14:paraId="3EEBF980" w14:textId="40ABA619" w:rsidR="00BE7429" w:rsidRPr="00D64141" w:rsidRDefault="00D63255" w:rsidP="00F5169D">
      <w:pPr>
        <w:pStyle w:val="Level3"/>
      </w:pPr>
      <w:r>
        <w:t xml:space="preserve">the credit score for each entity in the </w:t>
      </w:r>
      <w:proofErr w:type="spellStart"/>
      <w:r>
        <w:t>FDE</w:t>
      </w:r>
      <w:proofErr w:type="spellEnd"/>
      <w:r>
        <w:t xml:space="preserve"> Group are above the r</w:t>
      </w:r>
      <w:r w:rsidR="00AC6227">
        <w:t>elevant Credit Score Thresholds</w:t>
      </w:r>
      <w:r>
        <w:t>; and</w:t>
      </w:r>
    </w:p>
    <w:p w14:paraId="7DCF837B" w14:textId="25CB86EB" w:rsidR="00BE7429" w:rsidRPr="00D64141" w:rsidRDefault="00CB26D8" w:rsidP="00D05BDE">
      <w:pPr>
        <w:pStyle w:val="Level3"/>
        <w:keepNext/>
      </w:pPr>
      <w:proofErr w:type="gramStart"/>
      <w:r w:rsidRPr="00D64141">
        <w:t>the</w:t>
      </w:r>
      <w:proofErr w:type="gramEnd"/>
      <w:r w:rsidRPr="00D64141">
        <w:t xml:space="preserve"> financial position or, as appropriate, the financial performance of</w:t>
      </w:r>
      <w:r w:rsidR="002B4AFD">
        <w:t xml:space="preserve"> each </w:t>
      </w:r>
      <w:r w:rsidR="00A97C69">
        <w:t>entity within</w:t>
      </w:r>
      <w:r w:rsidR="002B4AFD">
        <w:t xml:space="preserve"> </w:t>
      </w:r>
      <w:r w:rsidR="00123D46">
        <w:t xml:space="preserve">the </w:t>
      </w:r>
      <w:proofErr w:type="spellStart"/>
      <w:r w:rsidR="00123D46">
        <w:t>FDE</w:t>
      </w:r>
      <w:proofErr w:type="spellEnd"/>
      <w:r w:rsidR="00123D46">
        <w:t xml:space="preserve"> Group </w:t>
      </w:r>
      <w:r w:rsidR="00E63CD2">
        <w:t>satisfies</w:t>
      </w:r>
      <w:r w:rsidRPr="00D64141">
        <w:t xml:space="preserve"> the Financial Target Thresholds.</w:t>
      </w:r>
    </w:p>
    <w:p w14:paraId="12DEC7B4" w14:textId="36A79607" w:rsidR="00B371EB" w:rsidRDefault="00CB26D8" w:rsidP="00F5169D">
      <w:pPr>
        <w:pStyle w:val="Level2"/>
      </w:pPr>
      <w:r w:rsidRPr="00D64141">
        <w:t xml:space="preserve">The Supplier shall promptly notify (or shall procure that its auditors promptly notify) </w:t>
      </w:r>
      <w:r w:rsidR="002C5D7F">
        <w:t>the</w:t>
      </w:r>
      <w:r w:rsidR="004D0C83">
        <w:t xml:space="preserve"> Customer</w:t>
      </w:r>
      <w:r w:rsidRPr="00D64141">
        <w:t xml:space="preserve"> in writing if</w:t>
      </w:r>
      <w:r w:rsidR="00630FBA">
        <w:t>:</w:t>
      </w:r>
      <w:r w:rsidRPr="00D64141">
        <w:t xml:space="preserve"> </w:t>
      </w:r>
    </w:p>
    <w:p w14:paraId="2053818B" w14:textId="0C039913" w:rsidR="00B371EB" w:rsidRDefault="00941531" w:rsidP="00630FBA">
      <w:pPr>
        <w:pStyle w:val="Level3"/>
      </w:pPr>
      <w:r>
        <w:t xml:space="preserve">(to the extent applicable) </w:t>
      </w:r>
      <w:r w:rsidR="00CB26D8" w:rsidRPr="00B371EB">
        <w:t xml:space="preserve">there is any downgrade in the credit rating issued by any Rating Agency for </w:t>
      </w:r>
      <w:r w:rsidR="00B371EB" w:rsidRPr="00B371EB">
        <w:t xml:space="preserve">any entity within the </w:t>
      </w:r>
      <w:proofErr w:type="spellStart"/>
      <w:r w:rsidR="00B371EB" w:rsidRPr="00B371EB">
        <w:t>FDE</w:t>
      </w:r>
      <w:proofErr w:type="spellEnd"/>
      <w:r w:rsidR="00B371EB" w:rsidRPr="00B371EB">
        <w:t xml:space="preserve"> Group</w:t>
      </w:r>
      <w:r w:rsidR="00B371EB">
        <w:t>; and/or</w:t>
      </w:r>
    </w:p>
    <w:p w14:paraId="7776DCB4" w14:textId="2461E9FA" w:rsidR="00B371EB" w:rsidRDefault="00B371EB" w:rsidP="00630FBA">
      <w:pPr>
        <w:pStyle w:val="Level3"/>
      </w:pPr>
      <w:r>
        <w:t xml:space="preserve">the credit score of any entity in the </w:t>
      </w:r>
      <w:proofErr w:type="spellStart"/>
      <w:r>
        <w:t>FDE</w:t>
      </w:r>
      <w:proofErr w:type="spellEnd"/>
      <w:r>
        <w:t xml:space="preserve"> Group falling below </w:t>
      </w:r>
      <w:r w:rsidR="00F00A78">
        <w:t xml:space="preserve">any </w:t>
      </w:r>
      <w:r>
        <w:t xml:space="preserve">of the Credit Score </w:t>
      </w:r>
      <w:r w:rsidR="00AC6227">
        <w:t>Thresholds</w:t>
      </w:r>
      <w:r w:rsidR="00630FBA">
        <w:t>,</w:t>
      </w:r>
    </w:p>
    <w:p w14:paraId="1CF3F9AD" w14:textId="5545F894" w:rsidR="00BE7429" w:rsidRPr="00B371EB" w:rsidRDefault="00CB26D8" w:rsidP="00630FBA">
      <w:pPr>
        <w:pStyle w:val="Level3"/>
        <w:numPr>
          <w:ilvl w:val="0"/>
          <w:numId w:val="0"/>
        </w:numPr>
        <w:ind w:left="851"/>
      </w:pPr>
      <w:proofErr w:type="gramStart"/>
      <w:r w:rsidRPr="00B371EB">
        <w:t>and</w:t>
      </w:r>
      <w:proofErr w:type="gramEnd"/>
      <w:r w:rsidRPr="00B371EB">
        <w:t xml:space="preserve"> in</w:t>
      </w:r>
      <w:r w:rsidR="00B371EB">
        <w:t xml:space="preserve"> each case such notification shall occur</w:t>
      </w:r>
      <w:r w:rsidRPr="00B371EB">
        <w:t xml:space="preserve"> withi</w:t>
      </w:r>
      <w:r w:rsidR="00D05BDE" w:rsidRPr="00B371EB">
        <w:t>n </w:t>
      </w:r>
      <w:r w:rsidR="00630FBA">
        <w:t>two (</w:t>
      </w:r>
      <w:r w:rsidR="00B371EB">
        <w:t>2</w:t>
      </w:r>
      <w:r w:rsidR="00630FBA">
        <w:t>)</w:t>
      </w:r>
      <w:r w:rsidR="00D05BDE" w:rsidRPr="00B371EB">
        <w:t> W</w:t>
      </w:r>
      <w:r w:rsidRPr="00B371EB">
        <w:t>orking Days of the occurrence of</w:t>
      </w:r>
      <w:r w:rsidR="00B371EB">
        <w:t xml:space="preserve"> any such</w:t>
      </w:r>
      <w:r w:rsidRPr="00B371EB">
        <w:t xml:space="preserve"> downgrade</w:t>
      </w:r>
      <w:r w:rsidR="00B371EB">
        <w:t xml:space="preserve"> or reduction</w:t>
      </w:r>
      <w:r w:rsidRPr="00B371EB">
        <w:t>.</w:t>
      </w:r>
    </w:p>
    <w:p w14:paraId="56BE1C37" w14:textId="3C31F45B" w:rsidR="00D05BDE" w:rsidRDefault="00CB26D8" w:rsidP="00D05BDE">
      <w:pPr>
        <w:pStyle w:val="Level2"/>
        <w:keepNext/>
      </w:pPr>
      <w:r w:rsidRPr="00D64141">
        <w:t>The Supplier shall</w:t>
      </w:r>
      <w:r w:rsidR="007A7C98">
        <w:t xml:space="preserve"> </w:t>
      </w:r>
      <w:r w:rsidR="00194322">
        <w:t>during the Call-Off Term</w:t>
      </w:r>
      <w:r w:rsidR="00F00A78">
        <w:rPr>
          <w:rStyle w:val="CommentReference"/>
        </w:rPr>
        <w:t>:-</w:t>
      </w:r>
    </w:p>
    <w:p w14:paraId="5981A0E6" w14:textId="1281B864" w:rsidR="00980E28" w:rsidRDefault="00F00A78" w:rsidP="00F5169D">
      <w:pPr>
        <w:pStyle w:val="Level3"/>
      </w:pPr>
      <w:r>
        <w:t xml:space="preserve">if the relevant Call-Off Contract is classified as a Tier One for Schedule 7.4 (Financial Distress) within the Tiering Matrix and </w:t>
      </w:r>
      <w:r w:rsidR="00AB04AB">
        <w:t xml:space="preserve">to the extent applicable, </w:t>
      </w:r>
      <w:r w:rsidR="00CB26D8" w:rsidRPr="008531A6">
        <w:t>regularly monitor the credit ratings of</w:t>
      </w:r>
      <w:r w:rsidR="004A0916">
        <w:t xml:space="preserve"> each entity in </w:t>
      </w:r>
      <w:r w:rsidR="00E63CD2">
        <w:t xml:space="preserve">the </w:t>
      </w:r>
      <w:proofErr w:type="spellStart"/>
      <w:r w:rsidR="00194322">
        <w:t>FDE</w:t>
      </w:r>
      <w:proofErr w:type="spellEnd"/>
      <w:r w:rsidR="00194322">
        <w:t xml:space="preserve"> Group</w:t>
      </w:r>
      <w:r w:rsidR="00CB26D8" w:rsidRPr="008531A6">
        <w:t xml:space="preserve"> with the Rating Agencies</w:t>
      </w:r>
      <w:r w:rsidR="00D63255">
        <w:t xml:space="preserve"> </w:t>
      </w:r>
    </w:p>
    <w:p w14:paraId="564D56ED" w14:textId="6362C89F" w:rsidR="00BE7429" w:rsidRPr="008531A6" w:rsidRDefault="00980E28" w:rsidP="00F5169D">
      <w:pPr>
        <w:pStyle w:val="Level3"/>
      </w:pPr>
      <w:r>
        <w:t>for all Call-Off Contracts regularly monitor t</w:t>
      </w:r>
      <w:r w:rsidR="00D63255">
        <w:t xml:space="preserve">he credit score of each entity in the </w:t>
      </w:r>
      <w:proofErr w:type="spellStart"/>
      <w:r w:rsidR="00D63255">
        <w:t>FDE</w:t>
      </w:r>
      <w:proofErr w:type="spellEnd"/>
      <w:r w:rsidR="00D63255">
        <w:t xml:space="preserve"> Group</w:t>
      </w:r>
      <w:r w:rsidR="00CB26D8" w:rsidRPr="008531A6">
        <w:t>;</w:t>
      </w:r>
    </w:p>
    <w:p w14:paraId="700C9FFB" w14:textId="1B7C91FB" w:rsidR="00BE7429" w:rsidRPr="00D64141" w:rsidRDefault="00980E28" w:rsidP="00F5169D">
      <w:pPr>
        <w:pStyle w:val="Level3"/>
      </w:pPr>
      <w:bookmarkStart w:id="2" w:name="_Ref70000007"/>
      <w:r>
        <w:t xml:space="preserve">if the relevant Call-Off Contract is classified as a Tier One or Tier Two for Schedule 7.4 (Financial Distress) within the Tiering Matrix, </w:t>
      </w:r>
      <w:r w:rsidR="00CB26D8" w:rsidRPr="00D64141">
        <w:t xml:space="preserve">monitor and report on the </w:t>
      </w:r>
      <w:r w:rsidR="00B17A11">
        <w:t>Financial Indicato</w:t>
      </w:r>
      <w:r w:rsidR="002B4AFD">
        <w:t>r</w:t>
      </w:r>
      <w:r w:rsidR="00B17A11">
        <w:t>s</w:t>
      </w:r>
      <w:r w:rsidR="00630FBA">
        <w:t xml:space="preserve"> </w:t>
      </w:r>
      <w:r w:rsidR="00CB26D8" w:rsidRPr="00D64141">
        <w:t xml:space="preserve">for </w:t>
      </w:r>
      <w:r w:rsidR="00194322">
        <w:t xml:space="preserve">each </w:t>
      </w:r>
      <w:r w:rsidR="004A0916">
        <w:t xml:space="preserve">entity in </w:t>
      </w:r>
      <w:r w:rsidR="00194322">
        <w:t xml:space="preserve">the </w:t>
      </w:r>
      <w:proofErr w:type="spellStart"/>
      <w:r w:rsidR="00194322">
        <w:t>FDE</w:t>
      </w:r>
      <w:proofErr w:type="spellEnd"/>
      <w:r w:rsidR="00194322">
        <w:t xml:space="preserve"> Group </w:t>
      </w:r>
      <w:r w:rsidR="00CB26D8" w:rsidRPr="00D64141">
        <w:t xml:space="preserve">against the Financial Target Thresholds at least at the frequency set out for each </w:t>
      </w:r>
      <w:r w:rsidR="00495C03">
        <w:t xml:space="preserve">in </w:t>
      </w:r>
      <w:r w:rsidR="00F00A78">
        <w:t xml:space="preserve">Paragraph </w:t>
      </w:r>
      <w:r w:rsidR="008761FA">
        <w:fldChar w:fldCharType="begin"/>
      </w:r>
      <w:r w:rsidR="008761FA">
        <w:instrText xml:space="preserve"> REF _Ref42018722 \r \h </w:instrText>
      </w:r>
      <w:r w:rsidR="008761FA">
        <w:fldChar w:fldCharType="separate"/>
      </w:r>
      <w:r w:rsidR="00FA6348">
        <w:t>6.1</w:t>
      </w:r>
      <w:r w:rsidR="008761FA">
        <w:fldChar w:fldCharType="end"/>
      </w:r>
      <w:r w:rsidR="00F00A78">
        <w:t xml:space="preserve"> (as the same may be varied as set out</w:t>
      </w:r>
      <w:r w:rsidR="004A0916">
        <w:t xml:space="preserve"> for each</w:t>
      </w:r>
      <w:r w:rsidR="00F00A78">
        <w:t xml:space="preserve"> in </w:t>
      </w:r>
      <w:r w:rsidR="00495C03">
        <w:t>Schedule 7</w:t>
      </w:r>
      <w:r w:rsidR="00AB04AB">
        <w:t>.</w:t>
      </w:r>
      <w:r w:rsidR="00495C03">
        <w:t>4 (Call-Off Financial Distress)</w:t>
      </w:r>
      <w:r w:rsidR="00F00A78">
        <w:t>) an</w:t>
      </w:r>
      <w:r w:rsidR="00CB26D8" w:rsidRPr="00D64141">
        <w:t>d in any event, on a regular basis and no less than once a year withi</w:t>
      </w:r>
      <w:r w:rsidR="00D05BDE" w:rsidRPr="00D64141">
        <w:t>n</w:t>
      </w:r>
      <w:r w:rsidR="00D05BDE">
        <w:t> </w:t>
      </w:r>
      <w:r w:rsidR="00D05BDE" w:rsidRPr="00D64141">
        <w:t>1</w:t>
      </w:r>
      <w:r w:rsidR="00CB26D8" w:rsidRPr="00D64141">
        <w:t>2</w:t>
      </w:r>
      <w:r w:rsidR="00D05BDE" w:rsidRPr="00D64141">
        <w:t>0</w:t>
      </w:r>
      <w:r w:rsidR="00D05BDE">
        <w:t> </w:t>
      </w:r>
      <w:r w:rsidR="00D05BDE" w:rsidRPr="00D64141">
        <w:t>d</w:t>
      </w:r>
      <w:r w:rsidR="00CB26D8" w:rsidRPr="00D64141">
        <w:t>ays after the Accounting Reference Date</w:t>
      </w:r>
      <w:r w:rsidR="00AB04AB">
        <w:t>;</w:t>
      </w:r>
      <w:r w:rsidR="00CB26D8" w:rsidRPr="00D64141">
        <w:t xml:space="preserve"> and</w:t>
      </w:r>
      <w:bookmarkEnd w:id="2"/>
    </w:p>
    <w:p w14:paraId="2F6250E1" w14:textId="4B71377F" w:rsidR="00BE7429" w:rsidRPr="00D64141" w:rsidRDefault="00CB26D8" w:rsidP="00F5169D">
      <w:pPr>
        <w:pStyle w:val="Level3"/>
      </w:pPr>
      <w:bookmarkStart w:id="3" w:name="_Ref70000020"/>
      <w:r w:rsidRPr="00D64141">
        <w:t xml:space="preserve">promptly notify (or shall procure that its auditors promptly notify) </w:t>
      </w:r>
      <w:r w:rsidR="00CB309B">
        <w:t xml:space="preserve">the </w:t>
      </w:r>
      <w:r w:rsidR="004D0C83">
        <w:t>Customer</w:t>
      </w:r>
      <w:r w:rsidRPr="00D64141">
        <w:t xml:space="preserve"> in writing following the occurrence of a Financial Distress Event or any fact, circumstance or matter </w:t>
      </w:r>
      <w:r w:rsidRPr="00D64141">
        <w:lastRenderedPageBreak/>
        <w:t>which could cause a Financial Distress Event (and in any event, ensure that such notification is made withi</w:t>
      </w:r>
      <w:r w:rsidR="00D05BDE" w:rsidRPr="00D64141">
        <w:t>n</w:t>
      </w:r>
      <w:r w:rsidR="00D05BDE">
        <w:t> </w:t>
      </w:r>
      <w:r w:rsidR="00630FBA">
        <w:t>ten (</w:t>
      </w:r>
      <w:r w:rsidR="00D05BDE" w:rsidRPr="00D64141">
        <w:t>10</w:t>
      </w:r>
      <w:r w:rsidR="00630FBA">
        <w:t>)</w:t>
      </w:r>
      <w:r w:rsidR="00D05BDE">
        <w:t> </w:t>
      </w:r>
      <w:r w:rsidR="00D05BDE" w:rsidRPr="00D64141">
        <w:t>W</w:t>
      </w:r>
      <w:r w:rsidRPr="00D64141">
        <w:t>orking Days</w:t>
      </w:r>
      <w:r w:rsidR="00194322">
        <w:t xml:space="preserve"> </w:t>
      </w:r>
      <w:r w:rsidRPr="00D64141">
        <w:t>of the date on which the Supplier first becomes aware of the Financial Distress Event or the fact, circumstance or matter which could cause a Financial Distress Event).</w:t>
      </w:r>
      <w:bookmarkEnd w:id="3"/>
    </w:p>
    <w:p w14:paraId="69C58268" w14:textId="14F91590" w:rsidR="00D05BDE" w:rsidRDefault="009044B7" w:rsidP="00D05BDE">
      <w:pPr>
        <w:pStyle w:val="Level2"/>
        <w:keepNext/>
      </w:pPr>
      <w:r>
        <w:t xml:space="preserve">Where the relevant Call-Off Contract is classified as Tier </w:t>
      </w:r>
      <w:r w:rsidR="00266844">
        <w:t>One</w:t>
      </w:r>
      <w:r>
        <w:t xml:space="preserve"> for Schedule 7.4 (Financial Distress) within the Tiering Matrix, f</w:t>
      </w:r>
      <w:r w:rsidR="00CB26D8" w:rsidRPr="00D64141">
        <w:t xml:space="preserve">or the purposes of determining whether a Financial Distress Event has occurred pursuant to the provisions of </w:t>
      </w:r>
      <w:r w:rsidR="00910B9B">
        <w:t>P</w:t>
      </w:r>
      <w:r w:rsidR="00D05BDE">
        <w:t>aragraphs </w:t>
      </w:r>
      <w:r w:rsidR="0017214D" w:rsidRPr="00D64141">
        <w:fldChar w:fldCharType="begin"/>
      </w:r>
      <w:r w:rsidR="0017214D" w:rsidRPr="00D64141">
        <w:instrText xml:space="preserve"> REF _Ref70000005 \h \w \* MERGEFORMAT </w:instrText>
      </w:r>
      <w:r w:rsidR="0017214D" w:rsidRPr="00D64141">
        <w:fldChar w:fldCharType="separate"/>
      </w:r>
      <w:r w:rsidR="00FA6348">
        <w:t>4.1.1</w:t>
      </w:r>
      <w:r w:rsidR="0017214D" w:rsidRPr="00D64141">
        <w:fldChar w:fldCharType="end"/>
      </w:r>
      <w:r w:rsidR="00CB26D8" w:rsidRPr="00D64141">
        <w:t xml:space="preserve">, and for the purposes of determining relief under </w:t>
      </w:r>
      <w:r w:rsidR="00910B9B">
        <w:t>P</w:t>
      </w:r>
      <w:r w:rsidR="00D05BDE">
        <w:t>aragraph </w:t>
      </w:r>
      <w:r w:rsidR="00F00A78">
        <w:fldChar w:fldCharType="begin"/>
      </w:r>
      <w:r w:rsidR="00F00A78">
        <w:instrText xml:space="preserve"> REF _Ref40288679 \r \h </w:instrText>
      </w:r>
      <w:r w:rsidR="00F00A78">
        <w:fldChar w:fldCharType="separate"/>
      </w:r>
      <w:r w:rsidR="00FA6348">
        <w:t>7.1</w:t>
      </w:r>
      <w:r w:rsidR="00F00A78">
        <w:fldChar w:fldCharType="end"/>
      </w:r>
      <w:r w:rsidR="00CB26D8" w:rsidRPr="00D64141">
        <w:t xml:space="preserve">, </w:t>
      </w:r>
      <w:r w:rsidR="002B4AFD">
        <w:t xml:space="preserve">where applicable, </w:t>
      </w:r>
      <w:r w:rsidR="00CB26D8" w:rsidRPr="00D64141">
        <w:t xml:space="preserve">the credit rating of </w:t>
      </w:r>
      <w:r w:rsidR="004A0916">
        <w:t xml:space="preserve">an </w:t>
      </w:r>
      <w:proofErr w:type="spellStart"/>
      <w:r w:rsidR="004A0916">
        <w:t>FDE</w:t>
      </w:r>
      <w:proofErr w:type="spellEnd"/>
      <w:r w:rsidR="004A0916">
        <w:t xml:space="preserve"> Group entity </w:t>
      </w:r>
      <w:r w:rsidR="00CB26D8" w:rsidRPr="00D64141">
        <w:t>shall be deemed to have dropped below the applicable Credit Rating Threshold if</w:t>
      </w:r>
      <w:r w:rsidR="00D05BDE">
        <w:t>:</w:t>
      </w:r>
      <w:r w:rsidR="00D05BDE">
        <w:noBreakHyphen/>
      </w:r>
    </w:p>
    <w:p w14:paraId="5928B23C" w14:textId="0CE47537" w:rsidR="00BE7429" w:rsidRPr="00D64141" w:rsidRDefault="00CB26D8" w:rsidP="00F5169D">
      <w:pPr>
        <w:pStyle w:val="Level3"/>
      </w:pPr>
      <w:r w:rsidRPr="00D64141">
        <w:t xml:space="preserve">any of the Rating Agencies have given a Credit Rating Level for </w:t>
      </w:r>
      <w:r w:rsidR="004A0916">
        <w:t xml:space="preserve">that entity </w:t>
      </w:r>
      <w:r w:rsidRPr="00D64141">
        <w:t xml:space="preserve">which is below the applicable Credit Rating Threshold; </w:t>
      </w:r>
    </w:p>
    <w:p w14:paraId="3CC96FB2" w14:textId="32BD04D0" w:rsidR="00F31123" w:rsidRDefault="00CB26D8" w:rsidP="00F5169D">
      <w:pPr>
        <w:pStyle w:val="Level3"/>
      </w:pPr>
      <w:r w:rsidRPr="00D64141">
        <w:t xml:space="preserve">a Rating Agency that is specified as holding a Credit Rating for </w:t>
      </w:r>
      <w:r w:rsidR="004A0916">
        <w:t xml:space="preserve">an </w:t>
      </w:r>
      <w:proofErr w:type="spellStart"/>
      <w:r w:rsidR="004A0916">
        <w:t>FDE</w:t>
      </w:r>
      <w:proofErr w:type="spellEnd"/>
      <w:r w:rsidR="004A0916">
        <w:t xml:space="preserve"> Group </w:t>
      </w:r>
      <w:r w:rsidR="00A94850">
        <w:t xml:space="preserve">entity </w:t>
      </w:r>
      <w:r w:rsidR="004A0916">
        <w:t>in Appendix 2 of Schedule 7.4 (Call-Off Financial Distress)</w:t>
      </w:r>
      <w:r w:rsidR="00E63CD2">
        <w:t xml:space="preserve"> </w:t>
      </w:r>
      <w:r w:rsidRPr="00D64141">
        <w:t xml:space="preserve">ceases to hold a Credit Rating for </w:t>
      </w:r>
      <w:r w:rsidR="00E63CD2">
        <w:t>that Supplier</w:t>
      </w:r>
      <w:r w:rsidR="00F31123">
        <w:t>; or</w:t>
      </w:r>
    </w:p>
    <w:p w14:paraId="094A9B91" w14:textId="215ACE86" w:rsidR="00BE7429" w:rsidRPr="00D64141" w:rsidRDefault="00F31123" w:rsidP="00F5169D">
      <w:pPr>
        <w:pStyle w:val="Level3"/>
      </w:pPr>
      <w:r>
        <w:t>the credit score shall be deemed to have dropped below the Credit Score Threshold if either Company Watch or Dun &amp; Bradstreet cease to hold a credit score for that entity</w:t>
      </w:r>
    </w:p>
    <w:p w14:paraId="0E3EAF25" w14:textId="4C7B4287" w:rsidR="00D05BDE" w:rsidRDefault="00CB26D8" w:rsidP="00D05BDE">
      <w:pPr>
        <w:pStyle w:val="Level2"/>
        <w:keepNext/>
      </w:pPr>
      <w:r w:rsidRPr="00D64141">
        <w:t xml:space="preserve">Each report submitted by the Supplier pursuant to </w:t>
      </w:r>
      <w:r w:rsidR="007A7C98">
        <w:t>P</w:t>
      </w:r>
      <w:r w:rsidR="00D05BDE">
        <w:t>aragraph </w:t>
      </w:r>
      <w:r w:rsidR="0017214D" w:rsidRPr="00D64141">
        <w:fldChar w:fldCharType="begin"/>
      </w:r>
      <w:r w:rsidR="0017214D" w:rsidRPr="00D64141">
        <w:instrText xml:space="preserve"> REF _Ref70000007 \h \w \* MERGEFORMAT </w:instrText>
      </w:r>
      <w:r w:rsidR="0017214D" w:rsidRPr="00D64141">
        <w:fldChar w:fldCharType="separate"/>
      </w:r>
      <w:r w:rsidR="00FA6348">
        <w:t>2.4.3</w:t>
      </w:r>
      <w:r w:rsidR="0017214D" w:rsidRPr="00D64141">
        <w:fldChar w:fldCharType="end"/>
      </w:r>
      <w:r w:rsidRPr="00D64141">
        <w:t xml:space="preserve"> shall</w:t>
      </w:r>
      <w:r w:rsidR="00D05BDE">
        <w:t>:</w:t>
      </w:r>
      <w:r w:rsidR="00D05BDE">
        <w:noBreakHyphen/>
      </w:r>
    </w:p>
    <w:p w14:paraId="57BF396F" w14:textId="1CCF6BEF" w:rsidR="00AA43EB" w:rsidRDefault="00AA43EB" w:rsidP="00F5169D">
      <w:pPr>
        <w:pStyle w:val="Level3"/>
      </w:pPr>
      <w:r w:rsidRPr="00671710">
        <w:t xml:space="preserve">be a single report with separate sections for each of the </w:t>
      </w:r>
      <w:proofErr w:type="spellStart"/>
      <w:r w:rsidRPr="00671710">
        <w:t>FDE</w:t>
      </w:r>
      <w:proofErr w:type="spellEnd"/>
      <w:r w:rsidRPr="00671710">
        <w:t xml:space="preserve"> Group entities</w:t>
      </w:r>
      <w:r>
        <w:t>;</w:t>
      </w:r>
    </w:p>
    <w:p w14:paraId="15D1CB07" w14:textId="33DC85B3" w:rsidR="00BE7429" w:rsidRPr="00D64141" w:rsidRDefault="00980E28" w:rsidP="00F5169D">
      <w:pPr>
        <w:pStyle w:val="Level3"/>
      </w:pPr>
      <w:r>
        <w:t xml:space="preserve">if the relevant Call-Off Contract is classified as a Tier One or Tier Two for Schedule 7.4 (Financial Distress) within the Tiering Matrix, </w:t>
      </w:r>
      <w:r w:rsidR="00CB26D8" w:rsidRPr="00D64141">
        <w:t xml:space="preserve">contain a sufficient level of information to enable </w:t>
      </w:r>
      <w:r w:rsidR="00CB309B">
        <w:t>the</w:t>
      </w:r>
      <w:r w:rsidR="004D0C83">
        <w:t xml:space="preserve"> Customer</w:t>
      </w:r>
      <w:r w:rsidR="00CB26D8" w:rsidRPr="00D64141">
        <w:t xml:space="preserve"> to verify the calculations that have been made in respect of the Financial Indicators;</w:t>
      </w:r>
    </w:p>
    <w:p w14:paraId="2C6681F1" w14:textId="2E01EECF" w:rsidR="00BE7429" w:rsidRPr="00D64141" w:rsidRDefault="00CB26D8" w:rsidP="00F5169D">
      <w:pPr>
        <w:pStyle w:val="Level3"/>
      </w:pPr>
      <w:r w:rsidRPr="00D64141">
        <w:t xml:space="preserve">include key financial and other supporting information (including any accounts data that has been relied on) as separate </w:t>
      </w:r>
      <w:r w:rsidR="00F31123">
        <w:t>a</w:t>
      </w:r>
      <w:r w:rsidR="00F90409" w:rsidRPr="00D64141">
        <w:t>ppendix</w:t>
      </w:r>
      <w:r w:rsidRPr="00D64141">
        <w:t>es;</w:t>
      </w:r>
    </w:p>
    <w:p w14:paraId="7393CF71" w14:textId="599BA82E" w:rsidR="00BE7429" w:rsidRPr="00D64141" w:rsidRDefault="00980E28" w:rsidP="00F5169D">
      <w:pPr>
        <w:pStyle w:val="Level3"/>
      </w:pPr>
      <w:r>
        <w:t xml:space="preserve">if the relevant Call-Off Contract is classified as a Tier One or Tier Two for Schedule 7.4 (Financial Distress) within the Tiering Matrix, </w:t>
      </w:r>
      <w:r w:rsidR="00CB26D8" w:rsidRPr="00D64141">
        <w:t>be based on the audited accounts for the date or period on which the</w:t>
      </w:r>
      <w:r w:rsidR="00873793">
        <w:t xml:space="preserve"> </w:t>
      </w:r>
      <w:r w:rsidR="00CB26D8" w:rsidRPr="00D64141">
        <w:t>Financial Indicator is based or, where the Financial Indicator is not linked to an accounting period or an accounting reference date, on unaudited management accounts prepared in accordance with their normal timetable; and</w:t>
      </w:r>
    </w:p>
    <w:p w14:paraId="088A1A8A" w14:textId="7E3C7B54" w:rsidR="00BE7429" w:rsidRPr="00D64141" w:rsidRDefault="00980E28" w:rsidP="00F5169D">
      <w:pPr>
        <w:pStyle w:val="Level3"/>
      </w:pPr>
      <w:proofErr w:type="gramStart"/>
      <w:r>
        <w:t>if</w:t>
      </w:r>
      <w:proofErr w:type="gramEnd"/>
      <w:r>
        <w:t xml:space="preserve"> the relevant Call-Off Contract is classified as a Tier One or Tier Two for Schedule 7.4 (Financial Distress) within the Tiering Matrix, </w:t>
      </w:r>
      <w:r w:rsidR="00CB26D8" w:rsidRPr="00D64141">
        <w:t>include a history of the</w:t>
      </w:r>
      <w:r w:rsidR="00873793">
        <w:t xml:space="preserve"> </w:t>
      </w:r>
      <w:r w:rsidR="00B17A11">
        <w:t>Financial Indicators</w:t>
      </w:r>
      <w:r w:rsidR="00630FBA">
        <w:t xml:space="preserve"> </w:t>
      </w:r>
      <w:r w:rsidR="00CB26D8" w:rsidRPr="00D64141">
        <w:t xml:space="preserve">reported by the Supplier in graph form to enable </w:t>
      </w:r>
      <w:r w:rsidR="00CB309B">
        <w:t xml:space="preserve">the </w:t>
      </w:r>
      <w:r w:rsidR="004D0C83">
        <w:t>Customer</w:t>
      </w:r>
      <w:r w:rsidR="00CB26D8" w:rsidRPr="00D64141">
        <w:t xml:space="preserve"> to easily analyse and assess the trends in financial performance.</w:t>
      </w:r>
    </w:p>
    <w:p w14:paraId="01BA373F" w14:textId="065017AE" w:rsidR="00391108" w:rsidRPr="00901522" w:rsidRDefault="0009530A" w:rsidP="00391108">
      <w:pPr>
        <w:pStyle w:val="Level1"/>
        <w:rPr>
          <w:rStyle w:val="Level1asHeadingtext"/>
          <w:bCs w:val="0"/>
          <w:caps w:val="0"/>
        </w:rPr>
      </w:pPr>
      <w:r>
        <w:rPr>
          <w:rStyle w:val="Level1asHeadingtext"/>
        </w:rPr>
        <w:t>Financial health</w:t>
      </w:r>
    </w:p>
    <w:p w14:paraId="5FE60AAE" w14:textId="715453E0" w:rsidR="00391108" w:rsidRPr="009171BC" w:rsidRDefault="00391108" w:rsidP="00391108">
      <w:pPr>
        <w:pStyle w:val="Level2"/>
        <w:rPr>
          <w:b/>
        </w:rPr>
      </w:pPr>
      <w:bookmarkStart w:id="4" w:name="_Ref23494646"/>
      <w:r w:rsidRPr="00901522">
        <w:t xml:space="preserve">Throughout the </w:t>
      </w:r>
      <w:r w:rsidR="00A34881">
        <w:t xml:space="preserve">Call-Off </w:t>
      </w:r>
      <w:r w:rsidRPr="00901522">
        <w:t xml:space="preserve">Term of the </w:t>
      </w:r>
      <w:r w:rsidR="00630FBA">
        <w:t>Call-Off Contract</w:t>
      </w:r>
      <w:r w:rsidR="00630FBA" w:rsidRPr="00901522">
        <w:t xml:space="preserve"> </w:t>
      </w:r>
      <w:r w:rsidRPr="00901522">
        <w:t xml:space="preserve">the Supplier </w:t>
      </w:r>
      <w:r>
        <w:t xml:space="preserve">shall notify </w:t>
      </w:r>
      <w:r w:rsidR="00CB309B">
        <w:t>the Customer</w:t>
      </w:r>
      <w:r>
        <w:t xml:space="preserve"> in writing no less than one (1) month prior to:</w:t>
      </w:r>
      <w:bookmarkEnd w:id="4"/>
    </w:p>
    <w:p w14:paraId="1734A828" w14:textId="77777777" w:rsidR="00391108" w:rsidRDefault="00391108" w:rsidP="00391108">
      <w:pPr>
        <w:pStyle w:val="Level3"/>
      </w:pPr>
      <w:bookmarkStart w:id="5" w:name="_Ref23493860"/>
      <w:r w:rsidRPr="009171BC">
        <w:t>any declaration, distribution or other payment of a dividen</w:t>
      </w:r>
      <w:r>
        <w:t>d (either equity or preference); and/or</w:t>
      </w:r>
      <w:bookmarkEnd w:id="5"/>
    </w:p>
    <w:p w14:paraId="5A23C312" w14:textId="77777777" w:rsidR="00391108" w:rsidRDefault="00391108" w:rsidP="00391108">
      <w:pPr>
        <w:pStyle w:val="Level3"/>
      </w:pPr>
      <w:bookmarkStart w:id="6" w:name="_Ref23493863"/>
      <w:bookmarkStart w:id="7" w:name="_Ref24278011"/>
      <w:proofErr w:type="gramStart"/>
      <w:r w:rsidRPr="009171BC">
        <w:t>making</w:t>
      </w:r>
      <w:proofErr w:type="gramEnd"/>
      <w:r w:rsidRPr="009171BC">
        <w:t xml:space="preserve"> any other corporate distribution (which shall include surrendering taxable losses to any of the Supplier Group or paying any amount in respect of another entities taxable losses surrendered to the Supplier</w:t>
      </w:r>
      <w:r>
        <w:t>)</w:t>
      </w:r>
      <w:bookmarkEnd w:id="6"/>
      <w:r>
        <w:t>.</w:t>
      </w:r>
      <w:bookmarkEnd w:id="7"/>
    </w:p>
    <w:p w14:paraId="28FF80C0" w14:textId="444DA6EF" w:rsidR="00391108" w:rsidRPr="009171BC" w:rsidRDefault="00391108" w:rsidP="00FD6E4B">
      <w:pPr>
        <w:pStyle w:val="Body1"/>
        <w:keepLines/>
      </w:pPr>
      <w:r>
        <w:t xml:space="preserve">The events set out in Paragraphs </w:t>
      </w:r>
      <w:r>
        <w:fldChar w:fldCharType="begin"/>
      </w:r>
      <w:r>
        <w:instrText xml:space="preserve"> REF _Ref23493860 \r \h </w:instrText>
      </w:r>
      <w:r>
        <w:fldChar w:fldCharType="separate"/>
      </w:r>
      <w:r w:rsidR="00FA6348">
        <w:t>3.1.1</w:t>
      </w:r>
      <w:r>
        <w:fldChar w:fldCharType="end"/>
      </w:r>
      <w:r>
        <w:t xml:space="preserve"> and </w:t>
      </w:r>
      <w:r>
        <w:fldChar w:fldCharType="begin"/>
      </w:r>
      <w:r>
        <w:instrText xml:space="preserve"> REF _Ref24278011 \r \h </w:instrText>
      </w:r>
      <w:r>
        <w:fldChar w:fldCharType="separate"/>
      </w:r>
      <w:r w:rsidR="00FA6348">
        <w:t>3.1.2</w:t>
      </w:r>
      <w:r>
        <w:fldChar w:fldCharType="end"/>
      </w:r>
      <w:r>
        <w:t xml:space="preserve"> shall collectively be referred to as </w:t>
      </w:r>
      <w:r w:rsidR="00C83B1E">
        <w:t>"</w:t>
      </w:r>
      <w:r w:rsidRPr="00E010B7">
        <w:rPr>
          <w:b/>
        </w:rPr>
        <w:t>Distribution of Profits</w:t>
      </w:r>
      <w:r w:rsidR="00C83B1E">
        <w:t>"</w:t>
      </w:r>
      <w:r>
        <w:t>.</w:t>
      </w:r>
    </w:p>
    <w:p w14:paraId="6CFB1F36" w14:textId="0208C569" w:rsidR="00391108" w:rsidRPr="00901522" w:rsidRDefault="00391108" w:rsidP="00391108">
      <w:pPr>
        <w:pStyle w:val="Level2"/>
        <w:rPr>
          <w:b/>
        </w:rPr>
      </w:pPr>
      <w:r>
        <w:lastRenderedPageBreak/>
        <w:t xml:space="preserve">If, at the point of notifying </w:t>
      </w:r>
      <w:r w:rsidR="00CB309B">
        <w:t>the Customer</w:t>
      </w:r>
      <w:r>
        <w:t xml:space="preserve"> of the intended Distribution of Profits in accordance with Paragraph </w:t>
      </w:r>
      <w:r>
        <w:fldChar w:fldCharType="begin"/>
      </w:r>
      <w:r>
        <w:instrText xml:space="preserve"> REF _Ref23494646 \r \h </w:instrText>
      </w:r>
      <w:r>
        <w:fldChar w:fldCharType="separate"/>
      </w:r>
      <w:r w:rsidR="00FA6348">
        <w:t>3.1</w:t>
      </w:r>
      <w:r>
        <w:fldChar w:fldCharType="end"/>
      </w:r>
      <w:r>
        <w:t>,</w:t>
      </w:r>
      <w:r w:rsidRPr="00901522">
        <w:t xml:space="preserve"> or during</w:t>
      </w:r>
      <w:r>
        <w:t xml:space="preserve"> the </w:t>
      </w:r>
      <w:r w:rsidRPr="00901522">
        <w:t>twelve (12) months</w:t>
      </w:r>
      <w:r>
        <w:t xml:space="preserve"> prior to such notification,</w:t>
      </w:r>
      <w:r w:rsidRPr="00901522">
        <w:t xml:space="preserve"> or for the forthcoming twelve (12) months</w:t>
      </w:r>
      <w:r>
        <w:t xml:space="preserve"> from such notification (</w:t>
      </w:r>
      <w:r w:rsidRPr="00901522">
        <w:t>ba</w:t>
      </w:r>
      <w:r>
        <w:t xml:space="preserve">sed on the forecasted Management Accounts </w:t>
      </w:r>
      <w:r w:rsidRPr="00901522">
        <w:t>for such forthcoming twelve (12) month period</w:t>
      </w:r>
      <w:r>
        <w:t>):</w:t>
      </w:r>
    </w:p>
    <w:p w14:paraId="78E9562C" w14:textId="62BE812F" w:rsidR="00391108" w:rsidRDefault="00391108" w:rsidP="00391108">
      <w:pPr>
        <w:pStyle w:val="Level3"/>
      </w:pPr>
      <w:r w:rsidRPr="00F63A84">
        <w:t>th</w:t>
      </w:r>
      <w:r>
        <w:t>ere is or has been or may be a</w:t>
      </w:r>
      <w:r w:rsidRPr="00F63A84">
        <w:t xml:space="preserve"> Financial </w:t>
      </w:r>
      <w:r>
        <w:t>Distress Event(s) (as set out in P</w:t>
      </w:r>
      <w:r w:rsidRPr="00F63A84">
        <w:t xml:space="preserve">aragraph </w:t>
      </w:r>
      <w:r w:rsidR="005049F3">
        <w:fldChar w:fldCharType="begin"/>
      </w:r>
      <w:r w:rsidR="005049F3">
        <w:instrText xml:space="preserve"> REF _Ref39673922 \r \h </w:instrText>
      </w:r>
      <w:r w:rsidR="005049F3">
        <w:fldChar w:fldCharType="separate"/>
      </w:r>
      <w:r w:rsidR="00FA6348">
        <w:t>4.1</w:t>
      </w:r>
      <w:r w:rsidR="005049F3">
        <w:fldChar w:fldCharType="end"/>
      </w:r>
      <w:r w:rsidRPr="00F63A84">
        <w:t>)</w:t>
      </w:r>
      <w:r>
        <w:t>;</w:t>
      </w:r>
      <w:r w:rsidRPr="00F63A84">
        <w:t xml:space="preserve"> and</w:t>
      </w:r>
      <w:r>
        <w:t>/or</w:t>
      </w:r>
      <w:r w:rsidRPr="00F63A84">
        <w:t xml:space="preserve"> </w:t>
      </w:r>
    </w:p>
    <w:p w14:paraId="2A9BC40E" w14:textId="5E86B355" w:rsidR="00391108" w:rsidRDefault="00391108" w:rsidP="00391108">
      <w:pPr>
        <w:pStyle w:val="Level3"/>
      </w:pPr>
      <w:r>
        <w:t xml:space="preserve">any of the </w:t>
      </w:r>
      <w:r w:rsidR="00B17A11">
        <w:t>Financial Indicators</w:t>
      </w:r>
      <w:r w:rsidR="00501C27">
        <w:t xml:space="preserve"> </w:t>
      </w:r>
      <w:r>
        <w:t xml:space="preserve">are within the </w:t>
      </w:r>
      <w:r w:rsidR="00C83B1E">
        <w:t>'</w:t>
      </w:r>
      <w:r>
        <w:t>red</w:t>
      </w:r>
      <w:r w:rsidR="00C83B1E">
        <w:t>'</w:t>
      </w:r>
      <w:r w:rsidRPr="00F63A84">
        <w:t xml:space="preserve"> Financial Target Thresholds </w:t>
      </w:r>
      <w:r>
        <w:t>(</w:t>
      </w:r>
      <w:r w:rsidRPr="00F63A84">
        <w:t xml:space="preserve">as set out in the table </w:t>
      </w:r>
      <w:r w:rsidR="00910B9B">
        <w:t>at P</w:t>
      </w:r>
      <w:r w:rsidR="00DC7339">
        <w:t>aragraph 6 below</w:t>
      </w:r>
      <w:r w:rsidR="00C83B1E">
        <w:t>)</w:t>
      </w:r>
      <w:r>
        <w:t>,</w:t>
      </w:r>
    </w:p>
    <w:p w14:paraId="368BABC0" w14:textId="12ED020A" w:rsidR="0032051D" w:rsidRPr="00F63A84" w:rsidRDefault="00391108" w:rsidP="00754BBA">
      <w:pPr>
        <w:pStyle w:val="Level3"/>
        <w:numPr>
          <w:ilvl w:val="0"/>
          <w:numId w:val="0"/>
        </w:numPr>
        <w:ind w:left="851"/>
      </w:pPr>
      <w:r>
        <w:t xml:space="preserve">then notwithstanding any other rights or remedies contained within this Schedule in relation to such, the Supplier shall give any additional financial commentary and provide any other such further information that </w:t>
      </w:r>
      <w:r w:rsidR="00CB309B">
        <w:t>the Customer</w:t>
      </w:r>
      <w:r>
        <w:t xml:space="preserve"> may require to support such notification and to provide justification that the intended Distribution of Profits shall not undermine or have a detrimental effect on the financial health of the Supplier and/or the ability for the Supplier to provide the Services. Further, in such instances the Supplier shall take into consideration any reasonable requirements or comments made by </w:t>
      </w:r>
      <w:r w:rsidR="00CB309B">
        <w:t>the Customer</w:t>
      </w:r>
      <w:r>
        <w:t xml:space="preserve"> in relation to the proposed Distribution of Profits</w:t>
      </w:r>
      <w:r w:rsidR="00501C27">
        <w:t>.</w:t>
      </w:r>
    </w:p>
    <w:p w14:paraId="3528D69B" w14:textId="77777777" w:rsidR="00BE7429" w:rsidRPr="00D64141" w:rsidRDefault="00F5169D" w:rsidP="00F5169D">
      <w:pPr>
        <w:pStyle w:val="Level1"/>
        <w:keepNext/>
        <w:rPr>
          <w:rStyle w:val="Level1asHeadingtext"/>
        </w:rPr>
      </w:pPr>
      <w:r w:rsidRPr="00D64141">
        <w:rPr>
          <w:rStyle w:val="Level1asHeadingtext"/>
        </w:rPr>
        <w:t>Financial Distress Events</w:t>
      </w:r>
    </w:p>
    <w:p w14:paraId="02CBC5D6" w14:textId="73840537" w:rsidR="00D05BDE" w:rsidRDefault="00CB26D8" w:rsidP="00D05BDE">
      <w:pPr>
        <w:pStyle w:val="Level2"/>
        <w:keepNext/>
      </w:pPr>
      <w:bookmarkStart w:id="8" w:name="_Ref39673922"/>
      <w:r w:rsidRPr="00D64141">
        <w:t>The following shall be</w:t>
      </w:r>
      <w:r w:rsidR="007B1457">
        <w:t xml:space="preserve"> </w:t>
      </w:r>
      <w:r w:rsidRPr="00D64141">
        <w:t>Financial Distress Events</w:t>
      </w:r>
      <w:r w:rsidR="00A97C69">
        <w:t xml:space="preserve"> (to the extent each is applicable and relevant to the entity in the </w:t>
      </w:r>
      <w:proofErr w:type="spellStart"/>
      <w:r w:rsidR="00A97C69">
        <w:t>FDE</w:t>
      </w:r>
      <w:proofErr w:type="spellEnd"/>
      <w:r w:rsidR="00A97C69">
        <w:t xml:space="preserve"> Group only)</w:t>
      </w:r>
      <w:r w:rsidR="00D05BDE">
        <w:t>:</w:t>
      </w:r>
      <w:r w:rsidR="00D05BDE">
        <w:noBreakHyphen/>
      </w:r>
      <w:bookmarkEnd w:id="8"/>
    </w:p>
    <w:p w14:paraId="3ED2859A" w14:textId="5F992895" w:rsidR="00597F9C" w:rsidRDefault="00A97C69" w:rsidP="00F5169D">
      <w:pPr>
        <w:pStyle w:val="Level3"/>
      </w:pPr>
      <w:bookmarkStart w:id="9" w:name="_Ref70000005"/>
      <w:r>
        <w:t xml:space="preserve">where the relevant Call-Off Contract is classified as a Tier </w:t>
      </w:r>
      <w:r w:rsidR="00266844">
        <w:t>One</w:t>
      </w:r>
      <w:r>
        <w:t xml:space="preserve"> for Schedule 7.4 (Financial Distress) within the Tiering Matrix, </w:t>
      </w:r>
      <w:r w:rsidR="00CB26D8" w:rsidRPr="00D64141">
        <w:t xml:space="preserve">the credit rating of </w:t>
      </w:r>
      <w:r w:rsidR="006A7EF8">
        <w:t xml:space="preserve">any member of the </w:t>
      </w:r>
      <w:proofErr w:type="spellStart"/>
      <w:r w:rsidR="006A7EF8">
        <w:t>FDE</w:t>
      </w:r>
      <w:proofErr w:type="spellEnd"/>
      <w:r w:rsidR="006A7EF8">
        <w:t xml:space="preserve"> Group</w:t>
      </w:r>
      <w:r w:rsidR="00CB26D8" w:rsidRPr="00D64141">
        <w:t xml:space="preserve"> entity dropping below the applicable Credit Rating Threshold</w:t>
      </w:r>
      <w:r w:rsidR="00DC7339">
        <w:t>;</w:t>
      </w:r>
    </w:p>
    <w:p w14:paraId="3DD74A94" w14:textId="5164485D" w:rsidR="00BE7429" w:rsidRPr="00D64141" w:rsidRDefault="00F31123" w:rsidP="00F5169D">
      <w:pPr>
        <w:pStyle w:val="Level3"/>
      </w:pPr>
      <w:r>
        <w:t xml:space="preserve">the credit score of an </w:t>
      </w:r>
      <w:proofErr w:type="spellStart"/>
      <w:r>
        <w:t>FDE</w:t>
      </w:r>
      <w:proofErr w:type="spellEnd"/>
      <w:r>
        <w:t xml:space="preserve"> Group entity falling below the Credit Score Threshold</w:t>
      </w:r>
      <w:r w:rsidR="00CB26D8" w:rsidRPr="00D64141">
        <w:t>;</w:t>
      </w:r>
      <w:bookmarkEnd w:id="9"/>
    </w:p>
    <w:p w14:paraId="5E1D01CB" w14:textId="07D4E9D7" w:rsidR="00BE7429" w:rsidRPr="00D64141" w:rsidRDefault="006A7EF8" w:rsidP="00F5169D">
      <w:pPr>
        <w:pStyle w:val="Level3"/>
      </w:pPr>
      <w:bookmarkStart w:id="10" w:name="_Ref70000022"/>
      <w:r>
        <w:t xml:space="preserve">any member of the </w:t>
      </w:r>
      <w:proofErr w:type="spellStart"/>
      <w:r>
        <w:t>FDE</w:t>
      </w:r>
      <w:proofErr w:type="spellEnd"/>
      <w:r>
        <w:t xml:space="preserve"> Group</w:t>
      </w:r>
      <w:r w:rsidR="00CB26D8" w:rsidRPr="00D64141">
        <w:t xml:space="preserve"> issuing a profits warning to a stock exchange or making any other public announcement</w:t>
      </w:r>
      <w:r>
        <w:t xml:space="preserve"> (including reports to the Charities Commission where applicable)</w:t>
      </w:r>
      <w:r w:rsidR="00CB26D8" w:rsidRPr="00D64141">
        <w:t>, in each case about a material deterioration in its financial position or prospects;</w:t>
      </w:r>
      <w:bookmarkEnd w:id="10"/>
    </w:p>
    <w:p w14:paraId="60F213BD" w14:textId="7ED6D73C" w:rsidR="00BE7429" w:rsidRPr="00D64141" w:rsidRDefault="00CB26D8" w:rsidP="00F5169D">
      <w:pPr>
        <w:pStyle w:val="Level3"/>
      </w:pPr>
      <w:r w:rsidRPr="00D64141">
        <w:t xml:space="preserve">there being a public investigation into improper financial accounting and reporting, suspected fraud or any other impropriety of </w:t>
      </w:r>
      <w:r w:rsidR="006A7EF8">
        <w:t xml:space="preserve">any </w:t>
      </w:r>
      <w:r w:rsidR="00A97C69">
        <w:t xml:space="preserve">entity </w:t>
      </w:r>
      <w:r w:rsidR="006A7EF8">
        <w:t xml:space="preserve">of the </w:t>
      </w:r>
      <w:proofErr w:type="spellStart"/>
      <w:r w:rsidR="006A7EF8">
        <w:t>FDE</w:t>
      </w:r>
      <w:proofErr w:type="spellEnd"/>
      <w:r w:rsidR="006A7EF8">
        <w:t xml:space="preserve"> </w:t>
      </w:r>
      <w:r w:rsidR="00A34881">
        <w:t>Group</w:t>
      </w:r>
      <w:r w:rsidRPr="00D64141">
        <w:t>;</w:t>
      </w:r>
    </w:p>
    <w:p w14:paraId="41EC1440" w14:textId="00C26D85" w:rsidR="00BE7429" w:rsidRDefault="009D6F7B" w:rsidP="00F5169D">
      <w:pPr>
        <w:pStyle w:val="Level3"/>
      </w:pPr>
      <w:r w:rsidRPr="00671710">
        <w:t xml:space="preserve">an </w:t>
      </w:r>
      <w:proofErr w:type="spellStart"/>
      <w:r w:rsidRPr="00671710">
        <w:t>FDE</w:t>
      </w:r>
      <w:proofErr w:type="spellEnd"/>
      <w:r w:rsidRPr="00671710">
        <w:t xml:space="preserve"> Group entity committing </w:t>
      </w:r>
      <w:r w:rsidR="00CB26D8" w:rsidRPr="00D64141">
        <w:t>a material breach of covenant to its lenders;</w:t>
      </w:r>
    </w:p>
    <w:p w14:paraId="3B40BCA3" w14:textId="4F2B4926" w:rsidR="009D6F7B" w:rsidRPr="00671710" w:rsidRDefault="009D6F7B" w:rsidP="009D6F7B">
      <w:pPr>
        <w:pStyle w:val="Level3"/>
      </w:pPr>
      <w:bookmarkStart w:id="11" w:name="_Ref24277829"/>
      <w:r w:rsidRPr="00671710">
        <w:t>a Key Sub</w:t>
      </w:r>
      <w:r w:rsidRPr="00671710">
        <w:noBreakHyphen/>
        <w:t>contractor</w:t>
      </w:r>
      <w:r>
        <w:t xml:space="preserve"> (if applicable)</w:t>
      </w:r>
      <w:r w:rsidRPr="00671710">
        <w:t xml:space="preserve"> notifying the </w:t>
      </w:r>
      <w:r>
        <w:t>Customer</w:t>
      </w:r>
      <w:r w:rsidRPr="00671710">
        <w:t xml:space="preserve"> that the Supplier has not satisfied any material sums properly due under a specified invoice and not subject to a genuine dispute;</w:t>
      </w:r>
      <w:bookmarkEnd w:id="11"/>
      <w:r w:rsidRPr="00671710">
        <w:t xml:space="preserve"> </w:t>
      </w:r>
    </w:p>
    <w:p w14:paraId="18D1A5E2" w14:textId="77777777" w:rsidR="00D05BDE" w:rsidRDefault="00CB26D8" w:rsidP="00D05BDE">
      <w:pPr>
        <w:pStyle w:val="Level3"/>
        <w:keepNext/>
      </w:pPr>
      <w:r w:rsidRPr="00D64141">
        <w:t>any of the following</w:t>
      </w:r>
      <w:r w:rsidR="00D05BDE">
        <w:t>:</w:t>
      </w:r>
      <w:r w:rsidR="00D05BDE">
        <w:noBreakHyphen/>
      </w:r>
    </w:p>
    <w:p w14:paraId="583A9F91" w14:textId="17CDEAF6" w:rsidR="00BE7429" w:rsidRPr="00D64141" w:rsidRDefault="00CB26D8" w:rsidP="00F5169D">
      <w:pPr>
        <w:pStyle w:val="Level4"/>
      </w:pPr>
      <w:r w:rsidRPr="00D64141">
        <w:t xml:space="preserve">commencement of any litigation against </w:t>
      </w:r>
      <w:r w:rsidR="009D6F7B">
        <w:t xml:space="preserve">an </w:t>
      </w:r>
      <w:proofErr w:type="spellStart"/>
      <w:r w:rsidR="009D6F7B">
        <w:t>FDE</w:t>
      </w:r>
      <w:proofErr w:type="spellEnd"/>
      <w:r w:rsidR="009D6F7B">
        <w:t xml:space="preserve"> Group entity</w:t>
      </w:r>
      <w:r w:rsidRPr="00D64141">
        <w:t xml:space="preserve"> with respect to financial indebtedness greater than £5</w:t>
      </w:r>
      <w:r w:rsidR="00F31123">
        <w:t>,000,000 (five million pounds)</w:t>
      </w:r>
      <w:r w:rsidRPr="00D64141">
        <w:t xml:space="preserve"> or obligations under a service contract with a total contract value greater than £5</w:t>
      </w:r>
      <w:r w:rsidR="00F31123">
        <w:t xml:space="preserve">,000,000 (five </w:t>
      </w:r>
      <w:r w:rsidR="00DC7339">
        <w:t>m</w:t>
      </w:r>
      <w:r w:rsidR="00F31123">
        <w:t>illion pounds)</w:t>
      </w:r>
      <w:r w:rsidRPr="00D64141">
        <w:t>;</w:t>
      </w:r>
    </w:p>
    <w:p w14:paraId="5C08714A" w14:textId="6929BC8C" w:rsidR="00BE7429" w:rsidRPr="00D64141" w:rsidRDefault="00CB26D8" w:rsidP="00D05BDE">
      <w:pPr>
        <w:pStyle w:val="Level4"/>
        <w:keepNext/>
      </w:pPr>
      <w:r w:rsidRPr="00D64141">
        <w:t>non</w:t>
      </w:r>
      <w:r w:rsidR="00D05BDE">
        <w:noBreakHyphen/>
      </w:r>
      <w:r w:rsidRPr="00D64141">
        <w:t xml:space="preserve">payment by </w:t>
      </w:r>
      <w:r w:rsidR="009D6F7B">
        <w:t xml:space="preserve">an </w:t>
      </w:r>
      <w:proofErr w:type="spellStart"/>
      <w:r w:rsidR="009D6F7B">
        <w:t>FDE</w:t>
      </w:r>
      <w:proofErr w:type="spellEnd"/>
      <w:r w:rsidR="009D6F7B">
        <w:t xml:space="preserve"> Group</w:t>
      </w:r>
      <w:r w:rsidRPr="00D64141">
        <w:t xml:space="preserve"> </w:t>
      </w:r>
      <w:r w:rsidR="004A0916">
        <w:t xml:space="preserve">entity </w:t>
      </w:r>
      <w:r w:rsidRPr="00D64141">
        <w:t>of any financial indebtedness;</w:t>
      </w:r>
    </w:p>
    <w:p w14:paraId="4AEF0823" w14:textId="76EACC9A" w:rsidR="00BE7429" w:rsidRPr="00D64141" w:rsidRDefault="00CB26D8" w:rsidP="00F5169D">
      <w:pPr>
        <w:pStyle w:val="Level4"/>
      </w:pPr>
      <w:r w:rsidRPr="00D64141">
        <w:t xml:space="preserve">any financial indebtedness of </w:t>
      </w:r>
      <w:r w:rsidR="009D6F7B">
        <w:t xml:space="preserve">an </w:t>
      </w:r>
      <w:proofErr w:type="spellStart"/>
      <w:r w:rsidR="009D6F7B">
        <w:t>FDE</w:t>
      </w:r>
      <w:proofErr w:type="spellEnd"/>
      <w:r w:rsidR="009D6F7B">
        <w:t xml:space="preserve"> Group entity</w:t>
      </w:r>
      <w:r w:rsidRPr="00D64141">
        <w:t xml:space="preserve"> becoming due as a result of an event of default;</w:t>
      </w:r>
    </w:p>
    <w:p w14:paraId="4F1801E7" w14:textId="39EB9848" w:rsidR="00597DD3" w:rsidRPr="00D64141" w:rsidRDefault="00CB26D8" w:rsidP="00F5169D">
      <w:pPr>
        <w:pStyle w:val="Level4"/>
      </w:pPr>
      <w:r w:rsidRPr="00D64141">
        <w:t>the cancellation or suspension of any financia</w:t>
      </w:r>
      <w:r w:rsidR="005F34A1">
        <w:t xml:space="preserve">l indebtedness in respect of </w:t>
      </w:r>
      <w:r w:rsidR="009D6F7B">
        <w:t xml:space="preserve">an </w:t>
      </w:r>
      <w:proofErr w:type="spellStart"/>
      <w:r w:rsidR="009D6F7B">
        <w:t>FDE</w:t>
      </w:r>
      <w:proofErr w:type="spellEnd"/>
      <w:r w:rsidR="009D6F7B">
        <w:t xml:space="preserve"> Group entity</w:t>
      </w:r>
      <w:r w:rsidRPr="00D64141">
        <w:t>; or</w:t>
      </w:r>
    </w:p>
    <w:p w14:paraId="670DD6EE" w14:textId="52D8F903" w:rsidR="00BE7429" w:rsidRDefault="00CB26D8" w:rsidP="000B15F6">
      <w:pPr>
        <w:pStyle w:val="Level4"/>
      </w:pPr>
      <w:r w:rsidRPr="00D64141">
        <w:lastRenderedPageBreak/>
        <w:t xml:space="preserve">the external auditor of </w:t>
      </w:r>
      <w:r w:rsidR="009D6F7B">
        <w:t xml:space="preserve">an </w:t>
      </w:r>
      <w:proofErr w:type="spellStart"/>
      <w:r w:rsidR="009D6F7B">
        <w:t>FDE</w:t>
      </w:r>
      <w:proofErr w:type="spellEnd"/>
      <w:r w:rsidR="009D6F7B">
        <w:t xml:space="preserve"> Group entity</w:t>
      </w:r>
      <w:r w:rsidRPr="00D64141">
        <w:t xml:space="preserve"> expressing a qualified</w:t>
      </w:r>
      <w:r w:rsidR="000B15F6">
        <w:t xml:space="preserve"> </w:t>
      </w:r>
      <w:r w:rsidRPr="000B15F6">
        <w:t>opinion on, or including an emphasis of matter in, its opinion on the</w:t>
      </w:r>
      <w:r w:rsidR="005F34A1">
        <w:t xml:space="preserve"> statutory accounts of th</w:t>
      </w:r>
      <w:r w:rsidR="009D6F7B">
        <w:t xml:space="preserve">at </w:t>
      </w:r>
      <w:proofErr w:type="spellStart"/>
      <w:r w:rsidR="009D6F7B">
        <w:t>FDE</w:t>
      </w:r>
      <w:proofErr w:type="spellEnd"/>
      <w:r w:rsidR="009D6F7B">
        <w:t xml:space="preserve"> Group entity</w:t>
      </w:r>
      <w:r w:rsidR="00A97C69">
        <w:t>,</w:t>
      </w:r>
    </w:p>
    <w:p w14:paraId="18FB4467" w14:textId="7D3AD070" w:rsidR="00BE7429" w:rsidRPr="00D64141" w:rsidRDefault="00CB26D8" w:rsidP="00F5169D">
      <w:pPr>
        <w:pStyle w:val="Body3"/>
      </w:pPr>
      <w:r w:rsidRPr="00D64141">
        <w:t xml:space="preserve">in each case which </w:t>
      </w:r>
      <w:r w:rsidR="00CB309B">
        <w:t xml:space="preserve">the </w:t>
      </w:r>
      <w:r w:rsidR="004D0C83">
        <w:t>Customer</w:t>
      </w:r>
      <w:r w:rsidRPr="00D64141">
        <w:t xml:space="preserve"> reasonably believes (or would be likely reasonably to believe) could directly impact on the performance and delivery of the Services in accordance with this </w:t>
      </w:r>
      <w:r w:rsidR="005F34A1">
        <w:t xml:space="preserve">Framework </w:t>
      </w:r>
      <w:r w:rsidRPr="00D64141">
        <w:t>Agreement</w:t>
      </w:r>
      <w:r w:rsidR="009D6F7B">
        <w:t xml:space="preserve"> or any Call-Off Contract</w:t>
      </w:r>
      <w:r w:rsidRPr="00D64141">
        <w:t>; and</w:t>
      </w:r>
    </w:p>
    <w:p w14:paraId="7A7BD205" w14:textId="1C2DC66B" w:rsidR="00BE7429" w:rsidRPr="00D64141" w:rsidRDefault="00980E28" w:rsidP="000B15F6">
      <w:pPr>
        <w:pStyle w:val="Level3"/>
      </w:pPr>
      <w:bookmarkStart w:id="12" w:name="_Ref70000023"/>
      <w:proofErr w:type="gramStart"/>
      <w:r>
        <w:t>if</w:t>
      </w:r>
      <w:proofErr w:type="gramEnd"/>
      <w:r>
        <w:t xml:space="preserve"> the relevant Call-Off Contract is classified as a Tier One or Tier Two for Schedule 7.4 (Financial Distress) within the Tiering Matrix, </w:t>
      </w:r>
      <w:r w:rsidR="00CB26D8" w:rsidRPr="00D64141">
        <w:t xml:space="preserve">any </w:t>
      </w:r>
      <w:r w:rsidR="00DC7339">
        <w:t>one</w:t>
      </w:r>
      <w:r w:rsidR="00501C27">
        <w:t xml:space="preserve"> (1)</w:t>
      </w:r>
      <w:r w:rsidR="00CB26D8" w:rsidRPr="00D64141">
        <w:t xml:space="preserve"> of the </w:t>
      </w:r>
      <w:r w:rsidR="00B17A11">
        <w:t>Financial Indicators</w:t>
      </w:r>
      <w:r w:rsidR="00D55FEB">
        <w:t xml:space="preserve"> </w:t>
      </w:r>
      <w:r w:rsidR="00CB26D8" w:rsidRPr="00D64141">
        <w:t xml:space="preserve">set out </w:t>
      </w:r>
      <w:r w:rsidR="009D6F7B">
        <w:t xml:space="preserve">in </w:t>
      </w:r>
      <w:r w:rsidR="00A97C69">
        <w:t xml:space="preserve">Paragraph </w:t>
      </w:r>
      <w:r w:rsidR="00F00A78">
        <w:fldChar w:fldCharType="begin"/>
      </w:r>
      <w:r w:rsidR="00F00A78">
        <w:instrText xml:space="preserve"> REF _Ref40288737 \r \h </w:instrText>
      </w:r>
      <w:r w:rsidR="00F00A78">
        <w:fldChar w:fldCharType="separate"/>
      </w:r>
      <w:r w:rsidR="00FA6348">
        <w:t>6.1</w:t>
      </w:r>
      <w:r w:rsidR="00F00A78">
        <w:fldChar w:fldCharType="end"/>
      </w:r>
      <w:r w:rsidR="009D6F7B">
        <w:t xml:space="preserve"> </w:t>
      </w:r>
      <w:r w:rsidR="00CB26D8" w:rsidRPr="00D64141">
        <w:t>for</w:t>
      </w:r>
      <w:r w:rsidR="009D6F7B">
        <w:t xml:space="preserve"> any of the </w:t>
      </w:r>
      <w:proofErr w:type="spellStart"/>
      <w:r w:rsidR="009D6F7B">
        <w:t>FDE</w:t>
      </w:r>
      <w:proofErr w:type="spellEnd"/>
      <w:r w:rsidR="009D6F7B">
        <w:t xml:space="preserve"> Group entities</w:t>
      </w:r>
      <w:bookmarkEnd w:id="12"/>
      <w:r w:rsidR="00CB26D8" w:rsidRPr="00D64141">
        <w:t xml:space="preserve"> failing to meet the required Financial Target Threshold.</w:t>
      </w:r>
    </w:p>
    <w:p w14:paraId="7B350944" w14:textId="2321C6D2" w:rsidR="00BE7429" w:rsidRPr="00D64141" w:rsidRDefault="00F5169D" w:rsidP="00F5169D">
      <w:pPr>
        <w:pStyle w:val="Level1"/>
        <w:keepNext/>
        <w:rPr>
          <w:rStyle w:val="Level1asHeadingtext"/>
        </w:rPr>
      </w:pPr>
      <w:r w:rsidRPr="00D64141">
        <w:rPr>
          <w:rStyle w:val="Level1asHeadingtext"/>
        </w:rPr>
        <w:t>Consequences Of Financial Distress Events</w:t>
      </w:r>
    </w:p>
    <w:p w14:paraId="135D5035" w14:textId="3A7FFAB1" w:rsidR="00CB309B" w:rsidRDefault="00CB309B" w:rsidP="00CB309B">
      <w:pPr>
        <w:pStyle w:val="Level2"/>
      </w:pPr>
      <w:bookmarkStart w:id="13" w:name="_Ref24278280"/>
      <w:bookmarkStart w:id="14" w:name="_Ref70000008"/>
      <w:r w:rsidRPr="00671710">
        <w:t xml:space="preserve">Immediately upon notification by the Supplier of a Financial Distress Event (or if </w:t>
      </w:r>
      <w:r>
        <w:t>the Customer</w:t>
      </w:r>
      <w:r w:rsidRPr="00671710">
        <w:t xml:space="preserve"> becomes aware of a Financial Distress Event without notification and brings the event to the attention of the Supplier), the Supplier shall have the obligations and </w:t>
      </w:r>
      <w:r>
        <w:t>the Customer</w:t>
      </w:r>
      <w:r w:rsidRPr="00671710">
        <w:t xml:space="preserve"> shall have the rights and remedies as set out in Paragraphs </w:t>
      </w:r>
      <w:r>
        <w:fldChar w:fldCharType="begin"/>
      </w:r>
      <w:r>
        <w:instrText xml:space="preserve"> REF _Ref24278126 \w \h  \* MERGEFORMAT </w:instrText>
      </w:r>
      <w:r>
        <w:fldChar w:fldCharType="separate"/>
      </w:r>
      <w:r w:rsidR="00FA6348">
        <w:t>5.3</w:t>
      </w:r>
      <w:r>
        <w:fldChar w:fldCharType="end"/>
      </w:r>
      <w:r>
        <w:t xml:space="preserve"> to </w:t>
      </w:r>
      <w:r>
        <w:fldChar w:fldCharType="begin"/>
      </w:r>
      <w:r>
        <w:instrText xml:space="preserve"> REF _Ref24278135 \w \h  \* MERGEFORMAT </w:instrText>
      </w:r>
      <w:r>
        <w:fldChar w:fldCharType="separate"/>
      </w:r>
      <w:r w:rsidR="00FA6348">
        <w:t>5.6</w:t>
      </w:r>
      <w:r>
        <w:fldChar w:fldCharType="end"/>
      </w:r>
      <w:r>
        <w:t xml:space="preserve"> of this Schedule</w:t>
      </w:r>
      <w:r w:rsidRPr="00671710">
        <w:t>.</w:t>
      </w:r>
      <w:bookmarkEnd w:id="13"/>
      <w:r w:rsidRPr="00671710">
        <w:t xml:space="preserve"> </w:t>
      </w:r>
    </w:p>
    <w:p w14:paraId="7DDAD000" w14:textId="751E26FA" w:rsidR="00CB309B" w:rsidRPr="00671710" w:rsidRDefault="00CB309B" w:rsidP="00CB309B">
      <w:pPr>
        <w:pStyle w:val="Level2"/>
      </w:pPr>
      <w:r w:rsidRPr="00671710">
        <w:t>In the event of a late or non-payment of a Key Sub</w:t>
      </w:r>
      <w:r w:rsidRPr="00671710">
        <w:noBreakHyphen/>
        <w:t>contractor pursuant to Paragraph </w:t>
      </w:r>
      <w:r>
        <w:fldChar w:fldCharType="begin"/>
      </w:r>
      <w:r>
        <w:instrText xml:space="preserve"> REF _Ref24277829 \w \h  \* MERGEFORMAT </w:instrText>
      </w:r>
      <w:r>
        <w:fldChar w:fldCharType="separate"/>
      </w:r>
      <w:r w:rsidR="00FA6348">
        <w:t>4.1.6</w:t>
      </w:r>
      <w:r>
        <w:fldChar w:fldCharType="end"/>
      </w:r>
      <w:r w:rsidRPr="00671710">
        <w:t xml:space="preserve">, </w:t>
      </w:r>
      <w:r>
        <w:t>the Customer</w:t>
      </w:r>
      <w:r w:rsidRPr="00671710">
        <w:t xml:space="preserve"> shall not exercise any of its rights or remedies under Paragraph </w:t>
      </w:r>
      <w:r>
        <w:fldChar w:fldCharType="begin"/>
      </w:r>
      <w:r>
        <w:instrText xml:space="preserve"> REF _Ref24278126 \w \h  \* MERGEFORMAT </w:instrText>
      </w:r>
      <w:r>
        <w:fldChar w:fldCharType="separate"/>
      </w:r>
      <w:r w:rsidR="00FA6348">
        <w:t>5.3</w:t>
      </w:r>
      <w:r>
        <w:fldChar w:fldCharType="end"/>
      </w:r>
      <w:r w:rsidRPr="00671710">
        <w:t xml:space="preserve"> without first giving the Supplier </w:t>
      </w:r>
      <w:r>
        <w:t>ten (</w:t>
      </w:r>
      <w:r w:rsidRPr="00671710">
        <w:t>10</w:t>
      </w:r>
      <w:r>
        <w:t>)</w:t>
      </w:r>
      <w:r w:rsidRPr="00671710">
        <w:t xml:space="preserve"> Working Days</w:t>
      </w:r>
      <w:r>
        <w:t xml:space="preserve"> </w:t>
      </w:r>
      <w:r w:rsidRPr="00671710">
        <w:t>to:</w:t>
      </w:r>
    </w:p>
    <w:p w14:paraId="4E6A8C88" w14:textId="77777777" w:rsidR="00CB309B" w:rsidRPr="00671710" w:rsidRDefault="00CB309B" w:rsidP="00CB309B">
      <w:pPr>
        <w:pStyle w:val="Level3"/>
      </w:pPr>
      <w:r w:rsidRPr="00671710">
        <w:t>rectify such late or non-payment; or</w:t>
      </w:r>
    </w:p>
    <w:p w14:paraId="689E12E6" w14:textId="7AB4DE91" w:rsidR="00CB309B" w:rsidRPr="00671710" w:rsidRDefault="00CB309B" w:rsidP="00CB309B">
      <w:pPr>
        <w:pStyle w:val="Level3"/>
      </w:pPr>
      <w:proofErr w:type="gramStart"/>
      <w:r w:rsidRPr="00671710">
        <w:t>demonstrate</w:t>
      </w:r>
      <w:proofErr w:type="gramEnd"/>
      <w:r w:rsidRPr="00671710">
        <w:t xml:space="preserve"> to </w:t>
      </w:r>
      <w:r>
        <w:t>the Customer</w:t>
      </w:r>
      <w:r w:rsidR="00C83B1E">
        <w:t>'</w:t>
      </w:r>
      <w:r w:rsidRPr="00671710">
        <w:t>s reasonable satisfaction that there is a valid reason for late or non-payment.</w:t>
      </w:r>
    </w:p>
    <w:p w14:paraId="1347E510" w14:textId="354C568F" w:rsidR="00CB309B" w:rsidRPr="00671710" w:rsidRDefault="00CB309B" w:rsidP="00CB309B">
      <w:pPr>
        <w:pStyle w:val="Level2"/>
      </w:pPr>
      <w:bookmarkStart w:id="15" w:name="_Ref24278126"/>
      <w:r w:rsidRPr="00671710">
        <w:t>The Supplier shall (and shall procure that</w:t>
      </w:r>
      <w:r w:rsidR="00A97C69">
        <w:t>, to the extent relevant,</w:t>
      </w:r>
      <w:r w:rsidRPr="00671710">
        <w:t xml:space="preserve"> any Guarantor and/or any relevant Key Sub</w:t>
      </w:r>
      <w:r w:rsidRPr="00671710">
        <w:noBreakHyphen/>
        <w:t>contractor shall):</w:t>
      </w:r>
      <w:bookmarkEnd w:id="15"/>
    </w:p>
    <w:p w14:paraId="482B52AE" w14:textId="522B04BD" w:rsidR="00CB309B" w:rsidRPr="00671710" w:rsidRDefault="00CB309B" w:rsidP="00CB309B">
      <w:pPr>
        <w:pStyle w:val="Level3"/>
      </w:pPr>
      <w:bookmarkStart w:id="16" w:name="_Ref24278184"/>
      <w:r w:rsidRPr="00671710">
        <w:t xml:space="preserve">at the request of </w:t>
      </w:r>
      <w:r>
        <w:t>the Customer</w:t>
      </w:r>
      <w:r w:rsidRPr="00671710">
        <w:t xml:space="preserve">, meet </w:t>
      </w:r>
      <w:r>
        <w:t>the Customer</w:t>
      </w:r>
      <w:r w:rsidRPr="00671710">
        <w:t xml:space="preserve"> as soon as reasonably practicable (and in any event within </w:t>
      </w:r>
      <w:r w:rsidRPr="00AD6F26">
        <w:t>three (3) Working</w:t>
      </w:r>
      <w:r w:rsidRPr="00671710">
        <w:t xml:space="preserve"> Days of the initial notification (or awareness) of the Financial Distress Event or such other period as </w:t>
      </w:r>
      <w:r>
        <w:t>the Customer</w:t>
      </w:r>
      <w:r w:rsidRPr="00671710">
        <w:t xml:space="preserve"> may permit and notify to the Supplier in writing) to review the effect of the Financial Distress Event on the continued performance and delivery of the Services in accordance with this </w:t>
      </w:r>
      <w:r w:rsidR="00794537">
        <w:t xml:space="preserve">Framework </w:t>
      </w:r>
      <w:r w:rsidRPr="00671710">
        <w:t>Agreement</w:t>
      </w:r>
      <w:r w:rsidR="00794537">
        <w:t xml:space="preserve"> and the applicable Call-Off Contract</w:t>
      </w:r>
      <w:r w:rsidRPr="00671710">
        <w:t>; and</w:t>
      </w:r>
      <w:bookmarkEnd w:id="16"/>
    </w:p>
    <w:p w14:paraId="410FBC12" w14:textId="5761AFEF" w:rsidR="00CB309B" w:rsidRPr="00671710" w:rsidRDefault="00CB309B" w:rsidP="00CB309B">
      <w:pPr>
        <w:pStyle w:val="Level3"/>
      </w:pPr>
      <w:r w:rsidRPr="00671710">
        <w:t xml:space="preserve">where </w:t>
      </w:r>
      <w:r>
        <w:t>the Customer</w:t>
      </w:r>
      <w:r w:rsidRPr="00671710">
        <w:t xml:space="preserve"> reasonably believes (taking into account the discussions and any representations made under Paragraph</w:t>
      </w:r>
      <w:r>
        <w:t xml:space="preserve"> </w:t>
      </w:r>
      <w:r>
        <w:fldChar w:fldCharType="begin"/>
      </w:r>
      <w:r>
        <w:instrText xml:space="preserve"> REF _Ref24278184 \w \h  \* MERGEFORMAT </w:instrText>
      </w:r>
      <w:r>
        <w:fldChar w:fldCharType="separate"/>
      </w:r>
      <w:r w:rsidR="00FA6348">
        <w:t>5.3.1</w:t>
      </w:r>
      <w:r>
        <w:fldChar w:fldCharType="end"/>
      </w:r>
      <w:r>
        <w:t>)</w:t>
      </w:r>
      <w:r w:rsidRPr="00671710">
        <w:t xml:space="preserve"> that the Financial Distress Event could impact on the continued performance and delivery of the Services i</w:t>
      </w:r>
      <w:r w:rsidR="002102A7">
        <w:t>n accordance with the Framework Agreement and the applicable Call-Off Contract</w:t>
      </w:r>
      <w:r w:rsidRPr="00671710">
        <w:t>:</w:t>
      </w:r>
    </w:p>
    <w:p w14:paraId="13AED6BC" w14:textId="59A74588" w:rsidR="00CB309B" w:rsidRPr="00671710" w:rsidRDefault="00CB309B" w:rsidP="00CB309B">
      <w:pPr>
        <w:pStyle w:val="Level4"/>
      </w:pPr>
      <w:r w:rsidRPr="00671710">
        <w:t xml:space="preserve">submit to </w:t>
      </w:r>
      <w:r>
        <w:t>the Customer</w:t>
      </w:r>
      <w:r w:rsidRPr="00671710">
        <w:t xml:space="preserve"> for its approval, a draft Financial Distress Remediation Plan as soon as reasonably practicable (and in any event, within </w:t>
      </w:r>
      <w:r>
        <w:t>ten (</w:t>
      </w:r>
      <w:r w:rsidRPr="00AD6F26">
        <w:t>10)</w:t>
      </w:r>
      <w:r w:rsidRPr="00671710">
        <w:t xml:space="preserve"> Working Days of the initial notification (or awareness) of the Financial Distress Event or such other period as </w:t>
      </w:r>
      <w:r>
        <w:t>the Customer</w:t>
      </w:r>
      <w:r w:rsidRPr="00671710">
        <w:t xml:space="preserve"> may permit and notify to the Supplier in writing); and</w:t>
      </w:r>
    </w:p>
    <w:p w14:paraId="357095C2" w14:textId="012346DB" w:rsidR="00CB309B" w:rsidRPr="00671710" w:rsidRDefault="00CB309B" w:rsidP="00CB309B">
      <w:pPr>
        <w:pStyle w:val="Level4"/>
      </w:pPr>
      <w:bookmarkStart w:id="17" w:name="_BPDCI_444"/>
      <w:bookmarkStart w:id="18" w:name="_Ref24278306"/>
      <w:r w:rsidRPr="00671710">
        <w:t xml:space="preserve">to the extent that it is legally permitted to do </w:t>
      </w:r>
      <w:r>
        <w:t xml:space="preserve">so and subject to Paragraph </w:t>
      </w:r>
      <w:r>
        <w:fldChar w:fldCharType="begin"/>
      </w:r>
      <w:r>
        <w:instrText xml:space="preserve"> REF _Ref24278199 \w \h  \* MERGEFORMAT </w:instrText>
      </w:r>
      <w:r>
        <w:fldChar w:fldCharType="separate"/>
      </w:r>
      <w:r w:rsidR="00FA6348">
        <w:t>5.8</w:t>
      </w:r>
      <w:r>
        <w:fldChar w:fldCharType="end"/>
      </w:r>
      <w:r>
        <w:t>,</w:t>
      </w:r>
      <w:r w:rsidRPr="00671710">
        <w:t xml:space="preserve"> </w:t>
      </w:r>
      <w:bookmarkEnd w:id="17"/>
      <w:r w:rsidRPr="00671710">
        <w:t xml:space="preserve">provide such information relating to the Supplier, </w:t>
      </w:r>
      <w:r>
        <w:t xml:space="preserve">any </w:t>
      </w:r>
      <w:r w:rsidRPr="00671710">
        <w:t>Key Sub-contractors and/or the Guarantor</w:t>
      </w:r>
      <w:r>
        <w:t xml:space="preserve"> (where relevant)</w:t>
      </w:r>
      <w:r w:rsidRPr="00671710">
        <w:t xml:space="preserve"> as </w:t>
      </w:r>
      <w:r>
        <w:t>the Customer</w:t>
      </w:r>
      <w:r w:rsidRPr="00671710">
        <w:t xml:space="preserve"> may reasonably require in order to understand the risk to the Services, which may include forecasts in relation to cash flow, orders and profits and details of financial measures being considered to mitigate the impact of the Financial Distress Event.</w:t>
      </w:r>
      <w:bookmarkEnd w:id="18"/>
      <w:r w:rsidRPr="00671710">
        <w:t xml:space="preserve">  </w:t>
      </w:r>
    </w:p>
    <w:p w14:paraId="3B2DF471" w14:textId="2EF1DEEE" w:rsidR="00CB309B" w:rsidRPr="00671710" w:rsidRDefault="00CB309B" w:rsidP="00CB309B">
      <w:pPr>
        <w:pStyle w:val="Level2"/>
      </w:pPr>
      <w:bookmarkStart w:id="19" w:name="_Ref24278734"/>
      <w:r>
        <w:t>The Customer</w:t>
      </w:r>
      <w:r w:rsidRPr="00671710">
        <w:t xml:space="preserve"> shall not withhold its approval of a draft Financial Distress Remediation</w:t>
      </w:r>
      <w:r>
        <w:t xml:space="preserve"> </w:t>
      </w:r>
      <w:r w:rsidR="00C83B1E">
        <w:t>Plan unreasonably.</w:t>
      </w:r>
      <w:r w:rsidR="00DC7339">
        <w:t xml:space="preserve"> </w:t>
      </w:r>
      <w:r w:rsidRPr="00671710">
        <w:t xml:space="preserve">If </w:t>
      </w:r>
      <w:r>
        <w:t>the Customer</w:t>
      </w:r>
      <w:r w:rsidRPr="00671710">
        <w:t xml:space="preserve"> does not approve the draft Financial Distress </w:t>
      </w:r>
      <w:r>
        <w:t xml:space="preserve">Remediation </w:t>
      </w:r>
      <w:r w:rsidRPr="00671710">
        <w:t xml:space="preserve">Plan, it shall inform the Supplier of its reasons and the Supplier shall take those reasons into account in </w:t>
      </w:r>
      <w:r w:rsidRPr="00671710">
        <w:lastRenderedPageBreak/>
        <w:t xml:space="preserve">the preparation of a further draft Financial Distress Remediation Plan, which shall be resubmitted to </w:t>
      </w:r>
      <w:r>
        <w:t>the Customer</w:t>
      </w:r>
      <w:r w:rsidRPr="00671710">
        <w:t xml:space="preserve"> within </w:t>
      </w:r>
      <w:r w:rsidRPr="00AD6F26">
        <w:t xml:space="preserve">five </w:t>
      </w:r>
      <w:r>
        <w:t>(</w:t>
      </w:r>
      <w:r w:rsidRPr="00AD6F26">
        <w:t>5</w:t>
      </w:r>
      <w:r>
        <w:t>)</w:t>
      </w:r>
      <w:r w:rsidRPr="00671710">
        <w:t xml:space="preserve"> Working Days of the rejection of the first draft. This process shall be repeated until the Financial Distress Remediation Plan is approved by </w:t>
      </w:r>
      <w:r>
        <w:t>the Customer</w:t>
      </w:r>
      <w:r w:rsidRPr="00671710">
        <w:t xml:space="preserve"> or referred to the Dispute Resolution Procedure</w:t>
      </w:r>
      <w:r>
        <w:t xml:space="preserve"> pursuant to </w:t>
      </w:r>
      <w:r w:rsidRPr="00671710">
        <w:t>Paragraph </w:t>
      </w:r>
      <w:r>
        <w:fldChar w:fldCharType="begin"/>
      </w:r>
      <w:r>
        <w:instrText xml:space="preserve"> REF _Ref24278220 \w \h  \* MERGEFORMAT </w:instrText>
      </w:r>
      <w:r>
        <w:fldChar w:fldCharType="separate"/>
      </w:r>
      <w:r w:rsidR="00FA6348">
        <w:t>5.5</w:t>
      </w:r>
      <w:r>
        <w:fldChar w:fldCharType="end"/>
      </w:r>
      <w:r w:rsidRPr="00671710">
        <w:t>.</w:t>
      </w:r>
      <w:bookmarkEnd w:id="19"/>
    </w:p>
    <w:p w14:paraId="6D075908" w14:textId="204AA9BF" w:rsidR="00CB309B" w:rsidRPr="00671710" w:rsidRDefault="00CB309B" w:rsidP="00CB309B">
      <w:pPr>
        <w:pStyle w:val="Level2"/>
      </w:pPr>
      <w:bookmarkStart w:id="20" w:name="_Ref24278220"/>
      <w:r w:rsidRPr="00671710">
        <w:t xml:space="preserve">If </w:t>
      </w:r>
      <w:r>
        <w:t>the Customer</w:t>
      </w:r>
      <w:r w:rsidRPr="00671710">
        <w:t xml:space="preserve"> considers that the draft Financial Distress Remediation Plan is insufficiently detailed to be properly evaluated, will take too long to complete or will not ensure the continued performance of the Supplier</w:t>
      </w:r>
      <w:r w:rsidR="00C83B1E">
        <w:t>'</w:t>
      </w:r>
      <w:r w:rsidRPr="00671710">
        <w:t xml:space="preserve">s obligations in accordance with the </w:t>
      </w:r>
      <w:r w:rsidR="00794537">
        <w:t xml:space="preserve">Framework </w:t>
      </w:r>
      <w:r w:rsidRPr="00671710">
        <w:t>Agreement</w:t>
      </w:r>
      <w:r w:rsidR="00794537">
        <w:t xml:space="preserve"> and the relevant Call-Off Contract</w:t>
      </w:r>
      <w:r w:rsidRPr="00671710">
        <w:t xml:space="preserve">, then it may either agree a further time period for the development and agreement of the Financial Distress Remediation Plan or escalate any issues with the draft Financial Distress </w:t>
      </w:r>
      <w:r>
        <w:t xml:space="preserve">Remediation </w:t>
      </w:r>
      <w:r w:rsidRPr="00671710">
        <w:t>Plan using the Dispute Resolution Procedure.</w:t>
      </w:r>
      <w:bookmarkEnd w:id="20"/>
    </w:p>
    <w:p w14:paraId="4DEF7AC5" w14:textId="1AFEEB37" w:rsidR="00CB309B" w:rsidRPr="00671710" w:rsidRDefault="00CB309B" w:rsidP="00CB309B">
      <w:pPr>
        <w:pStyle w:val="Level2"/>
      </w:pPr>
      <w:bookmarkStart w:id="21" w:name="_Ref24278135"/>
      <w:r w:rsidRPr="00671710">
        <w:t xml:space="preserve">Following approval of the Financial Distress Remediation Plan by </w:t>
      </w:r>
      <w:r>
        <w:t>the Customer</w:t>
      </w:r>
      <w:r w:rsidRPr="00671710">
        <w:t>, the Supplier shall:</w:t>
      </w:r>
      <w:bookmarkEnd w:id="21"/>
    </w:p>
    <w:p w14:paraId="7745C2F0" w14:textId="77777777" w:rsidR="00CB309B" w:rsidRPr="00671710" w:rsidRDefault="00CB309B" w:rsidP="00CB309B">
      <w:pPr>
        <w:pStyle w:val="Level3"/>
      </w:pPr>
      <w:r w:rsidRPr="00671710">
        <w:t>on a regular basis (which shall not be less than fortnightly):</w:t>
      </w:r>
    </w:p>
    <w:p w14:paraId="4A545631" w14:textId="67FA5D5A" w:rsidR="00CB309B" w:rsidRPr="00671710" w:rsidRDefault="00CB309B" w:rsidP="00CB309B">
      <w:pPr>
        <w:pStyle w:val="Level4"/>
      </w:pPr>
      <w:bookmarkStart w:id="22" w:name="_BPDCI_463"/>
      <w:bookmarkStart w:id="23" w:name="_Ref24278254"/>
      <w:r w:rsidRPr="00671710">
        <w:t xml:space="preserve">review </w:t>
      </w:r>
      <w:bookmarkStart w:id="24" w:name="_BPDCI_465"/>
      <w:bookmarkEnd w:id="22"/>
      <w:r w:rsidRPr="00671710">
        <w:t xml:space="preserve">and make any updates to </w:t>
      </w:r>
      <w:bookmarkStart w:id="25" w:name="_BPDCI_466"/>
      <w:bookmarkEnd w:id="24"/>
      <w:r w:rsidRPr="00671710">
        <w:t xml:space="preserve">the Financial Distress </w:t>
      </w:r>
      <w:bookmarkStart w:id="26" w:name="_BPDCI_467"/>
      <w:bookmarkEnd w:id="25"/>
      <w:r w:rsidRPr="00671710">
        <w:t xml:space="preserve">Remediation Plan as the Supplier may deem reasonably necessary and/or as may be reasonably requested by </w:t>
      </w:r>
      <w:r>
        <w:t>the Customer</w:t>
      </w:r>
      <w:r w:rsidRPr="00671710">
        <w:t xml:space="preserve">, so that the plan remains adequate, up to date and ensures </w:t>
      </w:r>
      <w:bookmarkStart w:id="27" w:name="_BPDCMT_468"/>
      <w:bookmarkEnd w:id="26"/>
      <w:r w:rsidRPr="00671710">
        <w:t xml:space="preserve">the continued performance and delivery of the Services in accordance with this </w:t>
      </w:r>
      <w:r w:rsidR="00794537">
        <w:t xml:space="preserve">Framework </w:t>
      </w:r>
      <w:r w:rsidRPr="00671710">
        <w:t>Agreement</w:t>
      </w:r>
      <w:r w:rsidR="00794537">
        <w:t xml:space="preserve"> and the applicable Call-Off Contract</w:t>
      </w:r>
      <w:r w:rsidRPr="00671710">
        <w:t xml:space="preserve">; </w:t>
      </w:r>
      <w:bookmarkStart w:id="28" w:name="_BPDCI_469"/>
      <w:bookmarkEnd w:id="27"/>
      <w:r w:rsidRPr="00671710">
        <w:t>and</w:t>
      </w:r>
      <w:bookmarkEnd w:id="23"/>
      <w:bookmarkEnd w:id="28"/>
    </w:p>
    <w:p w14:paraId="207B69F3" w14:textId="666C20D5" w:rsidR="00CB309B" w:rsidRPr="00671710" w:rsidRDefault="00CB309B" w:rsidP="00CB309B">
      <w:pPr>
        <w:pStyle w:val="Level4"/>
      </w:pPr>
      <w:bookmarkStart w:id="29" w:name="_BPDC_LN_INS_1526"/>
      <w:bookmarkStart w:id="30" w:name="_BPDC_PR_INS_1527"/>
      <w:bookmarkStart w:id="31" w:name="_BPDCI_470"/>
      <w:bookmarkEnd w:id="29"/>
      <w:bookmarkEnd w:id="30"/>
      <w:r w:rsidRPr="00671710">
        <w:t xml:space="preserve">provide a written report to </w:t>
      </w:r>
      <w:r>
        <w:t>the Customer</w:t>
      </w:r>
      <w:r w:rsidRPr="00671710">
        <w:t xml:space="preserve"> setting out its progress against the Financial Distress Remediation Plan, the reasons for any changes made to the Financial Distress Remediation Plan by the Supplier and/or the reasons why the Supplier may have decided not to make any changes;</w:t>
      </w:r>
      <w:bookmarkEnd w:id="31"/>
    </w:p>
    <w:p w14:paraId="399C4214" w14:textId="0EC1D7F5" w:rsidR="00CB309B" w:rsidRPr="00671710" w:rsidRDefault="00CB309B" w:rsidP="00CB309B">
      <w:pPr>
        <w:pStyle w:val="Level3"/>
      </w:pPr>
      <w:r w:rsidRPr="00671710">
        <w:t>where updates are made to the Financial Distress Remediation Plan in accordance with Paragraph</w:t>
      </w:r>
      <w:r>
        <w:t xml:space="preserve"> </w:t>
      </w:r>
      <w:r>
        <w:fldChar w:fldCharType="begin"/>
      </w:r>
      <w:r>
        <w:instrText xml:space="preserve"> REF _Ref24278254 \w \h  \* MERGEFORMAT </w:instrText>
      </w:r>
      <w:r>
        <w:fldChar w:fldCharType="separate"/>
      </w:r>
      <w:r w:rsidR="00FA6348">
        <w:t>5.6.1(a)</w:t>
      </w:r>
      <w:r>
        <w:fldChar w:fldCharType="end"/>
      </w:r>
      <w:r w:rsidRPr="00671710">
        <w:t xml:space="preserve">, submit an updated Financial Distress Remediation Plan to </w:t>
      </w:r>
      <w:r>
        <w:t>the Customer</w:t>
      </w:r>
      <w:r w:rsidRPr="00671710">
        <w:t xml:space="preserve"> for its approval, and the provisions of Paragraphs</w:t>
      </w:r>
      <w:r>
        <w:t xml:space="preserve"> </w:t>
      </w:r>
      <w:r>
        <w:fldChar w:fldCharType="begin"/>
      </w:r>
      <w:r>
        <w:instrText xml:space="preserve"> REF _Ref24278734 \w \h  \* MERGEFORMAT </w:instrText>
      </w:r>
      <w:r>
        <w:fldChar w:fldCharType="separate"/>
      </w:r>
      <w:r w:rsidR="00FA6348">
        <w:t>5.4</w:t>
      </w:r>
      <w:r>
        <w:fldChar w:fldCharType="end"/>
      </w:r>
      <w:r>
        <w:t xml:space="preserve"> and </w:t>
      </w:r>
      <w:r>
        <w:fldChar w:fldCharType="begin"/>
      </w:r>
      <w:r>
        <w:instrText xml:space="preserve"> REF _Ref24278220 \r \h  \* MERGEFORMAT </w:instrText>
      </w:r>
      <w:r>
        <w:fldChar w:fldCharType="separate"/>
      </w:r>
      <w:r w:rsidR="00FA6348">
        <w:t>5.5</w:t>
      </w:r>
      <w:r>
        <w:fldChar w:fldCharType="end"/>
      </w:r>
      <w:r>
        <w:t xml:space="preserve"> </w:t>
      </w:r>
      <w:r w:rsidRPr="00671710">
        <w:t>shall apply to the review and approval process for the updated Financial Distress Remediation Plan; and</w:t>
      </w:r>
    </w:p>
    <w:p w14:paraId="3A9FD8F3" w14:textId="77777777" w:rsidR="00CB309B" w:rsidRPr="00671710" w:rsidRDefault="00CB309B" w:rsidP="00CB309B">
      <w:pPr>
        <w:pStyle w:val="Level3"/>
      </w:pPr>
      <w:bookmarkStart w:id="32" w:name="_Ref24279510"/>
      <w:proofErr w:type="gramStart"/>
      <w:r w:rsidRPr="00671710">
        <w:t>comply</w:t>
      </w:r>
      <w:proofErr w:type="gramEnd"/>
      <w:r w:rsidRPr="00671710">
        <w:t xml:space="preserve"> with the Financial Distress Remediation Plan (including any updated Financial Distress Remediation Plan)</w:t>
      </w:r>
      <w:r>
        <w:t xml:space="preserve"> </w:t>
      </w:r>
      <w:r w:rsidRPr="00671710">
        <w:t>and ensure that it achieves the financial and performance requirements set out in the Financial Distress Remediation Plan.</w:t>
      </w:r>
      <w:bookmarkEnd w:id="32"/>
    </w:p>
    <w:p w14:paraId="2152BA65" w14:textId="56AC9DBD" w:rsidR="00CB309B" w:rsidRPr="00671710" w:rsidRDefault="00CB309B" w:rsidP="00CB309B">
      <w:pPr>
        <w:pStyle w:val="Level2"/>
      </w:pPr>
      <w:bookmarkStart w:id="33" w:name="_Ref24278338"/>
      <w:r w:rsidRPr="00671710">
        <w:t>Where the Supplier reasonably believes that the relevant Financial Distress Event under Paragraph</w:t>
      </w:r>
      <w:r>
        <w:t xml:space="preserve"> </w:t>
      </w:r>
      <w:r w:rsidR="005049F3">
        <w:fldChar w:fldCharType="begin"/>
      </w:r>
      <w:r w:rsidR="005049F3">
        <w:instrText xml:space="preserve"> REF _Ref39673922 \r \h </w:instrText>
      </w:r>
      <w:r w:rsidR="005049F3">
        <w:fldChar w:fldCharType="separate"/>
      </w:r>
      <w:r w:rsidR="00FA6348">
        <w:t>4.1</w:t>
      </w:r>
      <w:r w:rsidR="005049F3">
        <w:fldChar w:fldCharType="end"/>
      </w:r>
      <w:r>
        <w:t xml:space="preserve"> </w:t>
      </w:r>
      <w:r w:rsidRPr="00671710">
        <w:t xml:space="preserve">(or the circumstance or matter which has caused or otherwise led to it) no longer exists, it shall notify </w:t>
      </w:r>
      <w:r>
        <w:t>the Customer</w:t>
      </w:r>
      <w:r w:rsidRPr="00671710">
        <w:t xml:space="preserve"> and the Parties may agree that the Supplier shall be relieved of its obligations under Paragraph </w:t>
      </w:r>
      <w:r>
        <w:fldChar w:fldCharType="begin"/>
      </w:r>
      <w:r>
        <w:instrText xml:space="preserve"> REF _Ref24278135 \r \h  \* MERGEFORMAT </w:instrText>
      </w:r>
      <w:r>
        <w:fldChar w:fldCharType="separate"/>
      </w:r>
      <w:r w:rsidR="00FA6348">
        <w:t>5.6</w:t>
      </w:r>
      <w:r>
        <w:fldChar w:fldCharType="end"/>
      </w:r>
      <w:r w:rsidRPr="00671710">
        <w:t>.</w:t>
      </w:r>
      <w:bookmarkEnd w:id="33"/>
    </w:p>
    <w:p w14:paraId="7DC57F8B" w14:textId="1002195F" w:rsidR="00CB309B" w:rsidRPr="00671710" w:rsidRDefault="00CB309B" w:rsidP="00CB309B">
      <w:pPr>
        <w:pStyle w:val="Level2"/>
      </w:pPr>
      <w:bookmarkStart w:id="34" w:name="_Ref24278199"/>
      <w:r w:rsidRPr="00671710">
        <w:t xml:space="preserve">The Supplier shall use reasonable endeavours to put in place the necessary measures to ensure that the information specified at </w:t>
      </w:r>
      <w:r w:rsidR="00910B9B">
        <w:t>P</w:t>
      </w:r>
      <w:r w:rsidRPr="00671710">
        <w:t xml:space="preserve">aragraph </w:t>
      </w:r>
      <w:r>
        <w:fldChar w:fldCharType="begin"/>
      </w:r>
      <w:r>
        <w:instrText xml:space="preserve"> REF _Ref24278306 \w \h  \* MERGEFORMAT </w:instrText>
      </w:r>
      <w:r>
        <w:fldChar w:fldCharType="separate"/>
      </w:r>
      <w:r w:rsidR="00FA6348">
        <w:t>5.3.2(b)</w:t>
      </w:r>
      <w:r>
        <w:fldChar w:fldCharType="end"/>
      </w:r>
      <w:r w:rsidRPr="00671710">
        <w:t xml:space="preserve"> is available when required and on request from </w:t>
      </w:r>
      <w:r>
        <w:t>the Customer</w:t>
      </w:r>
      <w:r w:rsidRPr="00671710">
        <w:t xml:space="preserve"> and within reasonable timescales.</w:t>
      </w:r>
      <w:r w:rsidR="00DC7339">
        <w:t xml:space="preserve"> </w:t>
      </w:r>
      <w:r w:rsidRPr="00671710">
        <w:t>Such measures may include:</w:t>
      </w:r>
      <w:bookmarkEnd w:id="34"/>
    </w:p>
    <w:p w14:paraId="1CBAE2F2" w14:textId="31A87A78" w:rsidR="00CB309B" w:rsidRPr="00671710" w:rsidRDefault="00CB309B" w:rsidP="00CB309B">
      <w:pPr>
        <w:pStyle w:val="Level3"/>
      </w:pPr>
      <w:bookmarkStart w:id="35" w:name="_BPDCI_484"/>
      <w:r w:rsidRPr="00671710">
        <w:t xml:space="preserve">obtaining in advance written authority from </w:t>
      </w:r>
      <w:r>
        <w:t xml:space="preserve">any </w:t>
      </w:r>
      <w:r w:rsidRPr="00671710">
        <w:t xml:space="preserve">Key Sub-contractors, </w:t>
      </w:r>
      <w:r>
        <w:t xml:space="preserve">and/or any </w:t>
      </w:r>
      <w:r w:rsidRPr="00671710">
        <w:t xml:space="preserve">Guarantor authorising the disclosure of the information to </w:t>
      </w:r>
      <w:r>
        <w:t>the Customer</w:t>
      </w:r>
      <w:r w:rsidRPr="00671710">
        <w:t xml:space="preserve"> and/or entering into confidentiality agreements which permit disclosure;</w:t>
      </w:r>
      <w:bookmarkEnd w:id="35"/>
    </w:p>
    <w:p w14:paraId="48A12386" w14:textId="50445B96" w:rsidR="00CB309B" w:rsidRPr="00671710" w:rsidRDefault="00CB309B" w:rsidP="00CB309B">
      <w:pPr>
        <w:pStyle w:val="Level3"/>
      </w:pPr>
      <w:bookmarkStart w:id="36" w:name="_BPDC_LN_INS_1518"/>
      <w:bookmarkStart w:id="37" w:name="_BPDC_PR_INS_1519"/>
      <w:bookmarkStart w:id="38" w:name="_BPDCI_485"/>
      <w:bookmarkEnd w:id="36"/>
      <w:bookmarkEnd w:id="37"/>
      <w:r w:rsidRPr="00671710">
        <w:t xml:space="preserve">agreeing in advance with </w:t>
      </w:r>
      <w:r>
        <w:t>the Customer</w:t>
      </w:r>
      <w:r w:rsidRPr="00671710">
        <w:t xml:space="preserve">, </w:t>
      </w:r>
      <w:r>
        <w:t xml:space="preserve">any </w:t>
      </w:r>
      <w:r w:rsidRPr="00671710">
        <w:t xml:space="preserve">Key Sub-contractors, </w:t>
      </w:r>
      <w:r>
        <w:t xml:space="preserve">and/or </w:t>
      </w:r>
      <w:r w:rsidRPr="00671710">
        <w:t>the Guarantor</w:t>
      </w:r>
      <w:r>
        <w:t xml:space="preserve"> (if applicable)</w:t>
      </w:r>
      <w:r w:rsidRPr="00671710">
        <w:t xml:space="preserve"> a form of confidentiality agreement to be entered by the relevant parties to enable the disclosure of the information to </w:t>
      </w:r>
      <w:r>
        <w:t>the Customer</w:t>
      </w:r>
      <w:r w:rsidRPr="00671710">
        <w:t>;</w:t>
      </w:r>
      <w:bookmarkEnd w:id="38"/>
    </w:p>
    <w:p w14:paraId="68DC9BB3" w14:textId="1AB6DDB9" w:rsidR="00CB309B" w:rsidRPr="00671710" w:rsidRDefault="00CB309B" w:rsidP="00CB309B">
      <w:pPr>
        <w:pStyle w:val="Level3"/>
      </w:pPr>
      <w:bookmarkStart w:id="39" w:name="_BPDC_LN_INS_1516"/>
      <w:bookmarkStart w:id="40" w:name="_BPDC_PR_INS_1517"/>
      <w:bookmarkStart w:id="41" w:name="_BPDCI_486"/>
      <w:bookmarkEnd w:id="39"/>
      <w:bookmarkEnd w:id="40"/>
      <w:r w:rsidRPr="00671710">
        <w:t xml:space="preserve">putting in place any other reasonable arrangements to enable the information to be lawfully disclosed to </w:t>
      </w:r>
      <w:r>
        <w:t>the Customer</w:t>
      </w:r>
      <w:r w:rsidRPr="00671710">
        <w:t xml:space="preserve"> (which may include making price sensitive information available to Authority nominated personnel through confidential arrangements, subject to their consent); and</w:t>
      </w:r>
      <w:bookmarkEnd w:id="41"/>
    </w:p>
    <w:p w14:paraId="724E21ED" w14:textId="77777777" w:rsidR="00CB309B" w:rsidRDefault="00CB309B" w:rsidP="00CB309B">
      <w:pPr>
        <w:pStyle w:val="Level3"/>
      </w:pPr>
      <w:bookmarkStart w:id="42" w:name="_BPDC_LN_INS_1514"/>
      <w:bookmarkStart w:id="43" w:name="_BPDC_PR_INS_1515"/>
      <w:bookmarkStart w:id="44" w:name="_BPDCI_487"/>
      <w:bookmarkEnd w:id="42"/>
      <w:bookmarkEnd w:id="43"/>
      <w:proofErr w:type="gramStart"/>
      <w:r w:rsidRPr="00671710">
        <w:lastRenderedPageBreak/>
        <w:t>disclosing</w:t>
      </w:r>
      <w:proofErr w:type="gramEnd"/>
      <w:r w:rsidRPr="00671710">
        <w:t xml:space="preserve"> the information to the fullest extent that it is lawfully entitled to do so, including through the use of redaction, anonymization and any other techniques to permit disclosure of the information without breaching a duty of confidentiality.</w:t>
      </w:r>
      <w:bookmarkEnd w:id="44"/>
    </w:p>
    <w:p w14:paraId="7CF88B68" w14:textId="77777777" w:rsidR="00BE7429" w:rsidRPr="005F34A1" w:rsidRDefault="00F5169D" w:rsidP="00F00A78">
      <w:pPr>
        <w:pStyle w:val="Level1"/>
        <w:keepNext/>
      </w:pPr>
      <w:bookmarkStart w:id="45" w:name="_Ref40288735"/>
      <w:r w:rsidRPr="00F00A78">
        <w:rPr>
          <w:rStyle w:val="Level1asHeadingtext"/>
        </w:rPr>
        <w:t>Financial Indicators</w:t>
      </w:r>
      <w:bookmarkEnd w:id="14"/>
      <w:bookmarkEnd w:id="45"/>
    </w:p>
    <w:p w14:paraId="71A7D562" w14:textId="0062C6C8" w:rsidR="00A352CC" w:rsidRDefault="00CB26D8" w:rsidP="00754BBA">
      <w:pPr>
        <w:pStyle w:val="Level2"/>
      </w:pPr>
      <w:bookmarkStart w:id="46" w:name="_Ref42018722"/>
      <w:bookmarkStart w:id="47" w:name="_Ref70000000"/>
      <w:r w:rsidRPr="00D64141">
        <w:t xml:space="preserve">Subject to the calculation methodology set out at </w:t>
      </w:r>
      <w:r w:rsidR="000437A5">
        <w:t>Appendix 2</w:t>
      </w:r>
      <w:r w:rsidRPr="00D64141">
        <w:t xml:space="preserve"> of this Schedule, the Financial Indicators and the corresponding calculations and thresholds used to determine whether a Financial Distress Event has occurred in respect of those</w:t>
      </w:r>
      <w:r w:rsidR="00013172">
        <w:t xml:space="preserve"> </w:t>
      </w:r>
      <w:r w:rsidRPr="00D64141">
        <w:t xml:space="preserve">Financial Indicators, shall be as </w:t>
      </w:r>
      <w:r w:rsidR="00794537">
        <w:t>follows:</w:t>
      </w:r>
      <w:bookmarkEnd w:id="46"/>
      <w:r w:rsidR="00C52468">
        <w:t xml:space="preserve"> </w:t>
      </w:r>
      <w:bookmarkStart w:id="48" w:name="_Ref40288737"/>
    </w:p>
    <w:tbl>
      <w:tblPr>
        <w:tblpPr w:leftFromText="181" w:rightFromText="181" w:vertAnchor="text"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754"/>
        <w:gridCol w:w="1984"/>
        <w:gridCol w:w="2977"/>
      </w:tblGrid>
      <w:tr w:rsidR="00F00A78" w:rsidRPr="00671710" w14:paraId="65655FE9" w14:textId="77777777" w:rsidTr="00754BBA">
        <w:tc>
          <w:tcPr>
            <w:tcW w:w="2465" w:type="dxa"/>
            <w:shd w:val="clear" w:color="auto" w:fill="BFBFBF" w:themeFill="background1" w:themeFillShade="BF"/>
            <w:vAlign w:val="center"/>
          </w:tcPr>
          <w:bookmarkEnd w:id="48"/>
          <w:p w14:paraId="64FD652B" w14:textId="77777777" w:rsidR="00A352CC" w:rsidRPr="00671710" w:rsidRDefault="00A352CC" w:rsidP="00F00A78">
            <w:pPr>
              <w:keepNext/>
              <w:keepLines/>
              <w:jc w:val="left"/>
              <w:outlineLvl w:val="2"/>
              <w:rPr>
                <w:b/>
              </w:rPr>
            </w:pPr>
            <w:r w:rsidRPr="00671710">
              <w:rPr>
                <w:b/>
              </w:rPr>
              <w:t>Financial Indicator</w:t>
            </w:r>
          </w:p>
        </w:tc>
        <w:tc>
          <w:tcPr>
            <w:tcW w:w="1754" w:type="dxa"/>
            <w:shd w:val="clear" w:color="auto" w:fill="BFBFBF" w:themeFill="background1" w:themeFillShade="BF"/>
            <w:vAlign w:val="center"/>
          </w:tcPr>
          <w:p w14:paraId="681F0F1D" w14:textId="77777777" w:rsidR="00A352CC" w:rsidRPr="00671710" w:rsidRDefault="00A352CC" w:rsidP="00F00A78">
            <w:pPr>
              <w:keepNext/>
              <w:keepLines/>
              <w:jc w:val="center"/>
              <w:outlineLvl w:val="2"/>
              <w:rPr>
                <w:b/>
              </w:rPr>
            </w:pPr>
            <w:r w:rsidRPr="00671710">
              <w:rPr>
                <w:b/>
              </w:rPr>
              <w:t xml:space="preserve">Calculation </w:t>
            </w:r>
            <w:r w:rsidRPr="00671710">
              <w:rPr>
                <w:b/>
                <w:vertAlign w:val="superscript"/>
              </w:rPr>
              <w:t>1</w:t>
            </w:r>
          </w:p>
        </w:tc>
        <w:tc>
          <w:tcPr>
            <w:tcW w:w="1984" w:type="dxa"/>
            <w:shd w:val="clear" w:color="auto" w:fill="BFBFBF" w:themeFill="background1" w:themeFillShade="BF"/>
            <w:vAlign w:val="center"/>
          </w:tcPr>
          <w:p w14:paraId="0A93CC57" w14:textId="77777777" w:rsidR="00A352CC" w:rsidRPr="00671710" w:rsidRDefault="00A352CC" w:rsidP="00F00A78">
            <w:pPr>
              <w:keepNext/>
              <w:keepLines/>
              <w:jc w:val="center"/>
              <w:outlineLvl w:val="2"/>
              <w:rPr>
                <w:b/>
              </w:rPr>
            </w:pPr>
            <w:r w:rsidRPr="00671710">
              <w:rPr>
                <w:b/>
              </w:rPr>
              <w:t>Financial</w:t>
            </w:r>
          </w:p>
          <w:p w14:paraId="6312E24C" w14:textId="77777777" w:rsidR="00A352CC" w:rsidRPr="00671710" w:rsidRDefault="00A352CC" w:rsidP="00F00A78">
            <w:pPr>
              <w:keepNext/>
              <w:keepLines/>
              <w:jc w:val="center"/>
              <w:outlineLvl w:val="2"/>
              <w:rPr>
                <w:b/>
              </w:rPr>
            </w:pPr>
            <w:r w:rsidRPr="00671710">
              <w:rPr>
                <w:b/>
              </w:rPr>
              <w:t>Target Threshold</w:t>
            </w:r>
            <w:r>
              <w:rPr>
                <w:b/>
              </w:rPr>
              <w:t xml:space="preserve"> </w:t>
            </w:r>
          </w:p>
        </w:tc>
        <w:tc>
          <w:tcPr>
            <w:tcW w:w="2977" w:type="dxa"/>
            <w:shd w:val="clear" w:color="auto" w:fill="BFBFBF" w:themeFill="background1" w:themeFillShade="BF"/>
            <w:vAlign w:val="center"/>
          </w:tcPr>
          <w:p w14:paraId="66805C64" w14:textId="372C3D38" w:rsidR="00A352CC" w:rsidRPr="00671710" w:rsidRDefault="00A352CC" w:rsidP="004A0916">
            <w:pPr>
              <w:keepNext/>
              <w:keepLines/>
              <w:jc w:val="center"/>
              <w:outlineLvl w:val="2"/>
              <w:rPr>
                <w:b/>
              </w:rPr>
            </w:pPr>
            <w:r w:rsidRPr="00671710">
              <w:rPr>
                <w:b/>
              </w:rPr>
              <w:t>Moni</w:t>
            </w:r>
            <w:r>
              <w:rPr>
                <w:b/>
              </w:rPr>
              <w:t xml:space="preserve">toring and Reporting Frequency </w:t>
            </w:r>
            <w:r w:rsidRPr="00671710">
              <w:rPr>
                <w:b/>
              </w:rPr>
              <w:t>if different from the default position set out in Paragraph 2.</w:t>
            </w:r>
            <w:r w:rsidR="004A0916">
              <w:rPr>
                <w:b/>
              </w:rPr>
              <w:t>4.</w:t>
            </w:r>
            <w:r w:rsidR="008761FA">
              <w:rPr>
                <w:b/>
              </w:rPr>
              <w:t>3</w:t>
            </w:r>
          </w:p>
        </w:tc>
      </w:tr>
      <w:tr w:rsidR="00F00A78" w:rsidRPr="00671710" w14:paraId="70D94C13" w14:textId="77777777" w:rsidTr="00754BBA">
        <w:tc>
          <w:tcPr>
            <w:tcW w:w="2465" w:type="dxa"/>
            <w:shd w:val="clear" w:color="auto" w:fill="D9EEFF"/>
            <w:vAlign w:val="center"/>
          </w:tcPr>
          <w:p w14:paraId="292C13B4" w14:textId="01747004" w:rsidR="00A352CC" w:rsidRPr="00715083" w:rsidRDefault="00A352CC" w:rsidP="00F00A78">
            <w:pPr>
              <w:keepNext/>
              <w:keepLines/>
              <w:spacing w:before="60" w:after="60"/>
              <w:rPr>
                <w:b/>
              </w:rPr>
            </w:pPr>
            <w:r>
              <w:rPr>
                <w:b/>
              </w:rPr>
              <w:t xml:space="preserve">1. </w:t>
            </w:r>
            <w:r w:rsidRPr="00715083">
              <w:rPr>
                <w:b/>
              </w:rPr>
              <w:t>Turnover Ratio</w:t>
            </w:r>
          </w:p>
        </w:tc>
        <w:tc>
          <w:tcPr>
            <w:tcW w:w="1754" w:type="dxa"/>
            <w:shd w:val="clear" w:color="auto" w:fill="D9EEFF"/>
            <w:vAlign w:val="center"/>
          </w:tcPr>
          <w:p w14:paraId="1AFCB2AA" w14:textId="77777777" w:rsidR="00A352CC" w:rsidRPr="00807294" w:rsidRDefault="00A352CC" w:rsidP="00F00A78">
            <w:pPr>
              <w:keepNext/>
              <w:keepLines/>
              <w:spacing w:before="60" w:after="60"/>
            </w:pPr>
            <w:r w:rsidRPr="00807294">
              <w:t xml:space="preserve">Turnover </w:t>
            </w:r>
            <w:r>
              <w:t>as a ratio of</w:t>
            </w:r>
            <w:r w:rsidRPr="00807294">
              <w:t xml:space="preserve"> the annualised </w:t>
            </w:r>
            <w:r>
              <w:t>c</w:t>
            </w:r>
            <w:r w:rsidRPr="00807294">
              <w:t xml:space="preserve">ontract value </w:t>
            </w:r>
          </w:p>
        </w:tc>
        <w:tc>
          <w:tcPr>
            <w:tcW w:w="1984" w:type="dxa"/>
            <w:shd w:val="clear" w:color="auto" w:fill="D9EEFF"/>
            <w:vAlign w:val="center"/>
          </w:tcPr>
          <w:p w14:paraId="6B5EE82A" w14:textId="77777777" w:rsidR="00A352CC" w:rsidRDefault="00A352CC" w:rsidP="00FD6E4B">
            <w:pPr>
              <w:keepNext/>
              <w:spacing w:before="60" w:after="60"/>
              <w:jc w:val="left"/>
            </w:pPr>
            <w:r w:rsidRPr="00807294">
              <w:rPr>
                <w:b/>
                <w:color w:val="FF0000"/>
              </w:rPr>
              <w:t>Red</w:t>
            </w:r>
            <w:r w:rsidRPr="00807294">
              <w:t xml:space="preserve"> &lt;= </w:t>
            </w:r>
            <w:r>
              <w:t>1.5</w:t>
            </w:r>
            <w:r w:rsidRPr="00807294">
              <w:t xml:space="preserve"> times of the annualised contract value </w:t>
            </w:r>
          </w:p>
          <w:p w14:paraId="32FD8D3E" w14:textId="13DEA91D" w:rsidR="00A352CC" w:rsidRPr="00E679BD" w:rsidRDefault="00A352CC" w:rsidP="00FD6E4B">
            <w:pPr>
              <w:keepNext/>
              <w:spacing w:before="60" w:after="60"/>
              <w:jc w:val="left"/>
              <w:rPr>
                <w:b/>
                <w:color w:val="FF0000"/>
              </w:rPr>
            </w:pPr>
            <w:r w:rsidRPr="00317274">
              <w:rPr>
                <w:b/>
                <w:color w:val="E36C0A" w:themeColor="accent6" w:themeShade="BF"/>
              </w:rPr>
              <w:t xml:space="preserve">Amber </w:t>
            </w:r>
            <w:r>
              <w:rPr>
                <w:b/>
              </w:rPr>
              <w:t xml:space="preserve">1.6 – 1.9 times of the annualised </w:t>
            </w:r>
            <w:r w:rsidR="005032E2">
              <w:rPr>
                <w:b/>
              </w:rPr>
              <w:t>contract value</w:t>
            </w:r>
          </w:p>
          <w:p w14:paraId="44205246" w14:textId="77777777" w:rsidR="00A352CC" w:rsidRPr="00671710" w:rsidRDefault="00A352CC" w:rsidP="00FD6E4B">
            <w:pPr>
              <w:keepNext/>
              <w:keepLines/>
              <w:jc w:val="left"/>
              <w:outlineLvl w:val="2"/>
            </w:pPr>
            <w:r w:rsidRPr="00807294">
              <w:rPr>
                <w:b/>
                <w:color w:val="00B050"/>
              </w:rPr>
              <w:t>Green</w:t>
            </w:r>
            <w:r w:rsidRPr="00807294">
              <w:t xml:space="preserve"> &gt;</w:t>
            </w:r>
            <w:r>
              <w:t>2</w:t>
            </w:r>
            <w:r w:rsidRPr="00807294">
              <w:t xml:space="preserve"> times of the annualised contract value</w:t>
            </w:r>
          </w:p>
        </w:tc>
        <w:tc>
          <w:tcPr>
            <w:tcW w:w="2977" w:type="dxa"/>
            <w:shd w:val="clear" w:color="auto" w:fill="D9EEFF"/>
            <w:vAlign w:val="center"/>
          </w:tcPr>
          <w:p w14:paraId="27011D99" w14:textId="77777777" w:rsidR="00A352CC" w:rsidRPr="00671710" w:rsidRDefault="00A352CC" w:rsidP="00F00A78">
            <w:pPr>
              <w:keepNext/>
              <w:keepLines/>
              <w:jc w:val="center"/>
              <w:outlineLvl w:val="2"/>
            </w:pPr>
            <w:r w:rsidRPr="00671710">
              <w:t>Tested and reported</w:t>
            </w:r>
            <w:r>
              <w:t xml:space="preserve"> </w:t>
            </w:r>
            <w:r w:rsidRPr="00671710">
              <w:t>yearly in arrears withi</w:t>
            </w:r>
            <w:r>
              <w:t>n 90 days of each year end</w:t>
            </w:r>
            <w:r w:rsidRPr="00671710">
              <w:t xml:space="preserve"> based upon figures for the </w:t>
            </w:r>
            <w:r>
              <w:t>twelve (</w:t>
            </w:r>
            <w:r w:rsidRPr="00671710">
              <w:t>12</w:t>
            </w:r>
            <w:r>
              <w:t>)</w:t>
            </w:r>
            <w:r w:rsidRPr="00671710">
              <w:t xml:space="preserve"> months ending on the relevant year end</w:t>
            </w:r>
          </w:p>
        </w:tc>
      </w:tr>
      <w:tr w:rsidR="00F00A78" w:rsidRPr="00671710" w:rsidDel="005414AE" w14:paraId="37FE6463" w14:textId="77777777" w:rsidTr="00754BBA">
        <w:tc>
          <w:tcPr>
            <w:tcW w:w="2465" w:type="dxa"/>
            <w:shd w:val="clear" w:color="auto" w:fill="D9EEFF"/>
            <w:vAlign w:val="center"/>
          </w:tcPr>
          <w:p w14:paraId="7D1D69F2" w14:textId="09705D10" w:rsidR="00A352CC" w:rsidRPr="00671710" w:rsidRDefault="00F00A78" w:rsidP="00F00A78">
            <w:pPr>
              <w:keepNext/>
              <w:keepLines/>
              <w:outlineLvl w:val="2"/>
              <w:rPr>
                <w:b/>
              </w:rPr>
            </w:pPr>
            <w:bookmarkStart w:id="49" w:name="_BPDCI_495"/>
            <w:r>
              <w:rPr>
                <w:b/>
              </w:rPr>
              <w:t>2</w:t>
            </w:r>
            <w:r w:rsidR="00A352CC">
              <w:rPr>
                <w:b/>
              </w:rPr>
              <w:t xml:space="preserve">. </w:t>
            </w:r>
            <w:r w:rsidR="00A352CC" w:rsidRPr="00671710">
              <w:rPr>
                <w:b/>
              </w:rPr>
              <w:t>Operating Margin</w:t>
            </w:r>
          </w:p>
          <w:bookmarkEnd w:id="49"/>
          <w:p w14:paraId="6C76763A" w14:textId="77777777" w:rsidR="00A352CC" w:rsidRPr="00671710" w:rsidRDefault="00A352CC" w:rsidP="00F00A78">
            <w:pPr>
              <w:keepNext/>
              <w:keepLines/>
              <w:rPr>
                <w:b/>
              </w:rPr>
            </w:pPr>
            <w:r>
              <w:rPr>
                <w:b/>
              </w:rPr>
              <w:t xml:space="preserve"> </w:t>
            </w:r>
          </w:p>
        </w:tc>
        <w:tc>
          <w:tcPr>
            <w:tcW w:w="1754" w:type="dxa"/>
            <w:shd w:val="clear" w:color="auto" w:fill="D9EEFF"/>
            <w:vAlign w:val="center"/>
          </w:tcPr>
          <w:p w14:paraId="17A27F17" w14:textId="77777777" w:rsidR="00A352CC" w:rsidRPr="00F03806" w:rsidRDefault="00A352CC" w:rsidP="00F00A78">
            <w:pPr>
              <w:keepNext/>
              <w:keepLines/>
              <w:jc w:val="center"/>
              <w:outlineLvl w:val="2"/>
            </w:pPr>
            <w:bookmarkStart w:id="50" w:name="_BPDCI_496"/>
            <w:r w:rsidRPr="00F03806">
              <w:t>Operating Margin = Operating Profit / Revenue</w:t>
            </w:r>
            <w:bookmarkEnd w:id="50"/>
          </w:p>
        </w:tc>
        <w:tc>
          <w:tcPr>
            <w:tcW w:w="1984" w:type="dxa"/>
            <w:shd w:val="clear" w:color="auto" w:fill="D9EEFF"/>
            <w:vAlign w:val="center"/>
          </w:tcPr>
          <w:p w14:paraId="4FF25E1C" w14:textId="77777777" w:rsidR="00A352CC" w:rsidRDefault="00A352CC" w:rsidP="00FD6E4B">
            <w:pPr>
              <w:keepNext/>
              <w:keepLines/>
              <w:jc w:val="left"/>
              <w:outlineLvl w:val="2"/>
            </w:pPr>
            <w:bookmarkStart w:id="51" w:name="_BPDCI_497"/>
            <w:r w:rsidRPr="00807294">
              <w:rPr>
                <w:b/>
                <w:color w:val="FF0000"/>
              </w:rPr>
              <w:t>Red</w:t>
            </w:r>
            <w:r w:rsidRPr="00807294">
              <w:t xml:space="preserve"> &lt;=</w:t>
            </w:r>
            <w:r>
              <w:t xml:space="preserve"> 5.99%</w:t>
            </w:r>
          </w:p>
          <w:p w14:paraId="20114053" w14:textId="77777777" w:rsidR="00A352CC" w:rsidRDefault="00A352CC" w:rsidP="00FD6E4B">
            <w:pPr>
              <w:keepNext/>
              <w:keepLines/>
              <w:jc w:val="left"/>
              <w:outlineLvl w:val="2"/>
            </w:pPr>
            <w:r w:rsidRPr="00F03806">
              <w:rPr>
                <w:b/>
              </w:rPr>
              <w:t xml:space="preserve">Amber </w:t>
            </w:r>
            <w:r>
              <w:t>&gt; 6% to 9.99%</w:t>
            </w:r>
          </w:p>
          <w:p w14:paraId="50DD760F" w14:textId="74F689DF" w:rsidR="00A352CC" w:rsidRPr="00671710" w:rsidRDefault="00A352CC" w:rsidP="00FD6E4B">
            <w:pPr>
              <w:keepNext/>
              <w:keepLines/>
              <w:jc w:val="left"/>
              <w:outlineLvl w:val="2"/>
            </w:pPr>
            <w:r w:rsidRPr="00807294">
              <w:rPr>
                <w:b/>
                <w:color w:val="00B050"/>
              </w:rPr>
              <w:t>Green</w:t>
            </w:r>
            <w:r>
              <w:t xml:space="preserve"> &gt; 10%</w:t>
            </w:r>
            <w:bookmarkEnd w:id="51"/>
          </w:p>
        </w:tc>
        <w:tc>
          <w:tcPr>
            <w:tcW w:w="2977" w:type="dxa"/>
            <w:shd w:val="clear" w:color="auto" w:fill="D9EEFF"/>
            <w:vAlign w:val="center"/>
          </w:tcPr>
          <w:p w14:paraId="5B070958" w14:textId="77777777" w:rsidR="00A352CC" w:rsidRPr="00671710" w:rsidDel="005414AE" w:rsidRDefault="00A352CC" w:rsidP="00F00A78">
            <w:pPr>
              <w:keepNext/>
              <w:keepLines/>
              <w:jc w:val="center"/>
              <w:outlineLvl w:val="2"/>
            </w:pPr>
            <w:bookmarkStart w:id="52" w:name="_BPDCI_498"/>
            <w:r w:rsidRPr="00671710">
              <w:t>Tested and reported half yearly in arrears withi</w:t>
            </w:r>
            <w:r>
              <w:t>n 90 days of each half year end</w:t>
            </w:r>
            <w:r w:rsidRPr="00671710">
              <w:t xml:space="preserve"> based upon figures for the </w:t>
            </w:r>
            <w:r>
              <w:t>twelve (</w:t>
            </w:r>
            <w:r w:rsidRPr="00671710">
              <w:t>12</w:t>
            </w:r>
            <w:r>
              <w:t>)</w:t>
            </w:r>
            <w:r w:rsidRPr="00671710">
              <w:t xml:space="preserve"> months ending on the relevant half year end</w:t>
            </w:r>
            <w:bookmarkEnd w:id="52"/>
          </w:p>
        </w:tc>
      </w:tr>
      <w:tr w:rsidR="00F00A78" w:rsidRPr="00671710" w14:paraId="3C1081C8" w14:textId="77777777" w:rsidTr="00FD6E4B">
        <w:tc>
          <w:tcPr>
            <w:tcW w:w="2465" w:type="dxa"/>
            <w:shd w:val="clear" w:color="auto" w:fill="D9EEFF"/>
            <w:vAlign w:val="center"/>
          </w:tcPr>
          <w:p w14:paraId="1A3ED297" w14:textId="05A82870" w:rsidR="00A352CC" w:rsidRDefault="00A352CC" w:rsidP="00F00A78">
            <w:pPr>
              <w:keepNext/>
              <w:keepLines/>
              <w:jc w:val="left"/>
              <w:outlineLvl w:val="2"/>
              <w:rPr>
                <w:b/>
              </w:rPr>
            </w:pPr>
            <w:bookmarkStart w:id="53" w:name="_BPDCI_499"/>
            <w:r>
              <w:rPr>
                <w:b/>
              </w:rPr>
              <w:t xml:space="preserve">3A. </w:t>
            </w:r>
            <w:r w:rsidRPr="00671710">
              <w:rPr>
                <w:b/>
              </w:rPr>
              <w:t>F</w:t>
            </w:r>
            <w:r>
              <w:rPr>
                <w:b/>
              </w:rPr>
              <w:t>ree Cash Flow to Net Debt Ratio</w:t>
            </w:r>
          </w:p>
          <w:p w14:paraId="1F240D15" w14:textId="77777777" w:rsidR="00A352CC" w:rsidRDefault="00A352CC" w:rsidP="00F00A78">
            <w:pPr>
              <w:keepNext/>
              <w:keepLines/>
              <w:jc w:val="left"/>
              <w:outlineLvl w:val="2"/>
              <w:rPr>
                <w:b/>
              </w:rPr>
            </w:pPr>
          </w:p>
          <w:p w14:paraId="055D1F7A" w14:textId="48E384EE" w:rsidR="00A352CC" w:rsidRDefault="00A352CC" w:rsidP="00F00A78">
            <w:pPr>
              <w:keepNext/>
              <w:keepLines/>
              <w:jc w:val="left"/>
              <w:outlineLvl w:val="2"/>
              <w:rPr>
                <w:b/>
              </w:rPr>
            </w:pPr>
            <w:r>
              <w:rPr>
                <w:b/>
              </w:rPr>
              <w:t>OR</w:t>
            </w:r>
          </w:p>
          <w:p w14:paraId="5B6F6BB6" w14:textId="77777777" w:rsidR="00A352CC" w:rsidRPr="00671710" w:rsidRDefault="00A352CC" w:rsidP="00F00A78">
            <w:pPr>
              <w:keepNext/>
              <w:keepLines/>
              <w:jc w:val="left"/>
              <w:outlineLvl w:val="2"/>
              <w:rPr>
                <w:b/>
              </w:rPr>
            </w:pPr>
          </w:p>
          <w:bookmarkEnd w:id="53"/>
          <w:p w14:paraId="77219809" w14:textId="466E044F" w:rsidR="00A352CC" w:rsidRPr="00671710" w:rsidRDefault="00A352CC" w:rsidP="00F00A78">
            <w:pPr>
              <w:keepNext/>
              <w:keepLines/>
              <w:jc w:val="left"/>
            </w:pPr>
            <w:r>
              <w:rPr>
                <w:b/>
              </w:rPr>
              <w:t>3B. Net Debt to EBITDA Ratio</w:t>
            </w:r>
          </w:p>
        </w:tc>
        <w:tc>
          <w:tcPr>
            <w:tcW w:w="1754" w:type="dxa"/>
            <w:shd w:val="clear" w:color="auto" w:fill="D9EEFF"/>
            <w:vAlign w:val="center"/>
          </w:tcPr>
          <w:p w14:paraId="5ED27F6A" w14:textId="296CB7E6" w:rsidR="00A352CC" w:rsidRDefault="00A352CC" w:rsidP="00F00A78">
            <w:pPr>
              <w:keepNext/>
              <w:keepLines/>
              <w:jc w:val="center"/>
              <w:outlineLvl w:val="2"/>
            </w:pPr>
            <w:bookmarkStart w:id="54" w:name="_BPDCI_500"/>
            <w:r w:rsidRPr="00F03806">
              <w:t>Free Cash Flow to Net Debt Ratio = Free Cash Flow / Net Debt</w:t>
            </w:r>
          </w:p>
          <w:p w14:paraId="4AD7C1C1" w14:textId="17A759C3" w:rsidR="00A352CC" w:rsidRDefault="00A352CC" w:rsidP="00F00A78">
            <w:pPr>
              <w:keepNext/>
              <w:keepLines/>
              <w:jc w:val="center"/>
              <w:outlineLvl w:val="2"/>
            </w:pPr>
          </w:p>
          <w:p w14:paraId="0A2B3DCC" w14:textId="5ACD10A7" w:rsidR="00A352CC" w:rsidRPr="00F03806" w:rsidRDefault="00A352CC" w:rsidP="00F00A78">
            <w:pPr>
              <w:keepNext/>
              <w:keepLines/>
              <w:jc w:val="center"/>
              <w:outlineLvl w:val="2"/>
            </w:pPr>
            <w:r w:rsidRPr="00F03806">
              <w:t>Net Debt to E</w:t>
            </w:r>
            <w:r>
              <w:t>BITDA ratio = Net Debt / EBITDA</w:t>
            </w:r>
          </w:p>
          <w:bookmarkEnd w:id="54"/>
          <w:p w14:paraId="4C6EDFF2" w14:textId="77777777" w:rsidR="00A352CC" w:rsidRPr="00671710" w:rsidRDefault="00A352CC" w:rsidP="00F00A78">
            <w:pPr>
              <w:keepNext/>
              <w:keepLines/>
              <w:ind w:left="393" w:hanging="284"/>
              <w:jc w:val="center"/>
              <w:rPr>
                <w:i/>
              </w:rPr>
            </w:pPr>
          </w:p>
        </w:tc>
        <w:tc>
          <w:tcPr>
            <w:tcW w:w="1984" w:type="dxa"/>
            <w:shd w:val="clear" w:color="auto" w:fill="D9EEFF"/>
            <w:vAlign w:val="center"/>
          </w:tcPr>
          <w:p w14:paraId="549229F8" w14:textId="77777777" w:rsidR="00A352CC" w:rsidRPr="00671710" w:rsidRDefault="00A352CC" w:rsidP="00FD6E4B">
            <w:pPr>
              <w:keepNext/>
              <w:keepLines/>
              <w:jc w:val="left"/>
              <w:outlineLvl w:val="2"/>
            </w:pPr>
          </w:p>
          <w:p w14:paraId="0660EDE2" w14:textId="13F1FBA6" w:rsidR="00A352CC" w:rsidRPr="00807294" w:rsidRDefault="00A352CC" w:rsidP="00FD6E4B">
            <w:pPr>
              <w:keepNext/>
              <w:spacing w:before="60" w:after="60"/>
              <w:jc w:val="left"/>
              <w:rPr>
                <w:b/>
                <w:color w:val="FF0000"/>
              </w:rPr>
            </w:pPr>
            <w:bookmarkStart w:id="55" w:name="_BPDCI_501"/>
            <w:r w:rsidRPr="00807294">
              <w:t>&lt;=</w:t>
            </w:r>
            <w:r>
              <w:t>5</w:t>
            </w:r>
            <w:r w:rsidRPr="00807294">
              <w:t xml:space="preserve">% </w:t>
            </w:r>
            <w:r w:rsidRPr="00807294">
              <w:rPr>
                <w:b/>
                <w:color w:val="FF0000"/>
              </w:rPr>
              <w:t>Red</w:t>
            </w:r>
          </w:p>
          <w:p w14:paraId="4F92A1F6" w14:textId="77777777" w:rsidR="00A352CC" w:rsidRPr="00807294" w:rsidRDefault="00A352CC" w:rsidP="00FD6E4B">
            <w:pPr>
              <w:keepNext/>
              <w:spacing w:before="60" w:after="60"/>
              <w:jc w:val="left"/>
              <w:rPr>
                <w:b/>
              </w:rPr>
            </w:pPr>
            <w:r w:rsidRPr="00807294">
              <w:t xml:space="preserve">&gt; </w:t>
            </w:r>
            <w:r>
              <w:t>6</w:t>
            </w:r>
            <w:r w:rsidRPr="00807294">
              <w:t>% to &lt;=1</w:t>
            </w:r>
            <w:r>
              <w:t>4</w:t>
            </w:r>
            <w:r w:rsidRPr="00807294">
              <w:t xml:space="preserve">% </w:t>
            </w:r>
            <w:r w:rsidRPr="00807294">
              <w:rPr>
                <w:b/>
                <w:color w:val="ED7D31"/>
              </w:rPr>
              <w:t>Amber</w:t>
            </w:r>
          </w:p>
          <w:p w14:paraId="475C304F" w14:textId="760CA023" w:rsidR="00A352CC" w:rsidRDefault="00A352CC" w:rsidP="00FD6E4B">
            <w:pPr>
              <w:keepNext/>
              <w:jc w:val="left"/>
            </w:pPr>
            <w:r w:rsidRPr="00807294">
              <w:t xml:space="preserve">&gt;15% </w:t>
            </w:r>
            <w:r w:rsidRPr="00807294">
              <w:rPr>
                <w:b/>
                <w:color w:val="92D050"/>
              </w:rPr>
              <w:t>Green</w:t>
            </w:r>
            <w:r w:rsidRPr="00671710">
              <w:t xml:space="preserve"> </w:t>
            </w:r>
          </w:p>
          <w:p w14:paraId="5D68509B" w14:textId="05E927BF" w:rsidR="00A352CC" w:rsidRDefault="00A352CC" w:rsidP="00FD6E4B">
            <w:pPr>
              <w:keepNext/>
              <w:jc w:val="left"/>
            </w:pPr>
          </w:p>
          <w:p w14:paraId="7D1FD775" w14:textId="77777777" w:rsidR="00A352CC" w:rsidRPr="00807294" w:rsidRDefault="00A352CC" w:rsidP="00FD6E4B">
            <w:pPr>
              <w:keepNext/>
              <w:spacing w:before="60" w:after="60"/>
              <w:jc w:val="left"/>
              <w:rPr>
                <w:b/>
                <w:color w:val="FF0000"/>
              </w:rPr>
            </w:pPr>
            <w:r w:rsidRPr="00807294">
              <w:t>=&gt;3</w:t>
            </w:r>
            <w:r>
              <w:t>.5</w:t>
            </w:r>
            <w:r w:rsidRPr="00807294">
              <w:t xml:space="preserve"> </w:t>
            </w:r>
            <w:r w:rsidRPr="00807294">
              <w:rPr>
                <w:b/>
                <w:color w:val="FF0000"/>
              </w:rPr>
              <w:t>Red</w:t>
            </w:r>
          </w:p>
          <w:p w14:paraId="4999AA13" w14:textId="77777777" w:rsidR="00A352CC" w:rsidRPr="00807294" w:rsidRDefault="00A352CC" w:rsidP="00FD6E4B">
            <w:pPr>
              <w:keepNext/>
              <w:spacing w:before="60" w:after="60"/>
              <w:jc w:val="left"/>
              <w:rPr>
                <w:b/>
              </w:rPr>
            </w:pPr>
            <w:r w:rsidRPr="00807294">
              <w:t xml:space="preserve">=&gt; </w:t>
            </w:r>
            <w:r>
              <w:t>2.6</w:t>
            </w:r>
            <w:r w:rsidRPr="00807294">
              <w:t xml:space="preserve"> to &lt;3</w:t>
            </w:r>
            <w:r>
              <w:t>.4</w:t>
            </w:r>
            <w:r w:rsidRPr="00807294">
              <w:t xml:space="preserve"> </w:t>
            </w:r>
            <w:r w:rsidRPr="00807294">
              <w:rPr>
                <w:b/>
                <w:color w:val="ED7D31"/>
              </w:rPr>
              <w:t>Amber</w:t>
            </w:r>
          </w:p>
          <w:p w14:paraId="5CA69144" w14:textId="271E7D6F" w:rsidR="00A352CC" w:rsidRPr="00671710" w:rsidRDefault="00A352CC" w:rsidP="00FD6E4B">
            <w:pPr>
              <w:keepNext/>
              <w:jc w:val="left"/>
            </w:pPr>
            <w:r w:rsidRPr="00807294">
              <w:t>&lt;</w:t>
            </w:r>
            <w:r>
              <w:t>2.5</w:t>
            </w:r>
            <w:r w:rsidRPr="00807294">
              <w:t xml:space="preserve"> </w:t>
            </w:r>
            <w:r w:rsidRPr="00807294">
              <w:rPr>
                <w:b/>
                <w:color w:val="92D050"/>
              </w:rPr>
              <w:t>Green</w:t>
            </w:r>
          </w:p>
          <w:p w14:paraId="36B62DA7" w14:textId="77777777" w:rsidR="00A352CC" w:rsidRPr="00671710" w:rsidRDefault="00A352CC" w:rsidP="00FD6E4B">
            <w:pPr>
              <w:keepNext/>
              <w:jc w:val="left"/>
            </w:pPr>
          </w:p>
          <w:bookmarkEnd w:id="55"/>
          <w:p w14:paraId="0602292D" w14:textId="77777777" w:rsidR="00A352CC" w:rsidRPr="00671710" w:rsidRDefault="00A352CC" w:rsidP="00FD6E4B">
            <w:pPr>
              <w:keepNext/>
              <w:keepLines/>
              <w:jc w:val="left"/>
            </w:pPr>
          </w:p>
        </w:tc>
        <w:tc>
          <w:tcPr>
            <w:tcW w:w="2977" w:type="dxa"/>
            <w:shd w:val="clear" w:color="auto" w:fill="D9EEFF"/>
            <w:vAlign w:val="center"/>
          </w:tcPr>
          <w:p w14:paraId="1BF25E18" w14:textId="77777777" w:rsidR="00A352CC" w:rsidRPr="00671710" w:rsidRDefault="00A352CC" w:rsidP="00FD6E4B">
            <w:pPr>
              <w:keepNext/>
              <w:keepLines/>
              <w:jc w:val="center"/>
              <w:outlineLvl w:val="2"/>
            </w:pPr>
            <w:r w:rsidRPr="00554B35">
              <w:t xml:space="preserve">Tested and reported half yearly in arrears within 90 days of each half year end based upon </w:t>
            </w:r>
            <w:r>
              <w:t xml:space="preserve">Free Cash Flow / EBITDA </w:t>
            </w:r>
            <w:r w:rsidRPr="00554B35">
              <w:t xml:space="preserve">figures for the </w:t>
            </w:r>
            <w:r>
              <w:t>twelve (</w:t>
            </w:r>
            <w:r w:rsidRPr="00554B35">
              <w:t>12</w:t>
            </w:r>
            <w:r>
              <w:t>)</w:t>
            </w:r>
            <w:r w:rsidRPr="00554B35">
              <w:t xml:space="preserve"> months ending on </w:t>
            </w:r>
            <w:r>
              <w:t xml:space="preserve">and Net Debt at </w:t>
            </w:r>
            <w:r w:rsidRPr="00554B35">
              <w:t>the relevant half year end</w:t>
            </w:r>
          </w:p>
        </w:tc>
      </w:tr>
      <w:tr w:rsidR="00F00A78" w:rsidRPr="00554B35" w14:paraId="3B76F393" w14:textId="77777777" w:rsidTr="00754BBA">
        <w:tc>
          <w:tcPr>
            <w:tcW w:w="2465" w:type="dxa"/>
            <w:shd w:val="clear" w:color="auto" w:fill="D9EEFF"/>
            <w:vAlign w:val="center"/>
          </w:tcPr>
          <w:p w14:paraId="09AEC518" w14:textId="5A416087" w:rsidR="00A352CC" w:rsidRDefault="00A352CC" w:rsidP="00F00A78">
            <w:pPr>
              <w:keepNext/>
              <w:keepLines/>
              <w:outlineLvl w:val="2"/>
              <w:rPr>
                <w:b/>
              </w:rPr>
            </w:pPr>
            <w:bookmarkStart w:id="56" w:name="_BPDCI_503"/>
            <w:r>
              <w:rPr>
                <w:b/>
              </w:rPr>
              <w:t xml:space="preserve">4. </w:t>
            </w:r>
            <w:r w:rsidRPr="008253C3">
              <w:rPr>
                <w:b/>
              </w:rPr>
              <w:t>Net Debt + Net Pension Deficit to EBITDA ratio</w:t>
            </w:r>
            <w:bookmarkEnd w:id="56"/>
          </w:p>
        </w:tc>
        <w:tc>
          <w:tcPr>
            <w:tcW w:w="1754" w:type="dxa"/>
            <w:shd w:val="clear" w:color="auto" w:fill="D9EEFF"/>
            <w:vAlign w:val="center"/>
          </w:tcPr>
          <w:p w14:paraId="10CBD900" w14:textId="77777777" w:rsidR="00A352CC" w:rsidRPr="00F03806" w:rsidRDefault="00A352CC" w:rsidP="00F00A78">
            <w:pPr>
              <w:keepNext/>
              <w:keepLines/>
              <w:jc w:val="center"/>
              <w:outlineLvl w:val="2"/>
            </w:pPr>
            <w:bookmarkStart w:id="57" w:name="_BPDCI_504"/>
            <w:r w:rsidRPr="001B12CE">
              <w:t>Net Debt + Net Pension Deficit to EBITDA Ratio</w:t>
            </w:r>
            <w:r w:rsidRPr="008253C3">
              <w:t xml:space="preserve"> = (Net Debt + Net Pension Deficit) / EBITDA</w:t>
            </w:r>
            <w:bookmarkEnd w:id="57"/>
          </w:p>
        </w:tc>
        <w:tc>
          <w:tcPr>
            <w:tcW w:w="1984" w:type="dxa"/>
            <w:shd w:val="clear" w:color="auto" w:fill="D9EEFF"/>
            <w:vAlign w:val="center"/>
          </w:tcPr>
          <w:p w14:paraId="7750A013" w14:textId="77777777" w:rsidR="00A352CC" w:rsidRDefault="00A352CC" w:rsidP="00FD6E4B">
            <w:pPr>
              <w:keepNext/>
              <w:keepLines/>
              <w:jc w:val="left"/>
              <w:outlineLvl w:val="2"/>
              <w:rPr>
                <w:b/>
                <w:color w:val="92D050"/>
              </w:rPr>
            </w:pPr>
            <w:bookmarkStart w:id="58" w:name="_BPDCI_505"/>
            <w:r>
              <w:rPr>
                <w:b/>
                <w:color w:val="FF0000"/>
              </w:rPr>
              <w:t>R</w:t>
            </w:r>
            <w:r w:rsidRPr="00600D1E">
              <w:rPr>
                <w:b/>
                <w:color w:val="FF0000"/>
              </w:rPr>
              <w:t xml:space="preserve">ed </w:t>
            </w:r>
            <w:r>
              <w:t>&gt;5.0 x</w:t>
            </w:r>
            <w:r>
              <w:rPr>
                <w:b/>
                <w:color w:val="92D050"/>
              </w:rPr>
              <w:t xml:space="preserve"> </w:t>
            </w:r>
          </w:p>
          <w:p w14:paraId="6B19F941" w14:textId="77777777" w:rsidR="00A352CC" w:rsidRDefault="00A352CC" w:rsidP="00FD6E4B">
            <w:pPr>
              <w:keepNext/>
              <w:keepLines/>
              <w:jc w:val="left"/>
              <w:outlineLvl w:val="2"/>
            </w:pPr>
            <w:r w:rsidRPr="00600D1E">
              <w:rPr>
                <w:b/>
                <w:color w:val="FFC000"/>
              </w:rPr>
              <w:t>Amber</w:t>
            </w:r>
            <w:r>
              <w:t xml:space="preserve"> risk = 4.0 – 5.0 x </w:t>
            </w:r>
          </w:p>
          <w:p w14:paraId="5E7C124C" w14:textId="77777777" w:rsidR="00A352CC" w:rsidRDefault="00A352CC" w:rsidP="00FD6E4B">
            <w:pPr>
              <w:keepNext/>
              <w:keepLines/>
              <w:jc w:val="left"/>
              <w:outlineLvl w:val="2"/>
            </w:pPr>
            <w:r>
              <w:rPr>
                <w:b/>
                <w:color w:val="92D050"/>
              </w:rPr>
              <w:t>G</w:t>
            </w:r>
            <w:r w:rsidRPr="00600D1E">
              <w:rPr>
                <w:b/>
                <w:color w:val="92D050"/>
              </w:rPr>
              <w:t>reen</w:t>
            </w:r>
            <w:r>
              <w:t xml:space="preserve"> = &lt;4.0, </w:t>
            </w:r>
          </w:p>
          <w:p w14:paraId="58D6C5CC" w14:textId="77777777" w:rsidR="00A352CC" w:rsidRPr="00671710" w:rsidRDefault="00A352CC" w:rsidP="00FD6E4B">
            <w:pPr>
              <w:keepNext/>
              <w:keepLines/>
              <w:jc w:val="left"/>
              <w:outlineLvl w:val="2"/>
            </w:pPr>
            <w:r w:rsidRPr="001B12CE" w:rsidDel="00600D1E">
              <w:t xml:space="preserve"> </w:t>
            </w:r>
            <w:bookmarkEnd w:id="58"/>
          </w:p>
        </w:tc>
        <w:tc>
          <w:tcPr>
            <w:tcW w:w="2977" w:type="dxa"/>
            <w:shd w:val="clear" w:color="auto" w:fill="D9EEFF"/>
            <w:vAlign w:val="center"/>
          </w:tcPr>
          <w:p w14:paraId="426F1B4B" w14:textId="77777777" w:rsidR="00A352CC" w:rsidRPr="00554B35" w:rsidRDefault="00A352CC" w:rsidP="00F00A78">
            <w:pPr>
              <w:keepNext/>
              <w:keepLines/>
              <w:jc w:val="center"/>
              <w:outlineLvl w:val="2"/>
            </w:pPr>
            <w:bookmarkStart w:id="59" w:name="_BPDCI_506"/>
            <w:r w:rsidRPr="001B12CE">
              <w:t xml:space="preserve">Tested and reported yearly in arrears within 120 days of each accounting reference date based upon EBITDA for the </w:t>
            </w:r>
            <w:r>
              <w:t>twelve (</w:t>
            </w:r>
            <w:r w:rsidRPr="001B12CE">
              <w:t>12</w:t>
            </w:r>
            <w:r>
              <w:t>)</w:t>
            </w:r>
            <w:r w:rsidRPr="001B12CE">
              <w:t xml:space="preserve"> months ending on, and the Net Debt and Net Pension Deficit at, the relevant accounting reference date </w:t>
            </w:r>
            <w:bookmarkEnd w:id="59"/>
          </w:p>
        </w:tc>
      </w:tr>
      <w:tr w:rsidR="00F00A78" w:rsidRPr="00671710" w14:paraId="43B76D5F" w14:textId="77777777" w:rsidTr="00754BBA">
        <w:tc>
          <w:tcPr>
            <w:tcW w:w="2465" w:type="dxa"/>
            <w:shd w:val="clear" w:color="auto" w:fill="D9EEFF"/>
            <w:vAlign w:val="center"/>
          </w:tcPr>
          <w:p w14:paraId="5D6B1462" w14:textId="5CD8A077" w:rsidR="00A352CC" w:rsidRPr="00671710" w:rsidRDefault="00A352CC" w:rsidP="00F00A78">
            <w:pPr>
              <w:keepNext/>
              <w:keepLines/>
              <w:outlineLvl w:val="2"/>
              <w:rPr>
                <w:b/>
              </w:rPr>
            </w:pPr>
            <w:bookmarkStart w:id="60" w:name="_BPDCI_507"/>
            <w:r>
              <w:rPr>
                <w:b/>
              </w:rPr>
              <w:t xml:space="preserve">5. </w:t>
            </w:r>
            <w:r w:rsidRPr="00671710">
              <w:rPr>
                <w:b/>
              </w:rPr>
              <w:t>Net Interest Paid Cover</w:t>
            </w:r>
            <w:bookmarkEnd w:id="60"/>
          </w:p>
        </w:tc>
        <w:tc>
          <w:tcPr>
            <w:tcW w:w="1754" w:type="dxa"/>
            <w:shd w:val="clear" w:color="auto" w:fill="D9EEFF"/>
            <w:vAlign w:val="center"/>
          </w:tcPr>
          <w:p w14:paraId="6FF9E677" w14:textId="77777777" w:rsidR="00A352CC" w:rsidRPr="00063DE2" w:rsidRDefault="00A352CC" w:rsidP="00F00A78">
            <w:pPr>
              <w:keepNext/>
              <w:keepLines/>
              <w:jc w:val="center"/>
              <w:outlineLvl w:val="2"/>
            </w:pPr>
            <w:bookmarkStart w:id="61" w:name="_BPDCI_508"/>
            <w:r w:rsidRPr="00063DE2">
              <w:t>Net Interest Paid Cover = Earnings Before Interest and Tax / Net Interest Paid</w:t>
            </w:r>
            <w:bookmarkEnd w:id="61"/>
          </w:p>
        </w:tc>
        <w:tc>
          <w:tcPr>
            <w:tcW w:w="1984" w:type="dxa"/>
            <w:shd w:val="clear" w:color="auto" w:fill="D9EEFF"/>
            <w:vAlign w:val="center"/>
          </w:tcPr>
          <w:p w14:paraId="610B4E87" w14:textId="77777777" w:rsidR="00A352CC" w:rsidRPr="00807294" w:rsidRDefault="00A352CC" w:rsidP="00FD6E4B">
            <w:pPr>
              <w:keepNext/>
              <w:spacing w:before="60" w:after="60"/>
              <w:jc w:val="left"/>
              <w:rPr>
                <w:b/>
                <w:color w:val="FF0000"/>
              </w:rPr>
            </w:pPr>
            <w:r w:rsidRPr="00807294">
              <w:t>&lt;=</w:t>
            </w:r>
            <w:r>
              <w:t>3</w:t>
            </w:r>
            <w:r w:rsidRPr="00807294">
              <w:t xml:space="preserve"> </w:t>
            </w:r>
            <w:r w:rsidRPr="00807294">
              <w:rPr>
                <w:b/>
                <w:color w:val="FF0000"/>
              </w:rPr>
              <w:t>Red</w:t>
            </w:r>
          </w:p>
          <w:p w14:paraId="09D06F15" w14:textId="77777777" w:rsidR="00A352CC" w:rsidRPr="00807294" w:rsidRDefault="00A352CC" w:rsidP="00FD6E4B">
            <w:pPr>
              <w:keepNext/>
              <w:spacing w:before="60" w:after="60"/>
              <w:jc w:val="left"/>
              <w:rPr>
                <w:b/>
              </w:rPr>
            </w:pPr>
            <w:r w:rsidRPr="00807294">
              <w:t xml:space="preserve">&gt; </w:t>
            </w:r>
            <w:r>
              <w:t>3.1</w:t>
            </w:r>
            <w:r w:rsidRPr="00807294">
              <w:t xml:space="preserve"> to &lt;=</w:t>
            </w:r>
            <w:r>
              <w:t>4.4</w:t>
            </w:r>
            <w:r w:rsidRPr="00807294">
              <w:t xml:space="preserve"> </w:t>
            </w:r>
            <w:r w:rsidRPr="00807294">
              <w:rPr>
                <w:b/>
                <w:color w:val="ED7D31"/>
              </w:rPr>
              <w:t>Amber</w:t>
            </w:r>
          </w:p>
          <w:p w14:paraId="1C422A89" w14:textId="77777777" w:rsidR="00A352CC" w:rsidRPr="00671710" w:rsidRDefault="00A352CC" w:rsidP="00FD6E4B">
            <w:pPr>
              <w:keepNext/>
              <w:keepLines/>
              <w:jc w:val="left"/>
              <w:outlineLvl w:val="2"/>
            </w:pPr>
            <w:r w:rsidRPr="00807294">
              <w:t>&gt;</w:t>
            </w:r>
            <w:r>
              <w:t>4.5</w:t>
            </w:r>
            <w:r w:rsidRPr="00807294">
              <w:t xml:space="preserve"> </w:t>
            </w:r>
            <w:r w:rsidRPr="00807294">
              <w:rPr>
                <w:b/>
                <w:color w:val="92D050"/>
              </w:rPr>
              <w:t>Green</w:t>
            </w:r>
          </w:p>
        </w:tc>
        <w:tc>
          <w:tcPr>
            <w:tcW w:w="2977" w:type="dxa"/>
            <w:shd w:val="clear" w:color="auto" w:fill="D9EEFF"/>
            <w:vAlign w:val="center"/>
          </w:tcPr>
          <w:p w14:paraId="31667C33" w14:textId="77777777" w:rsidR="00A352CC" w:rsidRPr="00671710" w:rsidRDefault="00A352CC" w:rsidP="00F00A78">
            <w:pPr>
              <w:keepNext/>
              <w:keepLines/>
              <w:jc w:val="center"/>
              <w:outlineLvl w:val="2"/>
            </w:pPr>
            <w:r w:rsidRPr="00554B35">
              <w:t xml:space="preserve">Tested and reported half yearly in arrears within 90 days of each half year end based upon figures for the </w:t>
            </w:r>
            <w:r>
              <w:t>twelve (</w:t>
            </w:r>
            <w:r w:rsidRPr="00554B35">
              <w:t>12</w:t>
            </w:r>
            <w:r>
              <w:t>)</w:t>
            </w:r>
            <w:r w:rsidRPr="00554B35">
              <w:t xml:space="preserve"> months ending on the relevant half year end</w:t>
            </w:r>
          </w:p>
        </w:tc>
      </w:tr>
      <w:tr w:rsidR="00F00A78" w:rsidRPr="00671710" w14:paraId="5D40CE9D" w14:textId="77777777" w:rsidTr="00754BBA">
        <w:tc>
          <w:tcPr>
            <w:tcW w:w="2465" w:type="dxa"/>
            <w:shd w:val="clear" w:color="auto" w:fill="D9EEFF"/>
            <w:vAlign w:val="center"/>
          </w:tcPr>
          <w:p w14:paraId="6EEB9BDE" w14:textId="3705DB7B" w:rsidR="00A352CC" w:rsidRPr="00671710" w:rsidRDefault="00A352CC" w:rsidP="00F00A78">
            <w:pPr>
              <w:keepNext/>
              <w:keepLines/>
              <w:outlineLvl w:val="2"/>
              <w:rPr>
                <w:b/>
              </w:rPr>
            </w:pPr>
            <w:bookmarkStart w:id="62" w:name="_BPDCI_511"/>
            <w:r>
              <w:rPr>
                <w:b/>
              </w:rPr>
              <w:lastRenderedPageBreak/>
              <w:t xml:space="preserve">6. </w:t>
            </w:r>
            <w:r w:rsidRPr="00671710">
              <w:rPr>
                <w:b/>
              </w:rPr>
              <w:t>Acid Ratio</w:t>
            </w:r>
            <w:bookmarkEnd w:id="62"/>
          </w:p>
        </w:tc>
        <w:tc>
          <w:tcPr>
            <w:tcW w:w="1754" w:type="dxa"/>
            <w:shd w:val="clear" w:color="auto" w:fill="D9EEFF"/>
            <w:vAlign w:val="center"/>
          </w:tcPr>
          <w:p w14:paraId="5FC782FE" w14:textId="77777777" w:rsidR="00A352CC" w:rsidRPr="00063DE2" w:rsidRDefault="00A352CC" w:rsidP="00F00A78">
            <w:pPr>
              <w:keepNext/>
              <w:keepLines/>
              <w:jc w:val="center"/>
              <w:outlineLvl w:val="2"/>
            </w:pPr>
            <w:bookmarkStart w:id="63" w:name="_BPDCI_512"/>
            <w:r w:rsidRPr="00063DE2">
              <w:t>Acid Ratio = (Current Assets – Inventories) / Current Liabilities</w:t>
            </w:r>
            <w:bookmarkEnd w:id="63"/>
          </w:p>
        </w:tc>
        <w:tc>
          <w:tcPr>
            <w:tcW w:w="1984" w:type="dxa"/>
            <w:shd w:val="clear" w:color="auto" w:fill="D9EEFF"/>
            <w:vAlign w:val="center"/>
          </w:tcPr>
          <w:p w14:paraId="03F9211F" w14:textId="77777777" w:rsidR="00A352CC" w:rsidRPr="00807294" w:rsidRDefault="00A352CC" w:rsidP="00FD6E4B">
            <w:pPr>
              <w:keepNext/>
              <w:spacing w:before="60" w:after="60"/>
              <w:jc w:val="left"/>
              <w:rPr>
                <w:b/>
                <w:color w:val="FF0000"/>
              </w:rPr>
            </w:pPr>
            <w:r w:rsidRPr="00807294">
              <w:t>&lt;=</w:t>
            </w:r>
            <w:r>
              <w:t>0.8</w:t>
            </w:r>
            <w:r w:rsidRPr="00807294">
              <w:t xml:space="preserve"> </w:t>
            </w:r>
            <w:r w:rsidRPr="00807294">
              <w:rPr>
                <w:b/>
                <w:color w:val="FF0000"/>
              </w:rPr>
              <w:t>Red</w:t>
            </w:r>
          </w:p>
          <w:p w14:paraId="07784362" w14:textId="77777777" w:rsidR="00A352CC" w:rsidRPr="00807294" w:rsidRDefault="00A352CC" w:rsidP="00FD6E4B">
            <w:pPr>
              <w:keepNext/>
              <w:spacing w:before="60" w:after="60"/>
              <w:jc w:val="left"/>
              <w:rPr>
                <w:b/>
              </w:rPr>
            </w:pPr>
            <w:r w:rsidRPr="00807294">
              <w:t xml:space="preserve">&gt; </w:t>
            </w:r>
            <w:r>
              <w:t>0.9</w:t>
            </w:r>
            <w:r w:rsidRPr="00807294">
              <w:t xml:space="preserve"> </w:t>
            </w:r>
            <w:r w:rsidRPr="00807294">
              <w:rPr>
                <w:b/>
                <w:color w:val="ED7D31"/>
              </w:rPr>
              <w:t>Amber</w:t>
            </w:r>
          </w:p>
          <w:p w14:paraId="2BBDC505" w14:textId="77777777" w:rsidR="00A352CC" w:rsidRPr="00671710" w:rsidRDefault="00A352CC" w:rsidP="00FD6E4B">
            <w:pPr>
              <w:keepNext/>
              <w:keepLines/>
              <w:jc w:val="left"/>
              <w:outlineLvl w:val="2"/>
            </w:pPr>
            <w:r w:rsidRPr="00807294">
              <w:t xml:space="preserve">&gt;1 </w:t>
            </w:r>
            <w:r w:rsidRPr="00807294">
              <w:rPr>
                <w:b/>
                <w:color w:val="92D050"/>
              </w:rPr>
              <w:t>Green</w:t>
            </w:r>
          </w:p>
        </w:tc>
        <w:tc>
          <w:tcPr>
            <w:tcW w:w="2977" w:type="dxa"/>
            <w:shd w:val="clear" w:color="auto" w:fill="D9EEFF"/>
          </w:tcPr>
          <w:p w14:paraId="2A3C100F" w14:textId="454FC88D" w:rsidR="00A352CC" w:rsidRPr="00671710" w:rsidRDefault="00A352CC" w:rsidP="00F00A78">
            <w:pPr>
              <w:keepNext/>
              <w:keepLines/>
              <w:jc w:val="center"/>
              <w:outlineLvl w:val="2"/>
            </w:pPr>
            <w:r w:rsidRPr="00903168">
              <w:t xml:space="preserve">Tested and reported half yearly in arrears within 90 days of each half year end based upon figures for the </w:t>
            </w:r>
            <w:r>
              <w:t>twelve (</w:t>
            </w:r>
            <w:r w:rsidRPr="00903168">
              <w:t>12</w:t>
            </w:r>
            <w:r>
              <w:t>)</w:t>
            </w:r>
            <w:r w:rsidRPr="00903168">
              <w:t xml:space="preserve"> months ending on the relevant half year end</w:t>
            </w:r>
          </w:p>
        </w:tc>
      </w:tr>
      <w:tr w:rsidR="00F00A78" w:rsidRPr="00671710" w14:paraId="074CB97D" w14:textId="77777777" w:rsidTr="00754BBA">
        <w:tc>
          <w:tcPr>
            <w:tcW w:w="2465" w:type="dxa"/>
            <w:shd w:val="clear" w:color="auto" w:fill="D9EEFF"/>
            <w:vAlign w:val="center"/>
          </w:tcPr>
          <w:p w14:paraId="1A433B99" w14:textId="600A8BFC" w:rsidR="00A352CC" w:rsidRPr="00671710" w:rsidRDefault="00A352CC" w:rsidP="005032E2">
            <w:pPr>
              <w:keepNext/>
              <w:keepLines/>
              <w:outlineLvl w:val="2"/>
              <w:rPr>
                <w:b/>
              </w:rPr>
            </w:pPr>
            <w:bookmarkStart w:id="64" w:name="_BPDCI_515"/>
            <w:r>
              <w:rPr>
                <w:b/>
              </w:rPr>
              <w:t xml:space="preserve">7. </w:t>
            </w:r>
            <w:r w:rsidRPr="00671710">
              <w:rPr>
                <w:b/>
              </w:rPr>
              <w:t xml:space="preserve">Net Asset </w:t>
            </w:r>
            <w:bookmarkEnd w:id="64"/>
            <w:r w:rsidR="005032E2">
              <w:rPr>
                <w:b/>
              </w:rPr>
              <w:t>V</w:t>
            </w:r>
            <w:r w:rsidR="005032E2" w:rsidRPr="00671710">
              <w:rPr>
                <w:b/>
              </w:rPr>
              <w:t>alue</w:t>
            </w:r>
          </w:p>
        </w:tc>
        <w:tc>
          <w:tcPr>
            <w:tcW w:w="1754" w:type="dxa"/>
            <w:shd w:val="clear" w:color="auto" w:fill="D9EEFF"/>
            <w:vAlign w:val="center"/>
          </w:tcPr>
          <w:p w14:paraId="205218E7" w14:textId="77777777" w:rsidR="00A352CC" w:rsidRPr="00063DE2" w:rsidRDefault="00A352CC" w:rsidP="00F00A78">
            <w:pPr>
              <w:keepNext/>
              <w:keepLines/>
              <w:jc w:val="center"/>
              <w:outlineLvl w:val="2"/>
            </w:pPr>
            <w:bookmarkStart w:id="65" w:name="_BPDCI_516"/>
            <w:r w:rsidRPr="00063DE2">
              <w:t>Net Asset Value = Net Assets</w:t>
            </w:r>
            <w:bookmarkEnd w:id="65"/>
          </w:p>
        </w:tc>
        <w:tc>
          <w:tcPr>
            <w:tcW w:w="1984" w:type="dxa"/>
            <w:shd w:val="clear" w:color="auto" w:fill="D9EEFF"/>
            <w:vAlign w:val="center"/>
          </w:tcPr>
          <w:p w14:paraId="089211DD" w14:textId="77777777" w:rsidR="00A352CC" w:rsidRPr="00807294" w:rsidRDefault="00A352CC" w:rsidP="00FD6E4B">
            <w:pPr>
              <w:keepNext/>
              <w:keepLines/>
              <w:spacing w:before="60" w:after="60"/>
              <w:jc w:val="left"/>
              <w:rPr>
                <w:color w:val="FF0000"/>
              </w:rPr>
            </w:pPr>
            <w:r w:rsidRPr="00807294">
              <w:rPr>
                <w:b/>
                <w:color w:val="FF0000"/>
              </w:rPr>
              <w:t>Red</w:t>
            </w:r>
            <w:r w:rsidRPr="00807294">
              <w:t xml:space="preserve"> &lt;= 0 </w:t>
            </w:r>
          </w:p>
          <w:p w14:paraId="66C40ABF" w14:textId="77777777" w:rsidR="00A352CC" w:rsidRPr="00671710" w:rsidRDefault="00A352CC" w:rsidP="00FD6E4B">
            <w:pPr>
              <w:keepNext/>
              <w:keepLines/>
              <w:jc w:val="left"/>
              <w:outlineLvl w:val="2"/>
            </w:pPr>
            <w:r w:rsidRPr="00807294">
              <w:rPr>
                <w:b/>
                <w:color w:val="00B050"/>
              </w:rPr>
              <w:t>Green</w:t>
            </w:r>
            <w:r w:rsidRPr="00807294">
              <w:t xml:space="preserve"> &gt;0</w:t>
            </w:r>
          </w:p>
        </w:tc>
        <w:tc>
          <w:tcPr>
            <w:tcW w:w="2977" w:type="dxa"/>
            <w:shd w:val="clear" w:color="auto" w:fill="D9EEFF"/>
          </w:tcPr>
          <w:p w14:paraId="09DD3BD3" w14:textId="77777777" w:rsidR="00A352CC" w:rsidRPr="00671710" w:rsidRDefault="00A352CC" w:rsidP="00F00A78">
            <w:pPr>
              <w:keepNext/>
              <w:keepLines/>
              <w:jc w:val="center"/>
              <w:outlineLvl w:val="2"/>
            </w:pPr>
            <w:r w:rsidRPr="00903168">
              <w:t xml:space="preserve">Tested and reported half yearly in arrears within 90 days of each half year end based upon figures for the </w:t>
            </w:r>
            <w:r>
              <w:t>twelve (</w:t>
            </w:r>
            <w:r w:rsidRPr="00903168">
              <w:t>12</w:t>
            </w:r>
            <w:r>
              <w:t>)</w:t>
            </w:r>
            <w:r w:rsidRPr="00903168">
              <w:t xml:space="preserve"> months ending on the relevant half year end</w:t>
            </w:r>
          </w:p>
        </w:tc>
      </w:tr>
      <w:tr w:rsidR="00A352CC" w:rsidRPr="00671710" w14:paraId="7B6E92C0" w14:textId="77777777" w:rsidTr="00754BBA">
        <w:tc>
          <w:tcPr>
            <w:tcW w:w="2465" w:type="dxa"/>
            <w:shd w:val="clear" w:color="auto" w:fill="D9EEFF"/>
            <w:vAlign w:val="center"/>
          </w:tcPr>
          <w:p w14:paraId="55A24C01" w14:textId="72DB03BD" w:rsidR="00A352CC" w:rsidRDefault="00A352CC" w:rsidP="00F00A78">
            <w:pPr>
              <w:keepNext/>
              <w:keepLines/>
              <w:outlineLvl w:val="2"/>
              <w:rPr>
                <w:b/>
              </w:rPr>
            </w:pPr>
            <w:r>
              <w:rPr>
                <w:b/>
              </w:rPr>
              <w:t>8. Group Exposure Ratio</w:t>
            </w:r>
          </w:p>
        </w:tc>
        <w:tc>
          <w:tcPr>
            <w:tcW w:w="1754" w:type="dxa"/>
            <w:shd w:val="clear" w:color="auto" w:fill="D9EEFF"/>
            <w:vAlign w:val="center"/>
          </w:tcPr>
          <w:p w14:paraId="4E4A9FF3" w14:textId="65D44B03" w:rsidR="00A352CC" w:rsidRPr="00063DE2" w:rsidRDefault="005E4028" w:rsidP="00F00A78">
            <w:pPr>
              <w:keepNext/>
              <w:keepLines/>
              <w:jc w:val="center"/>
              <w:outlineLvl w:val="2"/>
            </w:pPr>
            <w:r>
              <w:t>Group Exposure/Gross Assets</w:t>
            </w:r>
          </w:p>
        </w:tc>
        <w:tc>
          <w:tcPr>
            <w:tcW w:w="1984" w:type="dxa"/>
            <w:shd w:val="clear" w:color="auto" w:fill="D9EEFF"/>
            <w:vAlign w:val="center"/>
          </w:tcPr>
          <w:p w14:paraId="19713E8F" w14:textId="68596E72" w:rsidR="00A352CC" w:rsidRPr="00807294" w:rsidRDefault="00897C5C" w:rsidP="00FD6E4B">
            <w:pPr>
              <w:keepNext/>
              <w:spacing w:before="60" w:after="60"/>
              <w:jc w:val="left"/>
              <w:rPr>
                <w:b/>
                <w:color w:val="FF0000"/>
              </w:rPr>
            </w:pPr>
            <w:r w:rsidRPr="00807294">
              <w:t>&gt;</w:t>
            </w:r>
            <w:r w:rsidR="00A352CC">
              <w:t>50</w:t>
            </w:r>
            <w:r w:rsidR="00A352CC" w:rsidRPr="00807294">
              <w:t xml:space="preserve"> </w:t>
            </w:r>
            <w:r w:rsidR="00A352CC" w:rsidRPr="00807294">
              <w:rPr>
                <w:b/>
                <w:color w:val="FF0000"/>
              </w:rPr>
              <w:t>Red</w:t>
            </w:r>
          </w:p>
          <w:p w14:paraId="2879BA15" w14:textId="05A98C8A" w:rsidR="00A352CC" w:rsidRPr="00807294" w:rsidRDefault="00A352CC" w:rsidP="00FD6E4B">
            <w:pPr>
              <w:keepNext/>
              <w:spacing w:before="60" w:after="60"/>
              <w:jc w:val="left"/>
              <w:rPr>
                <w:b/>
              </w:rPr>
            </w:pPr>
            <w:r>
              <w:t>25-50%</w:t>
            </w:r>
            <w:r w:rsidRPr="00807294">
              <w:t xml:space="preserve"> </w:t>
            </w:r>
            <w:r w:rsidRPr="00807294">
              <w:rPr>
                <w:b/>
                <w:color w:val="ED7D31"/>
              </w:rPr>
              <w:t>Amber</w:t>
            </w:r>
          </w:p>
          <w:p w14:paraId="1FE70219" w14:textId="1D4D6251" w:rsidR="00A352CC" w:rsidRPr="00807294" w:rsidRDefault="00897C5C" w:rsidP="00FD6E4B">
            <w:pPr>
              <w:keepNext/>
              <w:keepLines/>
              <w:spacing w:before="60" w:after="60"/>
              <w:jc w:val="left"/>
              <w:rPr>
                <w:b/>
                <w:color w:val="FF0000"/>
              </w:rPr>
            </w:pPr>
            <w:r w:rsidRPr="00807294">
              <w:t>&lt;</w:t>
            </w:r>
            <w:r w:rsidR="005E4028">
              <w:t>25</w:t>
            </w:r>
            <w:r w:rsidR="00A352CC" w:rsidRPr="00807294">
              <w:t xml:space="preserve"> </w:t>
            </w:r>
            <w:r w:rsidR="00A352CC" w:rsidRPr="00807294">
              <w:rPr>
                <w:b/>
                <w:color w:val="92D050"/>
              </w:rPr>
              <w:t>Green</w:t>
            </w:r>
          </w:p>
        </w:tc>
        <w:tc>
          <w:tcPr>
            <w:tcW w:w="2977" w:type="dxa"/>
            <w:shd w:val="clear" w:color="auto" w:fill="D9EEFF"/>
          </w:tcPr>
          <w:p w14:paraId="7C48443B" w14:textId="0DF8E883" w:rsidR="00A352CC" w:rsidRPr="00903168" w:rsidRDefault="005E4028" w:rsidP="00F00A78">
            <w:pPr>
              <w:keepNext/>
              <w:keepLines/>
              <w:jc w:val="center"/>
              <w:outlineLvl w:val="2"/>
            </w:pPr>
            <w:r w:rsidRPr="00D64141">
              <w:t>Tested and reported yearly in arrears within</w:t>
            </w:r>
            <w:r>
              <w:t> </w:t>
            </w:r>
            <w:r w:rsidRPr="00D64141">
              <w:t>120</w:t>
            </w:r>
            <w:r>
              <w:t> </w:t>
            </w:r>
            <w:r w:rsidRPr="00D64141">
              <w:t>days of each accounting reference date based upon figures at the relevant accounting reference date</w:t>
            </w:r>
          </w:p>
        </w:tc>
      </w:tr>
    </w:tbl>
    <w:p w14:paraId="7A5A9A44" w14:textId="77777777" w:rsidR="00A352CC" w:rsidRDefault="00A352CC" w:rsidP="00754BBA">
      <w:pPr>
        <w:pStyle w:val="Level1"/>
        <w:numPr>
          <w:ilvl w:val="0"/>
          <w:numId w:val="0"/>
        </w:numPr>
        <w:ind w:left="851" w:hanging="851"/>
      </w:pPr>
    </w:p>
    <w:p w14:paraId="085ABA81" w14:textId="77777777" w:rsidR="0057470A" w:rsidRDefault="0057470A" w:rsidP="00754BBA">
      <w:pPr>
        <w:pStyle w:val="Level1"/>
        <w:numPr>
          <w:ilvl w:val="0"/>
          <w:numId w:val="0"/>
        </w:numPr>
        <w:ind w:left="851" w:hanging="851"/>
      </w:pPr>
    </w:p>
    <w:p w14:paraId="51C4133C" w14:textId="77777777" w:rsidR="0057470A" w:rsidRDefault="0057470A" w:rsidP="00754BBA">
      <w:pPr>
        <w:pStyle w:val="Level1"/>
        <w:numPr>
          <w:ilvl w:val="0"/>
          <w:numId w:val="0"/>
        </w:numPr>
        <w:ind w:left="851" w:hanging="851"/>
      </w:pPr>
    </w:p>
    <w:p w14:paraId="6A22C6BA" w14:textId="77777777" w:rsidR="0057470A" w:rsidRDefault="0057470A" w:rsidP="00754BBA">
      <w:pPr>
        <w:pStyle w:val="Level1"/>
        <w:numPr>
          <w:ilvl w:val="0"/>
          <w:numId w:val="0"/>
        </w:numPr>
        <w:ind w:left="851" w:hanging="851"/>
      </w:pPr>
    </w:p>
    <w:p w14:paraId="532EB6EB" w14:textId="77777777" w:rsidR="0057470A" w:rsidRDefault="0057470A" w:rsidP="00754BBA">
      <w:pPr>
        <w:pStyle w:val="Level1"/>
        <w:numPr>
          <w:ilvl w:val="0"/>
          <w:numId w:val="0"/>
        </w:numPr>
        <w:ind w:left="851" w:hanging="851"/>
      </w:pPr>
    </w:p>
    <w:p w14:paraId="422C3E0C" w14:textId="77777777" w:rsidR="0057470A" w:rsidRDefault="0057470A" w:rsidP="00754BBA">
      <w:pPr>
        <w:pStyle w:val="Level1"/>
        <w:numPr>
          <w:ilvl w:val="0"/>
          <w:numId w:val="0"/>
        </w:numPr>
        <w:ind w:left="851" w:hanging="851"/>
      </w:pPr>
    </w:p>
    <w:p w14:paraId="365522AF" w14:textId="77777777" w:rsidR="0057470A" w:rsidRDefault="0057470A" w:rsidP="00754BBA">
      <w:pPr>
        <w:pStyle w:val="Level1"/>
        <w:numPr>
          <w:ilvl w:val="0"/>
          <w:numId w:val="0"/>
        </w:numPr>
        <w:ind w:left="851" w:hanging="851"/>
      </w:pPr>
    </w:p>
    <w:p w14:paraId="7B20629F" w14:textId="77777777" w:rsidR="0057470A" w:rsidRDefault="0057470A" w:rsidP="00754BBA">
      <w:pPr>
        <w:pStyle w:val="Level1"/>
        <w:numPr>
          <w:ilvl w:val="0"/>
          <w:numId w:val="0"/>
        </w:numPr>
        <w:ind w:left="851" w:hanging="851"/>
      </w:pPr>
    </w:p>
    <w:p w14:paraId="24745FCE" w14:textId="77777777" w:rsidR="0057470A" w:rsidRDefault="0057470A" w:rsidP="00754BBA">
      <w:pPr>
        <w:pStyle w:val="Level1"/>
        <w:numPr>
          <w:ilvl w:val="0"/>
          <w:numId w:val="0"/>
        </w:numPr>
        <w:ind w:left="851" w:hanging="851"/>
      </w:pPr>
    </w:p>
    <w:bookmarkEnd w:id="47"/>
    <w:p w14:paraId="549F90A5" w14:textId="474AA955" w:rsidR="000437A5" w:rsidRDefault="000437A5" w:rsidP="00964CD1">
      <w:pPr>
        <w:pStyle w:val="Level1"/>
        <w:keepNext/>
        <w:numPr>
          <w:ilvl w:val="0"/>
          <w:numId w:val="0"/>
        </w:numPr>
        <w:spacing w:before="120"/>
        <w:ind w:left="851"/>
      </w:pPr>
      <w:r w:rsidRPr="00671710">
        <w:t xml:space="preserve">Key: </w:t>
      </w:r>
      <w:r w:rsidRPr="00671710">
        <w:rPr>
          <w:vertAlign w:val="superscript"/>
        </w:rPr>
        <w:t>1</w:t>
      </w:r>
      <w:r w:rsidRPr="00671710">
        <w:t xml:space="preserve"> – See </w:t>
      </w:r>
      <w:r w:rsidR="005E4028">
        <w:t>Appendix</w:t>
      </w:r>
      <w:r w:rsidRPr="00671710">
        <w:t xml:space="preserve"> </w:t>
      </w:r>
      <w:r w:rsidR="005E4028">
        <w:t>2</w:t>
      </w:r>
      <w:r w:rsidRPr="00671710">
        <w:t xml:space="preserve"> of this Schedule which sets out the calculation methodology to be used in the calculation of each Financial Indicator</w:t>
      </w:r>
      <w:r w:rsidR="00C83B1E">
        <w:t>.</w:t>
      </w:r>
    </w:p>
    <w:p w14:paraId="5D653715" w14:textId="70FC6545" w:rsidR="00980E28" w:rsidRPr="00754BBA" w:rsidRDefault="00980E28" w:rsidP="00754BBA">
      <w:pPr>
        <w:pStyle w:val="Level2"/>
      </w:pPr>
      <w:r>
        <w:t xml:space="preserve">The Financial Indicators shall only apply if Call-off Contract is classified as Tier One or Tier Two for Schedule 7.4 (Financial Distress) within the Tiering Matrix. </w:t>
      </w:r>
    </w:p>
    <w:p w14:paraId="4C290CBE" w14:textId="58F51632" w:rsidR="00BE7429" w:rsidRPr="00F5169D" w:rsidRDefault="00F5169D" w:rsidP="00F5169D">
      <w:pPr>
        <w:pStyle w:val="Level1"/>
        <w:keepNext/>
        <w:rPr>
          <w:rStyle w:val="Level1asHeadingtext"/>
        </w:rPr>
      </w:pPr>
      <w:bookmarkStart w:id="66" w:name="_Ref40288953"/>
      <w:r w:rsidRPr="00F5169D">
        <w:rPr>
          <w:rStyle w:val="Level1asHeadingtext"/>
        </w:rPr>
        <w:t>Termination Rights</w:t>
      </w:r>
      <w:bookmarkEnd w:id="66"/>
    </w:p>
    <w:p w14:paraId="5DDABDC6" w14:textId="7861A3FB" w:rsidR="00D05BDE" w:rsidRDefault="004D0C83" w:rsidP="00630FBA">
      <w:pPr>
        <w:pStyle w:val="Level2"/>
        <w:rPr>
          <w:color w:val="000000"/>
        </w:rPr>
      </w:pPr>
      <w:bookmarkStart w:id="67" w:name="_Ref40288679"/>
      <w:r>
        <w:rPr>
          <w:color w:val="000000"/>
        </w:rPr>
        <w:t>The Customer</w:t>
      </w:r>
      <w:r w:rsidR="00F5169D" w:rsidRPr="008531A6">
        <w:rPr>
          <w:color w:val="000000"/>
        </w:rPr>
        <w:t xml:space="preserve"> shall be entitled to terminate </w:t>
      </w:r>
      <w:r w:rsidR="00D148A5">
        <w:rPr>
          <w:color w:val="000000"/>
        </w:rPr>
        <w:t>any Call-Off</w:t>
      </w:r>
      <w:r w:rsidR="00501C27">
        <w:rPr>
          <w:color w:val="000000"/>
        </w:rPr>
        <w:t xml:space="preserve"> Contract</w:t>
      </w:r>
      <w:r w:rsidR="00D148A5">
        <w:rPr>
          <w:color w:val="000000"/>
        </w:rPr>
        <w:t xml:space="preserve"> (as applicable) pursuant to </w:t>
      </w:r>
      <w:r w:rsidR="00DC7339">
        <w:rPr>
          <w:color w:val="000000"/>
        </w:rPr>
        <w:t>Clause 38.3.2</w:t>
      </w:r>
      <w:r w:rsidR="00F5169D" w:rsidRPr="008531A6">
        <w:rPr>
          <w:color w:val="000000"/>
        </w:rPr>
        <w:t xml:space="preserve"> if</w:t>
      </w:r>
      <w:r w:rsidR="00D05BDE">
        <w:rPr>
          <w:color w:val="000000"/>
        </w:rPr>
        <w:t>:</w:t>
      </w:r>
      <w:r w:rsidR="00D05BDE">
        <w:rPr>
          <w:color w:val="000000"/>
        </w:rPr>
        <w:noBreakHyphen/>
      </w:r>
      <w:r w:rsidR="00794537">
        <w:rPr>
          <w:color w:val="000000"/>
        </w:rPr>
        <w:t xml:space="preserve">  </w:t>
      </w:r>
      <w:bookmarkEnd w:id="67"/>
    </w:p>
    <w:p w14:paraId="77F460FB" w14:textId="04F8A0F7" w:rsidR="00D23A6B" w:rsidRPr="000879D9" w:rsidRDefault="00D23A6B" w:rsidP="00D23A6B">
      <w:pPr>
        <w:pStyle w:val="Level3"/>
      </w:pPr>
      <w:r w:rsidRPr="000879D9">
        <w:t xml:space="preserve">the Supplier fails to notify the </w:t>
      </w:r>
      <w:r>
        <w:t>Customer</w:t>
      </w:r>
      <w:r w:rsidRPr="000879D9">
        <w:t xml:space="preserve"> of a</w:t>
      </w:r>
      <w:r>
        <w:t xml:space="preserve"> </w:t>
      </w:r>
      <w:r w:rsidRPr="000879D9">
        <w:t>Financial Distress Event in accordance with Paragraph </w:t>
      </w:r>
      <w:r w:rsidR="005049F3">
        <w:fldChar w:fldCharType="begin"/>
      </w:r>
      <w:r w:rsidR="005049F3">
        <w:instrText xml:space="preserve"> REF _Ref70000020 \r \h </w:instrText>
      </w:r>
      <w:r w:rsidR="005049F3">
        <w:fldChar w:fldCharType="separate"/>
      </w:r>
      <w:r w:rsidR="00FA6348">
        <w:t>2.4.4</w:t>
      </w:r>
      <w:r w:rsidR="005049F3">
        <w:fldChar w:fldCharType="end"/>
      </w:r>
      <w:r w:rsidR="00C4210F">
        <w:t xml:space="preserve"> </w:t>
      </w:r>
      <w:r w:rsidRPr="000879D9">
        <w:t>above;</w:t>
      </w:r>
    </w:p>
    <w:p w14:paraId="753971FE" w14:textId="38C7560F" w:rsidR="00D23A6B" w:rsidRPr="000879D9" w:rsidRDefault="00D23A6B" w:rsidP="00D23A6B">
      <w:pPr>
        <w:pStyle w:val="Level3"/>
      </w:pPr>
      <w:r w:rsidRPr="000879D9">
        <w:t xml:space="preserve">the Supplier fails to notify the </w:t>
      </w:r>
      <w:r>
        <w:t>Customer</w:t>
      </w:r>
      <w:r w:rsidRPr="000879D9">
        <w:t xml:space="preserve"> of its intention to make a Distribution of Profits in accordance with Paragraph </w:t>
      </w:r>
      <w:r w:rsidRPr="000879D9">
        <w:fldChar w:fldCharType="begin"/>
      </w:r>
      <w:r w:rsidRPr="000879D9">
        <w:instrText xml:space="preserve"> REF _Ref23494646 \w \h </w:instrText>
      </w:r>
      <w:r>
        <w:instrText xml:space="preserve"> \* MERGEFORMAT </w:instrText>
      </w:r>
      <w:r w:rsidRPr="000879D9">
        <w:fldChar w:fldCharType="separate"/>
      </w:r>
      <w:r w:rsidR="00FA6348">
        <w:t>3.1</w:t>
      </w:r>
      <w:r w:rsidRPr="000879D9">
        <w:fldChar w:fldCharType="end"/>
      </w:r>
      <w:r w:rsidRPr="000879D9">
        <w:t xml:space="preserve"> above;</w:t>
      </w:r>
    </w:p>
    <w:p w14:paraId="37D7245F" w14:textId="3867B925" w:rsidR="00D23A6B" w:rsidRPr="000879D9" w:rsidRDefault="00D23A6B" w:rsidP="00D23A6B">
      <w:pPr>
        <w:pStyle w:val="Level3"/>
      </w:pPr>
      <w:r w:rsidRPr="000879D9">
        <w:t>the Parties fail to agree a Financial Distress Remediation Plan (or any updated Financial Distress Remediation Plan) in accordance with Paragraphs </w:t>
      </w:r>
      <w:r w:rsidRPr="000879D9">
        <w:fldChar w:fldCharType="begin"/>
      </w:r>
      <w:r w:rsidRPr="000879D9">
        <w:instrText xml:space="preserve"> REF _Ref24278126 \w \h </w:instrText>
      </w:r>
      <w:r>
        <w:instrText xml:space="preserve"> \* MERGEFORMAT </w:instrText>
      </w:r>
      <w:r w:rsidRPr="000879D9">
        <w:fldChar w:fldCharType="separate"/>
      </w:r>
      <w:r w:rsidR="00FA6348">
        <w:t>5.3</w:t>
      </w:r>
      <w:r w:rsidRPr="000879D9">
        <w:fldChar w:fldCharType="end"/>
      </w:r>
      <w:r w:rsidR="00E017EB">
        <w:t xml:space="preserve"> to </w:t>
      </w:r>
      <w:r w:rsidR="00E017EB">
        <w:fldChar w:fldCharType="begin"/>
      </w:r>
      <w:r w:rsidR="00E017EB">
        <w:instrText xml:space="preserve"> REF _Ref24278220 \r \h </w:instrText>
      </w:r>
      <w:r w:rsidR="00E017EB">
        <w:fldChar w:fldCharType="separate"/>
      </w:r>
      <w:r w:rsidR="00FA6348">
        <w:t>5.5</w:t>
      </w:r>
      <w:r w:rsidR="00E017EB">
        <w:fldChar w:fldCharType="end"/>
      </w:r>
      <w:r w:rsidRPr="000879D9">
        <w:t>; and/or</w:t>
      </w:r>
    </w:p>
    <w:p w14:paraId="7A4051A2" w14:textId="4D15C10A" w:rsidR="002660BF" w:rsidRPr="00501C27" w:rsidRDefault="00D23A6B" w:rsidP="00754BBA">
      <w:pPr>
        <w:pStyle w:val="Level3"/>
        <w:rPr>
          <w:b/>
          <w:bCs/>
          <w:caps/>
        </w:rPr>
      </w:pPr>
      <w:proofErr w:type="gramStart"/>
      <w:r w:rsidRPr="000879D9">
        <w:t>the</w:t>
      </w:r>
      <w:proofErr w:type="gramEnd"/>
      <w:r w:rsidRPr="000879D9">
        <w:t xml:space="preserve"> Supplier fails to comply with the terms of the</w:t>
      </w:r>
      <w:r w:rsidRPr="00671710">
        <w:t xml:space="preserve"> Financial Distress Remediation Plan (or any updated Financial Distress Remediation Plan) </w:t>
      </w:r>
      <w:r>
        <w:t xml:space="preserve">including any timings within such </w:t>
      </w:r>
      <w:r w:rsidRPr="00671710">
        <w:t xml:space="preserve">in accordance with </w:t>
      </w:r>
      <w:r w:rsidRPr="00C35481">
        <w:t xml:space="preserve">Paragraph </w:t>
      </w:r>
      <w:r>
        <w:fldChar w:fldCharType="begin"/>
      </w:r>
      <w:r>
        <w:instrText xml:space="preserve"> REF _Ref24279510 \w \h </w:instrText>
      </w:r>
      <w:r>
        <w:fldChar w:fldCharType="separate"/>
      </w:r>
      <w:r w:rsidR="00FA6348">
        <w:t>5.6.3</w:t>
      </w:r>
      <w:r>
        <w:fldChar w:fldCharType="end"/>
      </w:r>
      <w:r w:rsidR="00501C27">
        <w:t>.</w:t>
      </w:r>
      <w:r w:rsidR="002660BF">
        <w:t xml:space="preserve">  </w:t>
      </w:r>
    </w:p>
    <w:p w14:paraId="2C9D7344" w14:textId="77777777" w:rsidR="00AA43EB" w:rsidRPr="008303F5" w:rsidRDefault="00AA43EB" w:rsidP="00AA43EB">
      <w:pPr>
        <w:pStyle w:val="Level1"/>
        <w:rPr>
          <w:rStyle w:val="Level1asHeadingtext"/>
        </w:rPr>
      </w:pPr>
      <w:r w:rsidRPr="008303F5">
        <w:rPr>
          <w:rStyle w:val="Level1asHeadingtext"/>
        </w:rPr>
        <w:t>Primacy Of Credit Ratings</w:t>
      </w:r>
    </w:p>
    <w:p w14:paraId="2F5BC4E1" w14:textId="5F8F12BB" w:rsidR="00AA43EB" w:rsidRPr="00671710" w:rsidRDefault="00AA43EB" w:rsidP="00AA43EB">
      <w:pPr>
        <w:pStyle w:val="Level2"/>
      </w:pPr>
      <w:r w:rsidRPr="00671710">
        <w:t>Without prejudice to the Supplier</w:t>
      </w:r>
      <w:r w:rsidR="00C83B1E">
        <w:t>'</w:t>
      </w:r>
      <w:r w:rsidRPr="00671710">
        <w:t>s obligations and</w:t>
      </w:r>
      <w:r>
        <w:t xml:space="preserve"> any of</w:t>
      </w:r>
      <w:r w:rsidRPr="00671710">
        <w:t xml:space="preserve"> </w:t>
      </w:r>
      <w:r w:rsidR="00CB309B">
        <w:t>the Customer</w:t>
      </w:r>
      <w:r w:rsidR="00C83B1E">
        <w:t>'</w:t>
      </w:r>
      <w:r w:rsidRPr="00671710">
        <w:t>s rights and remedies, if, following the occurrence of a Financial D</w:t>
      </w:r>
      <w:r>
        <w:t>istress Event</w:t>
      </w:r>
      <w:r w:rsidRPr="00671710">
        <w:t xml:space="preserve">, the Rating Agencies review and report subsequently that the credit ratings do not drop below the relevant Credit Rating Thresholds specified for those entities in </w:t>
      </w:r>
      <w:r w:rsidR="001E4976">
        <w:t>Appendix</w:t>
      </w:r>
      <w:r w:rsidR="001E4976" w:rsidRPr="00671710">
        <w:t xml:space="preserve"> </w:t>
      </w:r>
      <w:r w:rsidR="00E017EB">
        <w:t>2</w:t>
      </w:r>
      <w:r w:rsidR="00E017EB" w:rsidRPr="00671710">
        <w:t xml:space="preserve"> </w:t>
      </w:r>
      <w:r w:rsidRPr="00671710">
        <w:t>of Schedule</w:t>
      </w:r>
      <w:r w:rsidR="001E4976">
        <w:t xml:space="preserve"> 7.4 (Cal</w:t>
      </w:r>
      <w:r w:rsidR="00A26B2E">
        <w:t>l-Off Financial Distress</w:t>
      </w:r>
      <w:r w:rsidR="001E4976">
        <w:t>)</w:t>
      </w:r>
      <w:r w:rsidRPr="00671710">
        <w:t>, then:</w:t>
      </w:r>
    </w:p>
    <w:p w14:paraId="6E9CC906" w14:textId="7BC9D65C" w:rsidR="00AA43EB" w:rsidRPr="00671710" w:rsidRDefault="00AA43EB" w:rsidP="00AA43EB">
      <w:pPr>
        <w:pStyle w:val="Level3"/>
      </w:pPr>
      <w:r w:rsidRPr="00671710">
        <w:t>the Supplier shall be relieved automatically of its obligations under Paragraphs </w:t>
      </w:r>
      <w:r w:rsidR="00E017EB">
        <w:fldChar w:fldCharType="begin"/>
      </w:r>
      <w:r w:rsidR="00E017EB">
        <w:instrText xml:space="preserve"> REF _Ref24278126 \r \h </w:instrText>
      </w:r>
      <w:r w:rsidR="00E017EB">
        <w:fldChar w:fldCharType="separate"/>
      </w:r>
      <w:r w:rsidR="00FA6348">
        <w:t>5.3</w:t>
      </w:r>
      <w:r w:rsidR="00E017EB">
        <w:fldChar w:fldCharType="end"/>
      </w:r>
      <w:r>
        <w:t xml:space="preserve"> to </w:t>
      </w:r>
      <w:r w:rsidR="00E017EB">
        <w:fldChar w:fldCharType="begin"/>
      </w:r>
      <w:r w:rsidR="00E017EB">
        <w:instrText xml:space="preserve"> REF _Ref24278135 \r \h </w:instrText>
      </w:r>
      <w:r w:rsidR="00E017EB">
        <w:fldChar w:fldCharType="separate"/>
      </w:r>
      <w:r w:rsidR="00FA6348">
        <w:t>5.6</w:t>
      </w:r>
      <w:r w:rsidR="00E017EB">
        <w:fldChar w:fldCharType="end"/>
      </w:r>
      <w:r w:rsidRPr="00671710">
        <w:t>; and</w:t>
      </w:r>
    </w:p>
    <w:p w14:paraId="0FD8CA7E" w14:textId="603BC86A" w:rsidR="00AA43EB" w:rsidRPr="00671710" w:rsidRDefault="00CB309B" w:rsidP="00AA43EB">
      <w:pPr>
        <w:pStyle w:val="Level3"/>
      </w:pPr>
      <w:proofErr w:type="gramStart"/>
      <w:r>
        <w:t>the</w:t>
      </w:r>
      <w:proofErr w:type="gramEnd"/>
      <w:r>
        <w:t xml:space="preserve"> Customer</w:t>
      </w:r>
      <w:r w:rsidR="00AA43EB" w:rsidRPr="00671710">
        <w:t xml:space="preserve"> shall not be entitled to require the Supplier to provide financial information in accordance </w:t>
      </w:r>
      <w:r w:rsidR="00AA43EB" w:rsidRPr="00E9547D">
        <w:t xml:space="preserve">with Paragraph </w:t>
      </w:r>
      <w:r w:rsidR="00AA43EB">
        <w:fldChar w:fldCharType="begin"/>
      </w:r>
      <w:r w:rsidR="00AA43EB">
        <w:instrText xml:space="preserve"> REF _Ref24278306 \w \h </w:instrText>
      </w:r>
      <w:r w:rsidR="00AA43EB">
        <w:fldChar w:fldCharType="separate"/>
      </w:r>
      <w:r w:rsidR="00FA6348">
        <w:t>5.3.2(b)</w:t>
      </w:r>
      <w:r w:rsidR="00AA43EB">
        <w:fldChar w:fldCharType="end"/>
      </w:r>
      <w:r w:rsidR="00AA43EB" w:rsidRPr="00E9547D">
        <w:t>.</w:t>
      </w:r>
      <w:r w:rsidR="00AA43EB">
        <w:t xml:space="preserve"> </w:t>
      </w:r>
    </w:p>
    <w:p w14:paraId="0ADCF90D" w14:textId="77777777" w:rsidR="00AA43EB" w:rsidRPr="008303F5" w:rsidRDefault="00AA43EB" w:rsidP="00AA43EB">
      <w:pPr>
        <w:pStyle w:val="Level1"/>
        <w:rPr>
          <w:rStyle w:val="Level1asHeadingtext"/>
        </w:rPr>
      </w:pPr>
      <w:bookmarkStart w:id="68" w:name="_Ref40250545"/>
      <w:r>
        <w:rPr>
          <w:rStyle w:val="Level1asHeadingtext"/>
        </w:rPr>
        <w:t xml:space="preserve">Supplier </w:t>
      </w:r>
      <w:r w:rsidRPr="008303F5">
        <w:rPr>
          <w:rStyle w:val="Level1asHeadingtext"/>
        </w:rPr>
        <w:t>Board Confirmation</w:t>
      </w:r>
      <w:bookmarkEnd w:id="68"/>
    </w:p>
    <w:p w14:paraId="5A4B20D1" w14:textId="22464560" w:rsidR="00AA43EB" w:rsidRPr="00671710" w:rsidRDefault="00D23A6B" w:rsidP="00AA43EB">
      <w:pPr>
        <w:pStyle w:val="Level2"/>
      </w:pPr>
      <w:bookmarkStart w:id="69" w:name="_Ref24278933"/>
      <w:r>
        <w:t>If any Call-Off Contract is</w:t>
      </w:r>
      <w:r w:rsidR="00AA43EB" w:rsidRPr="00671710">
        <w:t xml:space="preserve"> specified as a Critical Service Contract </w:t>
      </w:r>
      <w:r w:rsidR="00AA43EB">
        <w:t>as set out in</w:t>
      </w:r>
      <w:r w:rsidR="00AA43EB" w:rsidRPr="00671710">
        <w:t xml:space="preserve"> Paragraph </w:t>
      </w:r>
      <w:r w:rsidR="00AA43EB">
        <w:t>1.1</w:t>
      </w:r>
      <w:r w:rsidR="00AA43EB" w:rsidRPr="00671710">
        <w:t xml:space="preserve"> of Part 2 to Schedule 8.6 (Service Continuity Plan and Corporate Resolution Planning) the</w:t>
      </w:r>
      <w:r w:rsidR="00AA43EB">
        <w:t>refore</w:t>
      </w:r>
      <w:r w:rsidR="00AA43EB" w:rsidRPr="00671710">
        <w:t xml:space="preserve">, </w:t>
      </w:r>
      <w:r w:rsidR="00AA43EB" w:rsidRPr="00671710">
        <w:lastRenderedPageBreak/>
        <w:t xml:space="preserve">subject to Paragraph </w:t>
      </w:r>
      <w:r w:rsidR="00AA43EB">
        <w:fldChar w:fldCharType="begin"/>
      </w:r>
      <w:r w:rsidR="00AA43EB">
        <w:instrText xml:space="preserve"> REF _Ref24278906 \w \h </w:instrText>
      </w:r>
      <w:r w:rsidR="00AA43EB">
        <w:fldChar w:fldCharType="separate"/>
      </w:r>
      <w:r w:rsidR="00FA6348">
        <w:t>9.4</w:t>
      </w:r>
      <w:r w:rsidR="00AA43EB">
        <w:fldChar w:fldCharType="end"/>
      </w:r>
      <w:r w:rsidR="00AA43EB" w:rsidRPr="00671710">
        <w:t xml:space="preserve"> of this Schedule, the Supplier shall within 120 days after each Accounting Reference Date or within </w:t>
      </w:r>
      <w:r w:rsidR="00AA43EB">
        <w:t>fifteen (</w:t>
      </w:r>
      <w:r w:rsidR="00AA43EB" w:rsidRPr="00671710">
        <w:t>15</w:t>
      </w:r>
      <w:r w:rsidR="00AA43EB">
        <w:t>)</w:t>
      </w:r>
      <w:r w:rsidR="00AA43EB" w:rsidRPr="00671710">
        <w:t xml:space="preserve"> months of the previous </w:t>
      </w:r>
      <w:r w:rsidR="00AA43EB">
        <w:t xml:space="preserve">Supplier </w:t>
      </w:r>
      <w:r w:rsidR="00AA43EB" w:rsidRPr="00671710">
        <w:t xml:space="preserve">Board Confirmation (whichever is the earlier) provide a </w:t>
      </w:r>
      <w:r w:rsidR="00AA43EB">
        <w:t xml:space="preserve">Supplier </w:t>
      </w:r>
      <w:r w:rsidR="00AA43EB" w:rsidRPr="00671710">
        <w:t xml:space="preserve">Board Confirmation to </w:t>
      </w:r>
      <w:r w:rsidR="00CB309B">
        <w:t>the Customer</w:t>
      </w:r>
      <w:r w:rsidR="00AA43EB" w:rsidRPr="00671710">
        <w:t xml:space="preserve"> in the form set out at </w:t>
      </w:r>
      <w:r w:rsidR="001E4976">
        <w:t>Appendix 1</w:t>
      </w:r>
      <w:r w:rsidR="00AA43EB" w:rsidRPr="00671710">
        <w:t xml:space="preserve"> of this Schedule, confirming that to the best of the </w:t>
      </w:r>
      <w:r w:rsidR="00754BBA">
        <w:t xml:space="preserve">Supplier </w:t>
      </w:r>
      <w:r w:rsidR="00AA43EB" w:rsidRPr="00671710">
        <w:t>Board</w:t>
      </w:r>
      <w:r w:rsidR="00C83B1E">
        <w:t>'</w:t>
      </w:r>
      <w:r w:rsidR="00AA43EB" w:rsidRPr="00671710">
        <w:t>s knowledge and belief, it is not aware of and has no knowledge:</w:t>
      </w:r>
      <w:bookmarkEnd w:id="69"/>
    </w:p>
    <w:p w14:paraId="0F36DB81" w14:textId="09583F3B" w:rsidR="00AA43EB" w:rsidRPr="00671710" w:rsidRDefault="00AA43EB" w:rsidP="00AA43EB">
      <w:pPr>
        <w:pStyle w:val="Level3"/>
      </w:pPr>
      <w:bookmarkStart w:id="70" w:name="_BPDCI_553"/>
      <w:r w:rsidRPr="00671710">
        <w:t xml:space="preserve">that a Financial Distress Event has occurred since the later of the </w:t>
      </w:r>
      <w:r w:rsidR="001E4976">
        <w:t xml:space="preserve">Call-Off </w:t>
      </w:r>
      <w:r w:rsidRPr="00671710">
        <w:t xml:space="preserve">Effective Date or the previous </w:t>
      </w:r>
      <w:r w:rsidR="007B502F">
        <w:t xml:space="preserve">Supplier </w:t>
      </w:r>
      <w:r w:rsidRPr="00671710">
        <w:t>Board Confirmation or is subsisting; or</w:t>
      </w:r>
      <w:bookmarkEnd w:id="70"/>
    </w:p>
    <w:p w14:paraId="468F94B7" w14:textId="1B617630" w:rsidR="00AA43EB" w:rsidRPr="00671710" w:rsidRDefault="00AA43EB" w:rsidP="00AA43EB">
      <w:pPr>
        <w:pStyle w:val="Level3"/>
      </w:pPr>
      <w:bookmarkStart w:id="71" w:name="_BPDC_LN_INS_1494"/>
      <w:bookmarkStart w:id="72" w:name="_BPDC_PR_INS_1495"/>
      <w:bookmarkStart w:id="73" w:name="_BPDCI_554"/>
      <w:bookmarkEnd w:id="71"/>
      <w:bookmarkEnd w:id="72"/>
      <w:proofErr w:type="gramStart"/>
      <w:r w:rsidRPr="00671710">
        <w:t>of</w:t>
      </w:r>
      <w:proofErr w:type="gramEnd"/>
      <w:r w:rsidRPr="00671710">
        <w:t xml:space="preserve"> any matters which have occurred or are subsisting that could reasonably be expected to cause a Financial Distress Event.</w:t>
      </w:r>
      <w:bookmarkEnd w:id="73"/>
    </w:p>
    <w:p w14:paraId="0D491ACF" w14:textId="77777777" w:rsidR="00AA43EB" w:rsidRPr="00671710" w:rsidRDefault="00AA43EB" w:rsidP="00AA43EB">
      <w:pPr>
        <w:pStyle w:val="Level2"/>
      </w:pPr>
      <w:r w:rsidRPr="00671710">
        <w:t>The Supplier shall ensure that in its preparation of the</w:t>
      </w:r>
      <w:r>
        <w:t xml:space="preserve"> Supplier</w:t>
      </w:r>
      <w:r w:rsidRPr="00671710">
        <w:t xml:space="preserve"> Board Confirmation it exercises due care and diligence and has made reasonable enquiry of all relevant Supplier Personnel and other persons as is reasonably necessary to understand and confirm the position.</w:t>
      </w:r>
    </w:p>
    <w:p w14:paraId="48962102" w14:textId="5E806E1E" w:rsidR="00AA43EB" w:rsidRPr="00671710" w:rsidRDefault="00AA43EB" w:rsidP="00AA43EB">
      <w:pPr>
        <w:pStyle w:val="Level2"/>
      </w:pPr>
      <w:bookmarkStart w:id="74" w:name="_Ref24278950"/>
      <w:r w:rsidRPr="00671710">
        <w:t xml:space="preserve">In respect of the first </w:t>
      </w:r>
      <w:r>
        <w:t xml:space="preserve">Supplier </w:t>
      </w:r>
      <w:r w:rsidRPr="00671710">
        <w:t xml:space="preserve">Board Confirmation to be provided </w:t>
      </w:r>
      <w:r w:rsidR="001E4976">
        <w:t>in respect of a Call-Off Contract</w:t>
      </w:r>
      <w:r w:rsidRPr="00671710">
        <w:t xml:space="preserve">, the Supplier shall provide the </w:t>
      </w:r>
      <w:r>
        <w:t xml:space="preserve">Supplier </w:t>
      </w:r>
      <w:r w:rsidRPr="00671710">
        <w:t xml:space="preserve">Board Confirmation within </w:t>
      </w:r>
      <w:r>
        <w:t>fifteen (</w:t>
      </w:r>
      <w:r w:rsidRPr="00671710">
        <w:t>15</w:t>
      </w:r>
      <w:r>
        <w:t>)</w:t>
      </w:r>
      <w:r w:rsidRPr="00671710">
        <w:t xml:space="preserve"> months of the </w:t>
      </w:r>
      <w:r w:rsidR="001E4976">
        <w:t xml:space="preserve">Call-Off </w:t>
      </w:r>
      <w:r w:rsidRPr="00671710">
        <w:t xml:space="preserve">Effective Date if earlier than the timescale for submission set out in Paragraph </w:t>
      </w:r>
      <w:r>
        <w:fldChar w:fldCharType="begin"/>
      </w:r>
      <w:r>
        <w:instrText xml:space="preserve"> REF _Ref24278933 \w \h </w:instrText>
      </w:r>
      <w:r>
        <w:fldChar w:fldCharType="separate"/>
      </w:r>
      <w:r w:rsidR="00FA6348">
        <w:t>9.1</w:t>
      </w:r>
      <w:r>
        <w:fldChar w:fldCharType="end"/>
      </w:r>
      <w:r w:rsidRPr="00671710">
        <w:t xml:space="preserve"> of this Schedule.</w:t>
      </w:r>
      <w:bookmarkEnd w:id="74"/>
      <w:r w:rsidRPr="00671710">
        <w:t xml:space="preserve">  </w:t>
      </w:r>
    </w:p>
    <w:p w14:paraId="427D3134" w14:textId="75671A97" w:rsidR="00AA43EB" w:rsidRPr="00671710" w:rsidRDefault="00AA43EB" w:rsidP="00AA43EB">
      <w:pPr>
        <w:pStyle w:val="Level2"/>
      </w:pPr>
      <w:bookmarkStart w:id="75" w:name="_Ref24278906"/>
      <w:r w:rsidRPr="00671710">
        <w:t xml:space="preserve">Where the Supplier is unable to provide a </w:t>
      </w:r>
      <w:r>
        <w:t xml:space="preserve">Supplier </w:t>
      </w:r>
      <w:r w:rsidRPr="00671710">
        <w:t xml:space="preserve">Board Confirmation in accordance with Paragraphs </w:t>
      </w:r>
      <w:r>
        <w:fldChar w:fldCharType="begin"/>
      </w:r>
      <w:r>
        <w:instrText xml:space="preserve"> REF _Ref24278933 \w \h </w:instrText>
      </w:r>
      <w:r>
        <w:fldChar w:fldCharType="separate"/>
      </w:r>
      <w:r w:rsidR="00FA6348">
        <w:t>9.1</w:t>
      </w:r>
      <w:r>
        <w:fldChar w:fldCharType="end"/>
      </w:r>
      <w:r w:rsidRPr="00671710">
        <w:t xml:space="preserve"> to </w:t>
      </w:r>
      <w:r>
        <w:fldChar w:fldCharType="begin"/>
      </w:r>
      <w:r>
        <w:instrText xml:space="preserve"> REF _Ref24278950 \w \h </w:instrText>
      </w:r>
      <w:r>
        <w:fldChar w:fldCharType="separate"/>
      </w:r>
      <w:r w:rsidR="00FA6348">
        <w:t>9.3</w:t>
      </w:r>
      <w:r>
        <w:fldChar w:fldCharType="end"/>
      </w:r>
      <w:r w:rsidRPr="00671710">
        <w:t xml:space="preserve"> of this Schedule due to the occurrence of a Financial Distress Event or knowledge of subsisting matters which could reasonably be expected to cause a Financial Distress Event, it will be sufficient for the Supplier to submit in place of the </w:t>
      </w:r>
      <w:r>
        <w:t xml:space="preserve">Supplier </w:t>
      </w:r>
      <w:r w:rsidRPr="00671710">
        <w:t xml:space="preserve">Board Confirmation, a statement from the </w:t>
      </w:r>
      <w:r>
        <w:t xml:space="preserve">Supplier </w:t>
      </w:r>
      <w:r w:rsidRPr="00671710">
        <w:t xml:space="preserve">Board to </w:t>
      </w:r>
      <w:r w:rsidR="00CB309B">
        <w:t>the Customer</w:t>
      </w:r>
      <w:r w:rsidRPr="00671710">
        <w:t xml:space="preserve">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bookmarkEnd w:id="75"/>
    </w:p>
    <w:p w14:paraId="15CE764F" w14:textId="77777777" w:rsidR="00AA43EB" w:rsidRPr="002660BF" w:rsidRDefault="00AA43EB" w:rsidP="00630FBA">
      <w:pPr>
        <w:pStyle w:val="Level2"/>
        <w:numPr>
          <w:ilvl w:val="0"/>
          <w:numId w:val="0"/>
        </w:numPr>
        <w:rPr>
          <w:b/>
          <w:bCs/>
          <w:caps/>
        </w:rPr>
      </w:pPr>
    </w:p>
    <w:p w14:paraId="1088A645" w14:textId="77777777" w:rsidR="00597DD3" w:rsidRPr="008531A6" w:rsidRDefault="00597DD3" w:rsidP="00857203">
      <w:pPr>
        <w:pStyle w:val="Body"/>
      </w:pPr>
      <w:r w:rsidRPr="008531A6">
        <w:br w:type="page"/>
      </w:r>
    </w:p>
    <w:p w14:paraId="655F66A0" w14:textId="77777777" w:rsidR="000B15F6" w:rsidRDefault="000B15F6" w:rsidP="00F3286B">
      <w:pPr>
        <w:pStyle w:val="Appendix"/>
      </w:pPr>
      <w:bookmarkStart w:id="76" w:name="_Ref70000003"/>
    </w:p>
    <w:bookmarkEnd w:id="76"/>
    <w:p w14:paraId="38D27470" w14:textId="68C9308B" w:rsidR="00BE7429" w:rsidRDefault="007B502F" w:rsidP="000B15F6">
      <w:pPr>
        <w:pStyle w:val="SubHeading"/>
      </w:pPr>
      <w:r>
        <w:t xml:space="preserve">supplier </w:t>
      </w:r>
      <w:r w:rsidR="001E4976">
        <w:t>BOARD CONFIRMATION</w:t>
      </w:r>
    </w:p>
    <w:p w14:paraId="1FF4F71B" w14:textId="13B89509" w:rsidR="001E4976" w:rsidRDefault="001E4976" w:rsidP="00754BBA">
      <w:pPr>
        <w:pStyle w:val="Body"/>
      </w:pPr>
    </w:p>
    <w:p w14:paraId="759D2027" w14:textId="77777777" w:rsidR="001E4976" w:rsidRDefault="001E4976" w:rsidP="001E4976">
      <w:pPr>
        <w:pStyle w:val="Body"/>
        <w:keepNext/>
        <w:rPr>
          <w:b/>
        </w:rPr>
      </w:pPr>
      <w:r w:rsidRPr="00186157">
        <w:rPr>
          <w:b/>
        </w:rPr>
        <w:t>Supplier Name</w:t>
      </w:r>
      <w:r>
        <w:rPr>
          <w:b/>
        </w:rPr>
        <w:t>:</w:t>
      </w:r>
    </w:p>
    <w:p w14:paraId="27E77F6A" w14:textId="77777777" w:rsidR="001E4976" w:rsidRDefault="001E4976" w:rsidP="001E4976">
      <w:pPr>
        <w:pStyle w:val="Body"/>
        <w:keepNext/>
        <w:rPr>
          <w:b/>
        </w:rPr>
      </w:pPr>
      <w:r w:rsidRPr="00186157">
        <w:rPr>
          <w:b/>
        </w:rPr>
        <w:t>Contract Reference Number</w:t>
      </w:r>
      <w:r>
        <w:rPr>
          <w:b/>
        </w:rPr>
        <w:t>:</w:t>
      </w:r>
    </w:p>
    <w:p w14:paraId="770FDA19" w14:textId="26EC14DD" w:rsidR="001E4976" w:rsidRPr="008531A6" w:rsidRDefault="001E4976" w:rsidP="001E4976">
      <w:pPr>
        <w:pStyle w:val="Body"/>
      </w:pPr>
      <w:r w:rsidRPr="008531A6">
        <w:t xml:space="preserve">The Board of Directors acknowledge the requirements set out at </w:t>
      </w:r>
      <w:r w:rsidR="000437A5">
        <w:t xml:space="preserve">Paragraph 9 of Schedule 7.4 (Financial Distress) </w:t>
      </w:r>
      <w:r w:rsidRPr="008531A6">
        <w:t xml:space="preserve">and confirm that the Supplier has exercised due care and diligence and made reasonable enquiry of all relevant Supplier Personnel and other persons as is reasonably necessary to enable the </w:t>
      </w:r>
      <w:r w:rsidR="00754BBA">
        <w:t xml:space="preserve">Supplier </w:t>
      </w:r>
      <w:r w:rsidRPr="008531A6">
        <w:t>Board to prepare this statement.</w:t>
      </w:r>
    </w:p>
    <w:p w14:paraId="362EF40F" w14:textId="197E8225" w:rsidR="001E4976" w:rsidRDefault="001E4976" w:rsidP="001E4976">
      <w:pPr>
        <w:pStyle w:val="Body"/>
        <w:keepNext/>
      </w:pPr>
      <w:r w:rsidRPr="008531A6">
        <w:t xml:space="preserve">The Board of Directors confirms, to the best of its knowledge and belief, that as at the date of this </w:t>
      </w:r>
      <w:r w:rsidR="007B502F">
        <w:t xml:space="preserve">Supplier </w:t>
      </w:r>
      <w:r w:rsidRPr="008531A6">
        <w:t>Board Confirmation it is not aware of and has no knowledge</w:t>
      </w:r>
      <w:proofErr w:type="gramStart"/>
      <w:r>
        <w:t>:</w:t>
      </w:r>
      <w:r>
        <w:noBreakHyphen/>
      </w:r>
      <w:proofErr w:type="gramEnd"/>
    </w:p>
    <w:p w14:paraId="4255AA68" w14:textId="25537266" w:rsidR="001E4976" w:rsidRPr="008531A6" w:rsidRDefault="001E4976" w:rsidP="001E4976">
      <w:pPr>
        <w:pStyle w:val="Level1"/>
        <w:numPr>
          <w:ilvl w:val="0"/>
          <w:numId w:val="16"/>
        </w:numPr>
        <w:tabs>
          <w:tab w:val="clear" w:pos="993"/>
          <w:tab w:val="num" w:pos="851"/>
        </w:tabs>
        <w:ind w:left="851"/>
      </w:pPr>
      <w:r w:rsidRPr="008531A6">
        <w:t>that a Financial Distress Event has occurred since the later of the previous</w:t>
      </w:r>
      <w:r w:rsidR="007B502F">
        <w:t xml:space="preserve"> Supplier</w:t>
      </w:r>
      <w:r w:rsidRPr="008531A6">
        <w:t xml:space="preserve"> Board Confirmation and the </w:t>
      </w:r>
      <w:r w:rsidR="000437A5">
        <w:t xml:space="preserve">Call-Off </w:t>
      </w:r>
      <w:r w:rsidRPr="008531A6">
        <w:t>Effective Date or is subsisting; or</w:t>
      </w:r>
    </w:p>
    <w:p w14:paraId="6B773224" w14:textId="77777777" w:rsidR="001E4976" w:rsidRPr="0017214D" w:rsidRDefault="001E4976" w:rsidP="001E4976">
      <w:pPr>
        <w:pStyle w:val="Level1"/>
        <w:numPr>
          <w:ilvl w:val="0"/>
          <w:numId w:val="1"/>
        </w:numPr>
        <w:tabs>
          <w:tab w:val="clear" w:pos="993"/>
          <w:tab w:val="num" w:pos="851"/>
        </w:tabs>
        <w:ind w:left="851"/>
      </w:pPr>
      <w:r w:rsidRPr="0017214D">
        <w:t>of any matters which have occurred or are subsisting that could reasonably be expected to cause a Financial Distress Event</w:t>
      </w:r>
    </w:p>
    <w:p w14:paraId="56CB9187" w14:textId="77777777" w:rsidR="001E4976" w:rsidRDefault="001E4976" w:rsidP="001E4976">
      <w:pPr>
        <w:pStyle w:val="Body"/>
        <w:keepNext/>
      </w:pPr>
      <w:r w:rsidRPr="008531A6">
        <w:t>On behalf of the Board of Directors</w:t>
      </w:r>
      <w:proofErr w:type="gramStart"/>
      <w:r>
        <w:t>:</w:t>
      </w:r>
      <w:r>
        <w:noBreakHyphen/>
      </w:r>
      <w:proofErr w:type="gramEnd"/>
    </w:p>
    <w:p w14:paraId="5A9ACB06" w14:textId="77777777" w:rsidR="001E4976" w:rsidRPr="008531A6" w:rsidRDefault="001E4976" w:rsidP="001E4976">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19"/>
      </w:tblGrid>
      <w:tr w:rsidR="001E4976" w:rsidRPr="00186157" w14:paraId="7A4FCDD3" w14:textId="77777777" w:rsidTr="004A0916">
        <w:tc>
          <w:tcPr>
            <w:tcW w:w="1242" w:type="dxa"/>
          </w:tcPr>
          <w:p w14:paraId="7F6B7CFE" w14:textId="77777777" w:rsidR="001E4976" w:rsidRPr="00186157" w:rsidRDefault="001E4976" w:rsidP="004A0916">
            <w:pPr>
              <w:pStyle w:val="Body"/>
            </w:pPr>
            <w:r w:rsidRPr="00186157">
              <w:t>Chair</w:t>
            </w:r>
          </w:p>
        </w:tc>
        <w:tc>
          <w:tcPr>
            <w:tcW w:w="3119" w:type="dxa"/>
          </w:tcPr>
          <w:p w14:paraId="59A717FB" w14:textId="77777777" w:rsidR="001E4976" w:rsidRPr="00186157" w:rsidRDefault="001E4976" w:rsidP="004A0916">
            <w:pPr>
              <w:pStyle w:val="Body"/>
              <w:tabs>
                <w:tab w:val="left" w:leader="dot" w:pos="2833"/>
              </w:tabs>
            </w:pPr>
            <w:r>
              <w:tab/>
            </w:r>
          </w:p>
        </w:tc>
      </w:tr>
      <w:tr w:rsidR="001E4976" w:rsidRPr="00186157" w14:paraId="40173A1B" w14:textId="77777777" w:rsidTr="004A0916">
        <w:tc>
          <w:tcPr>
            <w:tcW w:w="1242" w:type="dxa"/>
          </w:tcPr>
          <w:p w14:paraId="62980918" w14:textId="77777777" w:rsidR="001E4976" w:rsidRPr="00186157" w:rsidRDefault="001E4976" w:rsidP="004A0916">
            <w:pPr>
              <w:pStyle w:val="Body"/>
            </w:pPr>
            <w:r w:rsidRPr="00186157">
              <w:t>Signed</w:t>
            </w:r>
          </w:p>
        </w:tc>
        <w:tc>
          <w:tcPr>
            <w:tcW w:w="3119" w:type="dxa"/>
          </w:tcPr>
          <w:p w14:paraId="7DA1B7DB" w14:textId="77777777" w:rsidR="001E4976" w:rsidRPr="00186157" w:rsidRDefault="001E4976" w:rsidP="004A0916">
            <w:pPr>
              <w:pStyle w:val="Body"/>
              <w:tabs>
                <w:tab w:val="left" w:leader="dot" w:pos="2833"/>
              </w:tabs>
            </w:pPr>
            <w:r>
              <w:tab/>
            </w:r>
          </w:p>
        </w:tc>
      </w:tr>
      <w:tr w:rsidR="001E4976" w:rsidRPr="00186157" w14:paraId="5AA5E4B3" w14:textId="77777777" w:rsidTr="004A0916">
        <w:tc>
          <w:tcPr>
            <w:tcW w:w="1242" w:type="dxa"/>
          </w:tcPr>
          <w:p w14:paraId="561CE6DD" w14:textId="77777777" w:rsidR="001E4976" w:rsidRPr="00186157" w:rsidRDefault="001E4976" w:rsidP="004A0916">
            <w:pPr>
              <w:pStyle w:val="Body"/>
            </w:pPr>
            <w:r w:rsidRPr="00186157">
              <w:t>Date</w:t>
            </w:r>
          </w:p>
        </w:tc>
        <w:tc>
          <w:tcPr>
            <w:tcW w:w="3119" w:type="dxa"/>
          </w:tcPr>
          <w:p w14:paraId="2DD189F2" w14:textId="77777777" w:rsidR="001E4976" w:rsidRPr="00186157" w:rsidRDefault="001E4976" w:rsidP="004A0916">
            <w:pPr>
              <w:pStyle w:val="Body"/>
              <w:tabs>
                <w:tab w:val="left" w:leader="dot" w:pos="2833"/>
              </w:tabs>
            </w:pPr>
            <w:r>
              <w:tab/>
            </w:r>
          </w:p>
        </w:tc>
      </w:tr>
    </w:tbl>
    <w:p w14:paraId="2943946D" w14:textId="77777777" w:rsidR="001E4976" w:rsidRDefault="001E4976" w:rsidP="001E4976">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19"/>
      </w:tblGrid>
      <w:tr w:rsidR="001E4976" w:rsidRPr="00186157" w14:paraId="5CF3F4DB" w14:textId="77777777" w:rsidTr="004A0916">
        <w:tc>
          <w:tcPr>
            <w:tcW w:w="1242" w:type="dxa"/>
          </w:tcPr>
          <w:p w14:paraId="20A1D492" w14:textId="77777777" w:rsidR="001E4976" w:rsidRPr="00186157" w:rsidRDefault="001E4976" w:rsidP="004A0916">
            <w:pPr>
              <w:pStyle w:val="Body"/>
            </w:pPr>
            <w:r w:rsidRPr="00186157">
              <w:t>Director</w:t>
            </w:r>
          </w:p>
        </w:tc>
        <w:tc>
          <w:tcPr>
            <w:tcW w:w="3119" w:type="dxa"/>
          </w:tcPr>
          <w:p w14:paraId="7B6496A3" w14:textId="77777777" w:rsidR="001E4976" w:rsidRPr="00186157" w:rsidRDefault="001E4976" w:rsidP="004A0916">
            <w:pPr>
              <w:pStyle w:val="Body"/>
              <w:tabs>
                <w:tab w:val="left" w:leader="dot" w:pos="2833"/>
              </w:tabs>
            </w:pPr>
            <w:r>
              <w:tab/>
            </w:r>
          </w:p>
        </w:tc>
      </w:tr>
      <w:tr w:rsidR="001E4976" w:rsidRPr="00186157" w14:paraId="51E35021" w14:textId="77777777" w:rsidTr="004A0916">
        <w:tc>
          <w:tcPr>
            <w:tcW w:w="1242" w:type="dxa"/>
          </w:tcPr>
          <w:p w14:paraId="16056953" w14:textId="77777777" w:rsidR="001E4976" w:rsidRPr="00186157" w:rsidRDefault="001E4976" w:rsidP="004A0916">
            <w:pPr>
              <w:pStyle w:val="Body"/>
            </w:pPr>
            <w:r w:rsidRPr="00186157">
              <w:t>Signed</w:t>
            </w:r>
          </w:p>
        </w:tc>
        <w:tc>
          <w:tcPr>
            <w:tcW w:w="3119" w:type="dxa"/>
          </w:tcPr>
          <w:p w14:paraId="68A660FA" w14:textId="77777777" w:rsidR="001E4976" w:rsidRPr="00186157" w:rsidRDefault="001E4976" w:rsidP="004A0916">
            <w:pPr>
              <w:pStyle w:val="Body"/>
              <w:tabs>
                <w:tab w:val="left" w:leader="dot" w:pos="2833"/>
              </w:tabs>
            </w:pPr>
            <w:r>
              <w:tab/>
            </w:r>
          </w:p>
        </w:tc>
      </w:tr>
      <w:tr w:rsidR="001E4976" w:rsidRPr="008531A6" w14:paraId="5E1FCC10" w14:textId="77777777" w:rsidTr="004A0916">
        <w:tc>
          <w:tcPr>
            <w:tcW w:w="1242" w:type="dxa"/>
          </w:tcPr>
          <w:p w14:paraId="1885DEC1" w14:textId="77777777" w:rsidR="001E4976" w:rsidRPr="00186157" w:rsidRDefault="001E4976" w:rsidP="004A0916">
            <w:pPr>
              <w:pStyle w:val="Body"/>
            </w:pPr>
            <w:r w:rsidRPr="00186157">
              <w:t>Date</w:t>
            </w:r>
          </w:p>
        </w:tc>
        <w:tc>
          <w:tcPr>
            <w:tcW w:w="3119" w:type="dxa"/>
          </w:tcPr>
          <w:p w14:paraId="62BF40A4" w14:textId="77777777" w:rsidR="001E4976" w:rsidRPr="00186157" w:rsidRDefault="001E4976" w:rsidP="004A0916">
            <w:pPr>
              <w:pStyle w:val="Body"/>
              <w:tabs>
                <w:tab w:val="left" w:leader="dot" w:pos="2833"/>
              </w:tabs>
            </w:pPr>
            <w:r>
              <w:tab/>
            </w:r>
          </w:p>
        </w:tc>
      </w:tr>
    </w:tbl>
    <w:p w14:paraId="2B3A4606" w14:textId="77777777" w:rsidR="001E4976" w:rsidRPr="001E4976" w:rsidRDefault="001E4976" w:rsidP="00754BBA">
      <w:pPr>
        <w:pStyle w:val="Body"/>
      </w:pPr>
    </w:p>
    <w:p w14:paraId="6C110511" w14:textId="77777777" w:rsidR="007D5181" w:rsidRPr="008531A6" w:rsidRDefault="007D5181" w:rsidP="00857203">
      <w:pPr>
        <w:pStyle w:val="Body"/>
      </w:pPr>
      <w:r w:rsidRPr="008531A6">
        <w:br w:type="page"/>
      </w:r>
    </w:p>
    <w:p w14:paraId="6B0A87BB" w14:textId="0A61EBBD" w:rsidR="007D5181" w:rsidRPr="008531A6" w:rsidRDefault="007D5181" w:rsidP="00754BBA">
      <w:pPr>
        <w:pStyle w:val="Body"/>
      </w:pPr>
    </w:p>
    <w:p w14:paraId="0E05FE55" w14:textId="77777777" w:rsidR="000B15F6" w:rsidRDefault="00CB26D8" w:rsidP="00122432">
      <w:pPr>
        <w:pStyle w:val="Appendix"/>
      </w:pPr>
      <w:bookmarkStart w:id="77" w:name="_Ref70000019"/>
      <w:r w:rsidRPr="0017214D">
        <w:t xml:space="preserve"> </w:t>
      </w:r>
    </w:p>
    <w:p w14:paraId="2C5205CD" w14:textId="699D74C2" w:rsidR="00BE7429" w:rsidRPr="0017214D" w:rsidRDefault="00CB26D8" w:rsidP="000B15F6">
      <w:pPr>
        <w:pStyle w:val="SubHeading"/>
      </w:pPr>
      <w:r w:rsidRPr="0017214D">
        <w:t>Calculation Methodology for Financial Indicators</w:t>
      </w:r>
      <w:bookmarkEnd w:id="77"/>
    </w:p>
    <w:p w14:paraId="017D06D8" w14:textId="77777777" w:rsidR="00C70E1F" w:rsidRPr="00671710" w:rsidRDefault="00C70E1F" w:rsidP="00A26B2E">
      <w:pPr>
        <w:pStyle w:val="Body"/>
        <w:keepNext/>
        <w:keepLines/>
      </w:pPr>
      <w:r w:rsidRPr="00671710">
        <w:t>The Supplier shall ensure that it uses the following general and specific methodologies for calculating the Financial Indicators against the Financial Target Thresholds:</w:t>
      </w:r>
    </w:p>
    <w:p w14:paraId="347C44F7" w14:textId="77777777" w:rsidR="00C70E1F" w:rsidRPr="00671710" w:rsidRDefault="00C70E1F">
      <w:pPr>
        <w:pStyle w:val="Body"/>
        <w:keepNext/>
        <w:keepLines/>
      </w:pPr>
      <w:r w:rsidRPr="00671710">
        <w:rPr>
          <w:b/>
        </w:rPr>
        <w:t>General methodology</w:t>
      </w:r>
    </w:p>
    <w:p w14:paraId="1E6E8FED" w14:textId="57D23B3A" w:rsidR="00C70E1F" w:rsidRPr="00671710" w:rsidRDefault="00C70E1F" w:rsidP="00964CD1">
      <w:pPr>
        <w:pStyle w:val="Level1"/>
        <w:keepNext/>
        <w:keepLines/>
        <w:numPr>
          <w:ilvl w:val="0"/>
          <w:numId w:val="42"/>
        </w:numPr>
        <w:tabs>
          <w:tab w:val="clear" w:pos="993"/>
          <w:tab w:val="num" w:pos="851"/>
        </w:tabs>
        <w:ind w:left="851"/>
      </w:pPr>
      <w:bookmarkStart w:id="78" w:name="_BPDC_LN_INS_1436"/>
      <w:bookmarkStart w:id="79" w:name="_BPDC_PR_INS_1437"/>
      <w:bookmarkEnd w:id="78"/>
      <w:bookmarkEnd w:id="79"/>
      <w:r w:rsidRPr="00DC7339">
        <w:rPr>
          <w:b/>
          <w:i/>
        </w:rPr>
        <w:t>Terminology</w:t>
      </w:r>
      <w:r w:rsidRPr="00671710">
        <w:t xml:space="preserve">: The terms referred to in this </w:t>
      </w:r>
      <w:r w:rsidR="00E766FC">
        <w:t>Appendix</w:t>
      </w:r>
      <w:r w:rsidR="00E766FC" w:rsidRPr="00671710">
        <w:t xml:space="preserve"> </w:t>
      </w:r>
      <w:r w:rsidRPr="00671710">
        <w:t>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12942E10" w14:textId="77777777" w:rsidR="00C70E1F" w:rsidRPr="00671710" w:rsidRDefault="00C70E1F" w:rsidP="00754BBA">
      <w:pPr>
        <w:pStyle w:val="Level1"/>
        <w:keepNext/>
        <w:keepLines/>
        <w:numPr>
          <w:ilvl w:val="0"/>
          <w:numId w:val="1"/>
        </w:numPr>
        <w:tabs>
          <w:tab w:val="clear" w:pos="993"/>
          <w:tab w:val="num" w:pos="851"/>
        </w:tabs>
        <w:ind w:left="851"/>
      </w:pPr>
      <w:bookmarkStart w:id="80" w:name="_BPDC_LN_INS_1434"/>
      <w:bookmarkStart w:id="81" w:name="_BPDC_PR_INS_1435"/>
      <w:bookmarkEnd w:id="80"/>
      <w:bookmarkEnd w:id="81"/>
      <w:r w:rsidRPr="00671710">
        <w:rPr>
          <w:b/>
          <w:i/>
        </w:rPr>
        <w:t>Groups</w:t>
      </w:r>
      <w:r w:rsidRPr="00671710">
        <w:t>: Where the entity is the holding company of a group and prepares consolidated financial statements, the consolidated figures should be used.</w:t>
      </w:r>
    </w:p>
    <w:p w14:paraId="59B7C50F" w14:textId="77777777" w:rsidR="00C70E1F" w:rsidRPr="00671710" w:rsidRDefault="00C70E1F" w:rsidP="00754BBA">
      <w:pPr>
        <w:pStyle w:val="Level1"/>
        <w:keepLines/>
        <w:numPr>
          <w:ilvl w:val="0"/>
          <w:numId w:val="1"/>
        </w:numPr>
        <w:tabs>
          <w:tab w:val="clear" w:pos="993"/>
          <w:tab w:val="num" w:pos="851"/>
        </w:tabs>
        <w:ind w:left="851"/>
      </w:pPr>
      <w:bookmarkStart w:id="82" w:name="_BPDC_LN_INS_1432"/>
      <w:bookmarkStart w:id="83" w:name="_BPDC_PR_INS_1433"/>
      <w:bookmarkEnd w:id="82"/>
      <w:bookmarkEnd w:id="83"/>
      <w:r w:rsidRPr="00671710">
        <w:rPr>
          <w:b/>
          <w:i/>
        </w:rPr>
        <w:t>Foreign currency conversion</w:t>
      </w:r>
      <w:r w:rsidRPr="00671710">
        <w:t>: Figures denominated in foreign currencies should be converted at the exchange rate in force at the relevant date for which the Financial Indicator is being calculated.</w:t>
      </w:r>
    </w:p>
    <w:p w14:paraId="7A0FBD34" w14:textId="77777777" w:rsidR="00C70E1F" w:rsidRPr="00671710" w:rsidRDefault="00C70E1F" w:rsidP="00754BBA">
      <w:pPr>
        <w:pStyle w:val="Level1"/>
        <w:keepLines/>
        <w:numPr>
          <w:ilvl w:val="0"/>
          <w:numId w:val="1"/>
        </w:numPr>
        <w:tabs>
          <w:tab w:val="clear" w:pos="993"/>
          <w:tab w:val="num" w:pos="851"/>
        </w:tabs>
        <w:ind w:left="851"/>
      </w:pPr>
      <w:bookmarkStart w:id="84" w:name="_BPDC_LN_INS_1430"/>
      <w:bookmarkStart w:id="85" w:name="_BPDC_PR_INS_1431"/>
      <w:bookmarkEnd w:id="84"/>
      <w:bookmarkEnd w:id="85"/>
      <w:r w:rsidRPr="00671710">
        <w:rPr>
          <w:b/>
          <w:i/>
        </w:rPr>
        <w:t>Treatment of non-underlying items</w:t>
      </w:r>
      <w:r w:rsidRPr="00671710">
        <w:t>: Financial Indicators should be based on the figures in the financial statements before adjusting for non-underlying items.</w:t>
      </w:r>
    </w:p>
    <w:p w14:paraId="48DA79F0" w14:textId="77777777" w:rsidR="00C70E1F" w:rsidRPr="00671710" w:rsidRDefault="00C70E1F" w:rsidP="00754BBA">
      <w:pPr>
        <w:pStyle w:val="Body"/>
        <w:keepLines/>
      </w:pPr>
      <w:r w:rsidRPr="00671710">
        <w:rPr>
          <w:b/>
        </w:rPr>
        <w:t>Specific Methodology</w:t>
      </w:r>
    </w:p>
    <w:tbl>
      <w:tblPr>
        <w:tblpPr w:leftFromText="181" w:rightFromText="18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C70E1F" w:rsidRPr="00671710" w14:paraId="2C7319C7" w14:textId="77777777" w:rsidTr="00754BBA">
        <w:tc>
          <w:tcPr>
            <w:tcW w:w="1696" w:type="dxa"/>
            <w:shd w:val="clear" w:color="auto" w:fill="D9D9D9" w:themeFill="background1" w:themeFillShade="D9"/>
            <w:vAlign w:val="center"/>
          </w:tcPr>
          <w:p w14:paraId="0084C462" w14:textId="77777777" w:rsidR="00C70E1F" w:rsidRPr="00671710" w:rsidRDefault="00C70E1F" w:rsidP="009A13B5">
            <w:pPr>
              <w:keepNext/>
              <w:keepLines/>
              <w:jc w:val="left"/>
              <w:outlineLvl w:val="2"/>
              <w:rPr>
                <w:b/>
              </w:rPr>
            </w:pPr>
            <w:bookmarkStart w:id="86" w:name="_BPDCI_626"/>
            <w:r w:rsidRPr="00671710">
              <w:rPr>
                <w:b/>
              </w:rPr>
              <w:t>Financial Indicator</w:t>
            </w:r>
            <w:bookmarkEnd w:id="86"/>
          </w:p>
        </w:tc>
        <w:tc>
          <w:tcPr>
            <w:tcW w:w="7484" w:type="dxa"/>
            <w:shd w:val="clear" w:color="auto" w:fill="D9D9D9" w:themeFill="background1" w:themeFillShade="D9"/>
          </w:tcPr>
          <w:p w14:paraId="006E8F10" w14:textId="77777777" w:rsidR="00C70E1F" w:rsidRPr="00671710" w:rsidRDefault="00C70E1F" w:rsidP="009A13B5">
            <w:pPr>
              <w:keepNext/>
              <w:keepLines/>
              <w:spacing w:after="120"/>
              <w:ind w:left="141"/>
            </w:pPr>
            <w:bookmarkStart w:id="87" w:name="_BPDCI_627"/>
            <w:r w:rsidRPr="00964CD1">
              <w:rPr>
                <w:b/>
              </w:rPr>
              <w:t>Specific Methodology</w:t>
            </w:r>
            <w:bookmarkEnd w:id="87"/>
          </w:p>
        </w:tc>
      </w:tr>
      <w:tr w:rsidR="005E4028" w:rsidRPr="00671710" w14:paraId="7393E0A2" w14:textId="77777777" w:rsidTr="00754BBA">
        <w:tc>
          <w:tcPr>
            <w:tcW w:w="1696" w:type="dxa"/>
            <w:shd w:val="clear" w:color="auto" w:fill="D9EEFF"/>
            <w:vAlign w:val="center"/>
          </w:tcPr>
          <w:p w14:paraId="28F19C33" w14:textId="6FC37751" w:rsidR="005E4028" w:rsidRPr="00671710" w:rsidRDefault="005E4028" w:rsidP="009A13B5">
            <w:pPr>
              <w:keepNext/>
              <w:keepLines/>
              <w:jc w:val="left"/>
              <w:outlineLvl w:val="2"/>
              <w:rPr>
                <w:b/>
              </w:rPr>
            </w:pPr>
            <w:r>
              <w:rPr>
                <w:b/>
                <w:bCs/>
              </w:rPr>
              <w:t>1. Turnover Ratio</w:t>
            </w:r>
          </w:p>
        </w:tc>
        <w:tc>
          <w:tcPr>
            <w:tcW w:w="7484" w:type="dxa"/>
            <w:shd w:val="clear" w:color="auto" w:fill="D9EEFF"/>
          </w:tcPr>
          <w:p w14:paraId="43C29017" w14:textId="77777777" w:rsidR="006C0FBE" w:rsidRDefault="006C0FBE" w:rsidP="006C0FBE">
            <w:pPr>
              <w:keepNext/>
              <w:ind w:left="142"/>
              <w:rPr>
                <w:snapToGrid w:val="0"/>
              </w:rPr>
            </w:pPr>
          </w:p>
          <w:p w14:paraId="580215D6" w14:textId="77777777" w:rsidR="005E4028" w:rsidRDefault="005E4028" w:rsidP="009A13B5">
            <w:pPr>
              <w:keepNext/>
              <w:spacing w:after="120"/>
              <w:ind w:left="141"/>
              <w:rPr>
                <w:rFonts w:ascii="Calibri" w:eastAsiaTheme="minorHAnsi" w:hAnsi="Calibri" w:cs="Calibri"/>
                <w:sz w:val="22"/>
                <w:szCs w:val="22"/>
                <w:lang w:eastAsia="en-US"/>
              </w:rPr>
            </w:pPr>
            <w:r w:rsidRPr="008B7C50">
              <w:rPr>
                <w:snapToGrid w:val="0"/>
              </w:rPr>
              <w:t>This measure is measuring the ratio of the overall annual revenue/overall expected annual contract value</w:t>
            </w:r>
            <w:r>
              <w:rPr>
                <w:snapToGrid w:val="0"/>
              </w:rPr>
              <w:t>.</w:t>
            </w:r>
          </w:p>
          <w:p w14:paraId="630C8D41" w14:textId="4268CA4B" w:rsidR="005E4028" w:rsidRPr="00671710" w:rsidRDefault="005E4028" w:rsidP="009A13B5">
            <w:pPr>
              <w:keepNext/>
              <w:keepLines/>
              <w:spacing w:after="120"/>
              <w:ind w:left="141"/>
            </w:pPr>
            <w:r>
              <w:rPr>
                <w:snapToGrid w:val="0"/>
              </w:rPr>
              <w:t xml:space="preserve">Revenue should be shown on the face of the income statement in a standard set of financial statements. It should exclude the </w:t>
            </w:r>
            <w:proofErr w:type="spellStart"/>
            <w:r>
              <w:rPr>
                <w:snapToGrid w:val="0"/>
              </w:rPr>
              <w:t>FDE</w:t>
            </w:r>
            <w:proofErr w:type="spellEnd"/>
            <w:r>
              <w:rPr>
                <w:snapToGrid w:val="0"/>
              </w:rPr>
              <w:t xml:space="preserve"> </w:t>
            </w:r>
            <w:r w:rsidR="00A94850">
              <w:rPr>
                <w:snapToGrid w:val="0"/>
              </w:rPr>
              <w:t xml:space="preserve">Group </w:t>
            </w:r>
            <w:r>
              <w:rPr>
                <w:snapToGrid w:val="0"/>
              </w:rPr>
              <w:t>entity</w:t>
            </w:r>
            <w:r w:rsidR="00C83B1E">
              <w:rPr>
                <w:snapToGrid w:val="0"/>
              </w:rPr>
              <w:t>'</w:t>
            </w:r>
            <w:r>
              <w:rPr>
                <w:snapToGrid w:val="0"/>
              </w:rPr>
              <w:t>s share of the revenue of joint ventures or associates.</w:t>
            </w:r>
          </w:p>
        </w:tc>
      </w:tr>
      <w:tr w:rsidR="00C70E1F" w:rsidRPr="00671710" w14:paraId="1A29774F" w14:textId="77777777" w:rsidTr="00754BBA">
        <w:tc>
          <w:tcPr>
            <w:tcW w:w="1696" w:type="dxa"/>
            <w:shd w:val="clear" w:color="auto" w:fill="D9EEFF"/>
            <w:vAlign w:val="center"/>
          </w:tcPr>
          <w:p w14:paraId="56B0B8C6" w14:textId="38C547C7" w:rsidR="00C70E1F" w:rsidRPr="005E20BB" w:rsidRDefault="005E4028" w:rsidP="009A13B5">
            <w:pPr>
              <w:keepNext/>
              <w:keepLines/>
              <w:jc w:val="left"/>
              <w:outlineLvl w:val="2"/>
              <w:rPr>
                <w:b/>
              </w:rPr>
            </w:pPr>
            <w:bookmarkStart w:id="88" w:name="_BPDCI_628"/>
            <w:r>
              <w:rPr>
                <w:b/>
              </w:rPr>
              <w:t>2</w:t>
            </w:r>
            <w:r w:rsidR="00C70E1F">
              <w:rPr>
                <w:b/>
              </w:rPr>
              <w:t xml:space="preserve">. </w:t>
            </w:r>
            <w:r w:rsidR="00C70E1F" w:rsidRPr="00671710">
              <w:rPr>
                <w:b/>
              </w:rPr>
              <w:t>Operating Margin</w:t>
            </w:r>
            <w:bookmarkEnd w:id="88"/>
            <w:r w:rsidR="00C70E1F">
              <w:rPr>
                <w:b/>
              </w:rPr>
              <w:t xml:space="preserve"> </w:t>
            </w:r>
          </w:p>
        </w:tc>
        <w:tc>
          <w:tcPr>
            <w:tcW w:w="7484" w:type="dxa"/>
            <w:shd w:val="clear" w:color="auto" w:fill="D9EEFF"/>
          </w:tcPr>
          <w:p w14:paraId="1A1E965A" w14:textId="77777777" w:rsidR="006C0FBE" w:rsidRDefault="006C0FBE" w:rsidP="006C0FBE">
            <w:pPr>
              <w:keepNext/>
              <w:keepLines/>
              <w:ind w:left="142"/>
            </w:pPr>
            <w:bookmarkStart w:id="89" w:name="_BPDCI_629"/>
          </w:p>
          <w:p w14:paraId="54AD6E70" w14:textId="77777777" w:rsidR="00C70E1F" w:rsidRPr="00671710" w:rsidRDefault="00C70E1F" w:rsidP="009A13B5">
            <w:pPr>
              <w:keepNext/>
              <w:keepLines/>
              <w:spacing w:after="120"/>
              <w:ind w:left="141"/>
            </w:pPr>
            <w:r w:rsidRPr="00671710">
              <w:t>The elements used to calculate the Operating Margin shou</w:t>
            </w:r>
            <w:r>
              <w:t>ld be shown on the face of the any income s</w:t>
            </w:r>
            <w:r w:rsidRPr="00671710">
              <w:t xml:space="preserve">tatement in a standard set of financial statements. </w:t>
            </w:r>
          </w:p>
          <w:p w14:paraId="1C72B381" w14:textId="3CFC5A2A" w:rsidR="00C70E1F" w:rsidRPr="00671710" w:rsidRDefault="00C70E1F" w:rsidP="009A13B5">
            <w:pPr>
              <w:keepNext/>
              <w:keepLines/>
              <w:spacing w:after="120"/>
              <w:ind w:left="141"/>
            </w:pPr>
            <w:r>
              <w:t>Figures for operating p</w:t>
            </w:r>
            <w:r w:rsidRPr="00671710">
              <w:t xml:space="preserve">rofit and </w:t>
            </w:r>
            <w:r>
              <w:t>r</w:t>
            </w:r>
            <w:r w:rsidRPr="00671710">
              <w:t>evenue should exclude the</w:t>
            </w:r>
            <w:r>
              <w:t xml:space="preserve"> relevant </w:t>
            </w:r>
            <w:proofErr w:type="spellStart"/>
            <w:r>
              <w:t>FDE</w:t>
            </w:r>
            <w:proofErr w:type="spellEnd"/>
            <w:r w:rsidRPr="00671710">
              <w:t xml:space="preserve"> </w:t>
            </w:r>
            <w:r w:rsidR="00A94850">
              <w:rPr>
                <w:snapToGrid w:val="0"/>
              </w:rPr>
              <w:t xml:space="preserve">Group </w:t>
            </w:r>
            <w:r w:rsidRPr="00671710">
              <w:t>entity</w:t>
            </w:r>
            <w:r w:rsidR="00C83B1E">
              <w:t>'</w:t>
            </w:r>
            <w:r w:rsidRPr="00671710">
              <w:t>s share of the re</w:t>
            </w:r>
            <w:r>
              <w:t>sults of any joint ventures or a</w:t>
            </w:r>
            <w:r w:rsidRPr="00671710">
              <w:t xml:space="preserve">ssociates. </w:t>
            </w:r>
          </w:p>
          <w:p w14:paraId="775D1628" w14:textId="77777777" w:rsidR="00C70E1F" w:rsidRPr="00671710" w:rsidRDefault="00C70E1F" w:rsidP="009A13B5">
            <w:pPr>
              <w:keepNext/>
              <w:keepLines/>
              <w:spacing w:after="120"/>
              <w:ind w:left="141"/>
            </w:pPr>
            <w:r w:rsidRPr="00671710">
              <w:t xml:space="preserve">Where an entity has an operating loss (i.e. where the operating </w:t>
            </w:r>
            <w:r>
              <w:t>profit is negative), operating p</w:t>
            </w:r>
            <w:r w:rsidRPr="00671710">
              <w:t>rofit should be taken to be zero</w:t>
            </w:r>
            <w:r>
              <w:t xml:space="preserve"> (0)</w:t>
            </w:r>
            <w:r w:rsidRPr="00671710">
              <w:t>.</w:t>
            </w:r>
            <w:bookmarkEnd w:id="89"/>
          </w:p>
          <w:p w14:paraId="4927E282" w14:textId="77777777" w:rsidR="00C70E1F" w:rsidRPr="00671710" w:rsidRDefault="00C70E1F" w:rsidP="009A13B5">
            <w:pPr>
              <w:keepNext/>
              <w:keepLines/>
            </w:pPr>
          </w:p>
        </w:tc>
      </w:tr>
      <w:tr w:rsidR="00C70E1F" w:rsidRPr="00671710" w14:paraId="6E7D8313" w14:textId="77777777" w:rsidTr="00754BBA">
        <w:tc>
          <w:tcPr>
            <w:tcW w:w="1696" w:type="dxa"/>
            <w:shd w:val="clear" w:color="auto" w:fill="D9EEFF"/>
            <w:vAlign w:val="center"/>
          </w:tcPr>
          <w:p w14:paraId="6DC70386" w14:textId="7B6112E0" w:rsidR="00C70E1F" w:rsidRPr="00671710" w:rsidRDefault="00C70E1F" w:rsidP="009A13B5">
            <w:pPr>
              <w:keepNext/>
              <w:keepLines/>
              <w:jc w:val="left"/>
              <w:outlineLvl w:val="2"/>
              <w:rPr>
                <w:b/>
              </w:rPr>
            </w:pPr>
            <w:bookmarkStart w:id="90" w:name="_BPDCI_630"/>
            <w:r>
              <w:rPr>
                <w:b/>
              </w:rPr>
              <w:t>3</w:t>
            </w:r>
            <w:r w:rsidR="005E4028">
              <w:rPr>
                <w:b/>
              </w:rPr>
              <w:t>A</w:t>
            </w:r>
            <w:r>
              <w:rPr>
                <w:b/>
              </w:rPr>
              <w:t xml:space="preserve">. </w:t>
            </w:r>
            <w:r w:rsidRPr="00671710">
              <w:rPr>
                <w:b/>
              </w:rPr>
              <w:t xml:space="preserve">Free Cash Flow to Net </w:t>
            </w:r>
            <w:r>
              <w:rPr>
                <w:b/>
              </w:rPr>
              <w:t>Debt Ratio</w:t>
            </w:r>
          </w:p>
          <w:bookmarkEnd w:id="90"/>
          <w:p w14:paraId="06DF21C5" w14:textId="77777777" w:rsidR="00C70E1F" w:rsidRPr="00671710" w:rsidRDefault="00C70E1F" w:rsidP="009A13B5">
            <w:pPr>
              <w:keepNext/>
              <w:keepLines/>
            </w:pPr>
          </w:p>
        </w:tc>
        <w:tc>
          <w:tcPr>
            <w:tcW w:w="7484" w:type="dxa"/>
            <w:shd w:val="clear" w:color="auto" w:fill="D9EEFF"/>
          </w:tcPr>
          <w:p w14:paraId="2C7BFC02" w14:textId="77777777" w:rsidR="006C0FBE" w:rsidRDefault="006C0FBE" w:rsidP="009A13B5">
            <w:pPr>
              <w:keepNext/>
              <w:keepLines/>
              <w:spacing w:line="276" w:lineRule="auto"/>
              <w:ind w:left="140"/>
            </w:pPr>
            <w:bookmarkStart w:id="91" w:name="_BPDCI_631"/>
          </w:p>
          <w:p w14:paraId="391F403C" w14:textId="674AE993" w:rsidR="00C70E1F" w:rsidRPr="0077086D" w:rsidRDefault="00C83B1E" w:rsidP="009A13B5">
            <w:pPr>
              <w:keepNext/>
              <w:keepLines/>
              <w:spacing w:line="276" w:lineRule="auto"/>
              <w:ind w:left="140"/>
              <w:rPr>
                <w:b/>
              </w:rPr>
            </w:pPr>
            <w:r>
              <w:t>"</w:t>
            </w:r>
            <w:r w:rsidR="00C70E1F" w:rsidRPr="0077086D">
              <w:rPr>
                <w:b/>
              </w:rPr>
              <w:t>Free Cash Flow</w:t>
            </w:r>
            <w:r>
              <w:t>"</w:t>
            </w:r>
            <w:r w:rsidR="00C70E1F">
              <w:t xml:space="preserve"> = Net cash flow from operating a</w:t>
            </w:r>
            <w:r w:rsidR="00C70E1F" w:rsidRPr="0077086D">
              <w:t>ctivities – Capital Expenditure</w:t>
            </w:r>
          </w:p>
          <w:p w14:paraId="7EF00413" w14:textId="2EA1F67A" w:rsidR="00C70E1F" w:rsidRPr="0077086D" w:rsidRDefault="00C83B1E" w:rsidP="009A13B5">
            <w:pPr>
              <w:keepNext/>
              <w:keepLines/>
              <w:spacing w:line="276" w:lineRule="auto"/>
              <w:ind w:left="141"/>
            </w:pPr>
            <w:r>
              <w:t>"</w:t>
            </w:r>
            <w:r w:rsidR="00C70E1F" w:rsidRPr="0077086D">
              <w:rPr>
                <w:b/>
              </w:rPr>
              <w:t>Capital Expenditure</w:t>
            </w:r>
            <w:r>
              <w:t>"</w:t>
            </w:r>
            <w:r w:rsidR="00C70E1F" w:rsidRPr="0077086D">
              <w:t xml:space="preserve"> = Purchase of property, plant &amp; equipment + purchase of intangible assets</w:t>
            </w:r>
          </w:p>
          <w:p w14:paraId="58D95BA4" w14:textId="7954886A" w:rsidR="00C70E1F" w:rsidRDefault="00C83B1E" w:rsidP="009A13B5">
            <w:pPr>
              <w:keepNext/>
              <w:keepLines/>
              <w:spacing w:line="276" w:lineRule="auto"/>
              <w:ind w:left="141"/>
            </w:pPr>
            <w:r>
              <w:t>"</w:t>
            </w:r>
            <w:r w:rsidR="00C70E1F" w:rsidRPr="0077086D">
              <w:rPr>
                <w:b/>
              </w:rPr>
              <w:t>Net Debt</w:t>
            </w:r>
            <w:r>
              <w:t>"</w:t>
            </w:r>
            <w:r w:rsidR="00C70E1F">
              <w:t xml:space="preserve"> = Bank overdrafts + loans and borrowings + finance leases + d</w:t>
            </w:r>
            <w:r w:rsidR="00C70E1F" w:rsidRPr="0077086D">
              <w:t>e</w:t>
            </w:r>
            <w:r w:rsidR="00C70E1F">
              <w:t>ferred consideration payable – cash and cash equivalents</w:t>
            </w:r>
          </w:p>
          <w:p w14:paraId="259D7D78" w14:textId="77777777" w:rsidR="00C70E1F" w:rsidRDefault="00C70E1F" w:rsidP="009A13B5">
            <w:pPr>
              <w:keepNext/>
              <w:keepLines/>
              <w:spacing w:line="276" w:lineRule="auto"/>
              <w:ind w:left="141"/>
            </w:pPr>
          </w:p>
          <w:p w14:paraId="25E324BC" w14:textId="77777777" w:rsidR="00C70E1F" w:rsidRDefault="00C70E1F" w:rsidP="009A13B5">
            <w:pPr>
              <w:keepNext/>
              <w:keepLines/>
              <w:spacing w:after="120" w:line="276" w:lineRule="auto"/>
              <w:ind w:left="141"/>
            </w:pPr>
            <w:r w:rsidRPr="0077086D">
              <w:t xml:space="preserve">The majority of the elements used to calculate the Free Cash Flow to Net Debt Ratio should be shown on the face of the </w:t>
            </w:r>
            <w:r>
              <w:t>income statement of c</w:t>
            </w:r>
            <w:r w:rsidRPr="0077086D">
              <w:t>ash</w:t>
            </w:r>
            <w:r>
              <w:t xml:space="preserve"> flows and the balance s</w:t>
            </w:r>
            <w:r w:rsidRPr="0077086D">
              <w:t>heet in a standard set of financial statements.</w:t>
            </w:r>
          </w:p>
          <w:p w14:paraId="1605065C" w14:textId="77777777" w:rsidR="00C70E1F" w:rsidRDefault="00C70E1F" w:rsidP="009A13B5">
            <w:pPr>
              <w:pStyle w:val="ListParagraph"/>
              <w:keepNext/>
              <w:keepLines/>
              <w:numPr>
                <w:ilvl w:val="0"/>
                <w:numId w:val="36"/>
              </w:numPr>
              <w:spacing w:after="120" w:line="276" w:lineRule="auto"/>
            </w:pPr>
            <w:bookmarkStart w:id="92" w:name="_BPDC_LN_INS_1428"/>
            <w:bookmarkStart w:id="93" w:name="_BPDC_PR_INS_1429"/>
            <w:bookmarkEnd w:id="92"/>
            <w:bookmarkEnd w:id="93"/>
            <w:r w:rsidRPr="00956D67">
              <w:t xml:space="preserve">Net cash flow from operating activities: This should be stated after </w:t>
            </w:r>
            <w:r w:rsidRPr="00956D67">
              <w:lastRenderedPageBreak/>
              <w:t>deduction of interest and tax paid.</w:t>
            </w:r>
          </w:p>
          <w:p w14:paraId="59D1A487" w14:textId="77777777" w:rsidR="00C70E1F" w:rsidRDefault="00C70E1F" w:rsidP="009A13B5">
            <w:pPr>
              <w:keepNext/>
              <w:keepLines/>
              <w:spacing w:line="276" w:lineRule="auto"/>
              <w:ind w:left="501"/>
            </w:pPr>
          </w:p>
          <w:p w14:paraId="5AA1B638" w14:textId="15C20DCD" w:rsidR="00C70E1F" w:rsidRDefault="00C70E1F" w:rsidP="009A13B5">
            <w:pPr>
              <w:pStyle w:val="ListParagraph"/>
              <w:keepNext/>
              <w:keepLines/>
              <w:numPr>
                <w:ilvl w:val="0"/>
                <w:numId w:val="36"/>
              </w:numPr>
              <w:spacing w:after="120" w:line="276" w:lineRule="auto"/>
            </w:pPr>
            <w:bookmarkStart w:id="94" w:name="_BPDC_LN_INS_1426"/>
            <w:bookmarkStart w:id="95" w:name="_BPDC_PR_INS_1427"/>
            <w:bookmarkEnd w:id="94"/>
            <w:bookmarkEnd w:id="95"/>
            <w:r w:rsidRPr="00956D67">
              <w:t xml:space="preserve">Capital Expenditure: The elements of capital expenditure may be described slightly differently but will be found under </w:t>
            </w:r>
            <w:r w:rsidR="00C83B1E">
              <w:t>'</w:t>
            </w:r>
            <w:r w:rsidRPr="00956D67">
              <w:t>Cash flows from investing activities</w:t>
            </w:r>
            <w:r w:rsidR="00C83B1E">
              <w:t>'</w:t>
            </w:r>
            <w:r w:rsidRPr="00956D67">
              <w:t xml:space="preserve"> in the </w:t>
            </w:r>
            <w:r w:rsidR="00351FCB">
              <w:t>s</w:t>
            </w:r>
            <w:r w:rsidR="00351FCB" w:rsidRPr="00956D67">
              <w:t xml:space="preserve">tatement </w:t>
            </w:r>
            <w:r w:rsidRPr="00956D67">
              <w:t xml:space="preserve">of </w:t>
            </w:r>
            <w:r w:rsidR="00351FCB">
              <w:t>c</w:t>
            </w:r>
            <w:r w:rsidR="00351FCB" w:rsidRPr="00956D67">
              <w:t xml:space="preserve">ash </w:t>
            </w:r>
            <w:r w:rsidR="00351FCB">
              <w:t>f</w:t>
            </w:r>
            <w:r w:rsidR="00351FCB" w:rsidRPr="00956D67">
              <w:t>lows</w:t>
            </w:r>
            <w:r w:rsidRPr="00956D67">
              <w:t>; they should be limited to the purchase of fixed assets (including intangible assets) for the business and exclude acquisitions. The figure should be shown gross without any deduction for any proceeds of sale of fixed assets.</w:t>
            </w:r>
          </w:p>
          <w:p w14:paraId="08D860C2" w14:textId="77777777" w:rsidR="00C70E1F" w:rsidRDefault="00C70E1F" w:rsidP="009A13B5">
            <w:pPr>
              <w:keepNext/>
              <w:keepLines/>
              <w:spacing w:line="276" w:lineRule="auto"/>
              <w:ind w:left="501"/>
            </w:pPr>
          </w:p>
          <w:p w14:paraId="7004A0DB" w14:textId="20CD9A5F" w:rsidR="00C70E1F" w:rsidRDefault="00C70E1F" w:rsidP="009A13B5">
            <w:pPr>
              <w:pStyle w:val="ListParagraph"/>
              <w:keepNext/>
              <w:keepLines/>
              <w:numPr>
                <w:ilvl w:val="0"/>
                <w:numId w:val="36"/>
              </w:numPr>
              <w:spacing w:after="120" w:line="276" w:lineRule="auto"/>
            </w:pPr>
            <w:bookmarkStart w:id="96" w:name="_BPDC_LN_INS_1424"/>
            <w:bookmarkStart w:id="97" w:name="_BPDC_PR_INS_1425"/>
            <w:bookmarkEnd w:id="96"/>
            <w:bookmarkEnd w:id="97"/>
            <w:r w:rsidRPr="00956D67">
              <w:t xml:space="preserve">Net Debt: The elements of </w:t>
            </w:r>
            <w:r w:rsidR="00C83B1E">
              <w:t>'</w:t>
            </w:r>
            <w:r w:rsidRPr="00956D67">
              <w:t>Net Debt</w:t>
            </w:r>
            <w:r w:rsidR="00C83B1E">
              <w:t>'</w:t>
            </w:r>
            <w:r w:rsidRPr="00956D67">
              <w:t xml:space="preserve">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 of any hedges designated as linked to borrowings (but not non-designated hedges). Borrowings should also include balances owed to other group members.</w:t>
            </w:r>
          </w:p>
          <w:p w14:paraId="7C9BDC1A" w14:textId="77777777" w:rsidR="00C70E1F" w:rsidRDefault="00C70E1F" w:rsidP="009A13B5">
            <w:pPr>
              <w:keepNext/>
              <w:keepLines/>
              <w:spacing w:after="120" w:line="276" w:lineRule="auto"/>
              <w:ind w:left="501"/>
            </w:pPr>
          </w:p>
          <w:p w14:paraId="0257DCE4" w14:textId="77777777" w:rsidR="00C70E1F" w:rsidRPr="00956D67" w:rsidRDefault="00C70E1F" w:rsidP="009A13B5">
            <w:pPr>
              <w:keepNext/>
              <w:keepLines/>
              <w:spacing w:after="120" w:line="276" w:lineRule="auto"/>
              <w:ind w:left="147"/>
            </w:pPr>
            <w:r w:rsidRPr="00956D67">
              <w:t>Deferred consideration payable should be included in Net Debt despite typically being non-interest bearing.</w:t>
            </w:r>
          </w:p>
          <w:p w14:paraId="7FC1CBA6" w14:textId="77777777" w:rsidR="00C70E1F" w:rsidRPr="0077086D" w:rsidRDefault="00C70E1F" w:rsidP="009A13B5">
            <w:pPr>
              <w:pStyle w:val="Body2"/>
              <w:keepNext/>
              <w:keepLines/>
              <w:ind w:left="147"/>
            </w:pPr>
            <w:r w:rsidRPr="0077086D">
              <w:t>Cash and cash equivalents should include short-term financial investments shown in current assets.</w:t>
            </w:r>
          </w:p>
          <w:p w14:paraId="5EF419DF" w14:textId="77777777" w:rsidR="00C70E1F" w:rsidRDefault="00C70E1F" w:rsidP="009A13B5">
            <w:pPr>
              <w:pStyle w:val="Body"/>
              <w:keepNext/>
              <w:keepLines/>
              <w:ind w:left="147"/>
            </w:pPr>
            <w:r>
              <w:t>Where Net D</w:t>
            </w:r>
            <w:r w:rsidRPr="0077086D">
              <w:t>ebt is negative (i.e. an entity has net cash), the relevant Financial Target Threshold should be treated as having been met.</w:t>
            </w:r>
            <w:bookmarkEnd w:id="91"/>
          </w:p>
          <w:p w14:paraId="1386118A" w14:textId="77777777" w:rsidR="009A13B5" w:rsidRDefault="004C4399" w:rsidP="009A13B5">
            <w:pPr>
              <w:keepNext/>
              <w:keepLines/>
              <w:spacing w:line="276" w:lineRule="auto"/>
              <w:ind w:left="141"/>
            </w:pPr>
            <w:r>
              <w:t>OR</w:t>
            </w:r>
          </w:p>
          <w:p w14:paraId="6C8879A8" w14:textId="77777777" w:rsidR="009A13B5" w:rsidRDefault="009A13B5" w:rsidP="009A13B5">
            <w:pPr>
              <w:keepNext/>
              <w:keepLines/>
              <w:spacing w:line="276" w:lineRule="auto"/>
              <w:ind w:left="141"/>
            </w:pPr>
          </w:p>
          <w:p w14:paraId="6949D1E8" w14:textId="4DC78A45" w:rsidR="009A13B5" w:rsidRPr="00045153" w:rsidRDefault="00C83B1E" w:rsidP="009A13B5">
            <w:pPr>
              <w:keepNext/>
              <w:keepLines/>
              <w:spacing w:line="276" w:lineRule="auto"/>
              <w:ind w:left="141"/>
            </w:pPr>
            <w:r>
              <w:t>"</w:t>
            </w:r>
            <w:r w:rsidR="009A13B5" w:rsidRPr="00045153">
              <w:rPr>
                <w:b/>
              </w:rPr>
              <w:t>Net Debt</w:t>
            </w:r>
            <w:r>
              <w:t>"</w:t>
            </w:r>
            <w:r w:rsidR="009A13B5">
              <w:t xml:space="preserve"> = Bank overdrafts + loans and borrowings + finance leases + d</w:t>
            </w:r>
            <w:r w:rsidR="009A13B5" w:rsidRPr="00045153">
              <w:t>e</w:t>
            </w:r>
            <w:r w:rsidR="009A13B5">
              <w:t>ferred consideration payable – c</w:t>
            </w:r>
            <w:r w:rsidR="009A13B5" w:rsidRPr="00045153">
              <w:t>ash and cash equivalents</w:t>
            </w:r>
          </w:p>
          <w:p w14:paraId="5006A233" w14:textId="0CFD8EDB" w:rsidR="009A13B5" w:rsidRDefault="00C83B1E" w:rsidP="009A13B5">
            <w:pPr>
              <w:keepNext/>
              <w:keepLines/>
              <w:spacing w:line="276" w:lineRule="auto"/>
              <w:ind w:left="141"/>
            </w:pPr>
            <w:r>
              <w:t>"</w:t>
            </w:r>
            <w:r w:rsidR="009A13B5" w:rsidRPr="00045153">
              <w:rPr>
                <w:b/>
              </w:rPr>
              <w:t>EBITDA</w:t>
            </w:r>
            <w:r>
              <w:t>"</w:t>
            </w:r>
            <w:r w:rsidR="009A13B5">
              <w:t xml:space="preserve"> = Operating profit + depreciation charge + a</w:t>
            </w:r>
            <w:r w:rsidR="009A13B5" w:rsidRPr="00045153">
              <w:t>mortisation charge</w:t>
            </w:r>
          </w:p>
          <w:p w14:paraId="48AEA1AF" w14:textId="469DB5EF" w:rsidR="004C4399" w:rsidRPr="00671710" w:rsidRDefault="004C4399" w:rsidP="009A13B5">
            <w:pPr>
              <w:pStyle w:val="Body"/>
              <w:keepNext/>
              <w:keepLines/>
              <w:ind w:left="147"/>
            </w:pPr>
          </w:p>
        </w:tc>
      </w:tr>
      <w:tr w:rsidR="00C70E1F" w:rsidRPr="00671710" w14:paraId="03F6E634" w14:textId="77777777" w:rsidTr="00754BBA">
        <w:tc>
          <w:tcPr>
            <w:tcW w:w="1696" w:type="dxa"/>
            <w:shd w:val="clear" w:color="auto" w:fill="D9EEFF"/>
            <w:vAlign w:val="center"/>
          </w:tcPr>
          <w:p w14:paraId="601A5B33" w14:textId="7FFED9D9" w:rsidR="00C70E1F" w:rsidRPr="00671710" w:rsidRDefault="00C70E1F" w:rsidP="009A13B5">
            <w:pPr>
              <w:keepNext/>
              <w:keepLines/>
              <w:jc w:val="left"/>
              <w:outlineLvl w:val="2"/>
              <w:rPr>
                <w:b/>
              </w:rPr>
            </w:pPr>
            <w:r>
              <w:rPr>
                <w:b/>
              </w:rPr>
              <w:lastRenderedPageBreak/>
              <w:t xml:space="preserve"> </w:t>
            </w:r>
            <w:r w:rsidR="005E4028">
              <w:rPr>
                <w:b/>
              </w:rPr>
              <w:t>3B</w:t>
            </w:r>
            <w:r>
              <w:rPr>
                <w:b/>
              </w:rPr>
              <w:t>. Net Debt to EBITDA Ratio</w:t>
            </w:r>
          </w:p>
        </w:tc>
        <w:tc>
          <w:tcPr>
            <w:tcW w:w="7484" w:type="dxa"/>
            <w:shd w:val="clear" w:color="auto" w:fill="D9EEFF"/>
          </w:tcPr>
          <w:p w14:paraId="2922EE30" w14:textId="77777777" w:rsidR="00964CD1" w:rsidRDefault="00964CD1" w:rsidP="00964CD1">
            <w:pPr>
              <w:keepNext/>
              <w:keepLines/>
              <w:spacing w:line="276" w:lineRule="auto"/>
              <w:ind w:left="147"/>
            </w:pPr>
          </w:p>
          <w:p w14:paraId="1899F9CB" w14:textId="37DA4B00" w:rsidR="00C70E1F" w:rsidRDefault="00C70E1F" w:rsidP="00964CD1">
            <w:pPr>
              <w:keepNext/>
              <w:keepLines/>
              <w:spacing w:after="120" w:line="276" w:lineRule="auto"/>
              <w:ind w:left="147"/>
            </w:pPr>
            <w:r w:rsidRPr="00671710">
              <w:t>The majority of the elements used to calculate the Net Debt to EBITDA Ratio shou</w:t>
            </w:r>
            <w:r>
              <w:t>ld be shown on the face of the balance sheet, i</w:t>
            </w:r>
            <w:r w:rsidRPr="00671710">
              <w:t>ncome s</w:t>
            </w:r>
            <w:r>
              <w:t>tatement and statement of cash f</w:t>
            </w:r>
            <w:r w:rsidRPr="00671710">
              <w:t>lows in a standard set of financial statements but will otherwise be found in the notes to the financial statements.</w:t>
            </w:r>
          </w:p>
          <w:p w14:paraId="6610A71A" w14:textId="1BF89FDF" w:rsidR="00C70E1F" w:rsidRPr="00956D67" w:rsidRDefault="00C70E1F" w:rsidP="009A13B5">
            <w:pPr>
              <w:pStyle w:val="ListParagraph"/>
              <w:keepNext/>
              <w:keepLines/>
              <w:numPr>
                <w:ilvl w:val="0"/>
                <w:numId w:val="37"/>
              </w:numPr>
              <w:spacing w:after="120" w:line="276" w:lineRule="auto"/>
            </w:pPr>
            <w:bookmarkStart w:id="98" w:name="_BPDC_LN_INS_1422"/>
            <w:bookmarkStart w:id="99" w:name="_BPDC_PR_INS_1423"/>
            <w:bookmarkEnd w:id="98"/>
            <w:bookmarkEnd w:id="99"/>
            <w:r w:rsidRPr="00956D67">
              <w:t xml:space="preserve">Net Debt: The elements of </w:t>
            </w:r>
            <w:r w:rsidR="00C83B1E">
              <w:t>'</w:t>
            </w:r>
            <w:r w:rsidRPr="00956D67">
              <w:t>Net Debt</w:t>
            </w:r>
            <w:r w:rsidR="00C83B1E">
              <w:t>'</w:t>
            </w:r>
            <w:r w:rsidRPr="00956D67">
              <w:t xml:space="preserve"> may be described slightly differently and should be found either on the face of the </w:t>
            </w:r>
            <w:r w:rsidR="00351FCB">
              <w:t>b</w:t>
            </w:r>
            <w:r w:rsidR="00351FCB" w:rsidRPr="00956D67">
              <w:t xml:space="preserve">alance </w:t>
            </w:r>
            <w:r w:rsidR="00351FCB">
              <w:t>s</w:t>
            </w:r>
            <w:r w:rsidR="00351FCB" w:rsidRPr="00956D67">
              <w:t xml:space="preserve">heet </w:t>
            </w:r>
            <w:r w:rsidRPr="00956D67">
              <w:t>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14:paraId="27E77FCA" w14:textId="77777777" w:rsidR="00C70E1F" w:rsidRPr="00956D67" w:rsidRDefault="00C70E1F" w:rsidP="009A13B5">
            <w:pPr>
              <w:pStyle w:val="Body1"/>
              <w:keepNext/>
              <w:ind w:left="147"/>
            </w:pPr>
            <w:r w:rsidRPr="00956D67">
              <w:t>Deferred consideration payable should be included in Net Debt despite typically being non-interest bearing.</w:t>
            </w:r>
          </w:p>
          <w:p w14:paraId="771E3F12" w14:textId="77777777" w:rsidR="00C70E1F" w:rsidRPr="00671710" w:rsidRDefault="00C70E1F" w:rsidP="009A13B5">
            <w:pPr>
              <w:pStyle w:val="Body2"/>
              <w:keepNext/>
              <w:keepLines/>
              <w:ind w:left="147"/>
            </w:pPr>
            <w:r w:rsidRPr="00671710">
              <w:t xml:space="preserve">Cash and cash equivalents should include short-term financial investments </w:t>
            </w:r>
            <w:r w:rsidRPr="00671710">
              <w:lastRenderedPageBreak/>
              <w:t>shown in current assets.</w:t>
            </w:r>
          </w:p>
          <w:p w14:paraId="5E669BCF" w14:textId="77777777" w:rsidR="00C70E1F" w:rsidRPr="00671710" w:rsidRDefault="00C70E1F" w:rsidP="009A13B5">
            <w:pPr>
              <w:pStyle w:val="Body2"/>
              <w:keepNext/>
              <w:keepLines/>
              <w:ind w:left="147"/>
            </w:pPr>
            <w:r>
              <w:t>Where Net D</w:t>
            </w:r>
            <w:r w:rsidRPr="00671710">
              <w:t xml:space="preserve">ebt is negative (i.e. an entity has net cash), the relevant Financial Target Threshold should be treated as having been met. </w:t>
            </w:r>
          </w:p>
          <w:p w14:paraId="0804FFE6" w14:textId="77AA2D0E" w:rsidR="009A13B5" w:rsidRDefault="00C70E1F" w:rsidP="009A13B5">
            <w:pPr>
              <w:keepNext/>
              <w:spacing w:line="276" w:lineRule="auto"/>
              <w:ind w:left="141"/>
            </w:pPr>
            <w:bookmarkStart w:id="100" w:name="_BPDC_LN_INS_1420"/>
            <w:bookmarkStart w:id="101" w:name="_BPDC_PR_INS_1421"/>
            <w:bookmarkEnd w:id="100"/>
            <w:bookmarkEnd w:id="101"/>
            <w:r w:rsidRPr="0096386A">
              <w:t>EBITDA:</w:t>
            </w:r>
            <w:r w:rsidRPr="00671710">
              <w:t xml:space="preserve"> Operating profit shou</w:t>
            </w:r>
            <w:r>
              <w:t>ld be shown on the face of the income s</w:t>
            </w:r>
            <w:r w:rsidRPr="00671710">
              <w:t>tatement and, for the purposes of calculating this Financial Indicator, should include the entity</w:t>
            </w:r>
            <w:r w:rsidR="00C83B1E">
              <w:t>'</w:t>
            </w:r>
            <w:r w:rsidRPr="00671710">
              <w:t>s share of the re</w:t>
            </w:r>
            <w:r>
              <w:t>sults of any joint ventures or a</w:t>
            </w:r>
            <w:r w:rsidRPr="00671710">
              <w:t xml:space="preserve">ssociates. </w:t>
            </w:r>
            <w:r w:rsidRPr="00E535D2">
              <w:t xml:space="preserve">The depreciation and amortisation charges for the period may be found on the </w:t>
            </w:r>
            <w:r>
              <w:t>face of the statement of cash flows or in a note to the a</w:t>
            </w:r>
            <w:r w:rsidRPr="00E535D2">
              <w:t xml:space="preserve">ccounts. Where EBITDA is negative, the relevant Financial Target Threshold should be treated as not having been met (unless Net Debt is also negative, in which case the relevant Financial Target Threshold should </w:t>
            </w:r>
            <w:r>
              <w:t>be treated as having been met).</w:t>
            </w:r>
          </w:p>
          <w:p w14:paraId="3A46001D" w14:textId="77777777" w:rsidR="009A13B5" w:rsidRDefault="009A13B5" w:rsidP="009A13B5">
            <w:pPr>
              <w:keepNext/>
              <w:spacing w:line="276" w:lineRule="auto"/>
              <w:ind w:left="141"/>
            </w:pPr>
          </w:p>
          <w:p w14:paraId="6D25EAE9" w14:textId="54C2A2A8" w:rsidR="009A13B5" w:rsidRPr="00604C13" w:rsidRDefault="00C83B1E" w:rsidP="009A13B5">
            <w:pPr>
              <w:keepNext/>
              <w:spacing w:line="276" w:lineRule="auto"/>
              <w:ind w:left="141"/>
            </w:pPr>
            <w:r w:rsidRPr="00C83B1E">
              <w:t>"</w:t>
            </w:r>
            <w:r w:rsidR="009A13B5" w:rsidRPr="00604C13">
              <w:rPr>
                <w:b/>
              </w:rPr>
              <w:t>Net Debt</w:t>
            </w:r>
            <w:r>
              <w:t>"</w:t>
            </w:r>
            <w:r w:rsidR="009A13B5" w:rsidRPr="00604C13">
              <w:t xml:space="preserve"> = Bank overdrafts + Loans and borrowings + Finance leases + Deferred consideration payable – Cash and cash equivalents</w:t>
            </w:r>
          </w:p>
          <w:p w14:paraId="62B1E19B" w14:textId="77777777" w:rsidR="009A13B5" w:rsidRPr="00604C13" w:rsidRDefault="009A13B5" w:rsidP="009A13B5">
            <w:pPr>
              <w:keepNext/>
              <w:spacing w:line="276" w:lineRule="auto"/>
              <w:ind w:left="141"/>
            </w:pPr>
          </w:p>
          <w:p w14:paraId="5D28E5FA" w14:textId="47843B90" w:rsidR="009A13B5" w:rsidRPr="00604C13" w:rsidRDefault="00C83B1E" w:rsidP="009A13B5">
            <w:pPr>
              <w:keepNext/>
              <w:spacing w:line="276" w:lineRule="auto"/>
              <w:ind w:left="141"/>
            </w:pPr>
            <w:r>
              <w:t>"</w:t>
            </w:r>
            <w:r w:rsidR="009A13B5" w:rsidRPr="00604C13">
              <w:rPr>
                <w:b/>
              </w:rPr>
              <w:t>Net Pension Deficit</w:t>
            </w:r>
            <w:r>
              <w:t>"</w:t>
            </w:r>
            <w:r w:rsidR="009A13B5" w:rsidRPr="00604C13">
              <w:t xml:space="preserve"> = Retirement </w:t>
            </w:r>
            <w:r w:rsidR="007964C8">
              <w:t>b</w:t>
            </w:r>
            <w:r w:rsidR="007964C8" w:rsidRPr="00604C13">
              <w:t xml:space="preserve">enefit </w:t>
            </w:r>
            <w:r w:rsidR="007964C8">
              <w:t>o</w:t>
            </w:r>
            <w:r w:rsidR="007964C8" w:rsidRPr="00604C13">
              <w:t xml:space="preserve">bligations </w:t>
            </w:r>
            <w:r w:rsidR="009A13B5" w:rsidRPr="00604C13">
              <w:t xml:space="preserve">– Retirement </w:t>
            </w:r>
            <w:r w:rsidR="007964C8">
              <w:t>b</w:t>
            </w:r>
            <w:r w:rsidR="007964C8" w:rsidRPr="00604C13">
              <w:t xml:space="preserve">enefit </w:t>
            </w:r>
            <w:r w:rsidR="007964C8">
              <w:t>a</w:t>
            </w:r>
            <w:r w:rsidR="007964C8" w:rsidRPr="00604C13">
              <w:t>ssets</w:t>
            </w:r>
          </w:p>
          <w:p w14:paraId="050B8C87" w14:textId="77777777" w:rsidR="009A13B5" w:rsidRPr="00671710" w:rsidRDefault="009A13B5" w:rsidP="009A13B5">
            <w:pPr>
              <w:keepNext/>
              <w:spacing w:line="276" w:lineRule="auto"/>
              <w:ind w:left="426"/>
            </w:pPr>
          </w:p>
          <w:p w14:paraId="271ACF51" w14:textId="7C3A0705" w:rsidR="009A13B5" w:rsidRPr="00671710" w:rsidRDefault="00C83B1E" w:rsidP="009A13B5">
            <w:pPr>
              <w:keepNext/>
              <w:spacing w:line="276" w:lineRule="auto"/>
              <w:ind w:left="141"/>
              <w:rPr>
                <w:i/>
              </w:rPr>
            </w:pPr>
            <w:r>
              <w:rPr>
                <w:i/>
              </w:rPr>
              <w:t>"</w:t>
            </w:r>
            <w:r w:rsidR="009A13B5" w:rsidRPr="00671710">
              <w:rPr>
                <w:b/>
                <w:i/>
              </w:rPr>
              <w:t>EBITDA</w:t>
            </w:r>
            <w:r>
              <w:rPr>
                <w:i/>
              </w:rPr>
              <w:t>"</w:t>
            </w:r>
            <w:r w:rsidR="009A13B5" w:rsidRPr="00671710">
              <w:rPr>
                <w:i/>
              </w:rPr>
              <w:t xml:space="preserve"> = Operating profit + Depreciation charge + Amortisation charge</w:t>
            </w:r>
          </w:p>
          <w:p w14:paraId="4A9019B6" w14:textId="77777777" w:rsidR="009A13B5" w:rsidRDefault="009A13B5" w:rsidP="009A13B5">
            <w:pPr>
              <w:keepNext/>
              <w:spacing w:line="276" w:lineRule="auto"/>
              <w:ind w:left="141"/>
            </w:pPr>
          </w:p>
          <w:p w14:paraId="1537394E" w14:textId="28632D61" w:rsidR="009A13B5" w:rsidRDefault="009A13B5" w:rsidP="009A13B5">
            <w:pPr>
              <w:keepNext/>
              <w:spacing w:after="120" w:line="276" w:lineRule="auto"/>
              <w:ind w:left="141"/>
            </w:pPr>
            <w:r w:rsidRPr="00671710">
              <w:t xml:space="preserve">The majority of the elements used to calculate the Net Debt + Net Pension Deficit to EBITDA Ratio should be shown on the face of the </w:t>
            </w:r>
            <w:r w:rsidR="007964C8">
              <w:t>b</w:t>
            </w:r>
            <w:r w:rsidR="007964C8" w:rsidRPr="00671710">
              <w:t xml:space="preserve">alance </w:t>
            </w:r>
            <w:r w:rsidRPr="00671710">
              <w:t xml:space="preserve">sheet, </w:t>
            </w:r>
            <w:r w:rsidR="006C0FBE">
              <w:t>i</w:t>
            </w:r>
            <w:r w:rsidRPr="00671710">
              <w:t xml:space="preserve">ncome statement and </w:t>
            </w:r>
            <w:r w:rsidR="007964C8">
              <w:t>s</w:t>
            </w:r>
            <w:r w:rsidR="007964C8" w:rsidRPr="00671710">
              <w:t xml:space="preserve">tatement </w:t>
            </w:r>
            <w:r w:rsidRPr="00671710">
              <w:t xml:space="preserve">of </w:t>
            </w:r>
            <w:r w:rsidR="007964C8">
              <w:t>c</w:t>
            </w:r>
            <w:r w:rsidR="007964C8" w:rsidRPr="00671710">
              <w:t xml:space="preserve">ash </w:t>
            </w:r>
            <w:r w:rsidR="007964C8">
              <w:t>f</w:t>
            </w:r>
            <w:r w:rsidR="007964C8" w:rsidRPr="00671710">
              <w:t xml:space="preserve">lows </w:t>
            </w:r>
            <w:r w:rsidRPr="00671710">
              <w:t>in a standard set of financial statements but will otherwise be found in the notes to the financial statements.</w:t>
            </w:r>
          </w:p>
          <w:p w14:paraId="21744139" w14:textId="77777777" w:rsidR="00C70E1F" w:rsidRPr="00671710" w:rsidRDefault="00C70E1F" w:rsidP="009A13B5">
            <w:pPr>
              <w:keepNext/>
              <w:keepLines/>
              <w:spacing w:line="276" w:lineRule="auto"/>
              <w:ind w:left="140"/>
              <w:rPr>
                <w:i/>
              </w:rPr>
            </w:pPr>
          </w:p>
        </w:tc>
      </w:tr>
      <w:tr w:rsidR="00C70E1F" w:rsidRPr="00671710" w14:paraId="068A82F1" w14:textId="77777777" w:rsidTr="00754BBA">
        <w:tc>
          <w:tcPr>
            <w:tcW w:w="1696" w:type="dxa"/>
            <w:shd w:val="clear" w:color="auto" w:fill="D9EEFF"/>
            <w:vAlign w:val="center"/>
          </w:tcPr>
          <w:p w14:paraId="31E9F8BD" w14:textId="69B4691E" w:rsidR="00C70E1F" w:rsidRDefault="009A13B5" w:rsidP="009A13B5">
            <w:pPr>
              <w:keepNext/>
              <w:keepLines/>
              <w:outlineLvl w:val="2"/>
              <w:rPr>
                <w:b/>
              </w:rPr>
            </w:pPr>
            <w:bookmarkStart w:id="102" w:name="_BPDCI_632"/>
            <w:r>
              <w:rPr>
                <w:b/>
              </w:rPr>
              <w:lastRenderedPageBreak/>
              <w:t>4</w:t>
            </w:r>
            <w:r w:rsidR="00C83B1E">
              <w:rPr>
                <w:b/>
              </w:rPr>
              <w:t xml:space="preserve"> Net Debt + Net</w:t>
            </w:r>
            <w:r w:rsidRPr="00671710">
              <w:rPr>
                <w:b/>
              </w:rPr>
              <w:t xml:space="preserve"> Pension Deficit to EBITDA ratio</w:t>
            </w:r>
            <w:r>
              <w:rPr>
                <w:b/>
              </w:rPr>
              <w:t xml:space="preserve"> </w:t>
            </w:r>
            <w:bookmarkEnd w:id="102"/>
          </w:p>
        </w:tc>
        <w:tc>
          <w:tcPr>
            <w:tcW w:w="7484" w:type="dxa"/>
            <w:shd w:val="clear" w:color="auto" w:fill="D9EEFF"/>
          </w:tcPr>
          <w:p w14:paraId="573A724C" w14:textId="77777777" w:rsidR="006C0FBE" w:rsidRDefault="006C0FBE" w:rsidP="00964CD1">
            <w:pPr>
              <w:keepNext/>
              <w:spacing w:after="120" w:line="276" w:lineRule="auto"/>
              <w:ind w:left="141"/>
            </w:pPr>
            <w:bookmarkStart w:id="103" w:name="_BPDC_LN_INS_1418"/>
            <w:bookmarkStart w:id="104" w:name="_BPDC_PR_INS_1419"/>
            <w:bookmarkStart w:id="105" w:name="_BPDCI_633"/>
            <w:bookmarkEnd w:id="103"/>
            <w:bookmarkEnd w:id="104"/>
          </w:p>
          <w:p w14:paraId="54ACEF6A" w14:textId="0353B965" w:rsidR="00C70E1F" w:rsidRPr="00645F29" w:rsidRDefault="00C70E1F" w:rsidP="00964CD1">
            <w:pPr>
              <w:keepNext/>
              <w:spacing w:after="120" w:line="276" w:lineRule="auto"/>
              <w:ind w:left="141"/>
            </w:pPr>
            <w:r w:rsidRPr="00645F29">
              <w:t xml:space="preserve">Net Debt: The elements of Net Debt may be described slightly differently and should be found either on the face of the </w:t>
            </w:r>
            <w:r w:rsidR="007964C8">
              <w:t>b</w:t>
            </w:r>
            <w:r w:rsidR="007964C8" w:rsidRPr="00645F29">
              <w:t xml:space="preserve">alance </w:t>
            </w:r>
            <w:r w:rsidR="007964C8">
              <w:t>s</w:t>
            </w:r>
            <w:r w:rsidR="007964C8" w:rsidRPr="00645F29">
              <w:t xml:space="preserve">heet </w:t>
            </w:r>
            <w:r w:rsidRPr="00645F29">
              <w:t>or in the relevant note to the financial statements. All interest bearing liabilities (other than retirement benefit obligations) should be included as borrowings as should, where disclosed, any liabilities (less any assets) in respect</w:t>
            </w:r>
            <w:r w:rsidRPr="00645F29" w:rsidDel="00CB1D27">
              <w:t xml:space="preserve"> </w:t>
            </w:r>
            <w:r w:rsidRPr="00645F29">
              <w:t>of any hedges designated as linked to borrowings (but not non-designated hedges). Borrowings should also include balances owed to other group members.</w:t>
            </w:r>
          </w:p>
          <w:p w14:paraId="0969AA2D" w14:textId="77777777" w:rsidR="00C70E1F" w:rsidRPr="00671710" w:rsidRDefault="00C70E1F" w:rsidP="009A13B5">
            <w:pPr>
              <w:pStyle w:val="Body2"/>
              <w:keepNext/>
              <w:ind w:left="147"/>
            </w:pPr>
            <w:r w:rsidRPr="00671710">
              <w:t>Deferred consideration payable should be included in Net Debt despite typically being non-interest bearing.</w:t>
            </w:r>
          </w:p>
          <w:p w14:paraId="35B22CB5" w14:textId="77777777" w:rsidR="00C70E1F" w:rsidRDefault="00C70E1F" w:rsidP="009A13B5">
            <w:pPr>
              <w:pStyle w:val="Body2"/>
              <w:keepNext/>
              <w:ind w:left="147"/>
            </w:pPr>
            <w:r w:rsidRPr="00671710">
              <w:t>Cash and cash equivalents should include short-term financial investments shown in current assets.</w:t>
            </w:r>
          </w:p>
          <w:p w14:paraId="0F69E39D" w14:textId="20508E21" w:rsidR="00C70E1F" w:rsidRPr="00645F29" w:rsidRDefault="00C70E1F" w:rsidP="009A13B5">
            <w:pPr>
              <w:pStyle w:val="Body2"/>
              <w:keepNext/>
              <w:numPr>
                <w:ilvl w:val="0"/>
                <w:numId w:val="37"/>
              </w:numPr>
            </w:pPr>
            <w:bookmarkStart w:id="106" w:name="_BPDC_LN_INS_1416"/>
            <w:bookmarkStart w:id="107" w:name="_BPDC_PR_INS_1417"/>
            <w:bookmarkEnd w:id="106"/>
            <w:bookmarkEnd w:id="107"/>
            <w:r w:rsidRPr="00645F29">
              <w:t xml:space="preserve">Net Pension Deficit: </w:t>
            </w:r>
            <w:r w:rsidR="007964C8">
              <w:t>r</w:t>
            </w:r>
            <w:r w:rsidR="007964C8" w:rsidRPr="00645F29">
              <w:t xml:space="preserve">etirement </w:t>
            </w:r>
            <w:r w:rsidR="007964C8">
              <w:t>b</w:t>
            </w:r>
            <w:r w:rsidR="007964C8" w:rsidRPr="00645F29">
              <w:t xml:space="preserve">enefit </w:t>
            </w:r>
            <w:r w:rsidR="007964C8">
              <w:t>o</w:t>
            </w:r>
            <w:r w:rsidR="007964C8" w:rsidRPr="00645F29">
              <w:t xml:space="preserve">bligations </w:t>
            </w:r>
            <w:r w:rsidRPr="00645F29">
              <w:t xml:space="preserve">and </w:t>
            </w:r>
            <w:r w:rsidR="007964C8">
              <w:t>r</w:t>
            </w:r>
            <w:r w:rsidR="007964C8" w:rsidRPr="00645F29">
              <w:t xml:space="preserve">etirement </w:t>
            </w:r>
            <w:r w:rsidR="007964C8">
              <w:t>b</w:t>
            </w:r>
            <w:r w:rsidR="007964C8" w:rsidRPr="00645F29">
              <w:t xml:space="preserve">enefit </w:t>
            </w:r>
            <w:r w:rsidR="007964C8">
              <w:t>a</w:t>
            </w:r>
            <w:r w:rsidR="007964C8" w:rsidRPr="00645F29">
              <w:t xml:space="preserve">ssets </w:t>
            </w:r>
            <w:r w:rsidRPr="00645F29">
              <w:t xml:space="preserve">may be shown on the face of the </w:t>
            </w:r>
            <w:r w:rsidR="007964C8">
              <w:t>b</w:t>
            </w:r>
            <w:r w:rsidR="007964C8" w:rsidRPr="00645F29">
              <w:t xml:space="preserve">alance </w:t>
            </w:r>
            <w:r w:rsidR="007964C8">
              <w:t>s</w:t>
            </w:r>
            <w:r w:rsidR="007964C8" w:rsidRPr="00645F29">
              <w:t xml:space="preserve">heet </w:t>
            </w:r>
            <w:r w:rsidRPr="00645F29">
              <w:t xml:space="preserve">or in the notes to the financial statements. They may also be described as pension benefits / obligations, post-employment obligations or other similar terms. </w:t>
            </w:r>
          </w:p>
          <w:p w14:paraId="6C4DB8ED" w14:textId="31AF7EE1" w:rsidR="00C70E1F" w:rsidRDefault="00C70E1F" w:rsidP="009A13B5">
            <w:pPr>
              <w:pStyle w:val="Body2"/>
              <w:keepNext/>
              <w:ind w:left="147"/>
            </w:pPr>
            <w:r w:rsidRPr="00671710">
              <w:t xml:space="preserve">Where </w:t>
            </w:r>
            <w:r w:rsidR="00C83B1E">
              <w:t>'</w:t>
            </w:r>
            <w:r w:rsidRPr="00671710">
              <w:t>Net Debt + Net Pension Deficit</w:t>
            </w:r>
            <w:r w:rsidR="00C83B1E">
              <w:t>'</w:t>
            </w:r>
            <w:r w:rsidRPr="00671710">
              <w:t xml:space="preserve"> is negative, the relevant Financial Target Threshold should be treated as having been met.</w:t>
            </w:r>
          </w:p>
          <w:p w14:paraId="7CBC5374" w14:textId="79BCB66D" w:rsidR="00C70E1F" w:rsidRPr="00645F29" w:rsidRDefault="00C70E1F" w:rsidP="009A13B5">
            <w:pPr>
              <w:pStyle w:val="Body2"/>
              <w:keepNext/>
              <w:numPr>
                <w:ilvl w:val="0"/>
                <w:numId w:val="37"/>
              </w:numPr>
            </w:pPr>
            <w:bookmarkStart w:id="108" w:name="_BPDC_LN_INS_1414"/>
            <w:bookmarkStart w:id="109" w:name="_BPDC_PR_INS_1415"/>
            <w:bookmarkEnd w:id="108"/>
            <w:bookmarkEnd w:id="109"/>
            <w:r w:rsidRPr="00645F29">
              <w:t xml:space="preserve">EBITDA: Operating profit should be shown on the face of the </w:t>
            </w:r>
            <w:r w:rsidR="006C0FBE">
              <w:t>i</w:t>
            </w:r>
            <w:r w:rsidRPr="00645F29">
              <w:t xml:space="preserve">ncome </w:t>
            </w:r>
            <w:r w:rsidR="006C0FBE">
              <w:t>s</w:t>
            </w:r>
            <w:r w:rsidRPr="00645F29">
              <w:t>tatement and, for the purposes of calculating this Financial Indicator, should include the entity</w:t>
            </w:r>
            <w:r w:rsidR="00C83B1E">
              <w:t>'</w:t>
            </w:r>
            <w:r w:rsidRPr="00645F29">
              <w:t xml:space="preserve">s share of the results of any joint ventures or </w:t>
            </w:r>
            <w:r w:rsidRPr="00645F29">
              <w:lastRenderedPageBreak/>
              <w:t xml:space="preserve">Associates.  </w:t>
            </w:r>
          </w:p>
          <w:p w14:paraId="5FDA96FA" w14:textId="53A28C38" w:rsidR="00C70E1F" w:rsidRPr="00671710" w:rsidRDefault="00C70E1F" w:rsidP="009A13B5">
            <w:pPr>
              <w:pStyle w:val="Body2"/>
              <w:keepNext/>
              <w:ind w:left="147"/>
            </w:pPr>
            <w:r w:rsidRPr="00671710">
              <w:t xml:space="preserve">The depreciation and amortisation charges for the period may be found on the face of the </w:t>
            </w:r>
            <w:r w:rsidR="007964C8">
              <w:t>s</w:t>
            </w:r>
            <w:r w:rsidR="007964C8" w:rsidRPr="00671710">
              <w:t xml:space="preserve">tatement </w:t>
            </w:r>
            <w:r w:rsidRPr="00671710">
              <w:t xml:space="preserve">of </w:t>
            </w:r>
            <w:r w:rsidR="007964C8">
              <w:t>c</w:t>
            </w:r>
            <w:r w:rsidR="007964C8" w:rsidRPr="00671710">
              <w:t xml:space="preserve">ash </w:t>
            </w:r>
            <w:r w:rsidR="007964C8">
              <w:t>f</w:t>
            </w:r>
            <w:r w:rsidR="007964C8" w:rsidRPr="00671710">
              <w:t xml:space="preserve">lows </w:t>
            </w:r>
            <w:r w:rsidRPr="00671710">
              <w:t xml:space="preserve">or in a </w:t>
            </w:r>
            <w:r w:rsidR="006C0FBE">
              <w:t>n</w:t>
            </w:r>
            <w:r w:rsidR="006C0FBE" w:rsidRPr="00671710">
              <w:t xml:space="preserve">ote </w:t>
            </w:r>
            <w:r w:rsidRPr="00671710">
              <w:t xml:space="preserve">to the </w:t>
            </w:r>
            <w:r w:rsidR="006C0FBE">
              <w:t>a</w:t>
            </w:r>
            <w:r w:rsidR="006C0FBE" w:rsidRPr="00671710">
              <w:t>ccounts</w:t>
            </w:r>
            <w:r w:rsidRPr="00671710">
              <w:t xml:space="preserve">. </w:t>
            </w:r>
          </w:p>
          <w:p w14:paraId="25AFAC50" w14:textId="6BDED31E" w:rsidR="00C70E1F" w:rsidRDefault="00C70E1F" w:rsidP="009A13B5">
            <w:pPr>
              <w:keepNext/>
              <w:keepLines/>
              <w:spacing w:line="276" w:lineRule="auto"/>
              <w:ind w:left="141"/>
            </w:pPr>
            <w:r w:rsidRPr="00671710">
              <w:t xml:space="preserve">Where EBITDA is negative, the relevant Financial Target Threshold should be treated as not having been met (unless </w:t>
            </w:r>
            <w:r w:rsidR="00C83B1E">
              <w:t>'</w:t>
            </w:r>
            <w:r w:rsidRPr="00671710">
              <w:t>Net Debt + Net Pension Deficit</w:t>
            </w:r>
            <w:r w:rsidR="00C83B1E">
              <w:t>'</w:t>
            </w:r>
            <w:r w:rsidRPr="00671710">
              <w:t xml:space="preserve"> is also negative, in which case the relevant Financial Target Threshold should be regarded as having been met).</w:t>
            </w:r>
            <w:bookmarkEnd w:id="105"/>
          </w:p>
          <w:p w14:paraId="5FDEEF2D" w14:textId="77777777" w:rsidR="006C0FBE" w:rsidRPr="00045153" w:rsidRDefault="006C0FBE" w:rsidP="009A13B5">
            <w:pPr>
              <w:keepNext/>
              <w:keepLines/>
              <w:spacing w:line="276" w:lineRule="auto"/>
              <w:ind w:left="141"/>
            </w:pPr>
          </w:p>
        </w:tc>
      </w:tr>
      <w:tr w:rsidR="00C70E1F" w:rsidRPr="00671710" w14:paraId="6E3D0878" w14:textId="77777777" w:rsidTr="00754BBA">
        <w:tc>
          <w:tcPr>
            <w:tcW w:w="1696" w:type="dxa"/>
            <w:shd w:val="clear" w:color="auto" w:fill="D9EEFF"/>
            <w:vAlign w:val="center"/>
          </w:tcPr>
          <w:p w14:paraId="0ACE191E" w14:textId="02ACB616" w:rsidR="00C70E1F" w:rsidRPr="00671710" w:rsidRDefault="005E4028" w:rsidP="009A13B5">
            <w:pPr>
              <w:keepNext/>
              <w:keepLines/>
              <w:outlineLvl w:val="2"/>
            </w:pPr>
            <w:bookmarkStart w:id="110" w:name="_BPDCI_634"/>
            <w:r>
              <w:rPr>
                <w:b/>
              </w:rPr>
              <w:lastRenderedPageBreak/>
              <w:t>5</w:t>
            </w:r>
            <w:r w:rsidR="00C70E1F">
              <w:rPr>
                <w:b/>
              </w:rPr>
              <w:t xml:space="preserve">. </w:t>
            </w:r>
            <w:r w:rsidR="00C70E1F" w:rsidRPr="00671710">
              <w:rPr>
                <w:b/>
              </w:rPr>
              <w:t>Net Interest Paid Cover</w:t>
            </w:r>
            <w:bookmarkEnd w:id="110"/>
          </w:p>
        </w:tc>
        <w:tc>
          <w:tcPr>
            <w:tcW w:w="7484" w:type="dxa"/>
            <w:shd w:val="clear" w:color="auto" w:fill="D9EEFF"/>
          </w:tcPr>
          <w:p w14:paraId="5F72318F" w14:textId="77777777" w:rsidR="006C0FBE" w:rsidRDefault="006C0FBE" w:rsidP="009A13B5">
            <w:pPr>
              <w:keepNext/>
              <w:keepLines/>
              <w:spacing w:line="276" w:lineRule="auto"/>
              <w:ind w:left="140"/>
            </w:pPr>
            <w:bookmarkStart w:id="111" w:name="_BPDCI_635"/>
          </w:p>
          <w:p w14:paraId="1FA644E7" w14:textId="2FA2E5BB" w:rsidR="00C70E1F" w:rsidRPr="00E535D2" w:rsidRDefault="00C83B1E" w:rsidP="009A13B5">
            <w:pPr>
              <w:keepNext/>
              <w:keepLines/>
              <w:spacing w:line="276" w:lineRule="auto"/>
              <w:ind w:left="140"/>
            </w:pPr>
            <w:r>
              <w:t>"</w:t>
            </w:r>
            <w:r w:rsidR="00C70E1F" w:rsidRPr="00E535D2">
              <w:rPr>
                <w:b/>
              </w:rPr>
              <w:t>Earnings Before Interest and Tax</w:t>
            </w:r>
            <w:r>
              <w:t>"</w:t>
            </w:r>
            <w:r w:rsidR="00C70E1F" w:rsidRPr="00E535D2">
              <w:t xml:space="preserve"> = Operating profit</w:t>
            </w:r>
          </w:p>
          <w:p w14:paraId="48AE23D0" w14:textId="3B5239CF" w:rsidR="00C70E1F" w:rsidRDefault="00C83B1E" w:rsidP="009A13B5">
            <w:pPr>
              <w:keepNext/>
              <w:keepLines/>
              <w:spacing w:before="120" w:line="276" w:lineRule="auto"/>
              <w:ind w:left="140"/>
            </w:pPr>
            <w:r>
              <w:rPr>
                <w:b/>
              </w:rPr>
              <w:t>"</w:t>
            </w:r>
            <w:r w:rsidR="00C70E1F" w:rsidRPr="00E535D2">
              <w:rPr>
                <w:b/>
              </w:rPr>
              <w:t>Net Interest Paid</w:t>
            </w:r>
            <w:r>
              <w:rPr>
                <w:b/>
              </w:rPr>
              <w:t>"</w:t>
            </w:r>
            <w:r w:rsidR="00C70E1F" w:rsidRPr="00E535D2">
              <w:t xml:space="preserve"> = Interest paid – </w:t>
            </w:r>
            <w:r w:rsidR="00C70E1F">
              <w:t>i</w:t>
            </w:r>
            <w:r w:rsidR="00C70E1F" w:rsidRPr="00E535D2">
              <w:t>nterest received</w:t>
            </w:r>
          </w:p>
          <w:p w14:paraId="5BA0D0DB" w14:textId="77777777" w:rsidR="00C70E1F" w:rsidRPr="00645F29" w:rsidRDefault="00C70E1F" w:rsidP="009A13B5">
            <w:pPr>
              <w:keepNext/>
              <w:keepLines/>
              <w:spacing w:line="276" w:lineRule="auto"/>
              <w:ind w:left="140"/>
            </w:pPr>
          </w:p>
          <w:p w14:paraId="437949C9" w14:textId="2842F92A" w:rsidR="00C70E1F" w:rsidRDefault="00C70E1F" w:rsidP="009A13B5">
            <w:pPr>
              <w:keepNext/>
              <w:keepLines/>
              <w:spacing w:line="276" w:lineRule="auto"/>
              <w:ind w:left="141"/>
            </w:pPr>
            <w:r w:rsidRPr="00671710">
              <w:t>Operating profit sh</w:t>
            </w:r>
            <w:r>
              <w:t>ould be shown on the face of an income s</w:t>
            </w:r>
            <w:r w:rsidRPr="00671710">
              <w:t xml:space="preserve">tatement in a standard set of financial statements and, for the purposes of calculating this Financial Indicator, should include the </w:t>
            </w:r>
            <w:r>
              <w:t xml:space="preserve">relevant </w:t>
            </w:r>
            <w:proofErr w:type="spellStart"/>
            <w:r>
              <w:t>FDE</w:t>
            </w:r>
            <w:proofErr w:type="spellEnd"/>
            <w:r>
              <w:t xml:space="preserve"> </w:t>
            </w:r>
            <w:r w:rsidR="00A94850">
              <w:rPr>
                <w:snapToGrid w:val="0"/>
              </w:rPr>
              <w:t xml:space="preserve">Group </w:t>
            </w:r>
            <w:r w:rsidRPr="00671710">
              <w:t>entity</w:t>
            </w:r>
            <w:r w:rsidR="00C83B1E">
              <w:t>'</w:t>
            </w:r>
            <w:r w:rsidRPr="00671710">
              <w:t>s share of the re</w:t>
            </w:r>
            <w:r>
              <w:t>sults of any joint ventures or a</w:t>
            </w:r>
            <w:r w:rsidRPr="00671710">
              <w:t>ssociates.</w:t>
            </w:r>
          </w:p>
          <w:p w14:paraId="37BAD314" w14:textId="77777777" w:rsidR="006C0FBE" w:rsidRPr="00671710" w:rsidRDefault="006C0FBE" w:rsidP="009A13B5">
            <w:pPr>
              <w:keepNext/>
              <w:keepLines/>
              <w:spacing w:line="276" w:lineRule="auto"/>
              <w:ind w:left="141"/>
            </w:pPr>
          </w:p>
          <w:p w14:paraId="1F1070E6" w14:textId="77777777" w:rsidR="00C70E1F" w:rsidRDefault="00C70E1F" w:rsidP="009A13B5">
            <w:pPr>
              <w:keepNext/>
              <w:keepLines/>
              <w:spacing w:line="276" w:lineRule="auto"/>
              <w:ind w:left="141"/>
            </w:pPr>
            <w:r w:rsidRPr="00671710">
              <w:t>Interest received and interest paid should be s</w:t>
            </w:r>
            <w:r>
              <w:t>hown on the face of the cash f</w:t>
            </w:r>
            <w:r w:rsidRPr="00671710">
              <w:t>low statement.</w:t>
            </w:r>
          </w:p>
          <w:p w14:paraId="54C7E8F7" w14:textId="77777777" w:rsidR="00C70E1F" w:rsidRPr="00671710" w:rsidRDefault="00C70E1F" w:rsidP="009A13B5">
            <w:pPr>
              <w:keepNext/>
              <w:keepLines/>
              <w:spacing w:line="276" w:lineRule="auto"/>
              <w:ind w:left="141"/>
            </w:pPr>
          </w:p>
          <w:p w14:paraId="14413B87" w14:textId="77777777" w:rsidR="00C70E1F" w:rsidRDefault="00C70E1F" w:rsidP="009A13B5">
            <w:pPr>
              <w:keepNext/>
              <w:keepLines/>
              <w:spacing w:line="276" w:lineRule="auto"/>
              <w:ind w:left="141"/>
            </w:pPr>
            <w:r>
              <w:t>Where n</w:t>
            </w:r>
            <w:r w:rsidRPr="00671710">
              <w:t>et interest paid is negative (i.e. the entity has net interest received), the relevant Financial Target Threshold should be treated as having been met.</w:t>
            </w:r>
            <w:bookmarkEnd w:id="111"/>
          </w:p>
          <w:p w14:paraId="25955DD2" w14:textId="77777777" w:rsidR="00C70E1F" w:rsidRPr="00671710" w:rsidRDefault="00C70E1F" w:rsidP="009A13B5">
            <w:pPr>
              <w:keepNext/>
              <w:keepLines/>
              <w:spacing w:line="276" w:lineRule="auto"/>
              <w:ind w:left="141"/>
            </w:pPr>
          </w:p>
        </w:tc>
      </w:tr>
      <w:tr w:rsidR="00C70E1F" w:rsidRPr="00671710" w14:paraId="3E96AAA6" w14:textId="77777777" w:rsidTr="00754BBA">
        <w:tc>
          <w:tcPr>
            <w:tcW w:w="1696" w:type="dxa"/>
            <w:shd w:val="clear" w:color="auto" w:fill="D9EEFF"/>
            <w:vAlign w:val="center"/>
          </w:tcPr>
          <w:p w14:paraId="367AD2DD" w14:textId="6284F70A" w:rsidR="00C70E1F" w:rsidRPr="0096386A" w:rsidRDefault="005E4028" w:rsidP="009A13B5">
            <w:pPr>
              <w:keepNext/>
              <w:keepLines/>
              <w:outlineLvl w:val="2"/>
              <w:rPr>
                <w:b/>
              </w:rPr>
            </w:pPr>
            <w:bookmarkStart w:id="112" w:name="_BPDCI_636"/>
            <w:r>
              <w:rPr>
                <w:b/>
              </w:rPr>
              <w:t>6</w:t>
            </w:r>
            <w:r w:rsidR="00C70E1F">
              <w:rPr>
                <w:b/>
              </w:rPr>
              <w:t xml:space="preserve">. </w:t>
            </w:r>
            <w:r w:rsidR="00C70E1F" w:rsidRPr="00671710">
              <w:rPr>
                <w:b/>
              </w:rPr>
              <w:t>Acid Ratio</w:t>
            </w:r>
            <w:bookmarkEnd w:id="112"/>
          </w:p>
        </w:tc>
        <w:tc>
          <w:tcPr>
            <w:tcW w:w="7484" w:type="dxa"/>
            <w:shd w:val="clear" w:color="auto" w:fill="D9EEFF"/>
          </w:tcPr>
          <w:p w14:paraId="70EAE7E1" w14:textId="77777777" w:rsidR="006C0FBE" w:rsidRDefault="006C0FBE" w:rsidP="00964CD1">
            <w:pPr>
              <w:keepNext/>
              <w:keepLines/>
              <w:spacing w:line="276" w:lineRule="auto"/>
              <w:ind w:left="141"/>
            </w:pPr>
            <w:bookmarkStart w:id="113" w:name="_BPDCI_637"/>
          </w:p>
          <w:p w14:paraId="20F83816" w14:textId="77777777" w:rsidR="00C70E1F" w:rsidRPr="00671710" w:rsidRDefault="00C70E1F" w:rsidP="00964CD1">
            <w:pPr>
              <w:keepNext/>
              <w:keepLines/>
              <w:spacing w:line="276" w:lineRule="auto"/>
              <w:ind w:left="141"/>
            </w:pPr>
            <w:r>
              <w:t>A</w:t>
            </w:r>
            <w:r w:rsidRPr="00671710">
              <w:t>ll elements that are used to calculate the Acid Ratio are avail</w:t>
            </w:r>
            <w:r>
              <w:t>able on the face of the balances s</w:t>
            </w:r>
            <w:r w:rsidRPr="00671710">
              <w:t>heet in a standard set of financial statements.</w:t>
            </w:r>
            <w:bookmarkEnd w:id="113"/>
          </w:p>
          <w:p w14:paraId="6D8C68A0" w14:textId="77777777" w:rsidR="00C70E1F" w:rsidRPr="00671710" w:rsidRDefault="00C70E1F" w:rsidP="009A13B5">
            <w:pPr>
              <w:keepNext/>
              <w:keepLines/>
            </w:pPr>
          </w:p>
        </w:tc>
      </w:tr>
      <w:tr w:rsidR="00C70E1F" w:rsidRPr="00671710" w14:paraId="1721CDB5" w14:textId="77777777" w:rsidTr="00754BBA">
        <w:tc>
          <w:tcPr>
            <w:tcW w:w="1696" w:type="dxa"/>
            <w:shd w:val="clear" w:color="auto" w:fill="D9EEFF"/>
            <w:vAlign w:val="center"/>
          </w:tcPr>
          <w:p w14:paraId="351D8B21" w14:textId="00ADA73F" w:rsidR="00C70E1F" w:rsidRPr="00671710" w:rsidRDefault="005E4028" w:rsidP="005032E2">
            <w:pPr>
              <w:keepNext/>
              <w:keepLines/>
              <w:jc w:val="left"/>
              <w:outlineLvl w:val="2"/>
            </w:pPr>
            <w:bookmarkStart w:id="114" w:name="_BPDCI_638"/>
            <w:r>
              <w:rPr>
                <w:b/>
              </w:rPr>
              <w:t>7</w:t>
            </w:r>
            <w:r w:rsidR="00C70E1F">
              <w:rPr>
                <w:b/>
              </w:rPr>
              <w:t xml:space="preserve">. </w:t>
            </w:r>
            <w:r w:rsidR="00C70E1F" w:rsidRPr="00671710">
              <w:rPr>
                <w:b/>
              </w:rPr>
              <w:t xml:space="preserve">Net Asset </w:t>
            </w:r>
            <w:bookmarkEnd w:id="114"/>
            <w:r w:rsidR="005032E2">
              <w:rPr>
                <w:b/>
              </w:rPr>
              <w:t>V</w:t>
            </w:r>
            <w:r w:rsidR="005032E2" w:rsidRPr="00671710">
              <w:rPr>
                <w:b/>
              </w:rPr>
              <w:t>alue</w:t>
            </w:r>
          </w:p>
        </w:tc>
        <w:tc>
          <w:tcPr>
            <w:tcW w:w="7484" w:type="dxa"/>
            <w:shd w:val="clear" w:color="auto" w:fill="D9EEFF"/>
          </w:tcPr>
          <w:p w14:paraId="496F4F3F" w14:textId="77777777" w:rsidR="00C70E1F" w:rsidRPr="00671710" w:rsidRDefault="00C70E1F" w:rsidP="009A13B5">
            <w:pPr>
              <w:keepNext/>
              <w:keepLines/>
              <w:spacing w:line="276" w:lineRule="auto"/>
              <w:ind w:left="141"/>
            </w:pPr>
          </w:p>
          <w:p w14:paraId="4E40110F" w14:textId="7145A074" w:rsidR="00C70E1F" w:rsidRPr="00671710" w:rsidRDefault="00C70E1F" w:rsidP="009A13B5">
            <w:pPr>
              <w:keepNext/>
              <w:keepLines/>
              <w:spacing w:line="276" w:lineRule="auto"/>
              <w:ind w:left="141"/>
            </w:pPr>
            <w:bookmarkStart w:id="115" w:name="_BPDCI_639"/>
            <w:r>
              <w:t>Net a</w:t>
            </w:r>
            <w:r w:rsidRPr="00671710">
              <w:t>ssets are shown (but sometimes not labell</w:t>
            </w:r>
            <w:r>
              <w:t>ed) on the face of the balance s</w:t>
            </w:r>
            <w:r w:rsidRPr="00671710">
              <w:t>heet of a standard set of financial stateme</w:t>
            </w:r>
            <w:r>
              <w:t>nts. Net a</w:t>
            </w:r>
            <w:r w:rsidRPr="00671710">
              <w:t xml:space="preserve">ssets are sometimes called net worth or </w:t>
            </w:r>
            <w:r w:rsidR="00C83B1E">
              <w:t>'</w:t>
            </w:r>
            <w:r w:rsidRPr="00671710">
              <w:t>Shareholders</w:t>
            </w:r>
            <w:r w:rsidR="00C83B1E">
              <w:t>'</w:t>
            </w:r>
            <w:r w:rsidRPr="00671710">
              <w:t xml:space="preserve"> Funds</w:t>
            </w:r>
            <w:r w:rsidR="00C83B1E">
              <w:t>'</w:t>
            </w:r>
            <w:r w:rsidRPr="00671710">
              <w:t xml:space="preserve">. They represent the net assets available to the shareholders. Where an </w:t>
            </w:r>
            <w:proofErr w:type="spellStart"/>
            <w:r>
              <w:t>FDE</w:t>
            </w:r>
            <w:proofErr w:type="spellEnd"/>
            <w:r>
              <w:t xml:space="preserve"> </w:t>
            </w:r>
            <w:r w:rsidR="00A94850">
              <w:rPr>
                <w:snapToGrid w:val="0"/>
              </w:rPr>
              <w:t xml:space="preserve">Group </w:t>
            </w:r>
            <w:r w:rsidRPr="00671710">
              <w:t>entity has a majority interest in another entity in which there are also minority or non-controlling interests (i.e. where it has a subsidiary partially ow</w:t>
            </w:r>
            <w:r>
              <w:t>ned by outside investors), Net a</w:t>
            </w:r>
            <w:r w:rsidRPr="00671710">
              <w:t>ssets should be taken inclusive of minority or non-controlling interests (as if the entity owned 100% of such entity).</w:t>
            </w:r>
            <w:bookmarkEnd w:id="115"/>
          </w:p>
          <w:p w14:paraId="0ADB38E1" w14:textId="77777777" w:rsidR="00C70E1F" w:rsidRPr="00671710" w:rsidRDefault="00C70E1F" w:rsidP="009A13B5">
            <w:pPr>
              <w:keepNext/>
              <w:keepLines/>
              <w:spacing w:line="276" w:lineRule="auto"/>
            </w:pPr>
          </w:p>
        </w:tc>
      </w:tr>
      <w:tr w:rsidR="005E4028" w:rsidRPr="00671710" w14:paraId="73B00C7F" w14:textId="77777777" w:rsidTr="00754BBA">
        <w:tc>
          <w:tcPr>
            <w:tcW w:w="1696" w:type="dxa"/>
            <w:shd w:val="clear" w:color="auto" w:fill="D9EEFF"/>
            <w:vAlign w:val="center"/>
          </w:tcPr>
          <w:p w14:paraId="1D348D4C" w14:textId="2F704B03" w:rsidR="005E4028" w:rsidDel="005E4028" w:rsidRDefault="005E4028" w:rsidP="009A13B5">
            <w:pPr>
              <w:keepNext/>
              <w:keepLines/>
              <w:jc w:val="left"/>
              <w:outlineLvl w:val="2"/>
              <w:rPr>
                <w:b/>
              </w:rPr>
            </w:pPr>
            <w:r>
              <w:rPr>
                <w:b/>
              </w:rPr>
              <w:t>8. Group Exposure Ratio</w:t>
            </w:r>
          </w:p>
        </w:tc>
        <w:tc>
          <w:tcPr>
            <w:tcW w:w="7484" w:type="dxa"/>
            <w:shd w:val="clear" w:color="auto" w:fill="D9EEFF"/>
          </w:tcPr>
          <w:p w14:paraId="1449CC26" w14:textId="77777777" w:rsidR="006C0FBE" w:rsidRDefault="006C0FBE" w:rsidP="00964CD1">
            <w:pPr>
              <w:keepNext/>
              <w:keepLines/>
              <w:spacing w:line="276" w:lineRule="auto"/>
              <w:ind w:left="141"/>
              <w:rPr>
                <w:color w:val="000000"/>
              </w:rPr>
            </w:pPr>
          </w:p>
          <w:p w14:paraId="6BC42955" w14:textId="3B93FADF" w:rsidR="004C4399" w:rsidRDefault="004C4399" w:rsidP="00964CD1">
            <w:pPr>
              <w:keepNext/>
              <w:keepLines/>
              <w:spacing w:line="276" w:lineRule="auto"/>
              <w:ind w:left="141"/>
              <w:rPr>
                <w:color w:val="000000"/>
              </w:rPr>
            </w:pPr>
            <w:r w:rsidRPr="00754BBA">
              <w:rPr>
                <w:color w:val="000000"/>
              </w:rPr>
              <w:t>Group Exposure: Balances owed by (</w:t>
            </w:r>
            <w:proofErr w:type="spellStart"/>
            <w:r w:rsidRPr="00754BBA">
              <w:rPr>
                <w:color w:val="000000"/>
              </w:rPr>
              <w:t>ie</w:t>
            </w:r>
            <w:proofErr w:type="spellEnd"/>
            <w:r w:rsidRPr="00754BBA">
              <w:rPr>
                <w:color w:val="000000"/>
              </w:rPr>
              <w:t xml:space="preserve"> receivable from) </w:t>
            </w:r>
            <w:r w:rsidR="002F6A6C">
              <w:rPr>
                <w:color w:val="000000"/>
              </w:rPr>
              <w:t>g</w:t>
            </w:r>
            <w:r w:rsidR="002F6A6C" w:rsidRPr="00754BBA">
              <w:rPr>
                <w:color w:val="000000"/>
              </w:rPr>
              <w:t xml:space="preserve">roup </w:t>
            </w:r>
            <w:r w:rsidR="002F6A6C">
              <w:rPr>
                <w:color w:val="000000"/>
              </w:rPr>
              <w:t>u</w:t>
            </w:r>
            <w:r w:rsidR="002F6A6C" w:rsidRPr="00754BBA">
              <w:rPr>
                <w:color w:val="000000"/>
              </w:rPr>
              <w:t xml:space="preserve">ndertakings </w:t>
            </w:r>
            <w:r w:rsidRPr="00754BBA">
              <w:rPr>
                <w:color w:val="000000"/>
              </w:rPr>
              <w:t xml:space="preserve">are shown within </w:t>
            </w:r>
            <w:r w:rsidR="006C0FBE">
              <w:rPr>
                <w:color w:val="000000"/>
              </w:rPr>
              <w:t>f</w:t>
            </w:r>
            <w:r w:rsidR="006C0FBE" w:rsidRPr="00754BBA">
              <w:rPr>
                <w:color w:val="000000"/>
              </w:rPr>
              <w:t xml:space="preserve">ixed </w:t>
            </w:r>
            <w:r w:rsidRPr="00754BBA">
              <w:rPr>
                <w:color w:val="000000"/>
              </w:rPr>
              <w:t xml:space="preserve">assets or </w:t>
            </w:r>
            <w:r w:rsidR="006C0FBE">
              <w:rPr>
                <w:color w:val="000000"/>
              </w:rPr>
              <w:t>c</w:t>
            </w:r>
            <w:r w:rsidR="006C0FBE" w:rsidRPr="00754BBA">
              <w:rPr>
                <w:color w:val="000000"/>
              </w:rPr>
              <w:t xml:space="preserve">urrent </w:t>
            </w:r>
            <w:r w:rsidRPr="00754BBA">
              <w:rPr>
                <w:color w:val="000000"/>
              </w:rPr>
              <w:t xml:space="preserve">assets either on the face of the </w:t>
            </w:r>
            <w:r w:rsidR="007964C8">
              <w:rPr>
                <w:color w:val="000000"/>
              </w:rPr>
              <w:t>b</w:t>
            </w:r>
            <w:r w:rsidR="007964C8" w:rsidRPr="00754BBA">
              <w:rPr>
                <w:color w:val="000000"/>
              </w:rPr>
              <w:t xml:space="preserve">alance </w:t>
            </w:r>
            <w:r w:rsidR="007964C8">
              <w:rPr>
                <w:color w:val="000000"/>
              </w:rPr>
              <w:t>s</w:t>
            </w:r>
            <w:r w:rsidR="007964C8" w:rsidRPr="00754BBA">
              <w:rPr>
                <w:color w:val="000000"/>
              </w:rPr>
              <w:t xml:space="preserve">heet </w:t>
            </w:r>
            <w:r w:rsidRPr="00754BBA">
              <w:rPr>
                <w:color w:val="000000"/>
              </w:rPr>
              <w:t>or in the relevant notes to the financial statements. In many cases there may be no such balances, in particular where an entity is not a member of a group or is itself the ultimate holding company of the group.</w:t>
            </w:r>
          </w:p>
          <w:p w14:paraId="6E298C71" w14:textId="77777777" w:rsidR="006C0FBE" w:rsidRPr="00754BBA" w:rsidRDefault="006C0FBE" w:rsidP="00964CD1">
            <w:pPr>
              <w:keepNext/>
              <w:keepLines/>
              <w:spacing w:line="276" w:lineRule="auto"/>
              <w:ind w:left="141"/>
            </w:pPr>
          </w:p>
          <w:p w14:paraId="5F7283F5" w14:textId="2C1716DC" w:rsidR="004C4399" w:rsidRDefault="004C4399" w:rsidP="00964CD1">
            <w:pPr>
              <w:keepNext/>
              <w:keepLines/>
              <w:spacing w:line="276" w:lineRule="auto"/>
              <w:ind w:left="141"/>
              <w:rPr>
                <w:color w:val="000000"/>
              </w:rPr>
            </w:pPr>
            <w:r w:rsidRPr="00754BBA">
              <w:rPr>
                <w:color w:val="000000"/>
              </w:rPr>
              <w:t xml:space="preserve">Contingent liabilities assumed in support of </w:t>
            </w:r>
            <w:r w:rsidR="002F6A6C">
              <w:rPr>
                <w:color w:val="000000"/>
              </w:rPr>
              <w:t>g</w:t>
            </w:r>
            <w:r w:rsidR="002F6A6C" w:rsidRPr="00754BBA">
              <w:rPr>
                <w:color w:val="000000"/>
              </w:rPr>
              <w:t xml:space="preserve">roup </w:t>
            </w:r>
            <w:r w:rsidR="002F6A6C">
              <w:rPr>
                <w:color w:val="000000"/>
              </w:rPr>
              <w:t>u</w:t>
            </w:r>
            <w:r w:rsidR="002F6A6C" w:rsidRPr="00754BBA">
              <w:rPr>
                <w:color w:val="000000"/>
              </w:rPr>
              <w:t xml:space="preserve">ndertakings </w:t>
            </w:r>
            <w:r w:rsidRPr="00754BBA">
              <w:rPr>
                <w:color w:val="000000"/>
              </w:rPr>
              <w:t xml:space="preserve">are shown in the </w:t>
            </w:r>
            <w:r w:rsidR="002F6A6C">
              <w:rPr>
                <w:color w:val="000000"/>
              </w:rPr>
              <w:t>c</w:t>
            </w:r>
            <w:r w:rsidR="002F6A6C" w:rsidRPr="00754BBA">
              <w:rPr>
                <w:color w:val="000000"/>
              </w:rPr>
              <w:t xml:space="preserve">ontingent </w:t>
            </w:r>
            <w:r w:rsidR="002F6A6C">
              <w:rPr>
                <w:color w:val="000000"/>
              </w:rPr>
              <w:t>l</w:t>
            </w:r>
            <w:r w:rsidR="002F6A6C" w:rsidRPr="00754BBA">
              <w:rPr>
                <w:color w:val="000000"/>
              </w:rPr>
              <w:t xml:space="preserve">iabilities </w:t>
            </w:r>
            <w:r w:rsidRPr="00754BBA">
              <w:rPr>
                <w:color w:val="000000"/>
              </w:rPr>
              <w:t>note in a standar</w:t>
            </w:r>
            <w:r w:rsidR="00C83B1E">
              <w:rPr>
                <w:color w:val="000000"/>
              </w:rPr>
              <w:t xml:space="preserve">d set of financial statements. </w:t>
            </w:r>
            <w:r w:rsidRPr="00754BBA">
              <w:rPr>
                <w:color w:val="000000"/>
              </w:rPr>
              <w:t xml:space="preserve">They include guarantees and security given in support of the borrowings of other group companies, often as part </w:t>
            </w:r>
            <w:r w:rsidRPr="00964CD1">
              <w:t>of</w:t>
            </w:r>
            <w:r w:rsidRPr="00754BBA">
              <w:rPr>
                <w:color w:val="000000"/>
              </w:rPr>
              <w:t xml:space="preserve"> group borrowing arrangements. Where the contingent liabilities are capped, the capped figure s</w:t>
            </w:r>
            <w:r w:rsidR="00C83B1E">
              <w:rPr>
                <w:color w:val="000000"/>
              </w:rPr>
              <w:t xml:space="preserve">hould be taken as their value. </w:t>
            </w:r>
            <w:r w:rsidRPr="00754BBA">
              <w:rPr>
                <w:color w:val="000000"/>
              </w:rPr>
              <w:t xml:space="preserve">Where no cap or maximum is specified, the relevant Financial Target </w:t>
            </w:r>
            <w:r w:rsidRPr="00754BBA">
              <w:rPr>
                <w:color w:val="000000"/>
              </w:rPr>
              <w:lastRenderedPageBreak/>
              <w:t>Threshold should automatically be regarded as not having been met.</w:t>
            </w:r>
          </w:p>
          <w:p w14:paraId="2B7FB2DE" w14:textId="77777777" w:rsidR="006C0FBE" w:rsidRPr="00754BBA" w:rsidRDefault="006C0FBE" w:rsidP="00964CD1">
            <w:pPr>
              <w:keepNext/>
              <w:keepLines/>
              <w:spacing w:line="276" w:lineRule="auto"/>
              <w:ind w:left="141"/>
              <w:rPr>
                <w:color w:val="000000"/>
              </w:rPr>
            </w:pPr>
          </w:p>
          <w:p w14:paraId="473D455D" w14:textId="7E26F5F7" w:rsidR="004C4399" w:rsidRDefault="004C4399" w:rsidP="00964CD1">
            <w:pPr>
              <w:keepNext/>
              <w:keepLines/>
              <w:spacing w:line="276" w:lineRule="auto"/>
              <w:ind w:left="141"/>
              <w:rPr>
                <w:color w:val="000000"/>
              </w:rPr>
            </w:pPr>
            <w:r w:rsidRPr="00754BBA">
              <w:rPr>
                <w:color w:val="000000"/>
              </w:rPr>
              <w:t xml:space="preserve">In many cases an entity may not have assumed any contingent liabilities in support of </w:t>
            </w:r>
            <w:r w:rsidR="002F6A6C">
              <w:rPr>
                <w:color w:val="000000"/>
              </w:rPr>
              <w:t>g</w:t>
            </w:r>
            <w:r w:rsidR="002F6A6C" w:rsidRPr="00754BBA">
              <w:rPr>
                <w:color w:val="000000"/>
              </w:rPr>
              <w:t xml:space="preserve">roup </w:t>
            </w:r>
            <w:r w:rsidR="002F6A6C">
              <w:rPr>
                <w:color w:val="000000"/>
              </w:rPr>
              <w:t>u</w:t>
            </w:r>
            <w:r w:rsidR="002F6A6C" w:rsidRPr="00754BBA">
              <w:rPr>
                <w:color w:val="000000"/>
              </w:rPr>
              <w:t>ndertakings</w:t>
            </w:r>
            <w:r w:rsidRPr="00754BBA">
              <w:rPr>
                <w:color w:val="000000"/>
              </w:rPr>
              <w:t>, in particular where an entity is not a member of a group or is itself the ultimate holding company of the group.</w:t>
            </w:r>
          </w:p>
          <w:p w14:paraId="79E1413D" w14:textId="77777777" w:rsidR="006C0FBE" w:rsidRPr="00754BBA" w:rsidRDefault="006C0FBE" w:rsidP="00964CD1">
            <w:pPr>
              <w:keepNext/>
              <w:keepLines/>
              <w:spacing w:line="276" w:lineRule="auto"/>
              <w:ind w:left="141"/>
            </w:pPr>
          </w:p>
          <w:p w14:paraId="5190CB8D" w14:textId="12C4F620" w:rsidR="005E4028" w:rsidRDefault="004C4399" w:rsidP="007964C8">
            <w:pPr>
              <w:keepNext/>
              <w:keepLines/>
              <w:spacing w:line="276" w:lineRule="auto"/>
              <w:ind w:left="141"/>
              <w:rPr>
                <w:color w:val="000000"/>
              </w:rPr>
            </w:pPr>
            <w:r w:rsidRPr="00754BBA">
              <w:rPr>
                <w:color w:val="000000"/>
              </w:rPr>
              <w:t xml:space="preserve">Gross Assets: Both </w:t>
            </w:r>
            <w:r w:rsidR="006C0FBE">
              <w:rPr>
                <w:color w:val="000000"/>
              </w:rPr>
              <w:t>f</w:t>
            </w:r>
            <w:r w:rsidR="006C0FBE" w:rsidRPr="00754BBA">
              <w:rPr>
                <w:color w:val="000000"/>
              </w:rPr>
              <w:t xml:space="preserve">ixed </w:t>
            </w:r>
            <w:r w:rsidRPr="00754BBA">
              <w:rPr>
                <w:color w:val="000000"/>
              </w:rPr>
              <w:t xml:space="preserve">assets and </w:t>
            </w:r>
            <w:r w:rsidR="006C0FBE">
              <w:rPr>
                <w:color w:val="000000"/>
              </w:rPr>
              <w:t>c</w:t>
            </w:r>
            <w:r w:rsidR="006C0FBE" w:rsidRPr="00754BBA">
              <w:rPr>
                <w:color w:val="000000"/>
              </w:rPr>
              <w:t xml:space="preserve">urrent </w:t>
            </w:r>
            <w:r w:rsidRPr="00754BBA">
              <w:rPr>
                <w:color w:val="000000"/>
              </w:rPr>
              <w:t xml:space="preserve">assets are shown on the face of the </w:t>
            </w:r>
            <w:r w:rsidR="007964C8">
              <w:rPr>
                <w:color w:val="000000"/>
              </w:rPr>
              <w:t>b</w:t>
            </w:r>
            <w:r w:rsidR="007964C8" w:rsidRPr="00754BBA">
              <w:rPr>
                <w:color w:val="000000"/>
              </w:rPr>
              <w:t xml:space="preserve">alance </w:t>
            </w:r>
            <w:r w:rsidR="007964C8">
              <w:rPr>
                <w:color w:val="000000"/>
              </w:rPr>
              <w:t>s</w:t>
            </w:r>
            <w:r w:rsidR="007964C8" w:rsidRPr="00754BBA">
              <w:rPr>
                <w:color w:val="000000"/>
              </w:rPr>
              <w:t>heet</w:t>
            </w:r>
            <w:r w:rsidR="006C0FBE">
              <w:rPr>
                <w:color w:val="000000"/>
              </w:rPr>
              <w:t>.</w:t>
            </w:r>
          </w:p>
          <w:p w14:paraId="041D50C3" w14:textId="66687C64" w:rsidR="006C0FBE" w:rsidRPr="004C4399" w:rsidRDefault="006C0FBE" w:rsidP="007964C8">
            <w:pPr>
              <w:keepNext/>
              <w:keepLines/>
              <w:spacing w:line="276" w:lineRule="auto"/>
              <w:ind w:left="141"/>
            </w:pPr>
          </w:p>
        </w:tc>
      </w:tr>
    </w:tbl>
    <w:p w14:paraId="2791F855" w14:textId="3ADDCCF2" w:rsidR="00501C27" w:rsidRDefault="00501C27"/>
    <w:p w14:paraId="175EA975" w14:textId="47052D3D" w:rsidR="00B518EC" w:rsidRPr="008531A6" w:rsidRDefault="00B518EC" w:rsidP="001E4976"/>
    <w:sectPr w:rsidR="00B518EC" w:rsidRPr="008531A6" w:rsidSect="00F5169D">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418" w:left="1134" w:header="709" w:footer="709"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8B500" w16cid:durableId="2194A6A9"/>
  <w16cid:commentId w16cid:paraId="1484C090" w16cid:durableId="2194A6F7"/>
  <w16cid:commentId w16cid:paraId="0BB49A6D" w16cid:durableId="218B92B8"/>
  <w16cid:commentId w16cid:paraId="2A94F54E" w16cid:durableId="218B92B9"/>
  <w16cid:commentId w16cid:paraId="2F938389" w16cid:durableId="218B92BA"/>
  <w16cid:commentId w16cid:paraId="4929DC36" w16cid:durableId="218B92BB"/>
  <w16cid:commentId w16cid:paraId="0A7926CD" w16cid:durableId="218B92BD"/>
  <w16cid:commentId w16cid:paraId="658D4F91" w16cid:durableId="218BC871"/>
  <w16cid:commentId w16cid:paraId="2C3E9504" w16cid:durableId="218B92C1"/>
  <w16cid:commentId w16cid:paraId="4B12816B" w16cid:durableId="2194A032"/>
  <w16cid:commentId w16cid:paraId="195984E6" w16cid:durableId="2194A008"/>
  <w16cid:commentId w16cid:paraId="70E1D8CF" w16cid:durableId="218B92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13B6" w14:textId="77777777" w:rsidR="007964C8" w:rsidRDefault="007964C8" w:rsidP="008531A6">
      <w:pPr>
        <w:pStyle w:val="EndnoteText"/>
      </w:pPr>
      <w:r>
        <w:separator/>
      </w:r>
    </w:p>
  </w:endnote>
  <w:endnote w:type="continuationSeparator" w:id="0">
    <w:p w14:paraId="0F9AFA99" w14:textId="77777777" w:rsidR="007964C8" w:rsidRDefault="007964C8" w:rsidP="008531A6">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Malgun Gothic">
    <w:charset w:val="00"/>
    <w:pitch w:val="variable"/>
    <w:family w:val="roman"/>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5EBE" w14:textId="77777777" w:rsidR="00FA6348" w:rsidRDefault="00FA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3179" w14:textId="7ADC724B" w:rsidR="007964C8" w:rsidRPr="00C4210F" w:rsidRDefault="007964C8">
    <w:pPr>
      <w:pStyle w:val="Footer"/>
      <w:rPr>
        <w:b/>
      </w:rPr>
    </w:pPr>
    <w:r>
      <w:rPr>
        <w:b/>
      </w:rPr>
      <w:t>DF AGREEMENT SCHEDULE 7.4 – FINANCIAL DISTRESS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E20E" w14:textId="77777777" w:rsidR="00FA6348" w:rsidRDefault="00FA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72C4" w14:textId="77777777" w:rsidR="007964C8" w:rsidRDefault="007964C8" w:rsidP="008531A6">
      <w:pPr>
        <w:pStyle w:val="FootnoteText"/>
      </w:pPr>
      <w:r>
        <w:separator/>
      </w:r>
    </w:p>
  </w:footnote>
  <w:footnote w:type="continuationSeparator" w:id="0">
    <w:p w14:paraId="070A7C88" w14:textId="77777777" w:rsidR="007964C8" w:rsidRDefault="007964C8" w:rsidP="008531A6">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F40F" w14:textId="77777777" w:rsidR="00FA6348" w:rsidRDefault="00FA6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0D79" w14:textId="37E49C32" w:rsidR="007964C8" w:rsidRPr="00C4210F" w:rsidRDefault="007964C8" w:rsidP="00F5169D">
    <w:pPr>
      <w:pStyle w:val="Body"/>
      <w:jc w:val="center"/>
      <w:rPr>
        <w:b/>
        <w:sz w:val="16"/>
        <w:szCs w:val="16"/>
      </w:rPr>
    </w:pPr>
    <w:r w:rsidRPr="00C4210F">
      <w:rPr>
        <w:b/>
        <w:sz w:val="16"/>
        <w:szCs w:val="16"/>
      </w:rPr>
      <w:t>OFFICIAL 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C95E" w14:textId="77777777" w:rsidR="00FA6348" w:rsidRDefault="00FA6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993"/>
        </w:tabs>
        <w:ind w:left="99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492689"/>
    <w:multiLevelType w:val="hybridMultilevel"/>
    <w:tmpl w:val="0250277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
    <w:nsid w:val="27EB2CCD"/>
    <w:multiLevelType w:val="hybridMultilevel"/>
    <w:tmpl w:val="B6FA3DE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6">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nsid w:val="4D296539"/>
    <w:multiLevelType w:val="multilevel"/>
    <w:tmpl w:val="9BFED590"/>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E4B4E3E"/>
    <w:multiLevelType w:val="multilevel"/>
    <w:tmpl w:val="E6502C0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1080"/>
        </w:tabs>
        <w:ind w:left="1080" w:hanging="720"/>
      </w:p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nsid w:val="701D64BD"/>
    <w:multiLevelType w:val="hybridMultilevel"/>
    <w:tmpl w:val="4EFC7CA2"/>
    <w:lvl w:ilvl="0" w:tplc="B21A1014">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6"/>
  </w:num>
  <w:num w:numId="12">
    <w:abstractNumId w:val="0"/>
  </w:num>
  <w:num w:numId="13">
    <w:abstractNumId w:val="6"/>
  </w:num>
  <w:num w:numId="14">
    <w:abstractNumId w:val="6"/>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4"/>
  </w:num>
  <w:num w:numId="37">
    <w:abstractNumId w:val="5"/>
  </w:num>
  <w:num w:numId="38">
    <w:abstractNumId w:val="2"/>
  </w:num>
  <w:num w:numId="39">
    <w:abstractNumId w:val="2"/>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1"/>
  <w:characterSpacingControl w:val="doNotCompress"/>
  <w:hdrShapeDefaults>
    <o:shapedefaults v:ext="edit" spidmax="57345"/>
  </w:hdrShapeDefaults>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BE7429"/>
    <w:rsid w:val="00013172"/>
    <w:rsid w:val="00027BA4"/>
    <w:rsid w:val="00041875"/>
    <w:rsid w:val="000437A5"/>
    <w:rsid w:val="00051024"/>
    <w:rsid w:val="000726C2"/>
    <w:rsid w:val="00077219"/>
    <w:rsid w:val="0009530A"/>
    <w:rsid w:val="000A0A84"/>
    <w:rsid w:val="000A28F3"/>
    <w:rsid w:val="000A6FAA"/>
    <w:rsid w:val="000B15DA"/>
    <w:rsid w:val="000B15F6"/>
    <w:rsid w:val="000D7906"/>
    <w:rsid w:val="000E2CC8"/>
    <w:rsid w:val="001110CD"/>
    <w:rsid w:val="00112F07"/>
    <w:rsid w:val="00116CB3"/>
    <w:rsid w:val="00122432"/>
    <w:rsid w:val="00123D46"/>
    <w:rsid w:val="001240C6"/>
    <w:rsid w:val="00162F20"/>
    <w:rsid w:val="0017214D"/>
    <w:rsid w:val="00186157"/>
    <w:rsid w:val="00194322"/>
    <w:rsid w:val="001A722F"/>
    <w:rsid w:val="001D5931"/>
    <w:rsid w:val="001D6006"/>
    <w:rsid w:val="001E4976"/>
    <w:rsid w:val="002102A7"/>
    <w:rsid w:val="00210D29"/>
    <w:rsid w:val="00221EAB"/>
    <w:rsid w:val="002660BF"/>
    <w:rsid w:val="00266844"/>
    <w:rsid w:val="00277AEC"/>
    <w:rsid w:val="00292E6C"/>
    <w:rsid w:val="002B067D"/>
    <w:rsid w:val="002B4AFD"/>
    <w:rsid w:val="002C400C"/>
    <w:rsid w:val="002C5461"/>
    <w:rsid w:val="002C5D7F"/>
    <w:rsid w:val="002D18D6"/>
    <w:rsid w:val="002F6A6C"/>
    <w:rsid w:val="00313ACB"/>
    <w:rsid w:val="0032051D"/>
    <w:rsid w:val="00340578"/>
    <w:rsid w:val="00351FCB"/>
    <w:rsid w:val="00391108"/>
    <w:rsid w:val="003916DE"/>
    <w:rsid w:val="0039478E"/>
    <w:rsid w:val="003A5B5A"/>
    <w:rsid w:val="003C1001"/>
    <w:rsid w:val="004059E9"/>
    <w:rsid w:val="00407847"/>
    <w:rsid w:val="00421D9C"/>
    <w:rsid w:val="00444B3A"/>
    <w:rsid w:val="0047090E"/>
    <w:rsid w:val="00473A5D"/>
    <w:rsid w:val="00475771"/>
    <w:rsid w:val="00480959"/>
    <w:rsid w:val="00495C03"/>
    <w:rsid w:val="004A0916"/>
    <w:rsid w:val="004A0CFC"/>
    <w:rsid w:val="004A6ECC"/>
    <w:rsid w:val="004C4399"/>
    <w:rsid w:val="004D0C83"/>
    <w:rsid w:val="004F791A"/>
    <w:rsid w:val="00501C27"/>
    <w:rsid w:val="005032E2"/>
    <w:rsid w:val="005049F3"/>
    <w:rsid w:val="005239FD"/>
    <w:rsid w:val="005261D3"/>
    <w:rsid w:val="00541B49"/>
    <w:rsid w:val="00543183"/>
    <w:rsid w:val="00556784"/>
    <w:rsid w:val="00562478"/>
    <w:rsid w:val="0057470A"/>
    <w:rsid w:val="00575ABB"/>
    <w:rsid w:val="00597DD3"/>
    <w:rsid w:val="00597F9C"/>
    <w:rsid w:val="005A46C1"/>
    <w:rsid w:val="005A49EA"/>
    <w:rsid w:val="005A69AD"/>
    <w:rsid w:val="005A7970"/>
    <w:rsid w:val="005E08E9"/>
    <w:rsid w:val="005E20A8"/>
    <w:rsid w:val="005E4028"/>
    <w:rsid w:val="005F34A1"/>
    <w:rsid w:val="00603C34"/>
    <w:rsid w:val="00621FA8"/>
    <w:rsid w:val="00630FBA"/>
    <w:rsid w:val="006524F0"/>
    <w:rsid w:val="00687985"/>
    <w:rsid w:val="006A7EF8"/>
    <w:rsid w:val="006C0FBE"/>
    <w:rsid w:val="006C6C10"/>
    <w:rsid w:val="006E2D70"/>
    <w:rsid w:val="00706C0E"/>
    <w:rsid w:val="007110FA"/>
    <w:rsid w:val="0073310A"/>
    <w:rsid w:val="0073442F"/>
    <w:rsid w:val="00742D03"/>
    <w:rsid w:val="00754BBA"/>
    <w:rsid w:val="00756612"/>
    <w:rsid w:val="007709D9"/>
    <w:rsid w:val="00772319"/>
    <w:rsid w:val="00776053"/>
    <w:rsid w:val="00787FDF"/>
    <w:rsid w:val="00791747"/>
    <w:rsid w:val="007929E3"/>
    <w:rsid w:val="00794537"/>
    <w:rsid w:val="007964C8"/>
    <w:rsid w:val="007A6FCD"/>
    <w:rsid w:val="007A7C98"/>
    <w:rsid w:val="007B1457"/>
    <w:rsid w:val="007B28FF"/>
    <w:rsid w:val="007B502F"/>
    <w:rsid w:val="007C220A"/>
    <w:rsid w:val="007D5181"/>
    <w:rsid w:val="00823434"/>
    <w:rsid w:val="008235CF"/>
    <w:rsid w:val="0083197C"/>
    <w:rsid w:val="008530BD"/>
    <w:rsid w:val="008531A6"/>
    <w:rsid w:val="00857203"/>
    <w:rsid w:val="00870450"/>
    <w:rsid w:val="00871EA7"/>
    <w:rsid w:val="00873793"/>
    <w:rsid w:val="008761FA"/>
    <w:rsid w:val="008858A0"/>
    <w:rsid w:val="00886EDB"/>
    <w:rsid w:val="008870D6"/>
    <w:rsid w:val="00890244"/>
    <w:rsid w:val="008963F5"/>
    <w:rsid w:val="00897C5C"/>
    <w:rsid w:val="008A2AC5"/>
    <w:rsid w:val="008B4AE8"/>
    <w:rsid w:val="008B7117"/>
    <w:rsid w:val="008C7BA8"/>
    <w:rsid w:val="009044B7"/>
    <w:rsid w:val="00910B9B"/>
    <w:rsid w:val="00923C2B"/>
    <w:rsid w:val="00931E4B"/>
    <w:rsid w:val="00941531"/>
    <w:rsid w:val="00953AC7"/>
    <w:rsid w:val="00964CD1"/>
    <w:rsid w:val="00980E28"/>
    <w:rsid w:val="0099424A"/>
    <w:rsid w:val="009A0BC1"/>
    <w:rsid w:val="009A13B5"/>
    <w:rsid w:val="009C0E7E"/>
    <w:rsid w:val="009D6F7B"/>
    <w:rsid w:val="00A02153"/>
    <w:rsid w:val="00A0739B"/>
    <w:rsid w:val="00A26B2E"/>
    <w:rsid w:val="00A34881"/>
    <w:rsid w:val="00A352CC"/>
    <w:rsid w:val="00A410C7"/>
    <w:rsid w:val="00A67B4E"/>
    <w:rsid w:val="00A67DD2"/>
    <w:rsid w:val="00A8530D"/>
    <w:rsid w:val="00A90D79"/>
    <w:rsid w:val="00A94850"/>
    <w:rsid w:val="00A97B33"/>
    <w:rsid w:val="00A97C69"/>
    <w:rsid w:val="00AA43EB"/>
    <w:rsid w:val="00AB04AB"/>
    <w:rsid w:val="00AC544A"/>
    <w:rsid w:val="00AC59F4"/>
    <w:rsid w:val="00AC6227"/>
    <w:rsid w:val="00AE4F67"/>
    <w:rsid w:val="00AE53F7"/>
    <w:rsid w:val="00AF09E1"/>
    <w:rsid w:val="00AF0B64"/>
    <w:rsid w:val="00B041FD"/>
    <w:rsid w:val="00B13123"/>
    <w:rsid w:val="00B17A11"/>
    <w:rsid w:val="00B371EB"/>
    <w:rsid w:val="00B518EC"/>
    <w:rsid w:val="00B631C8"/>
    <w:rsid w:val="00B70E32"/>
    <w:rsid w:val="00B736EC"/>
    <w:rsid w:val="00B92037"/>
    <w:rsid w:val="00BB6480"/>
    <w:rsid w:val="00BD3480"/>
    <w:rsid w:val="00BE7429"/>
    <w:rsid w:val="00C05343"/>
    <w:rsid w:val="00C3592E"/>
    <w:rsid w:val="00C4210F"/>
    <w:rsid w:val="00C52468"/>
    <w:rsid w:val="00C63223"/>
    <w:rsid w:val="00C6497D"/>
    <w:rsid w:val="00C70E1F"/>
    <w:rsid w:val="00C83B1E"/>
    <w:rsid w:val="00CB26D8"/>
    <w:rsid w:val="00CB309B"/>
    <w:rsid w:val="00CB5B5B"/>
    <w:rsid w:val="00CD5CCE"/>
    <w:rsid w:val="00CE47DC"/>
    <w:rsid w:val="00CF35CC"/>
    <w:rsid w:val="00D05BDE"/>
    <w:rsid w:val="00D148A5"/>
    <w:rsid w:val="00D23A6B"/>
    <w:rsid w:val="00D53568"/>
    <w:rsid w:val="00D55FEB"/>
    <w:rsid w:val="00D6096E"/>
    <w:rsid w:val="00D63255"/>
    <w:rsid w:val="00D64141"/>
    <w:rsid w:val="00D8700E"/>
    <w:rsid w:val="00DC02AA"/>
    <w:rsid w:val="00DC7339"/>
    <w:rsid w:val="00DF1C2C"/>
    <w:rsid w:val="00E017EB"/>
    <w:rsid w:val="00E268A7"/>
    <w:rsid w:val="00E61BA7"/>
    <w:rsid w:val="00E63CD2"/>
    <w:rsid w:val="00E67112"/>
    <w:rsid w:val="00E766FC"/>
    <w:rsid w:val="00EC04F8"/>
    <w:rsid w:val="00EE26C0"/>
    <w:rsid w:val="00EF437F"/>
    <w:rsid w:val="00F00A78"/>
    <w:rsid w:val="00F1422A"/>
    <w:rsid w:val="00F14784"/>
    <w:rsid w:val="00F31123"/>
    <w:rsid w:val="00F3286B"/>
    <w:rsid w:val="00F5142E"/>
    <w:rsid w:val="00F5169D"/>
    <w:rsid w:val="00F559E3"/>
    <w:rsid w:val="00F570DD"/>
    <w:rsid w:val="00F82CB0"/>
    <w:rsid w:val="00F90409"/>
    <w:rsid w:val="00FA5351"/>
    <w:rsid w:val="00FA6348"/>
    <w:rsid w:val="00FB7771"/>
    <w:rsid w:val="00FD6E4B"/>
    <w:rsid w:val="00FE7448"/>
    <w:rsid w:val="00FF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AA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annotation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F51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F516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tabs>
        <w:tab w:val="clear" w:pos="993"/>
        <w:tab w:val="num" w:pos="851"/>
      </w:tabs>
      <w:ind w:left="851"/>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qFormat/>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F5169D"/>
    <w:rPr>
      <w:b/>
      <w:bCs/>
      <w:smallCaps/>
      <w:spacing w:val="5"/>
    </w:rPr>
  </w:style>
  <w:style w:type="character" w:styleId="Emphasis">
    <w:name w:val="Emphasis"/>
    <w:basedOn w:val="DefaultParagraphFont"/>
    <w:uiPriority w:val="20"/>
    <w:semiHidden/>
    <w:rsid w:val="00F5169D"/>
    <w:rPr>
      <w:i/>
      <w:iCs/>
    </w:rPr>
  </w:style>
  <w:style w:type="character" w:customStyle="1" w:styleId="Heading1Char">
    <w:name w:val="Heading 1 Char"/>
    <w:basedOn w:val="DefaultParagraphFont"/>
    <w:link w:val="Heading1"/>
    <w:uiPriority w:val="9"/>
    <w:rsid w:val="00F516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69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F5169D"/>
    <w:rPr>
      <w:b/>
      <w:bCs/>
      <w:i/>
      <w:iCs/>
      <w:color w:val="4F81BD" w:themeColor="accent1"/>
    </w:rPr>
  </w:style>
  <w:style w:type="paragraph" w:styleId="IntenseQuote">
    <w:name w:val="Intense Quote"/>
    <w:basedOn w:val="Normal"/>
    <w:next w:val="Normal"/>
    <w:link w:val="IntenseQuoteChar"/>
    <w:uiPriority w:val="30"/>
    <w:semiHidden/>
    <w:rsid w:val="00F516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69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F5169D"/>
    <w:rPr>
      <w:b/>
      <w:bCs/>
      <w:smallCaps/>
      <w:color w:val="C0504D" w:themeColor="accent2"/>
      <w:spacing w:val="5"/>
      <w:u w:val="single"/>
    </w:rPr>
  </w:style>
  <w:style w:type="paragraph" w:styleId="ListParagraph">
    <w:name w:val="List Paragraph"/>
    <w:basedOn w:val="Normal"/>
    <w:uiPriority w:val="34"/>
    <w:qFormat/>
    <w:rsid w:val="00F5169D"/>
    <w:pPr>
      <w:ind w:left="720"/>
      <w:contextualSpacing/>
    </w:pPr>
  </w:style>
  <w:style w:type="paragraph" w:styleId="NoSpacing">
    <w:name w:val="No Spacing"/>
    <w:uiPriority w:val="1"/>
    <w:semiHidden/>
    <w:rsid w:val="00F5169D"/>
    <w:pPr>
      <w:adjustRightInd w:val="0"/>
      <w:jc w:val="both"/>
    </w:pPr>
    <w:rPr>
      <w:rFonts w:ascii="Arial" w:eastAsia="Arial" w:hAnsi="Arial" w:cs="Arial"/>
    </w:rPr>
  </w:style>
  <w:style w:type="paragraph" w:styleId="Quote">
    <w:name w:val="Quote"/>
    <w:basedOn w:val="Normal"/>
    <w:next w:val="Normal"/>
    <w:link w:val="QuoteChar"/>
    <w:uiPriority w:val="29"/>
    <w:semiHidden/>
    <w:rsid w:val="00F5169D"/>
    <w:rPr>
      <w:i/>
      <w:iCs/>
      <w:color w:val="000000" w:themeColor="text1"/>
    </w:rPr>
  </w:style>
  <w:style w:type="character" w:customStyle="1" w:styleId="QuoteChar">
    <w:name w:val="Quote Char"/>
    <w:basedOn w:val="DefaultParagraphFont"/>
    <w:link w:val="Quote"/>
    <w:uiPriority w:val="29"/>
    <w:rsid w:val="00F5169D"/>
    <w:rPr>
      <w:rFonts w:ascii="Arial" w:eastAsia="Arial" w:hAnsi="Arial" w:cs="Arial"/>
      <w:i/>
      <w:iCs/>
      <w:color w:val="000000" w:themeColor="text1"/>
    </w:rPr>
  </w:style>
  <w:style w:type="character" w:styleId="Strong">
    <w:name w:val="Strong"/>
    <w:basedOn w:val="DefaultParagraphFont"/>
    <w:uiPriority w:val="22"/>
    <w:semiHidden/>
    <w:rsid w:val="00F5169D"/>
    <w:rPr>
      <w:b/>
      <w:bCs/>
    </w:rPr>
  </w:style>
  <w:style w:type="paragraph" w:styleId="Subtitle">
    <w:name w:val="Subtitle"/>
    <w:basedOn w:val="Normal"/>
    <w:next w:val="Normal"/>
    <w:link w:val="SubtitleChar"/>
    <w:uiPriority w:val="11"/>
    <w:semiHidden/>
    <w:rsid w:val="00F516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6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F5169D"/>
    <w:rPr>
      <w:i/>
      <w:iCs/>
      <w:color w:val="808080" w:themeColor="text1" w:themeTint="7F"/>
    </w:rPr>
  </w:style>
  <w:style w:type="character" w:styleId="SubtleReference">
    <w:name w:val="Subtle Reference"/>
    <w:basedOn w:val="DefaultParagraphFont"/>
    <w:uiPriority w:val="31"/>
    <w:semiHidden/>
    <w:rsid w:val="00F5169D"/>
    <w:rPr>
      <w:smallCaps/>
      <w:color w:val="C0504D" w:themeColor="accent2"/>
      <w:u w:val="single"/>
    </w:rPr>
  </w:style>
  <w:style w:type="paragraph" w:styleId="Title">
    <w:name w:val="Title"/>
    <w:basedOn w:val="Normal"/>
    <w:next w:val="Normal"/>
    <w:link w:val="TitleChar"/>
    <w:uiPriority w:val="10"/>
    <w:semiHidden/>
    <w:rsid w:val="00F51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69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F5169D"/>
    <w:rPr>
      <w:sz w:val="16"/>
      <w:szCs w:val="16"/>
    </w:rPr>
  </w:style>
  <w:style w:type="paragraph" w:styleId="TOC7">
    <w:name w:val="toc 7"/>
    <w:basedOn w:val="Normal"/>
    <w:next w:val="Normal"/>
    <w:uiPriority w:val="39"/>
    <w:semiHidden/>
    <w:unhideWhenUsed/>
    <w:rsid w:val="00F5169D"/>
    <w:pPr>
      <w:spacing w:after="100"/>
      <w:ind w:left="1200"/>
    </w:pPr>
  </w:style>
  <w:style w:type="paragraph" w:styleId="TOC8">
    <w:name w:val="toc 8"/>
    <w:basedOn w:val="Normal"/>
    <w:next w:val="Normal"/>
    <w:uiPriority w:val="39"/>
    <w:semiHidden/>
    <w:unhideWhenUsed/>
    <w:rsid w:val="00F5169D"/>
    <w:pPr>
      <w:spacing w:after="100"/>
      <w:ind w:left="1400"/>
    </w:pPr>
  </w:style>
  <w:style w:type="paragraph" w:styleId="TOC9">
    <w:name w:val="toc 9"/>
    <w:basedOn w:val="Normal"/>
    <w:next w:val="Normal"/>
    <w:uiPriority w:val="39"/>
    <w:semiHidden/>
    <w:unhideWhenUsed/>
    <w:rsid w:val="00F5169D"/>
    <w:pPr>
      <w:spacing w:after="100"/>
      <w:ind w:left="1600"/>
    </w:pPr>
  </w:style>
  <w:style w:type="paragraph" w:styleId="Index1">
    <w:name w:val="index 1"/>
    <w:basedOn w:val="Normal"/>
    <w:next w:val="Normal"/>
    <w:uiPriority w:val="99"/>
    <w:semiHidden/>
    <w:unhideWhenUsed/>
    <w:rsid w:val="00F5169D"/>
    <w:pPr>
      <w:ind w:left="200" w:hanging="200"/>
    </w:pPr>
  </w:style>
  <w:style w:type="paragraph" w:styleId="Index2">
    <w:name w:val="index 2"/>
    <w:basedOn w:val="Normal"/>
    <w:next w:val="Normal"/>
    <w:uiPriority w:val="99"/>
    <w:semiHidden/>
    <w:unhideWhenUsed/>
    <w:rsid w:val="00F5169D"/>
    <w:pPr>
      <w:ind w:left="400" w:hanging="200"/>
    </w:pPr>
  </w:style>
  <w:style w:type="paragraph" w:styleId="Index3">
    <w:name w:val="index 3"/>
    <w:basedOn w:val="Normal"/>
    <w:next w:val="Normal"/>
    <w:uiPriority w:val="99"/>
    <w:semiHidden/>
    <w:unhideWhenUsed/>
    <w:rsid w:val="00F5169D"/>
    <w:pPr>
      <w:ind w:left="600" w:hanging="200"/>
    </w:pPr>
  </w:style>
  <w:style w:type="paragraph" w:styleId="Index4">
    <w:name w:val="index 4"/>
    <w:basedOn w:val="Normal"/>
    <w:next w:val="Normal"/>
    <w:uiPriority w:val="99"/>
    <w:semiHidden/>
    <w:unhideWhenUsed/>
    <w:rsid w:val="00F5169D"/>
    <w:pPr>
      <w:ind w:left="800" w:hanging="200"/>
    </w:pPr>
  </w:style>
  <w:style w:type="paragraph" w:styleId="Index5">
    <w:name w:val="index 5"/>
    <w:basedOn w:val="Normal"/>
    <w:next w:val="Normal"/>
    <w:uiPriority w:val="99"/>
    <w:semiHidden/>
    <w:unhideWhenUsed/>
    <w:rsid w:val="00F5169D"/>
    <w:pPr>
      <w:ind w:left="1000" w:hanging="200"/>
    </w:pPr>
  </w:style>
  <w:style w:type="paragraph" w:styleId="Index6">
    <w:name w:val="index 6"/>
    <w:basedOn w:val="Normal"/>
    <w:next w:val="Normal"/>
    <w:uiPriority w:val="99"/>
    <w:semiHidden/>
    <w:unhideWhenUsed/>
    <w:rsid w:val="00F5169D"/>
    <w:pPr>
      <w:ind w:left="1200" w:hanging="200"/>
    </w:pPr>
  </w:style>
  <w:style w:type="paragraph" w:styleId="Index7">
    <w:name w:val="index 7"/>
    <w:basedOn w:val="Normal"/>
    <w:next w:val="Normal"/>
    <w:uiPriority w:val="99"/>
    <w:semiHidden/>
    <w:unhideWhenUsed/>
    <w:rsid w:val="00F5169D"/>
    <w:pPr>
      <w:ind w:left="1400" w:hanging="200"/>
    </w:pPr>
  </w:style>
  <w:style w:type="paragraph" w:styleId="Index8">
    <w:name w:val="index 8"/>
    <w:basedOn w:val="Normal"/>
    <w:next w:val="Normal"/>
    <w:uiPriority w:val="99"/>
    <w:semiHidden/>
    <w:unhideWhenUsed/>
    <w:rsid w:val="00F5169D"/>
    <w:pPr>
      <w:ind w:left="1600" w:hanging="200"/>
    </w:pPr>
  </w:style>
  <w:style w:type="paragraph" w:styleId="Index9">
    <w:name w:val="index 9"/>
    <w:basedOn w:val="Normal"/>
    <w:next w:val="Normal"/>
    <w:uiPriority w:val="99"/>
    <w:semiHidden/>
    <w:unhideWhenUsed/>
    <w:rsid w:val="00F5169D"/>
    <w:pPr>
      <w:ind w:left="1800" w:hanging="200"/>
    </w:pPr>
  </w:style>
  <w:style w:type="table" w:styleId="TableGrid">
    <w:name w:val="Table Grid"/>
    <w:basedOn w:val="TableNormal"/>
    <w:uiPriority w:val="59"/>
    <w:rsid w:val="009C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214D"/>
  </w:style>
  <w:style w:type="character" w:customStyle="1" w:styleId="CommentTextChar">
    <w:name w:val="Comment Text Char"/>
    <w:basedOn w:val="DefaultParagraphFont"/>
    <w:link w:val="CommentText"/>
    <w:uiPriority w:val="99"/>
    <w:rsid w:val="0017214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17214D"/>
    <w:rPr>
      <w:b/>
      <w:bCs/>
    </w:rPr>
  </w:style>
  <w:style w:type="character" w:customStyle="1" w:styleId="CommentSubjectChar">
    <w:name w:val="Comment Subject Char"/>
    <w:basedOn w:val="CommentTextChar"/>
    <w:link w:val="CommentSubject"/>
    <w:uiPriority w:val="99"/>
    <w:semiHidden/>
    <w:rsid w:val="0017214D"/>
    <w:rPr>
      <w:rFonts w:ascii="Arial" w:eastAsia="Arial" w:hAnsi="Arial" w:cs="Arial"/>
      <w:b/>
      <w:bCs/>
    </w:rPr>
  </w:style>
  <w:style w:type="paragraph" w:styleId="Revision">
    <w:name w:val="Revision"/>
    <w:hidden/>
    <w:uiPriority w:val="99"/>
    <w:semiHidden/>
    <w:rsid w:val="00D64141"/>
    <w:rPr>
      <w:rFonts w:ascii="Arial" w:eastAsia="Arial" w:hAnsi="Arial" w:cs="Arial"/>
    </w:rPr>
  </w:style>
  <w:style w:type="paragraph" w:styleId="BalloonText">
    <w:name w:val="Balloon Text"/>
    <w:basedOn w:val="Normal"/>
    <w:link w:val="BalloonTextChar"/>
    <w:uiPriority w:val="99"/>
    <w:semiHidden/>
    <w:unhideWhenUsed/>
    <w:rsid w:val="00D64141"/>
    <w:rPr>
      <w:rFonts w:ascii="Tahoma" w:hAnsi="Tahoma" w:cs="Tahoma"/>
      <w:sz w:val="16"/>
      <w:szCs w:val="16"/>
    </w:rPr>
  </w:style>
  <w:style w:type="character" w:customStyle="1" w:styleId="BalloonTextChar">
    <w:name w:val="Balloon Text Char"/>
    <w:basedOn w:val="DefaultParagraphFont"/>
    <w:link w:val="BalloonText"/>
    <w:uiPriority w:val="99"/>
    <w:semiHidden/>
    <w:rsid w:val="00D64141"/>
    <w:rPr>
      <w:rFonts w:ascii="Tahoma" w:eastAsia="Arial" w:hAnsi="Tahoma" w:cs="Tahoma"/>
      <w:sz w:val="16"/>
      <w:szCs w:val="16"/>
    </w:rPr>
  </w:style>
  <w:style w:type="character" w:customStyle="1" w:styleId="TextChar">
    <w:name w:val="Text Char"/>
    <w:link w:val="Text"/>
    <w:rsid w:val="00340578"/>
    <w:rPr>
      <w:rFonts w:ascii="Arial" w:hAnsi="Arial"/>
      <w:sz w:val="22"/>
    </w:rPr>
  </w:style>
  <w:style w:type="paragraph" w:customStyle="1" w:styleId="Text">
    <w:name w:val="Text"/>
    <w:link w:val="TextChar"/>
    <w:qFormat/>
    <w:rsid w:val="00340578"/>
    <w:pPr>
      <w:spacing w:after="240"/>
    </w:pPr>
    <w:rPr>
      <w:rFonts w:ascii="Arial" w:hAnsi="Arial"/>
      <w:sz w:val="22"/>
    </w:rPr>
  </w:style>
  <w:style w:type="paragraph" w:customStyle="1" w:styleId="AOHead1">
    <w:name w:val="AOHead1"/>
    <w:basedOn w:val="Normal"/>
    <w:next w:val="Normal"/>
    <w:rsid w:val="00340578"/>
    <w:pPr>
      <w:keepNext/>
      <w:numPr>
        <w:numId w:val="34"/>
      </w:numPr>
      <w:adjustRightInd/>
      <w:spacing w:before="240" w:line="260" w:lineRule="atLeast"/>
      <w:outlineLvl w:val="0"/>
    </w:pPr>
    <w:rPr>
      <w:rFonts w:ascii="Times New Roman" w:eastAsia="SimSun" w:hAnsi="Times New Roman" w:cs="Times New Roman"/>
      <w:b/>
      <w:caps/>
      <w:kern w:val="28"/>
      <w:sz w:val="22"/>
      <w:szCs w:val="22"/>
      <w:lang w:eastAsia="en-US"/>
    </w:rPr>
  </w:style>
  <w:style w:type="paragraph" w:customStyle="1" w:styleId="AOHead2">
    <w:name w:val="AOHead2"/>
    <w:basedOn w:val="Normal"/>
    <w:next w:val="Normal"/>
    <w:rsid w:val="00340578"/>
    <w:pPr>
      <w:keepNext/>
      <w:numPr>
        <w:ilvl w:val="1"/>
        <w:numId w:val="34"/>
      </w:numPr>
      <w:adjustRightInd/>
      <w:spacing w:before="240" w:line="260" w:lineRule="atLeast"/>
      <w:outlineLvl w:val="1"/>
    </w:pPr>
    <w:rPr>
      <w:rFonts w:ascii="Times New Roman" w:eastAsia="SimSun" w:hAnsi="Times New Roman" w:cs="Times New Roman"/>
      <w:b/>
      <w:sz w:val="22"/>
      <w:szCs w:val="22"/>
      <w:lang w:eastAsia="en-US"/>
    </w:rPr>
  </w:style>
  <w:style w:type="paragraph" w:customStyle="1" w:styleId="AOHead3">
    <w:name w:val="AOHead3"/>
    <w:basedOn w:val="Normal"/>
    <w:next w:val="Normal"/>
    <w:rsid w:val="00340578"/>
    <w:pPr>
      <w:numPr>
        <w:ilvl w:val="2"/>
        <w:numId w:val="34"/>
      </w:numPr>
      <w:adjustRightInd/>
      <w:spacing w:before="240" w:line="260" w:lineRule="atLeast"/>
      <w:outlineLvl w:val="2"/>
    </w:pPr>
    <w:rPr>
      <w:rFonts w:ascii="Times New Roman" w:eastAsia="SimSun" w:hAnsi="Times New Roman" w:cs="Times New Roman"/>
      <w:sz w:val="22"/>
      <w:szCs w:val="22"/>
      <w:lang w:eastAsia="en-US"/>
    </w:rPr>
  </w:style>
  <w:style w:type="paragraph" w:customStyle="1" w:styleId="AOHead4">
    <w:name w:val="AOHead4"/>
    <w:basedOn w:val="Normal"/>
    <w:next w:val="Normal"/>
    <w:rsid w:val="00340578"/>
    <w:pPr>
      <w:numPr>
        <w:ilvl w:val="3"/>
        <w:numId w:val="34"/>
      </w:numPr>
      <w:adjustRightInd/>
      <w:spacing w:before="240" w:line="260" w:lineRule="atLeast"/>
      <w:outlineLvl w:val="3"/>
    </w:pPr>
    <w:rPr>
      <w:rFonts w:ascii="Times New Roman" w:eastAsia="SimSun" w:hAnsi="Times New Roman" w:cs="Times New Roman"/>
      <w:sz w:val="22"/>
      <w:szCs w:val="22"/>
      <w:lang w:eastAsia="en-US"/>
    </w:rPr>
  </w:style>
  <w:style w:type="paragraph" w:customStyle="1" w:styleId="AOHead5">
    <w:name w:val="AOHead5"/>
    <w:basedOn w:val="Normal"/>
    <w:next w:val="Normal"/>
    <w:rsid w:val="00340578"/>
    <w:pPr>
      <w:numPr>
        <w:ilvl w:val="4"/>
        <w:numId w:val="34"/>
      </w:numPr>
      <w:adjustRightInd/>
      <w:spacing w:before="240" w:line="260" w:lineRule="atLeast"/>
      <w:outlineLvl w:val="4"/>
    </w:pPr>
    <w:rPr>
      <w:rFonts w:ascii="Times New Roman" w:eastAsia="SimSun" w:hAnsi="Times New Roman" w:cs="Times New Roman"/>
      <w:sz w:val="22"/>
      <w:szCs w:val="22"/>
      <w:lang w:eastAsia="en-US"/>
    </w:rPr>
  </w:style>
  <w:style w:type="paragraph" w:customStyle="1" w:styleId="AOHead6">
    <w:name w:val="AOHead6"/>
    <w:basedOn w:val="Normal"/>
    <w:next w:val="Normal"/>
    <w:rsid w:val="00340578"/>
    <w:pPr>
      <w:numPr>
        <w:ilvl w:val="5"/>
        <w:numId w:val="34"/>
      </w:numPr>
      <w:adjustRightInd/>
      <w:spacing w:before="240" w:line="260" w:lineRule="atLeast"/>
      <w:outlineLvl w:val="5"/>
    </w:pPr>
    <w:rPr>
      <w:rFonts w:ascii="Times New Roman" w:eastAsia="SimSun" w:hAnsi="Times New Roman" w:cs="Times New Roman"/>
      <w:sz w:val="22"/>
      <w:szCs w:val="22"/>
      <w:lang w:eastAsia="en-US"/>
    </w:rPr>
  </w:style>
  <w:style w:type="numbering" w:customStyle="1" w:styleId="DefinitionsNumbering">
    <w:name w:val="Definitions Numbering"/>
    <w:basedOn w:val="NoList"/>
    <w:rsid w:val="00EC04F8"/>
    <w:pPr>
      <w:numPr>
        <w:numId w:val="40"/>
      </w:numPr>
    </w:pPr>
  </w:style>
  <w:style w:type="paragraph" w:customStyle="1" w:styleId="Definition1">
    <w:name w:val="Definition 1"/>
    <w:basedOn w:val="Body"/>
    <w:uiPriority w:val="29"/>
    <w:qFormat/>
    <w:rsid w:val="00EC04F8"/>
    <w:pPr>
      <w:numPr>
        <w:numId w:val="40"/>
      </w:numPr>
      <w:adjustRightInd/>
      <w:outlineLvl w:val="0"/>
    </w:pPr>
    <w:rPr>
      <w:rFonts w:eastAsiaTheme="minorHAnsi"/>
      <w:szCs w:val="22"/>
      <w:lang w:eastAsia="en-US"/>
    </w:rPr>
  </w:style>
  <w:style w:type="paragraph" w:customStyle="1" w:styleId="Definition2">
    <w:name w:val="Definition 2"/>
    <w:basedOn w:val="Body"/>
    <w:uiPriority w:val="29"/>
    <w:qFormat/>
    <w:rsid w:val="00EC04F8"/>
    <w:pPr>
      <w:numPr>
        <w:ilvl w:val="1"/>
        <w:numId w:val="40"/>
      </w:numPr>
      <w:adjustRightInd/>
      <w:outlineLvl w:val="1"/>
    </w:pPr>
    <w:rPr>
      <w:rFonts w:eastAsiaTheme="minorHAnsi"/>
      <w:szCs w:val="22"/>
      <w:lang w:eastAsia="en-US"/>
    </w:rPr>
  </w:style>
  <w:style w:type="paragraph" w:customStyle="1" w:styleId="Definition3">
    <w:name w:val="Definition 3"/>
    <w:basedOn w:val="Body"/>
    <w:uiPriority w:val="29"/>
    <w:qFormat/>
    <w:rsid w:val="00EC04F8"/>
    <w:pPr>
      <w:numPr>
        <w:ilvl w:val="2"/>
        <w:numId w:val="40"/>
      </w:numPr>
      <w:adjustRightInd/>
      <w:outlineLvl w:val="2"/>
    </w:pPr>
    <w:rPr>
      <w:rFonts w:eastAsiaTheme="minorHAnsi"/>
      <w:szCs w:val="22"/>
      <w:lang w:eastAsia="en-US"/>
    </w:rPr>
  </w:style>
  <w:style w:type="paragraph" w:customStyle="1" w:styleId="Definition4">
    <w:name w:val="Definition 4"/>
    <w:basedOn w:val="Body"/>
    <w:uiPriority w:val="29"/>
    <w:qFormat/>
    <w:rsid w:val="00EC04F8"/>
    <w:pPr>
      <w:numPr>
        <w:ilvl w:val="3"/>
        <w:numId w:val="40"/>
      </w:numPr>
      <w:adjustRightInd/>
      <w:outlineLvl w:val="3"/>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annotation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F516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F516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tabs>
        <w:tab w:val="clear" w:pos="993"/>
        <w:tab w:val="num" w:pos="851"/>
      </w:tabs>
      <w:ind w:left="851"/>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qFormat/>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F5169D"/>
    <w:rPr>
      <w:b/>
      <w:bCs/>
      <w:smallCaps/>
      <w:spacing w:val="5"/>
    </w:rPr>
  </w:style>
  <w:style w:type="character" w:styleId="Emphasis">
    <w:name w:val="Emphasis"/>
    <w:basedOn w:val="DefaultParagraphFont"/>
    <w:uiPriority w:val="20"/>
    <w:semiHidden/>
    <w:rsid w:val="00F5169D"/>
    <w:rPr>
      <w:i/>
      <w:iCs/>
    </w:rPr>
  </w:style>
  <w:style w:type="character" w:customStyle="1" w:styleId="Heading1Char">
    <w:name w:val="Heading 1 Char"/>
    <w:basedOn w:val="DefaultParagraphFont"/>
    <w:link w:val="Heading1"/>
    <w:uiPriority w:val="9"/>
    <w:rsid w:val="00F516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69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F5169D"/>
    <w:rPr>
      <w:b/>
      <w:bCs/>
      <w:i/>
      <w:iCs/>
      <w:color w:val="4F81BD" w:themeColor="accent1"/>
    </w:rPr>
  </w:style>
  <w:style w:type="paragraph" w:styleId="IntenseQuote">
    <w:name w:val="Intense Quote"/>
    <w:basedOn w:val="Normal"/>
    <w:next w:val="Normal"/>
    <w:link w:val="IntenseQuoteChar"/>
    <w:uiPriority w:val="30"/>
    <w:semiHidden/>
    <w:rsid w:val="00F516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69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F5169D"/>
    <w:rPr>
      <w:b/>
      <w:bCs/>
      <w:smallCaps/>
      <w:color w:val="C0504D" w:themeColor="accent2"/>
      <w:spacing w:val="5"/>
      <w:u w:val="single"/>
    </w:rPr>
  </w:style>
  <w:style w:type="paragraph" w:styleId="ListParagraph">
    <w:name w:val="List Paragraph"/>
    <w:basedOn w:val="Normal"/>
    <w:uiPriority w:val="34"/>
    <w:qFormat/>
    <w:rsid w:val="00F5169D"/>
    <w:pPr>
      <w:ind w:left="720"/>
      <w:contextualSpacing/>
    </w:pPr>
  </w:style>
  <w:style w:type="paragraph" w:styleId="NoSpacing">
    <w:name w:val="No Spacing"/>
    <w:uiPriority w:val="1"/>
    <w:semiHidden/>
    <w:rsid w:val="00F5169D"/>
    <w:pPr>
      <w:adjustRightInd w:val="0"/>
      <w:jc w:val="both"/>
    </w:pPr>
    <w:rPr>
      <w:rFonts w:ascii="Arial" w:eastAsia="Arial" w:hAnsi="Arial" w:cs="Arial"/>
    </w:rPr>
  </w:style>
  <w:style w:type="paragraph" w:styleId="Quote">
    <w:name w:val="Quote"/>
    <w:basedOn w:val="Normal"/>
    <w:next w:val="Normal"/>
    <w:link w:val="QuoteChar"/>
    <w:uiPriority w:val="29"/>
    <w:semiHidden/>
    <w:rsid w:val="00F5169D"/>
    <w:rPr>
      <w:i/>
      <w:iCs/>
      <w:color w:val="000000" w:themeColor="text1"/>
    </w:rPr>
  </w:style>
  <w:style w:type="character" w:customStyle="1" w:styleId="QuoteChar">
    <w:name w:val="Quote Char"/>
    <w:basedOn w:val="DefaultParagraphFont"/>
    <w:link w:val="Quote"/>
    <w:uiPriority w:val="29"/>
    <w:rsid w:val="00F5169D"/>
    <w:rPr>
      <w:rFonts w:ascii="Arial" w:eastAsia="Arial" w:hAnsi="Arial" w:cs="Arial"/>
      <w:i/>
      <w:iCs/>
      <w:color w:val="000000" w:themeColor="text1"/>
    </w:rPr>
  </w:style>
  <w:style w:type="character" w:styleId="Strong">
    <w:name w:val="Strong"/>
    <w:basedOn w:val="DefaultParagraphFont"/>
    <w:uiPriority w:val="22"/>
    <w:semiHidden/>
    <w:rsid w:val="00F5169D"/>
    <w:rPr>
      <w:b/>
      <w:bCs/>
    </w:rPr>
  </w:style>
  <w:style w:type="paragraph" w:styleId="Subtitle">
    <w:name w:val="Subtitle"/>
    <w:basedOn w:val="Normal"/>
    <w:next w:val="Normal"/>
    <w:link w:val="SubtitleChar"/>
    <w:uiPriority w:val="11"/>
    <w:semiHidden/>
    <w:rsid w:val="00F516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16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F5169D"/>
    <w:rPr>
      <w:i/>
      <w:iCs/>
      <w:color w:val="808080" w:themeColor="text1" w:themeTint="7F"/>
    </w:rPr>
  </w:style>
  <w:style w:type="character" w:styleId="SubtleReference">
    <w:name w:val="Subtle Reference"/>
    <w:basedOn w:val="DefaultParagraphFont"/>
    <w:uiPriority w:val="31"/>
    <w:semiHidden/>
    <w:rsid w:val="00F5169D"/>
    <w:rPr>
      <w:smallCaps/>
      <w:color w:val="C0504D" w:themeColor="accent2"/>
      <w:u w:val="single"/>
    </w:rPr>
  </w:style>
  <w:style w:type="paragraph" w:styleId="Title">
    <w:name w:val="Title"/>
    <w:basedOn w:val="Normal"/>
    <w:next w:val="Normal"/>
    <w:link w:val="TitleChar"/>
    <w:uiPriority w:val="10"/>
    <w:semiHidden/>
    <w:rsid w:val="00F51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69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F5169D"/>
    <w:rPr>
      <w:sz w:val="16"/>
      <w:szCs w:val="16"/>
    </w:rPr>
  </w:style>
  <w:style w:type="paragraph" w:styleId="TOC7">
    <w:name w:val="toc 7"/>
    <w:basedOn w:val="Normal"/>
    <w:next w:val="Normal"/>
    <w:uiPriority w:val="39"/>
    <w:semiHidden/>
    <w:unhideWhenUsed/>
    <w:rsid w:val="00F5169D"/>
    <w:pPr>
      <w:spacing w:after="100"/>
      <w:ind w:left="1200"/>
    </w:pPr>
  </w:style>
  <w:style w:type="paragraph" w:styleId="TOC8">
    <w:name w:val="toc 8"/>
    <w:basedOn w:val="Normal"/>
    <w:next w:val="Normal"/>
    <w:uiPriority w:val="39"/>
    <w:semiHidden/>
    <w:unhideWhenUsed/>
    <w:rsid w:val="00F5169D"/>
    <w:pPr>
      <w:spacing w:after="100"/>
      <w:ind w:left="1400"/>
    </w:pPr>
  </w:style>
  <w:style w:type="paragraph" w:styleId="TOC9">
    <w:name w:val="toc 9"/>
    <w:basedOn w:val="Normal"/>
    <w:next w:val="Normal"/>
    <w:uiPriority w:val="39"/>
    <w:semiHidden/>
    <w:unhideWhenUsed/>
    <w:rsid w:val="00F5169D"/>
    <w:pPr>
      <w:spacing w:after="100"/>
      <w:ind w:left="1600"/>
    </w:pPr>
  </w:style>
  <w:style w:type="paragraph" w:styleId="Index1">
    <w:name w:val="index 1"/>
    <w:basedOn w:val="Normal"/>
    <w:next w:val="Normal"/>
    <w:uiPriority w:val="99"/>
    <w:semiHidden/>
    <w:unhideWhenUsed/>
    <w:rsid w:val="00F5169D"/>
    <w:pPr>
      <w:ind w:left="200" w:hanging="200"/>
    </w:pPr>
  </w:style>
  <w:style w:type="paragraph" w:styleId="Index2">
    <w:name w:val="index 2"/>
    <w:basedOn w:val="Normal"/>
    <w:next w:val="Normal"/>
    <w:uiPriority w:val="99"/>
    <w:semiHidden/>
    <w:unhideWhenUsed/>
    <w:rsid w:val="00F5169D"/>
    <w:pPr>
      <w:ind w:left="400" w:hanging="200"/>
    </w:pPr>
  </w:style>
  <w:style w:type="paragraph" w:styleId="Index3">
    <w:name w:val="index 3"/>
    <w:basedOn w:val="Normal"/>
    <w:next w:val="Normal"/>
    <w:uiPriority w:val="99"/>
    <w:semiHidden/>
    <w:unhideWhenUsed/>
    <w:rsid w:val="00F5169D"/>
    <w:pPr>
      <w:ind w:left="600" w:hanging="200"/>
    </w:pPr>
  </w:style>
  <w:style w:type="paragraph" w:styleId="Index4">
    <w:name w:val="index 4"/>
    <w:basedOn w:val="Normal"/>
    <w:next w:val="Normal"/>
    <w:uiPriority w:val="99"/>
    <w:semiHidden/>
    <w:unhideWhenUsed/>
    <w:rsid w:val="00F5169D"/>
    <w:pPr>
      <w:ind w:left="800" w:hanging="200"/>
    </w:pPr>
  </w:style>
  <w:style w:type="paragraph" w:styleId="Index5">
    <w:name w:val="index 5"/>
    <w:basedOn w:val="Normal"/>
    <w:next w:val="Normal"/>
    <w:uiPriority w:val="99"/>
    <w:semiHidden/>
    <w:unhideWhenUsed/>
    <w:rsid w:val="00F5169D"/>
    <w:pPr>
      <w:ind w:left="1000" w:hanging="200"/>
    </w:pPr>
  </w:style>
  <w:style w:type="paragraph" w:styleId="Index6">
    <w:name w:val="index 6"/>
    <w:basedOn w:val="Normal"/>
    <w:next w:val="Normal"/>
    <w:uiPriority w:val="99"/>
    <w:semiHidden/>
    <w:unhideWhenUsed/>
    <w:rsid w:val="00F5169D"/>
    <w:pPr>
      <w:ind w:left="1200" w:hanging="200"/>
    </w:pPr>
  </w:style>
  <w:style w:type="paragraph" w:styleId="Index7">
    <w:name w:val="index 7"/>
    <w:basedOn w:val="Normal"/>
    <w:next w:val="Normal"/>
    <w:uiPriority w:val="99"/>
    <w:semiHidden/>
    <w:unhideWhenUsed/>
    <w:rsid w:val="00F5169D"/>
    <w:pPr>
      <w:ind w:left="1400" w:hanging="200"/>
    </w:pPr>
  </w:style>
  <w:style w:type="paragraph" w:styleId="Index8">
    <w:name w:val="index 8"/>
    <w:basedOn w:val="Normal"/>
    <w:next w:val="Normal"/>
    <w:uiPriority w:val="99"/>
    <w:semiHidden/>
    <w:unhideWhenUsed/>
    <w:rsid w:val="00F5169D"/>
    <w:pPr>
      <w:ind w:left="1600" w:hanging="200"/>
    </w:pPr>
  </w:style>
  <w:style w:type="paragraph" w:styleId="Index9">
    <w:name w:val="index 9"/>
    <w:basedOn w:val="Normal"/>
    <w:next w:val="Normal"/>
    <w:uiPriority w:val="99"/>
    <w:semiHidden/>
    <w:unhideWhenUsed/>
    <w:rsid w:val="00F5169D"/>
    <w:pPr>
      <w:ind w:left="1800" w:hanging="200"/>
    </w:pPr>
  </w:style>
  <w:style w:type="table" w:styleId="TableGrid">
    <w:name w:val="Table Grid"/>
    <w:basedOn w:val="TableNormal"/>
    <w:uiPriority w:val="59"/>
    <w:rsid w:val="009C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214D"/>
  </w:style>
  <w:style w:type="character" w:customStyle="1" w:styleId="CommentTextChar">
    <w:name w:val="Comment Text Char"/>
    <w:basedOn w:val="DefaultParagraphFont"/>
    <w:link w:val="CommentText"/>
    <w:uiPriority w:val="99"/>
    <w:rsid w:val="0017214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17214D"/>
    <w:rPr>
      <w:b/>
      <w:bCs/>
    </w:rPr>
  </w:style>
  <w:style w:type="character" w:customStyle="1" w:styleId="CommentSubjectChar">
    <w:name w:val="Comment Subject Char"/>
    <w:basedOn w:val="CommentTextChar"/>
    <w:link w:val="CommentSubject"/>
    <w:uiPriority w:val="99"/>
    <w:semiHidden/>
    <w:rsid w:val="0017214D"/>
    <w:rPr>
      <w:rFonts w:ascii="Arial" w:eastAsia="Arial" w:hAnsi="Arial" w:cs="Arial"/>
      <w:b/>
      <w:bCs/>
    </w:rPr>
  </w:style>
  <w:style w:type="paragraph" w:styleId="Revision">
    <w:name w:val="Revision"/>
    <w:hidden/>
    <w:uiPriority w:val="99"/>
    <w:semiHidden/>
    <w:rsid w:val="00D64141"/>
    <w:rPr>
      <w:rFonts w:ascii="Arial" w:eastAsia="Arial" w:hAnsi="Arial" w:cs="Arial"/>
    </w:rPr>
  </w:style>
  <w:style w:type="paragraph" w:styleId="BalloonText">
    <w:name w:val="Balloon Text"/>
    <w:basedOn w:val="Normal"/>
    <w:link w:val="BalloonTextChar"/>
    <w:uiPriority w:val="99"/>
    <w:semiHidden/>
    <w:unhideWhenUsed/>
    <w:rsid w:val="00D64141"/>
    <w:rPr>
      <w:rFonts w:ascii="Tahoma" w:hAnsi="Tahoma" w:cs="Tahoma"/>
      <w:sz w:val="16"/>
      <w:szCs w:val="16"/>
    </w:rPr>
  </w:style>
  <w:style w:type="character" w:customStyle="1" w:styleId="BalloonTextChar">
    <w:name w:val="Balloon Text Char"/>
    <w:basedOn w:val="DefaultParagraphFont"/>
    <w:link w:val="BalloonText"/>
    <w:uiPriority w:val="99"/>
    <w:semiHidden/>
    <w:rsid w:val="00D64141"/>
    <w:rPr>
      <w:rFonts w:ascii="Tahoma" w:eastAsia="Arial" w:hAnsi="Tahoma" w:cs="Tahoma"/>
      <w:sz w:val="16"/>
      <w:szCs w:val="16"/>
    </w:rPr>
  </w:style>
  <w:style w:type="character" w:customStyle="1" w:styleId="TextChar">
    <w:name w:val="Text Char"/>
    <w:link w:val="Text"/>
    <w:rsid w:val="00340578"/>
    <w:rPr>
      <w:rFonts w:ascii="Arial" w:hAnsi="Arial"/>
      <w:sz w:val="22"/>
    </w:rPr>
  </w:style>
  <w:style w:type="paragraph" w:customStyle="1" w:styleId="Text">
    <w:name w:val="Text"/>
    <w:link w:val="TextChar"/>
    <w:qFormat/>
    <w:rsid w:val="00340578"/>
    <w:pPr>
      <w:spacing w:after="240"/>
    </w:pPr>
    <w:rPr>
      <w:rFonts w:ascii="Arial" w:hAnsi="Arial"/>
      <w:sz w:val="22"/>
    </w:rPr>
  </w:style>
  <w:style w:type="paragraph" w:customStyle="1" w:styleId="AOHead1">
    <w:name w:val="AOHead1"/>
    <w:basedOn w:val="Normal"/>
    <w:next w:val="Normal"/>
    <w:rsid w:val="00340578"/>
    <w:pPr>
      <w:keepNext/>
      <w:numPr>
        <w:numId w:val="34"/>
      </w:numPr>
      <w:adjustRightInd/>
      <w:spacing w:before="240" w:line="260" w:lineRule="atLeast"/>
      <w:outlineLvl w:val="0"/>
    </w:pPr>
    <w:rPr>
      <w:rFonts w:ascii="Times New Roman" w:eastAsia="SimSun" w:hAnsi="Times New Roman" w:cs="Times New Roman"/>
      <w:b/>
      <w:caps/>
      <w:kern w:val="28"/>
      <w:sz w:val="22"/>
      <w:szCs w:val="22"/>
      <w:lang w:eastAsia="en-US"/>
    </w:rPr>
  </w:style>
  <w:style w:type="paragraph" w:customStyle="1" w:styleId="AOHead2">
    <w:name w:val="AOHead2"/>
    <w:basedOn w:val="Normal"/>
    <w:next w:val="Normal"/>
    <w:rsid w:val="00340578"/>
    <w:pPr>
      <w:keepNext/>
      <w:numPr>
        <w:ilvl w:val="1"/>
        <w:numId w:val="34"/>
      </w:numPr>
      <w:adjustRightInd/>
      <w:spacing w:before="240" w:line="260" w:lineRule="atLeast"/>
      <w:outlineLvl w:val="1"/>
    </w:pPr>
    <w:rPr>
      <w:rFonts w:ascii="Times New Roman" w:eastAsia="SimSun" w:hAnsi="Times New Roman" w:cs="Times New Roman"/>
      <w:b/>
      <w:sz w:val="22"/>
      <w:szCs w:val="22"/>
      <w:lang w:eastAsia="en-US"/>
    </w:rPr>
  </w:style>
  <w:style w:type="paragraph" w:customStyle="1" w:styleId="AOHead3">
    <w:name w:val="AOHead3"/>
    <w:basedOn w:val="Normal"/>
    <w:next w:val="Normal"/>
    <w:rsid w:val="00340578"/>
    <w:pPr>
      <w:numPr>
        <w:ilvl w:val="2"/>
        <w:numId w:val="34"/>
      </w:numPr>
      <w:adjustRightInd/>
      <w:spacing w:before="240" w:line="260" w:lineRule="atLeast"/>
      <w:outlineLvl w:val="2"/>
    </w:pPr>
    <w:rPr>
      <w:rFonts w:ascii="Times New Roman" w:eastAsia="SimSun" w:hAnsi="Times New Roman" w:cs="Times New Roman"/>
      <w:sz w:val="22"/>
      <w:szCs w:val="22"/>
      <w:lang w:eastAsia="en-US"/>
    </w:rPr>
  </w:style>
  <w:style w:type="paragraph" w:customStyle="1" w:styleId="AOHead4">
    <w:name w:val="AOHead4"/>
    <w:basedOn w:val="Normal"/>
    <w:next w:val="Normal"/>
    <w:rsid w:val="00340578"/>
    <w:pPr>
      <w:numPr>
        <w:ilvl w:val="3"/>
        <w:numId w:val="34"/>
      </w:numPr>
      <w:adjustRightInd/>
      <w:spacing w:before="240" w:line="260" w:lineRule="atLeast"/>
      <w:outlineLvl w:val="3"/>
    </w:pPr>
    <w:rPr>
      <w:rFonts w:ascii="Times New Roman" w:eastAsia="SimSun" w:hAnsi="Times New Roman" w:cs="Times New Roman"/>
      <w:sz w:val="22"/>
      <w:szCs w:val="22"/>
      <w:lang w:eastAsia="en-US"/>
    </w:rPr>
  </w:style>
  <w:style w:type="paragraph" w:customStyle="1" w:styleId="AOHead5">
    <w:name w:val="AOHead5"/>
    <w:basedOn w:val="Normal"/>
    <w:next w:val="Normal"/>
    <w:rsid w:val="00340578"/>
    <w:pPr>
      <w:numPr>
        <w:ilvl w:val="4"/>
        <w:numId w:val="34"/>
      </w:numPr>
      <w:adjustRightInd/>
      <w:spacing w:before="240" w:line="260" w:lineRule="atLeast"/>
      <w:outlineLvl w:val="4"/>
    </w:pPr>
    <w:rPr>
      <w:rFonts w:ascii="Times New Roman" w:eastAsia="SimSun" w:hAnsi="Times New Roman" w:cs="Times New Roman"/>
      <w:sz w:val="22"/>
      <w:szCs w:val="22"/>
      <w:lang w:eastAsia="en-US"/>
    </w:rPr>
  </w:style>
  <w:style w:type="paragraph" w:customStyle="1" w:styleId="AOHead6">
    <w:name w:val="AOHead6"/>
    <w:basedOn w:val="Normal"/>
    <w:next w:val="Normal"/>
    <w:rsid w:val="00340578"/>
    <w:pPr>
      <w:numPr>
        <w:ilvl w:val="5"/>
        <w:numId w:val="34"/>
      </w:numPr>
      <w:adjustRightInd/>
      <w:spacing w:before="240" w:line="260" w:lineRule="atLeast"/>
      <w:outlineLvl w:val="5"/>
    </w:pPr>
    <w:rPr>
      <w:rFonts w:ascii="Times New Roman" w:eastAsia="SimSun" w:hAnsi="Times New Roman" w:cs="Times New Roman"/>
      <w:sz w:val="22"/>
      <w:szCs w:val="22"/>
      <w:lang w:eastAsia="en-US"/>
    </w:rPr>
  </w:style>
  <w:style w:type="numbering" w:customStyle="1" w:styleId="DefinitionsNumbering">
    <w:name w:val="Definitions Numbering"/>
    <w:basedOn w:val="NoList"/>
    <w:rsid w:val="00EC04F8"/>
    <w:pPr>
      <w:numPr>
        <w:numId w:val="40"/>
      </w:numPr>
    </w:pPr>
  </w:style>
  <w:style w:type="paragraph" w:customStyle="1" w:styleId="Definition1">
    <w:name w:val="Definition 1"/>
    <w:basedOn w:val="Body"/>
    <w:uiPriority w:val="29"/>
    <w:qFormat/>
    <w:rsid w:val="00EC04F8"/>
    <w:pPr>
      <w:numPr>
        <w:numId w:val="40"/>
      </w:numPr>
      <w:adjustRightInd/>
      <w:outlineLvl w:val="0"/>
    </w:pPr>
    <w:rPr>
      <w:rFonts w:eastAsiaTheme="minorHAnsi"/>
      <w:szCs w:val="22"/>
      <w:lang w:eastAsia="en-US"/>
    </w:rPr>
  </w:style>
  <w:style w:type="paragraph" w:customStyle="1" w:styleId="Definition2">
    <w:name w:val="Definition 2"/>
    <w:basedOn w:val="Body"/>
    <w:uiPriority w:val="29"/>
    <w:qFormat/>
    <w:rsid w:val="00EC04F8"/>
    <w:pPr>
      <w:numPr>
        <w:ilvl w:val="1"/>
        <w:numId w:val="40"/>
      </w:numPr>
      <w:adjustRightInd/>
      <w:outlineLvl w:val="1"/>
    </w:pPr>
    <w:rPr>
      <w:rFonts w:eastAsiaTheme="minorHAnsi"/>
      <w:szCs w:val="22"/>
      <w:lang w:eastAsia="en-US"/>
    </w:rPr>
  </w:style>
  <w:style w:type="paragraph" w:customStyle="1" w:styleId="Definition3">
    <w:name w:val="Definition 3"/>
    <w:basedOn w:val="Body"/>
    <w:uiPriority w:val="29"/>
    <w:qFormat/>
    <w:rsid w:val="00EC04F8"/>
    <w:pPr>
      <w:numPr>
        <w:ilvl w:val="2"/>
        <w:numId w:val="40"/>
      </w:numPr>
      <w:adjustRightInd/>
      <w:outlineLvl w:val="2"/>
    </w:pPr>
    <w:rPr>
      <w:rFonts w:eastAsiaTheme="minorHAnsi"/>
      <w:szCs w:val="22"/>
      <w:lang w:eastAsia="en-US"/>
    </w:rPr>
  </w:style>
  <w:style w:type="paragraph" w:customStyle="1" w:styleId="Definition4">
    <w:name w:val="Definition 4"/>
    <w:basedOn w:val="Body"/>
    <w:uiPriority w:val="29"/>
    <w:qFormat/>
    <w:rsid w:val="00EC04F8"/>
    <w:pPr>
      <w:numPr>
        <w:ilvl w:val="3"/>
        <w:numId w:val="40"/>
      </w:numPr>
      <w:adjustRightInd/>
      <w:outlineLvl w:val="3"/>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2918A7D1EDA4580EB323B20C55C79" ma:contentTypeVersion="11" ma:contentTypeDescription="Create a new document." ma:contentTypeScope="" ma:versionID="160c6a49a40ae6b9d22c70d85558ad7e">
  <xsd:schema xmlns:xsd="http://www.w3.org/2001/XMLSchema" xmlns:xs="http://www.w3.org/2001/XMLSchema" xmlns:p="http://schemas.microsoft.com/office/2006/metadata/properties" xmlns:ns3="a1db273a-b7ae-4fd1-8f5e-84db184691f3" xmlns:ns4="ec7d33d3-b01f-4824-b2e3-b1b9c80509be" targetNamespace="http://schemas.microsoft.com/office/2006/metadata/properties" ma:root="true" ma:fieldsID="c1630518f816a73b2571d0c1269d1ae7" ns3:_="" ns4:_="">
    <xsd:import namespace="a1db273a-b7ae-4fd1-8f5e-84db184691f3"/>
    <xsd:import namespace="ec7d33d3-b01f-4824-b2e3-b1b9c80509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273a-b7ae-4fd1-8f5e-84db18469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d33d3-b01f-4824-b2e3-b1b9c80509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0D1D-199A-4A3D-BB30-90E533DADB23}">
  <ds:schemaRefs>
    <ds:schemaRef ds:uri="http://schemas.microsoft.com/office/2006/metadata/properties"/>
    <ds:schemaRef ds:uri="ec7d33d3-b01f-4824-b2e3-b1b9c80509be"/>
    <ds:schemaRef ds:uri="http://www.w3.org/XML/1998/namespace"/>
    <ds:schemaRef ds:uri="http://purl.org/dc/terms/"/>
    <ds:schemaRef ds:uri="a1db273a-b7ae-4fd1-8f5e-84db184691f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88BABE-A256-49D9-9E4C-5B1DE748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273a-b7ae-4fd1-8f5e-84db184691f3"/>
    <ds:schemaRef ds:uri="ec7d33d3-b01f-4824-b2e3-b1b9c8050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1A616-15F7-4E24-926C-3EB35BC9A71A}">
  <ds:schemaRefs>
    <ds:schemaRef ds:uri="http://schemas.microsoft.com/sharepoint/v3/contenttype/forms"/>
  </ds:schemaRefs>
</ds:datastoreItem>
</file>

<file path=customXml/itemProps4.xml><?xml version="1.0" encoding="utf-8"?>
<ds:datastoreItem xmlns:ds="http://schemas.openxmlformats.org/officeDocument/2006/customXml" ds:itemID="{6690A178-9F69-4CF6-9866-373E9D16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10</TotalTime>
  <Pages>15</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Pinsent Masons</cp:lastModifiedBy>
  <cp:revision>8</cp:revision>
  <dcterms:created xsi:type="dcterms:W3CDTF">2020-06-05T11:39:00Z</dcterms:created>
  <dcterms:modified xsi:type="dcterms:W3CDTF">2020-06-10T15:32:00Z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114538478.3\PE06</vt:lpwstr>
  </property>
  <property fmtid="{D5CDD505-2E9C-101B-9397-08002B2CF9AE}" pid="3" name="ContentTypeId">
    <vt:lpwstr>0x0101007652918A7D1EDA4580EB323B20C55C79</vt:lpwstr>
  </property>
  <property fmtid="{D5CDD505-2E9C-101B-9397-08002B2CF9AE}" pid="4" name="Company">
    <vt:lpwstr>Pinsent Masons LLP</vt:lpwstr>
  </property>
</Properties>
</file>