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21784" w14:textId="3167A86C" w:rsidR="008F7752" w:rsidRDefault="00727BF3" w:rsidP="008F7752">
      <w:pPr>
        <w:spacing w:after="100" w:afterAutospacing="1"/>
        <w:jc w:val="center"/>
        <w:rPr>
          <w:b/>
          <w:bCs/>
        </w:rPr>
      </w:pPr>
      <w:r>
        <w:rPr>
          <w:b/>
          <w:bCs/>
        </w:rPr>
        <w:t xml:space="preserve">DYNAMIC FRAMEWORK </w:t>
      </w:r>
    </w:p>
    <w:p w14:paraId="20FC9929" w14:textId="77777777" w:rsidR="00E76976" w:rsidRDefault="008F7752" w:rsidP="008F7752">
      <w:pPr>
        <w:spacing w:after="100" w:afterAutospacing="1"/>
        <w:jc w:val="center"/>
        <w:rPr>
          <w:b/>
          <w:bCs/>
        </w:rPr>
      </w:pPr>
      <w:r>
        <w:rPr>
          <w:b/>
          <w:bCs/>
        </w:rPr>
        <w:t xml:space="preserve">SCHEDULE 4.3 </w:t>
      </w:r>
    </w:p>
    <w:p w14:paraId="1BECF41A" w14:textId="1D929BE8" w:rsidR="008F7752" w:rsidRDefault="00166F8F" w:rsidP="008F7752">
      <w:pPr>
        <w:spacing w:after="100" w:afterAutospacing="1"/>
        <w:jc w:val="center"/>
        <w:rPr>
          <w:b/>
          <w:bCs/>
        </w:rPr>
      </w:pPr>
      <w:r>
        <w:rPr>
          <w:b/>
          <w:bCs/>
        </w:rPr>
        <w:t>SUB-CONTRACTING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2039"/>
        <w:gridCol w:w="5210"/>
      </w:tblGrid>
      <w:tr w:rsidR="00E76976" w14:paraId="081F8B7B" w14:textId="77777777" w:rsidTr="00F46A84">
        <w:tc>
          <w:tcPr>
            <w:tcW w:w="147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AE516" w14:textId="77777777" w:rsidR="00E76976" w:rsidRDefault="00E76976" w:rsidP="00272D38">
            <w:pPr>
              <w:keepNext/>
              <w:spacing w:before="120" w:after="120" w:line="276" w:lineRule="auto"/>
              <w:ind w:left="57" w:right="57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203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340A7" w14:textId="77777777" w:rsidR="00E76976" w:rsidRDefault="00E76976" w:rsidP="00272D38">
            <w:pPr>
              <w:keepNext/>
              <w:spacing w:before="120" w:after="120" w:line="276" w:lineRule="auto"/>
              <w:ind w:left="57" w:right="57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521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42154" w14:textId="77777777" w:rsidR="00E76976" w:rsidRDefault="00E76976" w:rsidP="00272D38">
            <w:pPr>
              <w:keepNext/>
              <w:spacing w:before="120" w:after="120" w:line="276" w:lineRule="auto"/>
              <w:ind w:left="57" w:right="57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76976" w14:paraId="306E6554" w14:textId="77777777" w:rsidTr="00F46A84"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699BE" w14:textId="1BDB2FCB" w:rsidR="00E76976" w:rsidRDefault="00C36D99" w:rsidP="00C36D99">
            <w:pPr>
              <w:keepNext/>
              <w:spacing w:before="120" w:after="120" w:line="276" w:lineRule="auto"/>
              <w:ind w:left="57" w:right="5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1.0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4E05E" w14:textId="6ED274B2" w:rsidR="00E76976" w:rsidRDefault="00F46A84" w:rsidP="00590317">
            <w:pPr>
              <w:keepNext/>
              <w:spacing w:before="120" w:after="120" w:line="276" w:lineRule="auto"/>
              <w:ind w:left="57" w:right="5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10</w:t>
            </w:r>
            <w:r w:rsidR="00727BF3">
              <w:rPr>
                <w:lang w:eastAsia="en-US"/>
              </w:rPr>
              <w:t xml:space="preserve"> </w:t>
            </w:r>
            <w:r w:rsidR="00590317">
              <w:rPr>
                <w:lang w:eastAsia="en-US"/>
              </w:rPr>
              <w:t>June</w:t>
            </w:r>
            <w:r w:rsidR="00727BF3">
              <w:rPr>
                <w:lang w:eastAsia="en-US"/>
              </w:rPr>
              <w:t xml:space="preserve"> 2020</w:t>
            </w: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67E4" w14:textId="64484E83" w:rsidR="00E76976" w:rsidRDefault="00727BF3" w:rsidP="00C36D99">
            <w:pPr>
              <w:keepNext/>
              <w:spacing w:before="120" w:after="120" w:line="276" w:lineRule="auto"/>
              <w:ind w:left="57" w:right="5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Initial </w:t>
            </w:r>
            <w:r w:rsidR="00C36D99">
              <w:rPr>
                <w:lang w:eastAsia="en-US"/>
              </w:rPr>
              <w:t>Release</w:t>
            </w:r>
          </w:p>
        </w:tc>
      </w:tr>
      <w:tr w:rsidR="00DA6AF4" w:rsidRPr="006F7211" w14:paraId="59972D61" w14:textId="77777777" w:rsidTr="00F46A84"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216A5" w14:textId="1D1E9ADB" w:rsidR="00DA6AF4" w:rsidRPr="006F7211" w:rsidRDefault="00DA6AF4" w:rsidP="00272D38">
            <w:pPr>
              <w:keepNext/>
              <w:spacing w:before="120" w:after="120" w:line="276" w:lineRule="auto"/>
              <w:ind w:left="57" w:right="57"/>
              <w:rPr>
                <w:bCs/>
                <w:lang w:eastAsia="en-US"/>
              </w:rPr>
            </w:pP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643A" w14:textId="6DC797FC" w:rsidR="00DA6AF4" w:rsidRPr="006F7211" w:rsidRDefault="00DA6AF4" w:rsidP="00272D38">
            <w:pPr>
              <w:keepNext/>
              <w:spacing w:before="120" w:after="120" w:line="276" w:lineRule="auto"/>
              <w:ind w:left="57" w:right="57"/>
              <w:rPr>
                <w:bCs/>
                <w:snapToGrid w:val="0"/>
                <w:lang w:eastAsia="en-US"/>
              </w:rPr>
            </w:pP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C5F5" w14:textId="289B6D94" w:rsidR="00DA6AF4" w:rsidRPr="006F7211" w:rsidRDefault="00DA6AF4" w:rsidP="00272D38">
            <w:pPr>
              <w:keepNext/>
              <w:spacing w:before="120" w:after="120" w:line="276" w:lineRule="auto"/>
              <w:ind w:left="57" w:right="57"/>
              <w:rPr>
                <w:bCs/>
                <w:lang w:eastAsia="en-US"/>
              </w:rPr>
            </w:pPr>
          </w:p>
        </w:tc>
      </w:tr>
      <w:tr w:rsidR="00DA6AF4" w14:paraId="771666DD" w14:textId="77777777" w:rsidTr="00F46A84"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4D93A" w14:textId="77777777" w:rsidR="00DA6AF4" w:rsidRDefault="00DA6AF4" w:rsidP="00272D38">
            <w:pPr>
              <w:keepNext/>
              <w:spacing w:before="120" w:after="120" w:line="276" w:lineRule="auto"/>
              <w:ind w:left="57" w:right="57"/>
              <w:rPr>
                <w:b/>
                <w:bCs/>
                <w:lang w:eastAsia="en-US"/>
              </w:rPr>
            </w:pP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4AA2" w14:textId="77777777" w:rsidR="00DA6AF4" w:rsidRDefault="00DA6AF4" w:rsidP="00272D38">
            <w:pPr>
              <w:keepNext/>
              <w:spacing w:before="120" w:after="120" w:line="276" w:lineRule="auto"/>
              <w:ind w:left="57" w:right="57"/>
              <w:rPr>
                <w:b/>
                <w:bCs/>
                <w:lang w:eastAsia="en-US"/>
              </w:rPr>
            </w:pP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1E40C" w14:textId="77777777" w:rsidR="00DA6AF4" w:rsidRDefault="00DA6AF4" w:rsidP="00272D38">
            <w:pPr>
              <w:keepNext/>
              <w:spacing w:before="120" w:after="120" w:line="276" w:lineRule="auto"/>
              <w:ind w:left="57" w:right="57"/>
              <w:rPr>
                <w:b/>
                <w:bCs/>
                <w:lang w:eastAsia="en-US"/>
              </w:rPr>
            </w:pPr>
          </w:p>
        </w:tc>
      </w:tr>
    </w:tbl>
    <w:p w14:paraId="51BE5FDE" w14:textId="77777777" w:rsidR="006E0BE4" w:rsidRDefault="006E0BE4" w:rsidP="008F7752">
      <w:pPr>
        <w:spacing w:after="100" w:afterAutospacing="1"/>
        <w:jc w:val="center"/>
        <w:rPr>
          <w:b/>
          <w:bCs/>
        </w:rPr>
      </w:pPr>
    </w:p>
    <w:p w14:paraId="09E09811" w14:textId="77777777" w:rsidR="008F7752" w:rsidRDefault="008F7752">
      <w:pPr>
        <w:adjustRightInd/>
        <w:jc w:val="left"/>
        <w:rPr>
          <w:b/>
          <w:bCs/>
        </w:rPr>
      </w:pPr>
      <w:r>
        <w:rPr>
          <w:b/>
          <w:bCs/>
        </w:rPr>
        <w:br w:type="page"/>
      </w:r>
    </w:p>
    <w:p w14:paraId="2808BA85" w14:textId="77777777" w:rsidR="00455171" w:rsidRDefault="00455171" w:rsidP="00B04CD0">
      <w:pPr>
        <w:pStyle w:val="SubHeading"/>
      </w:pPr>
      <w:r>
        <w:lastRenderedPageBreak/>
        <w:t>Schedule 4.3</w:t>
      </w:r>
    </w:p>
    <w:p w14:paraId="3FEE85A9" w14:textId="0B76D188" w:rsidR="00B04CD0" w:rsidRDefault="00455171" w:rsidP="00B04CD0">
      <w:pPr>
        <w:pStyle w:val="SubHeading"/>
      </w:pPr>
      <w:r>
        <w:t>SUB-CONTRACTing</w:t>
      </w:r>
    </w:p>
    <w:p w14:paraId="0F1DDF7A" w14:textId="6BE3FF13" w:rsidR="008F47F7" w:rsidRPr="008F47F7" w:rsidRDefault="008024E4" w:rsidP="000E1103">
      <w:pPr>
        <w:pStyle w:val="Body"/>
        <w:ind w:left="851"/>
        <w:jc w:val="center"/>
        <w:rPr>
          <w:b/>
        </w:rPr>
      </w:pPr>
      <w:r>
        <w:rPr>
          <w:b/>
        </w:rPr>
        <w:t>PART</w:t>
      </w:r>
      <w:r w:rsidRPr="008F47F7">
        <w:rPr>
          <w:b/>
        </w:rPr>
        <w:t xml:space="preserve"> </w:t>
      </w:r>
      <w:r w:rsidR="009D6E42">
        <w:rPr>
          <w:b/>
        </w:rPr>
        <w:t>A</w:t>
      </w:r>
      <w:r w:rsidR="00B77AF5">
        <w:rPr>
          <w:b/>
        </w:rPr>
        <w:t xml:space="preserve">: </w:t>
      </w:r>
      <w:r w:rsidR="00910B43">
        <w:rPr>
          <w:b/>
        </w:rPr>
        <w:t>SUB-CONTRACTING PRINCIPLES</w:t>
      </w:r>
      <w:r w:rsidR="00B01A02">
        <w:rPr>
          <w:b/>
        </w:rPr>
        <w:t xml:space="preserve"> AND MARKET STEWARDSHIP</w:t>
      </w:r>
    </w:p>
    <w:p w14:paraId="0812F31C" w14:textId="5E83832A" w:rsidR="00910B43" w:rsidRPr="000B048A" w:rsidRDefault="00910B43" w:rsidP="00B66BAB">
      <w:pPr>
        <w:pStyle w:val="Level1"/>
        <w:numPr>
          <w:ilvl w:val="0"/>
          <w:numId w:val="28"/>
        </w:numPr>
      </w:pPr>
      <w:r>
        <w:t>Notwithstanding the remaining provisions of this Schedule</w:t>
      </w:r>
      <w:r w:rsidR="00901BA1">
        <w:t xml:space="preserve"> 4.3 (Sub-contracting)</w:t>
      </w:r>
      <w:r>
        <w:t>, the Supplier shall at all times be responsible for ensuring that each Sub-contract it enters into shall be sufficient to enable</w:t>
      </w:r>
      <w:r w:rsidRPr="003C32B4">
        <w:t xml:space="preserve"> the Supplier to discharge its </w:t>
      </w:r>
      <w:r w:rsidRPr="000B048A">
        <w:t xml:space="preserve">obligations under </w:t>
      </w:r>
      <w:r w:rsidR="00727BF3">
        <w:t>the Call-Off Contract</w:t>
      </w:r>
      <w:r w:rsidRPr="000B048A">
        <w:t>.</w:t>
      </w:r>
    </w:p>
    <w:p w14:paraId="1626B01B" w14:textId="77777777" w:rsidR="00910B43" w:rsidRPr="00910B43" w:rsidRDefault="00910B43" w:rsidP="00910B43">
      <w:pPr>
        <w:pStyle w:val="Level1"/>
        <w:rPr>
          <w:b/>
        </w:rPr>
      </w:pPr>
      <w:r>
        <w:rPr>
          <w:b/>
        </w:rPr>
        <w:t>SUB-CONTRACTING PRINCIPLES</w:t>
      </w:r>
    </w:p>
    <w:p w14:paraId="653EB5F3" w14:textId="09956C0F" w:rsidR="00910B43" w:rsidRPr="00910B43" w:rsidRDefault="00910B43" w:rsidP="00910B43">
      <w:pPr>
        <w:pStyle w:val="Level3"/>
        <w:numPr>
          <w:ilvl w:val="0"/>
          <w:numId w:val="0"/>
        </w:numPr>
        <w:ind w:left="851"/>
      </w:pPr>
      <w:r w:rsidRPr="00910B43">
        <w:t>The Supplier must adhere to the following principles in respect of any sub-contractin</w:t>
      </w:r>
      <w:r w:rsidR="00727BF3">
        <w:t>g of its obligations under the Call-Off Contract</w:t>
      </w:r>
      <w:r w:rsidRPr="00910B43">
        <w:t>.</w:t>
      </w:r>
      <w:r w:rsidR="00E128E5">
        <w:t xml:space="preserve"> </w:t>
      </w:r>
      <w:r w:rsidR="00CE39B8">
        <w:t xml:space="preserve">The </w:t>
      </w:r>
      <w:r w:rsidR="00727BF3">
        <w:t>Customer</w:t>
      </w:r>
      <w:r w:rsidR="00CE39B8">
        <w:t xml:space="preserve"> reserves the right to require the Supplier at any time to detail how it has complied with these principles in respect of its Sub-contracts or any specific Sub-contract. 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7762"/>
      </w:tblGrid>
      <w:tr w:rsidR="00DC026A" w:rsidRPr="00E54D38" w14:paraId="540A9212" w14:textId="77777777" w:rsidTr="00BE67B0">
        <w:tc>
          <w:tcPr>
            <w:tcW w:w="7762" w:type="dxa"/>
            <w:shd w:val="clear" w:color="auto" w:fill="D9D9D9" w:themeFill="background1" w:themeFillShade="D9"/>
          </w:tcPr>
          <w:p w14:paraId="31D729AF" w14:textId="77777777" w:rsidR="00DC026A" w:rsidRPr="00B66BAB" w:rsidRDefault="00DC026A" w:rsidP="00B66BAB">
            <w:pPr>
              <w:pStyle w:val="Level1"/>
              <w:numPr>
                <w:ilvl w:val="0"/>
                <w:numId w:val="0"/>
              </w:numPr>
              <w:spacing w:after="120"/>
              <w:rPr>
                <w:b/>
              </w:rPr>
            </w:pPr>
            <w:r w:rsidRPr="00B66BAB">
              <w:rPr>
                <w:b/>
              </w:rPr>
              <w:t>Principle</w:t>
            </w:r>
          </w:p>
        </w:tc>
      </w:tr>
      <w:tr w:rsidR="00DC026A" w14:paraId="07300BA9" w14:textId="77777777" w:rsidTr="00BE67B0">
        <w:tc>
          <w:tcPr>
            <w:tcW w:w="7762" w:type="dxa"/>
          </w:tcPr>
          <w:p w14:paraId="3492A823" w14:textId="1AD3BA77" w:rsidR="00DC026A" w:rsidRPr="00B66BAB" w:rsidRDefault="00DC026A" w:rsidP="00B66BAB">
            <w:pPr>
              <w:pStyle w:val="Level1"/>
              <w:numPr>
                <w:ilvl w:val="0"/>
                <w:numId w:val="0"/>
              </w:numPr>
              <w:spacing w:after="120"/>
            </w:pPr>
            <w:r w:rsidRPr="00B66BAB">
              <w:rPr>
                <w:b/>
              </w:rPr>
              <w:t xml:space="preserve">Management of </w:t>
            </w:r>
            <w:r w:rsidR="00B151A4">
              <w:rPr>
                <w:b/>
              </w:rPr>
              <w:t>r</w:t>
            </w:r>
            <w:r w:rsidRPr="00B66BAB">
              <w:rPr>
                <w:b/>
              </w:rPr>
              <w:t xml:space="preserve">isk in the </w:t>
            </w:r>
            <w:r w:rsidR="00901BA1">
              <w:rPr>
                <w:b/>
              </w:rPr>
              <w:t>s</w:t>
            </w:r>
            <w:r w:rsidRPr="00B66BAB">
              <w:rPr>
                <w:b/>
              </w:rPr>
              <w:t xml:space="preserve">upply </w:t>
            </w:r>
            <w:r w:rsidR="00901BA1">
              <w:rPr>
                <w:b/>
              </w:rPr>
              <w:t>c</w:t>
            </w:r>
            <w:r w:rsidRPr="00B66BAB">
              <w:rPr>
                <w:b/>
              </w:rPr>
              <w:t>hain</w:t>
            </w:r>
            <w:r w:rsidRPr="00B66BAB">
              <w:t xml:space="preserve"> – All contractual and other risk sh</w:t>
            </w:r>
            <w:r w:rsidR="00E128E5">
              <w:t xml:space="preserve">ould be appropriately managed. </w:t>
            </w:r>
            <w:r w:rsidRPr="00B66BAB">
              <w:t xml:space="preserve">This should extend to not passing risk down supply chains disproportionately, </w:t>
            </w:r>
            <w:r w:rsidR="00174F53">
              <w:t xml:space="preserve">fair apportionment of referrals with regard to easier cases, </w:t>
            </w:r>
            <w:r w:rsidRPr="00B66BAB">
              <w:t>pro-active management of volume</w:t>
            </w:r>
            <w:r w:rsidR="00174F53">
              <w:t xml:space="preserve"> or demographic</w:t>
            </w:r>
            <w:r w:rsidRPr="00B66BAB">
              <w:t xml:space="preserve"> fluctuations and other events and management of IPR</w:t>
            </w:r>
            <w:r w:rsidR="00E128E5">
              <w:t>.</w:t>
            </w:r>
          </w:p>
        </w:tc>
      </w:tr>
      <w:tr w:rsidR="00DC026A" w14:paraId="594255ED" w14:textId="77777777" w:rsidTr="00BE67B0">
        <w:tc>
          <w:tcPr>
            <w:tcW w:w="7762" w:type="dxa"/>
          </w:tcPr>
          <w:p w14:paraId="593C13BB" w14:textId="6D80127B" w:rsidR="00DC026A" w:rsidRPr="00B66BAB" w:rsidRDefault="00DC026A" w:rsidP="00727BF3">
            <w:pPr>
              <w:pStyle w:val="Level1"/>
              <w:numPr>
                <w:ilvl w:val="0"/>
                <w:numId w:val="0"/>
              </w:numPr>
              <w:spacing w:after="120"/>
            </w:pPr>
            <w:r w:rsidRPr="00B66BAB">
              <w:rPr>
                <w:b/>
              </w:rPr>
              <w:t xml:space="preserve">Supply chain ethos – </w:t>
            </w:r>
            <w:r w:rsidR="008C6BEB">
              <w:t>T</w:t>
            </w:r>
            <w:r w:rsidRPr="00B66BAB">
              <w:t xml:space="preserve">he </w:t>
            </w:r>
            <w:r w:rsidR="00727BF3">
              <w:t>Customer</w:t>
            </w:r>
            <w:r w:rsidRPr="00B66BAB">
              <w:t xml:space="preserve"> envisages that a sustainable relationship will be fostered throughout the term of the Sub-contract which </w:t>
            </w:r>
            <w:r w:rsidR="00BD2570">
              <w:t xml:space="preserve">meets the expectations of both </w:t>
            </w:r>
            <w:r w:rsidR="008C6BEB">
              <w:t>p</w:t>
            </w:r>
            <w:r w:rsidR="00F46A84">
              <w:t xml:space="preserve">arties. </w:t>
            </w:r>
            <w:r w:rsidRPr="00B66BAB">
              <w:t>Therefore, in entering into the Sub-contract the Supplier shall ensure that there is a clear understandin</w:t>
            </w:r>
            <w:r w:rsidR="00B53338">
              <w:t xml:space="preserve">g of what is important to both </w:t>
            </w:r>
            <w:r w:rsidR="008C6BEB">
              <w:t>p</w:t>
            </w:r>
            <w:r w:rsidRPr="00B66BAB">
              <w:t>arties and this is clearly documented in the Sub-contract and reviewed during its term to ensure that expectations continue to be met.</w:t>
            </w:r>
          </w:p>
        </w:tc>
      </w:tr>
      <w:tr w:rsidR="00DC026A" w14:paraId="160B2F07" w14:textId="77777777" w:rsidTr="00BE67B0">
        <w:tc>
          <w:tcPr>
            <w:tcW w:w="7762" w:type="dxa"/>
          </w:tcPr>
          <w:p w14:paraId="60E74814" w14:textId="1092DE95" w:rsidR="00DC026A" w:rsidRPr="00B66BAB" w:rsidRDefault="00DC026A" w:rsidP="00174F53">
            <w:pPr>
              <w:pStyle w:val="Level1"/>
              <w:numPr>
                <w:ilvl w:val="0"/>
                <w:numId w:val="0"/>
              </w:numPr>
              <w:spacing w:after="120"/>
            </w:pPr>
            <w:r w:rsidRPr="00B66BAB">
              <w:rPr>
                <w:b/>
              </w:rPr>
              <w:t xml:space="preserve">Visibility across supply chain - </w:t>
            </w:r>
            <w:r w:rsidR="00B53338">
              <w:t xml:space="preserve">The </w:t>
            </w:r>
            <w:r w:rsidR="00727BF3">
              <w:t>Customer</w:t>
            </w:r>
            <w:r w:rsidR="00B53338">
              <w:t xml:space="preserve"> expects that </w:t>
            </w:r>
            <w:r w:rsidR="00174F53">
              <w:t>Sub-contractors</w:t>
            </w:r>
            <w:r w:rsidRPr="00B66BAB">
              <w:t xml:space="preserve"> have visibility of participation within the supply chain. This should include the volume of business handled by supply chain partners</w:t>
            </w:r>
            <w:r w:rsidR="00174F53">
              <w:t xml:space="preserve"> an</w:t>
            </w:r>
            <w:r w:rsidR="00F46A84">
              <w:t>d the sharing of good practice.</w:t>
            </w:r>
            <w:r w:rsidR="00174F53">
              <w:t xml:space="preserve"> Sub-contractors shall have sight of the Call-Off Contract, subject to any redactions for commercial sensitivity</w:t>
            </w:r>
            <w:r w:rsidR="00C36B3E">
              <w:t>.</w:t>
            </w:r>
          </w:p>
        </w:tc>
      </w:tr>
      <w:tr w:rsidR="00DC026A" w14:paraId="56CCCFB6" w14:textId="77777777" w:rsidTr="00BE67B0">
        <w:tc>
          <w:tcPr>
            <w:tcW w:w="7762" w:type="dxa"/>
          </w:tcPr>
          <w:p w14:paraId="1D855BC8" w14:textId="3F957E2D" w:rsidR="00DC026A" w:rsidRPr="00E128E5" w:rsidRDefault="00DC026A" w:rsidP="00174F53">
            <w:pPr>
              <w:pStyle w:val="AOGenNum2"/>
              <w:numPr>
                <w:ilvl w:val="0"/>
                <w:numId w:val="0"/>
              </w:numPr>
              <w:spacing w:before="0" w:after="12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6BAB">
              <w:rPr>
                <w:rFonts w:ascii="Arial" w:hAnsi="Arial" w:cs="Arial"/>
                <w:sz w:val="20"/>
                <w:szCs w:val="20"/>
              </w:rPr>
              <w:t>Reward and recognition of good performance</w:t>
            </w:r>
            <w:r w:rsidR="003F71C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F71C4">
              <w:rPr>
                <w:rFonts w:ascii="Arial" w:hAnsi="Arial" w:cs="Arial"/>
                <w:b w:val="0"/>
                <w:sz w:val="20"/>
                <w:szCs w:val="20"/>
              </w:rPr>
              <w:t xml:space="preserve">The </w:t>
            </w:r>
            <w:r w:rsidR="00727BF3">
              <w:rPr>
                <w:rFonts w:ascii="Arial" w:hAnsi="Arial" w:cs="Arial"/>
                <w:b w:val="0"/>
                <w:sz w:val="20"/>
                <w:szCs w:val="20"/>
              </w:rPr>
              <w:t>Customer</w:t>
            </w:r>
            <w:r w:rsidR="003F71C4">
              <w:rPr>
                <w:rFonts w:ascii="Arial" w:hAnsi="Arial" w:cs="Arial"/>
                <w:b w:val="0"/>
                <w:sz w:val="20"/>
                <w:szCs w:val="20"/>
              </w:rPr>
              <w:t xml:space="preserve"> considers it important that organisations in the supply chain receive</w:t>
            </w:r>
            <w:r w:rsidR="003C2CA5">
              <w:rPr>
                <w:rFonts w:ascii="Arial" w:hAnsi="Arial" w:cs="Arial"/>
                <w:b w:val="0"/>
                <w:sz w:val="20"/>
                <w:szCs w:val="20"/>
              </w:rPr>
              <w:t xml:space="preserve"> fair remuneration for proper performance of Sub-contracts.</w:t>
            </w:r>
            <w:r w:rsidR="003F71C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74F53">
              <w:rPr>
                <w:rFonts w:ascii="Arial" w:hAnsi="Arial" w:cs="Arial"/>
                <w:b w:val="0"/>
                <w:sz w:val="20"/>
                <w:szCs w:val="20"/>
              </w:rPr>
              <w:t>Rewards and r</w:t>
            </w:r>
            <w:r w:rsidR="003F71C4">
              <w:rPr>
                <w:rFonts w:ascii="Arial" w:hAnsi="Arial" w:cs="Arial"/>
                <w:b w:val="0"/>
                <w:sz w:val="20"/>
                <w:szCs w:val="20"/>
              </w:rPr>
              <w:t>ecognition</w:t>
            </w:r>
            <w:r w:rsidR="00B8075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74F53">
              <w:rPr>
                <w:rFonts w:ascii="Arial" w:hAnsi="Arial" w:cs="Arial"/>
                <w:b w:val="0"/>
                <w:sz w:val="20"/>
                <w:szCs w:val="20"/>
              </w:rPr>
              <w:t>of</w:t>
            </w:r>
            <w:r w:rsidR="003F71C4">
              <w:rPr>
                <w:rFonts w:ascii="Arial" w:hAnsi="Arial" w:cs="Arial"/>
                <w:b w:val="0"/>
                <w:sz w:val="20"/>
                <w:szCs w:val="20"/>
              </w:rPr>
              <w:t xml:space="preserve"> good performance should be shared across the chain. </w:t>
            </w:r>
          </w:p>
        </w:tc>
      </w:tr>
    </w:tbl>
    <w:p w14:paraId="0A495CB3" w14:textId="7F9F9863" w:rsidR="008024E4" w:rsidRDefault="008024E4" w:rsidP="00910B43">
      <w:pPr>
        <w:pStyle w:val="Level1"/>
        <w:numPr>
          <w:ilvl w:val="0"/>
          <w:numId w:val="0"/>
        </w:numPr>
        <w:ind w:left="851" w:hanging="851"/>
      </w:pPr>
    </w:p>
    <w:p w14:paraId="28A60E2B" w14:textId="77777777" w:rsidR="008024E4" w:rsidRDefault="008024E4">
      <w:pPr>
        <w:adjustRightInd/>
        <w:jc w:val="left"/>
      </w:pPr>
      <w:r>
        <w:br w:type="page"/>
      </w:r>
    </w:p>
    <w:p w14:paraId="057A595F" w14:textId="30E031EB" w:rsidR="008024E4" w:rsidRPr="00827196" w:rsidRDefault="008024E4" w:rsidP="00827196">
      <w:pPr>
        <w:pStyle w:val="Level1"/>
        <w:numPr>
          <w:ilvl w:val="0"/>
          <w:numId w:val="0"/>
        </w:numPr>
        <w:ind w:left="851" w:hanging="851"/>
        <w:jc w:val="center"/>
        <w:rPr>
          <w:b/>
        </w:rPr>
      </w:pPr>
      <w:r>
        <w:rPr>
          <w:b/>
        </w:rPr>
        <w:lastRenderedPageBreak/>
        <w:t>PART</w:t>
      </w:r>
      <w:r w:rsidRPr="00827196">
        <w:rPr>
          <w:b/>
        </w:rPr>
        <w:t xml:space="preserve"> </w:t>
      </w:r>
      <w:r w:rsidR="00727BF3">
        <w:rPr>
          <w:b/>
        </w:rPr>
        <w:t>B</w:t>
      </w:r>
      <w:r w:rsidR="00B77AF5">
        <w:rPr>
          <w:b/>
        </w:rPr>
        <w:t xml:space="preserve">: </w:t>
      </w:r>
      <w:r w:rsidRPr="00827196">
        <w:rPr>
          <w:b/>
        </w:rPr>
        <w:t>SUB-CONTRACTING MANDATORY PROVISIONS</w:t>
      </w:r>
    </w:p>
    <w:p w14:paraId="3B7601DD" w14:textId="77777777" w:rsidR="00910B43" w:rsidRPr="00827196" w:rsidRDefault="00910B43" w:rsidP="00827196">
      <w:pPr>
        <w:pStyle w:val="Level1"/>
        <w:numPr>
          <w:ilvl w:val="0"/>
          <w:numId w:val="32"/>
        </w:numPr>
        <w:rPr>
          <w:b/>
        </w:rPr>
      </w:pPr>
      <w:r w:rsidRPr="00827196">
        <w:rPr>
          <w:b/>
        </w:rPr>
        <w:t>SUB-CONTRACTING MANDATORY PROVISIONS</w:t>
      </w:r>
    </w:p>
    <w:p w14:paraId="3C1A1BE1" w14:textId="35388121" w:rsidR="00455FF0" w:rsidRDefault="008F47F7" w:rsidP="00910B43">
      <w:pPr>
        <w:pStyle w:val="Level3"/>
        <w:numPr>
          <w:ilvl w:val="0"/>
          <w:numId w:val="0"/>
        </w:numPr>
        <w:ind w:left="851"/>
      </w:pPr>
      <w:r w:rsidRPr="00910B43">
        <w:t xml:space="preserve">Except where the </w:t>
      </w:r>
      <w:r w:rsidR="00727BF3">
        <w:t>Customer</w:t>
      </w:r>
      <w:r w:rsidRPr="00910B43">
        <w:t xml:space="preserve"> has given its prior written consent, the Supplier shall </w:t>
      </w:r>
      <w:r w:rsidR="002E6FAA" w:rsidRPr="00910B43">
        <w:t xml:space="preserve">enter into a written form of agreement with each Sub-contractor and shall ensure that such Sub-Contract </w:t>
      </w:r>
      <w:r w:rsidR="00455FF0">
        <w:t>shall:</w:t>
      </w:r>
    </w:p>
    <w:p w14:paraId="5FE1242E" w14:textId="6516533F" w:rsidR="00455FF0" w:rsidRDefault="00455FF0" w:rsidP="00455FF0">
      <w:pPr>
        <w:pStyle w:val="Level3"/>
        <w:numPr>
          <w:ilvl w:val="0"/>
          <w:numId w:val="0"/>
        </w:numPr>
        <w:ind w:left="1418" w:hanging="567"/>
      </w:pPr>
      <w:r>
        <w:t xml:space="preserve">a) </w:t>
      </w:r>
      <w:r>
        <w:tab/>
      </w:r>
      <w:proofErr w:type="gramStart"/>
      <w:r>
        <w:t>where</w:t>
      </w:r>
      <w:proofErr w:type="gramEnd"/>
      <w:r>
        <w:t xml:space="preserve"> the Sub-contract is entered into with a Key Sub-contractor include, as a minimum, the provisions marked as "Yes" in </w:t>
      </w:r>
      <w:r w:rsidR="008C18A8">
        <w:t xml:space="preserve">the third </w:t>
      </w:r>
      <w:r>
        <w:t xml:space="preserve">column of the table below; and </w:t>
      </w:r>
    </w:p>
    <w:p w14:paraId="39325606" w14:textId="24847BFE" w:rsidR="008F47F7" w:rsidRPr="00910B43" w:rsidRDefault="00455FF0" w:rsidP="00455FF0">
      <w:pPr>
        <w:pStyle w:val="Level3"/>
        <w:numPr>
          <w:ilvl w:val="0"/>
          <w:numId w:val="0"/>
        </w:numPr>
        <w:ind w:left="1418" w:hanging="567"/>
      </w:pPr>
      <w:r>
        <w:t xml:space="preserve">b) </w:t>
      </w:r>
      <w:r>
        <w:tab/>
      </w:r>
      <w:proofErr w:type="gramStart"/>
      <w:r>
        <w:t>in</w:t>
      </w:r>
      <w:proofErr w:type="gramEnd"/>
      <w:r>
        <w:t xml:space="preserve"> all other Sub-contracts include, as a minimum, the provisions marked as "Yes" in</w:t>
      </w:r>
      <w:r w:rsidR="008C18A8">
        <w:t xml:space="preserve"> the fourth</w:t>
      </w:r>
      <w:r>
        <w:t xml:space="preserve"> column of the table below.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525"/>
        <w:gridCol w:w="4397"/>
        <w:gridCol w:w="1381"/>
        <w:gridCol w:w="1341"/>
      </w:tblGrid>
      <w:tr w:rsidR="002E6FAA" w14:paraId="28036682" w14:textId="77777777" w:rsidTr="001F58D3">
        <w:tc>
          <w:tcPr>
            <w:tcW w:w="525" w:type="dxa"/>
            <w:shd w:val="clear" w:color="auto" w:fill="D9D9D9" w:themeFill="background1" w:themeFillShade="D9"/>
          </w:tcPr>
          <w:p w14:paraId="5B1AFCBE" w14:textId="77777777" w:rsidR="002E6FAA" w:rsidRPr="00455171" w:rsidRDefault="002E6FAA" w:rsidP="002E6FAA">
            <w:pPr>
              <w:pStyle w:val="Level1"/>
              <w:numPr>
                <w:ilvl w:val="0"/>
                <w:numId w:val="0"/>
              </w:numPr>
              <w:rPr>
                <w:b/>
              </w:rPr>
            </w:pPr>
            <w:r w:rsidRPr="00455171">
              <w:rPr>
                <w:b/>
              </w:rPr>
              <w:t>No</w:t>
            </w:r>
          </w:p>
        </w:tc>
        <w:tc>
          <w:tcPr>
            <w:tcW w:w="4397" w:type="dxa"/>
            <w:shd w:val="clear" w:color="auto" w:fill="D9D9D9" w:themeFill="background1" w:themeFillShade="D9"/>
          </w:tcPr>
          <w:p w14:paraId="355EF9B0" w14:textId="77777777" w:rsidR="002E6FAA" w:rsidRPr="00455171" w:rsidRDefault="002E6FAA" w:rsidP="002E6FAA">
            <w:pPr>
              <w:pStyle w:val="Level1"/>
              <w:numPr>
                <w:ilvl w:val="0"/>
                <w:numId w:val="0"/>
              </w:numPr>
              <w:rPr>
                <w:b/>
              </w:rPr>
            </w:pPr>
            <w:r w:rsidRPr="00455171">
              <w:rPr>
                <w:b/>
              </w:rPr>
              <w:t>Requirement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179DA7A9" w14:textId="77777777" w:rsidR="002E6FAA" w:rsidRPr="00455171" w:rsidRDefault="002E6FAA" w:rsidP="002E6FAA">
            <w:pPr>
              <w:pStyle w:val="Level1"/>
              <w:numPr>
                <w:ilvl w:val="0"/>
                <w:numId w:val="0"/>
              </w:numPr>
              <w:rPr>
                <w:b/>
              </w:rPr>
            </w:pPr>
            <w:r w:rsidRPr="00455171">
              <w:rPr>
                <w:b/>
              </w:rPr>
              <w:t>Sub-contract with a Key Sub-contractor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14:paraId="1635C641" w14:textId="77777777" w:rsidR="002E6FAA" w:rsidRPr="00455171" w:rsidRDefault="002E6FAA" w:rsidP="002E6FAA">
            <w:pPr>
              <w:pStyle w:val="Level1"/>
              <w:numPr>
                <w:ilvl w:val="0"/>
                <w:numId w:val="0"/>
              </w:numPr>
              <w:rPr>
                <w:b/>
              </w:rPr>
            </w:pPr>
            <w:r w:rsidRPr="00455171">
              <w:rPr>
                <w:b/>
              </w:rPr>
              <w:t>Other Sub-contract</w:t>
            </w:r>
          </w:p>
        </w:tc>
      </w:tr>
      <w:tr w:rsidR="002E6FAA" w14:paraId="5A7DC12F" w14:textId="77777777" w:rsidTr="001F58D3">
        <w:tc>
          <w:tcPr>
            <w:tcW w:w="525" w:type="dxa"/>
          </w:tcPr>
          <w:p w14:paraId="25805A3A" w14:textId="77777777" w:rsidR="002E6FAA" w:rsidRDefault="002E6FAA" w:rsidP="002E6FAA">
            <w:pPr>
              <w:pStyle w:val="Level1"/>
              <w:numPr>
                <w:ilvl w:val="0"/>
                <w:numId w:val="22"/>
              </w:numPr>
            </w:pPr>
          </w:p>
        </w:tc>
        <w:tc>
          <w:tcPr>
            <w:tcW w:w="4397" w:type="dxa"/>
          </w:tcPr>
          <w:p w14:paraId="4812241C" w14:textId="59AC997D" w:rsidR="002E6FAA" w:rsidRDefault="00B67041" w:rsidP="003D69AB">
            <w:pPr>
              <w:pStyle w:val="Level1"/>
              <w:numPr>
                <w:ilvl w:val="0"/>
                <w:numId w:val="0"/>
              </w:numPr>
            </w:pPr>
            <w:r>
              <w:rPr>
                <w:b/>
              </w:rPr>
              <w:t>Service Delivery</w:t>
            </w:r>
            <w:r w:rsidR="003D69AB">
              <w:rPr>
                <w:b/>
              </w:rPr>
              <w:t>/Scope</w:t>
            </w:r>
            <w:r w:rsidR="00455FF0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t>Must include p</w:t>
            </w:r>
            <w:r w:rsidR="002E6FAA">
              <w:t>rovisions setting out in appropriate detail the services that the relevant Sub-contractor must provide</w:t>
            </w:r>
            <w:r w:rsidR="003D69AB">
              <w:t xml:space="preserve"> or the scope and subject matter of the agreement in the case of </w:t>
            </w:r>
            <w:r w:rsidR="003D69AB" w:rsidRPr="003C2CA5">
              <w:t>Alternative Related Agreements.</w:t>
            </w:r>
            <w:r w:rsidR="003D69AB">
              <w:t xml:space="preserve"> </w:t>
            </w:r>
          </w:p>
        </w:tc>
        <w:tc>
          <w:tcPr>
            <w:tcW w:w="1381" w:type="dxa"/>
          </w:tcPr>
          <w:p w14:paraId="7B00131F" w14:textId="00650C12" w:rsidR="002E6FAA" w:rsidRDefault="002E6FAA" w:rsidP="002E6FAA">
            <w:pPr>
              <w:pStyle w:val="Level1"/>
              <w:numPr>
                <w:ilvl w:val="0"/>
                <w:numId w:val="0"/>
              </w:numPr>
            </w:pPr>
            <w:r>
              <w:t>Y</w:t>
            </w:r>
            <w:r w:rsidR="00762D64">
              <w:t>es</w:t>
            </w:r>
          </w:p>
        </w:tc>
        <w:tc>
          <w:tcPr>
            <w:tcW w:w="1341" w:type="dxa"/>
          </w:tcPr>
          <w:p w14:paraId="4CEA7B01" w14:textId="3F8CC071" w:rsidR="002E6FAA" w:rsidRDefault="002E6FAA" w:rsidP="002E6FAA">
            <w:pPr>
              <w:pStyle w:val="Level1"/>
              <w:numPr>
                <w:ilvl w:val="0"/>
                <w:numId w:val="0"/>
              </w:numPr>
            </w:pPr>
            <w:r>
              <w:t>Y</w:t>
            </w:r>
            <w:r w:rsidR="00762D64">
              <w:t>es</w:t>
            </w:r>
          </w:p>
        </w:tc>
      </w:tr>
      <w:tr w:rsidR="00EB5337" w14:paraId="199811B2" w14:textId="77777777" w:rsidTr="001F58D3">
        <w:tc>
          <w:tcPr>
            <w:tcW w:w="525" w:type="dxa"/>
          </w:tcPr>
          <w:p w14:paraId="25691087" w14:textId="77777777" w:rsidR="00EB5337" w:rsidRDefault="00EB5337" w:rsidP="0039151F">
            <w:pPr>
              <w:pStyle w:val="Level1"/>
              <w:numPr>
                <w:ilvl w:val="0"/>
                <w:numId w:val="22"/>
              </w:numPr>
            </w:pPr>
          </w:p>
        </w:tc>
        <w:tc>
          <w:tcPr>
            <w:tcW w:w="4397" w:type="dxa"/>
          </w:tcPr>
          <w:p w14:paraId="4AABC676" w14:textId="3F1AAE17" w:rsidR="00EB5337" w:rsidRDefault="00EB5337" w:rsidP="008C18A8">
            <w:pPr>
              <w:pStyle w:val="Level1"/>
              <w:numPr>
                <w:ilvl w:val="0"/>
                <w:numId w:val="0"/>
              </w:numPr>
            </w:pPr>
            <w:r>
              <w:rPr>
                <w:b/>
              </w:rPr>
              <w:t>Consideration</w:t>
            </w:r>
            <w:r>
              <w:t xml:space="preserve"> - Must include provisions setting out the cost fo</w:t>
            </w:r>
            <w:r w:rsidR="00F46A84">
              <w:t xml:space="preserve">r the service to be delivered. </w:t>
            </w:r>
            <w:r>
              <w:t xml:space="preserve">Where </w:t>
            </w:r>
            <w:r w:rsidR="008C18A8">
              <w:t xml:space="preserve">volumes may fluctuate </w:t>
            </w:r>
            <w:r>
              <w:t>the Sub-contract must include a mechanism to accommodate for fluctuations in volume</w:t>
            </w:r>
            <w:r w:rsidR="004238D3">
              <w:t xml:space="preserve"> (both increases and reductions in work allocation and </w:t>
            </w:r>
            <w:r w:rsidR="008C18A8">
              <w:t xml:space="preserve">any </w:t>
            </w:r>
            <w:r w:rsidR="004238D3">
              <w:t>associated drop in income, and actions to mitigate these risks)</w:t>
            </w:r>
            <w:r w:rsidR="003D69AB">
              <w:t xml:space="preserve">. Or in relation to Alternative Related Agreements include provisions setting out the </w:t>
            </w:r>
            <w:r w:rsidR="0087272F">
              <w:t>details of the levels of funding, grants or other support and any related conditionality.</w:t>
            </w:r>
          </w:p>
        </w:tc>
        <w:tc>
          <w:tcPr>
            <w:tcW w:w="1381" w:type="dxa"/>
          </w:tcPr>
          <w:p w14:paraId="3AE97848" w14:textId="6FCB34B2" w:rsidR="00EB5337" w:rsidRDefault="00EB5337" w:rsidP="0039151F">
            <w:pPr>
              <w:pStyle w:val="Level1"/>
              <w:numPr>
                <w:ilvl w:val="0"/>
                <w:numId w:val="0"/>
              </w:numPr>
            </w:pPr>
            <w:r>
              <w:t>Y</w:t>
            </w:r>
            <w:r w:rsidR="00762D64">
              <w:t>es</w:t>
            </w:r>
          </w:p>
        </w:tc>
        <w:tc>
          <w:tcPr>
            <w:tcW w:w="1341" w:type="dxa"/>
          </w:tcPr>
          <w:p w14:paraId="29B82CB6" w14:textId="15BF87D8" w:rsidR="00EB5337" w:rsidRDefault="00EB5337" w:rsidP="0039151F">
            <w:pPr>
              <w:pStyle w:val="Level1"/>
              <w:numPr>
                <w:ilvl w:val="0"/>
                <w:numId w:val="0"/>
              </w:numPr>
            </w:pPr>
            <w:r>
              <w:t>Y</w:t>
            </w:r>
            <w:r w:rsidR="00762D64">
              <w:t>es</w:t>
            </w:r>
          </w:p>
        </w:tc>
      </w:tr>
      <w:tr w:rsidR="00EB5337" w14:paraId="3A81F4CA" w14:textId="77777777" w:rsidTr="001F58D3">
        <w:tc>
          <w:tcPr>
            <w:tcW w:w="525" w:type="dxa"/>
          </w:tcPr>
          <w:p w14:paraId="79EB8964" w14:textId="77777777" w:rsidR="00EB5337" w:rsidRDefault="00EB5337" w:rsidP="0039151F">
            <w:pPr>
              <w:pStyle w:val="Level1"/>
              <w:numPr>
                <w:ilvl w:val="0"/>
                <w:numId w:val="22"/>
              </w:numPr>
            </w:pPr>
          </w:p>
        </w:tc>
        <w:tc>
          <w:tcPr>
            <w:tcW w:w="4397" w:type="dxa"/>
          </w:tcPr>
          <w:p w14:paraId="5C02B637" w14:textId="5865C536" w:rsidR="00EB5337" w:rsidRPr="00B67041" w:rsidRDefault="00EB5337" w:rsidP="0039151F">
            <w:pPr>
              <w:pStyle w:val="Level1"/>
              <w:numPr>
                <w:ilvl w:val="0"/>
                <w:numId w:val="0"/>
              </w:numPr>
            </w:pPr>
            <w:r>
              <w:rPr>
                <w:b/>
              </w:rPr>
              <w:t>Service Level</w:t>
            </w:r>
            <w:r w:rsidR="008C18A8">
              <w:rPr>
                <w:b/>
              </w:rPr>
              <w:t>s</w:t>
            </w:r>
            <w:r>
              <w:t xml:space="preserve"> – Must include relevant provisions setting out any </w:t>
            </w:r>
            <w:r w:rsidR="00560A27">
              <w:t>s</w:t>
            </w:r>
            <w:r>
              <w:t xml:space="preserve">ervice </w:t>
            </w:r>
            <w:r w:rsidR="00560A27">
              <w:t>l</w:t>
            </w:r>
            <w:r>
              <w:t xml:space="preserve">evels that the Sub-contractor is required to meet together with any applicable quality requirements.  </w:t>
            </w:r>
          </w:p>
        </w:tc>
        <w:tc>
          <w:tcPr>
            <w:tcW w:w="1381" w:type="dxa"/>
          </w:tcPr>
          <w:p w14:paraId="6F15439B" w14:textId="61B17896" w:rsidR="00EB5337" w:rsidRDefault="00EB5337" w:rsidP="0039151F">
            <w:pPr>
              <w:pStyle w:val="Level1"/>
              <w:numPr>
                <w:ilvl w:val="0"/>
                <w:numId w:val="0"/>
              </w:numPr>
            </w:pPr>
            <w:r>
              <w:t>Y</w:t>
            </w:r>
            <w:r w:rsidR="00762D64">
              <w:t>es</w:t>
            </w:r>
          </w:p>
        </w:tc>
        <w:tc>
          <w:tcPr>
            <w:tcW w:w="1341" w:type="dxa"/>
          </w:tcPr>
          <w:p w14:paraId="1DCF732B" w14:textId="706C104B" w:rsidR="00EB5337" w:rsidRDefault="00EB5337" w:rsidP="0039151F">
            <w:pPr>
              <w:pStyle w:val="Level1"/>
              <w:numPr>
                <w:ilvl w:val="0"/>
                <w:numId w:val="0"/>
              </w:numPr>
            </w:pPr>
            <w:r>
              <w:t>Y</w:t>
            </w:r>
            <w:r w:rsidR="00762D64">
              <w:t>es</w:t>
            </w:r>
          </w:p>
        </w:tc>
      </w:tr>
      <w:tr w:rsidR="00EB5337" w14:paraId="115A354D" w14:textId="77777777" w:rsidTr="001F58D3">
        <w:tc>
          <w:tcPr>
            <w:tcW w:w="525" w:type="dxa"/>
          </w:tcPr>
          <w:p w14:paraId="2698BDC1" w14:textId="77777777" w:rsidR="00EB5337" w:rsidRDefault="00EB5337" w:rsidP="0039151F">
            <w:pPr>
              <w:pStyle w:val="Level1"/>
              <w:numPr>
                <w:ilvl w:val="0"/>
                <w:numId w:val="22"/>
              </w:numPr>
            </w:pPr>
          </w:p>
        </w:tc>
        <w:tc>
          <w:tcPr>
            <w:tcW w:w="4397" w:type="dxa"/>
          </w:tcPr>
          <w:p w14:paraId="4CB45CD2" w14:textId="04E61893" w:rsidR="00CA258D" w:rsidRPr="004B26FC" w:rsidRDefault="00EB5337" w:rsidP="007B2899">
            <w:pPr>
              <w:pStyle w:val="Level1"/>
              <w:numPr>
                <w:ilvl w:val="0"/>
                <w:numId w:val="0"/>
              </w:numPr>
              <w:rPr>
                <w:b/>
              </w:rPr>
            </w:pPr>
            <w:r w:rsidRPr="00B67041">
              <w:rPr>
                <w:b/>
              </w:rPr>
              <w:t xml:space="preserve">Intellectual Property </w:t>
            </w:r>
            <w:r w:rsidR="002C0EE7" w:rsidRPr="00B67041">
              <w:rPr>
                <w:b/>
              </w:rPr>
              <w:t xml:space="preserve">Rights </w:t>
            </w:r>
            <w:r w:rsidR="002C0EE7" w:rsidRPr="001C5A67">
              <w:t>–</w:t>
            </w:r>
            <w:r w:rsidR="001C5A67">
              <w:rPr>
                <w:b/>
              </w:rPr>
              <w:t xml:space="preserve"> </w:t>
            </w:r>
            <w:r w:rsidR="001C5A67">
              <w:t xml:space="preserve">Must include such provisions as are required to ensure that the Supplier complies with Clauses </w:t>
            </w:r>
            <w:r w:rsidR="007B2899">
              <w:t>19.31</w:t>
            </w:r>
            <w:r w:rsidR="001C5A67">
              <w:t xml:space="preserve"> and </w:t>
            </w:r>
            <w:r w:rsidR="007B2899">
              <w:t>19.32</w:t>
            </w:r>
            <w:r w:rsidR="001C5A67">
              <w:t>.</w:t>
            </w:r>
            <w:r w:rsidR="004B26FC">
              <w:t xml:space="preserve"> </w:t>
            </w:r>
          </w:p>
        </w:tc>
        <w:tc>
          <w:tcPr>
            <w:tcW w:w="1381" w:type="dxa"/>
          </w:tcPr>
          <w:p w14:paraId="3E59B79C" w14:textId="087D6822" w:rsidR="00EB5337" w:rsidRDefault="00EB5337" w:rsidP="0039151F">
            <w:pPr>
              <w:pStyle w:val="Level1"/>
              <w:numPr>
                <w:ilvl w:val="0"/>
                <w:numId w:val="0"/>
              </w:numPr>
            </w:pPr>
            <w:r>
              <w:t>Y</w:t>
            </w:r>
            <w:r w:rsidR="00762D64">
              <w:t>es</w:t>
            </w:r>
          </w:p>
        </w:tc>
        <w:tc>
          <w:tcPr>
            <w:tcW w:w="1341" w:type="dxa"/>
          </w:tcPr>
          <w:p w14:paraId="12E5B4EA" w14:textId="15FE0F21" w:rsidR="00EB5337" w:rsidRDefault="009006E3" w:rsidP="0039151F">
            <w:pPr>
              <w:pStyle w:val="Level1"/>
              <w:numPr>
                <w:ilvl w:val="0"/>
                <w:numId w:val="0"/>
              </w:numPr>
            </w:pPr>
            <w:r>
              <w:t>Y</w:t>
            </w:r>
            <w:r w:rsidR="00762D64">
              <w:t>es</w:t>
            </w:r>
          </w:p>
        </w:tc>
      </w:tr>
      <w:tr w:rsidR="00EB5337" w14:paraId="3834D5F0" w14:textId="77777777" w:rsidTr="001F58D3">
        <w:tc>
          <w:tcPr>
            <w:tcW w:w="525" w:type="dxa"/>
          </w:tcPr>
          <w:p w14:paraId="2DD3D696" w14:textId="77777777" w:rsidR="00EB5337" w:rsidRDefault="00EB5337" w:rsidP="0039151F">
            <w:pPr>
              <w:pStyle w:val="Level1"/>
              <w:numPr>
                <w:ilvl w:val="0"/>
                <w:numId w:val="22"/>
              </w:numPr>
            </w:pPr>
          </w:p>
        </w:tc>
        <w:tc>
          <w:tcPr>
            <w:tcW w:w="4397" w:type="dxa"/>
          </w:tcPr>
          <w:p w14:paraId="32DBF915" w14:textId="042A243F" w:rsidR="00EB5337" w:rsidRPr="00142254" w:rsidRDefault="00EB5337" w:rsidP="004B26FC">
            <w:pPr>
              <w:pStyle w:val="Level1"/>
              <w:numPr>
                <w:ilvl w:val="0"/>
                <w:numId w:val="0"/>
              </w:numPr>
            </w:pPr>
            <w:r w:rsidRPr="00142254">
              <w:rPr>
                <w:b/>
              </w:rPr>
              <w:t>Payment terms</w:t>
            </w:r>
            <w:r w:rsidRPr="00142254">
              <w:t xml:space="preserve"> </w:t>
            </w:r>
            <w:r w:rsidRPr="00142254">
              <w:rPr>
                <w:b/>
              </w:rPr>
              <w:t>–</w:t>
            </w:r>
            <w:r w:rsidRPr="00142254">
              <w:t xml:space="preserve"> Must include a requirement to pay </w:t>
            </w:r>
            <w:r w:rsidR="0087272F" w:rsidRPr="00142254">
              <w:t xml:space="preserve">any </w:t>
            </w:r>
            <w:r w:rsidRPr="00142254">
              <w:t xml:space="preserve">invoices within 30 days in accordance with the provisions of </w:t>
            </w:r>
            <w:r w:rsidR="00683E20" w:rsidRPr="00142254">
              <w:t>Clause 1</w:t>
            </w:r>
            <w:r w:rsidR="004B26FC">
              <w:t>7</w:t>
            </w:r>
            <w:r w:rsidR="00683E20" w:rsidRPr="00142254">
              <w:t>.</w:t>
            </w:r>
            <w:r w:rsidR="00BD2570">
              <w:t>20</w:t>
            </w:r>
            <w:r w:rsidR="004B26FC">
              <w:t>.1</w:t>
            </w:r>
            <w:r w:rsidR="00256C7C" w:rsidRPr="00142254">
              <w:t xml:space="preserve"> </w:t>
            </w:r>
            <w:r w:rsidRPr="00142254">
              <w:t>together with an obligation on the Supplier to apply the Government</w:t>
            </w:r>
            <w:r w:rsidR="00560A27">
              <w:t>'</w:t>
            </w:r>
            <w:r w:rsidRPr="00142254">
              <w:t xml:space="preserve">s </w:t>
            </w:r>
            <w:r w:rsidR="00560A27">
              <w:t>l</w:t>
            </w:r>
            <w:r w:rsidRPr="00142254">
              <w:t xml:space="preserve">ate </w:t>
            </w:r>
            <w:r w:rsidR="00560A27">
              <w:t>p</w:t>
            </w:r>
            <w:r w:rsidRPr="00142254">
              <w:t xml:space="preserve">ayment </w:t>
            </w:r>
            <w:r w:rsidR="00560A27">
              <w:t>p</w:t>
            </w:r>
            <w:r w:rsidRPr="00142254">
              <w:t>olicy.</w:t>
            </w:r>
          </w:p>
        </w:tc>
        <w:tc>
          <w:tcPr>
            <w:tcW w:w="1381" w:type="dxa"/>
          </w:tcPr>
          <w:p w14:paraId="3BEF7285" w14:textId="4E10A2AA" w:rsidR="00EB5337" w:rsidRDefault="00EB5337" w:rsidP="0039151F">
            <w:pPr>
              <w:pStyle w:val="Level1"/>
              <w:numPr>
                <w:ilvl w:val="0"/>
                <w:numId w:val="0"/>
              </w:numPr>
            </w:pPr>
            <w:r>
              <w:t>Y</w:t>
            </w:r>
            <w:r w:rsidR="00762D64">
              <w:t>es</w:t>
            </w:r>
          </w:p>
        </w:tc>
        <w:tc>
          <w:tcPr>
            <w:tcW w:w="1341" w:type="dxa"/>
          </w:tcPr>
          <w:p w14:paraId="6C0934A0" w14:textId="6F3D2414" w:rsidR="00EB5337" w:rsidRDefault="00EB5337" w:rsidP="0039151F">
            <w:pPr>
              <w:pStyle w:val="Level1"/>
              <w:numPr>
                <w:ilvl w:val="0"/>
                <w:numId w:val="0"/>
              </w:numPr>
            </w:pPr>
            <w:r>
              <w:t>Y</w:t>
            </w:r>
            <w:r w:rsidR="00762D64">
              <w:t>es</w:t>
            </w:r>
          </w:p>
        </w:tc>
      </w:tr>
      <w:tr w:rsidR="00EB5337" w14:paraId="048F0A9F" w14:textId="77777777" w:rsidTr="001F58D3">
        <w:tc>
          <w:tcPr>
            <w:tcW w:w="525" w:type="dxa"/>
          </w:tcPr>
          <w:p w14:paraId="5E001CBF" w14:textId="77777777" w:rsidR="00EB5337" w:rsidRDefault="00EB5337" w:rsidP="0039151F">
            <w:pPr>
              <w:pStyle w:val="Level1"/>
              <w:numPr>
                <w:ilvl w:val="0"/>
                <w:numId w:val="22"/>
              </w:numPr>
            </w:pPr>
          </w:p>
        </w:tc>
        <w:tc>
          <w:tcPr>
            <w:tcW w:w="4397" w:type="dxa"/>
          </w:tcPr>
          <w:p w14:paraId="455BACF1" w14:textId="45A61EE8" w:rsidR="00EB5337" w:rsidRPr="004B26FC" w:rsidRDefault="00EB5337" w:rsidP="003B270C">
            <w:pPr>
              <w:pStyle w:val="Level2"/>
              <w:numPr>
                <w:ilvl w:val="0"/>
                <w:numId w:val="0"/>
              </w:numPr>
              <w:rPr>
                <w:b/>
              </w:rPr>
            </w:pPr>
            <w:r w:rsidRPr="004649F8">
              <w:rPr>
                <w:b/>
              </w:rPr>
              <w:t xml:space="preserve">Confidentiality, Data Protection, </w:t>
            </w:r>
            <w:proofErr w:type="spellStart"/>
            <w:r w:rsidRPr="004649F8">
              <w:rPr>
                <w:b/>
              </w:rPr>
              <w:t>FOIA</w:t>
            </w:r>
            <w:proofErr w:type="spellEnd"/>
            <w:r w:rsidRPr="004649F8">
              <w:rPr>
                <w:b/>
              </w:rPr>
              <w:t>, open book data and audits</w:t>
            </w:r>
            <w:r w:rsidRPr="004649F8">
              <w:t xml:space="preserve"> – Must include </w:t>
            </w:r>
            <w:r w:rsidRPr="004649F8">
              <w:lastRenderedPageBreak/>
              <w:t>obligations no less onerous on the Sub-contractor than those imposed on the Supplier under this Agreement in respect of a) data protection requirements set out in Clauses</w:t>
            </w:r>
            <w:r w:rsidR="00CA258D">
              <w:t xml:space="preserve"> </w:t>
            </w:r>
            <w:r w:rsidR="0099726E">
              <w:t>23</w:t>
            </w:r>
            <w:r w:rsidR="00560A27">
              <w:t xml:space="preserve">, </w:t>
            </w:r>
            <w:r w:rsidR="0099726E">
              <w:t>26</w:t>
            </w:r>
            <w:r w:rsidR="00560A27">
              <w:t xml:space="preserve"> and Schedule 10 (Processing Personal Data)</w:t>
            </w:r>
            <w:r w:rsidRPr="004649F8">
              <w:t xml:space="preserve">; b) </w:t>
            </w:r>
            <w:proofErr w:type="spellStart"/>
            <w:r w:rsidRPr="004649F8">
              <w:t>FOIA</w:t>
            </w:r>
            <w:proofErr w:type="spellEnd"/>
            <w:r w:rsidRPr="004649F8">
              <w:t xml:space="preserve"> </w:t>
            </w:r>
            <w:r w:rsidR="00E128E5">
              <w:t>requirements set out in Clause </w:t>
            </w:r>
            <w:r w:rsidR="0099726E">
              <w:t>25</w:t>
            </w:r>
            <w:r w:rsidRPr="004649F8">
              <w:t>; c) confidenti</w:t>
            </w:r>
            <w:r w:rsidR="00E128E5">
              <w:t xml:space="preserve">ality </w:t>
            </w:r>
            <w:r w:rsidR="00560A27">
              <w:t>requirements</w:t>
            </w:r>
            <w:r w:rsidR="00E128E5">
              <w:t xml:space="preserve"> set out in Clause 2</w:t>
            </w:r>
            <w:r w:rsidR="0099726E">
              <w:t>4</w:t>
            </w:r>
            <w:r>
              <w:t>; d)</w:t>
            </w:r>
            <w:r w:rsidRPr="004649F8">
              <w:t xml:space="preserve"> the keeping of records in respect of the services being provided under the Sub-contract, including the </w:t>
            </w:r>
            <w:r w:rsidR="00560A27">
              <w:t>provision of Supporting Documentation</w:t>
            </w:r>
            <w:r w:rsidRPr="004649F8">
              <w:t xml:space="preserve"> and</w:t>
            </w:r>
            <w:r>
              <w:t xml:space="preserve"> e) t</w:t>
            </w:r>
            <w:r w:rsidRPr="004649F8">
              <w:rPr>
                <w:color w:val="000000"/>
              </w:rPr>
              <w:t xml:space="preserve">he conduct of </w:t>
            </w:r>
            <w:r w:rsidR="007A0851">
              <w:rPr>
                <w:color w:val="000000"/>
              </w:rPr>
              <w:t>a</w:t>
            </w:r>
            <w:r w:rsidR="000C2E5D">
              <w:rPr>
                <w:color w:val="000000"/>
              </w:rPr>
              <w:t>udits set out in Schedule 7.5</w:t>
            </w:r>
            <w:r w:rsidR="00D90E9B">
              <w:rPr>
                <w:color w:val="000000"/>
              </w:rPr>
              <w:t xml:space="preserve"> (Reports</w:t>
            </w:r>
            <w:r w:rsidR="0099726E">
              <w:rPr>
                <w:color w:val="000000"/>
              </w:rPr>
              <w:t>, Records</w:t>
            </w:r>
            <w:r w:rsidR="00D90E9B">
              <w:rPr>
                <w:color w:val="000000"/>
              </w:rPr>
              <w:t xml:space="preserve"> and Audit Rights)</w:t>
            </w:r>
            <w:r>
              <w:rPr>
                <w:color w:val="000000"/>
              </w:rPr>
              <w:t>.</w:t>
            </w:r>
            <w:r w:rsidR="004B26FC">
              <w:rPr>
                <w:color w:val="000000"/>
              </w:rPr>
              <w:t xml:space="preserve"> </w:t>
            </w:r>
          </w:p>
        </w:tc>
        <w:tc>
          <w:tcPr>
            <w:tcW w:w="1381" w:type="dxa"/>
          </w:tcPr>
          <w:p w14:paraId="6906866B" w14:textId="24BFC6F7" w:rsidR="00EB5337" w:rsidRDefault="00EB5337" w:rsidP="0039151F">
            <w:pPr>
              <w:pStyle w:val="Level1"/>
              <w:numPr>
                <w:ilvl w:val="0"/>
                <w:numId w:val="0"/>
              </w:numPr>
            </w:pPr>
            <w:r>
              <w:lastRenderedPageBreak/>
              <w:t>Y</w:t>
            </w:r>
            <w:r w:rsidR="00762D64">
              <w:t>es</w:t>
            </w:r>
          </w:p>
        </w:tc>
        <w:tc>
          <w:tcPr>
            <w:tcW w:w="1341" w:type="dxa"/>
          </w:tcPr>
          <w:p w14:paraId="3A5FB427" w14:textId="179E08AE" w:rsidR="00EB5337" w:rsidRDefault="00EB5337" w:rsidP="0039151F">
            <w:pPr>
              <w:pStyle w:val="Level1"/>
              <w:numPr>
                <w:ilvl w:val="0"/>
                <w:numId w:val="0"/>
              </w:numPr>
            </w:pPr>
            <w:r>
              <w:t>Y</w:t>
            </w:r>
            <w:r w:rsidR="00762D64">
              <w:t>es</w:t>
            </w:r>
          </w:p>
        </w:tc>
      </w:tr>
      <w:tr w:rsidR="00EB5337" w14:paraId="12E77CF9" w14:textId="77777777" w:rsidTr="001F58D3">
        <w:tc>
          <w:tcPr>
            <w:tcW w:w="525" w:type="dxa"/>
          </w:tcPr>
          <w:p w14:paraId="7E97300D" w14:textId="77777777" w:rsidR="00EB5337" w:rsidRDefault="00EB5337" w:rsidP="0039151F">
            <w:pPr>
              <w:pStyle w:val="Level1"/>
              <w:numPr>
                <w:ilvl w:val="0"/>
                <w:numId w:val="22"/>
              </w:numPr>
            </w:pPr>
          </w:p>
        </w:tc>
        <w:tc>
          <w:tcPr>
            <w:tcW w:w="4397" w:type="dxa"/>
          </w:tcPr>
          <w:p w14:paraId="091B6F11" w14:textId="0E55AF25" w:rsidR="00EB5337" w:rsidRPr="004649F8" w:rsidRDefault="00EB5337" w:rsidP="00F120FE">
            <w:pPr>
              <w:pStyle w:val="Level1"/>
              <w:numPr>
                <w:ilvl w:val="0"/>
                <w:numId w:val="0"/>
              </w:numPr>
            </w:pPr>
            <w:r>
              <w:rPr>
                <w:b/>
              </w:rPr>
              <w:t>Management Information</w:t>
            </w:r>
            <w:r>
              <w:t xml:space="preserve"> – Must include the details of </w:t>
            </w:r>
            <w:r w:rsidR="00174F53">
              <w:t xml:space="preserve">any </w:t>
            </w:r>
            <w:r>
              <w:t>management information that the Sub-contractor must provide each month</w:t>
            </w:r>
            <w:r w:rsidR="00174F53">
              <w:t xml:space="preserve"> in </w:t>
            </w:r>
            <w:r w:rsidR="00F120FE">
              <w:t>line</w:t>
            </w:r>
            <w:bookmarkStart w:id="0" w:name="_GoBack"/>
            <w:bookmarkEnd w:id="0"/>
            <w:r w:rsidR="00F120FE">
              <w:t xml:space="preserve"> </w:t>
            </w:r>
            <w:r w:rsidR="00174F53">
              <w:t>with the relevant requirements of the Call-Off Contract.</w:t>
            </w:r>
          </w:p>
        </w:tc>
        <w:tc>
          <w:tcPr>
            <w:tcW w:w="1381" w:type="dxa"/>
          </w:tcPr>
          <w:p w14:paraId="7C809AE4" w14:textId="6C40BDB5" w:rsidR="00EB5337" w:rsidRDefault="00EB5337" w:rsidP="0039151F">
            <w:pPr>
              <w:pStyle w:val="Level1"/>
              <w:numPr>
                <w:ilvl w:val="0"/>
                <w:numId w:val="0"/>
              </w:numPr>
            </w:pPr>
            <w:r>
              <w:t>Y</w:t>
            </w:r>
            <w:r w:rsidR="00762D64">
              <w:t>es</w:t>
            </w:r>
          </w:p>
        </w:tc>
        <w:tc>
          <w:tcPr>
            <w:tcW w:w="1341" w:type="dxa"/>
          </w:tcPr>
          <w:p w14:paraId="6CC3141D" w14:textId="0ABAA9A4" w:rsidR="00EB5337" w:rsidRDefault="00EB5337" w:rsidP="0039151F">
            <w:pPr>
              <w:pStyle w:val="Level1"/>
              <w:numPr>
                <w:ilvl w:val="0"/>
                <w:numId w:val="0"/>
              </w:numPr>
            </w:pPr>
            <w:r>
              <w:t>Y</w:t>
            </w:r>
            <w:r w:rsidR="00762D64">
              <w:t>es</w:t>
            </w:r>
          </w:p>
        </w:tc>
      </w:tr>
      <w:tr w:rsidR="00EB5337" w14:paraId="179AE305" w14:textId="77777777" w:rsidTr="001F58D3">
        <w:tc>
          <w:tcPr>
            <w:tcW w:w="525" w:type="dxa"/>
          </w:tcPr>
          <w:p w14:paraId="55B2073D" w14:textId="77777777" w:rsidR="00EB5337" w:rsidRDefault="00EB5337" w:rsidP="0039151F">
            <w:pPr>
              <w:pStyle w:val="Level1"/>
              <w:numPr>
                <w:ilvl w:val="0"/>
                <w:numId w:val="22"/>
              </w:numPr>
            </w:pPr>
          </w:p>
        </w:tc>
        <w:tc>
          <w:tcPr>
            <w:tcW w:w="4397" w:type="dxa"/>
          </w:tcPr>
          <w:p w14:paraId="29CCA480" w14:textId="4EA912B4" w:rsidR="00EB5337" w:rsidRPr="004649F8" w:rsidRDefault="00EB5337" w:rsidP="004B26FC">
            <w:pPr>
              <w:pStyle w:val="Level2"/>
              <w:numPr>
                <w:ilvl w:val="0"/>
                <w:numId w:val="0"/>
              </w:numPr>
            </w:pPr>
            <w:r>
              <w:rPr>
                <w:b/>
              </w:rPr>
              <w:t xml:space="preserve">Assign or novate – </w:t>
            </w:r>
            <w:r w:rsidRPr="00012C5C">
              <w:t xml:space="preserve">Must include </w:t>
            </w:r>
            <w:r w:rsidRPr="004649F8">
              <w:t xml:space="preserve">a provision enabling the Supplier to assign, novate or otherwise transfer any of its rights and/or obligations under the Sub-contract to the </w:t>
            </w:r>
            <w:r w:rsidR="004B26FC">
              <w:t>Customer</w:t>
            </w:r>
            <w:r w:rsidRPr="004649F8">
              <w:t xml:space="preserve"> </w:t>
            </w:r>
            <w:r w:rsidR="00560A27">
              <w:t>and/</w:t>
            </w:r>
            <w:r w:rsidRPr="004649F8">
              <w:t>or any Replacement Supplier</w:t>
            </w:r>
            <w:r w:rsidR="00560A27">
              <w:t>(s)</w:t>
            </w:r>
            <w:r w:rsidRPr="004649F8">
              <w:t xml:space="preserve"> without restriction (including any need to obtain any consent or approval)</w:t>
            </w:r>
            <w:r>
              <w:t xml:space="preserve"> or payment by the </w:t>
            </w:r>
            <w:r w:rsidR="004B26FC">
              <w:t>Customer</w:t>
            </w:r>
            <w:r w:rsidR="00560A27">
              <w:t xml:space="preserve"> or the relevant Replacement Supplier(s)</w:t>
            </w:r>
            <w:r w:rsidR="000C2E5D">
              <w:t>.</w:t>
            </w:r>
          </w:p>
        </w:tc>
        <w:tc>
          <w:tcPr>
            <w:tcW w:w="1381" w:type="dxa"/>
          </w:tcPr>
          <w:p w14:paraId="2ACF8736" w14:textId="51AE2FCF" w:rsidR="00EB5337" w:rsidRDefault="00EB5337" w:rsidP="0039151F">
            <w:pPr>
              <w:pStyle w:val="Level1"/>
              <w:numPr>
                <w:ilvl w:val="0"/>
                <w:numId w:val="0"/>
              </w:numPr>
            </w:pPr>
            <w:r>
              <w:t>Y</w:t>
            </w:r>
            <w:r w:rsidR="00762D64">
              <w:t>es</w:t>
            </w:r>
          </w:p>
        </w:tc>
        <w:tc>
          <w:tcPr>
            <w:tcW w:w="1341" w:type="dxa"/>
          </w:tcPr>
          <w:p w14:paraId="7682EBBF" w14:textId="6726F0EE" w:rsidR="00EB5337" w:rsidRDefault="009006E3" w:rsidP="009006E3">
            <w:pPr>
              <w:pStyle w:val="Level1"/>
              <w:numPr>
                <w:ilvl w:val="0"/>
                <w:numId w:val="0"/>
              </w:numPr>
            </w:pPr>
            <w:r>
              <w:t>N</w:t>
            </w:r>
            <w:r w:rsidR="00762D64">
              <w:t>o</w:t>
            </w:r>
          </w:p>
        </w:tc>
      </w:tr>
      <w:tr w:rsidR="00EB5337" w14:paraId="60133498" w14:textId="77777777" w:rsidTr="001F58D3">
        <w:tc>
          <w:tcPr>
            <w:tcW w:w="525" w:type="dxa"/>
          </w:tcPr>
          <w:p w14:paraId="2C03E832" w14:textId="77777777" w:rsidR="00EB5337" w:rsidRDefault="00EB5337" w:rsidP="0039151F">
            <w:pPr>
              <w:pStyle w:val="Level1"/>
              <w:numPr>
                <w:ilvl w:val="0"/>
                <w:numId w:val="22"/>
              </w:numPr>
            </w:pPr>
          </w:p>
        </w:tc>
        <w:tc>
          <w:tcPr>
            <w:tcW w:w="4397" w:type="dxa"/>
          </w:tcPr>
          <w:p w14:paraId="2CEF948A" w14:textId="4ECDB44A" w:rsidR="00EB5337" w:rsidRPr="00012C5C" w:rsidRDefault="00EB5337" w:rsidP="004B26FC">
            <w:pPr>
              <w:pStyle w:val="Level2"/>
              <w:numPr>
                <w:ilvl w:val="0"/>
                <w:numId w:val="0"/>
              </w:numPr>
            </w:pPr>
            <w:r w:rsidRPr="00012C5C">
              <w:rPr>
                <w:b/>
              </w:rPr>
              <w:t xml:space="preserve">Step in </w:t>
            </w:r>
            <w:r>
              <w:rPr>
                <w:b/>
              </w:rPr>
              <w:t>–</w:t>
            </w:r>
            <w:r w:rsidRPr="00012C5C">
              <w:t xml:space="preserve"> </w:t>
            </w:r>
            <w:r>
              <w:t xml:space="preserve">Must include </w:t>
            </w:r>
            <w:r w:rsidRPr="00012C5C">
              <w:t xml:space="preserve">a provision enabling the Supplier, the </w:t>
            </w:r>
            <w:r w:rsidR="004B26FC">
              <w:t>Customer</w:t>
            </w:r>
            <w:r w:rsidRPr="00012C5C">
              <w:t xml:space="preserve"> or any other person on behalf of the </w:t>
            </w:r>
            <w:r w:rsidR="004B26FC">
              <w:t>Customer</w:t>
            </w:r>
            <w:r w:rsidRPr="00012C5C">
              <w:t xml:space="preserve"> to step-in on substantially the same </w:t>
            </w:r>
            <w:r w:rsidR="000C2E5D">
              <w:t>terms as are set out in Clause 3</w:t>
            </w:r>
            <w:r w:rsidR="0056637D">
              <w:t>1.</w:t>
            </w:r>
          </w:p>
        </w:tc>
        <w:tc>
          <w:tcPr>
            <w:tcW w:w="1381" w:type="dxa"/>
          </w:tcPr>
          <w:p w14:paraId="7E224BD2" w14:textId="02A7C793" w:rsidR="00EB5337" w:rsidRDefault="00EB5337" w:rsidP="0039151F">
            <w:pPr>
              <w:pStyle w:val="Level1"/>
              <w:numPr>
                <w:ilvl w:val="0"/>
                <w:numId w:val="0"/>
              </w:numPr>
            </w:pPr>
            <w:r>
              <w:t>Y</w:t>
            </w:r>
            <w:r w:rsidR="00762D64">
              <w:t>es</w:t>
            </w:r>
            <w:r w:rsidR="0071551B">
              <w:t xml:space="preserve"> (unless otherwise stated in Schedule 4.3 of the Call-Off Contract)</w:t>
            </w:r>
          </w:p>
        </w:tc>
        <w:tc>
          <w:tcPr>
            <w:tcW w:w="1341" w:type="dxa"/>
          </w:tcPr>
          <w:p w14:paraId="04C3A164" w14:textId="5BF5CA1A" w:rsidR="00EB5337" w:rsidRDefault="009006E3" w:rsidP="009006E3">
            <w:pPr>
              <w:pStyle w:val="Level1"/>
              <w:numPr>
                <w:ilvl w:val="0"/>
                <w:numId w:val="0"/>
              </w:numPr>
            </w:pPr>
            <w:r>
              <w:t>N</w:t>
            </w:r>
            <w:r w:rsidR="00762D64">
              <w:t>o</w:t>
            </w:r>
          </w:p>
        </w:tc>
      </w:tr>
      <w:tr w:rsidR="00EB5337" w14:paraId="0F92E5FD" w14:textId="77777777" w:rsidTr="001F58D3">
        <w:tc>
          <w:tcPr>
            <w:tcW w:w="525" w:type="dxa"/>
          </w:tcPr>
          <w:p w14:paraId="5BD59F0E" w14:textId="77777777" w:rsidR="00EB5337" w:rsidRDefault="00EB5337" w:rsidP="0039151F">
            <w:pPr>
              <w:pStyle w:val="Level1"/>
              <w:numPr>
                <w:ilvl w:val="0"/>
                <w:numId w:val="22"/>
              </w:numPr>
            </w:pPr>
          </w:p>
        </w:tc>
        <w:tc>
          <w:tcPr>
            <w:tcW w:w="4397" w:type="dxa"/>
          </w:tcPr>
          <w:p w14:paraId="2D43D53F" w14:textId="4308A69F" w:rsidR="00EB5337" w:rsidRPr="00012C5C" w:rsidRDefault="00EB5337" w:rsidP="004B26FC">
            <w:pPr>
              <w:pStyle w:val="Level2"/>
              <w:numPr>
                <w:ilvl w:val="0"/>
                <w:numId w:val="0"/>
              </w:numPr>
            </w:pPr>
            <w:r>
              <w:rPr>
                <w:b/>
              </w:rPr>
              <w:t>Termination assistance</w:t>
            </w:r>
            <w:r w:rsidR="0056637D" w:rsidRPr="00012C5C">
              <w:rPr>
                <w:b/>
              </w:rPr>
              <w:t xml:space="preserve"> </w:t>
            </w:r>
            <w:r w:rsidR="0056637D">
              <w:t xml:space="preserve">– </w:t>
            </w:r>
            <w:r>
              <w:t xml:space="preserve">Must include provisions enabling the </w:t>
            </w:r>
            <w:r w:rsidR="004B26FC">
              <w:t>Customer</w:t>
            </w:r>
            <w:r>
              <w:t xml:space="preserve"> to make direct requests of the Sub-contractor during any </w:t>
            </w:r>
            <w:r w:rsidR="00F7195E">
              <w:t>Termination Assistance P</w:t>
            </w:r>
            <w:r>
              <w:t xml:space="preserve">eriod and for the Sub-contractor to provide information and data directly to the </w:t>
            </w:r>
            <w:r w:rsidR="004B26FC">
              <w:t xml:space="preserve">Customer </w:t>
            </w:r>
            <w:r>
              <w:t xml:space="preserve">to facilitate any re-procurement or smooth exit of the </w:t>
            </w:r>
            <w:r w:rsidR="004B26FC">
              <w:t>Call-Off Contract</w:t>
            </w:r>
            <w:r w:rsidR="000C2E5D">
              <w:t>.</w:t>
            </w:r>
          </w:p>
        </w:tc>
        <w:tc>
          <w:tcPr>
            <w:tcW w:w="1381" w:type="dxa"/>
          </w:tcPr>
          <w:p w14:paraId="1E58A0B7" w14:textId="6F253A83" w:rsidR="00EB5337" w:rsidRDefault="00EB5337" w:rsidP="0039151F">
            <w:pPr>
              <w:pStyle w:val="Level1"/>
              <w:numPr>
                <w:ilvl w:val="0"/>
                <w:numId w:val="0"/>
              </w:numPr>
            </w:pPr>
            <w:r>
              <w:t>Y</w:t>
            </w:r>
            <w:r w:rsidR="00762D64">
              <w:t>es</w:t>
            </w:r>
          </w:p>
        </w:tc>
        <w:tc>
          <w:tcPr>
            <w:tcW w:w="1341" w:type="dxa"/>
          </w:tcPr>
          <w:p w14:paraId="491A4341" w14:textId="50595483" w:rsidR="00EB5337" w:rsidRDefault="00762D64" w:rsidP="009006E3">
            <w:pPr>
              <w:pStyle w:val="Level1"/>
              <w:numPr>
                <w:ilvl w:val="0"/>
                <w:numId w:val="0"/>
              </w:numPr>
            </w:pPr>
            <w:r>
              <w:t>Yes</w:t>
            </w:r>
          </w:p>
        </w:tc>
      </w:tr>
      <w:tr w:rsidR="00EB5337" w14:paraId="41345E1E" w14:textId="77777777" w:rsidTr="001F58D3">
        <w:tc>
          <w:tcPr>
            <w:tcW w:w="525" w:type="dxa"/>
          </w:tcPr>
          <w:p w14:paraId="118DD86E" w14:textId="77777777" w:rsidR="00EB5337" w:rsidRDefault="00EB5337" w:rsidP="0039151F">
            <w:pPr>
              <w:pStyle w:val="Level1"/>
              <w:numPr>
                <w:ilvl w:val="0"/>
                <w:numId w:val="22"/>
              </w:numPr>
            </w:pPr>
          </w:p>
        </w:tc>
        <w:tc>
          <w:tcPr>
            <w:tcW w:w="4397" w:type="dxa"/>
          </w:tcPr>
          <w:p w14:paraId="09B4AC50" w14:textId="0865870D" w:rsidR="00EB5337" w:rsidRPr="00012C5C" w:rsidRDefault="00EB5337" w:rsidP="004B26FC">
            <w:pPr>
              <w:pStyle w:val="Level2"/>
              <w:numPr>
                <w:ilvl w:val="0"/>
                <w:numId w:val="0"/>
              </w:numPr>
            </w:pPr>
            <w:r w:rsidRPr="00012C5C">
              <w:rPr>
                <w:b/>
              </w:rPr>
              <w:t xml:space="preserve">Governance </w:t>
            </w:r>
            <w:r>
              <w:t xml:space="preserve">– Must include a right for the Sub-contractor to communicate directly with the </w:t>
            </w:r>
            <w:r w:rsidR="004B26FC">
              <w:t>Customer</w:t>
            </w:r>
            <w:r>
              <w:t xml:space="preserve"> where appropriate (without breaching any confidentiality or other contractual restrictions)</w:t>
            </w:r>
            <w:r w:rsidR="000C2E5D">
              <w:t>.</w:t>
            </w:r>
          </w:p>
        </w:tc>
        <w:tc>
          <w:tcPr>
            <w:tcW w:w="1381" w:type="dxa"/>
          </w:tcPr>
          <w:p w14:paraId="73431CF3" w14:textId="0242AACE" w:rsidR="00EB5337" w:rsidRDefault="00EB5337" w:rsidP="0039151F">
            <w:pPr>
              <w:pStyle w:val="Level1"/>
              <w:numPr>
                <w:ilvl w:val="0"/>
                <w:numId w:val="0"/>
              </w:numPr>
            </w:pPr>
            <w:r>
              <w:t>Y</w:t>
            </w:r>
            <w:r w:rsidR="00762D64">
              <w:t>es</w:t>
            </w:r>
          </w:p>
        </w:tc>
        <w:tc>
          <w:tcPr>
            <w:tcW w:w="1341" w:type="dxa"/>
          </w:tcPr>
          <w:p w14:paraId="70BA96B4" w14:textId="529F5403" w:rsidR="00EB5337" w:rsidRDefault="00EB5337" w:rsidP="0039151F">
            <w:pPr>
              <w:pStyle w:val="Level1"/>
              <w:numPr>
                <w:ilvl w:val="0"/>
                <w:numId w:val="0"/>
              </w:numPr>
            </w:pPr>
            <w:r>
              <w:t>Y</w:t>
            </w:r>
            <w:r w:rsidR="00762D64">
              <w:t>es</w:t>
            </w:r>
          </w:p>
        </w:tc>
      </w:tr>
      <w:tr w:rsidR="00EB5337" w14:paraId="02E2535F" w14:textId="77777777" w:rsidTr="001F58D3">
        <w:tc>
          <w:tcPr>
            <w:tcW w:w="525" w:type="dxa"/>
          </w:tcPr>
          <w:p w14:paraId="110B7FF1" w14:textId="77777777" w:rsidR="00EB5337" w:rsidRDefault="00EB5337" w:rsidP="0039151F">
            <w:pPr>
              <w:pStyle w:val="Level1"/>
              <w:numPr>
                <w:ilvl w:val="0"/>
                <w:numId w:val="22"/>
              </w:numPr>
            </w:pPr>
          </w:p>
        </w:tc>
        <w:tc>
          <w:tcPr>
            <w:tcW w:w="4397" w:type="dxa"/>
          </w:tcPr>
          <w:p w14:paraId="0137E844" w14:textId="74E89886" w:rsidR="00EB5337" w:rsidRPr="00EB5337" w:rsidRDefault="00EB5337" w:rsidP="004B26FC">
            <w:pPr>
              <w:pStyle w:val="Level1"/>
              <w:numPr>
                <w:ilvl w:val="0"/>
                <w:numId w:val="0"/>
              </w:numPr>
            </w:pPr>
            <w:r>
              <w:rPr>
                <w:b/>
              </w:rPr>
              <w:t>Third Party rights</w:t>
            </w:r>
            <w:r>
              <w:t xml:space="preserve"> – Must include a) </w:t>
            </w:r>
            <w:r w:rsidRPr="003C32B4">
              <w:rPr>
                <w:color w:val="000000"/>
              </w:rPr>
              <w:t xml:space="preserve">a right under </w:t>
            </w:r>
            <w:proofErr w:type="spellStart"/>
            <w:r w:rsidRPr="003C32B4">
              <w:rPr>
                <w:color w:val="000000"/>
              </w:rPr>
              <w:t>CRTPA</w:t>
            </w:r>
            <w:proofErr w:type="spellEnd"/>
            <w:r w:rsidRPr="003C32B4">
              <w:rPr>
                <w:color w:val="000000"/>
              </w:rPr>
              <w:t xml:space="preserve"> for the </w:t>
            </w:r>
            <w:r w:rsidR="004B26FC">
              <w:rPr>
                <w:color w:val="000000"/>
              </w:rPr>
              <w:t>Customer</w:t>
            </w:r>
            <w:r w:rsidRPr="003C32B4">
              <w:rPr>
                <w:color w:val="000000"/>
              </w:rPr>
              <w:t xml:space="preserve"> to enforce any provisions under the </w:t>
            </w:r>
            <w:r>
              <w:rPr>
                <w:color w:val="000000"/>
              </w:rPr>
              <w:t>S</w:t>
            </w:r>
            <w:r w:rsidRPr="003C32B4">
              <w:rPr>
                <w:color w:val="000000"/>
              </w:rPr>
              <w:t xml:space="preserve">ub-contract which are capable of conferring a benefit upon the </w:t>
            </w:r>
            <w:r w:rsidR="004B26FC">
              <w:rPr>
                <w:color w:val="000000"/>
              </w:rPr>
              <w:t>Customer</w:t>
            </w:r>
            <w:r w:rsidRPr="003C32B4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b) </w:t>
            </w:r>
            <w:r w:rsidRPr="003C32B4">
              <w:rPr>
                <w:color w:val="000000"/>
              </w:rPr>
              <w:t xml:space="preserve">a provision enabling the </w:t>
            </w:r>
            <w:r w:rsidR="004B26FC">
              <w:rPr>
                <w:color w:val="000000"/>
              </w:rPr>
              <w:t>Customer</w:t>
            </w:r>
            <w:r w:rsidRPr="003C32B4">
              <w:rPr>
                <w:color w:val="000000"/>
              </w:rPr>
              <w:t xml:space="preserve"> to enforce the Sub-contract as if it </w:t>
            </w:r>
            <w:r w:rsidRPr="003C32B4">
              <w:rPr>
                <w:color w:val="000000"/>
              </w:rPr>
              <w:lastRenderedPageBreak/>
              <w:t>were the Supplier</w:t>
            </w:r>
            <w:r>
              <w:rPr>
                <w:color w:val="000000"/>
              </w:rPr>
              <w:t>.</w:t>
            </w:r>
          </w:p>
        </w:tc>
        <w:tc>
          <w:tcPr>
            <w:tcW w:w="1381" w:type="dxa"/>
          </w:tcPr>
          <w:p w14:paraId="58D63685" w14:textId="14C33F21" w:rsidR="00EB5337" w:rsidRDefault="00EB5337" w:rsidP="0039151F">
            <w:pPr>
              <w:pStyle w:val="Level1"/>
              <w:numPr>
                <w:ilvl w:val="0"/>
                <w:numId w:val="0"/>
              </w:numPr>
            </w:pPr>
            <w:r>
              <w:lastRenderedPageBreak/>
              <w:t>Y</w:t>
            </w:r>
            <w:r w:rsidR="00762D64">
              <w:t>es</w:t>
            </w:r>
          </w:p>
        </w:tc>
        <w:tc>
          <w:tcPr>
            <w:tcW w:w="1341" w:type="dxa"/>
          </w:tcPr>
          <w:p w14:paraId="2CF6608A" w14:textId="0E0C141D" w:rsidR="00EB5337" w:rsidRDefault="009006E3" w:rsidP="009006E3">
            <w:pPr>
              <w:pStyle w:val="Level1"/>
              <w:numPr>
                <w:ilvl w:val="0"/>
                <w:numId w:val="0"/>
              </w:numPr>
            </w:pPr>
            <w:r>
              <w:t>N</w:t>
            </w:r>
            <w:r w:rsidR="00762D64">
              <w:t>o</w:t>
            </w:r>
          </w:p>
        </w:tc>
      </w:tr>
      <w:tr w:rsidR="00EB5337" w14:paraId="2A262FB0" w14:textId="77777777" w:rsidTr="001F58D3">
        <w:tc>
          <w:tcPr>
            <w:tcW w:w="525" w:type="dxa"/>
          </w:tcPr>
          <w:p w14:paraId="3FA510B2" w14:textId="77777777" w:rsidR="00EB5337" w:rsidRDefault="00EB5337" w:rsidP="0039151F">
            <w:pPr>
              <w:pStyle w:val="Level1"/>
              <w:numPr>
                <w:ilvl w:val="0"/>
                <w:numId w:val="22"/>
              </w:numPr>
            </w:pPr>
          </w:p>
        </w:tc>
        <w:tc>
          <w:tcPr>
            <w:tcW w:w="4397" w:type="dxa"/>
          </w:tcPr>
          <w:p w14:paraId="3A7E4473" w14:textId="39CD7A65" w:rsidR="00EB5337" w:rsidRDefault="00EB5337" w:rsidP="003A2E41">
            <w:pPr>
              <w:pStyle w:val="Level2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Termination rights - </w:t>
            </w:r>
            <w:r w:rsidRPr="00EB5337">
              <w:t xml:space="preserve">provisions enabling the Supplier to terminate the Sub-contract on notice on terms no more onerous on the Supplier than those imposed </w:t>
            </w:r>
            <w:r w:rsidR="000C2E5D">
              <w:t>o</w:t>
            </w:r>
            <w:r w:rsidR="0056637D">
              <w:t xml:space="preserve">n the </w:t>
            </w:r>
            <w:r w:rsidR="004B26FC">
              <w:t>Customer</w:t>
            </w:r>
            <w:r w:rsidR="0056637D">
              <w:t xml:space="preserve"> under Clauses </w:t>
            </w:r>
            <w:r w:rsidR="003A2E41">
              <w:t>38.3.1</w:t>
            </w:r>
            <w:r w:rsidR="001417A8">
              <w:t xml:space="preserve"> and </w:t>
            </w:r>
            <w:r w:rsidR="003A2E41">
              <w:t>39.3</w:t>
            </w:r>
            <w:r w:rsidR="000C2E5D">
              <w:t xml:space="preserve"> and Schedule 7.2</w:t>
            </w:r>
            <w:r w:rsidRPr="00EB5337">
              <w:t xml:space="preserve"> </w:t>
            </w:r>
            <w:r w:rsidR="00690507">
              <w:t xml:space="preserve">(Payments on Termination) </w:t>
            </w:r>
            <w:r w:rsidRPr="00EB5337">
              <w:t>of this Agreement</w:t>
            </w:r>
            <w:r>
              <w:t>.</w:t>
            </w:r>
            <w:r w:rsidR="004B26FC">
              <w:t xml:space="preserve">  </w:t>
            </w:r>
          </w:p>
        </w:tc>
        <w:tc>
          <w:tcPr>
            <w:tcW w:w="1381" w:type="dxa"/>
          </w:tcPr>
          <w:p w14:paraId="1914BAB5" w14:textId="215998A7" w:rsidR="00EB5337" w:rsidRDefault="00EB5337" w:rsidP="0039151F">
            <w:pPr>
              <w:pStyle w:val="Level1"/>
              <w:numPr>
                <w:ilvl w:val="0"/>
                <w:numId w:val="0"/>
              </w:numPr>
            </w:pPr>
            <w:r>
              <w:t>Y</w:t>
            </w:r>
            <w:r w:rsidR="00762D64">
              <w:t>es</w:t>
            </w:r>
          </w:p>
        </w:tc>
        <w:tc>
          <w:tcPr>
            <w:tcW w:w="1341" w:type="dxa"/>
          </w:tcPr>
          <w:p w14:paraId="4B4B7DCE" w14:textId="77777777" w:rsidR="00EB5337" w:rsidRDefault="00EB5337" w:rsidP="0039151F">
            <w:pPr>
              <w:pStyle w:val="Level1"/>
              <w:numPr>
                <w:ilvl w:val="0"/>
                <w:numId w:val="0"/>
              </w:numPr>
            </w:pPr>
            <w:r>
              <w:t>No</w:t>
            </w:r>
          </w:p>
        </w:tc>
      </w:tr>
      <w:tr w:rsidR="00012C5C" w14:paraId="16AD0DAC" w14:textId="77777777" w:rsidTr="001F58D3">
        <w:tc>
          <w:tcPr>
            <w:tcW w:w="525" w:type="dxa"/>
          </w:tcPr>
          <w:p w14:paraId="16004357" w14:textId="77777777" w:rsidR="00012C5C" w:rsidRDefault="00012C5C" w:rsidP="002E6FAA">
            <w:pPr>
              <w:pStyle w:val="Level1"/>
              <w:numPr>
                <w:ilvl w:val="0"/>
                <w:numId w:val="22"/>
              </w:numPr>
            </w:pPr>
          </w:p>
        </w:tc>
        <w:tc>
          <w:tcPr>
            <w:tcW w:w="4397" w:type="dxa"/>
          </w:tcPr>
          <w:p w14:paraId="23241043" w14:textId="54EF0C5E" w:rsidR="00012C5C" w:rsidRPr="00EB5337" w:rsidRDefault="00EB5337" w:rsidP="004B26FC">
            <w:pPr>
              <w:pStyle w:val="Level2"/>
              <w:numPr>
                <w:ilvl w:val="0"/>
                <w:numId w:val="0"/>
              </w:numPr>
            </w:pPr>
            <w:r>
              <w:rPr>
                <w:b/>
              </w:rPr>
              <w:t>Termination rights</w:t>
            </w:r>
            <w:r>
              <w:t xml:space="preserve"> – </w:t>
            </w:r>
            <w:r w:rsidR="000B048A" w:rsidRPr="000B048A">
              <w:t xml:space="preserve">Must include </w:t>
            </w:r>
            <w:r>
              <w:t xml:space="preserve">a right for the Supplier to terminate the Sub-contract if </w:t>
            </w:r>
            <w:r w:rsidR="004B26FC">
              <w:t xml:space="preserve">the Call-Off Contract </w:t>
            </w:r>
            <w:r>
              <w:t>is terminated for any reason.</w:t>
            </w:r>
          </w:p>
        </w:tc>
        <w:tc>
          <w:tcPr>
            <w:tcW w:w="1381" w:type="dxa"/>
          </w:tcPr>
          <w:p w14:paraId="3990A1E6" w14:textId="0541F2F9" w:rsidR="00012C5C" w:rsidRDefault="00EB5337" w:rsidP="002E6FAA">
            <w:pPr>
              <w:pStyle w:val="Level1"/>
              <w:numPr>
                <w:ilvl w:val="0"/>
                <w:numId w:val="0"/>
              </w:numPr>
            </w:pPr>
            <w:r>
              <w:t>Y</w:t>
            </w:r>
            <w:r w:rsidR="00762D64">
              <w:t>es</w:t>
            </w:r>
          </w:p>
        </w:tc>
        <w:tc>
          <w:tcPr>
            <w:tcW w:w="1341" w:type="dxa"/>
          </w:tcPr>
          <w:p w14:paraId="7C9FB9EF" w14:textId="4E12E5B1" w:rsidR="00012C5C" w:rsidRDefault="00EB5337" w:rsidP="002E6FAA">
            <w:pPr>
              <w:pStyle w:val="Level1"/>
              <w:numPr>
                <w:ilvl w:val="0"/>
                <w:numId w:val="0"/>
              </w:numPr>
            </w:pPr>
            <w:r>
              <w:t>Y</w:t>
            </w:r>
            <w:r w:rsidR="00762D64">
              <w:t>es</w:t>
            </w:r>
          </w:p>
        </w:tc>
      </w:tr>
      <w:tr w:rsidR="00EB5337" w14:paraId="2B1C0D42" w14:textId="77777777" w:rsidTr="001F58D3">
        <w:tc>
          <w:tcPr>
            <w:tcW w:w="525" w:type="dxa"/>
          </w:tcPr>
          <w:p w14:paraId="07F23F1A" w14:textId="77777777" w:rsidR="00EB5337" w:rsidRDefault="00EB5337" w:rsidP="002E6FAA">
            <w:pPr>
              <w:pStyle w:val="Level1"/>
              <w:numPr>
                <w:ilvl w:val="0"/>
                <w:numId w:val="22"/>
              </w:numPr>
            </w:pPr>
          </w:p>
        </w:tc>
        <w:tc>
          <w:tcPr>
            <w:tcW w:w="4397" w:type="dxa"/>
          </w:tcPr>
          <w:p w14:paraId="736B8416" w14:textId="50F19A8F" w:rsidR="00EB5337" w:rsidRDefault="00EB5337" w:rsidP="004B26FC">
            <w:pPr>
              <w:pStyle w:val="Level1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Further Sub-contracting - </w:t>
            </w:r>
            <w:r w:rsidR="000B048A" w:rsidRPr="000B048A">
              <w:t xml:space="preserve">Must include </w:t>
            </w:r>
            <w:r w:rsidRPr="00EB5337">
              <w:t>a provision restricting the ability of the Sub-contractor to sub-contract all or any part of the services provided to the Supplier under the Sub-contract without first seeking the w</w:t>
            </w:r>
            <w:r>
              <w:t xml:space="preserve">ritten consent of the </w:t>
            </w:r>
            <w:r w:rsidR="004B26FC">
              <w:t>Customer</w:t>
            </w:r>
            <w:r>
              <w:t>.</w:t>
            </w:r>
          </w:p>
        </w:tc>
        <w:tc>
          <w:tcPr>
            <w:tcW w:w="1381" w:type="dxa"/>
          </w:tcPr>
          <w:p w14:paraId="7EB7304E" w14:textId="77777777" w:rsidR="00EB5337" w:rsidRDefault="00EB5337" w:rsidP="002E6FAA">
            <w:pPr>
              <w:pStyle w:val="Level1"/>
              <w:numPr>
                <w:ilvl w:val="0"/>
                <w:numId w:val="0"/>
              </w:numPr>
            </w:pPr>
            <w:r>
              <w:t>Yes</w:t>
            </w:r>
          </w:p>
        </w:tc>
        <w:tc>
          <w:tcPr>
            <w:tcW w:w="1341" w:type="dxa"/>
          </w:tcPr>
          <w:p w14:paraId="54C52B54" w14:textId="77777777" w:rsidR="00EB5337" w:rsidRDefault="00EB5337" w:rsidP="002E6FAA">
            <w:pPr>
              <w:pStyle w:val="Level1"/>
              <w:numPr>
                <w:ilvl w:val="0"/>
                <w:numId w:val="0"/>
              </w:numPr>
            </w:pPr>
            <w:r>
              <w:t>No</w:t>
            </w:r>
          </w:p>
        </w:tc>
      </w:tr>
      <w:tr w:rsidR="00EB5337" w14:paraId="6F8E18C2" w14:textId="77777777" w:rsidTr="001F58D3">
        <w:tc>
          <w:tcPr>
            <w:tcW w:w="525" w:type="dxa"/>
          </w:tcPr>
          <w:p w14:paraId="6E356B59" w14:textId="77777777" w:rsidR="00EB5337" w:rsidRDefault="00EB5337" w:rsidP="002E6FAA">
            <w:pPr>
              <w:pStyle w:val="Level1"/>
              <w:numPr>
                <w:ilvl w:val="0"/>
                <w:numId w:val="22"/>
              </w:numPr>
            </w:pPr>
          </w:p>
        </w:tc>
        <w:tc>
          <w:tcPr>
            <w:tcW w:w="4397" w:type="dxa"/>
          </w:tcPr>
          <w:p w14:paraId="12643563" w14:textId="3312B1AF" w:rsidR="00EB5337" w:rsidRDefault="00EB5337" w:rsidP="004B26FC">
            <w:pPr>
              <w:pStyle w:val="Level2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Dispute Resolution - </w:t>
            </w:r>
            <w:r w:rsidR="000B048A" w:rsidRPr="000B048A">
              <w:t xml:space="preserve">Must include </w:t>
            </w:r>
            <w:r w:rsidRPr="00EB5337">
              <w:t xml:space="preserve">a provision requiring the Sub-contractor to participate in, and if required by the </w:t>
            </w:r>
            <w:r w:rsidR="004B26FC">
              <w:t>Customer</w:t>
            </w:r>
            <w:r w:rsidRPr="00EB5337">
              <w:t xml:space="preserve"> in the relevant Multi-Party Procedure Initiation Notice</w:t>
            </w:r>
            <w:r w:rsidR="00F7195E">
              <w:t>,</w:t>
            </w:r>
            <w:r w:rsidRPr="00EB5337">
              <w:t xml:space="preserve"> to procure the participation of all or any of its Sub-contractors in, the Multi-Part</w:t>
            </w:r>
            <w:r w:rsidR="000B048A">
              <w:t>y Dispute Resolution Procedure.</w:t>
            </w:r>
          </w:p>
        </w:tc>
        <w:tc>
          <w:tcPr>
            <w:tcW w:w="1381" w:type="dxa"/>
          </w:tcPr>
          <w:p w14:paraId="2960DAC7" w14:textId="77777777" w:rsidR="00EB5337" w:rsidRDefault="000B048A" w:rsidP="002E6FAA">
            <w:pPr>
              <w:pStyle w:val="Level1"/>
              <w:numPr>
                <w:ilvl w:val="0"/>
                <w:numId w:val="0"/>
              </w:numPr>
            </w:pPr>
            <w:r>
              <w:t>Yes</w:t>
            </w:r>
          </w:p>
        </w:tc>
        <w:tc>
          <w:tcPr>
            <w:tcW w:w="1341" w:type="dxa"/>
          </w:tcPr>
          <w:p w14:paraId="03B5C689" w14:textId="77777777" w:rsidR="00EB5337" w:rsidRDefault="000B048A" w:rsidP="002E6FAA">
            <w:pPr>
              <w:pStyle w:val="Level1"/>
              <w:numPr>
                <w:ilvl w:val="0"/>
                <w:numId w:val="0"/>
              </w:numPr>
            </w:pPr>
            <w:r>
              <w:t>No</w:t>
            </w:r>
          </w:p>
        </w:tc>
      </w:tr>
      <w:tr w:rsidR="000B048A" w14:paraId="103C4170" w14:textId="77777777" w:rsidTr="001F58D3">
        <w:tc>
          <w:tcPr>
            <w:tcW w:w="525" w:type="dxa"/>
          </w:tcPr>
          <w:p w14:paraId="3958C403" w14:textId="77777777" w:rsidR="000B048A" w:rsidRDefault="000B048A" w:rsidP="002E6FAA">
            <w:pPr>
              <w:pStyle w:val="Level1"/>
              <w:numPr>
                <w:ilvl w:val="0"/>
                <w:numId w:val="22"/>
              </w:numPr>
            </w:pPr>
          </w:p>
        </w:tc>
        <w:tc>
          <w:tcPr>
            <w:tcW w:w="4397" w:type="dxa"/>
          </w:tcPr>
          <w:p w14:paraId="1D64728C" w14:textId="7F18F473" w:rsidR="000B048A" w:rsidRDefault="000B048A" w:rsidP="000B048A">
            <w:pPr>
              <w:pStyle w:val="Level2"/>
              <w:numPr>
                <w:ilvl w:val="0"/>
                <w:numId w:val="0"/>
              </w:numPr>
            </w:pPr>
            <w:r w:rsidRPr="000B048A">
              <w:rPr>
                <w:b/>
              </w:rPr>
              <w:t xml:space="preserve">Financial Distress </w:t>
            </w:r>
            <w:r>
              <w:rPr>
                <w:b/>
              </w:rPr>
              <w:t>–</w:t>
            </w:r>
            <w:r w:rsidRPr="000B048A">
              <w:rPr>
                <w:b/>
              </w:rPr>
              <w:t xml:space="preserve"> </w:t>
            </w:r>
            <w:r w:rsidRPr="000B048A">
              <w:t xml:space="preserve">Must include a provision </w:t>
            </w:r>
            <w:r w:rsidR="00BD2570">
              <w:t>requiring the Sub-contractor to</w:t>
            </w:r>
            <w:r>
              <w:t xml:space="preserve"> a) </w:t>
            </w:r>
            <w:r w:rsidRPr="003C32B4">
              <w:t xml:space="preserve">promptly notify the Supplier and the </w:t>
            </w:r>
            <w:r w:rsidR="004B26FC">
              <w:t>Customer</w:t>
            </w:r>
            <w:r w:rsidRPr="003C32B4">
              <w:t xml:space="preserve"> in writing of any of the following of which it is, or ought to be, aware:</w:t>
            </w:r>
          </w:p>
          <w:p w14:paraId="318B14F7" w14:textId="1D169938" w:rsidR="000B048A" w:rsidRDefault="000B048A" w:rsidP="000B048A">
            <w:pPr>
              <w:pStyle w:val="Level2"/>
              <w:numPr>
                <w:ilvl w:val="0"/>
                <w:numId w:val="0"/>
              </w:numPr>
              <w:ind w:left="317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r w:rsidRPr="003C32B4">
              <w:t xml:space="preserve">the occurrence of a Financial Distress Event in relation to </w:t>
            </w:r>
            <w:r w:rsidR="00F8788B">
              <w:t>such</w:t>
            </w:r>
            <w:r w:rsidRPr="003C32B4">
              <w:t xml:space="preserve"> Key Sub-contractor; or</w:t>
            </w:r>
          </w:p>
          <w:p w14:paraId="3FB012BC" w14:textId="44A72FC6" w:rsidR="000B048A" w:rsidRDefault="000B048A" w:rsidP="000B048A">
            <w:pPr>
              <w:pStyle w:val="Level2"/>
              <w:numPr>
                <w:ilvl w:val="0"/>
                <w:numId w:val="0"/>
              </w:numPr>
              <w:ind w:left="317"/>
            </w:pPr>
            <w:r>
              <w:t xml:space="preserve">(ii) </w:t>
            </w:r>
            <w:r w:rsidRPr="003C32B4">
              <w:t xml:space="preserve">any fact, circumstance or matter of which it is aware which could cause </w:t>
            </w:r>
            <w:r w:rsidR="00F8788B">
              <w:t xml:space="preserve">it to suffer </w:t>
            </w:r>
            <w:r w:rsidRPr="003C32B4">
              <w:t>a Financial Distress Event,</w:t>
            </w:r>
          </w:p>
          <w:p w14:paraId="60CB8951" w14:textId="7D57F247" w:rsidR="000B048A" w:rsidRPr="000B048A" w:rsidRDefault="000B048A" w:rsidP="000B048A">
            <w:pPr>
              <w:pStyle w:val="Level2"/>
              <w:numPr>
                <w:ilvl w:val="0"/>
                <w:numId w:val="0"/>
              </w:numPr>
            </w:pPr>
            <w:r w:rsidRPr="000B048A">
              <w:t>and in any event</w:t>
            </w:r>
            <w:r w:rsidR="00F8788B">
              <w:t xml:space="preserve"> within the timescales set out in Schedule 7.4 (Financial Distress)</w:t>
            </w:r>
            <w:r w:rsidR="00BD2570">
              <w:t>,</w:t>
            </w:r>
            <w:r w:rsidRPr="000B048A">
              <w:t xml:space="preserve"> </w:t>
            </w:r>
          </w:p>
          <w:p w14:paraId="7B5FCC27" w14:textId="7DC97022" w:rsidR="000B048A" w:rsidRDefault="000B048A" w:rsidP="004B26FC">
            <w:pPr>
              <w:pStyle w:val="Level2"/>
              <w:numPr>
                <w:ilvl w:val="0"/>
                <w:numId w:val="0"/>
              </w:numPr>
              <w:rPr>
                <w:b/>
              </w:rPr>
            </w:pPr>
            <w:r>
              <w:t xml:space="preserve">and </w:t>
            </w:r>
            <w:r w:rsidR="009E55FE">
              <w:t>m</w:t>
            </w:r>
            <w:r>
              <w:t>ust include a provision requiring the</w:t>
            </w:r>
            <w:r w:rsidR="00F8788B">
              <w:t xml:space="preserve"> Key</w:t>
            </w:r>
            <w:r>
              <w:t xml:space="preserve"> Sub-contractor to </w:t>
            </w:r>
            <w:r w:rsidRPr="000B048A">
              <w:t xml:space="preserve">co-operate with the Supplier and the </w:t>
            </w:r>
            <w:r w:rsidR="004B26FC">
              <w:t>Customer</w:t>
            </w:r>
            <w:r w:rsidRPr="000B048A">
              <w:t xml:space="preserve"> in order to give fu</w:t>
            </w:r>
            <w:r w:rsidR="000C2E5D">
              <w:t>ll effect to the provisions of Schedule 7.4</w:t>
            </w:r>
            <w:r w:rsidR="00D90E9B">
              <w:t xml:space="preserve"> (Financial Distress)</w:t>
            </w:r>
            <w:r w:rsidRPr="000B048A">
              <w:t xml:space="preserve">, including meeting with the Supplier and the </w:t>
            </w:r>
            <w:r w:rsidR="004B26FC">
              <w:t>Customer</w:t>
            </w:r>
            <w:r w:rsidRPr="000B048A">
              <w:t xml:space="preserve"> to discuss and review the effect of the Financial Distress Event o</w:t>
            </w:r>
            <w:r w:rsidR="00F8788B">
              <w:t>r</w:t>
            </w:r>
            <w:r w:rsidRPr="000B048A">
              <w:t xml:space="preserve"> the continued performance and delivery of the Services, and contributing to and complyi</w:t>
            </w:r>
            <w:r w:rsidR="00690507">
              <w:t xml:space="preserve">ng with the Financial Distress </w:t>
            </w:r>
            <w:r w:rsidR="00806310">
              <w:t xml:space="preserve">Remediation </w:t>
            </w:r>
            <w:r w:rsidRPr="000B048A">
              <w:t>Plan.</w:t>
            </w:r>
          </w:p>
        </w:tc>
        <w:tc>
          <w:tcPr>
            <w:tcW w:w="1381" w:type="dxa"/>
          </w:tcPr>
          <w:p w14:paraId="2527EB4E" w14:textId="77777777" w:rsidR="000B048A" w:rsidRDefault="000B048A" w:rsidP="002E6FAA">
            <w:pPr>
              <w:pStyle w:val="Level1"/>
              <w:numPr>
                <w:ilvl w:val="0"/>
                <w:numId w:val="0"/>
              </w:numPr>
            </w:pPr>
            <w:r>
              <w:t>Yes</w:t>
            </w:r>
          </w:p>
        </w:tc>
        <w:tc>
          <w:tcPr>
            <w:tcW w:w="1341" w:type="dxa"/>
          </w:tcPr>
          <w:p w14:paraId="077AE1FC" w14:textId="77777777" w:rsidR="000B048A" w:rsidRDefault="000B048A" w:rsidP="002E6FAA">
            <w:pPr>
              <w:pStyle w:val="Level1"/>
              <w:numPr>
                <w:ilvl w:val="0"/>
                <w:numId w:val="0"/>
              </w:numPr>
            </w:pPr>
            <w:r>
              <w:t>No</w:t>
            </w:r>
          </w:p>
        </w:tc>
      </w:tr>
    </w:tbl>
    <w:p w14:paraId="72A724B3" w14:textId="77777777" w:rsidR="00B67041" w:rsidRDefault="00B67041" w:rsidP="00B67041">
      <w:pPr>
        <w:pStyle w:val="Level1"/>
        <w:numPr>
          <w:ilvl w:val="0"/>
          <w:numId w:val="0"/>
        </w:numPr>
        <w:ind w:left="851" w:hanging="851"/>
      </w:pPr>
    </w:p>
    <w:sectPr w:rsidR="00B67041" w:rsidSect="00BE67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09" w:footer="709" w:gutter="0"/>
      <w:paperSrc w:first="261" w:other="261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AA4C84" w16cid:durableId="1FF96641"/>
  <w16cid:commentId w16cid:paraId="66C9D4A2" w16cid:durableId="1FF98247"/>
  <w16cid:commentId w16cid:paraId="0FA54FF2" w16cid:durableId="20BB7108"/>
  <w16cid:commentId w16cid:paraId="46BF60EE" w16cid:durableId="20B75DA6"/>
  <w16cid:commentId w16cid:paraId="76279270" w16cid:durableId="20BCE397"/>
  <w16cid:commentId w16cid:paraId="0FFE49F1" w16cid:durableId="1FF9A3A9"/>
  <w16cid:commentId w16cid:paraId="0BE30603" w16cid:durableId="1FD9B2AD"/>
  <w16cid:commentId w16cid:paraId="19E82F80" w16cid:durableId="1FF9A5BB"/>
  <w16cid:commentId w16cid:paraId="11F79AF8" w16cid:durableId="1FF9A582"/>
  <w16cid:commentId w16cid:paraId="487426D8" w16cid:durableId="1FD9DCFE"/>
  <w16cid:commentId w16cid:paraId="49B20769" w16cid:durableId="20B75DB1"/>
  <w16cid:commentId w16cid:paraId="1F6A5F48" w16cid:durableId="1FD9B2AE"/>
  <w16cid:commentId w16cid:paraId="63BF3176" w16cid:durableId="20B75E36"/>
  <w16cid:commentId w16cid:paraId="3D5E8A0E" w16cid:durableId="20BCE4FE"/>
  <w16cid:commentId w16cid:paraId="4ED61DDA" w16cid:durableId="1FD9B2AF"/>
  <w16cid:commentId w16cid:paraId="611E7DB7" w16cid:durableId="20B75DAE"/>
  <w16cid:commentId w16cid:paraId="6C69D8A4" w16cid:durableId="20B75DAF"/>
  <w16cid:commentId w16cid:paraId="1E27DD24" w16cid:durableId="20B75D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ADBBC" w14:textId="77777777" w:rsidR="002D2CFE" w:rsidRPr="004D3114" w:rsidRDefault="002D2CFE" w:rsidP="004D3114">
      <w:r w:rsidRPr="004D3114">
        <w:separator/>
      </w:r>
    </w:p>
  </w:endnote>
  <w:endnote w:type="continuationSeparator" w:id="0">
    <w:p w14:paraId="79D89D6A" w14:textId="77777777" w:rsidR="002D2CFE" w:rsidRPr="004D3114" w:rsidRDefault="002D2CFE" w:rsidP="004D3114">
      <w:r w:rsidRPr="004D311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9E64F" w14:textId="77777777" w:rsidR="00F46A84" w:rsidRDefault="00F46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2DB9" w14:textId="695B14E5" w:rsidR="00E76976" w:rsidRPr="00F7384C" w:rsidRDefault="00727BF3" w:rsidP="00E76976">
    <w:pPr>
      <w:tabs>
        <w:tab w:val="center" w:pos="4788"/>
        <w:tab w:val="right" w:pos="8640"/>
      </w:tabs>
      <w:adjustRightInd/>
      <w:rPr>
        <w:rFonts w:eastAsia="Times New Roman"/>
        <w:b/>
        <w:sz w:val="16"/>
        <w:szCs w:val="16"/>
      </w:rPr>
    </w:pPr>
    <w:r>
      <w:rPr>
        <w:b/>
        <w:sz w:val="16"/>
        <w:szCs w:val="16"/>
      </w:rPr>
      <w:t>DF AGREEMENT</w:t>
    </w:r>
    <w:r w:rsidR="001E4D88">
      <w:rPr>
        <w:b/>
        <w:sz w:val="16"/>
        <w:szCs w:val="16"/>
      </w:rPr>
      <w:t xml:space="preserve"> </w:t>
    </w:r>
    <w:r w:rsidR="00E76976" w:rsidRPr="00F7384C">
      <w:rPr>
        <w:b/>
        <w:sz w:val="16"/>
        <w:szCs w:val="16"/>
      </w:rPr>
      <w:t>S</w:t>
    </w:r>
    <w:r w:rsidR="00E76976">
      <w:rPr>
        <w:b/>
        <w:sz w:val="16"/>
        <w:szCs w:val="16"/>
      </w:rPr>
      <w:t>CHEDULE 4.3</w:t>
    </w:r>
    <w:r w:rsidR="00E76976" w:rsidRPr="00F7384C">
      <w:rPr>
        <w:b/>
        <w:sz w:val="16"/>
        <w:szCs w:val="16"/>
      </w:rPr>
      <w:t xml:space="preserve"> – </w:t>
    </w:r>
    <w:r w:rsidR="00166F8F">
      <w:rPr>
        <w:b/>
        <w:sz w:val="16"/>
        <w:szCs w:val="16"/>
      </w:rPr>
      <w:t>SUB-CONTRACTING</w:t>
    </w:r>
    <w:r w:rsidR="00E76976" w:rsidRPr="00F7384C">
      <w:rPr>
        <w:rFonts w:eastAsia="Times New Roman"/>
        <w:b/>
        <w:sz w:val="16"/>
      </w:rPr>
      <w:tab/>
    </w:r>
  </w:p>
  <w:p w14:paraId="5F114D9E" w14:textId="66E97A29" w:rsidR="002D2CFE" w:rsidRPr="004D3114" w:rsidRDefault="002D2CFE" w:rsidP="00CF1A66">
    <w:pPr>
      <w:pStyle w:val="Footer"/>
      <w:tabs>
        <w:tab w:val="clear" w:pos="4320"/>
        <w:tab w:val="clear" w:pos="8640"/>
        <w:tab w:val="center" w:pos="4253"/>
        <w:tab w:val="right" w:pos="85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E32B" w14:textId="77777777" w:rsidR="002D2CFE" w:rsidRDefault="002D2CFE">
    <w:pPr>
      <w:pStyle w:val="Footer"/>
    </w:pPr>
    <w:bookmarkStart w:id="2" w:name="FooterDiffFirstPag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F7442" w14:textId="77777777" w:rsidR="002D2CFE" w:rsidRPr="004D3114" w:rsidRDefault="002D2CFE" w:rsidP="004D3114">
      <w:r w:rsidRPr="004D3114">
        <w:separator/>
      </w:r>
    </w:p>
  </w:footnote>
  <w:footnote w:type="continuationSeparator" w:id="0">
    <w:p w14:paraId="6DA08BD5" w14:textId="77777777" w:rsidR="002D2CFE" w:rsidRPr="004D3114" w:rsidRDefault="002D2CFE" w:rsidP="004D3114">
      <w:r w:rsidRPr="004D311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5D92" w14:textId="77777777" w:rsidR="00F46A84" w:rsidRDefault="00F46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936E6" w14:textId="77777777" w:rsidR="00E76976" w:rsidRPr="00E76976" w:rsidRDefault="00E76976" w:rsidP="00E76976">
    <w:pPr>
      <w:keepNext/>
      <w:keepLines/>
      <w:numPr>
        <w:ilvl w:val="0"/>
        <w:numId w:val="12"/>
      </w:numPr>
      <w:spacing w:after="240"/>
      <w:jc w:val="center"/>
      <w:outlineLvl w:val="0"/>
      <w:rPr>
        <w:b/>
        <w:bCs/>
        <w:caps/>
        <w:sz w:val="16"/>
        <w:szCs w:val="16"/>
      </w:rPr>
    </w:pPr>
    <w:r w:rsidRPr="00E76976">
      <w:rPr>
        <w:b/>
        <w:bCs/>
        <w:caps/>
        <w:sz w:val="16"/>
        <w:szCs w:val="16"/>
      </w:rPr>
      <w:t>OFFICIAL SUBJECT TO CONTRACT</w:t>
    </w:r>
  </w:p>
  <w:p w14:paraId="3D5B7F4D" w14:textId="77777777" w:rsidR="00E76976" w:rsidRDefault="00E769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C76DE" w14:textId="77777777" w:rsidR="002D2CFE" w:rsidRDefault="002D2CFE">
    <w:pPr>
      <w:pStyle w:val="Header"/>
    </w:pPr>
    <w:bookmarkStart w:id="1" w:name="HeaderDiffFirstPage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8E869B"/>
    <w:multiLevelType w:val="multilevel"/>
    <w:tmpl w:val="4E255D6A"/>
    <w:lvl w:ilvl="0">
      <w:start w:val="1"/>
      <w:numFmt w:val="none"/>
      <w:pStyle w:val="MainHeading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B2B09049"/>
    <w:multiLevelType w:val="multilevel"/>
    <w:tmpl w:val="39B053EC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2"/>
      <w:lvlText w:val=""/>
      <w:lvlJc w:val="left"/>
      <w:pPr>
        <w:tabs>
          <w:tab w:val="num" w:pos="1702"/>
        </w:tabs>
        <w:ind w:left="1702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Bullet3"/>
      <w:lvlText w:val=""/>
      <w:lvlJc w:val="left"/>
      <w:pPr>
        <w:tabs>
          <w:tab w:val="num" w:pos="2553"/>
        </w:tabs>
        <w:ind w:left="2553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Bullet4"/>
      <w:lvlText w:val=""/>
      <w:lvlJc w:val="left"/>
      <w:pPr>
        <w:tabs>
          <w:tab w:val="num" w:pos="3404"/>
        </w:tabs>
        <w:ind w:left="3404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B6523C67"/>
    <w:multiLevelType w:val="multilevel"/>
    <w:tmpl w:val="6B40E1C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2"/>
        </w:tabs>
        <w:ind w:left="17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3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4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5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90FB0B"/>
    <w:multiLevelType w:val="multilevel"/>
    <w:tmpl w:val="67840D94"/>
    <w:lvl w:ilvl="0">
      <w:start w:val="1"/>
      <w:numFmt w:val="none"/>
      <w:pStyle w:val="SubHeading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F2C60F4"/>
    <w:multiLevelType w:val="multilevel"/>
    <w:tmpl w:val="2263C1A1"/>
    <w:lvl w:ilvl="0">
      <w:start w:val="1"/>
      <w:numFmt w:val="decimal"/>
      <w:pStyle w:val="Schedule"/>
      <w:suff w:val="nothing"/>
      <w:lvlText w:val="Schedule %1"/>
      <w:lvlJc w:val="left"/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Appendix"/>
      <w:suff w:val="nothing"/>
      <w:lvlText w:val="Appendix %2"/>
      <w:lvlJc w:val="left"/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art"/>
      <w:suff w:val="nothing"/>
      <w:lvlText w:val="Part %3"/>
      <w:lvlJc w:val="left"/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0EA4A2D"/>
    <w:multiLevelType w:val="hybridMultilevel"/>
    <w:tmpl w:val="E2440286"/>
    <w:lvl w:ilvl="0" w:tplc="9D8C713E">
      <w:start w:val="1"/>
      <w:numFmt w:val="lowerLetter"/>
      <w:lvlText w:val="%1)"/>
      <w:lvlJc w:val="left"/>
      <w:pPr>
        <w:ind w:left="29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3" w:hanging="360"/>
      </w:pPr>
    </w:lvl>
    <w:lvl w:ilvl="2" w:tplc="0809001B" w:tentative="1">
      <w:start w:val="1"/>
      <w:numFmt w:val="lowerRoman"/>
      <w:lvlText w:val="%3."/>
      <w:lvlJc w:val="right"/>
      <w:pPr>
        <w:ind w:left="4353" w:hanging="180"/>
      </w:pPr>
    </w:lvl>
    <w:lvl w:ilvl="3" w:tplc="0809000F" w:tentative="1">
      <w:start w:val="1"/>
      <w:numFmt w:val="decimal"/>
      <w:lvlText w:val="%4."/>
      <w:lvlJc w:val="left"/>
      <w:pPr>
        <w:ind w:left="5073" w:hanging="360"/>
      </w:pPr>
    </w:lvl>
    <w:lvl w:ilvl="4" w:tplc="08090019" w:tentative="1">
      <w:start w:val="1"/>
      <w:numFmt w:val="lowerLetter"/>
      <w:lvlText w:val="%5."/>
      <w:lvlJc w:val="left"/>
      <w:pPr>
        <w:ind w:left="5793" w:hanging="360"/>
      </w:pPr>
    </w:lvl>
    <w:lvl w:ilvl="5" w:tplc="0809001B" w:tentative="1">
      <w:start w:val="1"/>
      <w:numFmt w:val="lowerRoman"/>
      <w:lvlText w:val="%6."/>
      <w:lvlJc w:val="right"/>
      <w:pPr>
        <w:ind w:left="6513" w:hanging="180"/>
      </w:pPr>
    </w:lvl>
    <w:lvl w:ilvl="6" w:tplc="0809000F" w:tentative="1">
      <w:start w:val="1"/>
      <w:numFmt w:val="decimal"/>
      <w:lvlText w:val="%7."/>
      <w:lvlJc w:val="left"/>
      <w:pPr>
        <w:ind w:left="7233" w:hanging="360"/>
      </w:pPr>
    </w:lvl>
    <w:lvl w:ilvl="7" w:tplc="08090019" w:tentative="1">
      <w:start w:val="1"/>
      <w:numFmt w:val="lowerLetter"/>
      <w:lvlText w:val="%8."/>
      <w:lvlJc w:val="left"/>
      <w:pPr>
        <w:ind w:left="7953" w:hanging="360"/>
      </w:pPr>
    </w:lvl>
    <w:lvl w:ilvl="8" w:tplc="080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6" w15:restartNumberingAfterBreak="0">
    <w:nsid w:val="3E29759A"/>
    <w:multiLevelType w:val="multilevel"/>
    <w:tmpl w:val="62BA0D86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 w15:restartNumberingAfterBreak="0">
    <w:nsid w:val="4E4B4E3E"/>
    <w:multiLevelType w:val="multilevel"/>
    <w:tmpl w:val="9B9E9DA6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854"/>
        </w:tabs>
        <w:ind w:left="1854" w:hanging="720"/>
      </w:pPr>
      <w:rPr>
        <w:i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C21268E"/>
    <w:multiLevelType w:val="hybridMultilevel"/>
    <w:tmpl w:val="99A27390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E145F61"/>
    <w:multiLevelType w:val="hybridMultilevel"/>
    <w:tmpl w:val="A31840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13D21"/>
    <w:multiLevelType w:val="hybridMultilevel"/>
    <w:tmpl w:val="D8245F7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E2130AA"/>
    <w:multiLevelType w:val="multilevel"/>
    <w:tmpl w:val="1292EE46"/>
    <w:lvl w:ilvl="0">
      <w:start w:val="1"/>
      <w:numFmt w:val="none"/>
      <w:pStyle w:val="Defs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pStyle w:val="Defs1"/>
      <w:lvlText w:val="(%2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lowerRoman"/>
      <w:pStyle w:val="Defs2"/>
      <w:lvlText w:val="(%3)"/>
      <w:lvlJc w:val="left"/>
      <w:pPr>
        <w:tabs>
          <w:tab w:val="num" w:pos="1701"/>
        </w:tabs>
        <w:ind w:left="1701" w:hanging="850"/>
      </w:pPr>
      <w:rPr>
        <w:rFonts w:hint="default"/>
        <w:b w:val="0"/>
      </w:rPr>
    </w:lvl>
    <w:lvl w:ilvl="3">
      <w:start w:val="1"/>
      <w:numFmt w:val="decimal"/>
      <w:pStyle w:val="Defs3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pStyle w:val="Defs4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9894C84"/>
    <w:multiLevelType w:val="hybridMultilevel"/>
    <w:tmpl w:val="44F86A44"/>
    <w:lvl w:ilvl="0" w:tplc="9C1EA1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0"/>
  </w:num>
  <w:num w:numId="13">
    <w:abstractNumId w:val="4"/>
  </w:num>
  <w:num w:numId="14">
    <w:abstractNumId w:val="4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9"/>
  </w:num>
  <w:num w:numId="31">
    <w:abstractNumId w:val="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78"/>
  <w:displayHorizontalDrawingGridEvery w:val="0"/>
  <w:displayVerticalDrawingGridEvery w:val="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llet _NumBodies" w:val="0"/>
    <w:docVar w:name="Level _NumBodies" w:val="6"/>
    <w:docVar w:name="PIM_Brand" w:val="9"/>
  </w:docVars>
  <w:rsids>
    <w:rsidRoot w:val="001F3E6E"/>
    <w:rsid w:val="00004667"/>
    <w:rsid w:val="00006847"/>
    <w:rsid w:val="00010BAA"/>
    <w:rsid w:val="00012C29"/>
    <w:rsid w:val="00012C5C"/>
    <w:rsid w:val="00015B50"/>
    <w:rsid w:val="00035E23"/>
    <w:rsid w:val="0004074F"/>
    <w:rsid w:val="000422F7"/>
    <w:rsid w:val="00045505"/>
    <w:rsid w:val="00070141"/>
    <w:rsid w:val="0007252C"/>
    <w:rsid w:val="00075377"/>
    <w:rsid w:val="00083324"/>
    <w:rsid w:val="00097C6A"/>
    <w:rsid w:val="000B048A"/>
    <w:rsid w:val="000C2E5D"/>
    <w:rsid w:val="000C463C"/>
    <w:rsid w:val="000D3D3E"/>
    <w:rsid w:val="000E1103"/>
    <w:rsid w:val="000F7E7B"/>
    <w:rsid w:val="0012272A"/>
    <w:rsid w:val="00136EBD"/>
    <w:rsid w:val="001417A8"/>
    <w:rsid w:val="00142254"/>
    <w:rsid w:val="00152FCF"/>
    <w:rsid w:val="00165770"/>
    <w:rsid w:val="00166F8F"/>
    <w:rsid w:val="00167C01"/>
    <w:rsid w:val="00171A7D"/>
    <w:rsid w:val="00174F53"/>
    <w:rsid w:val="001767E4"/>
    <w:rsid w:val="001A49BF"/>
    <w:rsid w:val="001C5A67"/>
    <w:rsid w:val="001D3063"/>
    <w:rsid w:val="001E4D88"/>
    <w:rsid w:val="001F1CD4"/>
    <w:rsid w:val="001F3E6E"/>
    <w:rsid w:val="001F58D3"/>
    <w:rsid w:val="002015EA"/>
    <w:rsid w:val="00203BEE"/>
    <w:rsid w:val="00205F64"/>
    <w:rsid w:val="00226DFF"/>
    <w:rsid w:val="002379D6"/>
    <w:rsid w:val="00244167"/>
    <w:rsid w:val="00256C7C"/>
    <w:rsid w:val="002729EA"/>
    <w:rsid w:val="002834F5"/>
    <w:rsid w:val="00284771"/>
    <w:rsid w:val="002B13BA"/>
    <w:rsid w:val="002B6116"/>
    <w:rsid w:val="002B688B"/>
    <w:rsid w:val="002B6B1C"/>
    <w:rsid w:val="002C0C0E"/>
    <w:rsid w:val="002C0EE7"/>
    <w:rsid w:val="002D2CFE"/>
    <w:rsid w:val="002D3B82"/>
    <w:rsid w:val="002E1254"/>
    <w:rsid w:val="002E6FAA"/>
    <w:rsid w:val="003068E5"/>
    <w:rsid w:val="00315D8A"/>
    <w:rsid w:val="00316ABF"/>
    <w:rsid w:val="00322175"/>
    <w:rsid w:val="00322F97"/>
    <w:rsid w:val="00331FA5"/>
    <w:rsid w:val="00360EAD"/>
    <w:rsid w:val="003619E7"/>
    <w:rsid w:val="00382243"/>
    <w:rsid w:val="0039151F"/>
    <w:rsid w:val="00392ED1"/>
    <w:rsid w:val="003A01A4"/>
    <w:rsid w:val="003A2E41"/>
    <w:rsid w:val="003A6DDA"/>
    <w:rsid w:val="003A7A5F"/>
    <w:rsid w:val="003B097C"/>
    <w:rsid w:val="003B270C"/>
    <w:rsid w:val="003B5B81"/>
    <w:rsid w:val="003C2CA5"/>
    <w:rsid w:val="003D69AB"/>
    <w:rsid w:val="003D6E62"/>
    <w:rsid w:val="003E1E55"/>
    <w:rsid w:val="003F12F6"/>
    <w:rsid w:val="003F1A66"/>
    <w:rsid w:val="003F71C4"/>
    <w:rsid w:val="004238D3"/>
    <w:rsid w:val="00440D5E"/>
    <w:rsid w:val="00455171"/>
    <w:rsid w:val="00455FF0"/>
    <w:rsid w:val="0045682F"/>
    <w:rsid w:val="004576CE"/>
    <w:rsid w:val="004649F8"/>
    <w:rsid w:val="00487F0A"/>
    <w:rsid w:val="004971BB"/>
    <w:rsid w:val="004A0939"/>
    <w:rsid w:val="004A2D46"/>
    <w:rsid w:val="004B025A"/>
    <w:rsid w:val="004B26FC"/>
    <w:rsid w:val="004D3114"/>
    <w:rsid w:val="004D51BB"/>
    <w:rsid w:val="004E5A61"/>
    <w:rsid w:val="004F064B"/>
    <w:rsid w:val="004F4E77"/>
    <w:rsid w:val="004F7184"/>
    <w:rsid w:val="00526B18"/>
    <w:rsid w:val="005331C2"/>
    <w:rsid w:val="0054649C"/>
    <w:rsid w:val="00550370"/>
    <w:rsid w:val="00560A27"/>
    <w:rsid w:val="0056637D"/>
    <w:rsid w:val="00566434"/>
    <w:rsid w:val="005834E0"/>
    <w:rsid w:val="00590317"/>
    <w:rsid w:val="00593914"/>
    <w:rsid w:val="005A34FB"/>
    <w:rsid w:val="005A400A"/>
    <w:rsid w:val="005A56F2"/>
    <w:rsid w:val="005C498D"/>
    <w:rsid w:val="005C77FE"/>
    <w:rsid w:val="005D05C1"/>
    <w:rsid w:val="005D3832"/>
    <w:rsid w:val="005D4CFC"/>
    <w:rsid w:val="005E1CED"/>
    <w:rsid w:val="00603C56"/>
    <w:rsid w:val="00615536"/>
    <w:rsid w:val="00617B5A"/>
    <w:rsid w:val="006216E9"/>
    <w:rsid w:val="00680DCA"/>
    <w:rsid w:val="00683E20"/>
    <w:rsid w:val="00690507"/>
    <w:rsid w:val="00695765"/>
    <w:rsid w:val="006A266D"/>
    <w:rsid w:val="006A2BBC"/>
    <w:rsid w:val="006A35EB"/>
    <w:rsid w:val="006A57C4"/>
    <w:rsid w:val="006E0BE4"/>
    <w:rsid w:val="006F7211"/>
    <w:rsid w:val="00700992"/>
    <w:rsid w:val="0071551B"/>
    <w:rsid w:val="00727BF3"/>
    <w:rsid w:val="00752448"/>
    <w:rsid w:val="00762D64"/>
    <w:rsid w:val="007638A1"/>
    <w:rsid w:val="007726A7"/>
    <w:rsid w:val="00785D4A"/>
    <w:rsid w:val="00792DA8"/>
    <w:rsid w:val="00794E56"/>
    <w:rsid w:val="007A0851"/>
    <w:rsid w:val="007A2B85"/>
    <w:rsid w:val="007B2899"/>
    <w:rsid w:val="007C3F14"/>
    <w:rsid w:val="007D06AF"/>
    <w:rsid w:val="007E184D"/>
    <w:rsid w:val="007F0895"/>
    <w:rsid w:val="007F3A37"/>
    <w:rsid w:val="008024E4"/>
    <w:rsid w:val="00806310"/>
    <w:rsid w:val="008074C1"/>
    <w:rsid w:val="008240F6"/>
    <w:rsid w:val="00827196"/>
    <w:rsid w:val="00830BE1"/>
    <w:rsid w:val="00833F1F"/>
    <w:rsid w:val="00834675"/>
    <w:rsid w:val="0083699A"/>
    <w:rsid w:val="00842350"/>
    <w:rsid w:val="00843492"/>
    <w:rsid w:val="00844DA4"/>
    <w:rsid w:val="008502E3"/>
    <w:rsid w:val="008525E5"/>
    <w:rsid w:val="008655F4"/>
    <w:rsid w:val="0086642A"/>
    <w:rsid w:val="00867F44"/>
    <w:rsid w:val="0087272F"/>
    <w:rsid w:val="00881E0F"/>
    <w:rsid w:val="00884507"/>
    <w:rsid w:val="008944D2"/>
    <w:rsid w:val="008A097A"/>
    <w:rsid w:val="008C18A8"/>
    <w:rsid w:val="008C6BEB"/>
    <w:rsid w:val="008E7F3F"/>
    <w:rsid w:val="008F47F7"/>
    <w:rsid w:val="008F7752"/>
    <w:rsid w:val="009006E3"/>
    <w:rsid w:val="00901BA1"/>
    <w:rsid w:val="009031ED"/>
    <w:rsid w:val="00910B43"/>
    <w:rsid w:val="00916FC1"/>
    <w:rsid w:val="009218E0"/>
    <w:rsid w:val="00930CAC"/>
    <w:rsid w:val="0093295B"/>
    <w:rsid w:val="00932AC8"/>
    <w:rsid w:val="00946694"/>
    <w:rsid w:val="009520B3"/>
    <w:rsid w:val="009647E1"/>
    <w:rsid w:val="0096519B"/>
    <w:rsid w:val="00982F62"/>
    <w:rsid w:val="0099726E"/>
    <w:rsid w:val="00997C25"/>
    <w:rsid w:val="009A01D4"/>
    <w:rsid w:val="009A2AAB"/>
    <w:rsid w:val="009A31A3"/>
    <w:rsid w:val="009A464D"/>
    <w:rsid w:val="009A69A1"/>
    <w:rsid w:val="009B6341"/>
    <w:rsid w:val="009B679E"/>
    <w:rsid w:val="009D6E42"/>
    <w:rsid w:val="009E55FE"/>
    <w:rsid w:val="009E61B1"/>
    <w:rsid w:val="009F12FD"/>
    <w:rsid w:val="009F37BB"/>
    <w:rsid w:val="009F7873"/>
    <w:rsid w:val="00A038FB"/>
    <w:rsid w:val="00A07E5F"/>
    <w:rsid w:val="00A24378"/>
    <w:rsid w:val="00A520BC"/>
    <w:rsid w:val="00A53B6B"/>
    <w:rsid w:val="00A661CF"/>
    <w:rsid w:val="00A71E59"/>
    <w:rsid w:val="00A824D4"/>
    <w:rsid w:val="00A84A64"/>
    <w:rsid w:val="00AC5BFF"/>
    <w:rsid w:val="00AE50C2"/>
    <w:rsid w:val="00AF349C"/>
    <w:rsid w:val="00B01A02"/>
    <w:rsid w:val="00B04CD0"/>
    <w:rsid w:val="00B06620"/>
    <w:rsid w:val="00B151A4"/>
    <w:rsid w:val="00B30E21"/>
    <w:rsid w:val="00B32024"/>
    <w:rsid w:val="00B3525B"/>
    <w:rsid w:val="00B42373"/>
    <w:rsid w:val="00B53338"/>
    <w:rsid w:val="00B66BAB"/>
    <w:rsid w:val="00B67041"/>
    <w:rsid w:val="00B67430"/>
    <w:rsid w:val="00B67D49"/>
    <w:rsid w:val="00B77AF5"/>
    <w:rsid w:val="00B80756"/>
    <w:rsid w:val="00B81DE6"/>
    <w:rsid w:val="00B9166E"/>
    <w:rsid w:val="00BA0776"/>
    <w:rsid w:val="00BB65EE"/>
    <w:rsid w:val="00BC210E"/>
    <w:rsid w:val="00BC2ACB"/>
    <w:rsid w:val="00BC3745"/>
    <w:rsid w:val="00BC394E"/>
    <w:rsid w:val="00BC5F75"/>
    <w:rsid w:val="00BD2570"/>
    <w:rsid w:val="00BE38AF"/>
    <w:rsid w:val="00BE67B0"/>
    <w:rsid w:val="00C104A6"/>
    <w:rsid w:val="00C36B3E"/>
    <w:rsid w:val="00C36D99"/>
    <w:rsid w:val="00C43164"/>
    <w:rsid w:val="00C61747"/>
    <w:rsid w:val="00C642C2"/>
    <w:rsid w:val="00C65955"/>
    <w:rsid w:val="00C7483E"/>
    <w:rsid w:val="00C8378A"/>
    <w:rsid w:val="00CA258D"/>
    <w:rsid w:val="00CA4CFA"/>
    <w:rsid w:val="00CA6BA3"/>
    <w:rsid w:val="00CB2E3E"/>
    <w:rsid w:val="00CB2EA0"/>
    <w:rsid w:val="00CC0144"/>
    <w:rsid w:val="00CD0769"/>
    <w:rsid w:val="00CD2A77"/>
    <w:rsid w:val="00CE2D20"/>
    <w:rsid w:val="00CE39B8"/>
    <w:rsid w:val="00CF1A66"/>
    <w:rsid w:val="00CF63A4"/>
    <w:rsid w:val="00D2079F"/>
    <w:rsid w:val="00D32D61"/>
    <w:rsid w:val="00D47CDC"/>
    <w:rsid w:val="00D71979"/>
    <w:rsid w:val="00D772F9"/>
    <w:rsid w:val="00D8489A"/>
    <w:rsid w:val="00D85EAE"/>
    <w:rsid w:val="00D90E9B"/>
    <w:rsid w:val="00D9387F"/>
    <w:rsid w:val="00DA6AF4"/>
    <w:rsid w:val="00DB15E7"/>
    <w:rsid w:val="00DC026A"/>
    <w:rsid w:val="00DD6873"/>
    <w:rsid w:val="00DE1400"/>
    <w:rsid w:val="00E00A3A"/>
    <w:rsid w:val="00E06D93"/>
    <w:rsid w:val="00E128E5"/>
    <w:rsid w:val="00E12B9F"/>
    <w:rsid w:val="00E26C2D"/>
    <w:rsid w:val="00E272F7"/>
    <w:rsid w:val="00E336E0"/>
    <w:rsid w:val="00E4197E"/>
    <w:rsid w:val="00E42E61"/>
    <w:rsid w:val="00E446B9"/>
    <w:rsid w:val="00E45120"/>
    <w:rsid w:val="00E477BB"/>
    <w:rsid w:val="00E516F9"/>
    <w:rsid w:val="00E54D38"/>
    <w:rsid w:val="00E625AA"/>
    <w:rsid w:val="00E66C06"/>
    <w:rsid w:val="00E70324"/>
    <w:rsid w:val="00E76976"/>
    <w:rsid w:val="00E81F83"/>
    <w:rsid w:val="00EB5337"/>
    <w:rsid w:val="00EC3E0A"/>
    <w:rsid w:val="00EC4920"/>
    <w:rsid w:val="00ED121B"/>
    <w:rsid w:val="00EE4FEB"/>
    <w:rsid w:val="00EE6730"/>
    <w:rsid w:val="00EF4A03"/>
    <w:rsid w:val="00F120FE"/>
    <w:rsid w:val="00F13FC2"/>
    <w:rsid w:val="00F3670E"/>
    <w:rsid w:val="00F43C02"/>
    <w:rsid w:val="00F46A84"/>
    <w:rsid w:val="00F56D01"/>
    <w:rsid w:val="00F670D7"/>
    <w:rsid w:val="00F7195E"/>
    <w:rsid w:val="00F8788B"/>
    <w:rsid w:val="00F96F81"/>
    <w:rsid w:val="00FA0EED"/>
    <w:rsid w:val="00FA22F2"/>
    <w:rsid w:val="00FA67F3"/>
    <w:rsid w:val="00FB0FFB"/>
    <w:rsid w:val="00FD159B"/>
    <w:rsid w:val="00FD21F1"/>
    <w:rsid w:val="00FF043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."/>
  <w:listSeparator w:val=","/>
  <w14:docId w14:val="540202CE"/>
  <w15:docId w15:val="{B658AF08-CFF3-4F43-9887-8FC02815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C60"/>
    <w:pPr>
      <w:adjustRightInd w:val="0"/>
      <w:jc w:val="both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0C60"/>
    <w:pPr>
      <w:tabs>
        <w:tab w:val="center" w:pos="4320"/>
        <w:tab w:val="right" w:pos="8640"/>
      </w:tabs>
      <w:adjustRightInd/>
    </w:pPr>
    <w:rPr>
      <w:rFonts w:eastAsia="Times New Roman"/>
      <w:sz w:val="16"/>
    </w:rPr>
  </w:style>
  <w:style w:type="character" w:customStyle="1" w:styleId="FooterChar">
    <w:name w:val="Footer Char"/>
    <w:basedOn w:val="DefaultParagraphFont"/>
    <w:link w:val="Footer"/>
    <w:rsid w:val="00DF0C60"/>
    <w:rPr>
      <w:rFonts w:ascii="Arial" w:hAnsi="Arial" w:cs="Arial"/>
      <w:sz w:val="16"/>
    </w:rPr>
  </w:style>
  <w:style w:type="paragraph" w:styleId="Header">
    <w:name w:val="header"/>
    <w:basedOn w:val="Normal"/>
    <w:link w:val="HeaderChar"/>
    <w:rsid w:val="00DF0C60"/>
    <w:pPr>
      <w:tabs>
        <w:tab w:val="center" w:pos="4320"/>
        <w:tab w:val="right" w:pos="8640"/>
      </w:tabs>
      <w:adjustRightInd/>
    </w:pPr>
    <w:rPr>
      <w:rFonts w:eastAsia="Times New Roman"/>
      <w:sz w:val="16"/>
    </w:rPr>
  </w:style>
  <w:style w:type="character" w:customStyle="1" w:styleId="HeaderChar">
    <w:name w:val="Header Char"/>
    <w:basedOn w:val="DefaultParagraphFont"/>
    <w:link w:val="Header"/>
    <w:rsid w:val="00DF0C60"/>
    <w:rPr>
      <w:rFonts w:ascii="Arial" w:hAnsi="Arial" w:cs="Arial"/>
      <w:sz w:val="16"/>
    </w:rPr>
  </w:style>
  <w:style w:type="character" w:styleId="PageNumber">
    <w:name w:val="page number"/>
    <w:basedOn w:val="DefaultParagraphFont"/>
    <w:uiPriority w:val="99"/>
    <w:semiHidden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DF0C60"/>
    <w:pPr>
      <w:adjustRightInd/>
    </w:pPr>
    <w:rPr>
      <w:rFonts w:eastAsia="Times New Roman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DF0C60"/>
    <w:rPr>
      <w:rFonts w:ascii="Arial" w:hAnsi="Arial" w:cs="Arial"/>
      <w:sz w:val="16"/>
    </w:rPr>
  </w:style>
  <w:style w:type="character" w:styleId="FootnoteReference">
    <w:name w:val="footnote reference"/>
    <w:basedOn w:val="DefaultParagraphFont"/>
    <w:semiHidden/>
    <w:rsid w:val="00DF0C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111F"/>
    <w:rPr>
      <w:color w:val="0000FF"/>
      <w:u w:val="single"/>
    </w:rPr>
  </w:style>
  <w:style w:type="paragraph" w:customStyle="1" w:styleId="Body">
    <w:name w:val="Body"/>
    <w:basedOn w:val="Normal"/>
    <w:uiPriority w:val="99"/>
    <w:rsid w:val="00DF0C60"/>
    <w:pPr>
      <w:spacing w:after="240"/>
    </w:pPr>
  </w:style>
  <w:style w:type="paragraph" w:customStyle="1" w:styleId="Body1">
    <w:name w:val="Body 1"/>
    <w:basedOn w:val="Body"/>
    <w:uiPriority w:val="99"/>
    <w:rsid w:val="00DF0C60"/>
    <w:pPr>
      <w:ind w:left="851"/>
    </w:pPr>
  </w:style>
  <w:style w:type="paragraph" w:customStyle="1" w:styleId="Level1">
    <w:name w:val="Level 1"/>
    <w:basedOn w:val="Body1"/>
    <w:uiPriority w:val="99"/>
    <w:rsid w:val="00DF0C60"/>
    <w:pPr>
      <w:numPr>
        <w:numId w:val="21"/>
      </w:numPr>
      <w:outlineLvl w:val="0"/>
    </w:pPr>
  </w:style>
  <w:style w:type="character" w:customStyle="1" w:styleId="Level1asHeadingtext">
    <w:name w:val="Level 1 as Heading (text)"/>
    <w:basedOn w:val="DefaultParagraphFont"/>
    <w:uiPriority w:val="99"/>
    <w:rsid w:val="00DF0C60"/>
    <w:rPr>
      <w:b/>
      <w:bCs/>
      <w:caps/>
    </w:rPr>
  </w:style>
  <w:style w:type="paragraph" w:customStyle="1" w:styleId="Body2">
    <w:name w:val="Body 2"/>
    <w:basedOn w:val="Body"/>
    <w:uiPriority w:val="99"/>
    <w:rsid w:val="00DF0C60"/>
    <w:pPr>
      <w:ind w:left="851"/>
    </w:pPr>
  </w:style>
  <w:style w:type="paragraph" w:customStyle="1" w:styleId="Level2">
    <w:name w:val="Level 2"/>
    <w:basedOn w:val="Body2"/>
    <w:uiPriority w:val="99"/>
    <w:rsid w:val="00DF0C60"/>
    <w:pPr>
      <w:numPr>
        <w:ilvl w:val="1"/>
        <w:numId w:val="21"/>
      </w:numPr>
      <w:outlineLvl w:val="1"/>
    </w:pPr>
  </w:style>
  <w:style w:type="character" w:customStyle="1" w:styleId="Level2asHeadingtext">
    <w:name w:val="Level 2 as Heading (text)"/>
    <w:basedOn w:val="DefaultParagraphFont"/>
    <w:uiPriority w:val="99"/>
    <w:rsid w:val="00DF0C60"/>
    <w:rPr>
      <w:b/>
      <w:bCs/>
    </w:rPr>
  </w:style>
  <w:style w:type="paragraph" w:customStyle="1" w:styleId="Body3">
    <w:name w:val="Body 3"/>
    <w:basedOn w:val="Body"/>
    <w:uiPriority w:val="99"/>
    <w:rsid w:val="00DF0C60"/>
    <w:pPr>
      <w:ind w:left="1702"/>
    </w:pPr>
  </w:style>
  <w:style w:type="paragraph" w:customStyle="1" w:styleId="Level3">
    <w:name w:val="Level 3"/>
    <w:basedOn w:val="Body3"/>
    <w:uiPriority w:val="99"/>
    <w:rsid w:val="00DF0C60"/>
    <w:pPr>
      <w:numPr>
        <w:ilvl w:val="2"/>
        <w:numId w:val="21"/>
      </w:numPr>
      <w:outlineLvl w:val="2"/>
    </w:pPr>
  </w:style>
  <w:style w:type="character" w:customStyle="1" w:styleId="Level3asHeadingtext">
    <w:name w:val="Level 3 as Heading (text)"/>
    <w:basedOn w:val="DefaultParagraphFont"/>
    <w:uiPriority w:val="99"/>
    <w:rsid w:val="00DF0C60"/>
    <w:rPr>
      <w:b/>
      <w:bCs/>
    </w:rPr>
  </w:style>
  <w:style w:type="paragraph" w:customStyle="1" w:styleId="Body4">
    <w:name w:val="Body 4"/>
    <w:basedOn w:val="Body"/>
    <w:uiPriority w:val="99"/>
    <w:rsid w:val="00DF0C60"/>
    <w:pPr>
      <w:ind w:left="2553"/>
    </w:pPr>
  </w:style>
  <w:style w:type="paragraph" w:customStyle="1" w:styleId="Level4">
    <w:name w:val="Level 4"/>
    <w:basedOn w:val="Body4"/>
    <w:uiPriority w:val="99"/>
    <w:rsid w:val="00DF0C60"/>
    <w:pPr>
      <w:numPr>
        <w:ilvl w:val="3"/>
        <w:numId w:val="21"/>
      </w:numPr>
      <w:outlineLvl w:val="3"/>
    </w:pPr>
  </w:style>
  <w:style w:type="paragraph" w:customStyle="1" w:styleId="Body5">
    <w:name w:val="Body 5"/>
    <w:basedOn w:val="Body"/>
    <w:uiPriority w:val="99"/>
    <w:rsid w:val="00DF0C60"/>
    <w:pPr>
      <w:ind w:left="3404"/>
    </w:pPr>
  </w:style>
  <w:style w:type="paragraph" w:customStyle="1" w:styleId="Level5">
    <w:name w:val="Level 5"/>
    <w:basedOn w:val="Body5"/>
    <w:uiPriority w:val="99"/>
    <w:rsid w:val="00DF0C60"/>
    <w:pPr>
      <w:numPr>
        <w:ilvl w:val="4"/>
        <w:numId w:val="21"/>
      </w:numPr>
      <w:outlineLvl w:val="4"/>
    </w:pPr>
  </w:style>
  <w:style w:type="paragraph" w:customStyle="1" w:styleId="Body6">
    <w:name w:val="Body 6"/>
    <w:basedOn w:val="Body"/>
    <w:uiPriority w:val="99"/>
    <w:rsid w:val="00DF0C60"/>
    <w:pPr>
      <w:ind w:left="4255"/>
    </w:pPr>
  </w:style>
  <w:style w:type="paragraph" w:customStyle="1" w:styleId="Level6">
    <w:name w:val="Level 6"/>
    <w:basedOn w:val="Body6"/>
    <w:uiPriority w:val="99"/>
    <w:rsid w:val="00DF0C60"/>
    <w:pPr>
      <w:numPr>
        <w:ilvl w:val="5"/>
        <w:numId w:val="21"/>
      </w:numPr>
      <w:outlineLvl w:val="5"/>
    </w:pPr>
  </w:style>
  <w:style w:type="paragraph" w:customStyle="1" w:styleId="Bullet1">
    <w:name w:val="Bullet 1"/>
    <w:basedOn w:val="Body"/>
    <w:uiPriority w:val="99"/>
    <w:rsid w:val="00DF0C60"/>
    <w:pPr>
      <w:numPr>
        <w:numId w:val="10"/>
      </w:numPr>
      <w:outlineLvl w:val="0"/>
    </w:pPr>
  </w:style>
  <w:style w:type="paragraph" w:customStyle="1" w:styleId="Bullet2">
    <w:name w:val="Bullet 2"/>
    <w:basedOn w:val="Body"/>
    <w:uiPriority w:val="99"/>
    <w:rsid w:val="00DF0C60"/>
    <w:pPr>
      <w:numPr>
        <w:ilvl w:val="1"/>
        <w:numId w:val="10"/>
      </w:numPr>
      <w:outlineLvl w:val="1"/>
    </w:pPr>
  </w:style>
  <w:style w:type="paragraph" w:customStyle="1" w:styleId="Bullet3">
    <w:name w:val="Bullet 3"/>
    <w:basedOn w:val="Body"/>
    <w:uiPriority w:val="99"/>
    <w:rsid w:val="00DF0C60"/>
    <w:pPr>
      <w:numPr>
        <w:ilvl w:val="2"/>
        <w:numId w:val="10"/>
      </w:numPr>
      <w:outlineLvl w:val="2"/>
    </w:pPr>
  </w:style>
  <w:style w:type="paragraph" w:customStyle="1" w:styleId="Bullet4">
    <w:name w:val="Bullet 4"/>
    <w:basedOn w:val="Body"/>
    <w:uiPriority w:val="99"/>
    <w:rsid w:val="00DF0C60"/>
    <w:pPr>
      <w:numPr>
        <w:ilvl w:val="3"/>
        <w:numId w:val="10"/>
      </w:numPr>
      <w:outlineLvl w:val="3"/>
    </w:pPr>
  </w:style>
  <w:style w:type="paragraph" w:customStyle="1" w:styleId="Appendix">
    <w:name w:val="Appendix #"/>
    <w:basedOn w:val="Body"/>
    <w:next w:val="SubHeading"/>
    <w:uiPriority w:val="99"/>
    <w:rsid w:val="00DF0C60"/>
    <w:pPr>
      <w:keepNext/>
      <w:keepLines/>
      <w:numPr>
        <w:ilvl w:val="1"/>
        <w:numId w:val="14"/>
      </w:numPr>
      <w:jc w:val="center"/>
    </w:pPr>
    <w:rPr>
      <w:b/>
      <w:bCs/>
    </w:rPr>
  </w:style>
  <w:style w:type="paragraph" w:customStyle="1" w:styleId="MainHeading">
    <w:name w:val="Main Heading"/>
    <w:basedOn w:val="Body"/>
    <w:uiPriority w:val="99"/>
    <w:rsid w:val="00DF0C60"/>
    <w:pPr>
      <w:keepNext/>
      <w:keepLines/>
      <w:numPr>
        <w:numId w:val="12"/>
      </w:numPr>
      <w:jc w:val="center"/>
      <w:outlineLvl w:val="0"/>
    </w:pPr>
    <w:rPr>
      <w:b/>
      <w:bCs/>
      <w:caps/>
      <w:sz w:val="24"/>
      <w:szCs w:val="24"/>
    </w:rPr>
  </w:style>
  <w:style w:type="paragraph" w:customStyle="1" w:styleId="Part">
    <w:name w:val="Part #"/>
    <w:basedOn w:val="Body"/>
    <w:next w:val="SubHeading"/>
    <w:uiPriority w:val="99"/>
    <w:rsid w:val="00DF0C60"/>
    <w:pPr>
      <w:keepNext/>
      <w:keepLines/>
      <w:numPr>
        <w:ilvl w:val="2"/>
        <w:numId w:val="14"/>
      </w:numPr>
      <w:jc w:val="center"/>
    </w:pPr>
  </w:style>
  <w:style w:type="paragraph" w:customStyle="1" w:styleId="Schedule">
    <w:name w:val="Schedule #"/>
    <w:basedOn w:val="Body"/>
    <w:next w:val="SubHeading"/>
    <w:uiPriority w:val="99"/>
    <w:rsid w:val="00DF0C60"/>
    <w:pPr>
      <w:keepNext/>
      <w:keepLines/>
      <w:numPr>
        <w:numId w:val="14"/>
      </w:numPr>
      <w:jc w:val="center"/>
    </w:pPr>
    <w:rPr>
      <w:b/>
      <w:bCs/>
    </w:rPr>
  </w:style>
  <w:style w:type="paragraph" w:customStyle="1" w:styleId="SubHeading">
    <w:name w:val="Sub Heading"/>
    <w:basedOn w:val="Body"/>
    <w:next w:val="Body"/>
    <w:uiPriority w:val="99"/>
    <w:rsid w:val="00DF0C60"/>
    <w:pPr>
      <w:keepNext/>
      <w:keepLines/>
      <w:numPr>
        <w:numId w:val="15"/>
      </w:numPr>
      <w:jc w:val="center"/>
    </w:pPr>
    <w:rPr>
      <w:b/>
      <w:bCs/>
      <w:caps/>
    </w:rPr>
  </w:style>
  <w:style w:type="paragraph" w:styleId="EndnoteText">
    <w:name w:val="endnote text"/>
    <w:basedOn w:val="Normal"/>
    <w:link w:val="EndnoteTextChar"/>
    <w:semiHidden/>
    <w:rsid w:val="00DF0C60"/>
    <w:pPr>
      <w:adjustRightInd/>
    </w:pPr>
    <w:rPr>
      <w:rFonts w:eastAsia="Times New Roman"/>
      <w:sz w:val="16"/>
    </w:rPr>
  </w:style>
  <w:style w:type="character" w:customStyle="1" w:styleId="EndnoteTextChar">
    <w:name w:val="Endnote Text Char"/>
    <w:basedOn w:val="DefaultParagraphFont"/>
    <w:link w:val="EndnoteText"/>
    <w:semiHidden/>
    <w:rsid w:val="00DF0C60"/>
    <w:rPr>
      <w:rFonts w:ascii="Arial" w:hAnsi="Arial" w:cs="Arial"/>
      <w:sz w:val="16"/>
    </w:rPr>
  </w:style>
  <w:style w:type="character" w:styleId="EndnoteReference">
    <w:name w:val="endnote reference"/>
    <w:basedOn w:val="DefaultParagraphFont"/>
    <w:semiHidden/>
    <w:rsid w:val="00DF0C60"/>
    <w:rPr>
      <w:vertAlign w:val="superscript"/>
    </w:rPr>
  </w:style>
  <w:style w:type="paragraph" w:styleId="TOC1">
    <w:name w:val="toc 1"/>
    <w:basedOn w:val="Normal"/>
    <w:next w:val="Normal"/>
    <w:uiPriority w:val="39"/>
    <w:rsid w:val="00DF0C60"/>
    <w:pPr>
      <w:tabs>
        <w:tab w:val="right" w:pos="8500"/>
      </w:tabs>
      <w:adjustRightInd/>
      <w:spacing w:after="240"/>
      <w:ind w:left="851" w:right="567" w:hanging="851"/>
    </w:pPr>
    <w:rPr>
      <w:rFonts w:eastAsia="Times New Roman"/>
      <w:caps/>
    </w:rPr>
  </w:style>
  <w:style w:type="paragraph" w:styleId="TOC2">
    <w:name w:val="toc 2"/>
    <w:basedOn w:val="TOC1"/>
    <w:next w:val="Normal"/>
    <w:rsid w:val="00DF0C60"/>
    <w:pPr>
      <w:ind w:left="1702"/>
    </w:pPr>
  </w:style>
  <w:style w:type="paragraph" w:styleId="TOC3">
    <w:name w:val="toc 3"/>
    <w:basedOn w:val="TOC1"/>
    <w:next w:val="Normal"/>
    <w:rsid w:val="00DF0C60"/>
    <w:pPr>
      <w:ind w:left="2552"/>
    </w:pPr>
  </w:style>
  <w:style w:type="paragraph" w:styleId="TOC4">
    <w:name w:val="toc 4"/>
    <w:basedOn w:val="TOC1"/>
    <w:next w:val="Normal"/>
    <w:uiPriority w:val="39"/>
    <w:rsid w:val="00DF0C60"/>
    <w:pPr>
      <w:ind w:left="0" w:firstLine="0"/>
    </w:pPr>
  </w:style>
  <w:style w:type="paragraph" w:styleId="TOC5">
    <w:name w:val="toc 5"/>
    <w:basedOn w:val="TOC1"/>
    <w:next w:val="Normal"/>
    <w:rsid w:val="00DF0C60"/>
    <w:pPr>
      <w:ind w:firstLine="0"/>
    </w:pPr>
  </w:style>
  <w:style w:type="paragraph" w:styleId="TOC6">
    <w:name w:val="toc 6"/>
    <w:basedOn w:val="TOC1"/>
    <w:next w:val="Normal"/>
    <w:rsid w:val="00DF0C60"/>
    <w:pPr>
      <w:ind w:left="1701" w:firstLine="0"/>
    </w:pPr>
  </w:style>
  <w:style w:type="table" w:styleId="TableGrid">
    <w:name w:val="Table Grid"/>
    <w:basedOn w:val="TableNormal"/>
    <w:uiPriority w:val="59"/>
    <w:rsid w:val="00B0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s">
    <w:name w:val="Defs"/>
    <w:basedOn w:val="Normal"/>
    <w:next w:val="Defs1"/>
    <w:qFormat/>
    <w:rsid w:val="00B04CD0"/>
    <w:pPr>
      <w:numPr>
        <w:numId w:val="19"/>
      </w:numPr>
      <w:spacing w:after="240"/>
    </w:pPr>
    <w:rPr>
      <w:lang w:val="en-US"/>
    </w:rPr>
  </w:style>
  <w:style w:type="paragraph" w:customStyle="1" w:styleId="Defs1">
    <w:name w:val="Defs 1"/>
    <w:basedOn w:val="Defs"/>
    <w:next w:val="Defs2"/>
    <w:qFormat/>
    <w:rsid w:val="00B04CD0"/>
    <w:pPr>
      <w:numPr>
        <w:ilvl w:val="1"/>
      </w:numPr>
    </w:pPr>
  </w:style>
  <w:style w:type="paragraph" w:customStyle="1" w:styleId="Defs2">
    <w:name w:val="Defs 2"/>
    <w:basedOn w:val="Defs1"/>
    <w:next w:val="Defs3"/>
    <w:qFormat/>
    <w:rsid w:val="00B04CD0"/>
    <w:pPr>
      <w:numPr>
        <w:ilvl w:val="2"/>
      </w:numPr>
    </w:pPr>
  </w:style>
  <w:style w:type="paragraph" w:customStyle="1" w:styleId="Defs3">
    <w:name w:val="Defs 3"/>
    <w:basedOn w:val="Defs2"/>
    <w:next w:val="Defs"/>
    <w:qFormat/>
    <w:rsid w:val="00B04CD0"/>
    <w:pPr>
      <w:numPr>
        <w:ilvl w:val="3"/>
      </w:numPr>
    </w:pPr>
  </w:style>
  <w:style w:type="paragraph" w:customStyle="1" w:styleId="Defs4">
    <w:name w:val="Defs 4"/>
    <w:basedOn w:val="Defs3"/>
    <w:qFormat/>
    <w:rsid w:val="00B04CD0"/>
    <w:pPr>
      <w:numPr>
        <w:ilvl w:val="4"/>
      </w:numPr>
    </w:pPr>
  </w:style>
  <w:style w:type="character" w:styleId="CommentReference">
    <w:name w:val="annotation reference"/>
    <w:basedOn w:val="DefaultParagraphFont"/>
    <w:semiHidden/>
    <w:unhideWhenUsed/>
    <w:rsid w:val="00E47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77BB"/>
  </w:style>
  <w:style w:type="character" w:customStyle="1" w:styleId="CommentTextChar">
    <w:name w:val="Comment Text Char"/>
    <w:basedOn w:val="DefaultParagraphFont"/>
    <w:link w:val="CommentText"/>
    <w:uiPriority w:val="99"/>
    <w:rsid w:val="00E477BB"/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7BB"/>
    <w:rPr>
      <w:rFonts w:ascii="Arial" w:eastAsia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BB"/>
    <w:rPr>
      <w:rFonts w:ascii="Tahoma" w:eastAsia="Arial" w:hAnsi="Tahoma" w:cs="Tahoma"/>
      <w:sz w:val="16"/>
      <w:szCs w:val="16"/>
    </w:rPr>
  </w:style>
  <w:style w:type="paragraph" w:customStyle="1" w:styleId="AOHead1">
    <w:name w:val="AOHead1"/>
    <w:basedOn w:val="Normal"/>
    <w:next w:val="Normal"/>
    <w:rsid w:val="003A01A4"/>
    <w:pPr>
      <w:keepNext/>
      <w:numPr>
        <w:numId w:val="20"/>
      </w:numPr>
      <w:adjustRightInd/>
      <w:spacing w:before="240" w:line="260" w:lineRule="atLeast"/>
      <w:outlineLvl w:val="0"/>
    </w:pPr>
    <w:rPr>
      <w:rFonts w:ascii="Times New Roman" w:eastAsia="Calibri" w:hAnsi="Times New Roman" w:cs="Times New Roma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"/>
    <w:next w:val="Normal"/>
    <w:rsid w:val="003A01A4"/>
    <w:pPr>
      <w:keepNext/>
      <w:numPr>
        <w:ilvl w:val="1"/>
        <w:numId w:val="20"/>
      </w:numPr>
      <w:adjustRightInd/>
      <w:spacing w:before="240" w:line="260" w:lineRule="atLeast"/>
      <w:outlineLvl w:val="1"/>
    </w:pPr>
    <w:rPr>
      <w:rFonts w:ascii="Times New Roman" w:eastAsia="Calibri" w:hAnsi="Times New Roman" w:cs="Times New Roman"/>
      <w:b/>
      <w:sz w:val="22"/>
      <w:szCs w:val="22"/>
      <w:lang w:eastAsia="en-US"/>
    </w:rPr>
  </w:style>
  <w:style w:type="paragraph" w:customStyle="1" w:styleId="AOHead3">
    <w:name w:val="AOHead3"/>
    <w:basedOn w:val="Normal"/>
    <w:next w:val="Normal"/>
    <w:rsid w:val="003A01A4"/>
    <w:pPr>
      <w:numPr>
        <w:ilvl w:val="2"/>
        <w:numId w:val="20"/>
      </w:numPr>
      <w:adjustRightInd/>
      <w:spacing w:before="240" w:line="260" w:lineRule="atLeast"/>
      <w:outlineLvl w:val="2"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customStyle="1" w:styleId="AOHead4">
    <w:name w:val="AOHead4"/>
    <w:basedOn w:val="Normal"/>
    <w:next w:val="Normal"/>
    <w:rsid w:val="003A01A4"/>
    <w:pPr>
      <w:numPr>
        <w:ilvl w:val="3"/>
        <w:numId w:val="20"/>
      </w:numPr>
      <w:adjustRightInd/>
      <w:spacing w:before="240" w:line="260" w:lineRule="atLeast"/>
      <w:outlineLvl w:val="3"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customStyle="1" w:styleId="AOHead5">
    <w:name w:val="AOHead5"/>
    <w:basedOn w:val="Normal"/>
    <w:next w:val="Normal"/>
    <w:rsid w:val="003A01A4"/>
    <w:pPr>
      <w:numPr>
        <w:ilvl w:val="4"/>
        <w:numId w:val="20"/>
      </w:numPr>
      <w:adjustRightInd/>
      <w:spacing w:before="240" w:line="260" w:lineRule="atLeast"/>
      <w:outlineLvl w:val="4"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customStyle="1" w:styleId="AOHead6">
    <w:name w:val="AOHead6"/>
    <w:basedOn w:val="Normal"/>
    <w:next w:val="Normal"/>
    <w:rsid w:val="003A01A4"/>
    <w:pPr>
      <w:numPr>
        <w:ilvl w:val="5"/>
        <w:numId w:val="20"/>
      </w:numPr>
      <w:adjustRightInd/>
      <w:spacing w:before="240" w:line="260" w:lineRule="atLeast"/>
      <w:outlineLvl w:val="5"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customStyle="1" w:styleId="AOAltHead4">
    <w:name w:val="AOAltHead4"/>
    <w:basedOn w:val="AOHead4"/>
    <w:next w:val="Normal"/>
    <w:rsid w:val="003A01A4"/>
  </w:style>
  <w:style w:type="paragraph" w:customStyle="1" w:styleId="AOGenNum2Para">
    <w:name w:val="AOGenNum2Para"/>
    <w:basedOn w:val="Normal"/>
    <w:rsid w:val="004238D3"/>
    <w:pPr>
      <w:numPr>
        <w:ilvl w:val="1"/>
        <w:numId w:val="25"/>
      </w:numPr>
      <w:tabs>
        <w:tab w:val="clear" w:pos="720"/>
      </w:tabs>
      <w:adjustRightInd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GenNum2">
    <w:name w:val="AOGenNum2"/>
    <w:basedOn w:val="Normal"/>
    <w:next w:val="AOGenNum2Para"/>
    <w:rsid w:val="004238D3"/>
    <w:pPr>
      <w:keepNext/>
      <w:numPr>
        <w:numId w:val="25"/>
      </w:numPr>
      <w:adjustRightInd/>
      <w:spacing w:before="240" w:line="260" w:lineRule="atLeast"/>
    </w:pPr>
    <w:rPr>
      <w:rFonts w:ascii="Times New Roman" w:eastAsia="Calibri" w:hAnsi="Times New Roman" w:cs="Times New Roman"/>
      <w:b/>
      <w:sz w:val="22"/>
      <w:szCs w:val="22"/>
      <w:lang w:eastAsia="en-US"/>
    </w:rPr>
  </w:style>
  <w:style w:type="paragraph" w:customStyle="1" w:styleId="AOGenNum2List">
    <w:name w:val="AOGenNum2List"/>
    <w:basedOn w:val="AOGenNum2"/>
    <w:rsid w:val="004238D3"/>
    <w:pPr>
      <w:keepNext w:val="0"/>
      <w:numPr>
        <w:ilvl w:val="2"/>
      </w:numPr>
    </w:pPr>
    <w:rPr>
      <w:b w:val="0"/>
    </w:rPr>
  </w:style>
  <w:style w:type="paragraph" w:styleId="ListParagraph">
    <w:name w:val="List Paragraph"/>
    <w:basedOn w:val="Normal"/>
    <w:uiPriority w:val="34"/>
    <w:qFormat/>
    <w:rsid w:val="00455171"/>
    <w:pPr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94E5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insent%20Masons%20Templates\General\Blank%20A4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A4 Document.dotx</Template>
  <TotalTime>5</TotalTime>
  <Pages>5</Pages>
  <Words>1302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Pinsent Masons</dc:creator>
  <cp:keywords/>
  <dc:description/>
  <cp:lastModifiedBy>Pinsent Masons</cp:lastModifiedBy>
  <cp:revision>4</cp:revision>
  <dcterms:created xsi:type="dcterms:W3CDTF">2020-06-05T11:31:00Z</dcterms:created>
  <dcterms:modified xsi:type="dcterms:W3CDTF">2020-06-08T16:54:00Z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114232738.3\PE06</vt:lpwstr>
  </property>
  <property fmtid="{D5CDD505-2E9C-101B-9397-08002B2CF9AE}" pid="3" name="DocClass">
    <vt:lpwstr/>
  </property>
  <property fmtid="{D5CDD505-2E9C-101B-9397-08002B2CF9AE}" pid="4" name="ActionID">
    <vt:lpwstr>Blank</vt:lpwstr>
  </property>
  <property fmtid="{D5CDD505-2E9C-101B-9397-08002B2CF9AE}" pid="5" name="PrintMode">
    <vt:lpwstr>White</vt:lpwstr>
  </property>
  <property fmtid="{D5CDD505-2E9C-101B-9397-08002B2CF9AE}" pid="6" name="Company">
    <vt:lpwstr>Pinsent Masons LLP</vt:lpwstr>
  </property>
</Properties>
</file>