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AB990" w14:textId="77777777" w:rsidR="00F3179E" w:rsidRPr="00D231F6" w:rsidRDefault="00F3179E" w:rsidP="00F3179E">
      <w:pPr>
        <w:jc w:val="right"/>
        <w:rPr>
          <w:b/>
        </w:rPr>
      </w:pPr>
      <w:bookmarkStart w:id="0" w:name="Ref"/>
      <w:bookmarkEnd w:id="0"/>
    </w:p>
    <w:p w14:paraId="1CDD9CC9" w14:textId="77777777" w:rsidR="00F3179E" w:rsidRPr="00D231F6" w:rsidRDefault="00F3179E" w:rsidP="00F3179E"/>
    <w:p w14:paraId="7CD48BD4" w14:textId="77777777" w:rsidR="00F3179E" w:rsidRPr="00D231F6" w:rsidRDefault="00F3179E" w:rsidP="00F3179E"/>
    <w:p w14:paraId="4EA9E805" w14:textId="77777777" w:rsidR="00015AB8" w:rsidRDefault="00015AB8" w:rsidP="00F3179E">
      <w:pPr>
        <w:tabs>
          <w:tab w:val="center" w:pos="4678"/>
        </w:tabs>
        <w:spacing w:after="240"/>
        <w:jc w:val="center"/>
        <w:rPr>
          <w:b/>
        </w:rPr>
      </w:pPr>
    </w:p>
    <w:p w14:paraId="7C48F9D6" w14:textId="4460BFC6" w:rsidR="00F3179E" w:rsidRPr="00D231F6" w:rsidRDefault="009E00E9" w:rsidP="00F3179E">
      <w:pPr>
        <w:tabs>
          <w:tab w:val="center" w:pos="4678"/>
        </w:tabs>
        <w:spacing w:after="240"/>
        <w:jc w:val="center"/>
        <w:rPr>
          <w:b/>
        </w:rPr>
      </w:pPr>
      <w:r w:rsidRPr="00D231F6">
        <w:rPr>
          <w:b/>
        </w:rPr>
        <w:t>[</w:t>
      </w:r>
      <w:r w:rsidR="00FF7A08">
        <w:rPr>
          <w:b/>
        </w:rPr>
        <w:t>MINISTRY OF</w:t>
      </w:r>
      <w:r w:rsidR="00F3179E" w:rsidRPr="00D231F6">
        <w:rPr>
          <w:b/>
        </w:rPr>
        <w:t xml:space="preserve"> JUSTICE</w:t>
      </w:r>
      <w:r w:rsidRPr="00D231F6">
        <w:rPr>
          <w:b/>
        </w:rPr>
        <w:t xml:space="preserve"> / NAME OF PARTICIPATING BODY]  </w:t>
      </w:r>
    </w:p>
    <w:p w14:paraId="16A589DF" w14:textId="77777777" w:rsidR="00F3179E" w:rsidRPr="00D231F6" w:rsidRDefault="00F3179E" w:rsidP="00F3179E">
      <w:pPr>
        <w:tabs>
          <w:tab w:val="center" w:pos="4678"/>
        </w:tabs>
        <w:spacing w:after="240"/>
        <w:jc w:val="center"/>
        <w:rPr>
          <w:b/>
          <w:caps/>
        </w:rPr>
      </w:pPr>
    </w:p>
    <w:p w14:paraId="67A6DEB1" w14:textId="77777777" w:rsidR="00F3179E" w:rsidRPr="00D231F6" w:rsidRDefault="00F3179E" w:rsidP="00F3179E"/>
    <w:p w14:paraId="07BA0C5D" w14:textId="77777777" w:rsidR="00F3179E" w:rsidRPr="00D231F6" w:rsidRDefault="00F3179E" w:rsidP="00F3179E"/>
    <w:p w14:paraId="102CDAFB" w14:textId="77777777" w:rsidR="00F3179E" w:rsidRPr="00D231F6" w:rsidRDefault="00F3179E" w:rsidP="00F3179E"/>
    <w:p w14:paraId="23D98249" w14:textId="77777777" w:rsidR="00F3179E" w:rsidRPr="00D231F6" w:rsidRDefault="00F3179E" w:rsidP="00F3179E"/>
    <w:p w14:paraId="6A67FFB6" w14:textId="77777777" w:rsidR="00F3179E" w:rsidRPr="00D231F6" w:rsidRDefault="00F3179E" w:rsidP="00F3179E"/>
    <w:tbl>
      <w:tblPr>
        <w:tblW w:w="0" w:type="auto"/>
        <w:jc w:val="center"/>
        <w:tblBorders>
          <w:top w:val="double" w:sz="4" w:space="0" w:color="auto"/>
          <w:bottom w:val="double" w:sz="4" w:space="0" w:color="auto"/>
          <w:insideH w:val="double" w:sz="4" w:space="0" w:color="auto"/>
          <w:insideV w:val="double" w:sz="4" w:space="0" w:color="auto"/>
        </w:tblBorders>
        <w:tblLook w:val="01E0" w:firstRow="1" w:lastRow="1" w:firstColumn="1" w:lastColumn="1" w:noHBand="0" w:noVBand="0"/>
      </w:tblPr>
      <w:tblGrid>
        <w:gridCol w:w="5670"/>
      </w:tblGrid>
      <w:tr w:rsidR="00F3179E" w:rsidRPr="00D231F6" w14:paraId="178CB8EF" w14:textId="77777777" w:rsidTr="00E15A3D">
        <w:trPr>
          <w:cantSplit/>
          <w:trHeight w:val="992"/>
          <w:jc w:val="center"/>
        </w:trPr>
        <w:tc>
          <w:tcPr>
            <w:tcW w:w="5670" w:type="dxa"/>
            <w:vAlign w:val="center"/>
          </w:tcPr>
          <w:p w14:paraId="32C9D71D" w14:textId="77777777" w:rsidR="00F3179E" w:rsidRDefault="005A778D" w:rsidP="00E15A3D">
            <w:pPr>
              <w:jc w:val="center"/>
              <w:rPr>
                <w:rFonts w:eastAsia="Times New Roman" w:cs="Times New Roman"/>
                <w:b/>
                <w:sz w:val="24"/>
                <w:szCs w:val="24"/>
              </w:rPr>
            </w:pPr>
            <w:bookmarkStart w:id="1" w:name="Title"/>
            <w:bookmarkEnd w:id="1"/>
            <w:r w:rsidRPr="005A778D">
              <w:rPr>
                <w:rFonts w:eastAsia="Times New Roman" w:cs="Times New Roman"/>
                <w:b/>
                <w:sz w:val="24"/>
                <w:szCs w:val="24"/>
              </w:rPr>
              <w:t>PROBATION SERVICES DYNAMIC FRAMEWORK</w:t>
            </w:r>
          </w:p>
          <w:p w14:paraId="044E3FE4" w14:textId="77777777" w:rsidR="005A778D" w:rsidRPr="005A778D" w:rsidRDefault="005A778D" w:rsidP="00E15A3D">
            <w:pPr>
              <w:jc w:val="center"/>
              <w:rPr>
                <w:b/>
                <w:caps/>
                <w:sz w:val="24"/>
                <w:szCs w:val="24"/>
              </w:rPr>
            </w:pPr>
          </w:p>
          <w:p w14:paraId="48F5C4D3" w14:textId="04949119" w:rsidR="00F3179E" w:rsidRPr="00D231F6" w:rsidRDefault="003F114A" w:rsidP="003F114A">
            <w:pPr>
              <w:jc w:val="center"/>
              <w:rPr>
                <w:b/>
                <w:sz w:val="24"/>
              </w:rPr>
            </w:pPr>
            <w:r w:rsidRPr="00D231F6">
              <w:rPr>
                <w:b/>
                <w:caps/>
                <w:sz w:val="24"/>
              </w:rPr>
              <w:t>CALL-OFF COMPETITION</w:t>
            </w:r>
            <w:r w:rsidR="00F3179E" w:rsidRPr="00D231F6">
              <w:rPr>
                <w:b/>
                <w:caps/>
                <w:sz w:val="24"/>
              </w:rPr>
              <w:t xml:space="preserve"> </w:t>
            </w:r>
            <w:r w:rsidR="005A778D">
              <w:rPr>
                <w:b/>
                <w:caps/>
                <w:sz w:val="24"/>
              </w:rPr>
              <w:t xml:space="preserve">Invitation to tender </w:t>
            </w:r>
            <w:r w:rsidRPr="00D231F6">
              <w:rPr>
                <w:b/>
                <w:caps/>
                <w:sz w:val="24"/>
              </w:rPr>
              <w:t>FOR</w:t>
            </w:r>
            <w:r w:rsidR="006168EC">
              <w:rPr>
                <w:b/>
                <w:caps/>
                <w:sz w:val="24"/>
              </w:rPr>
              <w:t xml:space="preserve"> [ </w:t>
            </w:r>
            <w:r w:rsidR="008B2A1A">
              <w:rPr>
                <w:b/>
                <w:caps/>
                <w:sz w:val="24"/>
              </w:rPr>
              <w:t xml:space="preserve">insert framework </w:t>
            </w:r>
            <w:r w:rsidR="00F3179E" w:rsidRPr="00D231F6">
              <w:rPr>
                <w:b/>
                <w:caps/>
                <w:sz w:val="24"/>
              </w:rPr>
              <w:t>                ]</w:t>
            </w:r>
          </w:p>
        </w:tc>
      </w:tr>
    </w:tbl>
    <w:p w14:paraId="0C9F59FB" w14:textId="77777777" w:rsidR="00F3179E" w:rsidRPr="00D231F6" w:rsidRDefault="00F3179E" w:rsidP="00F3179E"/>
    <w:p w14:paraId="584BABA7" w14:textId="77777777" w:rsidR="00F3179E" w:rsidRPr="00D231F6" w:rsidRDefault="00F3179E" w:rsidP="00F3179E">
      <w:pPr>
        <w:tabs>
          <w:tab w:val="left" w:pos="3686"/>
        </w:tabs>
        <w:spacing w:after="240"/>
        <w:ind w:left="1985"/>
        <w:rPr>
          <w:b/>
        </w:rPr>
      </w:pPr>
      <w:bookmarkStart w:id="2" w:name="Lease"/>
      <w:bookmarkEnd w:id="2"/>
    </w:p>
    <w:p w14:paraId="6A050BB8" w14:textId="77777777" w:rsidR="00F3179E" w:rsidRDefault="00F3179E" w:rsidP="00F3179E">
      <w:pPr>
        <w:tabs>
          <w:tab w:val="left" w:pos="3686"/>
        </w:tabs>
        <w:spacing w:after="240"/>
        <w:ind w:left="1985"/>
        <w:rPr>
          <w:b/>
        </w:rPr>
      </w:pPr>
    </w:p>
    <w:p w14:paraId="0D53CA8C" w14:textId="77777777" w:rsidR="00686030" w:rsidRDefault="00686030" w:rsidP="00F3179E">
      <w:pPr>
        <w:tabs>
          <w:tab w:val="left" w:pos="3686"/>
        </w:tabs>
        <w:spacing w:after="240"/>
        <w:ind w:left="1985"/>
        <w:rPr>
          <w:b/>
        </w:rPr>
      </w:pPr>
    </w:p>
    <w:p w14:paraId="628E2217" w14:textId="77777777" w:rsidR="00686030" w:rsidRDefault="00686030" w:rsidP="00F3179E">
      <w:pPr>
        <w:tabs>
          <w:tab w:val="left" w:pos="3686"/>
        </w:tabs>
        <w:spacing w:after="240"/>
        <w:ind w:left="1985"/>
        <w:rPr>
          <w:b/>
        </w:rPr>
      </w:pPr>
    </w:p>
    <w:p w14:paraId="01BEC645" w14:textId="77777777" w:rsidR="00686030" w:rsidRPr="00D231F6" w:rsidRDefault="00686030" w:rsidP="00F3179E">
      <w:pPr>
        <w:tabs>
          <w:tab w:val="left" w:pos="3686"/>
        </w:tabs>
        <w:spacing w:after="240"/>
        <w:ind w:left="1985"/>
        <w:rPr>
          <w:b/>
        </w:rPr>
      </w:pPr>
    </w:p>
    <w:p w14:paraId="5E9F7AD1" w14:textId="54095FCA" w:rsidR="00F3179E" w:rsidRPr="00D231F6" w:rsidRDefault="00F3179E">
      <w:pPr>
        <w:adjustRightInd/>
        <w:jc w:val="left"/>
      </w:pPr>
      <w:r w:rsidRPr="00D231F6">
        <w:br w:type="page"/>
      </w:r>
    </w:p>
    <w:p w14:paraId="27379020" w14:textId="77777777" w:rsidR="008944D2" w:rsidRPr="00D231F6" w:rsidRDefault="00F3179E" w:rsidP="00F3179E">
      <w:pPr>
        <w:spacing w:after="240"/>
        <w:jc w:val="center"/>
        <w:rPr>
          <w:b/>
        </w:rPr>
      </w:pPr>
      <w:r w:rsidRPr="00D231F6">
        <w:rPr>
          <w:b/>
        </w:rPr>
        <w:lastRenderedPageBreak/>
        <w:t>CONTENTS</w:t>
      </w:r>
    </w:p>
    <w:p w14:paraId="7062C258" w14:textId="77777777" w:rsidR="006D7AE5" w:rsidRDefault="00165DF8">
      <w:pPr>
        <w:pStyle w:val="TOC1"/>
        <w:rPr>
          <w:rFonts w:asciiTheme="minorHAnsi" w:eastAsiaTheme="minorEastAsia" w:hAnsiTheme="minorHAnsi" w:cstheme="minorBidi"/>
          <w:caps w:val="0"/>
          <w:noProof/>
          <w:sz w:val="22"/>
          <w:szCs w:val="22"/>
        </w:rPr>
      </w:pPr>
      <w:r>
        <w:rPr>
          <w:caps w:val="0"/>
        </w:rPr>
        <w:fldChar w:fldCharType="begin"/>
      </w:r>
      <w:r>
        <w:rPr>
          <w:caps w:val="0"/>
        </w:rPr>
        <w:instrText xml:space="preserve"> TOC \f </w:instrText>
      </w:r>
      <w:r>
        <w:rPr>
          <w:caps w:val="0"/>
        </w:rPr>
        <w:fldChar w:fldCharType="separate"/>
      </w:r>
      <w:r w:rsidR="006D7AE5">
        <w:rPr>
          <w:noProof/>
        </w:rPr>
        <w:t>1</w:t>
      </w:r>
      <w:r w:rsidR="006D7AE5">
        <w:rPr>
          <w:rFonts w:asciiTheme="minorHAnsi" w:eastAsiaTheme="minorEastAsia" w:hAnsiTheme="minorHAnsi" w:cstheme="minorBidi"/>
          <w:caps w:val="0"/>
          <w:noProof/>
          <w:sz w:val="22"/>
          <w:szCs w:val="22"/>
        </w:rPr>
        <w:tab/>
      </w:r>
      <w:r w:rsidR="006D7AE5">
        <w:rPr>
          <w:noProof/>
        </w:rPr>
        <w:t>INTRODUCTION</w:t>
      </w:r>
      <w:r w:rsidR="006D7AE5">
        <w:rPr>
          <w:noProof/>
        </w:rPr>
        <w:tab/>
      </w:r>
      <w:r w:rsidR="006D7AE5">
        <w:rPr>
          <w:noProof/>
        </w:rPr>
        <w:fldChar w:fldCharType="begin"/>
      </w:r>
      <w:r w:rsidR="006D7AE5">
        <w:rPr>
          <w:noProof/>
        </w:rPr>
        <w:instrText xml:space="preserve"> PAGEREF _Toc42697276 \h </w:instrText>
      </w:r>
      <w:r w:rsidR="006D7AE5">
        <w:rPr>
          <w:noProof/>
        </w:rPr>
      </w:r>
      <w:r w:rsidR="006D7AE5">
        <w:rPr>
          <w:noProof/>
        </w:rPr>
        <w:fldChar w:fldCharType="separate"/>
      </w:r>
      <w:r w:rsidR="006D7AE5">
        <w:rPr>
          <w:noProof/>
        </w:rPr>
        <w:t>3</w:t>
      </w:r>
      <w:r w:rsidR="006D7AE5">
        <w:rPr>
          <w:noProof/>
        </w:rPr>
        <w:fldChar w:fldCharType="end"/>
      </w:r>
    </w:p>
    <w:p w14:paraId="17C6A288" w14:textId="77777777" w:rsidR="006D7AE5" w:rsidRDefault="006D7AE5">
      <w:pPr>
        <w:pStyle w:val="TOC1"/>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INDICATIVE CALL-OFF COMPETITION TIMETABLE</w:t>
      </w:r>
      <w:r>
        <w:rPr>
          <w:noProof/>
        </w:rPr>
        <w:tab/>
      </w:r>
      <w:r>
        <w:rPr>
          <w:noProof/>
        </w:rPr>
        <w:fldChar w:fldCharType="begin"/>
      </w:r>
      <w:r>
        <w:rPr>
          <w:noProof/>
        </w:rPr>
        <w:instrText xml:space="preserve"> PAGEREF _Toc42697277 \h </w:instrText>
      </w:r>
      <w:r>
        <w:rPr>
          <w:noProof/>
        </w:rPr>
      </w:r>
      <w:r>
        <w:rPr>
          <w:noProof/>
        </w:rPr>
        <w:fldChar w:fldCharType="separate"/>
      </w:r>
      <w:r>
        <w:rPr>
          <w:noProof/>
        </w:rPr>
        <w:t>4</w:t>
      </w:r>
      <w:r>
        <w:rPr>
          <w:noProof/>
        </w:rPr>
        <w:fldChar w:fldCharType="end"/>
      </w:r>
    </w:p>
    <w:p w14:paraId="3A55F8EC" w14:textId="77777777" w:rsidR="006D7AE5" w:rsidRDefault="006D7AE5">
      <w:pPr>
        <w:pStyle w:val="TOC1"/>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THE CALL-OFF COMPETITION PROCESS</w:t>
      </w:r>
      <w:r>
        <w:rPr>
          <w:noProof/>
        </w:rPr>
        <w:tab/>
      </w:r>
      <w:r>
        <w:rPr>
          <w:noProof/>
        </w:rPr>
        <w:fldChar w:fldCharType="begin"/>
      </w:r>
      <w:r>
        <w:rPr>
          <w:noProof/>
        </w:rPr>
        <w:instrText xml:space="preserve"> PAGEREF _Toc42697278 \h </w:instrText>
      </w:r>
      <w:r>
        <w:rPr>
          <w:noProof/>
        </w:rPr>
      </w:r>
      <w:r>
        <w:rPr>
          <w:noProof/>
        </w:rPr>
        <w:fldChar w:fldCharType="separate"/>
      </w:r>
      <w:r>
        <w:rPr>
          <w:noProof/>
        </w:rPr>
        <w:t>5</w:t>
      </w:r>
      <w:r>
        <w:rPr>
          <w:noProof/>
        </w:rPr>
        <w:fldChar w:fldCharType="end"/>
      </w:r>
    </w:p>
    <w:p w14:paraId="0F3B5472" w14:textId="77777777" w:rsidR="006D7AE5" w:rsidRDefault="006D7AE5">
      <w:pPr>
        <w:pStyle w:val="TOC1"/>
        <w:rPr>
          <w:rFonts w:asciiTheme="minorHAnsi" w:eastAsiaTheme="minorEastAsia" w:hAnsiTheme="minorHAnsi" w:cstheme="minorBidi"/>
          <w:caps w:val="0"/>
          <w:noProof/>
          <w:sz w:val="22"/>
          <w:szCs w:val="22"/>
        </w:rPr>
      </w:pPr>
      <w:r>
        <w:rPr>
          <w:noProof/>
        </w:rPr>
        <w:t>4</w:t>
      </w:r>
      <w:r>
        <w:rPr>
          <w:rFonts w:asciiTheme="minorHAnsi" w:eastAsiaTheme="minorEastAsia" w:hAnsiTheme="minorHAnsi" w:cstheme="minorBidi"/>
          <w:caps w:val="0"/>
          <w:noProof/>
          <w:sz w:val="22"/>
          <w:szCs w:val="22"/>
        </w:rPr>
        <w:tab/>
      </w:r>
      <w:r>
        <w:rPr>
          <w:noProof/>
        </w:rPr>
        <w:t>OVERVIEW OF APPROACH TO EVALUATION</w:t>
      </w:r>
      <w:r>
        <w:rPr>
          <w:noProof/>
        </w:rPr>
        <w:tab/>
      </w:r>
      <w:r>
        <w:rPr>
          <w:noProof/>
        </w:rPr>
        <w:fldChar w:fldCharType="begin"/>
      </w:r>
      <w:r>
        <w:rPr>
          <w:noProof/>
        </w:rPr>
        <w:instrText xml:space="preserve"> PAGEREF _Toc42697279 \h </w:instrText>
      </w:r>
      <w:r>
        <w:rPr>
          <w:noProof/>
        </w:rPr>
      </w:r>
      <w:r>
        <w:rPr>
          <w:noProof/>
        </w:rPr>
        <w:fldChar w:fldCharType="separate"/>
      </w:r>
      <w:r>
        <w:rPr>
          <w:noProof/>
        </w:rPr>
        <w:t>6</w:t>
      </w:r>
      <w:r>
        <w:rPr>
          <w:noProof/>
        </w:rPr>
        <w:fldChar w:fldCharType="end"/>
      </w:r>
    </w:p>
    <w:p w14:paraId="722363AA" w14:textId="77777777" w:rsidR="006D7AE5" w:rsidRDefault="006D7AE5">
      <w:pPr>
        <w:pStyle w:val="TOC1"/>
        <w:rPr>
          <w:rFonts w:asciiTheme="minorHAnsi" w:eastAsiaTheme="minorEastAsia" w:hAnsiTheme="minorHAnsi" w:cstheme="minorBidi"/>
          <w:caps w:val="0"/>
          <w:noProof/>
          <w:sz w:val="22"/>
          <w:szCs w:val="22"/>
        </w:rPr>
      </w:pPr>
      <w:r>
        <w:rPr>
          <w:noProof/>
        </w:rPr>
        <w:t>5</w:t>
      </w:r>
      <w:r>
        <w:rPr>
          <w:rFonts w:asciiTheme="minorHAnsi" w:eastAsiaTheme="minorEastAsia" w:hAnsiTheme="minorHAnsi" w:cstheme="minorBidi"/>
          <w:caps w:val="0"/>
          <w:noProof/>
          <w:sz w:val="22"/>
          <w:szCs w:val="22"/>
        </w:rPr>
        <w:tab/>
      </w:r>
      <w:r>
        <w:rPr>
          <w:noProof/>
        </w:rPr>
        <w:t>RULES ON [TENDER RESPONSE SUBMISSIONS]</w:t>
      </w:r>
      <w:r>
        <w:rPr>
          <w:noProof/>
        </w:rPr>
        <w:tab/>
      </w:r>
      <w:r>
        <w:rPr>
          <w:noProof/>
        </w:rPr>
        <w:fldChar w:fldCharType="begin"/>
      </w:r>
      <w:r>
        <w:rPr>
          <w:noProof/>
        </w:rPr>
        <w:instrText xml:space="preserve"> PAGEREF _Toc42697280 \h </w:instrText>
      </w:r>
      <w:r>
        <w:rPr>
          <w:noProof/>
        </w:rPr>
      </w:r>
      <w:r>
        <w:rPr>
          <w:noProof/>
        </w:rPr>
        <w:fldChar w:fldCharType="separate"/>
      </w:r>
      <w:r>
        <w:rPr>
          <w:noProof/>
        </w:rPr>
        <w:t>11</w:t>
      </w:r>
      <w:r>
        <w:rPr>
          <w:noProof/>
        </w:rPr>
        <w:fldChar w:fldCharType="end"/>
      </w:r>
    </w:p>
    <w:p w14:paraId="52B3712F" w14:textId="77777777" w:rsidR="006D7AE5" w:rsidRDefault="006D7AE5">
      <w:pPr>
        <w:pStyle w:val="TOC1"/>
        <w:rPr>
          <w:rFonts w:asciiTheme="minorHAnsi" w:eastAsiaTheme="minorEastAsia" w:hAnsiTheme="minorHAnsi" w:cstheme="minorBidi"/>
          <w:caps w:val="0"/>
          <w:noProof/>
          <w:sz w:val="22"/>
          <w:szCs w:val="22"/>
        </w:rPr>
      </w:pPr>
      <w:r>
        <w:rPr>
          <w:noProof/>
        </w:rPr>
        <w:t>6</w:t>
      </w:r>
      <w:r>
        <w:rPr>
          <w:rFonts w:asciiTheme="minorHAnsi" w:eastAsiaTheme="minorEastAsia" w:hAnsiTheme="minorHAnsi" w:cstheme="minorBidi"/>
          <w:caps w:val="0"/>
          <w:noProof/>
          <w:sz w:val="22"/>
          <w:szCs w:val="22"/>
        </w:rPr>
        <w:tab/>
      </w:r>
      <w:r>
        <w:rPr>
          <w:noProof/>
        </w:rPr>
        <w:t>GENERAL INFORMATION</w:t>
      </w:r>
      <w:r>
        <w:rPr>
          <w:noProof/>
        </w:rPr>
        <w:tab/>
      </w:r>
      <w:r>
        <w:rPr>
          <w:noProof/>
        </w:rPr>
        <w:fldChar w:fldCharType="begin"/>
      </w:r>
      <w:r>
        <w:rPr>
          <w:noProof/>
        </w:rPr>
        <w:instrText xml:space="preserve"> PAGEREF _Toc42697281 \h </w:instrText>
      </w:r>
      <w:r>
        <w:rPr>
          <w:noProof/>
        </w:rPr>
      </w:r>
      <w:r>
        <w:rPr>
          <w:noProof/>
        </w:rPr>
        <w:fldChar w:fldCharType="separate"/>
      </w:r>
      <w:r>
        <w:rPr>
          <w:noProof/>
        </w:rPr>
        <w:t>13</w:t>
      </w:r>
      <w:r>
        <w:rPr>
          <w:noProof/>
        </w:rPr>
        <w:fldChar w:fldCharType="end"/>
      </w:r>
    </w:p>
    <w:p w14:paraId="4909FEA7" w14:textId="77777777" w:rsidR="006D7AE5" w:rsidRDefault="006D7AE5">
      <w:pPr>
        <w:pStyle w:val="TOC1"/>
        <w:rPr>
          <w:rFonts w:asciiTheme="minorHAnsi" w:eastAsiaTheme="minorEastAsia" w:hAnsiTheme="minorHAnsi" w:cstheme="minorBidi"/>
          <w:caps w:val="0"/>
          <w:noProof/>
          <w:sz w:val="22"/>
          <w:szCs w:val="22"/>
        </w:rPr>
      </w:pPr>
      <w:r>
        <w:rPr>
          <w:noProof/>
        </w:rPr>
        <w:t>7</w:t>
      </w:r>
      <w:r>
        <w:rPr>
          <w:rFonts w:asciiTheme="minorHAnsi" w:eastAsiaTheme="minorEastAsia" w:hAnsiTheme="minorHAnsi" w:cstheme="minorBidi"/>
          <w:caps w:val="0"/>
          <w:noProof/>
          <w:sz w:val="22"/>
          <w:szCs w:val="22"/>
        </w:rPr>
        <w:tab/>
      </w:r>
      <w:r>
        <w:rPr>
          <w:noProof/>
        </w:rPr>
        <w:t>GENERAL TERMS AND CONDITIONS</w:t>
      </w:r>
      <w:r>
        <w:rPr>
          <w:noProof/>
        </w:rPr>
        <w:tab/>
      </w:r>
      <w:r>
        <w:rPr>
          <w:noProof/>
        </w:rPr>
        <w:fldChar w:fldCharType="begin"/>
      </w:r>
      <w:r>
        <w:rPr>
          <w:noProof/>
        </w:rPr>
        <w:instrText xml:space="preserve"> PAGEREF _Toc42697282 \h </w:instrText>
      </w:r>
      <w:r>
        <w:rPr>
          <w:noProof/>
        </w:rPr>
      </w:r>
      <w:r>
        <w:rPr>
          <w:noProof/>
        </w:rPr>
        <w:fldChar w:fldCharType="separate"/>
      </w:r>
      <w:r>
        <w:rPr>
          <w:noProof/>
        </w:rPr>
        <w:t>14</w:t>
      </w:r>
      <w:r>
        <w:rPr>
          <w:noProof/>
        </w:rPr>
        <w:fldChar w:fldCharType="end"/>
      </w:r>
    </w:p>
    <w:p w14:paraId="1F7B19B2" w14:textId="77777777" w:rsidR="006D7AE5" w:rsidRDefault="006D7AE5">
      <w:pPr>
        <w:pStyle w:val="TOC4"/>
        <w:rPr>
          <w:rFonts w:asciiTheme="minorHAnsi" w:eastAsiaTheme="minorEastAsia" w:hAnsiTheme="minorHAnsi" w:cstheme="minorBidi"/>
          <w:caps w:val="0"/>
          <w:noProof/>
          <w:sz w:val="22"/>
          <w:szCs w:val="22"/>
        </w:rPr>
      </w:pPr>
      <w:r>
        <w:rPr>
          <w:noProof/>
        </w:rPr>
        <w:t>APPENDIX 1 - GLOSSARY</w:t>
      </w:r>
      <w:r>
        <w:rPr>
          <w:noProof/>
        </w:rPr>
        <w:tab/>
      </w:r>
      <w:r>
        <w:rPr>
          <w:noProof/>
        </w:rPr>
        <w:fldChar w:fldCharType="begin"/>
      </w:r>
      <w:r>
        <w:rPr>
          <w:noProof/>
        </w:rPr>
        <w:instrText xml:space="preserve"> PAGEREF _Toc42697283 \h </w:instrText>
      </w:r>
      <w:r>
        <w:rPr>
          <w:noProof/>
        </w:rPr>
      </w:r>
      <w:r>
        <w:rPr>
          <w:noProof/>
        </w:rPr>
        <w:fldChar w:fldCharType="separate"/>
      </w:r>
      <w:r>
        <w:rPr>
          <w:noProof/>
        </w:rPr>
        <w:t>22</w:t>
      </w:r>
      <w:r>
        <w:rPr>
          <w:noProof/>
        </w:rPr>
        <w:fldChar w:fldCharType="end"/>
      </w:r>
    </w:p>
    <w:p w14:paraId="50959103" w14:textId="77777777" w:rsidR="006D7AE5" w:rsidRDefault="006D7AE5">
      <w:pPr>
        <w:pStyle w:val="TOC4"/>
        <w:rPr>
          <w:rFonts w:asciiTheme="minorHAnsi" w:eastAsiaTheme="minorEastAsia" w:hAnsiTheme="minorHAnsi" w:cstheme="minorBidi"/>
          <w:caps w:val="0"/>
          <w:noProof/>
          <w:sz w:val="22"/>
          <w:szCs w:val="22"/>
        </w:rPr>
      </w:pPr>
      <w:r>
        <w:rPr>
          <w:noProof/>
        </w:rPr>
        <w:t>APPENDIX 2 - FURTHER QUALIFICATION QUESTIONNAIRE AND EVALUATION METHODOLOGY</w:t>
      </w:r>
      <w:r>
        <w:rPr>
          <w:noProof/>
        </w:rPr>
        <w:tab/>
      </w:r>
      <w:r>
        <w:rPr>
          <w:noProof/>
        </w:rPr>
        <w:fldChar w:fldCharType="begin"/>
      </w:r>
      <w:r>
        <w:rPr>
          <w:noProof/>
        </w:rPr>
        <w:instrText xml:space="preserve"> PAGEREF _Toc42697284 \h </w:instrText>
      </w:r>
      <w:r>
        <w:rPr>
          <w:noProof/>
        </w:rPr>
      </w:r>
      <w:r>
        <w:rPr>
          <w:noProof/>
        </w:rPr>
        <w:fldChar w:fldCharType="separate"/>
      </w:r>
      <w:r>
        <w:rPr>
          <w:noProof/>
        </w:rPr>
        <w:t>24</w:t>
      </w:r>
      <w:r>
        <w:rPr>
          <w:noProof/>
        </w:rPr>
        <w:fldChar w:fldCharType="end"/>
      </w:r>
    </w:p>
    <w:p w14:paraId="14E907A5" w14:textId="77777777" w:rsidR="006D7AE5" w:rsidRDefault="006D7AE5">
      <w:pPr>
        <w:pStyle w:val="TOC4"/>
        <w:rPr>
          <w:rFonts w:asciiTheme="minorHAnsi" w:eastAsiaTheme="minorEastAsia" w:hAnsiTheme="minorHAnsi" w:cstheme="minorBidi"/>
          <w:caps w:val="0"/>
          <w:noProof/>
          <w:sz w:val="22"/>
          <w:szCs w:val="22"/>
        </w:rPr>
      </w:pPr>
      <w:r>
        <w:rPr>
          <w:noProof/>
        </w:rPr>
        <w:t>APPENDIX 3 - ITT QUESTIONNAIRE AND EVALUATION METHODOLOGY</w:t>
      </w:r>
      <w:r>
        <w:rPr>
          <w:noProof/>
        </w:rPr>
        <w:tab/>
      </w:r>
      <w:r>
        <w:rPr>
          <w:noProof/>
        </w:rPr>
        <w:fldChar w:fldCharType="begin"/>
      </w:r>
      <w:r>
        <w:rPr>
          <w:noProof/>
        </w:rPr>
        <w:instrText xml:space="preserve"> PAGEREF _Toc42697285 \h </w:instrText>
      </w:r>
      <w:r>
        <w:rPr>
          <w:noProof/>
        </w:rPr>
      </w:r>
      <w:r>
        <w:rPr>
          <w:noProof/>
        </w:rPr>
        <w:fldChar w:fldCharType="separate"/>
      </w:r>
      <w:r>
        <w:rPr>
          <w:noProof/>
        </w:rPr>
        <w:t>25</w:t>
      </w:r>
      <w:r>
        <w:rPr>
          <w:noProof/>
        </w:rPr>
        <w:fldChar w:fldCharType="end"/>
      </w:r>
    </w:p>
    <w:p w14:paraId="4AD6F977" w14:textId="77777777" w:rsidR="006D7AE5" w:rsidRDefault="006D7AE5">
      <w:pPr>
        <w:pStyle w:val="TOC4"/>
        <w:rPr>
          <w:rFonts w:asciiTheme="minorHAnsi" w:eastAsiaTheme="minorEastAsia" w:hAnsiTheme="minorHAnsi" w:cstheme="minorBidi"/>
          <w:caps w:val="0"/>
          <w:noProof/>
          <w:sz w:val="22"/>
          <w:szCs w:val="22"/>
        </w:rPr>
      </w:pPr>
      <w:r>
        <w:rPr>
          <w:noProof/>
        </w:rPr>
        <w:t>APPENDIX 4 - FEE PROPOSAL</w:t>
      </w:r>
      <w:r>
        <w:rPr>
          <w:noProof/>
        </w:rPr>
        <w:tab/>
      </w:r>
      <w:r>
        <w:rPr>
          <w:noProof/>
        </w:rPr>
        <w:fldChar w:fldCharType="begin"/>
      </w:r>
      <w:r>
        <w:rPr>
          <w:noProof/>
        </w:rPr>
        <w:instrText xml:space="preserve"> PAGEREF _Toc42697286 \h </w:instrText>
      </w:r>
      <w:r>
        <w:rPr>
          <w:noProof/>
        </w:rPr>
      </w:r>
      <w:r>
        <w:rPr>
          <w:noProof/>
        </w:rPr>
        <w:fldChar w:fldCharType="separate"/>
      </w:r>
      <w:r>
        <w:rPr>
          <w:noProof/>
        </w:rPr>
        <w:t>29</w:t>
      </w:r>
      <w:r>
        <w:rPr>
          <w:noProof/>
        </w:rPr>
        <w:fldChar w:fldCharType="end"/>
      </w:r>
    </w:p>
    <w:p w14:paraId="342D30BC" w14:textId="77777777" w:rsidR="006D7AE5" w:rsidRDefault="006D7AE5">
      <w:pPr>
        <w:pStyle w:val="TOC4"/>
        <w:rPr>
          <w:rFonts w:asciiTheme="minorHAnsi" w:eastAsiaTheme="minorEastAsia" w:hAnsiTheme="minorHAnsi" w:cstheme="minorBidi"/>
          <w:caps w:val="0"/>
          <w:noProof/>
          <w:sz w:val="22"/>
          <w:szCs w:val="22"/>
        </w:rPr>
      </w:pPr>
      <w:r>
        <w:rPr>
          <w:noProof/>
        </w:rPr>
        <w:t>APPENDIX 5 - CONFLICT OF INTEREST DECLARATION</w:t>
      </w:r>
      <w:r>
        <w:rPr>
          <w:noProof/>
        </w:rPr>
        <w:tab/>
      </w:r>
      <w:r>
        <w:rPr>
          <w:noProof/>
        </w:rPr>
        <w:fldChar w:fldCharType="begin"/>
      </w:r>
      <w:r>
        <w:rPr>
          <w:noProof/>
        </w:rPr>
        <w:instrText xml:space="preserve"> PAGEREF _Toc42697287 \h </w:instrText>
      </w:r>
      <w:r>
        <w:rPr>
          <w:noProof/>
        </w:rPr>
      </w:r>
      <w:r>
        <w:rPr>
          <w:noProof/>
        </w:rPr>
        <w:fldChar w:fldCharType="separate"/>
      </w:r>
      <w:r>
        <w:rPr>
          <w:noProof/>
        </w:rPr>
        <w:t>30</w:t>
      </w:r>
      <w:r>
        <w:rPr>
          <w:noProof/>
        </w:rPr>
        <w:fldChar w:fldCharType="end"/>
      </w:r>
    </w:p>
    <w:p w14:paraId="44B3625B" w14:textId="77777777" w:rsidR="006D7AE5" w:rsidRDefault="006D7AE5">
      <w:pPr>
        <w:pStyle w:val="TOC4"/>
        <w:rPr>
          <w:rFonts w:asciiTheme="minorHAnsi" w:eastAsiaTheme="minorEastAsia" w:hAnsiTheme="minorHAnsi" w:cstheme="minorBidi"/>
          <w:caps w:val="0"/>
          <w:noProof/>
          <w:sz w:val="22"/>
          <w:szCs w:val="22"/>
        </w:rPr>
      </w:pPr>
      <w:r>
        <w:rPr>
          <w:noProof/>
        </w:rPr>
        <w:t>APPENDIX 6 - FORM OF TENDER</w:t>
      </w:r>
      <w:r>
        <w:rPr>
          <w:noProof/>
        </w:rPr>
        <w:tab/>
      </w:r>
      <w:r>
        <w:rPr>
          <w:noProof/>
        </w:rPr>
        <w:fldChar w:fldCharType="begin"/>
      </w:r>
      <w:r>
        <w:rPr>
          <w:noProof/>
        </w:rPr>
        <w:instrText xml:space="preserve"> PAGEREF _Toc42697288 \h </w:instrText>
      </w:r>
      <w:r>
        <w:rPr>
          <w:noProof/>
        </w:rPr>
      </w:r>
      <w:r>
        <w:rPr>
          <w:noProof/>
        </w:rPr>
        <w:fldChar w:fldCharType="separate"/>
      </w:r>
      <w:r>
        <w:rPr>
          <w:noProof/>
        </w:rPr>
        <w:t>31</w:t>
      </w:r>
      <w:r>
        <w:rPr>
          <w:noProof/>
        </w:rPr>
        <w:fldChar w:fldCharType="end"/>
      </w:r>
    </w:p>
    <w:p w14:paraId="30D11088" w14:textId="77777777" w:rsidR="006D7AE5" w:rsidRDefault="006D7AE5">
      <w:pPr>
        <w:pStyle w:val="TOC4"/>
        <w:rPr>
          <w:rFonts w:asciiTheme="minorHAnsi" w:eastAsiaTheme="minorEastAsia" w:hAnsiTheme="minorHAnsi" w:cstheme="minorBidi"/>
          <w:caps w:val="0"/>
          <w:noProof/>
          <w:sz w:val="22"/>
          <w:szCs w:val="22"/>
        </w:rPr>
      </w:pPr>
      <w:r>
        <w:rPr>
          <w:noProof/>
        </w:rPr>
        <w:t>APPENDIX 7- FORM OF BAFO INVITATION</w:t>
      </w:r>
      <w:r>
        <w:rPr>
          <w:noProof/>
        </w:rPr>
        <w:tab/>
      </w:r>
      <w:r>
        <w:rPr>
          <w:noProof/>
        </w:rPr>
        <w:fldChar w:fldCharType="begin"/>
      </w:r>
      <w:r>
        <w:rPr>
          <w:noProof/>
        </w:rPr>
        <w:instrText xml:space="preserve"> PAGEREF _Toc42697289 \h </w:instrText>
      </w:r>
      <w:r>
        <w:rPr>
          <w:noProof/>
        </w:rPr>
      </w:r>
      <w:r>
        <w:rPr>
          <w:noProof/>
        </w:rPr>
        <w:fldChar w:fldCharType="separate"/>
      </w:r>
      <w:r>
        <w:rPr>
          <w:noProof/>
        </w:rPr>
        <w:t>34</w:t>
      </w:r>
      <w:r>
        <w:rPr>
          <w:noProof/>
        </w:rPr>
        <w:fldChar w:fldCharType="end"/>
      </w:r>
    </w:p>
    <w:p w14:paraId="3C79F44D" w14:textId="649F8591" w:rsidR="002E1A43" w:rsidRPr="00D231F6" w:rsidRDefault="00165DF8" w:rsidP="002E1A43">
      <w:pPr>
        <w:pStyle w:val="Body"/>
      </w:pPr>
      <w:r>
        <w:rPr>
          <w:rFonts w:eastAsia="Times New Roman"/>
          <w:caps/>
        </w:rPr>
        <w:fldChar w:fldCharType="end"/>
      </w:r>
    </w:p>
    <w:p w14:paraId="2D9E129A" w14:textId="0ACD0791" w:rsidR="006E5991" w:rsidRPr="00D231F6" w:rsidRDefault="007219F7" w:rsidP="002E1A43">
      <w:pPr>
        <w:pStyle w:val="Body"/>
        <w:jc w:val="left"/>
      </w:pPr>
      <w:r w:rsidRPr="00D231F6">
        <w:br w:type="page"/>
      </w:r>
    </w:p>
    <w:p w14:paraId="243C759D" w14:textId="77777777" w:rsidR="007219F7" w:rsidRPr="00D231F6" w:rsidRDefault="007219F7" w:rsidP="006E5991">
      <w:pPr>
        <w:adjustRightInd/>
        <w:jc w:val="left"/>
        <w:rPr>
          <w:rStyle w:val="Level1asHeadingtext"/>
        </w:rPr>
      </w:pPr>
    </w:p>
    <w:p w14:paraId="3E78CF71" w14:textId="72602975" w:rsidR="00F3179E" w:rsidRPr="00D231F6" w:rsidRDefault="00165DF8" w:rsidP="00067A64">
      <w:pPr>
        <w:pStyle w:val="Level1"/>
        <w:keepNext/>
        <w:rPr>
          <w:rStyle w:val="Level1asHeadingtext"/>
          <w:b w:val="0"/>
          <w:bCs w:val="0"/>
          <w:caps w:val="0"/>
        </w:rPr>
      </w:pPr>
      <w:r>
        <w:rPr>
          <w:rStyle w:val="Level1asHeadingtext"/>
        </w:rPr>
        <w:fldChar w:fldCharType="begin"/>
      </w:r>
      <w:r w:rsidRPr="00165DF8">
        <w:instrText xml:space="preserve">  TC "</w:instrText>
      </w:r>
      <w:r>
        <w:fldChar w:fldCharType="begin"/>
      </w:r>
      <w:r w:rsidRPr="00165DF8">
        <w:instrText xml:space="preserve"> REF _Ref439717247 \r </w:instrText>
      </w:r>
      <w:r>
        <w:fldChar w:fldCharType="separate"/>
      </w:r>
      <w:bookmarkStart w:id="3" w:name="_Toc42697276"/>
      <w:r w:rsidR="006D7AE5">
        <w:instrText>1</w:instrText>
      </w:r>
      <w:r>
        <w:fldChar w:fldCharType="end"/>
      </w:r>
      <w:r>
        <w:tab/>
        <w:instrText>INTRODUCTION</w:instrText>
      </w:r>
      <w:bookmarkEnd w:id="3"/>
      <w:r w:rsidRPr="00165DF8">
        <w:instrText xml:space="preserve">" \l1 </w:instrText>
      </w:r>
      <w:r>
        <w:rPr>
          <w:rStyle w:val="Level1asHeadingtext"/>
        </w:rPr>
        <w:fldChar w:fldCharType="end"/>
      </w:r>
      <w:bookmarkStart w:id="4" w:name="_Ref437495198"/>
      <w:bookmarkStart w:id="5" w:name="_Ref437496846"/>
      <w:bookmarkStart w:id="6" w:name="_Ref437497704"/>
      <w:bookmarkStart w:id="7" w:name="_Ref437497510"/>
      <w:bookmarkStart w:id="8" w:name="_Ref437537778"/>
      <w:bookmarkStart w:id="9" w:name="_Ref437538371"/>
      <w:bookmarkStart w:id="10" w:name="_Ref437538625"/>
      <w:bookmarkStart w:id="11" w:name="_Ref437537819"/>
      <w:bookmarkStart w:id="12" w:name="_Ref437538594"/>
      <w:bookmarkStart w:id="13" w:name="_Ref437538215"/>
      <w:bookmarkStart w:id="14" w:name="_Ref437538016"/>
      <w:bookmarkStart w:id="15" w:name="_Ref437538240"/>
      <w:bookmarkStart w:id="16" w:name="_Ref437538678"/>
      <w:bookmarkStart w:id="17" w:name="_Ref439717247"/>
      <w:r w:rsidR="00F3179E" w:rsidRPr="00D231F6">
        <w:rPr>
          <w:rStyle w:val="Level1asHeadingtext"/>
        </w:rPr>
        <w:t>Introduction</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3BBAFFDD" w14:textId="56D8DFBF" w:rsidR="004A3C65" w:rsidRPr="00D231F6" w:rsidRDefault="009C318C" w:rsidP="00E00146">
      <w:pPr>
        <w:pStyle w:val="Level2"/>
        <w:rPr>
          <w:b/>
          <w:bCs/>
          <w:caps/>
        </w:rPr>
      </w:pPr>
      <w:r>
        <w:t>The</w:t>
      </w:r>
      <w:r w:rsidR="000324F7" w:rsidRPr="000324F7">
        <w:t xml:space="preserve"> </w:t>
      </w:r>
      <w:r>
        <w:t>[</w:t>
      </w:r>
      <w:r w:rsidR="000324F7" w:rsidRPr="00A470B9">
        <w:t>Ministry of Justice (MoJ) on behalf of the Secretary of State for Justice</w:t>
      </w:r>
      <w:r>
        <w:t>]</w:t>
      </w:r>
      <w:r w:rsidR="000324F7" w:rsidRPr="00A470B9">
        <w:t xml:space="preserve"> </w:t>
      </w:r>
      <w:r>
        <w:t>[</w:t>
      </w:r>
      <w:r w:rsidR="009E00E9" w:rsidRPr="00D231F6">
        <w:t>name of the Participating Body]</w:t>
      </w:r>
      <w:r w:rsidR="00C10441" w:rsidRPr="00D231F6">
        <w:t xml:space="preserve"> (the "Authority") is issuing this </w:t>
      </w:r>
      <w:r w:rsidR="006C3352">
        <w:t xml:space="preserve">Call-Off </w:t>
      </w:r>
      <w:r w:rsidR="00C10441" w:rsidRPr="00D231F6">
        <w:t>Invitation to Tender ("</w:t>
      </w:r>
      <w:r w:rsidR="006C3352">
        <w:t xml:space="preserve">Call-Off </w:t>
      </w:r>
      <w:r w:rsidR="00C10441" w:rsidRPr="00D231F6">
        <w:t xml:space="preserve">ITT") to all </w:t>
      </w:r>
      <w:r w:rsidR="00DA5B06">
        <w:t>Providers</w:t>
      </w:r>
      <w:r w:rsidR="00C10441" w:rsidRPr="00D231F6">
        <w:t xml:space="preserve"> </w:t>
      </w:r>
      <w:r w:rsidR="00C10441" w:rsidRPr="00A70C7F">
        <w:t>admi</w:t>
      </w:r>
      <w:r w:rsidR="004A3C65" w:rsidRPr="00A70C7F">
        <w:t xml:space="preserve">tted to the </w:t>
      </w:r>
      <w:r w:rsidR="00A70C7F" w:rsidRPr="00A70C7F">
        <w:t>Dynamic Framework</w:t>
      </w:r>
      <w:r w:rsidR="00A70C7F">
        <w:t xml:space="preserve"> Agreement (the "Framework</w:t>
      </w:r>
      <w:r w:rsidR="001D698B">
        <w:t xml:space="preserve"> Agreement</w:t>
      </w:r>
      <w:r w:rsidR="00A70C7F">
        <w:t>") under [</w:t>
      </w:r>
      <w:r w:rsidR="00A70C7F" w:rsidRPr="00A70C7F">
        <w:rPr>
          <w:highlight w:val="yellow"/>
        </w:rPr>
        <w:t xml:space="preserve">Insert </w:t>
      </w:r>
      <w:r w:rsidR="00A70C7F">
        <w:rPr>
          <w:highlight w:val="yellow"/>
        </w:rPr>
        <w:t xml:space="preserve">Framework </w:t>
      </w:r>
      <w:r w:rsidR="00B25B55">
        <w:rPr>
          <w:highlight w:val="yellow"/>
        </w:rPr>
        <w:t xml:space="preserve">Services </w:t>
      </w:r>
      <w:r w:rsidR="00A70C7F" w:rsidRPr="00A70C7F">
        <w:rPr>
          <w:highlight w:val="yellow"/>
        </w:rPr>
        <w:t>Category</w:t>
      </w:r>
      <w:r w:rsidR="00A70C7F">
        <w:t>]</w:t>
      </w:r>
      <w:r w:rsidR="00554439">
        <w:t xml:space="preserve"> within [</w:t>
      </w:r>
      <w:r w:rsidR="00554439" w:rsidRPr="00E53E99">
        <w:rPr>
          <w:highlight w:val="yellow"/>
        </w:rPr>
        <w:t>Insert Geographical Location</w:t>
      </w:r>
      <w:r w:rsidR="00554439">
        <w:t>]</w:t>
      </w:r>
      <w:r w:rsidR="004A3C65" w:rsidRPr="00A70C7F">
        <w:t>.</w:t>
      </w:r>
      <w:r w:rsidR="006C3352">
        <w:t xml:space="preserve"> </w:t>
      </w:r>
    </w:p>
    <w:p w14:paraId="0FF684A6" w14:textId="2A3D2D4D" w:rsidR="006C3352" w:rsidRPr="0036221C" w:rsidRDefault="004A3C65" w:rsidP="00E00146">
      <w:pPr>
        <w:pStyle w:val="Level2"/>
        <w:rPr>
          <w:b/>
        </w:rPr>
      </w:pPr>
      <w:r w:rsidRPr="00D231F6">
        <w:t xml:space="preserve">The Authority is conducting this </w:t>
      </w:r>
      <w:r w:rsidR="006C3352">
        <w:t>Call-Off Competition</w:t>
      </w:r>
      <w:r w:rsidRPr="00D231F6">
        <w:t xml:space="preserve"> under the [</w:t>
      </w:r>
      <w:r w:rsidRPr="006C3352">
        <w:rPr>
          <w:highlight w:val="yellow"/>
        </w:rPr>
        <w:t>One Stage Procurement Route / Two Stage Procurement Route / Four Stage Procurement Route]</w:t>
      </w:r>
      <w:r w:rsidRPr="00D231F6">
        <w:t xml:space="preserve"> in </w:t>
      </w:r>
      <w:r w:rsidRPr="00B25B55">
        <w:t xml:space="preserve">accordance with </w:t>
      </w:r>
      <w:r w:rsidR="006C3352" w:rsidRPr="008C7C59">
        <w:t xml:space="preserve">Schedule </w:t>
      </w:r>
      <w:r w:rsidR="00B25B55" w:rsidRPr="00B25B55">
        <w:t>5</w:t>
      </w:r>
      <w:r w:rsidR="00B25B55">
        <w:t xml:space="preserve"> (Call-Off Procedure)</w:t>
      </w:r>
      <w:r w:rsidRPr="00B25B55">
        <w:t xml:space="preserve"> </w:t>
      </w:r>
      <w:r w:rsidR="006C3352" w:rsidRPr="00B25B55">
        <w:t xml:space="preserve">of the </w:t>
      </w:r>
      <w:r w:rsidRPr="00B25B55">
        <w:t xml:space="preserve">Framework Agreement. </w:t>
      </w:r>
      <w:bookmarkStart w:id="18" w:name="_Toc23961939"/>
      <w:r w:rsidR="00BE54D9" w:rsidRPr="00B25B55">
        <w:t>The Authority shall conduct this Call-Off</w:t>
      </w:r>
      <w:r w:rsidR="00BE54D9">
        <w:t xml:space="preserve"> Competition</w:t>
      </w:r>
      <w:r w:rsidR="00BE54D9" w:rsidRPr="00771A0C">
        <w:t xml:space="preserve"> in accordance with the rules of the "Light Touch Regime" (LTR) as set out in the Regulations. This ITT is issued to </w:t>
      </w:r>
      <w:r w:rsidR="00BE54D9">
        <w:t>Providers</w:t>
      </w:r>
      <w:r w:rsidR="00BE54D9" w:rsidRPr="00771A0C">
        <w:t xml:space="preserve"> who have be</w:t>
      </w:r>
      <w:r w:rsidR="00BE54D9">
        <w:t xml:space="preserve">en successful </w:t>
      </w:r>
      <w:r w:rsidR="00B25B55">
        <w:t>in one or more of the Framework Service Categories covered by this Call-Off ITT at</w:t>
      </w:r>
      <w:r w:rsidR="00BE54D9">
        <w:t xml:space="preserve"> the selection s</w:t>
      </w:r>
      <w:r w:rsidR="00BE54D9" w:rsidRPr="00771A0C">
        <w:t>tage</w:t>
      </w:r>
      <w:r w:rsidR="00BE54D9">
        <w:t xml:space="preserve"> of the p</w:t>
      </w:r>
      <w:r w:rsidR="00BE54D9" w:rsidRPr="00771A0C">
        <w:t>rocurement</w:t>
      </w:r>
      <w:r w:rsidR="00BE54D9">
        <w:t xml:space="preserve"> of the Framework Agreement</w:t>
      </w:r>
      <w:r w:rsidR="0036221C">
        <w:t>,</w:t>
      </w:r>
      <w:r w:rsidR="00B25B55">
        <w:t xml:space="preserve"> and have indicated</w:t>
      </w:r>
      <w:r w:rsidR="0036221C" w:rsidRPr="0036221C">
        <w:t xml:space="preserve"> </w:t>
      </w:r>
      <w:r w:rsidR="0036221C">
        <w:t>that they can</w:t>
      </w:r>
      <w:r w:rsidR="00167646">
        <w:t xml:space="preserve"> or would be able to</w:t>
      </w:r>
      <w:r w:rsidR="0036221C">
        <w:t xml:space="preserve"> provide Services in the Geographical Location(s) covered by this Call-Off ITT</w:t>
      </w:r>
      <w:r w:rsidR="0036221C" w:rsidRPr="00771A0C">
        <w:t>.</w:t>
      </w:r>
      <w:bookmarkEnd w:id="18"/>
    </w:p>
    <w:p w14:paraId="7F4B9317" w14:textId="2AFC7C67" w:rsidR="004A3C65" w:rsidRPr="00D231F6" w:rsidRDefault="004A3C65" w:rsidP="00E00146">
      <w:pPr>
        <w:pStyle w:val="Level2"/>
        <w:rPr>
          <w:b/>
          <w:bCs/>
          <w:caps/>
        </w:rPr>
      </w:pPr>
      <w:r w:rsidRPr="00D231F6">
        <w:t xml:space="preserve">Should </w:t>
      </w:r>
      <w:r w:rsidR="00DA5B06">
        <w:t>Provider</w:t>
      </w:r>
      <w:r w:rsidRPr="00D231F6">
        <w:t xml:space="preserve">s </w:t>
      </w:r>
      <w:r w:rsidR="00C117F3" w:rsidRPr="00D231F6">
        <w:t>wish to raise any clarifications</w:t>
      </w:r>
      <w:r w:rsidR="006C3352">
        <w:t xml:space="preserve"> in relation to this Call-Off Competition</w:t>
      </w:r>
      <w:r w:rsidR="00C117F3" w:rsidRPr="00D231F6">
        <w:t xml:space="preserve">, they must follow the process outlined at paragraph </w:t>
      </w:r>
      <w:r w:rsidR="00D231F6" w:rsidRPr="00D231F6">
        <w:fldChar w:fldCharType="begin"/>
      </w:r>
      <w:r w:rsidR="00D231F6" w:rsidRPr="00D231F6">
        <w:instrText xml:space="preserve"> REF _Ref70000000 \h \n \p \* MERGEFORMAT </w:instrText>
      </w:r>
      <w:r w:rsidR="00D231F6" w:rsidRPr="00D231F6">
        <w:fldChar w:fldCharType="separate"/>
      </w:r>
      <w:r w:rsidR="006D7AE5">
        <w:t>7.8 below</w:t>
      </w:r>
      <w:r w:rsidR="00D231F6" w:rsidRPr="00D231F6">
        <w:fldChar w:fldCharType="end"/>
      </w:r>
      <w:r w:rsidR="00C117F3" w:rsidRPr="00D231F6">
        <w:t xml:space="preserve">. All capitalised terms used within this document shall have the meanings ascribed to them in </w:t>
      </w:r>
      <w:r w:rsidR="00B25B55">
        <w:t>Schedule 1 (Definitions) of the Framework Agreement, unless otherwise stated in this Call-Off ITT</w:t>
      </w:r>
      <w:r w:rsidR="00C117F3" w:rsidRPr="00D231F6">
        <w:t>.</w:t>
      </w:r>
    </w:p>
    <w:p w14:paraId="1156E1CE" w14:textId="4317B838" w:rsidR="00C117F3" w:rsidRPr="005B43CC" w:rsidRDefault="00DE11B6" w:rsidP="00E00146">
      <w:pPr>
        <w:pStyle w:val="Level2"/>
        <w:rPr>
          <w:b/>
          <w:bCs/>
          <w:caps/>
        </w:rPr>
      </w:pPr>
      <w:r>
        <w:t xml:space="preserve">The Authority intends to award a Call-Off Contract to the Provider who is identified to have submitted the most economically advantageous tender in accordance with the requirements of the </w:t>
      </w:r>
      <w:r w:rsidR="006C3352" w:rsidRPr="006C3352">
        <w:t>Call-Off Competition</w:t>
      </w:r>
      <w:r>
        <w:t>.</w:t>
      </w:r>
    </w:p>
    <w:p w14:paraId="756B734D" w14:textId="219E7CDF" w:rsidR="005B43CC" w:rsidRPr="00CB30EA" w:rsidRDefault="005B43CC" w:rsidP="00E00146">
      <w:pPr>
        <w:pStyle w:val="Level2"/>
        <w:rPr>
          <w:b/>
          <w:bCs/>
          <w:caps/>
        </w:rPr>
      </w:pPr>
      <w:r w:rsidRPr="005B43CC">
        <w:rPr>
          <w:b/>
        </w:rPr>
        <w:t>Please see Paragraph</w:t>
      </w:r>
      <w:r w:rsidR="002F7228">
        <w:rPr>
          <w:b/>
        </w:rPr>
        <w:t>s</w:t>
      </w:r>
      <w:r w:rsidRPr="005B43CC">
        <w:rPr>
          <w:b/>
        </w:rPr>
        <w:t xml:space="preserve"> </w:t>
      </w:r>
      <w:r w:rsidRPr="002F7228">
        <w:rPr>
          <w:b/>
        </w:rPr>
        <w:fldChar w:fldCharType="begin"/>
      </w:r>
      <w:r w:rsidRPr="002F7228">
        <w:rPr>
          <w:b/>
        </w:rPr>
        <w:instrText xml:space="preserve"> REF _Ref40803663 \r \h </w:instrText>
      </w:r>
      <w:r w:rsidR="002F7228">
        <w:rPr>
          <w:b/>
        </w:rPr>
        <w:instrText xml:space="preserve"> \* MERGEFORMAT </w:instrText>
      </w:r>
      <w:r w:rsidRPr="002F7228">
        <w:rPr>
          <w:b/>
        </w:rPr>
      </w:r>
      <w:r w:rsidRPr="002F7228">
        <w:rPr>
          <w:b/>
        </w:rPr>
        <w:fldChar w:fldCharType="separate"/>
      </w:r>
      <w:r w:rsidR="006D7AE5">
        <w:rPr>
          <w:b/>
        </w:rPr>
        <w:t>1.17</w:t>
      </w:r>
      <w:r w:rsidRPr="002F7228">
        <w:rPr>
          <w:b/>
        </w:rPr>
        <w:fldChar w:fldCharType="end"/>
      </w:r>
      <w:r w:rsidR="002F7228" w:rsidRPr="002F7228">
        <w:rPr>
          <w:b/>
        </w:rPr>
        <w:t xml:space="preserve"> to </w:t>
      </w:r>
      <w:r w:rsidR="002F7228" w:rsidRPr="002F7228">
        <w:rPr>
          <w:b/>
        </w:rPr>
        <w:fldChar w:fldCharType="begin"/>
      </w:r>
      <w:r w:rsidR="002F7228" w:rsidRPr="002F7228">
        <w:rPr>
          <w:b/>
        </w:rPr>
        <w:instrText xml:space="preserve"> REF _Ref40808265 \r \h </w:instrText>
      </w:r>
      <w:r w:rsidR="002F7228">
        <w:rPr>
          <w:b/>
        </w:rPr>
        <w:instrText xml:space="preserve"> \* MERGEFORMAT </w:instrText>
      </w:r>
      <w:r w:rsidR="002F7228" w:rsidRPr="002F7228">
        <w:rPr>
          <w:b/>
        </w:rPr>
      </w:r>
      <w:r w:rsidR="002F7228" w:rsidRPr="002F7228">
        <w:rPr>
          <w:b/>
        </w:rPr>
        <w:fldChar w:fldCharType="separate"/>
      </w:r>
      <w:r w:rsidR="006D7AE5">
        <w:rPr>
          <w:b/>
        </w:rPr>
        <w:t>1.21</w:t>
      </w:r>
      <w:r w:rsidR="002F7228" w:rsidRPr="002F7228">
        <w:rPr>
          <w:b/>
        </w:rPr>
        <w:fldChar w:fldCharType="end"/>
      </w:r>
      <w:r w:rsidRPr="005B43CC">
        <w:rPr>
          <w:b/>
        </w:rPr>
        <w:t xml:space="preserve"> </w:t>
      </w:r>
      <w:r w:rsidR="002F7228">
        <w:rPr>
          <w:b/>
        </w:rPr>
        <w:t xml:space="preserve"> below </w:t>
      </w:r>
      <w:r w:rsidRPr="005B43CC">
        <w:rPr>
          <w:b/>
        </w:rPr>
        <w:t>and ensure that you are able to participate in this Call-Off Competition before you complete your Call-Off ITT response</w:t>
      </w:r>
      <w:r w:rsidR="002F7228">
        <w:rPr>
          <w:b/>
        </w:rPr>
        <w:t>, noting the timetable requirements of this Call-Off Competition</w:t>
      </w:r>
      <w:r>
        <w:t>.</w:t>
      </w:r>
      <w:r w:rsidR="00E0292B">
        <w:t xml:space="preserve"> </w:t>
      </w:r>
    </w:p>
    <w:p w14:paraId="4D214678" w14:textId="77777777" w:rsidR="00CB30EA" w:rsidRPr="00B17D85" w:rsidRDefault="00CB30EA" w:rsidP="00E00146">
      <w:pPr>
        <w:pStyle w:val="Level2"/>
        <w:rPr>
          <w:b/>
          <w:bCs/>
          <w:caps/>
        </w:rPr>
      </w:pPr>
      <w:r w:rsidRPr="00B17D85">
        <w:rPr>
          <w:b/>
        </w:rPr>
        <w:t xml:space="preserve">Background </w:t>
      </w:r>
    </w:p>
    <w:p w14:paraId="109950FF" w14:textId="6A587124" w:rsidR="00CB30EA" w:rsidRPr="00B17D85" w:rsidRDefault="009A1337" w:rsidP="009A1337">
      <w:pPr>
        <w:pStyle w:val="Level2"/>
      </w:pPr>
      <w:r w:rsidRPr="00B17D85">
        <w:t xml:space="preserve">The Ministry of Justice, acting on behalf of the Secretary of State for Justice </w:t>
      </w:r>
      <w:r w:rsidR="00601C13">
        <w:t xml:space="preserve">advertised </w:t>
      </w:r>
      <w:r w:rsidR="008B03B0">
        <w:t xml:space="preserve">the Dynamic Framework in </w:t>
      </w:r>
      <w:r w:rsidR="00601C13">
        <w:t xml:space="preserve">June </w:t>
      </w:r>
      <w:r w:rsidR="008B03B0">
        <w:t>2020</w:t>
      </w:r>
      <w:r w:rsidRPr="00B17D85">
        <w:t xml:space="preserve">, for the ongoing appointment of Providers to deliver Rehabilitation and Resettlement services </w:t>
      </w:r>
      <w:r w:rsidR="00167646">
        <w:t>(the "</w:t>
      </w:r>
      <w:r w:rsidR="00167646" w:rsidRPr="00167646">
        <w:rPr>
          <w:b/>
        </w:rPr>
        <w:t>Services</w:t>
      </w:r>
      <w:r w:rsidR="00167646">
        <w:t xml:space="preserve">") </w:t>
      </w:r>
      <w:r w:rsidRPr="00167646">
        <w:t>to</w:t>
      </w:r>
      <w:r w:rsidRPr="00B17D85">
        <w:t xml:space="preserve"> meet </w:t>
      </w:r>
      <w:r w:rsidR="00167646">
        <w:t>Service Users</w:t>
      </w:r>
      <w:r w:rsidR="0099701F">
        <w:t>'</w:t>
      </w:r>
      <w:r w:rsidR="00167646" w:rsidRPr="00B17D85">
        <w:t xml:space="preserve"> </w:t>
      </w:r>
      <w:r w:rsidRPr="00B17D85">
        <w:t>needs. Further detail is provided in</w:t>
      </w:r>
      <w:r w:rsidR="00601C13">
        <w:t xml:space="preserve"> the Invitation to Participate Part A</w:t>
      </w:r>
      <w:r w:rsidRPr="00B17D85">
        <w:t xml:space="preserve"> document.</w:t>
      </w:r>
    </w:p>
    <w:p w14:paraId="1F4AFB12" w14:textId="333D3590" w:rsidR="009A1337" w:rsidRPr="00CB30EA" w:rsidRDefault="00B30958" w:rsidP="009A1337">
      <w:pPr>
        <w:pStyle w:val="Level2"/>
        <w:rPr>
          <w:highlight w:val="yellow"/>
        </w:rPr>
      </w:pPr>
      <w:r>
        <w:rPr>
          <w:highlight w:val="yellow"/>
        </w:rPr>
        <w:t>[</w:t>
      </w:r>
      <w:r w:rsidR="00D473DE" w:rsidRPr="00D473DE">
        <w:rPr>
          <w:b/>
          <w:highlight w:val="yellow"/>
        </w:rPr>
        <w:t xml:space="preserve">Drafting Note: </w:t>
      </w:r>
      <w:r w:rsidR="001C4238" w:rsidRPr="00D473DE">
        <w:rPr>
          <w:b/>
          <w:highlight w:val="yellow"/>
        </w:rPr>
        <w:t xml:space="preserve">This section is to provide some context to Providers. The </w:t>
      </w:r>
      <w:r w:rsidR="0060157D">
        <w:rPr>
          <w:b/>
          <w:highlight w:val="yellow"/>
        </w:rPr>
        <w:t>relevant Participating Body that is the "Authority" under this Call-Off ITT</w:t>
      </w:r>
      <w:r w:rsidR="0060157D" w:rsidRPr="00D473DE">
        <w:rPr>
          <w:b/>
          <w:highlight w:val="yellow"/>
        </w:rPr>
        <w:t xml:space="preserve"> </w:t>
      </w:r>
      <w:r w:rsidR="001C4238" w:rsidRPr="00D473DE">
        <w:rPr>
          <w:b/>
          <w:highlight w:val="yellow"/>
        </w:rPr>
        <w:t>should</w:t>
      </w:r>
      <w:r w:rsidRPr="00D473DE">
        <w:rPr>
          <w:b/>
          <w:highlight w:val="yellow"/>
        </w:rPr>
        <w:t xml:space="preserve"> add in any relevant background</w:t>
      </w:r>
      <w:r w:rsidR="00EE3D5C" w:rsidRPr="00D473DE">
        <w:rPr>
          <w:b/>
          <w:highlight w:val="yellow"/>
        </w:rPr>
        <w:t xml:space="preserve"> information</w:t>
      </w:r>
      <w:r w:rsidR="001C4238" w:rsidRPr="00D473DE">
        <w:rPr>
          <w:b/>
          <w:highlight w:val="yellow"/>
        </w:rPr>
        <w:t xml:space="preserve"> about itself, plus </w:t>
      </w:r>
      <w:r w:rsidR="00EE3D5C" w:rsidRPr="00D473DE">
        <w:rPr>
          <w:b/>
          <w:highlight w:val="yellow"/>
        </w:rPr>
        <w:t>any relevant</w:t>
      </w:r>
      <w:r w:rsidR="001C4238" w:rsidRPr="00D473DE">
        <w:rPr>
          <w:b/>
          <w:highlight w:val="yellow"/>
        </w:rPr>
        <w:t xml:space="preserve"> background</w:t>
      </w:r>
      <w:r w:rsidRPr="00D473DE">
        <w:rPr>
          <w:b/>
          <w:highlight w:val="yellow"/>
        </w:rPr>
        <w:t xml:space="preserve"> to this </w:t>
      </w:r>
      <w:r w:rsidR="001C4238" w:rsidRPr="00D473DE">
        <w:rPr>
          <w:b/>
          <w:highlight w:val="yellow"/>
        </w:rPr>
        <w:t>requirement</w:t>
      </w:r>
      <w:r w:rsidR="00EE3D5C" w:rsidRPr="00D473DE">
        <w:rPr>
          <w:b/>
          <w:highlight w:val="yellow"/>
        </w:rPr>
        <w:t>, noting that the section below will set out some detail on the call-off opportunity itself</w:t>
      </w:r>
      <w:r w:rsidR="001C4238">
        <w:rPr>
          <w:highlight w:val="yellow"/>
        </w:rPr>
        <w:t>.</w:t>
      </w:r>
      <w:r w:rsidR="00E67AB2">
        <w:rPr>
          <w:highlight w:val="yellow"/>
        </w:rPr>
        <w:t>]</w:t>
      </w:r>
      <w:r>
        <w:rPr>
          <w:highlight w:val="yellow"/>
        </w:rPr>
        <w:t xml:space="preserve"> </w:t>
      </w:r>
    </w:p>
    <w:p w14:paraId="7D8714B4" w14:textId="77777777" w:rsidR="004F03F5" w:rsidRPr="00D231F6" w:rsidRDefault="004F03F5" w:rsidP="004F03F5">
      <w:pPr>
        <w:pStyle w:val="Level2"/>
        <w:keepNext/>
        <w:rPr>
          <w:rStyle w:val="Level2asHeadingtext"/>
          <w:b w:val="0"/>
          <w:bCs w:val="0"/>
        </w:rPr>
      </w:pPr>
      <w:r w:rsidRPr="00D231F6">
        <w:rPr>
          <w:rStyle w:val="Level2asHeadingtext"/>
        </w:rPr>
        <w:t>The Opportunity</w:t>
      </w:r>
    </w:p>
    <w:p w14:paraId="11CA1B33" w14:textId="2B48F01F" w:rsidR="00E67AB2" w:rsidRPr="00644477" w:rsidRDefault="00E67AB2" w:rsidP="004F03F5">
      <w:pPr>
        <w:pStyle w:val="Level2"/>
      </w:pPr>
      <w:r>
        <w:t xml:space="preserve">This Call-Off Competition covers </w:t>
      </w:r>
      <w:r w:rsidR="00644477">
        <w:t>[</w:t>
      </w:r>
      <w:r w:rsidR="00D473DE" w:rsidRPr="00D473DE">
        <w:rPr>
          <w:b/>
          <w:highlight w:val="yellow"/>
        </w:rPr>
        <w:t>Drafting Note:</w:t>
      </w:r>
      <w:r w:rsidR="00D473DE" w:rsidRPr="00D473DE">
        <w:rPr>
          <w:b/>
        </w:rPr>
        <w:t xml:space="preserve"> </w:t>
      </w:r>
      <w:r w:rsidRPr="00D473DE">
        <w:rPr>
          <w:b/>
          <w:highlight w:val="yellow"/>
        </w:rPr>
        <w:t>Authority to insert the relevant information</w:t>
      </w:r>
      <w:r w:rsidR="00644477" w:rsidRPr="00D473DE">
        <w:rPr>
          <w:b/>
          <w:highlight w:val="yellow"/>
        </w:rPr>
        <w:t xml:space="preserve"> on Service Categories /combination of Service Categories</w:t>
      </w:r>
      <w:r w:rsidRPr="00E67AB2">
        <w:rPr>
          <w:highlight w:val="yellow"/>
        </w:rPr>
        <w:t>]</w:t>
      </w:r>
      <w:r>
        <w:rPr>
          <w:highlight w:val="yellow"/>
        </w:rPr>
        <w:t xml:space="preserve"> </w:t>
      </w:r>
      <w:r w:rsidRPr="00644477">
        <w:t xml:space="preserve">in the following Geographical Locations </w:t>
      </w:r>
      <w:r>
        <w:rPr>
          <w:highlight w:val="yellow"/>
        </w:rPr>
        <w:t>[</w:t>
      </w:r>
      <w:r w:rsidRPr="00EF697E">
        <w:rPr>
          <w:b/>
          <w:highlight w:val="yellow"/>
        </w:rPr>
        <w:t>Authority to insert the relevant information, which can be set out here or in an Annex if more appropriate and cross referred to</w:t>
      </w:r>
      <w:r>
        <w:rPr>
          <w:highlight w:val="yellow"/>
        </w:rPr>
        <w:t>]</w:t>
      </w:r>
      <w:r w:rsidR="00644477">
        <w:rPr>
          <w:highlight w:val="yellow"/>
        </w:rPr>
        <w:t xml:space="preserve"> </w:t>
      </w:r>
    </w:p>
    <w:p w14:paraId="7CCD15EA" w14:textId="7EB16C83" w:rsidR="00E67AB2" w:rsidRPr="001C4238" w:rsidRDefault="0060157D" w:rsidP="004F03F5">
      <w:pPr>
        <w:pStyle w:val="Level2"/>
        <w:rPr>
          <w:highlight w:val="yellow"/>
        </w:rPr>
      </w:pPr>
      <w:r>
        <w:rPr>
          <w:highlight w:val="yellow"/>
        </w:rPr>
        <w:t>The Services are set out in more detail in Schedule 2.</w:t>
      </w:r>
      <w:r w:rsidR="00EC36CA">
        <w:rPr>
          <w:highlight w:val="yellow"/>
        </w:rPr>
        <w:t>1 (Service Description) of the D</w:t>
      </w:r>
      <w:r>
        <w:rPr>
          <w:highlight w:val="yellow"/>
        </w:rPr>
        <w:t xml:space="preserve">raft Call-Off Contract issued with this Call-Off ITT and the Provider should familiarise itself with these in responding to this Call-Off ITT.  </w:t>
      </w:r>
      <w:r w:rsidR="00E67AB2">
        <w:rPr>
          <w:highlight w:val="yellow"/>
        </w:rPr>
        <w:t>[</w:t>
      </w:r>
      <w:r w:rsidR="00D473DE" w:rsidRPr="00D473DE">
        <w:rPr>
          <w:b/>
          <w:highlight w:val="yellow"/>
        </w:rPr>
        <w:t>Drafting Note:</w:t>
      </w:r>
      <w:r w:rsidR="00D473DE" w:rsidRPr="00D473DE">
        <w:rPr>
          <w:b/>
        </w:rPr>
        <w:t xml:space="preserve"> </w:t>
      </w:r>
      <w:r>
        <w:rPr>
          <w:b/>
          <w:highlight w:val="yellow"/>
        </w:rPr>
        <w:t>Relevant Participating</w:t>
      </w:r>
      <w:r w:rsidR="002C02A7">
        <w:rPr>
          <w:b/>
          <w:highlight w:val="yellow"/>
        </w:rPr>
        <w:t xml:space="preserve"> Body</w:t>
      </w:r>
      <w:r>
        <w:rPr>
          <w:b/>
          <w:highlight w:val="yellow"/>
        </w:rPr>
        <w:t xml:space="preserve"> ensure</w:t>
      </w:r>
      <w:r w:rsidR="00E67AB2" w:rsidRPr="00D473DE">
        <w:rPr>
          <w:b/>
          <w:highlight w:val="yellow"/>
        </w:rPr>
        <w:t xml:space="preserve"> sufficient detail </w:t>
      </w:r>
      <w:r>
        <w:rPr>
          <w:b/>
          <w:highlight w:val="yellow"/>
        </w:rPr>
        <w:t xml:space="preserve">is </w:t>
      </w:r>
      <w:r w:rsidR="00E67AB2" w:rsidRPr="00D473DE">
        <w:rPr>
          <w:b/>
          <w:highlight w:val="yellow"/>
        </w:rPr>
        <w:t xml:space="preserve">provided </w:t>
      </w:r>
      <w:r w:rsidR="00EC36CA">
        <w:rPr>
          <w:b/>
          <w:highlight w:val="yellow"/>
        </w:rPr>
        <w:t>in Schedule 2.1 of the D</w:t>
      </w:r>
      <w:r>
        <w:rPr>
          <w:b/>
          <w:highlight w:val="yellow"/>
        </w:rPr>
        <w:t xml:space="preserve">raft Call-Off Contract </w:t>
      </w:r>
      <w:r w:rsidR="00E67AB2" w:rsidRPr="00D473DE">
        <w:rPr>
          <w:b/>
          <w:highlight w:val="yellow"/>
        </w:rPr>
        <w:t>so as to allow for a supplier on the DF to make a decision as to whether to bid</w:t>
      </w:r>
      <w:r w:rsidR="00E67AB2">
        <w:rPr>
          <w:highlight w:val="yellow"/>
        </w:rPr>
        <w:t xml:space="preserve">.] </w:t>
      </w:r>
    </w:p>
    <w:p w14:paraId="39C46C18" w14:textId="77777777" w:rsidR="001C4238" w:rsidRPr="00466948" w:rsidRDefault="001C4238" w:rsidP="001C4238">
      <w:pPr>
        <w:pStyle w:val="Level2"/>
        <w:rPr>
          <w:b/>
          <w:bCs/>
          <w:caps/>
        </w:rPr>
      </w:pPr>
      <w:r w:rsidRPr="00CB30EA">
        <w:rPr>
          <w:b/>
        </w:rPr>
        <w:t xml:space="preserve">Purpose of this Call-Off ITT </w:t>
      </w:r>
    </w:p>
    <w:p w14:paraId="3F73B2AE" w14:textId="77777777" w:rsidR="001C4238" w:rsidRPr="00B66F51" w:rsidRDefault="001C4238" w:rsidP="001C4238">
      <w:pPr>
        <w:pStyle w:val="Level2"/>
        <w:rPr>
          <w:b/>
        </w:rPr>
      </w:pPr>
      <w:r>
        <w:t xml:space="preserve">This Call-Off ITT sets out the process the Authority will follow to conduct the Call-Off Competition </w:t>
      </w:r>
      <w:r w:rsidRPr="00B66F51">
        <w:t xml:space="preserve">together with the award criteria which will apply to the assessment of </w:t>
      </w:r>
      <w:r w:rsidRPr="00B66F51">
        <w:rPr>
          <w:highlight w:val="yellow"/>
        </w:rPr>
        <w:t>[the Further Qualification Response and</w:t>
      </w:r>
      <w:r>
        <w:rPr>
          <w:highlight w:val="yellow"/>
        </w:rPr>
        <w:t>/or</w:t>
      </w:r>
      <w:r w:rsidRPr="00B66F51">
        <w:rPr>
          <w:highlight w:val="yellow"/>
        </w:rPr>
        <w:t>]</w:t>
      </w:r>
      <w:r w:rsidRPr="00B66F51">
        <w:t xml:space="preserve"> </w:t>
      </w:r>
      <w:r>
        <w:t xml:space="preserve">the </w:t>
      </w:r>
      <w:r w:rsidRPr="00B66F51">
        <w:t>Tender Response.</w:t>
      </w:r>
    </w:p>
    <w:p w14:paraId="549A8E82" w14:textId="08C680F0" w:rsidR="001C4238" w:rsidRDefault="001C4238" w:rsidP="001C4238">
      <w:pPr>
        <w:pStyle w:val="Level2"/>
      </w:pPr>
      <w:bookmarkStart w:id="19" w:name="_Ref26525600"/>
      <w:r w:rsidRPr="00D231F6">
        <w:lastRenderedPageBreak/>
        <w:t xml:space="preserve">This </w:t>
      </w:r>
      <w:r>
        <w:t xml:space="preserve">Call-Off </w:t>
      </w:r>
      <w:r w:rsidRPr="00D231F6">
        <w:t xml:space="preserve">ITT provides details </w:t>
      </w:r>
      <w:r>
        <w:t xml:space="preserve">on </w:t>
      </w:r>
      <w:r w:rsidRPr="00D231F6">
        <w:t xml:space="preserve">how to submit your </w:t>
      </w:r>
      <w:r w:rsidRPr="007B43FF">
        <w:rPr>
          <w:highlight w:val="yellow"/>
        </w:rPr>
        <w:t xml:space="preserve">[Further Qualification Response </w:t>
      </w:r>
      <w:r w:rsidR="00176B0B">
        <w:rPr>
          <w:highlight w:val="yellow"/>
        </w:rPr>
        <w:t>[</w:t>
      </w:r>
      <w:r w:rsidRPr="007B43FF">
        <w:rPr>
          <w:highlight w:val="yellow"/>
        </w:rPr>
        <w:t>and</w:t>
      </w:r>
      <w:r w:rsidR="00176B0B">
        <w:rPr>
          <w:highlight w:val="yellow"/>
        </w:rPr>
        <w:t>]</w:t>
      </w:r>
      <w:r w:rsidRPr="007B43FF">
        <w:rPr>
          <w:highlight w:val="yellow"/>
        </w:rPr>
        <w:t>]</w:t>
      </w:r>
      <w:r w:rsidRPr="00D231F6">
        <w:t xml:space="preserve"> Tender Response</w:t>
      </w:r>
      <w:r w:rsidR="00176B0B">
        <w:t xml:space="preserve"> [and BAFO</w:t>
      </w:r>
      <w:r w:rsidR="00644477">
        <w:t>]</w:t>
      </w:r>
      <w:r w:rsidRPr="00D231F6">
        <w:t xml:space="preserve">. The </w:t>
      </w:r>
      <w:r w:rsidR="0060157D">
        <w:t>[</w:t>
      </w:r>
      <w:r w:rsidRPr="00D231F6">
        <w:t>Tender Response</w:t>
      </w:r>
      <w:r w:rsidR="0060157D">
        <w:t xml:space="preserve">/BAFO] </w:t>
      </w:r>
      <w:r w:rsidRPr="00D231F6">
        <w:t xml:space="preserve">is the </w:t>
      </w:r>
      <w:r>
        <w:t>Provider</w:t>
      </w:r>
      <w:r w:rsidRPr="00D231F6">
        <w:t xml:space="preserve">'s solution on which they will be evaluated and the basis upon which the Authority will identify the Preferred </w:t>
      </w:r>
      <w:r>
        <w:t>Provider</w:t>
      </w:r>
      <w:r w:rsidRPr="00D231F6">
        <w:t>.</w:t>
      </w:r>
      <w:bookmarkEnd w:id="19"/>
    </w:p>
    <w:p w14:paraId="03F06E4F" w14:textId="3AA255DC" w:rsidR="001C4238" w:rsidRPr="001C4238" w:rsidRDefault="001C4238" w:rsidP="004F03F5">
      <w:pPr>
        <w:pStyle w:val="Level2"/>
      </w:pPr>
      <w:r>
        <w:t xml:space="preserve">[This Call-Off ITT </w:t>
      </w:r>
      <w:r w:rsidRPr="00466948">
        <w:t>should be read in conjunction with</w:t>
      </w:r>
      <w:r>
        <w:t xml:space="preserve"> the </w:t>
      </w:r>
      <w:r w:rsidR="0060157D">
        <w:t xml:space="preserve">Framework Agreement and the </w:t>
      </w:r>
      <w:r w:rsidR="00803458">
        <w:t>D</w:t>
      </w:r>
      <w:r>
        <w:t xml:space="preserve">raft Call-Off </w:t>
      </w:r>
      <w:r w:rsidR="0060157D">
        <w:t>Contract (which comprises the Call-Off Order Form and relevant accompanying Schedules)</w:t>
      </w:r>
      <w:r w:rsidRPr="00466948">
        <w:t xml:space="preserve"> </w:t>
      </w:r>
      <w:r w:rsidRPr="00466948">
        <w:rPr>
          <w:highlight w:val="yellow"/>
        </w:rPr>
        <w:t>[</w:t>
      </w:r>
      <w:r>
        <w:rPr>
          <w:highlight w:val="yellow"/>
        </w:rPr>
        <w:t>and [</w:t>
      </w:r>
      <w:r w:rsidRPr="00355DD4">
        <w:rPr>
          <w:b/>
          <w:highlight w:val="yellow"/>
        </w:rPr>
        <w:t>Authority to insert any relevant documentation</w:t>
      </w:r>
      <w:r w:rsidRPr="00466948">
        <w:rPr>
          <w:highlight w:val="yellow"/>
        </w:rPr>
        <w:t>]</w:t>
      </w:r>
      <w:r>
        <w:t>]</w:t>
      </w:r>
      <w:r w:rsidRPr="00466948">
        <w:t>.</w:t>
      </w:r>
    </w:p>
    <w:p w14:paraId="77D7AD01" w14:textId="3E97AF40" w:rsidR="00F259F4" w:rsidRPr="005B43CC" w:rsidRDefault="00734CA8" w:rsidP="00F259F4">
      <w:pPr>
        <w:pStyle w:val="Level2"/>
        <w:rPr>
          <w:b/>
        </w:rPr>
      </w:pPr>
      <w:r w:rsidRPr="00734CA8">
        <w:t xml:space="preserve">The form of </w:t>
      </w:r>
      <w:r w:rsidR="00516D57">
        <w:t xml:space="preserve">agreement </w:t>
      </w:r>
      <w:r>
        <w:t>to be awarded as a result of</w:t>
      </w:r>
      <w:r w:rsidRPr="00734CA8">
        <w:t xml:space="preserve"> this Call-Off Competition will be a Call-Off Contract as defined in the Framework Agreement</w:t>
      </w:r>
      <w:r>
        <w:t>.</w:t>
      </w:r>
    </w:p>
    <w:p w14:paraId="38F48F24" w14:textId="3DC8D3E0" w:rsidR="005B43CC" w:rsidRDefault="005B43CC" w:rsidP="00F259F4">
      <w:pPr>
        <w:pStyle w:val="Level2"/>
        <w:rPr>
          <w:b/>
        </w:rPr>
      </w:pPr>
      <w:bookmarkStart w:id="20" w:name="_Ref40803663"/>
      <w:r>
        <w:rPr>
          <w:b/>
        </w:rPr>
        <w:t xml:space="preserve">Important note on bidding </w:t>
      </w:r>
    </w:p>
    <w:p w14:paraId="4882CCE9" w14:textId="37C16078" w:rsidR="005B43CC" w:rsidRPr="005B43CC" w:rsidRDefault="005B43CC" w:rsidP="00F259F4">
      <w:pPr>
        <w:pStyle w:val="Level2"/>
        <w:rPr>
          <w:b/>
        </w:rPr>
      </w:pPr>
      <w:r>
        <w:t>Providers can respond to this Call-Off ITT where they have qualified onto t</w:t>
      </w:r>
      <w:r w:rsidR="004443F4">
        <w:t>he Framework Agreement under the</w:t>
      </w:r>
      <w:r>
        <w:t xml:space="preserve"> Service Categories relevant to this Call-Off Competition</w:t>
      </w:r>
      <w:r w:rsidR="00685F99">
        <w:t>,</w:t>
      </w:r>
      <w:r w:rsidR="00894BA3">
        <w:t xml:space="preserve"> and have indicated that they can provide Services in the applicable Geographical Location</w:t>
      </w:r>
      <w:r w:rsidR="001B7AFC">
        <w:t>(</w:t>
      </w:r>
      <w:r w:rsidR="00894BA3">
        <w:t>s</w:t>
      </w:r>
      <w:r w:rsidR="001B7AFC">
        <w:t>)</w:t>
      </w:r>
      <w:r>
        <w:t>.</w:t>
      </w:r>
    </w:p>
    <w:p w14:paraId="7A352262" w14:textId="14799161" w:rsidR="00BC6D9A" w:rsidRPr="00BC6D9A" w:rsidRDefault="009844AB" w:rsidP="00F259F4">
      <w:pPr>
        <w:pStyle w:val="Level2"/>
        <w:rPr>
          <w:b/>
        </w:rPr>
      </w:pPr>
      <w:r>
        <w:t xml:space="preserve">In relation to multi-Service Category Call-Off Competitions, where a group of Providers </w:t>
      </w:r>
      <w:r w:rsidR="00894BA3">
        <w:t>is a party to the</w:t>
      </w:r>
      <w:r>
        <w:t xml:space="preserve"> Framework Agreement as an SPV, and the SPV is qualified</w:t>
      </w:r>
      <w:r w:rsidR="00CF4BED">
        <w:t xml:space="preserve"> (and able</w:t>
      </w:r>
      <w:r>
        <w:t xml:space="preserve"> to provide all of the Service</w:t>
      </w:r>
      <w:r w:rsidR="001B7AFC">
        <w:t xml:space="preserve"> </w:t>
      </w:r>
      <w:r w:rsidR="00502417">
        <w:t>Categories</w:t>
      </w:r>
      <w:r w:rsidR="00894BA3">
        <w:t xml:space="preserve"> in the applicable Geographical Location</w:t>
      </w:r>
      <w:r w:rsidR="001B7AFC">
        <w:t>(</w:t>
      </w:r>
      <w:r w:rsidR="00894BA3">
        <w:t>s</w:t>
      </w:r>
      <w:r w:rsidR="001B7AFC">
        <w:t>)</w:t>
      </w:r>
      <w:r w:rsidR="00CF4BED">
        <w:t>)</w:t>
      </w:r>
      <w:r>
        <w:t>, the SPV can respond to this Call-Off ITT without further SQ retesting, subject to Para</w:t>
      </w:r>
      <w:r w:rsidR="00894BA3">
        <w:t xml:space="preserve">graph </w:t>
      </w:r>
      <w:r w:rsidR="00894BA3">
        <w:fldChar w:fldCharType="begin"/>
      </w:r>
      <w:r w:rsidR="00894BA3">
        <w:instrText xml:space="preserve"> REF _Ref40804368 \r \h </w:instrText>
      </w:r>
      <w:r w:rsidR="00894BA3">
        <w:fldChar w:fldCharType="separate"/>
      </w:r>
      <w:r w:rsidR="006D7AE5">
        <w:t>4.2</w:t>
      </w:r>
      <w:r w:rsidR="00894BA3">
        <w:fldChar w:fldCharType="end"/>
      </w:r>
      <w:r>
        <w:t xml:space="preserve"> below.</w:t>
      </w:r>
      <w:r w:rsidR="000C71E9">
        <w:t xml:space="preserve"> </w:t>
      </w:r>
    </w:p>
    <w:p w14:paraId="6C2A97C1" w14:textId="4D2BCA95" w:rsidR="005D3CDA" w:rsidRPr="004443F4" w:rsidRDefault="00894BA3" w:rsidP="004443F4">
      <w:pPr>
        <w:pStyle w:val="Level2"/>
        <w:rPr>
          <w:b/>
        </w:rPr>
      </w:pPr>
      <w:r>
        <w:t xml:space="preserve">Where </w:t>
      </w:r>
      <w:r w:rsidR="004737C7">
        <w:t xml:space="preserve">a Provider wishes to rely on a Key Sub-contractor to provide the Services, and the Key Sub-contractor has </w:t>
      </w:r>
      <w:r w:rsidR="00BC6D9A">
        <w:t xml:space="preserve">already </w:t>
      </w:r>
      <w:r w:rsidR="004737C7">
        <w:t>qualified onto the Framework Agreement,</w:t>
      </w:r>
      <w:r w:rsidR="00344FCF">
        <w:t xml:space="preserve"> or the Provider has already qualified onto the Framework Agreement in reliance on the Key Sub-contractor,</w:t>
      </w:r>
      <w:r w:rsidR="004737C7">
        <w:t xml:space="preserve"> the Provider can name the Key Sub-contractor on its Call-Off ITT response</w:t>
      </w:r>
      <w:r w:rsidR="00F76F49">
        <w:t>,</w:t>
      </w:r>
      <w:r w:rsidR="004737C7">
        <w:t xml:space="preserve"> and complete </w:t>
      </w:r>
      <w:r w:rsidR="00344FCF">
        <w:t>the Call-Off ITT respons</w:t>
      </w:r>
      <w:r w:rsidR="00BC6D9A">
        <w:t>e</w:t>
      </w:r>
      <w:r w:rsidR="004737C7">
        <w:t xml:space="preserve"> as necessary without further SQ retesting, subject to Paragraph </w:t>
      </w:r>
      <w:r w:rsidR="004737C7">
        <w:fldChar w:fldCharType="begin"/>
      </w:r>
      <w:r w:rsidR="004737C7">
        <w:instrText xml:space="preserve"> REF _Ref40804368 \r \h </w:instrText>
      </w:r>
      <w:r w:rsidR="004737C7">
        <w:fldChar w:fldCharType="separate"/>
      </w:r>
      <w:r w:rsidR="006D7AE5">
        <w:t>4.2</w:t>
      </w:r>
      <w:r w:rsidR="004737C7">
        <w:fldChar w:fldCharType="end"/>
      </w:r>
      <w:r w:rsidR="004737C7">
        <w:t xml:space="preserve"> below.</w:t>
      </w:r>
      <w:r w:rsidR="001B7AFC">
        <w:t xml:space="preserve">  Such Key Sub-contractor would be listed for those Service Categories within Schedule 4.3 (Call-Off Notified Key Sub-contractors) in the Call-Off Contract</w:t>
      </w:r>
      <w:r w:rsidR="004443F4">
        <w:t>,</w:t>
      </w:r>
      <w:r w:rsidR="001B7AFC">
        <w:t xml:space="preserve"> and be subject to the restrictions on changing such Key Sub-contractor in accordance with the terms and conditions.</w:t>
      </w:r>
      <w:r w:rsidR="004737C7">
        <w:t xml:space="preserve"> </w:t>
      </w:r>
    </w:p>
    <w:p w14:paraId="3D09B4BC" w14:textId="4DBE52E1" w:rsidR="00685F99" w:rsidRPr="00521E57" w:rsidRDefault="00685F99" w:rsidP="00F259F4">
      <w:pPr>
        <w:pStyle w:val="Level2"/>
        <w:rPr>
          <w:b/>
        </w:rPr>
      </w:pPr>
      <w:bookmarkStart w:id="21" w:name="_Ref40808265"/>
      <w:r>
        <w:t xml:space="preserve">Providers must also note the rules on multiple Tenders and conflicts of interest, set out at Paragraph </w:t>
      </w:r>
      <w:r>
        <w:fldChar w:fldCharType="begin"/>
      </w:r>
      <w:r>
        <w:instrText xml:space="preserve"> REF _Ref40807871 \r \h </w:instrText>
      </w:r>
      <w:r>
        <w:fldChar w:fldCharType="separate"/>
      </w:r>
      <w:r w:rsidR="006D7AE5">
        <w:t>7.3</w:t>
      </w:r>
      <w:r>
        <w:fldChar w:fldCharType="end"/>
      </w:r>
      <w:r>
        <w:t xml:space="preserve"> below</w:t>
      </w:r>
      <w:bookmarkEnd w:id="21"/>
      <w:r w:rsidR="00601C13">
        <w:t>.</w:t>
      </w:r>
    </w:p>
    <w:bookmarkEnd w:id="20"/>
    <w:p w14:paraId="281502DD" w14:textId="43B16CB2" w:rsidR="00F3179E" w:rsidRPr="00D231F6" w:rsidRDefault="00165DF8" w:rsidP="00461FC9">
      <w:pPr>
        <w:pStyle w:val="Level1"/>
        <w:keepNext/>
        <w:rPr>
          <w:b/>
          <w:bCs/>
          <w:caps/>
        </w:rPr>
      </w:pPr>
      <w:r>
        <w:rPr>
          <w:rStyle w:val="Level1asHeadingtext"/>
        </w:rPr>
        <w:fldChar w:fldCharType="begin"/>
      </w:r>
      <w:r w:rsidRPr="00165DF8">
        <w:instrText xml:space="preserve">  TC "</w:instrText>
      </w:r>
      <w:r>
        <w:fldChar w:fldCharType="begin"/>
      </w:r>
      <w:r w:rsidRPr="00165DF8">
        <w:instrText xml:space="preserve"> REF _Ref439717325 \r </w:instrText>
      </w:r>
      <w:r>
        <w:fldChar w:fldCharType="separate"/>
      </w:r>
      <w:bookmarkStart w:id="22" w:name="_Toc42697277"/>
      <w:r w:rsidR="006D7AE5">
        <w:instrText>2</w:instrText>
      </w:r>
      <w:r>
        <w:fldChar w:fldCharType="end"/>
      </w:r>
      <w:r>
        <w:tab/>
        <w:instrText>INDICATIVE CALL-OFF COMPETITION TIMETABLE</w:instrText>
      </w:r>
      <w:bookmarkEnd w:id="22"/>
      <w:r w:rsidRPr="00165DF8">
        <w:instrText xml:space="preserve">" \l1 </w:instrText>
      </w:r>
      <w:r>
        <w:rPr>
          <w:rStyle w:val="Level1asHeadingtext"/>
        </w:rPr>
        <w:fldChar w:fldCharType="end"/>
      </w:r>
      <w:bookmarkStart w:id="23" w:name="_Ref439717325"/>
      <w:r w:rsidR="00125E67">
        <w:rPr>
          <w:rStyle w:val="Level1asHeadingtext"/>
        </w:rPr>
        <w:t xml:space="preserve">Indicative </w:t>
      </w:r>
      <w:bookmarkStart w:id="24" w:name="_Ref437538772"/>
      <w:r w:rsidR="003E75D1">
        <w:rPr>
          <w:rStyle w:val="Level1asHeadingtext"/>
        </w:rPr>
        <w:t>C</w:t>
      </w:r>
      <w:r w:rsidR="00463261">
        <w:rPr>
          <w:rStyle w:val="Level1asHeadingtext"/>
        </w:rPr>
        <w:t>ALL-</w:t>
      </w:r>
      <w:r w:rsidR="003E75D1">
        <w:rPr>
          <w:rStyle w:val="Level1asHeadingtext"/>
        </w:rPr>
        <w:t>OFF COMPETITION TIMETABLE</w:t>
      </w:r>
      <w:bookmarkEnd w:id="24"/>
      <w:bookmarkEnd w:id="23"/>
    </w:p>
    <w:p w14:paraId="491BA9BB" w14:textId="07068906" w:rsidR="00FD0DDB" w:rsidRPr="00D231F6" w:rsidRDefault="007219F7" w:rsidP="007219F7">
      <w:pPr>
        <w:pStyle w:val="Level2"/>
      </w:pPr>
      <w:bookmarkStart w:id="25" w:name="_Ref70000003"/>
      <w:r w:rsidRPr="00D231F6">
        <w:t>This Call-Off Competition will follow a clear, structured and transparent process to</w:t>
      </w:r>
      <w:r w:rsidR="00FD0DDB" w:rsidRPr="00D231F6">
        <w:t xml:space="preserve"> ensure equal treatment of all </w:t>
      </w:r>
      <w:r w:rsidR="00DA5B06">
        <w:t>Provider</w:t>
      </w:r>
      <w:r w:rsidR="00FD0DDB" w:rsidRPr="00D231F6">
        <w:t>s. At present, it is currently envisaged that the Call-Off Competition will be as follows:</w:t>
      </w:r>
      <w:bookmarkEnd w:id="25"/>
    </w:p>
    <w:tbl>
      <w:tblPr>
        <w:tblStyle w:val="TableGrid"/>
        <w:tblW w:w="4520" w:type="pct"/>
        <w:tblInd w:w="959" w:type="dxa"/>
        <w:tblLook w:val="04A0" w:firstRow="1" w:lastRow="0" w:firstColumn="1" w:lastColumn="0" w:noHBand="0" w:noVBand="1"/>
      </w:tblPr>
      <w:tblGrid>
        <w:gridCol w:w="5905"/>
        <w:gridCol w:w="3004"/>
      </w:tblGrid>
      <w:tr w:rsidR="00FD0DDB" w:rsidRPr="00D231F6" w14:paraId="45DD9F84" w14:textId="77777777" w:rsidTr="00F63019">
        <w:trPr>
          <w:trHeight w:val="295"/>
        </w:trPr>
        <w:tc>
          <w:tcPr>
            <w:tcW w:w="3314" w:type="pct"/>
          </w:tcPr>
          <w:p w14:paraId="454B55C8" w14:textId="77777777" w:rsidR="00FD0DDB" w:rsidRPr="00D231F6" w:rsidRDefault="00FD0DDB" w:rsidP="00F63019">
            <w:pPr>
              <w:spacing w:after="120"/>
              <w:rPr>
                <w:b/>
              </w:rPr>
            </w:pPr>
            <w:r w:rsidRPr="00D231F6">
              <w:rPr>
                <w:b/>
              </w:rPr>
              <w:t xml:space="preserve">Event </w:t>
            </w:r>
          </w:p>
        </w:tc>
        <w:tc>
          <w:tcPr>
            <w:tcW w:w="1686" w:type="pct"/>
          </w:tcPr>
          <w:p w14:paraId="7626B43E" w14:textId="77777777" w:rsidR="00FD0DDB" w:rsidRPr="00D231F6" w:rsidRDefault="00FD0DDB" w:rsidP="00F63019">
            <w:pPr>
              <w:spacing w:after="120"/>
              <w:rPr>
                <w:b/>
                <w:i/>
              </w:rPr>
            </w:pPr>
            <w:r w:rsidRPr="00D231F6">
              <w:rPr>
                <w:b/>
              </w:rPr>
              <w:t>Date</w:t>
            </w:r>
          </w:p>
        </w:tc>
      </w:tr>
      <w:tr w:rsidR="00FD0DDB" w:rsidRPr="00D231F6" w14:paraId="01CD5C13" w14:textId="77777777" w:rsidTr="00F63019">
        <w:trPr>
          <w:trHeight w:val="295"/>
        </w:trPr>
        <w:tc>
          <w:tcPr>
            <w:tcW w:w="3314" w:type="pct"/>
          </w:tcPr>
          <w:p w14:paraId="623D617E" w14:textId="2B47A498" w:rsidR="00FD0DDB" w:rsidRPr="00D231F6" w:rsidRDefault="00A06C3E" w:rsidP="00AF1397">
            <w:r>
              <w:t>Issue</w:t>
            </w:r>
            <w:r w:rsidR="00FD0DDB" w:rsidRPr="00D231F6">
              <w:t xml:space="preserve"> </w:t>
            </w:r>
            <w:r>
              <w:t xml:space="preserve">Call-Off </w:t>
            </w:r>
            <w:r w:rsidR="00FD0DDB" w:rsidRPr="00D231F6">
              <w:t>ITT</w:t>
            </w:r>
            <w:r>
              <w:t xml:space="preserve"> via the </w:t>
            </w:r>
            <w:r w:rsidR="00AF1397">
              <w:t>eSourcing</w:t>
            </w:r>
            <w:r>
              <w:t xml:space="preserve"> System </w:t>
            </w:r>
          </w:p>
        </w:tc>
        <w:tc>
          <w:tcPr>
            <w:tcW w:w="1686" w:type="pct"/>
          </w:tcPr>
          <w:p w14:paraId="67D2171B" w14:textId="77777777" w:rsidR="00FD0DDB" w:rsidRPr="00D231F6" w:rsidRDefault="00FD0DDB" w:rsidP="00F63019"/>
        </w:tc>
      </w:tr>
      <w:tr w:rsidR="00FD0DDB" w:rsidRPr="00D231F6" w14:paraId="019DF010" w14:textId="77777777" w:rsidTr="00F63019">
        <w:trPr>
          <w:trHeight w:val="295"/>
        </w:trPr>
        <w:tc>
          <w:tcPr>
            <w:tcW w:w="3314" w:type="pct"/>
          </w:tcPr>
          <w:p w14:paraId="3E5202A5" w14:textId="026F2092" w:rsidR="00FD0DDB" w:rsidRPr="00D231F6" w:rsidRDefault="00FD0DDB" w:rsidP="00F63019">
            <w:r w:rsidRPr="00D231F6">
              <w:t xml:space="preserve">Deadline for receipt of queries/clarifications from </w:t>
            </w:r>
            <w:r w:rsidR="00DA5B06">
              <w:t>Provider</w:t>
            </w:r>
            <w:r w:rsidRPr="00D231F6">
              <w:t>s</w:t>
            </w:r>
          </w:p>
        </w:tc>
        <w:tc>
          <w:tcPr>
            <w:tcW w:w="1686" w:type="pct"/>
          </w:tcPr>
          <w:p w14:paraId="6B3C4131" w14:textId="77777777" w:rsidR="00FD0DDB" w:rsidRPr="00D231F6" w:rsidRDefault="00FD0DDB" w:rsidP="00F63019"/>
        </w:tc>
      </w:tr>
      <w:tr w:rsidR="00FD0DDB" w:rsidRPr="00D231F6" w14:paraId="561894A1" w14:textId="77777777" w:rsidTr="00F63019">
        <w:trPr>
          <w:trHeight w:val="295"/>
        </w:trPr>
        <w:tc>
          <w:tcPr>
            <w:tcW w:w="3314" w:type="pct"/>
          </w:tcPr>
          <w:p w14:paraId="230F41A6" w14:textId="77777777" w:rsidR="00FD0DDB" w:rsidRPr="00D231F6" w:rsidRDefault="00FD0DDB" w:rsidP="00FD0DDB">
            <w:pPr>
              <w:rPr>
                <w:b/>
              </w:rPr>
            </w:pPr>
            <w:r w:rsidRPr="00D231F6">
              <w:rPr>
                <w:b/>
              </w:rPr>
              <w:t xml:space="preserve">Deadline for receipt of </w:t>
            </w:r>
            <w:r w:rsidRPr="007B43FF">
              <w:rPr>
                <w:b/>
                <w:highlight w:val="yellow"/>
              </w:rPr>
              <w:t>[Qualification Responses and</w:t>
            </w:r>
            <w:r w:rsidRPr="00D231F6">
              <w:rPr>
                <w:b/>
              </w:rPr>
              <w:t>] Tender Responses</w:t>
            </w:r>
          </w:p>
        </w:tc>
        <w:tc>
          <w:tcPr>
            <w:tcW w:w="1686" w:type="pct"/>
          </w:tcPr>
          <w:p w14:paraId="1B563AC0" w14:textId="77777777" w:rsidR="00FD0DDB" w:rsidRPr="00D231F6" w:rsidRDefault="00FD0DDB" w:rsidP="00F63019">
            <w:pPr>
              <w:rPr>
                <w:b/>
              </w:rPr>
            </w:pPr>
          </w:p>
        </w:tc>
      </w:tr>
      <w:tr w:rsidR="00FD0DDB" w:rsidRPr="00D231F6" w14:paraId="08232540" w14:textId="77777777" w:rsidTr="00F63019">
        <w:trPr>
          <w:trHeight w:val="295"/>
        </w:trPr>
        <w:tc>
          <w:tcPr>
            <w:tcW w:w="3314" w:type="pct"/>
          </w:tcPr>
          <w:p w14:paraId="080AC184" w14:textId="16AD547D" w:rsidR="00FD0DDB" w:rsidRPr="007B43FF" w:rsidRDefault="00FD0DDB" w:rsidP="00FD0DDB">
            <w:pPr>
              <w:rPr>
                <w:highlight w:val="yellow"/>
              </w:rPr>
            </w:pPr>
            <w:r w:rsidRPr="007B43FF">
              <w:rPr>
                <w:highlight w:val="yellow"/>
              </w:rPr>
              <w:t xml:space="preserve">[Notification of shortlisted </w:t>
            </w:r>
            <w:r w:rsidR="00DA5B06">
              <w:rPr>
                <w:highlight w:val="yellow"/>
              </w:rPr>
              <w:t>Provider</w:t>
            </w:r>
            <w:r w:rsidRPr="007B43FF">
              <w:rPr>
                <w:highlight w:val="yellow"/>
              </w:rPr>
              <w:t>s</w:t>
            </w:r>
            <w:r w:rsidR="003E41B8">
              <w:rPr>
                <w:highlight w:val="yellow"/>
              </w:rPr>
              <w:t>]</w:t>
            </w:r>
          </w:p>
        </w:tc>
        <w:tc>
          <w:tcPr>
            <w:tcW w:w="1686" w:type="pct"/>
          </w:tcPr>
          <w:p w14:paraId="1FAE98A8" w14:textId="77777777" w:rsidR="00FD0DDB" w:rsidRPr="00D231F6" w:rsidRDefault="00FD0DDB" w:rsidP="00F63019">
            <w:pPr>
              <w:rPr>
                <w:b/>
              </w:rPr>
            </w:pPr>
          </w:p>
        </w:tc>
      </w:tr>
      <w:tr w:rsidR="00662195" w:rsidRPr="00D231F6" w14:paraId="65D5889C" w14:textId="77777777" w:rsidTr="00F63019">
        <w:trPr>
          <w:trHeight w:val="295"/>
        </w:trPr>
        <w:tc>
          <w:tcPr>
            <w:tcW w:w="3314" w:type="pct"/>
          </w:tcPr>
          <w:p w14:paraId="4758AEEA" w14:textId="78D64B49" w:rsidR="00662195" w:rsidRPr="007B43FF" w:rsidRDefault="008A67AF" w:rsidP="00FD0DDB">
            <w:pPr>
              <w:rPr>
                <w:highlight w:val="yellow"/>
              </w:rPr>
            </w:pPr>
            <w:r>
              <w:rPr>
                <w:highlight w:val="yellow"/>
              </w:rPr>
              <w:t>[Clarification</w:t>
            </w:r>
            <w:r w:rsidR="00AC2B9C">
              <w:rPr>
                <w:highlight w:val="yellow"/>
              </w:rPr>
              <w:t xml:space="preserve"> </w:t>
            </w:r>
            <w:r w:rsidR="00662195">
              <w:rPr>
                <w:highlight w:val="yellow"/>
              </w:rPr>
              <w:t xml:space="preserve"> Meetings</w:t>
            </w:r>
            <w:r w:rsidR="003E41B8">
              <w:rPr>
                <w:highlight w:val="yellow"/>
              </w:rPr>
              <w:t>]</w:t>
            </w:r>
          </w:p>
        </w:tc>
        <w:tc>
          <w:tcPr>
            <w:tcW w:w="1686" w:type="pct"/>
          </w:tcPr>
          <w:p w14:paraId="303B165C" w14:textId="77777777" w:rsidR="00662195" w:rsidRPr="00D231F6" w:rsidRDefault="00662195" w:rsidP="00F63019">
            <w:pPr>
              <w:rPr>
                <w:b/>
              </w:rPr>
            </w:pPr>
          </w:p>
        </w:tc>
      </w:tr>
      <w:tr w:rsidR="00FD0DDB" w:rsidRPr="00D231F6" w14:paraId="0A7BA734" w14:textId="77777777" w:rsidTr="00F63019">
        <w:trPr>
          <w:trHeight w:val="295"/>
        </w:trPr>
        <w:tc>
          <w:tcPr>
            <w:tcW w:w="3314" w:type="pct"/>
          </w:tcPr>
          <w:p w14:paraId="4BE6A38F" w14:textId="724BB9D0" w:rsidR="00FD0DDB" w:rsidRPr="007B43FF" w:rsidRDefault="003E41B8" w:rsidP="00FD0DDB">
            <w:pPr>
              <w:rPr>
                <w:highlight w:val="yellow"/>
              </w:rPr>
            </w:pPr>
            <w:r>
              <w:rPr>
                <w:highlight w:val="yellow"/>
              </w:rPr>
              <w:t>[</w:t>
            </w:r>
            <w:r w:rsidR="00FD0DDB" w:rsidRPr="007B43FF">
              <w:rPr>
                <w:highlight w:val="yellow"/>
              </w:rPr>
              <w:t>Publish BAFO</w:t>
            </w:r>
            <w:r w:rsidR="00C87771">
              <w:rPr>
                <w:highlight w:val="yellow"/>
              </w:rPr>
              <w:t xml:space="preserve"> Invitation</w:t>
            </w:r>
            <w:r>
              <w:rPr>
                <w:highlight w:val="yellow"/>
              </w:rPr>
              <w:t>]</w:t>
            </w:r>
          </w:p>
        </w:tc>
        <w:tc>
          <w:tcPr>
            <w:tcW w:w="1686" w:type="pct"/>
          </w:tcPr>
          <w:p w14:paraId="6A1D8B73" w14:textId="77777777" w:rsidR="00FD0DDB" w:rsidRPr="00D231F6" w:rsidRDefault="00FD0DDB" w:rsidP="00F63019">
            <w:pPr>
              <w:rPr>
                <w:b/>
              </w:rPr>
            </w:pPr>
          </w:p>
        </w:tc>
      </w:tr>
      <w:tr w:rsidR="00341FD4" w:rsidRPr="00D231F6" w14:paraId="023625D2" w14:textId="77777777" w:rsidTr="00F63019">
        <w:trPr>
          <w:trHeight w:val="295"/>
        </w:trPr>
        <w:tc>
          <w:tcPr>
            <w:tcW w:w="3314" w:type="pct"/>
          </w:tcPr>
          <w:p w14:paraId="1DDAB921" w14:textId="497FE45E" w:rsidR="00341FD4" w:rsidRPr="007B43FF" w:rsidRDefault="00167646" w:rsidP="00FD0DDB">
            <w:pPr>
              <w:rPr>
                <w:highlight w:val="yellow"/>
              </w:rPr>
            </w:pPr>
            <w:r>
              <w:rPr>
                <w:highlight w:val="yellow"/>
              </w:rPr>
              <w:t>[</w:t>
            </w:r>
            <w:r w:rsidR="00497A3C">
              <w:rPr>
                <w:highlight w:val="yellow"/>
              </w:rPr>
              <w:t>Deadline for Providers to submit clarification questions on the BAFO</w:t>
            </w:r>
            <w:r>
              <w:rPr>
                <w:highlight w:val="yellow"/>
              </w:rPr>
              <w:t>]</w:t>
            </w:r>
          </w:p>
        </w:tc>
        <w:tc>
          <w:tcPr>
            <w:tcW w:w="1686" w:type="pct"/>
          </w:tcPr>
          <w:p w14:paraId="6AFCE04F" w14:textId="77777777" w:rsidR="00341FD4" w:rsidRPr="00D231F6" w:rsidRDefault="00341FD4" w:rsidP="00F63019">
            <w:pPr>
              <w:rPr>
                <w:b/>
              </w:rPr>
            </w:pPr>
          </w:p>
        </w:tc>
      </w:tr>
      <w:tr w:rsidR="00FD0DDB" w:rsidRPr="00D231F6" w14:paraId="2EDA44F9" w14:textId="77777777" w:rsidTr="00F63019">
        <w:trPr>
          <w:trHeight w:val="295"/>
        </w:trPr>
        <w:tc>
          <w:tcPr>
            <w:tcW w:w="3314" w:type="pct"/>
          </w:tcPr>
          <w:p w14:paraId="44CA22FF" w14:textId="218C43C8" w:rsidR="00FD0DDB" w:rsidRPr="007B43FF" w:rsidRDefault="00176B0B" w:rsidP="00176B0B">
            <w:pPr>
              <w:rPr>
                <w:highlight w:val="yellow"/>
              </w:rPr>
            </w:pPr>
            <w:r>
              <w:rPr>
                <w:highlight w:val="yellow"/>
              </w:rPr>
              <w:t>Deadline for receipt of BAFO</w:t>
            </w:r>
            <w:r w:rsidR="00FD0DDB" w:rsidRPr="007B43FF">
              <w:rPr>
                <w:highlight w:val="yellow"/>
              </w:rPr>
              <w:t>]</w:t>
            </w:r>
          </w:p>
        </w:tc>
        <w:tc>
          <w:tcPr>
            <w:tcW w:w="1686" w:type="pct"/>
          </w:tcPr>
          <w:p w14:paraId="19AD77D1" w14:textId="77777777" w:rsidR="00FD0DDB" w:rsidRPr="00D231F6" w:rsidRDefault="00FD0DDB" w:rsidP="00F63019">
            <w:pPr>
              <w:rPr>
                <w:b/>
              </w:rPr>
            </w:pPr>
          </w:p>
        </w:tc>
      </w:tr>
      <w:tr w:rsidR="00FD0DDB" w:rsidRPr="00D231F6" w14:paraId="74D511FA" w14:textId="77777777" w:rsidTr="00F63019">
        <w:trPr>
          <w:trHeight w:val="295"/>
        </w:trPr>
        <w:tc>
          <w:tcPr>
            <w:tcW w:w="3314" w:type="pct"/>
          </w:tcPr>
          <w:p w14:paraId="0694D934" w14:textId="3A25EBF8" w:rsidR="00FD0DDB" w:rsidRPr="00D231F6" w:rsidRDefault="00FD0DDB" w:rsidP="00F63019">
            <w:r w:rsidRPr="00D231F6">
              <w:t xml:space="preserve">Notification of Preferred </w:t>
            </w:r>
            <w:r w:rsidR="00DA5B06">
              <w:t>Provider</w:t>
            </w:r>
          </w:p>
        </w:tc>
        <w:tc>
          <w:tcPr>
            <w:tcW w:w="1686" w:type="pct"/>
          </w:tcPr>
          <w:p w14:paraId="175D6414" w14:textId="77777777" w:rsidR="00FD0DDB" w:rsidRPr="00D231F6" w:rsidRDefault="00FD0DDB" w:rsidP="00F63019"/>
        </w:tc>
      </w:tr>
      <w:tr w:rsidR="00FD0DDB" w:rsidRPr="00D231F6" w14:paraId="70EBCBB9" w14:textId="77777777" w:rsidTr="00F63019">
        <w:trPr>
          <w:trHeight w:val="295"/>
        </w:trPr>
        <w:tc>
          <w:tcPr>
            <w:tcW w:w="3314" w:type="pct"/>
          </w:tcPr>
          <w:p w14:paraId="2D1FA54C" w14:textId="03FA1CE1" w:rsidR="00FD0DDB" w:rsidRPr="00516D57" w:rsidRDefault="00D23288" w:rsidP="00F63019">
            <w:pPr>
              <w:rPr>
                <w:highlight w:val="yellow"/>
              </w:rPr>
            </w:pPr>
            <w:r w:rsidRPr="00516D57">
              <w:rPr>
                <w:highlight w:val="yellow"/>
              </w:rPr>
              <w:t>[</w:t>
            </w:r>
            <w:r w:rsidR="00516D57">
              <w:rPr>
                <w:highlight w:val="yellow"/>
              </w:rPr>
              <w:t>End</w:t>
            </w:r>
            <w:r w:rsidR="00FD0DDB" w:rsidRPr="00516D57">
              <w:rPr>
                <w:highlight w:val="yellow"/>
              </w:rPr>
              <w:t xml:space="preserve"> of standstill period</w:t>
            </w:r>
            <w:r w:rsidR="003E41B8">
              <w:rPr>
                <w:highlight w:val="yellow"/>
              </w:rPr>
              <w:t xml:space="preserve"> if used</w:t>
            </w:r>
            <w:r w:rsidRPr="00516D57">
              <w:rPr>
                <w:highlight w:val="yellow"/>
              </w:rPr>
              <w:t>]</w:t>
            </w:r>
          </w:p>
        </w:tc>
        <w:tc>
          <w:tcPr>
            <w:tcW w:w="1686" w:type="pct"/>
          </w:tcPr>
          <w:p w14:paraId="321529A7" w14:textId="77777777" w:rsidR="00FD0DDB" w:rsidRPr="00D231F6" w:rsidRDefault="00FD0DDB" w:rsidP="00F63019"/>
        </w:tc>
      </w:tr>
      <w:tr w:rsidR="00FD0DDB" w:rsidRPr="00D231F6" w14:paraId="30FC87D7" w14:textId="77777777" w:rsidTr="00F63019">
        <w:trPr>
          <w:trHeight w:val="295"/>
        </w:trPr>
        <w:tc>
          <w:tcPr>
            <w:tcW w:w="3314" w:type="pct"/>
          </w:tcPr>
          <w:p w14:paraId="20F3732B" w14:textId="73BA8F49" w:rsidR="00FD0DDB" w:rsidRPr="00D231F6" w:rsidRDefault="00516D57" w:rsidP="005E5D57">
            <w:r w:rsidRPr="00516D57">
              <w:rPr>
                <w:highlight w:val="yellow"/>
              </w:rPr>
              <w:t>[</w:t>
            </w:r>
            <w:r w:rsidR="00FD0DDB" w:rsidRPr="00516D57">
              <w:rPr>
                <w:highlight w:val="yellow"/>
              </w:rPr>
              <w:t>Contract</w:t>
            </w:r>
            <w:r w:rsidRPr="00516D57">
              <w:rPr>
                <w:highlight w:val="yellow"/>
              </w:rPr>
              <w:t xml:space="preserve">] </w:t>
            </w:r>
            <w:r w:rsidR="00FD0DDB" w:rsidRPr="00D231F6">
              <w:t xml:space="preserve">start date </w:t>
            </w:r>
          </w:p>
        </w:tc>
        <w:tc>
          <w:tcPr>
            <w:tcW w:w="1686" w:type="pct"/>
          </w:tcPr>
          <w:p w14:paraId="3695EEF2" w14:textId="77777777" w:rsidR="00FD0DDB" w:rsidRPr="00D231F6" w:rsidRDefault="00FD0DDB" w:rsidP="00F63019"/>
        </w:tc>
      </w:tr>
      <w:tr w:rsidR="003E41B8" w:rsidRPr="00D231F6" w14:paraId="0D0D8B26" w14:textId="77777777" w:rsidTr="00F63019">
        <w:trPr>
          <w:trHeight w:val="295"/>
        </w:trPr>
        <w:tc>
          <w:tcPr>
            <w:tcW w:w="3314" w:type="pct"/>
          </w:tcPr>
          <w:p w14:paraId="4BA0B5A2" w14:textId="3050514A" w:rsidR="003E41B8" w:rsidRPr="00516D57" w:rsidRDefault="00167646" w:rsidP="00516D57">
            <w:pPr>
              <w:rPr>
                <w:highlight w:val="yellow"/>
              </w:rPr>
            </w:pPr>
            <w:r>
              <w:rPr>
                <w:highlight w:val="yellow"/>
              </w:rPr>
              <w:t>[</w:t>
            </w:r>
            <w:r w:rsidR="00C54F6F">
              <w:rPr>
                <w:highlight w:val="yellow"/>
              </w:rPr>
              <w:t xml:space="preserve">Implementation </w:t>
            </w:r>
            <w:r w:rsidR="003E41B8">
              <w:rPr>
                <w:highlight w:val="yellow"/>
              </w:rPr>
              <w:t>period</w:t>
            </w:r>
            <w:r w:rsidR="00C54F6F">
              <w:rPr>
                <w:highlight w:val="yellow"/>
              </w:rPr>
              <w:t xml:space="preserve"> (if any)</w:t>
            </w:r>
            <w:r>
              <w:rPr>
                <w:highlight w:val="yellow"/>
              </w:rPr>
              <w:t>]</w:t>
            </w:r>
          </w:p>
        </w:tc>
        <w:tc>
          <w:tcPr>
            <w:tcW w:w="1686" w:type="pct"/>
          </w:tcPr>
          <w:p w14:paraId="6F64E762" w14:textId="77777777" w:rsidR="003E41B8" w:rsidRPr="00D231F6" w:rsidRDefault="003E41B8" w:rsidP="00F63019"/>
        </w:tc>
      </w:tr>
    </w:tbl>
    <w:p w14:paraId="62F41959" w14:textId="77777777" w:rsidR="00461FC9" w:rsidRPr="00D231F6" w:rsidRDefault="00461FC9" w:rsidP="00461FC9">
      <w:pPr>
        <w:pStyle w:val="Body"/>
      </w:pPr>
    </w:p>
    <w:p w14:paraId="497D47CB" w14:textId="635A44C5" w:rsidR="00461FC9" w:rsidRPr="00D231F6" w:rsidRDefault="00461FC9" w:rsidP="00461FC9">
      <w:pPr>
        <w:pStyle w:val="Level2"/>
      </w:pPr>
      <w:r w:rsidRPr="00D231F6">
        <w:t xml:space="preserve">The above timetable is approximate only and may be subject to change at the discretion of the Authority. Any revisions to the timetable (if required) throughout the remaining stages of the process will be communicated to </w:t>
      </w:r>
      <w:r w:rsidR="00DA5B06">
        <w:t>Provider</w:t>
      </w:r>
      <w:r w:rsidRPr="00D231F6">
        <w:t>s as soon as reasonably possible.</w:t>
      </w:r>
    </w:p>
    <w:p w14:paraId="66381621" w14:textId="0B60DAEC" w:rsidR="00067A64" w:rsidRDefault="00461FC9" w:rsidP="00461FC9">
      <w:pPr>
        <w:pStyle w:val="Level2"/>
      </w:pPr>
      <w:r w:rsidRPr="00D231F6">
        <w:t>The Authority requires [</w:t>
      </w:r>
      <w:r w:rsidR="00B23688" w:rsidRPr="007B43FF">
        <w:rPr>
          <w:highlight w:val="yellow"/>
        </w:rPr>
        <w:t xml:space="preserve">Further </w:t>
      </w:r>
      <w:r w:rsidRPr="007B43FF">
        <w:rPr>
          <w:highlight w:val="yellow"/>
        </w:rPr>
        <w:t>Qualification Responses and]</w:t>
      </w:r>
      <w:r w:rsidRPr="00D231F6">
        <w:t xml:space="preserve"> Tender Responses to be uploaded to the</w:t>
      </w:r>
      <w:r w:rsidR="00A06C3E">
        <w:t xml:space="preserve"> </w:t>
      </w:r>
      <w:r w:rsidR="00AF1397">
        <w:t>eSourcing System</w:t>
      </w:r>
      <w:r w:rsidRPr="00D231F6">
        <w:t xml:space="preserve"> by no later than </w:t>
      </w:r>
      <w:r w:rsidRPr="007B43FF">
        <w:rPr>
          <w:highlight w:val="yellow"/>
        </w:rPr>
        <w:t>[                    ]</w:t>
      </w:r>
      <w:r w:rsidRPr="00D231F6">
        <w:t xml:space="preserve"> (the "</w:t>
      </w:r>
      <w:r w:rsidR="00A06C3E" w:rsidRPr="00130DC4">
        <w:rPr>
          <w:b/>
        </w:rPr>
        <w:t>Tender Response</w:t>
      </w:r>
      <w:r w:rsidRPr="00130DC4">
        <w:rPr>
          <w:b/>
        </w:rPr>
        <w:t xml:space="preserve"> Deadline</w:t>
      </w:r>
      <w:r w:rsidRPr="00D231F6">
        <w:t>"). However, the Authority reserves the right to change the</w:t>
      </w:r>
      <w:r w:rsidR="00A06C3E">
        <w:t xml:space="preserve"> Tender Response</w:t>
      </w:r>
      <w:r w:rsidRPr="00D231F6">
        <w:t xml:space="preserve"> Deadline at its absolute discretion.</w:t>
      </w:r>
    </w:p>
    <w:p w14:paraId="10B5D299" w14:textId="3A2145DD" w:rsidR="00042C7E" w:rsidRPr="00042C7E" w:rsidRDefault="00165DF8" w:rsidP="00042C7E">
      <w:pPr>
        <w:pStyle w:val="Level1"/>
        <w:keepNext/>
        <w:rPr>
          <w:rStyle w:val="Level1asHeadingtext"/>
        </w:rPr>
      </w:pPr>
      <w:r>
        <w:rPr>
          <w:rStyle w:val="Level1asHeadingtext"/>
        </w:rPr>
        <w:fldChar w:fldCharType="begin"/>
      </w:r>
      <w:r w:rsidRPr="00165DF8">
        <w:instrText xml:space="preserve">  TC "</w:instrText>
      </w:r>
      <w:r>
        <w:fldChar w:fldCharType="begin"/>
      </w:r>
      <w:r w:rsidRPr="00165DF8">
        <w:instrText xml:space="preserve"> REF _Ref439717763 \r </w:instrText>
      </w:r>
      <w:r>
        <w:fldChar w:fldCharType="separate"/>
      </w:r>
      <w:bookmarkStart w:id="26" w:name="_Toc42697278"/>
      <w:r w:rsidR="006D7AE5">
        <w:instrText>3</w:instrText>
      </w:r>
      <w:r>
        <w:fldChar w:fldCharType="end"/>
      </w:r>
      <w:r>
        <w:tab/>
        <w:instrText>THE CALL-OFF COMPETITION PROCESS</w:instrText>
      </w:r>
      <w:bookmarkEnd w:id="26"/>
      <w:r w:rsidRPr="00165DF8">
        <w:instrText xml:space="preserve">" \l1 </w:instrText>
      </w:r>
      <w:r>
        <w:rPr>
          <w:rStyle w:val="Level1asHeadingtext"/>
        </w:rPr>
        <w:fldChar w:fldCharType="end"/>
      </w:r>
      <w:bookmarkStart w:id="27" w:name="_Ref437537950"/>
      <w:bookmarkStart w:id="28" w:name="_Ref437538558"/>
      <w:bookmarkStart w:id="29" w:name="_Ref437537781"/>
      <w:bookmarkStart w:id="30" w:name="_Ref437537960"/>
      <w:bookmarkStart w:id="31" w:name="_Ref437537766"/>
      <w:bookmarkStart w:id="32" w:name="_Ref437538372"/>
      <w:bookmarkStart w:id="33" w:name="_Ref437538188"/>
      <w:bookmarkStart w:id="34" w:name="_Ref437538443"/>
      <w:bookmarkStart w:id="35" w:name="_Ref437538881"/>
      <w:bookmarkStart w:id="36" w:name="_Ref439717763"/>
      <w:r w:rsidR="00662195">
        <w:rPr>
          <w:rStyle w:val="Level1asHeadingtext"/>
        </w:rPr>
        <w:t>THE CALL-OFF COMPETITION PROCESS</w:t>
      </w:r>
      <w:bookmarkEnd w:id="27"/>
      <w:bookmarkEnd w:id="28"/>
      <w:bookmarkEnd w:id="29"/>
      <w:bookmarkEnd w:id="30"/>
      <w:bookmarkEnd w:id="31"/>
      <w:bookmarkEnd w:id="32"/>
      <w:bookmarkEnd w:id="33"/>
      <w:bookmarkEnd w:id="34"/>
      <w:bookmarkEnd w:id="35"/>
      <w:bookmarkEnd w:id="36"/>
    </w:p>
    <w:p w14:paraId="2A5CEC8F" w14:textId="77777777" w:rsidR="00042C7E" w:rsidRPr="00042C7E" w:rsidRDefault="00042C7E" w:rsidP="00042C7E">
      <w:pPr>
        <w:pStyle w:val="Level2"/>
        <w:rPr>
          <w:b/>
          <w:bCs/>
        </w:rPr>
      </w:pPr>
      <w:r w:rsidRPr="00042C7E">
        <w:rPr>
          <w:b/>
          <w:bCs/>
        </w:rPr>
        <w:t xml:space="preserve">Outline of Call-Off Competition and Procurement Route </w:t>
      </w:r>
    </w:p>
    <w:p w14:paraId="34AF4AD9" w14:textId="0E83C253" w:rsidR="00AD1FCA" w:rsidRPr="00980E4D" w:rsidRDefault="00AD1FCA" w:rsidP="00042C7E">
      <w:pPr>
        <w:pStyle w:val="Level3"/>
      </w:pPr>
      <w:r w:rsidRPr="00466948">
        <w:rPr>
          <w:highlight w:val="yellow"/>
        </w:rPr>
        <w:t>If One Stage Procurement Route</w:t>
      </w:r>
      <w:r w:rsidRPr="00466948">
        <w:t xml:space="preserve">: [The purpose of this document </w:t>
      </w:r>
      <w:bookmarkStart w:id="37" w:name="_Hlk34840503"/>
      <w:r w:rsidRPr="00466948">
        <w:t xml:space="preserve">is to set out the objectives and arrangements concerning the Tender Response stage of this procurement. During this stage, </w:t>
      </w:r>
      <w:r>
        <w:t>Provider</w:t>
      </w:r>
      <w:r w:rsidRPr="00466948">
        <w:t>s will be asked to submit their Tender Response which will be formally evaluated</w:t>
      </w:r>
      <w:r>
        <w:t xml:space="preserve"> and moderated</w:t>
      </w:r>
      <w:r w:rsidRPr="00466948">
        <w:t xml:space="preserve"> by the Authority in accordance with the process set out in this Call-Off ITT. Thereafter, </w:t>
      </w:r>
      <w:r>
        <w:t>Provider</w:t>
      </w:r>
      <w:r w:rsidRPr="00466948">
        <w:t xml:space="preserve">s will be notified of the outcome of the Call-Off Competition </w:t>
      </w:r>
      <w:r>
        <w:t>[</w:t>
      </w:r>
      <w:r w:rsidRPr="00980E4D">
        <w:rPr>
          <w:highlight w:val="yellow"/>
        </w:rPr>
        <w:t xml:space="preserve">and the Authority will observe a standstill period of at least ten (10) calendar days as envisaged in the timetable provided in paragraph </w:t>
      </w:r>
      <w:r w:rsidR="004443F4">
        <w:rPr>
          <w:highlight w:val="yellow"/>
        </w:rPr>
        <w:fldChar w:fldCharType="begin"/>
      </w:r>
      <w:r w:rsidR="004443F4">
        <w:rPr>
          <w:highlight w:val="yellow"/>
        </w:rPr>
        <w:instrText xml:space="preserve"> REF _Ref70000003 \r \h </w:instrText>
      </w:r>
      <w:r w:rsidR="004443F4">
        <w:rPr>
          <w:highlight w:val="yellow"/>
        </w:rPr>
      </w:r>
      <w:r w:rsidR="004443F4">
        <w:rPr>
          <w:highlight w:val="yellow"/>
        </w:rPr>
        <w:fldChar w:fldCharType="separate"/>
      </w:r>
      <w:r w:rsidR="006D7AE5">
        <w:rPr>
          <w:highlight w:val="yellow"/>
        </w:rPr>
        <w:t>2.1</w:t>
      </w:r>
      <w:r w:rsidR="004443F4">
        <w:rPr>
          <w:highlight w:val="yellow"/>
        </w:rPr>
        <w:fldChar w:fldCharType="end"/>
      </w:r>
      <w:r w:rsidR="004443F4">
        <w:rPr>
          <w:highlight w:val="yellow"/>
        </w:rPr>
        <w:t xml:space="preserve"> above</w:t>
      </w:r>
      <w:r w:rsidRPr="00980E4D">
        <w:rPr>
          <w:highlight w:val="yellow"/>
        </w:rPr>
        <w:t xml:space="preserve"> prior to entering into the Call-Off Contract with the Preferred Provider.]</w:t>
      </w:r>
      <w:r w:rsidR="004443F4">
        <w:t>.</w:t>
      </w:r>
      <w:r w:rsidRPr="00980E4D">
        <w:t xml:space="preserve"> </w:t>
      </w:r>
      <w:r w:rsidRPr="00980E4D">
        <w:rPr>
          <w:highlight w:val="yellow"/>
        </w:rPr>
        <w:t>[</w:t>
      </w:r>
      <w:r w:rsidRPr="00283770">
        <w:rPr>
          <w:b/>
          <w:highlight w:val="yellow"/>
        </w:rPr>
        <w:t>Drafting Note:</w:t>
      </w:r>
      <w:r w:rsidR="00980E4D" w:rsidRPr="00283770">
        <w:rPr>
          <w:b/>
          <w:highlight w:val="yellow"/>
        </w:rPr>
        <w:t xml:space="preserve"> </w:t>
      </w:r>
      <w:r w:rsidR="009A4393">
        <w:rPr>
          <w:b/>
          <w:highlight w:val="yellow"/>
        </w:rPr>
        <w:t>standstill period is optional. If you wish to use a standstill period then your award decision notification to Providers must contain feedback on tenders when informing Providers about the standstill rules</w:t>
      </w:r>
      <w:r w:rsidRPr="00980E4D">
        <w:rPr>
          <w:highlight w:val="yellow"/>
        </w:rPr>
        <w:t>]</w:t>
      </w:r>
      <w:bookmarkEnd w:id="37"/>
    </w:p>
    <w:p w14:paraId="49EBED89" w14:textId="40E1D9C8" w:rsidR="00042C7E" w:rsidRPr="00A22F2C" w:rsidRDefault="00042C7E" w:rsidP="00985B1D">
      <w:pPr>
        <w:pStyle w:val="Level3"/>
      </w:pPr>
      <w:r w:rsidRPr="00466948">
        <w:rPr>
          <w:highlight w:val="yellow"/>
        </w:rPr>
        <w:t>If Two or Four Stage Procurement Route</w:t>
      </w:r>
      <w:r w:rsidRPr="00466948">
        <w:t>:</w:t>
      </w:r>
      <w:r w:rsidR="00B62443">
        <w:t xml:space="preserve"> [</w:t>
      </w:r>
      <w:r w:rsidR="00B62443" w:rsidRPr="00B62443">
        <w:rPr>
          <w:b/>
          <w:highlight w:val="yellow"/>
        </w:rPr>
        <w:t xml:space="preserve">Drafting Note: </w:t>
      </w:r>
      <w:r w:rsidR="00167646">
        <w:rPr>
          <w:b/>
        </w:rPr>
        <w:t>If the Four Stage Procurement Route is the most appropriate</w:t>
      </w:r>
      <w:r w:rsidR="0099701F">
        <w:rPr>
          <w:b/>
        </w:rPr>
        <w:t>,  MOJ or the</w:t>
      </w:r>
      <w:r w:rsidR="00167646">
        <w:rPr>
          <w:b/>
        </w:rPr>
        <w:t xml:space="preserve"> Participating Body shall be required to justify that decision</w:t>
      </w:r>
      <w:r w:rsidR="0099701F">
        <w:rPr>
          <w:b/>
        </w:rPr>
        <w:t>,</w:t>
      </w:r>
      <w:r w:rsidR="00167646">
        <w:rPr>
          <w:b/>
        </w:rPr>
        <w:t xml:space="preserve"> and seek approval of the Authority as framework administrator </w:t>
      </w:r>
      <w:r w:rsidR="0099701F">
        <w:rPr>
          <w:b/>
        </w:rPr>
        <w:t xml:space="preserve">as appropriate </w:t>
      </w:r>
      <w:r w:rsidR="00167646">
        <w:rPr>
          <w:b/>
        </w:rPr>
        <w:t>prior to proceeding.</w:t>
      </w:r>
      <w:r w:rsidR="00B62443">
        <w:t>]</w:t>
      </w:r>
      <w:r w:rsidRPr="00466948">
        <w:t xml:space="preserve"> [The purpose of this document is to set out the objectives and arrangements concerning the Further Qualification and Tender Response Stages of this Call-Off Competition. </w:t>
      </w:r>
      <w:r w:rsidR="00985B1D" w:rsidRPr="00985B1D">
        <w:t>The Further Qualification and Tender Response shall be submitted concurrently by the Supplier.</w:t>
      </w:r>
      <w:r w:rsidR="00985B1D">
        <w:t xml:space="preserve"> </w:t>
      </w:r>
      <w:r w:rsidR="00985B1D" w:rsidRPr="00985B1D">
        <w:t>Upon receipt of the Further Qualification and the Tender Response the Authority or relevant Participating Body shall evaluate the response to the Further Qualification and if the Supplier passes this step then the Authority shall evaluate the response to the Tender Response. For the avoidance of doubt, the Authority shall be under no obligation to evaluate the Supplier's response to the Tender Response or provide any feedback in relation to the same if the Supplier fails to pass the Further Qualification s</w:t>
      </w:r>
      <w:r w:rsidR="00985B1D" w:rsidRPr="00A22F2C">
        <w:t>tage.</w:t>
      </w:r>
    </w:p>
    <w:p w14:paraId="7B047476" w14:textId="6FC2A352" w:rsidR="00042C7E" w:rsidRPr="00466948" w:rsidRDefault="00042C7E" w:rsidP="00042C7E">
      <w:pPr>
        <w:pStyle w:val="Level3"/>
      </w:pPr>
      <w:r w:rsidRPr="00466948">
        <w:rPr>
          <w:highlight w:val="yellow"/>
        </w:rPr>
        <w:t>If Two Stage Procurement Route</w:t>
      </w:r>
      <w:r w:rsidRPr="00466948">
        <w:t xml:space="preserve">: </w:t>
      </w:r>
      <w:r w:rsidR="004443F4">
        <w:t>[</w:t>
      </w:r>
      <w:r w:rsidRPr="00466948">
        <w:t xml:space="preserve">Thereafter, </w:t>
      </w:r>
      <w:r w:rsidR="00DA5B06">
        <w:t>Provider</w:t>
      </w:r>
      <w:r w:rsidRPr="00466948">
        <w:t>s will be notified of the outcome of the Call-Off Co</w:t>
      </w:r>
      <w:r w:rsidR="0032727B">
        <w:t xml:space="preserve">mpetition </w:t>
      </w:r>
      <w:r w:rsidR="00C54F6F">
        <w:t>[</w:t>
      </w:r>
      <w:r w:rsidR="0032727B">
        <w:t>and the Authority will</w:t>
      </w:r>
      <w:r w:rsidRPr="00466948">
        <w:t xml:space="preserve"> observe a standstill period of at least ten (10) calendar days as envisaged in the t</w:t>
      </w:r>
      <w:r w:rsidR="0032727B">
        <w:t>imetable provided in paragraph</w:t>
      </w:r>
      <w:r w:rsidRPr="00466948">
        <w:t xml:space="preserve"> below prior to entering into the Call-Off Contract with the Preferred </w:t>
      </w:r>
      <w:r w:rsidR="00DA5B06">
        <w:t>Provider</w:t>
      </w:r>
      <w:r w:rsidRPr="00466948">
        <w:t>.]</w:t>
      </w:r>
      <w:r w:rsidR="00B6561E">
        <w:rPr>
          <w:highlight w:val="yellow"/>
        </w:rPr>
        <w:t>[</w:t>
      </w:r>
      <w:r w:rsidR="00B6561E" w:rsidRPr="00283770">
        <w:rPr>
          <w:b/>
          <w:highlight w:val="yellow"/>
        </w:rPr>
        <w:t>Drafting Note: the standstill period</w:t>
      </w:r>
      <w:r w:rsidR="0032727B" w:rsidRPr="00283770">
        <w:rPr>
          <w:b/>
          <w:highlight w:val="yellow"/>
        </w:rPr>
        <w:t xml:space="preserve"> is optional</w:t>
      </w:r>
      <w:r w:rsidR="009A4393">
        <w:rPr>
          <w:b/>
          <w:highlight w:val="yellow"/>
        </w:rPr>
        <w:t>. If you wish to use a standstill period then your award decision notification to Providers must contain feedback on tenders when informing Providers about the standstill rules</w:t>
      </w:r>
      <w:r w:rsidR="0032727B" w:rsidRPr="0032727B">
        <w:rPr>
          <w:highlight w:val="yellow"/>
        </w:rPr>
        <w:t>]</w:t>
      </w:r>
    </w:p>
    <w:p w14:paraId="6F8266FC" w14:textId="6AB395C5" w:rsidR="00D6304E" w:rsidRDefault="00042C7E" w:rsidP="00D6304E">
      <w:pPr>
        <w:pStyle w:val="Level3"/>
      </w:pPr>
      <w:bookmarkStart w:id="38" w:name="_Hlk35503746"/>
      <w:bookmarkStart w:id="39" w:name="_Hlk25317352"/>
      <w:r w:rsidRPr="00D6304E">
        <w:rPr>
          <w:highlight w:val="yellow"/>
        </w:rPr>
        <w:t>If Four Stage Procurement Route</w:t>
      </w:r>
      <w:bookmarkEnd w:id="38"/>
      <w:r w:rsidRPr="00466948">
        <w:t xml:space="preserve">: [Thereafter, the Authority shall invite the top </w:t>
      </w:r>
      <w:r w:rsidR="00AC2B9C">
        <w:t>[</w:t>
      </w:r>
      <w:r w:rsidRPr="00466948">
        <w:t>five (5)</w:t>
      </w:r>
      <w:r w:rsidR="00D92DDA">
        <w:t xml:space="preserve"> </w:t>
      </w:r>
      <w:r w:rsidR="00D92DDA" w:rsidRPr="00D92DDA">
        <w:rPr>
          <w:highlight w:val="yellow"/>
        </w:rPr>
        <w:t xml:space="preserve">[Authority can opt for a </w:t>
      </w:r>
      <w:r w:rsidR="00D92DDA">
        <w:rPr>
          <w:highlight w:val="yellow"/>
        </w:rPr>
        <w:t>minimum of 3</w:t>
      </w:r>
      <w:r w:rsidR="00AC2B9C" w:rsidRPr="00D92DDA">
        <w:rPr>
          <w:highlight w:val="yellow"/>
        </w:rPr>
        <w:t>]</w:t>
      </w:r>
      <w:r w:rsidRPr="00466948">
        <w:t xml:space="preserve"> </w:t>
      </w:r>
      <w:r w:rsidR="00DA5B06">
        <w:t>Provider</w:t>
      </w:r>
      <w:r w:rsidRPr="00466948">
        <w:t xml:space="preserve">s (provided that those </w:t>
      </w:r>
      <w:r w:rsidR="006871CF">
        <w:t>Provider</w:t>
      </w:r>
      <w:r w:rsidR="00D6304E">
        <w:t>s</w:t>
      </w:r>
      <w:r w:rsidR="00D6304E" w:rsidRPr="00466948">
        <w:t xml:space="preserve"> </w:t>
      </w:r>
      <w:r w:rsidRPr="00466948">
        <w:t xml:space="preserve">meet the minimum threshold detailed in </w:t>
      </w:r>
      <w:r w:rsidRPr="00466948">
        <w:fldChar w:fldCharType="begin"/>
      </w:r>
      <w:r w:rsidRPr="00466948">
        <w:instrText xml:space="preserve"> REF _Ref70000002 \h \n \* MERGEFORMAT </w:instrText>
      </w:r>
      <w:r w:rsidRPr="00466948">
        <w:fldChar w:fldCharType="separate"/>
      </w:r>
      <w:r w:rsidR="006D7AE5">
        <w:t>Appendix 2</w:t>
      </w:r>
      <w:r w:rsidRPr="00466948">
        <w:fldChar w:fldCharType="end"/>
      </w:r>
      <w:r w:rsidR="00C54F6F">
        <w:t xml:space="preserve"> of this Call-Off ITT</w:t>
      </w:r>
      <w:r w:rsidRPr="00466948">
        <w:t xml:space="preserve">) to a series of clarification meetings. </w:t>
      </w:r>
      <w:r w:rsidR="00D6304E">
        <w:t xml:space="preserve">The </w:t>
      </w:r>
      <w:r w:rsidR="008A67AF">
        <w:t>Clarification Meetings</w:t>
      </w:r>
      <w:r w:rsidR="00D6304E">
        <w:t xml:space="preserve"> shall be used by the Authority to clarify the </w:t>
      </w:r>
      <w:r w:rsidR="006871CF">
        <w:t>Provid</w:t>
      </w:r>
      <w:r w:rsidR="00D6304E">
        <w:t>er's Tender</w:t>
      </w:r>
      <w:r w:rsidR="00803458">
        <w:t xml:space="preserve"> Response</w:t>
      </w:r>
      <w:r w:rsidR="00D6304E">
        <w:t xml:space="preserve"> and to give the </w:t>
      </w:r>
      <w:r w:rsidR="006871CF">
        <w:t>Provi</w:t>
      </w:r>
      <w:r w:rsidR="00D6304E">
        <w:t>der feedback on its Tender</w:t>
      </w:r>
      <w:r w:rsidR="00803458">
        <w:t xml:space="preserve"> Response</w:t>
      </w:r>
      <w:r w:rsidR="00D6304E">
        <w:t xml:space="preserve">, ensuring that the </w:t>
      </w:r>
      <w:r w:rsidR="006871CF">
        <w:t>Provi</w:t>
      </w:r>
      <w:r w:rsidR="00D6304E">
        <w:t>der has an opportunity to improve its Tender</w:t>
      </w:r>
      <w:r w:rsidR="00803458">
        <w:t xml:space="preserve"> Response</w:t>
      </w:r>
      <w:r w:rsidR="00D6304E">
        <w:t xml:space="preserve"> at BAFO Stage.]</w:t>
      </w:r>
    </w:p>
    <w:p w14:paraId="78B5B606" w14:textId="4F3C322C" w:rsidR="00D6304E" w:rsidRDefault="00D6304E" w:rsidP="00D6304E">
      <w:pPr>
        <w:pStyle w:val="Level3"/>
      </w:pPr>
      <w:r w:rsidRPr="00D6304E">
        <w:rPr>
          <w:highlight w:val="yellow"/>
        </w:rPr>
        <w:t>If Four Stage Procurement Route</w:t>
      </w:r>
      <w:r>
        <w:t xml:space="preserve">: [The areas of discussion will be fixed by the Authority (and will not to be used to discuss any other areas of technical or non-technical </w:t>
      </w:r>
      <w:r>
        <w:lastRenderedPageBreak/>
        <w:t xml:space="preserve">requirements other than those which are stated) and will not to be used to negotiate aspects of the Draft </w:t>
      </w:r>
      <w:r w:rsidR="00803458">
        <w:t>Call-Off Contract</w:t>
      </w:r>
      <w:r>
        <w:t xml:space="preserve">. The Authority will identify the areas for discussion prior to the </w:t>
      </w:r>
      <w:r w:rsidR="008A67AF">
        <w:t>Clarification Meetings</w:t>
      </w:r>
      <w:r>
        <w:t>.]</w:t>
      </w:r>
    </w:p>
    <w:p w14:paraId="44AB3F6E" w14:textId="6D09D741" w:rsidR="00D92DDA" w:rsidRDefault="00D6304E" w:rsidP="00D6304E">
      <w:pPr>
        <w:pStyle w:val="Level3"/>
      </w:pPr>
      <w:r w:rsidRPr="00D6304E">
        <w:rPr>
          <w:highlight w:val="yellow"/>
        </w:rPr>
        <w:t>If Four Stage Procurement Route</w:t>
      </w:r>
      <w:r>
        <w:t xml:space="preserve">: [The </w:t>
      </w:r>
      <w:r w:rsidR="008A67AF">
        <w:t>Clarification Meetings</w:t>
      </w:r>
      <w:r>
        <w:t xml:space="preserve"> will not be evaluated or scored, and therefore, all </w:t>
      </w:r>
      <w:r w:rsidR="006871CF">
        <w:t>Provide</w:t>
      </w:r>
      <w:r w:rsidR="000D1BB8">
        <w:t xml:space="preserve">rs invited to </w:t>
      </w:r>
      <w:r>
        <w:t>will also be invited to proceed to the BAFO Stage.</w:t>
      </w:r>
      <w:r w:rsidR="00D92DDA">
        <w:t xml:space="preserve"> The content of the </w:t>
      </w:r>
      <w:r w:rsidR="008A67AF">
        <w:t>Clarification Meetings</w:t>
      </w:r>
      <w:r w:rsidR="00D92DDA">
        <w:t xml:space="preserve"> will be confirmed closer to the time, and may involve feedback on Initial Tenders. In the event that </w:t>
      </w:r>
      <w:r w:rsidR="00FC6273">
        <w:t xml:space="preserve">Provider </w:t>
      </w:r>
      <w:r w:rsidR="00D92DDA">
        <w:t>queries arise during those meetings, the Authority will share responses more widely where appropriate</w:t>
      </w:r>
      <w:r w:rsidR="00FC6273">
        <w:t>.</w:t>
      </w:r>
      <w:r w:rsidR="00D92DDA">
        <w:t>]</w:t>
      </w:r>
      <w:r>
        <w:t xml:space="preserve"> </w:t>
      </w:r>
      <w:bookmarkEnd w:id="39"/>
    </w:p>
    <w:p w14:paraId="40611152" w14:textId="5AF82793" w:rsidR="00B6561E" w:rsidRDefault="00F4449E" w:rsidP="00D6304E">
      <w:pPr>
        <w:pStyle w:val="Level3"/>
      </w:pPr>
      <w:r w:rsidRPr="00D6304E">
        <w:rPr>
          <w:highlight w:val="yellow"/>
        </w:rPr>
        <w:t>If Four Stage Procurement Route</w:t>
      </w:r>
      <w:r w:rsidRPr="00466948">
        <w:t xml:space="preserve"> </w:t>
      </w:r>
      <w:r>
        <w:t>[</w:t>
      </w:r>
      <w:r w:rsidR="00042C7E" w:rsidRPr="00466948">
        <w:t xml:space="preserve">Following closure of the Clarification Stage by the Authority, the </w:t>
      </w:r>
      <w:r w:rsidR="00DA5B06">
        <w:t>Provider</w:t>
      </w:r>
      <w:r w:rsidR="00042C7E" w:rsidRPr="00466948">
        <w:t>s who participated in the Clarification Stage shall be invited to submit a Best and Final Offer ("BAFO"). The BAFO shall be evaluated</w:t>
      </w:r>
      <w:r w:rsidR="00F85FF9">
        <w:t xml:space="preserve"> and moderated</w:t>
      </w:r>
      <w:r w:rsidR="00042C7E" w:rsidRPr="00466948">
        <w:t xml:space="preserve"> on the same basis as the Tender Response.</w:t>
      </w:r>
      <w:r w:rsidR="00D6304E">
        <w:t>]</w:t>
      </w:r>
    </w:p>
    <w:p w14:paraId="5FF2BBAE" w14:textId="61966E10" w:rsidR="00350317" w:rsidRDefault="00D6304E" w:rsidP="00042C7E">
      <w:pPr>
        <w:pStyle w:val="Level3"/>
      </w:pPr>
      <w:r w:rsidRPr="00D6304E">
        <w:rPr>
          <w:highlight w:val="yellow"/>
        </w:rPr>
        <w:t>If Four Stage Procurement Route</w:t>
      </w:r>
      <w:r w:rsidRPr="00466948">
        <w:t xml:space="preserve"> </w:t>
      </w:r>
      <w:r>
        <w:t>[</w:t>
      </w:r>
      <w:r w:rsidR="00B6561E" w:rsidRPr="00466948">
        <w:t xml:space="preserve">Thereafter, </w:t>
      </w:r>
      <w:r w:rsidR="00DA5B06">
        <w:t>Provider</w:t>
      </w:r>
      <w:r w:rsidR="00B6561E" w:rsidRPr="00466948">
        <w:t>s will be notified of the outcome of the Call-Off Co</w:t>
      </w:r>
      <w:r w:rsidR="00B6561E">
        <w:t xml:space="preserve">mpetition </w:t>
      </w:r>
      <w:r w:rsidR="00995103">
        <w:t>[</w:t>
      </w:r>
      <w:r w:rsidR="00B6561E">
        <w:t>and the Authority will</w:t>
      </w:r>
      <w:r w:rsidR="00B6561E" w:rsidRPr="00466948">
        <w:t xml:space="preserve"> observe a standstill period of at least ten (10) calendar days as envisaged in the t</w:t>
      </w:r>
      <w:r w:rsidR="00B6561E">
        <w:t>imetable provided in paragraph</w:t>
      </w:r>
      <w:r w:rsidR="00B6561E" w:rsidRPr="00466948">
        <w:t xml:space="preserve"> </w:t>
      </w:r>
      <w:r w:rsidR="00F85FF9">
        <w:t>above</w:t>
      </w:r>
      <w:r w:rsidR="00B6561E" w:rsidRPr="00466948">
        <w:t xml:space="preserve"> prior to entering into the Call-Off Contract with the Preferred </w:t>
      </w:r>
      <w:r w:rsidR="00DA5B06">
        <w:t>Provider</w:t>
      </w:r>
      <w:r w:rsidR="00B6561E" w:rsidRPr="00466948">
        <w:t>.</w:t>
      </w:r>
      <w:r w:rsidR="000D1BB8">
        <w:t>]</w:t>
      </w:r>
      <w:r w:rsidR="00B6561E" w:rsidRPr="00466948">
        <w:t>]</w:t>
      </w:r>
      <w:r w:rsidR="00B6561E">
        <w:rPr>
          <w:highlight w:val="yellow"/>
        </w:rPr>
        <w:t>[</w:t>
      </w:r>
      <w:r w:rsidR="00B6561E" w:rsidRPr="00283770">
        <w:rPr>
          <w:b/>
          <w:highlight w:val="yellow"/>
        </w:rPr>
        <w:t>Drafting Note: the standstill period is optional</w:t>
      </w:r>
      <w:r w:rsidR="009A4393">
        <w:rPr>
          <w:b/>
          <w:highlight w:val="yellow"/>
        </w:rPr>
        <w:t>. If you wish to use a standstill period then your award decision notification to Providers must contain feedback on tenders when informing Providers about the standstill rules</w:t>
      </w:r>
      <w:r w:rsidR="00B6561E" w:rsidRPr="0032727B">
        <w:rPr>
          <w:highlight w:val="yellow"/>
        </w:rPr>
        <w:t>]</w:t>
      </w:r>
    </w:p>
    <w:p w14:paraId="24514E5B" w14:textId="1C53D311" w:rsidR="00F4449E" w:rsidRDefault="00F4449E" w:rsidP="00417E06">
      <w:pPr>
        <w:pStyle w:val="Level2"/>
      </w:pPr>
      <w:r>
        <w:t>T</w:t>
      </w:r>
      <w:r w:rsidR="003E1C23">
        <w:t>he Authority will notify Providers</w:t>
      </w:r>
      <w:r>
        <w:t xml:space="preserve"> of the outcome of the Call-Off Competition</w:t>
      </w:r>
      <w:r w:rsidR="003E1C23">
        <w:t xml:space="preserve"> via the eSourcing System. </w:t>
      </w:r>
      <w:r>
        <w:t>Providers should not</w:t>
      </w:r>
      <w:r w:rsidR="009A4393">
        <w:t>e t</w:t>
      </w:r>
      <w:r w:rsidR="003E1C23">
        <w:t xml:space="preserve">here is no obligation for the Authority to provide feedback to Providers </w:t>
      </w:r>
      <w:r>
        <w:t xml:space="preserve">on final Tender Responses as part of the contract award notification. </w:t>
      </w:r>
    </w:p>
    <w:p w14:paraId="1C8BA3A7" w14:textId="366FD84E" w:rsidR="00F4449E" w:rsidRDefault="00F4449E" w:rsidP="00417E06">
      <w:pPr>
        <w:pStyle w:val="Level2"/>
      </w:pPr>
      <w:r>
        <w:t>If a Provider requires feedback, it should request this via the eSourcing System. Where feedback is requested</w:t>
      </w:r>
      <w:r w:rsidR="009A4393">
        <w:t xml:space="preserve"> via the eSourcing System</w:t>
      </w:r>
      <w:r>
        <w:t>, the Authority will provide this within a reasonable timeframe.</w:t>
      </w:r>
    </w:p>
    <w:p w14:paraId="7E4F0FBE" w14:textId="22D21517" w:rsidR="00461FC9" w:rsidRPr="00D231F6" w:rsidRDefault="00165DF8" w:rsidP="00355DD4">
      <w:pPr>
        <w:pStyle w:val="Level1"/>
        <w:rPr>
          <w:rStyle w:val="Level1asHeadingtext"/>
          <w:b w:val="0"/>
          <w:bCs w:val="0"/>
          <w:caps w:val="0"/>
        </w:rPr>
      </w:pPr>
      <w:r>
        <w:rPr>
          <w:rStyle w:val="Level1asHeadingtext"/>
        </w:rPr>
        <w:fldChar w:fldCharType="begin"/>
      </w:r>
      <w:r w:rsidRPr="00165DF8">
        <w:instrText xml:space="preserve">  TC "</w:instrText>
      </w:r>
      <w:r>
        <w:fldChar w:fldCharType="begin"/>
      </w:r>
      <w:r w:rsidRPr="00165DF8">
        <w:instrText xml:space="preserve"> REF _Ref439717810 \r </w:instrText>
      </w:r>
      <w:r>
        <w:fldChar w:fldCharType="separate"/>
      </w:r>
      <w:bookmarkStart w:id="40" w:name="_Toc42697279"/>
      <w:r w:rsidR="006D7AE5">
        <w:instrText>4</w:instrText>
      </w:r>
      <w:r>
        <w:fldChar w:fldCharType="end"/>
      </w:r>
      <w:r>
        <w:tab/>
        <w:instrText>OVERVIEW OF APPROACH TO EVALUATION</w:instrText>
      </w:r>
      <w:bookmarkEnd w:id="40"/>
      <w:r w:rsidRPr="00165DF8">
        <w:instrText xml:space="preserve">" \l1 </w:instrText>
      </w:r>
      <w:r>
        <w:rPr>
          <w:rStyle w:val="Level1asHeadingtext"/>
        </w:rPr>
        <w:fldChar w:fldCharType="end"/>
      </w:r>
      <w:bookmarkStart w:id="41" w:name="_Ref437497157"/>
      <w:bookmarkStart w:id="42" w:name="_Ref437497931"/>
      <w:bookmarkStart w:id="43" w:name="_Ref437537981"/>
      <w:bookmarkStart w:id="44" w:name="_Ref437538621"/>
      <w:bookmarkStart w:id="45" w:name="_Ref437537828"/>
      <w:bookmarkStart w:id="46" w:name="_Ref437538006"/>
      <w:bookmarkStart w:id="47" w:name="_Ref437537812"/>
      <w:bookmarkStart w:id="48" w:name="_Ref437538402"/>
      <w:bookmarkStart w:id="49" w:name="_Ref437538235"/>
      <w:bookmarkStart w:id="50" w:name="_Ref437538489"/>
      <w:bookmarkStart w:id="51" w:name="_Ref437537928"/>
      <w:bookmarkStart w:id="52" w:name="_Ref439717810"/>
      <w:r w:rsidR="00042C7E">
        <w:rPr>
          <w:rStyle w:val="Level1asHeadingtext"/>
        </w:rPr>
        <w:t xml:space="preserve">OVERVIEW OF </w:t>
      </w:r>
      <w:r w:rsidR="00461FC9" w:rsidRPr="00D231F6">
        <w:rPr>
          <w:rStyle w:val="Level1asHeadingtext"/>
        </w:rPr>
        <w:t>Approach to evaluation</w:t>
      </w:r>
      <w:bookmarkEnd w:id="41"/>
      <w:bookmarkEnd w:id="42"/>
      <w:bookmarkEnd w:id="43"/>
      <w:bookmarkEnd w:id="44"/>
      <w:bookmarkEnd w:id="45"/>
      <w:bookmarkEnd w:id="46"/>
      <w:bookmarkEnd w:id="47"/>
      <w:bookmarkEnd w:id="48"/>
      <w:bookmarkEnd w:id="49"/>
      <w:bookmarkEnd w:id="50"/>
      <w:bookmarkEnd w:id="51"/>
      <w:bookmarkEnd w:id="52"/>
    </w:p>
    <w:p w14:paraId="3A1BE2DC" w14:textId="62901A51" w:rsidR="00461FC9" w:rsidRDefault="00461FC9" w:rsidP="00461FC9">
      <w:pPr>
        <w:pStyle w:val="Level2"/>
      </w:pPr>
      <w:r w:rsidRPr="00D231F6">
        <w:t xml:space="preserve">The underlying principle of the evaluation methodology is to identify the most economically advantageous </w:t>
      </w:r>
      <w:r w:rsidR="00B23688" w:rsidRPr="00D231F6">
        <w:t>Tender Response</w:t>
      </w:r>
      <w:r w:rsidRPr="00D231F6">
        <w:t xml:space="preserve"> </w:t>
      </w:r>
      <w:r w:rsidR="00466B3C">
        <w:t>[</w:t>
      </w:r>
      <w:r w:rsidR="00601C13">
        <w:t>/</w:t>
      </w:r>
      <w:r w:rsidR="00176B0B">
        <w:rPr>
          <w:highlight w:val="yellow"/>
        </w:rPr>
        <w:t>BAFO</w:t>
      </w:r>
      <w:r w:rsidR="00466B3C">
        <w:t xml:space="preserve">] </w:t>
      </w:r>
      <w:r w:rsidRPr="00D231F6">
        <w:t xml:space="preserve">that meets the Authority's requirements as further detailed in the </w:t>
      </w:r>
      <w:r w:rsidR="00466B3C">
        <w:t xml:space="preserve">Draft </w:t>
      </w:r>
      <w:r w:rsidRPr="00D231F6">
        <w:t xml:space="preserve">Call-Off </w:t>
      </w:r>
      <w:r w:rsidR="00466B3C">
        <w:t>Contract</w:t>
      </w:r>
      <w:r w:rsidR="00B23688" w:rsidRPr="00D231F6">
        <w:t>.</w:t>
      </w:r>
      <w:r w:rsidR="00FD0332">
        <w:t xml:space="preserve"> </w:t>
      </w:r>
      <w:r w:rsidR="00980E4D">
        <w:t>The Authority will appoint an appropriate evaluation panel within its project team to carry out the evaluation and moderation process</w:t>
      </w:r>
      <w:r w:rsidR="000D1BB8">
        <w:t xml:space="preserve"> as applicable</w:t>
      </w:r>
      <w:r w:rsidR="005555A0">
        <w:t>.</w:t>
      </w:r>
      <w:r w:rsidR="008A67AF">
        <w:t xml:space="preserve"> </w:t>
      </w:r>
    </w:p>
    <w:p w14:paraId="424842C3" w14:textId="37528481" w:rsidR="00CF66AD" w:rsidRDefault="002D31CA" w:rsidP="00461FC9">
      <w:pPr>
        <w:pStyle w:val="Level2"/>
      </w:pPr>
      <w:bookmarkStart w:id="53" w:name="_Ref40804368"/>
      <w:bookmarkStart w:id="54" w:name="_Ref40370638"/>
      <w:r>
        <w:t>The Authority reserves the right to retest a Provider</w:t>
      </w:r>
      <w:r w:rsidR="00A930A4">
        <w:t xml:space="preserve"> on any aspect of its </w:t>
      </w:r>
      <w:r>
        <w:t xml:space="preserve">SQ response, at any </w:t>
      </w:r>
      <w:r w:rsidR="00856BAE">
        <w:t>time</w:t>
      </w:r>
      <w:r>
        <w:t xml:space="preserve"> during </w:t>
      </w:r>
      <w:r w:rsidR="007C0E46">
        <w:t xml:space="preserve">the Call-Off </w:t>
      </w:r>
      <w:r w:rsidR="007C0E46" w:rsidRPr="00466B3C">
        <w:t>Competition</w:t>
      </w:r>
      <w:r w:rsidR="00A930A4" w:rsidRPr="00466B3C">
        <w:t xml:space="preserve"> </w:t>
      </w:r>
      <w:r w:rsidR="00A930A4" w:rsidRPr="009844AB">
        <w:t>and</w:t>
      </w:r>
      <w:r w:rsidR="00466B3C" w:rsidRPr="009844AB">
        <w:t>/or</w:t>
      </w:r>
      <w:r w:rsidR="00A930A4" w:rsidRPr="009844AB">
        <w:t xml:space="preserve"> during the term of the Call-Off Contract</w:t>
      </w:r>
      <w:r w:rsidR="00466B3C" w:rsidRPr="00466B3C">
        <w:t xml:space="preserve"> in accordance with the terms of the Draft Call-Off Contract</w:t>
      </w:r>
      <w:r w:rsidR="00CF66AD" w:rsidRPr="00466B3C">
        <w:t>, and</w:t>
      </w:r>
      <w:r w:rsidR="00CF66AD">
        <w:t xml:space="preserve"> as part of the Call-Off Competition, it will retest certain aspects of a Providers SQ response </w:t>
      </w:r>
      <w:r w:rsidR="0007355D">
        <w:t xml:space="preserve">including </w:t>
      </w:r>
      <w:r w:rsidR="00CF66AD">
        <w:t>in the event that:</w:t>
      </w:r>
      <w:bookmarkEnd w:id="53"/>
      <w:r w:rsidR="00CF66AD">
        <w:t xml:space="preserve"> </w:t>
      </w:r>
    </w:p>
    <w:p w14:paraId="34980869" w14:textId="42666608" w:rsidR="00CF66AD" w:rsidRPr="00894BA3" w:rsidRDefault="00CF66AD" w:rsidP="00CF66AD">
      <w:pPr>
        <w:pStyle w:val="Level3"/>
      </w:pPr>
      <w:r w:rsidRPr="00894BA3">
        <w:t>more than two years has elapsed since the Provider was appointed to the Framework Agreement</w:t>
      </w:r>
      <w:r w:rsidR="009844AB" w:rsidRPr="00894BA3">
        <w:t xml:space="preserve"> in respect of the relevant Service Category</w:t>
      </w:r>
      <w:r w:rsidRPr="00894BA3">
        <w:t xml:space="preserve">; </w:t>
      </w:r>
    </w:p>
    <w:p w14:paraId="1960F974" w14:textId="1CD0C195" w:rsidR="00CF66AD" w:rsidRPr="00894BA3" w:rsidRDefault="00CF66AD" w:rsidP="00CF66AD">
      <w:pPr>
        <w:pStyle w:val="Level3"/>
      </w:pPr>
      <w:r w:rsidRPr="00894BA3">
        <w:t>a Provider has previously qualified to participate in Call-Off Competitions</w:t>
      </w:r>
      <w:r w:rsidR="004B3830">
        <w:t xml:space="preserve"> with a specific Call-Off Contract value, and the value of this Call-Off Competition  </w:t>
      </w:r>
      <w:r w:rsidR="004B3830" w:rsidRPr="00894BA3">
        <w:t xml:space="preserve">(when combined with any Call-Off Contracts the Provider is currently a party to pursuant the Framework </w:t>
      </w:r>
      <w:r w:rsidR="00AB3241">
        <w:t xml:space="preserve">Agreement </w:t>
      </w:r>
      <w:r w:rsidR="004B3830" w:rsidRPr="00894BA3">
        <w:t>with the Authority now requires retesting at a higher threshold</w:t>
      </w:r>
      <w:r w:rsidR="004B3830">
        <w:t xml:space="preserve"> in accordance with the original SQ</w:t>
      </w:r>
      <w:r w:rsidR="00AB3241">
        <w:t xml:space="preserve">; </w:t>
      </w:r>
    </w:p>
    <w:p w14:paraId="3E9F9F0B" w14:textId="29116299" w:rsidR="00CF66AD" w:rsidRDefault="00CF66AD" w:rsidP="00CF66AD">
      <w:pPr>
        <w:pStyle w:val="Level3"/>
      </w:pPr>
      <w:r w:rsidRPr="00894BA3">
        <w:t>a change has been identified in relation to a Provider such as</w:t>
      </w:r>
      <w:r w:rsidR="006B3F48">
        <w:t xml:space="preserve"> but not limited to</w:t>
      </w:r>
      <w:r w:rsidRPr="00894BA3">
        <w:t xml:space="preserve"> </w:t>
      </w:r>
      <w:r w:rsidR="00AB3241">
        <w:t>a change in Key Sub-contractor); and</w:t>
      </w:r>
    </w:p>
    <w:p w14:paraId="5B12A819" w14:textId="3127D015" w:rsidR="00AB3241" w:rsidRPr="00894BA3" w:rsidRDefault="00AB3241" w:rsidP="00CF66AD">
      <w:pPr>
        <w:pStyle w:val="Level3"/>
      </w:pPr>
      <w:r>
        <w:t>a Provider has Call-Off Contracts with multiple Participating Bodies.</w:t>
      </w:r>
    </w:p>
    <w:p w14:paraId="2277CED4" w14:textId="6F8163FC" w:rsidR="007C0E46" w:rsidRDefault="002D31CA" w:rsidP="00CF66AD">
      <w:pPr>
        <w:ind w:left="850"/>
      </w:pPr>
      <w:r w:rsidRPr="00CF66AD">
        <w:t>If, after retesti</w:t>
      </w:r>
      <w:r w:rsidR="00856BAE" w:rsidRPr="00CF66AD">
        <w:t xml:space="preserve">ng, the Provider </w:t>
      </w:r>
      <w:r w:rsidRPr="00CF66AD">
        <w:t xml:space="preserve">no longer meets the requirements </w:t>
      </w:r>
      <w:r w:rsidRPr="0007355D">
        <w:t>of the SQ, the Authority may, in its absolute discretion, disqualify the Pro</w:t>
      </w:r>
      <w:r w:rsidR="00355DD4" w:rsidRPr="0007355D">
        <w:t>vider</w:t>
      </w:r>
      <w:r w:rsidRPr="0007355D">
        <w:t xml:space="preserve"> from the Call-Off Competition</w:t>
      </w:r>
      <w:r w:rsidR="00A930A4" w:rsidRPr="0007355D">
        <w:t xml:space="preserve"> </w:t>
      </w:r>
      <w:r w:rsidR="00A930A4" w:rsidRPr="00894BA3">
        <w:t>or</w:t>
      </w:r>
      <w:r w:rsidR="0007355D">
        <w:t xml:space="preserve"> otherwise</w:t>
      </w:r>
      <w:r w:rsidR="00A930A4" w:rsidRPr="00894BA3">
        <w:t xml:space="preserve"> act as in accordance with the terms of the Call-Off Contract</w:t>
      </w:r>
      <w:r w:rsidR="007C0E46" w:rsidRPr="0007355D">
        <w:t xml:space="preserve">. </w:t>
      </w:r>
      <w:bookmarkEnd w:id="54"/>
    </w:p>
    <w:p w14:paraId="2A26E13F" w14:textId="77777777" w:rsidR="00CF66AD" w:rsidRPr="00CF66AD" w:rsidRDefault="00CF66AD" w:rsidP="00CF66AD">
      <w:pPr>
        <w:ind w:left="850"/>
      </w:pPr>
    </w:p>
    <w:p w14:paraId="0621A239" w14:textId="2E90CFDD" w:rsidR="00856BAE" w:rsidRPr="00355DD4" w:rsidRDefault="00ED3D7C" w:rsidP="00355DD4">
      <w:pPr>
        <w:pStyle w:val="Level2"/>
        <w:rPr>
          <w:highlight w:val="yellow"/>
        </w:rPr>
      </w:pPr>
      <w:r>
        <w:t>T</w:t>
      </w:r>
      <w:r w:rsidR="0075255C">
        <w:t xml:space="preserve">he ITT questions may involve any aspect of the retesting noted in </w:t>
      </w:r>
      <w:r w:rsidR="0075255C">
        <w:fldChar w:fldCharType="begin"/>
      </w:r>
      <w:r w:rsidR="0075255C">
        <w:instrText xml:space="preserve"> REF _Ref40370638 \r \h </w:instrText>
      </w:r>
      <w:r w:rsidR="0075255C">
        <w:fldChar w:fldCharType="separate"/>
      </w:r>
      <w:r w:rsidR="006D7AE5">
        <w:t>4.2</w:t>
      </w:r>
      <w:r w:rsidR="0075255C">
        <w:fldChar w:fldCharType="end"/>
      </w:r>
      <w:r w:rsidR="0075255C">
        <w:t xml:space="preserve"> above</w:t>
      </w:r>
      <w:r>
        <w:t xml:space="preserve"> or this may be tested separately as required on a </w:t>
      </w:r>
      <w:r w:rsidR="003239AB">
        <w:t>case by case</w:t>
      </w:r>
      <w:r>
        <w:t xml:space="preserve"> basis</w:t>
      </w:r>
      <w:r w:rsidR="0075255C">
        <w:t>.</w:t>
      </w:r>
      <w:r w:rsidR="00355DD4" w:rsidRPr="00355DD4">
        <w:rPr>
          <w:b/>
          <w:highlight w:val="yellow"/>
        </w:rPr>
        <w:t xml:space="preserve"> </w:t>
      </w:r>
      <w:r w:rsidR="0028775A">
        <w:rPr>
          <w:b/>
          <w:highlight w:val="yellow"/>
        </w:rPr>
        <w:t>[</w:t>
      </w:r>
      <w:r w:rsidR="00355DD4" w:rsidRPr="00283770">
        <w:rPr>
          <w:b/>
          <w:highlight w:val="yellow"/>
        </w:rPr>
        <w:t>Drafting note: A</w:t>
      </w:r>
      <w:r w:rsidR="0028775A">
        <w:rPr>
          <w:b/>
          <w:highlight w:val="yellow"/>
        </w:rPr>
        <w:t xml:space="preserve">uthorities </w:t>
      </w:r>
      <w:r w:rsidR="002845D2" w:rsidRPr="002845D2">
        <w:rPr>
          <w:b/>
          <w:highlight w:val="yellow"/>
          <w:u w:val="single"/>
        </w:rPr>
        <w:t>must</w:t>
      </w:r>
      <w:r w:rsidR="0028775A">
        <w:rPr>
          <w:b/>
          <w:highlight w:val="yellow"/>
        </w:rPr>
        <w:t xml:space="preserve"> retest economic and financial standing (EFS)</w:t>
      </w:r>
      <w:r w:rsidR="003239AB">
        <w:rPr>
          <w:b/>
          <w:highlight w:val="yellow"/>
        </w:rPr>
        <w:t xml:space="preserve"> of a Provider</w:t>
      </w:r>
      <w:r w:rsidR="0028775A">
        <w:rPr>
          <w:b/>
          <w:highlight w:val="yellow"/>
        </w:rPr>
        <w:t xml:space="preserve"> if</w:t>
      </w:r>
      <w:r w:rsidR="002845D2">
        <w:rPr>
          <w:b/>
          <w:highlight w:val="yellow"/>
        </w:rPr>
        <w:t>:</w:t>
      </w:r>
      <w:r w:rsidR="0028775A">
        <w:rPr>
          <w:b/>
          <w:highlight w:val="yellow"/>
        </w:rPr>
        <w:t xml:space="preserve"> (a) more than two years has elapsed since the Provider was appointed to the Framework Agreement; (b) whe</w:t>
      </w:r>
      <w:r w:rsidR="002845D2">
        <w:rPr>
          <w:b/>
          <w:highlight w:val="yellow"/>
        </w:rPr>
        <w:t>re a Provider</w:t>
      </w:r>
      <w:r w:rsidR="00841BDB">
        <w:rPr>
          <w:b/>
          <w:highlight w:val="yellow"/>
        </w:rPr>
        <w:t xml:space="preserve"> or Key Sub-Contractor</w:t>
      </w:r>
      <w:r w:rsidR="002845D2">
        <w:rPr>
          <w:b/>
          <w:highlight w:val="yellow"/>
        </w:rPr>
        <w:t xml:space="preserve"> has previously qualified at SQ stage for Call-Off Contracts valued in aggregate at less than</w:t>
      </w:r>
      <w:r w:rsidR="004B3830">
        <w:rPr>
          <w:b/>
          <w:highlight w:val="yellow"/>
        </w:rPr>
        <w:t xml:space="preserve"> £100,000</w:t>
      </w:r>
      <w:r w:rsidR="003239AB">
        <w:rPr>
          <w:b/>
          <w:highlight w:val="yellow"/>
        </w:rPr>
        <w:t>, or between £100,000 and £999,999,</w:t>
      </w:r>
      <w:r w:rsidR="002845D2">
        <w:rPr>
          <w:b/>
          <w:highlight w:val="yellow"/>
        </w:rPr>
        <w:t xml:space="preserve"> and where the value of this Call-Off now requires retesting at a higher threshold; and (c)</w:t>
      </w:r>
      <w:r w:rsidR="0028775A">
        <w:rPr>
          <w:b/>
          <w:highlight w:val="yellow"/>
        </w:rPr>
        <w:t xml:space="preserve"> in any situation where a change has been identified in relation to a Provider</w:t>
      </w:r>
      <w:r w:rsidR="002845D2">
        <w:rPr>
          <w:b/>
          <w:highlight w:val="yellow"/>
        </w:rPr>
        <w:t xml:space="preserve"> (e.g. a change in Key Sub-contractor)</w:t>
      </w:r>
      <w:r w:rsidR="0028775A">
        <w:rPr>
          <w:b/>
          <w:highlight w:val="yellow"/>
        </w:rPr>
        <w:t xml:space="preserve">. Authorities </w:t>
      </w:r>
      <w:r w:rsidR="0028775A" w:rsidRPr="002845D2">
        <w:rPr>
          <w:b/>
          <w:highlight w:val="yellow"/>
          <w:u w:val="single"/>
        </w:rPr>
        <w:t>may</w:t>
      </w:r>
      <w:r w:rsidR="0028775A">
        <w:rPr>
          <w:b/>
          <w:highlight w:val="yellow"/>
        </w:rPr>
        <w:t xml:space="preserve"> </w:t>
      </w:r>
      <w:r w:rsidR="00355DD4" w:rsidRPr="00283770">
        <w:rPr>
          <w:b/>
          <w:highlight w:val="yellow"/>
        </w:rPr>
        <w:t>retest EFS at their discreti</w:t>
      </w:r>
      <w:r w:rsidR="0028775A">
        <w:rPr>
          <w:b/>
          <w:highlight w:val="yellow"/>
        </w:rPr>
        <w:t>on</w:t>
      </w:r>
      <w:r w:rsidR="002845D2">
        <w:rPr>
          <w:b/>
          <w:highlight w:val="yellow"/>
        </w:rPr>
        <w:t xml:space="preserve"> in other circumstances.</w:t>
      </w:r>
      <w:r w:rsidR="00355DD4" w:rsidRPr="00283770">
        <w:rPr>
          <w:b/>
          <w:highlight w:val="yellow"/>
        </w:rPr>
        <w:t>]</w:t>
      </w:r>
      <w:r w:rsidR="00355DD4">
        <w:rPr>
          <w:b/>
        </w:rPr>
        <w:t xml:space="preserve"> </w:t>
      </w:r>
    </w:p>
    <w:p w14:paraId="5ADAEF0E" w14:textId="77777777" w:rsidR="00B23688" w:rsidRPr="00D231F6" w:rsidRDefault="00FD0500" w:rsidP="00FD0500">
      <w:pPr>
        <w:pStyle w:val="Level2"/>
        <w:keepNext/>
        <w:rPr>
          <w:rStyle w:val="Level2asHeadingtext"/>
          <w:b w:val="0"/>
          <w:bCs w:val="0"/>
        </w:rPr>
      </w:pPr>
      <w:r w:rsidRPr="00D231F6">
        <w:rPr>
          <w:rStyle w:val="Level2asHeadingtext"/>
        </w:rPr>
        <w:t>Initial Assessment</w:t>
      </w:r>
    </w:p>
    <w:p w14:paraId="1C11E3D3" w14:textId="77777777" w:rsidR="00FD0500" w:rsidRPr="00D231F6" w:rsidRDefault="00FD0500" w:rsidP="00FD0500">
      <w:pPr>
        <w:pStyle w:val="Level2"/>
      </w:pPr>
      <w:r w:rsidRPr="00D231F6">
        <w:t>On receipt of [</w:t>
      </w:r>
      <w:r w:rsidRPr="00180F8A">
        <w:rPr>
          <w:highlight w:val="yellow"/>
        </w:rPr>
        <w:t>Further Qualification Responses and</w:t>
      </w:r>
      <w:r w:rsidRPr="00D231F6">
        <w:t>] Tender Responses, the submissions will first be reviewed to ensure that:-</w:t>
      </w:r>
    </w:p>
    <w:p w14:paraId="755DD32A" w14:textId="7CD7B506" w:rsidR="00FD0500" w:rsidRPr="00D231F6" w:rsidRDefault="00FD0500" w:rsidP="00FD0500">
      <w:pPr>
        <w:pStyle w:val="Level3"/>
      </w:pPr>
      <w:r w:rsidRPr="00D231F6">
        <w:t xml:space="preserve">the submission has been submitted on time and meets the Authority's submission requirements/instructions which have been notified to </w:t>
      </w:r>
      <w:r w:rsidR="00DA5B06">
        <w:t>Provider</w:t>
      </w:r>
      <w:r w:rsidRPr="00D231F6">
        <w:t>s;</w:t>
      </w:r>
    </w:p>
    <w:p w14:paraId="2B7AF755" w14:textId="2C0BA507" w:rsidR="00FD0500" w:rsidRPr="00D231F6" w:rsidRDefault="00FD0500" w:rsidP="00FD0500">
      <w:pPr>
        <w:pStyle w:val="Level3"/>
      </w:pPr>
      <w:r w:rsidRPr="00D231F6">
        <w:t>the submission is sufficiently complete to enable it to be evaluated in accordance with the evaluation methodology (the Authority may, at its discretion, request additional information in relation to a submission where this requirement has not been substantially met); and</w:t>
      </w:r>
    </w:p>
    <w:p w14:paraId="276F4222" w14:textId="4D141156" w:rsidR="00FD0500" w:rsidRPr="00D231F6" w:rsidRDefault="00FD0500" w:rsidP="00FD0500">
      <w:pPr>
        <w:pStyle w:val="Level3"/>
      </w:pPr>
      <w:r w:rsidRPr="00D231F6">
        <w:t xml:space="preserve">the </w:t>
      </w:r>
      <w:r w:rsidR="00DA5B06">
        <w:t>Provider</w:t>
      </w:r>
      <w:r w:rsidRPr="00D231F6">
        <w:t xml:space="preserve"> has not contravened any of the terms and conditions of the </w:t>
      </w:r>
      <w:r w:rsidR="003F28B4">
        <w:t xml:space="preserve">Call-Off </w:t>
      </w:r>
      <w:r w:rsidRPr="00D231F6">
        <w:t>ITT or any associated procurement documents.</w:t>
      </w:r>
    </w:p>
    <w:p w14:paraId="7248EC6A" w14:textId="437CE042" w:rsidR="00FD0500" w:rsidRPr="00D231F6" w:rsidRDefault="00497A3C" w:rsidP="00FD0500">
      <w:pPr>
        <w:pStyle w:val="Level2"/>
      </w:pPr>
      <w:r>
        <w:t xml:space="preserve">The Authority reserves the right to disqualify </w:t>
      </w:r>
      <w:r w:rsidR="00FD0500" w:rsidRPr="00D231F6">
        <w:t xml:space="preserve">Tender Responses that do not meet the above requirements at this stage and the </w:t>
      </w:r>
      <w:r w:rsidR="00DA5B06">
        <w:t>Provider</w:t>
      </w:r>
      <w:r w:rsidR="00FD0500" w:rsidRPr="00D231F6">
        <w:t xml:space="preserve"> concerned shall be excluded from the Call-Off Competition.</w:t>
      </w:r>
    </w:p>
    <w:p w14:paraId="69A36C4F" w14:textId="20306676" w:rsidR="00BC67A0" w:rsidRPr="002D31CA" w:rsidRDefault="005231A4" w:rsidP="00ED0D91">
      <w:pPr>
        <w:pStyle w:val="Level2"/>
        <w:rPr>
          <w:highlight w:val="yellow"/>
        </w:rPr>
      </w:pPr>
      <w:r w:rsidRPr="007B43FF">
        <w:rPr>
          <w:rStyle w:val="Level2asHeadingtext"/>
          <w:highlight w:val="yellow"/>
        </w:rPr>
        <w:t>[Further Qualification Stage</w:t>
      </w:r>
    </w:p>
    <w:p w14:paraId="5FD86A17" w14:textId="0F9F44FA" w:rsidR="00B23688" w:rsidRDefault="00D5769E" w:rsidP="00ED0D91">
      <w:pPr>
        <w:pStyle w:val="Level2"/>
        <w:rPr>
          <w:highlight w:val="yellow"/>
        </w:rPr>
      </w:pPr>
      <w:r w:rsidRPr="007B43FF">
        <w:rPr>
          <w:highlight w:val="yellow"/>
        </w:rPr>
        <w:t>Following the initial asse</w:t>
      </w:r>
      <w:r w:rsidR="0090573A">
        <w:rPr>
          <w:highlight w:val="yellow"/>
        </w:rPr>
        <w:t>ssment, an</w:t>
      </w:r>
      <w:r w:rsidRPr="007B43FF">
        <w:rPr>
          <w:highlight w:val="yellow"/>
        </w:rPr>
        <w:t xml:space="preserve"> evaluation</w:t>
      </w:r>
      <w:r w:rsidR="00AB3241">
        <w:rPr>
          <w:highlight w:val="yellow"/>
        </w:rPr>
        <w:t xml:space="preserve"> of</w:t>
      </w:r>
      <w:r w:rsidRPr="007B43FF">
        <w:rPr>
          <w:highlight w:val="yellow"/>
        </w:rPr>
        <w:t xml:space="preserve"> </w:t>
      </w:r>
      <w:r w:rsidR="005231A4" w:rsidRPr="007B43FF">
        <w:rPr>
          <w:highlight w:val="yellow"/>
        </w:rPr>
        <w:t>the Further Qualification Responses</w:t>
      </w:r>
      <w:r w:rsidRPr="007B43FF">
        <w:rPr>
          <w:highlight w:val="yellow"/>
        </w:rPr>
        <w:t xml:space="preserve"> will be conducted. </w:t>
      </w:r>
      <w:r w:rsidR="005231A4" w:rsidRPr="007B43FF">
        <w:rPr>
          <w:highlight w:val="yellow"/>
        </w:rPr>
        <w:t>Further Qualification Responses</w:t>
      </w:r>
      <w:r w:rsidRPr="007B43FF">
        <w:rPr>
          <w:highlight w:val="yellow"/>
        </w:rPr>
        <w:t xml:space="preserve"> will be scored against </w:t>
      </w:r>
      <w:r w:rsidR="0090573A">
        <w:rPr>
          <w:highlight w:val="yellow"/>
        </w:rPr>
        <w:t>[</w:t>
      </w:r>
      <w:r w:rsidRPr="007B43FF">
        <w:rPr>
          <w:highlight w:val="yellow"/>
        </w:rPr>
        <w:t xml:space="preserve">the criteria </w:t>
      </w:r>
      <w:r w:rsidR="003239AB">
        <w:rPr>
          <w:highlight w:val="yellow"/>
        </w:rPr>
        <w:t>[</w:t>
      </w:r>
      <w:r w:rsidRPr="007B43FF">
        <w:rPr>
          <w:highlight w:val="yellow"/>
        </w:rPr>
        <w:t>and weightings</w:t>
      </w:r>
      <w:r w:rsidR="003239AB">
        <w:rPr>
          <w:highlight w:val="yellow"/>
        </w:rPr>
        <w:t>]</w:t>
      </w:r>
      <w:r w:rsidRPr="007B43FF">
        <w:rPr>
          <w:highlight w:val="yellow"/>
        </w:rPr>
        <w:t xml:space="preserve"> in </w:t>
      </w:r>
      <w:r w:rsidR="00D231F6" w:rsidRPr="007B43FF">
        <w:rPr>
          <w:highlight w:val="yellow"/>
        </w:rPr>
        <w:fldChar w:fldCharType="begin"/>
      </w:r>
      <w:r w:rsidR="00D231F6" w:rsidRPr="007B43FF">
        <w:rPr>
          <w:highlight w:val="yellow"/>
        </w:rPr>
        <w:instrText xml:space="preserve"> REF _Ref70000002 \h \n \* MERGEFORMAT </w:instrText>
      </w:r>
      <w:r w:rsidR="00D231F6" w:rsidRPr="007B43FF">
        <w:rPr>
          <w:highlight w:val="yellow"/>
        </w:rPr>
      </w:r>
      <w:r w:rsidR="00D231F6" w:rsidRPr="007B43FF">
        <w:rPr>
          <w:highlight w:val="yellow"/>
        </w:rPr>
        <w:fldChar w:fldCharType="separate"/>
      </w:r>
      <w:r w:rsidR="006D7AE5">
        <w:rPr>
          <w:highlight w:val="yellow"/>
        </w:rPr>
        <w:t>Appendix 2</w:t>
      </w:r>
      <w:r w:rsidR="00D231F6" w:rsidRPr="007B43FF">
        <w:rPr>
          <w:highlight w:val="yellow"/>
        </w:rPr>
        <w:fldChar w:fldCharType="end"/>
      </w:r>
      <w:r w:rsidR="0090573A">
        <w:rPr>
          <w:highlight w:val="yellow"/>
        </w:rPr>
        <w:t>]</w:t>
      </w:r>
      <w:r w:rsidRPr="007B43FF">
        <w:rPr>
          <w:highlight w:val="yellow"/>
        </w:rPr>
        <w:t xml:space="preserve">. If the </w:t>
      </w:r>
      <w:r w:rsidR="00DA5B06">
        <w:rPr>
          <w:highlight w:val="yellow"/>
        </w:rPr>
        <w:t>Provider</w:t>
      </w:r>
      <w:r w:rsidRPr="007B43FF">
        <w:rPr>
          <w:highlight w:val="yellow"/>
        </w:rPr>
        <w:t xml:space="preserve">'s Further Qualification Response </w:t>
      </w:r>
      <w:r w:rsidR="005231A4" w:rsidRPr="007B43FF">
        <w:rPr>
          <w:highlight w:val="yellow"/>
        </w:rPr>
        <w:t>passes the Further Qualification Stage, the Authority shall evaluate the Tender Response as set out at paragraph</w:t>
      </w:r>
      <w:r w:rsidR="0075255C">
        <w:rPr>
          <w:highlight w:val="yellow"/>
        </w:rPr>
        <w:t xml:space="preserve"> </w:t>
      </w:r>
      <w:r w:rsidR="00D231F6" w:rsidRPr="007B43FF">
        <w:rPr>
          <w:highlight w:val="yellow"/>
        </w:rPr>
        <w:fldChar w:fldCharType="begin"/>
      </w:r>
      <w:r w:rsidR="00D231F6" w:rsidRPr="007B43FF">
        <w:rPr>
          <w:highlight w:val="yellow"/>
        </w:rPr>
        <w:instrText xml:space="preserve"> REF _Ref70000005 \h \n \p \* MERGEFORMAT </w:instrText>
      </w:r>
      <w:r w:rsidR="00D231F6" w:rsidRPr="007B43FF">
        <w:rPr>
          <w:highlight w:val="yellow"/>
        </w:rPr>
      </w:r>
      <w:r w:rsidR="00D231F6" w:rsidRPr="007B43FF">
        <w:rPr>
          <w:highlight w:val="yellow"/>
        </w:rPr>
        <w:fldChar w:fldCharType="separate"/>
      </w:r>
      <w:r w:rsidR="006D7AE5">
        <w:rPr>
          <w:highlight w:val="yellow"/>
        </w:rPr>
        <w:t>4.10 below</w:t>
      </w:r>
      <w:r w:rsidR="00D231F6" w:rsidRPr="007B43FF">
        <w:rPr>
          <w:highlight w:val="yellow"/>
        </w:rPr>
        <w:fldChar w:fldCharType="end"/>
      </w:r>
      <w:r w:rsidR="005231A4" w:rsidRPr="007B43FF">
        <w:rPr>
          <w:highlight w:val="yellow"/>
        </w:rPr>
        <w:t xml:space="preserve">. If the </w:t>
      </w:r>
      <w:r w:rsidR="00DA5B06">
        <w:rPr>
          <w:highlight w:val="yellow"/>
        </w:rPr>
        <w:t>Provider</w:t>
      </w:r>
      <w:r w:rsidR="005231A4" w:rsidRPr="007B43FF">
        <w:rPr>
          <w:highlight w:val="yellow"/>
        </w:rPr>
        <w:t>'s Further Qualification Response fails to pass the Further Qualification Stage, the</w:t>
      </w:r>
      <w:r w:rsidR="00497A3C">
        <w:rPr>
          <w:highlight w:val="yellow"/>
        </w:rPr>
        <w:t xml:space="preserve"> Authority reserves the right to disqualify the</w:t>
      </w:r>
      <w:r w:rsidR="005231A4" w:rsidRPr="007B43FF">
        <w:rPr>
          <w:highlight w:val="yellow"/>
        </w:rPr>
        <w:t xml:space="preserve"> </w:t>
      </w:r>
      <w:r w:rsidR="00DA5B06">
        <w:rPr>
          <w:highlight w:val="yellow"/>
        </w:rPr>
        <w:t>Provider</w:t>
      </w:r>
      <w:r w:rsidR="00180F8A">
        <w:rPr>
          <w:highlight w:val="yellow"/>
        </w:rPr>
        <w:t xml:space="preserve"> </w:t>
      </w:r>
      <w:r w:rsidR="005231A4" w:rsidRPr="007B43FF">
        <w:rPr>
          <w:highlight w:val="yellow"/>
        </w:rPr>
        <w:t>from the Call-Off Competition.</w:t>
      </w:r>
      <w:r w:rsidR="00DF38B2">
        <w:rPr>
          <w:highlight w:val="yellow"/>
        </w:rPr>
        <w:t xml:space="preserve"> The Authority shall be under no obligation to evaluate a Tender Response or provide any feedback in relation to the same where a </w:t>
      </w:r>
      <w:r w:rsidR="00DA5B06">
        <w:rPr>
          <w:highlight w:val="yellow"/>
        </w:rPr>
        <w:t>Provider</w:t>
      </w:r>
      <w:r w:rsidR="00DF38B2">
        <w:rPr>
          <w:highlight w:val="yellow"/>
        </w:rPr>
        <w:t xml:space="preserve"> fails to pass the Further Qualification stage.</w:t>
      </w:r>
      <w:r w:rsidRPr="007B43FF">
        <w:rPr>
          <w:highlight w:val="yellow"/>
        </w:rPr>
        <w:t>]</w:t>
      </w:r>
      <w:r w:rsidR="00ED0D91">
        <w:rPr>
          <w:highlight w:val="yellow"/>
        </w:rPr>
        <w:t xml:space="preserve"> </w:t>
      </w:r>
    </w:p>
    <w:p w14:paraId="62BD653A" w14:textId="43693804" w:rsidR="00955618" w:rsidRPr="007B43FF" w:rsidRDefault="00D544B5" w:rsidP="00ED0D91">
      <w:pPr>
        <w:pStyle w:val="Level2"/>
        <w:rPr>
          <w:highlight w:val="yellow"/>
        </w:rPr>
      </w:pPr>
      <w:r>
        <w:rPr>
          <w:highlight w:val="yellow"/>
        </w:rPr>
        <w:t>[</w:t>
      </w:r>
      <w:r w:rsidRPr="00D544B5">
        <w:rPr>
          <w:b/>
          <w:highlight w:val="yellow"/>
        </w:rPr>
        <w:t>Drafting Note: Participating Bodies should</w:t>
      </w:r>
      <w:r w:rsidR="00F51300">
        <w:rPr>
          <w:b/>
          <w:highlight w:val="yellow"/>
        </w:rPr>
        <w:t xml:space="preserve"> only</w:t>
      </w:r>
      <w:r w:rsidRPr="00D544B5">
        <w:rPr>
          <w:b/>
          <w:highlight w:val="yellow"/>
        </w:rPr>
        <w:t xml:space="preserve"> use the Further Qualification sta</w:t>
      </w:r>
      <w:r w:rsidR="00AB3241">
        <w:rPr>
          <w:b/>
          <w:highlight w:val="yellow"/>
        </w:rPr>
        <w:t>ge where specific qualification criteria</w:t>
      </w:r>
      <w:r w:rsidR="0036221C">
        <w:rPr>
          <w:b/>
          <w:highlight w:val="yellow"/>
        </w:rPr>
        <w:t>/accreditations</w:t>
      </w:r>
      <w:r w:rsidRPr="00D544B5">
        <w:rPr>
          <w:b/>
          <w:highlight w:val="yellow"/>
        </w:rPr>
        <w:t xml:space="preserve"> </w:t>
      </w:r>
      <w:r w:rsidR="002D39C4">
        <w:rPr>
          <w:b/>
          <w:highlight w:val="yellow"/>
        </w:rPr>
        <w:t xml:space="preserve">are required </w:t>
      </w:r>
      <w:r w:rsidRPr="00D544B5">
        <w:rPr>
          <w:b/>
          <w:highlight w:val="yellow"/>
        </w:rPr>
        <w:t>which were not tested in the original SQ</w:t>
      </w:r>
      <w:r w:rsidR="00315797">
        <w:rPr>
          <w:b/>
          <w:highlight w:val="yellow"/>
        </w:rPr>
        <w:t xml:space="preserve"> e.g. security requirements or financial ratios in relation to turnover where appropriate and proportionate</w:t>
      </w:r>
      <w:r w:rsidRPr="00D544B5">
        <w:rPr>
          <w:b/>
          <w:highlight w:val="yellow"/>
        </w:rPr>
        <w:t xml:space="preserve">. </w:t>
      </w:r>
      <w:r w:rsidR="00F51300">
        <w:rPr>
          <w:b/>
          <w:highlight w:val="yellow"/>
        </w:rPr>
        <w:t>It</w:t>
      </w:r>
      <w:r>
        <w:rPr>
          <w:b/>
          <w:highlight w:val="yellow"/>
        </w:rPr>
        <w:t xml:space="preserve"> </w:t>
      </w:r>
      <w:r w:rsidR="002D39C4">
        <w:rPr>
          <w:b/>
          <w:highlight w:val="yellow"/>
        </w:rPr>
        <w:t>should</w:t>
      </w:r>
      <w:r>
        <w:rPr>
          <w:b/>
          <w:highlight w:val="yellow"/>
        </w:rPr>
        <w:t xml:space="preserve"> not include the requirement to </w:t>
      </w:r>
      <w:r w:rsidRPr="00D544B5">
        <w:rPr>
          <w:b/>
          <w:highlight w:val="yellow"/>
        </w:rPr>
        <w:t>re-te</w:t>
      </w:r>
      <w:r>
        <w:rPr>
          <w:b/>
          <w:highlight w:val="yellow"/>
        </w:rPr>
        <w:t xml:space="preserve">st a </w:t>
      </w:r>
      <w:r w:rsidRPr="00D544B5">
        <w:rPr>
          <w:b/>
          <w:highlight w:val="yellow"/>
        </w:rPr>
        <w:t>P</w:t>
      </w:r>
      <w:r>
        <w:rPr>
          <w:b/>
          <w:highlight w:val="yellow"/>
        </w:rPr>
        <w:t>rovider's</w:t>
      </w:r>
      <w:r w:rsidRPr="00D544B5">
        <w:rPr>
          <w:b/>
          <w:highlight w:val="yellow"/>
        </w:rPr>
        <w:t xml:space="preserve"> </w:t>
      </w:r>
      <w:r>
        <w:rPr>
          <w:b/>
          <w:highlight w:val="yellow"/>
        </w:rPr>
        <w:t xml:space="preserve">ongoing </w:t>
      </w:r>
      <w:r w:rsidRPr="00D544B5">
        <w:rPr>
          <w:b/>
          <w:highlight w:val="yellow"/>
        </w:rPr>
        <w:t>compliance with the original SQ requirements</w:t>
      </w:r>
      <w:r w:rsidR="002D39C4">
        <w:rPr>
          <w:b/>
          <w:highlight w:val="yellow"/>
        </w:rPr>
        <w:t>, which should be done separately</w:t>
      </w:r>
      <w:r w:rsidR="0036221C">
        <w:rPr>
          <w:b/>
          <w:highlight w:val="yellow"/>
        </w:rPr>
        <w:t>,</w:t>
      </w:r>
      <w:r w:rsidR="002D39C4">
        <w:rPr>
          <w:b/>
          <w:highlight w:val="yellow"/>
        </w:rPr>
        <w:t xml:space="preserve"> or as part of an ITT question set as required</w:t>
      </w:r>
      <w:r>
        <w:rPr>
          <w:highlight w:val="yellow"/>
        </w:rPr>
        <w:t xml:space="preserve">] </w:t>
      </w:r>
    </w:p>
    <w:p w14:paraId="0C6AF11D" w14:textId="51F63F33" w:rsidR="00D5769E" w:rsidRPr="00D231F6" w:rsidRDefault="00D5769E" w:rsidP="00D5769E">
      <w:pPr>
        <w:pStyle w:val="Level2"/>
        <w:keepNext/>
        <w:rPr>
          <w:rStyle w:val="Level2asHeadingtext"/>
          <w:b w:val="0"/>
          <w:bCs w:val="0"/>
        </w:rPr>
      </w:pPr>
      <w:bookmarkStart w:id="55" w:name="_Ref70000005"/>
      <w:r w:rsidRPr="00D231F6">
        <w:rPr>
          <w:rStyle w:val="Level2asHeadingtext"/>
        </w:rPr>
        <w:t>Evaluation of the Tender Response</w:t>
      </w:r>
      <w:bookmarkEnd w:id="55"/>
    </w:p>
    <w:p w14:paraId="14291532" w14:textId="77777777" w:rsidR="006E3F05" w:rsidRDefault="006E3F05" w:rsidP="0036221C">
      <w:pPr>
        <w:pStyle w:val="Level3"/>
      </w:pPr>
      <w:r w:rsidRPr="00D86FB4">
        <w:t xml:space="preserve">The objective of the evaluation process is to identify the most economically advantageous tender </w:t>
      </w:r>
      <w:r w:rsidRPr="002E1956">
        <w:t xml:space="preserve">as determined by the Authority in accordance with this </w:t>
      </w:r>
      <w:r>
        <w:t>Invitation to Tender.</w:t>
      </w:r>
    </w:p>
    <w:p w14:paraId="071ED27E" w14:textId="77777777" w:rsidR="006E3F05" w:rsidRDefault="006E3F05" w:rsidP="0036221C">
      <w:pPr>
        <w:pStyle w:val="Level3"/>
      </w:pPr>
      <w:r>
        <w:t>Each Tender shall be assessed in respect of:</w:t>
      </w:r>
    </w:p>
    <w:p w14:paraId="447DEF82" w14:textId="77777777" w:rsidR="006E3F05" w:rsidRDefault="006E3F05" w:rsidP="006E3F05">
      <w:pPr>
        <w:pStyle w:val="Level2"/>
        <w:numPr>
          <w:ilvl w:val="0"/>
          <w:numId w:val="0"/>
        </w:numPr>
        <w:ind w:left="851"/>
      </w:pPr>
      <w:r>
        <w:t xml:space="preserve">(a) Quality Criteria: the Tender shall be evaluated against Evaluation Criteria as set out in </w:t>
      </w:r>
      <w:r w:rsidRPr="00D86FB4">
        <w:rPr>
          <w:highlight w:val="yellow"/>
        </w:rPr>
        <w:t>[</w:t>
      </w:r>
      <w:proofErr w:type="spellStart"/>
      <w:r w:rsidRPr="00D86FB4">
        <w:rPr>
          <w:b/>
          <w:highlight w:val="yellow"/>
        </w:rPr>
        <w:t>DN</w:t>
      </w:r>
      <w:proofErr w:type="spellEnd"/>
      <w:r w:rsidRPr="00D86FB4">
        <w:rPr>
          <w:b/>
          <w:highlight w:val="yellow"/>
        </w:rPr>
        <w:t>:</w:t>
      </w:r>
      <w:r w:rsidRPr="00D86FB4">
        <w:rPr>
          <w:highlight w:val="yellow"/>
        </w:rPr>
        <w:t xml:space="preserve"> include appropriate reference]</w:t>
      </w:r>
      <w:r>
        <w:t xml:space="preserve">. A </w:t>
      </w:r>
      <w:r w:rsidRPr="00D86FB4">
        <w:rPr>
          <w:highlight w:val="yellow"/>
        </w:rPr>
        <w:t>Quality Threshold</w:t>
      </w:r>
      <w:r>
        <w:t xml:space="preserve"> shall apply to the Quality Criteria as set out in </w:t>
      </w:r>
      <w:r w:rsidRPr="00080F56">
        <w:rPr>
          <w:highlight w:val="yellow"/>
        </w:rPr>
        <w:t>[</w:t>
      </w:r>
      <w:proofErr w:type="spellStart"/>
      <w:r w:rsidRPr="00D86FB4">
        <w:rPr>
          <w:b/>
          <w:highlight w:val="yellow"/>
        </w:rPr>
        <w:t>DN</w:t>
      </w:r>
      <w:proofErr w:type="spellEnd"/>
      <w:r w:rsidRPr="00D86FB4">
        <w:rPr>
          <w:b/>
          <w:highlight w:val="yellow"/>
        </w:rPr>
        <w:t>:</w:t>
      </w:r>
      <w:r w:rsidRPr="00080F56">
        <w:rPr>
          <w:highlight w:val="yellow"/>
        </w:rPr>
        <w:t xml:space="preserve"> </w:t>
      </w:r>
      <w:r>
        <w:rPr>
          <w:highlight w:val="yellow"/>
        </w:rPr>
        <w:t xml:space="preserve">amend highlighted section(s) as appropriate and </w:t>
      </w:r>
      <w:r w:rsidRPr="00080F56">
        <w:rPr>
          <w:highlight w:val="yellow"/>
        </w:rPr>
        <w:t>include appropriate reference]</w:t>
      </w:r>
      <w:r>
        <w:t>;</w:t>
      </w:r>
    </w:p>
    <w:p w14:paraId="2E5A2FDC" w14:textId="36B5D0B3" w:rsidR="006E3F05" w:rsidRDefault="006E3F05" w:rsidP="006E3F05">
      <w:pPr>
        <w:pStyle w:val="Level2"/>
        <w:numPr>
          <w:ilvl w:val="0"/>
          <w:numId w:val="0"/>
        </w:numPr>
        <w:ind w:left="851"/>
      </w:pPr>
      <w:r>
        <w:lastRenderedPageBreak/>
        <w:t xml:space="preserve">(b) Financial Criteria: the Tender shall be evaluated based on </w:t>
      </w:r>
      <w:r w:rsidRPr="001E1558">
        <w:t>the Financial Model to</w:t>
      </w:r>
      <w:r>
        <w:t xml:space="preserve"> provide an overall Evaluation Price for evaluation purposes. The </w:t>
      </w:r>
      <w:r w:rsidRPr="001E1558">
        <w:t>Price Range</w:t>
      </w:r>
      <w:r>
        <w:t xml:space="preserve"> shall apply to the Financial Criteria as set out in </w:t>
      </w:r>
      <w:r w:rsidRPr="00080F56">
        <w:rPr>
          <w:highlight w:val="yellow"/>
        </w:rPr>
        <w:t>[</w:t>
      </w:r>
      <w:proofErr w:type="spellStart"/>
      <w:r w:rsidRPr="00080F56">
        <w:rPr>
          <w:b/>
          <w:highlight w:val="yellow"/>
        </w:rPr>
        <w:t>DN</w:t>
      </w:r>
      <w:proofErr w:type="spellEnd"/>
      <w:r w:rsidRPr="00080F56">
        <w:rPr>
          <w:b/>
          <w:highlight w:val="yellow"/>
        </w:rPr>
        <w:t>:</w:t>
      </w:r>
      <w:r w:rsidRPr="00080F56">
        <w:rPr>
          <w:highlight w:val="yellow"/>
        </w:rPr>
        <w:t xml:space="preserve"> </w:t>
      </w:r>
      <w:r w:rsidR="0099701F">
        <w:rPr>
          <w:highlight w:val="yellow"/>
        </w:rPr>
        <w:t>the Price Range is optional, although advisable to include. please see the Buyer's Guide for further detail. A</w:t>
      </w:r>
      <w:r>
        <w:rPr>
          <w:highlight w:val="yellow"/>
        </w:rPr>
        <w:t xml:space="preserve">mend highlighted section(s) as appropriate and </w:t>
      </w:r>
      <w:r w:rsidRPr="00080F56">
        <w:rPr>
          <w:highlight w:val="yellow"/>
        </w:rPr>
        <w:t>include appropriate reference</w:t>
      </w:r>
      <w:r>
        <w:rPr>
          <w:highlight w:val="yellow"/>
        </w:rPr>
        <w:t>.  Purpose of financial model may vary depending on selected evaluation option/</w:t>
      </w:r>
      <w:proofErr w:type="spellStart"/>
      <w:r>
        <w:rPr>
          <w:highlight w:val="yellow"/>
        </w:rPr>
        <w:t>paymech</w:t>
      </w:r>
      <w:proofErr w:type="spellEnd"/>
      <w:r w:rsidRPr="00080F56">
        <w:rPr>
          <w:highlight w:val="yellow"/>
        </w:rPr>
        <w:t>]</w:t>
      </w:r>
      <w:r>
        <w:t>.</w:t>
      </w:r>
    </w:p>
    <w:p w14:paraId="54EAD866" w14:textId="1FE300B1" w:rsidR="006E3F05" w:rsidRDefault="006E3F05" w:rsidP="0036221C">
      <w:pPr>
        <w:pStyle w:val="Level3"/>
      </w:pPr>
      <w:r>
        <w:t xml:space="preserve">Tenders that do not meet the </w:t>
      </w:r>
      <w:r w:rsidRPr="001E1558">
        <w:t>Price Range and/or the Quality Threshold</w:t>
      </w:r>
      <w:r>
        <w:t xml:space="preserve"> shall be subject to exclusion from the Procurement in accordance with this ITT. </w:t>
      </w:r>
      <w:r w:rsidRPr="00080F56">
        <w:rPr>
          <w:highlight w:val="yellow"/>
        </w:rPr>
        <w:t>[</w:t>
      </w:r>
      <w:proofErr w:type="spellStart"/>
      <w:r w:rsidRPr="00080F56">
        <w:rPr>
          <w:b/>
          <w:highlight w:val="yellow"/>
        </w:rPr>
        <w:t>DN</w:t>
      </w:r>
      <w:proofErr w:type="spellEnd"/>
      <w:r w:rsidRPr="00080F56">
        <w:rPr>
          <w:b/>
          <w:highlight w:val="yellow"/>
        </w:rPr>
        <w:t>:</w:t>
      </w:r>
      <w:r w:rsidRPr="00080F56">
        <w:rPr>
          <w:highlight w:val="yellow"/>
        </w:rPr>
        <w:t xml:space="preserve"> </w:t>
      </w:r>
      <w:r>
        <w:rPr>
          <w:highlight w:val="yellow"/>
        </w:rPr>
        <w:t>amend as appropriate</w:t>
      </w:r>
      <w:r w:rsidR="0099701F" w:rsidRPr="0099701F">
        <w:rPr>
          <w:highlight w:val="yellow"/>
        </w:rPr>
        <w:t>, noting that this drafting does not</w:t>
      </w:r>
      <w:r w:rsidR="001E1558">
        <w:rPr>
          <w:highlight w:val="yellow"/>
        </w:rPr>
        <w:t xml:space="preserve"> currently</w:t>
      </w:r>
      <w:r w:rsidR="0099701F" w:rsidRPr="0099701F">
        <w:rPr>
          <w:highlight w:val="yellow"/>
        </w:rPr>
        <w:t xml:space="preserve"> give discretion to the Authority in terms of exclusion.</w:t>
      </w:r>
      <w:r>
        <w:t>]</w:t>
      </w:r>
    </w:p>
    <w:p w14:paraId="507C93DA" w14:textId="77777777" w:rsidR="006E3F05" w:rsidRPr="00D86FB4" w:rsidRDefault="006E3F05" w:rsidP="0036221C">
      <w:pPr>
        <w:pStyle w:val="Level2"/>
      </w:pPr>
      <w:r w:rsidRPr="00D86FB4">
        <w:t>Financial Criteria Evaluation</w:t>
      </w:r>
    </w:p>
    <w:p w14:paraId="5640E105" w14:textId="77777777" w:rsidR="006E3F05" w:rsidRDefault="006E3F05" w:rsidP="0036221C">
      <w:pPr>
        <w:pStyle w:val="Level3"/>
        <w:rPr>
          <w:b/>
        </w:rPr>
      </w:pPr>
      <w:r w:rsidRPr="00D86FB4">
        <w:rPr>
          <w:b/>
        </w:rPr>
        <w:t>Evaluation Price Calculation</w:t>
      </w:r>
      <w:r>
        <w:rPr>
          <w:b/>
        </w:rPr>
        <w:t xml:space="preserve"> </w:t>
      </w:r>
      <w:r w:rsidRPr="00D86FB4">
        <w:rPr>
          <w:highlight w:val="yellow"/>
        </w:rPr>
        <w:t>[</w:t>
      </w:r>
      <w:proofErr w:type="spellStart"/>
      <w:r w:rsidRPr="00D86FB4">
        <w:rPr>
          <w:b/>
          <w:highlight w:val="yellow"/>
        </w:rPr>
        <w:t>DN</w:t>
      </w:r>
      <w:proofErr w:type="spellEnd"/>
      <w:r w:rsidRPr="00D86FB4">
        <w:rPr>
          <w:b/>
          <w:highlight w:val="yellow"/>
        </w:rPr>
        <w:t>:</w:t>
      </w:r>
      <w:r w:rsidRPr="00D86FB4">
        <w:rPr>
          <w:highlight w:val="yellow"/>
        </w:rPr>
        <w:t xml:space="preserve"> applicable unless using </w:t>
      </w:r>
      <w:proofErr w:type="spellStart"/>
      <w:r w:rsidRPr="00D86FB4">
        <w:rPr>
          <w:highlight w:val="yellow"/>
        </w:rPr>
        <w:t>HQC</w:t>
      </w:r>
      <w:proofErr w:type="spellEnd"/>
      <w:r w:rsidRPr="00D86FB4">
        <w:rPr>
          <w:highlight w:val="yellow"/>
        </w:rPr>
        <w:t xml:space="preserve"> with customer-set fixed price]</w:t>
      </w:r>
    </w:p>
    <w:p w14:paraId="120559F5" w14:textId="3FC6445C" w:rsidR="006E3F05" w:rsidRPr="00C5506E" w:rsidRDefault="006E3F05" w:rsidP="0036221C">
      <w:pPr>
        <w:pStyle w:val="Level3"/>
        <w:numPr>
          <w:ilvl w:val="0"/>
          <w:numId w:val="0"/>
        </w:numPr>
        <w:ind w:left="1702"/>
      </w:pPr>
      <w:r>
        <w:t xml:space="preserve">The Customer will provide a blank Financial Model </w:t>
      </w:r>
      <w:r w:rsidRPr="00D86FB4">
        <w:rPr>
          <w:highlight w:val="yellow"/>
        </w:rPr>
        <w:t>[</w:t>
      </w:r>
      <w:proofErr w:type="spellStart"/>
      <w:r w:rsidRPr="00D86FB4">
        <w:rPr>
          <w:b/>
          <w:highlight w:val="yellow"/>
        </w:rPr>
        <w:t>DN</w:t>
      </w:r>
      <w:proofErr w:type="spellEnd"/>
      <w:r w:rsidRPr="00D86FB4">
        <w:rPr>
          <w:b/>
          <w:highlight w:val="yellow"/>
        </w:rPr>
        <w:t>:</w:t>
      </w:r>
      <w:r w:rsidRPr="00D86FB4">
        <w:rPr>
          <w:highlight w:val="yellow"/>
        </w:rPr>
        <w:t xml:space="preserve"> describe main features of financial model, </w:t>
      </w:r>
      <w:r w:rsidRPr="00D86FB4">
        <w:rPr>
          <w:i/>
          <w:highlight w:val="yellow"/>
        </w:rPr>
        <w:t>for example volume bands, service elements, mobilisation etc.</w:t>
      </w:r>
      <w:r w:rsidR="00F51300">
        <w:rPr>
          <w:i/>
          <w:highlight w:val="yellow"/>
        </w:rPr>
        <w:t xml:space="preserve"> and attach at Appendix 4</w:t>
      </w:r>
      <w:r w:rsidRPr="00D86FB4">
        <w:rPr>
          <w:highlight w:val="yellow"/>
        </w:rPr>
        <w:t>]</w:t>
      </w:r>
      <w:r w:rsidRPr="00D86FB4">
        <w:t xml:space="preserve">  </w:t>
      </w:r>
      <w:r w:rsidR="004D0E00">
        <w:t>Providers</w:t>
      </w:r>
      <w:r w:rsidRPr="00D86FB4">
        <w:t xml:space="preserve"> will populate the Financial Model in line with the instructions as set out in </w:t>
      </w:r>
      <w:r>
        <w:rPr>
          <w:highlight w:val="yellow"/>
        </w:rPr>
        <w:t>[</w:t>
      </w:r>
      <w:proofErr w:type="spellStart"/>
      <w:r w:rsidRPr="00D86FB4">
        <w:rPr>
          <w:b/>
          <w:highlight w:val="yellow"/>
        </w:rPr>
        <w:t>DN</w:t>
      </w:r>
      <w:proofErr w:type="spellEnd"/>
      <w:r w:rsidRPr="00D86FB4">
        <w:rPr>
          <w:b/>
          <w:highlight w:val="yellow"/>
        </w:rPr>
        <w:t>:</w:t>
      </w:r>
      <w:r>
        <w:rPr>
          <w:highlight w:val="yellow"/>
        </w:rPr>
        <w:t xml:space="preserve"> insert appropriate reference to guidance]</w:t>
      </w:r>
      <w:r w:rsidRPr="00D86FB4">
        <w:t>.  The Customer shall use the populated Financial Model to determine the Evaluation Price.</w:t>
      </w:r>
    </w:p>
    <w:p w14:paraId="7258B703" w14:textId="77777777" w:rsidR="006E3F05" w:rsidRDefault="006E3F05" w:rsidP="0036221C">
      <w:pPr>
        <w:pStyle w:val="Level3"/>
        <w:numPr>
          <w:ilvl w:val="0"/>
          <w:numId w:val="0"/>
        </w:numPr>
        <w:ind w:left="1702"/>
      </w:pPr>
      <w:r>
        <w:t>The price to be evaluated (Evaluation Price) will be calculated as follows:</w:t>
      </w:r>
    </w:p>
    <w:p w14:paraId="5071D1F8" w14:textId="77777777" w:rsidR="006E3F05" w:rsidRDefault="006E3F05" w:rsidP="006E3F05">
      <w:pPr>
        <w:pStyle w:val="Level1"/>
        <w:numPr>
          <w:ilvl w:val="0"/>
          <w:numId w:val="0"/>
        </w:numPr>
        <w:ind w:left="1700"/>
        <w:rPr>
          <w:highlight w:val="yellow"/>
        </w:rPr>
      </w:pPr>
      <w:proofErr w:type="gramStart"/>
      <w:r w:rsidRPr="00A8314B">
        <w:rPr>
          <w:highlight w:val="yellow"/>
        </w:rPr>
        <w:t>[</w:t>
      </w:r>
      <w:proofErr w:type="spellStart"/>
      <w:r w:rsidRPr="00A8314B">
        <w:rPr>
          <w:b/>
          <w:highlight w:val="yellow"/>
        </w:rPr>
        <w:t>DN</w:t>
      </w:r>
      <w:proofErr w:type="spellEnd"/>
      <w:r w:rsidRPr="00A8314B">
        <w:rPr>
          <w:b/>
          <w:highlight w:val="yellow"/>
        </w:rPr>
        <w:t>:</w:t>
      </w:r>
      <w:r w:rsidRPr="00A8314B">
        <w:rPr>
          <w:highlight w:val="yellow"/>
        </w:rPr>
        <w:t xml:space="preserve"> set out formula (in words) to explain </w:t>
      </w:r>
      <w:r>
        <w:rPr>
          <w:highlight w:val="yellow"/>
        </w:rPr>
        <w:t>how the Evaluation Price will be calculated.</w:t>
      </w:r>
      <w:proofErr w:type="gramEnd"/>
      <w:r>
        <w:rPr>
          <w:highlight w:val="yellow"/>
        </w:rPr>
        <w:t xml:space="preserve">  </w:t>
      </w:r>
      <w:r w:rsidRPr="00D86FB4">
        <w:rPr>
          <w:i/>
          <w:highlight w:val="yellow"/>
        </w:rPr>
        <w:t>For example:</w:t>
      </w:r>
    </w:p>
    <w:p w14:paraId="3990F5E1" w14:textId="77777777" w:rsidR="006E3F05" w:rsidRDefault="006E3F05" w:rsidP="006E3F05">
      <w:pPr>
        <w:pStyle w:val="Level1"/>
        <w:numPr>
          <w:ilvl w:val="0"/>
          <w:numId w:val="0"/>
        </w:numPr>
        <w:ind w:left="1700"/>
        <w:rPr>
          <w:highlight w:val="yellow"/>
        </w:rPr>
      </w:pPr>
      <w:r>
        <w:rPr>
          <w:highlight w:val="yellow"/>
        </w:rPr>
        <w:t>For a Fixed Price Pricing Methodology – the fixed price for the call-off</w:t>
      </w:r>
    </w:p>
    <w:p w14:paraId="093589F7" w14:textId="77777777" w:rsidR="006E3F05" w:rsidRDefault="006E3F05" w:rsidP="006E3F05">
      <w:pPr>
        <w:pStyle w:val="Level1"/>
        <w:numPr>
          <w:ilvl w:val="0"/>
          <w:numId w:val="0"/>
        </w:numPr>
        <w:ind w:left="1700"/>
        <w:rPr>
          <w:highlight w:val="yellow"/>
        </w:rPr>
      </w:pPr>
      <w:r>
        <w:rPr>
          <w:highlight w:val="yellow"/>
        </w:rPr>
        <w:t>For a Fixed Price with Volume Bands Pricing Methodology – the average price of all volume bands / the price at a given volume band / weightings applied to volume bands</w:t>
      </w:r>
    </w:p>
    <w:p w14:paraId="65FA784F" w14:textId="77777777" w:rsidR="006E3F05" w:rsidRPr="00D86FB4" w:rsidRDefault="006E3F05" w:rsidP="006E3F05">
      <w:pPr>
        <w:pStyle w:val="Level1"/>
        <w:numPr>
          <w:ilvl w:val="0"/>
          <w:numId w:val="0"/>
        </w:numPr>
        <w:ind w:left="1700"/>
        <w:rPr>
          <w:highlight w:val="yellow"/>
        </w:rPr>
      </w:pPr>
      <w:r>
        <w:rPr>
          <w:highlight w:val="yellow"/>
        </w:rPr>
        <w:t>For a Unit Price Pricing Methodology – the unit price</w:t>
      </w:r>
      <w:r w:rsidRPr="00A8314B">
        <w:rPr>
          <w:highlight w:val="yellow"/>
        </w:rPr>
        <w:t>]</w:t>
      </w:r>
    </w:p>
    <w:p w14:paraId="54E655A6" w14:textId="77777777" w:rsidR="006E3F05" w:rsidRPr="00A8314B" w:rsidRDefault="006E3F05" w:rsidP="0036221C">
      <w:pPr>
        <w:pStyle w:val="Level3"/>
      </w:pPr>
      <w:r w:rsidRPr="00A8314B">
        <w:t>Price Range Threshold</w:t>
      </w:r>
    </w:p>
    <w:p w14:paraId="2370B12D" w14:textId="77777777" w:rsidR="006E3F05" w:rsidRDefault="006E3F05" w:rsidP="0036221C">
      <w:pPr>
        <w:pStyle w:val="Level3"/>
        <w:numPr>
          <w:ilvl w:val="0"/>
          <w:numId w:val="0"/>
        </w:numPr>
        <w:ind w:left="1702"/>
      </w:pPr>
      <w:r>
        <w:t>The Authority</w:t>
      </w:r>
      <w:r w:rsidRPr="003458BC">
        <w:t xml:space="preserve"> shall </w:t>
      </w:r>
      <w:r>
        <w:t xml:space="preserve">apply a Price Range for </w:t>
      </w:r>
      <w:r w:rsidRPr="00A8314B">
        <w:rPr>
          <w:highlight w:val="yellow"/>
        </w:rPr>
        <w:t>[</w:t>
      </w:r>
      <w:proofErr w:type="spellStart"/>
      <w:r w:rsidRPr="00A8314B">
        <w:rPr>
          <w:b/>
          <w:highlight w:val="yellow"/>
        </w:rPr>
        <w:t>DN</w:t>
      </w:r>
      <w:proofErr w:type="spellEnd"/>
      <w:r w:rsidRPr="00A8314B">
        <w:rPr>
          <w:b/>
          <w:highlight w:val="yellow"/>
        </w:rPr>
        <w:t>:</w:t>
      </w:r>
      <w:r w:rsidRPr="00A8314B">
        <w:rPr>
          <w:highlight w:val="yellow"/>
        </w:rPr>
        <w:t xml:space="preserve"> state whether </w:t>
      </w:r>
      <w:r>
        <w:rPr>
          <w:highlight w:val="yellow"/>
        </w:rPr>
        <w:t xml:space="preserve">it is a lower limit, upper limit or both (price range); and what it applies to e.g. </w:t>
      </w:r>
      <w:r w:rsidRPr="00A8314B">
        <w:rPr>
          <w:highlight w:val="yellow"/>
        </w:rPr>
        <w:t>whole life of contract, particular contract year</w:t>
      </w:r>
      <w:r>
        <w:rPr>
          <w:highlight w:val="yellow"/>
        </w:rPr>
        <w:t>,</w:t>
      </w:r>
      <w:r w:rsidRPr="00A8314B">
        <w:rPr>
          <w:highlight w:val="yellow"/>
        </w:rPr>
        <w:t xml:space="preserve"> which service element</w:t>
      </w:r>
      <w:r>
        <w:rPr>
          <w:highlight w:val="yellow"/>
        </w:rPr>
        <w:t>(s)</w:t>
      </w:r>
      <w:r w:rsidRPr="00A8314B">
        <w:rPr>
          <w:highlight w:val="yellow"/>
        </w:rPr>
        <w:t xml:space="preserve"> it applie</w:t>
      </w:r>
      <w:r>
        <w:rPr>
          <w:highlight w:val="yellow"/>
        </w:rPr>
        <w:t>s</w:t>
      </w:r>
      <w:r w:rsidRPr="00A8314B">
        <w:rPr>
          <w:highlight w:val="yellow"/>
        </w:rPr>
        <w:t xml:space="preserve"> to]</w:t>
      </w:r>
    </w:p>
    <w:p w14:paraId="3549C618" w14:textId="15572837" w:rsidR="006E3F05" w:rsidRDefault="006E3F05" w:rsidP="0036221C">
      <w:pPr>
        <w:pStyle w:val="Level3"/>
        <w:numPr>
          <w:ilvl w:val="0"/>
          <w:numId w:val="0"/>
        </w:numPr>
        <w:ind w:left="1702"/>
      </w:pPr>
      <w:r>
        <w:t xml:space="preserve">The </w:t>
      </w:r>
      <w:r w:rsidR="004D0E00">
        <w:t>Provider</w:t>
      </w:r>
      <w:r>
        <w:t xml:space="preserve">s’ Price to the checked against the Price Range is calculated as follows: </w:t>
      </w:r>
    </w:p>
    <w:p w14:paraId="6A4149C7" w14:textId="010B9CF2" w:rsidR="006E3F05" w:rsidRDefault="006E3F05" w:rsidP="006E3F05">
      <w:pPr>
        <w:pStyle w:val="Level3"/>
        <w:numPr>
          <w:ilvl w:val="0"/>
          <w:numId w:val="0"/>
        </w:numPr>
        <w:ind w:left="1702"/>
      </w:pPr>
      <w:r w:rsidRPr="00A8314B">
        <w:rPr>
          <w:highlight w:val="yellow"/>
        </w:rPr>
        <w:t>[</w:t>
      </w:r>
      <w:proofErr w:type="spellStart"/>
      <w:r w:rsidRPr="00A8314B">
        <w:rPr>
          <w:b/>
          <w:highlight w:val="yellow"/>
        </w:rPr>
        <w:t>DN</w:t>
      </w:r>
      <w:proofErr w:type="spellEnd"/>
      <w:r w:rsidRPr="00A8314B">
        <w:rPr>
          <w:b/>
          <w:highlight w:val="yellow"/>
        </w:rPr>
        <w:t>:</w:t>
      </w:r>
      <w:r w:rsidRPr="00A8314B">
        <w:rPr>
          <w:highlight w:val="yellow"/>
        </w:rPr>
        <w:t xml:space="preserve"> set out formula (in words) to explain what part of the </w:t>
      </w:r>
      <w:r w:rsidR="004D0E00">
        <w:rPr>
          <w:highlight w:val="yellow"/>
        </w:rPr>
        <w:t>Provider</w:t>
      </w:r>
      <w:r w:rsidRPr="00A8314B">
        <w:rPr>
          <w:highlight w:val="yellow"/>
        </w:rPr>
        <w:t>s’ price will be checked against the price range threshold.  It could be the Evaluation Price, or be a separate calculation]</w:t>
      </w:r>
    </w:p>
    <w:p w14:paraId="65B846EF" w14:textId="77777777" w:rsidR="006E3F05" w:rsidRDefault="006E3F05" w:rsidP="0036221C">
      <w:pPr>
        <w:pStyle w:val="Level3"/>
        <w:numPr>
          <w:ilvl w:val="0"/>
          <w:numId w:val="0"/>
        </w:numPr>
        <w:ind w:left="1702"/>
      </w:pPr>
      <w:r>
        <w:t xml:space="preserve">The Price Ranges are as follows (and set out in the Financial Model) </w:t>
      </w:r>
      <w:r w:rsidRPr="00A8314B">
        <w:rPr>
          <w:highlight w:val="yellow"/>
        </w:rPr>
        <w:t>[</w:t>
      </w:r>
      <w:proofErr w:type="spellStart"/>
      <w:r w:rsidRPr="00A8314B">
        <w:rPr>
          <w:b/>
          <w:highlight w:val="yellow"/>
        </w:rPr>
        <w:t>DN</w:t>
      </w:r>
      <w:proofErr w:type="spellEnd"/>
      <w:r w:rsidRPr="00A8314B">
        <w:rPr>
          <w:b/>
          <w:highlight w:val="yellow"/>
        </w:rPr>
        <w:t>:</w:t>
      </w:r>
      <w:r w:rsidRPr="00A8314B">
        <w:rPr>
          <w:highlight w:val="yellow"/>
        </w:rPr>
        <w:t xml:space="preserve"> amend as appropriate]</w:t>
      </w:r>
    </w:p>
    <w:tbl>
      <w:tblPr>
        <w:tblStyle w:val="TableGrid"/>
        <w:tblW w:w="0" w:type="auto"/>
        <w:tblInd w:w="1702" w:type="dxa"/>
        <w:tblLook w:val="04A0" w:firstRow="1" w:lastRow="0" w:firstColumn="1" w:lastColumn="0" w:noHBand="0" w:noVBand="1"/>
      </w:tblPr>
      <w:tblGrid>
        <w:gridCol w:w="1990"/>
        <w:gridCol w:w="2120"/>
        <w:gridCol w:w="2021"/>
        <w:gridCol w:w="2022"/>
      </w:tblGrid>
      <w:tr w:rsidR="004D0E00" w14:paraId="20507742" w14:textId="77777777" w:rsidTr="00627302">
        <w:tc>
          <w:tcPr>
            <w:tcW w:w="2407" w:type="dxa"/>
          </w:tcPr>
          <w:p w14:paraId="69863163" w14:textId="629E3E45" w:rsidR="006E3F05" w:rsidRPr="00A8314B" w:rsidRDefault="004D0E00" w:rsidP="004D0E00">
            <w:pPr>
              <w:pStyle w:val="Level3"/>
              <w:numPr>
                <w:ilvl w:val="0"/>
                <w:numId w:val="0"/>
              </w:numPr>
              <w:rPr>
                <w:b/>
              </w:rPr>
            </w:pPr>
            <w:r>
              <w:rPr>
                <w:b/>
              </w:rPr>
              <w:t xml:space="preserve">Service Category </w:t>
            </w:r>
          </w:p>
        </w:tc>
        <w:tc>
          <w:tcPr>
            <w:tcW w:w="2407" w:type="dxa"/>
          </w:tcPr>
          <w:p w14:paraId="5C2198C0" w14:textId="6BC7D134" w:rsidR="006E3F05" w:rsidRPr="00A8314B" w:rsidRDefault="004D0E00" w:rsidP="00627302">
            <w:pPr>
              <w:pStyle w:val="Level3"/>
              <w:numPr>
                <w:ilvl w:val="0"/>
                <w:numId w:val="0"/>
              </w:numPr>
              <w:rPr>
                <w:b/>
              </w:rPr>
            </w:pPr>
            <w:r>
              <w:rPr>
                <w:b/>
              </w:rPr>
              <w:t>Geographical Location</w:t>
            </w:r>
          </w:p>
        </w:tc>
        <w:tc>
          <w:tcPr>
            <w:tcW w:w="2407" w:type="dxa"/>
          </w:tcPr>
          <w:p w14:paraId="0FEDEC46" w14:textId="77777777" w:rsidR="006E3F05" w:rsidRPr="00A8314B" w:rsidRDefault="006E3F05" w:rsidP="00627302">
            <w:pPr>
              <w:pStyle w:val="Level3"/>
              <w:numPr>
                <w:ilvl w:val="0"/>
                <w:numId w:val="0"/>
              </w:numPr>
              <w:rPr>
                <w:b/>
              </w:rPr>
            </w:pPr>
            <w:r w:rsidRPr="00A8314B">
              <w:rPr>
                <w:b/>
              </w:rPr>
              <w:t>Lower Price Threshold</w:t>
            </w:r>
          </w:p>
        </w:tc>
        <w:tc>
          <w:tcPr>
            <w:tcW w:w="2408" w:type="dxa"/>
          </w:tcPr>
          <w:p w14:paraId="358DE9D6" w14:textId="77777777" w:rsidR="006E3F05" w:rsidRPr="00A8314B" w:rsidRDefault="006E3F05" w:rsidP="00627302">
            <w:pPr>
              <w:pStyle w:val="Level3"/>
              <w:numPr>
                <w:ilvl w:val="0"/>
                <w:numId w:val="0"/>
              </w:numPr>
              <w:rPr>
                <w:b/>
              </w:rPr>
            </w:pPr>
            <w:r w:rsidRPr="00A8314B">
              <w:rPr>
                <w:b/>
              </w:rPr>
              <w:t>Upper Price Threshold</w:t>
            </w:r>
          </w:p>
        </w:tc>
      </w:tr>
      <w:tr w:rsidR="004D0E00" w14:paraId="7560E491" w14:textId="77777777" w:rsidTr="00627302">
        <w:tc>
          <w:tcPr>
            <w:tcW w:w="2407" w:type="dxa"/>
          </w:tcPr>
          <w:p w14:paraId="49FBE183" w14:textId="77777777" w:rsidR="006E3F05" w:rsidRDefault="006E3F05" w:rsidP="00627302">
            <w:pPr>
              <w:pStyle w:val="Level3"/>
              <w:numPr>
                <w:ilvl w:val="0"/>
                <w:numId w:val="0"/>
              </w:numPr>
            </w:pPr>
          </w:p>
        </w:tc>
        <w:tc>
          <w:tcPr>
            <w:tcW w:w="2407" w:type="dxa"/>
          </w:tcPr>
          <w:p w14:paraId="5F0743D1" w14:textId="77777777" w:rsidR="006E3F05" w:rsidRDefault="006E3F05" w:rsidP="00627302">
            <w:pPr>
              <w:pStyle w:val="Level3"/>
              <w:numPr>
                <w:ilvl w:val="0"/>
                <w:numId w:val="0"/>
              </w:numPr>
            </w:pPr>
          </w:p>
        </w:tc>
        <w:tc>
          <w:tcPr>
            <w:tcW w:w="2407" w:type="dxa"/>
          </w:tcPr>
          <w:p w14:paraId="34C191FA" w14:textId="77777777" w:rsidR="006E3F05" w:rsidRDefault="006E3F05" w:rsidP="00627302">
            <w:pPr>
              <w:pStyle w:val="Level3"/>
              <w:numPr>
                <w:ilvl w:val="0"/>
                <w:numId w:val="0"/>
              </w:numPr>
            </w:pPr>
          </w:p>
        </w:tc>
        <w:tc>
          <w:tcPr>
            <w:tcW w:w="2408" w:type="dxa"/>
          </w:tcPr>
          <w:p w14:paraId="0109F0A0" w14:textId="77777777" w:rsidR="006E3F05" w:rsidRDefault="006E3F05" w:rsidP="00627302">
            <w:pPr>
              <w:pStyle w:val="Level3"/>
              <w:numPr>
                <w:ilvl w:val="0"/>
                <w:numId w:val="0"/>
              </w:numPr>
            </w:pPr>
          </w:p>
        </w:tc>
      </w:tr>
      <w:tr w:rsidR="004D0E00" w14:paraId="2FCD124E" w14:textId="77777777" w:rsidTr="00627302">
        <w:tc>
          <w:tcPr>
            <w:tcW w:w="2407" w:type="dxa"/>
          </w:tcPr>
          <w:p w14:paraId="212D8298" w14:textId="77777777" w:rsidR="006E3F05" w:rsidRDefault="006E3F05" w:rsidP="00627302">
            <w:pPr>
              <w:pStyle w:val="Level3"/>
              <w:numPr>
                <w:ilvl w:val="0"/>
                <w:numId w:val="0"/>
              </w:numPr>
            </w:pPr>
          </w:p>
        </w:tc>
        <w:tc>
          <w:tcPr>
            <w:tcW w:w="2407" w:type="dxa"/>
          </w:tcPr>
          <w:p w14:paraId="69F7C03B" w14:textId="77777777" w:rsidR="006E3F05" w:rsidRDefault="006E3F05" w:rsidP="00627302">
            <w:pPr>
              <w:pStyle w:val="Level3"/>
              <w:numPr>
                <w:ilvl w:val="0"/>
                <w:numId w:val="0"/>
              </w:numPr>
            </w:pPr>
          </w:p>
        </w:tc>
        <w:tc>
          <w:tcPr>
            <w:tcW w:w="2407" w:type="dxa"/>
          </w:tcPr>
          <w:p w14:paraId="60968E6B" w14:textId="77777777" w:rsidR="006E3F05" w:rsidRDefault="006E3F05" w:rsidP="00627302">
            <w:pPr>
              <w:pStyle w:val="Level3"/>
              <w:numPr>
                <w:ilvl w:val="0"/>
                <w:numId w:val="0"/>
              </w:numPr>
            </w:pPr>
          </w:p>
        </w:tc>
        <w:tc>
          <w:tcPr>
            <w:tcW w:w="2408" w:type="dxa"/>
          </w:tcPr>
          <w:p w14:paraId="0AE289CC" w14:textId="77777777" w:rsidR="006E3F05" w:rsidRDefault="006E3F05" w:rsidP="00627302">
            <w:pPr>
              <w:pStyle w:val="Level3"/>
              <w:numPr>
                <w:ilvl w:val="0"/>
                <w:numId w:val="0"/>
              </w:numPr>
            </w:pPr>
          </w:p>
        </w:tc>
      </w:tr>
    </w:tbl>
    <w:p w14:paraId="694400D7" w14:textId="77777777" w:rsidR="006E3F05" w:rsidRDefault="006E3F05" w:rsidP="006E3F05">
      <w:pPr>
        <w:pStyle w:val="Level3"/>
        <w:numPr>
          <w:ilvl w:val="0"/>
          <w:numId w:val="0"/>
        </w:numPr>
        <w:ind w:left="1702" w:hanging="851"/>
      </w:pPr>
    </w:p>
    <w:p w14:paraId="70E13562" w14:textId="77777777" w:rsidR="006E3F05" w:rsidRDefault="006E3F05" w:rsidP="006E3F05">
      <w:pPr>
        <w:pStyle w:val="Level3"/>
        <w:rPr>
          <w:highlight w:val="yellow"/>
        </w:rPr>
      </w:pPr>
      <w:r>
        <w:lastRenderedPageBreak/>
        <w:t xml:space="preserve">The relevant Volume Bands for the Price Range Threshold test are as follows: </w:t>
      </w:r>
      <w:r w:rsidRPr="00A8314B">
        <w:rPr>
          <w:highlight w:val="yellow"/>
        </w:rPr>
        <w:t>[</w:t>
      </w:r>
      <w:proofErr w:type="spellStart"/>
      <w:r w:rsidRPr="00A8314B">
        <w:rPr>
          <w:b/>
          <w:highlight w:val="yellow"/>
        </w:rPr>
        <w:t>DN</w:t>
      </w:r>
      <w:proofErr w:type="spellEnd"/>
      <w:r w:rsidRPr="00A8314B">
        <w:rPr>
          <w:b/>
          <w:highlight w:val="yellow"/>
        </w:rPr>
        <w:t>:</w:t>
      </w:r>
      <w:r w:rsidRPr="00A8314B">
        <w:rPr>
          <w:highlight w:val="yellow"/>
        </w:rPr>
        <w:t xml:space="preserve"> if price range threshold is applying to a pricing element other than Evaluation Price, specify here any information about which element it does apply to – this example is for volume bands for a specific service element within the Fixed Price with Volume Bands </w:t>
      </w:r>
      <w:proofErr w:type="spellStart"/>
      <w:r w:rsidRPr="00A8314B">
        <w:rPr>
          <w:highlight w:val="yellow"/>
        </w:rPr>
        <w:t>paymech</w:t>
      </w:r>
      <w:proofErr w:type="spellEnd"/>
      <w:r w:rsidRPr="00A8314B">
        <w:rPr>
          <w:highlight w:val="yellow"/>
        </w:rPr>
        <w:t>]</w:t>
      </w:r>
    </w:p>
    <w:tbl>
      <w:tblPr>
        <w:tblStyle w:val="TableGrid"/>
        <w:tblW w:w="0" w:type="auto"/>
        <w:tblInd w:w="851" w:type="dxa"/>
        <w:tblLook w:val="04A0" w:firstRow="1" w:lastRow="0" w:firstColumn="1" w:lastColumn="0" w:noHBand="0" w:noVBand="1"/>
      </w:tblPr>
      <w:tblGrid>
        <w:gridCol w:w="2989"/>
        <w:gridCol w:w="3033"/>
        <w:gridCol w:w="2982"/>
      </w:tblGrid>
      <w:tr w:rsidR="006E3F05" w14:paraId="6B00AAD7" w14:textId="77777777" w:rsidTr="00627302">
        <w:tc>
          <w:tcPr>
            <w:tcW w:w="3209" w:type="dxa"/>
          </w:tcPr>
          <w:p w14:paraId="0AC9E56B" w14:textId="0EC88E63" w:rsidR="006E3F05" w:rsidRPr="00A8314B" w:rsidRDefault="001E1558" w:rsidP="00627302">
            <w:pPr>
              <w:pStyle w:val="Level3"/>
              <w:numPr>
                <w:ilvl w:val="0"/>
                <w:numId w:val="0"/>
              </w:numPr>
            </w:pPr>
            <w:r>
              <w:rPr>
                <w:b/>
              </w:rPr>
              <w:t>Service Category</w:t>
            </w:r>
          </w:p>
        </w:tc>
        <w:tc>
          <w:tcPr>
            <w:tcW w:w="3210" w:type="dxa"/>
          </w:tcPr>
          <w:p w14:paraId="7E72F43D" w14:textId="685EDB0D" w:rsidR="006E3F05" w:rsidRPr="00A8314B" w:rsidRDefault="001E1558" w:rsidP="00627302">
            <w:pPr>
              <w:pStyle w:val="Level3"/>
              <w:numPr>
                <w:ilvl w:val="0"/>
                <w:numId w:val="0"/>
              </w:numPr>
            </w:pPr>
            <w:r>
              <w:rPr>
                <w:b/>
              </w:rPr>
              <w:t>Geographical Location</w:t>
            </w:r>
          </w:p>
        </w:tc>
        <w:tc>
          <w:tcPr>
            <w:tcW w:w="3210" w:type="dxa"/>
          </w:tcPr>
          <w:p w14:paraId="1B10B51C" w14:textId="77777777" w:rsidR="006E3F05" w:rsidRDefault="006E3F05" w:rsidP="00627302">
            <w:pPr>
              <w:pStyle w:val="Level3"/>
              <w:numPr>
                <w:ilvl w:val="0"/>
                <w:numId w:val="0"/>
              </w:numPr>
              <w:rPr>
                <w:highlight w:val="yellow"/>
              </w:rPr>
            </w:pPr>
            <w:r w:rsidRPr="00A8314B">
              <w:t xml:space="preserve">Volume Band for </w:t>
            </w:r>
            <w:r>
              <w:rPr>
                <w:highlight w:val="yellow"/>
              </w:rPr>
              <w:t>[Service Element]</w:t>
            </w:r>
          </w:p>
        </w:tc>
      </w:tr>
      <w:tr w:rsidR="006E3F05" w14:paraId="466516AB" w14:textId="77777777" w:rsidTr="00627302">
        <w:tc>
          <w:tcPr>
            <w:tcW w:w="3209" w:type="dxa"/>
          </w:tcPr>
          <w:p w14:paraId="13A6F8BD" w14:textId="77777777" w:rsidR="006E3F05" w:rsidRDefault="006E3F05" w:rsidP="00627302">
            <w:pPr>
              <w:pStyle w:val="Level3"/>
              <w:numPr>
                <w:ilvl w:val="0"/>
                <w:numId w:val="0"/>
              </w:numPr>
              <w:rPr>
                <w:highlight w:val="yellow"/>
              </w:rPr>
            </w:pPr>
          </w:p>
        </w:tc>
        <w:tc>
          <w:tcPr>
            <w:tcW w:w="3210" w:type="dxa"/>
          </w:tcPr>
          <w:p w14:paraId="07A11D3E" w14:textId="77777777" w:rsidR="006E3F05" w:rsidRDefault="006E3F05" w:rsidP="00627302">
            <w:pPr>
              <w:pStyle w:val="Level3"/>
              <w:numPr>
                <w:ilvl w:val="0"/>
                <w:numId w:val="0"/>
              </w:numPr>
              <w:rPr>
                <w:highlight w:val="yellow"/>
              </w:rPr>
            </w:pPr>
          </w:p>
        </w:tc>
        <w:tc>
          <w:tcPr>
            <w:tcW w:w="3210" w:type="dxa"/>
          </w:tcPr>
          <w:p w14:paraId="4AEB77F0" w14:textId="77777777" w:rsidR="006E3F05" w:rsidRDefault="006E3F05" w:rsidP="00627302">
            <w:pPr>
              <w:pStyle w:val="Level3"/>
              <w:numPr>
                <w:ilvl w:val="0"/>
                <w:numId w:val="0"/>
              </w:numPr>
              <w:rPr>
                <w:highlight w:val="yellow"/>
              </w:rPr>
            </w:pPr>
          </w:p>
        </w:tc>
      </w:tr>
    </w:tbl>
    <w:p w14:paraId="2F2367DA" w14:textId="77777777" w:rsidR="006E3F05" w:rsidRPr="00D86FB4" w:rsidRDefault="006E3F05" w:rsidP="006E3F05">
      <w:pPr>
        <w:pStyle w:val="Level2"/>
        <w:numPr>
          <w:ilvl w:val="0"/>
          <w:numId w:val="0"/>
        </w:numPr>
      </w:pPr>
    </w:p>
    <w:p w14:paraId="7C53E5D7" w14:textId="77777777" w:rsidR="006E3F05" w:rsidRPr="00D86FB4" w:rsidRDefault="006E3F05" w:rsidP="0036221C">
      <w:pPr>
        <w:pStyle w:val="Level2"/>
        <w:numPr>
          <w:ilvl w:val="0"/>
          <w:numId w:val="0"/>
        </w:numPr>
        <w:ind w:left="851"/>
      </w:pPr>
      <w:r>
        <w:t>T</w:t>
      </w:r>
      <w:r w:rsidRPr="00631955">
        <w:t xml:space="preserve">he </w:t>
      </w:r>
      <w:r>
        <w:t>A</w:t>
      </w:r>
      <w:r w:rsidRPr="00631955">
        <w:t>nticipated Supplier Profit</w:t>
      </w:r>
      <w:r>
        <w:t>/Surplus</w:t>
      </w:r>
      <w:r w:rsidRPr="00631955">
        <w:t xml:space="preserve"> for the Call-Off Contract shall be as set out in the Financial Model.</w:t>
      </w:r>
      <w:r>
        <w:t xml:space="preserve">  The Customer may review the actual </w:t>
      </w:r>
      <w:r w:rsidRPr="00631955">
        <w:t>Supplier Profit</w:t>
      </w:r>
      <w:r>
        <w:t>/Surplus during the call-off term in accordance with paragraph 16 of Schedule 7.1 (Charges and Invoicing).</w:t>
      </w:r>
    </w:p>
    <w:p w14:paraId="39A56C88" w14:textId="77777777" w:rsidR="006E3F05" w:rsidRPr="00FA6CED" w:rsidRDefault="006E3F05" w:rsidP="0036221C">
      <w:pPr>
        <w:pStyle w:val="Level2"/>
        <w:numPr>
          <w:ilvl w:val="0"/>
          <w:numId w:val="0"/>
        </w:numPr>
        <w:ind w:left="851"/>
        <w:rPr>
          <w:highlight w:val="yellow"/>
        </w:rPr>
      </w:pPr>
      <w:r w:rsidRPr="00186E95">
        <w:rPr>
          <w:highlight w:val="yellow"/>
        </w:rPr>
        <w:t>[</w:t>
      </w:r>
      <w:r>
        <w:rPr>
          <w:highlight w:val="yellow"/>
        </w:rPr>
        <w:t>Drafting note: The Authority can</w:t>
      </w:r>
      <w:r w:rsidRPr="00186E95">
        <w:rPr>
          <w:highlight w:val="yellow"/>
        </w:rPr>
        <w:t> </w:t>
      </w:r>
      <w:r>
        <w:rPr>
          <w:highlight w:val="yellow"/>
        </w:rPr>
        <w:t>select the following evaluation approaches and must clearly explain the approach in this section</w:t>
      </w:r>
      <w:r w:rsidRPr="00186E95">
        <w:rPr>
          <w:highlight w:val="yellow"/>
        </w:rPr>
        <w:t>]</w:t>
      </w:r>
    </w:p>
    <w:p w14:paraId="1A4167F6" w14:textId="77777777" w:rsidR="006E3F05" w:rsidRDefault="006E3F05" w:rsidP="006E3F05">
      <w:pPr>
        <w:pStyle w:val="Level2"/>
      </w:pPr>
      <w:r w:rsidRPr="00D86FB4">
        <w:t xml:space="preserve">Price per </w:t>
      </w:r>
      <w:r>
        <w:t>Q</w:t>
      </w:r>
      <w:r w:rsidRPr="00D86FB4">
        <w:t xml:space="preserve">uality </w:t>
      </w:r>
      <w:r>
        <w:t>P</w:t>
      </w:r>
      <w:r w:rsidRPr="00D86FB4">
        <w:t>oint (</w:t>
      </w:r>
      <w:proofErr w:type="spellStart"/>
      <w:r w:rsidRPr="00D86FB4">
        <w:t>PQP</w:t>
      </w:r>
      <w:proofErr w:type="spellEnd"/>
      <w:r w:rsidRPr="00D86FB4">
        <w:t>)</w:t>
      </w:r>
    </w:p>
    <w:p w14:paraId="5A3E17F1" w14:textId="77777777" w:rsidR="006E3F05" w:rsidRDefault="006E3F05" w:rsidP="006E3F05">
      <w:pPr>
        <w:pStyle w:val="Level3"/>
      </w:pPr>
      <w:r>
        <w:t xml:space="preserve">Once the </w:t>
      </w:r>
      <w:r w:rsidRPr="00F34E64">
        <w:t>all the Quality Score</w:t>
      </w:r>
      <w:r>
        <w:t>s</w:t>
      </w:r>
      <w:r w:rsidRPr="00F34E64">
        <w:t xml:space="preserve"> and </w:t>
      </w:r>
      <w:r>
        <w:t xml:space="preserve">the </w:t>
      </w:r>
      <w:r w:rsidRPr="00F34E64">
        <w:t xml:space="preserve">Evaluation Price have been calculated in accordance with this </w:t>
      </w:r>
      <w:r>
        <w:t>Invitation to Tender</w:t>
      </w:r>
      <w:r w:rsidRPr="00F34E64">
        <w:t xml:space="preserve">, the </w:t>
      </w:r>
      <w:proofErr w:type="spellStart"/>
      <w:r>
        <w:t>PQP</w:t>
      </w:r>
      <w:proofErr w:type="spellEnd"/>
      <w:r w:rsidRPr="00F34E64">
        <w:t xml:space="preserve"> shall be calculated </w:t>
      </w:r>
      <w:r>
        <w:t>by</w:t>
      </w:r>
      <w:r w:rsidRPr="00694C4C">
        <w:t xml:space="preserve"> dividing the Evaluation Price by the Quality Score</w:t>
      </w:r>
      <w:r>
        <w:t>:</w:t>
      </w:r>
    </w:p>
    <w:p w14:paraId="1B294EA5" w14:textId="77777777" w:rsidR="006E3F05" w:rsidRPr="00D86FB4" w:rsidRDefault="006E3F05" w:rsidP="006E3F05">
      <w:pPr>
        <w:pStyle w:val="Level5"/>
        <w:numPr>
          <w:ilvl w:val="0"/>
          <w:numId w:val="0"/>
        </w:numPr>
        <w:ind w:left="850" w:firstLine="850"/>
        <w:rPr>
          <w:b/>
        </w:rPr>
      </w:pPr>
      <w:r w:rsidRPr="002E1956">
        <w:rPr>
          <w:b/>
        </w:rPr>
        <w:t xml:space="preserve">Evaluation Price / Quality Score = </w:t>
      </w:r>
      <w:proofErr w:type="spellStart"/>
      <w:r w:rsidRPr="002E1956">
        <w:rPr>
          <w:b/>
        </w:rPr>
        <w:t>PQP</w:t>
      </w:r>
      <w:proofErr w:type="spellEnd"/>
    </w:p>
    <w:p w14:paraId="1ABADE78" w14:textId="4BB06E3B" w:rsidR="006E3F05" w:rsidRPr="00C5506E" w:rsidRDefault="006E3F05" w:rsidP="006E3F05">
      <w:pPr>
        <w:pStyle w:val="Level3"/>
      </w:pPr>
      <w:r w:rsidRPr="00C5506E">
        <w:t xml:space="preserve">The </w:t>
      </w:r>
      <w:proofErr w:type="spellStart"/>
      <w:r w:rsidRPr="00C5506E">
        <w:t>PQP</w:t>
      </w:r>
      <w:proofErr w:type="spellEnd"/>
      <w:r w:rsidRPr="00C5506E">
        <w:t xml:space="preserve"> shall be calculated to four decimal places (applying standard rounding rules).  The lower the </w:t>
      </w:r>
      <w:proofErr w:type="spellStart"/>
      <w:r w:rsidRPr="00C5506E">
        <w:t>PQP</w:t>
      </w:r>
      <w:proofErr w:type="spellEnd"/>
      <w:r w:rsidRPr="00C5506E">
        <w:t xml:space="preserve">, the better value for money the Tender.  </w:t>
      </w:r>
      <w:bookmarkStart w:id="56" w:name="_Hlk42024068"/>
      <w:r w:rsidRPr="00C5506E">
        <w:t xml:space="preserve">The Tender with the lowest </w:t>
      </w:r>
      <w:proofErr w:type="spellStart"/>
      <w:r w:rsidRPr="00C5506E">
        <w:t>PQP</w:t>
      </w:r>
      <w:proofErr w:type="spellEnd"/>
      <w:r w:rsidRPr="00C5506E">
        <w:t xml:space="preserve"> represents the most economically advantageous tender and</w:t>
      </w:r>
      <w:r w:rsidR="007122BD">
        <w:t xml:space="preserve"> will be ranked first in that Call-Off Competition</w:t>
      </w:r>
      <w:r w:rsidRPr="00C5506E">
        <w:t>.</w:t>
      </w:r>
      <w:bookmarkEnd w:id="56"/>
      <w:r w:rsidRPr="00C5506E">
        <w:t xml:space="preserve"> </w:t>
      </w:r>
    </w:p>
    <w:p w14:paraId="0DF562DC" w14:textId="62A0865A" w:rsidR="006E3F05" w:rsidRPr="00C5506E" w:rsidRDefault="006E3F05" w:rsidP="006E3F05">
      <w:pPr>
        <w:pStyle w:val="Level3"/>
      </w:pPr>
      <w:r w:rsidRPr="00C5506E">
        <w:t xml:space="preserve">In the instance that two (2) </w:t>
      </w:r>
      <w:r w:rsidR="004D0E00">
        <w:t>Provider</w:t>
      </w:r>
      <w:r w:rsidRPr="00C5506E">
        <w:t xml:space="preserve">s within the same </w:t>
      </w:r>
      <w:r w:rsidR="007122BD">
        <w:t>Call-Off Competition</w:t>
      </w:r>
      <w:r w:rsidRPr="00C5506E">
        <w:t xml:space="preserve"> achieve the same </w:t>
      </w:r>
      <w:proofErr w:type="spellStart"/>
      <w:r w:rsidRPr="00C5506E">
        <w:t>PQP</w:t>
      </w:r>
      <w:proofErr w:type="spellEnd"/>
      <w:r w:rsidRPr="00C5506E">
        <w:t xml:space="preserve">, the Customer will review the Quality Scores of the two (2) </w:t>
      </w:r>
      <w:r w:rsidR="004D0E00">
        <w:t>Provider</w:t>
      </w:r>
      <w:r w:rsidRPr="00C5506E">
        <w:t xml:space="preserve">s and will select the </w:t>
      </w:r>
      <w:r w:rsidR="004D0E00">
        <w:t>Provider</w:t>
      </w:r>
      <w:r w:rsidRPr="00C5506E">
        <w:t xml:space="preserve"> with the </w:t>
      </w:r>
      <w:r w:rsidRPr="00D86FB4">
        <w:rPr>
          <w:highlight w:val="yellow"/>
        </w:rPr>
        <w:t>highest Quality Score/lowest Evaluation Price</w:t>
      </w:r>
      <w:r w:rsidRPr="00C5506E">
        <w:t xml:space="preserve"> </w:t>
      </w:r>
      <w:r w:rsidRPr="00D86FB4">
        <w:rPr>
          <w:highlight w:val="yellow"/>
        </w:rPr>
        <w:t>[</w:t>
      </w:r>
      <w:proofErr w:type="spellStart"/>
      <w:r w:rsidRPr="00D86FB4">
        <w:rPr>
          <w:b/>
          <w:highlight w:val="yellow"/>
        </w:rPr>
        <w:t>DN</w:t>
      </w:r>
      <w:proofErr w:type="spellEnd"/>
      <w:r w:rsidRPr="00D86FB4">
        <w:rPr>
          <w:b/>
          <w:highlight w:val="yellow"/>
        </w:rPr>
        <w:t>:</w:t>
      </w:r>
      <w:r w:rsidRPr="00D86FB4">
        <w:rPr>
          <w:highlight w:val="yellow"/>
        </w:rPr>
        <w:t xml:space="preserve"> review tiebreak criteria and amend as appropriate]</w:t>
      </w:r>
      <w:r w:rsidRPr="00C5506E">
        <w:t>.</w:t>
      </w:r>
    </w:p>
    <w:p w14:paraId="19DE4D6B" w14:textId="3016046A" w:rsidR="006E3F05" w:rsidRPr="00C5506E" w:rsidRDefault="006E3F05" w:rsidP="006E3F05">
      <w:pPr>
        <w:pStyle w:val="Level3"/>
      </w:pPr>
      <w:r w:rsidRPr="00C5506E">
        <w:t xml:space="preserve">In the instance that two (2) </w:t>
      </w:r>
      <w:r w:rsidR="004D0E00">
        <w:t>Provider</w:t>
      </w:r>
      <w:r w:rsidRPr="00C5506E">
        <w:t xml:space="preserve">s within the same </w:t>
      </w:r>
      <w:r w:rsidR="007122BD">
        <w:t>Call-Off Competition</w:t>
      </w:r>
      <w:r w:rsidRPr="00C5506E">
        <w:t xml:space="preserve"> achieve the same </w:t>
      </w:r>
      <w:proofErr w:type="spellStart"/>
      <w:r w:rsidRPr="00C5506E">
        <w:t>PQP</w:t>
      </w:r>
      <w:proofErr w:type="spellEnd"/>
      <w:r w:rsidRPr="00C5506E">
        <w:t xml:space="preserve"> and Quality Score/Evaluation Price the Customer will </w:t>
      </w:r>
      <w:r w:rsidRPr="00D86FB4">
        <w:rPr>
          <w:highlight w:val="yellow"/>
        </w:rPr>
        <w:t>[</w:t>
      </w:r>
      <w:proofErr w:type="spellStart"/>
      <w:r w:rsidRPr="00D86FB4">
        <w:rPr>
          <w:b/>
          <w:highlight w:val="yellow"/>
        </w:rPr>
        <w:t>DN</w:t>
      </w:r>
      <w:proofErr w:type="spellEnd"/>
      <w:r w:rsidRPr="00D86FB4">
        <w:rPr>
          <w:b/>
          <w:highlight w:val="yellow"/>
        </w:rPr>
        <w:t>:</w:t>
      </w:r>
      <w:r w:rsidRPr="00D86FB4">
        <w:rPr>
          <w:highlight w:val="yellow"/>
        </w:rPr>
        <w:t xml:space="preserve"> review secondary tiebreak criteria if applicable </w:t>
      </w:r>
      <w:r w:rsidRPr="00D86FB4">
        <w:rPr>
          <w:i/>
          <w:highlight w:val="yellow"/>
        </w:rPr>
        <w:t xml:space="preserve">e.g. review the total Quality Scores awarded for the Quality Questions that have a Quality </w:t>
      </w:r>
      <w:r w:rsidRPr="007122BD">
        <w:rPr>
          <w:i/>
          <w:highlight w:val="yellow"/>
        </w:rPr>
        <w:t xml:space="preserve">Threshold set for them and shall use these to select the first (1st) ranked </w:t>
      </w:r>
      <w:r w:rsidR="004D0E00" w:rsidRPr="007122BD">
        <w:rPr>
          <w:i/>
          <w:highlight w:val="yellow"/>
        </w:rPr>
        <w:t>Provider</w:t>
      </w:r>
      <w:r w:rsidRPr="007122BD">
        <w:rPr>
          <w:i/>
          <w:highlight w:val="yellow"/>
        </w:rPr>
        <w:t xml:space="preserve"> for that </w:t>
      </w:r>
      <w:r w:rsidR="007122BD" w:rsidRPr="007122BD">
        <w:rPr>
          <w:i/>
          <w:highlight w:val="yellow"/>
        </w:rPr>
        <w:t>Call-Off Competition</w:t>
      </w:r>
      <w:r w:rsidRPr="00D86FB4">
        <w:rPr>
          <w:highlight w:val="yellow"/>
        </w:rPr>
        <w:t>]</w:t>
      </w:r>
      <w:r w:rsidRPr="00C5506E">
        <w:t>.</w:t>
      </w:r>
    </w:p>
    <w:p w14:paraId="004CBDE5" w14:textId="5576F98F" w:rsidR="006E3F05" w:rsidRPr="00C5506E" w:rsidRDefault="006E3F05" w:rsidP="006E3F05">
      <w:pPr>
        <w:pStyle w:val="Level3"/>
      </w:pPr>
      <w:r w:rsidRPr="00C5506E">
        <w:t>The following illustration pro</w:t>
      </w:r>
      <w:r w:rsidR="00AC10A6">
        <w:t>vides an example where five Tenders</w:t>
      </w:r>
      <w:r w:rsidRPr="00C5506E">
        <w:t xml:space="preserve"> have been evaluated and given an indicative ranking, using </w:t>
      </w:r>
      <w:proofErr w:type="spellStart"/>
      <w:r w:rsidRPr="00C5506E">
        <w:t>PQP</w:t>
      </w:r>
      <w:proofErr w:type="spellEnd"/>
      <w:r w:rsidRPr="00C5506E">
        <w:t>. Please note, the figures within the table are provided for illustrative purposes only</w:t>
      </w:r>
      <w:r w:rsidR="004D0E00">
        <w:t xml:space="preserve"> </w:t>
      </w:r>
      <w:r w:rsidR="004D0E00" w:rsidRPr="004D0E00">
        <w:rPr>
          <w:b/>
          <w:highlight w:val="yellow"/>
        </w:rPr>
        <w:t>[</w:t>
      </w:r>
      <w:proofErr w:type="spellStart"/>
      <w:r w:rsidR="004D0E00" w:rsidRPr="004D0E00">
        <w:rPr>
          <w:b/>
          <w:highlight w:val="yellow"/>
        </w:rPr>
        <w:t>DN</w:t>
      </w:r>
      <w:proofErr w:type="spellEnd"/>
      <w:r w:rsidR="004D0E00" w:rsidRPr="004D0E00">
        <w:rPr>
          <w:b/>
          <w:highlight w:val="yellow"/>
        </w:rPr>
        <w:t>:</w:t>
      </w:r>
      <w:r w:rsidR="004D0E00" w:rsidRPr="004D0E00">
        <w:rPr>
          <w:highlight w:val="yellow"/>
        </w:rPr>
        <w:t xml:space="preserve"> this example can be amended by the Authority as relevant to the Call-Off Competition]</w:t>
      </w:r>
      <w:r w:rsidRPr="004D0E00">
        <w:rPr>
          <w:highlight w:val="yellow"/>
        </w:rPr>
        <w:t>:</w:t>
      </w:r>
    </w:p>
    <w:tbl>
      <w:tblPr>
        <w:tblStyle w:val="TableGrid"/>
        <w:tblW w:w="0" w:type="auto"/>
        <w:tblInd w:w="846" w:type="dxa"/>
        <w:tblLook w:val="04A0" w:firstRow="1" w:lastRow="0" w:firstColumn="1" w:lastColumn="0" w:noHBand="0" w:noVBand="1"/>
      </w:tblPr>
      <w:tblGrid>
        <w:gridCol w:w="1611"/>
        <w:gridCol w:w="970"/>
        <w:gridCol w:w="1701"/>
        <w:gridCol w:w="3544"/>
        <w:gridCol w:w="950"/>
      </w:tblGrid>
      <w:tr w:rsidR="006E3F05" w14:paraId="725FC679" w14:textId="77777777" w:rsidTr="00627302">
        <w:tc>
          <w:tcPr>
            <w:tcW w:w="1611" w:type="dxa"/>
          </w:tcPr>
          <w:p w14:paraId="1B1D9A43" w14:textId="0B68AF6F" w:rsidR="006E3F05" w:rsidRPr="00C17144" w:rsidRDefault="001E1558" w:rsidP="00627302">
            <w:pPr>
              <w:rPr>
                <w:b/>
              </w:rPr>
            </w:pPr>
            <w:r>
              <w:rPr>
                <w:b/>
              </w:rPr>
              <w:t>Bidder</w:t>
            </w:r>
          </w:p>
        </w:tc>
        <w:tc>
          <w:tcPr>
            <w:tcW w:w="970" w:type="dxa"/>
          </w:tcPr>
          <w:p w14:paraId="59B3CC4A" w14:textId="77777777" w:rsidR="006E3F05" w:rsidRDefault="006E3F05" w:rsidP="00627302">
            <w:r>
              <w:t>Quality Score</w:t>
            </w:r>
          </w:p>
        </w:tc>
        <w:tc>
          <w:tcPr>
            <w:tcW w:w="1701" w:type="dxa"/>
          </w:tcPr>
          <w:p w14:paraId="61B113D7" w14:textId="02E79E7C" w:rsidR="006E3F05" w:rsidRDefault="00615AAB" w:rsidP="00627302">
            <w:r>
              <w:t xml:space="preserve">Evaluation </w:t>
            </w:r>
            <w:r w:rsidR="006E3F05">
              <w:t>Price</w:t>
            </w:r>
          </w:p>
        </w:tc>
        <w:tc>
          <w:tcPr>
            <w:tcW w:w="3544" w:type="dxa"/>
          </w:tcPr>
          <w:p w14:paraId="6152FA97" w14:textId="77777777" w:rsidR="006E3F05" w:rsidRDefault="006E3F05" w:rsidP="00627302">
            <w:proofErr w:type="spellStart"/>
            <w:r>
              <w:t>PQP</w:t>
            </w:r>
            <w:proofErr w:type="spellEnd"/>
            <w:r>
              <w:t xml:space="preserve"> Score calculation</w:t>
            </w:r>
          </w:p>
        </w:tc>
        <w:tc>
          <w:tcPr>
            <w:tcW w:w="950" w:type="dxa"/>
          </w:tcPr>
          <w:p w14:paraId="47646ABE" w14:textId="77777777" w:rsidR="006E3F05" w:rsidRDefault="006E3F05" w:rsidP="00627302">
            <w:r>
              <w:t>Ranking</w:t>
            </w:r>
          </w:p>
        </w:tc>
      </w:tr>
      <w:tr w:rsidR="006E3F05" w14:paraId="24A4F2E9" w14:textId="77777777" w:rsidTr="00627302">
        <w:tc>
          <w:tcPr>
            <w:tcW w:w="1611" w:type="dxa"/>
          </w:tcPr>
          <w:p w14:paraId="5F4E0CC9" w14:textId="53E88647" w:rsidR="006E3F05" w:rsidRDefault="001E1558" w:rsidP="00627302">
            <w:bookmarkStart w:id="57" w:name="_Hlk41988126"/>
            <w:r w:rsidRPr="001E1558">
              <w:t>Bidder</w:t>
            </w:r>
            <w:r w:rsidR="006E3F05">
              <w:t xml:space="preserve"> A</w:t>
            </w:r>
          </w:p>
        </w:tc>
        <w:tc>
          <w:tcPr>
            <w:tcW w:w="970" w:type="dxa"/>
          </w:tcPr>
          <w:p w14:paraId="504D6C89" w14:textId="77777777" w:rsidR="006E3F05" w:rsidRPr="00F34546" w:rsidRDefault="006E3F05" w:rsidP="00627302">
            <w:r w:rsidRPr="00F34546">
              <w:t>60</w:t>
            </w:r>
          </w:p>
        </w:tc>
        <w:tc>
          <w:tcPr>
            <w:tcW w:w="1701" w:type="dxa"/>
          </w:tcPr>
          <w:p w14:paraId="4549A4BA" w14:textId="77777777" w:rsidR="006E3F05" w:rsidRPr="00F34546" w:rsidRDefault="006E3F05" w:rsidP="00627302">
            <w:r>
              <w:t>1,01</w:t>
            </w:r>
            <w:r w:rsidRPr="00F34546">
              <w:t>0,000</w:t>
            </w:r>
          </w:p>
        </w:tc>
        <w:tc>
          <w:tcPr>
            <w:tcW w:w="3544" w:type="dxa"/>
          </w:tcPr>
          <w:p w14:paraId="35414F0F" w14:textId="77777777" w:rsidR="006E3F05" w:rsidRDefault="006E3F05" w:rsidP="00627302">
            <w:r>
              <w:t>(1,010,000 / 60) = £16,833.3333</w:t>
            </w:r>
          </w:p>
        </w:tc>
        <w:tc>
          <w:tcPr>
            <w:tcW w:w="950" w:type="dxa"/>
          </w:tcPr>
          <w:p w14:paraId="2582C3F9" w14:textId="77777777" w:rsidR="006E3F05" w:rsidRDefault="006E3F05" w:rsidP="00627302">
            <w:r>
              <w:t>2</w:t>
            </w:r>
            <w:r w:rsidRPr="002E659D">
              <w:rPr>
                <w:vertAlign w:val="superscript"/>
              </w:rPr>
              <w:t>nd</w:t>
            </w:r>
            <w:r>
              <w:t xml:space="preserve"> </w:t>
            </w:r>
          </w:p>
        </w:tc>
      </w:tr>
      <w:tr w:rsidR="006E3F05" w14:paraId="3DE9CB03" w14:textId="77777777" w:rsidTr="00627302">
        <w:tc>
          <w:tcPr>
            <w:tcW w:w="1611" w:type="dxa"/>
          </w:tcPr>
          <w:p w14:paraId="6707AB1C" w14:textId="36FF76D6" w:rsidR="006E3F05" w:rsidRDefault="001E1558" w:rsidP="00627302">
            <w:r w:rsidRPr="001E1558">
              <w:t>Bidder</w:t>
            </w:r>
            <w:r w:rsidR="006E3F05">
              <w:t xml:space="preserve"> B</w:t>
            </w:r>
          </w:p>
        </w:tc>
        <w:tc>
          <w:tcPr>
            <w:tcW w:w="970" w:type="dxa"/>
          </w:tcPr>
          <w:p w14:paraId="2C3C428A" w14:textId="77777777" w:rsidR="006E3F05" w:rsidRPr="00F34546" w:rsidRDefault="006E3F05" w:rsidP="00627302">
            <w:r w:rsidRPr="00F34546">
              <w:t>62</w:t>
            </w:r>
          </w:p>
        </w:tc>
        <w:tc>
          <w:tcPr>
            <w:tcW w:w="1701" w:type="dxa"/>
          </w:tcPr>
          <w:p w14:paraId="1ED17B28" w14:textId="77777777" w:rsidR="006E3F05" w:rsidRPr="00F34546" w:rsidRDefault="006E3F05" w:rsidP="00627302">
            <w:r w:rsidRPr="00F34546">
              <w:t>1,200,000</w:t>
            </w:r>
          </w:p>
        </w:tc>
        <w:tc>
          <w:tcPr>
            <w:tcW w:w="3544" w:type="dxa"/>
          </w:tcPr>
          <w:p w14:paraId="656E6AE5" w14:textId="77777777" w:rsidR="006E3F05" w:rsidRDefault="006E3F05" w:rsidP="00627302">
            <w:r>
              <w:t>(1,200,000 / 62) = £19,354.8387</w:t>
            </w:r>
          </w:p>
        </w:tc>
        <w:tc>
          <w:tcPr>
            <w:tcW w:w="950" w:type="dxa"/>
          </w:tcPr>
          <w:p w14:paraId="5807CA54" w14:textId="77777777" w:rsidR="006E3F05" w:rsidRDefault="006E3F05" w:rsidP="00627302">
            <w:r>
              <w:t>5</w:t>
            </w:r>
            <w:r w:rsidRPr="002E659D">
              <w:rPr>
                <w:vertAlign w:val="superscript"/>
              </w:rPr>
              <w:t>th</w:t>
            </w:r>
            <w:r>
              <w:t xml:space="preserve"> </w:t>
            </w:r>
          </w:p>
        </w:tc>
      </w:tr>
      <w:tr w:rsidR="006E3F05" w14:paraId="61E7F3FE" w14:textId="77777777" w:rsidTr="00627302">
        <w:tc>
          <w:tcPr>
            <w:tcW w:w="1611" w:type="dxa"/>
          </w:tcPr>
          <w:p w14:paraId="4D1E0B67" w14:textId="7607A64A" w:rsidR="006E3F05" w:rsidRDefault="001E1558" w:rsidP="00627302">
            <w:r w:rsidRPr="001E1558">
              <w:t>Bidder</w:t>
            </w:r>
            <w:r>
              <w:t xml:space="preserve"> </w:t>
            </w:r>
            <w:r w:rsidR="006E3F05">
              <w:t xml:space="preserve"> C</w:t>
            </w:r>
          </w:p>
        </w:tc>
        <w:tc>
          <w:tcPr>
            <w:tcW w:w="970" w:type="dxa"/>
          </w:tcPr>
          <w:p w14:paraId="14A85C0B" w14:textId="77777777" w:rsidR="006E3F05" w:rsidRPr="00F34546" w:rsidRDefault="006E3F05" w:rsidP="00627302">
            <w:r w:rsidRPr="00F34546">
              <w:t>70</w:t>
            </w:r>
          </w:p>
        </w:tc>
        <w:tc>
          <w:tcPr>
            <w:tcW w:w="1701" w:type="dxa"/>
          </w:tcPr>
          <w:p w14:paraId="19DFBB82" w14:textId="77777777" w:rsidR="006E3F05" w:rsidRPr="00F34546" w:rsidRDefault="006E3F05" w:rsidP="00627302">
            <w:r w:rsidRPr="00F34546">
              <w:t>1,230,000</w:t>
            </w:r>
          </w:p>
        </w:tc>
        <w:tc>
          <w:tcPr>
            <w:tcW w:w="3544" w:type="dxa"/>
          </w:tcPr>
          <w:p w14:paraId="372935D4" w14:textId="0AB7B9EA" w:rsidR="006E3F05" w:rsidRDefault="006E3F05" w:rsidP="00627302">
            <w:r>
              <w:t>(1,230,000 / 70) = £17,571.428</w:t>
            </w:r>
            <w:r w:rsidR="00615AAB">
              <w:t>6</w:t>
            </w:r>
          </w:p>
        </w:tc>
        <w:tc>
          <w:tcPr>
            <w:tcW w:w="950" w:type="dxa"/>
          </w:tcPr>
          <w:p w14:paraId="4302EA6B" w14:textId="77777777" w:rsidR="006E3F05" w:rsidRDefault="006E3F05" w:rsidP="00627302">
            <w:r>
              <w:t>4</w:t>
            </w:r>
            <w:r w:rsidRPr="002E659D">
              <w:rPr>
                <w:vertAlign w:val="superscript"/>
              </w:rPr>
              <w:t>th</w:t>
            </w:r>
            <w:r>
              <w:t xml:space="preserve"> </w:t>
            </w:r>
          </w:p>
        </w:tc>
      </w:tr>
      <w:tr w:rsidR="006E3F05" w14:paraId="14635D88" w14:textId="77777777" w:rsidTr="00627302">
        <w:tc>
          <w:tcPr>
            <w:tcW w:w="1611" w:type="dxa"/>
          </w:tcPr>
          <w:p w14:paraId="1A885169" w14:textId="513BF417" w:rsidR="006E3F05" w:rsidRDefault="001E1558" w:rsidP="001E1558">
            <w:r>
              <w:t>Bidder</w:t>
            </w:r>
            <w:r w:rsidR="006E3F05">
              <w:t xml:space="preserve"> D</w:t>
            </w:r>
          </w:p>
        </w:tc>
        <w:tc>
          <w:tcPr>
            <w:tcW w:w="970" w:type="dxa"/>
          </w:tcPr>
          <w:p w14:paraId="7AA7DF77" w14:textId="77777777" w:rsidR="006E3F05" w:rsidRPr="00F34546" w:rsidRDefault="006E3F05" w:rsidP="00627302">
            <w:r w:rsidRPr="00F34546">
              <w:t>74</w:t>
            </w:r>
          </w:p>
        </w:tc>
        <w:tc>
          <w:tcPr>
            <w:tcW w:w="1701" w:type="dxa"/>
          </w:tcPr>
          <w:p w14:paraId="1534CC86" w14:textId="77777777" w:rsidR="006E3F05" w:rsidRPr="00F34546" w:rsidRDefault="006E3F05" w:rsidP="00627302">
            <w:r w:rsidRPr="00F34546">
              <w:t>1,250,000</w:t>
            </w:r>
          </w:p>
        </w:tc>
        <w:tc>
          <w:tcPr>
            <w:tcW w:w="3544" w:type="dxa"/>
          </w:tcPr>
          <w:p w14:paraId="2596E090" w14:textId="456408B2" w:rsidR="006E3F05" w:rsidRDefault="006E3F05" w:rsidP="00627302">
            <w:r>
              <w:t>(1,250,000 / 74) = £16,891.891</w:t>
            </w:r>
            <w:r w:rsidR="00615AAB">
              <w:t>9</w:t>
            </w:r>
          </w:p>
        </w:tc>
        <w:tc>
          <w:tcPr>
            <w:tcW w:w="950" w:type="dxa"/>
          </w:tcPr>
          <w:p w14:paraId="2831AA6A" w14:textId="77777777" w:rsidR="006E3F05" w:rsidRDefault="006E3F05" w:rsidP="00627302">
            <w:r>
              <w:t>3</w:t>
            </w:r>
            <w:r w:rsidRPr="002E659D">
              <w:rPr>
                <w:vertAlign w:val="superscript"/>
              </w:rPr>
              <w:t>rd</w:t>
            </w:r>
            <w:r>
              <w:t xml:space="preserve"> </w:t>
            </w:r>
          </w:p>
        </w:tc>
      </w:tr>
      <w:tr w:rsidR="006E3F05" w14:paraId="7AEEEB48" w14:textId="77777777" w:rsidTr="00627302">
        <w:tc>
          <w:tcPr>
            <w:tcW w:w="1611" w:type="dxa"/>
          </w:tcPr>
          <w:p w14:paraId="4307E6A6" w14:textId="3ED5170D" w:rsidR="006E3F05" w:rsidRDefault="001E1558" w:rsidP="00627302">
            <w:r>
              <w:t>Bidde</w:t>
            </w:r>
            <w:r w:rsidR="004D0E00">
              <w:t>r</w:t>
            </w:r>
            <w:r w:rsidR="006E3F05">
              <w:t xml:space="preserve"> E</w:t>
            </w:r>
          </w:p>
        </w:tc>
        <w:tc>
          <w:tcPr>
            <w:tcW w:w="970" w:type="dxa"/>
          </w:tcPr>
          <w:p w14:paraId="212849A5" w14:textId="77777777" w:rsidR="006E3F05" w:rsidRPr="00F34546" w:rsidRDefault="006E3F05" w:rsidP="00627302">
            <w:r w:rsidRPr="00F34546">
              <w:t>65</w:t>
            </w:r>
          </w:p>
        </w:tc>
        <w:tc>
          <w:tcPr>
            <w:tcW w:w="1701" w:type="dxa"/>
          </w:tcPr>
          <w:p w14:paraId="219E0287" w14:textId="77777777" w:rsidR="006E3F05" w:rsidRPr="00F34546" w:rsidRDefault="006E3F05" w:rsidP="00627302">
            <w:r w:rsidRPr="00F34546">
              <w:t>1,000,000</w:t>
            </w:r>
          </w:p>
        </w:tc>
        <w:tc>
          <w:tcPr>
            <w:tcW w:w="3544" w:type="dxa"/>
          </w:tcPr>
          <w:p w14:paraId="45D3C8BD" w14:textId="0FE2113C" w:rsidR="006E3F05" w:rsidRDefault="006E3F05" w:rsidP="00627302">
            <w:r>
              <w:t>(1,000,000 / 65) = £15,384.615</w:t>
            </w:r>
            <w:r w:rsidR="00615AAB">
              <w:t>4</w:t>
            </w:r>
          </w:p>
        </w:tc>
        <w:tc>
          <w:tcPr>
            <w:tcW w:w="950" w:type="dxa"/>
          </w:tcPr>
          <w:p w14:paraId="68C8D060" w14:textId="77777777" w:rsidR="006E3F05" w:rsidRDefault="006E3F05" w:rsidP="00627302">
            <w:r>
              <w:t xml:space="preserve">1st </w:t>
            </w:r>
          </w:p>
        </w:tc>
      </w:tr>
      <w:bookmarkEnd w:id="57"/>
    </w:tbl>
    <w:p w14:paraId="3AC52563" w14:textId="77777777" w:rsidR="006E3F05" w:rsidRDefault="006E3F05" w:rsidP="006E3F05">
      <w:pPr>
        <w:pStyle w:val="Level5"/>
        <w:numPr>
          <w:ilvl w:val="0"/>
          <w:numId w:val="0"/>
        </w:numPr>
        <w:ind w:left="3404" w:hanging="851"/>
      </w:pPr>
    </w:p>
    <w:p w14:paraId="38382719" w14:textId="77777777" w:rsidR="006E3F05" w:rsidRDefault="006E3F05" w:rsidP="006E3F05">
      <w:pPr>
        <w:pStyle w:val="Level2"/>
      </w:pPr>
      <w:r w:rsidRPr="00D86FB4">
        <w:t xml:space="preserve">Lowest </w:t>
      </w:r>
      <w:r>
        <w:t>P</w:t>
      </w:r>
      <w:r w:rsidRPr="00D86FB4">
        <w:t xml:space="preserve">rice </w:t>
      </w:r>
      <w:r>
        <w:t>C</w:t>
      </w:r>
      <w:r w:rsidRPr="00D86FB4">
        <w:t>onforming</w:t>
      </w:r>
    </w:p>
    <w:p w14:paraId="5D40C5A5" w14:textId="135B41C5" w:rsidR="006E3F05" w:rsidRDefault="006E3F05" w:rsidP="006E3F05">
      <w:pPr>
        <w:pStyle w:val="Level3"/>
      </w:pPr>
      <w:r>
        <w:lastRenderedPageBreak/>
        <w:t>T</w:t>
      </w:r>
      <w:r w:rsidRPr="00FC2B98">
        <w:t xml:space="preserve">he Evaluation Price </w:t>
      </w:r>
      <w:r>
        <w:t xml:space="preserve">shall </w:t>
      </w:r>
      <w:r w:rsidRPr="00FC2B98">
        <w:t>be calculated in accordance with this Invitation to Tender</w:t>
      </w:r>
      <w:r>
        <w:t>.</w:t>
      </w:r>
      <w:r w:rsidRPr="00FC2B98">
        <w:t xml:space="preserve"> The Tender with the lowest </w:t>
      </w:r>
      <w:r>
        <w:t>Evaluation Price</w:t>
      </w:r>
      <w:r w:rsidRPr="00FC2B98">
        <w:t xml:space="preserve"> represents the most economically advantageous tender and </w:t>
      </w:r>
      <w:r w:rsidR="007122BD">
        <w:t>will be ranked first in that Call-Off Competition</w:t>
      </w:r>
      <w:r w:rsidRPr="00FC2B98">
        <w:t>.</w:t>
      </w:r>
    </w:p>
    <w:p w14:paraId="18EB236F" w14:textId="58512E67" w:rsidR="006E3F05" w:rsidRPr="00E81977" w:rsidRDefault="006E3F05" w:rsidP="006E3F05">
      <w:pPr>
        <w:pStyle w:val="Level3"/>
      </w:pPr>
      <w:r w:rsidRPr="00D86FB4">
        <w:t xml:space="preserve">In the instance that </w:t>
      </w:r>
      <w:r>
        <w:t xml:space="preserve">two (2) </w:t>
      </w:r>
      <w:r w:rsidR="004D0E00">
        <w:t>Provider</w:t>
      </w:r>
      <w:r>
        <w:t xml:space="preserve">s within the same </w:t>
      </w:r>
      <w:r w:rsidR="007122BD">
        <w:t>Call-Off Competition</w:t>
      </w:r>
      <w:r>
        <w:t xml:space="preserve"> achieve the same lowest Evaluation Price, the Customer will </w:t>
      </w:r>
      <w:r w:rsidRPr="00D86FB4">
        <w:rPr>
          <w:highlight w:val="yellow"/>
        </w:rPr>
        <w:t>[</w:t>
      </w:r>
      <w:proofErr w:type="spellStart"/>
      <w:r w:rsidRPr="00D86FB4">
        <w:rPr>
          <w:b/>
          <w:highlight w:val="yellow"/>
        </w:rPr>
        <w:t>DN</w:t>
      </w:r>
      <w:proofErr w:type="spellEnd"/>
      <w:r w:rsidRPr="00D86FB4">
        <w:rPr>
          <w:b/>
          <w:highlight w:val="yellow"/>
        </w:rPr>
        <w:t>:</w:t>
      </w:r>
      <w:r w:rsidRPr="00D86FB4">
        <w:rPr>
          <w:highlight w:val="yellow"/>
        </w:rPr>
        <w:t xml:space="preserve"> insert</w:t>
      </w:r>
      <w:r w:rsidRPr="00C5506E">
        <w:rPr>
          <w:highlight w:val="yellow"/>
        </w:rPr>
        <w:t xml:space="preserve"> tiebreak criteria, for example awarding to higher quality score]</w:t>
      </w:r>
      <w:r>
        <w:t>.</w:t>
      </w:r>
    </w:p>
    <w:p w14:paraId="0FBB20A9" w14:textId="730E58EB" w:rsidR="006E3F05" w:rsidRDefault="006E3F05" w:rsidP="006E3F05">
      <w:pPr>
        <w:pStyle w:val="Level3"/>
      </w:pPr>
      <w:r w:rsidRPr="00396C89">
        <w:t>The following illustration pro</w:t>
      </w:r>
      <w:r w:rsidR="00AC10A6">
        <w:t>vides an example where five Tenders</w:t>
      </w:r>
      <w:r w:rsidRPr="00396C89">
        <w:t xml:space="preserve"> have been evaluated and given an indicative ranking, using </w:t>
      </w:r>
      <w:r>
        <w:t>Lowest Price Conforming</w:t>
      </w:r>
      <w:r w:rsidRPr="00396C89">
        <w:t>. Please note, the figures within the table are provided for illustrative purposes only</w:t>
      </w:r>
      <w:r>
        <w:t>:</w:t>
      </w:r>
    </w:p>
    <w:tbl>
      <w:tblPr>
        <w:tblStyle w:val="TableGrid"/>
        <w:tblW w:w="8788" w:type="dxa"/>
        <w:tblInd w:w="846" w:type="dxa"/>
        <w:tblLook w:val="04A0" w:firstRow="1" w:lastRow="0" w:firstColumn="1" w:lastColumn="0" w:noHBand="0" w:noVBand="1"/>
      </w:tblPr>
      <w:tblGrid>
        <w:gridCol w:w="2126"/>
        <w:gridCol w:w="2126"/>
        <w:gridCol w:w="2552"/>
        <w:gridCol w:w="1984"/>
      </w:tblGrid>
      <w:tr w:rsidR="006E3F05" w14:paraId="7D217CDD" w14:textId="77777777" w:rsidTr="00627302">
        <w:tc>
          <w:tcPr>
            <w:tcW w:w="2126" w:type="dxa"/>
          </w:tcPr>
          <w:p w14:paraId="18E0A3E0" w14:textId="74C00DD9" w:rsidR="006E3F05" w:rsidRPr="00C17144" w:rsidRDefault="004D0E00" w:rsidP="00627302">
            <w:pPr>
              <w:rPr>
                <w:b/>
              </w:rPr>
            </w:pPr>
            <w:r>
              <w:rPr>
                <w:b/>
              </w:rPr>
              <w:t>Provider</w:t>
            </w:r>
          </w:p>
        </w:tc>
        <w:tc>
          <w:tcPr>
            <w:tcW w:w="2126" w:type="dxa"/>
          </w:tcPr>
          <w:p w14:paraId="7CFB8FDA" w14:textId="77777777" w:rsidR="006E3F05" w:rsidRDefault="006E3F05" w:rsidP="00627302">
            <w:r>
              <w:t>Quality Score</w:t>
            </w:r>
          </w:p>
        </w:tc>
        <w:tc>
          <w:tcPr>
            <w:tcW w:w="2552" w:type="dxa"/>
          </w:tcPr>
          <w:p w14:paraId="59CAA956" w14:textId="565DD0B2" w:rsidR="006E3F05" w:rsidRDefault="00EB6B2E" w:rsidP="00627302">
            <w:r>
              <w:t xml:space="preserve">Evaluation </w:t>
            </w:r>
            <w:r w:rsidR="006E3F05">
              <w:t>Price</w:t>
            </w:r>
          </w:p>
        </w:tc>
        <w:tc>
          <w:tcPr>
            <w:tcW w:w="1984" w:type="dxa"/>
          </w:tcPr>
          <w:p w14:paraId="4ECF2DEB" w14:textId="77777777" w:rsidR="006E3F05" w:rsidRDefault="006E3F05" w:rsidP="00627302">
            <w:r>
              <w:t>Ranking</w:t>
            </w:r>
          </w:p>
        </w:tc>
      </w:tr>
      <w:tr w:rsidR="006E3F05" w14:paraId="14C254E8" w14:textId="77777777" w:rsidTr="00627302">
        <w:tc>
          <w:tcPr>
            <w:tcW w:w="2126" w:type="dxa"/>
          </w:tcPr>
          <w:p w14:paraId="08C02B17" w14:textId="4A95A762" w:rsidR="006E3F05" w:rsidRDefault="00EB6B2E" w:rsidP="00627302">
            <w:r>
              <w:t xml:space="preserve">Bidder </w:t>
            </w:r>
            <w:r w:rsidR="006E3F05">
              <w:t>A</w:t>
            </w:r>
          </w:p>
        </w:tc>
        <w:tc>
          <w:tcPr>
            <w:tcW w:w="2126" w:type="dxa"/>
          </w:tcPr>
          <w:p w14:paraId="4F41CE1F" w14:textId="77777777" w:rsidR="006E3F05" w:rsidRPr="00F34546" w:rsidRDefault="006E3F05" w:rsidP="00627302">
            <w:r w:rsidRPr="00F34546">
              <w:t>60</w:t>
            </w:r>
          </w:p>
        </w:tc>
        <w:tc>
          <w:tcPr>
            <w:tcW w:w="2552" w:type="dxa"/>
          </w:tcPr>
          <w:p w14:paraId="2A8D6104" w14:textId="77777777" w:rsidR="006E3F05" w:rsidRPr="00F34546" w:rsidRDefault="006E3F05" w:rsidP="00627302">
            <w:r>
              <w:t>1,01</w:t>
            </w:r>
            <w:r w:rsidRPr="00F34546">
              <w:t>0,000</w:t>
            </w:r>
          </w:p>
        </w:tc>
        <w:tc>
          <w:tcPr>
            <w:tcW w:w="1984" w:type="dxa"/>
          </w:tcPr>
          <w:p w14:paraId="0CCFA38F" w14:textId="77777777" w:rsidR="006E3F05" w:rsidRDefault="006E3F05" w:rsidP="00627302">
            <w:r>
              <w:t>2</w:t>
            </w:r>
            <w:r w:rsidRPr="002E659D">
              <w:rPr>
                <w:vertAlign w:val="superscript"/>
              </w:rPr>
              <w:t>nd</w:t>
            </w:r>
            <w:r>
              <w:t xml:space="preserve"> </w:t>
            </w:r>
          </w:p>
        </w:tc>
      </w:tr>
      <w:tr w:rsidR="006E3F05" w14:paraId="2717490A" w14:textId="77777777" w:rsidTr="00627302">
        <w:tc>
          <w:tcPr>
            <w:tcW w:w="2126" w:type="dxa"/>
          </w:tcPr>
          <w:p w14:paraId="7E400558" w14:textId="2E2E9103" w:rsidR="006E3F05" w:rsidRDefault="00EB6B2E" w:rsidP="00627302">
            <w:r>
              <w:t xml:space="preserve">Bidder </w:t>
            </w:r>
            <w:r w:rsidR="006E3F05">
              <w:t>B</w:t>
            </w:r>
          </w:p>
        </w:tc>
        <w:tc>
          <w:tcPr>
            <w:tcW w:w="2126" w:type="dxa"/>
          </w:tcPr>
          <w:p w14:paraId="791A0297" w14:textId="77777777" w:rsidR="006E3F05" w:rsidRPr="00F34546" w:rsidRDefault="006E3F05" w:rsidP="00627302">
            <w:r w:rsidRPr="00F34546">
              <w:t>62</w:t>
            </w:r>
          </w:p>
        </w:tc>
        <w:tc>
          <w:tcPr>
            <w:tcW w:w="2552" w:type="dxa"/>
          </w:tcPr>
          <w:p w14:paraId="75E26459" w14:textId="77777777" w:rsidR="006E3F05" w:rsidRPr="00F34546" w:rsidRDefault="006E3F05" w:rsidP="00627302">
            <w:r w:rsidRPr="00F34546">
              <w:t>1,200,000</w:t>
            </w:r>
          </w:p>
        </w:tc>
        <w:tc>
          <w:tcPr>
            <w:tcW w:w="1984" w:type="dxa"/>
          </w:tcPr>
          <w:p w14:paraId="0930902A" w14:textId="3C13A985" w:rsidR="006E3F05" w:rsidRDefault="00615AAB" w:rsidP="00615AAB">
            <w:r>
              <w:t>3</w:t>
            </w:r>
            <w:r w:rsidRPr="002E659D">
              <w:rPr>
                <w:vertAlign w:val="superscript"/>
              </w:rPr>
              <w:t>rd</w:t>
            </w:r>
            <w:r w:rsidR="006E3F05">
              <w:t xml:space="preserve"> </w:t>
            </w:r>
          </w:p>
        </w:tc>
      </w:tr>
      <w:tr w:rsidR="006E3F05" w14:paraId="6D2E0C29" w14:textId="77777777" w:rsidTr="00627302">
        <w:tc>
          <w:tcPr>
            <w:tcW w:w="2126" w:type="dxa"/>
          </w:tcPr>
          <w:p w14:paraId="4359DDCC" w14:textId="3646C68C" w:rsidR="006E3F05" w:rsidRDefault="00EB6B2E" w:rsidP="00627302">
            <w:r>
              <w:t xml:space="preserve">Bidder </w:t>
            </w:r>
            <w:r w:rsidR="006E3F05">
              <w:t>C</w:t>
            </w:r>
          </w:p>
        </w:tc>
        <w:tc>
          <w:tcPr>
            <w:tcW w:w="2126" w:type="dxa"/>
          </w:tcPr>
          <w:p w14:paraId="699EBACA" w14:textId="77777777" w:rsidR="006E3F05" w:rsidRPr="00F34546" w:rsidRDefault="006E3F05" w:rsidP="00627302">
            <w:r w:rsidRPr="00F34546">
              <w:t>70</w:t>
            </w:r>
          </w:p>
        </w:tc>
        <w:tc>
          <w:tcPr>
            <w:tcW w:w="2552" w:type="dxa"/>
          </w:tcPr>
          <w:p w14:paraId="0970D5DE" w14:textId="77777777" w:rsidR="006E3F05" w:rsidRPr="00F34546" w:rsidRDefault="006E3F05" w:rsidP="00627302">
            <w:r w:rsidRPr="00F34546">
              <w:t>1,230,000</w:t>
            </w:r>
          </w:p>
        </w:tc>
        <w:tc>
          <w:tcPr>
            <w:tcW w:w="1984" w:type="dxa"/>
          </w:tcPr>
          <w:p w14:paraId="48C94A23" w14:textId="77777777" w:rsidR="006E3F05" w:rsidRDefault="006E3F05" w:rsidP="00627302">
            <w:r>
              <w:t>4</w:t>
            </w:r>
            <w:r w:rsidRPr="002E659D">
              <w:rPr>
                <w:vertAlign w:val="superscript"/>
              </w:rPr>
              <w:t>th</w:t>
            </w:r>
            <w:r>
              <w:t xml:space="preserve"> </w:t>
            </w:r>
          </w:p>
        </w:tc>
      </w:tr>
      <w:tr w:rsidR="006E3F05" w14:paraId="089CEDB0" w14:textId="77777777" w:rsidTr="00627302">
        <w:tc>
          <w:tcPr>
            <w:tcW w:w="2126" w:type="dxa"/>
          </w:tcPr>
          <w:p w14:paraId="1A956CDE" w14:textId="0FF1A982" w:rsidR="006E3F05" w:rsidRDefault="00EB6B2E" w:rsidP="00627302">
            <w:r>
              <w:t xml:space="preserve">Bidder </w:t>
            </w:r>
            <w:r w:rsidR="006E3F05">
              <w:t>D</w:t>
            </w:r>
          </w:p>
        </w:tc>
        <w:tc>
          <w:tcPr>
            <w:tcW w:w="2126" w:type="dxa"/>
          </w:tcPr>
          <w:p w14:paraId="717E50BE" w14:textId="77777777" w:rsidR="006E3F05" w:rsidRPr="00F34546" w:rsidRDefault="006E3F05" w:rsidP="00627302">
            <w:r w:rsidRPr="00F34546">
              <w:t>74</w:t>
            </w:r>
          </w:p>
        </w:tc>
        <w:tc>
          <w:tcPr>
            <w:tcW w:w="2552" w:type="dxa"/>
          </w:tcPr>
          <w:p w14:paraId="15EC8FE6" w14:textId="77777777" w:rsidR="006E3F05" w:rsidRPr="00F34546" w:rsidRDefault="006E3F05" w:rsidP="00627302">
            <w:r w:rsidRPr="00F34546">
              <w:t>1,250,000</w:t>
            </w:r>
          </w:p>
        </w:tc>
        <w:tc>
          <w:tcPr>
            <w:tcW w:w="1984" w:type="dxa"/>
          </w:tcPr>
          <w:p w14:paraId="2F591C3C" w14:textId="41E4DD17" w:rsidR="006E3F05" w:rsidRDefault="00615AAB" w:rsidP="00627302">
            <w:r>
              <w:t>5</w:t>
            </w:r>
            <w:r w:rsidRPr="002E659D">
              <w:rPr>
                <w:vertAlign w:val="superscript"/>
              </w:rPr>
              <w:t>th</w:t>
            </w:r>
          </w:p>
        </w:tc>
      </w:tr>
      <w:tr w:rsidR="006E3F05" w14:paraId="24237352" w14:textId="77777777" w:rsidTr="00627302">
        <w:tc>
          <w:tcPr>
            <w:tcW w:w="2126" w:type="dxa"/>
          </w:tcPr>
          <w:p w14:paraId="07571BC8" w14:textId="45512DFB" w:rsidR="006E3F05" w:rsidRDefault="00EB6B2E" w:rsidP="00627302">
            <w:r>
              <w:t xml:space="preserve">Bidder </w:t>
            </w:r>
            <w:r w:rsidR="006E3F05">
              <w:t>E</w:t>
            </w:r>
          </w:p>
        </w:tc>
        <w:tc>
          <w:tcPr>
            <w:tcW w:w="2126" w:type="dxa"/>
          </w:tcPr>
          <w:p w14:paraId="33D18CE4" w14:textId="77777777" w:rsidR="006E3F05" w:rsidRPr="00F34546" w:rsidRDefault="006E3F05" w:rsidP="00627302">
            <w:r w:rsidRPr="00F34546">
              <w:t>65</w:t>
            </w:r>
          </w:p>
        </w:tc>
        <w:tc>
          <w:tcPr>
            <w:tcW w:w="2552" w:type="dxa"/>
          </w:tcPr>
          <w:p w14:paraId="0916DA60" w14:textId="77777777" w:rsidR="006E3F05" w:rsidRPr="00F34546" w:rsidRDefault="006E3F05" w:rsidP="00627302">
            <w:r w:rsidRPr="00F34546">
              <w:t>1,000,000</w:t>
            </w:r>
          </w:p>
        </w:tc>
        <w:tc>
          <w:tcPr>
            <w:tcW w:w="1984" w:type="dxa"/>
          </w:tcPr>
          <w:p w14:paraId="4CC45CA8" w14:textId="77777777" w:rsidR="006E3F05" w:rsidRDefault="006E3F05" w:rsidP="00627302">
            <w:r>
              <w:t xml:space="preserve">1st </w:t>
            </w:r>
          </w:p>
        </w:tc>
      </w:tr>
    </w:tbl>
    <w:p w14:paraId="7F0BE5E7" w14:textId="77777777" w:rsidR="006E3F05" w:rsidRDefault="006E3F05" w:rsidP="006E3F05">
      <w:pPr>
        <w:pStyle w:val="Level5"/>
        <w:numPr>
          <w:ilvl w:val="0"/>
          <w:numId w:val="0"/>
        </w:numPr>
        <w:ind w:left="2552"/>
      </w:pPr>
    </w:p>
    <w:p w14:paraId="067FDC50" w14:textId="77777777" w:rsidR="006E3F05" w:rsidRPr="00D86FB4" w:rsidRDefault="006E3F05" w:rsidP="006E3F05">
      <w:pPr>
        <w:pStyle w:val="Level2"/>
      </w:pPr>
      <w:r w:rsidRPr="00D86FB4">
        <w:t xml:space="preserve">Highest </w:t>
      </w:r>
      <w:r>
        <w:t>Q</w:t>
      </w:r>
      <w:r w:rsidRPr="00D86FB4">
        <w:t xml:space="preserve">uality </w:t>
      </w:r>
      <w:r>
        <w:t>C</w:t>
      </w:r>
      <w:r w:rsidRPr="00D86FB4">
        <w:t>onforming</w:t>
      </w:r>
    </w:p>
    <w:p w14:paraId="7233933F" w14:textId="421210D6" w:rsidR="006E3F05" w:rsidRDefault="006E3F05" w:rsidP="00EB6B2E">
      <w:pPr>
        <w:pStyle w:val="Level3"/>
      </w:pPr>
      <w:r>
        <w:t>T</w:t>
      </w:r>
      <w:r w:rsidRPr="00FC2B98">
        <w:t xml:space="preserve">he </w:t>
      </w:r>
      <w:r>
        <w:t>Quality Score</w:t>
      </w:r>
      <w:r w:rsidRPr="00FC2B98">
        <w:t xml:space="preserve"> </w:t>
      </w:r>
      <w:r>
        <w:t xml:space="preserve">shall </w:t>
      </w:r>
      <w:r w:rsidRPr="00FC2B98">
        <w:t>be calculated in accordance with this Invitation to Tender</w:t>
      </w:r>
      <w:r>
        <w:t>.</w:t>
      </w:r>
      <w:r w:rsidRPr="00FC2B98">
        <w:t xml:space="preserve"> The Tender with the </w:t>
      </w:r>
      <w:r>
        <w:t xml:space="preserve">highest Quality Score </w:t>
      </w:r>
      <w:r w:rsidRPr="00FC2B98">
        <w:t xml:space="preserve">represents the most economically advantageous tender and will be ranked first in that </w:t>
      </w:r>
      <w:r w:rsidR="00AC10A6">
        <w:t>Call-Off Competition</w:t>
      </w:r>
      <w:r>
        <w:t xml:space="preserve">.  </w:t>
      </w:r>
      <w:r w:rsidRPr="00D86FB4">
        <w:rPr>
          <w:highlight w:val="yellow"/>
        </w:rPr>
        <w:t>[</w:t>
      </w:r>
      <w:proofErr w:type="spellStart"/>
      <w:r w:rsidRPr="00D86FB4">
        <w:rPr>
          <w:b/>
          <w:highlight w:val="yellow"/>
        </w:rPr>
        <w:t>DN</w:t>
      </w:r>
      <w:proofErr w:type="spellEnd"/>
      <w:r w:rsidRPr="00D86FB4">
        <w:rPr>
          <w:b/>
          <w:highlight w:val="yellow"/>
        </w:rPr>
        <w:t>:</w:t>
      </w:r>
      <w:r w:rsidRPr="00D86FB4">
        <w:rPr>
          <w:highlight w:val="yellow"/>
        </w:rPr>
        <w:t xml:space="preserve"> this option shall only be used in conjunction with the fixed price payment mechanism where the fixed price is set by the customer]</w:t>
      </w:r>
      <w:r w:rsidRPr="00E81977">
        <w:t xml:space="preserve">. </w:t>
      </w:r>
    </w:p>
    <w:p w14:paraId="3FA4BBD7" w14:textId="7553DF5A" w:rsidR="006E3F05" w:rsidRDefault="006E3F05" w:rsidP="00283381">
      <w:pPr>
        <w:pStyle w:val="Level3"/>
      </w:pPr>
      <w:r w:rsidRPr="00080F56">
        <w:t xml:space="preserve">In the instance that </w:t>
      </w:r>
      <w:r>
        <w:t xml:space="preserve">two (2) </w:t>
      </w:r>
      <w:r w:rsidR="004D0E00">
        <w:t>Provider</w:t>
      </w:r>
      <w:r>
        <w:t>s within the same</w:t>
      </w:r>
      <w:r w:rsidR="00AC10A6" w:rsidRPr="00AC10A6">
        <w:t xml:space="preserve"> </w:t>
      </w:r>
      <w:r w:rsidR="00AC10A6">
        <w:t xml:space="preserve">Call-Off Competition </w:t>
      </w:r>
      <w:r>
        <w:t xml:space="preserve">achieve the same highest Quality Score, the Customer will </w:t>
      </w:r>
      <w:r w:rsidRPr="00C5506E">
        <w:rPr>
          <w:highlight w:val="yellow"/>
        </w:rPr>
        <w:t>[</w:t>
      </w:r>
      <w:proofErr w:type="spellStart"/>
      <w:r w:rsidRPr="00C5506E">
        <w:rPr>
          <w:b/>
          <w:highlight w:val="yellow"/>
        </w:rPr>
        <w:t>DN</w:t>
      </w:r>
      <w:proofErr w:type="spellEnd"/>
      <w:r w:rsidRPr="00C5506E">
        <w:rPr>
          <w:b/>
          <w:highlight w:val="yellow"/>
        </w:rPr>
        <w:t>:</w:t>
      </w:r>
      <w:r w:rsidRPr="00D86FB4">
        <w:rPr>
          <w:highlight w:val="yellow"/>
        </w:rPr>
        <w:t xml:space="preserve"> </w:t>
      </w:r>
      <w:r w:rsidRPr="00C5506E">
        <w:rPr>
          <w:highlight w:val="yellow"/>
        </w:rPr>
        <w:t>insert tiebreak criteria, for example awarding to higher quality score for a particular question]</w:t>
      </w:r>
    </w:p>
    <w:p w14:paraId="2DC70CEF" w14:textId="2173ED2E" w:rsidR="006E3F05" w:rsidRPr="00E81977" w:rsidRDefault="006E3F05" w:rsidP="00283381">
      <w:pPr>
        <w:pStyle w:val="Level3"/>
      </w:pPr>
      <w:r w:rsidRPr="00E81977">
        <w:t xml:space="preserve">The following illustration provides an example where five </w:t>
      </w:r>
      <w:r w:rsidR="00AC10A6">
        <w:t>Tenders</w:t>
      </w:r>
      <w:r w:rsidRPr="00E81977">
        <w:t xml:space="preserve"> have been evaluated and given an indicative ranking, using </w:t>
      </w:r>
      <w:r w:rsidR="00985B1D">
        <w:t>highest quality conforming</w:t>
      </w:r>
      <w:r w:rsidRPr="00E81977">
        <w:t>. Please note, the figures within the table are provided for illustrative purposes only:</w:t>
      </w:r>
    </w:p>
    <w:tbl>
      <w:tblPr>
        <w:tblStyle w:val="TableGrid"/>
        <w:tblW w:w="8788" w:type="dxa"/>
        <w:tblInd w:w="846" w:type="dxa"/>
        <w:tblLook w:val="04A0" w:firstRow="1" w:lastRow="0" w:firstColumn="1" w:lastColumn="0" w:noHBand="0" w:noVBand="1"/>
      </w:tblPr>
      <w:tblGrid>
        <w:gridCol w:w="2551"/>
        <w:gridCol w:w="2977"/>
        <w:gridCol w:w="3260"/>
      </w:tblGrid>
      <w:tr w:rsidR="006E3F05" w14:paraId="7CF40D4E" w14:textId="77777777" w:rsidTr="00627302">
        <w:tc>
          <w:tcPr>
            <w:tcW w:w="2551" w:type="dxa"/>
          </w:tcPr>
          <w:p w14:paraId="484800E5" w14:textId="61565D01" w:rsidR="006E3F05" w:rsidRPr="00C17144" w:rsidRDefault="004D0E00" w:rsidP="00627302">
            <w:pPr>
              <w:rPr>
                <w:b/>
              </w:rPr>
            </w:pPr>
            <w:r>
              <w:rPr>
                <w:b/>
              </w:rPr>
              <w:t>Provider</w:t>
            </w:r>
          </w:p>
        </w:tc>
        <w:tc>
          <w:tcPr>
            <w:tcW w:w="2977" w:type="dxa"/>
          </w:tcPr>
          <w:p w14:paraId="0D572364" w14:textId="77777777" w:rsidR="006E3F05" w:rsidRDefault="006E3F05" w:rsidP="00627302">
            <w:r>
              <w:t>Quality Score</w:t>
            </w:r>
          </w:p>
        </w:tc>
        <w:tc>
          <w:tcPr>
            <w:tcW w:w="3260" w:type="dxa"/>
          </w:tcPr>
          <w:p w14:paraId="62F570C4" w14:textId="77777777" w:rsidR="006E3F05" w:rsidRDefault="006E3F05" w:rsidP="00627302">
            <w:r>
              <w:t>Ranking</w:t>
            </w:r>
          </w:p>
        </w:tc>
      </w:tr>
      <w:tr w:rsidR="006E3F05" w14:paraId="59BD000D" w14:textId="77777777" w:rsidTr="00627302">
        <w:tc>
          <w:tcPr>
            <w:tcW w:w="2551" w:type="dxa"/>
          </w:tcPr>
          <w:p w14:paraId="39AF5E13" w14:textId="1B05089A" w:rsidR="006E3F05" w:rsidRDefault="00EB6B2E" w:rsidP="00627302">
            <w:r>
              <w:t xml:space="preserve">Bidder </w:t>
            </w:r>
            <w:r w:rsidR="006E3F05">
              <w:t>A</w:t>
            </w:r>
          </w:p>
        </w:tc>
        <w:tc>
          <w:tcPr>
            <w:tcW w:w="2977" w:type="dxa"/>
          </w:tcPr>
          <w:p w14:paraId="17B8D8BF" w14:textId="77777777" w:rsidR="006E3F05" w:rsidRPr="00F34546" w:rsidRDefault="006E3F05" w:rsidP="00627302">
            <w:r w:rsidRPr="00F34546">
              <w:t>60</w:t>
            </w:r>
          </w:p>
        </w:tc>
        <w:tc>
          <w:tcPr>
            <w:tcW w:w="3260" w:type="dxa"/>
          </w:tcPr>
          <w:p w14:paraId="295FC2B2" w14:textId="77777777" w:rsidR="006E3F05" w:rsidRDefault="006E3F05" w:rsidP="00627302">
            <w:r>
              <w:t>5</w:t>
            </w:r>
            <w:r w:rsidRPr="002E659D">
              <w:rPr>
                <w:vertAlign w:val="superscript"/>
              </w:rPr>
              <w:t>th</w:t>
            </w:r>
            <w:r>
              <w:t xml:space="preserve"> </w:t>
            </w:r>
          </w:p>
        </w:tc>
      </w:tr>
      <w:tr w:rsidR="006E3F05" w14:paraId="2FB092CD" w14:textId="77777777" w:rsidTr="00627302">
        <w:tc>
          <w:tcPr>
            <w:tcW w:w="2551" w:type="dxa"/>
          </w:tcPr>
          <w:p w14:paraId="42B7E750" w14:textId="31051FEB" w:rsidR="006E3F05" w:rsidRDefault="00EB6B2E" w:rsidP="00627302">
            <w:r>
              <w:t xml:space="preserve">Bidder </w:t>
            </w:r>
            <w:r w:rsidR="006E3F05">
              <w:t>B</w:t>
            </w:r>
          </w:p>
        </w:tc>
        <w:tc>
          <w:tcPr>
            <w:tcW w:w="2977" w:type="dxa"/>
          </w:tcPr>
          <w:p w14:paraId="2431B3D1" w14:textId="77777777" w:rsidR="006E3F05" w:rsidRPr="00F34546" w:rsidRDefault="006E3F05" w:rsidP="00627302">
            <w:r w:rsidRPr="00F34546">
              <w:t>62</w:t>
            </w:r>
          </w:p>
        </w:tc>
        <w:tc>
          <w:tcPr>
            <w:tcW w:w="3260" w:type="dxa"/>
          </w:tcPr>
          <w:p w14:paraId="21CC24E8" w14:textId="77777777" w:rsidR="006E3F05" w:rsidRDefault="006E3F05" w:rsidP="00627302">
            <w:r>
              <w:t>4</w:t>
            </w:r>
            <w:r w:rsidRPr="002E659D">
              <w:rPr>
                <w:vertAlign w:val="superscript"/>
              </w:rPr>
              <w:t>th</w:t>
            </w:r>
            <w:r>
              <w:t xml:space="preserve"> </w:t>
            </w:r>
          </w:p>
        </w:tc>
      </w:tr>
      <w:tr w:rsidR="006E3F05" w14:paraId="10008AC5" w14:textId="77777777" w:rsidTr="00627302">
        <w:tc>
          <w:tcPr>
            <w:tcW w:w="2551" w:type="dxa"/>
          </w:tcPr>
          <w:p w14:paraId="23FC96FE" w14:textId="02D9FA3A" w:rsidR="006E3F05" w:rsidRDefault="00EB6B2E" w:rsidP="00627302">
            <w:r>
              <w:t xml:space="preserve">Bidder </w:t>
            </w:r>
            <w:r w:rsidR="006E3F05">
              <w:t>C</w:t>
            </w:r>
          </w:p>
        </w:tc>
        <w:tc>
          <w:tcPr>
            <w:tcW w:w="2977" w:type="dxa"/>
          </w:tcPr>
          <w:p w14:paraId="2C3963EB" w14:textId="77777777" w:rsidR="006E3F05" w:rsidRPr="00F34546" w:rsidRDefault="006E3F05" w:rsidP="00627302">
            <w:r w:rsidRPr="00F34546">
              <w:t>70</w:t>
            </w:r>
          </w:p>
        </w:tc>
        <w:tc>
          <w:tcPr>
            <w:tcW w:w="3260" w:type="dxa"/>
          </w:tcPr>
          <w:p w14:paraId="30BAF973" w14:textId="77777777" w:rsidR="006E3F05" w:rsidRDefault="006E3F05" w:rsidP="00627302">
            <w:r>
              <w:t>2</w:t>
            </w:r>
            <w:r w:rsidRPr="002E659D">
              <w:rPr>
                <w:vertAlign w:val="superscript"/>
              </w:rPr>
              <w:t>nd</w:t>
            </w:r>
            <w:r>
              <w:t xml:space="preserve"> </w:t>
            </w:r>
          </w:p>
        </w:tc>
      </w:tr>
      <w:tr w:rsidR="006E3F05" w14:paraId="688F9A4C" w14:textId="77777777" w:rsidTr="00627302">
        <w:tc>
          <w:tcPr>
            <w:tcW w:w="2551" w:type="dxa"/>
          </w:tcPr>
          <w:p w14:paraId="7FD860CF" w14:textId="4DE9BC61" w:rsidR="006E3F05" w:rsidRDefault="00EB6B2E" w:rsidP="00627302">
            <w:r>
              <w:t xml:space="preserve">Bidder </w:t>
            </w:r>
            <w:r w:rsidR="006E3F05">
              <w:t>D</w:t>
            </w:r>
          </w:p>
        </w:tc>
        <w:tc>
          <w:tcPr>
            <w:tcW w:w="2977" w:type="dxa"/>
          </w:tcPr>
          <w:p w14:paraId="2B06DCB6" w14:textId="77777777" w:rsidR="006E3F05" w:rsidRPr="00F34546" w:rsidRDefault="006E3F05" w:rsidP="00627302">
            <w:r w:rsidRPr="00F34546">
              <w:t>74</w:t>
            </w:r>
          </w:p>
        </w:tc>
        <w:tc>
          <w:tcPr>
            <w:tcW w:w="3260" w:type="dxa"/>
          </w:tcPr>
          <w:p w14:paraId="414E012B" w14:textId="77777777" w:rsidR="006E3F05" w:rsidRDefault="006E3F05" w:rsidP="00627302">
            <w:r>
              <w:t>1</w:t>
            </w:r>
            <w:r w:rsidRPr="002E659D">
              <w:rPr>
                <w:vertAlign w:val="superscript"/>
              </w:rPr>
              <w:t>st</w:t>
            </w:r>
            <w:r>
              <w:t xml:space="preserve"> </w:t>
            </w:r>
          </w:p>
        </w:tc>
      </w:tr>
      <w:tr w:rsidR="006E3F05" w14:paraId="3F65504B" w14:textId="77777777" w:rsidTr="00627302">
        <w:tc>
          <w:tcPr>
            <w:tcW w:w="2551" w:type="dxa"/>
          </w:tcPr>
          <w:p w14:paraId="681F40FB" w14:textId="076108C8" w:rsidR="006E3F05" w:rsidRDefault="00EB6B2E" w:rsidP="00627302">
            <w:r>
              <w:t xml:space="preserve">Bidder </w:t>
            </w:r>
            <w:r w:rsidR="006E3F05">
              <w:t>E</w:t>
            </w:r>
          </w:p>
        </w:tc>
        <w:tc>
          <w:tcPr>
            <w:tcW w:w="2977" w:type="dxa"/>
          </w:tcPr>
          <w:p w14:paraId="120CC231" w14:textId="77777777" w:rsidR="006E3F05" w:rsidRPr="00F34546" w:rsidRDefault="006E3F05" w:rsidP="00627302">
            <w:r w:rsidRPr="00F34546">
              <w:t>65</w:t>
            </w:r>
          </w:p>
        </w:tc>
        <w:tc>
          <w:tcPr>
            <w:tcW w:w="3260" w:type="dxa"/>
          </w:tcPr>
          <w:p w14:paraId="0E827F96" w14:textId="77777777" w:rsidR="006E3F05" w:rsidRDefault="006E3F05" w:rsidP="00627302">
            <w:r>
              <w:t>3</w:t>
            </w:r>
            <w:r w:rsidRPr="002E659D">
              <w:rPr>
                <w:vertAlign w:val="superscript"/>
              </w:rPr>
              <w:t>rd</w:t>
            </w:r>
            <w:r>
              <w:t xml:space="preserve"> </w:t>
            </w:r>
          </w:p>
        </w:tc>
      </w:tr>
    </w:tbl>
    <w:p w14:paraId="2CC62CEE" w14:textId="77777777" w:rsidR="006E3F05" w:rsidRPr="00527AD7" w:rsidRDefault="006E3F05" w:rsidP="006E3F05">
      <w:pPr>
        <w:pStyle w:val="Level5"/>
        <w:numPr>
          <w:ilvl w:val="0"/>
          <w:numId w:val="0"/>
        </w:numPr>
        <w:ind w:left="2552"/>
      </w:pPr>
    </w:p>
    <w:p w14:paraId="5D5D481A" w14:textId="77777777" w:rsidR="00F03B54" w:rsidRDefault="00F03B54" w:rsidP="00283381">
      <w:pPr>
        <w:pStyle w:val="Level2"/>
      </w:pPr>
      <w:r>
        <w:t>Technical Evaluation:</w:t>
      </w:r>
    </w:p>
    <w:p w14:paraId="65563F7F" w14:textId="4AC29D4A" w:rsidR="00637706" w:rsidRDefault="00F03B54" w:rsidP="00F03B54">
      <w:pPr>
        <w:pStyle w:val="Level4"/>
      </w:pPr>
      <w:r>
        <w:t xml:space="preserve">The technical evaluation will be split into </w:t>
      </w:r>
      <w:r w:rsidRPr="00F03B54">
        <w:rPr>
          <w:highlight w:val="yellow"/>
        </w:rPr>
        <w:t>[X]</w:t>
      </w:r>
      <w:r>
        <w:t xml:space="preserve"> sections:</w:t>
      </w:r>
    </w:p>
    <w:p w14:paraId="271903D7" w14:textId="601807B9" w:rsidR="00F03B54" w:rsidRDefault="00F03B54" w:rsidP="00F03B54">
      <w:pPr>
        <w:pStyle w:val="Level5"/>
        <w:numPr>
          <w:ilvl w:val="0"/>
          <w:numId w:val="0"/>
        </w:numPr>
        <w:ind w:left="2553"/>
        <w:rPr>
          <w:highlight w:val="yellow"/>
        </w:rPr>
      </w:pPr>
      <w:r w:rsidRPr="00862460">
        <w:rPr>
          <w:highlight w:val="yellow"/>
        </w:rPr>
        <w:t xml:space="preserve">[Drafting Note: list and explain all elements of the technical evaluation, e.g. </w:t>
      </w:r>
      <w:r w:rsidR="0031630B">
        <w:rPr>
          <w:highlight w:val="yellow"/>
        </w:rPr>
        <w:t xml:space="preserve">forward looking </w:t>
      </w:r>
      <w:r w:rsidRPr="00862460">
        <w:rPr>
          <w:highlight w:val="yellow"/>
        </w:rPr>
        <w:t>scenarios, quality questions, demonstrations]</w:t>
      </w:r>
    </w:p>
    <w:p w14:paraId="357B9F9A" w14:textId="2716DEED" w:rsidR="0040741C" w:rsidRDefault="00F03B54" w:rsidP="0040741C">
      <w:pPr>
        <w:pStyle w:val="Level4"/>
      </w:pPr>
      <w:r w:rsidRPr="00F03B54">
        <w:rPr>
          <w:rStyle w:val="Level2asHeadingtext"/>
          <w:b w:val="0"/>
          <w:bCs w:val="0"/>
        </w:rPr>
        <w:t xml:space="preserve">The weightings of these sections will total 100% for ‘Quality’ as outlined in Annex 3 – Part A. </w:t>
      </w:r>
      <w:r w:rsidR="0040741C" w:rsidRPr="00C45E54">
        <w:t>[each question shall be scored separately based on either:</w:t>
      </w:r>
    </w:p>
    <w:p w14:paraId="62A6A2FF" w14:textId="77777777" w:rsidR="0040741C" w:rsidRDefault="0040741C" w:rsidP="0040741C">
      <w:pPr>
        <w:pStyle w:val="Level1"/>
        <w:numPr>
          <w:ilvl w:val="0"/>
          <w:numId w:val="34"/>
        </w:numPr>
        <w:ind w:left="3402" w:hanging="850"/>
      </w:pPr>
      <w:r w:rsidRPr="00C45E54">
        <w:t xml:space="preserve">a weighted score with a minimum quality threshold per question; </w:t>
      </w:r>
    </w:p>
    <w:p w14:paraId="2DC7F87D" w14:textId="77777777" w:rsidR="0040741C" w:rsidRDefault="0040741C" w:rsidP="0040741C">
      <w:pPr>
        <w:pStyle w:val="Level1"/>
        <w:numPr>
          <w:ilvl w:val="0"/>
          <w:numId w:val="34"/>
        </w:numPr>
        <w:ind w:left="3402" w:hanging="850"/>
      </w:pPr>
      <w:r w:rsidRPr="00C45E54">
        <w:t xml:space="preserve">a weighted score without a minimum quality threshold per question; or </w:t>
      </w:r>
    </w:p>
    <w:p w14:paraId="6B94A3CE" w14:textId="77777777" w:rsidR="0040741C" w:rsidRDefault="0040741C" w:rsidP="0040741C">
      <w:pPr>
        <w:pStyle w:val="Level1"/>
        <w:numPr>
          <w:ilvl w:val="0"/>
          <w:numId w:val="34"/>
        </w:numPr>
        <w:ind w:left="3402" w:hanging="850"/>
      </w:pPr>
      <w:r>
        <w:t>a pass/fail basis;</w:t>
      </w:r>
      <w:r w:rsidRPr="00C45E54">
        <w:t xml:space="preserve">  </w:t>
      </w:r>
    </w:p>
    <w:p w14:paraId="76653C11" w14:textId="021C5F99" w:rsidR="00F03B54" w:rsidRDefault="0040741C" w:rsidP="0040741C">
      <w:pPr>
        <w:pStyle w:val="Level4"/>
        <w:numPr>
          <w:ilvl w:val="0"/>
          <w:numId w:val="0"/>
        </w:numPr>
        <w:ind w:left="2552"/>
        <w:rPr>
          <w:rStyle w:val="Level2asHeadingtext"/>
          <w:b w:val="0"/>
          <w:bCs w:val="0"/>
          <w:highlight w:val="yellow"/>
        </w:rPr>
      </w:pPr>
      <w:r>
        <w:rPr>
          <w:rStyle w:val="Level2asHeadingtext"/>
          <w:b w:val="0"/>
          <w:bCs w:val="0"/>
          <w:highlight w:val="yellow"/>
        </w:rPr>
        <w:lastRenderedPageBreak/>
        <w:t xml:space="preserve">as outlined in Annex 3 – Part A. </w:t>
      </w:r>
    </w:p>
    <w:p w14:paraId="5F7CD77A" w14:textId="6CEE5386" w:rsidR="0040741C" w:rsidRDefault="0040741C" w:rsidP="0040741C">
      <w:pPr>
        <w:pStyle w:val="Level4"/>
        <w:numPr>
          <w:ilvl w:val="0"/>
          <w:numId w:val="0"/>
        </w:numPr>
        <w:rPr>
          <w:rStyle w:val="Level2asHeadingtext"/>
          <w:b w:val="0"/>
          <w:bCs w:val="0"/>
          <w:highlight w:val="yellow"/>
        </w:rPr>
      </w:pPr>
    </w:p>
    <w:p w14:paraId="0E07239C" w14:textId="0C10BE6F" w:rsidR="0040741C" w:rsidRDefault="0040741C" w:rsidP="0040741C">
      <w:pPr>
        <w:pStyle w:val="Level4"/>
        <w:rPr>
          <w:rStyle w:val="Level2asHeadingtext"/>
          <w:b w:val="0"/>
          <w:bCs w:val="0"/>
        </w:rPr>
      </w:pPr>
      <w:r w:rsidRPr="0040741C">
        <w:rPr>
          <w:rStyle w:val="Level2asHeadingtext"/>
          <w:b w:val="0"/>
          <w:bCs w:val="0"/>
        </w:rPr>
        <w:t xml:space="preserve">Individual question minimum quality thresholds have been outlined in Annex 3 – Part A. </w:t>
      </w:r>
    </w:p>
    <w:p w14:paraId="145CA7BA" w14:textId="269FEA1C" w:rsidR="0040741C" w:rsidRDefault="0031630B" w:rsidP="0040741C">
      <w:pPr>
        <w:pStyle w:val="Level4"/>
        <w:numPr>
          <w:ilvl w:val="0"/>
          <w:numId w:val="0"/>
        </w:numPr>
        <w:ind w:left="2553"/>
        <w:rPr>
          <w:rStyle w:val="Level2asHeadingtext"/>
          <w:b w:val="0"/>
          <w:bCs w:val="0"/>
          <w:highlight w:val="yellow"/>
        </w:rPr>
      </w:pPr>
      <w:r>
        <w:rPr>
          <w:rStyle w:val="Level2asHeadingtext"/>
          <w:b w:val="0"/>
          <w:bCs w:val="0"/>
          <w:highlight w:val="yellow"/>
        </w:rPr>
        <w:t>An overall minimum Quality T</w:t>
      </w:r>
      <w:r w:rsidR="0040741C" w:rsidRPr="0040741C">
        <w:rPr>
          <w:rStyle w:val="Level2asHeadingtext"/>
          <w:b w:val="0"/>
          <w:bCs w:val="0"/>
          <w:highlight w:val="yellow"/>
        </w:rPr>
        <w:t>h</w:t>
      </w:r>
      <w:r w:rsidR="0040741C">
        <w:rPr>
          <w:rStyle w:val="Level2asHeadingtext"/>
          <w:b w:val="0"/>
          <w:bCs w:val="0"/>
          <w:highlight w:val="yellow"/>
        </w:rPr>
        <w:t>reshold will also apply:</w:t>
      </w:r>
    </w:p>
    <w:p w14:paraId="08BEF2B1" w14:textId="269E168B" w:rsidR="0040741C" w:rsidRDefault="0040741C" w:rsidP="0040741C">
      <w:pPr>
        <w:pStyle w:val="Level4"/>
        <w:numPr>
          <w:ilvl w:val="0"/>
          <w:numId w:val="0"/>
        </w:numPr>
        <w:ind w:left="2553"/>
        <w:rPr>
          <w:rStyle w:val="Level2asHeadingtext"/>
          <w:b w:val="0"/>
          <w:bCs w:val="0"/>
          <w:highlight w:val="yellow"/>
        </w:rPr>
      </w:pPr>
      <w:r>
        <w:rPr>
          <w:rStyle w:val="Level2asHeadingtext"/>
          <w:b w:val="0"/>
          <w:bCs w:val="0"/>
          <w:highlight w:val="yellow"/>
        </w:rPr>
        <w:t xml:space="preserve">[40% at ITT and 60% and BAFO] </w:t>
      </w:r>
    </w:p>
    <w:p w14:paraId="79665D25" w14:textId="191F04EA" w:rsidR="0040741C" w:rsidRDefault="0040741C" w:rsidP="0040741C">
      <w:pPr>
        <w:pStyle w:val="Level4"/>
        <w:numPr>
          <w:ilvl w:val="0"/>
          <w:numId w:val="0"/>
        </w:numPr>
        <w:ind w:left="2553"/>
        <w:rPr>
          <w:rStyle w:val="Level2asHeadingtext"/>
          <w:b w:val="0"/>
          <w:bCs w:val="0"/>
        </w:rPr>
      </w:pPr>
      <w:r>
        <w:rPr>
          <w:rStyle w:val="Level2asHeadingtext"/>
          <w:b w:val="0"/>
          <w:bCs w:val="0"/>
          <w:highlight w:val="yellow"/>
        </w:rPr>
        <w:t>[60% at ITT</w:t>
      </w:r>
      <w:r>
        <w:rPr>
          <w:rStyle w:val="Level2asHeadingtext"/>
          <w:b w:val="0"/>
          <w:bCs w:val="0"/>
        </w:rPr>
        <w:t>]</w:t>
      </w:r>
    </w:p>
    <w:p w14:paraId="2E75E27F" w14:textId="65C0362F" w:rsidR="0040741C" w:rsidRDefault="0040741C" w:rsidP="0040741C">
      <w:pPr>
        <w:pStyle w:val="Level2"/>
        <w:numPr>
          <w:ilvl w:val="0"/>
          <w:numId w:val="0"/>
        </w:numPr>
        <w:ind w:left="2552"/>
      </w:pPr>
      <w:r>
        <w:t xml:space="preserve">The Authority reserves the right to disqualify </w:t>
      </w:r>
      <w:r w:rsidRPr="00D231F6">
        <w:t xml:space="preserve">Tender Responses that do not meet the </w:t>
      </w:r>
      <w:r w:rsidR="0031630B">
        <w:t>minimum Q</w:t>
      </w:r>
      <w:r>
        <w:t>uali</w:t>
      </w:r>
      <w:r w:rsidR="0031630B">
        <w:t>ty T</w:t>
      </w:r>
      <w:r>
        <w:t>hresholds</w:t>
      </w:r>
      <w:r w:rsidRPr="00D231F6">
        <w:t xml:space="preserve"> at this stage and the </w:t>
      </w:r>
      <w:r>
        <w:t>Provider</w:t>
      </w:r>
      <w:r w:rsidRPr="00D231F6">
        <w:t xml:space="preserve"> concerned shall be excluded from the Call-Off Competition.</w:t>
      </w:r>
    </w:p>
    <w:p w14:paraId="584583DC" w14:textId="582DDA28" w:rsidR="0040741C" w:rsidRPr="00D231F6" w:rsidRDefault="0040741C" w:rsidP="00C4012D">
      <w:pPr>
        <w:pStyle w:val="Level4"/>
      </w:pPr>
      <w:r>
        <w:t>The questions in Annex 3 – Part A will be evaluated against the scoring matrix in Annex 3 – Part B</w:t>
      </w:r>
    </w:p>
    <w:p w14:paraId="52E468A6" w14:textId="77777777" w:rsidR="0040741C" w:rsidRDefault="0040741C" w:rsidP="0040741C">
      <w:pPr>
        <w:pStyle w:val="Level4"/>
        <w:numPr>
          <w:ilvl w:val="0"/>
          <w:numId w:val="0"/>
        </w:numPr>
        <w:ind w:left="2553"/>
        <w:rPr>
          <w:rStyle w:val="Level2asHeadingtext"/>
          <w:b w:val="0"/>
          <w:bCs w:val="0"/>
        </w:rPr>
      </w:pPr>
    </w:p>
    <w:p w14:paraId="7D661D2D" w14:textId="53A6D860" w:rsidR="00B00619" w:rsidRPr="00B00619" w:rsidRDefault="00165DF8" w:rsidP="00B00619">
      <w:pPr>
        <w:pStyle w:val="Level1"/>
        <w:keepNext/>
        <w:rPr>
          <w:rStyle w:val="Level1asHeadingtext"/>
        </w:rPr>
      </w:pPr>
      <w:r>
        <w:rPr>
          <w:rStyle w:val="Level1asHeadingtext"/>
        </w:rPr>
        <w:fldChar w:fldCharType="begin"/>
      </w:r>
      <w:r w:rsidRPr="00165DF8">
        <w:instrText xml:space="preserve">  TC "</w:instrText>
      </w:r>
      <w:r>
        <w:fldChar w:fldCharType="begin"/>
      </w:r>
      <w:r w:rsidRPr="00165DF8">
        <w:instrText xml:space="preserve"> REF _Ref439717232 \r </w:instrText>
      </w:r>
      <w:r>
        <w:fldChar w:fldCharType="separate"/>
      </w:r>
      <w:bookmarkStart w:id="58" w:name="_Toc42697280"/>
      <w:r w:rsidR="006D7AE5">
        <w:instrText>5</w:instrText>
      </w:r>
      <w:r>
        <w:fldChar w:fldCharType="end"/>
      </w:r>
      <w:r>
        <w:tab/>
        <w:instrText>RULES ON [TENDER RESPONSE SUBMISSIONS]</w:instrText>
      </w:r>
      <w:bookmarkEnd w:id="58"/>
      <w:r w:rsidRPr="00165DF8">
        <w:instrText xml:space="preserve">" \l1 </w:instrText>
      </w:r>
      <w:r>
        <w:rPr>
          <w:rStyle w:val="Level1asHeadingtext"/>
        </w:rPr>
        <w:fldChar w:fldCharType="end"/>
      </w:r>
      <w:bookmarkStart w:id="59" w:name="_Ref437538028"/>
      <w:bookmarkStart w:id="60" w:name="_Ref437537683"/>
      <w:bookmarkStart w:id="61" w:name="_Ref437537874"/>
      <w:bookmarkStart w:id="62" w:name="_Ref437538069"/>
      <w:bookmarkStart w:id="63" w:name="_Ref437537875"/>
      <w:bookmarkStart w:id="64" w:name="_Ref437538449"/>
      <w:bookmarkStart w:id="65" w:name="_Ref437538282"/>
      <w:bookmarkStart w:id="66" w:name="_Ref437538536"/>
      <w:bookmarkStart w:id="67" w:name="_Ref437537990"/>
      <w:bookmarkStart w:id="68" w:name="_Ref439717232"/>
      <w:r w:rsidR="00B00619" w:rsidRPr="00B00619">
        <w:rPr>
          <w:rStyle w:val="Level1asHeadingtext"/>
        </w:rPr>
        <w:t>RULES ON [</w:t>
      </w:r>
      <w:r w:rsidR="00B00619" w:rsidRPr="00B00619">
        <w:rPr>
          <w:rStyle w:val="Level1asHeadingtext"/>
          <w:highlight w:val="yellow"/>
        </w:rPr>
        <w:t>TENDER RESPONSE SUBMISSIONS]</w:t>
      </w:r>
      <w:bookmarkEnd w:id="59"/>
      <w:bookmarkEnd w:id="60"/>
      <w:bookmarkEnd w:id="61"/>
      <w:bookmarkEnd w:id="62"/>
      <w:bookmarkEnd w:id="63"/>
      <w:bookmarkEnd w:id="64"/>
      <w:bookmarkEnd w:id="65"/>
      <w:bookmarkEnd w:id="66"/>
      <w:bookmarkEnd w:id="67"/>
      <w:bookmarkEnd w:id="68"/>
    </w:p>
    <w:p w14:paraId="5C87AD6A" w14:textId="74188A5A" w:rsidR="002E1D24" w:rsidRPr="00771A0C" w:rsidRDefault="00DA5B06" w:rsidP="002E1D24">
      <w:pPr>
        <w:pStyle w:val="Level2"/>
      </w:pPr>
      <w:bookmarkStart w:id="69" w:name="_Toc23961940"/>
      <w:r>
        <w:t>Provider</w:t>
      </w:r>
      <w:r w:rsidR="002E1D24" w:rsidRPr="00771A0C">
        <w:t>s:</w:t>
      </w:r>
      <w:bookmarkEnd w:id="69"/>
    </w:p>
    <w:p w14:paraId="5C14A574" w14:textId="5BB4CBFE" w:rsidR="002E1D24" w:rsidRPr="00771A0C" w:rsidRDefault="002E1D24" w:rsidP="00771A0C">
      <w:pPr>
        <w:pStyle w:val="Level4"/>
      </w:pPr>
      <w:r w:rsidRPr="00771A0C">
        <w:t xml:space="preserve">should read these instructions carefully and note all of the information contained therein before submitting a </w:t>
      </w:r>
      <w:r w:rsidR="00BF151E">
        <w:t>Tender Response</w:t>
      </w:r>
      <w:r w:rsidRPr="00771A0C">
        <w:t xml:space="preserve">. </w:t>
      </w:r>
      <w:r w:rsidR="00DA5B06">
        <w:t>Provider</w:t>
      </w:r>
      <w:r w:rsidRPr="00771A0C">
        <w:t xml:space="preserve">s are responsible for ensuring they have submitted a complete and accurate </w:t>
      </w:r>
      <w:r w:rsidR="00BF151E">
        <w:t>Tender Response</w:t>
      </w:r>
      <w:r w:rsidRPr="00771A0C">
        <w:t xml:space="preserve"> and that numbers quoted are arithmetically correct;</w:t>
      </w:r>
      <w:bookmarkStart w:id="70" w:name="_Hlk6216957"/>
    </w:p>
    <w:p w14:paraId="1F1C4D33" w14:textId="060B5A3A" w:rsidR="002E1D24" w:rsidRPr="00771A0C" w:rsidRDefault="002E1D24" w:rsidP="00771A0C">
      <w:pPr>
        <w:pStyle w:val="Level4"/>
      </w:pPr>
      <w:r w:rsidRPr="00771A0C">
        <w:t>shall address in writing all of the requirements set out</w:t>
      </w:r>
      <w:r w:rsidR="00AF5440">
        <w:t xml:space="preserve"> within this document</w:t>
      </w:r>
      <w:r w:rsidRPr="00771A0C">
        <w:t xml:space="preserve">. It is important that all the information requested is provided in </w:t>
      </w:r>
      <w:r w:rsidR="00315797">
        <w:t xml:space="preserve">adherence with word counts or page limits specified, and in </w:t>
      </w:r>
      <w:r w:rsidRPr="00771A0C">
        <w:t xml:space="preserve">the format and order specified.  Failure by </w:t>
      </w:r>
      <w:r w:rsidR="00DA5B06">
        <w:t>Provider</w:t>
      </w:r>
      <w:r w:rsidRPr="00771A0C">
        <w:t xml:space="preserve">s to provide all of the information the Authority has requested may result in a </w:t>
      </w:r>
      <w:r w:rsidR="00BF151E">
        <w:t>Tender Response</w:t>
      </w:r>
      <w:r w:rsidRPr="00771A0C">
        <w:t xml:space="preserve"> being non-compliant and an automatic disqualification</w:t>
      </w:r>
      <w:r w:rsidR="00315797">
        <w:t>. Information provided in excess of the stipulated word count or page limit may not be evaluated by the Authority</w:t>
      </w:r>
      <w:r w:rsidRPr="00771A0C">
        <w:t>;</w:t>
      </w:r>
      <w:bookmarkEnd w:id="70"/>
    </w:p>
    <w:p w14:paraId="1BCA733F" w14:textId="732FC049" w:rsidR="002E1D24" w:rsidRPr="00771A0C" w:rsidRDefault="002E1D24" w:rsidP="00771A0C">
      <w:pPr>
        <w:pStyle w:val="Level4"/>
      </w:pPr>
      <w:r w:rsidRPr="00771A0C">
        <w:t xml:space="preserve">are expected to examine, and where necessary respond to, all of the documents that comprise the </w:t>
      </w:r>
      <w:r w:rsidR="008F0529">
        <w:t xml:space="preserve">Call-Off </w:t>
      </w:r>
      <w:r w:rsidRPr="00771A0C">
        <w:t xml:space="preserve">ITT.  </w:t>
      </w:r>
      <w:r w:rsidR="00DA5B06">
        <w:t>Provider</w:t>
      </w:r>
      <w:r w:rsidRPr="00771A0C">
        <w:t>s should acquaint themselves fully with the extent and nature of the requirements and</w:t>
      </w:r>
      <w:r w:rsidR="00AF5440">
        <w:t xml:space="preserve"> the </w:t>
      </w:r>
      <w:r w:rsidR="008F0529">
        <w:t xml:space="preserve">Draft </w:t>
      </w:r>
      <w:r w:rsidR="004F52DF">
        <w:t>Call-</w:t>
      </w:r>
      <w:r w:rsidR="004F52DF" w:rsidRPr="00D231F6">
        <w:t>Off Contract</w:t>
      </w:r>
      <w:r w:rsidRPr="00771A0C">
        <w:t xml:space="preserve">;  </w:t>
      </w:r>
    </w:p>
    <w:p w14:paraId="40B409EF" w14:textId="5219D68D" w:rsidR="002E1D24" w:rsidRPr="00771A0C" w:rsidRDefault="002E1D24" w:rsidP="00771A0C">
      <w:pPr>
        <w:pStyle w:val="Level4"/>
      </w:pPr>
      <w:r w:rsidRPr="00771A0C">
        <w:t xml:space="preserve">are solely responsible for obtaining the information which they consider is necessary in order to prepare the content of their </w:t>
      </w:r>
      <w:r w:rsidR="00BF151E">
        <w:t>Tender Response</w:t>
      </w:r>
      <w:r w:rsidRPr="00771A0C">
        <w:t>s and to undertake any investigations they consider necessary in order to verify any information the Authority provides to them during the Procurement;</w:t>
      </w:r>
    </w:p>
    <w:p w14:paraId="55EDEBB1" w14:textId="34805187" w:rsidR="002E1D24" w:rsidRPr="00771A0C" w:rsidRDefault="002E1D24" w:rsidP="00771A0C">
      <w:pPr>
        <w:pStyle w:val="Level4"/>
      </w:pPr>
      <w:r w:rsidRPr="00771A0C">
        <w:t xml:space="preserve">must complete their </w:t>
      </w:r>
      <w:r w:rsidR="00BF151E">
        <w:t>Tender Response</w:t>
      </w:r>
      <w:r w:rsidRPr="00771A0C">
        <w:t>s, together with any requested supporting information in English and pricing in pounds (sterling);</w:t>
      </w:r>
    </w:p>
    <w:p w14:paraId="2377C549" w14:textId="45D47C50" w:rsidR="002E1D24" w:rsidRPr="00771A0C" w:rsidRDefault="002E1D24" w:rsidP="00771A0C">
      <w:pPr>
        <w:pStyle w:val="Level4"/>
      </w:pPr>
      <w:r w:rsidRPr="00771A0C">
        <w:t xml:space="preserve">must ensure that their </w:t>
      </w:r>
      <w:r w:rsidR="008A67AF">
        <w:t>eSourcing System</w:t>
      </w:r>
      <w:r w:rsidRPr="00771A0C">
        <w:t xml:space="preserve"> registration</w:t>
      </w:r>
      <w:r w:rsidR="00BA1AC7">
        <w:t xml:space="preserve"> is up-to-date and reflects the correct entity which will be entering into the Call Off Contract (i.e. the entity which qualified onto the Framework Agreement)</w:t>
      </w:r>
      <w:r w:rsidRPr="00771A0C">
        <w:t>;</w:t>
      </w:r>
    </w:p>
    <w:p w14:paraId="44D84F25" w14:textId="4DE2D777" w:rsidR="002E1D24" w:rsidRPr="00771A0C" w:rsidRDefault="002E1D24" w:rsidP="00771A0C">
      <w:pPr>
        <w:pStyle w:val="Level4"/>
      </w:pPr>
      <w:r w:rsidRPr="00771A0C">
        <w:t xml:space="preserve">should try to avoid submitting their </w:t>
      </w:r>
      <w:r w:rsidR="00BF151E">
        <w:t>Tender Response</w:t>
      </w:r>
      <w:r w:rsidRPr="00771A0C">
        <w:t>s in the last few minutes before the deadline in case there are connection problems which may mean the deadline is missed;</w:t>
      </w:r>
    </w:p>
    <w:p w14:paraId="39611F2D" w14:textId="08A6B6BB" w:rsidR="002E1D24" w:rsidRPr="00771A0C" w:rsidRDefault="002E1D24" w:rsidP="00771A0C">
      <w:pPr>
        <w:pStyle w:val="Level4"/>
      </w:pPr>
      <w:r w:rsidRPr="00771A0C">
        <w:lastRenderedPageBreak/>
        <w:t xml:space="preserve">when using </w:t>
      </w:r>
      <w:r w:rsidR="00AE1850">
        <w:t xml:space="preserve">the </w:t>
      </w:r>
      <w:r w:rsidR="008A67AF">
        <w:t>eSourcing System</w:t>
      </w:r>
      <w:r w:rsidR="00BA1AC7">
        <w:t>,</w:t>
      </w:r>
      <w:r w:rsidR="003575A7">
        <w:t xml:space="preserve"> </w:t>
      </w:r>
      <w:r w:rsidR="006871CF">
        <w:t>Provi</w:t>
      </w:r>
      <w:r w:rsidR="003575A7">
        <w:t>ders</w:t>
      </w:r>
      <w:r w:rsidR="002F76CC" w:rsidRPr="00771A0C">
        <w:t xml:space="preserve"> </w:t>
      </w:r>
      <w:r w:rsidRPr="00771A0C">
        <w:t>should save progress frequently;</w:t>
      </w:r>
    </w:p>
    <w:p w14:paraId="5DF5C7EE" w14:textId="59F9E924" w:rsidR="002E1D24" w:rsidRPr="00771A0C" w:rsidRDefault="002E1D24" w:rsidP="00771A0C">
      <w:pPr>
        <w:pStyle w:val="Level4"/>
      </w:pPr>
      <w:r w:rsidRPr="00771A0C">
        <w:t>should ensure that 'pop ups' are not</w:t>
      </w:r>
      <w:r w:rsidR="00B8644E">
        <w:t xml:space="preserve"> blocked on the browser because</w:t>
      </w:r>
      <w:r w:rsidR="00AE1850">
        <w:t xml:space="preserve"> </w:t>
      </w:r>
      <w:r w:rsidR="00FA2A42">
        <w:t xml:space="preserve">the </w:t>
      </w:r>
      <w:r w:rsidR="008A67AF">
        <w:t>eSourcing System</w:t>
      </w:r>
      <w:r w:rsidR="00AE1850">
        <w:t xml:space="preserve"> </w:t>
      </w:r>
      <w:r w:rsidR="00985B1D">
        <w:t>may</w:t>
      </w:r>
      <w:r w:rsidR="00985B1D" w:rsidRPr="00771A0C">
        <w:t xml:space="preserve"> </w:t>
      </w:r>
      <w:r w:rsidRPr="00771A0C">
        <w:t>issue notifications via 'pop ups';</w:t>
      </w:r>
    </w:p>
    <w:p w14:paraId="3903D359" w14:textId="0D9FF3B9" w:rsidR="002E1D24" w:rsidRPr="00771A0C" w:rsidRDefault="002E1D24" w:rsidP="00771A0C">
      <w:pPr>
        <w:pStyle w:val="Level4"/>
      </w:pPr>
      <w:r w:rsidRPr="00771A0C">
        <w:t xml:space="preserve">should ensure </w:t>
      </w:r>
      <w:r w:rsidR="00BF151E">
        <w:t>Tender Response</w:t>
      </w:r>
      <w:r w:rsidRPr="00771A0C">
        <w:t>s are "submitted" when complete because they will not be visible to the Authority if not;</w:t>
      </w:r>
    </w:p>
    <w:p w14:paraId="62CFC7A9" w14:textId="476EAEA6" w:rsidR="002E1D24" w:rsidRPr="00771A0C" w:rsidRDefault="002E1D24" w:rsidP="00771A0C">
      <w:pPr>
        <w:pStyle w:val="Level4"/>
      </w:pPr>
      <w:r w:rsidRPr="00771A0C">
        <w:t>should not use the 'Back' or 'Forward' buttons on the browser because work could be lost. Use the links in</w:t>
      </w:r>
      <w:r w:rsidR="00AE1850">
        <w:t xml:space="preserve"> the</w:t>
      </w:r>
      <w:r w:rsidR="00FA2A42">
        <w:t xml:space="preserve"> </w:t>
      </w:r>
      <w:r w:rsidR="008A67AF">
        <w:t>eSourcing System</w:t>
      </w:r>
      <w:r w:rsidR="00BF151E">
        <w:t xml:space="preserve"> to navigate</w:t>
      </w:r>
      <w:r w:rsidRPr="00771A0C">
        <w:t>;</w:t>
      </w:r>
    </w:p>
    <w:p w14:paraId="557A96A4" w14:textId="77777777" w:rsidR="00ED0D91" w:rsidRDefault="002E1D24" w:rsidP="00771A0C">
      <w:pPr>
        <w:pStyle w:val="Level4"/>
      </w:pPr>
      <w:r w:rsidRPr="00771A0C">
        <w:t xml:space="preserve">should allow sufficient time to submit their </w:t>
      </w:r>
      <w:r w:rsidR="00BF151E">
        <w:t>Tender Response</w:t>
      </w:r>
      <w:r w:rsidRPr="00771A0C">
        <w:t xml:space="preserve">, allowing time for a final check to be undertaken prior to the submission deadline because it is not possible to upload any further information afterwards. IT problems with a </w:t>
      </w:r>
      <w:r w:rsidR="00DA5B06">
        <w:t>Provider's</w:t>
      </w:r>
      <w:r w:rsidRPr="00771A0C">
        <w:t xml:space="preserve"> systems will not be considered reasonable grounds for late submission; </w:t>
      </w:r>
    </w:p>
    <w:p w14:paraId="582B7F6D" w14:textId="7D7E26E3" w:rsidR="002E1D24" w:rsidRPr="00ED0D91" w:rsidRDefault="00ED0D91" w:rsidP="00ED0D91">
      <w:pPr>
        <w:pStyle w:val="Level4"/>
      </w:pPr>
      <w:r w:rsidRPr="00ED0D91">
        <w:t>Providers must comply with the word and/or side count limits specified in the evaluation questions as de</w:t>
      </w:r>
      <w:r>
        <w:t xml:space="preserve">tailed in </w:t>
      </w:r>
      <w:r w:rsidR="005970FE">
        <w:t>Annex 3 – Part A.</w:t>
      </w:r>
      <w:r w:rsidRPr="00ED0D91">
        <w:t xml:space="preserve">  If a response exceeds the specified limit only the information within the limit will be evaluated, and the remaining information may be disregarded</w:t>
      </w:r>
      <w:r>
        <w:t xml:space="preserve"> for the purposes of evaluation; </w:t>
      </w:r>
      <w:r w:rsidR="002E1D24" w:rsidRPr="00ED0D91">
        <w:t>and</w:t>
      </w:r>
    </w:p>
    <w:p w14:paraId="17C45B0E" w14:textId="31353C4D" w:rsidR="002E1D24" w:rsidRPr="00771A0C" w:rsidRDefault="002E1D24" w:rsidP="00771A0C">
      <w:pPr>
        <w:pStyle w:val="Level4"/>
      </w:pPr>
      <w:r w:rsidRPr="00771A0C">
        <w:t xml:space="preserve">may submit, modify and resubmit </w:t>
      </w:r>
      <w:r w:rsidR="00BF151E">
        <w:t>Tender Response</w:t>
      </w:r>
      <w:r w:rsidRPr="00771A0C">
        <w:t>s in</w:t>
      </w:r>
      <w:r w:rsidR="00BA1AC7">
        <w:t xml:space="preserve"> the </w:t>
      </w:r>
      <w:r w:rsidR="008A67AF">
        <w:t>eSourcing System</w:t>
      </w:r>
      <w:r w:rsidRPr="00771A0C">
        <w:t xml:space="preserve"> at any time prior to the submission deadline but </w:t>
      </w:r>
      <w:r w:rsidR="00BF151E">
        <w:t>Tender Response</w:t>
      </w:r>
      <w:r w:rsidRPr="00771A0C">
        <w:t xml:space="preserve">s cannot be modified after the submission deadline.  </w:t>
      </w:r>
    </w:p>
    <w:p w14:paraId="62E5F57C" w14:textId="07A78605" w:rsidR="002E1D24" w:rsidRPr="00771A0C" w:rsidRDefault="002E1D24" w:rsidP="002E1D24">
      <w:pPr>
        <w:pStyle w:val="Level2"/>
        <w:keepNext/>
      </w:pPr>
      <w:bookmarkStart w:id="71" w:name="_Toc23961941"/>
      <w:r w:rsidRPr="00771A0C">
        <w:t xml:space="preserve">The Authority may issue to </w:t>
      </w:r>
      <w:r w:rsidR="00DA5B06">
        <w:t>Provider</w:t>
      </w:r>
      <w:r w:rsidRPr="00771A0C">
        <w:t>s by way of addenda amendments and additions to this ITT.</w:t>
      </w:r>
      <w:bookmarkEnd w:id="71"/>
    </w:p>
    <w:p w14:paraId="2B07883D" w14:textId="1AFCAE24" w:rsidR="002E1D24" w:rsidRPr="00771A0C" w:rsidRDefault="00BF151E" w:rsidP="00F328FE">
      <w:pPr>
        <w:pStyle w:val="Level2"/>
      </w:pPr>
      <w:bookmarkStart w:id="72" w:name="_Toc23961942"/>
      <w:bookmarkStart w:id="73" w:name="_Ref23966264"/>
      <w:r>
        <w:t>Tender Response</w:t>
      </w:r>
      <w:r w:rsidR="002E1D24" w:rsidRPr="00771A0C">
        <w:t xml:space="preserve">s must be submitted strictly in accordance with the requirements and conditions set out in the ITT.  </w:t>
      </w:r>
      <w:r>
        <w:t>Tender Response</w:t>
      </w:r>
      <w:r w:rsidR="002E1D24" w:rsidRPr="00771A0C">
        <w:t xml:space="preserve">s must not be accompanied by statements that could be construed as rendering the </w:t>
      </w:r>
      <w:r>
        <w:t>Tender Response</w:t>
      </w:r>
      <w:r w:rsidR="002E1D24" w:rsidRPr="00771A0C">
        <w:t xml:space="preserve"> equivocal, conditional and/or placing it on a different footing from other </w:t>
      </w:r>
      <w:r>
        <w:t>Tender Response</w:t>
      </w:r>
      <w:r w:rsidR="002E1D24" w:rsidRPr="00771A0C">
        <w:t>s.</w:t>
      </w:r>
      <w:bookmarkEnd w:id="72"/>
      <w:bookmarkEnd w:id="73"/>
      <w:r w:rsidR="002E1D24" w:rsidRPr="00771A0C">
        <w:t xml:space="preserve">  </w:t>
      </w:r>
    </w:p>
    <w:p w14:paraId="5B025F1B" w14:textId="20CFEE7F" w:rsidR="002E1D24" w:rsidRPr="00771A0C" w:rsidRDefault="002E1D24" w:rsidP="00F328FE">
      <w:pPr>
        <w:pStyle w:val="Level2"/>
      </w:pPr>
      <w:bookmarkStart w:id="74" w:name="_Toc23961943"/>
      <w:r w:rsidRPr="00771A0C">
        <w:t xml:space="preserve">The Authority reserves the right to reject any </w:t>
      </w:r>
      <w:r w:rsidR="00BF151E">
        <w:t>Tender Response</w:t>
      </w:r>
      <w:r w:rsidRPr="00771A0C">
        <w:t xml:space="preserve"> which </w:t>
      </w:r>
      <w:r w:rsidR="00D20A5E">
        <w:t>is submitted on a conditional basis</w:t>
      </w:r>
      <w:r w:rsidRPr="00771A0C">
        <w:t xml:space="preserve"> or which appears to be equivocal</w:t>
      </w:r>
      <w:r w:rsidR="00BA1AC7">
        <w:t>.</w:t>
      </w:r>
      <w:r w:rsidRPr="00771A0C">
        <w:t xml:space="preserve"> The Authority reserves the right to reject any </w:t>
      </w:r>
      <w:r w:rsidR="00BF151E">
        <w:t>Tender Response</w:t>
      </w:r>
      <w:r w:rsidRPr="00771A0C">
        <w:t xml:space="preserve">s that are not submitted strictly in accordance with the ITT documentation as issued (or subsequently amended by the Authority).  The Authority's decision on whether or not a </w:t>
      </w:r>
      <w:r w:rsidR="00BF151E">
        <w:t>Tender Response</w:t>
      </w:r>
      <w:r w:rsidRPr="00771A0C">
        <w:t xml:space="preserve"> is acceptable will be final and the </w:t>
      </w:r>
      <w:r w:rsidR="00DA5B06">
        <w:t>Provider</w:t>
      </w:r>
      <w:r w:rsidRPr="00771A0C">
        <w:t xml:space="preserve"> concerned may not be consulted.</w:t>
      </w:r>
      <w:bookmarkEnd w:id="74"/>
      <w:r w:rsidRPr="00771A0C">
        <w:t xml:space="preserve"> </w:t>
      </w:r>
    </w:p>
    <w:p w14:paraId="05076B93" w14:textId="7400BB86" w:rsidR="002E1D24" w:rsidRPr="00771A0C" w:rsidRDefault="002E1D24" w:rsidP="00F328FE">
      <w:pPr>
        <w:pStyle w:val="Level2"/>
      </w:pPr>
      <w:bookmarkStart w:id="75" w:name="_Toc23961944"/>
      <w:r w:rsidRPr="00771A0C">
        <w:t xml:space="preserve">Each </w:t>
      </w:r>
      <w:r w:rsidR="00BF151E">
        <w:t>Tender Response</w:t>
      </w:r>
      <w:r w:rsidRPr="00771A0C">
        <w:t xml:space="preserve"> must be accompanied by a completed and properly signed list of all uploaded attachments and</w:t>
      </w:r>
      <w:r w:rsidR="00862942">
        <w:t xml:space="preserve"> the Form of Tender.</w:t>
      </w:r>
      <w:r w:rsidRPr="00771A0C">
        <w:t xml:space="preserve"> These must be signed by an authorised signatory of the </w:t>
      </w:r>
      <w:r w:rsidR="00DA5B06">
        <w:t>Provider</w:t>
      </w:r>
      <w:r w:rsidRPr="00771A0C">
        <w:t xml:space="preserve">.  </w:t>
      </w:r>
      <w:bookmarkEnd w:id="75"/>
    </w:p>
    <w:p w14:paraId="08B694F0" w14:textId="6B7EDD06" w:rsidR="002E1D24" w:rsidRPr="00771A0C" w:rsidRDefault="00BF151E" w:rsidP="00F328FE">
      <w:pPr>
        <w:pStyle w:val="Level2"/>
      </w:pPr>
      <w:bookmarkStart w:id="76" w:name="_Toc23961945"/>
      <w:r>
        <w:t>Tender Response</w:t>
      </w:r>
      <w:r w:rsidR="002E1D24" w:rsidRPr="00771A0C">
        <w:t>s must be uploaded electronically, via</w:t>
      </w:r>
      <w:r>
        <w:t xml:space="preserve"> the </w:t>
      </w:r>
      <w:r w:rsidR="00AE1850">
        <w:t>eSourc</w:t>
      </w:r>
      <w:r w:rsidR="00AF1397">
        <w:t>ing System</w:t>
      </w:r>
      <w:r w:rsidR="002E1D24" w:rsidRPr="00771A0C">
        <w:t xml:space="preserve"> </w:t>
      </w:r>
      <w:r>
        <w:t>Tender Response</w:t>
      </w:r>
      <w:r w:rsidR="002E1D24" w:rsidRPr="00771A0C">
        <w:t>s submitted by any other means will not be accepted.</w:t>
      </w:r>
      <w:bookmarkEnd w:id="76"/>
    </w:p>
    <w:p w14:paraId="5F7C66F2" w14:textId="5234F13A" w:rsidR="002E1D24" w:rsidRPr="00771A0C" w:rsidRDefault="002E1D24" w:rsidP="00F328FE">
      <w:pPr>
        <w:pStyle w:val="Level2"/>
      </w:pPr>
      <w:bookmarkStart w:id="77" w:name="_Toc23961946"/>
      <w:r w:rsidRPr="00771A0C">
        <w:t xml:space="preserve">All </w:t>
      </w:r>
      <w:r w:rsidR="00BF151E">
        <w:t>Tender Response</w:t>
      </w:r>
      <w:r w:rsidRPr="00771A0C">
        <w:t>s must be received by the Authority by the submission deadline shown in the Timetable.</w:t>
      </w:r>
      <w:bookmarkEnd w:id="77"/>
      <w:r w:rsidRPr="00771A0C">
        <w:t xml:space="preserve"> </w:t>
      </w:r>
    </w:p>
    <w:p w14:paraId="42862EC0" w14:textId="1ADDE967" w:rsidR="002E1D24" w:rsidRPr="00F328FE" w:rsidRDefault="00BF151E" w:rsidP="00F328FE">
      <w:pPr>
        <w:pStyle w:val="Level2"/>
      </w:pPr>
      <w:bookmarkStart w:id="78" w:name="_Toc23961947"/>
      <w:r>
        <w:t>Tender Response</w:t>
      </w:r>
      <w:r w:rsidR="002E1D24" w:rsidRPr="00771A0C">
        <w:t xml:space="preserve">s </w:t>
      </w:r>
      <w:bookmarkStart w:id="79" w:name="_Hlk13124739"/>
      <w:r w:rsidR="002E1D24" w:rsidRPr="00771A0C">
        <w:t xml:space="preserve">received after the submission deadline will usually be rejected by the Authority. The decision whether to reject a </w:t>
      </w:r>
      <w:r>
        <w:t>Tender Response</w:t>
      </w:r>
      <w:r w:rsidR="002E1D24" w:rsidRPr="00771A0C">
        <w:t xml:space="preserve"> received after the deadline is entirely at the </w:t>
      </w:r>
      <w:r w:rsidR="002E1D24" w:rsidRPr="00F328FE">
        <w:t>Authority's discretion</w:t>
      </w:r>
      <w:bookmarkEnd w:id="79"/>
      <w:r w:rsidR="002E1D24" w:rsidRPr="00F328FE">
        <w:t>.</w:t>
      </w:r>
      <w:bookmarkEnd w:id="78"/>
    </w:p>
    <w:p w14:paraId="61A166DD" w14:textId="18A297CF" w:rsidR="00E462B7" w:rsidRPr="00F328FE" w:rsidRDefault="002E1D24" w:rsidP="002E1D24">
      <w:pPr>
        <w:pStyle w:val="Level2"/>
        <w:rPr>
          <w:b/>
          <w:bCs/>
        </w:rPr>
      </w:pPr>
      <w:bookmarkStart w:id="80" w:name="_Toc23961948"/>
      <w:r w:rsidRPr="00F328FE">
        <w:t>Any queries regarding</w:t>
      </w:r>
      <w:r w:rsidR="00AE1850" w:rsidRPr="00F328FE">
        <w:t xml:space="preserve"> eSourcing tool</w:t>
      </w:r>
      <w:r w:rsidRPr="00F328FE">
        <w:t xml:space="preserve"> should be sent to </w:t>
      </w:r>
      <w:r w:rsidR="00E462B7" w:rsidRPr="00F328FE">
        <w:t>[</w:t>
      </w:r>
      <w:r w:rsidRPr="00F328FE">
        <w:t xml:space="preserve">the Authority's Central Support Team (Mon – Fri 08:30 – 17:00) by calling 0845 0100 132 or by emailing: </w:t>
      </w:r>
      <w:hyperlink r:id="rId12" w:history="1">
        <w:r w:rsidR="00EC2F23" w:rsidRPr="00F328FE">
          <w:rPr>
            <w:rStyle w:val="Hyperlink"/>
          </w:rPr>
          <w:t>esourcing@justice.gov.uk</w:t>
        </w:r>
      </w:hyperlink>
      <w:r w:rsidR="00E462B7" w:rsidRPr="00F328FE">
        <w:rPr>
          <w:rStyle w:val="Hyperlink"/>
        </w:rPr>
        <w:t>]</w:t>
      </w:r>
      <w:r w:rsidRPr="00F328FE">
        <w:t>.</w:t>
      </w:r>
      <w:bookmarkEnd w:id="80"/>
      <w:r w:rsidR="00C41FD2" w:rsidRPr="00F328FE">
        <w:t xml:space="preserve"> </w:t>
      </w:r>
      <w:r w:rsidR="00E462B7" w:rsidRPr="00F328FE">
        <w:t>[</w:t>
      </w:r>
      <w:r w:rsidR="00E462B7" w:rsidRPr="00283770">
        <w:rPr>
          <w:b/>
          <w:highlight w:val="yellow"/>
        </w:rPr>
        <w:t>Drafting Note: Authority to verify that these details are correct / amend these details as required per Call-Off Competition</w:t>
      </w:r>
      <w:r w:rsidR="00E462B7" w:rsidRPr="00F328FE">
        <w:t>]</w:t>
      </w:r>
      <w:bookmarkStart w:id="81" w:name="_Toc23961949"/>
    </w:p>
    <w:p w14:paraId="09DCA6F1" w14:textId="087D999B" w:rsidR="002E1D24" w:rsidRPr="00283770" w:rsidRDefault="00ED0D91" w:rsidP="002E1D24">
      <w:pPr>
        <w:pStyle w:val="Level2"/>
        <w:rPr>
          <w:b/>
          <w:bCs/>
          <w:highlight w:val="yellow"/>
        </w:rPr>
      </w:pPr>
      <w:bookmarkStart w:id="82" w:name="_Toc23961952"/>
      <w:bookmarkEnd w:id="81"/>
      <w:r>
        <w:rPr>
          <w:b/>
          <w:bCs/>
        </w:rPr>
        <w:t xml:space="preserve"> </w:t>
      </w:r>
      <w:r w:rsidR="00AE1850">
        <w:rPr>
          <w:b/>
          <w:bCs/>
        </w:rPr>
        <w:t>[</w:t>
      </w:r>
      <w:r w:rsidR="002E1D24" w:rsidRPr="00283770">
        <w:rPr>
          <w:b/>
          <w:bCs/>
          <w:highlight w:val="yellow"/>
        </w:rPr>
        <w:t>Data Room</w:t>
      </w:r>
      <w:bookmarkEnd w:id="82"/>
    </w:p>
    <w:p w14:paraId="70FD2445" w14:textId="5CE3A6C9" w:rsidR="00B00619" w:rsidRPr="00771A0C" w:rsidRDefault="00DA5B06" w:rsidP="002E1D24">
      <w:pPr>
        <w:pStyle w:val="Level2"/>
        <w:keepNext/>
        <w:rPr>
          <w:rStyle w:val="Level2asHeadingtext"/>
          <w:b w:val="0"/>
          <w:bCs w:val="0"/>
        </w:rPr>
      </w:pPr>
      <w:bookmarkStart w:id="83" w:name="_Toc23961963"/>
      <w:r w:rsidRPr="00283770">
        <w:rPr>
          <w:highlight w:val="yellow"/>
        </w:rPr>
        <w:lastRenderedPageBreak/>
        <w:t>Provider</w:t>
      </w:r>
      <w:r w:rsidR="002E1D24" w:rsidRPr="00283770">
        <w:rPr>
          <w:highlight w:val="yellow"/>
        </w:rPr>
        <w:t xml:space="preserve">s have been provided with a user guide relating to the Data Room. </w:t>
      </w:r>
      <w:r w:rsidRPr="00283770">
        <w:rPr>
          <w:highlight w:val="yellow"/>
        </w:rPr>
        <w:t>Provider</w:t>
      </w:r>
      <w:r w:rsidR="002E1D24" w:rsidRPr="00283770">
        <w:rPr>
          <w:highlight w:val="yellow"/>
        </w:rPr>
        <w:t>s are required to comply with the user guide at all times</w:t>
      </w:r>
      <w:r w:rsidR="002E1D24" w:rsidRPr="00771A0C">
        <w:rPr>
          <w:highlight w:val="yellow"/>
        </w:rPr>
        <w:t>.</w:t>
      </w:r>
      <w:bookmarkEnd w:id="83"/>
      <w:r w:rsidR="00760AC8" w:rsidRPr="00771A0C">
        <w:rPr>
          <w:rStyle w:val="Level2asHeadingtext"/>
          <w:b w:val="0"/>
          <w:bCs w:val="0"/>
          <w:highlight w:val="yellow"/>
        </w:rPr>
        <w:t>]</w:t>
      </w:r>
      <w:r w:rsidR="00AE1850">
        <w:rPr>
          <w:rStyle w:val="Level2asHeadingtext"/>
          <w:b w:val="0"/>
          <w:bCs w:val="0"/>
        </w:rPr>
        <w:t xml:space="preserve"> [</w:t>
      </w:r>
      <w:r w:rsidR="00AE1850" w:rsidRPr="00283770">
        <w:rPr>
          <w:rStyle w:val="Level2asHeadingtext"/>
          <w:bCs w:val="0"/>
          <w:highlight w:val="yellow"/>
        </w:rPr>
        <w:t>Drafting Note: this section is optional</w:t>
      </w:r>
      <w:r w:rsidR="00FC569B">
        <w:rPr>
          <w:rStyle w:val="Level2asHeadingtext"/>
          <w:bCs w:val="0"/>
          <w:highlight w:val="yellow"/>
        </w:rPr>
        <w:t xml:space="preserve"> and more detail should be included</w:t>
      </w:r>
      <w:r w:rsidR="00AE1850" w:rsidRPr="00AE1850">
        <w:rPr>
          <w:rStyle w:val="Level2asHeadingtext"/>
          <w:b w:val="0"/>
          <w:bCs w:val="0"/>
          <w:highlight w:val="yellow"/>
        </w:rPr>
        <w:t>]</w:t>
      </w:r>
    </w:p>
    <w:p w14:paraId="3A65582A" w14:textId="4D452962" w:rsidR="003F1D6B" w:rsidRPr="00D231F6" w:rsidRDefault="003F1D6B" w:rsidP="00AE1850">
      <w:pPr>
        <w:pStyle w:val="Level2"/>
        <w:keepNext/>
        <w:numPr>
          <w:ilvl w:val="0"/>
          <w:numId w:val="0"/>
        </w:numPr>
        <w:rPr>
          <w:rStyle w:val="Level2asHeadingtext"/>
          <w:b w:val="0"/>
          <w:bCs w:val="0"/>
        </w:rPr>
      </w:pPr>
      <w:bookmarkStart w:id="84" w:name="_Ref26533235"/>
      <w:r w:rsidRPr="00D231F6">
        <w:rPr>
          <w:rStyle w:val="Level2asHeadingtext"/>
        </w:rPr>
        <w:t>Submission Checklist</w:t>
      </w:r>
      <w:bookmarkEnd w:id="84"/>
    </w:p>
    <w:p w14:paraId="5CF408B7" w14:textId="1F7B3DE5" w:rsidR="003F1D6B" w:rsidRDefault="00DA5B06" w:rsidP="003F1D6B">
      <w:pPr>
        <w:pStyle w:val="Level2"/>
        <w:keepNext/>
      </w:pPr>
      <w:r>
        <w:t>Provider</w:t>
      </w:r>
      <w:r w:rsidR="003F1D6B" w:rsidRPr="00D231F6">
        <w:t>s are required to submit the following:</w:t>
      </w:r>
    </w:p>
    <w:p w14:paraId="12D1583F" w14:textId="31BE48D3" w:rsidR="00186E95" w:rsidRPr="00862942" w:rsidRDefault="00760AC8" w:rsidP="00186E95">
      <w:pPr>
        <w:pStyle w:val="Level3"/>
        <w:rPr>
          <w:highlight w:val="yellow"/>
        </w:rPr>
      </w:pPr>
      <w:r>
        <w:rPr>
          <w:highlight w:val="yellow"/>
        </w:rPr>
        <w:t>[                    ]</w:t>
      </w:r>
    </w:p>
    <w:p w14:paraId="04331DF1" w14:textId="77777777" w:rsidR="003F1D6B" w:rsidRDefault="00463261" w:rsidP="003F1D6B">
      <w:pPr>
        <w:pStyle w:val="Level3"/>
        <w:rPr>
          <w:highlight w:val="yellow"/>
        </w:rPr>
      </w:pPr>
      <w:r>
        <w:rPr>
          <w:highlight w:val="yellow"/>
        </w:rPr>
        <w:t>[Further Qualification</w:t>
      </w:r>
      <w:r w:rsidR="00F63019" w:rsidRPr="00CB30EA">
        <w:rPr>
          <w:highlight w:val="yellow"/>
        </w:rPr>
        <w:t xml:space="preserve"> Questionnaire</w:t>
      </w:r>
      <w:r>
        <w:rPr>
          <w:highlight w:val="yellow"/>
        </w:rPr>
        <w:t xml:space="preserve"> response</w:t>
      </w:r>
      <w:r w:rsidR="00186E95" w:rsidRPr="00CB30EA">
        <w:rPr>
          <w:highlight w:val="yellow"/>
        </w:rPr>
        <w:t>;</w:t>
      </w:r>
      <w:r>
        <w:rPr>
          <w:highlight w:val="yellow"/>
        </w:rPr>
        <w:t>]</w:t>
      </w:r>
    </w:p>
    <w:p w14:paraId="38104ABE" w14:textId="6237836B" w:rsidR="00463261" w:rsidRPr="00463261" w:rsidRDefault="00463261" w:rsidP="003F1D6B">
      <w:pPr>
        <w:pStyle w:val="Level3"/>
        <w:rPr>
          <w:highlight w:val="yellow"/>
        </w:rPr>
      </w:pPr>
      <w:r>
        <w:rPr>
          <w:highlight w:val="yellow"/>
        </w:rPr>
        <w:t>Tender Response</w:t>
      </w:r>
      <w:r w:rsidR="00862942">
        <w:rPr>
          <w:highlight w:val="yellow"/>
        </w:rPr>
        <w:t xml:space="preserve"> (including pricing response)</w:t>
      </w:r>
      <w:r w:rsidRPr="00CB30EA">
        <w:rPr>
          <w:highlight w:val="yellow"/>
        </w:rPr>
        <w:t>;</w:t>
      </w:r>
    </w:p>
    <w:p w14:paraId="5B3F05AC" w14:textId="77777777" w:rsidR="00F63019" w:rsidRPr="00CB30EA" w:rsidRDefault="00074191" w:rsidP="00C265B2">
      <w:pPr>
        <w:pStyle w:val="Level3"/>
        <w:rPr>
          <w:highlight w:val="yellow"/>
        </w:rPr>
      </w:pPr>
      <w:r>
        <w:rPr>
          <w:highlight w:val="yellow"/>
        </w:rPr>
        <w:t xml:space="preserve">a signed and completed </w:t>
      </w:r>
      <w:r w:rsidR="00463261">
        <w:rPr>
          <w:highlight w:val="yellow"/>
        </w:rPr>
        <w:t>Conflicts of Interest Declaration</w:t>
      </w:r>
      <w:r w:rsidR="00F63019" w:rsidRPr="00CB30EA">
        <w:rPr>
          <w:highlight w:val="yellow"/>
        </w:rPr>
        <w:t>; and</w:t>
      </w:r>
    </w:p>
    <w:p w14:paraId="524DCB9C" w14:textId="367F9F02" w:rsidR="00AE4CE1" w:rsidRDefault="00C265B2" w:rsidP="00AE4CE1">
      <w:pPr>
        <w:pStyle w:val="Level3"/>
        <w:rPr>
          <w:highlight w:val="yellow"/>
        </w:rPr>
      </w:pPr>
      <w:r w:rsidRPr="00CB30EA">
        <w:rPr>
          <w:highlight w:val="yellow"/>
        </w:rPr>
        <w:t xml:space="preserve">a </w:t>
      </w:r>
      <w:r w:rsidR="00074191">
        <w:rPr>
          <w:highlight w:val="yellow"/>
        </w:rPr>
        <w:t xml:space="preserve">signed and </w:t>
      </w:r>
      <w:r w:rsidRPr="00CB30EA">
        <w:rPr>
          <w:highlight w:val="yellow"/>
        </w:rPr>
        <w:t xml:space="preserve">completed </w:t>
      </w:r>
      <w:r w:rsidR="00F2124B">
        <w:rPr>
          <w:highlight w:val="yellow"/>
        </w:rPr>
        <w:t>Form of Tender</w:t>
      </w:r>
      <w:r w:rsidR="00E70D5C">
        <w:rPr>
          <w:highlight w:val="yellow"/>
        </w:rPr>
        <w:t xml:space="preserve"> Appendix </w:t>
      </w:r>
      <w:r w:rsidR="00E90C5F">
        <w:rPr>
          <w:highlight w:val="yellow"/>
        </w:rPr>
        <w:t>6</w:t>
      </w:r>
      <w:r w:rsidR="00F63019" w:rsidRPr="00CB30EA">
        <w:rPr>
          <w:highlight w:val="yellow"/>
        </w:rPr>
        <w:t>.</w:t>
      </w:r>
      <w:r w:rsidR="00CB30EA" w:rsidRPr="00CB30EA">
        <w:rPr>
          <w:highlight w:val="yellow"/>
        </w:rPr>
        <w:t>]</w:t>
      </w:r>
    </w:p>
    <w:p w14:paraId="303B98C7" w14:textId="77777777" w:rsidR="00AE4CE1" w:rsidRPr="00AE4CE1" w:rsidRDefault="00AE4CE1" w:rsidP="00637706">
      <w:pPr>
        <w:pStyle w:val="Level1"/>
        <w:numPr>
          <w:ilvl w:val="0"/>
          <w:numId w:val="0"/>
        </w:numPr>
        <w:rPr>
          <w:highlight w:val="yellow"/>
        </w:rPr>
      </w:pPr>
    </w:p>
    <w:p w14:paraId="1E1B0024" w14:textId="0B75A293" w:rsidR="002E1D24" w:rsidRPr="002E1D24" w:rsidRDefault="00165DF8" w:rsidP="002E1D24">
      <w:pPr>
        <w:pStyle w:val="Level1"/>
        <w:rPr>
          <w:rStyle w:val="Level1asHeadingtext"/>
          <w:b w:val="0"/>
          <w:bCs w:val="0"/>
          <w:caps w:val="0"/>
        </w:rPr>
      </w:pPr>
      <w:r>
        <w:rPr>
          <w:rStyle w:val="Level1asHeadingtext"/>
        </w:rPr>
        <w:fldChar w:fldCharType="begin"/>
      </w:r>
      <w:r w:rsidRPr="00165DF8">
        <w:instrText xml:space="preserve">  TC "</w:instrText>
      </w:r>
      <w:r>
        <w:fldChar w:fldCharType="begin"/>
      </w:r>
      <w:r w:rsidRPr="00165DF8">
        <w:instrText xml:space="preserve"> REF _Ref439717310 \r </w:instrText>
      </w:r>
      <w:r>
        <w:fldChar w:fldCharType="separate"/>
      </w:r>
      <w:bookmarkStart w:id="85" w:name="_Toc42697281"/>
      <w:r w:rsidR="006D7AE5">
        <w:instrText>6</w:instrText>
      </w:r>
      <w:r>
        <w:fldChar w:fldCharType="end"/>
      </w:r>
      <w:r>
        <w:tab/>
        <w:instrText>GENERAL INFORMATION</w:instrText>
      </w:r>
      <w:bookmarkEnd w:id="85"/>
      <w:r w:rsidRPr="00165DF8">
        <w:instrText xml:space="preserve">" \l1 </w:instrText>
      </w:r>
      <w:r>
        <w:rPr>
          <w:rStyle w:val="Level1asHeadingtext"/>
        </w:rPr>
        <w:fldChar w:fldCharType="end"/>
      </w:r>
      <w:bookmarkStart w:id="86" w:name="_Ref23149470"/>
      <w:bookmarkStart w:id="87" w:name="_Toc23961978"/>
      <w:bookmarkStart w:id="88" w:name="_Ref437759879"/>
      <w:bookmarkStart w:id="89" w:name="_Ref437759435"/>
      <w:bookmarkStart w:id="90" w:name="_Ref439717310"/>
      <w:r w:rsidR="002E1D24" w:rsidRPr="00B14BCC">
        <w:rPr>
          <w:rStyle w:val="Level1asHeadingtext"/>
        </w:rPr>
        <w:t>General Information</w:t>
      </w:r>
      <w:bookmarkEnd w:id="86"/>
      <w:bookmarkEnd w:id="87"/>
      <w:r w:rsidR="002E1D24" w:rsidRPr="00B14BCC">
        <w:rPr>
          <w:rStyle w:val="Level1asHeadingtext"/>
        </w:rPr>
        <w:t xml:space="preserve"> </w:t>
      </w:r>
      <w:bookmarkEnd w:id="88"/>
      <w:bookmarkEnd w:id="89"/>
      <w:bookmarkEnd w:id="90"/>
    </w:p>
    <w:p w14:paraId="0CE12093" w14:textId="46CAE4E3" w:rsidR="002E1D24" w:rsidRPr="002E1D24" w:rsidRDefault="002E1D24" w:rsidP="002E1D24">
      <w:pPr>
        <w:pStyle w:val="Level2"/>
      </w:pPr>
      <w:r w:rsidRPr="002E1D24">
        <w:t xml:space="preserve">The Authority is using the </w:t>
      </w:r>
      <w:r w:rsidR="008A67AF">
        <w:t>eSourcing System</w:t>
      </w:r>
      <w:r w:rsidRPr="002E1D24">
        <w:t xml:space="preserve">, </w:t>
      </w:r>
      <w:r w:rsidR="00E2031D">
        <w:t>Jaggaer</w:t>
      </w:r>
      <w:r w:rsidR="00E22A97">
        <w:t>,</w:t>
      </w:r>
      <w:r w:rsidRPr="002E1D24">
        <w:t xml:space="preserve"> for this Procurement which means the ITT is available only in electronic form, located at </w:t>
      </w:r>
      <w:hyperlink r:id="rId13" w:history="1">
        <w:r w:rsidRPr="002E1D24">
          <w:rPr>
            <w:rStyle w:val="Hyperlink"/>
            <w:color w:val="auto"/>
            <w:u w:val="none"/>
          </w:rPr>
          <w:t>https://ministryofjusticecommercial.bravosolution.co.uk</w:t>
        </w:r>
      </w:hyperlink>
      <w:r w:rsidRPr="002E1D24">
        <w:t xml:space="preserve"> (“</w:t>
      </w:r>
      <w:r w:rsidR="008A67AF">
        <w:t>eSourcing System</w:t>
      </w:r>
      <w:r w:rsidRPr="002E1D24">
        <w:t xml:space="preserve">”). To gain access to the sourcing event on </w:t>
      </w:r>
      <w:r w:rsidR="00F952FD">
        <w:t xml:space="preserve">the </w:t>
      </w:r>
      <w:r w:rsidR="008A67AF">
        <w:t>eSourcing System</w:t>
      </w:r>
      <w:r w:rsidRPr="002E1D24">
        <w:t xml:space="preserve">, </w:t>
      </w:r>
      <w:r w:rsidR="00DA5B06">
        <w:t>Provider</w:t>
      </w:r>
      <w:r w:rsidRPr="002E1D24">
        <w:t xml:space="preserve">s must register for the </w:t>
      </w:r>
      <w:r w:rsidR="008A67AF">
        <w:t>eSourcing System</w:t>
      </w:r>
      <w:r w:rsidRPr="002E1D24">
        <w:t xml:space="preserve"> once as an organisation, but will be permitted to have multiple user accounts for all contacts requiring access to the sourcing event. </w:t>
      </w:r>
      <w:r w:rsidR="0001762D">
        <w:t xml:space="preserve">Once admitted to the </w:t>
      </w:r>
      <w:r w:rsidR="0090573A">
        <w:t>Framework Agreement.</w:t>
      </w:r>
      <w:r w:rsidR="0001762D">
        <w:t xml:space="preserve"> </w:t>
      </w:r>
      <w:r w:rsidR="0090573A">
        <w:t>P</w:t>
      </w:r>
      <w:r w:rsidR="0001762D">
        <w:t xml:space="preserve">roviders will be invited to </w:t>
      </w:r>
      <w:r w:rsidR="0090573A">
        <w:t>C</w:t>
      </w:r>
      <w:r w:rsidR="0001762D">
        <w:t>all</w:t>
      </w:r>
      <w:r w:rsidR="0090573A">
        <w:t>-O</w:t>
      </w:r>
      <w:r w:rsidR="0001762D">
        <w:t xml:space="preserve">ff </w:t>
      </w:r>
      <w:r w:rsidR="0090573A">
        <w:t>C</w:t>
      </w:r>
      <w:r w:rsidR="0001762D">
        <w:t xml:space="preserve">ompetitions where they </w:t>
      </w:r>
      <w:r w:rsidR="0090573A">
        <w:t>have</w:t>
      </w:r>
      <w:r w:rsidR="0001762D">
        <w:t xml:space="preserve"> qualified for one or more </w:t>
      </w:r>
      <w:r w:rsidR="0090573A">
        <w:t xml:space="preserve">Service Categories </w:t>
      </w:r>
      <w:r w:rsidR="00883B43">
        <w:t>(</w:t>
      </w:r>
      <w:r w:rsidR="0090573A">
        <w:t xml:space="preserve">in </w:t>
      </w:r>
      <w:r w:rsidR="00883B43">
        <w:t xml:space="preserve">relation to </w:t>
      </w:r>
      <w:r w:rsidR="0090573A">
        <w:t>those Geographical Areas that they have indicated at SQ stage that they can provide the Services</w:t>
      </w:r>
      <w:r w:rsidR="00F0648E">
        <w:t xml:space="preserve"> within</w:t>
      </w:r>
      <w:r w:rsidR="00883B43">
        <w:t>)</w:t>
      </w:r>
      <w:r w:rsidR="0090573A">
        <w:t xml:space="preserve">. </w:t>
      </w:r>
      <w:r w:rsidRPr="002E1D24">
        <w:t xml:space="preserve">The Authority will not contact </w:t>
      </w:r>
      <w:r w:rsidR="00DA5B06">
        <w:t>Provider</w:t>
      </w:r>
      <w:r w:rsidRPr="002E1D24">
        <w:t xml:space="preserve">s through any route other than </w:t>
      </w:r>
      <w:r w:rsidR="00F952FD">
        <w:t xml:space="preserve">the </w:t>
      </w:r>
      <w:r w:rsidR="008A67AF">
        <w:t>eSourcing System</w:t>
      </w:r>
      <w:r w:rsidRPr="002E1D24">
        <w:t>.</w:t>
      </w:r>
      <w:r w:rsidR="002838F9">
        <w:t xml:space="preserve"> </w:t>
      </w:r>
    </w:p>
    <w:p w14:paraId="33AB636C" w14:textId="18500C07" w:rsidR="002E1D24" w:rsidRPr="002E1D24" w:rsidRDefault="002E1D24" w:rsidP="002E1D24">
      <w:pPr>
        <w:pStyle w:val="Level2"/>
      </w:pPr>
      <w:r>
        <w:t>The</w:t>
      </w:r>
      <w:r w:rsidR="00A33BE0">
        <w:t xml:space="preserve"> main subject matter of the</w:t>
      </w:r>
      <w:r>
        <w:t xml:space="preserve"> service</w:t>
      </w:r>
      <w:r w:rsidR="00A33BE0">
        <w:t>s</w:t>
      </w:r>
      <w:r>
        <w:t xml:space="preserve"> to be provided under the </w:t>
      </w:r>
      <w:r w:rsidR="00E22A97">
        <w:t>Framework Agreement</w:t>
      </w:r>
      <w:r w:rsidR="00A33BE0">
        <w:t xml:space="preserve"> is</w:t>
      </w:r>
      <w:r w:rsidRPr="002E1D24">
        <w:t xml:space="preserve"> classified as health, social and other services within Schedule 3 of the Regulations, meaning the Authority is not obliged to comply with the full requirements of the Regulations. The Authority shall conduct this procurement in accordance with the "Light Touch Regime" (LTR), whilst complying with the overall principles of an open and transparent competition, equal treatment, non-dis</w:t>
      </w:r>
      <w:r w:rsidR="00A33BE0">
        <w:t>crimination and proportionality</w:t>
      </w:r>
      <w:r w:rsidRPr="002E1D24">
        <w:t>.</w:t>
      </w:r>
    </w:p>
    <w:p w14:paraId="5111ECAB" w14:textId="5F38886A" w:rsidR="002E1D24" w:rsidRDefault="002E1D24" w:rsidP="002E1D24">
      <w:pPr>
        <w:pStyle w:val="Level2"/>
      </w:pPr>
      <w:r>
        <w:t xml:space="preserve">These instructions, together with </w:t>
      </w:r>
      <w:r w:rsidR="00842EC7">
        <w:t>Draft Call-Off Contract</w:t>
      </w:r>
      <w:r w:rsidR="00D20A5E">
        <w:t xml:space="preserve">, </w:t>
      </w:r>
      <w:r>
        <w:t xml:space="preserve">and all other information and documents to which they refer, are designed to ensure that all </w:t>
      </w:r>
      <w:r w:rsidR="00DA5B06">
        <w:t>Provider</w:t>
      </w:r>
      <w:r>
        <w:t xml:space="preserve">s are given equal and fair consideration. It is important, therefore, that </w:t>
      </w:r>
      <w:r w:rsidR="00DA5B06">
        <w:t>Provider</w:t>
      </w:r>
      <w:r>
        <w:t>s provide all information required in the format and order specified.</w:t>
      </w:r>
    </w:p>
    <w:p w14:paraId="37B12C12" w14:textId="684C6FFD" w:rsidR="002E1D24" w:rsidRDefault="00DA5B06" w:rsidP="002E1D24">
      <w:pPr>
        <w:pStyle w:val="Level2"/>
      </w:pPr>
      <w:r>
        <w:t>Provider</w:t>
      </w:r>
      <w:r w:rsidR="002E1D24">
        <w:t xml:space="preserve">s should read these instructions carefully to ensure they understand them and the conditions of participation before submitting </w:t>
      </w:r>
      <w:r w:rsidR="00BF151E">
        <w:t>Tender Response</w:t>
      </w:r>
      <w:r w:rsidR="002E1D24">
        <w:t>s.</w:t>
      </w:r>
    </w:p>
    <w:p w14:paraId="22F4811D" w14:textId="34A6FC39" w:rsidR="002E1D24" w:rsidRDefault="002E1D24" w:rsidP="002E1D24">
      <w:pPr>
        <w:pStyle w:val="Level2"/>
      </w:pPr>
      <w:r>
        <w:t xml:space="preserve">Additional documents and/or updated versions of the ITT or any part of it may be issued by the Authority to all </w:t>
      </w:r>
      <w:r w:rsidR="00DA5B06">
        <w:t>Provider</w:t>
      </w:r>
      <w:r>
        <w:t>s as deemed appropriate by the Authority at any stage during the Procurement. Any additional documents and/or updated versions of the ITT shall be issued via</w:t>
      </w:r>
      <w:r w:rsidR="00090D79">
        <w:t xml:space="preserve"> the </w:t>
      </w:r>
      <w:r w:rsidR="008A67AF">
        <w:t>eSourcing System</w:t>
      </w:r>
      <w:r>
        <w:t>.</w:t>
      </w:r>
    </w:p>
    <w:p w14:paraId="1909EF75" w14:textId="7812347E" w:rsidR="002E1D24" w:rsidRPr="002E1D24" w:rsidRDefault="002E1D24" w:rsidP="002E1D24">
      <w:pPr>
        <w:pStyle w:val="Level2"/>
      </w:pPr>
      <w:r>
        <w:t xml:space="preserve">The Authority reserves the right to share further information with regard to the ITT, the Procurement and any other aspect of the award process only to registered </w:t>
      </w:r>
      <w:r w:rsidR="00DA5B06">
        <w:t>Provider</w:t>
      </w:r>
      <w:r>
        <w:t>s (</w:t>
      </w:r>
      <w:r w:rsidR="00734F0B">
        <w:t>i.e.</w:t>
      </w:r>
      <w:r>
        <w:t xml:space="preserve"> those </w:t>
      </w:r>
      <w:r w:rsidR="00DA5B06">
        <w:t>Provider</w:t>
      </w:r>
      <w:r>
        <w:t>s who</w:t>
      </w:r>
      <w:r w:rsidR="00090D79">
        <w:t xml:space="preserve"> successfully</w:t>
      </w:r>
      <w:r>
        <w:t xml:space="preserve"> submitted an SQ response</w:t>
      </w:r>
      <w:r w:rsidR="00090D79">
        <w:t xml:space="preserve"> and were admitted to the </w:t>
      </w:r>
      <w:r w:rsidR="00842EC7">
        <w:t>Framework Agreement</w:t>
      </w:r>
      <w:r>
        <w:t xml:space="preserve">). </w:t>
      </w:r>
    </w:p>
    <w:p w14:paraId="2D341EA4" w14:textId="779BB809" w:rsidR="00067A64" w:rsidRPr="00D231F6" w:rsidRDefault="00165DF8" w:rsidP="00067A64">
      <w:pPr>
        <w:pStyle w:val="Level1"/>
        <w:keepNext/>
      </w:pPr>
      <w:r>
        <w:rPr>
          <w:rStyle w:val="Level1asHeadingtext"/>
        </w:rPr>
        <w:lastRenderedPageBreak/>
        <w:fldChar w:fldCharType="begin"/>
      </w:r>
      <w:r w:rsidRPr="00165DF8">
        <w:instrText xml:space="preserve">  TC "</w:instrText>
      </w:r>
      <w:r>
        <w:fldChar w:fldCharType="begin"/>
      </w:r>
      <w:r w:rsidRPr="00165DF8">
        <w:instrText xml:space="preserve"> REF _Ref439717357 \r </w:instrText>
      </w:r>
      <w:r>
        <w:fldChar w:fldCharType="separate"/>
      </w:r>
      <w:bookmarkStart w:id="91" w:name="_Toc42697282"/>
      <w:r w:rsidR="006D7AE5">
        <w:instrText>7</w:instrText>
      </w:r>
      <w:r>
        <w:fldChar w:fldCharType="end"/>
      </w:r>
      <w:r>
        <w:tab/>
        <w:instrText>GENERAL TERMS AND CONDITIONS</w:instrText>
      </w:r>
      <w:bookmarkEnd w:id="91"/>
      <w:r w:rsidRPr="00165DF8">
        <w:instrText xml:space="preserve">" \l1 </w:instrText>
      </w:r>
      <w:r>
        <w:rPr>
          <w:rStyle w:val="Level1asHeadingtext"/>
        </w:rPr>
        <w:fldChar w:fldCharType="end"/>
      </w:r>
      <w:bookmarkStart w:id="92" w:name="_Ref437495292"/>
      <w:bookmarkStart w:id="93" w:name="_Ref437497002"/>
      <w:bookmarkStart w:id="94" w:name="_Ref437497266"/>
      <w:bookmarkStart w:id="95" w:name="_Ref437497010"/>
      <w:bookmarkStart w:id="96" w:name="_Ref437538075"/>
      <w:bookmarkStart w:id="97" w:name="_Ref437537777"/>
      <w:bookmarkStart w:id="98" w:name="_Ref437537921"/>
      <w:bookmarkStart w:id="99" w:name="_Ref437538131"/>
      <w:bookmarkStart w:id="100" w:name="_Ref437537922"/>
      <w:bookmarkStart w:id="101" w:name="_Ref437538511"/>
      <w:bookmarkStart w:id="102" w:name="_Ref437538360"/>
      <w:bookmarkStart w:id="103" w:name="_Ref437538599"/>
      <w:bookmarkStart w:id="104" w:name="_Ref437538053"/>
      <w:bookmarkStart w:id="105" w:name="_Ref439717357"/>
      <w:r w:rsidR="00067A64" w:rsidRPr="00D231F6">
        <w:rPr>
          <w:rStyle w:val="Level1asHeadingtext"/>
        </w:rPr>
        <w:t>General Terms and Conditions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438849D4" w14:textId="72D9B95B" w:rsidR="00F63019" w:rsidRPr="00D231F6" w:rsidRDefault="00DB7389" w:rsidP="00F63019">
      <w:pPr>
        <w:pStyle w:val="Level2"/>
        <w:keepNext/>
        <w:rPr>
          <w:lang w:eastAsia="en-US"/>
        </w:rPr>
      </w:pPr>
      <w:r>
        <w:rPr>
          <w:rStyle w:val="Level2asHeadingtext"/>
        </w:rPr>
        <w:t>Disclosure of information</w:t>
      </w:r>
    </w:p>
    <w:p w14:paraId="5E851218" w14:textId="441F7396" w:rsidR="00F63019" w:rsidRDefault="00F63019" w:rsidP="00F63019">
      <w:pPr>
        <w:pStyle w:val="Level2"/>
        <w:rPr>
          <w:lang w:eastAsia="en-US"/>
        </w:rPr>
      </w:pPr>
      <w:r w:rsidRPr="00D231F6">
        <w:rPr>
          <w:lang w:eastAsia="en-US"/>
        </w:rPr>
        <w:t xml:space="preserve">The Authority may disclose detailed information relating to the procurement exercise to the Authority's key stakeholders, directors, officers, employees, agents or advisers and may make </w:t>
      </w:r>
      <w:r w:rsidR="00DA5B06">
        <w:rPr>
          <w:lang w:eastAsia="en-US"/>
        </w:rPr>
        <w:t>Provider</w:t>
      </w:r>
      <w:r w:rsidRPr="00D231F6">
        <w:rPr>
          <w:lang w:eastAsia="en-US"/>
        </w:rPr>
        <w:t>s’ written responses available for private inspection by those persons.</w:t>
      </w:r>
    </w:p>
    <w:p w14:paraId="321418E2" w14:textId="6DE92C77" w:rsidR="00182284" w:rsidRPr="00182284" w:rsidRDefault="00182284" w:rsidP="00F63019">
      <w:pPr>
        <w:pStyle w:val="Level2"/>
        <w:rPr>
          <w:b/>
          <w:lang w:eastAsia="en-US"/>
        </w:rPr>
      </w:pPr>
      <w:bookmarkStart w:id="106" w:name="_Ref40807871"/>
      <w:r w:rsidRPr="00182284">
        <w:rPr>
          <w:b/>
          <w:lang w:eastAsia="en-US"/>
        </w:rPr>
        <w:t>Conflicts of Interest</w:t>
      </w:r>
      <w:r w:rsidR="00FC3DFE">
        <w:rPr>
          <w:b/>
          <w:lang w:eastAsia="en-US"/>
        </w:rPr>
        <w:t xml:space="preserve"> </w:t>
      </w:r>
      <w:r w:rsidR="00800058">
        <w:rPr>
          <w:b/>
          <w:lang w:eastAsia="en-US"/>
        </w:rPr>
        <w:t>and Multiple Tenders</w:t>
      </w:r>
      <w:bookmarkEnd w:id="106"/>
    </w:p>
    <w:p w14:paraId="480B5ABC" w14:textId="772E9DFC" w:rsidR="00182284" w:rsidRDefault="00182284" w:rsidP="00182284">
      <w:pPr>
        <w:pStyle w:val="Level2"/>
      </w:pPr>
      <w:r>
        <w:t xml:space="preserve">The Authority requires that all actual or potential conflicts of interest are resolved to the satisfaction of the Authority prior to the submission of the [Further Qualification and] Tender Responses. To this end, </w:t>
      </w:r>
      <w:r w:rsidR="00DA5B06">
        <w:t>Provider</w:t>
      </w:r>
      <w:r>
        <w:t xml:space="preserve">s should complete the conflict of interest document attached </w:t>
      </w:r>
      <w:r w:rsidRPr="00E90C5F">
        <w:t xml:space="preserve">in </w:t>
      </w:r>
      <w:r w:rsidRPr="00862942">
        <w:t xml:space="preserve">Appendix </w:t>
      </w:r>
      <w:r w:rsidR="00E90C5F" w:rsidRPr="00862942">
        <w:t>5</w:t>
      </w:r>
      <w:r w:rsidRPr="00862942">
        <w:t>.</w:t>
      </w:r>
      <w:r w:rsidR="00FC3DFE">
        <w:t xml:space="preserve"> In the event that any actual,</w:t>
      </w:r>
      <w:r>
        <w:t xml:space="preserve"> potential</w:t>
      </w:r>
      <w:r w:rsidR="00FC3DFE">
        <w:t xml:space="preserve"> or perceived</w:t>
      </w:r>
      <w:r>
        <w:t xml:space="preserve"> conflict of interest comes to a </w:t>
      </w:r>
      <w:r w:rsidR="00DA5B06">
        <w:t>Provider</w:t>
      </w:r>
      <w:r>
        <w:t xml:space="preserve">’s attention following the submission of its [Further Qualification and] Tender Response, the </w:t>
      </w:r>
      <w:r w:rsidR="00DA5B06">
        <w:t>Provider</w:t>
      </w:r>
      <w:r>
        <w:t xml:space="preserve"> should immediately notify the Authority via [insert details of route for contact].</w:t>
      </w:r>
      <w:r w:rsidR="00ED0D91">
        <w:t xml:space="preserve"> The Authority reserves the right to exclude a Provider from the Call-Off Competition where an identified conflict of interest cannot be remedied to its satisfaction.</w:t>
      </w:r>
    </w:p>
    <w:p w14:paraId="12F17931" w14:textId="23E3FAC5" w:rsidR="00FC3DFE" w:rsidRDefault="00EB7D74" w:rsidP="00182284">
      <w:pPr>
        <w:pStyle w:val="Level2"/>
      </w:pPr>
      <w:r>
        <w:t xml:space="preserve">With the exception of Key Sub-contractors, Providers can only bid once </w:t>
      </w:r>
      <w:r w:rsidR="00800058">
        <w:t xml:space="preserve">in </w:t>
      </w:r>
      <w:r w:rsidR="00E90C5F">
        <w:t xml:space="preserve">each </w:t>
      </w:r>
      <w:r>
        <w:t xml:space="preserve">Call-Off Competition. </w:t>
      </w:r>
    </w:p>
    <w:p w14:paraId="2248429A" w14:textId="76932590" w:rsidR="00EB7D74" w:rsidRDefault="004665A0" w:rsidP="00182284">
      <w:pPr>
        <w:pStyle w:val="Level2"/>
      </w:pPr>
      <w:bookmarkStart w:id="107" w:name="_Ref40374135"/>
      <w:r>
        <w:t>Key Sub-c</w:t>
      </w:r>
      <w:r w:rsidR="00EB7D74">
        <w:t>ontractors may participate</w:t>
      </w:r>
      <w:r>
        <w:t xml:space="preserve"> in (i.e. be "connected" with)</w:t>
      </w:r>
      <w:r w:rsidR="00EB7D74">
        <w:t xml:space="preserve"> more than one response</w:t>
      </w:r>
      <w:r w:rsidR="00E90C5F">
        <w:t xml:space="preserve"> by Providers</w:t>
      </w:r>
      <w:r w:rsidR="00EB7D74">
        <w:t xml:space="preserve"> for the same Call-Off Competition, however this must be declared to the Authority</w:t>
      </w:r>
      <w:r w:rsidR="00257F5D">
        <w:t xml:space="preserve"> or Participating Body</w:t>
      </w:r>
      <w:r w:rsidR="00E90C5F">
        <w:t xml:space="preserve"> in writing</w:t>
      </w:r>
      <w:r w:rsidR="00862942">
        <w:t xml:space="preserve"> as part of the Conflict of Interest declaration (</w:t>
      </w:r>
      <w:r w:rsidR="00896971">
        <w:t>Appendix 5</w:t>
      </w:r>
      <w:r w:rsidR="00862942" w:rsidRPr="00896971">
        <w:t>)</w:t>
      </w:r>
      <w:r w:rsidR="00862942">
        <w:t xml:space="preserve"> </w:t>
      </w:r>
      <w:r w:rsidR="00EB7D74">
        <w:t xml:space="preserve">. </w:t>
      </w:r>
      <w:r>
        <w:t>Where a Key Sub-contractor is connected to more than one Call-Off ITT response, the</w:t>
      </w:r>
      <w:r w:rsidR="00FC3DFE">
        <w:t xml:space="preserve"> Authority reserves the right to make further enquiries in order to ensure that this does not cause actual, potential or perceived conflict of interest, capacity problems</w:t>
      </w:r>
      <w:r w:rsidR="00D20A5E">
        <w:t>,</w:t>
      </w:r>
      <w:r w:rsidR="00930DE8">
        <w:t xml:space="preserve"> issues with </w:t>
      </w:r>
      <w:r w:rsidR="00930DE8" w:rsidRPr="00844BFA">
        <w:t>EFS,</w:t>
      </w:r>
      <w:r w:rsidR="00FC3DFE">
        <w:t xml:space="preserve"> and/or restrictions or distortions in competition.</w:t>
      </w:r>
      <w:bookmarkEnd w:id="107"/>
    </w:p>
    <w:p w14:paraId="7CE49AC6" w14:textId="4693FDDD" w:rsidR="00FC3DFE" w:rsidRPr="00D231F6" w:rsidRDefault="00FC3DFE" w:rsidP="00182284">
      <w:pPr>
        <w:pStyle w:val="Level2"/>
      </w:pPr>
      <w:bookmarkStart w:id="108" w:name="_Ref41933983"/>
      <w:r>
        <w:t>The Authority may require a Provider to</w:t>
      </w:r>
      <w:r w:rsidR="002E64F4">
        <w:t xml:space="preserve"> amend or withdraw </w:t>
      </w:r>
      <w:r>
        <w:t xml:space="preserve">all or part of a Tender Response if, in its reasonable opinion, the participation of a Key Sub-Contractor </w:t>
      </w:r>
      <w:r w:rsidR="002E64F4">
        <w:t xml:space="preserve">in multiple Tender Responses </w:t>
      </w:r>
      <w:r w:rsidR="00E90C5F">
        <w:t xml:space="preserve">for the same Call-Off Competition </w:t>
      </w:r>
      <w:r w:rsidR="002E64F4">
        <w:t xml:space="preserve">creates any of the issues identified in paragraph </w:t>
      </w:r>
      <w:r w:rsidR="002E64F4">
        <w:fldChar w:fldCharType="begin"/>
      </w:r>
      <w:r w:rsidR="002E64F4">
        <w:instrText xml:space="preserve"> REF _Ref40374135 \r \h </w:instrText>
      </w:r>
      <w:r w:rsidR="002E64F4">
        <w:fldChar w:fldCharType="separate"/>
      </w:r>
      <w:r w:rsidR="006D7AE5">
        <w:t>7.6</w:t>
      </w:r>
      <w:r w:rsidR="002E64F4">
        <w:fldChar w:fldCharType="end"/>
      </w:r>
      <w:r w:rsidR="002E64F4">
        <w:t xml:space="preserve"> above.</w:t>
      </w:r>
      <w:bookmarkEnd w:id="108"/>
    </w:p>
    <w:p w14:paraId="76A4C6D2" w14:textId="29525E9E" w:rsidR="00F63019" w:rsidRPr="00D231F6" w:rsidRDefault="00DA5B06" w:rsidP="00F63019">
      <w:pPr>
        <w:pStyle w:val="Level2"/>
        <w:keepNext/>
        <w:rPr>
          <w:i/>
          <w:lang w:eastAsia="en-US"/>
        </w:rPr>
      </w:pPr>
      <w:bookmarkStart w:id="109" w:name="_Ref70000000"/>
      <w:r>
        <w:rPr>
          <w:rStyle w:val="Level2asHeadingtext"/>
        </w:rPr>
        <w:t>Provider</w:t>
      </w:r>
      <w:r w:rsidR="002E1D24">
        <w:rPr>
          <w:rStyle w:val="Level2asHeadingtext"/>
        </w:rPr>
        <w:t xml:space="preserve"> </w:t>
      </w:r>
      <w:r w:rsidR="00F63019" w:rsidRPr="00D231F6">
        <w:rPr>
          <w:rStyle w:val="Level2asHeadingtext"/>
        </w:rPr>
        <w:t>Clarification</w:t>
      </w:r>
      <w:bookmarkEnd w:id="109"/>
      <w:r w:rsidR="002E1D24">
        <w:rPr>
          <w:rStyle w:val="Level2asHeadingtext"/>
        </w:rPr>
        <w:t xml:space="preserve"> Questions</w:t>
      </w:r>
    </w:p>
    <w:p w14:paraId="2A6C4F0A" w14:textId="13A1F3B9" w:rsidR="00F63019" w:rsidRPr="00D231F6" w:rsidRDefault="00F63019" w:rsidP="00F63019">
      <w:pPr>
        <w:pStyle w:val="Level2"/>
      </w:pPr>
      <w:r w:rsidRPr="00D231F6">
        <w:t xml:space="preserve">Any queries/clarifications regarding this </w:t>
      </w:r>
      <w:r w:rsidR="00B11B6F">
        <w:t xml:space="preserve">Call-Off </w:t>
      </w:r>
      <w:r w:rsidR="00B11B6F" w:rsidRPr="00D231F6">
        <w:t>ITT</w:t>
      </w:r>
      <w:r w:rsidRPr="00D231F6">
        <w:t xml:space="preserve"> must be directed via the </w:t>
      </w:r>
      <w:r w:rsidR="002E1D24">
        <w:t xml:space="preserve">messaging facility on </w:t>
      </w:r>
      <w:r w:rsidR="00990428">
        <w:t xml:space="preserve">the </w:t>
      </w:r>
      <w:r w:rsidR="008A67AF">
        <w:t>eSourcing System</w:t>
      </w:r>
      <w:r w:rsidR="002E1D24">
        <w:t>.</w:t>
      </w:r>
      <w:r w:rsidR="00876E5E">
        <w:t xml:space="preserve"> </w:t>
      </w:r>
      <w:r w:rsidR="00876E5E" w:rsidRPr="00844BFA">
        <w:t>Clarifications should be clearly marked with the: subject</w:t>
      </w:r>
      <w:r w:rsidR="00844BFA">
        <w:t xml:space="preserve"> of the clarification</w:t>
      </w:r>
      <w:r w:rsidR="00876E5E" w:rsidRPr="00844BFA">
        <w:t>; document name</w:t>
      </w:r>
      <w:r w:rsidR="00844BFA">
        <w:t xml:space="preserve"> the clarification refers to</w:t>
      </w:r>
      <w:r w:rsidR="00876E5E" w:rsidRPr="00844BFA">
        <w:t xml:space="preserve"> (if applicable); and</w:t>
      </w:r>
      <w:r w:rsidR="00844BFA">
        <w:t xml:space="preserve"> the</w:t>
      </w:r>
      <w:r w:rsidR="00876E5E" w:rsidRPr="00844BFA">
        <w:t xml:space="preserve"> </w:t>
      </w:r>
      <w:r w:rsidR="00844BFA">
        <w:t xml:space="preserve">document </w:t>
      </w:r>
      <w:r w:rsidR="00876E5E" w:rsidRPr="00844BFA">
        <w:t>reference/paragraph</w:t>
      </w:r>
      <w:r w:rsidR="00844BFA">
        <w:t xml:space="preserve"> (if applicable)</w:t>
      </w:r>
      <w:r w:rsidR="00876E5E" w:rsidRPr="00844BFA">
        <w:t>.</w:t>
      </w:r>
      <w:r w:rsidR="00930DE8">
        <w:t xml:space="preserve"> </w:t>
      </w:r>
      <w:r w:rsidR="002E1D24">
        <w:t xml:space="preserve"> No approach or communication of any kind in connection with this ITT should be made to any other person within, or associated with, the A</w:t>
      </w:r>
      <w:r w:rsidRPr="00D231F6">
        <w:t>uthority.</w:t>
      </w:r>
    </w:p>
    <w:p w14:paraId="18210A14" w14:textId="464B2CE2" w:rsidR="00F63019" w:rsidRPr="00D231F6" w:rsidRDefault="00F63019" w:rsidP="00F63019">
      <w:pPr>
        <w:pStyle w:val="Level2"/>
      </w:pPr>
      <w:r w:rsidRPr="00D231F6">
        <w:t xml:space="preserve">All information/responses to correspondence or clarifications will be anonymised and supplied to all </w:t>
      </w:r>
      <w:r w:rsidR="00DA5B06">
        <w:t>Provider</w:t>
      </w:r>
      <w:r w:rsidRPr="00D231F6">
        <w:t xml:space="preserve">s on a uniform basis (unless expressly stated otherwise). If a </w:t>
      </w:r>
      <w:r w:rsidR="00DA5B06">
        <w:t>Provider</w:t>
      </w:r>
      <w:r w:rsidRPr="00D231F6">
        <w:t xml:space="preserve"> wishes the Authority to treat a clarification as confidential, then this must be clearly communicated. The Authority will consider such requests and will contact the relevant </w:t>
      </w:r>
      <w:r w:rsidR="00DA5B06">
        <w:t>Provider</w:t>
      </w:r>
      <w:r w:rsidRPr="00D231F6">
        <w:t xml:space="preserve"> concerned if it is unable to comply with the request. However, the Authority reserves the right to issue a general response to any clarification (whether marked "commercially sensitive", "confidential" or otherwise), if:</w:t>
      </w:r>
    </w:p>
    <w:p w14:paraId="468C53C4" w14:textId="5BBB6F0C" w:rsidR="00F63019" w:rsidRPr="00D231F6" w:rsidRDefault="00F63019" w:rsidP="00F63019">
      <w:pPr>
        <w:pStyle w:val="Level3"/>
      </w:pPr>
      <w:r w:rsidRPr="00D231F6">
        <w:t xml:space="preserve">the Authority, in its sole discretion, takes the view that issuing a response to the clarification on a uniform basis to all </w:t>
      </w:r>
      <w:r w:rsidR="00DA5B06">
        <w:t>Provider</w:t>
      </w:r>
      <w:r w:rsidRPr="00D231F6">
        <w:t xml:space="preserve">s will not impart any confidential information concerning the business, tender offering or any other information which will cause loss or harm to the </w:t>
      </w:r>
      <w:r w:rsidR="00DA5B06">
        <w:t>Provider</w:t>
      </w:r>
      <w:r w:rsidRPr="00D231F6">
        <w:t xml:space="preserve"> which has raised the clarification;</w:t>
      </w:r>
    </w:p>
    <w:p w14:paraId="10767061" w14:textId="58ED943C" w:rsidR="00F63019" w:rsidRPr="00D231F6" w:rsidRDefault="00F63019" w:rsidP="00F63019">
      <w:pPr>
        <w:pStyle w:val="Level3"/>
      </w:pPr>
      <w:r w:rsidRPr="00D231F6">
        <w:t xml:space="preserve">the Authority considers that the matter is relevant to all </w:t>
      </w:r>
      <w:r w:rsidR="00DA5B06">
        <w:t>Provider</w:t>
      </w:r>
      <w:r w:rsidRPr="00D231F6">
        <w:t>s taking part in the process; and/or</w:t>
      </w:r>
    </w:p>
    <w:p w14:paraId="2AC1FB7A" w14:textId="4AC8B0EE" w:rsidR="00F63019" w:rsidRPr="00D231F6" w:rsidRDefault="00F63019" w:rsidP="00F63019">
      <w:pPr>
        <w:pStyle w:val="Level3"/>
      </w:pPr>
      <w:r w:rsidRPr="00D231F6">
        <w:t>responding to the clarification on a uniform basis is in the interests of ensuring the Authority is continuing to comply with its obligations under the Regulations.</w:t>
      </w:r>
    </w:p>
    <w:p w14:paraId="6ED940AC" w14:textId="77777777" w:rsidR="00F63019" w:rsidRPr="00D231F6" w:rsidRDefault="00F63019" w:rsidP="00F63019">
      <w:pPr>
        <w:pStyle w:val="Level2"/>
      </w:pPr>
      <w:r w:rsidRPr="00D231F6">
        <w:lastRenderedPageBreak/>
        <w:t xml:space="preserve">The Authority may seek clarification on any aspect of a submission at any time throughout the procurement process. </w:t>
      </w:r>
    </w:p>
    <w:p w14:paraId="65147735" w14:textId="77777777" w:rsidR="00AB2C45" w:rsidRPr="00AB2C45" w:rsidRDefault="00AB2C45" w:rsidP="00AB2C45">
      <w:pPr>
        <w:pStyle w:val="Level2"/>
        <w:rPr>
          <w:rStyle w:val="Level2asHeadingtext"/>
          <w:bCs w:val="0"/>
        </w:rPr>
      </w:pPr>
      <w:r w:rsidRPr="00AB2C45">
        <w:rPr>
          <w:rStyle w:val="Level2asHeadingtext"/>
          <w:bCs w:val="0"/>
        </w:rPr>
        <w:t>Freedom of Information and Confidentiality</w:t>
      </w:r>
    </w:p>
    <w:p w14:paraId="5D2E0B09" w14:textId="5F049250" w:rsidR="00AB2C45" w:rsidRPr="00AB2C45" w:rsidRDefault="00AB2C45" w:rsidP="00AB2C45">
      <w:pPr>
        <w:pStyle w:val="Level2"/>
        <w:rPr>
          <w:rStyle w:val="Level2asHeadingtext"/>
          <w:b w:val="0"/>
          <w:bCs w:val="0"/>
        </w:rPr>
      </w:pPr>
      <w:bookmarkStart w:id="110" w:name="_Ref40375139"/>
      <w:r w:rsidRPr="00AB2C45">
        <w:rPr>
          <w:rStyle w:val="Level2asHeadingtext"/>
          <w:b w:val="0"/>
          <w:bCs w:val="0"/>
        </w:rPr>
        <w:t xml:space="preserve">If a </w:t>
      </w:r>
      <w:r>
        <w:rPr>
          <w:rStyle w:val="Level2asHeadingtext"/>
          <w:b w:val="0"/>
          <w:bCs w:val="0"/>
        </w:rPr>
        <w:t>Provider</w:t>
      </w:r>
      <w:r w:rsidRPr="00AB2C45">
        <w:rPr>
          <w:rStyle w:val="Level2asHeadingtext"/>
          <w:b w:val="0"/>
          <w:bCs w:val="0"/>
        </w:rPr>
        <w:t xml:space="preserve"> considers part of its Tender is commercially sensitive, it should inform the Authority via the </w:t>
      </w:r>
      <w:r w:rsidR="008A67AF">
        <w:rPr>
          <w:rStyle w:val="Level2asHeadingtext"/>
          <w:b w:val="0"/>
          <w:bCs w:val="0"/>
        </w:rPr>
        <w:t>eSourcing System</w:t>
      </w:r>
      <w:r w:rsidRPr="00AB2C45">
        <w:rPr>
          <w:rStyle w:val="Level2asHeadingtext"/>
          <w:b w:val="0"/>
          <w:bCs w:val="0"/>
        </w:rPr>
        <w:t xml:space="preserve"> and:</w:t>
      </w:r>
      <w:bookmarkEnd w:id="110"/>
    </w:p>
    <w:p w14:paraId="4A6A4FDB" w14:textId="77777777" w:rsidR="00AB2C45" w:rsidRPr="00AB2C45" w:rsidRDefault="00AB2C45" w:rsidP="00AB2C45">
      <w:pPr>
        <w:pStyle w:val="Level3"/>
        <w:keepNext/>
        <w:rPr>
          <w:rStyle w:val="Level3asHeadingtext"/>
          <w:b w:val="0"/>
        </w:rPr>
      </w:pPr>
      <w:r w:rsidRPr="00AB2C45">
        <w:rPr>
          <w:rStyle w:val="Level3asHeadingtext"/>
          <w:b w:val="0"/>
        </w:rPr>
        <w:t>clearly identify such information as commercially sensitive;</w:t>
      </w:r>
    </w:p>
    <w:p w14:paraId="6B865A80" w14:textId="77777777" w:rsidR="00AB2C45" w:rsidRPr="00AB2C45" w:rsidRDefault="00AB2C45" w:rsidP="00AB2C45">
      <w:pPr>
        <w:pStyle w:val="Level3"/>
        <w:keepNext/>
        <w:rPr>
          <w:rStyle w:val="Level3asHeadingtext"/>
          <w:b w:val="0"/>
        </w:rPr>
      </w:pPr>
      <w:r w:rsidRPr="00AB2C45">
        <w:rPr>
          <w:rStyle w:val="Level3asHeadingtext"/>
          <w:b w:val="0"/>
        </w:rPr>
        <w:t>explain the potential implications of disclosure of such information; and</w:t>
      </w:r>
    </w:p>
    <w:p w14:paraId="1C4AC774" w14:textId="759B6AB8" w:rsidR="00AB2C45" w:rsidRPr="00AB2C45" w:rsidRDefault="00AB2C45" w:rsidP="00AB2C45">
      <w:pPr>
        <w:pStyle w:val="Level3"/>
        <w:keepNext/>
        <w:rPr>
          <w:rStyle w:val="Level3asHeadingtext"/>
          <w:b w:val="0"/>
        </w:rPr>
      </w:pPr>
      <w:r w:rsidRPr="00AB2C45">
        <w:rPr>
          <w:rStyle w:val="Level3asHeadingtext"/>
          <w:b w:val="0"/>
        </w:rPr>
        <w:t xml:space="preserve">provide an estimate of the period of time during which the </w:t>
      </w:r>
      <w:r>
        <w:rPr>
          <w:rStyle w:val="Level3asHeadingtext"/>
          <w:b w:val="0"/>
        </w:rPr>
        <w:t>Provider</w:t>
      </w:r>
      <w:r w:rsidRPr="00AB2C45">
        <w:rPr>
          <w:rStyle w:val="Level3asHeadingtext"/>
          <w:b w:val="0"/>
        </w:rPr>
        <w:t xml:space="preserve"> believes that such information will remain commercially sensitive.</w:t>
      </w:r>
    </w:p>
    <w:p w14:paraId="7BD276A4" w14:textId="0471EEB1" w:rsidR="00AB2C45" w:rsidRPr="00AB2C45" w:rsidRDefault="00AB2C45" w:rsidP="00AB2C45">
      <w:pPr>
        <w:pStyle w:val="Level2"/>
        <w:rPr>
          <w:rStyle w:val="Level2asHeadingtext"/>
          <w:b w:val="0"/>
          <w:bCs w:val="0"/>
        </w:rPr>
      </w:pPr>
      <w:r w:rsidRPr="00AB2C45">
        <w:rPr>
          <w:rStyle w:val="Level2asHeadingtext"/>
          <w:b w:val="0"/>
          <w:bCs w:val="0"/>
        </w:rPr>
        <w:t xml:space="preserve">If a </w:t>
      </w:r>
      <w:r>
        <w:rPr>
          <w:rStyle w:val="Level2asHeadingtext"/>
          <w:b w:val="0"/>
          <w:bCs w:val="0"/>
        </w:rPr>
        <w:t>Provider</w:t>
      </w:r>
      <w:r w:rsidRPr="00AB2C45">
        <w:rPr>
          <w:rStyle w:val="Level2asHeadingtext"/>
          <w:b w:val="0"/>
          <w:bCs w:val="0"/>
        </w:rPr>
        <w:t xml:space="preserve"> identifies information as commercially sensitive in accordance with Paragraph </w:t>
      </w:r>
      <w:r>
        <w:rPr>
          <w:rStyle w:val="Level2asHeadingtext"/>
          <w:b w:val="0"/>
          <w:bCs w:val="0"/>
        </w:rPr>
        <w:fldChar w:fldCharType="begin"/>
      </w:r>
      <w:r>
        <w:rPr>
          <w:rStyle w:val="Level2asHeadingtext"/>
          <w:b w:val="0"/>
          <w:bCs w:val="0"/>
        </w:rPr>
        <w:instrText xml:space="preserve"> REF _Ref40375139 \r \h </w:instrText>
      </w:r>
      <w:r>
        <w:rPr>
          <w:rStyle w:val="Level2asHeadingtext"/>
          <w:b w:val="0"/>
          <w:bCs w:val="0"/>
        </w:rPr>
      </w:r>
      <w:r>
        <w:rPr>
          <w:rStyle w:val="Level2asHeadingtext"/>
          <w:b w:val="0"/>
          <w:bCs w:val="0"/>
        </w:rPr>
        <w:fldChar w:fldCharType="separate"/>
      </w:r>
      <w:r w:rsidR="006D7AE5">
        <w:rPr>
          <w:rStyle w:val="Level2asHeadingtext"/>
          <w:b w:val="0"/>
          <w:bCs w:val="0"/>
        </w:rPr>
        <w:t>7.13</w:t>
      </w:r>
      <w:r>
        <w:rPr>
          <w:rStyle w:val="Level2asHeadingtext"/>
          <w:b w:val="0"/>
          <w:bCs w:val="0"/>
        </w:rPr>
        <w:fldChar w:fldCharType="end"/>
      </w:r>
      <w:r w:rsidRPr="00AB2C45">
        <w:rPr>
          <w:rStyle w:val="Level2asHeadingtext"/>
          <w:b w:val="0"/>
          <w:bCs w:val="0"/>
        </w:rPr>
        <w:t xml:space="preserve">, the Authority will try to maintain confidentiality over it. However, notwithstanding the </w:t>
      </w:r>
      <w:r>
        <w:rPr>
          <w:rStyle w:val="Level2asHeadingtext"/>
          <w:b w:val="0"/>
          <w:bCs w:val="0"/>
        </w:rPr>
        <w:t>Provider</w:t>
      </w:r>
      <w:r w:rsidRPr="00AB2C45">
        <w:rPr>
          <w:rStyle w:val="Level2asHeadingtext"/>
          <w:b w:val="0"/>
          <w:bCs w:val="0"/>
        </w:rPr>
        <w:t xml:space="preserve"> has identified information as commercially sensitive, the Authority:</w:t>
      </w:r>
    </w:p>
    <w:p w14:paraId="541E790C" w14:textId="77777777" w:rsidR="00AB2C45" w:rsidRPr="00AB2C45" w:rsidRDefault="00AB2C45" w:rsidP="00AB2C45">
      <w:pPr>
        <w:pStyle w:val="Level3"/>
        <w:keepNext/>
        <w:rPr>
          <w:rStyle w:val="Level3asHeadingtext"/>
          <w:b w:val="0"/>
        </w:rPr>
      </w:pPr>
      <w:r w:rsidRPr="00AB2C45">
        <w:rPr>
          <w:rStyle w:val="Level3asHeadingtext"/>
          <w:b w:val="0"/>
        </w:rPr>
        <w:t>is subject to the FOIA and the EIR and all information supplied to it may be disclosed in response to a request made pursuant to the FOIA or the EIR, Accordingly, the Authority cannot guarantee that any information marked "commercially sensitive" will not be disclosed;</w:t>
      </w:r>
    </w:p>
    <w:p w14:paraId="3016AAC9" w14:textId="77777777" w:rsidR="00AB2C45" w:rsidRPr="00AB2C45" w:rsidRDefault="00AB2C45" w:rsidP="00AB2C45">
      <w:pPr>
        <w:pStyle w:val="Level3"/>
        <w:keepNext/>
        <w:rPr>
          <w:rStyle w:val="Level3asHeadingtext"/>
          <w:b w:val="0"/>
        </w:rPr>
      </w:pPr>
      <w:r w:rsidRPr="00AB2C45">
        <w:rPr>
          <w:rStyle w:val="Level3asHeadingtext"/>
          <w:b w:val="0"/>
        </w:rPr>
        <w:t>may be required to publish information in the OJEU in accordance with EU Directives or elsewhere in accordance with the requirements of Government policy on the disclosure of information relating to government contracts;</w:t>
      </w:r>
    </w:p>
    <w:p w14:paraId="70A2AA4C" w14:textId="253AA1B2" w:rsidR="00AB2C45" w:rsidRPr="00AB2C45" w:rsidRDefault="00AB2C45" w:rsidP="00AB2C45">
      <w:pPr>
        <w:pStyle w:val="Level3"/>
        <w:keepNext/>
        <w:rPr>
          <w:rStyle w:val="Level3asHeadingtext"/>
          <w:b w:val="0"/>
        </w:rPr>
      </w:pPr>
      <w:r w:rsidRPr="00AB2C45">
        <w:rPr>
          <w:rStyle w:val="Level3asHeadingtext"/>
          <w:b w:val="0"/>
        </w:rPr>
        <w:t xml:space="preserve">as part of the debriefing process following the procurement, shall disclose the characteristics and relative advantages of the successful </w:t>
      </w:r>
      <w:r>
        <w:rPr>
          <w:rStyle w:val="Level3asHeadingtext"/>
          <w:b w:val="0"/>
        </w:rPr>
        <w:t>Provider</w:t>
      </w:r>
      <w:r w:rsidRPr="00AB2C45">
        <w:rPr>
          <w:rStyle w:val="Level3asHeadingtext"/>
          <w:b w:val="0"/>
        </w:rPr>
        <w:t xml:space="preserve">, in addition to the qualitative evaluation scores achieved by the successful </w:t>
      </w:r>
      <w:r>
        <w:rPr>
          <w:rStyle w:val="Level3asHeadingtext"/>
          <w:b w:val="0"/>
        </w:rPr>
        <w:t>Provider</w:t>
      </w:r>
      <w:r w:rsidRPr="00AB2C45">
        <w:rPr>
          <w:rStyle w:val="Level3asHeadingtext"/>
          <w:b w:val="0"/>
        </w:rPr>
        <w:t>;</w:t>
      </w:r>
    </w:p>
    <w:p w14:paraId="2B6C182D" w14:textId="77D26E37" w:rsidR="00AB2C45" w:rsidRPr="00AB2C45" w:rsidRDefault="00AB2C45" w:rsidP="00AB2C45">
      <w:pPr>
        <w:pStyle w:val="Level3"/>
        <w:keepNext/>
        <w:rPr>
          <w:rStyle w:val="Level3asHeadingtext"/>
          <w:b w:val="0"/>
        </w:rPr>
      </w:pPr>
      <w:r w:rsidRPr="00AB2C45">
        <w:rPr>
          <w:rStyle w:val="Level3asHeadingtext"/>
          <w:b w:val="0"/>
        </w:rPr>
        <w:t xml:space="preserve">may disclose the content of any references sought from banks, existing or past clients, or other referees submitted by the </w:t>
      </w:r>
      <w:r>
        <w:rPr>
          <w:rStyle w:val="Level3asHeadingtext"/>
          <w:b w:val="0"/>
        </w:rPr>
        <w:t>Provider</w:t>
      </w:r>
      <w:r w:rsidRPr="00AB2C45">
        <w:rPr>
          <w:rStyle w:val="Level3asHeadingtext"/>
          <w:b w:val="0"/>
        </w:rPr>
        <w:t xml:space="preserve"> to the Crown Commercial Service and/or other contracting authorities (as defined in the Regulations); and</w:t>
      </w:r>
    </w:p>
    <w:p w14:paraId="6CE845D8" w14:textId="77777777" w:rsidR="00AB2C45" w:rsidRPr="00AB2C45" w:rsidRDefault="00AB2C45" w:rsidP="00AB2C45">
      <w:pPr>
        <w:pStyle w:val="Level3"/>
        <w:keepNext/>
        <w:rPr>
          <w:rStyle w:val="Level3asHeadingtext"/>
          <w:b w:val="0"/>
        </w:rPr>
      </w:pPr>
      <w:r w:rsidRPr="00AB2C45">
        <w:rPr>
          <w:rStyle w:val="Level3asHeadingtext"/>
          <w:b w:val="0"/>
        </w:rPr>
        <w:t>may disclose within Government any Tender documents or information contained in them.</w:t>
      </w:r>
    </w:p>
    <w:p w14:paraId="25CC64F5" w14:textId="236A3880" w:rsidR="00AB2C45" w:rsidRPr="00AB2C45" w:rsidRDefault="00AB2C45" w:rsidP="00AB2C45">
      <w:pPr>
        <w:pStyle w:val="Level2"/>
        <w:rPr>
          <w:rStyle w:val="Level2asHeadingtext"/>
          <w:b w:val="0"/>
          <w:bCs w:val="0"/>
        </w:rPr>
      </w:pPr>
      <w:r w:rsidRPr="00AB2C45">
        <w:rPr>
          <w:rStyle w:val="Level2asHeadingtext"/>
          <w:b w:val="0"/>
          <w:bCs w:val="0"/>
        </w:rPr>
        <w:t xml:space="preserve">All information supplied by the Authority to </w:t>
      </w:r>
      <w:r>
        <w:rPr>
          <w:rStyle w:val="Level2asHeadingtext"/>
          <w:b w:val="0"/>
          <w:bCs w:val="0"/>
        </w:rPr>
        <w:t>Provider</w:t>
      </w:r>
      <w:r w:rsidRPr="00AB2C45">
        <w:rPr>
          <w:rStyle w:val="Level2asHeadingtext"/>
          <w:b w:val="0"/>
          <w:bCs w:val="0"/>
        </w:rPr>
        <w:t xml:space="preserve">s must be treated in confidence (unless already in the public domain) and must not be disclosed, copied, reproduced, distributed or passed to third parties other than as is necessary for the purposes of preparing a Tender (for example disclosure by a </w:t>
      </w:r>
      <w:r>
        <w:rPr>
          <w:rStyle w:val="Level2asHeadingtext"/>
          <w:b w:val="0"/>
          <w:bCs w:val="0"/>
        </w:rPr>
        <w:t>Provider</w:t>
      </w:r>
      <w:r w:rsidRPr="00AB2C45">
        <w:rPr>
          <w:rStyle w:val="Level2asHeadingtext"/>
          <w:b w:val="0"/>
          <w:bCs w:val="0"/>
        </w:rPr>
        <w:t xml:space="preserve"> to its insurers who are directly involved in the Tender provided that such person has given an undertaking at the time of receipt of the relevant information (and for the benefit of the Authority) to keep such information confidential.</w:t>
      </w:r>
    </w:p>
    <w:p w14:paraId="2D49DDA7" w14:textId="6BB6BEF2" w:rsidR="00AB2C45" w:rsidRPr="000C672E" w:rsidRDefault="00AB2C45" w:rsidP="00AB2C45">
      <w:pPr>
        <w:pStyle w:val="Level2"/>
        <w:rPr>
          <w:rStyle w:val="Level2asHeadingtext"/>
          <w:b w:val="0"/>
          <w:bCs w:val="0"/>
        </w:rPr>
      </w:pPr>
      <w:r w:rsidRPr="00AB2C45">
        <w:rPr>
          <w:rStyle w:val="Level2asHeadingtext"/>
          <w:b w:val="0"/>
          <w:bCs w:val="0"/>
        </w:rPr>
        <w:t>Subj</w:t>
      </w:r>
      <w:r>
        <w:rPr>
          <w:rStyle w:val="Level2asHeadingtext"/>
          <w:b w:val="0"/>
          <w:bCs w:val="0"/>
        </w:rPr>
        <w:t xml:space="preserve">ect to the provisions of the </w:t>
      </w:r>
      <w:r w:rsidR="00C13230">
        <w:rPr>
          <w:rStyle w:val="Level2asHeadingtext"/>
          <w:b w:val="0"/>
          <w:bCs w:val="0"/>
        </w:rPr>
        <w:t>Call-Off ITT</w:t>
      </w:r>
      <w:r w:rsidRPr="00AB2C45">
        <w:rPr>
          <w:rStyle w:val="Level2asHeadingtext"/>
          <w:b w:val="0"/>
          <w:bCs w:val="0"/>
        </w:rPr>
        <w:t xml:space="preserve">, the Authority will ensure that each Tender is treated as </w:t>
      </w:r>
      <w:r w:rsidRPr="000C672E">
        <w:rPr>
          <w:rStyle w:val="Level2asHeadingtext"/>
          <w:b w:val="0"/>
          <w:bCs w:val="0"/>
        </w:rPr>
        <w:t xml:space="preserve">commercially sensitive and is not shared with any other Provider. </w:t>
      </w:r>
    </w:p>
    <w:p w14:paraId="05C9108F" w14:textId="3C00A6A5" w:rsidR="00AB2C45" w:rsidRPr="000C672E" w:rsidRDefault="00AB2C45" w:rsidP="00AB2C45">
      <w:pPr>
        <w:pStyle w:val="Level2"/>
        <w:rPr>
          <w:rStyle w:val="Level2asHeadingtext"/>
          <w:b w:val="0"/>
          <w:bCs w:val="0"/>
        </w:rPr>
      </w:pPr>
      <w:r w:rsidRPr="000C672E">
        <w:rPr>
          <w:rStyle w:val="Level2asHeadingtext"/>
          <w:b w:val="0"/>
          <w:bCs w:val="0"/>
        </w:rPr>
        <w:t xml:space="preserve">The Government requires that contracts with a total value exceeding £10,000 (ten thousand pounds) are published online at www.gov.uk/contracts-finder. </w:t>
      </w:r>
      <w:r w:rsidR="00A22F2C">
        <w:rPr>
          <w:rStyle w:val="Level2asHeadingtext"/>
          <w:b w:val="0"/>
          <w:bCs w:val="0"/>
        </w:rPr>
        <w:t xml:space="preserve">Solely in order to reduce the administration burden the Authority and any Participating Body may, where appropriate based on volume, decide to publish contract award notices on a quarterly basis. </w:t>
      </w:r>
      <w:r w:rsidRPr="000C672E">
        <w:rPr>
          <w:rStyle w:val="Level2asHeadingtext"/>
          <w:b w:val="0"/>
          <w:bCs w:val="0"/>
        </w:rPr>
        <w:t xml:space="preserve">The Authority may, at its sole discretion, redact some sections to protect commercially sensitive information or other information which it considers inappropriate to publish. The successful Provider should clearly specify information it wishes to be redacted in the Commercially Sensitive Information schedule of the Call-Off Contract. </w:t>
      </w:r>
    </w:p>
    <w:p w14:paraId="0D8CFCF8" w14:textId="7767A64F" w:rsidR="00AB2C45" w:rsidRPr="000C672E" w:rsidRDefault="00AB2C45" w:rsidP="00AB2C45">
      <w:pPr>
        <w:pStyle w:val="Level2"/>
        <w:rPr>
          <w:rStyle w:val="Level2asHeadingtext"/>
          <w:b w:val="0"/>
          <w:bCs w:val="0"/>
        </w:rPr>
      </w:pPr>
      <w:r w:rsidRPr="000C672E">
        <w:rPr>
          <w:rStyle w:val="Level2asHeadingtext"/>
          <w:b w:val="0"/>
          <w:bCs w:val="0"/>
        </w:rPr>
        <w:lastRenderedPageBreak/>
        <w:t>This could include key commercial interests, would-be trade secrets and commercial interests which would be prejudiced by publication, all following the test in section 43 of the Freedom of Information Act 2000.</w:t>
      </w:r>
      <w:r w:rsidR="000C672E">
        <w:rPr>
          <w:rStyle w:val="Level2asHeadingtext"/>
          <w:b w:val="0"/>
          <w:bCs w:val="0"/>
        </w:rPr>
        <w:t xml:space="preserve"> </w:t>
      </w:r>
    </w:p>
    <w:p w14:paraId="74D1605A" w14:textId="77777777" w:rsidR="00AB2C45" w:rsidRPr="00AB2C45" w:rsidRDefault="00AB2C45" w:rsidP="00AB2C45">
      <w:pPr>
        <w:pStyle w:val="Level2"/>
        <w:rPr>
          <w:rStyle w:val="Level2asHeadingtext"/>
          <w:b w:val="0"/>
          <w:bCs w:val="0"/>
        </w:rPr>
      </w:pPr>
      <w:r w:rsidRPr="00AB2C45">
        <w:rPr>
          <w:rStyle w:val="Level2asHeadingtext"/>
          <w:b w:val="0"/>
          <w:bCs w:val="0"/>
        </w:rPr>
        <w:t>The published grounds for redaction are:</w:t>
      </w:r>
    </w:p>
    <w:p w14:paraId="1F6A479F" w14:textId="77777777" w:rsidR="00AB2C45" w:rsidRPr="00AB2C45" w:rsidRDefault="00AB2C45" w:rsidP="00AB2C45">
      <w:pPr>
        <w:pStyle w:val="Level3"/>
        <w:keepNext/>
        <w:rPr>
          <w:rStyle w:val="Level3asHeadingtext"/>
          <w:b w:val="0"/>
        </w:rPr>
      </w:pPr>
      <w:r w:rsidRPr="00AB2C45">
        <w:rPr>
          <w:rStyle w:val="Level3asHeadingtext"/>
          <w:b w:val="0"/>
        </w:rPr>
        <w:t>national security;</w:t>
      </w:r>
    </w:p>
    <w:p w14:paraId="4B4A5A08" w14:textId="77777777" w:rsidR="00AB2C45" w:rsidRPr="00AB2C45" w:rsidRDefault="00AB2C45" w:rsidP="00AB2C45">
      <w:pPr>
        <w:pStyle w:val="Level3"/>
        <w:keepNext/>
        <w:rPr>
          <w:rStyle w:val="Level3asHeadingtext"/>
          <w:b w:val="0"/>
        </w:rPr>
      </w:pPr>
      <w:r w:rsidRPr="00AB2C45">
        <w:rPr>
          <w:rStyle w:val="Level3asHeadingtext"/>
          <w:b w:val="0"/>
        </w:rPr>
        <w:t>personal data;</w:t>
      </w:r>
    </w:p>
    <w:p w14:paraId="7E6CB261" w14:textId="77777777" w:rsidR="00AB2C45" w:rsidRPr="00AB2C45" w:rsidRDefault="00AB2C45" w:rsidP="00AB2C45">
      <w:pPr>
        <w:pStyle w:val="Level3"/>
        <w:keepNext/>
        <w:rPr>
          <w:rStyle w:val="Level3asHeadingtext"/>
          <w:b w:val="0"/>
        </w:rPr>
      </w:pPr>
      <w:r w:rsidRPr="00AB2C45">
        <w:rPr>
          <w:rStyle w:val="Level3asHeadingtext"/>
          <w:b w:val="0"/>
        </w:rPr>
        <w:t>information protected by intellectual property rights;</w:t>
      </w:r>
    </w:p>
    <w:p w14:paraId="2B042C66" w14:textId="77777777" w:rsidR="00AB2C45" w:rsidRPr="00AB2C45" w:rsidRDefault="00AB2C45" w:rsidP="00AB2C45">
      <w:pPr>
        <w:pStyle w:val="Level3"/>
        <w:keepNext/>
        <w:rPr>
          <w:rStyle w:val="Level3asHeadingtext"/>
          <w:b w:val="0"/>
        </w:rPr>
      </w:pPr>
      <w:r w:rsidRPr="00AB2C45">
        <w:rPr>
          <w:rStyle w:val="Level3asHeadingtext"/>
          <w:b w:val="0"/>
        </w:rPr>
        <w:t>information which is not in the public interest to disclose (following tests under the Freedom of Information Act 2000);</w:t>
      </w:r>
    </w:p>
    <w:p w14:paraId="5A2813F4" w14:textId="77777777" w:rsidR="00AB2C45" w:rsidRPr="00AB2C45" w:rsidRDefault="00AB2C45" w:rsidP="00AB2C45">
      <w:pPr>
        <w:pStyle w:val="Level3"/>
        <w:keepNext/>
        <w:rPr>
          <w:rStyle w:val="Level3asHeadingtext"/>
          <w:b w:val="0"/>
        </w:rPr>
      </w:pPr>
      <w:r w:rsidRPr="00AB2C45">
        <w:rPr>
          <w:rStyle w:val="Level3asHeadingtext"/>
          <w:b w:val="0"/>
        </w:rPr>
        <w:t>third party confidential information;</w:t>
      </w:r>
    </w:p>
    <w:p w14:paraId="4E925BBF" w14:textId="77777777" w:rsidR="00AB2C45" w:rsidRPr="00AB2C45" w:rsidRDefault="00AB2C45" w:rsidP="00AB2C45">
      <w:pPr>
        <w:pStyle w:val="Level3"/>
        <w:keepNext/>
        <w:rPr>
          <w:rStyle w:val="Level3asHeadingtext"/>
          <w:b w:val="0"/>
        </w:rPr>
      </w:pPr>
      <w:r w:rsidRPr="00AB2C45">
        <w:rPr>
          <w:rStyle w:val="Level3asHeadingtext"/>
          <w:b w:val="0"/>
        </w:rPr>
        <w:t>IT security; and</w:t>
      </w:r>
    </w:p>
    <w:p w14:paraId="5FD67BA3" w14:textId="77777777" w:rsidR="00AB2C45" w:rsidRPr="00AB2C45" w:rsidRDefault="00AB2C45" w:rsidP="00AB2C45">
      <w:pPr>
        <w:pStyle w:val="Level3"/>
        <w:keepNext/>
        <w:rPr>
          <w:rStyle w:val="Level3asHeadingtext"/>
          <w:b w:val="0"/>
        </w:rPr>
      </w:pPr>
      <w:r w:rsidRPr="00AB2C45">
        <w:rPr>
          <w:rStyle w:val="Level3asHeadingtext"/>
          <w:b w:val="0"/>
        </w:rPr>
        <w:t xml:space="preserve">prevention of fraud. </w:t>
      </w:r>
    </w:p>
    <w:p w14:paraId="42520078" w14:textId="461723D4" w:rsidR="00AB2C45" w:rsidRPr="00AB2C45" w:rsidRDefault="00AB2C45" w:rsidP="00AB2C45">
      <w:pPr>
        <w:pStyle w:val="Level2"/>
        <w:rPr>
          <w:rStyle w:val="Level2asHeadingtext"/>
          <w:b w:val="0"/>
          <w:bCs w:val="0"/>
        </w:rPr>
      </w:pPr>
      <w:r w:rsidRPr="00AB2C45">
        <w:rPr>
          <w:rStyle w:val="Level2asHeadingtext"/>
          <w:b w:val="0"/>
          <w:bCs w:val="0"/>
        </w:rPr>
        <w:t xml:space="preserve">The Authority is not obliged to accept the </w:t>
      </w:r>
      <w:r>
        <w:rPr>
          <w:rStyle w:val="Level2asHeadingtext"/>
          <w:b w:val="0"/>
          <w:bCs w:val="0"/>
        </w:rPr>
        <w:t>Provider</w:t>
      </w:r>
      <w:r w:rsidRPr="00AB2C45">
        <w:rPr>
          <w:rStyle w:val="Level2asHeadingtext"/>
          <w:b w:val="0"/>
          <w:bCs w:val="0"/>
        </w:rPr>
        <w:t xml:space="preserve">'s submission and the decision as to what will </w:t>
      </w:r>
      <w:r w:rsidR="002146E1">
        <w:rPr>
          <w:rStyle w:val="Level2asHeadingtext"/>
          <w:b w:val="0"/>
          <w:bCs w:val="0"/>
        </w:rPr>
        <w:t xml:space="preserve">be </w:t>
      </w:r>
      <w:r w:rsidRPr="00AB2C45">
        <w:rPr>
          <w:rStyle w:val="Level2asHeadingtext"/>
          <w:b w:val="0"/>
          <w:bCs w:val="0"/>
        </w:rPr>
        <w:t>publish</w:t>
      </w:r>
      <w:r w:rsidR="002146E1">
        <w:rPr>
          <w:rStyle w:val="Level2asHeadingtext"/>
          <w:b w:val="0"/>
          <w:bCs w:val="0"/>
        </w:rPr>
        <w:t>ed</w:t>
      </w:r>
      <w:r w:rsidRPr="00AB2C45">
        <w:rPr>
          <w:rStyle w:val="Level2asHeadingtext"/>
          <w:b w:val="0"/>
          <w:bCs w:val="0"/>
        </w:rPr>
        <w:t xml:space="preserve"> will be at the Authority's sole discretion.</w:t>
      </w:r>
    </w:p>
    <w:p w14:paraId="5EE8D6C8" w14:textId="77777777" w:rsidR="00AB2C45" w:rsidRPr="00AB2C45" w:rsidRDefault="00AB2C45" w:rsidP="00AB2C45">
      <w:pPr>
        <w:pStyle w:val="Level2"/>
        <w:rPr>
          <w:rStyle w:val="Level2asHeadingtext"/>
          <w:b w:val="0"/>
          <w:bCs w:val="0"/>
        </w:rPr>
      </w:pPr>
      <w:r w:rsidRPr="00AB2C45">
        <w:rPr>
          <w:rStyle w:val="Level2asHeadingtext"/>
          <w:b w:val="0"/>
          <w:bCs w:val="0"/>
        </w:rPr>
        <w:t>Only documentation relating to the award will be published.</w:t>
      </w:r>
    </w:p>
    <w:p w14:paraId="258492AC" w14:textId="679FB3A8" w:rsidR="00AB2C45" w:rsidRPr="00AB2C45" w:rsidRDefault="00AB2C45" w:rsidP="00AB2C45">
      <w:pPr>
        <w:pStyle w:val="Level2"/>
        <w:rPr>
          <w:rStyle w:val="Level2asHeadingtext"/>
          <w:b w:val="0"/>
          <w:bCs w:val="0"/>
        </w:rPr>
      </w:pPr>
      <w:r w:rsidRPr="00AB2C45">
        <w:rPr>
          <w:rStyle w:val="Level2asHeadingtext"/>
          <w:b w:val="0"/>
          <w:bCs w:val="0"/>
        </w:rPr>
        <w:t xml:space="preserve">Where a </w:t>
      </w:r>
      <w:r>
        <w:rPr>
          <w:rStyle w:val="Level2asHeadingtext"/>
          <w:b w:val="0"/>
          <w:bCs w:val="0"/>
        </w:rPr>
        <w:t>Provider</w:t>
      </w:r>
      <w:r w:rsidRPr="00AB2C45">
        <w:rPr>
          <w:rStyle w:val="Level2asHeadingtext"/>
          <w:b w:val="0"/>
          <w:bCs w:val="0"/>
        </w:rPr>
        <w:t xml:space="preserve"> receives a request for information under the FOIA or the EIR connected to this procurement process, the Authority requires the </w:t>
      </w:r>
      <w:r>
        <w:rPr>
          <w:rStyle w:val="Level2asHeadingtext"/>
          <w:b w:val="0"/>
          <w:bCs w:val="0"/>
        </w:rPr>
        <w:t>Provider</w:t>
      </w:r>
      <w:r w:rsidRPr="00AB2C45">
        <w:rPr>
          <w:rStyle w:val="Level2asHeadingtext"/>
          <w:b w:val="0"/>
          <w:bCs w:val="0"/>
        </w:rPr>
        <w:t xml:space="preserve"> to consult it immediately to establish if the request is for the Authority.</w:t>
      </w:r>
    </w:p>
    <w:p w14:paraId="69FB860E" w14:textId="77777777" w:rsidR="00AB2C45" w:rsidRPr="00AB2C45" w:rsidRDefault="00AB2C45" w:rsidP="00AB2C45">
      <w:pPr>
        <w:pStyle w:val="Level2"/>
        <w:rPr>
          <w:rStyle w:val="Level2asHeadingtext"/>
          <w:bCs w:val="0"/>
        </w:rPr>
      </w:pPr>
      <w:r w:rsidRPr="00AB2C45">
        <w:rPr>
          <w:rStyle w:val="Level2asHeadingtext"/>
          <w:bCs w:val="0"/>
        </w:rPr>
        <w:t>Security Classifications</w:t>
      </w:r>
    </w:p>
    <w:p w14:paraId="7152C26A" w14:textId="56EA471D" w:rsidR="00AB2C45" w:rsidRPr="00AB2C45" w:rsidRDefault="00AB2C45" w:rsidP="00AB2C45">
      <w:pPr>
        <w:pStyle w:val="Level2"/>
        <w:rPr>
          <w:rStyle w:val="Level2asHeadingtext"/>
          <w:b w:val="0"/>
          <w:bCs w:val="0"/>
        </w:rPr>
      </w:pPr>
      <w:r>
        <w:rPr>
          <w:rStyle w:val="Level2asHeadingtext"/>
          <w:b w:val="0"/>
          <w:bCs w:val="0"/>
        </w:rPr>
        <w:t>Provider</w:t>
      </w:r>
      <w:r w:rsidRPr="00AB2C45">
        <w:rPr>
          <w:rStyle w:val="Level2asHeadingtext"/>
          <w:b w:val="0"/>
          <w:bCs w:val="0"/>
        </w:rPr>
        <w:t xml:space="preserve">s should be aware of the Government Security Classifications (GSC) scheme and identify any potential effects in their Tender because the protective marking and applicable protection of any material passed to, or generated by, </w:t>
      </w:r>
      <w:r>
        <w:rPr>
          <w:rStyle w:val="Level2asHeadingtext"/>
          <w:b w:val="0"/>
          <w:bCs w:val="0"/>
        </w:rPr>
        <w:t>Provider</w:t>
      </w:r>
      <w:r w:rsidRPr="00AB2C45">
        <w:rPr>
          <w:rStyle w:val="Level2asHeadingtext"/>
          <w:b w:val="0"/>
          <w:bCs w:val="0"/>
        </w:rPr>
        <w:t xml:space="preserve">s during the procurement or pursuant to a Contract awarded as a result of the procurement will be subject to the GSC. The link below to the Gov.uk website provides information on the GSC: </w:t>
      </w:r>
    </w:p>
    <w:p w14:paraId="334E6EA5" w14:textId="1A4B26BE" w:rsidR="00AB2C45" w:rsidRPr="00AB2C45" w:rsidRDefault="00AB2C45" w:rsidP="00AB2C45">
      <w:pPr>
        <w:pStyle w:val="Level2"/>
        <w:rPr>
          <w:rStyle w:val="Level2asHeadingtext"/>
          <w:b w:val="0"/>
          <w:bCs w:val="0"/>
        </w:rPr>
      </w:pPr>
      <w:r w:rsidRPr="00AB2C45">
        <w:rPr>
          <w:rStyle w:val="Level2asHeadingtext"/>
          <w:b w:val="0"/>
          <w:bCs w:val="0"/>
        </w:rPr>
        <w:t>https://www.gov.uk/government/publications/govern</w:t>
      </w:r>
      <w:r>
        <w:rPr>
          <w:rStyle w:val="Level2asHeadingtext"/>
          <w:b w:val="0"/>
          <w:bCs w:val="0"/>
        </w:rPr>
        <w:t xml:space="preserve">ment-security-classifications  </w:t>
      </w:r>
    </w:p>
    <w:p w14:paraId="1F0D1E1A" w14:textId="77777777" w:rsidR="00F63019" w:rsidRPr="00D231F6" w:rsidRDefault="00F63019" w:rsidP="0099764F">
      <w:pPr>
        <w:pStyle w:val="Level2"/>
        <w:keepNext/>
      </w:pPr>
      <w:r w:rsidRPr="00D231F6">
        <w:rPr>
          <w:rStyle w:val="Level2asHeadingtext"/>
        </w:rPr>
        <w:t>Order of Precedence</w:t>
      </w:r>
    </w:p>
    <w:p w14:paraId="554897CC" w14:textId="51E340E5" w:rsidR="00F63019" w:rsidRPr="00D231F6" w:rsidRDefault="00D44147" w:rsidP="00F63019">
      <w:pPr>
        <w:pStyle w:val="Level2"/>
      </w:pPr>
      <w:r>
        <w:t>U</w:t>
      </w:r>
      <w:r w:rsidR="00EC606C">
        <w:t>nless otherwise stated, if there is any conflict</w:t>
      </w:r>
      <w:r w:rsidR="00171127">
        <w:t xml:space="preserve"> between </w:t>
      </w:r>
      <w:r w:rsidR="00171127" w:rsidRPr="00D231F6">
        <w:t xml:space="preserve">previously issued documents and this </w:t>
      </w:r>
      <w:r w:rsidR="00171127">
        <w:t>Call-Off ITT</w:t>
      </w:r>
      <w:r w:rsidR="00EC606C">
        <w:t xml:space="preserve"> the previously issued documents take </w:t>
      </w:r>
      <w:r w:rsidR="007C0E46">
        <w:t>precedence</w:t>
      </w:r>
      <w:r w:rsidR="00F63019" w:rsidRPr="00D231F6">
        <w:t xml:space="preserve">.  </w:t>
      </w:r>
    </w:p>
    <w:p w14:paraId="5CF44A78" w14:textId="77777777" w:rsidR="00F63019" w:rsidRPr="004E5257" w:rsidRDefault="00F63019" w:rsidP="0099764F">
      <w:pPr>
        <w:pStyle w:val="Level2"/>
        <w:keepNext/>
        <w:rPr>
          <w:rStyle w:val="Level2asHeadingtext"/>
          <w:b w:val="0"/>
          <w:bCs w:val="0"/>
        </w:rPr>
      </w:pPr>
      <w:r w:rsidRPr="00D231F6">
        <w:rPr>
          <w:rStyle w:val="Level2asHeadingtext"/>
        </w:rPr>
        <w:t>Data Protection</w:t>
      </w:r>
    </w:p>
    <w:p w14:paraId="2788AD08" w14:textId="1C7831F9" w:rsidR="004E5257" w:rsidRDefault="004E5257" w:rsidP="004E5257">
      <w:pPr>
        <w:pStyle w:val="Level3"/>
      </w:pPr>
      <w:bookmarkStart w:id="111" w:name="_Toc23962044"/>
      <w:r>
        <w:t xml:space="preserve">At all times </w:t>
      </w:r>
      <w:r w:rsidR="00FB126D">
        <w:t>Providers</w:t>
      </w:r>
      <w:r>
        <w:t xml:space="preserve"> shall (and shall procure that their employees, staff, agents and sub-contractors involved in the Procurement) and will duly observe all their obligations under the Data Protection Act 2018 (DPA) which arise in relation to this Procurement.</w:t>
      </w:r>
      <w:bookmarkEnd w:id="111"/>
    </w:p>
    <w:p w14:paraId="1EE44B7B" w14:textId="77777777" w:rsidR="004E5257" w:rsidRDefault="004E5257" w:rsidP="004E5257">
      <w:pPr>
        <w:pStyle w:val="Level3"/>
      </w:pPr>
      <w:bookmarkStart w:id="112" w:name="_Toc23962045"/>
      <w:r>
        <w:t>In this Paragraph capitalised terms shall have the meanings given to them, and like terms shall be interpreted in accordance with the General Data Protection Regulation 2016/679, the Data Protection Act 2018 and the guidance of a competent supervisory authority (together the "Data Protection Laws"). References to Personal Data include Special Categories of Personal Data and information regarding actual or potential criminal convictions and/or offences.</w:t>
      </w:r>
      <w:bookmarkEnd w:id="112"/>
    </w:p>
    <w:p w14:paraId="37305E8A" w14:textId="50FAE343" w:rsidR="004E5257" w:rsidRDefault="004E5257" w:rsidP="004E5257">
      <w:pPr>
        <w:pStyle w:val="Level3"/>
      </w:pPr>
      <w:bookmarkStart w:id="113" w:name="_Ref507583102"/>
      <w:bookmarkStart w:id="114" w:name="_Ref40807260"/>
      <w:r>
        <w:t xml:space="preserve">The </w:t>
      </w:r>
      <w:r w:rsidR="00FB126D">
        <w:t>Provider</w:t>
      </w:r>
      <w:r>
        <w:t xml:space="preserve">  and the Authority each acknowledge and agree that they may need to Process Personal Data (in the form of contact details) relating to each party's </w:t>
      </w:r>
      <w:r>
        <w:lastRenderedPageBreak/>
        <w:t xml:space="preserve">representatives (in their respective capacities as Controllers) in order to (as appropriate): (a) administer and perform the obligations set out in this ITT; (b) request and receive information in relation to the Procurement and any Tender; (c) resolve any dispute relating to the </w:t>
      </w:r>
      <w:r w:rsidR="00FB126D">
        <w:t>Call-Off Competition</w:t>
      </w:r>
      <w:r>
        <w:t xml:space="preserve">; (d) respond and/or raise general queries relating to the </w:t>
      </w:r>
      <w:bookmarkEnd w:id="113"/>
      <w:r w:rsidR="00FB126D">
        <w:t>Call-Off Competition</w:t>
      </w:r>
      <w:r>
        <w:t>; and (f) otherwise comply with their respective obligations.</w:t>
      </w:r>
      <w:bookmarkEnd w:id="114"/>
      <w:r>
        <w:t xml:space="preserve"> </w:t>
      </w:r>
    </w:p>
    <w:p w14:paraId="55A79817" w14:textId="2AE467A6" w:rsidR="004E5257" w:rsidRDefault="004E5257" w:rsidP="004E5257">
      <w:pPr>
        <w:pStyle w:val="Level3"/>
      </w:pPr>
      <w:bookmarkStart w:id="115" w:name="_Toc23962047"/>
      <w:r>
        <w:t xml:space="preserve">The </w:t>
      </w:r>
      <w:r w:rsidR="00FB126D">
        <w:t>Provider</w:t>
      </w:r>
      <w:r>
        <w:t xml:space="preserve"> and the Authority shall Process such Personal Data relating to each party's representatives for the purposes set out in Paragraph </w:t>
      </w:r>
      <w:bookmarkEnd w:id="115"/>
      <w:r w:rsidR="000563CE">
        <w:rPr>
          <w:highlight w:val="green"/>
        </w:rPr>
        <w:fldChar w:fldCharType="begin"/>
      </w:r>
      <w:r w:rsidR="000563CE">
        <w:instrText xml:space="preserve"> REF _Ref40807260 \r \h </w:instrText>
      </w:r>
      <w:r w:rsidR="000563CE">
        <w:rPr>
          <w:highlight w:val="green"/>
        </w:rPr>
      </w:r>
      <w:r w:rsidR="000563CE">
        <w:rPr>
          <w:highlight w:val="green"/>
        </w:rPr>
        <w:fldChar w:fldCharType="separate"/>
      </w:r>
      <w:r w:rsidR="006D7AE5">
        <w:t>7.28.3</w:t>
      </w:r>
      <w:r w:rsidR="000563CE">
        <w:rPr>
          <w:highlight w:val="green"/>
        </w:rPr>
        <w:fldChar w:fldCharType="end"/>
      </w:r>
      <w:r w:rsidR="000563CE">
        <w:t xml:space="preserve"> </w:t>
      </w:r>
      <w:r>
        <w:t>in accordance with their res</w:t>
      </w:r>
      <w:r w:rsidR="00FB126D">
        <w:t>pective privacy policies.  The Provider</w:t>
      </w:r>
      <w:r>
        <w:t xml:space="preserve"> and the Authority acknowledge that they may be required to share Personal Data with their affiliates, group companies and other relevant parties in order to carry out the activities listed in Paragraph </w:t>
      </w:r>
      <w:r w:rsidR="000563CE">
        <w:rPr>
          <w:highlight w:val="green"/>
        </w:rPr>
        <w:fldChar w:fldCharType="begin"/>
      </w:r>
      <w:r w:rsidR="000563CE">
        <w:instrText xml:space="preserve"> REF _Ref40807260 \r \h </w:instrText>
      </w:r>
      <w:r w:rsidR="000563CE">
        <w:rPr>
          <w:highlight w:val="green"/>
        </w:rPr>
      </w:r>
      <w:r w:rsidR="000563CE">
        <w:rPr>
          <w:highlight w:val="green"/>
        </w:rPr>
        <w:fldChar w:fldCharType="separate"/>
      </w:r>
      <w:r w:rsidR="006D7AE5">
        <w:t>7.28.3</w:t>
      </w:r>
      <w:r w:rsidR="000563CE">
        <w:rPr>
          <w:highlight w:val="green"/>
        </w:rPr>
        <w:fldChar w:fldCharType="end"/>
      </w:r>
      <w:r>
        <w:t xml:space="preserve">, and in doing so the </w:t>
      </w:r>
      <w:r w:rsidR="00FB126D">
        <w:t>Provider</w:t>
      </w:r>
      <w:r>
        <w:t xml:space="preserve"> and the Authority will ensure that the sharing and use of this Personal Data complies with applicable Data Protection Laws.   </w:t>
      </w:r>
    </w:p>
    <w:p w14:paraId="1982A0E5" w14:textId="1532E5A3" w:rsidR="004E5257" w:rsidRDefault="004E5257" w:rsidP="004E5257">
      <w:pPr>
        <w:pStyle w:val="Level3"/>
      </w:pPr>
      <w:r>
        <w:t>Notwithsta</w:t>
      </w:r>
      <w:r w:rsidR="00FB126D">
        <w:t>nding any other term, the Provider</w:t>
      </w:r>
      <w:r>
        <w:t xml:space="preserve"> must not Process any Authority Personal Data outside of the UK without the prior written consent of the Customer and where approval is given, subject to such further conditions as the Authority may require. </w:t>
      </w:r>
    </w:p>
    <w:p w14:paraId="4363324E" w14:textId="01103512" w:rsidR="004E5257" w:rsidRDefault="00FB126D" w:rsidP="004E5257">
      <w:pPr>
        <w:pStyle w:val="Level3"/>
      </w:pPr>
      <w:bookmarkStart w:id="116" w:name="_Toc23962048"/>
      <w:r>
        <w:t>In addition, the Provider</w:t>
      </w:r>
      <w:r w:rsidR="004E5257">
        <w:t xml:space="preserve"> will:</w:t>
      </w:r>
      <w:bookmarkEnd w:id="116"/>
      <w:r w:rsidR="004E5257">
        <w:t xml:space="preserve"> </w:t>
      </w:r>
    </w:p>
    <w:p w14:paraId="4F8DAE41" w14:textId="16B34C65" w:rsidR="004E5257" w:rsidRDefault="004E5257" w:rsidP="004E5257">
      <w:pPr>
        <w:pStyle w:val="Level4"/>
      </w:pPr>
      <w:r>
        <w:t xml:space="preserve">only Process Personal Data made available (including as provided and contained within the Data Room or otherwise provided by the Authority or its representatives during the </w:t>
      </w:r>
      <w:r w:rsidR="00FB126D">
        <w:t>Call-off Competition</w:t>
      </w:r>
      <w:r>
        <w:t>) and otherwise reproduced in any form in connection with the</w:t>
      </w:r>
      <w:r w:rsidR="00FB126D" w:rsidRPr="00FB126D">
        <w:t xml:space="preserve"> </w:t>
      </w:r>
      <w:r w:rsidR="00FB126D">
        <w:t>Call-off Competition</w:t>
      </w:r>
      <w:r>
        <w:t>, (the "</w:t>
      </w:r>
      <w:r>
        <w:rPr>
          <w:b/>
          <w:bCs/>
        </w:rPr>
        <w:t>Authority Personal Data</w:t>
      </w:r>
      <w:r>
        <w:t xml:space="preserve">"), solely for the purpose of submitting a Tender and participating in the </w:t>
      </w:r>
      <w:r w:rsidR="00FB126D">
        <w:t>Call-off Competition</w:t>
      </w:r>
      <w:r>
        <w:t>;</w:t>
      </w:r>
    </w:p>
    <w:p w14:paraId="0962DE3D" w14:textId="6449EEFF" w:rsidR="004E5257" w:rsidRDefault="004E5257" w:rsidP="004E5257">
      <w:pPr>
        <w:pStyle w:val="Level4"/>
      </w:pPr>
      <w:r>
        <w:t xml:space="preserve">act as an independent Controller of any </w:t>
      </w:r>
      <w:r w:rsidR="000563CE">
        <w:t>Authority</w:t>
      </w:r>
      <w:r>
        <w:t xml:space="preserve"> Personal Data, complying at all times with the Data Protection Laws;</w:t>
      </w:r>
    </w:p>
    <w:p w14:paraId="30F48FD8" w14:textId="7BB11DC2" w:rsidR="004E5257" w:rsidRDefault="004E5257" w:rsidP="004E5257">
      <w:pPr>
        <w:pStyle w:val="Level4"/>
      </w:pPr>
      <w:r>
        <w:t xml:space="preserve">treat the </w:t>
      </w:r>
      <w:r w:rsidR="000563CE">
        <w:t xml:space="preserve">Authority </w:t>
      </w:r>
      <w:r>
        <w:t xml:space="preserve">Personal Data with strict confidence and treat it as confidential information as defined in the Non-Disclosure Agreement entered into between the </w:t>
      </w:r>
      <w:r w:rsidR="004D0E00">
        <w:t>Provider</w:t>
      </w:r>
      <w:r>
        <w:t xml:space="preserve"> and the Authority;</w:t>
      </w:r>
    </w:p>
    <w:p w14:paraId="313F2876" w14:textId="6430DF19" w:rsidR="004E5257" w:rsidRDefault="004E5257" w:rsidP="004E5257">
      <w:pPr>
        <w:pStyle w:val="Level4"/>
      </w:pPr>
      <w:r>
        <w:t xml:space="preserve">except in relation to its professional advisers, not disclose or grant access to any </w:t>
      </w:r>
      <w:r w:rsidR="000563CE">
        <w:t xml:space="preserve">Authority </w:t>
      </w:r>
      <w:r>
        <w:t>Personal Data;</w:t>
      </w:r>
    </w:p>
    <w:p w14:paraId="5F000C49" w14:textId="77777777" w:rsidR="004E5257" w:rsidRDefault="004E5257" w:rsidP="004E5257">
      <w:pPr>
        <w:pStyle w:val="Level4"/>
      </w:pPr>
      <w:r>
        <w:t>implement and maintain appropriate measures to protect against a Personal Data Breach incident;</w:t>
      </w:r>
    </w:p>
    <w:p w14:paraId="1FE4290F" w14:textId="31FA5289" w:rsidR="004E5257" w:rsidRDefault="004E5257" w:rsidP="004E5257">
      <w:pPr>
        <w:pStyle w:val="Level4"/>
      </w:pPr>
      <w:r>
        <w:t xml:space="preserve">immediately notify the Authority of any correspondence: (i) exercising the rights of a Data Subject or (ii) of a competent Supervisory Authority, in relation to the </w:t>
      </w:r>
      <w:r w:rsidR="000563CE">
        <w:t>Authority</w:t>
      </w:r>
      <w:r>
        <w:t xml:space="preserve"> Personal Data; </w:t>
      </w:r>
    </w:p>
    <w:p w14:paraId="0F07E471" w14:textId="3F671803" w:rsidR="004E5257" w:rsidRDefault="004E5257" w:rsidP="004E5257">
      <w:pPr>
        <w:pStyle w:val="Level4"/>
      </w:pPr>
      <w:bookmarkStart w:id="117" w:name="_Ref23962141"/>
      <w:r>
        <w:t xml:space="preserve">ensure that any authorised adviser or service provider that may Process </w:t>
      </w:r>
      <w:r w:rsidR="000563CE">
        <w:t xml:space="preserve">Authority </w:t>
      </w:r>
      <w:r>
        <w:t xml:space="preserve">Personal Data agrees in writing to terms equivalent to those in this Paragraph </w:t>
      </w:r>
      <w:bookmarkEnd w:id="117"/>
      <w:r>
        <w:t>(g); and</w:t>
      </w:r>
    </w:p>
    <w:p w14:paraId="35E9E0E1" w14:textId="0C925CAC" w:rsidR="004E5257" w:rsidRPr="00D231F6" w:rsidRDefault="004E5257" w:rsidP="00FB126D">
      <w:pPr>
        <w:pStyle w:val="Level4"/>
      </w:pPr>
      <w:r>
        <w:t>as soon as reasonably practical (and in any event no later than within seven (7) days) following a written demand from the Authority, permanently and securely delete all or any of the Authority Personal Data as specified by the Authority.</w:t>
      </w:r>
    </w:p>
    <w:p w14:paraId="52676CFA" w14:textId="77777777" w:rsidR="00F63019" w:rsidRPr="00D231F6" w:rsidRDefault="00F63019" w:rsidP="0099764F">
      <w:pPr>
        <w:pStyle w:val="Level2"/>
        <w:keepNext/>
      </w:pPr>
      <w:r w:rsidRPr="00D231F6">
        <w:rPr>
          <w:rStyle w:val="Level2asHeadingtext"/>
        </w:rPr>
        <w:t>Costs and Expenses</w:t>
      </w:r>
    </w:p>
    <w:p w14:paraId="64CC8F81" w14:textId="1AB60302" w:rsidR="00F63019" w:rsidRPr="00D231F6" w:rsidRDefault="00DA5B06" w:rsidP="00F63019">
      <w:pPr>
        <w:pStyle w:val="Level2"/>
      </w:pPr>
      <w:r>
        <w:t>Provider</w:t>
      </w:r>
      <w:r w:rsidR="00F63019" w:rsidRPr="00D231F6">
        <w:t xml:space="preserve">s remain responsible for all costs and expenses incurred by them or by any third party acting under instructions from the </w:t>
      </w:r>
      <w:r>
        <w:t>Provider</w:t>
      </w:r>
      <w:r w:rsidR="00F63019" w:rsidRPr="00D231F6">
        <w:t xml:space="preserve"> in connection with taking part in this </w:t>
      </w:r>
      <w:r w:rsidR="0099764F" w:rsidRPr="00D231F6">
        <w:t>Call-Off Competition</w:t>
      </w:r>
      <w:r w:rsidR="00F63019" w:rsidRPr="00D231F6">
        <w:t xml:space="preserve">, regardless of whether such costs arise as a consequence direct or indirect of any amendments made to the procurement documents issued in connection with this </w:t>
      </w:r>
      <w:r w:rsidR="0099764F" w:rsidRPr="00D231F6">
        <w:t>Call-Off Competition</w:t>
      </w:r>
      <w:r w:rsidR="00F63019" w:rsidRPr="00D231F6">
        <w:t xml:space="preserve"> by </w:t>
      </w:r>
      <w:r w:rsidR="0099764F" w:rsidRPr="00D231F6">
        <w:t>the Authority</w:t>
      </w:r>
      <w:r w:rsidR="00F63019" w:rsidRPr="00D231F6">
        <w:t xml:space="preserve"> at any time.</w:t>
      </w:r>
    </w:p>
    <w:p w14:paraId="16AA3C28" w14:textId="40E5FA95" w:rsidR="00F63019" w:rsidRPr="00D231F6" w:rsidRDefault="00F63019" w:rsidP="00F63019">
      <w:pPr>
        <w:pStyle w:val="Level2"/>
      </w:pPr>
      <w:r w:rsidRPr="00D231F6">
        <w:lastRenderedPageBreak/>
        <w:t xml:space="preserve">Under no circumstances will the Authority or any of </w:t>
      </w:r>
      <w:r w:rsidR="0099764F" w:rsidRPr="00D231F6">
        <w:t>its</w:t>
      </w:r>
      <w:r w:rsidRPr="00D231F6">
        <w:t xml:space="preserve"> respective advisors be liable for any costs or expenses incurred by </w:t>
      </w:r>
      <w:r w:rsidR="00DA5B06">
        <w:t>Provider</w:t>
      </w:r>
      <w:r w:rsidRPr="00D231F6">
        <w:t xml:space="preserve">s, funders and/or its respective advisors arising directly or indirectly from the </w:t>
      </w:r>
      <w:r w:rsidR="0099764F" w:rsidRPr="00D231F6">
        <w:t>Call-Off Competition</w:t>
      </w:r>
      <w:r w:rsidRPr="00D231F6">
        <w:t xml:space="preserve"> or termination thereof, including, without limitation, any changes or adjustments made to the procurement documentation, the exclusion/disqualification of a </w:t>
      </w:r>
      <w:r w:rsidR="00DA5B06">
        <w:t>Provider</w:t>
      </w:r>
      <w:r w:rsidRPr="00D231F6">
        <w:t>.</w:t>
      </w:r>
    </w:p>
    <w:p w14:paraId="1BD27A6A" w14:textId="7B83C44B" w:rsidR="00F63019" w:rsidRPr="00D231F6" w:rsidRDefault="00F63019" w:rsidP="00F63019">
      <w:pPr>
        <w:pStyle w:val="Level2"/>
      </w:pPr>
      <w:r w:rsidRPr="00D231F6">
        <w:t xml:space="preserve">For the avoidance of doubt, where a </w:t>
      </w:r>
      <w:r w:rsidR="00DA5B06">
        <w:t>Provider</w:t>
      </w:r>
      <w:r w:rsidRPr="00D231F6">
        <w:t xml:space="preserve"> is disqualified or excluded from the </w:t>
      </w:r>
      <w:r w:rsidR="0099764F" w:rsidRPr="00D231F6">
        <w:t>Call-Off Competition</w:t>
      </w:r>
      <w:r w:rsidRPr="00D231F6">
        <w:t xml:space="preserve"> process, or where a </w:t>
      </w:r>
      <w:r w:rsidR="00DA5B06">
        <w:t>Provider</w:t>
      </w:r>
      <w:r w:rsidRPr="00D231F6">
        <w:t xml:space="preserve"> decides to withdraw from the </w:t>
      </w:r>
      <w:r w:rsidR="0099764F" w:rsidRPr="00D231F6">
        <w:t xml:space="preserve">Call-Off Competition </w:t>
      </w:r>
      <w:r w:rsidRPr="00D231F6">
        <w:t xml:space="preserve">exercise, under no circumstances will the Authority or </w:t>
      </w:r>
      <w:r w:rsidR="0099764F" w:rsidRPr="00D231F6">
        <w:t>its</w:t>
      </w:r>
      <w:r w:rsidRPr="00D231F6">
        <w:t xml:space="preserve"> advisors be liable for any costs or expenses howsoever incurred by such </w:t>
      </w:r>
      <w:r w:rsidR="00DA5B06">
        <w:t>Provider</w:t>
      </w:r>
      <w:r w:rsidRPr="00D231F6">
        <w:t>s.</w:t>
      </w:r>
    </w:p>
    <w:p w14:paraId="74AEEA9A" w14:textId="77777777" w:rsidR="00F63019" w:rsidRPr="00D231F6" w:rsidRDefault="00F63019" w:rsidP="0048237A">
      <w:pPr>
        <w:pStyle w:val="Level2"/>
        <w:keepNext/>
      </w:pPr>
      <w:r w:rsidRPr="00D231F6">
        <w:rPr>
          <w:rStyle w:val="Level2asHeadingtext"/>
        </w:rPr>
        <w:t xml:space="preserve">Intellectual Property </w:t>
      </w:r>
    </w:p>
    <w:p w14:paraId="756B1BB0" w14:textId="08E12903" w:rsidR="00F63019" w:rsidRPr="00D231F6" w:rsidRDefault="00F63019" w:rsidP="00F63019">
      <w:pPr>
        <w:pStyle w:val="Level2"/>
      </w:pPr>
      <w:r w:rsidRPr="00D231F6">
        <w:t>This</w:t>
      </w:r>
      <w:r w:rsidR="00B11B6F">
        <w:t xml:space="preserve"> Call-Off </w:t>
      </w:r>
      <w:r w:rsidR="00B11B6F" w:rsidRPr="00D231F6">
        <w:t>ITT</w:t>
      </w:r>
      <w:r w:rsidRPr="00D231F6">
        <w:t xml:space="preserve">, any documents referred to in it and all information within it is the intellectual property of </w:t>
      </w:r>
      <w:r w:rsidR="0099764F" w:rsidRPr="00D231F6">
        <w:t>the Authority</w:t>
      </w:r>
      <w:r w:rsidRPr="00D231F6">
        <w:t xml:space="preserve">.  </w:t>
      </w:r>
      <w:r w:rsidR="00DA5B06">
        <w:t>Provider</w:t>
      </w:r>
      <w:r w:rsidRPr="00D231F6">
        <w:t xml:space="preserve">s shall not reproduce, copy, distribute or otherwise make available to any third party the whole or any part of such information in any form (including photocopying it or storing it in any medium including electronic means) without the prior written permission of </w:t>
      </w:r>
      <w:r w:rsidR="0099764F" w:rsidRPr="00D231F6">
        <w:t>the Authority</w:t>
      </w:r>
      <w:r w:rsidRPr="00D231F6">
        <w:t xml:space="preserve">, other than for use strictly </w:t>
      </w:r>
      <w:r w:rsidR="0048237A" w:rsidRPr="00D231F6">
        <w:t>for the purpose of submitting a submission</w:t>
      </w:r>
      <w:r w:rsidRPr="00D231F6">
        <w:t>.</w:t>
      </w:r>
    </w:p>
    <w:p w14:paraId="291237FC" w14:textId="77777777" w:rsidR="00F63019" w:rsidRPr="00D231F6" w:rsidRDefault="00F63019" w:rsidP="00F63019">
      <w:pPr>
        <w:pStyle w:val="Level2"/>
      </w:pPr>
      <w:r w:rsidRPr="00D231F6">
        <w:t xml:space="preserve">This </w:t>
      </w:r>
      <w:r w:rsidR="00B11B6F">
        <w:t xml:space="preserve">Call-Off </w:t>
      </w:r>
      <w:r w:rsidR="00B11B6F" w:rsidRPr="00D231F6">
        <w:t>ITT</w:t>
      </w:r>
      <w:r w:rsidRPr="00D231F6">
        <w:t xml:space="preserve"> and all copies thereof are and shall remain the property of </w:t>
      </w:r>
      <w:r w:rsidR="0099764F" w:rsidRPr="00D231F6">
        <w:t>the Authority</w:t>
      </w:r>
      <w:r w:rsidRPr="00D231F6">
        <w:t xml:space="preserve"> and must be returned or destroyed on demand.  </w:t>
      </w:r>
    </w:p>
    <w:p w14:paraId="3AFA7A91" w14:textId="77777777" w:rsidR="00F63019" w:rsidRPr="00D231F6" w:rsidRDefault="00F63019" w:rsidP="00F63019">
      <w:pPr>
        <w:pStyle w:val="Level2"/>
      </w:pPr>
      <w:r w:rsidRPr="00D231F6">
        <w:t xml:space="preserve">All specifications, diagrams, drawings, samples and patterns and any further material issued in connection with this </w:t>
      </w:r>
      <w:r w:rsidR="0099764F" w:rsidRPr="00D231F6">
        <w:t>Call-Off Competition</w:t>
      </w:r>
      <w:r w:rsidRPr="00D231F6">
        <w:t xml:space="preserve">, remain the property of </w:t>
      </w:r>
      <w:r w:rsidR="0099764F" w:rsidRPr="00D231F6">
        <w:t>the Authority</w:t>
      </w:r>
      <w:r w:rsidRPr="00D231F6">
        <w:t xml:space="preserve"> and are to be used solely for the purpose of this </w:t>
      </w:r>
      <w:r w:rsidR="0099764F" w:rsidRPr="00D231F6">
        <w:t>Call-Off Competition</w:t>
      </w:r>
      <w:r w:rsidRPr="00D231F6">
        <w:t>.</w:t>
      </w:r>
    </w:p>
    <w:p w14:paraId="363CD31C" w14:textId="77777777" w:rsidR="00F63019" w:rsidRPr="00D231F6" w:rsidRDefault="00F63019" w:rsidP="0048237A">
      <w:pPr>
        <w:pStyle w:val="Level2"/>
        <w:keepNext/>
      </w:pPr>
      <w:r w:rsidRPr="00D231F6">
        <w:rPr>
          <w:rStyle w:val="Level2asHeadingtext"/>
        </w:rPr>
        <w:t>Confidentiality</w:t>
      </w:r>
    </w:p>
    <w:p w14:paraId="567BA91F" w14:textId="04190252" w:rsidR="00F63019" w:rsidRPr="00D231F6" w:rsidRDefault="00F63019" w:rsidP="00F63019">
      <w:pPr>
        <w:pStyle w:val="Level2"/>
      </w:pPr>
      <w:r w:rsidRPr="00D231F6">
        <w:t xml:space="preserve">The information provided in this </w:t>
      </w:r>
      <w:r w:rsidR="00B11B6F">
        <w:t xml:space="preserve">Call-Off </w:t>
      </w:r>
      <w:r w:rsidR="00B11B6F" w:rsidRPr="00D231F6">
        <w:t>ITT</w:t>
      </w:r>
      <w:r w:rsidRPr="00D231F6">
        <w:t xml:space="preserve"> (and in connection with this </w:t>
      </w:r>
      <w:r w:rsidR="00B11B6F">
        <w:t xml:space="preserve">Call-Off </w:t>
      </w:r>
      <w:r w:rsidR="00B11B6F" w:rsidRPr="00D231F6">
        <w:t>ITT</w:t>
      </w:r>
      <w:r w:rsidRPr="00D231F6">
        <w:t xml:space="preserve">) is made available on the condition that its contents are kept confidential by the </w:t>
      </w:r>
      <w:r w:rsidR="00DA5B06">
        <w:t>Provider</w:t>
      </w:r>
      <w:r w:rsidRPr="00D231F6">
        <w:t xml:space="preserve"> (except to the extent that such information may already be in the public domain or may come into the public domain otherwise than by reason of a breach of a confidentiality obligation).  </w:t>
      </w:r>
      <w:r w:rsidR="00DA5B06">
        <w:t>Provider</w:t>
      </w:r>
      <w:r w:rsidRPr="00D231F6">
        <w:t>s (including their directors, officers, employees, agents or advisers) must not disclose, copy, reproduce, distribute or pass to any other person at any time any information or documentation concerning the procurement (except for the purposes of enabling a response to this opportunity). In any case any disclosure to any person shall only be made to a person who needs to receive the same and who has given an undertaking at the time of receipt to keep such information confidential.</w:t>
      </w:r>
    </w:p>
    <w:p w14:paraId="6113DCD5" w14:textId="77777777" w:rsidR="00F63019" w:rsidRPr="00D231F6" w:rsidRDefault="00F63019" w:rsidP="0048237A">
      <w:pPr>
        <w:pStyle w:val="Level2"/>
        <w:keepNext/>
      </w:pPr>
      <w:r w:rsidRPr="00D231F6">
        <w:rPr>
          <w:rStyle w:val="Level2asHeadingtext"/>
        </w:rPr>
        <w:t>Non-Collusion and Canvassing</w:t>
      </w:r>
    </w:p>
    <w:p w14:paraId="520BB7A9" w14:textId="26EC7262" w:rsidR="00F63019" w:rsidRPr="00D231F6" w:rsidRDefault="00F63019" w:rsidP="00F63019">
      <w:pPr>
        <w:pStyle w:val="Level2"/>
      </w:pPr>
      <w:r w:rsidRPr="00D231F6">
        <w:t xml:space="preserve">Any attempt by any </w:t>
      </w:r>
      <w:r w:rsidR="00DA5B06">
        <w:t>Provider</w:t>
      </w:r>
      <w:r w:rsidRPr="00D231F6">
        <w:t xml:space="preserve"> to collude with any other person to influence the </w:t>
      </w:r>
      <w:r w:rsidR="0099764F" w:rsidRPr="00D231F6">
        <w:t xml:space="preserve">Call-Off Competition </w:t>
      </w:r>
      <w:r w:rsidRPr="00D231F6">
        <w:t xml:space="preserve">in any way will result in disqualification from further participation in the </w:t>
      </w:r>
      <w:r w:rsidR="0048237A" w:rsidRPr="00D231F6">
        <w:t>Call-Off Competition</w:t>
      </w:r>
      <w:r w:rsidRPr="00D231F6">
        <w:t xml:space="preserve">. In particular, </w:t>
      </w:r>
      <w:r w:rsidR="00DA5B06">
        <w:t>Provider</w:t>
      </w:r>
      <w:r w:rsidRPr="00D231F6">
        <w:t>s shall not:</w:t>
      </w:r>
    </w:p>
    <w:p w14:paraId="2691B7E5" w14:textId="77777777" w:rsidR="00F63019" w:rsidRPr="00D231F6" w:rsidRDefault="00F63019" w:rsidP="00F63019">
      <w:pPr>
        <w:pStyle w:val="Level3"/>
      </w:pPr>
      <w:r w:rsidRPr="00D231F6">
        <w:t xml:space="preserve">canvass, solicit or offer any gift or consideration whatsoever as an inducement, fee or reward to any officer, employee or contractor the Authority, or any person acting as an adviser to it in connection with this </w:t>
      </w:r>
      <w:r w:rsidR="0048237A" w:rsidRPr="00D231F6">
        <w:t>Call-Off Competition</w:t>
      </w:r>
      <w:r w:rsidRPr="00D231F6">
        <w:t>;</w:t>
      </w:r>
    </w:p>
    <w:p w14:paraId="3F489C71" w14:textId="77777777" w:rsidR="00F63019" w:rsidRPr="00D231F6" w:rsidRDefault="00F63019" w:rsidP="00F63019">
      <w:pPr>
        <w:pStyle w:val="Level3"/>
      </w:pPr>
      <w:r w:rsidRPr="00D231F6">
        <w:t>commit any act or omission which would constitute a breach of the Bribery Act 2010;</w:t>
      </w:r>
    </w:p>
    <w:p w14:paraId="5FA66321" w14:textId="7B62964C" w:rsidR="00F63019" w:rsidRPr="00D231F6" w:rsidRDefault="00F63019" w:rsidP="00F63019">
      <w:pPr>
        <w:pStyle w:val="Level3"/>
      </w:pPr>
      <w:r w:rsidRPr="00D231F6">
        <w:t xml:space="preserve">fix or adjust the amount or content of any submission in accordance with any agreement or arrangement with any other person, other than in good faith where such other person is a proposed consortium member, or a </w:t>
      </w:r>
      <w:r w:rsidR="00DA5B06">
        <w:t>supplier</w:t>
      </w:r>
      <w:r w:rsidRPr="00D231F6">
        <w:t xml:space="preserve">, adviser or provider of finance to the </w:t>
      </w:r>
      <w:r w:rsidR="00DA5B06">
        <w:t>Provider</w:t>
      </w:r>
      <w:r w:rsidRPr="00D231F6">
        <w:t>;</w:t>
      </w:r>
    </w:p>
    <w:p w14:paraId="0D35DF27" w14:textId="77777777" w:rsidR="00F63019" w:rsidRPr="00D231F6" w:rsidRDefault="00F63019" w:rsidP="00F63019">
      <w:pPr>
        <w:pStyle w:val="Level3"/>
      </w:pPr>
      <w:r w:rsidRPr="00D231F6">
        <w:t xml:space="preserve">communicate to any person other than </w:t>
      </w:r>
      <w:r w:rsidR="0048237A" w:rsidRPr="00D231F6">
        <w:t>the Authority</w:t>
      </w:r>
      <w:r w:rsidRPr="00D231F6">
        <w:t xml:space="preserve">, or seek or obtain from such other person, information about the amount or content of any tender submission, other than in good faith to obtain quotations for supplies, services or finance; </w:t>
      </w:r>
    </w:p>
    <w:p w14:paraId="66BE9FCD" w14:textId="77777777" w:rsidR="00F63019" w:rsidRPr="00D231F6" w:rsidRDefault="00F63019" w:rsidP="00F63019">
      <w:pPr>
        <w:pStyle w:val="Level3"/>
      </w:pPr>
      <w:r w:rsidRPr="00D231F6">
        <w:t>enter into any agreement or arrangement with any other person that will result in such a person refraining from submitting a submission; and</w:t>
      </w:r>
    </w:p>
    <w:p w14:paraId="3A056400" w14:textId="77777777" w:rsidR="00F63019" w:rsidRPr="00D231F6" w:rsidRDefault="00F63019" w:rsidP="00F63019">
      <w:pPr>
        <w:pStyle w:val="Level3"/>
      </w:pPr>
      <w:r w:rsidRPr="00D231F6">
        <w:lastRenderedPageBreak/>
        <w:t>offer or pay a sum of money, incentive or valuable consideration to any person proposing to effect changes in or omissions from any other tender submission.</w:t>
      </w:r>
    </w:p>
    <w:p w14:paraId="7BDA1662" w14:textId="77777777" w:rsidR="00F63019" w:rsidRPr="00D231F6" w:rsidRDefault="00F63019" w:rsidP="00F63019">
      <w:pPr>
        <w:pStyle w:val="Level2"/>
      </w:pPr>
      <w:r w:rsidRPr="00D231F6">
        <w:t xml:space="preserve">Other than where specifically permitted as described in this </w:t>
      </w:r>
      <w:r w:rsidR="00B11B6F">
        <w:t xml:space="preserve">Call-Off </w:t>
      </w:r>
      <w:r w:rsidR="00B11B6F" w:rsidRPr="00D231F6">
        <w:t>ITT</w:t>
      </w:r>
      <w:r w:rsidRPr="00D231F6">
        <w:t xml:space="preserve">, no attempt should be made to contact any of the Authority's staff or advisors in connection with this procurement.  Any enquiries made concerning this </w:t>
      </w:r>
      <w:r w:rsidR="0048237A" w:rsidRPr="00D231F6">
        <w:t xml:space="preserve">Call-Off Competition </w:t>
      </w:r>
      <w:r w:rsidRPr="00D231F6">
        <w:t xml:space="preserve">other than in accordance with the instructions in this </w:t>
      </w:r>
      <w:r w:rsidR="00B11B6F">
        <w:t xml:space="preserve">Call-Off </w:t>
      </w:r>
      <w:r w:rsidR="00B11B6F" w:rsidRPr="00D231F6">
        <w:t>ITT</w:t>
      </w:r>
      <w:r w:rsidRPr="00D231F6">
        <w:t xml:space="preserve"> may be regarded as prima facie evidence of canvassing. </w:t>
      </w:r>
    </w:p>
    <w:p w14:paraId="4BBFF8B4" w14:textId="77777777" w:rsidR="005B3059" w:rsidRPr="00641A9B" w:rsidRDefault="005B3059" w:rsidP="005B3059">
      <w:pPr>
        <w:pStyle w:val="Level2"/>
        <w:rPr>
          <w:rStyle w:val="Level2asHeadingtext"/>
        </w:rPr>
      </w:pPr>
      <w:bookmarkStart w:id="118" w:name="_Toc23962018"/>
      <w:bookmarkStart w:id="119" w:name="_Ref437826540"/>
      <w:r w:rsidRPr="00641A9B">
        <w:rPr>
          <w:rStyle w:val="Level2asHeadingtext"/>
        </w:rPr>
        <w:t>Right to Confirm or Request Updated Information</w:t>
      </w:r>
      <w:bookmarkEnd w:id="118"/>
      <w:bookmarkEnd w:id="119"/>
    </w:p>
    <w:p w14:paraId="1EB4E371" w14:textId="6437CBC6" w:rsidR="005B3059" w:rsidRPr="00A470B9" w:rsidRDefault="005B3059" w:rsidP="005B3059">
      <w:pPr>
        <w:pStyle w:val="Level3"/>
      </w:pPr>
      <w:bookmarkStart w:id="120" w:name="_Toc23962019"/>
      <w:r w:rsidRPr="00A470B9">
        <w:t xml:space="preserve">The Authority may require </w:t>
      </w:r>
      <w:r>
        <w:t>Providers</w:t>
      </w:r>
      <w:r w:rsidRPr="00A470B9">
        <w:t xml:space="preserve"> to confirm that their Tender remains accurate at any stage of the Procurement and/or to request updated SQ information in order to confirm that </w:t>
      </w:r>
      <w:r>
        <w:t>Providers</w:t>
      </w:r>
      <w:r w:rsidRPr="00A470B9">
        <w:t xml:space="preserve"> remain qualified and to take the appropriate action should that no longer be the case.</w:t>
      </w:r>
      <w:bookmarkEnd w:id="120"/>
    </w:p>
    <w:p w14:paraId="1C86158F" w14:textId="0FFA1A50" w:rsidR="005B3059" w:rsidRPr="00A470B9" w:rsidRDefault="005B3059" w:rsidP="005B3059">
      <w:pPr>
        <w:pStyle w:val="Level3"/>
      </w:pPr>
      <w:bookmarkStart w:id="121" w:name="_Toc23962020"/>
      <w:r w:rsidRPr="00A470B9">
        <w:t xml:space="preserve">The Authority reserves the right to require a </w:t>
      </w:r>
      <w:r>
        <w:t xml:space="preserve">Provider </w:t>
      </w:r>
      <w:r w:rsidRPr="00A470B9">
        <w:t xml:space="preserve">to provide additional information to clarify any of the information provided in response to the requests set out in this ITT. In those instances, the Authority will send any questions using the </w:t>
      </w:r>
      <w:r w:rsidR="008A67AF">
        <w:t>eSourcing System</w:t>
      </w:r>
      <w:r w:rsidRPr="00A470B9">
        <w:t xml:space="preserve"> messaging facility to the named contact person, who must respond by the deadline that will be given. The responses given may be used by the Authority to assist in its tender evaluation. The Authority reserves the right to exclude a </w:t>
      </w:r>
      <w:r>
        <w:t>Provider</w:t>
      </w:r>
      <w:r w:rsidRPr="00A470B9">
        <w:t xml:space="preserve"> from further participation in the Procurement where they do not respond by the deadline given.</w:t>
      </w:r>
      <w:bookmarkEnd w:id="121"/>
      <w:r w:rsidRPr="00A470B9">
        <w:t xml:space="preserve"> </w:t>
      </w:r>
    </w:p>
    <w:p w14:paraId="3420072C" w14:textId="3FDC0C76" w:rsidR="005B3059" w:rsidRDefault="005B3059" w:rsidP="005B3059">
      <w:pPr>
        <w:pStyle w:val="Level3"/>
      </w:pPr>
      <w:bookmarkStart w:id="122" w:name="_Toc23962021"/>
      <w:r w:rsidRPr="00A470B9">
        <w:t>The Authority may seek independent financial legal, market or other financial advice to validate information declared, or to assist in the tender evaluation by the Authority.</w:t>
      </w:r>
      <w:bookmarkEnd w:id="122"/>
    </w:p>
    <w:p w14:paraId="4BD24C3E" w14:textId="77777777" w:rsidR="005B3059" w:rsidRPr="000038B8" w:rsidRDefault="005B3059" w:rsidP="005B3059">
      <w:pPr>
        <w:pStyle w:val="Level2"/>
        <w:keepNext/>
        <w:rPr>
          <w:rStyle w:val="Level1asHeadingtext"/>
          <w:bCs w:val="0"/>
          <w:caps w:val="0"/>
        </w:rPr>
      </w:pPr>
      <w:bookmarkStart w:id="123" w:name="_Toc23962016"/>
      <w:bookmarkStart w:id="124" w:name="_Ref437826493"/>
      <w:r>
        <w:rPr>
          <w:rStyle w:val="Level1asHeadingtext"/>
          <w:caps w:val="0"/>
        </w:rPr>
        <w:t>Change Of Control a</w:t>
      </w:r>
      <w:r w:rsidRPr="000038B8">
        <w:rPr>
          <w:rStyle w:val="Level1asHeadingtext"/>
          <w:caps w:val="0"/>
        </w:rPr>
        <w:t>nd Information Provided In Tenders</w:t>
      </w:r>
      <w:bookmarkEnd w:id="123"/>
      <w:bookmarkEnd w:id="124"/>
    </w:p>
    <w:p w14:paraId="5DC3B4D2" w14:textId="28616AF5" w:rsidR="005B3059" w:rsidRPr="00A470B9" w:rsidRDefault="00A1213F" w:rsidP="005B3059">
      <w:pPr>
        <w:pStyle w:val="Level3"/>
      </w:pPr>
      <w:bookmarkStart w:id="125" w:name="_Toc23962017"/>
      <w:r>
        <w:t>Notwithstanding any other provision of this ITT or the Call-Off Contract, i</w:t>
      </w:r>
      <w:r w:rsidR="005B3059" w:rsidRPr="00A470B9">
        <w:t>f, at any time:</w:t>
      </w:r>
      <w:bookmarkEnd w:id="125"/>
    </w:p>
    <w:p w14:paraId="1C45A351" w14:textId="720D3102" w:rsidR="00876E5E" w:rsidRDefault="005B3059" w:rsidP="005B3059">
      <w:pPr>
        <w:pStyle w:val="Level4"/>
      </w:pPr>
      <w:r w:rsidRPr="00A470B9">
        <w:t>a change in the structure, control, composition or membership</w:t>
      </w:r>
      <w:r>
        <w:t xml:space="preserve"> of a Provider</w:t>
      </w:r>
      <w:r w:rsidRPr="00A470B9">
        <w:t xml:space="preserve"> occurs; </w:t>
      </w:r>
      <w:r w:rsidR="00876E5E">
        <w:t>or</w:t>
      </w:r>
    </w:p>
    <w:p w14:paraId="37FCD560" w14:textId="71CA1ED1" w:rsidR="005B3059" w:rsidRPr="00A470B9" w:rsidRDefault="00876E5E" w:rsidP="005B3059">
      <w:pPr>
        <w:pStyle w:val="Level4"/>
      </w:pPr>
      <w:r>
        <w:t xml:space="preserve">a change to the Provider's Key Sub-contractor </w:t>
      </w:r>
      <w:r w:rsidR="005B3059" w:rsidRPr="00A470B9">
        <w:t>or</w:t>
      </w:r>
      <w:r>
        <w:t xml:space="preserve"> supply chain; or</w:t>
      </w:r>
    </w:p>
    <w:p w14:paraId="79928BBA" w14:textId="06676EDC" w:rsidR="005B3059" w:rsidRPr="00A470B9" w:rsidRDefault="005B3059" w:rsidP="005B3059">
      <w:pPr>
        <w:pStyle w:val="Level4"/>
      </w:pPr>
      <w:r w:rsidRPr="00A470B9">
        <w:t xml:space="preserve">a </w:t>
      </w:r>
      <w:r>
        <w:t>change in</w:t>
      </w:r>
      <w:r w:rsidRPr="00A470B9">
        <w:t xml:space="preserve"> economic and financial standing occurs</w:t>
      </w:r>
      <w:r>
        <w:t>,</w:t>
      </w:r>
    </w:p>
    <w:p w14:paraId="06076632" w14:textId="323D2BA7" w:rsidR="005B3059" w:rsidRPr="00A470B9" w:rsidRDefault="005B3059" w:rsidP="005B3059">
      <w:pPr>
        <w:pStyle w:val="Body3"/>
      </w:pPr>
      <w:r w:rsidRPr="00A470B9">
        <w:t xml:space="preserve">or </w:t>
      </w:r>
      <w:r>
        <w:t>any other changes to the information provided in the SQ have occurred since the Provider responded to the SQ, the Provider</w:t>
      </w:r>
      <w:r w:rsidRPr="00A470B9">
        <w:t xml:space="preserve"> must inform the Authority via </w:t>
      </w:r>
      <w:r>
        <w:t xml:space="preserve">the </w:t>
      </w:r>
      <w:r w:rsidR="008A67AF">
        <w:t>eSourcing System</w:t>
      </w:r>
      <w:r w:rsidRPr="00A470B9">
        <w:t xml:space="preserve"> immediately, and the Authority at its sole discretion, may re-evaluate the relevant SQ response or Tender or d</w:t>
      </w:r>
      <w:r>
        <w:t>isqualify the Provider from the Call-Off Competition</w:t>
      </w:r>
      <w:r w:rsidRPr="00A470B9">
        <w:t xml:space="preserve"> based on an assessment of the new information.</w:t>
      </w:r>
    </w:p>
    <w:p w14:paraId="64E836CC" w14:textId="68B058EF" w:rsidR="005B3059" w:rsidRPr="0056773E" w:rsidRDefault="005B3059" w:rsidP="005B3059">
      <w:pPr>
        <w:pStyle w:val="Level2"/>
        <w:keepNext/>
        <w:rPr>
          <w:rStyle w:val="Level2asHeadingtext"/>
          <w:bCs w:val="0"/>
        </w:rPr>
      </w:pPr>
      <w:r>
        <w:rPr>
          <w:rStyle w:val="Level2asHeadingtext"/>
          <w:b w:val="0"/>
          <w:bCs w:val="0"/>
        </w:rPr>
        <w:t xml:space="preserve">The Provider must confirm as part of its Tender Response whether there are any grounds which exist that would alter any of its responses in relation to the SQ, including, but not limited to: </w:t>
      </w:r>
      <w:r w:rsidRPr="008D0799">
        <w:rPr>
          <w:szCs w:val="22"/>
        </w:rPr>
        <w:t xml:space="preserve">any of the mandatory or discretionary grounds for exclusion pursuant to the </w:t>
      </w:r>
      <w:r>
        <w:rPr>
          <w:szCs w:val="22"/>
        </w:rPr>
        <w:t>Regulations</w:t>
      </w:r>
      <w:r w:rsidRPr="008D0799">
        <w:rPr>
          <w:szCs w:val="22"/>
        </w:rPr>
        <w:t xml:space="preserve">, the financial capacity of the </w:t>
      </w:r>
      <w:r>
        <w:rPr>
          <w:szCs w:val="22"/>
        </w:rPr>
        <w:t>Provider</w:t>
      </w:r>
      <w:r w:rsidRPr="008D0799">
        <w:rPr>
          <w:szCs w:val="22"/>
        </w:rPr>
        <w:t xml:space="preserve"> or (where relevant) any changes to the composition</w:t>
      </w:r>
      <w:r>
        <w:rPr>
          <w:szCs w:val="22"/>
        </w:rPr>
        <w:t xml:space="preserve"> of the</w:t>
      </w:r>
      <w:r w:rsidR="00CB1473">
        <w:rPr>
          <w:szCs w:val="22"/>
        </w:rPr>
        <w:t xml:space="preserve"> Provider/SPV</w:t>
      </w:r>
      <w:r>
        <w:rPr>
          <w:szCs w:val="22"/>
        </w:rPr>
        <w:t xml:space="preserve"> of Key S</w:t>
      </w:r>
      <w:r w:rsidRPr="008D0799">
        <w:rPr>
          <w:szCs w:val="22"/>
        </w:rPr>
        <w:t>ub-contractors, other than any changes which have</w:t>
      </w:r>
      <w:r>
        <w:rPr>
          <w:szCs w:val="22"/>
        </w:rPr>
        <w:t xml:space="preserve"> already</w:t>
      </w:r>
      <w:r w:rsidRPr="008D0799">
        <w:rPr>
          <w:szCs w:val="22"/>
        </w:rPr>
        <w:t xml:space="preserve"> been disclosed to </w:t>
      </w:r>
      <w:r>
        <w:rPr>
          <w:szCs w:val="22"/>
        </w:rPr>
        <w:t xml:space="preserve">the Authority. </w:t>
      </w:r>
    </w:p>
    <w:p w14:paraId="18F68B1F" w14:textId="49674CEF" w:rsidR="005B3059" w:rsidRPr="005B3059" w:rsidRDefault="005B3059" w:rsidP="005B3059">
      <w:pPr>
        <w:pStyle w:val="Level2"/>
        <w:keepNext/>
        <w:rPr>
          <w:rStyle w:val="Level2asHeadingtext"/>
          <w:bCs w:val="0"/>
        </w:rPr>
      </w:pPr>
      <w:r>
        <w:rPr>
          <w:szCs w:val="22"/>
        </w:rPr>
        <w:t>The Authority reserves the right to disqualify the Provider from the Call-Off Competition in relation to any changes which the Provider informs it of (or which the Authority otherwise becomes aware of) and which the Authority deems to be unacceptable, at any stage of the Call-Off Competition.</w:t>
      </w:r>
    </w:p>
    <w:p w14:paraId="7899AB41" w14:textId="77777777" w:rsidR="00F63019" w:rsidRPr="00D231F6" w:rsidRDefault="00F63019" w:rsidP="0048237A">
      <w:pPr>
        <w:pStyle w:val="Level2"/>
        <w:keepNext/>
      </w:pPr>
      <w:r w:rsidRPr="00D231F6">
        <w:rPr>
          <w:rStyle w:val="Level2asHeadingtext"/>
        </w:rPr>
        <w:t>Modification and Withdrawal of Submission</w:t>
      </w:r>
    </w:p>
    <w:p w14:paraId="3A4BCDFB" w14:textId="7C25DAF2" w:rsidR="00F63019" w:rsidRPr="00D231F6" w:rsidRDefault="00DA5B06" w:rsidP="00F63019">
      <w:pPr>
        <w:pStyle w:val="Level2"/>
      </w:pPr>
      <w:r>
        <w:t>Provider</w:t>
      </w:r>
      <w:r w:rsidR="00F63019" w:rsidRPr="00D231F6">
        <w:t xml:space="preserve">s may modify their </w:t>
      </w:r>
      <w:r w:rsidR="006E5991" w:rsidRPr="00D231F6">
        <w:t>Further</w:t>
      </w:r>
      <w:r w:rsidR="0048237A" w:rsidRPr="00D231F6">
        <w:t xml:space="preserve"> Qualification Response and/or Tender Response</w:t>
      </w:r>
      <w:r w:rsidR="00F63019" w:rsidRPr="00D231F6">
        <w:t xml:space="preserve"> prior to the </w:t>
      </w:r>
      <w:r w:rsidR="00B11B6F">
        <w:t>Tender Response</w:t>
      </w:r>
      <w:r w:rsidR="00F63019" w:rsidRPr="00D231F6">
        <w:t xml:space="preserve"> Deadline. Any </w:t>
      </w:r>
      <w:r>
        <w:t>Provider</w:t>
      </w:r>
      <w:r w:rsidR="00F63019" w:rsidRPr="00D231F6">
        <w:t xml:space="preserve"> wishing to submit a new </w:t>
      </w:r>
      <w:r w:rsidR="006E5991" w:rsidRPr="00D231F6">
        <w:t>Further</w:t>
      </w:r>
      <w:r w:rsidR="0048237A" w:rsidRPr="00D231F6">
        <w:t xml:space="preserve"> Qualification Response and/or Tender Response </w:t>
      </w:r>
      <w:r w:rsidR="00F63019" w:rsidRPr="00D231F6">
        <w:t>is able to delete their previous response and replace with a revised version.</w:t>
      </w:r>
    </w:p>
    <w:p w14:paraId="0929E948" w14:textId="79185633" w:rsidR="00F63019" w:rsidRPr="00D231F6" w:rsidRDefault="00F63019" w:rsidP="00F63019">
      <w:pPr>
        <w:pStyle w:val="Level2"/>
      </w:pPr>
      <w:r w:rsidRPr="00D231F6">
        <w:lastRenderedPageBreak/>
        <w:t xml:space="preserve">No </w:t>
      </w:r>
      <w:r w:rsidR="006E5991" w:rsidRPr="00D231F6">
        <w:t>Further</w:t>
      </w:r>
      <w:r w:rsidR="0048237A" w:rsidRPr="00D231F6">
        <w:t xml:space="preserve"> Qualification Response and/or Tender Response </w:t>
      </w:r>
      <w:r w:rsidRPr="00D231F6">
        <w:t xml:space="preserve">may be modified after the </w:t>
      </w:r>
      <w:r w:rsidR="00B11B6F">
        <w:t>Tender Response</w:t>
      </w:r>
      <w:r w:rsidR="00B11B6F" w:rsidRPr="00D231F6">
        <w:t xml:space="preserve"> </w:t>
      </w:r>
      <w:r w:rsidRPr="00D231F6">
        <w:t xml:space="preserve">Deadline. </w:t>
      </w:r>
      <w:r w:rsidR="00DA5B06">
        <w:t>Provider</w:t>
      </w:r>
      <w:r w:rsidRPr="00D231F6">
        <w:t xml:space="preserve">s may withdraw their </w:t>
      </w:r>
      <w:r w:rsidR="006E5991" w:rsidRPr="00D231F6">
        <w:t>Further</w:t>
      </w:r>
      <w:r w:rsidR="0048237A" w:rsidRPr="00D231F6">
        <w:t xml:space="preserve"> Qualification Response and/or Tender Response </w:t>
      </w:r>
      <w:r w:rsidRPr="00D231F6">
        <w:t xml:space="preserve">after the </w:t>
      </w:r>
      <w:r w:rsidR="00B11B6F">
        <w:t>Tender Response</w:t>
      </w:r>
      <w:r w:rsidR="00B11B6F" w:rsidRPr="00D231F6">
        <w:t xml:space="preserve"> </w:t>
      </w:r>
      <w:r w:rsidRPr="00D231F6">
        <w:t xml:space="preserve">Deadline by notifying </w:t>
      </w:r>
      <w:r w:rsidR="0048237A" w:rsidRPr="00D231F6">
        <w:t>the Authority</w:t>
      </w:r>
      <w:r w:rsidRPr="00D231F6">
        <w:t xml:space="preserve"> via the correspondence function available via the </w:t>
      </w:r>
      <w:r w:rsidR="00AF1397">
        <w:t>eSourcing System</w:t>
      </w:r>
      <w:r w:rsidRPr="00D231F6">
        <w:t>.</w:t>
      </w:r>
    </w:p>
    <w:p w14:paraId="27E7337E" w14:textId="77777777" w:rsidR="00F63019" w:rsidRPr="00D231F6" w:rsidRDefault="00F63019" w:rsidP="0048237A">
      <w:pPr>
        <w:pStyle w:val="Level2"/>
        <w:keepNext/>
      </w:pPr>
      <w:r w:rsidRPr="00D231F6">
        <w:rPr>
          <w:rStyle w:val="Level2asHeadingtext"/>
        </w:rPr>
        <w:t>Warranties</w:t>
      </w:r>
    </w:p>
    <w:p w14:paraId="6BAF356C" w14:textId="5633D415" w:rsidR="00F63019" w:rsidRPr="00D231F6" w:rsidRDefault="00F63019" w:rsidP="00F63019">
      <w:pPr>
        <w:pStyle w:val="Level2"/>
      </w:pPr>
      <w:r w:rsidRPr="00D231F6">
        <w:t xml:space="preserve">In submitting a </w:t>
      </w:r>
      <w:r w:rsidR="006E5991" w:rsidRPr="00D231F6">
        <w:t>Further</w:t>
      </w:r>
      <w:r w:rsidR="0048237A" w:rsidRPr="00D231F6">
        <w:t xml:space="preserve"> Qualification Response or Tender Response</w:t>
      </w:r>
      <w:r w:rsidRPr="00D231F6">
        <w:t xml:space="preserve">, the </w:t>
      </w:r>
      <w:r w:rsidR="00DA5B06">
        <w:t>Provider</w:t>
      </w:r>
      <w:r w:rsidRPr="00D231F6">
        <w:t xml:space="preserve"> warrants, represents and undertakes that:</w:t>
      </w:r>
    </w:p>
    <w:p w14:paraId="3BA16978" w14:textId="77777777" w:rsidR="00F63019" w:rsidRPr="00D231F6" w:rsidRDefault="00F63019" w:rsidP="00F63019">
      <w:pPr>
        <w:pStyle w:val="Level3"/>
      </w:pPr>
      <w:r w:rsidRPr="00D231F6">
        <w:t xml:space="preserve">all information, representations and matters of fact communicated (whether in writing or otherwise) to the Authority in connection with its response are true and accurate at the time of submission and shall remain so throughout the procurement process (subject to any further changes which may occur and which should be disclosed to </w:t>
      </w:r>
      <w:r w:rsidR="0048237A" w:rsidRPr="00D231F6">
        <w:t>the Authority</w:t>
      </w:r>
      <w:r w:rsidRPr="00D231F6">
        <w:t xml:space="preserve"> promptly);</w:t>
      </w:r>
    </w:p>
    <w:p w14:paraId="3A57F68A" w14:textId="77777777" w:rsidR="00F63019" w:rsidRPr="00D231F6" w:rsidRDefault="00F63019" w:rsidP="00F63019">
      <w:pPr>
        <w:pStyle w:val="Level3"/>
      </w:pPr>
      <w:r w:rsidRPr="00D231F6">
        <w:t xml:space="preserve">it has complied with the conditions set out in this </w:t>
      </w:r>
      <w:r w:rsidR="00B11B6F">
        <w:t xml:space="preserve">Call-Off </w:t>
      </w:r>
      <w:r w:rsidR="00B11B6F" w:rsidRPr="00D231F6">
        <w:t>ITT</w:t>
      </w:r>
      <w:r w:rsidRPr="00D231F6">
        <w:t xml:space="preserve"> in all respects; and</w:t>
      </w:r>
    </w:p>
    <w:p w14:paraId="5B99CCB8" w14:textId="77777777" w:rsidR="00F63019" w:rsidRPr="00D231F6" w:rsidRDefault="00F63019" w:rsidP="00F63019">
      <w:pPr>
        <w:pStyle w:val="Level3"/>
      </w:pPr>
      <w:r w:rsidRPr="00D231F6">
        <w:t xml:space="preserve">it has not submitted a response in reliance upon any representation or statement (whether made orally, in writing or otherwise) which may have been made by </w:t>
      </w:r>
      <w:r w:rsidR="0048237A" w:rsidRPr="00D231F6">
        <w:t>the Authority</w:t>
      </w:r>
      <w:r w:rsidRPr="00D231F6">
        <w:t xml:space="preserve"> or the Authority’ officers, employees, or agents, or appointed advisers.</w:t>
      </w:r>
    </w:p>
    <w:p w14:paraId="364F9EB6" w14:textId="77777777" w:rsidR="00F63019" w:rsidRPr="00D231F6" w:rsidRDefault="00F63019" w:rsidP="0048237A">
      <w:pPr>
        <w:pStyle w:val="Level2"/>
        <w:keepNext/>
      </w:pPr>
      <w:r w:rsidRPr="00D231F6">
        <w:rPr>
          <w:rStyle w:val="Level2asHeadingtext"/>
        </w:rPr>
        <w:t>Publicity</w:t>
      </w:r>
    </w:p>
    <w:p w14:paraId="27888D3A" w14:textId="6C46C181" w:rsidR="00F63019" w:rsidRPr="00D231F6" w:rsidRDefault="00F63019" w:rsidP="00F63019">
      <w:pPr>
        <w:pStyle w:val="Level2"/>
      </w:pPr>
      <w:r w:rsidRPr="00D231F6">
        <w:t xml:space="preserve">No publicity in relation to the selection of the long or short list of </w:t>
      </w:r>
      <w:r w:rsidR="00DA5B06">
        <w:t>Provider</w:t>
      </w:r>
      <w:r w:rsidRPr="00D231F6">
        <w:t xml:space="preserve">s, the appointment of the Preferred </w:t>
      </w:r>
      <w:r w:rsidR="00DA5B06">
        <w:t>Provider</w:t>
      </w:r>
      <w:r w:rsidRPr="00D231F6">
        <w:t xml:space="preserve">(s), the execution of any contractual documents or the </w:t>
      </w:r>
      <w:r w:rsidR="0048237A" w:rsidRPr="00D231F6">
        <w:t>Call-Off Competition</w:t>
      </w:r>
      <w:r w:rsidRPr="00D231F6">
        <w:t xml:space="preserve"> in general will be permitted unless and until </w:t>
      </w:r>
      <w:r w:rsidR="0048237A" w:rsidRPr="00D231F6">
        <w:t>the Authority</w:t>
      </w:r>
      <w:r w:rsidRPr="00D231F6">
        <w:t xml:space="preserve"> has given its express prior consent to the relevant communication.  In particular, no statements should be made to the press or other similar organisations regarding the nature of any solution/proposals of </w:t>
      </w:r>
      <w:r w:rsidR="00DA5B06">
        <w:t>Provider</w:t>
      </w:r>
      <w:r w:rsidRPr="00D231F6">
        <w:t xml:space="preserve">s in connection with this procurement without the express prior written consent of </w:t>
      </w:r>
      <w:r w:rsidR="0048237A" w:rsidRPr="00D231F6">
        <w:t>the Authority</w:t>
      </w:r>
      <w:r w:rsidRPr="00D231F6">
        <w:t>.</w:t>
      </w:r>
    </w:p>
    <w:p w14:paraId="3C9EAD22" w14:textId="7C946E7D" w:rsidR="00F63019" w:rsidRPr="00D231F6" w:rsidRDefault="0048237A" w:rsidP="00F63019">
      <w:pPr>
        <w:pStyle w:val="Level2"/>
      </w:pPr>
      <w:r w:rsidRPr="00D231F6">
        <w:t>T</w:t>
      </w:r>
      <w:r w:rsidR="00F63019" w:rsidRPr="00D231F6">
        <w:t>he Authority retain</w:t>
      </w:r>
      <w:r w:rsidRPr="00D231F6">
        <w:t>s</w:t>
      </w:r>
      <w:r w:rsidR="00F63019" w:rsidRPr="00D231F6">
        <w:t xml:space="preserve"> the right to publicise or otherwise disclose to any third party, information in relation to the procurement, the selection of the long or short list of </w:t>
      </w:r>
      <w:r w:rsidR="00DA5B06">
        <w:t>Provider</w:t>
      </w:r>
      <w:r w:rsidR="00F63019" w:rsidRPr="00D231F6">
        <w:t>s (including details of their respective members, subcontractors, representatives, advisers, consultants, servants or agents), the procurement in general or the execution of any contractual documents at any time.</w:t>
      </w:r>
    </w:p>
    <w:p w14:paraId="2E64BAA2" w14:textId="77777777" w:rsidR="00F63019" w:rsidRPr="00D231F6" w:rsidRDefault="00F63019" w:rsidP="0048237A">
      <w:pPr>
        <w:pStyle w:val="Level2"/>
        <w:keepNext/>
      </w:pPr>
      <w:r w:rsidRPr="00D231F6">
        <w:rPr>
          <w:rStyle w:val="Level2asHeadingtext"/>
        </w:rPr>
        <w:t>Communications</w:t>
      </w:r>
    </w:p>
    <w:p w14:paraId="6958A50D" w14:textId="77777777" w:rsidR="00F63019" w:rsidRPr="00D231F6" w:rsidRDefault="00F63019" w:rsidP="00F63019">
      <w:pPr>
        <w:pStyle w:val="Level2"/>
      </w:pPr>
      <w:r w:rsidRPr="00D231F6">
        <w:t xml:space="preserve">All documents and correspondence relating to the procurement will be communicated in the English language.  All </w:t>
      </w:r>
      <w:r w:rsidR="006E5991" w:rsidRPr="00D231F6">
        <w:t>Further</w:t>
      </w:r>
      <w:r w:rsidR="0048237A" w:rsidRPr="00D231F6">
        <w:t xml:space="preserve"> Qualification Response and Tender Response </w:t>
      </w:r>
      <w:r w:rsidRPr="00D231F6">
        <w:t>should also be written in the English language.</w:t>
      </w:r>
    </w:p>
    <w:p w14:paraId="08C0D983" w14:textId="37607445" w:rsidR="00F63019" w:rsidRPr="00D231F6" w:rsidRDefault="00F63019" w:rsidP="00F63019">
      <w:pPr>
        <w:pStyle w:val="Level2"/>
      </w:pPr>
      <w:r w:rsidRPr="00D231F6">
        <w:t xml:space="preserve">It is the responsibility of </w:t>
      </w:r>
      <w:r w:rsidR="00DA5B06">
        <w:t>Provider</w:t>
      </w:r>
      <w:r w:rsidRPr="00D231F6">
        <w:t xml:space="preserve">s to monitor all email messages and clarifications issued by </w:t>
      </w:r>
      <w:r w:rsidR="0048237A" w:rsidRPr="00D231F6">
        <w:t>the Authority</w:t>
      </w:r>
      <w:r w:rsidRPr="00D231F6">
        <w:t>.  The Authority accept</w:t>
      </w:r>
      <w:r w:rsidR="0048237A" w:rsidRPr="00D231F6">
        <w:t>s</w:t>
      </w:r>
      <w:r w:rsidRPr="00D231F6">
        <w:t xml:space="preserve"> no liability for any </w:t>
      </w:r>
      <w:r w:rsidR="00DA5B06">
        <w:t>Provider</w:t>
      </w:r>
      <w:r w:rsidRPr="00D231F6">
        <w:t xml:space="preserve">'s failure to consistently monitor its inbox, the </w:t>
      </w:r>
      <w:r w:rsidR="00AF1397">
        <w:t>eSourcing System</w:t>
      </w:r>
      <w:r w:rsidRPr="00D231F6">
        <w:t xml:space="preserve"> or keep abreast of clarifications issued.  All electronic communication sent by </w:t>
      </w:r>
      <w:r w:rsidR="0048237A" w:rsidRPr="00D231F6">
        <w:t>the Authority</w:t>
      </w:r>
      <w:r w:rsidRPr="00D231F6">
        <w:t xml:space="preserve"> will be deemed to have been received by the </w:t>
      </w:r>
      <w:r w:rsidR="00DA5B06">
        <w:t>Provider</w:t>
      </w:r>
      <w:r w:rsidRPr="00D231F6">
        <w:t xml:space="preserve"> at the time of transmission.</w:t>
      </w:r>
    </w:p>
    <w:p w14:paraId="69653EBE" w14:textId="4195E91F" w:rsidR="00F63019" w:rsidRPr="00D231F6" w:rsidRDefault="00F63019" w:rsidP="00F63019">
      <w:pPr>
        <w:pStyle w:val="Level2"/>
      </w:pPr>
      <w:r w:rsidRPr="00D231F6">
        <w:t xml:space="preserve">It is the sole responsibility of each </w:t>
      </w:r>
      <w:r w:rsidR="00DA5B06">
        <w:t>Provider</w:t>
      </w:r>
      <w:r w:rsidRPr="00D231F6">
        <w:t xml:space="preserve"> to ensure that they are able to monitor and issue responses to any requests issued by </w:t>
      </w:r>
      <w:r w:rsidR="0048237A" w:rsidRPr="00D231F6">
        <w:t>the Authority</w:t>
      </w:r>
      <w:r w:rsidRPr="00D231F6">
        <w:t xml:space="preserve"> within the specified time period.  The </w:t>
      </w:r>
      <w:r w:rsidR="00DA5B06">
        <w:t>Provider</w:t>
      </w:r>
      <w:r w:rsidRPr="00D231F6">
        <w:t xml:space="preserve"> is solely responsible for ensuring that it is able to keep abreast of any communications issued by </w:t>
      </w:r>
      <w:r w:rsidR="0048237A" w:rsidRPr="00D231F6">
        <w:t>the Authority</w:t>
      </w:r>
      <w:r w:rsidRPr="00D231F6">
        <w:t>, and should have particular regard to internal staff changes/staff holidays and update/amend contact details as appropriate.</w:t>
      </w:r>
    </w:p>
    <w:p w14:paraId="6C24FC27" w14:textId="77777777" w:rsidR="00F63019" w:rsidRPr="00D231F6" w:rsidRDefault="00F63019" w:rsidP="0048237A">
      <w:pPr>
        <w:pStyle w:val="Level2"/>
        <w:keepNext/>
      </w:pPr>
      <w:r w:rsidRPr="00D231F6">
        <w:rPr>
          <w:rStyle w:val="Level2asHeadingtext"/>
        </w:rPr>
        <w:t>DISCLAIMER</w:t>
      </w:r>
    </w:p>
    <w:p w14:paraId="61EA4B0B" w14:textId="0907ED43" w:rsidR="00F63019" w:rsidRPr="00D231F6" w:rsidRDefault="00F63019" w:rsidP="00F63019">
      <w:pPr>
        <w:pStyle w:val="Level2"/>
      </w:pPr>
      <w:r w:rsidRPr="00D231F6">
        <w:t xml:space="preserve">Without prejudice to any warranties given, the submission of any response to any of the procurement documents issued in connection with this procurement will not form a separate, collateral or implied contract between the </w:t>
      </w:r>
      <w:r w:rsidR="00DA5B06">
        <w:t>Provider</w:t>
      </w:r>
      <w:r w:rsidR="0055155E" w:rsidRPr="00D231F6">
        <w:t xml:space="preserve"> and</w:t>
      </w:r>
      <w:r w:rsidRPr="00D231F6">
        <w:t>/or the Authority.</w:t>
      </w:r>
    </w:p>
    <w:p w14:paraId="744DCDF8" w14:textId="18AE8A95" w:rsidR="00F63019" w:rsidRPr="00D231F6" w:rsidRDefault="00F63019" w:rsidP="00F63019">
      <w:pPr>
        <w:pStyle w:val="Level2"/>
      </w:pPr>
      <w:r w:rsidRPr="00D231F6">
        <w:lastRenderedPageBreak/>
        <w:t xml:space="preserve">Neither the issue of this </w:t>
      </w:r>
      <w:r w:rsidR="00B11B6F">
        <w:t xml:space="preserve">Call-Off </w:t>
      </w:r>
      <w:r w:rsidR="00B11B6F" w:rsidRPr="00D231F6">
        <w:t>ITT</w:t>
      </w:r>
      <w:r w:rsidRPr="00D231F6">
        <w:t xml:space="preserve">, nor any of the information presented in it, should be regarded as a commitment or representation on the part of the Authority (or any other person) to enter into a contractual arrangement.  Nothing in this document should be interpreted as a commitment by </w:t>
      </w:r>
      <w:r w:rsidR="0055155E" w:rsidRPr="00D231F6">
        <w:t>the Authority</w:t>
      </w:r>
      <w:r w:rsidRPr="00D231F6">
        <w:t xml:space="preserve"> to award a contract to a </w:t>
      </w:r>
      <w:r w:rsidR="00DA5B06">
        <w:t>Provider</w:t>
      </w:r>
      <w:r w:rsidRPr="00D231F6">
        <w:t xml:space="preserve"> as a result of this </w:t>
      </w:r>
      <w:r w:rsidR="0055155E" w:rsidRPr="00D231F6">
        <w:t>Call-Off Competition</w:t>
      </w:r>
      <w:r w:rsidRPr="00D231F6">
        <w:t>, nor to accept the lowest price or any tender.</w:t>
      </w:r>
    </w:p>
    <w:p w14:paraId="67E38F4A" w14:textId="044DD5D8" w:rsidR="00F63019" w:rsidRPr="00D231F6" w:rsidRDefault="00F63019" w:rsidP="00F63019">
      <w:pPr>
        <w:pStyle w:val="Level2"/>
      </w:pPr>
      <w:r w:rsidRPr="00D231F6">
        <w:t>Whilst prepared in good faith and the information contained in this</w:t>
      </w:r>
      <w:r w:rsidR="00B11B6F">
        <w:t xml:space="preserve"> Call-Off </w:t>
      </w:r>
      <w:r w:rsidR="00B11B6F" w:rsidRPr="00D231F6">
        <w:t>ITT</w:t>
      </w:r>
      <w:r w:rsidRPr="00D231F6">
        <w:t xml:space="preserve"> is believed to be correct at the time of issue, the </w:t>
      </w:r>
      <w:r w:rsidR="00B11B6F">
        <w:t xml:space="preserve">Call-Off </w:t>
      </w:r>
      <w:r w:rsidR="00B11B6F" w:rsidRPr="00D231F6">
        <w:t xml:space="preserve">ITT </w:t>
      </w:r>
      <w:r w:rsidRPr="00D231F6">
        <w:t xml:space="preserve">and any ancillary documents issued to </w:t>
      </w:r>
      <w:r w:rsidR="00DA5B06">
        <w:t>Provider</w:t>
      </w:r>
      <w:r w:rsidRPr="00D231F6">
        <w:t xml:space="preserve">s in conjunction with the </w:t>
      </w:r>
      <w:r w:rsidR="00B11B6F">
        <w:t xml:space="preserve">Call-Off </w:t>
      </w:r>
      <w:r w:rsidR="00B11B6F" w:rsidRPr="00D231F6">
        <w:t>ITT</w:t>
      </w:r>
      <w:r w:rsidRPr="00D231F6">
        <w:t xml:space="preserve"> are intended to provide preliminary background to </w:t>
      </w:r>
      <w:r w:rsidR="0055155E" w:rsidRPr="00D231F6">
        <w:t>the Authority's</w:t>
      </w:r>
      <w:r w:rsidRPr="00D231F6">
        <w:t xml:space="preserve"> objectives and requirements and the Authority (including </w:t>
      </w:r>
      <w:r w:rsidR="0055155E" w:rsidRPr="00D231F6">
        <w:t>its</w:t>
      </w:r>
      <w:r w:rsidRPr="00D231F6">
        <w:t xml:space="preserve"> advisors), will accept any liability for their accuracy, adequacy or completeness, nor will any express or implied warranty be given.  This exclusion extends to liability in relation to any statement, opinion or conclusion contained in or any omission from, the </w:t>
      </w:r>
      <w:r w:rsidR="00B11B6F">
        <w:t xml:space="preserve">Call-Off </w:t>
      </w:r>
      <w:r w:rsidR="00B11B6F" w:rsidRPr="00D231F6">
        <w:t xml:space="preserve">ITT </w:t>
      </w:r>
      <w:r w:rsidRPr="00D231F6">
        <w:t xml:space="preserve">(including its appendices) and in respect of any other written or oral communication transmitted (or otherwise made available) to any </w:t>
      </w:r>
      <w:r w:rsidR="00DA5B06">
        <w:t>Provider</w:t>
      </w:r>
      <w:r w:rsidRPr="00D231F6">
        <w:t>.</w:t>
      </w:r>
    </w:p>
    <w:p w14:paraId="1FFCEED0" w14:textId="77777777" w:rsidR="00F63019" w:rsidRPr="00D231F6" w:rsidRDefault="00F63019" w:rsidP="00F63019">
      <w:pPr>
        <w:pStyle w:val="Level2"/>
      </w:pPr>
      <w:r w:rsidRPr="00D231F6">
        <w:t xml:space="preserve">Only the express terms of the contractual documents, if and when executed shall have any contractual effect in connection with the matters to which this </w:t>
      </w:r>
      <w:r w:rsidR="0055155E" w:rsidRPr="00D231F6">
        <w:t>Call-Off Competition</w:t>
      </w:r>
      <w:r w:rsidRPr="00D231F6">
        <w:t xml:space="preserve"> relates.</w:t>
      </w:r>
    </w:p>
    <w:p w14:paraId="45626EBD" w14:textId="77777777" w:rsidR="00F63019" w:rsidRPr="00D231F6" w:rsidRDefault="0055155E" w:rsidP="00F63019">
      <w:pPr>
        <w:pStyle w:val="Level2"/>
      </w:pPr>
      <w:r w:rsidRPr="00D231F6">
        <w:t>The Authority</w:t>
      </w:r>
      <w:r w:rsidR="00F63019" w:rsidRPr="00D231F6">
        <w:t xml:space="preserve"> reserves the right at any time to:</w:t>
      </w:r>
    </w:p>
    <w:p w14:paraId="6C3F25F2" w14:textId="77777777" w:rsidR="00F63019" w:rsidRPr="00D231F6" w:rsidRDefault="00F63019" w:rsidP="00F63019">
      <w:pPr>
        <w:pStyle w:val="Level3"/>
      </w:pPr>
      <w:r w:rsidRPr="00D231F6">
        <w:t xml:space="preserve">reject any or all </w:t>
      </w:r>
      <w:r w:rsidR="006E5991" w:rsidRPr="00D231F6">
        <w:t>Further</w:t>
      </w:r>
      <w:r w:rsidR="0055155E" w:rsidRPr="00D231F6">
        <w:t xml:space="preserve"> Qualification Response or Tender Response </w:t>
      </w:r>
      <w:r w:rsidRPr="00D231F6">
        <w:t xml:space="preserve">and to cancel or withdraw the </w:t>
      </w:r>
      <w:r w:rsidR="0055155E" w:rsidRPr="00D231F6">
        <w:t>Call-Off Competition</w:t>
      </w:r>
      <w:r w:rsidRPr="00D231F6">
        <w:t xml:space="preserve"> at any stage;</w:t>
      </w:r>
    </w:p>
    <w:p w14:paraId="4D9F9439" w14:textId="77777777" w:rsidR="00F63019" w:rsidRPr="00D231F6" w:rsidRDefault="00F63019" w:rsidP="00F63019">
      <w:pPr>
        <w:pStyle w:val="Level3"/>
      </w:pPr>
      <w:r w:rsidRPr="00D231F6">
        <w:t>award a contract without prior notice;</w:t>
      </w:r>
    </w:p>
    <w:p w14:paraId="7E062A57" w14:textId="77777777" w:rsidR="00F63019" w:rsidRPr="00D231F6" w:rsidRDefault="00F63019" w:rsidP="00F63019">
      <w:pPr>
        <w:pStyle w:val="Level3"/>
      </w:pPr>
      <w:r w:rsidRPr="00D231F6">
        <w:t xml:space="preserve">change the basis, the procedures and the timescales set out or referred to in </w:t>
      </w:r>
      <w:r w:rsidR="00B11B6F">
        <w:t xml:space="preserve">this Call-Off </w:t>
      </w:r>
      <w:r w:rsidR="00B11B6F" w:rsidRPr="00D231F6">
        <w:t>ITT</w:t>
      </w:r>
      <w:r w:rsidRPr="00D231F6">
        <w:t xml:space="preserve">; </w:t>
      </w:r>
    </w:p>
    <w:p w14:paraId="4D93516D" w14:textId="6CBB87DC" w:rsidR="00F63019" w:rsidRPr="00D231F6" w:rsidRDefault="00F63019" w:rsidP="00F63019">
      <w:pPr>
        <w:pStyle w:val="Level3"/>
      </w:pPr>
      <w:r w:rsidRPr="00D231F6">
        <w:t xml:space="preserve">require a </w:t>
      </w:r>
      <w:r w:rsidR="00DA5B06">
        <w:t>Provider</w:t>
      </w:r>
      <w:r w:rsidRPr="00D231F6">
        <w:t xml:space="preserve"> to clarify its </w:t>
      </w:r>
      <w:r w:rsidR="006E5991" w:rsidRPr="00D231F6">
        <w:t>Further</w:t>
      </w:r>
      <w:r w:rsidR="0055155E" w:rsidRPr="00D231F6">
        <w:t xml:space="preserve"> Qualification Response or Tender Response</w:t>
      </w:r>
      <w:r w:rsidRPr="00D231F6">
        <w:t xml:space="preserve"> in writing and/or provide additional information (failure to respond adequately may result in disqualification);</w:t>
      </w:r>
    </w:p>
    <w:p w14:paraId="27A7AC53" w14:textId="77777777" w:rsidR="00F63019" w:rsidRPr="00D231F6" w:rsidRDefault="00F63019" w:rsidP="00F63019">
      <w:pPr>
        <w:pStyle w:val="Level3"/>
      </w:pPr>
      <w:r w:rsidRPr="00D231F6">
        <w:t xml:space="preserve">terminate the </w:t>
      </w:r>
      <w:r w:rsidR="0055155E" w:rsidRPr="00D231F6">
        <w:t>Call-Off Competition</w:t>
      </w:r>
      <w:r w:rsidRPr="00D231F6">
        <w:t xml:space="preserve"> process; and</w:t>
      </w:r>
    </w:p>
    <w:p w14:paraId="668AAAF1" w14:textId="77777777" w:rsidR="00F63019" w:rsidRPr="00D231F6" w:rsidRDefault="00F63019" w:rsidP="00F63019">
      <w:pPr>
        <w:pStyle w:val="Level3"/>
      </w:pPr>
      <w:r w:rsidRPr="00D231F6">
        <w:t>amend the terms and conditions of the selection and evaluation process.</w:t>
      </w:r>
    </w:p>
    <w:p w14:paraId="70CCC1A1" w14:textId="0CB6A6FB" w:rsidR="00F63019" w:rsidRPr="00D231F6" w:rsidRDefault="00D56B78" w:rsidP="0055155E">
      <w:pPr>
        <w:pStyle w:val="Level2"/>
        <w:keepNext/>
      </w:pPr>
      <w:r>
        <w:rPr>
          <w:rStyle w:val="Level2asHeadingtext"/>
        </w:rPr>
        <w:t>Interpretation</w:t>
      </w:r>
      <w:r w:rsidR="00F63019" w:rsidRPr="00D231F6">
        <w:rPr>
          <w:rStyle w:val="Level2asHeadingtext"/>
        </w:rPr>
        <w:t xml:space="preserve"> </w:t>
      </w:r>
    </w:p>
    <w:p w14:paraId="7A2D34C5" w14:textId="77777777" w:rsidR="00F63019" w:rsidRPr="00D231F6" w:rsidRDefault="00F63019" w:rsidP="00F63019">
      <w:pPr>
        <w:pStyle w:val="Level2"/>
      </w:pPr>
      <w:r w:rsidRPr="00D231F6">
        <w:t xml:space="preserve">In respect of any documentation issued as part of this </w:t>
      </w:r>
      <w:r w:rsidR="0055155E" w:rsidRPr="00D231F6">
        <w:t xml:space="preserve">Call-Off Competition </w:t>
      </w:r>
      <w:r w:rsidRPr="00D231F6">
        <w:t>(except where indicated otherwise):</w:t>
      </w:r>
    </w:p>
    <w:p w14:paraId="334E705D" w14:textId="77777777" w:rsidR="00F63019" w:rsidRPr="00D231F6" w:rsidRDefault="00F63019" w:rsidP="00F63019">
      <w:pPr>
        <w:pStyle w:val="Level3"/>
      </w:pPr>
      <w:r w:rsidRPr="00D231F6">
        <w:t>words importing one gender include all other genders and words importing the singular include the plural and vice versa;</w:t>
      </w:r>
    </w:p>
    <w:p w14:paraId="633970EE" w14:textId="77777777" w:rsidR="00F63019" w:rsidRPr="00D231F6" w:rsidRDefault="00F63019" w:rsidP="00F63019">
      <w:pPr>
        <w:pStyle w:val="Level3"/>
      </w:pPr>
      <w:r w:rsidRPr="00D231F6">
        <w:t>enactment means any statute or statutory provision (whether of the United Kingdom or elsewhere), subordinate legislation (as defined by section 21(1) Interpretation Act 1978) and any other subordinate legislation made under any such statute or statutory provision;</w:t>
      </w:r>
    </w:p>
    <w:p w14:paraId="2DAE4FCD" w14:textId="77777777" w:rsidR="00F63019" w:rsidRPr="00D231F6" w:rsidRDefault="00F63019" w:rsidP="00F63019">
      <w:pPr>
        <w:pStyle w:val="Level3"/>
      </w:pPr>
      <w:r w:rsidRPr="00D231F6">
        <w:t>a reference to any enactment shall be construed as including a reference to:</w:t>
      </w:r>
    </w:p>
    <w:p w14:paraId="1338302F" w14:textId="77777777" w:rsidR="00F63019" w:rsidRPr="00D231F6" w:rsidRDefault="00F63019" w:rsidP="00F63019">
      <w:pPr>
        <w:pStyle w:val="Level4"/>
      </w:pPr>
      <w:r w:rsidRPr="00D231F6">
        <w:t>any enactment which that enactment has directly or indirectly replaced (whether with or without modification); and</w:t>
      </w:r>
    </w:p>
    <w:p w14:paraId="6D9D4434" w14:textId="77777777" w:rsidR="00F63019" w:rsidRPr="00D231F6" w:rsidRDefault="00F63019" w:rsidP="00F63019">
      <w:pPr>
        <w:pStyle w:val="Level4"/>
      </w:pPr>
      <w:r w:rsidRPr="00D231F6">
        <w:t>that enactment as re-enacted, replaced or modified from time to time, whether before, on or after the date of the document.</w:t>
      </w:r>
    </w:p>
    <w:p w14:paraId="454E6385" w14:textId="57B37D6C" w:rsidR="00067A64" w:rsidRPr="00D231F6" w:rsidRDefault="00F63019" w:rsidP="0055155E">
      <w:pPr>
        <w:pStyle w:val="Level2"/>
      </w:pPr>
      <w:r w:rsidRPr="00D231F6">
        <w:t xml:space="preserve">The terms of this procurement shall be governed by and construed in accordance with English law and </w:t>
      </w:r>
      <w:r w:rsidR="0055155E" w:rsidRPr="00D231F6">
        <w:t>the Authority</w:t>
      </w:r>
      <w:r w:rsidRPr="00D231F6">
        <w:t xml:space="preserve"> and the </w:t>
      </w:r>
      <w:r w:rsidR="00DA5B06">
        <w:t>Provider</w:t>
      </w:r>
      <w:r w:rsidRPr="00D231F6">
        <w:t xml:space="preserve"> agree to submit to the exclusive jurisdiction of the Courts of England in relation to any matter or dispute arising out of or in connection with this </w:t>
      </w:r>
      <w:r w:rsidR="0055155E" w:rsidRPr="00D231F6">
        <w:t>Call-Off Competition</w:t>
      </w:r>
      <w:r w:rsidRPr="00D231F6">
        <w:t>.</w:t>
      </w:r>
      <w:r w:rsidR="00067A64" w:rsidRPr="00D231F6">
        <w:br w:type="page"/>
      </w:r>
    </w:p>
    <w:bookmarkStart w:id="126" w:name="_Ref437495539"/>
    <w:bookmarkStart w:id="127" w:name="_Ref70000001"/>
    <w:bookmarkEnd w:id="126"/>
    <w:bookmarkEnd w:id="127"/>
    <w:p w14:paraId="6B4CBD0E" w14:textId="4D409FDA" w:rsidR="00067A64" w:rsidRPr="00D231F6" w:rsidRDefault="00165DF8" w:rsidP="00067A64">
      <w:pPr>
        <w:pStyle w:val="Appendix"/>
        <w:numPr>
          <w:ilvl w:val="1"/>
          <w:numId w:val="18"/>
        </w:numPr>
      </w:pPr>
      <w:r>
        <w:lastRenderedPageBreak/>
        <w:fldChar w:fldCharType="begin"/>
      </w:r>
      <w:r w:rsidRPr="00165DF8">
        <w:instrText xml:space="preserve">  TC "</w:instrText>
      </w:r>
      <w:r>
        <w:fldChar w:fldCharType="begin"/>
      </w:r>
      <w:r w:rsidRPr="00165DF8">
        <w:instrText xml:space="preserve"> REF _Ref437495539 \r\* UPPER </w:instrText>
      </w:r>
      <w:r>
        <w:fldChar w:fldCharType="separate"/>
      </w:r>
      <w:bookmarkStart w:id="128" w:name="_Toc42697283"/>
      <w:r w:rsidR="006D7AE5">
        <w:instrText>APPENDIX 1</w:instrText>
      </w:r>
      <w:r>
        <w:fldChar w:fldCharType="end"/>
      </w:r>
      <w:r>
        <w:instrText xml:space="preserve"> - GLOSSARY</w:instrText>
      </w:r>
      <w:bookmarkEnd w:id="128"/>
      <w:r w:rsidRPr="00165DF8">
        <w:instrText xml:space="preserve">" \l4 </w:instrText>
      </w:r>
      <w:r>
        <w:fldChar w:fldCharType="end"/>
      </w:r>
    </w:p>
    <w:p w14:paraId="79FDB6D2" w14:textId="77777777" w:rsidR="00067A64" w:rsidRPr="00D231F6" w:rsidRDefault="00067A64" w:rsidP="00067A64">
      <w:pPr>
        <w:pStyle w:val="SubHeading"/>
      </w:pPr>
      <w:r w:rsidRPr="00D231F6">
        <w:t>Glossary</w:t>
      </w:r>
    </w:p>
    <w:tbl>
      <w:tblPr>
        <w:tblW w:w="9005" w:type="dxa"/>
        <w:tblInd w:w="850" w:type="dxa"/>
        <w:tblLayout w:type="fixed"/>
        <w:tblLook w:val="0000" w:firstRow="0" w:lastRow="0" w:firstColumn="0" w:lastColumn="0" w:noHBand="0" w:noVBand="0"/>
      </w:tblPr>
      <w:tblGrid>
        <w:gridCol w:w="2835"/>
        <w:gridCol w:w="6170"/>
      </w:tblGrid>
      <w:tr w:rsidR="005951E8" w:rsidRPr="00D231F6" w14:paraId="76DD9BAC" w14:textId="77777777" w:rsidTr="005951E8">
        <w:trPr>
          <w:cantSplit/>
        </w:trPr>
        <w:tc>
          <w:tcPr>
            <w:tcW w:w="2835" w:type="dxa"/>
          </w:tcPr>
          <w:p w14:paraId="155B967F" w14:textId="77777777" w:rsidR="005951E8" w:rsidRPr="00D231F6" w:rsidRDefault="005951E8" w:rsidP="005951E8">
            <w:pPr>
              <w:pStyle w:val="Body"/>
              <w:jc w:val="left"/>
            </w:pPr>
            <w:r w:rsidRPr="00D231F6">
              <w:t>"</w:t>
            </w:r>
            <w:r w:rsidRPr="00D231F6">
              <w:rPr>
                <w:b/>
              </w:rPr>
              <w:t>Authority</w:t>
            </w:r>
            <w:r w:rsidRPr="00D231F6">
              <w:t>"</w:t>
            </w:r>
          </w:p>
        </w:tc>
        <w:tc>
          <w:tcPr>
            <w:tcW w:w="6170" w:type="dxa"/>
          </w:tcPr>
          <w:p w14:paraId="75A93184" w14:textId="398BAD87" w:rsidR="005951E8" w:rsidRPr="00D231F6" w:rsidRDefault="00803458" w:rsidP="005951E8">
            <w:pPr>
              <w:pStyle w:val="Body"/>
            </w:pPr>
            <w:r>
              <w:t>shall have the meaning set out in Paragraph 1.1 of this Call-Off ITT</w:t>
            </w:r>
          </w:p>
        </w:tc>
      </w:tr>
      <w:tr w:rsidR="00097C8D" w:rsidRPr="00D231F6" w14:paraId="53B33F87" w14:textId="77777777" w:rsidTr="005951E8">
        <w:trPr>
          <w:cantSplit/>
        </w:trPr>
        <w:tc>
          <w:tcPr>
            <w:tcW w:w="2835" w:type="dxa"/>
          </w:tcPr>
          <w:p w14:paraId="4E311935" w14:textId="49D3EDA0" w:rsidR="00097C8D" w:rsidRPr="00D231F6" w:rsidRDefault="00097C8D" w:rsidP="005951E8">
            <w:pPr>
              <w:pStyle w:val="Body"/>
              <w:jc w:val="left"/>
            </w:pPr>
            <w:r w:rsidRPr="00097C8D">
              <w:rPr>
                <w:b/>
              </w:rPr>
              <w:t xml:space="preserve">"Best and Final Offer" </w:t>
            </w:r>
            <w:r>
              <w:t xml:space="preserve">or </w:t>
            </w:r>
            <w:r w:rsidRPr="00097C8D">
              <w:rPr>
                <w:b/>
              </w:rPr>
              <w:t>"BAFO"</w:t>
            </w:r>
          </w:p>
        </w:tc>
        <w:tc>
          <w:tcPr>
            <w:tcW w:w="6170" w:type="dxa"/>
          </w:tcPr>
          <w:p w14:paraId="4CA0E663" w14:textId="6BD935C0" w:rsidR="00097C8D" w:rsidRPr="00D231F6" w:rsidRDefault="00097C8D" w:rsidP="005951E8">
            <w:pPr>
              <w:pStyle w:val="Body"/>
            </w:pPr>
            <w:r>
              <w:t xml:space="preserve">means a submission made by a </w:t>
            </w:r>
            <w:r w:rsidR="00DA5B06">
              <w:t>Provider</w:t>
            </w:r>
            <w:r>
              <w:t xml:space="preserve"> as part of the Four Stage Procurement Route, submitted after a Tender Response;</w:t>
            </w:r>
          </w:p>
        </w:tc>
      </w:tr>
      <w:tr w:rsidR="0075255C" w:rsidRPr="00D231F6" w14:paraId="098A2A4B" w14:textId="77777777" w:rsidTr="005951E8">
        <w:trPr>
          <w:cantSplit/>
        </w:trPr>
        <w:tc>
          <w:tcPr>
            <w:tcW w:w="2835" w:type="dxa"/>
          </w:tcPr>
          <w:p w14:paraId="2570D03C" w14:textId="0C2DE48C" w:rsidR="0075255C" w:rsidRPr="00097C8D" w:rsidRDefault="0075255C" w:rsidP="005951E8">
            <w:pPr>
              <w:pStyle w:val="Body"/>
              <w:jc w:val="left"/>
              <w:rPr>
                <w:b/>
              </w:rPr>
            </w:pPr>
            <w:r>
              <w:rPr>
                <w:b/>
              </w:rPr>
              <w:t>"Call-Off Competition"</w:t>
            </w:r>
          </w:p>
        </w:tc>
        <w:tc>
          <w:tcPr>
            <w:tcW w:w="6170" w:type="dxa"/>
          </w:tcPr>
          <w:p w14:paraId="73F14252" w14:textId="3E8CECFC" w:rsidR="0075255C" w:rsidRDefault="0075255C" w:rsidP="00803458">
            <w:pPr>
              <w:pStyle w:val="Body"/>
            </w:pPr>
            <w:r>
              <w:t xml:space="preserve">means </w:t>
            </w:r>
            <w:r w:rsidR="00803458" w:rsidRPr="00245F01">
              <w:t>a min</w:t>
            </w:r>
            <w:r w:rsidR="00803458">
              <w:t>i</w:t>
            </w:r>
            <w:r w:rsidR="00803458" w:rsidRPr="00245F01">
              <w:t>-competition run in accordance with the Call-Off Procedure</w:t>
            </w:r>
            <w:r w:rsidR="00803458">
              <w:t>;</w:t>
            </w:r>
          </w:p>
        </w:tc>
      </w:tr>
      <w:tr w:rsidR="005951E8" w:rsidRPr="00D231F6" w14:paraId="19E9C3C6" w14:textId="77777777" w:rsidTr="005951E8">
        <w:trPr>
          <w:cantSplit/>
        </w:trPr>
        <w:tc>
          <w:tcPr>
            <w:tcW w:w="2835" w:type="dxa"/>
          </w:tcPr>
          <w:p w14:paraId="00C667C2" w14:textId="2DB03B92" w:rsidR="005951E8" w:rsidRPr="00D231F6" w:rsidRDefault="005951E8" w:rsidP="005951E8">
            <w:pPr>
              <w:pStyle w:val="Body"/>
              <w:jc w:val="left"/>
            </w:pPr>
            <w:r w:rsidRPr="00D231F6">
              <w:t>"</w:t>
            </w:r>
            <w:r w:rsidR="0075255C">
              <w:rPr>
                <w:b/>
              </w:rPr>
              <w:t>Call-</w:t>
            </w:r>
            <w:r w:rsidRPr="00D231F6">
              <w:rPr>
                <w:b/>
              </w:rPr>
              <w:t>Off Contract</w:t>
            </w:r>
            <w:r w:rsidRPr="00D231F6">
              <w:t>"</w:t>
            </w:r>
          </w:p>
        </w:tc>
        <w:tc>
          <w:tcPr>
            <w:tcW w:w="6170" w:type="dxa"/>
          </w:tcPr>
          <w:p w14:paraId="568726D6" w14:textId="3C51098D" w:rsidR="005951E8" w:rsidRPr="00D231F6" w:rsidRDefault="005951E8" w:rsidP="005951E8">
            <w:pPr>
              <w:pStyle w:val="Body"/>
            </w:pPr>
            <w:r w:rsidRPr="00D231F6">
              <w:t xml:space="preserve">means the contract to be entered into by the Authority and the Preferred </w:t>
            </w:r>
            <w:r w:rsidR="00DA5B06">
              <w:t>Provider</w:t>
            </w:r>
          </w:p>
        </w:tc>
      </w:tr>
      <w:tr w:rsidR="005951E8" w:rsidRPr="00D231F6" w14:paraId="0B29285D" w14:textId="77777777" w:rsidTr="005951E8">
        <w:trPr>
          <w:cantSplit/>
        </w:trPr>
        <w:tc>
          <w:tcPr>
            <w:tcW w:w="2835" w:type="dxa"/>
          </w:tcPr>
          <w:p w14:paraId="380854AD" w14:textId="77777777" w:rsidR="005951E8" w:rsidRPr="003C216C" w:rsidRDefault="005951E8" w:rsidP="005951E8">
            <w:pPr>
              <w:pStyle w:val="Body"/>
              <w:jc w:val="left"/>
            </w:pPr>
            <w:r w:rsidRPr="003C216C">
              <w:t>"</w:t>
            </w:r>
            <w:r w:rsidR="00B11B6F" w:rsidRPr="003C216C">
              <w:rPr>
                <w:b/>
              </w:rPr>
              <w:t>Call-Off ITT</w:t>
            </w:r>
            <w:r w:rsidRPr="003C216C">
              <w:t>"</w:t>
            </w:r>
          </w:p>
        </w:tc>
        <w:tc>
          <w:tcPr>
            <w:tcW w:w="6170" w:type="dxa"/>
          </w:tcPr>
          <w:p w14:paraId="32A55135" w14:textId="77777777" w:rsidR="005951E8" w:rsidRPr="003C216C" w:rsidRDefault="005951E8" w:rsidP="005951E8">
            <w:pPr>
              <w:pStyle w:val="Body"/>
            </w:pPr>
            <w:r w:rsidRPr="003C216C">
              <w:t xml:space="preserve">means this </w:t>
            </w:r>
            <w:r w:rsidR="00B11B6F" w:rsidRPr="003C216C">
              <w:t xml:space="preserve">call-off </w:t>
            </w:r>
            <w:r w:rsidRPr="003C216C">
              <w:t>invitation to tender</w:t>
            </w:r>
            <w:r w:rsidR="00B11B6F" w:rsidRPr="003C216C">
              <w:t xml:space="preserve"> which is based on the ITT Template in the Framework Agreement</w:t>
            </w:r>
            <w:r w:rsidRPr="003C216C">
              <w:t>;</w:t>
            </w:r>
          </w:p>
        </w:tc>
      </w:tr>
      <w:tr w:rsidR="00E7457E" w:rsidRPr="00D231F6" w14:paraId="20F9D82D" w14:textId="77777777" w:rsidTr="005951E8">
        <w:trPr>
          <w:cantSplit/>
        </w:trPr>
        <w:tc>
          <w:tcPr>
            <w:tcW w:w="2835" w:type="dxa"/>
          </w:tcPr>
          <w:p w14:paraId="2D892B4B" w14:textId="431F6A6B" w:rsidR="00E7457E" w:rsidRPr="00E7457E" w:rsidRDefault="00E7457E" w:rsidP="005951E8">
            <w:pPr>
              <w:pStyle w:val="Body"/>
              <w:jc w:val="left"/>
              <w:rPr>
                <w:b/>
              </w:rPr>
            </w:pPr>
            <w:r w:rsidRPr="00E7457E">
              <w:rPr>
                <w:b/>
              </w:rPr>
              <w:t>"Economic and Financial Standing" or "EFS"</w:t>
            </w:r>
          </w:p>
        </w:tc>
        <w:tc>
          <w:tcPr>
            <w:tcW w:w="6170" w:type="dxa"/>
          </w:tcPr>
          <w:p w14:paraId="024EB81D" w14:textId="29DCEB74" w:rsidR="00E7457E" w:rsidRDefault="00E7457E" w:rsidP="00A70414">
            <w:pPr>
              <w:pStyle w:val="Body"/>
            </w:pPr>
            <w:r>
              <w:t>means the</w:t>
            </w:r>
            <w:r w:rsidR="00A70414">
              <w:t xml:space="preserve"> Provider's financial strength, tested via</w:t>
            </w:r>
            <w:r>
              <w:t xml:space="preserve"> minimum requirements </w:t>
            </w:r>
            <w:r w:rsidR="00A70414">
              <w:t>applied</w:t>
            </w:r>
            <w:r>
              <w:t xml:space="preserve"> in the Selection Qu</w:t>
            </w:r>
            <w:r w:rsidR="00A70414">
              <w:t xml:space="preserve">estionnaire and used to qualify providers and admit them to the Framework </w:t>
            </w:r>
            <w:r w:rsidR="00734F0B">
              <w:t>Agreement</w:t>
            </w:r>
            <w:r w:rsidR="00A70414">
              <w:t>;</w:t>
            </w:r>
          </w:p>
        </w:tc>
      </w:tr>
      <w:tr w:rsidR="003C216C" w:rsidRPr="00D231F6" w14:paraId="1A235435" w14:textId="77777777" w:rsidTr="005951E8">
        <w:trPr>
          <w:cantSplit/>
        </w:trPr>
        <w:tc>
          <w:tcPr>
            <w:tcW w:w="2835" w:type="dxa"/>
          </w:tcPr>
          <w:p w14:paraId="4C20DE73" w14:textId="70000590" w:rsidR="003C216C" w:rsidRPr="003C216C" w:rsidRDefault="003C216C" w:rsidP="005951E8">
            <w:pPr>
              <w:pStyle w:val="Body"/>
              <w:jc w:val="left"/>
            </w:pPr>
            <w:r w:rsidRPr="003C216C">
              <w:t>"</w:t>
            </w:r>
            <w:r w:rsidRPr="003C216C">
              <w:rPr>
                <w:b/>
              </w:rPr>
              <w:t xml:space="preserve">eSourcing System </w:t>
            </w:r>
            <w:r w:rsidRPr="003C216C">
              <w:t>"</w:t>
            </w:r>
          </w:p>
        </w:tc>
        <w:tc>
          <w:tcPr>
            <w:tcW w:w="6170" w:type="dxa"/>
          </w:tcPr>
          <w:p w14:paraId="2402CA9B" w14:textId="7AE45DFF" w:rsidR="003C216C" w:rsidRPr="003C216C" w:rsidRDefault="00176B0B" w:rsidP="005951E8">
            <w:pPr>
              <w:pStyle w:val="Body"/>
            </w:pPr>
            <w:r>
              <w:t>m</w:t>
            </w:r>
            <w:r w:rsidR="003C216C" w:rsidRPr="003C216C">
              <w:t>eans the Authority's e-sourcing tool;</w:t>
            </w:r>
          </w:p>
        </w:tc>
      </w:tr>
      <w:tr w:rsidR="00862B0C" w:rsidRPr="00D231F6" w14:paraId="66A0008B" w14:textId="77777777" w:rsidTr="005951E8">
        <w:trPr>
          <w:cantSplit/>
        </w:trPr>
        <w:tc>
          <w:tcPr>
            <w:tcW w:w="2835" w:type="dxa"/>
          </w:tcPr>
          <w:p w14:paraId="20E17C22" w14:textId="2AC11FCB" w:rsidR="00862B0C" w:rsidRPr="003C216C" w:rsidRDefault="00862B0C" w:rsidP="005951E8">
            <w:pPr>
              <w:pStyle w:val="Body"/>
              <w:jc w:val="left"/>
            </w:pPr>
            <w:r>
              <w:t>"</w:t>
            </w:r>
            <w:r w:rsidRPr="00862B0C">
              <w:rPr>
                <w:b/>
              </w:rPr>
              <w:t>Evaluation Price</w:t>
            </w:r>
            <w:r>
              <w:t>"</w:t>
            </w:r>
          </w:p>
        </w:tc>
        <w:tc>
          <w:tcPr>
            <w:tcW w:w="6170" w:type="dxa"/>
          </w:tcPr>
          <w:p w14:paraId="0563F44E" w14:textId="36F22E2E" w:rsidR="00862B0C" w:rsidRDefault="00862B0C" w:rsidP="00862B0C">
            <w:pPr>
              <w:pStyle w:val="Body"/>
            </w:pPr>
            <w:r>
              <w:t xml:space="preserve">means the pricing figure produced as a result of the Provider's completion of the Financial Model, to be used by the Authority for the purposes of evaluation; </w:t>
            </w:r>
          </w:p>
        </w:tc>
      </w:tr>
      <w:tr w:rsidR="00075020" w:rsidRPr="00D231F6" w14:paraId="641AC0BE" w14:textId="77777777" w:rsidTr="005951E8">
        <w:trPr>
          <w:cantSplit/>
        </w:trPr>
        <w:tc>
          <w:tcPr>
            <w:tcW w:w="2835" w:type="dxa"/>
          </w:tcPr>
          <w:p w14:paraId="3F899155" w14:textId="3870282B" w:rsidR="00075020" w:rsidRDefault="00075020" w:rsidP="005951E8">
            <w:pPr>
              <w:pStyle w:val="Body"/>
              <w:jc w:val="left"/>
            </w:pPr>
            <w:r>
              <w:t>"</w:t>
            </w:r>
            <w:r w:rsidRPr="00075020">
              <w:rPr>
                <w:b/>
              </w:rPr>
              <w:t>Evaluation Criteria</w:t>
            </w:r>
            <w:r>
              <w:t>"</w:t>
            </w:r>
          </w:p>
        </w:tc>
        <w:tc>
          <w:tcPr>
            <w:tcW w:w="6170" w:type="dxa"/>
          </w:tcPr>
          <w:p w14:paraId="1B99533B" w14:textId="2C6B78D5" w:rsidR="00075020" w:rsidRDefault="0019379C" w:rsidP="0019379C">
            <w:pPr>
              <w:pStyle w:val="Body"/>
            </w:pPr>
            <w:r>
              <w:t>m</w:t>
            </w:r>
            <w:r w:rsidR="00075020">
              <w:t xml:space="preserve">eans the </w:t>
            </w:r>
            <w:r>
              <w:t xml:space="preserve">information, requirements or standards on which Tender Responses will be evaluated by the Authority and consists of Quality Criteria (in respect of service delivery solutions) and Financial Criteria (in respect of pricing); </w:t>
            </w:r>
          </w:p>
        </w:tc>
      </w:tr>
      <w:tr w:rsidR="0019379C" w:rsidRPr="00D231F6" w14:paraId="6055C139" w14:textId="77777777" w:rsidTr="005951E8">
        <w:trPr>
          <w:cantSplit/>
        </w:trPr>
        <w:tc>
          <w:tcPr>
            <w:tcW w:w="2835" w:type="dxa"/>
          </w:tcPr>
          <w:p w14:paraId="175C4AD9" w14:textId="760E0AF5" w:rsidR="0019379C" w:rsidRDefault="0019379C" w:rsidP="005951E8">
            <w:pPr>
              <w:pStyle w:val="Body"/>
              <w:jc w:val="left"/>
            </w:pPr>
            <w:r>
              <w:t>"</w:t>
            </w:r>
            <w:r w:rsidRPr="0019379C">
              <w:rPr>
                <w:b/>
              </w:rPr>
              <w:t>Financial Criteria</w:t>
            </w:r>
            <w:r>
              <w:t>"</w:t>
            </w:r>
          </w:p>
        </w:tc>
        <w:tc>
          <w:tcPr>
            <w:tcW w:w="6170" w:type="dxa"/>
          </w:tcPr>
          <w:p w14:paraId="4AB01656" w14:textId="2F019212" w:rsidR="0019379C" w:rsidRDefault="0019379C" w:rsidP="00862B0C">
            <w:pPr>
              <w:pStyle w:val="Body"/>
            </w:pPr>
            <w:r>
              <w:t>See "</w:t>
            </w:r>
            <w:r w:rsidRPr="0019379C">
              <w:rPr>
                <w:b/>
              </w:rPr>
              <w:t>Evaluation Criteria</w:t>
            </w:r>
            <w:r>
              <w:t>"</w:t>
            </w:r>
          </w:p>
        </w:tc>
      </w:tr>
      <w:tr w:rsidR="00176B0B" w:rsidRPr="00D231F6" w14:paraId="65547E2C" w14:textId="77777777" w:rsidTr="005951E8">
        <w:trPr>
          <w:cantSplit/>
        </w:trPr>
        <w:tc>
          <w:tcPr>
            <w:tcW w:w="2835" w:type="dxa"/>
          </w:tcPr>
          <w:p w14:paraId="22E8A418" w14:textId="04E737B6" w:rsidR="00176B0B" w:rsidRPr="003C216C" w:rsidRDefault="00176B0B" w:rsidP="005951E8">
            <w:pPr>
              <w:pStyle w:val="Body"/>
              <w:jc w:val="left"/>
            </w:pPr>
            <w:r>
              <w:t>"</w:t>
            </w:r>
            <w:r w:rsidRPr="00862B0C">
              <w:rPr>
                <w:b/>
              </w:rPr>
              <w:t>Financial Model</w:t>
            </w:r>
            <w:r>
              <w:t>"</w:t>
            </w:r>
          </w:p>
        </w:tc>
        <w:tc>
          <w:tcPr>
            <w:tcW w:w="6170" w:type="dxa"/>
          </w:tcPr>
          <w:p w14:paraId="51EBFCF7" w14:textId="13EBBC99" w:rsidR="00176B0B" w:rsidRPr="003C216C" w:rsidRDefault="00862B0C" w:rsidP="0019379C">
            <w:pPr>
              <w:pStyle w:val="Body"/>
            </w:pPr>
            <w:r>
              <w:t>m</w:t>
            </w:r>
            <w:r w:rsidR="00176B0B">
              <w:t>eans the model</w:t>
            </w:r>
            <w:r>
              <w:t xml:space="preserve"> appended at Appendix</w:t>
            </w:r>
            <w:r w:rsidR="00176B0B">
              <w:t xml:space="preserve"> 4</w:t>
            </w:r>
            <w:r>
              <w:t xml:space="preserve"> which is used by the Authority </w:t>
            </w:r>
            <w:r w:rsidR="0019379C">
              <w:t xml:space="preserve">in respect of the Financial Criteria </w:t>
            </w:r>
            <w:r>
              <w:t>to evaluate the Provider's</w:t>
            </w:r>
            <w:r w:rsidR="0019379C">
              <w:t xml:space="preserve"> financial proposal</w:t>
            </w:r>
            <w:r>
              <w:t>;</w:t>
            </w:r>
          </w:p>
        </w:tc>
      </w:tr>
      <w:tr w:rsidR="003C216C" w:rsidRPr="00D231F6" w14:paraId="72B41D02" w14:textId="1C7BAE3A" w:rsidTr="005951E8">
        <w:trPr>
          <w:cantSplit/>
        </w:trPr>
        <w:tc>
          <w:tcPr>
            <w:tcW w:w="2835" w:type="dxa"/>
          </w:tcPr>
          <w:p w14:paraId="5B600B21" w14:textId="0DD37F34" w:rsidR="003C216C" w:rsidRPr="00D231F6" w:rsidRDefault="003C216C" w:rsidP="005951E8">
            <w:pPr>
              <w:pStyle w:val="Body"/>
              <w:jc w:val="left"/>
            </w:pPr>
            <w:r>
              <w:t>"</w:t>
            </w:r>
            <w:r w:rsidRPr="00D77E93">
              <w:rPr>
                <w:b/>
              </w:rPr>
              <w:t>Key Sub-contractor</w:t>
            </w:r>
            <w:r>
              <w:t>"</w:t>
            </w:r>
          </w:p>
        </w:tc>
        <w:tc>
          <w:tcPr>
            <w:tcW w:w="6170" w:type="dxa"/>
          </w:tcPr>
          <w:p w14:paraId="0E97DADE" w14:textId="6F5CBCFD" w:rsidR="003C216C" w:rsidRPr="00B74061" w:rsidRDefault="003C216C" w:rsidP="005951E8">
            <w:pPr>
              <w:pStyle w:val="Body"/>
              <w:rPr>
                <w:b/>
              </w:rPr>
            </w:pPr>
            <w:r w:rsidRPr="00CB1473">
              <w:t>shall have the sa</w:t>
            </w:r>
            <w:r w:rsidR="00EC36CA" w:rsidRPr="00CB1473">
              <w:t>me meaning as set out in the D</w:t>
            </w:r>
            <w:r w:rsidRPr="00CB1473">
              <w:t>raft Call Off Contract;</w:t>
            </w:r>
          </w:p>
        </w:tc>
      </w:tr>
      <w:tr w:rsidR="003C216C" w:rsidRPr="00D231F6" w14:paraId="0FCD0CBB" w14:textId="77777777" w:rsidTr="005951E8">
        <w:trPr>
          <w:cantSplit/>
        </w:trPr>
        <w:tc>
          <w:tcPr>
            <w:tcW w:w="2835" w:type="dxa"/>
          </w:tcPr>
          <w:p w14:paraId="5D4A5029" w14:textId="788F16D8" w:rsidR="003C216C" w:rsidRPr="00D231F6" w:rsidRDefault="003C216C" w:rsidP="005951E8">
            <w:pPr>
              <w:pStyle w:val="Body"/>
              <w:jc w:val="left"/>
            </w:pPr>
            <w:r>
              <w:t>"</w:t>
            </w:r>
            <w:r w:rsidRPr="00BA1AC7">
              <w:rPr>
                <w:b/>
              </w:rPr>
              <w:t>ITP</w:t>
            </w:r>
            <w:r>
              <w:t>"</w:t>
            </w:r>
          </w:p>
        </w:tc>
        <w:tc>
          <w:tcPr>
            <w:tcW w:w="6170" w:type="dxa"/>
          </w:tcPr>
          <w:p w14:paraId="06F212EF" w14:textId="63CEF141" w:rsidR="003C216C" w:rsidRPr="00D231F6" w:rsidRDefault="003C216C" w:rsidP="007B43FF">
            <w:pPr>
              <w:pStyle w:val="Body"/>
            </w:pPr>
            <w:r>
              <w:t>means the Invitation to Participate which Providers completed to be awarded a position on the Framework Agreement;</w:t>
            </w:r>
          </w:p>
        </w:tc>
      </w:tr>
      <w:tr w:rsidR="003C216C" w:rsidRPr="00D231F6" w14:paraId="0DDF6228" w14:textId="77777777" w:rsidTr="005951E8">
        <w:trPr>
          <w:cantSplit/>
        </w:trPr>
        <w:tc>
          <w:tcPr>
            <w:tcW w:w="2835" w:type="dxa"/>
          </w:tcPr>
          <w:p w14:paraId="319C16CE" w14:textId="77777777" w:rsidR="003C216C" w:rsidRPr="00D231F6" w:rsidRDefault="003C216C" w:rsidP="005951E8">
            <w:pPr>
              <w:pStyle w:val="Body"/>
              <w:jc w:val="left"/>
            </w:pPr>
            <w:r w:rsidRPr="00D231F6">
              <w:t>"</w:t>
            </w:r>
            <w:r w:rsidRPr="00D231F6">
              <w:rPr>
                <w:b/>
              </w:rPr>
              <w:t>ITT Stage</w:t>
            </w:r>
            <w:r w:rsidRPr="00D231F6">
              <w:t>"</w:t>
            </w:r>
          </w:p>
        </w:tc>
        <w:tc>
          <w:tcPr>
            <w:tcW w:w="6170" w:type="dxa"/>
          </w:tcPr>
          <w:p w14:paraId="4C23A0DF" w14:textId="77777777" w:rsidR="003C216C" w:rsidRPr="00D231F6" w:rsidRDefault="003C216C" w:rsidP="005951E8">
            <w:pPr>
              <w:pStyle w:val="Body"/>
            </w:pPr>
            <w:r w:rsidRPr="00D231F6">
              <w:t xml:space="preserve">means the period from the date of issue of this </w:t>
            </w:r>
            <w:r>
              <w:t xml:space="preserve">Call-Off </w:t>
            </w:r>
            <w:r w:rsidRPr="00D231F6">
              <w:t xml:space="preserve">ITT up to and including the </w:t>
            </w:r>
            <w:r>
              <w:t>Tender Response</w:t>
            </w:r>
            <w:r w:rsidRPr="00D231F6">
              <w:t xml:space="preserve"> Deadline</w:t>
            </w:r>
          </w:p>
        </w:tc>
      </w:tr>
      <w:tr w:rsidR="003C216C" w:rsidRPr="00D231F6" w14:paraId="03473C90" w14:textId="77777777" w:rsidTr="005951E8">
        <w:trPr>
          <w:cantSplit/>
        </w:trPr>
        <w:tc>
          <w:tcPr>
            <w:tcW w:w="2835" w:type="dxa"/>
          </w:tcPr>
          <w:p w14:paraId="4DC55586" w14:textId="77777777" w:rsidR="003C216C" w:rsidRPr="00D231F6" w:rsidRDefault="003C216C" w:rsidP="005951E8">
            <w:pPr>
              <w:pStyle w:val="Body"/>
              <w:jc w:val="left"/>
            </w:pPr>
            <w:r w:rsidRPr="00D231F6">
              <w:t>"</w:t>
            </w:r>
            <w:r w:rsidRPr="00D231F6">
              <w:rPr>
                <w:b/>
              </w:rPr>
              <w:t>Personal Data</w:t>
            </w:r>
            <w:r w:rsidRPr="00D231F6">
              <w:t>"</w:t>
            </w:r>
          </w:p>
        </w:tc>
        <w:tc>
          <w:tcPr>
            <w:tcW w:w="6170" w:type="dxa"/>
          </w:tcPr>
          <w:p w14:paraId="266EC9FA" w14:textId="41BE3E9C" w:rsidR="003C216C" w:rsidRPr="00D231F6" w:rsidRDefault="003C216C" w:rsidP="005951E8">
            <w:pPr>
              <w:pStyle w:val="Body"/>
            </w:pPr>
            <w:r w:rsidRPr="00D231F6">
              <w:t>means Personal Data as defined in the GDPR and the Data Protection Act 2018;</w:t>
            </w:r>
          </w:p>
        </w:tc>
      </w:tr>
      <w:tr w:rsidR="00862B0C" w:rsidRPr="00D231F6" w14:paraId="44F117A5" w14:textId="77777777" w:rsidTr="005951E8">
        <w:trPr>
          <w:cantSplit/>
        </w:trPr>
        <w:tc>
          <w:tcPr>
            <w:tcW w:w="2835" w:type="dxa"/>
          </w:tcPr>
          <w:p w14:paraId="3398048F" w14:textId="21153A87" w:rsidR="00862B0C" w:rsidRPr="00D231F6" w:rsidRDefault="00862B0C" w:rsidP="005951E8">
            <w:pPr>
              <w:pStyle w:val="Body"/>
              <w:jc w:val="left"/>
            </w:pPr>
            <w:r>
              <w:t>"</w:t>
            </w:r>
            <w:r w:rsidRPr="00862B0C">
              <w:rPr>
                <w:b/>
              </w:rPr>
              <w:t>Price Range</w:t>
            </w:r>
            <w:r>
              <w:t>"</w:t>
            </w:r>
          </w:p>
        </w:tc>
        <w:tc>
          <w:tcPr>
            <w:tcW w:w="6170" w:type="dxa"/>
          </w:tcPr>
          <w:p w14:paraId="69F3B199" w14:textId="131112E2" w:rsidR="00862B0C" w:rsidRPr="00D231F6" w:rsidRDefault="00862B0C" w:rsidP="005951E8">
            <w:pPr>
              <w:pStyle w:val="Body"/>
            </w:pPr>
            <w:r>
              <w:t xml:space="preserve">means [the range as more particularly described in Paragraph </w:t>
            </w:r>
            <w:r>
              <w:fldChar w:fldCharType="begin"/>
            </w:r>
            <w:r>
              <w:instrText xml:space="preserve"> REF _Ref70000005 \r \h </w:instrText>
            </w:r>
            <w:r>
              <w:fldChar w:fldCharType="separate"/>
            </w:r>
            <w:r w:rsidR="006D7AE5">
              <w:t>4.10</w:t>
            </w:r>
            <w:r>
              <w:fldChar w:fldCharType="end"/>
            </w:r>
            <w:r>
              <w:t xml:space="preserve">] in relation to the evaluation of </w:t>
            </w:r>
            <w:r w:rsidR="00E7457E">
              <w:t>Financial C</w:t>
            </w:r>
            <w:r>
              <w:t xml:space="preserve">riteria; </w:t>
            </w:r>
          </w:p>
        </w:tc>
      </w:tr>
      <w:tr w:rsidR="003C216C" w:rsidRPr="00D231F6" w14:paraId="7FA32206" w14:textId="77777777" w:rsidTr="005951E8">
        <w:trPr>
          <w:cantSplit/>
        </w:trPr>
        <w:tc>
          <w:tcPr>
            <w:tcW w:w="2835" w:type="dxa"/>
          </w:tcPr>
          <w:p w14:paraId="08447795" w14:textId="3A1F7486" w:rsidR="003C216C" w:rsidRPr="00D231F6" w:rsidRDefault="003C216C" w:rsidP="005951E8">
            <w:pPr>
              <w:pStyle w:val="Body"/>
              <w:jc w:val="left"/>
            </w:pPr>
            <w:r w:rsidRPr="00D231F6">
              <w:t>"</w:t>
            </w:r>
            <w:r>
              <w:rPr>
                <w:b/>
              </w:rPr>
              <w:t>Provider</w:t>
            </w:r>
            <w:r w:rsidRPr="00D231F6">
              <w:rPr>
                <w:b/>
              </w:rPr>
              <w:t>(s</w:t>
            </w:r>
            <w:r w:rsidRPr="00D231F6">
              <w:t>"</w:t>
            </w:r>
            <w:r w:rsidRPr="00D231F6">
              <w:rPr>
                <w:b/>
              </w:rPr>
              <w:t>)</w:t>
            </w:r>
          </w:p>
        </w:tc>
        <w:tc>
          <w:tcPr>
            <w:tcW w:w="6170" w:type="dxa"/>
          </w:tcPr>
          <w:p w14:paraId="45AC576F" w14:textId="4C7B57D6" w:rsidR="003C216C" w:rsidRPr="00D231F6" w:rsidRDefault="003D39B9" w:rsidP="003D39B9">
            <w:pPr>
              <w:pStyle w:val="Body"/>
            </w:pPr>
            <w:r w:rsidRPr="003D39B9">
              <w:t>means any person or organisatio</w:t>
            </w:r>
            <w:r>
              <w:t>n that has qualified onto the Framework Agreement</w:t>
            </w:r>
            <w:r w:rsidRPr="003D39B9">
              <w:t xml:space="preserve"> in accordance with the ITP</w:t>
            </w:r>
            <w:r w:rsidR="003C216C">
              <w:rPr>
                <w:rFonts w:eastAsia="Times New Roman"/>
              </w:rPr>
              <w:t xml:space="preserve"> and to which this Call-Off ITT has been issued</w:t>
            </w:r>
            <w:r w:rsidR="003C216C" w:rsidRPr="00D231F6">
              <w:t>;</w:t>
            </w:r>
          </w:p>
        </w:tc>
      </w:tr>
      <w:tr w:rsidR="0019379C" w:rsidRPr="00D231F6" w14:paraId="22B138A6" w14:textId="77777777" w:rsidTr="005951E8">
        <w:trPr>
          <w:cantSplit/>
        </w:trPr>
        <w:tc>
          <w:tcPr>
            <w:tcW w:w="2835" w:type="dxa"/>
          </w:tcPr>
          <w:p w14:paraId="54997001" w14:textId="69AF8BD7" w:rsidR="0019379C" w:rsidRDefault="0019379C" w:rsidP="005951E8">
            <w:pPr>
              <w:pStyle w:val="Body"/>
              <w:jc w:val="left"/>
              <w:rPr>
                <w:b/>
              </w:rPr>
            </w:pPr>
            <w:r>
              <w:rPr>
                <w:b/>
              </w:rPr>
              <w:t>"Quality Criteria"</w:t>
            </w:r>
          </w:p>
        </w:tc>
        <w:tc>
          <w:tcPr>
            <w:tcW w:w="6170" w:type="dxa"/>
          </w:tcPr>
          <w:p w14:paraId="1D6ABBBE" w14:textId="03D6FCDE" w:rsidR="0019379C" w:rsidRDefault="0019379C" w:rsidP="00466B3C">
            <w:pPr>
              <w:pStyle w:val="Body"/>
            </w:pPr>
            <w:r>
              <w:t>See "</w:t>
            </w:r>
            <w:r w:rsidRPr="0019379C">
              <w:rPr>
                <w:b/>
              </w:rPr>
              <w:t>Evaluation Criteria</w:t>
            </w:r>
            <w:r>
              <w:t>"</w:t>
            </w:r>
          </w:p>
        </w:tc>
      </w:tr>
      <w:tr w:rsidR="00176B0B" w:rsidRPr="00D231F6" w14:paraId="69EFDAB0" w14:textId="77777777" w:rsidTr="005951E8">
        <w:trPr>
          <w:cantSplit/>
        </w:trPr>
        <w:tc>
          <w:tcPr>
            <w:tcW w:w="2835" w:type="dxa"/>
          </w:tcPr>
          <w:p w14:paraId="2ACFAE3B" w14:textId="550A0684" w:rsidR="00176B0B" w:rsidRPr="00176B0B" w:rsidRDefault="00176B0B" w:rsidP="005951E8">
            <w:pPr>
              <w:pStyle w:val="Body"/>
              <w:jc w:val="left"/>
              <w:rPr>
                <w:b/>
              </w:rPr>
            </w:pPr>
            <w:r>
              <w:rPr>
                <w:b/>
              </w:rPr>
              <w:lastRenderedPageBreak/>
              <w:t>"</w:t>
            </w:r>
            <w:r w:rsidRPr="00176B0B">
              <w:rPr>
                <w:b/>
              </w:rPr>
              <w:t>Quality Threshold</w:t>
            </w:r>
            <w:r>
              <w:rPr>
                <w:b/>
              </w:rPr>
              <w:t>"</w:t>
            </w:r>
          </w:p>
        </w:tc>
        <w:tc>
          <w:tcPr>
            <w:tcW w:w="6170" w:type="dxa"/>
          </w:tcPr>
          <w:p w14:paraId="7C5BD463" w14:textId="027E352C" w:rsidR="00176B0B" w:rsidRDefault="00176B0B" w:rsidP="00466B3C">
            <w:pPr>
              <w:pStyle w:val="Body"/>
            </w:pPr>
            <w:r>
              <w:t>means the minimum threshold set by the Authority in relation to a quality question or quality requirement, below which a Provider may fail the question (and be excluded from the Call-Off Competition where indicated);</w:t>
            </w:r>
          </w:p>
        </w:tc>
      </w:tr>
      <w:tr w:rsidR="003C216C" w:rsidRPr="00D231F6" w:rsidDel="00E57362" w14:paraId="048D7042" w14:textId="77777777" w:rsidTr="005951E8">
        <w:trPr>
          <w:cantSplit/>
        </w:trPr>
        <w:tc>
          <w:tcPr>
            <w:tcW w:w="2835" w:type="dxa"/>
          </w:tcPr>
          <w:p w14:paraId="39A0E05B" w14:textId="77777777" w:rsidR="003C216C" w:rsidRPr="00D231F6" w:rsidRDefault="003C216C" w:rsidP="005951E8">
            <w:pPr>
              <w:pStyle w:val="Body"/>
              <w:jc w:val="left"/>
            </w:pPr>
            <w:r w:rsidRPr="00D231F6">
              <w:t>"</w:t>
            </w:r>
            <w:r w:rsidRPr="00D231F6">
              <w:rPr>
                <w:b/>
              </w:rPr>
              <w:t>Regulations</w:t>
            </w:r>
            <w:r w:rsidRPr="00D231F6">
              <w:t>"</w:t>
            </w:r>
          </w:p>
        </w:tc>
        <w:tc>
          <w:tcPr>
            <w:tcW w:w="6170" w:type="dxa"/>
          </w:tcPr>
          <w:p w14:paraId="6BCBCD3C" w14:textId="77777777" w:rsidR="003C216C" w:rsidRPr="00D231F6" w:rsidDel="00E57362" w:rsidRDefault="003C216C" w:rsidP="005951E8">
            <w:pPr>
              <w:pStyle w:val="Body"/>
            </w:pPr>
            <w:r w:rsidRPr="00D231F6">
              <w:t>means the Public Contracts Regulations 2015;</w:t>
            </w:r>
          </w:p>
        </w:tc>
      </w:tr>
      <w:tr w:rsidR="008E4D26" w:rsidRPr="00D231F6" w14:paraId="494434D1" w14:textId="77777777" w:rsidTr="005951E8">
        <w:trPr>
          <w:cantSplit/>
        </w:trPr>
        <w:tc>
          <w:tcPr>
            <w:tcW w:w="2835" w:type="dxa"/>
          </w:tcPr>
          <w:p w14:paraId="52127189" w14:textId="34329344" w:rsidR="008E4D26" w:rsidRPr="00D231F6" w:rsidRDefault="008E4D26" w:rsidP="005951E8">
            <w:pPr>
              <w:pStyle w:val="Body"/>
              <w:jc w:val="left"/>
            </w:pPr>
            <w:r>
              <w:t>"</w:t>
            </w:r>
            <w:r w:rsidRPr="008E4D26">
              <w:rPr>
                <w:b/>
              </w:rPr>
              <w:t>Selection Questionnaire</w:t>
            </w:r>
            <w:r>
              <w:t>"</w:t>
            </w:r>
          </w:p>
        </w:tc>
        <w:tc>
          <w:tcPr>
            <w:tcW w:w="6170" w:type="dxa"/>
          </w:tcPr>
          <w:p w14:paraId="289A79ED" w14:textId="5182F96A" w:rsidR="008E4D26" w:rsidRPr="00D231F6" w:rsidRDefault="008E4D26" w:rsidP="00D445F7">
            <w:pPr>
              <w:pStyle w:val="Body"/>
            </w:pPr>
            <w:r>
              <w:t>means the ITP Part B document</w:t>
            </w:r>
            <w:r w:rsidR="00D445F7">
              <w:t xml:space="preserve"> Providers completed to be awarded a position on the Framework Agreement</w:t>
            </w:r>
            <w:r>
              <w:t>;</w:t>
            </w:r>
          </w:p>
        </w:tc>
      </w:tr>
      <w:tr w:rsidR="003C216C" w:rsidRPr="00D231F6" w14:paraId="4C5AC63E" w14:textId="77777777" w:rsidTr="005951E8">
        <w:trPr>
          <w:cantSplit/>
        </w:trPr>
        <w:tc>
          <w:tcPr>
            <w:tcW w:w="2835" w:type="dxa"/>
          </w:tcPr>
          <w:p w14:paraId="41185863" w14:textId="77777777" w:rsidR="003C216C" w:rsidRPr="00D231F6" w:rsidRDefault="003C216C" w:rsidP="005951E8">
            <w:pPr>
              <w:pStyle w:val="Body"/>
              <w:jc w:val="left"/>
            </w:pPr>
            <w:r w:rsidRPr="00D231F6">
              <w:t>"</w:t>
            </w:r>
            <w:r w:rsidRPr="00D231F6">
              <w:rPr>
                <w:b/>
              </w:rPr>
              <w:t>Specification</w:t>
            </w:r>
            <w:r w:rsidRPr="00D231F6">
              <w:t>"</w:t>
            </w:r>
          </w:p>
        </w:tc>
        <w:tc>
          <w:tcPr>
            <w:tcW w:w="6170" w:type="dxa"/>
          </w:tcPr>
          <w:p w14:paraId="5E03A195" w14:textId="5FC6D963" w:rsidR="003C216C" w:rsidRPr="00D231F6" w:rsidRDefault="003C216C" w:rsidP="00176B0B">
            <w:pPr>
              <w:pStyle w:val="Body"/>
            </w:pPr>
            <w:r w:rsidRPr="00D231F6">
              <w:t>means the Call-Off Specification at</w:t>
            </w:r>
            <w:r w:rsidR="00176B0B">
              <w:t xml:space="preserve"> [</w:t>
            </w:r>
            <w:proofErr w:type="spellStart"/>
            <w:r w:rsidR="00176B0B" w:rsidRPr="00176B0B">
              <w:rPr>
                <w:highlight w:val="yellow"/>
              </w:rPr>
              <w:t>DN</w:t>
            </w:r>
            <w:proofErr w:type="spellEnd"/>
            <w:r w:rsidR="00176B0B" w:rsidRPr="00176B0B">
              <w:rPr>
                <w:highlight w:val="yellow"/>
              </w:rPr>
              <w:t>: Authority to insert</w:t>
            </w:r>
            <w:r w:rsidR="00176B0B">
              <w:t>]</w:t>
            </w:r>
            <w:r w:rsidRPr="00D231F6">
              <w:t>;</w:t>
            </w:r>
          </w:p>
        </w:tc>
      </w:tr>
      <w:tr w:rsidR="003C216C" w:rsidRPr="00D231F6" w14:paraId="1BAD334A" w14:textId="77777777" w:rsidTr="005951E8">
        <w:trPr>
          <w:cantSplit/>
        </w:trPr>
        <w:tc>
          <w:tcPr>
            <w:tcW w:w="2835" w:type="dxa"/>
          </w:tcPr>
          <w:p w14:paraId="564E34B1" w14:textId="21D202EC" w:rsidR="003C216C" w:rsidRPr="00253F06" w:rsidRDefault="003C216C" w:rsidP="005951E8">
            <w:pPr>
              <w:pStyle w:val="Body"/>
              <w:jc w:val="left"/>
              <w:rPr>
                <w:b/>
              </w:rPr>
            </w:pPr>
            <w:r w:rsidRPr="00253F06">
              <w:rPr>
                <w:b/>
              </w:rPr>
              <w:t>"Tender Response"</w:t>
            </w:r>
          </w:p>
        </w:tc>
        <w:tc>
          <w:tcPr>
            <w:tcW w:w="6170" w:type="dxa"/>
          </w:tcPr>
          <w:p w14:paraId="11483F33" w14:textId="2131D654" w:rsidR="003C216C" w:rsidRPr="00D231F6" w:rsidRDefault="003C216C" w:rsidP="00097C8D">
            <w:pPr>
              <w:pStyle w:val="Body"/>
            </w:pPr>
            <w:r>
              <w:t xml:space="preserve">means a response submitted by a Provider as a result of a Call-Off Competition as further defined in Paragraph </w:t>
            </w:r>
            <w:r>
              <w:fldChar w:fldCharType="begin"/>
            </w:r>
            <w:r>
              <w:instrText xml:space="preserve"> REF _Ref26525600 \r \h </w:instrText>
            </w:r>
            <w:r>
              <w:fldChar w:fldCharType="separate"/>
            </w:r>
            <w:r w:rsidR="006D7AE5">
              <w:t>1.14</w:t>
            </w:r>
            <w:r>
              <w:fldChar w:fldCharType="end"/>
            </w:r>
            <w:r w:rsidR="00176B0B">
              <w:t xml:space="preserve"> and may include a BAFO as the context requires;</w:t>
            </w:r>
          </w:p>
        </w:tc>
      </w:tr>
      <w:tr w:rsidR="003C216C" w:rsidRPr="00D231F6" w14:paraId="6BAA98F5" w14:textId="77777777" w:rsidTr="005951E8">
        <w:trPr>
          <w:cantSplit/>
        </w:trPr>
        <w:tc>
          <w:tcPr>
            <w:tcW w:w="2835" w:type="dxa"/>
          </w:tcPr>
          <w:p w14:paraId="3DA80A4A" w14:textId="110B68CB" w:rsidR="003C216C" w:rsidRPr="00253F06" w:rsidRDefault="003C216C" w:rsidP="005951E8">
            <w:pPr>
              <w:pStyle w:val="Body"/>
              <w:jc w:val="left"/>
              <w:rPr>
                <w:b/>
              </w:rPr>
            </w:pPr>
            <w:r w:rsidRPr="00D231F6">
              <w:t>"</w:t>
            </w:r>
            <w:r w:rsidRPr="00B11B6F">
              <w:rPr>
                <w:b/>
              </w:rPr>
              <w:t>Tender Response</w:t>
            </w:r>
            <w:r w:rsidRPr="00D231F6">
              <w:t xml:space="preserve"> </w:t>
            </w:r>
            <w:r w:rsidRPr="00D231F6">
              <w:rPr>
                <w:b/>
              </w:rPr>
              <w:t>Deadline</w:t>
            </w:r>
            <w:r w:rsidRPr="00D231F6">
              <w:t>"</w:t>
            </w:r>
          </w:p>
        </w:tc>
        <w:tc>
          <w:tcPr>
            <w:tcW w:w="6170" w:type="dxa"/>
          </w:tcPr>
          <w:p w14:paraId="729F7DD0" w14:textId="7DBFF24F" w:rsidR="003C216C" w:rsidRDefault="003C216C" w:rsidP="00097C8D">
            <w:pPr>
              <w:pStyle w:val="Body"/>
            </w:pPr>
            <w:r w:rsidRPr="00D231F6">
              <w:t>means the deadline for submission of Tenders</w:t>
            </w:r>
            <w:r>
              <w:t xml:space="preserve"> Responses</w:t>
            </w:r>
            <w:r w:rsidRPr="00D231F6">
              <w:t xml:space="preserve"> as stated in the table at paragraph </w:t>
            </w:r>
            <w:r w:rsidRPr="00D231F6">
              <w:fldChar w:fldCharType="begin"/>
            </w:r>
            <w:r w:rsidRPr="00D231F6">
              <w:instrText xml:space="preserve"> REF _Ref70000003 \h \n \* MERGEFORMAT </w:instrText>
            </w:r>
            <w:r w:rsidRPr="00D231F6">
              <w:fldChar w:fldCharType="separate"/>
            </w:r>
            <w:r w:rsidR="006D7AE5">
              <w:t>2.1</w:t>
            </w:r>
            <w:r w:rsidRPr="00D231F6">
              <w:fldChar w:fldCharType="end"/>
            </w:r>
            <w:r w:rsidRPr="00D231F6">
              <w:t>;</w:t>
            </w:r>
          </w:p>
        </w:tc>
      </w:tr>
    </w:tbl>
    <w:p w14:paraId="51740EB1" w14:textId="77777777" w:rsidR="0055155E" w:rsidRPr="00D231F6" w:rsidRDefault="0055155E" w:rsidP="0055155E">
      <w:pPr>
        <w:pStyle w:val="Body"/>
      </w:pPr>
    </w:p>
    <w:p w14:paraId="6C6471CB" w14:textId="77777777" w:rsidR="00067A64" w:rsidRPr="00D231F6" w:rsidRDefault="00067A64">
      <w:pPr>
        <w:adjustRightInd/>
        <w:jc w:val="left"/>
      </w:pPr>
      <w:r w:rsidRPr="00D231F6">
        <w:br w:type="page"/>
      </w:r>
    </w:p>
    <w:p w14:paraId="40D17E8B" w14:textId="77777777" w:rsidR="004F03F5" w:rsidRPr="00D231F6" w:rsidRDefault="004F03F5" w:rsidP="004F03F5">
      <w:pPr>
        <w:pStyle w:val="Body"/>
      </w:pPr>
      <w:bookmarkStart w:id="129" w:name="_Ref437495711"/>
      <w:bookmarkStart w:id="130" w:name="_Ref70000004"/>
      <w:bookmarkEnd w:id="129"/>
      <w:bookmarkEnd w:id="130"/>
    </w:p>
    <w:bookmarkStart w:id="131" w:name="_Ref437495727"/>
    <w:bookmarkStart w:id="132" w:name="_Ref70000002"/>
    <w:bookmarkEnd w:id="131"/>
    <w:bookmarkEnd w:id="132"/>
    <w:p w14:paraId="06725B81" w14:textId="15CE4227" w:rsidR="00067A64" w:rsidRPr="00D231F6" w:rsidRDefault="00165DF8" w:rsidP="00067A64">
      <w:pPr>
        <w:pStyle w:val="Appendix"/>
      </w:pPr>
      <w:r>
        <w:fldChar w:fldCharType="begin"/>
      </w:r>
      <w:r w:rsidRPr="00165DF8">
        <w:instrText xml:space="preserve">  TC "</w:instrText>
      </w:r>
      <w:r>
        <w:fldChar w:fldCharType="begin"/>
      </w:r>
      <w:r w:rsidRPr="00165DF8">
        <w:instrText xml:space="preserve"> REF _Ref437495727 \r\* UPPER </w:instrText>
      </w:r>
      <w:r>
        <w:fldChar w:fldCharType="separate"/>
      </w:r>
      <w:bookmarkStart w:id="133" w:name="_Toc42697284"/>
      <w:bookmarkStart w:id="134" w:name="_GoBack"/>
      <w:r w:rsidR="006D7AE5">
        <w:instrText>APPENDIX 2</w:instrText>
      </w:r>
      <w:bookmarkEnd w:id="134"/>
      <w:r>
        <w:fldChar w:fldCharType="end"/>
      </w:r>
      <w:r>
        <w:instrText xml:space="preserve"> - FURTHER QUALIFICATION QUESTIONNAIRE AND EVALUATION METHODOLOGY</w:instrText>
      </w:r>
      <w:bookmarkEnd w:id="133"/>
      <w:r w:rsidRPr="00165DF8">
        <w:instrText xml:space="preserve">" \l4 </w:instrText>
      </w:r>
      <w:r>
        <w:fldChar w:fldCharType="end"/>
      </w:r>
    </w:p>
    <w:p w14:paraId="6C2D1C95" w14:textId="77777777" w:rsidR="005B1881" w:rsidRPr="00D231F6" w:rsidRDefault="005B1881" w:rsidP="005B1881">
      <w:pPr>
        <w:pStyle w:val="SubHeading"/>
      </w:pPr>
      <w:r>
        <w:t>FURTHER QUALIFICATION</w:t>
      </w:r>
      <w:r w:rsidRPr="00D231F6">
        <w:t xml:space="preserve"> QUESTIONNAIRE</w:t>
      </w:r>
      <w:r>
        <w:t xml:space="preserve"> and evaluation methodology</w:t>
      </w:r>
    </w:p>
    <w:p w14:paraId="19AE6D3A" w14:textId="77777777" w:rsidR="00067A64" w:rsidRPr="00186E95" w:rsidRDefault="005B1881" w:rsidP="006E5991">
      <w:pPr>
        <w:pStyle w:val="Level1"/>
        <w:keepNext/>
        <w:numPr>
          <w:ilvl w:val="0"/>
          <w:numId w:val="23"/>
        </w:numPr>
        <w:rPr>
          <w:rStyle w:val="Level1asHeadingtext"/>
          <w:b w:val="0"/>
          <w:bCs w:val="0"/>
          <w:caps w:val="0"/>
        </w:rPr>
      </w:pPr>
      <w:r>
        <w:rPr>
          <w:rStyle w:val="Level1asHeadingtext"/>
        </w:rPr>
        <w:t>questions</w:t>
      </w:r>
    </w:p>
    <w:p w14:paraId="53A10F87" w14:textId="77777777" w:rsidR="00186E95" w:rsidRPr="00186E95" w:rsidRDefault="00186E95" w:rsidP="00186E95">
      <w:pPr>
        <w:pStyle w:val="Level2"/>
        <w:keepNext/>
        <w:rPr>
          <w:rStyle w:val="Level2asHeadingtext"/>
          <w:highlight w:val="yellow"/>
        </w:rPr>
      </w:pPr>
      <w:r w:rsidRPr="00186E95">
        <w:rPr>
          <w:rStyle w:val="Level2asHeadingtext"/>
          <w:highlight w:val="yellow"/>
        </w:rPr>
        <w:t>[                    ]</w:t>
      </w:r>
    </w:p>
    <w:p w14:paraId="64DD967E" w14:textId="77777777" w:rsidR="006E5991" w:rsidRPr="00186E95" w:rsidRDefault="006E5991" w:rsidP="006E5991">
      <w:pPr>
        <w:pStyle w:val="Level1"/>
        <w:keepNext/>
        <w:rPr>
          <w:rStyle w:val="Level1asHeadingtext"/>
          <w:b w:val="0"/>
          <w:bCs w:val="0"/>
          <w:caps w:val="0"/>
        </w:rPr>
      </w:pPr>
      <w:r w:rsidRPr="00D231F6">
        <w:rPr>
          <w:rStyle w:val="Level1asHeadingtext"/>
        </w:rPr>
        <w:t>Evaluation of tender response</w:t>
      </w:r>
    </w:p>
    <w:p w14:paraId="23E3418F" w14:textId="77777777" w:rsidR="00186E95" w:rsidRPr="00186E95" w:rsidRDefault="00186E95" w:rsidP="00186E95">
      <w:pPr>
        <w:pStyle w:val="Level2"/>
        <w:rPr>
          <w:highlight w:val="yellow"/>
        </w:rPr>
      </w:pPr>
      <w:r w:rsidRPr="00186E95">
        <w:rPr>
          <w:highlight w:val="yellow"/>
        </w:rPr>
        <w:t>[                    ]</w:t>
      </w:r>
    </w:p>
    <w:p w14:paraId="6056BFFF" w14:textId="4EB2E400" w:rsidR="00C265B2" w:rsidRPr="003A3D74" w:rsidRDefault="003C216C" w:rsidP="007D67C4">
      <w:pPr>
        <w:adjustRightInd/>
        <w:jc w:val="left"/>
      </w:pPr>
      <w:r w:rsidRPr="003A3D74">
        <w:rPr>
          <w:highlight w:val="yellow"/>
        </w:rPr>
        <w:t>[</w:t>
      </w:r>
      <w:r w:rsidRPr="00295E28">
        <w:rPr>
          <w:b/>
          <w:highlight w:val="yellow"/>
        </w:rPr>
        <w:t xml:space="preserve">Drafting Note: It is likely that these questions will relate to matters such as specific accreditations/IT requirements etc and </w:t>
      </w:r>
      <w:r w:rsidR="00295E28">
        <w:rPr>
          <w:b/>
          <w:highlight w:val="yellow"/>
        </w:rPr>
        <w:t xml:space="preserve">usually </w:t>
      </w:r>
      <w:r w:rsidRPr="00295E28">
        <w:rPr>
          <w:b/>
          <w:highlight w:val="yellow"/>
        </w:rPr>
        <w:t>assessed on a pass/fail basis</w:t>
      </w:r>
      <w:r w:rsidRPr="003A3D74">
        <w:rPr>
          <w:highlight w:val="yellow"/>
        </w:rPr>
        <w:t>.</w:t>
      </w:r>
      <w:r w:rsidR="003A3D74" w:rsidRPr="003A3D74">
        <w:rPr>
          <w:highlight w:val="yellow"/>
        </w:rPr>
        <w:t>]</w:t>
      </w:r>
      <w:r w:rsidR="00C265B2" w:rsidRPr="003A3D74">
        <w:br w:type="page"/>
      </w:r>
    </w:p>
    <w:bookmarkStart w:id="135" w:name="_Ref437497666"/>
    <w:bookmarkStart w:id="136" w:name="_Ref22058757"/>
    <w:bookmarkEnd w:id="135"/>
    <w:bookmarkEnd w:id="136"/>
    <w:p w14:paraId="7B108A8D" w14:textId="54EA2937" w:rsidR="000F2EAB" w:rsidRPr="00D231F6" w:rsidRDefault="00165DF8" w:rsidP="000F2EAB">
      <w:pPr>
        <w:pStyle w:val="Appendix"/>
      </w:pPr>
      <w:r>
        <w:lastRenderedPageBreak/>
        <w:fldChar w:fldCharType="begin"/>
      </w:r>
      <w:r w:rsidRPr="00165DF8">
        <w:instrText xml:space="preserve">  TC "</w:instrText>
      </w:r>
      <w:r>
        <w:fldChar w:fldCharType="begin"/>
      </w:r>
      <w:r w:rsidRPr="00165DF8">
        <w:instrText xml:space="preserve"> REF _Ref437497666 \r\* UPPER </w:instrText>
      </w:r>
      <w:r>
        <w:fldChar w:fldCharType="separate"/>
      </w:r>
      <w:bookmarkStart w:id="137" w:name="_Toc42697285"/>
      <w:r w:rsidR="006D7AE5">
        <w:instrText>APPENDIX 3</w:instrText>
      </w:r>
      <w:r>
        <w:fldChar w:fldCharType="end"/>
      </w:r>
      <w:r>
        <w:instrText xml:space="preserve"> - ITT QUESTIONNAIRE AND EVALUATION METHODOLOGY</w:instrText>
      </w:r>
      <w:bookmarkEnd w:id="137"/>
      <w:r w:rsidRPr="00165DF8">
        <w:instrText xml:space="preserve">" \l4 </w:instrText>
      </w:r>
      <w:r>
        <w:fldChar w:fldCharType="end"/>
      </w:r>
    </w:p>
    <w:p w14:paraId="44A03929" w14:textId="77AAF5C9" w:rsidR="005B1881" w:rsidRDefault="005B1881" w:rsidP="005B1881">
      <w:pPr>
        <w:pStyle w:val="SubHeading"/>
      </w:pPr>
      <w:r>
        <w:t xml:space="preserve">ITT QUESTIONNAIRE </w:t>
      </w:r>
    </w:p>
    <w:p w14:paraId="5BA0859B" w14:textId="3E07A315" w:rsidR="00342B86" w:rsidRPr="004D5763" w:rsidRDefault="006D5F37" w:rsidP="004D5763">
      <w:pPr>
        <w:pStyle w:val="Level2"/>
        <w:keepNext/>
        <w:rPr>
          <w:rStyle w:val="Level2asHeadingtext"/>
          <w:highlight w:val="yellow"/>
        </w:rPr>
      </w:pPr>
      <w:r>
        <w:rPr>
          <w:rStyle w:val="Level1asHeadingtext"/>
        </w:rPr>
        <w:t xml:space="preserve">PART A – TEChNICAL REsponse </w:t>
      </w:r>
    </w:p>
    <w:tbl>
      <w:tblPr>
        <w:tblStyle w:val="TableGrid"/>
        <w:tblW w:w="0" w:type="auto"/>
        <w:jc w:val="center"/>
        <w:tblLook w:val="04A0" w:firstRow="1" w:lastRow="0" w:firstColumn="1" w:lastColumn="0" w:noHBand="0" w:noVBand="1"/>
      </w:tblPr>
      <w:tblGrid>
        <w:gridCol w:w="837"/>
        <w:gridCol w:w="1681"/>
        <w:gridCol w:w="1984"/>
        <w:gridCol w:w="1372"/>
        <w:gridCol w:w="1616"/>
        <w:gridCol w:w="1494"/>
      </w:tblGrid>
      <w:tr w:rsidR="00342B86" w14:paraId="317259ED" w14:textId="77777777" w:rsidTr="00342B86">
        <w:trPr>
          <w:jc w:val="center"/>
        </w:trPr>
        <w:tc>
          <w:tcPr>
            <w:tcW w:w="837" w:type="dxa"/>
          </w:tcPr>
          <w:p w14:paraId="1D4EC835" w14:textId="742A81C8" w:rsidR="00342B86" w:rsidRDefault="00342B86" w:rsidP="0036221C">
            <w:pPr>
              <w:pStyle w:val="Level2"/>
              <w:keepNext/>
              <w:numPr>
                <w:ilvl w:val="0"/>
                <w:numId w:val="0"/>
              </w:numPr>
              <w:jc w:val="center"/>
              <w:rPr>
                <w:rStyle w:val="Level2asHeadingtext"/>
                <w:highlight w:val="yellow"/>
              </w:rPr>
            </w:pPr>
            <w:r>
              <w:rPr>
                <w:rStyle w:val="Level2asHeadingtext"/>
                <w:highlight w:val="yellow"/>
              </w:rPr>
              <w:t>REF</w:t>
            </w:r>
          </w:p>
        </w:tc>
        <w:tc>
          <w:tcPr>
            <w:tcW w:w="1681" w:type="dxa"/>
          </w:tcPr>
          <w:p w14:paraId="72634875" w14:textId="747A029A" w:rsidR="00342B86" w:rsidRDefault="00342B86" w:rsidP="0036221C">
            <w:pPr>
              <w:pStyle w:val="Level2"/>
              <w:keepNext/>
              <w:numPr>
                <w:ilvl w:val="0"/>
                <w:numId w:val="0"/>
              </w:numPr>
              <w:jc w:val="center"/>
              <w:rPr>
                <w:rStyle w:val="Level2asHeadingtext"/>
                <w:highlight w:val="yellow"/>
              </w:rPr>
            </w:pPr>
            <w:r>
              <w:rPr>
                <w:rStyle w:val="Level2asHeadingtext"/>
                <w:highlight w:val="yellow"/>
              </w:rPr>
              <w:t>CRITERIA / QUESTION</w:t>
            </w:r>
          </w:p>
        </w:tc>
        <w:tc>
          <w:tcPr>
            <w:tcW w:w="1984" w:type="dxa"/>
          </w:tcPr>
          <w:p w14:paraId="65DF9AFA" w14:textId="1A251284" w:rsidR="00342B86" w:rsidRDefault="00342B86" w:rsidP="0036221C">
            <w:pPr>
              <w:pStyle w:val="Level2"/>
              <w:keepNext/>
              <w:numPr>
                <w:ilvl w:val="0"/>
                <w:numId w:val="0"/>
              </w:numPr>
              <w:jc w:val="center"/>
              <w:rPr>
                <w:rStyle w:val="Level2asHeadingtext"/>
                <w:highlight w:val="yellow"/>
              </w:rPr>
            </w:pPr>
            <w:r>
              <w:rPr>
                <w:rStyle w:val="Level2asHeadingtext"/>
                <w:highlight w:val="yellow"/>
              </w:rPr>
              <w:t>RESPONSE GUIDANCE</w:t>
            </w:r>
          </w:p>
        </w:tc>
        <w:tc>
          <w:tcPr>
            <w:tcW w:w="716" w:type="dxa"/>
          </w:tcPr>
          <w:p w14:paraId="4E494701" w14:textId="01E80C74" w:rsidR="00342B86" w:rsidRDefault="00342B86" w:rsidP="0036221C">
            <w:pPr>
              <w:pStyle w:val="Level2"/>
              <w:keepNext/>
              <w:numPr>
                <w:ilvl w:val="0"/>
                <w:numId w:val="0"/>
              </w:numPr>
              <w:jc w:val="center"/>
              <w:rPr>
                <w:rStyle w:val="Level2asHeadingtext"/>
                <w:highlight w:val="yellow"/>
              </w:rPr>
            </w:pPr>
            <w:r>
              <w:rPr>
                <w:rStyle w:val="Level2asHeadingtext"/>
                <w:highlight w:val="yellow"/>
              </w:rPr>
              <w:t>WEIGHTING</w:t>
            </w:r>
          </w:p>
        </w:tc>
        <w:tc>
          <w:tcPr>
            <w:tcW w:w="1616" w:type="dxa"/>
          </w:tcPr>
          <w:p w14:paraId="6C35D790" w14:textId="662C6080" w:rsidR="00342B86" w:rsidRDefault="00342B86" w:rsidP="0036221C">
            <w:pPr>
              <w:pStyle w:val="Level2"/>
              <w:keepNext/>
              <w:numPr>
                <w:ilvl w:val="0"/>
                <w:numId w:val="0"/>
              </w:numPr>
              <w:jc w:val="center"/>
              <w:rPr>
                <w:rStyle w:val="Level2asHeadingtext"/>
                <w:highlight w:val="yellow"/>
              </w:rPr>
            </w:pPr>
            <w:r>
              <w:rPr>
                <w:rStyle w:val="Level2asHeadingtext"/>
                <w:highlight w:val="yellow"/>
              </w:rPr>
              <w:t>QUALITY THRESHOLD APPLICABLE?</w:t>
            </w:r>
          </w:p>
        </w:tc>
        <w:tc>
          <w:tcPr>
            <w:tcW w:w="1494" w:type="dxa"/>
          </w:tcPr>
          <w:p w14:paraId="689BA639" w14:textId="1E741E87" w:rsidR="00342B86" w:rsidRDefault="00342B86" w:rsidP="0036221C">
            <w:pPr>
              <w:pStyle w:val="Level2"/>
              <w:keepNext/>
              <w:numPr>
                <w:ilvl w:val="0"/>
                <w:numId w:val="0"/>
              </w:numPr>
              <w:jc w:val="center"/>
              <w:rPr>
                <w:rStyle w:val="Level2asHeadingtext"/>
                <w:highlight w:val="yellow"/>
              </w:rPr>
            </w:pPr>
            <w:r>
              <w:rPr>
                <w:rStyle w:val="Level2asHeadingtext"/>
                <w:highlight w:val="yellow"/>
              </w:rPr>
              <w:t>RESPONSE LIMITATIONS</w:t>
            </w:r>
          </w:p>
        </w:tc>
      </w:tr>
      <w:tr w:rsidR="00342B86" w14:paraId="35D6701A" w14:textId="77777777" w:rsidTr="00342B86">
        <w:trPr>
          <w:jc w:val="center"/>
        </w:trPr>
        <w:tc>
          <w:tcPr>
            <w:tcW w:w="837" w:type="dxa"/>
          </w:tcPr>
          <w:p w14:paraId="475D2D8D" w14:textId="7C484D5E" w:rsidR="00342B86" w:rsidRDefault="00342B86" w:rsidP="00B12766">
            <w:pPr>
              <w:pStyle w:val="Level2"/>
              <w:keepNext/>
              <w:numPr>
                <w:ilvl w:val="0"/>
                <w:numId w:val="0"/>
              </w:numPr>
              <w:jc w:val="center"/>
              <w:rPr>
                <w:rStyle w:val="Level2asHeadingtext"/>
                <w:highlight w:val="yellow"/>
              </w:rPr>
            </w:pPr>
            <w:r>
              <w:rPr>
                <w:rStyle w:val="Level2asHeadingtext"/>
                <w:highlight w:val="yellow"/>
              </w:rPr>
              <w:t>[XX]</w:t>
            </w:r>
          </w:p>
        </w:tc>
        <w:tc>
          <w:tcPr>
            <w:tcW w:w="1681" w:type="dxa"/>
          </w:tcPr>
          <w:p w14:paraId="5CA960A6" w14:textId="39C288E9" w:rsidR="00342B86" w:rsidRDefault="00342B86" w:rsidP="00B12766">
            <w:pPr>
              <w:pStyle w:val="Level2"/>
              <w:keepNext/>
              <w:numPr>
                <w:ilvl w:val="0"/>
                <w:numId w:val="0"/>
              </w:numPr>
              <w:jc w:val="center"/>
              <w:rPr>
                <w:rStyle w:val="Level2asHeadingtext"/>
                <w:highlight w:val="yellow"/>
              </w:rPr>
            </w:pPr>
            <w:r>
              <w:rPr>
                <w:rStyle w:val="Level2asHeadingtext"/>
                <w:highlight w:val="yellow"/>
              </w:rPr>
              <w:t xml:space="preserve">[State the criteria the </w:t>
            </w:r>
            <w:r w:rsidR="004D0E00">
              <w:rPr>
                <w:rStyle w:val="Level2asHeadingtext"/>
                <w:highlight w:val="yellow"/>
              </w:rPr>
              <w:t>Provider</w:t>
            </w:r>
            <w:r>
              <w:rPr>
                <w:rStyle w:val="Level2asHeadingtext"/>
                <w:highlight w:val="yellow"/>
              </w:rPr>
              <w:t xml:space="preserve"> is required to meet or the question to respond to]</w:t>
            </w:r>
          </w:p>
        </w:tc>
        <w:tc>
          <w:tcPr>
            <w:tcW w:w="1984" w:type="dxa"/>
          </w:tcPr>
          <w:p w14:paraId="68EDA5C1" w14:textId="4044D6C2" w:rsidR="00342B86" w:rsidRDefault="00342B86" w:rsidP="006041FA">
            <w:pPr>
              <w:pStyle w:val="Level2"/>
              <w:keepNext/>
              <w:numPr>
                <w:ilvl w:val="0"/>
                <w:numId w:val="0"/>
              </w:numPr>
              <w:jc w:val="center"/>
              <w:rPr>
                <w:rStyle w:val="Level2asHeadingtext"/>
                <w:highlight w:val="yellow"/>
              </w:rPr>
            </w:pPr>
            <w:r>
              <w:rPr>
                <w:rStyle w:val="Level2asHeadingtext"/>
                <w:highlight w:val="yellow"/>
              </w:rPr>
              <w:t>[</w:t>
            </w:r>
            <w:r w:rsidR="006041FA">
              <w:rPr>
                <w:rStyle w:val="Level2asHeadingtext"/>
                <w:highlight w:val="yellow"/>
              </w:rPr>
              <w:t>State to the Supplier how to respond to the Criteria / Question.</w:t>
            </w:r>
            <w:r w:rsidR="00A22F2C">
              <w:rPr>
                <w:rStyle w:val="Level2asHeadingtext"/>
                <w:highlight w:val="yellow"/>
              </w:rPr>
              <w:t>]</w:t>
            </w:r>
          </w:p>
        </w:tc>
        <w:tc>
          <w:tcPr>
            <w:tcW w:w="716" w:type="dxa"/>
          </w:tcPr>
          <w:p w14:paraId="0A3891B6" w14:textId="77777777" w:rsidR="006041FA" w:rsidRDefault="00342B86" w:rsidP="00B12766">
            <w:pPr>
              <w:pStyle w:val="Level2"/>
              <w:keepNext/>
              <w:numPr>
                <w:ilvl w:val="0"/>
                <w:numId w:val="0"/>
              </w:numPr>
              <w:jc w:val="center"/>
              <w:rPr>
                <w:rStyle w:val="Level2asHeadingtext"/>
                <w:highlight w:val="yellow"/>
              </w:rPr>
            </w:pPr>
            <w:r>
              <w:rPr>
                <w:rStyle w:val="Level2asHeadingtext"/>
                <w:highlight w:val="yellow"/>
              </w:rPr>
              <w:t>[XX%</w:t>
            </w:r>
            <w:r w:rsidR="00AC10A6">
              <w:rPr>
                <w:rStyle w:val="Level2asHeadingtext"/>
                <w:highlight w:val="yellow"/>
              </w:rPr>
              <w:t xml:space="preserve"> </w:t>
            </w:r>
          </w:p>
          <w:p w14:paraId="5FD6A9BC" w14:textId="77777777" w:rsidR="006041FA" w:rsidRDefault="00AC10A6" w:rsidP="00B12766">
            <w:pPr>
              <w:pStyle w:val="Level2"/>
              <w:keepNext/>
              <w:numPr>
                <w:ilvl w:val="0"/>
                <w:numId w:val="0"/>
              </w:numPr>
              <w:jc w:val="center"/>
              <w:rPr>
                <w:rStyle w:val="Level2asHeadingtext"/>
                <w:highlight w:val="yellow"/>
              </w:rPr>
            </w:pPr>
            <w:r>
              <w:rPr>
                <w:rStyle w:val="Level2asHeadingtext"/>
                <w:highlight w:val="yellow"/>
              </w:rPr>
              <w:t xml:space="preserve">or NA </w:t>
            </w:r>
            <w:r w:rsidR="006041FA">
              <w:rPr>
                <w:rStyle w:val="Level2asHeadingtext"/>
                <w:highlight w:val="yellow"/>
              </w:rPr>
              <w:t>if pass/fail is applicable</w:t>
            </w:r>
          </w:p>
          <w:p w14:paraId="7FFCDB10" w14:textId="2BEFAE23" w:rsidR="00342B86" w:rsidRDefault="006041FA" w:rsidP="006041FA">
            <w:pPr>
              <w:pStyle w:val="Level2"/>
              <w:keepNext/>
              <w:numPr>
                <w:ilvl w:val="0"/>
                <w:numId w:val="0"/>
              </w:numPr>
              <w:jc w:val="center"/>
              <w:rPr>
                <w:rStyle w:val="Level2asHeadingtext"/>
                <w:highlight w:val="yellow"/>
              </w:rPr>
            </w:pPr>
            <w:r>
              <w:rPr>
                <w:rStyle w:val="Level2asHeadingtext"/>
                <w:highlight w:val="yellow"/>
              </w:rPr>
              <w:t>or NA if for information only</w:t>
            </w:r>
            <w:r w:rsidR="00342B86">
              <w:rPr>
                <w:rStyle w:val="Level2asHeadingtext"/>
                <w:highlight w:val="yellow"/>
              </w:rPr>
              <w:t>]</w:t>
            </w:r>
          </w:p>
        </w:tc>
        <w:tc>
          <w:tcPr>
            <w:tcW w:w="1616" w:type="dxa"/>
          </w:tcPr>
          <w:p w14:paraId="226D01FB" w14:textId="014140E5" w:rsidR="00342B86" w:rsidRDefault="00342B86" w:rsidP="00B12766">
            <w:pPr>
              <w:pStyle w:val="Level2"/>
              <w:keepNext/>
              <w:numPr>
                <w:ilvl w:val="0"/>
                <w:numId w:val="0"/>
              </w:numPr>
              <w:jc w:val="center"/>
              <w:rPr>
                <w:rStyle w:val="Level2asHeadingtext"/>
                <w:highlight w:val="yellow"/>
              </w:rPr>
            </w:pPr>
            <w:r>
              <w:rPr>
                <w:rStyle w:val="Level2asHeadingtext"/>
                <w:highlight w:val="yellow"/>
              </w:rPr>
              <w:t>[Y/N]</w:t>
            </w:r>
          </w:p>
        </w:tc>
        <w:tc>
          <w:tcPr>
            <w:tcW w:w="1494" w:type="dxa"/>
          </w:tcPr>
          <w:p w14:paraId="4AF1B5C0" w14:textId="46FAC8E7" w:rsidR="00342B86" w:rsidRDefault="00342B86" w:rsidP="00B12766">
            <w:pPr>
              <w:pStyle w:val="Level2"/>
              <w:keepNext/>
              <w:numPr>
                <w:ilvl w:val="0"/>
                <w:numId w:val="0"/>
              </w:numPr>
              <w:jc w:val="center"/>
              <w:rPr>
                <w:rStyle w:val="Level2asHeadingtext"/>
                <w:highlight w:val="yellow"/>
              </w:rPr>
            </w:pPr>
            <w:r>
              <w:rPr>
                <w:rStyle w:val="Level2asHeadingtext"/>
                <w:highlight w:val="yellow"/>
              </w:rPr>
              <w:t>[List any restrictions, e.g. word/page limits, templates to complete]</w:t>
            </w:r>
          </w:p>
        </w:tc>
      </w:tr>
    </w:tbl>
    <w:p w14:paraId="1D5B5D85" w14:textId="493A789F" w:rsidR="004D5763" w:rsidRDefault="004D5763" w:rsidP="0036221C">
      <w:pPr>
        <w:pStyle w:val="Level1"/>
        <w:numPr>
          <w:ilvl w:val="0"/>
          <w:numId w:val="0"/>
        </w:numPr>
        <w:ind w:left="851" w:hanging="851"/>
        <w:rPr>
          <w:rStyle w:val="Level2asHeadingtext"/>
          <w:highlight w:val="yellow"/>
        </w:rPr>
      </w:pPr>
    </w:p>
    <w:p w14:paraId="45712E8D" w14:textId="46083D5C" w:rsidR="006D5F37" w:rsidRDefault="006D5F37" w:rsidP="0036221C">
      <w:pPr>
        <w:pStyle w:val="Level1"/>
        <w:numPr>
          <w:ilvl w:val="0"/>
          <w:numId w:val="0"/>
        </w:numPr>
        <w:ind w:left="851" w:hanging="851"/>
        <w:rPr>
          <w:rStyle w:val="Level2asHeadingtext"/>
          <w:highlight w:val="yellow"/>
        </w:rPr>
      </w:pPr>
      <w:r>
        <w:rPr>
          <w:rStyle w:val="Level2asHeadingtext"/>
          <w:highlight w:val="yellow"/>
        </w:rPr>
        <w:t>PART B – SCORING METHODOLOGY</w:t>
      </w:r>
    </w:p>
    <w:p w14:paraId="4DA647D3" w14:textId="6CA0AB97" w:rsidR="006D5F37" w:rsidRDefault="006D5F37" w:rsidP="0036221C">
      <w:pPr>
        <w:pStyle w:val="Level1"/>
        <w:numPr>
          <w:ilvl w:val="0"/>
          <w:numId w:val="0"/>
        </w:numPr>
        <w:ind w:left="851" w:hanging="851"/>
        <w:rPr>
          <w:rStyle w:val="Level2asHeadingtext"/>
          <w:highlight w:val="yellow"/>
        </w:rPr>
      </w:pPr>
      <w:r>
        <w:rPr>
          <w:rStyle w:val="Level2asHeadingtext"/>
          <w:highlight w:val="yellow"/>
        </w:rPr>
        <w:t xml:space="preserve">[Drafting note: the below matrix is an </w:t>
      </w:r>
      <w:r w:rsidRPr="005A2AD1">
        <w:rPr>
          <w:rStyle w:val="Level2asHeadingtext"/>
          <w:highlight w:val="yellow"/>
          <w:u w:val="single"/>
        </w:rPr>
        <w:t>illustrative example</w:t>
      </w:r>
      <w:r>
        <w:rPr>
          <w:rStyle w:val="Level2asHeadingtext"/>
          <w:highlight w:val="yellow"/>
        </w:rPr>
        <w:t xml:space="preserve"> of what scoring methodology may look like,</w:t>
      </w:r>
      <w:r w:rsidR="005A2AD1">
        <w:rPr>
          <w:rStyle w:val="Level2asHeadingtext"/>
          <w:highlight w:val="yellow"/>
        </w:rPr>
        <w:t xml:space="preserve"> it may not be appropriate for every Call-Off Competition. P</w:t>
      </w:r>
      <w:r>
        <w:rPr>
          <w:rStyle w:val="Level2asHeadingtext"/>
          <w:highlight w:val="yellow"/>
        </w:rPr>
        <w:t>lease insert</w:t>
      </w:r>
      <w:r w:rsidR="0076777E">
        <w:rPr>
          <w:rStyle w:val="Level2asHeadingtext"/>
          <w:highlight w:val="yellow"/>
        </w:rPr>
        <w:t xml:space="preserve"> a scoring methodology which is designed alongside your specification and ITT questions for this specific Call-Off Competition</w:t>
      </w:r>
      <w:r>
        <w:rPr>
          <w:rStyle w:val="Level2asHeadingtext"/>
          <w:highlight w:val="yellow"/>
        </w:rPr>
        <w:t>]</w:t>
      </w:r>
    </w:p>
    <w:tbl>
      <w:tblPr>
        <w:tblW w:w="9634" w:type="dxa"/>
        <w:tblInd w:w="113" w:type="dxa"/>
        <w:tblLook w:val="04A0" w:firstRow="1" w:lastRow="0" w:firstColumn="1" w:lastColumn="0" w:noHBand="0" w:noVBand="1"/>
      </w:tblPr>
      <w:tblGrid>
        <w:gridCol w:w="1120"/>
        <w:gridCol w:w="1860"/>
        <w:gridCol w:w="6654"/>
      </w:tblGrid>
      <w:tr w:rsidR="005A2AD1" w:rsidRPr="00862460" w14:paraId="479E347B" w14:textId="77777777" w:rsidTr="00615AAB">
        <w:trPr>
          <w:trHeight w:val="600"/>
        </w:trPr>
        <w:tc>
          <w:tcPr>
            <w:tcW w:w="11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F476713" w14:textId="77777777" w:rsidR="005A2AD1" w:rsidRPr="00862460" w:rsidRDefault="005A2AD1" w:rsidP="00615AAB">
            <w:pPr>
              <w:adjustRightInd/>
              <w:jc w:val="center"/>
              <w:rPr>
                <w:rFonts w:ascii="Calibri" w:eastAsia="Times New Roman" w:hAnsi="Calibri" w:cs="Calibri"/>
                <w:b/>
                <w:bCs/>
                <w:color w:val="000000"/>
                <w:sz w:val="22"/>
                <w:szCs w:val="22"/>
              </w:rPr>
            </w:pPr>
            <w:r w:rsidRPr="00862460">
              <w:rPr>
                <w:rFonts w:ascii="Calibri" w:eastAsia="Times New Roman" w:hAnsi="Calibri" w:cs="Calibri"/>
                <w:b/>
                <w:bCs/>
                <w:color w:val="000000"/>
                <w:sz w:val="22"/>
                <w:szCs w:val="22"/>
              </w:rPr>
              <w:t>SCORE (%)</w:t>
            </w:r>
          </w:p>
        </w:tc>
        <w:tc>
          <w:tcPr>
            <w:tcW w:w="1860" w:type="dxa"/>
            <w:tcBorders>
              <w:top w:val="single" w:sz="4" w:space="0" w:color="auto"/>
              <w:left w:val="nil"/>
              <w:bottom w:val="single" w:sz="4" w:space="0" w:color="auto"/>
              <w:right w:val="single" w:sz="4" w:space="0" w:color="auto"/>
            </w:tcBorders>
            <w:shd w:val="clear" w:color="000000" w:fill="D9D9D9"/>
            <w:vAlign w:val="center"/>
            <w:hideMark/>
          </w:tcPr>
          <w:p w14:paraId="714A36C4" w14:textId="77777777" w:rsidR="005A2AD1" w:rsidRPr="00862460" w:rsidRDefault="005A2AD1" w:rsidP="00615AAB">
            <w:pPr>
              <w:adjustRightInd/>
              <w:jc w:val="center"/>
              <w:rPr>
                <w:rFonts w:ascii="Calibri" w:eastAsia="Times New Roman" w:hAnsi="Calibri" w:cs="Calibri"/>
                <w:b/>
                <w:bCs/>
                <w:color w:val="000000"/>
                <w:sz w:val="22"/>
                <w:szCs w:val="22"/>
              </w:rPr>
            </w:pPr>
            <w:r w:rsidRPr="00862460">
              <w:rPr>
                <w:rFonts w:ascii="Calibri" w:eastAsia="Times New Roman" w:hAnsi="Calibri" w:cs="Calibri"/>
                <w:b/>
                <w:bCs/>
                <w:color w:val="000000"/>
                <w:sz w:val="22"/>
                <w:szCs w:val="22"/>
              </w:rPr>
              <w:t>ASSESSMENT</w:t>
            </w:r>
          </w:p>
        </w:tc>
        <w:tc>
          <w:tcPr>
            <w:tcW w:w="6654" w:type="dxa"/>
            <w:tcBorders>
              <w:top w:val="single" w:sz="4" w:space="0" w:color="auto"/>
              <w:left w:val="nil"/>
              <w:bottom w:val="single" w:sz="4" w:space="0" w:color="auto"/>
              <w:right w:val="single" w:sz="4" w:space="0" w:color="auto"/>
            </w:tcBorders>
            <w:shd w:val="clear" w:color="000000" w:fill="D9D9D9"/>
            <w:vAlign w:val="center"/>
            <w:hideMark/>
          </w:tcPr>
          <w:p w14:paraId="4723E893" w14:textId="77777777" w:rsidR="005A2AD1" w:rsidRPr="00862460" w:rsidRDefault="005A2AD1" w:rsidP="00615AAB">
            <w:pPr>
              <w:adjustRightInd/>
              <w:jc w:val="center"/>
              <w:rPr>
                <w:rFonts w:ascii="Calibri" w:eastAsia="Times New Roman" w:hAnsi="Calibri" w:cs="Calibri"/>
                <w:b/>
                <w:bCs/>
                <w:color w:val="000000"/>
                <w:sz w:val="22"/>
                <w:szCs w:val="22"/>
              </w:rPr>
            </w:pPr>
            <w:r w:rsidRPr="00862460">
              <w:rPr>
                <w:rFonts w:ascii="Calibri" w:eastAsia="Times New Roman" w:hAnsi="Calibri" w:cs="Calibri"/>
                <w:b/>
                <w:bCs/>
                <w:color w:val="000000"/>
                <w:sz w:val="22"/>
                <w:szCs w:val="22"/>
              </w:rPr>
              <w:t>INTERPRETATION</w:t>
            </w:r>
          </w:p>
        </w:tc>
      </w:tr>
      <w:tr w:rsidR="005A2AD1" w:rsidRPr="00862460" w14:paraId="340A1DAA" w14:textId="77777777" w:rsidTr="00615AAB">
        <w:trPr>
          <w:trHeight w:val="3000"/>
        </w:trPr>
        <w:tc>
          <w:tcPr>
            <w:tcW w:w="112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1B502DCD" w14:textId="77777777" w:rsidR="005A2AD1" w:rsidRPr="00862460" w:rsidRDefault="005A2AD1" w:rsidP="00615AAB">
            <w:pPr>
              <w:adjustRightInd/>
              <w:jc w:val="center"/>
              <w:rPr>
                <w:rFonts w:ascii="Calibri" w:eastAsia="Times New Roman" w:hAnsi="Calibri" w:cs="Calibri"/>
                <w:color w:val="000000"/>
                <w:sz w:val="22"/>
                <w:szCs w:val="22"/>
              </w:rPr>
            </w:pPr>
            <w:r w:rsidRPr="00862460">
              <w:rPr>
                <w:rFonts w:ascii="Calibri" w:eastAsia="Times New Roman" w:hAnsi="Calibri" w:cs="Calibri"/>
                <w:color w:val="000000"/>
                <w:sz w:val="22"/>
                <w:szCs w:val="22"/>
              </w:rPr>
              <w:t>100</w:t>
            </w:r>
          </w:p>
        </w:tc>
        <w:tc>
          <w:tcPr>
            <w:tcW w:w="1860" w:type="dxa"/>
            <w:tcBorders>
              <w:top w:val="nil"/>
              <w:left w:val="nil"/>
              <w:bottom w:val="single" w:sz="4" w:space="0" w:color="auto"/>
              <w:right w:val="single" w:sz="4" w:space="0" w:color="auto"/>
            </w:tcBorders>
            <w:shd w:val="clear" w:color="000000" w:fill="FFFFFF"/>
            <w:vAlign w:val="center"/>
            <w:hideMark/>
          </w:tcPr>
          <w:p w14:paraId="6DF9C027" w14:textId="77777777" w:rsidR="005A2AD1" w:rsidRPr="00862460" w:rsidRDefault="005A2AD1" w:rsidP="00615AAB">
            <w:pPr>
              <w:adjustRightInd/>
              <w:jc w:val="center"/>
              <w:rPr>
                <w:rFonts w:ascii="Calibri" w:eastAsia="Times New Roman" w:hAnsi="Calibri" w:cs="Calibri"/>
                <w:color w:val="000000"/>
                <w:sz w:val="22"/>
                <w:szCs w:val="22"/>
              </w:rPr>
            </w:pPr>
            <w:r w:rsidRPr="00862460">
              <w:rPr>
                <w:rFonts w:ascii="Calibri" w:eastAsia="Times New Roman" w:hAnsi="Calibri" w:cs="Calibri"/>
                <w:color w:val="000000"/>
                <w:sz w:val="22"/>
                <w:szCs w:val="22"/>
              </w:rPr>
              <w:t>Exceptional</w:t>
            </w:r>
          </w:p>
        </w:tc>
        <w:tc>
          <w:tcPr>
            <w:tcW w:w="6654" w:type="dxa"/>
            <w:tcBorders>
              <w:top w:val="nil"/>
              <w:left w:val="nil"/>
              <w:bottom w:val="single" w:sz="4" w:space="0" w:color="auto"/>
              <w:right w:val="single" w:sz="4" w:space="0" w:color="auto"/>
            </w:tcBorders>
            <w:shd w:val="clear" w:color="000000" w:fill="FFFFFF"/>
            <w:hideMark/>
          </w:tcPr>
          <w:p w14:paraId="214D783A" w14:textId="77777777" w:rsidR="005A2AD1" w:rsidRPr="00862460" w:rsidRDefault="005A2AD1" w:rsidP="00615AAB">
            <w:pPr>
              <w:adjustRightInd/>
              <w:jc w:val="left"/>
              <w:rPr>
                <w:rFonts w:ascii="Calibri" w:eastAsia="Times New Roman" w:hAnsi="Calibri" w:cs="Calibri"/>
                <w:sz w:val="22"/>
                <w:szCs w:val="22"/>
              </w:rPr>
            </w:pPr>
            <w:r w:rsidRPr="00862460">
              <w:rPr>
                <w:rFonts w:ascii="Calibri" w:eastAsia="Times New Roman" w:hAnsi="Calibri" w:cs="Calibri"/>
                <w:sz w:val="22"/>
                <w:szCs w:val="22"/>
              </w:rPr>
              <w:t>The Supplier's response:</w:t>
            </w:r>
            <w:r w:rsidRPr="00862460">
              <w:rPr>
                <w:rFonts w:ascii="Calibri" w:eastAsia="Times New Roman" w:hAnsi="Calibri" w:cs="Calibri"/>
                <w:sz w:val="22"/>
                <w:szCs w:val="22"/>
              </w:rPr>
              <w:br/>
            </w:r>
            <w:r w:rsidRPr="00862460">
              <w:rPr>
                <w:rFonts w:ascii="Calibri" w:eastAsia="Times New Roman" w:hAnsi="Calibri" w:cs="Calibri"/>
                <w:sz w:val="22"/>
                <w:szCs w:val="22"/>
              </w:rPr>
              <w:br/>
              <w:t xml:space="preserve">(a) meets the </w:t>
            </w:r>
            <w:r>
              <w:rPr>
                <w:rFonts w:ascii="Calibri" w:eastAsia="Times New Roman" w:hAnsi="Calibri" w:cs="Calibri"/>
                <w:sz w:val="22"/>
                <w:szCs w:val="22"/>
              </w:rPr>
              <w:t>minimum requirement</w:t>
            </w:r>
            <w:r w:rsidRPr="00862460">
              <w:rPr>
                <w:rFonts w:ascii="Calibri" w:eastAsia="Times New Roman" w:hAnsi="Calibri" w:cs="Calibri"/>
                <w:sz w:val="22"/>
                <w:szCs w:val="22"/>
              </w:rPr>
              <w:t xml:space="preserve"> in an </w:t>
            </w:r>
            <w:r w:rsidRPr="00862460">
              <w:rPr>
                <w:rFonts w:ascii="Calibri" w:eastAsia="Times New Roman" w:hAnsi="Calibri" w:cs="Calibri"/>
                <w:b/>
                <w:bCs/>
                <w:sz w:val="22"/>
                <w:szCs w:val="22"/>
              </w:rPr>
              <w:t>exceptional manner</w:t>
            </w:r>
            <w:r w:rsidRPr="00862460">
              <w:rPr>
                <w:rFonts w:ascii="Calibri" w:eastAsia="Times New Roman" w:hAnsi="Calibri" w:cs="Calibri"/>
                <w:sz w:val="22"/>
                <w:szCs w:val="22"/>
              </w:rPr>
              <w:t xml:space="preserve"> with a robust proposal that provides full confidence of an overall </w:t>
            </w:r>
            <w:r w:rsidRPr="00862460">
              <w:rPr>
                <w:rFonts w:ascii="Calibri" w:eastAsia="Times New Roman" w:hAnsi="Calibri" w:cs="Calibri"/>
                <w:b/>
                <w:bCs/>
                <w:sz w:val="22"/>
                <w:szCs w:val="22"/>
              </w:rPr>
              <w:t>extremely effective solution</w:t>
            </w:r>
            <w:r w:rsidRPr="00862460">
              <w:rPr>
                <w:rFonts w:ascii="Calibri" w:eastAsia="Times New Roman" w:hAnsi="Calibri" w:cs="Calibri"/>
                <w:sz w:val="22"/>
                <w:szCs w:val="22"/>
              </w:rPr>
              <w:t xml:space="preserve">, including the relevant </w:t>
            </w:r>
            <w:r>
              <w:rPr>
                <w:rFonts w:ascii="Calibri" w:eastAsia="Times New Roman" w:hAnsi="Calibri" w:cs="Calibri"/>
                <w:sz w:val="22"/>
                <w:szCs w:val="22"/>
              </w:rPr>
              <w:t xml:space="preserve">commitment, </w:t>
            </w:r>
            <w:r w:rsidRPr="00862460">
              <w:rPr>
                <w:rFonts w:ascii="Calibri" w:eastAsia="Times New Roman" w:hAnsi="Calibri" w:cs="Calibri"/>
                <w:sz w:val="22"/>
                <w:szCs w:val="22"/>
              </w:rPr>
              <w:t>understanding</w:t>
            </w:r>
            <w:r>
              <w:rPr>
                <w:rFonts w:ascii="Calibri" w:eastAsia="Times New Roman" w:hAnsi="Calibri" w:cs="Calibri"/>
                <w:sz w:val="22"/>
                <w:szCs w:val="22"/>
              </w:rPr>
              <w:t>, resources and/or quality measures</w:t>
            </w:r>
            <w:r w:rsidRPr="00862460">
              <w:rPr>
                <w:rFonts w:ascii="Calibri" w:eastAsia="Times New Roman" w:hAnsi="Calibri" w:cs="Calibri"/>
                <w:sz w:val="22"/>
                <w:szCs w:val="22"/>
              </w:rPr>
              <w:br/>
            </w:r>
            <w:r>
              <w:rPr>
                <w:rFonts w:ascii="Calibri" w:eastAsia="Times New Roman" w:hAnsi="Calibri" w:cs="Calibri"/>
                <w:i/>
                <w:iCs/>
                <w:sz w:val="22"/>
                <w:szCs w:val="22"/>
              </w:rPr>
              <w:t>AND/</w:t>
            </w:r>
            <w:r w:rsidRPr="00862460">
              <w:rPr>
                <w:rFonts w:ascii="Calibri" w:eastAsia="Times New Roman" w:hAnsi="Calibri" w:cs="Calibri"/>
                <w:i/>
                <w:iCs/>
                <w:sz w:val="22"/>
                <w:szCs w:val="22"/>
              </w:rPr>
              <w:t>OR</w:t>
            </w:r>
            <w:r w:rsidRPr="00862460">
              <w:rPr>
                <w:rFonts w:ascii="Calibri" w:eastAsia="Times New Roman" w:hAnsi="Calibri" w:cs="Calibri"/>
                <w:sz w:val="22"/>
                <w:szCs w:val="22"/>
              </w:rPr>
              <w:br/>
              <w:t xml:space="preserve">(b) meets the </w:t>
            </w:r>
            <w:r>
              <w:rPr>
                <w:rFonts w:ascii="Calibri" w:eastAsia="Times New Roman" w:hAnsi="Calibri" w:cs="Calibri"/>
                <w:sz w:val="22"/>
                <w:szCs w:val="22"/>
              </w:rPr>
              <w:t>minimum requirement</w:t>
            </w:r>
            <w:r w:rsidRPr="00862460">
              <w:rPr>
                <w:rFonts w:ascii="Calibri" w:eastAsia="Times New Roman" w:hAnsi="Calibri" w:cs="Calibri"/>
                <w:sz w:val="22"/>
                <w:szCs w:val="22"/>
              </w:rPr>
              <w:t xml:space="preserve"> in </w:t>
            </w:r>
            <w:r>
              <w:rPr>
                <w:rFonts w:ascii="Calibri" w:eastAsia="Times New Roman" w:hAnsi="Calibri" w:cs="Calibri"/>
                <w:sz w:val="22"/>
                <w:szCs w:val="22"/>
              </w:rPr>
              <w:t xml:space="preserve">at least </w:t>
            </w:r>
            <w:r w:rsidRPr="00862460">
              <w:rPr>
                <w:rFonts w:ascii="Calibri" w:eastAsia="Times New Roman" w:hAnsi="Calibri" w:cs="Calibri"/>
                <w:sz w:val="22"/>
                <w:szCs w:val="22"/>
              </w:rPr>
              <w:t xml:space="preserve">an </w:t>
            </w:r>
            <w:r w:rsidRPr="00862460">
              <w:rPr>
                <w:rFonts w:ascii="Calibri" w:eastAsia="Times New Roman" w:hAnsi="Calibri" w:cs="Calibri"/>
                <w:b/>
                <w:bCs/>
                <w:sz w:val="22"/>
                <w:szCs w:val="22"/>
              </w:rPr>
              <w:t>acceptable manner</w:t>
            </w:r>
            <w:r w:rsidRPr="00862460">
              <w:rPr>
                <w:rFonts w:ascii="Calibri" w:eastAsia="Times New Roman" w:hAnsi="Calibri" w:cs="Calibri"/>
                <w:sz w:val="22"/>
                <w:szCs w:val="22"/>
              </w:rPr>
              <w:t xml:space="preserve"> with a proposal that provides full confidence</w:t>
            </w:r>
            <w:r>
              <w:rPr>
                <w:rFonts w:ascii="Calibri" w:eastAsia="Times New Roman" w:hAnsi="Calibri" w:cs="Calibri"/>
                <w:sz w:val="22"/>
                <w:szCs w:val="22"/>
              </w:rPr>
              <w:t xml:space="preserve"> of an</w:t>
            </w:r>
            <w:r w:rsidRPr="00862460">
              <w:rPr>
                <w:rFonts w:ascii="Calibri" w:eastAsia="Times New Roman" w:hAnsi="Calibri" w:cs="Calibri"/>
                <w:sz w:val="22"/>
                <w:szCs w:val="22"/>
              </w:rPr>
              <w:t xml:space="preserve"> effective solution, including the relevant </w:t>
            </w:r>
            <w:r>
              <w:rPr>
                <w:rFonts w:ascii="Calibri" w:eastAsia="Times New Roman" w:hAnsi="Calibri" w:cs="Calibri"/>
                <w:sz w:val="22"/>
                <w:szCs w:val="22"/>
              </w:rPr>
              <w:t xml:space="preserve">commitment, </w:t>
            </w:r>
            <w:r w:rsidRPr="00862460">
              <w:rPr>
                <w:rFonts w:ascii="Calibri" w:eastAsia="Times New Roman" w:hAnsi="Calibri" w:cs="Calibri"/>
                <w:sz w:val="22"/>
                <w:szCs w:val="22"/>
              </w:rPr>
              <w:t>understanding</w:t>
            </w:r>
            <w:r>
              <w:rPr>
                <w:rFonts w:ascii="Calibri" w:eastAsia="Times New Roman" w:hAnsi="Calibri" w:cs="Calibri"/>
                <w:sz w:val="22"/>
                <w:szCs w:val="22"/>
              </w:rPr>
              <w:t>, resources and/or quality measures</w:t>
            </w:r>
            <w:r w:rsidRPr="00862460">
              <w:rPr>
                <w:rFonts w:ascii="Calibri" w:eastAsia="Times New Roman" w:hAnsi="Calibri" w:cs="Calibri"/>
                <w:sz w:val="22"/>
                <w:szCs w:val="22"/>
              </w:rPr>
              <w:t>,</w:t>
            </w:r>
            <w:r w:rsidRPr="00862460">
              <w:rPr>
                <w:rFonts w:ascii="Calibri" w:eastAsia="Times New Roman" w:hAnsi="Calibri" w:cs="Calibri"/>
                <w:i/>
                <w:iCs/>
                <w:sz w:val="22"/>
                <w:szCs w:val="22"/>
              </w:rPr>
              <w:t xml:space="preserve"> </w:t>
            </w:r>
            <w:r w:rsidRPr="00862460">
              <w:rPr>
                <w:rFonts w:ascii="Calibri" w:eastAsia="Times New Roman" w:hAnsi="Calibri" w:cs="Calibri"/>
                <w:i/>
                <w:iCs/>
                <w:sz w:val="22"/>
                <w:szCs w:val="22"/>
                <w:u w:val="single"/>
              </w:rPr>
              <w:t>AND</w:t>
            </w:r>
            <w:r w:rsidRPr="00862460">
              <w:rPr>
                <w:rFonts w:ascii="Calibri" w:eastAsia="Times New Roman" w:hAnsi="Calibri" w:cs="Calibri"/>
                <w:sz w:val="22"/>
                <w:szCs w:val="22"/>
              </w:rPr>
              <w:t xml:space="preserve"> provides evidence of factor(s) that will add </w:t>
            </w:r>
            <w:r w:rsidRPr="00862460">
              <w:rPr>
                <w:rFonts w:ascii="Calibri" w:eastAsia="Times New Roman" w:hAnsi="Calibri" w:cs="Calibri"/>
                <w:b/>
                <w:bCs/>
                <w:sz w:val="22"/>
                <w:szCs w:val="22"/>
              </w:rPr>
              <w:t>exceptional value</w:t>
            </w:r>
            <w:r w:rsidRPr="00862460">
              <w:rPr>
                <w:rFonts w:ascii="Calibri" w:eastAsia="Times New Roman" w:hAnsi="Calibri" w:cs="Calibri"/>
                <w:sz w:val="22"/>
                <w:szCs w:val="22"/>
              </w:rPr>
              <w:t xml:space="preserve"> </w:t>
            </w:r>
            <w:r>
              <w:rPr>
                <w:rFonts w:ascii="Calibri" w:eastAsia="Times New Roman" w:hAnsi="Calibri" w:cs="Calibri"/>
                <w:sz w:val="22"/>
                <w:szCs w:val="22"/>
              </w:rPr>
              <w:t xml:space="preserve">which is beneficial to the authority and relevant to its requirements </w:t>
            </w:r>
            <w:r w:rsidRPr="00862460">
              <w:rPr>
                <w:rFonts w:ascii="Calibri" w:eastAsia="Times New Roman" w:hAnsi="Calibri" w:cs="Calibri"/>
                <w:sz w:val="22"/>
                <w:szCs w:val="22"/>
              </w:rPr>
              <w:t xml:space="preserve">beyond what is described in the </w:t>
            </w:r>
            <w:r>
              <w:rPr>
                <w:rFonts w:ascii="Calibri" w:eastAsia="Times New Roman" w:hAnsi="Calibri" w:cs="Calibri"/>
                <w:sz w:val="22"/>
                <w:szCs w:val="22"/>
              </w:rPr>
              <w:t xml:space="preserve">criteria </w:t>
            </w:r>
            <w:r>
              <w:t>(</w:t>
            </w:r>
            <w:r w:rsidRPr="000B6845">
              <w:rPr>
                <w:rFonts w:ascii="Calibri" w:eastAsia="Times New Roman" w:hAnsi="Calibri" w:cs="Calibri"/>
                <w:sz w:val="22"/>
                <w:szCs w:val="22"/>
              </w:rPr>
              <w:t xml:space="preserve">for example quantified service </w:t>
            </w:r>
            <w:r>
              <w:rPr>
                <w:rFonts w:ascii="Calibri" w:eastAsia="Times New Roman" w:hAnsi="Calibri" w:cs="Calibri"/>
                <w:sz w:val="22"/>
                <w:szCs w:val="22"/>
              </w:rPr>
              <w:t>improvements and reduced risks)</w:t>
            </w:r>
            <w:r w:rsidRPr="00862460">
              <w:rPr>
                <w:rFonts w:ascii="Calibri" w:eastAsia="Times New Roman" w:hAnsi="Calibri" w:cs="Calibri"/>
                <w:sz w:val="22"/>
                <w:szCs w:val="22"/>
              </w:rPr>
              <w:t xml:space="preserve">. </w:t>
            </w:r>
          </w:p>
        </w:tc>
      </w:tr>
      <w:tr w:rsidR="005A2AD1" w:rsidRPr="00862460" w14:paraId="0A4BC119" w14:textId="77777777" w:rsidTr="00615AAB">
        <w:trPr>
          <w:trHeight w:val="3000"/>
        </w:trPr>
        <w:tc>
          <w:tcPr>
            <w:tcW w:w="1120" w:type="dxa"/>
            <w:tcBorders>
              <w:top w:val="single" w:sz="4" w:space="0" w:color="auto"/>
              <w:left w:val="single" w:sz="4" w:space="0" w:color="auto"/>
              <w:bottom w:val="single" w:sz="4" w:space="0" w:color="auto"/>
              <w:right w:val="single" w:sz="4" w:space="0" w:color="auto"/>
            </w:tcBorders>
            <w:shd w:val="clear" w:color="000000" w:fill="98CE7F"/>
            <w:vAlign w:val="center"/>
            <w:hideMark/>
          </w:tcPr>
          <w:p w14:paraId="0320DF60" w14:textId="77777777" w:rsidR="005A2AD1" w:rsidRPr="00862460" w:rsidRDefault="005A2AD1" w:rsidP="00615AAB">
            <w:pPr>
              <w:adjustRightInd/>
              <w:jc w:val="center"/>
              <w:rPr>
                <w:rFonts w:ascii="Calibri" w:eastAsia="Times New Roman" w:hAnsi="Calibri" w:cs="Calibri"/>
                <w:color w:val="000000"/>
                <w:sz w:val="22"/>
                <w:szCs w:val="22"/>
              </w:rPr>
            </w:pPr>
            <w:r w:rsidRPr="00862460">
              <w:rPr>
                <w:rFonts w:ascii="Calibri" w:eastAsia="Times New Roman" w:hAnsi="Calibri" w:cs="Calibri"/>
                <w:color w:val="000000"/>
                <w:sz w:val="22"/>
                <w:szCs w:val="22"/>
              </w:rPr>
              <w:lastRenderedPageBreak/>
              <w:t>86.6</w:t>
            </w:r>
          </w:p>
        </w:tc>
        <w:tc>
          <w:tcPr>
            <w:tcW w:w="1860" w:type="dxa"/>
            <w:tcBorders>
              <w:top w:val="nil"/>
              <w:left w:val="nil"/>
              <w:bottom w:val="single" w:sz="4" w:space="0" w:color="auto"/>
              <w:right w:val="single" w:sz="4" w:space="0" w:color="auto"/>
            </w:tcBorders>
            <w:shd w:val="clear" w:color="000000" w:fill="FFFFFF"/>
            <w:vAlign w:val="center"/>
            <w:hideMark/>
          </w:tcPr>
          <w:p w14:paraId="1F260679" w14:textId="77777777" w:rsidR="005A2AD1" w:rsidRPr="00862460" w:rsidRDefault="005A2AD1" w:rsidP="00615AAB">
            <w:pPr>
              <w:adjustRightInd/>
              <w:jc w:val="center"/>
              <w:rPr>
                <w:rFonts w:ascii="Calibri" w:eastAsia="Times New Roman" w:hAnsi="Calibri" w:cs="Calibri"/>
                <w:color w:val="000000"/>
                <w:sz w:val="22"/>
                <w:szCs w:val="22"/>
              </w:rPr>
            </w:pPr>
            <w:r w:rsidRPr="00862460">
              <w:rPr>
                <w:rFonts w:ascii="Calibri" w:eastAsia="Times New Roman" w:hAnsi="Calibri" w:cs="Calibri"/>
                <w:color w:val="000000"/>
                <w:sz w:val="22"/>
                <w:szCs w:val="22"/>
              </w:rPr>
              <w:t>Very Good</w:t>
            </w:r>
          </w:p>
        </w:tc>
        <w:tc>
          <w:tcPr>
            <w:tcW w:w="6654" w:type="dxa"/>
            <w:tcBorders>
              <w:top w:val="nil"/>
              <w:left w:val="nil"/>
              <w:bottom w:val="single" w:sz="4" w:space="0" w:color="auto"/>
              <w:right w:val="single" w:sz="4" w:space="0" w:color="auto"/>
            </w:tcBorders>
            <w:shd w:val="clear" w:color="000000" w:fill="FFFFFF"/>
            <w:hideMark/>
          </w:tcPr>
          <w:p w14:paraId="10D303F6" w14:textId="77777777" w:rsidR="005A2AD1" w:rsidRPr="00862460" w:rsidRDefault="005A2AD1" w:rsidP="00615AAB">
            <w:pPr>
              <w:adjustRightInd/>
              <w:jc w:val="left"/>
              <w:rPr>
                <w:rFonts w:ascii="Calibri" w:eastAsia="Times New Roman" w:hAnsi="Calibri" w:cs="Calibri"/>
                <w:sz w:val="22"/>
                <w:szCs w:val="22"/>
              </w:rPr>
            </w:pPr>
            <w:r w:rsidRPr="00862460">
              <w:rPr>
                <w:rFonts w:ascii="Calibri" w:eastAsia="Times New Roman" w:hAnsi="Calibri" w:cs="Calibri"/>
                <w:sz w:val="22"/>
                <w:szCs w:val="22"/>
              </w:rPr>
              <w:t xml:space="preserve">The Supplier's response: </w:t>
            </w:r>
            <w:r w:rsidRPr="00862460">
              <w:rPr>
                <w:rFonts w:ascii="Calibri" w:eastAsia="Times New Roman" w:hAnsi="Calibri" w:cs="Calibri"/>
                <w:sz w:val="22"/>
                <w:szCs w:val="22"/>
              </w:rPr>
              <w:br/>
            </w:r>
            <w:r w:rsidRPr="00862460">
              <w:rPr>
                <w:rFonts w:ascii="Calibri" w:eastAsia="Times New Roman" w:hAnsi="Calibri" w:cs="Calibri"/>
                <w:sz w:val="22"/>
                <w:szCs w:val="22"/>
              </w:rPr>
              <w:br/>
              <w:t xml:space="preserve">(a) meets the </w:t>
            </w:r>
            <w:r>
              <w:rPr>
                <w:rFonts w:ascii="Calibri" w:eastAsia="Times New Roman" w:hAnsi="Calibri" w:cs="Calibri"/>
                <w:sz w:val="22"/>
                <w:szCs w:val="22"/>
              </w:rPr>
              <w:t>minimum requirement</w:t>
            </w:r>
            <w:r w:rsidRPr="00862460">
              <w:rPr>
                <w:rFonts w:ascii="Calibri" w:eastAsia="Times New Roman" w:hAnsi="Calibri" w:cs="Calibri"/>
                <w:sz w:val="22"/>
                <w:szCs w:val="22"/>
              </w:rPr>
              <w:t xml:space="preserve"> in a </w:t>
            </w:r>
            <w:r w:rsidRPr="00862460">
              <w:rPr>
                <w:rFonts w:ascii="Calibri" w:eastAsia="Times New Roman" w:hAnsi="Calibri" w:cs="Calibri"/>
                <w:b/>
                <w:bCs/>
                <w:sz w:val="22"/>
                <w:szCs w:val="22"/>
              </w:rPr>
              <w:t xml:space="preserve">very good manner </w:t>
            </w:r>
            <w:r w:rsidRPr="00862460">
              <w:rPr>
                <w:rFonts w:ascii="Calibri" w:eastAsia="Times New Roman" w:hAnsi="Calibri" w:cs="Calibri"/>
                <w:sz w:val="22"/>
                <w:szCs w:val="22"/>
              </w:rPr>
              <w:t xml:space="preserve">with a robust proposal that provides full confidence of an overall </w:t>
            </w:r>
            <w:r w:rsidRPr="00862460">
              <w:rPr>
                <w:rFonts w:ascii="Calibri" w:eastAsia="Times New Roman" w:hAnsi="Calibri" w:cs="Calibri"/>
                <w:b/>
                <w:bCs/>
                <w:sz w:val="22"/>
                <w:szCs w:val="22"/>
              </w:rPr>
              <w:t>very</w:t>
            </w:r>
            <w:r w:rsidRPr="00862460">
              <w:rPr>
                <w:rFonts w:ascii="Calibri" w:eastAsia="Times New Roman" w:hAnsi="Calibri" w:cs="Calibri"/>
                <w:sz w:val="22"/>
                <w:szCs w:val="22"/>
              </w:rPr>
              <w:t xml:space="preserve"> </w:t>
            </w:r>
            <w:r w:rsidRPr="00862460">
              <w:rPr>
                <w:rFonts w:ascii="Calibri" w:eastAsia="Times New Roman" w:hAnsi="Calibri" w:cs="Calibri"/>
                <w:b/>
                <w:bCs/>
                <w:sz w:val="22"/>
                <w:szCs w:val="22"/>
              </w:rPr>
              <w:t>effective solution</w:t>
            </w:r>
            <w:r w:rsidRPr="00862460">
              <w:rPr>
                <w:rFonts w:ascii="Calibri" w:eastAsia="Times New Roman" w:hAnsi="Calibri" w:cs="Calibri"/>
                <w:sz w:val="22"/>
                <w:szCs w:val="22"/>
              </w:rPr>
              <w:t xml:space="preserve">, including the relevant </w:t>
            </w:r>
            <w:r>
              <w:rPr>
                <w:rFonts w:ascii="Calibri" w:eastAsia="Times New Roman" w:hAnsi="Calibri" w:cs="Calibri"/>
                <w:sz w:val="22"/>
                <w:szCs w:val="22"/>
              </w:rPr>
              <w:t xml:space="preserve">commitment, </w:t>
            </w:r>
            <w:r w:rsidRPr="00862460">
              <w:rPr>
                <w:rFonts w:ascii="Calibri" w:eastAsia="Times New Roman" w:hAnsi="Calibri" w:cs="Calibri"/>
                <w:sz w:val="22"/>
                <w:szCs w:val="22"/>
              </w:rPr>
              <w:t>understanding</w:t>
            </w:r>
            <w:r>
              <w:rPr>
                <w:rFonts w:ascii="Calibri" w:eastAsia="Times New Roman" w:hAnsi="Calibri" w:cs="Calibri"/>
                <w:sz w:val="22"/>
                <w:szCs w:val="22"/>
              </w:rPr>
              <w:t>, resources and/or quality measures</w:t>
            </w:r>
            <w:r w:rsidRPr="00862460">
              <w:rPr>
                <w:rFonts w:ascii="Calibri" w:eastAsia="Times New Roman" w:hAnsi="Calibri" w:cs="Calibri"/>
                <w:sz w:val="22"/>
                <w:szCs w:val="22"/>
              </w:rPr>
              <w:br/>
            </w:r>
            <w:r>
              <w:rPr>
                <w:rFonts w:ascii="Calibri" w:eastAsia="Times New Roman" w:hAnsi="Calibri" w:cs="Calibri"/>
                <w:i/>
                <w:iCs/>
                <w:sz w:val="22"/>
                <w:szCs w:val="22"/>
              </w:rPr>
              <w:t>AND/</w:t>
            </w:r>
            <w:r w:rsidRPr="00862460">
              <w:rPr>
                <w:rFonts w:ascii="Calibri" w:eastAsia="Times New Roman" w:hAnsi="Calibri" w:cs="Calibri"/>
                <w:i/>
                <w:iCs/>
                <w:sz w:val="22"/>
                <w:szCs w:val="22"/>
              </w:rPr>
              <w:t>OR</w:t>
            </w:r>
            <w:r w:rsidRPr="00862460">
              <w:rPr>
                <w:rFonts w:ascii="Calibri" w:eastAsia="Times New Roman" w:hAnsi="Calibri" w:cs="Calibri"/>
                <w:sz w:val="22"/>
                <w:szCs w:val="22"/>
              </w:rPr>
              <w:br/>
              <w:t xml:space="preserve">(b) meets the </w:t>
            </w:r>
            <w:r>
              <w:rPr>
                <w:rFonts w:ascii="Calibri" w:eastAsia="Times New Roman" w:hAnsi="Calibri" w:cs="Calibri"/>
                <w:sz w:val="22"/>
                <w:szCs w:val="22"/>
              </w:rPr>
              <w:t>minimum requirement</w:t>
            </w:r>
            <w:r w:rsidRPr="00862460">
              <w:rPr>
                <w:rFonts w:ascii="Calibri" w:eastAsia="Times New Roman" w:hAnsi="Calibri" w:cs="Calibri"/>
                <w:sz w:val="22"/>
                <w:szCs w:val="22"/>
              </w:rPr>
              <w:t xml:space="preserve"> in</w:t>
            </w:r>
            <w:r>
              <w:rPr>
                <w:rFonts w:ascii="Calibri" w:eastAsia="Times New Roman" w:hAnsi="Calibri" w:cs="Calibri"/>
                <w:sz w:val="22"/>
                <w:szCs w:val="22"/>
              </w:rPr>
              <w:t xml:space="preserve"> at least</w:t>
            </w:r>
            <w:r w:rsidRPr="00862460">
              <w:rPr>
                <w:rFonts w:ascii="Calibri" w:eastAsia="Times New Roman" w:hAnsi="Calibri" w:cs="Calibri"/>
                <w:sz w:val="22"/>
                <w:szCs w:val="22"/>
              </w:rPr>
              <w:t xml:space="preserve"> an </w:t>
            </w:r>
            <w:r w:rsidRPr="00862460">
              <w:rPr>
                <w:rFonts w:ascii="Calibri" w:eastAsia="Times New Roman" w:hAnsi="Calibri" w:cs="Calibri"/>
                <w:b/>
                <w:bCs/>
                <w:sz w:val="22"/>
                <w:szCs w:val="22"/>
              </w:rPr>
              <w:t>acceptable manner</w:t>
            </w:r>
            <w:r w:rsidRPr="00862460">
              <w:rPr>
                <w:rFonts w:ascii="Calibri" w:eastAsia="Times New Roman" w:hAnsi="Calibri" w:cs="Calibri"/>
                <w:sz w:val="22"/>
                <w:szCs w:val="22"/>
              </w:rPr>
              <w:t xml:space="preserve"> with a proposal that provides full confidence</w:t>
            </w:r>
            <w:r>
              <w:rPr>
                <w:rFonts w:ascii="Calibri" w:eastAsia="Times New Roman" w:hAnsi="Calibri" w:cs="Calibri"/>
                <w:sz w:val="22"/>
                <w:szCs w:val="22"/>
              </w:rPr>
              <w:t xml:space="preserve"> </w:t>
            </w:r>
            <w:r w:rsidRPr="00862460">
              <w:rPr>
                <w:rFonts w:ascii="Calibri" w:eastAsia="Times New Roman" w:hAnsi="Calibri" w:cs="Calibri"/>
                <w:sz w:val="22"/>
                <w:szCs w:val="22"/>
              </w:rPr>
              <w:t xml:space="preserve"> effective solution, including the relevant </w:t>
            </w:r>
            <w:r>
              <w:rPr>
                <w:rFonts w:ascii="Calibri" w:eastAsia="Times New Roman" w:hAnsi="Calibri" w:cs="Calibri"/>
                <w:sz w:val="22"/>
                <w:szCs w:val="22"/>
              </w:rPr>
              <w:t xml:space="preserve">commitment, </w:t>
            </w:r>
            <w:r w:rsidRPr="00862460">
              <w:rPr>
                <w:rFonts w:ascii="Calibri" w:eastAsia="Times New Roman" w:hAnsi="Calibri" w:cs="Calibri"/>
                <w:sz w:val="22"/>
                <w:szCs w:val="22"/>
              </w:rPr>
              <w:t>understanding</w:t>
            </w:r>
            <w:r>
              <w:rPr>
                <w:rFonts w:ascii="Calibri" w:eastAsia="Times New Roman" w:hAnsi="Calibri" w:cs="Calibri"/>
                <w:sz w:val="22"/>
                <w:szCs w:val="22"/>
              </w:rPr>
              <w:t>, resources and/or quality measures</w:t>
            </w:r>
            <w:r w:rsidRPr="00862460">
              <w:rPr>
                <w:rFonts w:ascii="Calibri" w:eastAsia="Times New Roman" w:hAnsi="Calibri" w:cs="Calibri"/>
                <w:sz w:val="22"/>
                <w:szCs w:val="22"/>
              </w:rPr>
              <w:t xml:space="preserve">, </w:t>
            </w:r>
            <w:r w:rsidRPr="00862460">
              <w:rPr>
                <w:rFonts w:ascii="Calibri" w:eastAsia="Times New Roman" w:hAnsi="Calibri" w:cs="Calibri"/>
                <w:i/>
                <w:iCs/>
                <w:sz w:val="22"/>
                <w:szCs w:val="22"/>
                <w:u w:val="single"/>
              </w:rPr>
              <w:t>AND</w:t>
            </w:r>
            <w:r w:rsidRPr="00862460">
              <w:rPr>
                <w:rFonts w:ascii="Calibri" w:eastAsia="Times New Roman" w:hAnsi="Calibri" w:cs="Calibri"/>
                <w:sz w:val="22"/>
                <w:szCs w:val="22"/>
              </w:rPr>
              <w:t xml:space="preserve"> provides evidence of factor(s) that will add </w:t>
            </w:r>
            <w:r w:rsidRPr="00862460">
              <w:rPr>
                <w:rFonts w:ascii="Calibri" w:eastAsia="Times New Roman" w:hAnsi="Calibri" w:cs="Calibri"/>
                <w:b/>
                <w:bCs/>
                <w:sz w:val="22"/>
                <w:szCs w:val="22"/>
              </w:rPr>
              <w:t>significant value</w:t>
            </w:r>
            <w:r w:rsidRPr="00862460">
              <w:rPr>
                <w:rFonts w:ascii="Calibri" w:eastAsia="Times New Roman" w:hAnsi="Calibri" w:cs="Calibri"/>
                <w:sz w:val="22"/>
                <w:szCs w:val="22"/>
              </w:rPr>
              <w:t xml:space="preserve"> beyond what is described </w:t>
            </w:r>
            <w:r>
              <w:rPr>
                <w:rFonts w:ascii="Calibri" w:eastAsia="Times New Roman" w:hAnsi="Calibri" w:cs="Calibri"/>
                <w:sz w:val="22"/>
                <w:szCs w:val="22"/>
              </w:rPr>
              <w:t xml:space="preserve">in the criteria, </w:t>
            </w:r>
            <w:r>
              <w:t>(</w:t>
            </w:r>
            <w:r w:rsidRPr="000B6845">
              <w:rPr>
                <w:rFonts w:ascii="Calibri" w:eastAsia="Times New Roman" w:hAnsi="Calibri" w:cs="Calibri"/>
                <w:sz w:val="22"/>
                <w:szCs w:val="22"/>
              </w:rPr>
              <w:t xml:space="preserve">for example quantified service </w:t>
            </w:r>
            <w:r>
              <w:rPr>
                <w:rFonts w:ascii="Calibri" w:eastAsia="Times New Roman" w:hAnsi="Calibri" w:cs="Calibri"/>
                <w:sz w:val="22"/>
                <w:szCs w:val="22"/>
              </w:rPr>
              <w:t>improvements and reduced risks)</w:t>
            </w:r>
            <w:r w:rsidRPr="00862460">
              <w:rPr>
                <w:rFonts w:ascii="Calibri" w:eastAsia="Times New Roman" w:hAnsi="Calibri" w:cs="Calibri"/>
                <w:sz w:val="22"/>
                <w:szCs w:val="22"/>
              </w:rPr>
              <w:t>.</w:t>
            </w:r>
          </w:p>
        </w:tc>
      </w:tr>
      <w:tr w:rsidR="005A2AD1" w:rsidRPr="00862460" w14:paraId="595BC164" w14:textId="77777777" w:rsidTr="00615AAB">
        <w:trPr>
          <w:trHeight w:val="3000"/>
        </w:trPr>
        <w:tc>
          <w:tcPr>
            <w:tcW w:w="1120" w:type="dxa"/>
            <w:tcBorders>
              <w:top w:val="single" w:sz="4" w:space="0" w:color="auto"/>
              <w:left w:val="single" w:sz="4" w:space="0" w:color="auto"/>
              <w:bottom w:val="single" w:sz="4" w:space="0" w:color="auto"/>
              <w:right w:val="single" w:sz="4" w:space="0" w:color="auto"/>
            </w:tcBorders>
            <w:shd w:val="clear" w:color="000000" w:fill="CCDD82"/>
            <w:vAlign w:val="center"/>
            <w:hideMark/>
          </w:tcPr>
          <w:p w14:paraId="173B8F90" w14:textId="77777777" w:rsidR="005A2AD1" w:rsidRPr="00862460" w:rsidRDefault="005A2AD1" w:rsidP="00615AAB">
            <w:pPr>
              <w:adjustRightInd/>
              <w:jc w:val="center"/>
              <w:rPr>
                <w:rFonts w:ascii="Calibri" w:eastAsia="Times New Roman" w:hAnsi="Calibri" w:cs="Calibri"/>
                <w:color w:val="000000"/>
                <w:sz w:val="22"/>
                <w:szCs w:val="22"/>
              </w:rPr>
            </w:pPr>
            <w:r w:rsidRPr="00862460">
              <w:rPr>
                <w:rFonts w:ascii="Calibri" w:eastAsia="Times New Roman" w:hAnsi="Calibri" w:cs="Calibri"/>
                <w:color w:val="000000"/>
                <w:sz w:val="22"/>
                <w:szCs w:val="22"/>
              </w:rPr>
              <w:t>73.3</w:t>
            </w:r>
          </w:p>
        </w:tc>
        <w:tc>
          <w:tcPr>
            <w:tcW w:w="1860" w:type="dxa"/>
            <w:tcBorders>
              <w:top w:val="nil"/>
              <w:left w:val="nil"/>
              <w:bottom w:val="single" w:sz="4" w:space="0" w:color="auto"/>
              <w:right w:val="single" w:sz="4" w:space="0" w:color="auto"/>
            </w:tcBorders>
            <w:shd w:val="clear" w:color="000000" w:fill="FFFFFF"/>
            <w:vAlign w:val="center"/>
            <w:hideMark/>
          </w:tcPr>
          <w:p w14:paraId="62FF329F" w14:textId="77777777" w:rsidR="005A2AD1" w:rsidRPr="00862460" w:rsidRDefault="005A2AD1" w:rsidP="00615AAB">
            <w:pPr>
              <w:adjustRightInd/>
              <w:jc w:val="center"/>
              <w:rPr>
                <w:rFonts w:ascii="Calibri" w:eastAsia="Times New Roman" w:hAnsi="Calibri" w:cs="Calibri"/>
                <w:color w:val="000000"/>
                <w:sz w:val="22"/>
                <w:szCs w:val="22"/>
              </w:rPr>
            </w:pPr>
            <w:r w:rsidRPr="00862460">
              <w:rPr>
                <w:rFonts w:ascii="Calibri" w:eastAsia="Times New Roman" w:hAnsi="Calibri" w:cs="Calibri"/>
                <w:color w:val="000000"/>
                <w:sz w:val="22"/>
                <w:szCs w:val="22"/>
              </w:rPr>
              <w:t>Good</w:t>
            </w:r>
          </w:p>
        </w:tc>
        <w:tc>
          <w:tcPr>
            <w:tcW w:w="6654" w:type="dxa"/>
            <w:tcBorders>
              <w:top w:val="nil"/>
              <w:left w:val="nil"/>
              <w:bottom w:val="single" w:sz="4" w:space="0" w:color="auto"/>
              <w:right w:val="single" w:sz="4" w:space="0" w:color="auto"/>
            </w:tcBorders>
            <w:shd w:val="clear" w:color="000000" w:fill="FFFFFF"/>
            <w:hideMark/>
          </w:tcPr>
          <w:p w14:paraId="7345D726" w14:textId="77777777" w:rsidR="005A2AD1" w:rsidRPr="00862460" w:rsidRDefault="005A2AD1" w:rsidP="00615AAB">
            <w:pPr>
              <w:adjustRightInd/>
              <w:jc w:val="left"/>
              <w:rPr>
                <w:rFonts w:ascii="Calibri" w:eastAsia="Times New Roman" w:hAnsi="Calibri" w:cs="Calibri"/>
                <w:sz w:val="22"/>
                <w:szCs w:val="22"/>
              </w:rPr>
            </w:pPr>
            <w:r w:rsidRPr="00862460">
              <w:rPr>
                <w:rFonts w:ascii="Calibri" w:eastAsia="Times New Roman" w:hAnsi="Calibri" w:cs="Calibri"/>
                <w:sz w:val="22"/>
                <w:szCs w:val="22"/>
              </w:rPr>
              <w:t xml:space="preserve">The Supplier's response: </w:t>
            </w:r>
            <w:r w:rsidRPr="00862460">
              <w:rPr>
                <w:rFonts w:ascii="Calibri" w:eastAsia="Times New Roman" w:hAnsi="Calibri" w:cs="Calibri"/>
                <w:sz w:val="22"/>
                <w:szCs w:val="22"/>
              </w:rPr>
              <w:br/>
            </w:r>
            <w:r w:rsidRPr="00862460">
              <w:rPr>
                <w:rFonts w:ascii="Calibri" w:eastAsia="Times New Roman" w:hAnsi="Calibri" w:cs="Calibri"/>
                <w:sz w:val="22"/>
                <w:szCs w:val="22"/>
              </w:rPr>
              <w:br/>
              <w:t xml:space="preserve">(a) meets the </w:t>
            </w:r>
            <w:r>
              <w:rPr>
                <w:rFonts w:ascii="Calibri" w:eastAsia="Times New Roman" w:hAnsi="Calibri" w:cs="Calibri"/>
                <w:sz w:val="22"/>
                <w:szCs w:val="22"/>
              </w:rPr>
              <w:t>minimum requirement</w:t>
            </w:r>
            <w:r w:rsidRPr="00862460">
              <w:rPr>
                <w:rFonts w:ascii="Calibri" w:eastAsia="Times New Roman" w:hAnsi="Calibri" w:cs="Calibri"/>
                <w:sz w:val="22"/>
                <w:szCs w:val="22"/>
              </w:rPr>
              <w:t xml:space="preserve"> in a </w:t>
            </w:r>
            <w:r w:rsidRPr="00862460">
              <w:rPr>
                <w:rFonts w:ascii="Calibri" w:eastAsia="Times New Roman" w:hAnsi="Calibri" w:cs="Calibri"/>
                <w:b/>
                <w:bCs/>
                <w:sz w:val="22"/>
                <w:szCs w:val="22"/>
              </w:rPr>
              <w:t>good manner</w:t>
            </w:r>
            <w:r w:rsidRPr="00862460">
              <w:rPr>
                <w:rFonts w:ascii="Calibri" w:eastAsia="Times New Roman" w:hAnsi="Calibri" w:cs="Calibri"/>
                <w:sz w:val="22"/>
                <w:szCs w:val="22"/>
              </w:rPr>
              <w:t xml:space="preserve"> with a robust proposal that provides full confidence of an overall </w:t>
            </w:r>
            <w:r w:rsidRPr="00862460">
              <w:rPr>
                <w:rFonts w:ascii="Calibri" w:eastAsia="Times New Roman" w:hAnsi="Calibri" w:cs="Calibri"/>
                <w:b/>
                <w:bCs/>
                <w:sz w:val="22"/>
                <w:szCs w:val="22"/>
              </w:rPr>
              <w:t>effective solution</w:t>
            </w:r>
            <w:r w:rsidRPr="00862460">
              <w:rPr>
                <w:rFonts w:ascii="Calibri" w:eastAsia="Times New Roman" w:hAnsi="Calibri" w:cs="Calibri"/>
                <w:sz w:val="22"/>
                <w:szCs w:val="22"/>
              </w:rPr>
              <w:t xml:space="preserve">, including the relevant </w:t>
            </w:r>
            <w:r>
              <w:rPr>
                <w:rFonts w:ascii="Calibri" w:eastAsia="Times New Roman" w:hAnsi="Calibri" w:cs="Calibri"/>
                <w:sz w:val="22"/>
                <w:szCs w:val="22"/>
              </w:rPr>
              <w:t xml:space="preserve">commitment, </w:t>
            </w:r>
            <w:r w:rsidRPr="00862460">
              <w:rPr>
                <w:rFonts w:ascii="Calibri" w:eastAsia="Times New Roman" w:hAnsi="Calibri" w:cs="Calibri"/>
                <w:sz w:val="22"/>
                <w:szCs w:val="22"/>
              </w:rPr>
              <w:t>understanding</w:t>
            </w:r>
            <w:r>
              <w:rPr>
                <w:rFonts w:ascii="Calibri" w:eastAsia="Times New Roman" w:hAnsi="Calibri" w:cs="Calibri"/>
                <w:sz w:val="22"/>
                <w:szCs w:val="22"/>
              </w:rPr>
              <w:t>, resources and/or quality measures</w:t>
            </w:r>
            <w:r w:rsidRPr="00862460">
              <w:rPr>
                <w:rFonts w:ascii="Calibri" w:eastAsia="Times New Roman" w:hAnsi="Calibri" w:cs="Calibri"/>
                <w:sz w:val="22"/>
                <w:szCs w:val="22"/>
              </w:rPr>
              <w:br/>
            </w:r>
            <w:r>
              <w:rPr>
                <w:rFonts w:ascii="Calibri" w:eastAsia="Times New Roman" w:hAnsi="Calibri" w:cs="Calibri"/>
                <w:i/>
                <w:iCs/>
                <w:sz w:val="22"/>
                <w:szCs w:val="22"/>
              </w:rPr>
              <w:t>AND/</w:t>
            </w:r>
            <w:r w:rsidRPr="00862460">
              <w:rPr>
                <w:rFonts w:ascii="Calibri" w:eastAsia="Times New Roman" w:hAnsi="Calibri" w:cs="Calibri"/>
                <w:i/>
                <w:iCs/>
                <w:sz w:val="22"/>
                <w:szCs w:val="22"/>
              </w:rPr>
              <w:t>OR</w:t>
            </w:r>
            <w:r w:rsidRPr="00862460">
              <w:rPr>
                <w:rFonts w:ascii="Calibri" w:eastAsia="Times New Roman" w:hAnsi="Calibri" w:cs="Calibri"/>
                <w:sz w:val="22"/>
                <w:szCs w:val="22"/>
              </w:rPr>
              <w:br/>
              <w:t xml:space="preserve">(b) meets the </w:t>
            </w:r>
            <w:r>
              <w:rPr>
                <w:rFonts w:ascii="Calibri" w:eastAsia="Times New Roman" w:hAnsi="Calibri" w:cs="Calibri"/>
                <w:sz w:val="22"/>
                <w:szCs w:val="22"/>
              </w:rPr>
              <w:t>minimum requirement</w:t>
            </w:r>
            <w:r w:rsidRPr="00862460">
              <w:rPr>
                <w:rFonts w:ascii="Calibri" w:eastAsia="Times New Roman" w:hAnsi="Calibri" w:cs="Calibri"/>
                <w:sz w:val="22"/>
                <w:szCs w:val="22"/>
              </w:rPr>
              <w:t xml:space="preserve"> in </w:t>
            </w:r>
            <w:r>
              <w:rPr>
                <w:rFonts w:ascii="Calibri" w:eastAsia="Times New Roman" w:hAnsi="Calibri" w:cs="Calibri"/>
                <w:sz w:val="22"/>
                <w:szCs w:val="22"/>
              </w:rPr>
              <w:t xml:space="preserve">at least </w:t>
            </w:r>
            <w:r w:rsidRPr="00862460">
              <w:rPr>
                <w:rFonts w:ascii="Calibri" w:eastAsia="Times New Roman" w:hAnsi="Calibri" w:cs="Calibri"/>
                <w:sz w:val="22"/>
                <w:szCs w:val="22"/>
              </w:rPr>
              <w:t>a</w:t>
            </w:r>
            <w:r>
              <w:rPr>
                <w:rFonts w:ascii="Calibri" w:eastAsia="Times New Roman" w:hAnsi="Calibri" w:cs="Calibri"/>
                <w:sz w:val="22"/>
                <w:szCs w:val="22"/>
              </w:rPr>
              <w:t>n</w:t>
            </w:r>
            <w:r w:rsidRPr="00862460">
              <w:rPr>
                <w:rFonts w:ascii="Calibri" w:eastAsia="Times New Roman" w:hAnsi="Calibri" w:cs="Calibri"/>
                <w:sz w:val="22"/>
                <w:szCs w:val="22"/>
              </w:rPr>
              <w:t xml:space="preserve"> </w:t>
            </w:r>
            <w:r w:rsidRPr="00862460">
              <w:rPr>
                <w:rFonts w:ascii="Calibri" w:eastAsia="Times New Roman" w:hAnsi="Calibri" w:cs="Calibri"/>
                <w:b/>
                <w:bCs/>
                <w:sz w:val="22"/>
                <w:szCs w:val="22"/>
              </w:rPr>
              <w:t>acceptable manner</w:t>
            </w:r>
            <w:r w:rsidRPr="00862460">
              <w:rPr>
                <w:rFonts w:ascii="Calibri" w:eastAsia="Times New Roman" w:hAnsi="Calibri" w:cs="Calibri"/>
                <w:sz w:val="22"/>
                <w:szCs w:val="22"/>
              </w:rPr>
              <w:t xml:space="preserve"> with a proposal that provides full confidence effective solution, including the relevant </w:t>
            </w:r>
            <w:r>
              <w:rPr>
                <w:rFonts w:ascii="Calibri" w:eastAsia="Times New Roman" w:hAnsi="Calibri" w:cs="Calibri"/>
                <w:sz w:val="22"/>
                <w:szCs w:val="22"/>
              </w:rPr>
              <w:t xml:space="preserve">commitment, </w:t>
            </w:r>
            <w:r w:rsidRPr="00862460">
              <w:rPr>
                <w:rFonts w:ascii="Calibri" w:eastAsia="Times New Roman" w:hAnsi="Calibri" w:cs="Calibri"/>
                <w:sz w:val="22"/>
                <w:szCs w:val="22"/>
              </w:rPr>
              <w:t>understanding</w:t>
            </w:r>
            <w:r>
              <w:rPr>
                <w:rFonts w:ascii="Calibri" w:eastAsia="Times New Roman" w:hAnsi="Calibri" w:cs="Calibri"/>
                <w:sz w:val="22"/>
                <w:szCs w:val="22"/>
              </w:rPr>
              <w:t>, resources and/or quality measures</w:t>
            </w:r>
            <w:r w:rsidRPr="00862460">
              <w:rPr>
                <w:rFonts w:ascii="Calibri" w:eastAsia="Times New Roman" w:hAnsi="Calibri" w:cs="Calibri"/>
                <w:sz w:val="22"/>
                <w:szCs w:val="22"/>
              </w:rPr>
              <w:t xml:space="preserve">, </w:t>
            </w:r>
            <w:r w:rsidRPr="00862460">
              <w:rPr>
                <w:rFonts w:ascii="Calibri" w:eastAsia="Times New Roman" w:hAnsi="Calibri" w:cs="Calibri"/>
                <w:i/>
                <w:iCs/>
                <w:sz w:val="22"/>
                <w:szCs w:val="22"/>
                <w:u w:val="single"/>
              </w:rPr>
              <w:t>AND</w:t>
            </w:r>
            <w:r w:rsidRPr="00862460">
              <w:rPr>
                <w:rFonts w:ascii="Calibri" w:eastAsia="Times New Roman" w:hAnsi="Calibri" w:cs="Calibri"/>
                <w:sz w:val="22"/>
                <w:szCs w:val="22"/>
              </w:rPr>
              <w:t xml:space="preserve"> provides evidence of factor(s) that will add </w:t>
            </w:r>
            <w:r w:rsidRPr="00862460">
              <w:rPr>
                <w:rFonts w:ascii="Calibri" w:eastAsia="Times New Roman" w:hAnsi="Calibri" w:cs="Calibri"/>
                <w:b/>
                <w:bCs/>
                <w:sz w:val="22"/>
                <w:szCs w:val="22"/>
              </w:rPr>
              <w:t>some value</w:t>
            </w:r>
            <w:r w:rsidRPr="00862460">
              <w:rPr>
                <w:rFonts w:ascii="Calibri" w:eastAsia="Times New Roman" w:hAnsi="Calibri" w:cs="Calibri"/>
                <w:sz w:val="22"/>
                <w:szCs w:val="22"/>
              </w:rPr>
              <w:t xml:space="preserve"> beyond what is described in the criteria. </w:t>
            </w:r>
          </w:p>
        </w:tc>
      </w:tr>
      <w:tr w:rsidR="005A2AD1" w:rsidRPr="00862460" w14:paraId="51A01536" w14:textId="77777777" w:rsidTr="00615AAB">
        <w:trPr>
          <w:trHeight w:val="2100"/>
        </w:trPr>
        <w:tc>
          <w:tcPr>
            <w:tcW w:w="1120"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30170B72" w14:textId="77777777" w:rsidR="005A2AD1" w:rsidRPr="00862460" w:rsidRDefault="005A2AD1" w:rsidP="00615AAB">
            <w:pPr>
              <w:adjustRightInd/>
              <w:jc w:val="center"/>
              <w:rPr>
                <w:rFonts w:ascii="Calibri" w:eastAsia="Times New Roman" w:hAnsi="Calibri" w:cs="Calibri"/>
                <w:color w:val="000000"/>
                <w:sz w:val="22"/>
                <w:szCs w:val="22"/>
              </w:rPr>
            </w:pPr>
            <w:r w:rsidRPr="00862460">
              <w:rPr>
                <w:rFonts w:ascii="Calibri" w:eastAsia="Times New Roman" w:hAnsi="Calibri" w:cs="Calibri"/>
                <w:color w:val="000000"/>
                <w:sz w:val="22"/>
                <w:szCs w:val="22"/>
              </w:rPr>
              <w:t>60</w:t>
            </w:r>
          </w:p>
        </w:tc>
        <w:tc>
          <w:tcPr>
            <w:tcW w:w="1860" w:type="dxa"/>
            <w:tcBorders>
              <w:top w:val="nil"/>
              <w:left w:val="nil"/>
              <w:bottom w:val="single" w:sz="4" w:space="0" w:color="auto"/>
              <w:right w:val="single" w:sz="4" w:space="0" w:color="auto"/>
            </w:tcBorders>
            <w:shd w:val="clear" w:color="000000" w:fill="FFFFFF"/>
            <w:vAlign w:val="center"/>
            <w:hideMark/>
          </w:tcPr>
          <w:p w14:paraId="7F1EE063" w14:textId="77777777" w:rsidR="005A2AD1" w:rsidRPr="00862460" w:rsidRDefault="005A2AD1" w:rsidP="00615AAB">
            <w:pPr>
              <w:adjustRightInd/>
              <w:jc w:val="center"/>
              <w:rPr>
                <w:rFonts w:ascii="Calibri" w:eastAsia="Times New Roman" w:hAnsi="Calibri" w:cs="Calibri"/>
                <w:color w:val="000000"/>
                <w:sz w:val="22"/>
                <w:szCs w:val="22"/>
              </w:rPr>
            </w:pPr>
            <w:r w:rsidRPr="00862460">
              <w:rPr>
                <w:rFonts w:ascii="Calibri" w:eastAsia="Times New Roman" w:hAnsi="Calibri" w:cs="Calibri"/>
                <w:color w:val="000000"/>
                <w:sz w:val="22"/>
                <w:szCs w:val="22"/>
              </w:rPr>
              <w:t>Acceptable</w:t>
            </w:r>
          </w:p>
        </w:tc>
        <w:tc>
          <w:tcPr>
            <w:tcW w:w="6654" w:type="dxa"/>
            <w:tcBorders>
              <w:top w:val="nil"/>
              <w:left w:val="nil"/>
              <w:bottom w:val="single" w:sz="4" w:space="0" w:color="auto"/>
              <w:right w:val="single" w:sz="4" w:space="0" w:color="auto"/>
            </w:tcBorders>
            <w:shd w:val="clear" w:color="000000" w:fill="FFFFFF"/>
            <w:hideMark/>
          </w:tcPr>
          <w:p w14:paraId="5E933D35" w14:textId="77777777" w:rsidR="005A2AD1" w:rsidRPr="00862460" w:rsidRDefault="005A2AD1" w:rsidP="00615AAB">
            <w:pPr>
              <w:adjustRightInd/>
              <w:jc w:val="left"/>
              <w:rPr>
                <w:rFonts w:ascii="Calibri" w:eastAsia="Times New Roman" w:hAnsi="Calibri" w:cs="Calibri"/>
                <w:sz w:val="22"/>
                <w:szCs w:val="22"/>
              </w:rPr>
            </w:pPr>
            <w:r w:rsidRPr="00862460">
              <w:rPr>
                <w:rFonts w:ascii="Calibri" w:eastAsia="Times New Roman" w:hAnsi="Calibri" w:cs="Calibri"/>
                <w:sz w:val="22"/>
                <w:szCs w:val="22"/>
              </w:rPr>
              <w:t>The Supplier's response:</w:t>
            </w:r>
            <w:r w:rsidRPr="00862460">
              <w:rPr>
                <w:rFonts w:ascii="Calibri" w:eastAsia="Times New Roman" w:hAnsi="Calibri" w:cs="Calibri"/>
                <w:sz w:val="22"/>
                <w:szCs w:val="22"/>
              </w:rPr>
              <w:br/>
            </w:r>
            <w:r w:rsidRPr="00862460">
              <w:rPr>
                <w:rFonts w:ascii="Calibri" w:eastAsia="Times New Roman" w:hAnsi="Calibri" w:cs="Calibri"/>
                <w:sz w:val="22"/>
                <w:szCs w:val="22"/>
              </w:rPr>
              <w:br/>
              <w:t xml:space="preserve">meets the </w:t>
            </w:r>
            <w:r>
              <w:rPr>
                <w:rFonts w:ascii="Calibri" w:eastAsia="Times New Roman" w:hAnsi="Calibri" w:cs="Calibri"/>
                <w:sz w:val="22"/>
                <w:szCs w:val="22"/>
              </w:rPr>
              <w:t>minimum requirement</w:t>
            </w:r>
            <w:r w:rsidRPr="00862460">
              <w:rPr>
                <w:rFonts w:ascii="Calibri" w:eastAsia="Times New Roman" w:hAnsi="Calibri" w:cs="Calibri"/>
                <w:sz w:val="22"/>
                <w:szCs w:val="22"/>
              </w:rPr>
              <w:t xml:space="preserve"> in </w:t>
            </w:r>
            <w:r>
              <w:rPr>
                <w:rFonts w:ascii="Calibri" w:eastAsia="Times New Roman" w:hAnsi="Calibri" w:cs="Calibri"/>
                <w:sz w:val="22"/>
                <w:szCs w:val="22"/>
              </w:rPr>
              <w:t xml:space="preserve">at least </w:t>
            </w:r>
            <w:r w:rsidRPr="00862460">
              <w:rPr>
                <w:rFonts w:ascii="Calibri" w:eastAsia="Times New Roman" w:hAnsi="Calibri" w:cs="Calibri"/>
                <w:sz w:val="22"/>
                <w:szCs w:val="22"/>
              </w:rPr>
              <w:t xml:space="preserve">an </w:t>
            </w:r>
            <w:r w:rsidRPr="00862460">
              <w:rPr>
                <w:rFonts w:ascii="Calibri" w:eastAsia="Times New Roman" w:hAnsi="Calibri" w:cs="Calibri"/>
                <w:b/>
                <w:bCs/>
                <w:sz w:val="22"/>
                <w:szCs w:val="22"/>
              </w:rPr>
              <w:t>acceptable manner</w:t>
            </w:r>
            <w:r w:rsidRPr="00862460">
              <w:rPr>
                <w:rFonts w:ascii="Calibri" w:eastAsia="Times New Roman" w:hAnsi="Calibri" w:cs="Calibri"/>
                <w:sz w:val="22"/>
                <w:szCs w:val="22"/>
              </w:rPr>
              <w:t xml:space="preserve"> with a proposal that provides full confidence in an acceptable solution, including the relevant </w:t>
            </w:r>
            <w:r>
              <w:rPr>
                <w:rFonts w:ascii="Calibri" w:eastAsia="Times New Roman" w:hAnsi="Calibri" w:cs="Calibri"/>
                <w:sz w:val="22"/>
                <w:szCs w:val="22"/>
              </w:rPr>
              <w:t xml:space="preserve">commitment, </w:t>
            </w:r>
            <w:r w:rsidRPr="00862460">
              <w:rPr>
                <w:rFonts w:ascii="Calibri" w:eastAsia="Times New Roman" w:hAnsi="Calibri" w:cs="Calibri"/>
                <w:sz w:val="22"/>
                <w:szCs w:val="22"/>
              </w:rPr>
              <w:t>understanding</w:t>
            </w:r>
            <w:r>
              <w:rPr>
                <w:rFonts w:ascii="Calibri" w:eastAsia="Times New Roman" w:hAnsi="Calibri" w:cs="Calibri"/>
                <w:sz w:val="22"/>
                <w:szCs w:val="22"/>
              </w:rPr>
              <w:t>, resources and/or quality measures</w:t>
            </w:r>
            <w:r w:rsidRPr="00862460">
              <w:rPr>
                <w:rFonts w:ascii="Calibri" w:eastAsia="Times New Roman" w:hAnsi="Calibri" w:cs="Calibri"/>
                <w:sz w:val="22"/>
                <w:szCs w:val="22"/>
              </w:rPr>
              <w:t xml:space="preserve">. There may be </w:t>
            </w:r>
            <w:r w:rsidRPr="00862460">
              <w:rPr>
                <w:rFonts w:ascii="Calibri" w:eastAsia="Times New Roman" w:hAnsi="Calibri" w:cs="Calibri"/>
                <w:b/>
                <w:bCs/>
                <w:sz w:val="22"/>
                <w:szCs w:val="22"/>
              </w:rPr>
              <w:t>minor concerns</w:t>
            </w:r>
            <w:r w:rsidRPr="00862460">
              <w:rPr>
                <w:rFonts w:ascii="Calibri" w:eastAsia="Times New Roman" w:hAnsi="Calibri" w:cs="Calibri"/>
                <w:sz w:val="22"/>
                <w:szCs w:val="22"/>
              </w:rPr>
              <w:t xml:space="preserve"> which are </w:t>
            </w:r>
            <w:r w:rsidRPr="00862460">
              <w:rPr>
                <w:rFonts w:ascii="Calibri" w:eastAsia="Times New Roman" w:hAnsi="Calibri" w:cs="Calibri"/>
                <w:b/>
                <w:bCs/>
                <w:sz w:val="22"/>
                <w:szCs w:val="22"/>
              </w:rPr>
              <w:t>easily resolvable</w:t>
            </w:r>
            <w:r w:rsidRPr="00862460">
              <w:rPr>
                <w:rFonts w:ascii="Calibri" w:eastAsia="Times New Roman" w:hAnsi="Calibri" w:cs="Calibri"/>
                <w:sz w:val="22"/>
                <w:szCs w:val="22"/>
              </w:rPr>
              <w:t xml:space="preserve"> and in any event which </w:t>
            </w:r>
            <w:r w:rsidRPr="00862460">
              <w:rPr>
                <w:rFonts w:ascii="Calibri" w:eastAsia="Times New Roman" w:hAnsi="Calibri" w:cs="Calibri"/>
                <w:b/>
                <w:bCs/>
                <w:sz w:val="22"/>
                <w:szCs w:val="22"/>
              </w:rPr>
              <w:t>do not have a material impact</w:t>
            </w:r>
            <w:r w:rsidRPr="00862460">
              <w:rPr>
                <w:rFonts w:ascii="Calibri" w:eastAsia="Times New Roman" w:hAnsi="Calibri" w:cs="Calibri"/>
                <w:sz w:val="22"/>
                <w:szCs w:val="22"/>
              </w:rPr>
              <w:t xml:space="preserve"> on the overall acceptability of the proposal.</w:t>
            </w:r>
          </w:p>
        </w:tc>
      </w:tr>
      <w:tr w:rsidR="005A2AD1" w:rsidRPr="00862460" w14:paraId="5FD41763" w14:textId="77777777" w:rsidTr="00615AAB">
        <w:trPr>
          <w:trHeight w:val="2400"/>
        </w:trPr>
        <w:tc>
          <w:tcPr>
            <w:tcW w:w="1120" w:type="dxa"/>
            <w:tcBorders>
              <w:top w:val="single" w:sz="4" w:space="0" w:color="auto"/>
              <w:left w:val="single" w:sz="4" w:space="0" w:color="auto"/>
              <w:bottom w:val="single" w:sz="4" w:space="0" w:color="auto"/>
              <w:right w:val="single" w:sz="4" w:space="0" w:color="auto"/>
            </w:tcBorders>
            <w:shd w:val="clear" w:color="000000" w:fill="FCBF7B"/>
            <w:vAlign w:val="center"/>
            <w:hideMark/>
          </w:tcPr>
          <w:p w14:paraId="055A953C" w14:textId="77777777" w:rsidR="005A2AD1" w:rsidRPr="00862460" w:rsidRDefault="005A2AD1" w:rsidP="00615AAB">
            <w:pPr>
              <w:adjustRightInd/>
              <w:jc w:val="center"/>
              <w:rPr>
                <w:rFonts w:ascii="Calibri" w:eastAsia="Times New Roman" w:hAnsi="Calibri" w:cs="Calibri"/>
                <w:color w:val="000000"/>
                <w:sz w:val="22"/>
                <w:szCs w:val="22"/>
              </w:rPr>
            </w:pPr>
            <w:r w:rsidRPr="00862460">
              <w:rPr>
                <w:rFonts w:ascii="Calibri" w:eastAsia="Times New Roman" w:hAnsi="Calibri" w:cs="Calibri"/>
                <w:color w:val="000000"/>
                <w:sz w:val="22"/>
                <w:szCs w:val="22"/>
              </w:rPr>
              <w:t>40</w:t>
            </w:r>
          </w:p>
        </w:tc>
        <w:tc>
          <w:tcPr>
            <w:tcW w:w="1860" w:type="dxa"/>
            <w:tcBorders>
              <w:top w:val="nil"/>
              <w:left w:val="nil"/>
              <w:bottom w:val="single" w:sz="4" w:space="0" w:color="auto"/>
              <w:right w:val="single" w:sz="4" w:space="0" w:color="auto"/>
            </w:tcBorders>
            <w:shd w:val="clear" w:color="000000" w:fill="FFFFFF"/>
            <w:vAlign w:val="center"/>
            <w:hideMark/>
          </w:tcPr>
          <w:p w14:paraId="7F1BBF63" w14:textId="77777777" w:rsidR="005A2AD1" w:rsidRPr="00862460" w:rsidRDefault="005A2AD1" w:rsidP="00615AAB">
            <w:pPr>
              <w:adjustRightInd/>
              <w:jc w:val="center"/>
              <w:rPr>
                <w:rFonts w:ascii="Calibri" w:eastAsia="Times New Roman" w:hAnsi="Calibri" w:cs="Calibri"/>
                <w:color w:val="000000"/>
                <w:sz w:val="22"/>
                <w:szCs w:val="22"/>
              </w:rPr>
            </w:pPr>
            <w:r w:rsidRPr="00862460">
              <w:rPr>
                <w:rFonts w:ascii="Calibri" w:eastAsia="Times New Roman" w:hAnsi="Calibri" w:cs="Calibri"/>
                <w:color w:val="000000"/>
                <w:sz w:val="22"/>
                <w:szCs w:val="22"/>
              </w:rPr>
              <w:t>Minor Reservations</w:t>
            </w:r>
          </w:p>
        </w:tc>
        <w:tc>
          <w:tcPr>
            <w:tcW w:w="6654" w:type="dxa"/>
            <w:tcBorders>
              <w:top w:val="nil"/>
              <w:left w:val="nil"/>
              <w:bottom w:val="single" w:sz="4" w:space="0" w:color="auto"/>
              <w:right w:val="single" w:sz="4" w:space="0" w:color="auto"/>
            </w:tcBorders>
            <w:shd w:val="clear" w:color="000000" w:fill="FFFFFF"/>
            <w:hideMark/>
          </w:tcPr>
          <w:p w14:paraId="668A39B1" w14:textId="77777777" w:rsidR="005A2AD1" w:rsidRPr="00862460" w:rsidRDefault="005A2AD1" w:rsidP="00615AAB">
            <w:pPr>
              <w:adjustRightInd/>
              <w:jc w:val="left"/>
              <w:rPr>
                <w:rFonts w:ascii="Calibri" w:eastAsia="Times New Roman" w:hAnsi="Calibri" w:cs="Calibri"/>
                <w:sz w:val="22"/>
                <w:szCs w:val="22"/>
              </w:rPr>
            </w:pPr>
            <w:r w:rsidRPr="00862460">
              <w:rPr>
                <w:rFonts w:ascii="Calibri" w:eastAsia="Times New Roman" w:hAnsi="Calibri" w:cs="Calibri"/>
                <w:sz w:val="22"/>
                <w:szCs w:val="22"/>
              </w:rPr>
              <w:t>The Supplier's response:</w:t>
            </w:r>
            <w:r w:rsidRPr="00862460">
              <w:rPr>
                <w:rFonts w:ascii="Calibri" w:eastAsia="Times New Roman" w:hAnsi="Calibri" w:cs="Calibri"/>
                <w:sz w:val="22"/>
                <w:szCs w:val="22"/>
              </w:rPr>
              <w:br/>
            </w:r>
            <w:r w:rsidRPr="00862460">
              <w:rPr>
                <w:rFonts w:ascii="Calibri" w:eastAsia="Times New Roman" w:hAnsi="Calibri" w:cs="Calibri"/>
                <w:sz w:val="22"/>
                <w:szCs w:val="22"/>
              </w:rPr>
              <w:br/>
            </w:r>
            <w:r w:rsidRPr="00862460">
              <w:rPr>
                <w:rFonts w:ascii="Calibri" w:eastAsia="Times New Roman" w:hAnsi="Calibri" w:cs="Calibri"/>
                <w:sz w:val="22"/>
                <w:szCs w:val="22"/>
                <w:u w:val="single"/>
              </w:rPr>
              <w:t>does not</w:t>
            </w:r>
            <w:r w:rsidRPr="00862460">
              <w:rPr>
                <w:rFonts w:ascii="Calibri" w:eastAsia="Times New Roman" w:hAnsi="Calibri" w:cs="Calibri"/>
                <w:sz w:val="22"/>
                <w:szCs w:val="22"/>
              </w:rPr>
              <w:t xml:space="preserve"> fully meet the </w:t>
            </w:r>
            <w:r>
              <w:rPr>
                <w:rFonts w:ascii="Calibri" w:eastAsia="Times New Roman" w:hAnsi="Calibri" w:cs="Calibri"/>
                <w:sz w:val="22"/>
                <w:szCs w:val="22"/>
              </w:rPr>
              <w:t>minimum requirement</w:t>
            </w:r>
            <w:r w:rsidRPr="00862460">
              <w:rPr>
                <w:rFonts w:ascii="Calibri" w:eastAsia="Times New Roman" w:hAnsi="Calibri" w:cs="Calibri"/>
                <w:sz w:val="22"/>
                <w:szCs w:val="22"/>
              </w:rPr>
              <w:t xml:space="preserve"> in an acceptable manner and/or meets the </w:t>
            </w:r>
            <w:r>
              <w:rPr>
                <w:rFonts w:ascii="Calibri" w:eastAsia="Times New Roman" w:hAnsi="Calibri" w:cs="Calibri"/>
                <w:sz w:val="22"/>
                <w:szCs w:val="22"/>
              </w:rPr>
              <w:t>minimum requirement</w:t>
            </w:r>
            <w:r w:rsidRPr="00862460">
              <w:rPr>
                <w:rFonts w:ascii="Calibri" w:eastAsia="Times New Roman" w:hAnsi="Calibri" w:cs="Calibri"/>
                <w:sz w:val="22"/>
                <w:szCs w:val="22"/>
              </w:rPr>
              <w:t xml:space="preserve"> in </w:t>
            </w:r>
            <w:r>
              <w:rPr>
                <w:rFonts w:ascii="Calibri" w:eastAsia="Times New Roman" w:hAnsi="Calibri" w:cs="Calibri"/>
                <w:sz w:val="22"/>
                <w:szCs w:val="22"/>
              </w:rPr>
              <w:t xml:space="preserve">at least </w:t>
            </w:r>
            <w:r w:rsidRPr="00862460">
              <w:rPr>
                <w:rFonts w:ascii="Calibri" w:eastAsia="Times New Roman" w:hAnsi="Calibri" w:cs="Calibri"/>
                <w:sz w:val="22"/>
                <w:szCs w:val="22"/>
              </w:rPr>
              <w:t xml:space="preserve">an acceptable manner </w:t>
            </w:r>
            <w:r>
              <w:rPr>
                <w:rFonts w:ascii="Calibri" w:eastAsia="Times New Roman" w:hAnsi="Calibri" w:cs="Calibri"/>
                <w:sz w:val="22"/>
                <w:szCs w:val="22"/>
              </w:rPr>
              <w:t xml:space="preserve">and </w:t>
            </w:r>
            <w:r w:rsidRPr="00862460">
              <w:rPr>
                <w:rFonts w:ascii="Calibri" w:eastAsia="Times New Roman" w:hAnsi="Calibri" w:cs="Calibri"/>
                <w:sz w:val="22"/>
                <w:szCs w:val="22"/>
                <w:u w:val="single"/>
              </w:rPr>
              <w:t>does not</w:t>
            </w:r>
            <w:r w:rsidRPr="00862460">
              <w:rPr>
                <w:rFonts w:ascii="Calibri" w:eastAsia="Times New Roman" w:hAnsi="Calibri" w:cs="Calibri"/>
                <w:sz w:val="22"/>
                <w:szCs w:val="22"/>
              </w:rPr>
              <w:t xml:space="preserve"> provide full confidence in an acceptable solution including the relevant </w:t>
            </w:r>
            <w:r>
              <w:rPr>
                <w:rFonts w:ascii="Calibri" w:eastAsia="Times New Roman" w:hAnsi="Calibri" w:cs="Calibri"/>
                <w:sz w:val="22"/>
                <w:szCs w:val="22"/>
              </w:rPr>
              <w:t xml:space="preserve">commitment, </w:t>
            </w:r>
            <w:r w:rsidRPr="00862460">
              <w:rPr>
                <w:rFonts w:ascii="Calibri" w:eastAsia="Times New Roman" w:hAnsi="Calibri" w:cs="Calibri"/>
                <w:sz w:val="22"/>
                <w:szCs w:val="22"/>
              </w:rPr>
              <w:t>understanding</w:t>
            </w:r>
            <w:r>
              <w:rPr>
                <w:rFonts w:ascii="Calibri" w:eastAsia="Times New Roman" w:hAnsi="Calibri" w:cs="Calibri"/>
                <w:sz w:val="22"/>
                <w:szCs w:val="22"/>
              </w:rPr>
              <w:t>, resources and/or quality measures</w:t>
            </w:r>
            <w:r w:rsidRPr="00862460">
              <w:rPr>
                <w:rFonts w:ascii="Calibri" w:eastAsia="Times New Roman" w:hAnsi="Calibri" w:cs="Calibri"/>
                <w:sz w:val="22"/>
                <w:szCs w:val="22"/>
              </w:rPr>
              <w:t xml:space="preserve"> causing some </w:t>
            </w:r>
            <w:r w:rsidRPr="00862460">
              <w:rPr>
                <w:rFonts w:ascii="Calibri" w:eastAsia="Times New Roman" w:hAnsi="Calibri" w:cs="Calibri"/>
                <w:b/>
                <w:bCs/>
                <w:sz w:val="22"/>
                <w:szCs w:val="22"/>
              </w:rPr>
              <w:t xml:space="preserve">minor reservations </w:t>
            </w:r>
            <w:r w:rsidRPr="00862460">
              <w:rPr>
                <w:rFonts w:ascii="Calibri" w:eastAsia="Times New Roman" w:hAnsi="Calibri" w:cs="Calibri"/>
                <w:sz w:val="22"/>
                <w:szCs w:val="22"/>
              </w:rPr>
              <w:t xml:space="preserve">in one or more areas which </w:t>
            </w:r>
            <w:r w:rsidRPr="00862460">
              <w:rPr>
                <w:rFonts w:ascii="Calibri" w:eastAsia="Times New Roman" w:hAnsi="Calibri" w:cs="Calibri"/>
                <w:b/>
                <w:bCs/>
                <w:sz w:val="22"/>
                <w:szCs w:val="22"/>
              </w:rPr>
              <w:t>may be resolvable</w:t>
            </w:r>
            <w:r w:rsidRPr="00862460">
              <w:rPr>
                <w:rFonts w:ascii="Calibri" w:eastAsia="Times New Roman" w:hAnsi="Calibri" w:cs="Calibri"/>
                <w:sz w:val="22"/>
                <w:szCs w:val="22"/>
              </w:rPr>
              <w:t xml:space="preserve"> but, if not, </w:t>
            </w:r>
            <w:r w:rsidRPr="00862460">
              <w:rPr>
                <w:rFonts w:ascii="Calibri" w:eastAsia="Times New Roman" w:hAnsi="Calibri" w:cs="Calibri"/>
                <w:b/>
                <w:bCs/>
                <w:sz w:val="22"/>
                <w:szCs w:val="22"/>
              </w:rPr>
              <w:t>may have a material impact</w:t>
            </w:r>
            <w:r w:rsidRPr="00862460">
              <w:rPr>
                <w:rFonts w:ascii="Calibri" w:eastAsia="Times New Roman" w:hAnsi="Calibri" w:cs="Calibri"/>
                <w:sz w:val="22"/>
                <w:szCs w:val="22"/>
              </w:rPr>
              <w:t xml:space="preserve"> on the overall acceptability of the proposal</w:t>
            </w:r>
          </w:p>
        </w:tc>
      </w:tr>
      <w:tr w:rsidR="005A2AD1" w:rsidRPr="00862460" w14:paraId="0E544A29" w14:textId="77777777" w:rsidTr="00615AAB">
        <w:trPr>
          <w:trHeight w:val="2400"/>
        </w:trPr>
        <w:tc>
          <w:tcPr>
            <w:tcW w:w="1120" w:type="dxa"/>
            <w:tcBorders>
              <w:top w:val="single" w:sz="4" w:space="0" w:color="auto"/>
              <w:left w:val="single" w:sz="4" w:space="0" w:color="auto"/>
              <w:bottom w:val="single" w:sz="4" w:space="0" w:color="auto"/>
              <w:right w:val="single" w:sz="4" w:space="0" w:color="auto"/>
            </w:tcBorders>
            <w:shd w:val="clear" w:color="000000" w:fill="FA9473"/>
            <w:vAlign w:val="center"/>
            <w:hideMark/>
          </w:tcPr>
          <w:p w14:paraId="669213DE" w14:textId="77777777" w:rsidR="005A2AD1" w:rsidRPr="00862460" w:rsidRDefault="005A2AD1" w:rsidP="00615AAB">
            <w:pPr>
              <w:adjustRightInd/>
              <w:jc w:val="center"/>
              <w:rPr>
                <w:rFonts w:ascii="Calibri" w:eastAsia="Times New Roman" w:hAnsi="Calibri" w:cs="Calibri"/>
                <w:color w:val="000000"/>
                <w:sz w:val="22"/>
                <w:szCs w:val="22"/>
              </w:rPr>
            </w:pPr>
            <w:r w:rsidRPr="00862460">
              <w:rPr>
                <w:rFonts w:ascii="Calibri" w:eastAsia="Times New Roman" w:hAnsi="Calibri" w:cs="Calibri"/>
                <w:color w:val="000000"/>
                <w:sz w:val="22"/>
                <w:szCs w:val="22"/>
              </w:rPr>
              <w:t>20</w:t>
            </w:r>
          </w:p>
        </w:tc>
        <w:tc>
          <w:tcPr>
            <w:tcW w:w="1860" w:type="dxa"/>
            <w:tcBorders>
              <w:top w:val="nil"/>
              <w:left w:val="nil"/>
              <w:bottom w:val="single" w:sz="4" w:space="0" w:color="auto"/>
              <w:right w:val="single" w:sz="4" w:space="0" w:color="auto"/>
            </w:tcBorders>
            <w:shd w:val="clear" w:color="000000" w:fill="FFFFFF"/>
            <w:vAlign w:val="center"/>
            <w:hideMark/>
          </w:tcPr>
          <w:p w14:paraId="0D1122DD" w14:textId="77777777" w:rsidR="005A2AD1" w:rsidRPr="00862460" w:rsidRDefault="005A2AD1" w:rsidP="00615AAB">
            <w:pPr>
              <w:adjustRightInd/>
              <w:jc w:val="center"/>
              <w:rPr>
                <w:rFonts w:ascii="Calibri" w:eastAsia="Times New Roman" w:hAnsi="Calibri" w:cs="Calibri"/>
                <w:color w:val="000000"/>
                <w:sz w:val="22"/>
                <w:szCs w:val="22"/>
              </w:rPr>
            </w:pPr>
            <w:r w:rsidRPr="00862460">
              <w:rPr>
                <w:rFonts w:ascii="Calibri" w:eastAsia="Times New Roman" w:hAnsi="Calibri" w:cs="Calibri"/>
                <w:color w:val="000000"/>
                <w:sz w:val="22"/>
                <w:szCs w:val="22"/>
              </w:rPr>
              <w:t>Major Reservations</w:t>
            </w:r>
          </w:p>
        </w:tc>
        <w:tc>
          <w:tcPr>
            <w:tcW w:w="6654" w:type="dxa"/>
            <w:tcBorders>
              <w:top w:val="nil"/>
              <w:left w:val="nil"/>
              <w:bottom w:val="single" w:sz="4" w:space="0" w:color="auto"/>
              <w:right w:val="single" w:sz="4" w:space="0" w:color="auto"/>
            </w:tcBorders>
            <w:shd w:val="clear" w:color="000000" w:fill="FFFFFF"/>
            <w:hideMark/>
          </w:tcPr>
          <w:p w14:paraId="65732B62" w14:textId="77777777" w:rsidR="005A2AD1" w:rsidRPr="00862460" w:rsidRDefault="005A2AD1" w:rsidP="00615AAB">
            <w:pPr>
              <w:adjustRightInd/>
              <w:jc w:val="left"/>
              <w:rPr>
                <w:rFonts w:ascii="Calibri" w:eastAsia="Times New Roman" w:hAnsi="Calibri" w:cs="Calibri"/>
                <w:sz w:val="22"/>
                <w:szCs w:val="22"/>
              </w:rPr>
            </w:pPr>
            <w:r w:rsidRPr="00862460">
              <w:rPr>
                <w:rFonts w:ascii="Calibri" w:eastAsia="Times New Roman" w:hAnsi="Calibri" w:cs="Calibri"/>
                <w:sz w:val="22"/>
                <w:szCs w:val="22"/>
              </w:rPr>
              <w:t>The Supplier's response:</w:t>
            </w:r>
            <w:r w:rsidRPr="00862460">
              <w:rPr>
                <w:rFonts w:ascii="Calibri" w:eastAsia="Times New Roman" w:hAnsi="Calibri" w:cs="Calibri"/>
                <w:sz w:val="22"/>
                <w:szCs w:val="22"/>
              </w:rPr>
              <w:br/>
            </w:r>
            <w:r w:rsidRPr="00862460">
              <w:rPr>
                <w:rFonts w:ascii="Calibri" w:eastAsia="Times New Roman" w:hAnsi="Calibri" w:cs="Calibri"/>
                <w:sz w:val="22"/>
                <w:szCs w:val="22"/>
              </w:rPr>
              <w:br/>
            </w:r>
            <w:r w:rsidRPr="00862460">
              <w:rPr>
                <w:rFonts w:ascii="Calibri" w:eastAsia="Times New Roman" w:hAnsi="Calibri" w:cs="Calibri"/>
                <w:sz w:val="22"/>
                <w:szCs w:val="22"/>
                <w:u w:val="single"/>
              </w:rPr>
              <w:t>does not</w:t>
            </w:r>
            <w:r w:rsidRPr="00862460">
              <w:rPr>
                <w:rFonts w:ascii="Calibri" w:eastAsia="Times New Roman" w:hAnsi="Calibri" w:cs="Calibri"/>
                <w:sz w:val="22"/>
                <w:szCs w:val="22"/>
              </w:rPr>
              <w:t xml:space="preserve"> fully meet the </w:t>
            </w:r>
            <w:r>
              <w:rPr>
                <w:rFonts w:ascii="Calibri" w:eastAsia="Times New Roman" w:hAnsi="Calibri" w:cs="Calibri"/>
                <w:sz w:val="22"/>
                <w:szCs w:val="22"/>
              </w:rPr>
              <w:t>minimum requirement</w:t>
            </w:r>
            <w:r w:rsidRPr="00862460">
              <w:rPr>
                <w:rFonts w:ascii="Calibri" w:eastAsia="Times New Roman" w:hAnsi="Calibri" w:cs="Calibri"/>
                <w:sz w:val="22"/>
                <w:szCs w:val="22"/>
              </w:rPr>
              <w:t xml:space="preserve"> in an acceptable manner and/or meets the </w:t>
            </w:r>
            <w:r>
              <w:rPr>
                <w:rFonts w:ascii="Calibri" w:eastAsia="Times New Roman" w:hAnsi="Calibri" w:cs="Calibri"/>
                <w:sz w:val="22"/>
                <w:szCs w:val="22"/>
              </w:rPr>
              <w:t>minimum requirement</w:t>
            </w:r>
            <w:r w:rsidRPr="00862460">
              <w:rPr>
                <w:rFonts w:ascii="Calibri" w:eastAsia="Times New Roman" w:hAnsi="Calibri" w:cs="Calibri"/>
                <w:sz w:val="22"/>
                <w:szCs w:val="22"/>
              </w:rPr>
              <w:t xml:space="preserve"> in </w:t>
            </w:r>
            <w:r>
              <w:rPr>
                <w:rFonts w:ascii="Calibri" w:eastAsia="Times New Roman" w:hAnsi="Calibri" w:cs="Calibri"/>
                <w:sz w:val="22"/>
                <w:szCs w:val="22"/>
              </w:rPr>
              <w:t xml:space="preserve">at least </w:t>
            </w:r>
            <w:r w:rsidRPr="00862460">
              <w:rPr>
                <w:rFonts w:ascii="Calibri" w:eastAsia="Times New Roman" w:hAnsi="Calibri" w:cs="Calibri"/>
                <w:sz w:val="22"/>
                <w:szCs w:val="22"/>
              </w:rPr>
              <w:t xml:space="preserve">an acceptable manner </w:t>
            </w:r>
            <w:r>
              <w:rPr>
                <w:rFonts w:ascii="Calibri" w:eastAsia="Times New Roman" w:hAnsi="Calibri" w:cs="Calibri"/>
                <w:sz w:val="22"/>
                <w:szCs w:val="22"/>
              </w:rPr>
              <w:t>and</w:t>
            </w:r>
            <w:r w:rsidRPr="00862460">
              <w:rPr>
                <w:rFonts w:ascii="Calibri" w:eastAsia="Times New Roman" w:hAnsi="Calibri" w:cs="Calibri"/>
                <w:sz w:val="22"/>
                <w:szCs w:val="22"/>
              </w:rPr>
              <w:t xml:space="preserve"> </w:t>
            </w:r>
            <w:r w:rsidRPr="00862460">
              <w:rPr>
                <w:rFonts w:ascii="Calibri" w:eastAsia="Times New Roman" w:hAnsi="Calibri" w:cs="Calibri"/>
                <w:sz w:val="22"/>
                <w:szCs w:val="22"/>
                <w:u w:val="single"/>
              </w:rPr>
              <w:t>does not</w:t>
            </w:r>
            <w:r w:rsidRPr="00862460">
              <w:rPr>
                <w:rFonts w:ascii="Calibri" w:eastAsia="Times New Roman" w:hAnsi="Calibri" w:cs="Calibri"/>
                <w:sz w:val="22"/>
                <w:szCs w:val="22"/>
              </w:rPr>
              <w:t xml:space="preserve"> provide full confidence in an acceptable solution, including the relevant </w:t>
            </w:r>
            <w:r>
              <w:rPr>
                <w:rFonts w:ascii="Calibri" w:eastAsia="Times New Roman" w:hAnsi="Calibri" w:cs="Calibri"/>
                <w:sz w:val="22"/>
                <w:szCs w:val="22"/>
              </w:rPr>
              <w:t xml:space="preserve">commitment, </w:t>
            </w:r>
            <w:r w:rsidRPr="00862460">
              <w:rPr>
                <w:rFonts w:ascii="Calibri" w:eastAsia="Times New Roman" w:hAnsi="Calibri" w:cs="Calibri"/>
                <w:sz w:val="22"/>
                <w:szCs w:val="22"/>
              </w:rPr>
              <w:t>understanding</w:t>
            </w:r>
            <w:r>
              <w:rPr>
                <w:rFonts w:ascii="Calibri" w:eastAsia="Times New Roman" w:hAnsi="Calibri" w:cs="Calibri"/>
                <w:sz w:val="22"/>
                <w:szCs w:val="22"/>
              </w:rPr>
              <w:t>, resources and/or quality measures</w:t>
            </w:r>
            <w:r w:rsidRPr="00862460">
              <w:rPr>
                <w:rFonts w:ascii="Calibri" w:eastAsia="Times New Roman" w:hAnsi="Calibri" w:cs="Calibri"/>
                <w:sz w:val="22"/>
                <w:szCs w:val="22"/>
              </w:rPr>
              <w:t xml:space="preserve">, causing one or more </w:t>
            </w:r>
            <w:r w:rsidRPr="00862460">
              <w:rPr>
                <w:rFonts w:ascii="Calibri" w:eastAsia="Times New Roman" w:hAnsi="Calibri" w:cs="Calibri"/>
                <w:b/>
                <w:bCs/>
                <w:sz w:val="22"/>
                <w:szCs w:val="22"/>
              </w:rPr>
              <w:t>major reservations</w:t>
            </w:r>
            <w:r w:rsidRPr="00862460">
              <w:rPr>
                <w:rFonts w:ascii="Calibri" w:eastAsia="Times New Roman" w:hAnsi="Calibri" w:cs="Calibri"/>
                <w:sz w:val="22"/>
                <w:szCs w:val="22"/>
              </w:rPr>
              <w:t xml:space="preserve"> in one or more areas are </w:t>
            </w:r>
            <w:r w:rsidRPr="00862460">
              <w:rPr>
                <w:rFonts w:ascii="Calibri" w:eastAsia="Times New Roman" w:hAnsi="Calibri" w:cs="Calibri"/>
                <w:b/>
                <w:bCs/>
                <w:sz w:val="22"/>
                <w:szCs w:val="22"/>
              </w:rPr>
              <w:t>unlikely to be resolvable</w:t>
            </w:r>
            <w:r w:rsidRPr="00862460">
              <w:rPr>
                <w:rFonts w:ascii="Calibri" w:eastAsia="Times New Roman" w:hAnsi="Calibri" w:cs="Calibri"/>
                <w:sz w:val="22"/>
                <w:szCs w:val="22"/>
              </w:rPr>
              <w:t xml:space="preserve"> but and </w:t>
            </w:r>
            <w:r w:rsidRPr="00862460">
              <w:rPr>
                <w:rFonts w:ascii="Calibri" w:eastAsia="Times New Roman" w:hAnsi="Calibri" w:cs="Calibri"/>
                <w:b/>
                <w:bCs/>
                <w:sz w:val="22"/>
                <w:szCs w:val="22"/>
              </w:rPr>
              <w:t>may have a material impact</w:t>
            </w:r>
            <w:r w:rsidRPr="00862460">
              <w:rPr>
                <w:rFonts w:ascii="Calibri" w:eastAsia="Times New Roman" w:hAnsi="Calibri" w:cs="Calibri"/>
                <w:sz w:val="22"/>
                <w:szCs w:val="22"/>
              </w:rPr>
              <w:t xml:space="preserve"> on the overall acceptability of the proposal.</w:t>
            </w:r>
          </w:p>
        </w:tc>
      </w:tr>
      <w:tr w:rsidR="005A2AD1" w:rsidRPr="00862460" w14:paraId="34A95E00" w14:textId="77777777" w:rsidTr="00615AAB">
        <w:trPr>
          <w:trHeight w:val="2100"/>
        </w:trPr>
        <w:tc>
          <w:tcPr>
            <w:tcW w:w="1120"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52ADCE86" w14:textId="77777777" w:rsidR="005A2AD1" w:rsidRPr="00862460" w:rsidRDefault="005A2AD1" w:rsidP="00615AAB">
            <w:pPr>
              <w:adjustRightInd/>
              <w:jc w:val="center"/>
              <w:rPr>
                <w:rFonts w:ascii="Calibri" w:eastAsia="Times New Roman" w:hAnsi="Calibri" w:cs="Calibri"/>
                <w:color w:val="000000"/>
                <w:sz w:val="22"/>
                <w:szCs w:val="22"/>
              </w:rPr>
            </w:pPr>
            <w:r w:rsidRPr="00862460">
              <w:rPr>
                <w:rFonts w:ascii="Calibri" w:eastAsia="Times New Roman" w:hAnsi="Calibri" w:cs="Calibri"/>
                <w:color w:val="000000"/>
                <w:sz w:val="22"/>
                <w:szCs w:val="22"/>
              </w:rPr>
              <w:lastRenderedPageBreak/>
              <w:t>0</w:t>
            </w:r>
          </w:p>
        </w:tc>
        <w:tc>
          <w:tcPr>
            <w:tcW w:w="1860" w:type="dxa"/>
            <w:tcBorders>
              <w:top w:val="nil"/>
              <w:left w:val="nil"/>
              <w:bottom w:val="single" w:sz="4" w:space="0" w:color="auto"/>
              <w:right w:val="single" w:sz="4" w:space="0" w:color="auto"/>
            </w:tcBorders>
            <w:shd w:val="clear" w:color="000000" w:fill="FFFFFF"/>
            <w:vAlign w:val="center"/>
            <w:hideMark/>
          </w:tcPr>
          <w:p w14:paraId="70D8DD64" w14:textId="77777777" w:rsidR="005A2AD1" w:rsidRPr="00862460" w:rsidRDefault="005A2AD1" w:rsidP="00615AAB">
            <w:pPr>
              <w:adjustRightInd/>
              <w:jc w:val="center"/>
              <w:rPr>
                <w:rFonts w:ascii="Calibri" w:eastAsia="Times New Roman" w:hAnsi="Calibri" w:cs="Calibri"/>
                <w:color w:val="000000"/>
                <w:sz w:val="22"/>
                <w:szCs w:val="22"/>
              </w:rPr>
            </w:pPr>
            <w:r w:rsidRPr="00862460">
              <w:rPr>
                <w:rFonts w:ascii="Calibri" w:eastAsia="Times New Roman" w:hAnsi="Calibri" w:cs="Calibri"/>
                <w:color w:val="000000"/>
                <w:sz w:val="22"/>
                <w:szCs w:val="22"/>
              </w:rPr>
              <w:t>Unacceptable</w:t>
            </w:r>
          </w:p>
        </w:tc>
        <w:tc>
          <w:tcPr>
            <w:tcW w:w="6654" w:type="dxa"/>
            <w:tcBorders>
              <w:top w:val="nil"/>
              <w:left w:val="nil"/>
              <w:bottom w:val="single" w:sz="4" w:space="0" w:color="auto"/>
              <w:right w:val="single" w:sz="4" w:space="0" w:color="auto"/>
            </w:tcBorders>
            <w:shd w:val="clear" w:color="000000" w:fill="FFFFFF"/>
            <w:hideMark/>
          </w:tcPr>
          <w:p w14:paraId="4AB2490D" w14:textId="77777777" w:rsidR="005A2AD1" w:rsidRPr="00862460" w:rsidRDefault="005A2AD1" w:rsidP="00615AAB">
            <w:pPr>
              <w:adjustRightInd/>
              <w:jc w:val="left"/>
              <w:rPr>
                <w:rFonts w:ascii="Calibri" w:eastAsia="Times New Roman" w:hAnsi="Calibri" w:cs="Calibri"/>
                <w:sz w:val="22"/>
                <w:szCs w:val="22"/>
              </w:rPr>
            </w:pPr>
            <w:r w:rsidRPr="00862460">
              <w:rPr>
                <w:rFonts w:ascii="Calibri" w:eastAsia="Times New Roman" w:hAnsi="Calibri" w:cs="Calibri"/>
                <w:sz w:val="22"/>
                <w:szCs w:val="22"/>
              </w:rPr>
              <w:t>The Supplier's response:</w:t>
            </w:r>
            <w:r w:rsidRPr="00862460">
              <w:rPr>
                <w:rFonts w:ascii="Calibri" w:eastAsia="Times New Roman" w:hAnsi="Calibri" w:cs="Calibri"/>
                <w:sz w:val="22"/>
                <w:szCs w:val="22"/>
              </w:rPr>
              <w:br/>
            </w:r>
            <w:r w:rsidRPr="00862460">
              <w:rPr>
                <w:rFonts w:ascii="Calibri" w:eastAsia="Times New Roman" w:hAnsi="Calibri" w:cs="Calibri"/>
                <w:sz w:val="22"/>
                <w:szCs w:val="22"/>
              </w:rPr>
              <w:br/>
            </w:r>
            <w:r w:rsidRPr="00862460">
              <w:rPr>
                <w:rFonts w:ascii="Calibri" w:eastAsia="Times New Roman" w:hAnsi="Calibri" w:cs="Calibri"/>
                <w:sz w:val="22"/>
                <w:szCs w:val="22"/>
                <w:u w:val="single"/>
              </w:rPr>
              <w:t xml:space="preserve">does not </w:t>
            </w:r>
            <w:r w:rsidRPr="00862460">
              <w:rPr>
                <w:rFonts w:ascii="Calibri" w:eastAsia="Times New Roman" w:hAnsi="Calibri" w:cs="Calibri"/>
                <w:sz w:val="22"/>
                <w:szCs w:val="22"/>
              </w:rPr>
              <w:t xml:space="preserve">meet the </w:t>
            </w:r>
            <w:r>
              <w:rPr>
                <w:rFonts w:ascii="Calibri" w:eastAsia="Times New Roman" w:hAnsi="Calibri" w:cs="Calibri"/>
                <w:sz w:val="22"/>
                <w:szCs w:val="22"/>
              </w:rPr>
              <w:t>minimum requirement</w:t>
            </w:r>
            <w:r w:rsidRPr="00862460">
              <w:rPr>
                <w:rFonts w:ascii="Calibri" w:eastAsia="Times New Roman" w:hAnsi="Calibri" w:cs="Calibri"/>
                <w:sz w:val="22"/>
                <w:szCs w:val="22"/>
              </w:rPr>
              <w:t xml:space="preserve"> in</w:t>
            </w:r>
            <w:r>
              <w:rPr>
                <w:rFonts w:ascii="Calibri" w:eastAsia="Times New Roman" w:hAnsi="Calibri" w:cs="Calibri"/>
                <w:sz w:val="22"/>
                <w:szCs w:val="22"/>
              </w:rPr>
              <w:t xml:space="preserve"> at least</w:t>
            </w:r>
            <w:r w:rsidRPr="00862460">
              <w:rPr>
                <w:rFonts w:ascii="Calibri" w:eastAsia="Times New Roman" w:hAnsi="Calibri" w:cs="Calibri"/>
                <w:sz w:val="22"/>
                <w:szCs w:val="22"/>
              </w:rPr>
              <w:t xml:space="preserve"> an acceptable manner and/or contains insufficient information to provide full confidence in an acceptable solution, including the relevant </w:t>
            </w:r>
            <w:r>
              <w:rPr>
                <w:rFonts w:ascii="Calibri" w:eastAsia="Times New Roman" w:hAnsi="Calibri" w:cs="Calibri"/>
                <w:sz w:val="22"/>
                <w:szCs w:val="22"/>
              </w:rPr>
              <w:t xml:space="preserve">commitment, </w:t>
            </w:r>
            <w:r w:rsidRPr="00862460">
              <w:rPr>
                <w:rFonts w:ascii="Calibri" w:eastAsia="Times New Roman" w:hAnsi="Calibri" w:cs="Calibri"/>
                <w:sz w:val="22"/>
                <w:szCs w:val="22"/>
              </w:rPr>
              <w:t>understanding</w:t>
            </w:r>
            <w:r>
              <w:rPr>
                <w:rFonts w:ascii="Calibri" w:eastAsia="Times New Roman" w:hAnsi="Calibri" w:cs="Calibri"/>
                <w:sz w:val="22"/>
                <w:szCs w:val="22"/>
              </w:rPr>
              <w:t>, resources and/or quality measures</w:t>
            </w:r>
            <w:r w:rsidRPr="00862460">
              <w:rPr>
                <w:rFonts w:ascii="Calibri" w:eastAsia="Times New Roman" w:hAnsi="Calibri" w:cs="Calibri"/>
                <w:sz w:val="22"/>
                <w:szCs w:val="22"/>
              </w:rPr>
              <w:t xml:space="preserve">, causing </w:t>
            </w:r>
            <w:r w:rsidRPr="00862460">
              <w:rPr>
                <w:rFonts w:ascii="Calibri" w:eastAsia="Times New Roman" w:hAnsi="Calibri" w:cs="Calibri"/>
                <w:b/>
                <w:bCs/>
                <w:sz w:val="22"/>
                <w:szCs w:val="22"/>
              </w:rPr>
              <w:t>major reservations</w:t>
            </w:r>
            <w:r w:rsidRPr="00862460">
              <w:rPr>
                <w:rFonts w:ascii="Calibri" w:eastAsia="Times New Roman" w:hAnsi="Calibri" w:cs="Calibri"/>
                <w:sz w:val="22"/>
                <w:szCs w:val="22"/>
              </w:rPr>
              <w:t xml:space="preserve"> in one or more areas that are</w:t>
            </w:r>
            <w:r w:rsidRPr="00862460">
              <w:rPr>
                <w:rFonts w:ascii="Calibri" w:eastAsia="Times New Roman" w:hAnsi="Calibri" w:cs="Calibri"/>
                <w:b/>
                <w:bCs/>
                <w:sz w:val="22"/>
                <w:szCs w:val="22"/>
              </w:rPr>
              <w:t xml:space="preserve"> not resolvable</w:t>
            </w:r>
            <w:r w:rsidRPr="00862460">
              <w:rPr>
                <w:rFonts w:ascii="Calibri" w:eastAsia="Times New Roman" w:hAnsi="Calibri" w:cs="Calibri"/>
                <w:sz w:val="22"/>
                <w:szCs w:val="22"/>
              </w:rPr>
              <w:t xml:space="preserve"> and </w:t>
            </w:r>
            <w:r w:rsidRPr="00862460">
              <w:rPr>
                <w:rFonts w:ascii="Calibri" w:eastAsia="Times New Roman" w:hAnsi="Calibri" w:cs="Calibri"/>
                <w:b/>
                <w:bCs/>
                <w:sz w:val="22"/>
                <w:szCs w:val="22"/>
              </w:rPr>
              <w:t>will have an impact</w:t>
            </w:r>
            <w:r w:rsidRPr="00862460">
              <w:rPr>
                <w:rFonts w:ascii="Calibri" w:eastAsia="Times New Roman" w:hAnsi="Calibri" w:cs="Calibri"/>
                <w:sz w:val="22"/>
                <w:szCs w:val="22"/>
              </w:rPr>
              <w:t xml:space="preserve"> on the overall acceptability of the proposal. </w:t>
            </w:r>
          </w:p>
        </w:tc>
      </w:tr>
    </w:tbl>
    <w:p w14:paraId="6087FD84" w14:textId="77777777" w:rsidR="005A2AD1" w:rsidRDefault="005A2AD1" w:rsidP="005A2AD1">
      <w:pPr>
        <w:pStyle w:val="Body"/>
      </w:pPr>
    </w:p>
    <w:p w14:paraId="2C9ACFF0" w14:textId="62A6959B" w:rsidR="006D5F37" w:rsidRDefault="006D5F37" w:rsidP="00CA68BA">
      <w:pPr>
        <w:pStyle w:val="Level1"/>
        <w:numPr>
          <w:ilvl w:val="0"/>
          <w:numId w:val="0"/>
        </w:numPr>
        <w:ind w:left="851" w:hanging="851"/>
        <w:rPr>
          <w:rStyle w:val="Level2asHeadingtext"/>
          <w:highlight w:val="yellow"/>
        </w:rPr>
      </w:pPr>
    </w:p>
    <w:p w14:paraId="661726CC" w14:textId="77777777" w:rsidR="00862460" w:rsidRDefault="00862460" w:rsidP="00862460">
      <w:pPr>
        <w:pStyle w:val="Level6"/>
        <w:numPr>
          <w:ilvl w:val="0"/>
          <w:numId w:val="0"/>
        </w:numPr>
        <w:ind w:left="4255"/>
      </w:pPr>
    </w:p>
    <w:p w14:paraId="0AC5FBA7" w14:textId="4D753359" w:rsidR="00862460" w:rsidRDefault="00862460" w:rsidP="00862460">
      <w:pPr>
        <w:pStyle w:val="Level5"/>
        <w:numPr>
          <w:ilvl w:val="0"/>
          <w:numId w:val="0"/>
        </w:numPr>
        <w:ind w:left="1276"/>
      </w:pPr>
    </w:p>
    <w:p w14:paraId="66DC5278" w14:textId="4526DF5E" w:rsidR="00862460" w:rsidRPr="00330EAF" w:rsidRDefault="00862460" w:rsidP="00750177">
      <w:pPr>
        <w:pStyle w:val="Level5"/>
        <w:numPr>
          <w:ilvl w:val="0"/>
          <w:numId w:val="0"/>
        </w:numPr>
      </w:pPr>
    </w:p>
    <w:p w14:paraId="66DF2D57" w14:textId="77777777" w:rsidR="005B1881" w:rsidRPr="005B1881" w:rsidRDefault="005B1881" w:rsidP="005B1881">
      <w:pPr>
        <w:pStyle w:val="Body"/>
      </w:pPr>
    </w:p>
    <w:p w14:paraId="1D05E4D5" w14:textId="77777777" w:rsidR="00444238" w:rsidRDefault="00444238" w:rsidP="009A547C">
      <w:pPr>
        <w:adjustRightInd/>
        <w:jc w:val="left"/>
        <w:sectPr w:rsidR="00444238" w:rsidSect="009B6EBA">
          <w:headerReference w:type="default" r:id="rId14"/>
          <w:footerReference w:type="default" r:id="rId15"/>
          <w:headerReference w:type="first" r:id="rId16"/>
          <w:footerReference w:type="first" r:id="rId17"/>
          <w:pgSz w:w="11907" w:h="16840" w:code="9"/>
          <w:pgMar w:top="1418" w:right="1134" w:bottom="1418" w:left="1134" w:header="709" w:footer="709" w:gutter="0"/>
          <w:paperSrc w:first="261" w:other="261"/>
          <w:pgNumType w:start="1"/>
          <w:cols w:space="720"/>
          <w:docGrid w:linePitch="272"/>
        </w:sectPr>
      </w:pPr>
    </w:p>
    <w:p w14:paraId="318C976D" w14:textId="0A695015" w:rsidR="00444238" w:rsidRPr="00A867BF" w:rsidRDefault="00444238" w:rsidP="00444238">
      <w:pPr>
        <w:pStyle w:val="Heading1"/>
        <w:rPr>
          <w:rFonts w:ascii="Arial" w:eastAsia="MS Mincho" w:hAnsi="Arial" w:cs="Arial"/>
          <w:color w:val="auto"/>
          <w:sz w:val="22"/>
          <w:szCs w:val="22"/>
        </w:rPr>
      </w:pPr>
      <w:r w:rsidRPr="00A867BF">
        <w:rPr>
          <w:rFonts w:ascii="Arial" w:eastAsia="MS Mincho" w:hAnsi="Arial" w:cs="Arial"/>
          <w:color w:val="auto"/>
          <w:sz w:val="22"/>
          <w:szCs w:val="22"/>
        </w:rPr>
        <w:lastRenderedPageBreak/>
        <w:t xml:space="preserve">Dynamic </w:t>
      </w:r>
      <w:r w:rsidR="00F0648E">
        <w:rPr>
          <w:rFonts w:ascii="Arial" w:eastAsia="MS Mincho" w:hAnsi="Arial" w:cs="Arial"/>
          <w:color w:val="auto"/>
          <w:sz w:val="22"/>
          <w:szCs w:val="22"/>
        </w:rPr>
        <w:t>Framework</w:t>
      </w:r>
      <w:r w:rsidRPr="00A867BF">
        <w:rPr>
          <w:rFonts w:ascii="Arial" w:eastAsia="MS Mincho" w:hAnsi="Arial" w:cs="Arial"/>
          <w:color w:val="auto"/>
          <w:sz w:val="22"/>
          <w:szCs w:val="22"/>
        </w:rPr>
        <w:t xml:space="preserve"> insurance response </w:t>
      </w:r>
      <w:r w:rsidR="00A867BF">
        <w:rPr>
          <w:rFonts w:ascii="Arial" w:eastAsia="MS Mincho" w:hAnsi="Arial" w:cs="Arial"/>
          <w:color w:val="auto"/>
          <w:sz w:val="22"/>
          <w:szCs w:val="22"/>
        </w:rPr>
        <w:t xml:space="preserve">table and evaluation criteria </w:t>
      </w:r>
    </w:p>
    <w:p w14:paraId="799A07D0" w14:textId="7AABD961" w:rsidR="00444238" w:rsidRDefault="00444238" w:rsidP="00444238">
      <w:pPr>
        <w:rPr>
          <w:sz w:val="22"/>
          <w:szCs w:val="22"/>
        </w:rPr>
      </w:pPr>
      <w:r w:rsidRPr="00A867BF">
        <w:rPr>
          <w:sz w:val="22"/>
          <w:szCs w:val="22"/>
        </w:rPr>
        <w:t>The Tenderer must evidence how the Tenderer will meet the minimum insurance requirements as set out in the Framework Agreement  Schedule 2.5 by fully completing the Insurance Requirements Table below</w:t>
      </w:r>
      <w:r w:rsidR="00F0648E">
        <w:rPr>
          <w:sz w:val="22"/>
          <w:szCs w:val="22"/>
        </w:rPr>
        <w:t xml:space="preserve"> </w:t>
      </w:r>
      <w:r w:rsidR="00F0648E" w:rsidRPr="00F0648E">
        <w:rPr>
          <w:b/>
          <w:sz w:val="22"/>
          <w:szCs w:val="22"/>
          <w:highlight w:val="yellow"/>
        </w:rPr>
        <w:t>[</w:t>
      </w:r>
      <w:r w:rsidR="00F0648E" w:rsidRPr="003E25CA">
        <w:rPr>
          <w:b/>
          <w:sz w:val="22"/>
          <w:szCs w:val="22"/>
          <w:highlight w:val="yellow"/>
        </w:rPr>
        <w:t xml:space="preserve">Drafting Note: </w:t>
      </w:r>
      <w:r w:rsidR="003E25CA" w:rsidRPr="003E25CA">
        <w:rPr>
          <w:b/>
          <w:sz w:val="22"/>
          <w:szCs w:val="22"/>
          <w:highlight w:val="yellow"/>
        </w:rPr>
        <w:t>this is required information]</w:t>
      </w:r>
      <w:r w:rsidRPr="003E25CA">
        <w:rPr>
          <w:b/>
          <w:sz w:val="22"/>
          <w:szCs w:val="22"/>
          <w:highlight w:val="yellow"/>
        </w:rPr>
        <w:t>:</w:t>
      </w:r>
    </w:p>
    <w:p w14:paraId="3F19767E" w14:textId="77777777" w:rsidR="00A867BF" w:rsidRPr="00A867BF" w:rsidRDefault="00A867BF" w:rsidP="00444238">
      <w:pPr>
        <w:rPr>
          <w:rFonts w:eastAsia="MS Minch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9"/>
        <w:gridCol w:w="2830"/>
        <w:gridCol w:w="2829"/>
      </w:tblGrid>
      <w:tr w:rsidR="00C6537A" w14:paraId="13567F18" w14:textId="4F4D481F" w:rsidTr="006168EC">
        <w:trPr>
          <w:tblHeader/>
        </w:trPr>
        <w:tc>
          <w:tcPr>
            <w:tcW w:w="28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52AA0E3" w14:textId="77777777" w:rsidR="00C6537A" w:rsidRDefault="00C6537A">
            <w:pPr>
              <w:spacing w:before="120" w:after="120"/>
              <w:rPr>
                <w:b/>
                <w:sz w:val="18"/>
                <w:szCs w:val="18"/>
                <w:lang w:eastAsia="ja-JP"/>
              </w:rPr>
            </w:pPr>
            <w:r>
              <w:rPr>
                <w:b/>
                <w:sz w:val="18"/>
                <w:szCs w:val="18"/>
                <w:lang w:eastAsia="ja-JP"/>
              </w:rPr>
              <w:t>Class of insurance</w:t>
            </w:r>
          </w:p>
        </w:tc>
        <w:tc>
          <w:tcPr>
            <w:tcW w:w="28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F6AF4B6" w14:textId="77777777" w:rsidR="00C6537A" w:rsidRDefault="00C6537A" w:rsidP="004665A0">
            <w:pPr>
              <w:spacing w:before="120" w:after="120"/>
              <w:jc w:val="center"/>
              <w:rPr>
                <w:b/>
                <w:sz w:val="18"/>
                <w:szCs w:val="18"/>
                <w:lang w:eastAsia="ja-JP"/>
              </w:rPr>
            </w:pPr>
            <w:r>
              <w:rPr>
                <w:b/>
                <w:sz w:val="18"/>
                <w:szCs w:val="18"/>
                <w:lang w:eastAsia="ja-JP"/>
              </w:rPr>
              <w:t>Insurer(s) identity (including any excess layer insurers)</w:t>
            </w:r>
          </w:p>
        </w:tc>
        <w:tc>
          <w:tcPr>
            <w:tcW w:w="28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53AD88F" w14:textId="2DBF505B" w:rsidR="00C6537A" w:rsidRDefault="00C6537A">
            <w:pPr>
              <w:spacing w:before="120" w:after="120"/>
              <w:rPr>
                <w:b/>
                <w:sz w:val="18"/>
                <w:szCs w:val="18"/>
                <w:lang w:eastAsia="ja-JP"/>
              </w:rPr>
            </w:pPr>
            <w:r>
              <w:rPr>
                <w:b/>
                <w:sz w:val="18"/>
                <w:szCs w:val="18"/>
                <w:lang w:eastAsia="ja-JP"/>
              </w:rPr>
              <w:t xml:space="preserve">Proposed maximum deductible threshold </w:t>
            </w:r>
            <w:r w:rsidR="003E25CA">
              <w:rPr>
                <w:b/>
                <w:sz w:val="18"/>
                <w:szCs w:val="18"/>
                <w:lang w:eastAsia="ja-JP"/>
              </w:rPr>
              <w:t>(</w:t>
            </w:r>
            <w:r>
              <w:rPr>
                <w:b/>
                <w:sz w:val="18"/>
                <w:szCs w:val="18"/>
                <w:lang w:eastAsia="ja-JP"/>
              </w:rPr>
              <w:t>each and every occurrence)</w:t>
            </w:r>
          </w:p>
        </w:tc>
      </w:tr>
      <w:tr w:rsidR="00C6537A" w14:paraId="0EFDDF54" w14:textId="1349600D" w:rsidTr="006168EC">
        <w:trPr>
          <w:trHeight w:val="329"/>
        </w:trPr>
        <w:tc>
          <w:tcPr>
            <w:tcW w:w="2829" w:type="dxa"/>
            <w:tcBorders>
              <w:top w:val="single" w:sz="4" w:space="0" w:color="auto"/>
              <w:left w:val="single" w:sz="4" w:space="0" w:color="auto"/>
              <w:bottom w:val="single" w:sz="4" w:space="0" w:color="auto"/>
              <w:right w:val="single" w:sz="4" w:space="0" w:color="auto"/>
            </w:tcBorders>
            <w:hideMark/>
          </w:tcPr>
          <w:p w14:paraId="785680F3" w14:textId="6230DDC6" w:rsidR="00C6537A" w:rsidRDefault="00C6537A" w:rsidP="00F0648E">
            <w:pPr>
              <w:spacing w:before="120" w:after="120"/>
              <w:rPr>
                <w:sz w:val="18"/>
                <w:szCs w:val="18"/>
                <w:lang w:eastAsia="ja-JP"/>
              </w:rPr>
            </w:pPr>
            <w:r>
              <w:rPr>
                <w:sz w:val="18"/>
                <w:szCs w:val="18"/>
                <w:lang w:eastAsia="ja-JP"/>
              </w:rPr>
              <w:t>Third Party Public</w:t>
            </w:r>
            <w:r w:rsidR="00F0648E">
              <w:rPr>
                <w:sz w:val="18"/>
                <w:szCs w:val="18"/>
                <w:lang w:eastAsia="ja-JP"/>
              </w:rPr>
              <w:t xml:space="preserve"> and Products</w:t>
            </w:r>
            <w:r>
              <w:rPr>
                <w:sz w:val="18"/>
                <w:szCs w:val="18"/>
                <w:lang w:eastAsia="ja-JP"/>
              </w:rPr>
              <w:t xml:space="preserve"> Liability Insurance </w:t>
            </w:r>
          </w:p>
        </w:tc>
        <w:tc>
          <w:tcPr>
            <w:tcW w:w="2830" w:type="dxa"/>
            <w:tcBorders>
              <w:top w:val="single" w:sz="4" w:space="0" w:color="auto"/>
              <w:left w:val="single" w:sz="4" w:space="0" w:color="auto"/>
              <w:bottom w:val="single" w:sz="4" w:space="0" w:color="auto"/>
              <w:right w:val="single" w:sz="4" w:space="0" w:color="auto"/>
            </w:tcBorders>
          </w:tcPr>
          <w:p w14:paraId="299DE430" w14:textId="77777777" w:rsidR="00C6537A" w:rsidRDefault="00C6537A">
            <w:pPr>
              <w:spacing w:before="120" w:after="120"/>
              <w:rPr>
                <w:sz w:val="18"/>
                <w:szCs w:val="18"/>
                <w:lang w:eastAsia="ja-JP"/>
              </w:rPr>
            </w:pPr>
          </w:p>
        </w:tc>
        <w:tc>
          <w:tcPr>
            <w:tcW w:w="2829" w:type="dxa"/>
            <w:tcBorders>
              <w:top w:val="single" w:sz="4" w:space="0" w:color="auto"/>
              <w:left w:val="single" w:sz="4" w:space="0" w:color="auto"/>
              <w:bottom w:val="single" w:sz="4" w:space="0" w:color="auto"/>
              <w:right w:val="single" w:sz="4" w:space="0" w:color="auto"/>
            </w:tcBorders>
          </w:tcPr>
          <w:p w14:paraId="2947CD4C" w14:textId="77777777" w:rsidR="00C6537A" w:rsidRDefault="00C6537A">
            <w:pPr>
              <w:spacing w:before="120" w:after="120"/>
              <w:rPr>
                <w:sz w:val="18"/>
                <w:szCs w:val="18"/>
                <w:lang w:eastAsia="ja-JP"/>
              </w:rPr>
            </w:pPr>
          </w:p>
        </w:tc>
      </w:tr>
      <w:tr w:rsidR="00C6537A" w14:paraId="4105D03F" w14:textId="0E13D25B" w:rsidTr="006168EC">
        <w:trPr>
          <w:trHeight w:val="736"/>
        </w:trPr>
        <w:tc>
          <w:tcPr>
            <w:tcW w:w="2829" w:type="dxa"/>
            <w:tcBorders>
              <w:top w:val="single" w:sz="4" w:space="0" w:color="auto"/>
              <w:left w:val="single" w:sz="4" w:space="0" w:color="auto"/>
              <w:bottom w:val="single" w:sz="4" w:space="0" w:color="auto"/>
              <w:right w:val="single" w:sz="4" w:space="0" w:color="auto"/>
            </w:tcBorders>
            <w:hideMark/>
          </w:tcPr>
          <w:p w14:paraId="3C6D401B" w14:textId="77777777" w:rsidR="00C6537A" w:rsidRDefault="00C6537A">
            <w:pPr>
              <w:spacing w:before="120" w:after="120"/>
              <w:rPr>
                <w:sz w:val="18"/>
                <w:szCs w:val="18"/>
                <w:lang w:eastAsia="ja-JP"/>
              </w:rPr>
            </w:pPr>
            <w:r>
              <w:rPr>
                <w:sz w:val="18"/>
                <w:szCs w:val="18"/>
                <w:lang w:eastAsia="ja-JP"/>
              </w:rPr>
              <w:t>Professional Indemnity Insurance</w:t>
            </w:r>
          </w:p>
        </w:tc>
        <w:tc>
          <w:tcPr>
            <w:tcW w:w="2830" w:type="dxa"/>
            <w:tcBorders>
              <w:top w:val="single" w:sz="4" w:space="0" w:color="auto"/>
              <w:left w:val="single" w:sz="4" w:space="0" w:color="auto"/>
              <w:bottom w:val="single" w:sz="4" w:space="0" w:color="auto"/>
              <w:right w:val="single" w:sz="4" w:space="0" w:color="auto"/>
            </w:tcBorders>
          </w:tcPr>
          <w:p w14:paraId="46411430" w14:textId="77777777" w:rsidR="00C6537A" w:rsidRDefault="00C6537A">
            <w:pPr>
              <w:spacing w:before="120" w:after="120"/>
              <w:rPr>
                <w:sz w:val="18"/>
                <w:szCs w:val="18"/>
                <w:lang w:eastAsia="ja-JP"/>
              </w:rPr>
            </w:pPr>
          </w:p>
        </w:tc>
        <w:tc>
          <w:tcPr>
            <w:tcW w:w="2829" w:type="dxa"/>
            <w:tcBorders>
              <w:top w:val="single" w:sz="4" w:space="0" w:color="auto"/>
              <w:left w:val="single" w:sz="4" w:space="0" w:color="auto"/>
              <w:bottom w:val="single" w:sz="4" w:space="0" w:color="auto"/>
              <w:right w:val="single" w:sz="4" w:space="0" w:color="auto"/>
            </w:tcBorders>
          </w:tcPr>
          <w:p w14:paraId="49B0611C" w14:textId="77777777" w:rsidR="00C6537A" w:rsidRDefault="00C6537A">
            <w:pPr>
              <w:spacing w:before="120" w:after="120"/>
              <w:rPr>
                <w:sz w:val="18"/>
                <w:szCs w:val="18"/>
                <w:lang w:eastAsia="ja-JP"/>
              </w:rPr>
            </w:pPr>
          </w:p>
        </w:tc>
      </w:tr>
      <w:tr w:rsidR="00C6537A" w14:paraId="5AEC4B7D" w14:textId="3B01FA15" w:rsidTr="006168EC">
        <w:tc>
          <w:tcPr>
            <w:tcW w:w="2829" w:type="dxa"/>
            <w:tcBorders>
              <w:top w:val="single" w:sz="4" w:space="0" w:color="auto"/>
              <w:left w:val="single" w:sz="4" w:space="0" w:color="auto"/>
              <w:bottom w:val="single" w:sz="4" w:space="0" w:color="auto"/>
              <w:right w:val="single" w:sz="4" w:space="0" w:color="auto"/>
            </w:tcBorders>
            <w:hideMark/>
          </w:tcPr>
          <w:p w14:paraId="1712D27D" w14:textId="77777777" w:rsidR="00C6537A" w:rsidRDefault="00C6537A">
            <w:pPr>
              <w:spacing w:before="120" w:after="120"/>
              <w:rPr>
                <w:sz w:val="18"/>
                <w:szCs w:val="18"/>
                <w:lang w:eastAsia="ja-JP"/>
              </w:rPr>
            </w:pPr>
            <w:r>
              <w:rPr>
                <w:sz w:val="18"/>
                <w:szCs w:val="18"/>
                <w:lang w:eastAsia="ja-JP"/>
              </w:rPr>
              <w:t>Compulsory Insurances (Employers Liability Insurance and Motor Third Party Liability Insurance)</w:t>
            </w:r>
          </w:p>
        </w:tc>
        <w:tc>
          <w:tcPr>
            <w:tcW w:w="2830" w:type="dxa"/>
            <w:tcBorders>
              <w:top w:val="single" w:sz="4" w:space="0" w:color="auto"/>
              <w:left w:val="single" w:sz="4" w:space="0" w:color="auto"/>
              <w:bottom w:val="single" w:sz="4" w:space="0" w:color="auto"/>
              <w:right w:val="single" w:sz="4" w:space="0" w:color="auto"/>
            </w:tcBorders>
          </w:tcPr>
          <w:p w14:paraId="4821B178" w14:textId="77777777" w:rsidR="00C6537A" w:rsidRDefault="00C6537A">
            <w:pPr>
              <w:spacing w:before="120" w:after="120"/>
              <w:rPr>
                <w:sz w:val="18"/>
                <w:szCs w:val="18"/>
                <w:lang w:eastAsia="ja-JP"/>
              </w:rPr>
            </w:pPr>
          </w:p>
        </w:tc>
        <w:tc>
          <w:tcPr>
            <w:tcW w:w="2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A21AF0" w14:textId="77777777" w:rsidR="00C6537A" w:rsidRDefault="00C6537A">
            <w:pPr>
              <w:spacing w:before="120" w:after="120"/>
              <w:rPr>
                <w:sz w:val="18"/>
                <w:szCs w:val="18"/>
                <w:lang w:eastAsia="ja-JP"/>
              </w:rPr>
            </w:pPr>
          </w:p>
        </w:tc>
      </w:tr>
    </w:tbl>
    <w:p w14:paraId="3618F36C" w14:textId="77777777" w:rsidR="00444238" w:rsidRDefault="00444238" w:rsidP="00444238">
      <w:pPr>
        <w:rPr>
          <w:sz w:val="22"/>
          <w:lang w:eastAsia="ja-JP"/>
        </w:rPr>
      </w:pPr>
    </w:p>
    <w:p w14:paraId="763F371F" w14:textId="77777777" w:rsidR="00444238" w:rsidRDefault="00444238" w:rsidP="00444238">
      <w:pPr>
        <w:rPr>
          <w:bCs/>
          <w:szCs w:val="24"/>
        </w:rPr>
      </w:pPr>
      <w:r>
        <w:rPr>
          <w:bCs/>
        </w:rPr>
        <w:t>Marking scheme for insurer identity</w:t>
      </w:r>
    </w:p>
    <w:p w14:paraId="723285A3" w14:textId="3DE3610C" w:rsidR="00444238" w:rsidRDefault="00444238" w:rsidP="00444238">
      <w:r>
        <w:t xml:space="preserve">The insurer or insurers proposed by the Tenderer against each class of insurance in the column headed “Insurer identity (including any excess layer insurers)” in the Insurance Response Table are considered by the Authority based on its professional judgement to be a reputable insurer(s) of sufficient standing for the class of insurance and the location of the services in question taking into consideration matters including, but not limited to, ownership, management, operating environment, reinsurance protection, lines of business, profitability and business philosophy (a “Reputable Insurer”). This will be evaluated on a </w:t>
      </w:r>
      <w:r>
        <w:rPr>
          <w:bCs/>
        </w:rPr>
        <w:t>Pass/Fail</w:t>
      </w:r>
      <w:r>
        <w:t xml:space="preserve"> basis and the insurer proposed by the Tenderer in the Insurance Response Table for each category of insurance must be a Reputable Insurer to constitute a Pass.</w:t>
      </w:r>
      <w:r w:rsidR="004665A0">
        <w:t xml:space="preserve"> </w:t>
      </w:r>
    </w:p>
    <w:p w14:paraId="35603066" w14:textId="77777777" w:rsidR="00444238" w:rsidRDefault="00444238" w:rsidP="00444238"/>
    <w:p w14:paraId="462D7718" w14:textId="77777777" w:rsidR="00444238" w:rsidRDefault="00444238" w:rsidP="00444238">
      <w:pPr>
        <w:rPr>
          <w:bCs/>
        </w:rPr>
      </w:pPr>
      <w:r>
        <w:rPr>
          <w:bCs/>
        </w:rPr>
        <w:t>Proposed maximum deductible threshold</w:t>
      </w:r>
    </w:p>
    <w:p w14:paraId="593EBCD8" w14:textId="06E8844C" w:rsidR="00444238" w:rsidRDefault="00444238" w:rsidP="00444238">
      <w:r>
        <w:t xml:space="preserve">The maximum deductible threshold proposed by the Tenderer for each and every occurrence for each class of insurance in the column headed “Proposed maximum deductible threshold” of the Insurance Response Table is considered by the Authority based on its the professional judgement to be reasonable in the insurance market prevailing at the point of the submission by the Tenderer of its response (a “Reasonable Maximum Deductible Threshold”). This will be evaluated on a </w:t>
      </w:r>
      <w:r>
        <w:rPr>
          <w:bCs/>
        </w:rPr>
        <w:t>Pass/Fail</w:t>
      </w:r>
      <w:r>
        <w:t xml:space="preserve"> basis and each proposed maximum deductible threshold must be a Reasonable Maximum Deductible Threshold to constitute a Pass.</w:t>
      </w:r>
      <w:r w:rsidR="004665A0">
        <w:t xml:space="preserve"> </w:t>
      </w:r>
    </w:p>
    <w:p w14:paraId="48E28FED" w14:textId="77777777" w:rsidR="00C6537A" w:rsidRDefault="00C6537A" w:rsidP="00444238"/>
    <w:p w14:paraId="0A8B992F" w14:textId="77777777" w:rsidR="00444238" w:rsidRDefault="00444238" w:rsidP="00444238">
      <w:pPr>
        <w:rPr>
          <w:sz w:val="22"/>
          <w:lang w:eastAsia="ja-JP"/>
        </w:rPr>
      </w:pPr>
    </w:p>
    <w:p w14:paraId="00863AFA" w14:textId="77777777" w:rsidR="00444238" w:rsidRDefault="000F2EAB">
      <w:pPr>
        <w:adjustRightInd/>
        <w:jc w:val="left"/>
        <w:sectPr w:rsidR="00444238" w:rsidSect="00444238">
          <w:pgSz w:w="16840" w:h="11907" w:orient="landscape" w:code="9"/>
          <w:pgMar w:top="1134" w:right="1418" w:bottom="1134" w:left="1418" w:header="709" w:footer="709" w:gutter="0"/>
          <w:paperSrc w:first="261" w:other="261"/>
          <w:cols w:space="720"/>
          <w:docGrid w:linePitch="272"/>
        </w:sectPr>
      </w:pPr>
      <w:r w:rsidRPr="00D231F6">
        <w:br w:type="page"/>
      </w:r>
    </w:p>
    <w:p w14:paraId="1ADB4870" w14:textId="28D14D11" w:rsidR="000F2EAB" w:rsidRPr="00D231F6" w:rsidRDefault="000F2EAB">
      <w:pPr>
        <w:adjustRightInd/>
        <w:jc w:val="left"/>
        <w:rPr>
          <w:b/>
          <w:bCs/>
          <w:caps/>
        </w:rPr>
      </w:pPr>
    </w:p>
    <w:bookmarkStart w:id="140" w:name="_Ref437497713"/>
    <w:bookmarkEnd w:id="140"/>
    <w:p w14:paraId="69769E64" w14:textId="09336E04" w:rsidR="000F2EAB" w:rsidRPr="00D231F6" w:rsidRDefault="00165DF8" w:rsidP="000F2EAB">
      <w:pPr>
        <w:pStyle w:val="Appendix"/>
      </w:pPr>
      <w:r>
        <w:fldChar w:fldCharType="begin"/>
      </w:r>
      <w:r w:rsidRPr="00165DF8">
        <w:instrText xml:space="preserve">  TC "</w:instrText>
      </w:r>
      <w:r>
        <w:fldChar w:fldCharType="begin"/>
      </w:r>
      <w:r w:rsidRPr="00165DF8">
        <w:instrText xml:space="preserve"> REF _Ref437497713 \r\* UPPER </w:instrText>
      </w:r>
      <w:r>
        <w:fldChar w:fldCharType="separate"/>
      </w:r>
      <w:bookmarkStart w:id="141" w:name="_Toc42697286"/>
      <w:r w:rsidR="006D7AE5">
        <w:instrText>APPENDIX 4</w:instrText>
      </w:r>
      <w:r>
        <w:fldChar w:fldCharType="end"/>
      </w:r>
      <w:r>
        <w:instrText xml:space="preserve"> - FEE PROPOSAL</w:instrText>
      </w:r>
      <w:bookmarkEnd w:id="141"/>
      <w:r w:rsidRPr="00165DF8">
        <w:instrText xml:space="preserve">" \l4 </w:instrText>
      </w:r>
      <w:r>
        <w:fldChar w:fldCharType="end"/>
      </w:r>
    </w:p>
    <w:p w14:paraId="06A75AE4" w14:textId="77777777" w:rsidR="000F2EAB" w:rsidRDefault="000F2EAB" w:rsidP="000F2EAB">
      <w:pPr>
        <w:pStyle w:val="SubHeading"/>
      </w:pPr>
      <w:r w:rsidRPr="00D231F6">
        <w:t>FEE PROPOSAL</w:t>
      </w:r>
    </w:p>
    <w:p w14:paraId="0368D2B9" w14:textId="77777777" w:rsidR="00DA6F68" w:rsidRDefault="00DA6F68" w:rsidP="00DA6F68">
      <w:pPr>
        <w:pStyle w:val="Body"/>
      </w:pPr>
    </w:p>
    <w:p w14:paraId="6B1EDE6D" w14:textId="7F53F708" w:rsidR="00C00F33" w:rsidRDefault="00C00F33" w:rsidP="00C00F33">
      <w:pPr>
        <w:pStyle w:val="Level1"/>
        <w:numPr>
          <w:ilvl w:val="0"/>
          <w:numId w:val="0"/>
        </w:numPr>
        <w:ind w:left="851" w:hanging="851"/>
        <w:rPr>
          <w:rStyle w:val="Level2asHeadingtext"/>
          <w:highlight w:val="yellow"/>
        </w:rPr>
      </w:pPr>
      <w:r>
        <w:rPr>
          <w:rStyle w:val="Level2asHeadingtext"/>
          <w:highlight w:val="yellow"/>
        </w:rPr>
        <w:t>PART A – FINANCIAL RESPONSE</w:t>
      </w:r>
    </w:p>
    <w:p w14:paraId="1A47FC67" w14:textId="77777777" w:rsidR="00C00F33" w:rsidRDefault="00C00F33" w:rsidP="00C00F33">
      <w:pPr>
        <w:pStyle w:val="Level1"/>
        <w:numPr>
          <w:ilvl w:val="0"/>
          <w:numId w:val="0"/>
        </w:numPr>
        <w:ind w:left="851" w:hanging="851"/>
        <w:rPr>
          <w:rStyle w:val="Level2asHeadingtext"/>
          <w:highlight w:val="yellow"/>
        </w:rPr>
      </w:pPr>
      <w:r>
        <w:rPr>
          <w:rStyle w:val="Level2asHeadingtext"/>
          <w:highlight w:val="yellow"/>
        </w:rPr>
        <w:t>[Drafting note: Insert Financial Response Template]</w:t>
      </w:r>
    </w:p>
    <w:p w14:paraId="56AAB82F" w14:textId="77777777" w:rsidR="00C00F33" w:rsidRDefault="00C00F33" w:rsidP="00C00F33">
      <w:pPr>
        <w:pStyle w:val="Level1"/>
        <w:numPr>
          <w:ilvl w:val="0"/>
          <w:numId w:val="0"/>
        </w:numPr>
        <w:ind w:left="851" w:hanging="851"/>
        <w:rPr>
          <w:rStyle w:val="Level2asHeadingtext"/>
          <w:highlight w:val="yellow"/>
        </w:rPr>
      </w:pPr>
    </w:p>
    <w:p w14:paraId="37E1A17D" w14:textId="06FFD8F2" w:rsidR="00DA6F68" w:rsidRPr="007122BD" w:rsidRDefault="007122BD" w:rsidP="00DA6F68">
      <w:pPr>
        <w:pStyle w:val="Body"/>
        <w:rPr>
          <w:b/>
        </w:rPr>
      </w:pPr>
      <w:r w:rsidRPr="007122BD">
        <w:rPr>
          <w:b/>
        </w:rPr>
        <w:t>PART B – FINANCIAL RESPONSE GUIDANCE</w:t>
      </w:r>
    </w:p>
    <w:p w14:paraId="01127004" w14:textId="6CAB9047" w:rsidR="007122BD" w:rsidRDefault="007122BD" w:rsidP="007122BD">
      <w:pPr>
        <w:pStyle w:val="Level1"/>
        <w:numPr>
          <w:ilvl w:val="0"/>
          <w:numId w:val="0"/>
        </w:numPr>
        <w:ind w:left="851" w:hanging="851"/>
        <w:rPr>
          <w:rStyle w:val="Level2asHeadingtext"/>
          <w:highlight w:val="yellow"/>
        </w:rPr>
      </w:pPr>
      <w:r>
        <w:rPr>
          <w:rStyle w:val="Level2asHeadingtext"/>
          <w:highlight w:val="yellow"/>
        </w:rPr>
        <w:t>[Drafting note: Insert guidance]</w:t>
      </w:r>
    </w:p>
    <w:p w14:paraId="5D569A45" w14:textId="516456B5" w:rsidR="000F2EAB" w:rsidRPr="00D231F6" w:rsidRDefault="000F2EAB">
      <w:pPr>
        <w:adjustRightInd/>
        <w:jc w:val="left"/>
      </w:pPr>
      <w:r w:rsidRPr="00D231F6">
        <w:br w:type="page"/>
      </w:r>
    </w:p>
    <w:p w14:paraId="5E6920CE" w14:textId="77777777" w:rsidR="000F2EAB" w:rsidRPr="00D231F6" w:rsidRDefault="000F2EAB" w:rsidP="0023161F">
      <w:pPr>
        <w:pStyle w:val="Appendix"/>
        <w:numPr>
          <w:ilvl w:val="0"/>
          <w:numId w:val="0"/>
        </w:numPr>
      </w:pPr>
      <w:bookmarkStart w:id="142" w:name="_Ref437497744"/>
      <w:bookmarkEnd w:id="142"/>
    </w:p>
    <w:p w14:paraId="021C7394" w14:textId="29BA3883" w:rsidR="009801E6" w:rsidRDefault="00165DF8" w:rsidP="00695B0F">
      <w:pPr>
        <w:pStyle w:val="Appendix"/>
      </w:pPr>
      <w:r>
        <w:fldChar w:fldCharType="begin"/>
      </w:r>
      <w:r w:rsidRPr="00165DF8">
        <w:instrText xml:space="preserve">  TC "</w:instrText>
      </w:r>
      <w:r>
        <w:fldChar w:fldCharType="begin"/>
      </w:r>
      <w:r w:rsidRPr="00165DF8">
        <w:instrText xml:space="preserve"> REF _Ref439717701 \r\* UPPER </w:instrText>
      </w:r>
      <w:r>
        <w:fldChar w:fldCharType="separate"/>
      </w:r>
      <w:bookmarkStart w:id="143" w:name="_Toc42697287"/>
      <w:r w:rsidR="006D7AE5">
        <w:instrText>APPENDIX 5</w:instrText>
      </w:r>
      <w:r>
        <w:fldChar w:fldCharType="end"/>
      </w:r>
      <w:r>
        <w:instrText xml:space="preserve"> - CONFLICT OF INTEREST DECLARATION</w:instrText>
      </w:r>
      <w:bookmarkEnd w:id="143"/>
      <w:r w:rsidRPr="00165DF8">
        <w:instrText xml:space="preserve">" \l4 </w:instrText>
      </w:r>
      <w:r>
        <w:fldChar w:fldCharType="end"/>
      </w:r>
      <w:bookmarkStart w:id="144" w:name="_Ref437538311"/>
      <w:bookmarkStart w:id="145" w:name="_Ref437538082"/>
      <w:bookmarkStart w:id="146" w:name="_Ref437538538"/>
      <w:bookmarkStart w:id="147" w:name="_Ref439717701"/>
      <w:bookmarkStart w:id="148" w:name="_Ref437538506"/>
      <w:bookmarkStart w:id="149" w:name="_Ref437538343"/>
      <w:bookmarkStart w:id="150" w:name="_Ref437537901"/>
      <w:bookmarkStart w:id="151" w:name="_Ref437538750"/>
      <w:r w:rsidR="00695B0F">
        <w:t xml:space="preserve"> </w:t>
      </w:r>
      <w:bookmarkStart w:id="152" w:name="_Ref437538214"/>
      <w:bookmarkEnd w:id="144"/>
      <w:r w:rsidR="00695B0F">
        <w:t xml:space="preserve"> </w:t>
      </w:r>
      <w:bookmarkEnd w:id="145"/>
      <w:bookmarkEnd w:id="146"/>
      <w:bookmarkEnd w:id="147"/>
    </w:p>
    <w:p w14:paraId="188AA818" w14:textId="77777777" w:rsidR="00695B0F" w:rsidRPr="009801E6" w:rsidRDefault="00695B0F" w:rsidP="009801E6">
      <w:pPr>
        <w:pStyle w:val="SubHeading"/>
      </w:pPr>
      <w:r w:rsidRPr="009801E6">
        <w:t>CONFLICT OF INTEREST DECLARATION</w:t>
      </w:r>
      <w:bookmarkEnd w:id="152"/>
      <w:bookmarkEnd w:id="148"/>
      <w:bookmarkEnd w:id="149"/>
      <w:bookmarkEnd w:id="150"/>
      <w:bookmarkEnd w:id="151"/>
    </w:p>
    <w:p w14:paraId="1A5F6475" w14:textId="77777777" w:rsidR="00D2571F" w:rsidRDefault="00D2571F" w:rsidP="00D2571F">
      <w:pPr>
        <w:pStyle w:val="SubHeading"/>
      </w:pPr>
    </w:p>
    <w:p w14:paraId="589DAEC6" w14:textId="4296E79E" w:rsidR="00D2571F" w:rsidRDefault="00D2571F" w:rsidP="00D2571F">
      <w:pPr>
        <w:pStyle w:val="Body"/>
      </w:pPr>
      <w:r>
        <w:t xml:space="preserve">To be completed by an authorised signatory, in his/her own name, on behalf of the </w:t>
      </w:r>
      <w:r w:rsidR="00DA5B06">
        <w:t>Provider</w:t>
      </w:r>
      <w:r>
        <w:t>:</w:t>
      </w:r>
    </w:p>
    <w:tbl>
      <w:tblPr>
        <w:tblStyle w:val="PinsentsTableGrid"/>
        <w:tblW w:w="0" w:type="auto"/>
        <w:tblInd w:w="118" w:type="dxa"/>
        <w:tblLook w:val="0000" w:firstRow="0" w:lastRow="0" w:firstColumn="0" w:lastColumn="0" w:noHBand="0" w:noVBand="0"/>
      </w:tblPr>
      <w:tblGrid>
        <w:gridCol w:w="3573"/>
        <w:gridCol w:w="4639"/>
      </w:tblGrid>
      <w:tr w:rsidR="00D2571F" w14:paraId="6522E6D6" w14:textId="77777777" w:rsidTr="005D43FA">
        <w:tc>
          <w:tcPr>
            <w:tcW w:w="0" w:type="auto"/>
          </w:tcPr>
          <w:p w14:paraId="3446CCB4" w14:textId="6DCA3B90" w:rsidR="00D2571F" w:rsidRDefault="00DA5B06" w:rsidP="005D43FA">
            <w:pPr>
              <w:pStyle w:val="Body"/>
            </w:pPr>
            <w:r>
              <w:rPr>
                <w:b/>
              </w:rPr>
              <w:t>Provider</w:t>
            </w:r>
            <w:r w:rsidR="00D2571F">
              <w:rPr>
                <w:rStyle w:val="Strong"/>
              </w:rPr>
              <w:t xml:space="preserve"> Name:</w:t>
            </w:r>
          </w:p>
        </w:tc>
        <w:tc>
          <w:tcPr>
            <w:tcW w:w="4639" w:type="dxa"/>
          </w:tcPr>
          <w:p w14:paraId="1B27E903" w14:textId="77777777" w:rsidR="00D2571F" w:rsidRDefault="00D2571F" w:rsidP="005D43FA">
            <w:pPr>
              <w:pStyle w:val="Body"/>
            </w:pPr>
          </w:p>
        </w:tc>
      </w:tr>
      <w:tr w:rsidR="00D2571F" w14:paraId="43E9873D" w14:textId="77777777" w:rsidTr="005D43FA">
        <w:tc>
          <w:tcPr>
            <w:tcW w:w="0" w:type="auto"/>
          </w:tcPr>
          <w:p w14:paraId="06FE9C47" w14:textId="77777777" w:rsidR="00D2571F" w:rsidRDefault="00D2571F" w:rsidP="005D43FA">
            <w:pPr>
              <w:pStyle w:val="Body"/>
            </w:pPr>
            <w:r>
              <w:rPr>
                <w:rStyle w:val="Strong"/>
              </w:rPr>
              <w:t>Name of authorised representative:</w:t>
            </w:r>
          </w:p>
        </w:tc>
        <w:tc>
          <w:tcPr>
            <w:tcW w:w="4639" w:type="dxa"/>
          </w:tcPr>
          <w:p w14:paraId="70BDFEEC" w14:textId="77777777" w:rsidR="00D2571F" w:rsidRDefault="00D2571F" w:rsidP="005D43FA">
            <w:pPr>
              <w:pStyle w:val="Body"/>
            </w:pPr>
          </w:p>
        </w:tc>
      </w:tr>
      <w:tr w:rsidR="00D2571F" w14:paraId="2174F1C8" w14:textId="77777777" w:rsidTr="005D43FA">
        <w:tc>
          <w:tcPr>
            <w:tcW w:w="0" w:type="auto"/>
          </w:tcPr>
          <w:p w14:paraId="70F61163" w14:textId="77777777" w:rsidR="00D2571F" w:rsidRDefault="00D2571F" w:rsidP="005D43FA">
            <w:pPr>
              <w:pStyle w:val="Body"/>
            </w:pPr>
            <w:r>
              <w:rPr>
                <w:rStyle w:val="Strong"/>
              </w:rPr>
              <w:t>Position:</w:t>
            </w:r>
          </w:p>
        </w:tc>
        <w:tc>
          <w:tcPr>
            <w:tcW w:w="4639" w:type="dxa"/>
          </w:tcPr>
          <w:p w14:paraId="2B060830" w14:textId="77777777" w:rsidR="00D2571F" w:rsidRDefault="00D2571F" w:rsidP="005D43FA">
            <w:pPr>
              <w:pStyle w:val="Body"/>
            </w:pPr>
          </w:p>
        </w:tc>
      </w:tr>
      <w:tr w:rsidR="00D2571F" w14:paraId="71142FEE" w14:textId="77777777" w:rsidTr="005D43FA">
        <w:tc>
          <w:tcPr>
            <w:tcW w:w="0" w:type="auto"/>
          </w:tcPr>
          <w:p w14:paraId="1E6C3F0E" w14:textId="77777777" w:rsidR="00D2571F" w:rsidRDefault="00D2571F" w:rsidP="005D43FA">
            <w:pPr>
              <w:pStyle w:val="Body"/>
            </w:pPr>
            <w:r>
              <w:rPr>
                <w:rStyle w:val="Strong"/>
              </w:rPr>
              <w:t>Date:</w:t>
            </w:r>
          </w:p>
        </w:tc>
        <w:tc>
          <w:tcPr>
            <w:tcW w:w="4639" w:type="dxa"/>
          </w:tcPr>
          <w:p w14:paraId="39BBB4CF" w14:textId="77777777" w:rsidR="00D2571F" w:rsidRDefault="00D2571F" w:rsidP="005D43FA">
            <w:pPr>
              <w:pStyle w:val="Body"/>
            </w:pPr>
          </w:p>
        </w:tc>
      </w:tr>
    </w:tbl>
    <w:p w14:paraId="2E7FA949" w14:textId="77777777" w:rsidR="00D2571F" w:rsidRDefault="00D2571F" w:rsidP="00D2571F">
      <w:pPr>
        <w:pStyle w:val="Body"/>
      </w:pPr>
    </w:p>
    <w:p w14:paraId="728E17AE" w14:textId="77777777" w:rsidR="00D2571F" w:rsidRDefault="00D2571F" w:rsidP="00D2571F">
      <w:pPr>
        <w:pStyle w:val="Body"/>
      </w:pPr>
      <w:r>
        <w:t>Please identify any potential conflicts of interest that could arise, and how these will be dealt with. Examples of circumstances in which potential conflicts could arise include (but are not limited to) where:</w:t>
      </w:r>
    </w:p>
    <w:p w14:paraId="502F56F6" w14:textId="77777777" w:rsidR="00D2571F" w:rsidRDefault="00D2571F" w:rsidP="00D2571F">
      <w:pPr>
        <w:pStyle w:val="Body"/>
      </w:pPr>
      <w:r>
        <w:t xml:space="preserve">(a) any partner or subcontractor or any person employed or engaged by or otherwise connected with that organisation has carried or is carrying out any work for </w:t>
      </w:r>
      <w:r>
        <w:fldChar w:fldCharType="begin"/>
      </w:r>
      <w:r>
        <w:fldChar w:fldCharType="end"/>
      </w:r>
      <w:r>
        <w:t>the Authority in the last six months; or</w:t>
      </w:r>
    </w:p>
    <w:p w14:paraId="4327F2CF" w14:textId="1BCC757C" w:rsidR="00D2571F" w:rsidRDefault="00D2571F" w:rsidP="00D2571F">
      <w:pPr>
        <w:pStyle w:val="Body"/>
      </w:pPr>
      <w:r>
        <w:t xml:space="preserve">(b) a partner or subcontractor is providing services for more than one </w:t>
      </w:r>
      <w:r w:rsidR="00DA5B06">
        <w:t>Provider</w:t>
      </w:r>
      <w:r>
        <w:t xml:space="preserve"> in respect of this project or procurement process</w:t>
      </w:r>
    </w:p>
    <w:p w14:paraId="6E9AC810" w14:textId="77777777" w:rsidR="00D2571F" w:rsidRDefault="00D2571F" w:rsidP="00D2571F">
      <w:pPr>
        <w:pStyle w:val="Body"/>
      </w:pPr>
      <w:r>
        <w:t>If no potential conflict of interest is identified, please state this in the response.</w:t>
      </w:r>
    </w:p>
    <w:tbl>
      <w:tblPr>
        <w:tblStyle w:val="PinsentsTableGrid"/>
        <w:tblW w:w="0" w:type="auto"/>
        <w:tblInd w:w="118" w:type="dxa"/>
        <w:tblLook w:val="0000" w:firstRow="0" w:lastRow="0" w:firstColumn="0" w:lastColumn="0" w:noHBand="0" w:noVBand="0"/>
      </w:tblPr>
      <w:tblGrid>
        <w:gridCol w:w="8212"/>
      </w:tblGrid>
      <w:tr w:rsidR="00D2571F" w14:paraId="0AAB673A" w14:textId="77777777" w:rsidTr="005D43FA">
        <w:tc>
          <w:tcPr>
            <w:tcW w:w="8212" w:type="dxa"/>
          </w:tcPr>
          <w:p w14:paraId="42F9F7FC" w14:textId="77777777" w:rsidR="00D2571F" w:rsidRDefault="00D2571F" w:rsidP="005D43FA">
            <w:pPr>
              <w:pStyle w:val="Body"/>
            </w:pPr>
            <w:r>
              <w:rPr>
                <w:rStyle w:val="Strong"/>
              </w:rPr>
              <w:t>Response</w:t>
            </w:r>
          </w:p>
        </w:tc>
      </w:tr>
      <w:tr w:rsidR="00D2571F" w14:paraId="61F0EFF4" w14:textId="77777777" w:rsidTr="005D43FA">
        <w:tc>
          <w:tcPr>
            <w:tcW w:w="8212" w:type="dxa"/>
          </w:tcPr>
          <w:p w14:paraId="6CA3C607" w14:textId="77777777" w:rsidR="00D2571F" w:rsidRDefault="00D2571F" w:rsidP="005D43FA">
            <w:pPr>
              <w:pStyle w:val="Body"/>
            </w:pPr>
          </w:p>
        </w:tc>
      </w:tr>
    </w:tbl>
    <w:p w14:paraId="2ACC150B" w14:textId="77777777" w:rsidR="00393E74" w:rsidRDefault="00393E74" w:rsidP="00393E74">
      <w:pPr>
        <w:pStyle w:val="Body"/>
      </w:pPr>
    </w:p>
    <w:p w14:paraId="739B6058" w14:textId="3C8F8BCA" w:rsidR="00393E74" w:rsidRDefault="00393E74" w:rsidP="00393E74">
      <w:pPr>
        <w:pStyle w:val="Body"/>
      </w:pPr>
      <w:r>
        <w:t>In the event that a Key Sub-contractor is connected to more than one Call-Off ITT response</w:t>
      </w:r>
      <w:r w:rsidR="004665A0">
        <w:t xml:space="preserve"> </w:t>
      </w:r>
      <w:r>
        <w:t>in the same Call-Off Competition</w:t>
      </w:r>
      <w:r w:rsidR="00347313">
        <w:t xml:space="preserve"> (as described at Paragraphs </w:t>
      </w:r>
      <w:r w:rsidR="00347313">
        <w:fldChar w:fldCharType="begin"/>
      </w:r>
      <w:r w:rsidR="00347313">
        <w:instrText xml:space="preserve"> REF _Ref40807871 \r \h </w:instrText>
      </w:r>
      <w:r w:rsidR="00347313">
        <w:fldChar w:fldCharType="separate"/>
      </w:r>
      <w:r w:rsidR="006D7AE5">
        <w:t>7.3</w:t>
      </w:r>
      <w:r w:rsidR="00347313">
        <w:fldChar w:fldCharType="end"/>
      </w:r>
      <w:r w:rsidR="00347313">
        <w:t xml:space="preserve"> to </w:t>
      </w:r>
      <w:r w:rsidR="00347313">
        <w:fldChar w:fldCharType="begin"/>
      </w:r>
      <w:r w:rsidR="00347313">
        <w:instrText xml:space="preserve"> REF _Ref41933983 \r \h </w:instrText>
      </w:r>
      <w:r w:rsidR="00347313">
        <w:fldChar w:fldCharType="separate"/>
      </w:r>
      <w:r w:rsidR="006D7AE5">
        <w:t>7.7</w:t>
      </w:r>
      <w:r w:rsidR="00347313">
        <w:fldChar w:fldCharType="end"/>
      </w:r>
      <w:r w:rsidR="00347313">
        <w:t xml:space="preserve"> of this ITT)</w:t>
      </w:r>
      <w:r>
        <w:t>, please also set out the relevant information below:</w:t>
      </w:r>
    </w:p>
    <w:tbl>
      <w:tblPr>
        <w:tblStyle w:val="PinsentsTableGrid"/>
        <w:tblW w:w="0" w:type="auto"/>
        <w:tblInd w:w="118" w:type="dxa"/>
        <w:tblLook w:val="0000" w:firstRow="0" w:lastRow="0" w:firstColumn="0" w:lastColumn="0" w:noHBand="0" w:noVBand="0"/>
      </w:tblPr>
      <w:tblGrid>
        <w:gridCol w:w="4527"/>
        <w:gridCol w:w="5210"/>
      </w:tblGrid>
      <w:tr w:rsidR="00393E74" w14:paraId="7BD1F65B" w14:textId="77777777" w:rsidTr="00393E74">
        <w:tc>
          <w:tcPr>
            <w:tcW w:w="0" w:type="auto"/>
          </w:tcPr>
          <w:p w14:paraId="68568505" w14:textId="55132BB0" w:rsidR="00393E74" w:rsidRDefault="00393E74" w:rsidP="00B25B55">
            <w:pPr>
              <w:pStyle w:val="Body"/>
            </w:pPr>
            <w:r>
              <w:rPr>
                <w:b/>
              </w:rPr>
              <w:t>Key Subcontractor</w:t>
            </w:r>
            <w:r>
              <w:rPr>
                <w:rStyle w:val="Strong"/>
              </w:rPr>
              <w:t xml:space="preserve"> Name:</w:t>
            </w:r>
          </w:p>
        </w:tc>
        <w:tc>
          <w:tcPr>
            <w:tcW w:w="5210" w:type="dxa"/>
          </w:tcPr>
          <w:p w14:paraId="5A39F0A6" w14:textId="77777777" w:rsidR="00393E74" w:rsidRDefault="00393E74" w:rsidP="00B25B55">
            <w:pPr>
              <w:pStyle w:val="Body"/>
            </w:pPr>
          </w:p>
        </w:tc>
      </w:tr>
      <w:tr w:rsidR="00393E74" w14:paraId="124CA73F" w14:textId="77777777" w:rsidTr="00393E74">
        <w:tc>
          <w:tcPr>
            <w:tcW w:w="0" w:type="auto"/>
          </w:tcPr>
          <w:p w14:paraId="40E4EA09" w14:textId="3DCD7E2D" w:rsidR="00393E74" w:rsidRDefault="00393E74" w:rsidP="00B25B55">
            <w:pPr>
              <w:pStyle w:val="Body"/>
            </w:pPr>
            <w:r>
              <w:rPr>
                <w:rStyle w:val="Strong"/>
              </w:rPr>
              <w:t xml:space="preserve">Name of Lead Bidder in connected Call-Off Competition </w:t>
            </w:r>
          </w:p>
        </w:tc>
        <w:tc>
          <w:tcPr>
            <w:tcW w:w="5210" w:type="dxa"/>
          </w:tcPr>
          <w:p w14:paraId="28F3212E" w14:textId="77777777" w:rsidR="00393E74" w:rsidRDefault="00393E74" w:rsidP="00B25B55">
            <w:pPr>
              <w:pStyle w:val="Body"/>
            </w:pPr>
          </w:p>
        </w:tc>
      </w:tr>
      <w:tr w:rsidR="00393E74" w14:paraId="57A12667" w14:textId="77777777" w:rsidTr="00393E74">
        <w:tc>
          <w:tcPr>
            <w:tcW w:w="0" w:type="auto"/>
          </w:tcPr>
          <w:p w14:paraId="21B8E4F2" w14:textId="2128088A" w:rsidR="00393E74" w:rsidRDefault="00393E74" w:rsidP="00582AB3">
            <w:pPr>
              <w:pStyle w:val="Body"/>
            </w:pPr>
            <w:r>
              <w:rPr>
                <w:rStyle w:val="Strong"/>
              </w:rPr>
              <w:t>[Name of Lead Bidder in connected Call-Off Competition</w:t>
            </w:r>
          </w:p>
        </w:tc>
        <w:tc>
          <w:tcPr>
            <w:tcW w:w="5210" w:type="dxa"/>
          </w:tcPr>
          <w:p w14:paraId="4D33CF36" w14:textId="77777777" w:rsidR="00393E74" w:rsidRDefault="00393E74" w:rsidP="00B25B55">
            <w:pPr>
              <w:pStyle w:val="Body"/>
            </w:pPr>
          </w:p>
        </w:tc>
      </w:tr>
      <w:tr w:rsidR="00393E74" w14:paraId="4EFD7F28" w14:textId="77777777" w:rsidTr="00393E74">
        <w:tc>
          <w:tcPr>
            <w:tcW w:w="0" w:type="auto"/>
          </w:tcPr>
          <w:p w14:paraId="5C4B2AD0" w14:textId="22EB48BF" w:rsidR="00393E74" w:rsidRDefault="00393E74" w:rsidP="00B25B55">
            <w:pPr>
              <w:pStyle w:val="Body"/>
            </w:pPr>
            <w:r>
              <w:rPr>
                <w:rStyle w:val="Strong"/>
              </w:rPr>
              <w:t>Name of Lead Bidder in connected Call-Off Competition]</w:t>
            </w:r>
          </w:p>
        </w:tc>
        <w:tc>
          <w:tcPr>
            <w:tcW w:w="5210" w:type="dxa"/>
          </w:tcPr>
          <w:p w14:paraId="4AB64EE5" w14:textId="77777777" w:rsidR="00393E74" w:rsidRDefault="00393E74" w:rsidP="00B25B55">
            <w:pPr>
              <w:pStyle w:val="Body"/>
            </w:pPr>
          </w:p>
        </w:tc>
      </w:tr>
    </w:tbl>
    <w:p w14:paraId="56CE2CB9" w14:textId="77777777" w:rsidR="00393E74" w:rsidRDefault="00393E74" w:rsidP="00393E74">
      <w:pPr>
        <w:pStyle w:val="Body"/>
      </w:pPr>
    </w:p>
    <w:p w14:paraId="6D10BF74" w14:textId="0F48B6D9" w:rsidR="00D2571F" w:rsidRPr="00D2571F" w:rsidRDefault="00D2571F" w:rsidP="00D2571F">
      <w:pPr>
        <w:pStyle w:val="Body"/>
      </w:pPr>
    </w:p>
    <w:p w14:paraId="368DA62C" w14:textId="77777777" w:rsidR="00826C8A" w:rsidRDefault="00826C8A" w:rsidP="00826C8A">
      <w:pPr>
        <w:pStyle w:val="Appendix"/>
        <w:numPr>
          <w:ilvl w:val="0"/>
          <w:numId w:val="0"/>
        </w:numPr>
      </w:pPr>
      <w:bookmarkStart w:id="153" w:name="_Ref437538537"/>
      <w:bookmarkEnd w:id="153"/>
      <w:r>
        <w:br w:type="page"/>
      </w:r>
    </w:p>
    <w:p w14:paraId="732CC883" w14:textId="77777777" w:rsidR="00695B0F" w:rsidRDefault="00695B0F" w:rsidP="00826C8A">
      <w:pPr>
        <w:pStyle w:val="Appendix"/>
        <w:numPr>
          <w:ilvl w:val="0"/>
          <w:numId w:val="0"/>
        </w:numPr>
      </w:pPr>
    </w:p>
    <w:p w14:paraId="18154453" w14:textId="77777777" w:rsidR="000F2EAB" w:rsidRPr="00577D23" w:rsidRDefault="000F2EAB" w:rsidP="00695B0F">
      <w:pPr>
        <w:pStyle w:val="SubHeading"/>
        <w:adjustRightInd/>
        <w:jc w:val="left"/>
      </w:pPr>
    </w:p>
    <w:bookmarkStart w:id="154" w:name="_Ref437497775"/>
    <w:bookmarkEnd w:id="154"/>
    <w:p w14:paraId="02EAEC03" w14:textId="11768C84" w:rsidR="000F2EAB" w:rsidRPr="00D231F6" w:rsidRDefault="00165DF8" w:rsidP="000F2EAB">
      <w:pPr>
        <w:pStyle w:val="Appendix"/>
      </w:pPr>
      <w:r>
        <w:fldChar w:fldCharType="begin"/>
      </w:r>
      <w:r w:rsidRPr="00165DF8">
        <w:instrText xml:space="preserve">  TC "</w:instrText>
      </w:r>
      <w:r>
        <w:fldChar w:fldCharType="begin"/>
      </w:r>
      <w:r w:rsidRPr="00165DF8">
        <w:instrText xml:space="preserve"> REF _Ref437497775 \r\* UPPER </w:instrText>
      </w:r>
      <w:r>
        <w:fldChar w:fldCharType="separate"/>
      </w:r>
      <w:bookmarkStart w:id="155" w:name="_Toc42697288"/>
      <w:r w:rsidR="006D7AE5">
        <w:instrText>APPENDIX 6</w:instrText>
      </w:r>
      <w:r>
        <w:fldChar w:fldCharType="end"/>
      </w:r>
      <w:r>
        <w:instrText xml:space="preserve"> - FORM OF TENDER</w:instrText>
      </w:r>
      <w:bookmarkEnd w:id="155"/>
      <w:r w:rsidRPr="00165DF8">
        <w:instrText xml:space="preserve">" \l4 </w:instrText>
      </w:r>
      <w:r>
        <w:fldChar w:fldCharType="end"/>
      </w:r>
    </w:p>
    <w:p w14:paraId="096CE9FD" w14:textId="77777777" w:rsidR="000F2EAB" w:rsidRDefault="006601A1" w:rsidP="000F2EAB">
      <w:pPr>
        <w:pStyle w:val="SubHeading"/>
      </w:pPr>
      <w:r>
        <w:t>FORM OF TENDER</w:t>
      </w:r>
    </w:p>
    <w:p w14:paraId="28CA642D" w14:textId="47DDC3E6" w:rsidR="00FE4488" w:rsidRDefault="00AE7C9D" w:rsidP="00FE4488">
      <w:r>
        <w:t>Provider</w:t>
      </w:r>
    </w:p>
    <w:tbl>
      <w:tblPr>
        <w:tblStyle w:val="TableGrid"/>
        <w:tblW w:w="0" w:type="auto"/>
        <w:tblLook w:val="04A0" w:firstRow="1" w:lastRow="0" w:firstColumn="1" w:lastColumn="0" w:noHBand="0" w:noVBand="1"/>
      </w:tblPr>
      <w:tblGrid>
        <w:gridCol w:w="4508"/>
        <w:gridCol w:w="4508"/>
      </w:tblGrid>
      <w:tr w:rsidR="00FE4488" w14:paraId="1351DD44" w14:textId="77777777" w:rsidTr="00A24388">
        <w:trPr>
          <w:trHeight w:val="797"/>
        </w:trPr>
        <w:tc>
          <w:tcPr>
            <w:tcW w:w="4508" w:type="dxa"/>
          </w:tcPr>
          <w:p w14:paraId="7771D315" w14:textId="77777777" w:rsidR="00FE4488" w:rsidRPr="00E93BD4" w:rsidRDefault="00FE4488" w:rsidP="00A24388">
            <w:pPr>
              <w:rPr>
                <w:b/>
              </w:rPr>
            </w:pPr>
            <w:r w:rsidRPr="00E93BD4">
              <w:rPr>
                <w:b/>
              </w:rPr>
              <w:t>Bidding Organisation:</w:t>
            </w:r>
          </w:p>
        </w:tc>
        <w:tc>
          <w:tcPr>
            <w:tcW w:w="4508" w:type="dxa"/>
          </w:tcPr>
          <w:p w14:paraId="64BBCA6E" w14:textId="266D3D84" w:rsidR="00FE4488" w:rsidRPr="00E93BD4" w:rsidRDefault="00FE4488" w:rsidP="00A24388">
            <w:r w:rsidRPr="00E93BD4">
              <w:t>(</w:t>
            </w:r>
            <w:r w:rsidR="00AE7C9D">
              <w:t>Provider</w:t>
            </w:r>
            <w:r w:rsidRPr="00E93BD4">
              <w:t xml:space="preserve"> to insert)</w:t>
            </w:r>
          </w:p>
        </w:tc>
      </w:tr>
      <w:tr w:rsidR="00FE4488" w14:paraId="250E5703" w14:textId="77777777" w:rsidTr="00A24388">
        <w:trPr>
          <w:trHeight w:val="810"/>
        </w:trPr>
        <w:tc>
          <w:tcPr>
            <w:tcW w:w="4508" w:type="dxa"/>
          </w:tcPr>
          <w:p w14:paraId="46A2447B" w14:textId="77777777" w:rsidR="00FE4488" w:rsidRPr="00E93BD4" w:rsidRDefault="00FE4488" w:rsidP="00A24388">
            <w:pPr>
              <w:rPr>
                <w:b/>
              </w:rPr>
            </w:pPr>
            <w:r w:rsidRPr="00E93BD4">
              <w:rPr>
                <w:b/>
              </w:rPr>
              <w:t>Call-Off Contract:</w:t>
            </w:r>
          </w:p>
        </w:tc>
        <w:tc>
          <w:tcPr>
            <w:tcW w:w="4508" w:type="dxa"/>
          </w:tcPr>
          <w:p w14:paraId="51437C8F" w14:textId="731FD6DE" w:rsidR="00FE4488" w:rsidRPr="00E93BD4" w:rsidRDefault="00FE4488" w:rsidP="00C403DE">
            <w:r w:rsidRPr="00911065">
              <w:t xml:space="preserve"> </w:t>
            </w:r>
          </w:p>
        </w:tc>
      </w:tr>
    </w:tbl>
    <w:p w14:paraId="322CD87F" w14:textId="77777777" w:rsidR="00FE4488" w:rsidRDefault="00FE4488" w:rsidP="00FE4488"/>
    <w:p w14:paraId="7D7A41C5" w14:textId="1F04FC95" w:rsidR="00FE4488" w:rsidRPr="00E93BD4" w:rsidRDefault="00FE4488" w:rsidP="00FE4488">
      <w:r w:rsidRPr="00E93BD4">
        <w:t xml:space="preserve">Details of the </w:t>
      </w:r>
      <w:r w:rsidR="00AE7C9D">
        <w:t>Provider</w:t>
      </w:r>
      <w:r w:rsidRPr="00E93BD4">
        <w:t>:</w:t>
      </w:r>
    </w:p>
    <w:tbl>
      <w:tblPr>
        <w:tblStyle w:val="TableGrid"/>
        <w:tblW w:w="0" w:type="auto"/>
        <w:tblLook w:val="04A0" w:firstRow="1" w:lastRow="0" w:firstColumn="1" w:lastColumn="0" w:noHBand="0" w:noVBand="1"/>
      </w:tblPr>
      <w:tblGrid>
        <w:gridCol w:w="4508"/>
        <w:gridCol w:w="4508"/>
      </w:tblGrid>
      <w:tr w:rsidR="00FE4488" w:rsidRPr="00E93BD4" w14:paraId="1001298F" w14:textId="77777777" w:rsidTr="00A24388">
        <w:tc>
          <w:tcPr>
            <w:tcW w:w="9016" w:type="dxa"/>
            <w:gridSpan w:val="2"/>
          </w:tcPr>
          <w:p w14:paraId="563A2743" w14:textId="77777777" w:rsidR="00FE4488" w:rsidRPr="00E93BD4" w:rsidRDefault="00FE4488" w:rsidP="00A24388">
            <w:pPr>
              <w:rPr>
                <w:b/>
              </w:rPr>
            </w:pPr>
            <w:r w:rsidRPr="00E93BD4">
              <w:rPr>
                <w:b/>
              </w:rPr>
              <w:t>Organisation Details</w:t>
            </w:r>
          </w:p>
        </w:tc>
      </w:tr>
      <w:tr w:rsidR="00FE4488" w:rsidRPr="00E93BD4" w14:paraId="2DE6BEE0" w14:textId="77777777" w:rsidTr="00A24388">
        <w:trPr>
          <w:trHeight w:val="507"/>
        </w:trPr>
        <w:tc>
          <w:tcPr>
            <w:tcW w:w="4508" w:type="dxa"/>
          </w:tcPr>
          <w:p w14:paraId="17A3FBDD" w14:textId="24D79752" w:rsidR="00FE4488" w:rsidRPr="00E93BD4" w:rsidRDefault="00FE4488" w:rsidP="00FE4488">
            <w:pPr>
              <w:pStyle w:val="ListParagraph"/>
              <w:numPr>
                <w:ilvl w:val="0"/>
                <w:numId w:val="30"/>
              </w:numPr>
              <w:adjustRightInd/>
              <w:jc w:val="left"/>
            </w:pPr>
            <w:r w:rsidRPr="00E93BD4">
              <w:t xml:space="preserve">Enter the full name of </w:t>
            </w:r>
            <w:r w:rsidR="00AE7C9D">
              <w:t>Provider</w:t>
            </w:r>
            <w:r w:rsidRPr="00E93BD4">
              <w:t>:</w:t>
            </w:r>
          </w:p>
        </w:tc>
        <w:tc>
          <w:tcPr>
            <w:tcW w:w="4508" w:type="dxa"/>
          </w:tcPr>
          <w:p w14:paraId="09020782" w14:textId="6E11257A" w:rsidR="00FE4488" w:rsidRPr="00E93BD4" w:rsidRDefault="00FE4488" w:rsidP="00A24388">
            <w:r w:rsidRPr="00E93BD4">
              <w:t>(</w:t>
            </w:r>
            <w:r w:rsidR="00AE7C9D">
              <w:t>Provider</w:t>
            </w:r>
            <w:r w:rsidRPr="00E93BD4">
              <w:t xml:space="preserve"> to insert)</w:t>
            </w:r>
          </w:p>
        </w:tc>
      </w:tr>
      <w:tr w:rsidR="00FE4488" w:rsidRPr="00E93BD4" w14:paraId="5FB11A1B" w14:textId="77777777" w:rsidTr="00A24388">
        <w:trPr>
          <w:trHeight w:val="557"/>
        </w:trPr>
        <w:tc>
          <w:tcPr>
            <w:tcW w:w="4508" w:type="dxa"/>
          </w:tcPr>
          <w:p w14:paraId="08355725" w14:textId="77777777" w:rsidR="00FE4488" w:rsidRPr="00E93BD4" w:rsidRDefault="00FE4488" w:rsidP="00FE4488">
            <w:pPr>
              <w:pStyle w:val="ListParagraph"/>
              <w:numPr>
                <w:ilvl w:val="0"/>
                <w:numId w:val="30"/>
              </w:numPr>
              <w:adjustRightInd/>
              <w:jc w:val="left"/>
            </w:pPr>
            <w:r w:rsidRPr="00E93BD4">
              <w:t>Registered office address:</w:t>
            </w:r>
          </w:p>
        </w:tc>
        <w:tc>
          <w:tcPr>
            <w:tcW w:w="4508" w:type="dxa"/>
          </w:tcPr>
          <w:p w14:paraId="015CC9A9" w14:textId="494597CE" w:rsidR="00FE4488" w:rsidRPr="00E93BD4" w:rsidRDefault="00FE4488" w:rsidP="00A24388">
            <w:r w:rsidRPr="00E93BD4">
              <w:t>(</w:t>
            </w:r>
            <w:r w:rsidR="00AE7C9D">
              <w:t>Provider</w:t>
            </w:r>
            <w:r w:rsidRPr="00E93BD4">
              <w:t xml:space="preserve"> to insert)</w:t>
            </w:r>
          </w:p>
        </w:tc>
      </w:tr>
      <w:tr w:rsidR="00FE4488" w:rsidRPr="00E93BD4" w14:paraId="371101B2" w14:textId="77777777" w:rsidTr="00A24388">
        <w:trPr>
          <w:trHeight w:val="564"/>
        </w:trPr>
        <w:tc>
          <w:tcPr>
            <w:tcW w:w="4508" w:type="dxa"/>
          </w:tcPr>
          <w:p w14:paraId="2843631D" w14:textId="77777777" w:rsidR="00FE4488" w:rsidRPr="00E93BD4" w:rsidRDefault="00FE4488" w:rsidP="00FE4488">
            <w:pPr>
              <w:pStyle w:val="ListParagraph"/>
              <w:numPr>
                <w:ilvl w:val="0"/>
                <w:numId w:val="30"/>
              </w:numPr>
              <w:adjustRightInd/>
              <w:jc w:val="left"/>
            </w:pPr>
            <w:r w:rsidRPr="00E93BD4">
              <w:t>Company number:</w:t>
            </w:r>
          </w:p>
        </w:tc>
        <w:tc>
          <w:tcPr>
            <w:tcW w:w="4508" w:type="dxa"/>
          </w:tcPr>
          <w:p w14:paraId="3C3E24A7" w14:textId="0965BACA" w:rsidR="00FE4488" w:rsidRPr="00E93BD4" w:rsidRDefault="00FE4488" w:rsidP="00A24388">
            <w:r w:rsidRPr="00E93BD4">
              <w:t>(</w:t>
            </w:r>
            <w:r w:rsidR="00AE7C9D">
              <w:t>Provider</w:t>
            </w:r>
            <w:r w:rsidRPr="00E93BD4">
              <w:t xml:space="preserve"> to insert)</w:t>
            </w:r>
          </w:p>
        </w:tc>
      </w:tr>
      <w:tr w:rsidR="00FE4488" w:rsidRPr="00E93BD4" w14:paraId="0C24B5D4" w14:textId="77777777" w:rsidTr="00A24388">
        <w:trPr>
          <w:trHeight w:val="558"/>
        </w:trPr>
        <w:tc>
          <w:tcPr>
            <w:tcW w:w="4508" w:type="dxa"/>
          </w:tcPr>
          <w:p w14:paraId="227ADA24" w14:textId="77777777" w:rsidR="00FE4488" w:rsidRPr="00E93BD4" w:rsidRDefault="00FE4488" w:rsidP="00FE4488">
            <w:pPr>
              <w:pStyle w:val="ListParagraph"/>
              <w:numPr>
                <w:ilvl w:val="0"/>
                <w:numId w:val="30"/>
              </w:numPr>
              <w:adjustRightInd/>
              <w:jc w:val="left"/>
            </w:pPr>
            <w:r w:rsidRPr="00E93BD4">
              <w:t>VAT registration number:</w:t>
            </w:r>
          </w:p>
        </w:tc>
        <w:tc>
          <w:tcPr>
            <w:tcW w:w="4508" w:type="dxa"/>
          </w:tcPr>
          <w:p w14:paraId="5E0F4DB3" w14:textId="1C3546D0" w:rsidR="00FE4488" w:rsidRPr="00E93BD4" w:rsidRDefault="00FE4488" w:rsidP="00A24388">
            <w:r w:rsidRPr="00E93BD4">
              <w:t>(</w:t>
            </w:r>
            <w:r w:rsidR="00AE7C9D">
              <w:t>Provider</w:t>
            </w:r>
            <w:r w:rsidRPr="00E93BD4">
              <w:t xml:space="preserve"> to insert)</w:t>
            </w:r>
          </w:p>
        </w:tc>
      </w:tr>
    </w:tbl>
    <w:p w14:paraId="77604BC5" w14:textId="77777777" w:rsidR="00FE4488" w:rsidRDefault="00FE4488" w:rsidP="00FE4488"/>
    <w:tbl>
      <w:tblPr>
        <w:tblStyle w:val="TableGrid"/>
        <w:tblW w:w="0" w:type="auto"/>
        <w:tblLook w:val="04A0" w:firstRow="1" w:lastRow="0" w:firstColumn="1" w:lastColumn="0" w:noHBand="0" w:noVBand="1"/>
      </w:tblPr>
      <w:tblGrid>
        <w:gridCol w:w="4508"/>
        <w:gridCol w:w="4508"/>
      </w:tblGrid>
      <w:tr w:rsidR="00FE4488" w14:paraId="10F2A421" w14:textId="77777777" w:rsidTr="00A24388">
        <w:tc>
          <w:tcPr>
            <w:tcW w:w="9016" w:type="dxa"/>
            <w:gridSpan w:val="2"/>
          </w:tcPr>
          <w:p w14:paraId="4447C8E4" w14:textId="77777777" w:rsidR="00FE4488" w:rsidRPr="00E93BD4" w:rsidRDefault="00FE4488" w:rsidP="00A24388">
            <w:pPr>
              <w:rPr>
                <w:b/>
              </w:rPr>
            </w:pPr>
            <w:r w:rsidRPr="00E93BD4">
              <w:rPr>
                <w:b/>
              </w:rPr>
              <w:t>Contact Details</w:t>
            </w:r>
          </w:p>
        </w:tc>
      </w:tr>
      <w:tr w:rsidR="00FE4488" w14:paraId="5D123699" w14:textId="77777777" w:rsidTr="00A24388">
        <w:trPr>
          <w:trHeight w:val="648"/>
        </w:trPr>
        <w:tc>
          <w:tcPr>
            <w:tcW w:w="9016" w:type="dxa"/>
            <w:gridSpan w:val="2"/>
          </w:tcPr>
          <w:p w14:paraId="478F3C89" w14:textId="3A9D87C9" w:rsidR="00FE4488" w:rsidRPr="00E93BD4" w:rsidRDefault="00FE4488" w:rsidP="00FE4488">
            <w:pPr>
              <w:pStyle w:val="ListParagraph"/>
              <w:numPr>
                <w:ilvl w:val="0"/>
                <w:numId w:val="30"/>
              </w:numPr>
              <w:adjustRightInd/>
              <w:jc w:val="left"/>
            </w:pPr>
            <w:r w:rsidRPr="00E93BD4">
              <w:t xml:space="preserve">Contact details for enquiries about this </w:t>
            </w:r>
            <w:r w:rsidR="00AE7C9D">
              <w:t>Tender Response</w:t>
            </w:r>
            <w:r w:rsidRPr="00E93BD4">
              <w:t xml:space="preserve"> </w:t>
            </w:r>
            <w:r w:rsidRPr="00E93BD4">
              <w:rPr>
                <w:i/>
              </w:rPr>
              <w:t>(one contact point only)</w:t>
            </w:r>
          </w:p>
        </w:tc>
      </w:tr>
      <w:tr w:rsidR="00FE4488" w14:paraId="4E8397FA" w14:textId="77777777" w:rsidTr="00A24388">
        <w:trPr>
          <w:trHeight w:val="558"/>
        </w:trPr>
        <w:tc>
          <w:tcPr>
            <w:tcW w:w="4508" w:type="dxa"/>
          </w:tcPr>
          <w:p w14:paraId="1EC57BD4" w14:textId="77777777" w:rsidR="00FE4488" w:rsidRPr="00E93BD4" w:rsidRDefault="00FE4488" w:rsidP="00A24388">
            <w:r w:rsidRPr="00E93BD4">
              <w:t>(A)           Name:</w:t>
            </w:r>
          </w:p>
        </w:tc>
        <w:tc>
          <w:tcPr>
            <w:tcW w:w="4508" w:type="dxa"/>
          </w:tcPr>
          <w:p w14:paraId="192C2B3E" w14:textId="31AE6967" w:rsidR="00FE4488" w:rsidRPr="00E93BD4" w:rsidRDefault="00FE4488" w:rsidP="00A24388">
            <w:r w:rsidRPr="00E93BD4">
              <w:t>(</w:t>
            </w:r>
            <w:r w:rsidR="00AE7C9D">
              <w:t>Provider</w:t>
            </w:r>
            <w:r w:rsidRPr="00E93BD4">
              <w:t xml:space="preserve"> to insert)</w:t>
            </w:r>
          </w:p>
        </w:tc>
      </w:tr>
      <w:tr w:rsidR="00FE4488" w14:paraId="3B6E4F04" w14:textId="77777777" w:rsidTr="00A24388">
        <w:trPr>
          <w:trHeight w:val="552"/>
        </w:trPr>
        <w:tc>
          <w:tcPr>
            <w:tcW w:w="4508" w:type="dxa"/>
          </w:tcPr>
          <w:p w14:paraId="296A4357" w14:textId="77777777" w:rsidR="00FE4488" w:rsidRPr="00E93BD4" w:rsidRDefault="00FE4488" w:rsidP="00A24388">
            <w:r w:rsidRPr="00E93BD4">
              <w:t>(B)           Address:</w:t>
            </w:r>
          </w:p>
        </w:tc>
        <w:tc>
          <w:tcPr>
            <w:tcW w:w="4508" w:type="dxa"/>
          </w:tcPr>
          <w:p w14:paraId="6CA61B32" w14:textId="3F44BE37" w:rsidR="00FE4488" w:rsidRPr="00E93BD4" w:rsidRDefault="00FE4488" w:rsidP="00A24388">
            <w:r w:rsidRPr="00E93BD4">
              <w:t>(</w:t>
            </w:r>
            <w:r w:rsidR="00AE7C9D">
              <w:t>Provider</w:t>
            </w:r>
            <w:r w:rsidRPr="00E93BD4">
              <w:t xml:space="preserve"> to insert)</w:t>
            </w:r>
          </w:p>
        </w:tc>
      </w:tr>
      <w:tr w:rsidR="00FE4488" w14:paraId="0F157CCA" w14:textId="77777777" w:rsidTr="00A24388">
        <w:trPr>
          <w:trHeight w:val="560"/>
        </w:trPr>
        <w:tc>
          <w:tcPr>
            <w:tcW w:w="4508" w:type="dxa"/>
          </w:tcPr>
          <w:p w14:paraId="11DA1E0E" w14:textId="77777777" w:rsidR="00FE4488" w:rsidRPr="00E93BD4" w:rsidRDefault="00FE4488" w:rsidP="00A24388">
            <w:r w:rsidRPr="00E93BD4">
              <w:t>(C)           Postcode:</w:t>
            </w:r>
          </w:p>
        </w:tc>
        <w:tc>
          <w:tcPr>
            <w:tcW w:w="4508" w:type="dxa"/>
          </w:tcPr>
          <w:p w14:paraId="77BFAB24" w14:textId="4270739C" w:rsidR="00FE4488" w:rsidRPr="00E93BD4" w:rsidRDefault="00FE4488" w:rsidP="00A24388">
            <w:r w:rsidRPr="00E93BD4">
              <w:t>(</w:t>
            </w:r>
            <w:r w:rsidR="00AE7C9D">
              <w:t>Provider</w:t>
            </w:r>
            <w:r w:rsidRPr="00E93BD4">
              <w:t xml:space="preserve"> to insert)</w:t>
            </w:r>
          </w:p>
        </w:tc>
      </w:tr>
      <w:tr w:rsidR="00FE4488" w14:paraId="7CC0269E" w14:textId="77777777" w:rsidTr="00A24388">
        <w:trPr>
          <w:trHeight w:val="554"/>
        </w:trPr>
        <w:tc>
          <w:tcPr>
            <w:tcW w:w="4508" w:type="dxa"/>
          </w:tcPr>
          <w:p w14:paraId="46611CD6" w14:textId="77777777" w:rsidR="00FE4488" w:rsidRPr="00E93BD4" w:rsidRDefault="00FE4488" w:rsidP="00A24388">
            <w:r w:rsidRPr="00E93BD4">
              <w:t>(D)           Country:</w:t>
            </w:r>
          </w:p>
        </w:tc>
        <w:tc>
          <w:tcPr>
            <w:tcW w:w="4508" w:type="dxa"/>
          </w:tcPr>
          <w:p w14:paraId="169C1436" w14:textId="515C4FB0" w:rsidR="00FE4488" w:rsidRPr="00E93BD4" w:rsidRDefault="00FE4488" w:rsidP="00A24388">
            <w:r w:rsidRPr="00E93BD4">
              <w:t>(</w:t>
            </w:r>
            <w:r w:rsidR="00AE7C9D">
              <w:t>Provider</w:t>
            </w:r>
            <w:r w:rsidRPr="00E93BD4">
              <w:t xml:space="preserve"> to insert)</w:t>
            </w:r>
          </w:p>
        </w:tc>
      </w:tr>
      <w:tr w:rsidR="00FE4488" w14:paraId="6E1AA6CF" w14:textId="77777777" w:rsidTr="00A24388">
        <w:trPr>
          <w:trHeight w:val="562"/>
        </w:trPr>
        <w:tc>
          <w:tcPr>
            <w:tcW w:w="4508" w:type="dxa"/>
          </w:tcPr>
          <w:p w14:paraId="729674C8" w14:textId="77777777" w:rsidR="00FE4488" w:rsidRPr="00E93BD4" w:rsidRDefault="00FE4488" w:rsidP="00A24388">
            <w:r w:rsidRPr="00E93BD4">
              <w:t>(E)           Phone:</w:t>
            </w:r>
          </w:p>
        </w:tc>
        <w:tc>
          <w:tcPr>
            <w:tcW w:w="4508" w:type="dxa"/>
          </w:tcPr>
          <w:p w14:paraId="110B0064" w14:textId="443759C2" w:rsidR="00FE4488" w:rsidRPr="00E93BD4" w:rsidRDefault="00FE4488" w:rsidP="00A24388">
            <w:r w:rsidRPr="00E93BD4">
              <w:t>(</w:t>
            </w:r>
            <w:r w:rsidR="00AE7C9D">
              <w:t>Provider</w:t>
            </w:r>
            <w:r w:rsidRPr="00E93BD4">
              <w:t xml:space="preserve"> to insert)</w:t>
            </w:r>
          </w:p>
        </w:tc>
      </w:tr>
      <w:tr w:rsidR="00FE4488" w14:paraId="5910024A" w14:textId="77777777" w:rsidTr="00A24388">
        <w:trPr>
          <w:trHeight w:val="556"/>
        </w:trPr>
        <w:tc>
          <w:tcPr>
            <w:tcW w:w="4508" w:type="dxa"/>
          </w:tcPr>
          <w:p w14:paraId="0F7E5308" w14:textId="77777777" w:rsidR="00FE4488" w:rsidRPr="00E93BD4" w:rsidRDefault="00FE4488" w:rsidP="00A24388">
            <w:r w:rsidRPr="00E93BD4">
              <w:t>(F)           Mobile:</w:t>
            </w:r>
          </w:p>
        </w:tc>
        <w:tc>
          <w:tcPr>
            <w:tcW w:w="4508" w:type="dxa"/>
          </w:tcPr>
          <w:p w14:paraId="7C4408BC" w14:textId="048E5D39" w:rsidR="00FE4488" w:rsidRPr="00E93BD4" w:rsidRDefault="00FE4488" w:rsidP="00A24388">
            <w:r w:rsidRPr="00E93BD4">
              <w:t>(</w:t>
            </w:r>
            <w:r w:rsidR="00AE7C9D">
              <w:t>Provider</w:t>
            </w:r>
            <w:r w:rsidRPr="00E93BD4">
              <w:t xml:space="preserve"> to insert)</w:t>
            </w:r>
          </w:p>
        </w:tc>
      </w:tr>
      <w:tr w:rsidR="00FE4488" w14:paraId="679180D3" w14:textId="77777777" w:rsidTr="00A24388">
        <w:trPr>
          <w:trHeight w:val="706"/>
        </w:trPr>
        <w:tc>
          <w:tcPr>
            <w:tcW w:w="4508" w:type="dxa"/>
          </w:tcPr>
          <w:p w14:paraId="5634C399" w14:textId="77777777" w:rsidR="00FE4488" w:rsidRPr="00E93BD4" w:rsidRDefault="00FE4488" w:rsidP="00A24388">
            <w:r w:rsidRPr="00E93BD4">
              <w:t>(G)          Email:</w:t>
            </w:r>
          </w:p>
        </w:tc>
        <w:tc>
          <w:tcPr>
            <w:tcW w:w="4508" w:type="dxa"/>
          </w:tcPr>
          <w:p w14:paraId="4140A1F1" w14:textId="2BBCD8BF" w:rsidR="00FE4488" w:rsidRPr="00E93BD4" w:rsidRDefault="00FE4488" w:rsidP="00A24388">
            <w:r w:rsidRPr="00E93BD4">
              <w:t>(</w:t>
            </w:r>
            <w:r w:rsidR="00AE7C9D">
              <w:t>Provider</w:t>
            </w:r>
            <w:r w:rsidRPr="00E93BD4">
              <w:t xml:space="preserve"> to insert)</w:t>
            </w:r>
          </w:p>
        </w:tc>
      </w:tr>
    </w:tbl>
    <w:p w14:paraId="54081C88" w14:textId="77777777" w:rsidR="00FE4488" w:rsidRDefault="00FE4488" w:rsidP="00FE4488"/>
    <w:p w14:paraId="563B6D3D" w14:textId="77777777" w:rsidR="00FE4488" w:rsidRDefault="00FE4488" w:rsidP="00FE4488"/>
    <w:tbl>
      <w:tblPr>
        <w:tblStyle w:val="TableGrid"/>
        <w:tblW w:w="0" w:type="auto"/>
        <w:tblLook w:val="04A0" w:firstRow="1" w:lastRow="0" w:firstColumn="1" w:lastColumn="0" w:noHBand="0" w:noVBand="1"/>
      </w:tblPr>
      <w:tblGrid>
        <w:gridCol w:w="4508"/>
        <w:gridCol w:w="4508"/>
      </w:tblGrid>
      <w:tr w:rsidR="00FE4488" w14:paraId="1EB43798" w14:textId="77777777" w:rsidTr="00A24388">
        <w:tc>
          <w:tcPr>
            <w:tcW w:w="9016" w:type="dxa"/>
            <w:gridSpan w:val="2"/>
          </w:tcPr>
          <w:p w14:paraId="40DAA336" w14:textId="77777777" w:rsidR="00FE4488" w:rsidRPr="00E93BD4" w:rsidRDefault="00FE4488" w:rsidP="00A24388">
            <w:pPr>
              <w:rPr>
                <w:b/>
              </w:rPr>
            </w:pPr>
            <w:r w:rsidRPr="00E93BD4">
              <w:rPr>
                <w:b/>
              </w:rPr>
              <w:t>Declaration</w:t>
            </w:r>
          </w:p>
        </w:tc>
      </w:tr>
      <w:tr w:rsidR="00FE4488" w14:paraId="0A7F11EF" w14:textId="77777777" w:rsidTr="00A24388">
        <w:tc>
          <w:tcPr>
            <w:tcW w:w="9016" w:type="dxa"/>
            <w:gridSpan w:val="2"/>
          </w:tcPr>
          <w:p w14:paraId="02C5880E" w14:textId="77777777" w:rsidR="00FE4488" w:rsidRPr="00E93BD4" w:rsidRDefault="00FE4488" w:rsidP="00A24388">
            <w:pPr>
              <w:pStyle w:val="ListParagraph"/>
              <w:ind w:left="0"/>
            </w:pPr>
          </w:p>
          <w:p w14:paraId="6F013FA6" w14:textId="77777777" w:rsidR="00FE4488" w:rsidRPr="00E93BD4" w:rsidRDefault="00FE4488" w:rsidP="00A24388">
            <w:pPr>
              <w:pStyle w:val="ListParagraph"/>
              <w:ind w:left="0"/>
            </w:pPr>
            <w:r w:rsidRPr="00E93BD4">
              <w:t>I/we have acknowledged, fully understood and I/we accept the contents of:</w:t>
            </w:r>
          </w:p>
          <w:p w14:paraId="1DF3B6D9" w14:textId="77777777" w:rsidR="00FE4488" w:rsidRPr="00E93BD4" w:rsidRDefault="00FE4488" w:rsidP="00A24388">
            <w:pPr>
              <w:pStyle w:val="ListParagraph"/>
              <w:ind w:left="0"/>
            </w:pPr>
          </w:p>
          <w:p w14:paraId="29BA70AF" w14:textId="77777777" w:rsidR="00FE4488" w:rsidRPr="00E93BD4" w:rsidRDefault="00FE4488" w:rsidP="00FE4488">
            <w:pPr>
              <w:pStyle w:val="ListParagraph"/>
              <w:numPr>
                <w:ilvl w:val="0"/>
                <w:numId w:val="31"/>
              </w:numPr>
              <w:adjustRightInd/>
            </w:pPr>
            <w:r w:rsidRPr="00E93BD4">
              <w:t>the ITT including its annexes and appendices; and</w:t>
            </w:r>
          </w:p>
          <w:p w14:paraId="7081B8D9" w14:textId="589824F6" w:rsidR="00FE4488" w:rsidRPr="00E93BD4" w:rsidRDefault="00FE4488" w:rsidP="00FE4488">
            <w:pPr>
              <w:pStyle w:val="ListParagraph"/>
              <w:numPr>
                <w:ilvl w:val="0"/>
                <w:numId w:val="31"/>
              </w:numPr>
              <w:adjustRightInd/>
            </w:pPr>
            <w:r w:rsidRPr="00E93BD4">
              <w:t xml:space="preserve">all amendments and updates to the ITT issued by the </w:t>
            </w:r>
            <w:r w:rsidR="00AE7C9D">
              <w:t>Authority</w:t>
            </w:r>
            <w:r w:rsidRPr="00E93BD4">
              <w:t>.</w:t>
            </w:r>
          </w:p>
          <w:p w14:paraId="3B9D3D6A" w14:textId="77777777" w:rsidR="00FE4488" w:rsidRPr="00E93BD4" w:rsidRDefault="00FE4488" w:rsidP="00A24388">
            <w:pPr>
              <w:ind w:left="360"/>
            </w:pPr>
          </w:p>
          <w:p w14:paraId="1A49EA98" w14:textId="44E9D760" w:rsidR="00FE4488" w:rsidRPr="00E93BD4" w:rsidRDefault="00FE4488" w:rsidP="00A24388">
            <w:r w:rsidRPr="00E93BD4">
              <w:t xml:space="preserve">I/we understand that non-compliance with the requirements of the ITT or with the instructions given by the </w:t>
            </w:r>
            <w:r w:rsidR="00AE7C9D">
              <w:t>Authority</w:t>
            </w:r>
            <w:r w:rsidRPr="00E93BD4">
              <w:t xml:space="preserve"> may lead to me/us being excluded by the </w:t>
            </w:r>
            <w:r w:rsidR="00AE7C9D">
              <w:t>Authority</w:t>
            </w:r>
            <w:r w:rsidRPr="00E93BD4">
              <w:t xml:space="preserve"> from (further) participation in the award procedure.</w:t>
            </w:r>
          </w:p>
          <w:p w14:paraId="20B98FF4" w14:textId="77777777" w:rsidR="00FE4488" w:rsidRPr="00E93BD4" w:rsidRDefault="00FE4488" w:rsidP="00A24388"/>
          <w:p w14:paraId="09D4491A" w14:textId="14B12C6B" w:rsidR="00FE4488" w:rsidRPr="00E93BD4" w:rsidRDefault="00FE4488" w:rsidP="00A24388">
            <w:r w:rsidRPr="00E93BD4">
              <w:t xml:space="preserve">I/we declare that this </w:t>
            </w:r>
            <w:r w:rsidR="00AE7C9D">
              <w:t>Tender Response is a bona fide tender</w:t>
            </w:r>
            <w:r w:rsidRPr="00E93BD4">
              <w:t xml:space="preserve">, intended to be competitive and that I/we have not fixed or adjusted the amount of the </w:t>
            </w:r>
            <w:r w:rsidR="00AE7C9D">
              <w:t>Tender Response</w:t>
            </w:r>
            <w:r w:rsidRPr="00E93BD4">
              <w:t xml:space="preserve"> by or under or in accordance with any agreement or arrangement with any other person.</w:t>
            </w:r>
          </w:p>
          <w:p w14:paraId="30052C89" w14:textId="77777777" w:rsidR="00FE4488" w:rsidRPr="00E93BD4" w:rsidRDefault="00FE4488" w:rsidP="00A24388"/>
          <w:p w14:paraId="518A3F30" w14:textId="2940E286" w:rsidR="00FE4488" w:rsidRPr="00E93BD4" w:rsidRDefault="00FE4488" w:rsidP="00A24388">
            <w:r w:rsidRPr="00E93BD4">
              <w:t xml:space="preserve">I/we declare that I/we are not aware of any connection with any member of the </w:t>
            </w:r>
            <w:r w:rsidR="00AE7C9D">
              <w:t>Authority</w:t>
            </w:r>
            <w:r w:rsidRPr="00E93BD4">
              <w:t>’s personnel which could affect the outcome of the competition.</w:t>
            </w:r>
          </w:p>
          <w:p w14:paraId="3FA6EFDA" w14:textId="77777777" w:rsidR="00FE4488" w:rsidRPr="00E93BD4" w:rsidRDefault="00FE4488" w:rsidP="00A24388"/>
          <w:p w14:paraId="024C48C1" w14:textId="77777777" w:rsidR="00FE4488" w:rsidRPr="00E93BD4" w:rsidRDefault="00FE4488" w:rsidP="00A24388">
            <w:r w:rsidRPr="00E93BD4">
              <w:t>I/we declare that neither I/we nor our employees or agents have done, and I/we undertake that neither I/we nor our employees or agents will, at any time done any of the following:</w:t>
            </w:r>
          </w:p>
          <w:p w14:paraId="438FBD53" w14:textId="77777777" w:rsidR="00FE4488" w:rsidRPr="00E93BD4" w:rsidRDefault="00FE4488" w:rsidP="00A24388"/>
          <w:p w14:paraId="7C5EEF3E" w14:textId="34B4E1B1" w:rsidR="00FE4488" w:rsidRPr="00E93BD4" w:rsidRDefault="00FE4488" w:rsidP="00FE4488">
            <w:pPr>
              <w:pStyle w:val="ListParagraph"/>
              <w:numPr>
                <w:ilvl w:val="0"/>
                <w:numId w:val="32"/>
              </w:numPr>
              <w:adjustRightInd/>
            </w:pPr>
            <w:r w:rsidRPr="00E93BD4">
              <w:t xml:space="preserve">communicate to any person, other than those persons and agents of the </w:t>
            </w:r>
            <w:r w:rsidR="00AE7C9D">
              <w:t>Authority</w:t>
            </w:r>
            <w:r w:rsidRPr="00E93BD4">
              <w:t xml:space="preserve"> responsible for procuring the Services, the amount or approximate amount of our proposed </w:t>
            </w:r>
            <w:r w:rsidR="00AE7C9D">
              <w:t>Tender Response</w:t>
            </w:r>
            <w:r w:rsidRPr="00E93BD4">
              <w:t xml:space="preserve"> (other than in confidence in order to prepare our </w:t>
            </w:r>
            <w:r w:rsidR="00AE7C9D">
              <w:t>Tender Response</w:t>
            </w:r>
            <w:r w:rsidRPr="00E93BD4">
              <w:t>, for insurance or for a guarantee or other security);</w:t>
            </w:r>
          </w:p>
          <w:p w14:paraId="610D296A" w14:textId="60C48912" w:rsidR="00FE4488" w:rsidRPr="00E93BD4" w:rsidRDefault="00FE4488" w:rsidP="00FE4488">
            <w:pPr>
              <w:pStyle w:val="ListParagraph"/>
              <w:numPr>
                <w:ilvl w:val="0"/>
                <w:numId w:val="32"/>
              </w:numPr>
              <w:adjustRightInd/>
            </w:pPr>
            <w:r w:rsidRPr="00E93BD4">
              <w:t xml:space="preserve">enter into any agreement or arrangement with any other person to refrain from submitting a </w:t>
            </w:r>
            <w:r w:rsidR="00AE7C9D">
              <w:t>Tender Response</w:t>
            </w:r>
            <w:r w:rsidRPr="00E93BD4">
              <w:t xml:space="preserve"> or as to the amount of any </w:t>
            </w:r>
            <w:r w:rsidR="00AE7C9D">
              <w:t>Tender Response</w:t>
            </w:r>
            <w:r w:rsidRPr="00E93BD4">
              <w:t xml:space="preserve"> or the conditions on which any </w:t>
            </w:r>
            <w:r w:rsidR="00AE7C9D">
              <w:t>Tender Response</w:t>
            </w:r>
            <w:r w:rsidRPr="00E93BD4">
              <w:t xml:space="preserve"> is made;</w:t>
            </w:r>
          </w:p>
          <w:p w14:paraId="50FAA624" w14:textId="77777777" w:rsidR="00FE4488" w:rsidRPr="00E93BD4" w:rsidRDefault="00FE4488" w:rsidP="00FE4488">
            <w:pPr>
              <w:pStyle w:val="ListParagraph"/>
              <w:numPr>
                <w:ilvl w:val="0"/>
                <w:numId w:val="32"/>
              </w:numPr>
              <w:adjustRightInd/>
            </w:pPr>
            <w:r w:rsidRPr="00E93BD4">
              <w:t>enter into any agreement or arrangement with any other person that I/we will refrain from bidding on any future occasion;</w:t>
            </w:r>
          </w:p>
          <w:p w14:paraId="3AC49CBA" w14:textId="77777777" w:rsidR="00FE4488" w:rsidRPr="00E93BD4" w:rsidRDefault="00FE4488" w:rsidP="00FE4488">
            <w:pPr>
              <w:pStyle w:val="ListParagraph"/>
              <w:numPr>
                <w:ilvl w:val="0"/>
                <w:numId w:val="32"/>
              </w:numPr>
              <w:adjustRightInd/>
            </w:pPr>
            <w:r w:rsidRPr="00E93BD4">
              <w:t>participate in or undertake behaviour which is or apparently is intended or has the consequence of significantly restricting competition; and</w:t>
            </w:r>
          </w:p>
          <w:p w14:paraId="23BD69C2" w14:textId="0C0BA4BD" w:rsidR="00FE4488" w:rsidRPr="00E93BD4" w:rsidRDefault="00FE4488" w:rsidP="00FE4488">
            <w:pPr>
              <w:pStyle w:val="ListParagraph"/>
              <w:numPr>
                <w:ilvl w:val="0"/>
                <w:numId w:val="32"/>
              </w:numPr>
              <w:adjustRightInd/>
            </w:pPr>
            <w:r w:rsidRPr="00E93BD4">
              <w:t xml:space="preserve">offer or pay or agree to pay any sum of money or valuable consideration directly or indirectly to any person for doing or causing to be done in relation to any other </w:t>
            </w:r>
            <w:r w:rsidR="00AE7C9D">
              <w:t>Tender Response</w:t>
            </w:r>
            <w:r w:rsidRPr="00E93BD4">
              <w:t xml:space="preserve"> for the Services any act of the kind described above.</w:t>
            </w:r>
          </w:p>
          <w:p w14:paraId="348EF751" w14:textId="77777777" w:rsidR="00FE4488" w:rsidRPr="00E93BD4" w:rsidRDefault="00FE4488" w:rsidP="00A24388">
            <w:pPr>
              <w:ind w:left="360"/>
            </w:pPr>
          </w:p>
          <w:p w14:paraId="6BB2AEF9" w14:textId="1CEE9E6F" w:rsidR="00FE4488" w:rsidRPr="00E93BD4" w:rsidRDefault="00FE4488" w:rsidP="00A24388">
            <w:r w:rsidRPr="00E93BD4">
              <w:t xml:space="preserve">I/we certify that I/we have not canvassed any other person in connection with the procurement of the Services or this </w:t>
            </w:r>
            <w:r w:rsidR="00AE7C9D">
              <w:t>Tender Response</w:t>
            </w:r>
            <w:r w:rsidRPr="00E93BD4">
              <w:t xml:space="preserve"> or any proposed </w:t>
            </w:r>
            <w:r w:rsidR="00AE7C9D">
              <w:t>Tender Response</w:t>
            </w:r>
            <w:r w:rsidRPr="00E93BD4">
              <w:t xml:space="preserve"> and that no person employed by us has done or will do any such act.</w:t>
            </w:r>
          </w:p>
          <w:p w14:paraId="40EF6A69" w14:textId="77777777" w:rsidR="00FE4488" w:rsidRPr="00E93BD4" w:rsidRDefault="00FE4488" w:rsidP="00A24388"/>
          <w:p w14:paraId="3BD223D3" w14:textId="2469A3C4" w:rsidR="00FE4488" w:rsidRPr="00E93BD4" w:rsidRDefault="00FE4488" w:rsidP="00A24388">
            <w:r w:rsidRPr="00E93BD4">
              <w:t>I/we understand that any instances or suspected instances of illegal cartels or market sharing arrangements will be referred to the Competition and Market</w:t>
            </w:r>
            <w:r w:rsidR="00363C49">
              <w:t>s</w:t>
            </w:r>
            <w:r w:rsidRPr="00E93BD4">
              <w:t xml:space="preserve"> </w:t>
            </w:r>
            <w:r w:rsidR="00AE7C9D">
              <w:t>Authority</w:t>
            </w:r>
            <w:r w:rsidRPr="00E93BD4">
              <w:t xml:space="preserve"> for investigation and may be subject to an action under the Competition Act 1998 or similar legislation.</w:t>
            </w:r>
          </w:p>
          <w:p w14:paraId="07B51BCA" w14:textId="77777777" w:rsidR="00FE4488" w:rsidRPr="00E93BD4" w:rsidRDefault="00FE4488" w:rsidP="00A24388"/>
          <w:p w14:paraId="49F7C875" w14:textId="40CBC1B8" w:rsidR="00FE4488" w:rsidRPr="00E93BD4" w:rsidRDefault="00FE4488" w:rsidP="00A24388">
            <w:r w:rsidRPr="00E93BD4">
              <w:t xml:space="preserve">I/we confirm that the validity period of this </w:t>
            </w:r>
            <w:r w:rsidR="00AE7C9D">
              <w:t>Tender Response</w:t>
            </w:r>
            <w:r w:rsidRPr="00E93BD4">
              <w:t xml:space="preserve"> expires </w:t>
            </w:r>
            <w:r>
              <w:t>twelve (12) months</w:t>
            </w:r>
            <w:r w:rsidRPr="00E93BD4">
              <w:t xml:space="preserve"> after the final date for submission of that </w:t>
            </w:r>
            <w:r w:rsidR="00AE7C9D">
              <w:t>Tender Response</w:t>
            </w:r>
            <w:r w:rsidRPr="00E93BD4">
              <w:t>.</w:t>
            </w:r>
          </w:p>
          <w:p w14:paraId="41D2138F" w14:textId="77777777" w:rsidR="00FE4488" w:rsidRPr="00E93BD4" w:rsidRDefault="00FE4488" w:rsidP="00A24388"/>
          <w:p w14:paraId="334533BC" w14:textId="4F1A2594" w:rsidR="00FE4488" w:rsidRDefault="00FE4488" w:rsidP="00A24388">
            <w:r w:rsidRPr="00E93BD4">
              <w:t xml:space="preserve">I/we certify that, if this </w:t>
            </w:r>
            <w:r w:rsidR="00AE7C9D">
              <w:t>Tender Response</w:t>
            </w:r>
            <w:r w:rsidRPr="00E93BD4">
              <w:t xml:space="preserve"> is accepted, we will enter into the Call-Off Contract on the terms set out in the ITT.</w:t>
            </w:r>
          </w:p>
          <w:p w14:paraId="168126D5" w14:textId="77777777" w:rsidR="00884A70" w:rsidRDefault="00884A70" w:rsidP="00A24388"/>
          <w:p w14:paraId="00DE8486" w14:textId="598246F2" w:rsidR="00FE4488" w:rsidRPr="00884A70" w:rsidRDefault="00884A70" w:rsidP="00884A70">
            <w:pPr>
              <w:pStyle w:val="Level1"/>
              <w:keepNext/>
              <w:numPr>
                <w:ilvl w:val="0"/>
                <w:numId w:val="0"/>
              </w:numPr>
              <w:rPr>
                <w:b/>
              </w:rPr>
            </w:pPr>
            <w:r>
              <w:t>I/we confirm that at the time of submission of this Tender Response, there are no grounds</w:t>
            </w:r>
            <w:r>
              <w:rPr>
                <w:rStyle w:val="Level2asHeadingtext"/>
                <w:b w:val="0"/>
                <w:bCs w:val="0"/>
              </w:rPr>
              <w:t xml:space="preserve"> which exist that would alter any of our responses in relation to our SQ response, including, but not limited to: </w:t>
            </w:r>
            <w:r w:rsidRPr="008D0799">
              <w:rPr>
                <w:szCs w:val="22"/>
              </w:rPr>
              <w:t xml:space="preserve">any of the mandatory or discretionary grounds for exclusion pursuant to the </w:t>
            </w:r>
            <w:r>
              <w:rPr>
                <w:szCs w:val="22"/>
              </w:rPr>
              <w:t>Regulations, our financial</w:t>
            </w:r>
            <w:r w:rsidRPr="008D0799">
              <w:rPr>
                <w:szCs w:val="22"/>
              </w:rPr>
              <w:t xml:space="preserve"> capacity or (where relevant) any changes to the composition</w:t>
            </w:r>
            <w:r>
              <w:rPr>
                <w:szCs w:val="22"/>
              </w:rPr>
              <w:t xml:space="preserve"> of the consortium/identity of Key S</w:t>
            </w:r>
            <w:r w:rsidRPr="008D0799">
              <w:rPr>
                <w:szCs w:val="22"/>
              </w:rPr>
              <w:t>ub-contractors, other than any changes which</w:t>
            </w:r>
            <w:r>
              <w:rPr>
                <w:szCs w:val="22"/>
              </w:rPr>
              <w:t xml:space="preserve"> are either disclosed to the Authority by way of an annex appended to this declaration, or which</w:t>
            </w:r>
            <w:r w:rsidRPr="008D0799">
              <w:rPr>
                <w:szCs w:val="22"/>
              </w:rPr>
              <w:t xml:space="preserve"> have</w:t>
            </w:r>
            <w:r>
              <w:rPr>
                <w:szCs w:val="22"/>
              </w:rPr>
              <w:t xml:space="preserve"> already</w:t>
            </w:r>
            <w:r w:rsidRPr="008D0799">
              <w:rPr>
                <w:szCs w:val="22"/>
              </w:rPr>
              <w:t xml:space="preserve"> been disclosed to </w:t>
            </w:r>
            <w:r>
              <w:rPr>
                <w:szCs w:val="22"/>
              </w:rPr>
              <w:t xml:space="preserve">the Authority. </w:t>
            </w:r>
          </w:p>
          <w:p w14:paraId="738EB842" w14:textId="0FFC2123" w:rsidR="00FE4488" w:rsidRPr="00E93BD4" w:rsidRDefault="00FE4488" w:rsidP="00A24388">
            <w:r w:rsidRPr="00E93BD4">
              <w:t xml:space="preserve">I/we declare that to the best of my/our knowledge the information submitted in this </w:t>
            </w:r>
            <w:r w:rsidR="00AE7C9D">
              <w:t>Tender Response</w:t>
            </w:r>
            <w:r w:rsidRPr="00E93BD4">
              <w:t xml:space="preserve"> is correct.</w:t>
            </w:r>
          </w:p>
          <w:p w14:paraId="453FA2EE" w14:textId="77777777" w:rsidR="00FE4488" w:rsidRPr="00E93BD4" w:rsidRDefault="00FE4488" w:rsidP="00A24388">
            <w:r w:rsidRPr="00E93BD4">
              <w:t xml:space="preserve">  </w:t>
            </w:r>
          </w:p>
          <w:p w14:paraId="355A5981" w14:textId="6D1122DD" w:rsidR="00FE4488" w:rsidRPr="00E93BD4" w:rsidRDefault="00FE4488" w:rsidP="00A24388">
            <w:r w:rsidRPr="00E93BD4">
              <w:t xml:space="preserve">I/we understand that the information will be used in the process to evaluate my/our organisation's </w:t>
            </w:r>
            <w:r w:rsidR="00AE7C9D">
              <w:t>Tender Response</w:t>
            </w:r>
            <w:r w:rsidRPr="00E93BD4">
              <w:t xml:space="preserve"> and I/we am/are signing on behalf of my/our organisation.  </w:t>
            </w:r>
          </w:p>
          <w:p w14:paraId="662889EB" w14:textId="77777777" w:rsidR="00FE4488" w:rsidRPr="00E93BD4" w:rsidRDefault="00FE4488" w:rsidP="00A24388"/>
          <w:p w14:paraId="3C3FF754" w14:textId="784437C7" w:rsidR="00FE4488" w:rsidRPr="00E93BD4" w:rsidRDefault="00FE4488" w:rsidP="00A24388">
            <w:r w:rsidRPr="00E93BD4">
              <w:t xml:space="preserve">I/we understand that the </w:t>
            </w:r>
            <w:r w:rsidR="00AE7C9D">
              <w:t>Authority</w:t>
            </w:r>
            <w:r w:rsidRPr="00E93BD4">
              <w:t xml:space="preserve"> may reject this </w:t>
            </w:r>
            <w:r w:rsidR="00AE7C9D">
              <w:t>Tender Response</w:t>
            </w:r>
            <w:r w:rsidRPr="00E93BD4">
              <w:t xml:space="preserve"> if there is a failure to provide all required information fully or if I/we provide false/misleading information.</w:t>
            </w:r>
          </w:p>
          <w:p w14:paraId="7D002E20" w14:textId="77777777" w:rsidR="00FE4488" w:rsidRPr="00E93BD4" w:rsidRDefault="00FE4488" w:rsidP="00A24388"/>
          <w:p w14:paraId="0AF66EF3" w14:textId="4058B447" w:rsidR="00FE4488" w:rsidRPr="00E93BD4" w:rsidRDefault="00FE4488" w:rsidP="00A24388">
            <w:r w:rsidRPr="00E93BD4">
              <w:lastRenderedPageBreak/>
              <w:t>In this Form</w:t>
            </w:r>
            <w:r w:rsidR="00363C49">
              <w:t xml:space="preserve"> of Tender</w:t>
            </w:r>
            <w:r w:rsidRPr="00E93BD4">
              <w:t>:</w:t>
            </w:r>
          </w:p>
          <w:p w14:paraId="2B0B145B" w14:textId="77777777" w:rsidR="00FE4488" w:rsidRPr="00E93BD4" w:rsidRDefault="00FE4488" w:rsidP="00A24388"/>
          <w:p w14:paraId="6318A3C0" w14:textId="77777777" w:rsidR="00FE4488" w:rsidRPr="00E93BD4" w:rsidRDefault="00FE4488" w:rsidP="00A24388">
            <w:r w:rsidRPr="00E93BD4">
              <w:t>“person” includes any person, body, association, corporate or incorporate; and</w:t>
            </w:r>
          </w:p>
          <w:p w14:paraId="434EDB89" w14:textId="77777777" w:rsidR="00FE4488" w:rsidRPr="00E93BD4" w:rsidRDefault="00FE4488" w:rsidP="00A24388"/>
          <w:p w14:paraId="4348E7FE" w14:textId="77777777" w:rsidR="00FE4488" w:rsidRPr="00E93BD4" w:rsidRDefault="00FE4488" w:rsidP="00A24388">
            <w:r w:rsidRPr="00E93BD4">
              <w:t>“agreement or arrangement” includes any transaction, private or open, or collusion, formal or informal and whether or not legally binding.</w:t>
            </w:r>
          </w:p>
          <w:p w14:paraId="5EF8D137" w14:textId="77777777" w:rsidR="00FE4488" w:rsidRPr="00E93BD4" w:rsidRDefault="00FE4488" w:rsidP="00A24388"/>
        </w:tc>
      </w:tr>
      <w:tr w:rsidR="00FE4488" w14:paraId="58AD372F" w14:textId="77777777" w:rsidTr="00A24388">
        <w:trPr>
          <w:trHeight w:val="1139"/>
        </w:trPr>
        <w:tc>
          <w:tcPr>
            <w:tcW w:w="4508" w:type="dxa"/>
          </w:tcPr>
          <w:p w14:paraId="47DFC754" w14:textId="77777777" w:rsidR="00FE4488" w:rsidRPr="00E93BD4" w:rsidRDefault="00FE4488" w:rsidP="00A24388">
            <w:r w:rsidRPr="00E93BD4">
              <w:lastRenderedPageBreak/>
              <w:t>Signed:</w:t>
            </w:r>
          </w:p>
        </w:tc>
        <w:tc>
          <w:tcPr>
            <w:tcW w:w="4508" w:type="dxa"/>
          </w:tcPr>
          <w:p w14:paraId="6EEEC29F" w14:textId="09226F0B" w:rsidR="00FE4488" w:rsidRPr="00E93BD4" w:rsidRDefault="00FE4488" w:rsidP="00A24388">
            <w:r w:rsidRPr="00E93BD4">
              <w:t>(</w:t>
            </w:r>
            <w:r w:rsidR="00AE7C9D">
              <w:t>Provider</w:t>
            </w:r>
            <w:r w:rsidRPr="00E93BD4">
              <w:t xml:space="preserve"> to insert)</w:t>
            </w:r>
          </w:p>
        </w:tc>
      </w:tr>
      <w:tr w:rsidR="00FE4488" w14:paraId="50B4E5AC" w14:textId="77777777" w:rsidTr="00A24388">
        <w:trPr>
          <w:trHeight w:val="560"/>
        </w:trPr>
        <w:tc>
          <w:tcPr>
            <w:tcW w:w="4508" w:type="dxa"/>
          </w:tcPr>
          <w:p w14:paraId="082AF5CC" w14:textId="77777777" w:rsidR="00FE4488" w:rsidRPr="00E93BD4" w:rsidRDefault="00FE4488" w:rsidP="00A24388">
            <w:r w:rsidRPr="00E93BD4">
              <w:t>Name:</w:t>
            </w:r>
          </w:p>
        </w:tc>
        <w:tc>
          <w:tcPr>
            <w:tcW w:w="4508" w:type="dxa"/>
          </w:tcPr>
          <w:p w14:paraId="73243FEA" w14:textId="797070A9" w:rsidR="00FE4488" w:rsidRPr="00E93BD4" w:rsidRDefault="00FE4488" w:rsidP="00A24388">
            <w:r w:rsidRPr="00E93BD4">
              <w:t>(</w:t>
            </w:r>
            <w:r w:rsidR="00AE7C9D">
              <w:t>Provider</w:t>
            </w:r>
            <w:r w:rsidRPr="00E93BD4">
              <w:t xml:space="preserve"> to insert)</w:t>
            </w:r>
            <w:r w:rsidRPr="00E93BD4" w:rsidDel="001372A1">
              <w:t xml:space="preserve"> </w:t>
            </w:r>
          </w:p>
        </w:tc>
      </w:tr>
      <w:tr w:rsidR="00FE4488" w14:paraId="0773D336" w14:textId="77777777" w:rsidTr="00A24388">
        <w:trPr>
          <w:trHeight w:val="554"/>
        </w:trPr>
        <w:tc>
          <w:tcPr>
            <w:tcW w:w="4508" w:type="dxa"/>
          </w:tcPr>
          <w:p w14:paraId="46DBE674" w14:textId="77777777" w:rsidR="00FE4488" w:rsidRPr="00E93BD4" w:rsidRDefault="00FE4488" w:rsidP="00A24388">
            <w:r w:rsidRPr="00E93BD4">
              <w:t>Role/Position:</w:t>
            </w:r>
          </w:p>
        </w:tc>
        <w:tc>
          <w:tcPr>
            <w:tcW w:w="4508" w:type="dxa"/>
          </w:tcPr>
          <w:p w14:paraId="7D24CA5A" w14:textId="1379A06B" w:rsidR="00FE4488" w:rsidRPr="00E93BD4" w:rsidRDefault="00FE4488" w:rsidP="00A24388">
            <w:r w:rsidRPr="00E93BD4">
              <w:t>(</w:t>
            </w:r>
            <w:r w:rsidR="00AE7C9D">
              <w:t>Provider</w:t>
            </w:r>
            <w:r w:rsidRPr="00E93BD4">
              <w:t xml:space="preserve"> to insert)</w:t>
            </w:r>
          </w:p>
        </w:tc>
      </w:tr>
      <w:tr w:rsidR="00FE4488" w14:paraId="6CEBD05A" w14:textId="77777777" w:rsidTr="00A24388">
        <w:trPr>
          <w:trHeight w:val="562"/>
        </w:trPr>
        <w:tc>
          <w:tcPr>
            <w:tcW w:w="4508" w:type="dxa"/>
          </w:tcPr>
          <w:p w14:paraId="017A837B" w14:textId="64D26170" w:rsidR="00FE4488" w:rsidRPr="00E93BD4" w:rsidRDefault="00FE4488" w:rsidP="00A24388">
            <w:r w:rsidRPr="00E93BD4">
              <w:t xml:space="preserve">Authorised to sign </w:t>
            </w:r>
            <w:r w:rsidR="00AE7C9D">
              <w:t>Tender Response</w:t>
            </w:r>
            <w:r w:rsidRPr="00E93BD4">
              <w:t>s on behalf of:</w:t>
            </w:r>
          </w:p>
        </w:tc>
        <w:tc>
          <w:tcPr>
            <w:tcW w:w="4508" w:type="dxa"/>
          </w:tcPr>
          <w:p w14:paraId="5412B663" w14:textId="3138CFAA" w:rsidR="00FE4488" w:rsidRPr="00E93BD4" w:rsidRDefault="00FE4488" w:rsidP="00A24388">
            <w:r w:rsidRPr="00E93BD4">
              <w:t>(</w:t>
            </w:r>
            <w:r w:rsidR="00AE7C9D">
              <w:t>Provider</w:t>
            </w:r>
            <w:r w:rsidRPr="00E93BD4">
              <w:t xml:space="preserve"> to insert)</w:t>
            </w:r>
          </w:p>
        </w:tc>
      </w:tr>
      <w:tr w:rsidR="00FE4488" w14:paraId="509600A9" w14:textId="77777777" w:rsidTr="00A24388">
        <w:trPr>
          <w:trHeight w:val="556"/>
        </w:trPr>
        <w:tc>
          <w:tcPr>
            <w:tcW w:w="4508" w:type="dxa"/>
          </w:tcPr>
          <w:p w14:paraId="2DA4F094" w14:textId="77777777" w:rsidR="00FE4488" w:rsidRPr="00E93BD4" w:rsidRDefault="00FE4488" w:rsidP="00A24388">
            <w:r w:rsidRPr="00E93BD4">
              <w:t>Date:</w:t>
            </w:r>
          </w:p>
        </w:tc>
        <w:tc>
          <w:tcPr>
            <w:tcW w:w="4508" w:type="dxa"/>
          </w:tcPr>
          <w:p w14:paraId="2BAE1630" w14:textId="2EAD1A51" w:rsidR="00FE4488" w:rsidRPr="00E93BD4" w:rsidRDefault="00FE4488" w:rsidP="00A24388">
            <w:r w:rsidRPr="00E93BD4">
              <w:t>(</w:t>
            </w:r>
            <w:r w:rsidR="00AE7C9D">
              <w:t>Provider</w:t>
            </w:r>
            <w:r w:rsidRPr="00E93BD4">
              <w:t xml:space="preserve"> to insert)</w:t>
            </w:r>
          </w:p>
        </w:tc>
      </w:tr>
    </w:tbl>
    <w:p w14:paraId="25A42957" w14:textId="77777777" w:rsidR="00FE4488" w:rsidRDefault="00FE4488" w:rsidP="00FE4488"/>
    <w:p w14:paraId="6B804842" w14:textId="1CB7C60C" w:rsidR="00DD3E18" w:rsidRDefault="00DD3E18">
      <w:pPr>
        <w:adjustRightInd/>
        <w:jc w:val="left"/>
      </w:pPr>
      <w:r>
        <w:br w:type="page"/>
      </w:r>
    </w:p>
    <w:p w14:paraId="513578C6" w14:textId="77777777" w:rsidR="00FE4488" w:rsidRPr="00FE4488" w:rsidRDefault="00FE4488" w:rsidP="00FE4488">
      <w:pPr>
        <w:pStyle w:val="Body"/>
      </w:pPr>
    </w:p>
    <w:p w14:paraId="3259398C" w14:textId="46AF6BE4" w:rsidR="00C265B2" w:rsidRDefault="00165DF8" w:rsidP="00165DF8">
      <w:pPr>
        <w:pStyle w:val="Appendix"/>
      </w:pPr>
      <w:r>
        <w:fldChar w:fldCharType="begin"/>
      </w:r>
      <w:r w:rsidRPr="00165DF8">
        <w:instrText xml:space="preserve">  TC "</w:instrText>
      </w:r>
      <w:r>
        <w:fldChar w:fldCharType="begin"/>
      </w:r>
      <w:r w:rsidRPr="00165DF8">
        <w:instrText xml:space="preserve"> REF _Ref439717138 \r\* UPPER </w:instrText>
      </w:r>
      <w:r>
        <w:fldChar w:fldCharType="separate"/>
      </w:r>
      <w:bookmarkStart w:id="156" w:name="_Toc42697289"/>
      <w:r w:rsidR="006D7AE5">
        <w:instrText>APPENDIX 7</w:instrText>
      </w:r>
      <w:r>
        <w:fldChar w:fldCharType="end"/>
      </w:r>
      <w:r>
        <w:instrText>- FORM OF BAFO INVITATION</w:instrText>
      </w:r>
      <w:bookmarkEnd w:id="156"/>
      <w:r w:rsidRPr="00165DF8">
        <w:instrText xml:space="preserve">" \l4 </w:instrText>
      </w:r>
      <w:r>
        <w:fldChar w:fldCharType="end"/>
      </w:r>
      <w:bookmarkStart w:id="157" w:name="_Ref439717138"/>
      <w:r>
        <w:t xml:space="preserve"> - FORM OF BAFO INVITATION</w:t>
      </w:r>
      <w:bookmarkEnd w:id="157"/>
    </w:p>
    <w:p w14:paraId="5ABEB771" w14:textId="77777777" w:rsidR="00165DF8" w:rsidRDefault="00165DF8" w:rsidP="001007DE">
      <w:pPr>
        <w:pStyle w:val="SubHeading"/>
        <w:jc w:val="both"/>
      </w:pPr>
    </w:p>
    <w:p w14:paraId="4F361266" w14:textId="65AAFAF3" w:rsidR="001007DE" w:rsidRDefault="001007DE" w:rsidP="001007DE">
      <w:pPr>
        <w:pStyle w:val="Body"/>
      </w:pPr>
      <w:r>
        <w:t>[</w:t>
      </w:r>
      <w:r w:rsidRPr="001007DE">
        <w:rPr>
          <w:b/>
          <w:highlight w:val="yellow"/>
        </w:rPr>
        <w:t>Drafting note: It is anticipated that Best and Final Offers (</w:t>
      </w:r>
      <w:proofErr w:type="spellStart"/>
      <w:r w:rsidRPr="001007DE">
        <w:rPr>
          <w:b/>
          <w:highlight w:val="yellow"/>
        </w:rPr>
        <w:t>BAFOs</w:t>
      </w:r>
      <w:proofErr w:type="spellEnd"/>
      <w:r w:rsidRPr="001007DE">
        <w:rPr>
          <w:b/>
          <w:highlight w:val="yellow"/>
        </w:rPr>
        <w:t>) will be evaluated on the same basis as Tenders. Authorities can therefore</w:t>
      </w:r>
      <w:r w:rsidR="00ED31E9">
        <w:rPr>
          <w:b/>
          <w:highlight w:val="yellow"/>
        </w:rPr>
        <w:t xml:space="preserve"> simply</w:t>
      </w:r>
      <w:r w:rsidRPr="001007DE">
        <w:rPr>
          <w:b/>
          <w:highlight w:val="yellow"/>
        </w:rPr>
        <w:t xml:space="preserve"> issue a letter to Providers to invite </w:t>
      </w:r>
      <w:proofErr w:type="spellStart"/>
      <w:r w:rsidRPr="001007DE">
        <w:rPr>
          <w:b/>
          <w:highlight w:val="yellow"/>
        </w:rPr>
        <w:t>BAFOs</w:t>
      </w:r>
      <w:proofErr w:type="spellEnd"/>
      <w:r w:rsidRPr="001007DE">
        <w:rPr>
          <w:b/>
          <w:highlight w:val="yellow"/>
        </w:rPr>
        <w:t>, on the same basis as under this Call Off ITT</w:t>
      </w:r>
      <w:r>
        <w:t xml:space="preserve">] </w:t>
      </w:r>
    </w:p>
    <w:p w14:paraId="0407F391" w14:textId="6853BE9E" w:rsidR="001007DE" w:rsidRDefault="001007DE" w:rsidP="001007DE">
      <w:pPr>
        <w:pStyle w:val="Body"/>
      </w:pPr>
      <w:r>
        <w:rPr>
          <w:highlight w:val="yellow"/>
        </w:rPr>
        <w:t>[</w:t>
      </w:r>
      <w:r w:rsidRPr="001007DE">
        <w:rPr>
          <w:highlight w:val="yellow"/>
        </w:rPr>
        <w:t>Authority letter head</w:t>
      </w:r>
      <w:r>
        <w:t>]</w:t>
      </w:r>
    </w:p>
    <w:p w14:paraId="38BDE700" w14:textId="2B855189" w:rsidR="001007DE" w:rsidRDefault="001007DE" w:rsidP="001007DE">
      <w:pPr>
        <w:pStyle w:val="Body"/>
      </w:pPr>
      <w:r>
        <w:rPr>
          <w:highlight w:val="yellow"/>
        </w:rPr>
        <w:t>Re: Best and Final Offer</w:t>
      </w:r>
      <w:r w:rsidR="000001DB">
        <w:rPr>
          <w:highlight w:val="yellow"/>
        </w:rPr>
        <w:t xml:space="preserve"> </w:t>
      </w:r>
      <w:r>
        <w:rPr>
          <w:highlight w:val="yellow"/>
        </w:rPr>
        <w:t xml:space="preserve"> - </w:t>
      </w:r>
      <w:r w:rsidRPr="001007DE">
        <w:rPr>
          <w:highlight w:val="yellow"/>
        </w:rPr>
        <w:t>[Tender reference details]</w:t>
      </w:r>
    </w:p>
    <w:p w14:paraId="05D94084" w14:textId="77777777" w:rsidR="001007DE" w:rsidRDefault="001007DE" w:rsidP="001007DE">
      <w:pPr>
        <w:pStyle w:val="Body"/>
      </w:pPr>
    </w:p>
    <w:p w14:paraId="258CECD4" w14:textId="03B81A76" w:rsidR="001007DE" w:rsidRDefault="001007DE" w:rsidP="001007DE">
      <w:pPr>
        <w:pStyle w:val="Body"/>
      </w:pPr>
      <w:r>
        <w:t xml:space="preserve">Dear </w:t>
      </w:r>
      <w:r w:rsidRPr="001007DE">
        <w:rPr>
          <w:highlight w:val="yellow"/>
        </w:rPr>
        <w:t>[Provider contact]</w:t>
      </w:r>
    </w:p>
    <w:p w14:paraId="2A6634CB" w14:textId="36E77D76" w:rsidR="001007DE" w:rsidRDefault="001007DE" w:rsidP="001007DE">
      <w:pPr>
        <w:pStyle w:val="Body"/>
      </w:pPr>
      <w:r>
        <w:t>Thank you for submitting your Tender in respect of the above Call Off Competition.</w:t>
      </w:r>
    </w:p>
    <w:p w14:paraId="69C4E15F" w14:textId="36BC715E" w:rsidR="001007DE" w:rsidRDefault="001007DE" w:rsidP="001007DE">
      <w:pPr>
        <w:pStyle w:val="Body"/>
      </w:pPr>
      <w:r>
        <w:t>The Authority</w:t>
      </w:r>
      <w:r w:rsidR="006F6229">
        <w:t xml:space="preserve"> now</w:t>
      </w:r>
      <w:r>
        <w:t xml:space="preserve"> </w:t>
      </w:r>
      <w:r w:rsidR="006F6229">
        <w:t>invites</w:t>
      </w:r>
      <w:r>
        <w:t xml:space="preserve"> you to submi</w:t>
      </w:r>
      <w:r w:rsidR="000001DB">
        <w:t xml:space="preserve">t your Best and Final Offer (BAFO) by </w:t>
      </w:r>
      <w:r w:rsidR="000001DB" w:rsidRPr="000001DB">
        <w:rPr>
          <w:highlight w:val="yellow"/>
        </w:rPr>
        <w:t>[insert time and deadline]</w:t>
      </w:r>
      <w:r w:rsidR="000001DB">
        <w:t>.</w:t>
      </w:r>
    </w:p>
    <w:p w14:paraId="254562E8" w14:textId="64B26D5C" w:rsidR="000001DB" w:rsidRDefault="006F6229" w:rsidP="001007DE">
      <w:pPr>
        <w:pStyle w:val="Body"/>
      </w:pPr>
      <w:r>
        <w:t>The</w:t>
      </w:r>
      <w:r w:rsidR="000001DB">
        <w:t xml:space="preserve"> terms and conditions  of the Call Off ITT apply to the s</w:t>
      </w:r>
      <w:r>
        <w:t xml:space="preserve">ubmission of </w:t>
      </w:r>
      <w:proofErr w:type="spellStart"/>
      <w:r>
        <w:t>BAFOs</w:t>
      </w:r>
      <w:proofErr w:type="spellEnd"/>
      <w:r>
        <w:t xml:space="preserve">. For the avoidance of doubt, </w:t>
      </w:r>
      <w:proofErr w:type="spellStart"/>
      <w:r>
        <w:t>BAFOs</w:t>
      </w:r>
      <w:proofErr w:type="spellEnd"/>
      <w:r>
        <w:t xml:space="preserve"> will be evaluated by the Authority on the same basis as Tenders</w:t>
      </w:r>
      <w:r w:rsidR="00ED31E9">
        <w:t>,</w:t>
      </w:r>
      <w:r>
        <w:t xml:space="preserve"> as set out in the Call Off ITT.</w:t>
      </w:r>
    </w:p>
    <w:p w14:paraId="276691C8" w14:textId="2E87A42F" w:rsidR="000001DB" w:rsidRDefault="000001DB" w:rsidP="001007DE">
      <w:pPr>
        <w:pStyle w:val="Body"/>
      </w:pPr>
      <w:r>
        <w:t>[Clarification questions from Providers</w:t>
      </w:r>
      <w:r w:rsidR="00ED31E9">
        <w:t xml:space="preserve"> in respect of their BAFO submission</w:t>
      </w:r>
      <w:r>
        <w:t xml:space="preserve"> must be submitted by [</w:t>
      </w:r>
      <w:r w:rsidRPr="006F6229">
        <w:rPr>
          <w:highlight w:val="yellow"/>
        </w:rPr>
        <w:t>insert date and deadline</w:t>
      </w:r>
      <w:r>
        <w:t>]]</w:t>
      </w:r>
    </w:p>
    <w:p w14:paraId="24B25CF8" w14:textId="40FE7FE9" w:rsidR="00ED31E9" w:rsidRDefault="00ED31E9" w:rsidP="001007DE">
      <w:pPr>
        <w:pStyle w:val="Body"/>
      </w:pPr>
      <w:r>
        <w:t xml:space="preserve">We look forward to receiving your BAFO. We will be in contact </w:t>
      </w:r>
      <w:r w:rsidR="005E04B3">
        <w:t xml:space="preserve">to notify you of the outcome of this Call Off Competition </w:t>
      </w:r>
      <w:r>
        <w:t xml:space="preserve">once we have evaluated all </w:t>
      </w:r>
      <w:proofErr w:type="spellStart"/>
      <w:r>
        <w:t>BAFO</w:t>
      </w:r>
      <w:r w:rsidR="009A547C">
        <w:t>s</w:t>
      </w:r>
      <w:proofErr w:type="spellEnd"/>
      <w:r>
        <w:t>.</w:t>
      </w:r>
    </w:p>
    <w:p w14:paraId="69A54AEA" w14:textId="4ECD8C8A" w:rsidR="00ED31E9" w:rsidRDefault="00ED31E9" w:rsidP="001007DE">
      <w:pPr>
        <w:pStyle w:val="Body"/>
      </w:pPr>
      <w:r>
        <w:t>Yours sincerely</w:t>
      </w:r>
    </w:p>
    <w:p w14:paraId="0537F563" w14:textId="77777777" w:rsidR="00ED31E9" w:rsidRDefault="00ED31E9" w:rsidP="001007DE">
      <w:pPr>
        <w:pStyle w:val="Body"/>
      </w:pPr>
    </w:p>
    <w:p w14:paraId="3E955F1A" w14:textId="05AC0162" w:rsidR="00ED31E9" w:rsidRPr="001007DE" w:rsidRDefault="00ED31E9" w:rsidP="001007DE">
      <w:pPr>
        <w:pStyle w:val="Body"/>
      </w:pPr>
      <w:r>
        <w:t>[</w:t>
      </w:r>
      <w:r w:rsidRPr="00ED31E9">
        <w:rPr>
          <w:highlight w:val="yellow"/>
        </w:rPr>
        <w:t>Authority contact/job title</w:t>
      </w:r>
      <w:r>
        <w:t>]</w:t>
      </w:r>
    </w:p>
    <w:sectPr w:rsidR="00ED31E9" w:rsidRPr="001007DE" w:rsidSect="00444238">
      <w:pgSz w:w="11907" w:h="16840" w:code="9"/>
      <w:pgMar w:top="1418" w:right="1134" w:bottom="1418" w:left="1134" w:header="709" w:footer="709" w:gutter="0"/>
      <w:paperSrc w:first="261" w:other="261"/>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95A05B" w15:done="0"/>
  <w15:commentEx w15:paraId="40FE2B24" w15:done="0"/>
  <w15:commentEx w15:paraId="4F9E6444" w15:done="0"/>
  <w15:commentEx w15:paraId="6A95B097" w15:done="0"/>
  <w15:commentEx w15:paraId="0BA46ED2" w15:done="0"/>
  <w15:commentEx w15:paraId="22A07C9F" w15:done="0"/>
  <w15:commentEx w15:paraId="01D99C3C" w15:done="0"/>
  <w15:commentEx w15:paraId="144B4D51" w15:done="0"/>
  <w15:commentEx w15:paraId="7E57A22F" w15:done="0"/>
  <w15:commentEx w15:paraId="6E4F495A" w15:done="0"/>
  <w15:commentEx w15:paraId="194549FC" w15:done="0"/>
  <w15:commentEx w15:paraId="53C96173" w15:done="0"/>
  <w15:commentEx w15:paraId="71BB91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95A05B" w16cid:durableId="218105E5"/>
  <w16cid:commentId w16cid:paraId="40FE2B24" w16cid:durableId="2280A03D"/>
  <w16cid:commentId w16cid:paraId="4F9E6444" w16cid:durableId="2280A03E"/>
  <w16cid:commentId w16cid:paraId="6A95B097" w16cid:durableId="22821255"/>
  <w16cid:commentId w16cid:paraId="0BA46ED2" w16cid:durableId="22821256"/>
  <w16cid:commentId w16cid:paraId="22A07C9F" w16cid:durableId="22821257"/>
  <w16cid:commentId w16cid:paraId="01D99C3C" w16cid:durableId="22821258"/>
  <w16cid:commentId w16cid:paraId="7E57A22F" w16cid:durableId="2280A03F"/>
  <w16cid:commentId w16cid:paraId="6E4F495A" w16cid:durableId="2280A040"/>
  <w16cid:commentId w16cid:paraId="194549FC" w16cid:durableId="216EA8A6"/>
  <w16cid:commentId w16cid:paraId="53C96173" w16cid:durableId="2280A045"/>
  <w16cid:commentId w16cid:paraId="71BB9199" w16cid:durableId="2280A0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9B17A" w14:textId="77777777" w:rsidR="00283381" w:rsidRPr="004D3114" w:rsidRDefault="00283381" w:rsidP="004D3114">
      <w:pPr>
        <w:pStyle w:val="EndnoteText"/>
      </w:pPr>
      <w:r w:rsidRPr="004D3114">
        <w:separator/>
      </w:r>
    </w:p>
  </w:endnote>
  <w:endnote w:type="continuationSeparator" w:id="0">
    <w:p w14:paraId="7F0AF26E" w14:textId="77777777" w:rsidR="00283381" w:rsidRPr="004D3114" w:rsidRDefault="00283381" w:rsidP="004D3114">
      <w:pPr>
        <w:pStyle w:val="EndnoteText"/>
      </w:pPr>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0CD6C" w14:textId="2B495279" w:rsidR="00283381" w:rsidRPr="00776D09" w:rsidRDefault="00283381" w:rsidP="00F3179E">
    <w:pPr>
      <w:pStyle w:val="Footer"/>
      <w:tabs>
        <w:tab w:val="clear" w:pos="4320"/>
        <w:tab w:val="center" w:pos="4788"/>
      </w:tabs>
    </w:pPr>
    <w:fldSimple w:instr=" DOCPROPERTY  &quot;Reference&quot;  \* MERGEFORMAT ">
      <w:r>
        <w:t>108995540.12\EB34</w:t>
      </w:r>
    </w:fldSimple>
    <w:r w:rsidRPr="00776D09">
      <w:tab/>
    </w:r>
    <w:r>
      <w:fldChar w:fldCharType="begin"/>
    </w:r>
    <w:r>
      <w:instrText xml:space="preserve">  PAGE \* MERGEFORMAT </w:instrText>
    </w:r>
    <w:r>
      <w:fldChar w:fldCharType="separate"/>
    </w:r>
    <w:r w:rsidR="006D7AE5">
      <w:rPr>
        <w:noProof/>
      </w:rPr>
      <w:t>24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12D7E" w14:textId="77777777" w:rsidR="00283381" w:rsidRDefault="00283381">
    <w:pPr>
      <w:pStyle w:val="Footer"/>
    </w:pPr>
    <w:bookmarkStart w:id="139" w:name="FooterDiffFirstPage"/>
    <w:bookmarkEnd w:id="13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7F85B" w14:textId="77777777" w:rsidR="00283381" w:rsidRPr="004D3114" w:rsidRDefault="00283381" w:rsidP="004D3114">
      <w:pPr>
        <w:pStyle w:val="FootnoteText"/>
      </w:pPr>
      <w:r w:rsidRPr="004D3114">
        <w:separator/>
      </w:r>
    </w:p>
  </w:footnote>
  <w:footnote w:type="continuationSeparator" w:id="0">
    <w:p w14:paraId="11C44D6F" w14:textId="77777777" w:rsidR="00283381" w:rsidRPr="004D3114" w:rsidRDefault="00283381" w:rsidP="004D3114">
      <w:pPr>
        <w:pStyle w:val="FootnoteText"/>
      </w:pPr>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16F67" w14:textId="77777777" w:rsidR="00283381" w:rsidRDefault="00283381">
    <w:pPr>
      <w:pStyle w:val="Header"/>
    </w:pPr>
    <w:r>
      <w:rPr>
        <w:noProof/>
        <w:lang w:val="en-US" w:eastAsia="zh-TW"/>
      </w:rPr>
      <w:pict w14:anchorId="6E9CE1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9218"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05671" w14:textId="77777777" w:rsidR="00283381" w:rsidRDefault="00283381">
    <w:pPr>
      <w:pStyle w:val="Header"/>
    </w:pPr>
    <w:bookmarkStart w:id="138" w:name="HeaderDiffFirstPage"/>
    <w:bookmarkEnd w:id="13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54A5C46"/>
    <w:multiLevelType w:val="singleLevel"/>
    <w:tmpl w:val="A1F4B8BA"/>
    <w:lvl w:ilvl="0">
      <w:start w:val="1"/>
      <w:numFmt w:val="decimal"/>
      <w:pStyle w:val="Schedule"/>
      <w:lvlText w:val="%1"/>
      <w:lvlJc w:val="center"/>
      <w:pPr>
        <w:tabs>
          <w:tab w:val="num" w:pos="0"/>
        </w:tabs>
      </w:pPr>
      <w:rPr>
        <w:rFonts w:cs="Times New Roman" w:hint="default"/>
        <w:vanish/>
      </w:rPr>
    </w:lvl>
  </w:abstractNum>
  <w:abstractNum w:abstractNumId="5">
    <w:nsid w:val="1F55245E"/>
    <w:multiLevelType w:val="hybridMultilevel"/>
    <w:tmpl w:val="BBEA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2C60F4"/>
    <w:multiLevelType w:val="multilevel"/>
    <w:tmpl w:val="2263C1A1"/>
    <w:lvl w:ilvl="0">
      <w:start w:val="1"/>
      <w:numFmt w:val="decimal"/>
      <w:pStyle w:val="Schedule0"/>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7">
    <w:nsid w:val="3EF6201C"/>
    <w:multiLevelType w:val="hybridMultilevel"/>
    <w:tmpl w:val="01E4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3B4B9A"/>
    <w:multiLevelType w:val="multilevel"/>
    <w:tmpl w:val="18F0292A"/>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E4B4E3E"/>
    <w:multiLevelType w:val="multilevel"/>
    <w:tmpl w:val="E6502C00"/>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1080"/>
        </w:tabs>
        <w:ind w:left="1080" w:hanging="720"/>
      </w:p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0">
    <w:nsid w:val="53AA6E7A"/>
    <w:multiLevelType w:val="multilevel"/>
    <w:tmpl w:val="18F0292A"/>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3BB63F3"/>
    <w:multiLevelType w:val="multilevel"/>
    <w:tmpl w:val="65E69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D000A9E"/>
    <w:multiLevelType w:val="multilevel"/>
    <w:tmpl w:val="83502214"/>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BCE7C1B"/>
    <w:multiLevelType w:val="multilevel"/>
    <w:tmpl w:val="08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4">
    <w:nsid w:val="7A88100D"/>
    <w:multiLevelType w:val="hybridMultilevel"/>
    <w:tmpl w:val="AF20D0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6"/>
  </w:num>
  <w:num w:numId="12">
    <w:abstractNumId w:val="0"/>
  </w:num>
  <w:num w:numId="13">
    <w:abstractNumId w:val="6"/>
  </w:num>
  <w:num w:numId="14">
    <w:abstractNumId w:val="6"/>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num>
  <w:num w:numId="21">
    <w:abstractNumId w:val="15"/>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num>
  <w:num w:numId="26">
    <w:abstractNumId w:val="2"/>
  </w:num>
  <w:num w:numId="27">
    <w:abstractNumId w:val="2"/>
  </w:num>
  <w:num w:numId="28">
    <w:abstractNumId w:val="2"/>
  </w:num>
  <w:num w:numId="29">
    <w:abstractNumId w:val="9"/>
  </w:num>
  <w:num w:numId="30">
    <w:abstractNumId w:val="14"/>
  </w:num>
  <w:num w:numId="31">
    <w:abstractNumId w:val="7"/>
  </w:num>
  <w:num w:numId="32">
    <w:abstractNumId w:val="5"/>
  </w:num>
  <w:num w:numId="33">
    <w:abstractNumId w:val="12"/>
  </w:num>
  <w:num w:numId="34">
    <w:abstractNumId w:val="8"/>
  </w:num>
  <w:num w:numId="35">
    <w:abstractNumId w:val="10"/>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850"/>
  <w:doNotHyphenateCaps/>
  <w:drawingGridHorizontalSpacing w:val="78"/>
  <w:displayHorizontalDrawingGridEvery w:val="0"/>
  <w:displayVerticalDrawingGridEvery w:val="0"/>
  <w:characterSpacingControl w:val="doNotCompress"/>
  <w:hdrShapeDefaults>
    <o:shapedefaults v:ext="edit" spidmax="9219"/>
    <o:shapelayout v:ext="edit">
      <o:idmap v:ext="edit" data="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9"/>
    <w:docVar w:name="SJ_Brand" w:val="1"/>
  </w:docVars>
  <w:rsids>
    <w:rsidRoot w:val="001F3E6E"/>
    <w:rsid w:val="000001DB"/>
    <w:rsid w:val="000024D0"/>
    <w:rsid w:val="000038B8"/>
    <w:rsid w:val="00004108"/>
    <w:rsid w:val="00006103"/>
    <w:rsid w:val="00006847"/>
    <w:rsid w:val="00010494"/>
    <w:rsid w:val="00015AB8"/>
    <w:rsid w:val="00015EDB"/>
    <w:rsid w:val="0001762D"/>
    <w:rsid w:val="000217B1"/>
    <w:rsid w:val="000251C8"/>
    <w:rsid w:val="000324F7"/>
    <w:rsid w:val="000332FC"/>
    <w:rsid w:val="00035E23"/>
    <w:rsid w:val="000422F7"/>
    <w:rsid w:val="00042C7E"/>
    <w:rsid w:val="000437F4"/>
    <w:rsid w:val="00050773"/>
    <w:rsid w:val="00054831"/>
    <w:rsid w:val="00054F47"/>
    <w:rsid w:val="000563CE"/>
    <w:rsid w:val="00067A64"/>
    <w:rsid w:val="0007355D"/>
    <w:rsid w:val="00074191"/>
    <w:rsid w:val="00075020"/>
    <w:rsid w:val="00075377"/>
    <w:rsid w:val="000805B7"/>
    <w:rsid w:val="0008163E"/>
    <w:rsid w:val="00086D30"/>
    <w:rsid w:val="00090D79"/>
    <w:rsid w:val="00092251"/>
    <w:rsid w:val="00097C6A"/>
    <w:rsid w:val="00097C8D"/>
    <w:rsid w:val="000A70C0"/>
    <w:rsid w:val="000B033A"/>
    <w:rsid w:val="000B4631"/>
    <w:rsid w:val="000B6FE2"/>
    <w:rsid w:val="000C0EC5"/>
    <w:rsid w:val="000C543E"/>
    <w:rsid w:val="000C5689"/>
    <w:rsid w:val="000C672E"/>
    <w:rsid w:val="000C71E9"/>
    <w:rsid w:val="000D1BB8"/>
    <w:rsid w:val="000D3D3E"/>
    <w:rsid w:val="000D57B4"/>
    <w:rsid w:val="000D6814"/>
    <w:rsid w:val="000F2EAB"/>
    <w:rsid w:val="001007DE"/>
    <w:rsid w:val="0010080A"/>
    <w:rsid w:val="00103DBE"/>
    <w:rsid w:val="00104A00"/>
    <w:rsid w:val="0012272A"/>
    <w:rsid w:val="00122C23"/>
    <w:rsid w:val="00125E67"/>
    <w:rsid w:val="00130DC4"/>
    <w:rsid w:val="00135EC6"/>
    <w:rsid w:val="00144099"/>
    <w:rsid w:val="00154094"/>
    <w:rsid w:val="001555FE"/>
    <w:rsid w:val="00155D9A"/>
    <w:rsid w:val="001645CA"/>
    <w:rsid w:val="00165DF8"/>
    <w:rsid w:val="00167646"/>
    <w:rsid w:val="00171127"/>
    <w:rsid w:val="00171A7D"/>
    <w:rsid w:val="00171CD9"/>
    <w:rsid w:val="00174B88"/>
    <w:rsid w:val="001767E4"/>
    <w:rsid w:val="00176B0B"/>
    <w:rsid w:val="00180F8A"/>
    <w:rsid w:val="00182284"/>
    <w:rsid w:val="00186E95"/>
    <w:rsid w:val="00192159"/>
    <w:rsid w:val="0019379C"/>
    <w:rsid w:val="001A083C"/>
    <w:rsid w:val="001B7AFC"/>
    <w:rsid w:val="001C12E4"/>
    <w:rsid w:val="001C4238"/>
    <w:rsid w:val="001C446D"/>
    <w:rsid w:val="001D3D36"/>
    <w:rsid w:val="001D698B"/>
    <w:rsid w:val="001E1558"/>
    <w:rsid w:val="001E16AF"/>
    <w:rsid w:val="001E22DF"/>
    <w:rsid w:val="001E44CF"/>
    <w:rsid w:val="001F3E6E"/>
    <w:rsid w:val="002015EA"/>
    <w:rsid w:val="002040C1"/>
    <w:rsid w:val="002054A8"/>
    <w:rsid w:val="0021341A"/>
    <w:rsid w:val="002146E1"/>
    <w:rsid w:val="00222A0D"/>
    <w:rsid w:val="00226DFF"/>
    <w:rsid w:val="0022765A"/>
    <w:rsid w:val="00230D6B"/>
    <w:rsid w:val="0023161F"/>
    <w:rsid w:val="00237C05"/>
    <w:rsid w:val="00253F06"/>
    <w:rsid w:val="00256724"/>
    <w:rsid w:val="0025784B"/>
    <w:rsid w:val="00257F5D"/>
    <w:rsid w:val="002729EA"/>
    <w:rsid w:val="00275F10"/>
    <w:rsid w:val="00283381"/>
    <w:rsid w:val="00283770"/>
    <w:rsid w:val="002838F9"/>
    <w:rsid w:val="002845D2"/>
    <w:rsid w:val="00284771"/>
    <w:rsid w:val="0028775A"/>
    <w:rsid w:val="00290E31"/>
    <w:rsid w:val="00291582"/>
    <w:rsid w:val="00295E28"/>
    <w:rsid w:val="00295F7C"/>
    <w:rsid w:val="0029617A"/>
    <w:rsid w:val="002A42CF"/>
    <w:rsid w:val="002B22F7"/>
    <w:rsid w:val="002B6116"/>
    <w:rsid w:val="002B6B1C"/>
    <w:rsid w:val="002C02A7"/>
    <w:rsid w:val="002C3E48"/>
    <w:rsid w:val="002C4BF0"/>
    <w:rsid w:val="002C5430"/>
    <w:rsid w:val="002D31CA"/>
    <w:rsid w:val="002D330C"/>
    <w:rsid w:val="002D39C4"/>
    <w:rsid w:val="002D3B82"/>
    <w:rsid w:val="002D7C01"/>
    <w:rsid w:val="002E17BD"/>
    <w:rsid w:val="002E1A43"/>
    <w:rsid w:val="002E1D24"/>
    <w:rsid w:val="002E64F4"/>
    <w:rsid w:val="002F5B88"/>
    <w:rsid w:val="002F7228"/>
    <w:rsid w:val="002F76CC"/>
    <w:rsid w:val="00302D0F"/>
    <w:rsid w:val="003052F9"/>
    <w:rsid w:val="00305371"/>
    <w:rsid w:val="003068E5"/>
    <w:rsid w:val="00313ACF"/>
    <w:rsid w:val="00315797"/>
    <w:rsid w:val="00315D8A"/>
    <w:rsid w:val="0031630B"/>
    <w:rsid w:val="00316ABF"/>
    <w:rsid w:val="003239AB"/>
    <w:rsid w:val="0032727B"/>
    <w:rsid w:val="0033155B"/>
    <w:rsid w:val="00331692"/>
    <w:rsid w:val="00341FD4"/>
    <w:rsid w:val="00342B86"/>
    <w:rsid w:val="00343ED3"/>
    <w:rsid w:val="00344FCF"/>
    <w:rsid w:val="00347313"/>
    <w:rsid w:val="00350317"/>
    <w:rsid w:val="00354DD9"/>
    <w:rsid w:val="00355DD4"/>
    <w:rsid w:val="003575A7"/>
    <w:rsid w:val="00360EBE"/>
    <w:rsid w:val="00362100"/>
    <w:rsid w:val="0036221C"/>
    <w:rsid w:val="00363C49"/>
    <w:rsid w:val="00375EB8"/>
    <w:rsid w:val="003776FD"/>
    <w:rsid w:val="00382243"/>
    <w:rsid w:val="00393E74"/>
    <w:rsid w:val="00395281"/>
    <w:rsid w:val="003A2191"/>
    <w:rsid w:val="003A3D74"/>
    <w:rsid w:val="003A5E8A"/>
    <w:rsid w:val="003A6DDA"/>
    <w:rsid w:val="003B6825"/>
    <w:rsid w:val="003C216C"/>
    <w:rsid w:val="003D0D54"/>
    <w:rsid w:val="003D39B9"/>
    <w:rsid w:val="003D6E62"/>
    <w:rsid w:val="003E1449"/>
    <w:rsid w:val="003E1C23"/>
    <w:rsid w:val="003E25CA"/>
    <w:rsid w:val="003E41B8"/>
    <w:rsid w:val="003E75D1"/>
    <w:rsid w:val="003F114A"/>
    <w:rsid w:val="003F1D6B"/>
    <w:rsid w:val="003F28B4"/>
    <w:rsid w:val="003F5095"/>
    <w:rsid w:val="0040741C"/>
    <w:rsid w:val="004133BB"/>
    <w:rsid w:val="00414E4F"/>
    <w:rsid w:val="00417E06"/>
    <w:rsid w:val="004326DB"/>
    <w:rsid w:val="004379DF"/>
    <w:rsid w:val="00440D5E"/>
    <w:rsid w:val="004432A8"/>
    <w:rsid w:val="00443437"/>
    <w:rsid w:val="00444238"/>
    <w:rsid w:val="004443F4"/>
    <w:rsid w:val="004545FC"/>
    <w:rsid w:val="00455668"/>
    <w:rsid w:val="004572E5"/>
    <w:rsid w:val="004576CE"/>
    <w:rsid w:val="00460287"/>
    <w:rsid w:val="00461FC9"/>
    <w:rsid w:val="00463261"/>
    <w:rsid w:val="004665A0"/>
    <w:rsid w:val="00466948"/>
    <w:rsid w:val="00466B3C"/>
    <w:rsid w:val="00471DB5"/>
    <w:rsid w:val="004737C7"/>
    <w:rsid w:val="00476BD2"/>
    <w:rsid w:val="0048237A"/>
    <w:rsid w:val="00483084"/>
    <w:rsid w:val="00484FDA"/>
    <w:rsid w:val="00486AC6"/>
    <w:rsid w:val="00486E57"/>
    <w:rsid w:val="00492642"/>
    <w:rsid w:val="004976EE"/>
    <w:rsid w:val="00497A3C"/>
    <w:rsid w:val="004A0650"/>
    <w:rsid w:val="004A0939"/>
    <w:rsid w:val="004A2D46"/>
    <w:rsid w:val="004A3C65"/>
    <w:rsid w:val="004A618C"/>
    <w:rsid w:val="004B053A"/>
    <w:rsid w:val="004B3830"/>
    <w:rsid w:val="004B5A37"/>
    <w:rsid w:val="004B6FDE"/>
    <w:rsid w:val="004C2C95"/>
    <w:rsid w:val="004C4A3E"/>
    <w:rsid w:val="004D0E00"/>
    <w:rsid w:val="004D3114"/>
    <w:rsid w:val="004D51BB"/>
    <w:rsid w:val="004D5763"/>
    <w:rsid w:val="004E5257"/>
    <w:rsid w:val="004F03F5"/>
    <w:rsid w:val="004F197C"/>
    <w:rsid w:val="004F52DF"/>
    <w:rsid w:val="004F63D6"/>
    <w:rsid w:val="00502417"/>
    <w:rsid w:val="00511A44"/>
    <w:rsid w:val="005152DD"/>
    <w:rsid w:val="00516D57"/>
    <w:rsid w:val="00521E57"/>
    <w:rsid w:val="005231A4"/>
    <w:rsid w:val="00524C41"/>
    <w:rsid w:val="005331C2"/>
    <w:rsid w:val="0053430C"/>
    <w:rsid w:val="00534BBD"/>
    <w:rsid w:val="00535F9A"/>
    <w:rsid w:val="00544C35"/>
    <w:rsid w:val="005451A0"/>
    <w:rsid w:val="0054649C"/>
    <w:rsid w:val="0055155E"/>
    <w:rsid w:val="00554439"/>
    <w:rsid w:val="005555A0"/>
    <w:rsid w:val="005556AF"/>
    <w:rsid w:val="00557229"/>
    <w:rsid w:val="00566434"/>
    <w:rsid w:val="0056773E"/>
    <w:rsid w:val="00570FA8"/>
    <w:rsid w:val="00577D23"/>
    <w:rsid w:val="00582AB3"/>
    <w:rsid w:val="00582AF1"/>
    <w:rsid w:val="005927FF"/>
    <w:rsid w:val="005937CB"/>
    <w:rsid w:val="00593C08"/>
    <w:rsid w:val="005951E8"/>
    <w:rsid w:val="005970FE"/>
    <w:rsid w:val="005A1CBB"/>
    <w:rsid w:val="005A2AD1"/>
    <w:rsid w:val="005A3DCC"/>
    <w:rsid w:val="005A56F2"/>
    <w:rsid w:val="005A778D"/>
    <w:rsid w:val="005B1881"/>
    <w:rsid w:val="005B3059"/>
    <w:rsid w:val="005B43CC"/>
    <w:rsid w:val="005C0530"/>
    <w:rsid w:val="005D3CDA"/>
    <w:rsid w:val="005D43FA"/>
    <w:rsid w:val="005E04B3"/>
    <w:rsid w:val="005E1CED"/>
    <w:rsid w:val="005E45D4"/>
    <w:rsid w:val="005E5D57"/>
    <w:rsid w:val="005F5F75"/>
    <w:rsid w:val="00600635"/>
    <w:rsid w:val="0060157D"/>
    <w:rsid w:val="00601C13"/>
    <w:rsid w:val="00603C56"/>
    <w:rsid w:val="006041FA"/>
    <w:rsid w:val="00615536"/>
    <w:rsid w:val="00615AAB"/>
    <w:rsid w:val="006168EC"/>
    <w:rsid w:val="0062293D"/>
    <w:rsid w:val="006243DA"/>
    <w:rsid w:val="00625E20"/>
    <w:rsid w:val="00627302"/>
    <w:rsid w:val="006336D7"/>
    <w:rsid w:val="00636914"/>
    <w:rsid w:val="00637706"/>
    <w:rsid w:val="00637944"/>
    <w:rsid w:val="0064265A"/>
    <w:rsid w:val="00644477"/>
    <w:rsid w:val="006447D2"/>
    <w:rsid w:val="0064679B"/>
    <w:rsid w:val="00652F2D"/>
    <w:rsid w:val="006601A1"/>
    <w:rsid w:val="00662195"/>
    <w:rsid w:val="00674DE8"/>
    <w:rsid w:val="0068583B"/>
    <w:rsid w:val="00685F99"/>
    <w:rsid w:val="00686030"/>
    <w:rsid w:val="006871CF"/>
    <w:rsid w:val="00693644"/>
    <w:rsid w:val="00695B0F"/>
    <w:rsid w:val="00697228"/>
    <w:rsid w:val="00697271"/>
    <w:rsid w:val="006A266D"/>
    <w:rsid w:val="006A2BBC"/>
    <w:rsid w:val="006A4DAA"/>
    <w:rsid w:val="006A6728"/>
    <w:rsid w:val="006B3F48"/>
    <w:rsid w:val="006B5E5B"/>
    <w:rsid w:val="006C303D"/>
    <w:rsid w:val="006C3352"/>
    <w:rsid w:val="006C643E"/>
    <w:rsid w:val="006C66D3"/>
    <w:rsid w:val="006D5F37"/>
    <w:rsid w:val="006D7AE5"/>
    <w:rsid w:val="006E3F05"/>
    <w:rsid w:val="006E5991"/>
    <w:rsid w:val="006F4975"/>
    <w:rsid w:val="006F6229"/>
    <w:rsid w:val="006F6625"/>
    <w:rsid w:val="00705C3F"/>
    <w:rsid w:val="007122BD"/>
    <w:rsid w:val="007219F7"/>
    <w:rsid w:val="00734CA8"/>
    <w:rsid w:val="00734F0B"/>
    <w:rsid w:val="00750177"/>
    <w:rsid w:val="00751478"/>
    <w:rsid w:val="00752448"/>
    <w:rsid w:val="0075255C"/>
    <w:rsid w:val="007544D5"/>
    <w:rsid w:val="00757C1C"/>
    <w:rsid w:val="00760AC8"/>
    <w:rsid w:val="0076777E"/>
    <w:rsid w:val="00771A0C"/>
    <w:rsid w:val="00781B39"/>
    <w:rsid w:val="00785D4A"/>
    <w:rsid w:val="00787EB3"/>
    <w:rsid w:val="00795320"/>
    <w:rsid w:val="007A7832"/>
    <w:rsid w:val="007B43FF"/>
    <w:rsid w:val="007C0E46"/>
    <w:rsid w:val="007D06AF"/>
    <w:rsid w:val="007D67C4"/>
    <w:rsid w:val="007E03ED"/>
    <w:rsid w:val="007E28DB"/>
    <w:rsid w:val="007F0895"/>
    <w:rsid w:val="00800058"/>
    <w:rsid w:val="0080020D"/>
    <w:rsid w:val="00800709"/>
    <w:rsid w:val="008021A6"/>
    <w:rsid w:val="00803458"/>
    <w:rsid w:val="008064AF"/>
    <w:rsid w:val="00806620"/>
    <w:rsid w:val="008074C1"/>
    <w:rsid w:val="00813795"/>
    <w:rsid w:val="00820DF5"/>
    <w:rsid w:val="00826C8A"/>
    <w:rsid w:val="00832515"/>
    <w:rsid w:val="00834675"/>
    <w:rsid w:val="00841BDB"/>
    <w:rsid w:val="00842087"/>
    <w:rsid w:val="00842EC7"/>
    <w:rsid w:val="00844BFA"/>
    <w:rsid w:val="00845ABA"/>
    <w:rsid w:val="00852EE8"/>
    <w:rsid w:val="00856BAE"/>
    <w:rsid w:val="00862460"/>
    <w:rsid w:val="00862942"/>
    <w:rsid w:val="00862B0C"/>
    <w:rsid w:val="0086642A"/>
    <w:rsid w:val="00867CC1"/>
    <w:rsid w:val="00871B02"/>
    <w:rsid w:val="008767CA"/>
    <w:rsid w:val="008767E7"/>
    <w:rsid w:val="00876A6E"/>
    <w:rsid w:val="00876E5E"/>
    <w:rsid w:val="00881E0F"/>
    <w:rsid w:val="00883B43"/>
    <w:rsid w:val="00884507"/>
    <w:rsid w:val="00884A70"/>
    <w:rsid w:val="00886187"/>
    <w:rsid w:val="008944D2"/>
    <w:rsid w:val="00894BA3"/>
    <w:rsid w:val="00896185"/>
    <w:rsid w:val="00896971"/>
    <w:rsid w:val="008A444F"/>
    <w:rsid w:val="008A4DB5"/>
    <w:rsid w:val="008A67AF"/>
    <w:rsid w:val="008B03B0"/>
    <w:rsid w:val="008B2A1A"/>
    <w:rsid w:val="008C239C"/>
    <w:rsid w:val="008C6B24"/>
    <w:rsid w:val="008C7C59"/>
    <w:rsid w:val="008D231D"/>
    <w:rsid w:val="008E4051"/>
    <w:rsid w:val="008E4D26"/>
    <w:rsid w:val="008E5654"/>
    <w:rsid w:val="008E5A8D"/>
    <w:rsid w:val="008E7028"/>
    <w:rsid w:val="008F0529"/>
    <w:rsid w:val="009031ED"/>
    <w:rsid w:val="00904E12"/>
    <w:rsid w:val="0090573A"/>
    <w:rsid w:val="009121F0"/>
    <w:rsid w:val="00916FC1"/>
    <w:rsid w:val="009171C4"/>
    <w:rsid w:val="009218E0"/>
    <w:rsid w:val="00923869"/>
    <w:rsid w:val="00923DF6"/>
    <w:rsid w:val="00927FDD"/>
    <w:rsid w:val="00930CAC"/>
    <w:rsid w:val="00930DE8"/>
    <w:rsid w:val="00930EEE"/>
    <w:rsid w:val="009312B7"/>
    <w:rsid w:val="009413D2"/>
    <w:rsid w:val="009420DC"/>
    <w:rsid w:val="0094775D"/>
    <w:rsid w:val="00955618"/>
    <w:rsid w:val="00956188"/>
    <w:rsid w:val="009570A2"/>
    <w:rsid w:val="009574EE"/>
    <w:rsid w:val="009647E1"/>
    <w:rsid w:val="00966033"/>
    <w:rsid w:val="009664D1"/>
    <w:rsid w:val="00972F04"/>
    <w:rsid w:val="009801E6"/>
    <w:rsid w:val="00980E4D"/>
    <w:rsid w:val="009844AB"/>
    <w:rsid w:val="00985B1D"/>
    <w:rsid w:val="00990428"/>
    <w:rsid w:val="00995103"/>
    <w:rsid w:val="0099701F"/>
    <w:rsid w:val="00997026"/>
    <w:rsid w:val="0099764F"/>
    <w:rsid w:val="009A1337"/>
    <w:rsid w:val="009A4393"/>
    <w:rsid w:val="009A547C"/>
    <w:rsid w:val="009B6341"/>
    <w:rsid w:val="009B6EBA"/>
    <w:rsid w:val="009C318C"/>
    <w:rsid w:val="009D3C8F"/>
    <w:rsid w:val="009E00E9"/>
    <w:rsid w:val="009F30AA"/>
    <w:rsid w:val="00A06C3E"/>
    <w:rsid w:val="00A1213F"/>
    <w:rsid w:val="00A16AC8"/>
    <w:rsid w:val="00A22C7A"/>
    <w:rsid w:val="00A22F2C"/>
    <w:rsid w:val="00A2318C"/>
    <w:rsid w:val="00A24388"/>
    <w:rsid w:val="00A2687C"/>
    <w:rsid w:val="00A33BE0"/>
    <w:rsid w:val="00A51400"/>
    <w:rsid w:val="00A51FBA"/>
    <w:rsid w:val="00A63603"/>
    <w:rsid w:val="00A67438"/>
    <w:rsid w:val="00A70414"/>
    <w:rsid w:val="00A70C45"/>
    <w:rsid w:val="00A70C7F"/>
    <w:rsid w:val="00A71E59"/>
    <w:rsid w:val="00A75D6D"/>
    <w:rsid w:val="00A81113"/>
    <w:rsid w:val="00A838E6"/>
    <w:rsid w:val="00A867BF"/>
    <w:rsid w:val="00A86CC8"/>
    <w:rsid w:val="00A930A4"/>
    <w:rsid w:val="00A956D5"/>
    <w:rsid w:val="00A9756A"/>
    <w:rsid w:val="00A97F10"/>
    <w:rsid w:val="00AB2C45"/>
    <w:rsid w:val="00AB3241"/>
    <w:rsid w:val="00AC10A6"/>
    <w:rsid w:val="00AC2B9C"/>
    <w:rsid w:val="00AD1FCA"/>
    <w:rsid w:val="00AD3B5A"/>
    <w:rsid w:val="00AE1850"/>
    <w:rsid w:val="00AE4CE1"/>
    <w:rsid w:val="00AE7C9D"/>
    <w:rsid w:val="00AF1397"/>
    <w:rsid w:val="00AF5440"/>
    <w:rsid w:val="00B00619"/>
    <w:rsid w:val="00B0262F"/>
    <w:rsid w:val="00B0355D"/>
    <w:rsid w:val="00B10D0C"/>
    <w:rsid w:val="00B11B6F"/>
    <w:rsid w:val="00B12766"/>
    <w:rsid w:val="00B134C5"/>
    <w:rsid w:val="00B14511"/>
    <w:rsid w:val="00B17D85"/>
    <w:rsid w:val="00B23688"/>
    <w:rsid w:val="00B25B55"/>
    <w:rsid w:val="00B301A3"/>
    <w:rsid w:val="00B30958"/>
    <w:rsid w:val="00B30B07"/>
    <w:rsid w:val="00B40459"/>
    <w:rsid w:val="00B42373"/>
    <w:rsid w:val="00B4284B"/>
    <w:rsid w:val="00B55989"/>
    <w:rsid w:val="00B60C2D"/>
    <w:rsid w:val="00B62443"/>
    <w:rsid w:val="00B6561E"/>
    <w:rsid w:val="00B66F51"/>
    <w:rsid w:val="00B67430"/>
    <w:rsid w:val="00B74061"/>
    <w:rsid w:val="00B816BF"/>
    <w:rsid w:val="00B8644E"/>
    <w:rsid w:val="00B96245"/>
    <w:rsid w:val="00B97ACF"/>
    <w:rsid w:val="00BA1AC7"/>
    <w:rsid w:val="00BA241C"/>
    <w:rsid w:val="00BA3D35"/>
    <w:rsid w:val="00BC3745"/>
    <w:rsid w:val="00BC3EFA"/>
    <w:rsid w:val="00BC5F75"/>
    <w:rsid w:val="00BC67A0"/>
    <w:rsid w:val="00BC6BAF"/>
    <w:rsid w:val="00BC6D9A"/>
    <w:rsid w:val="00BC742E"/>
    <w:rsid w:val="00BD3C4B"/>
    <w:rsid w:val="00BD6083"/>
    <w:rsid w:val="00BE54D9"/>
    <w:rsid w:val="00BE612A"/>
    <w:rsid w:val="00BE79F4"/>
    <w:rsid w:val="00BF0331"/>
    <w:rsid w:val="00BF151E"/>
    <w:rsid w:val="00BF6EC7"/>
    <w:rsid w:val="00C00F33"/>
    <w:rsid w:val="00C02D0A"/>
    <w:rsid w:val="00C067B4"/>
    <w:rsid w:val="00C070B2"/>
    <w:rsid w:val="00C10441"/>
    <w:rsid w:val="00C104A6"/>
    <w:rsid w:val="00C117C6"/>
    <w:rsid w:val="00C117F3"/>
    <w:rsid w:val="00C13230"/>
    <w:rsid w:val="00C2210D"/>
    <w:rsid w:val="00C227B9"/>
    <w:rsid w:val="00C265B2"/>
    <w:rsid w:val="00C4012D"/>
    <w:rsid w:val="00C403DE"/>
    <w:rsid w:val="00C41FD2"/>
    <w:rsid w:val="00C43164"/>
    <w:rsid w:val="00C5121A"/>
    <w:rsid w:val="00C54B21"/>
    <w:rsid w:val="00C54F6F"/>
    <w:rsid w:val="00C636A1"/>
    <w:rsid w:val="00C642C2"/>
    <w:rsid w:val="00C64BA0"/>
    <w:rsid w:val="00C6537A"/>
    <w:rsid w:val="00C662DB"/>
    <w:rsid w:val="00C87771"/>
    <w:rsid w:val="00C903A2"/>
    <w:rsid w:val="00C96686"/>
    <w:rsid w:val="00CA68BA"/>
    <w:rsid w:val="00CB1473"/>
    <w:rsid w:val="00CB2669"/>
    <w:rsid w:val="00CB30EA"/>
    <w:rsid w:val="00CB4FEB"/>
    <w:rsid w:val="00CB5BA8"/>
    <w:rsid w:val="00CB672B"/>
    <w:rsid w:val="00CC0144"/>
    <w:rsid w:val="00CC481E"/>
    <w:rsid w:val="00CD63D3"/>
    <w:rsid w:val="00CE542C"/>
    <w:rsid w:val="00CE6B92"/>
    <w:rsid w:val="00CF1A66"/>
    <w:rsid w:val="00CF29BE"/>
    <w:rsid w:val="00CF4BED"/>
    <w:rsid w:val="00CF63A4"/>
    <w:rsid w:val="00CF66AD"/>
    <w:rsid w:val="00D000C3"/>
    <w:rsid w:val="00D04695"/>
    <w:rsid w:val="00D10311"/>
    <w:rsid w:val="00D11FD2"/>
    <w:rsid w:val="00D20A5E"/>
    <w:rsid w:val="00D231F6"/>
    <w:rsid w:val="00D23288"/>
    <w:rsid w:val="00D2571F"/>
    <w:rsid w:val="00D27075"/>
    <w:rsid w:val="00D32D61"/>
    <w:rsid w:val="00D414B7"/>
    <w:rsid w:val="00D44147"/>
    <w:rsid w:val="00D44337"/>
    <w:rsid w:val="00D445F7"/>
    <w:rsid w:val="00D473DE"/>
    <w:rsid w:val="00D544B5"/>
    <w:rsid w:val="00D56B78"/>
    <w:rsid w:val="00D5769E"/>
    <w:rsid w:val="00D6194F"/>
    <w:rsid w:val="00D6304E"/>
    <w:rsid w:val="00D70892"/>
    <w:rsid w:val="00D7093E"/>
    <w:rsid w:val="00D71979"/>
    <w:rsid w:val="00D71F53"/>
    <w:rsid w:val="00D74B5F"/>
    <w:rsid w:val="00D772F9"/>
    <w:rsid w:val="00D77E93"/>
    <w:rsid w:val="00D85892"/>
    <w:rsid w:val="00D85EC8"/>
    <w:rsid w:val="00D92DDA"/>
    <w:rsid w:val="00D97D39"/>
    <w:rsid w:val="00DA19E4"/>
    <w:rsid w:val="00DA5B06"/>
    <w:rsid w:val="00DA6F68"/>
    <w:rsid w:val="00DB2576"/>
    <w:rsid w:val="00DB7389"/>
    <w:rsid w:val="00DC289F"/>
    <w:rsid w:val="00DC5382"/>
    <w:rsid w:val="00DD3E18"/>
    <w:rsid w:val="00DD72BF"/>
    <w:rsid w:val="00DE11B6"/>
    <w:rsid w:val="00DF38B2"/>
    <w:rsid w:val="00E00146"/>
    <w:rsid w:val="00E0292B"/>
    <w:rsid w:val="00E03BB1"/>
    <w:rsid w:val="00E06D93"/>
    <w:rsid w:val="00E14A15"/>
    <w:rsid w:val="00E15A3D"/>
    <w:rsid w:val="00E2031D"/>
    <w:rsid w:val="00E22A97"/>
    <w:rsid w:val="00E25652"/>
    <w:rsid w:val="00E336E0"/>
    <w:rsid w:val="00E34D52"/>
    <w:rsid w:val="00E4397E"/>
    <w:rsid w:val="00E446B9"/>
    <w:rsid w:val="00E44C13"/>
    <w:rsid w:val="00E45120"/>
    <w:rsid w:val="00E462B7"/>
    <w:rsid w:val="00E516F9"/>
    <w:rsid w:val="00E534D2"/>
    <w:rsid w:val="00E53E99"/>
    <w:rsid w:val="00E5593F"/>
    <w:rsid w:val="00E572BC"/>
    <w:rsid w:val="00E66216"/>
    <w:rsid w:val="00E67196"/>
    <w:rsid w:val="00E67AB2"/>
    <w:rsid w:val="00E70D5C"/>
    <w:rsid w:val="00E7457E"/>
    <w:rsid w:val="00E74E59"/>
    <w:rsid w:val="00E83F52"/>
    <w:rsid w:val="00E84CB7"/>
    <w:rsid w:val="00E85A07"/>
    <w:rsid w:val="00E90C5F"/>
    <w:rsid w:val="00E95491"/>
    <w:rsid w:val="00E968E3"/>
    <w:rsid w:val="00EA6E94"/>
    <w:rsid w:val="00EA7662"/>
    <w:rsid w:val="00EB2349"/>
    <w:rsid w:val="00EB3A06"/>
    <w:rsid w:val="00EB5193"/>
    <w:rsid w:val="00EB6440"/>
    <w:rsid w:val="00EB6B2E"/>
    <w:rsid w:val="00EB7D74"/>
    <w:rsid w:val="00EC2E93"/>
    <w:rsid w:val="00EC2F23"/>
    <w:rsid w:val="00EC36CA"/>
    <w:rsid w:val="00EC3E0A"/>
    <w:rsid w:val="00EC4903"/>
    <w:rsid w:val="00EC4920"/>
    <w:rsid w:val="00EC606C"/>
    <w:rsid w:val="00ED0D91"/>
    <w:rsid w:val="00ED25F5"/>
    <w:rsid w:val="00ED31E9"/>
    <w:rsid w:val="00ED3D7C"/>
    <w:rsid w:val="00EE3D5C"/>
    <w:rsid w:val="00EE7EDA"/>
    <w:rsid w:val="00EF09B9"/>
    <w:rsid w:val="00EF697E"/>
    <w:rsid w:val="00F03B54"/>
    <w:rsid w:val="00F04ACE"/>
    <w:rsid w:val="00F0648E"/>
    <w:rsid w:val="00F2124B"/>
    <w:rsid w:val="00F22620"/>
    <w:rsid w:val="00F23378"/>
    <w:rsid w:val="00F259F4"/>
    <w:rsid w:val="00F3179E"/>
    <w:rsid w:val="00F328FE"/>
    <w:rsid w:val="00F344FE"/>
    <w:rsid w:val="00F40A8F"/>
    <w:rsid w:val="00F42EF1"/>
    <w:rsid w:val="00F4449E"/>
    <w:rsid w:val="00F45A0E"/>
    <w:rsid w:val="00F509C1"/>
    <w:rsid w:val="00F51300"/>
    <w:rsid w:val="00F570DF"/>
    <w:rsid w:val="00F63019"/>
    <w:rsid w:val="00F668DF"/>
    <w:rsid w:val="00F76784"/>
    <w:rsid w:val="00F76F49"/>
    <w:rsid w:val="00F82FB1"/>
    <w:rsid w:val="00F85FF9"/>
    <w:rsid w:val="00F952FD"/>
    <w:rsid w:val="00F97047"/>
    <w:rsid w:val="00FA0EED"/>
    <w:rsid w:val="00FA2A42"/>
    <w:rsid w:val="00FA5247"/>
    <w:rsid w:val="00FA6A3C"/>
    <w:rsid w:val="00FA6CED"/>
    <w:rsid w:val="00FA6CFB"/>
    <w:rsid w:val="00FB126D"/>
    <w:rsid w:val="00FB1F6C"/>
    <w:rsid w:val="00FB3540"/>
    <w:rsid w:val="00FC19E2"/>
    <w:rsid w:val="00FC3DFE"/>
    <w:rsid w:val="00FC569B"/>
    <w:rsid w:val="00FC6273"/>
    <w:rsid w:val="00FD0332"/>
    <w:rsid w:val="00FD0500"/>
    <w:rsid w:val="00FD0691"/>
    <w:rsid w:val="00FD0DDB"/>
    <w:rsid w:val="00FE4488"/>
    <w:rsid w:val="00FE67DA"/>
    <w:rsid w:val="00FF0433"/>
    <w:rsid w:val="00FF15A8"/>
    <w:rsid w:val="00FF4947"/>
    <w:rsid w:val="00FF7A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9"/>
    <o:shapelayout v:ext="edit">
      <o:idmap v:ext="edit" data="1"/>
    </o:shapelayout>
  </w:shapeDefaults>
  <w:decimalSymbol w:val="."/>
  <w:listSeparator w:val=","/>
  <w14:docId w14:val="1136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annotation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0"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F317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F317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63019"/>
    <w:pPr>
      <w:keepNext/>
      <w:numPr>
        <w:ilvl w:val="2"/>
        <w:numId w:val="19"/>
      </w:numPr>
      <w:adjustRightInd/>
      <w:spacing w:before="240" w:after="60" w:line="276" w:lineRule="auto"/>
      <w:jc w:val="left"/>
      <w:outlineLvl w:val="2"/>
    </w:pPr>
    <w:rPr>
      <w:rFonts w:eastAsia="Times New Roman" w:cs="Times New Roman"/>
      <w:b/>
      <w:bCs/>
      <w:sz w:val="26"/>
      <w:szCs w:val="26"/>
      <w:lang w:eastAsia="en-US"/>
    </w:rPr>
  </w:style>
  <w:style w:type="paragraph" w:styleId="Heading4">
    <w:name w:val="heading 4"/>
    <w:aliases w:val="Style Heading 4 + Teal"/>
    <w:basedOn w:val="Normal"/>
    <w:next w:val="Normal"/>
    <w:link w:val="Heading4Char"/>
    <w:qFormat/>
    <w:rsid w:val="00F63019"/>
    <w:pPr>
      <w:keepNext/>
      <w:numPr>
        <w:ilvl w:val="3"/>
        <w:numId w:val="19"/>
      </w:numPr>
      <w:adjustRightInd/>
      <w:spacing w:before="240" w:after="60" w:line="276" w:lineRule="auto"/>
      <w:jc w:val="left"/>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F63019"/>
    <w:pPr>
      <w:numPr>
        <w:ilvl w:val="4"/>
        <w:numId w:val="19"/>
      </w:numPr>
      <w:adjustRightInd/>
      <w:spacing w:before="240" w:after="60" w:line="276" w:lineRule="auto"/>
      <w:jc w:val="left"/>
      <w:outlineLvl w:val="4"/>
    </w:pPr>
    <w:rPr>
      <w:rFonts w:eastAsia="Times New Roman" w:cs="Times New Roman"/>
      <w:b/>
      <w:bCs/>
      <w:i/>
      <w:iCs/>
      <w:sz w:val="26"/>
      <w:szCs w:val="26"/>
      <w:lang w:eastAsia="en-US"/>
    </w:rPr>
  </w:style>
  <w:style w:type="paragraph" w:styleId="Heading6">
    <w:name w:val="heading 6"/>
    <w:basedOn w:val="Normal"/>
    <w:next w:val="Normal"/>
    <w:link w:val="Heading6Char"/>
    <w:qFormat/>
    <w:rsid w:val="00F63019"/>
    <w:pPr>
      <w:numPr>
        <w:ilvl w:val="5"/>
        <w:numId w:val="19"/>
      </w:numPr>
      <w:adjustRightInd/>
      <w:spacing w:before="240" w:after="60" w:line="276" w:lineRule="auto"/>
      <w:jc w:val="left"/>
      <w:outlineLvl w:val="5"/>
    </w:pPr>
    <w:rPr>
      <w:rFonts w:ascii="Times New Roman" w:eastAsia="Times New Roman" w:hAnsi="Times New Roman" w:cs="Times New Roman"/>
      <w:b/>
      <w:bCs/>
      <w:sz w:val="22"/>
      <w:szCs w:val="22"/>
      <w:lang w:eastAsia="en-US"/>
    </w:rPr>
  </w:style>
  <w:style w:type="paragraph" w:styleId="Heading7">
    <w:name w:val="heading 7"/>
    <w:basedOn w:val="Normal"/>
    <w:next w:val="Normal"/>
    <w:link w:val="Heading7Char"/>
    <w:qFormat/>
    <w:rsid w:val="00F63019"/>
    <w:pPr>
      <w:numPr>
        <w:ilvl w:val="6"/>
        <w:numId w:val="19"/>
      </w:numPr>
      <w:adjustRightInd/>
      <w:spacing w:before="240" w:after="60" w:line="276" w:lineRule="auto"/>
      <w:jc w:val="left"/>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F63019"/>
    <w:pPr>
      <w:numPr>
        <w:ilvl w:val="7"/>
        <w:numId w:val="19"/>
      </w:numPr>
      <w:adjustRightInd/>
      <w:spacing w:before="240" w:after="60" w:line="276" w:lineRule="auto"/>
      <w:jc w:val="left"/>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F63019"/>
    <w:pPr>
      <w:numPr>
        <w:ilvl w:val="8"/>
        <w:numId w:val="19"/>
      </w:numPr>
      <w:adjustRightInd/>
      <w:spacing w:before="240" w:after="60" w:line="276" w:lineRule="auto"/>
      <w:jc w:val="left"/>
      <w:outlineLvl w:val="8"/>
    </w:pPr>
    <w:rPr>
      <w:rFonts w:eastAsia="Times New Roman"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link w:val="BodyChar"/>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qFormat/>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link w:val="Body2Char1"/>
    <w:rsid w:val="00DF0C60"/>
    <w:pPr>
      <w:ind w:left="851"/>
    </w:pPr>
  </w:style>
  <w:style w:type="paragraph" w:customStyle="1" w:styleId="Level2">
    <w:name w:val="Level 2"/>
    <w:basedOn w:val="Body2"/>
    <w:link w:val="Level2Char"/>
    <w:uiPriority w:val="99"/>
    <w:qFormat/>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link w:val="Level3Char"/>
    <w:uiPriority w:val="99"/>
    <w:qFormat/>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link w:val="Level4Char"/>
    <w:uiPriority w:val="99"/>
    <w:qFormat/>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qFormat/>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0">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uiPriority w:val="39"/>
    <w:rsid w:val="00DF0C60"/>
    <w:pPr>
      <w:ind w:left="1702"/>
    </w:pPr>
  </w:style>
  <w:style w:type="paragraph" w:styleId="TOC3">
    <w:name w:val="toc 3"/>
    <w:basedOn w:val="TOC1"/>
    <w:next w:val="Normal"/>
    <w:uiPriority w:val="39"/>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semiHidden/>
    <w:rsid w:val="00DF0C60"/>
    <w:pPr>
      <w:ind w:firstLine="0"/>
    </w:pPr>
  </w:style>
  <w:style w:type="paragraph" w:styleId="TOC6">
    <w:name w:val="toc 6"/>
    <w:basedOn w:val="TOC1"/>
    <w:next w:val="Normal"/>
    <w:semiHidden/>
    <w:rsid w:val="00DF0C60"/>
    <w:pPr>
      <w:ind w:left="1701" w:firstLine="0"/>
    </w:pPr>
  </w:style>
  <w:style w:type="character" w:styleId="BookTitle">
    <w:name w:val="Book Title"/>
    <w:basedOn w:val="DefaultParagraphFont"/>
    <w:uiPriority w:val="33"/>
    <w:semiHidden/>
    <w:rsid w:val="00F3179E"/>
    <w:rPr>
      <w:b/>
      <w:bCs/>
      <w:smallCaps/>
      <w:spacing w:val="5"/>
    </w:rPr>
  </w:style>
  <w:style w:type="character" w:styleId="Emphasis">
    <w:name w:val="Emphasis"/>
    <w:basedOn w:val="DefaultParagraphFont"/>
    <w:uiPriority w:val="20"/>
    <w:semiHidden/>
    <w:rsid w:val="00F3179E"/>
    <w:rPr>
      <w:i/>
      <w:iCs/>
    </w:rPr>
  </w:style>
  <w:style w:type="character" w:customStyle="1" w:styleId="Heading1Char">
    <w:name w:val="Heading 1 Char"/>
    <w:basedOn w:val="DefaultParagraphFont"/>
    <w:link w:val="Heading1"/>
    <w:uiPriority w:val="9"/>
    <w:rsid w:val="00F317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179E"/>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F3179E"/>
    <w:rPr>
      <w:b/>
      <w:bCs/>
      <w:i/>
      <w:iCs/>
      <w:color w:val="4F81BD" w:themeColor="accent1"/>
    </w:rPr>
  </w:style>
  <w:style w:type="paragraph" w:styleId="IntenseQuote">
    <w:name w:val="Intense Quote"/>
    <w:basedOn w:val="Normal"/>
    <w:next w:val="Normal"/>
    <w:link w:val="IntenseQuoteChar"/>
    <w:uiPriority w:val="30"/>
    <w:semiHidden/>
    <w:rsid w:val="00F317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3179E"/>
    <w:rPr>
      <w:rFonts w:ascii="Arial" w:eastAsia="Arial" w:hAnsi="Arial" w:cs="Arial"/>
      <w:b/>
      <w:bCs/>
      <w:i/>
      <w:iCs/>
      <w:color w:val="4F81BD" w:themeColor="accent1"/>
    </w:rPr>
  </w:style>
  <w:style w:type="character" w:styleId="IntenseReference">
    <w:name w:val="Intense Reference"/>
    <w:basedOn w:val="DefaultParagraphFont"/>
    <w:uiPriority w:val="32"/>
    <w:semiHidden/>
    <w:rsid w:val="00F3179E"/>
    <w:rPr>
      <w:b/>
      <w:bCs/>
      <w:smallCaps/>
      <w:color w:val="C0504D" w:themeColor="accent2"/>
      <w:spacing w:val="5"/>
      <w:u w:val="single"/>
    </w:rPr>
  </w:style>
  <w:style w:type="paragraph" w:styleId="ListParagraph">
    <w:name w:val="List Paragraph"/>
    <w:basedOn w:val="Normal"/>
    <w:uiPriority w:val="34"/>
    <w:qFormat/>
    <w:rsid w:val="00F3179E"/>
    <w:pPr>
      <w:ind w:left="720"/>
      <w:contextualSpacing/>
    </w:pPr>
  </w:style>
  <w:style w:type="paragraph" w:styleId="NoSpacing">
    <w:name w:val="No Spacing"/>
    <w:uiPriority w:val="1"/>
    <w:semiHidden/>
    <w:rsid w:val="00F3179E"/>
    <w:pPr>
      <w:adjustRightInd w:val="0"/>
      <w:jc w:val="both"/>
    </w:pPr>
    <w:rPr>
      <w:rFonts w:ascii="Arial" w:eastAsia="Arial" w:hAnsi="Arial" w:cs="Arial"/>
    </w:rPr>
  </w:style>
  <w:style w:type="paragraph" w:styleId="Quote">
    <w:name w:val="Quote"/>
    <w:basedOn w:val="Normal"/>
    <w:next w:val="Normal"/>
    <w:link w:val="QuoteChar"/>
    <w:uiPriority w:val="29"/>
    <w:semiHidden/>
    <w:rsid w:val="00F3179E"/>
    <w:rPr>
      <w:i/>
      <w:iCs/>
      <w:color w:val="000000" w:themeColor="text1"/>
    </w:rPr>
  </w:style>
  <w:style w:type="character" w:customStyle="1" w:styleId="QuoteChar">
    <w:name w:val="Quote Char"/>
    <w:basedOn w:val="DefaultParagraphFont"/>
    <w:link w:val="Quote"/>
    <w:uiPriority w:val="29"/>
    <w:rsid w:val="00F3179E"/>
    <w:rPr>
      <w:rFonts w:ascii="Arial" w:eastAsia="Arial" w:hAnsi="Arial" w:cs="Arial"/>
      <w:i/>
      <w:iCs/>
      <w:color w:val="000000" w:themeColor="text1"/>
    </w:rPr>
  </w:style>
  <w:style w:type="character" w:styleId="Strong">
    <w:name w:val="Strong"/>
    <w:basedOn w:val="DefaultParagraphFont"/>
    <w:rsid w:val="00F3179E"/>
    <w:rPr>
      <w:b/>
      <w:bCs/>
    </w:rPr>
  </w:style>
  <w:style w:type="paragraph" w:styleId="Subtitle">
    <w:name w:val="Subtitle"/>
    <w:basedOn w:val="Normal"/>
    <w:next w:val="Normal"/>
    <w:link w:val="SubtitleChar"/>
    <w:uiPriority w:val="11"/>
    <w:semiHidden/>
    <w:rsid w:val="00F317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179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F3179E"/>
    <w:rPr>
      <w:i/>
      <w:iCs/>
      <w:color w:val="808080" w:themeColor="text1" w:themeTint="7F"/>
    </w:rPr>
  </w:style>
  <w:style w:type="character" w:styleId="SubtleReference">
    <w:name w:val="Subtle Reference"/>
    <w:basedOn w:val="DefaultParagraphFont"/>
    <w:uiPriority w:val="31"/>
    <w:semiHidden/>
    <w:rsid w:val="00F3179E"/>
    <w:rPr>
      <w:smallCaps/>
      <w:color w:val="C0504D" w:themeColor="accent2"/>
      <w:u w:val="single"/>
    </w:rPr>
  </w:style>
  <w:style w:type="paragraph" w:styleId="Title">
    <w:name w:val="Title"/>
    <w:basedOn w:val="Normal"/>
    <w:next w:val="Normal"/>
    <w:link w:val="TitleChar"/>
    <w:uiPriority w:val="10"/>
    <w:semiHidden/>
    <w:rsid w:val="00F317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179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nhideWhenUsed/>
    <w:rsid w:val="00F3179E"/>
    <w:rPr>
      <w:sz w:val="16"/>
      <w:szCs w:val="16"/>
    </w:rPr>
  </w:style>
  <w:style w:type="paragraph" w:styleId="TOC7">
    <w:name w:val="toc 7"/>
    <w:basedOn w:val="Normal"/>
    <w:next w:val="Normal"/>
    <w:uiPriority w:val="39"/>
    <w:semiHidden/>
    <w:unhideWhenUsed/>
    <w:rsid w:val="00F3179E"/>
    <w:pPr>
      <w:spacing w:after="100"/>
      <w:ind w:left="1200"/>
    </w:pPr>
  </w:style>
  <w:style w:type="paragraph" w:styleId="TOC8">
    <w:name w:val="toc 8"/>
    <w:basedOn w:val="Normal"/>
    <w:next w:val="Normal"/>
    <w:uiPriority w:val="39"/>
    <w:semiHidden/>
    <w:unhideWhenUsed/>
    <w:rsid w:val="00F3179E"/>
    <w:pPr>
      <w:spacing w:after="100"/>
      <w:ind w:left="1400"/>
    </w:pPr>
  </w:style>
  <w:style w:type="paragraph" w:styleId="TOC9">
    <w:name w:val="toc 9"/>
    <w:basedOn w:val="Normal"/>
    <w:next w:val="Normal"/>
    <w:uiPriority w:val="39"/>
    <w:semiHidden/>
    <w:unhideWhenUsed/>
    <w:rsid w:val="00F3179E"/>
    <w:pPr>
      <w:spacing w:after="100"/>
      <w:ind w:left="1600"/>
    </w:pPr>
  </w:style>
  <w:style w:type="paragraph" w:styleId="Index1">
    <w:name w:val="index 1"/>
    <w:basedOn w:val="Normal"/>
    <w:next w:val="Normal"/>
    <w:uiPriority w:val="99"/>
    <w:semiHidden/>
    <w:unhideWhenUsed/>
    <w:rsid w:val="00F3179E"/>
    <w:pPr>
      <w:ind w:left="200" w:hanging="200"/>
    </w:pPr>
  </w:style>
  <w:style w:type="paragraph" w:styleId="Index2">
    <w:name w:val="index 2"/>
    <w:basedOn w:val="Normal"/>
    <w:next w:val="Normal"/>
    <w:uiPriority w:val="99"/>
    <w:semiHidden/>
    <w:unhideWhenUsed/>
    <w:rsid w:val="00F3179E"/>
    <w:pPr>
      <w:ind w:left="400" w:hanging="200"/>
    </w:pPr>
  </w:style>
  <w:style w:type="paragraph" w:styleId="Index3">
    <w:name w:val="index 3"/>
    <w:basedOn w:val="Normal"/>
    <w:next w:val="Normal"/>
    <w:uiPriority w:val="99"/>
    <w:semiHidden/>
    <w:unhideWhenUsed/>
    <w:rsid w:val="00F3179E"/>
    <w:pPr>
      <w:ind w:left="600" w:hanging="200"/>
    </w:pPr>
  </w:style>
  <w:style w:type="paragraph" w:styleId="Index4">
    <w:name w:val="index 4"/>
    <w:basedOn w:val="Normal"/>
    <w:next w:val="Normal"/>
    <w:uiPriority w:val="99"/>
    <w:semiHidden/>
    <w:unhideWhenUsed/>
    <w:rsid w:val="00F3179E"/>
    <w:pPr>
      <w:ind w:left="800" w:hanging="200"/>
    </w:pPr>
  </w:style>
  <w:style w:type="paragraph" w:styleId="Index5">
    <w:name w:val="index 5"/>
    <w:basedOn w:val="Normal"/>
    <w:next w:val="Normal"/>
    <w:uiPriority w:val="99"/>
    <w:semiHidden/>
    <w:unhideWhenUsed/>
    <w:rsid w:val="00F3179E"/>
    <w:pPr>
      <w:ind w:left="1000" w:hanging="200"/>
    </w:pPr>
  </w:style>
  <w:style w:type="paragraph" w:styleId="Index6">
    <w:name w:val="index 6"/>
    <w:basedOn w:val="Normal"/>
    <w:next w:val="Normal"/>
    <w:uiPriority w:val="99"/>
    <w:semiHidden/>
    <w:unhideWhenUsed/>
    <w:rsid w:val="00F3179E"/>
    <w:pPr>
      <w:ind w:left="1200" w:hanging="200"/>
    </w:pPr>
  </w:style>
  <w:style w:type="paragraph" w:styleId="Index7">
    <w:name w:val="index 7"/>
    <w:basedOn w:val="Normal"/>
    <w:next w:val="Normal"/>
    <w:uiPriority w:val="99"/>
    <w:semiHidden/>
    <w:unhideWhenUsed/>
    <w:rsid w:val="00F3179E"/>
    <w:pPr>
      <w:ind w:left="1400" w:hanging="200"/>
    </w:pPr>
  </w:style>
  <w:style w:type="paragraph" w:styleId="Index8">
    <w:name w:val="index 8"/>
    <w:basedOn w:val="Normal"/>
    <w:next w:val="Normal"/>
    <w:uiPriority w:val="99"/>
    <w:semiHidden/>
    <w:unhideWhenUsed/>
    <w:rsid w:val="00F3179E"/>
    <w:pPr>
      <w:ind w:left="1600" w:hanging="200"/>
    </w:pPr>
  </w:style>
  <w:style w:type="paragraph" w:styleId="Index9">
    <w:name w:val="index 9"/>
    <w:basedOn w:val="Normal"/>
    <w:next w:val="Normal"/>
    <w:uiPriority w:val="99"/>
    <w:semiHidden/>
    <w:unhideWhenUsed/>
    <w:rsid w:val="00F3179E"/>
    <w:pPr>
      <w:ind w:left="1800" w:hanging="200"/>
    </w:pPr>
  </w:style>
  <w:style w:type="paragraph" w:styleId="BalloonText">
    <w:name w:val="Balloon Text"/>
    <w:basedOn w:val="Normal"/>
    <w:link w:val="BalloonTextChar"/>
    <w:uiPriority w:val="99"/>
    <w:semiHidden/>
    <w:unhideWhenUsed/>
    <w:rsid w:val="00067A64"/>
    <w:rPr>
      <w:rFonts w:ascii="Tahoma" w:hAnsi="Tahoma" w:cs="Tahoma"/>
      <w:sz w:val="16"/>
      <w:szCs w:val="16"/>
    </w:rPr>
  </w:style>
  <w:style w:type="character" w:customStyle="1" w:styleId="BalloonTextChar">
    <w:name w:val="Balloon Text Char"/>
    <w:basedOn w:val="DefaultParagraphFont"/>
    <w:link w:val="BalloonText"/>
    <w:uiPriority w:val="99"/>
    <w:semiHidden/>
    <w:rsid w:val="00067A64"/>
    <w:rPr>
      <w:rFonts w:ascii="Tahoma" w:eastAsia="Arial" w:hAnsi="Tahoma" w:cs="Tahoma"/>
      <w:sz w:val="16"/>
      <w:szCs w:val="16"/>
    </w:rPr>
  </w:style>
  <w:style w:type="table" w:styleId="TableGrid">
    <w:name w:val="Table Grid"/>
    <w:basedOn w:val="TableNormal"/>
    <w:uiPriority w:val="39"/>
    <w:rsid w:val="00FD0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F63019"/>
    <w:rPr>
      <w:rFonts w:ascii="Arial" w:hAnsi="Arial"/>
      <w:b/>
      <w:bCs/>
      <w:sz w:val="26"/>
      <w:szCs w:val="26"/>
      <w:lang w:eastAsia="en-US"/>
    </w:rPr>
  </w:style>
  <w:style w:type="character" w:customStyle="1" w:styleId="Heading4Char">
    <w:name w:val="Heading 4 Char"/>
    <w:aliases w:val="Style Heading 4 + Teal Char"/>
    <w:basedOn w:val="DefaultParagraphFont"/>
    <w:link w:val="Heading4"/>
    <w:rsid w:val="00F63019"/>
    <w:rPr>
      <w:b/>
      <w:bCs/>
      <w:sz w:val="28"/>
      <w:szCs w:val="28"/>
      <w:lang w:eastAsia="en-US"/>
    </w:rPr>
  </w:style>
  <w:style w:type="character" w:customStyle="1" w:styleId="Heading5Char">
    <w:name w:val="Heading 5 Char"/>
    <w:basedOn w:val="DefaultParagraphFont"/>
    <w:link w:val="Heading5"/>
    <w:rsid w:val="00F63019"/>
    <w:rPr>
      <w:rFonts w:ascii="Arial" w:hAnsi="Arial"/>
      <w:b/>
      <w:bCs/>
      <w:i/>
      <w:iCs/>
      <w:sz w:val="26"/>
      <w:szCs w:val="26"/>
      <w:lang w:eastAsia="en-US"/>
    </w:rPr>
  </w:style>
  <w:style w:type="character" w:customStyle="1" w:styleId="Heading6Char">
    <w:name w:val="Heading 6 Char"/>
    <w:basedOn w:val="DefaultParagraphFont"/>
    <w:link w:val="Heading6"/>
    <w:rsid w:val="00F63019"/>
    <w:rPr>
      <w:b/>
      <w:bCs/>
      <w:sz w:val="22"/>
      <w:szCs w:val="22"/>
      <w:lang w:eastAsia="en-US"/>
    </w:rPr>
  </w:style>
  <w:style w:type="character" w:customStyle="1" w:styleId="Heading7Char">
    <w:name w:val="Heading 7 Char"/>
    <w:basedOn w:val="DefaultParagraphFont"/>
    <w:link w:val="Heading7"/>
    <w:rsid w:val="00F63019"/>
    <w:rPr>
      <w:sz w:val="24"/>
      <w:szCs w:val="24"/>
      <w:lang w:eastAsia="en-US"/>
    </w:rPr>
  </w:style>
  <w:style w:type="character" w:customStyle="1" w:styleId="Heading8Char">
    <w:name w:val="Heading 8 Char"/>
    <w:basedOn w:val="DefaultParagraphFont"/>
    <w:link w:val="Heading8"/>
    <w:rsid w:val="00F63019"/>
    <w:rPr>
      <w:i/>
      <w:iCs/>
      <w:sz w:val="24"/>
      <w:szCs w:val="24"/>
      <w:lang w:eastAsia="en-US"/>
    </w:rPr>
  </w:style>
  <w:style w:type="character" w:customStyle="1" w:styleId="Heading9Char">
    <w:name w:val="Heading 9 Char"/>
    <w:basedOn w:val="DefaultParagraphFont"/>
    <w:link w:val="Heading9"/>
    <w:rsid w:val="00F63019"/>
    <w:rPr>
      <w:rFonts w:ascii="Arial" w:hAnsi="Arial"/>
      <w:sz w:val="22"/>
      <w:szCs w:val="22"/>
      <w:lang w:eastAsia="en-US"/>
    </w:rPr>
  </w:style>
  <w:style w:type="character" w:customStyle="1" w:styleId="Body2Char1">
    <w:name w:val="Body 2 Char1"/>
    <w:link w:val="Body2"/>
    <w:locked/>
    <w:rsid w:val="00F63019"/>
    <w:rPr>
      <w:rFonts w:ascii="Arial" w:eastAsia="Arial" w:hAnsi="Arial" w:cs="Arial"/>
    </w:rPr>
  </w:style>
  <w:style w:type="character" w:customStyle="1" w:styleId="Level2Char">
    <w:name w:val="Level 2 Char"/>
    <w:link w:val="Level2"/>
    <w:locked/>
    <w:rsid w:val="00F63019"/>
    <w:rPr>
      <w:rFonts w:ascii="Arial" w:eastAsia="Arial" w:hAnsi="Arial" w:cs="Arial"/>
    </w:rPr>
  </w:style>
  <w:style w:type="character" w:customStyle="1" w:styleId="Level3Char">
    <w:name w:val="Level 3 Char"/>
    <w:basedOn w:val="DefaultParagraphFont"/>
    <w:link w:val="Level3"/>
    <w:locked/>
    <w:rsid w:val="00F63019"/>
    <w:rPr>
      <w:rFonts w:ascii="Arial" w:eastAsia="Arial" w:hAnsi="Arial" w:cs="Arial"/>
    </w:rPr>
  </w:style>
  <w:style w:type="character" w:customStyle="1" w:styleId="Level4Char">
    <w:name w:val="Level 4 Char"/>
    <w:link w:val="Level4"/>
    <w:rsid w:val="00F63019"/>
    <w:rPr>
      <w:rFonts w:ascii="Arial" w:eastAsia="Arial" w:hAnsi="Arial" w:cs="Arial"/>
    </w:rPr>
  </w:style>
  <w:style w:type="paragraph" w:customStyle="1" w:styleId="Schedule">
    <w:name w:val="Schedule"/>
    <w:basedOn w:val="Normal"/>
    <w:rsid w:val="00F63019"/>
    <w:pPr>
      <w:keepNext/>
      <w:numPr>
        <w:numId w:val="20"/>
      </w:numPr>
      <w:adjustRightInd/>
      <w:spacing w:after="240" w:line="276" w:lineRule="auto"/>
      <w:jc w:val="center"/>
    </w:pPr>
    <w:rPr>
      <w:rFonts w:ascii="Verdana" w:eastAsia="Times New Roman" w:hAnsi="Verdana" w:cs="Times New Roman"/>
      <w:b/>
      <w:caps/>
      <w:sz w:val="24"/>
    </w:rPr>
  </w:style>
  <w:style w:type="paragraph" w:customStyle="1" w:styleId="Background">
    <w:name w:val="Background"/>
    <w:basedOn w:val="Normal"/>
    <w:rsid w:val="00F63019"/>
    <w:pPr>
      <w:numPr>
        <w:numId w:val="21"/>
      </w:numPr>
      <w:adjustRightInd/>
      <w:spacing w:after="240" w:line="276" w:lineRule="auto"/>
    </w:pPr>
    <w:rPr>
      <w:rFonts w:ascii="Verdana" w:eastAsia="Times New Roman" w:hAnsi="Verdana" w:cs="Times New Roman"/>
    </w:rPr>
  </w:style>
  <w:style w:type="character" w:customStyle="1" w:styleId="BodyChar">
    <w:name w:val="Body Char"/>
    <w:link w:val="Body"/>
    <w:locked/>
    <w:rsid w:val="00F63019"/>
    <w:rPr>
      <w:rFonts w:ascii="Arial" w:eastAsia="Arial" w:hAnsi="Arial" w:cs="Arial"/>
    </w:rPr>
  </w:style>
  <w:style w:type="paragraph" w:styleId="CommentText">
    <w:name w:val="annotation text"/>
    <w:basedOn w:val="Normal"/>
    <w:link w:val="CommentTextChar"/>
    <w:uiPriority w:val="99"/>
    <w:unhideWhenUsed/>
    <w:rsid w:val="006C3352"/>
  </w:style>
  <w:style w:type="character" w:customStyle="1" w:styleId="CommentTextChar">
    <w:name w:val="Comment Text Char"/>
    <w:basedOn w:val="DefaultParagraphFont"/>
    <w:link w:val="CommentText"/>
    <w:uiPriority w:val="99"/>
    <w:rsid w:val="006C3352"/>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6C3352"/>
    <w:rPr>
      <w:b/>
      <w:bCs/>
    </w:rPr>
  </w:style>
  <w:style w:type="character" w:customStyle="1" w:styleId="CommentSubjectChar">
    <w:name w:val="Comment Subject Char"/>
    <w:basedOn w:val="CommentTextChar"/>
    <w:link w:val="CommentSubject"/>
    <w:uiPriority w:val="99"/>
    <w:semiHidden/>
    <w:rsid w:val="006C3352"/>
    <w:rPr>
      <w:rFonts w:ascii="Arial" w:eastAsia="Arial" w:hAnsi="Arial" w:cs="Arial"/>
      <w:b/>
      <w:bCs/>
    </w:rPr>
  </w:style>
  <w:style w:type="character" w:customStyle="1" w:styleId="InsertText">
    <w:name w:val="Insert Text"/>
    <w:rsid w:val="00D2571F"/>
    <w:rPr>
      <w:bdr w:val="none" w:sz="0" w:space="0" w:color="auto"/>
      <w:shd w:val="clear" w:color="auto" w:fill="FFFF00"/>
    </w:rPr>
  </w:style>
  <w:style w:type="table" w:customStyle="1" w:styleId="PinsentsTableGrid">
    <w:name w:val="Pinsents Table Grid"/>
    <w:basedOn w:val="TableNormal"/>
    <w:rsid w:val="00D2571F"/>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character" w:customStyle="1" w:styleId="UnresolvedMention1">
    <w:name w:val="Unresolved Mention1"/>
    <w:basedOn w:val="DefaultParagraphFont"/>
    <w:uiPriority w:val="99"/>
    <w:semiHidden/>
    <w:unhideWhenUsed/>
    <w:rsid w:val="002E1D24"/>
    <w:rPr>
      <w:color w:val="808080"/>
      <w:shd w:val="clear" w:color="auto" w:fill="E6E6E6"/>
    </w:rPr>
  </w:style>
  <w:style w:type="character" w:customStyle="1" w:styleId="TextChar">
    <w:name w:val="Text Char"/>
    <w:link w:val="Text"/>
    <w:rsid w:val="00015AB8"/>
    <w:rPr>
      <w:rFonts w:ascii="Arial" w:hAnsi="Arial"/>
      <w:sz w:val="22"/>
    </w:rPr>
  </w:style>
  <w:style w:type="paragraph" w:customStyle="1" w:styleId="Text">
    <w:name w:val="Text"/>
    <w:link w:val="TextChar"/>
    <w:qFormat/>
    <w:rsid w:val="00015AB8"/>
    <w:pPr>
      <w:spacing w:after="240"/>
    </w:pPr>
    <w:rPr>
      <w:rFonts w:ascii="Arial" w:hAnsi="Arial"/>
      <w:sz w:val="22"/>
    </w:rPr>
  </w:style>
  <w:style w:type="paragraph" w:customStyle="1" w:styleId="AOHead1">
    <w:name w:val="AOHead1"/>
    <w:basedOn w:val="Normal"/>
    <w:next w:val="Normal"/>
    <w:rsid w:val="00015AB8"/>
    <w:pPr>
      <w:keepNext/>
      <w:numPr>
        <w:numId w:val="29"/>
      </w:numPr>
      <w:adjustRightInd/>
      <w:spacing w:before="240" w:line="260" w:lineRule="atLeast"/>
      <w:outlineLvl w:val="0"/>
    </w:pPr>
    <w:rPr>
      <w:rFonts w:ascii="Times New Roman" w:eastAsia="SimSun" w:hAnsi="Times New Roman" w:cs="Times New Roman"/>
      <w:b/>
      <w:caps/>
      <w:kern w:val="28"/>
      <w:sz w:val="22"/>
      <w:szCs w:val="22"/>
      <w:lang w:eastAsia="en-US"/>
    </w:rPr>
  </w:style>
  <w:style w:type="paragraph" w:customStyle="1" w:styleId="AOHead2">
    <w:name w:val="AOHead2"/>
    <w:basedOn w:val="Normal"/>
    <w:next w:val="Normal"/>
    <w:rsid w:val="00015AB8"/>
    <w:pPr>
      <w:keepNext/>
      <w:numPr>
        <w:ilvl w:val="1"/>
        <w:numId w:val="29"/>
      </w:numPr>
      <w:adjustRightInd/>
      <w:spacing w:before="240" w:line="260" w:lineRule="atLeast"/>
      <w:outlineLvl w:val="1"/>
    </w:pPr>
    <w:rPr>
      <w:rFonts w:ascii="Times New Roman" w:eastAsia="SimSun" w:hAnsi="Times New Roman" w:cs="Times New Roman"/>
      <w:b/>
      <w:sz w:val="22"/>
      <w:szCs w:val="22"/>
      <w:lang w:eastAsia="en-US"/>
    </w:rPr>
  </w:style>
  <w:style w:type="paragraph" w:customStyle="1" w:styleId="AOHead3">
    <w:name w:val="AOHead3"/>
    <w:basedOn w:val="Normal"/>
    <w:next w:val="Normal"/>
    <w:rsid w:val="00015AB8"/>
    <w:pPr>
      <w:numPr>
        <w:ilvl w:val="2"/>
        <w:numId w:val="29"/>
      </w:numPr>
      <w:adjustRightInd/>
      <w:spacing w:before="240" w:line="260" w:lineRule="atLeast"/>
      <w:outlineLvl w:val="2"/>
    </w:pPr>
    <w:rPr>
      <w:rFonts w:ascii="Times New Roman" w:eastAsia="SimSun" w:hAnsi="Times New Roman" w:cs="Times New Roman"/>
      <w:sz w:val="22"/>
      <w:szCs w:val="22"/>
      <w:lang w:eastAsia="en-US"/>
    </w:rPr>
  </w:style>
  <w:style w:type="paragraph" w:customStyle="1" w:styleId="AOHead4">
    <w:name w:val="AOHead4"/>
    <w:basedOn w:val="Normal"/>
    <w:next w:val="Normal"/>
    <w:rsid w:val="00015AB8"/>
    <w:pPr>
      <w:numPr>
        <w:ilvl w:val="3"/>
        <w:numId w:val="29"/>
      </w:numPr>
      <w:adjustRightInd/>
      <w:spacing w:before="240" w:line="260" w:lineRule="atLeast"/>
      <w:outlineLvl w:val="3"/>
    </w:pPr>
    <w:rPr>
      <w:rFonts w:ascii="Times New Roman" w:eastAsia="SimSun" w:hAnsi="Times New Roman" w:cs="Times New Roman"/>
      <w:sz w:val="22"/>
      <w:szCs w:val="22"/>
      <w:lang w:eastAsia="en-US"/>
    </w:rPr>
  </w:style>
  <w:style w:type="paragraph" w:customStyle="1" w:styleId="AOHead5">
    <w:name w:val="AOHead5"/>
    <w:basedOn w:val="Normal"/>
    <w:next w:val="Normal"/>
    <w:rsid w:val="00015AB8"/>
    <w:pPr>
      <w:numPr>
        <w:ilvl w:val="4"/>
        <w:numId w:val="29"/>
      </w:numPr>
      <w:adjustRightInd/>
      <w:spacing w:before="240" w:line="260" w:lineRule="atLeast"/>
      <w:outlineLvl w:val="4"/>
    </w:pPr>
    <w:rPr>
      <w:rFonts w:ascii="Times New Roman" w:eastAsia="SimSun" w:hAnsi="Times New Roman" w:cs="Times New Roman"/>
      <w:sz w:val="22"/>
      <w:szCs w:val="22"/>
      <w:lang w:eastAsia="en-US"/>
    </w:rPr>
  </w:style>
  <w:style w:type="paragraph" w:customStyle="1" w:styleId="AOHead6">
    <w:name w:val="AOHead6"/>
    <w:basedOn w:val="Normal"/>
    <w:next w:val="Normal"/>
    <w:rsid w:val="00015AB8"/>
    <w:pPr>
      <w:numPr>
        <w:ilvl w:val="5"/>
        <w:numId w:val="29"/>
      </w:numPr>
      <w:adjustRightInd/>
      <w:spacing w:before="240" w:line="260" w:lineRule="atLeast"/>
      <w:outlineLvl w:val="5"/>
    </w:pPr>
    <w:rPr>
      <w:rFonts w:ascii="Times New Roman" w:eastAsia="SimSun" w:hAnsi="Times New Roman" w:cs="Times New Roman"/>
      <w:sz w:val="22"/>
      <w:szCs w:val="22"/>
      <w:lang w:eastAsia="en-US"/>
    </w:rPr>
  </w:style>
  <w:style w:type="character" w:customStyle="1" w:styleId="UnresolvedMention2">
    <w:name w:val="Unresolved Mention2"/>
    <w:basedOn w:val="DefaultParagraphFont"/>
    <w:uiPriority w:val="99"/>
    <w:semiHidden/>
    <w:unhideWhenUsed/>
    <w:rsid w:val="00EC2F2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annotation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0"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F317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F317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63019"/>
    <w:pPr>
      <w:keepNext/>
      <w:numPr>
        <w:ilvl w:val="2"/>
        <w:numId w:val="19"/>
      </w:numPr>
      <w:adjustRightInd/>
      <w:spacing w:before="240" w:after="60" w:line="276" w:lineRule="auto"/>
      <w:jc w:val="left"/>
      <w:outlineLvl w:val="2"/>
    </w:pPr>
    <w:rPr>
      <w:rFonts w:eastAsia="Times New Roman" w:cs="Times New Roman"/>
      <w:b/>
      <w:bCs/>
      <w:sz w:val="26"/>
      <w:szCs w:val="26"/>
      <w:lang w:eastAsia="en-US"/>
    </w:rPr>
  </w:style>
  <w:style w:type="paragraph" w:styleId="Heading4">
    <w:name w:val="heading 4"/>
    <w:aliases w:val="Style Heading 4 + Teal"/>
    <w:basedOn w:val="Normal"/>
    <w:next w:val="Normal"/>
    <w:link w:val="Heading4Char"/>
    <w:qFormat/>
    <w:rsid w:val="00F63019"/>
    <w:pPr>
      <w:keepNext/>
      <w:numPr>
        <w:ilvl w:val="3"/>
        <w:numId w:val="19"/>
      </w:numPr>
      <w:adjustRightInd/>
      <w:spacing w:before="240" w:after="60" w:line="276" w:lineRule="auto"/>
      <w:jc w:val="left"/>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F63019"/>
    <w:pPr>
      <w:numPr>
        <w:ilvl w:val="4"/>
        <w:numId w:val="19"/>
      </w:numPr>
      <w:adjustRightInd/>
      <w:spacing w:before="240" w:after="60" w:line="276" w:lineRule="auto"/>
      <w:jc w:val="left"/>
      <w:outlineLvl w:val="4"/>
    </w:pPr>
    <w:rPr>
      <w:rFonts w:eastAsia="Times New Roman" w:cs="Times New Roman"/>
      <w:b/>
      <w:bCs/>
      <w:i/>
      <w:iCs/>
      <w:sz w:val="26"/>
      <w:szCs w:val="26"/>
      <w:lang w:eastAsia="en-US"/>
    </w:rPr>
  </w:style>
  <w:style w:type="paragraph" w:styleId="Heading6">
    <w:name w:val="heading 6"/>
    <w:basedOn w:val="Normal"/>
    <w:next w:val="Normal"/>
    <w:link w:val="Heading6Char"/>
    <w:qFormat/>
    <w:rsid w:val="00F63019"/>
    <w:pPr>
      <w:numPr>
        <w:ilvl w:val="5"/>
        <w:numId w:val="19"/>
      </w:numPr>
      <w:adjustRightInd/>
      <w:spacing w:before="240" w:after="60" w:line="276" w:lineRule="auto"/>
      <w:jc w:val="left"/>
      <w:outlineLvl w:val="5"/>
    </w:pPr>
    <w:rPr>
      <w:rFonts w:ascii="Times New Roman" w:eastAsia="Times New Roman" w:hAnsi="Times New Roman" w:cs="Times New Roman"/>
      <w:b/>
      <w:bCs/>
      <w:sz w:val="22"/>
      <w:szCs w:val="22"/>
      <w:lang w:eastAsia="en-US"/>
    </w:rPr>
  </w:style>
  <w:style w:type="paragraph" w:styleId="Heading7">
    <w:name w:val="heading 7"/>
    <w:basedOn w:val="Normal"/>
    <w:next w:val="Normal"/>
    <w:link w:val="Heading7Char"/>
    <w:qFormat/>
    <w:rsid w:val="00F63019"/>
    <w:pPr>
      <w:numPr>
        <w:ilvl w:val="6"/>
        <w:numId w:val="19"/>
      </w:numPr>
      <w:adjustRightInd/>
      <w:spacing w:before="240" w:after="60" w:line="276" w:lineRule="auto"/>
      <w:jc w:val="left"/>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F63019"/>
    <w:pPr>
      <w:numPr>
        <w:ilvl w:val="7"/>
        <w:numId w:val="19"/>
      </w:numPr>
      <w:adjustRightInd/>
      <w:spacing w:before="240" w:after="60" w:line="276" w:lineRule="auto"/>
      <w:jc w:val="left"/>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F63019"/>
    <w:pPr>
      <w:numPr>
        <w:ilvl w:val="8"/>
        <w:numId w:val="19"/>
      </w:numPr>
      <w:adjustRightInd/>
      <w:spacing w:before="240" w:after="60" w:line="276" w:lineRule="auto"/>
      <w:jc w:val="left"/>
      <w:outlineLvl w:val="8"/>
    </w:pPr>
    <w:rPr>
      <w:rFonts w:eastAsia="Times New Roman"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link w:val="BodyChar"/>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qFormat/>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link w:val="Body2Char1"/>
    <w:rsid w:val="00DF0C60"/>
    <w:pPr>
      <w:ind w:left="851"/>
    </w:pPr>
  </w:style>
  <w:style w:type="paragraph" w:customStyle="1" w:styleId="Level2">
    <w:name w:val="Level 2"/>
    <w:basedOn w:val="Body2"/>
    <w:link w:val="Level2Char"/>
    <w:uiPriority w:val="99"/>
    <w:qFormat/>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link w:val="Level3Char"/>
    <w:uiPriority w:val="99"/>
    <w:qFormat/>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link w:val="Level4Char"/>
    <w:uiPriority w:val="99"/>
    <w:qFormat/>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qFormat/>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0">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uiPriority w:val="39"/>
    <w:rsid w:val="00DF0C60"/>
    <w:pPr>
      <w:ind w:left="1702"/>
    </w:pPr>
  </w:style>
  <w:style w:type="paragraph" w:styleId="TOC3">
    <w:name w:val="toc 3"/>
    <w:basedOn w:val="TOC1"/>
    <w:next w:val="Normal"/>
    <w:uiPriority w:val="39"/>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semiHidden/>
    <w:rsid w:val="00DF0C60"/>
    <w:pPr>
      <w:ind w:firstLine="0"/>
    </w:pPr>
  </w:style>
  <w:style w:type="paragraph" w:styleId="TOC6">
    <w:name w:val="toc 6"/>
    <w:basedOn w:val="TOC1"/>
    <w:next w:val="Normal"/>
    <w:semiHidden/>
    <w:rsid w:val="00DF0C60"/>
    <w:pPr>
      <w:ind w:left="1701" w:firstLine="0"/>
    </w:pPr>
  </w:style>
  <w:style w:type="character" w:styleId="BookTitle">
    <w:name w:val="Book Title"/>
    <w:basedOn w:val="DefaultParagraphFont"/>
    <w:uiPriority w:val="33"/>
    <w:semiHidden/>
    <w:rsid w:val="00F3179E"/>
    <w:rPr>
      <w:b/>
      <w:bCs/>
      <w:smallCaps/>
      <w:spacing w:val="5"/>
    </w:rPr>
  </w:style>
  <w:style w:type="character" w:styleId="Emphasis">
    <w:name w:val="Emphasis"/>
    <w:basedOn w:val="DefaultParagraphFont"/>
    <w:uiPriority w:val="20"/>
    <w:semiHidden/>
    <w:rsid w:val="00F3179E"/>
    <w:rPr>
      <w:i/>
      <w:iCs/>
    </w:rPr>
  </w:style>
  <w:style w:type="character" w:customStyle="1" w:styleId="Heading1Char">
    <w:name w:val="Heading 1 Char"/>
    <w:basedOn w:val="DefaultParagraphFont"/>
    <w:link w:val="Heading1"/>
    <w:uiPriority w:val="9"/>
    <w:rsid w:val="00F317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179E"/>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F3179E"/>
    <w:rPr>
      <w:b/>
      <w:bCs/>
      <w:i/>
      <w:iCs/>
      <w:color w:val="4F81BD" w:themeColor="accent1"/>
    </w:rPr>
  </w:style>
  <w:style w:type="paragraph" w:styleId="IntenseQuote">
    <w:name w:val="Intense Quote"/>
    <w:basedOn w:val="Normal"/>
    <w:next w:val="Normal"/>
    <w:link w:val="IntenseQuoteChar"/>
    <w:uiPriority w:val="30"/>
    <w:semiHidden/>
    <w:rsid w:val="00F317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3179E"/>
    <w:rPr>
      <w:rFonts w:ascii="Arial" w:eastAsia="Arial" w:hAnsi="Arial" w:cs="Arial"/>
      <w:b/>
      <w:bCs/>
      <w:i/>
      <w:iCs/>
      <w:color w:val="4F81BD" w:themeColor="accent1"/>
    </w:rPr>
  </w:style>
  <w:style w:type="character" w:styleId="IntenseReference">
    <w:name w:val="Intense Reference"/>
    <w:basedOn w:val="DefaultParagraphFont"/>
    <w:uiPriority w:val="32"/>
    <w:semiHidden/>
    <w:rsid w:val="00F3179E"/>
    <w:rPr>
      <w:b/>
      <w:bCs/>
      <w:smallCaps/>
      <w:color w:val="C0504D" w:themeColor="accent2"/>
      <w:spacing w:val="5"/>
      <w:u w:val="single"/>
    </w:rPr>
  </w:style>
  <w:style w:type="paragraph" w:styleId="ListParagraph">
    <w:name w:val="List Paragraph"/>
    <w:basedOn w:val="Normal"/>
    <w:uiPriority w:val="34"/>
    <w:qFormat/>
    <w:rsid w:val="00F3179E"/>
    <w:pPr>
      <w:ind w:left="720"/>
      <w:contextualSpacing/>
    </w:pPr>
  </w:style>
  <w:style w:type="paragraph" w:styleId="NoSpacing">
    <w:name w:val="No Spacing"/>
    <w:uiPriority w:val="1"/>
    <w:semiHidden/>
    <w:rsid w:val="00F3179E"/>
    <w:pPr>
      <w:adjustRightInd w:val="0"/>
      <w:jc w:val="both"/>
    </w:pPr>
    <w:rPr>
      <w:rFonts w:ascii="Arial" w:eastAsia="Arial" w:hAnsi="Arial" w:cs="Arial"/>
    </w:rPr>
  </w:style>
  <w:style w:type="paragraph" w:styleId="Quote">
    <w:name w:val="Quote"/>
    <w:basedOn w:val="Normal"/>
    <w:next w:val="Normal"/>
    <w:link w:val="QuoteChar"/>
    <w:uiPriority w:val="29"/>
    <w:semiHidden/>
    <w:rsid w:val="00F3179E"/>
    <w:rPr>
      <w:i/>
      <w:iCs/>
      <w:color w:val="000000" w:themeColor="text1"/>
    </w:rPr>
  </w:style>
  <w:style w:type="character" w:customStyle="1" w:styleId="QuoteChar">
    <w:name w:val="Quote Char"/>
    <w:basedOn w:val="DefaultParagraphFont"/>
    <w:link w:val="Quote"/>
    <w:uiPriority w:val="29"/>
    <w:rsid w:val="00F3179E"/>
    <w:rPr>
      <w:rFonts w:ascii="Arial" w:eastAsia="Arial" w:hAnsi="Arial" w:cs="Arial"/>
      <w:i/>
      <w:iCs/>
      <w:color w:val="000000" w:themeColor="text1"/>
    </w:rPr>
  </w:style>
  <w:style w:type="character" w:styleId="Strong">
    <w:name w:val="Strong"/>
    <w:basedOn w:val="DefaultParagraphFont"/>
    <w:rsid w:val="00F3179E"/>
    <w:rPr>
      <w:b/>
      <w:bCs/>
    </w:rPr>
  </w:style>
  <w:style w:type="paragraph" w:styleId="Subtitle">
    <w:name w:val="Subtitle"/>
    <w:basedOn w:val="Normal"/>
    <w:next w:val="Normal"/>
    <w:link w:val="SubtitleChar"/>
    <w:uiPriority w:val="11"/>
    <w:semiHidden/>
    <w:rsid w:val="00F317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179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F3179E"/>
    <w:rPr>
      <w:i/>
      <w:iCs/>
      <w:color w:val="808080" w:themeColor="text1" w:themeTint="7F"/>
    </w:rPr>
  </w:style>
  <w:style w:type="character" w:styleId="SubtleReference">
    <w:name w:val="Subtle Reference"/>
    <w:basedOn w:val="DefaultParagraphFont"/>
    <w:uiPriority w:val="31"/>
    <w:semiHidden/>
    <w:rsid w:val="00F3179E"/>
    <w:rPr>
      <w:smallCaps/>
      <w:color w:val="C0504D" w:themeColor="accent2"/>
      <w:u w:val="single"/>
    </w:rPr>
  </w:style>
  <w:style w:type="paragraph" w:styleId="Title">
    <w:name w:val="Title"/>
    <w:basedOn w:val="Normal"/>
    <w:next w:val="Normal"/>
    <w:link w:val="TitleChar"/>
    <w:uiPriority w:val="10"/>
    <w:semiHidden/>
    <w:rsid w:val="00F317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179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nhideWhenUsed/>
    <w:rsid w:val="00F3179E"/>
    <w:rPr>
      <w:sz w:val="16"/>
      <w:szCs w:val="16"/>
    </w:rPr>
  </w:style>
  <w:style w:type="paragraph" w:styleId="TOC7">
    <w:name w:val="toc 7"/>
    <w:basedOn w:val="Normal"/>
    <w:next w:val="Normal"/>
    <w:uiPriority w:val="39"/>
    <w:semiHidden/>
    <w:unhideWhenUsed/>
    <w:rsid w:val="00F3179E"/>
    <w:pPr>
      <w:spacing w:after="100"/>
      <w:ind w:left="1200"/>
    </w:pPr>
  </w:style>
  <w:style w:type="paragraph" w:styleId="TOC8">
    <w:name w:val="toc 8"/>
    <w:basedOn w:val="Normal"/>
    <w:next w:val="Normal"/>
    <w:uiPriority w:val="39"/>
    <w:semiHidden/>
    <w:unhideWhenUsed/>
    <w:rsid w:val="00F3179E"/>
    <w:pPr>
      <w:spacing w:after="100"/>
      <w:ind w:left="1400"/>
    </w:pPr>
  </w:style>
  <w:style w:type="paragraph" w:styleId="TOC9">
    <w:name w:val="toc 9"/>
    <w:basedOn w:val="Normal"/>
    <w:next w:val="Normal"/>
    <w:uiPriority w:val="39"/>
    <w:semiHidden/>
    <w:unhideWhenUsed/>
    <w:rsid w:val="00F3179E"/>
    <w:pPr>
      <w:spacing w:after="100"/>
      <w:ind w:left="1600"/>
    </w:pPr>
  </w:style>
  <w:style w:type="paragraph" w:styleId="Index1">
    <w:name w:val="index 1"/>
    <w:basedOn w:val="Normal"/>
    <w:next w:val="Normal"/>
    <w:uiPriority w:val="99"/>
    <w:semiHidden/>
    <w:unhideWhenUsed/>
    <w:rsid w:val="00F3179E"/>
    <w:pPr>
      <w:ind w:left="200" w:hanging="200"/>
    </w:pPr>
  </w:style>
  <w:style w:type="paragraph" w:styleId="Index2">
    <w:name w:val="index 2"/>
    <w:basedOn w:val="Normal"/>
    <w:next w:val="Normal"/>
    <w:uiPriority w:val="99"/>
    <w:semiHidden/>
    <w:unhideWhenUsed/>
    <w:rsid w:val="00F3179E"/>
    <w:pPr>
      <w:ind w:left="400" w:hanging="200"/>
    </w:pPr>
  </w:style>
  <w:style w:type="paragraph" w:styleId="Index3">
    <w:name w:val="index 3"/>
    <w:basedOn w:val="Normal"/>
    <w:next w:val="Normal"/>
    <w:uiPriority w:val="99"/>
    <w:semiHidden/>
    <w:unhideWhenUsed/>
    <w:rsid w:val="00F3179E"/>
    <w:pPr>
      <w:ind w:left="600" w:hanging="200"/>
    </w:pPr>
  </w:style>
  <w:style w:type="paragraph" w:styleId="Index4">
    <w:name w:val="index 4"/>
    <w:basedOn w:val="Normal"/>
    <w:next w:val="Normal"/>
    <w:uiPriority w:val="99"/>
    <w:semiHidden/>
    <w:unhideWhenUsed/>
    <w:rsid w:val="00F3179E"/>
    <w:pPr>
      <w:ind w:left="800" w:hanging="200"/>
    </w:pPr>
  </w:style>
  <w:style w:type="paragraph" w:styleId="Index5">
    <w:name w:val="index 5"/>
    <w:basedOn w:val="Normal"/>
    <w:next w:val="Normal"/>
    <w:uiPriority w:val="99"/>
    <w:semiHidden/>
    <w:unhideWhenUsed/>
    <w:rsid w:val="00F3179E"/>
    <w:pPr>
      <w:ind w:left="1000" w:hanging="200"/>
    </w:pPr>
  </w:style>
  <w:style w:type="paragraph" w:styleId="Index6">
    <w:name w:val="index 6"/>
    <w:basedOn w:val="Normal"/>
    <w:next w:val="Normal"/>
    <w:uiPriority w:val="99"/>
    <w:semiHidden/>
    <w:unhideWhenUsed/>
    <w:rsid w:val="00F3179E"/>
    <w:pPr>
      <w:ind w:left="1200" w:hanging="200"/>
    </w:pPr>
  </w:style>
  <w:style w:type="paragraph" w:styleId="Index7">
    <w:name w:val="index 7"/>
    <w:basedOn w:val="Normal"/>
    <w:next w:val="Normal"/>
    <w:uiPriority w:val="99"/>
    <w:semiHidden/>
    <w:unhideWhenUsed/>
    <w:rsid w:val="00F3179E"/>
    <w:pPr>
      <w:ind w:left="1400" w:hanging="200"/>
    </w:pPr>
  </w:style>
  <w:style w:type="paragraph" w:styleId="Index8">
    <w:name w:val="index 8"/>
    <w:basedOn w:val="Normal"/>
    <w:next w:val="Normal"/>
    <w:uiPriority w:val="99"/>
    <w:semiHidden/>
    <w:unhideWhenUsed/>
    <w:rsid w:val="00F3179E"/>
    <w:pPr>
      <w:ind w:left="1600" w:hanging="200"/>
    </w:pPr>
  </w:style>
  <w:style w:type="paragraph" w:styleId="Index9">
    <w:name w:val="index 9"/>
    <w:basedOn w:val="Normal"/>
    <w:next w:val="Normal"/>
    <w:uiPriority w:val="99"/>
    <w:semiHidden/>
    <w:unhideWhenUsed/>
    <w:rsid w:val="00F3179E"/>
    <w:pPr>
      <w:ind w:left="1800" w:hanging="200"/>
    </w:pPr>
  </w:style>
  <w:style w:type="paragraph" w:styleId="BalloonText">
    <w:name w:val="Balloon Text"/>
    <w:basedOn w:val="Normal"/>
    <w:link w:val="BalloonTextChar"/>
    <w:uiPriority w:val="99"/>
    <w:semiHidden/>
    <w:unhideWhenUsed/>
    <w:rsid w:val="00067A64"/>
    <w:rPr>
      <w:rFonts w:ascii="Tahoma" w:hAnsi="Tahoma" w:cs="Tahoma"/>
      <w:sz w:val="16"/>
      <w:szCs w:val="16"/>
    </w:rPr>
  </w:style>
  <w:style w:type="character" w:customStyle="1" w:styleId="BalloonTextChar">
    <w:name w:val="Balloon Text Char"/>
    <w:basedOn w:val="DefaultParagraphFont"/>
    <w:link w:val="BalloonText"/>
    <w:uiPriority w:val="99"/>
    <w:semiHidden/>
    <w:rsid w:val="00067A64"/>
    <w:rPr>
      <w:rFonts w:ascii="Tahoma" w:eastAsia="Arial" w:hAnsi="Tahoma" w:cs="Tahoma"/>
      <w:sz w:val="16"/>
      <w:szCs w:val="16"/>
    </w:rPr>
  </w:style>
  <w:style w:type="table" w:styleId="TableGrid">
    <w:name w:val="Table Grid"/>
    <w:basedOn w:val="TableNormal"/>
    <w:uiPriority w:val="39"/>
    <w:rsid w:val="00FD0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F63019"/>
    <w:rPr>
      <w:rFonts w:ascii="Arial" w:hAnsi="Arial"/>
      <w:b/>
      <w:bCs/>
      <w:sz w:val="26"/>
      <w:szCs w:val="26"/>
      <w:lang w:eastAsia="en-US"/>
    </w:rPr>
  </w:style>
  <w:style w:type="character" w:customStyle="1" w:styleId="Heading4Char">
    <w:name w:val="Heading 4 Char"/>
    <w:aliases w:val="Style Heading 4 + Teal Char"/>
    <w:basedOn w:val="DefaultParagraphFont"/>
    <w:link w:val="Heading4"/>
    <w:rsid w:val="00F63019"/>
    <w:rPr>
      <w:b/>
      <w:bCs/>
      <w:sz w:val="28"/>
      <w:szCs w:val="28"/>
      <w:lang w:eastAsia="en-US"/>
    </w:rPr>
  </w:style>
  <w:style w:type="character" w:customStyle="1" w:styleId="Heading5Char">
    <w:name w:val="Heading 5 Char"/>
    <w:basedOn w:val="DefaultParagraphFont"/>
    <w:link w:val="Heading5"/>
    <w:rsid w:val="00F63019"/>
    <w:rPr>
      <w:rFonts w:ascii="Arial" w:hAnsi="Arial"/>
      <w:b/>
      <w:bCs/>
      <w:i/>
      <w:iCs/>
      <w:sz w:val="26"/>
      <w:szCs w:val="26"/>
      <w:lang w:eastAsia="en-US"/>
    </w:rPr>
  </w:style>
  <w:style w:type="character" w:customStyle="1" w:styleId="Heading6Char">
    <w:name w:val="Heading 6 Char"/>
    <w:basedOn w:val="DefaultParagraphFont"/>
    <w:link w:val="Heading6"/>
    <w:rsid w:val="00F63019"/>
    <w:rPr>
      <w:b/>
      <w:bCs/>
      <w:sz w:val="22"/>
      <w:szCs w:val="22"/>
      <w:lang w:eastAsia="en-US"/>
    </w:rPr>
  </w:style>
  <w:style w:type="character" w:customStyle="1" w:styleId="Heading7Char">
    <w:name w:val="Heading 7 Char"/>
    <w:basedOn w:val="DefaultParagraphFont"/>
    <w:link w:val="Heading7"/>
    <w:rsid w:val="00F63019"/>
    <w:rPr>
      <w:sz w:val="24"/>
      <w:szCs w:val="24"/>
      <w:lang w:eastAsia="en-US"/>
    </w:rPr>
  </w:style>
  <w:style w:type="character" w:customStyle="1" w:styleId="Heading8Char">
    <w:name w:val="Heading 8 Char"/>
    <w:basedOn w:val="DefaultParagraphFont"/>
    <w:link w:val="Heading8"/>
    <w:rsid w:val="00F63019"/>
    <w:rPr>
      <w:i/>
      <w:iCs/>
      <w:sz w:val="24"/>
      <w:szCs w:val="24"/>
      <w:lang w:eastAsia="en-US"/>
    </w:rPr>
  </w:style>
  <w:style w:type="character" w:customStyle="1" w:styleId="Heading9Char">
    <w:name w:val="Heading 9 Char"/>
    <w:basedOn w:val="DefaultParagraphFont"/>
    <w:link w:val="Heading9"/>
    <w:rsid w:val="00F63019"/>
    <w:rPr>
      <w:rFonts w:ascii="Arial" w:hAnsi="Arial"/>
      <w:sz w:val="22"/>
      <w:szCs w:val="22"/>
      <w:lang w:eastAsia="en-US"/>
    </w:rPr>
  </w:style>
  <w:style w:type="character" w:customStyle="1" w:styleId="Body2Char1">
    <w:name w:val="Body 2 Char1"/>
    <w:link w:val="Body2"/>
    <w:locked/>
    <w:rsid w:val="00F63019"/>
    <w:rPr>
      <w:rFonts w:ascii="Arial" w:eastAsia="Arial" w:hAnsi="Arial" w:cs="Arial"/>
    </w:rPr>
  </w:style>
  <w:style w:type="character" w:customStyle="1" w:styleId="Level2Char">
    <w:name w:val="Level 2 Char"/>
    <w:link w:val="Level2"/>
    <w:locked/>
    <w:rsid w:val="00F63019"/>
    <w:rPr>
      <w:rFonts w:ascii="Arial" w:eastAsia="Arial" w:hAnsi="Arial" w:cs="Arial"/>
    </w:rPr>
  </w:style>
  <w:style w:type="character" w:customStyle="1" w:styleId="Level3Char">
    <w:name w:val="Level 3 Char"/>
    <w:basedOn w:val="DefaultParagraphFont"/>
    <w:link w:val="Level3"/>
    <w:locked/>
    <w:rsid w:val="00F63019"/>
    <w:rPr>
      <w:rFonts w:ascii="Arial" w:eastAsia="Arial" w:hAnsi="Arial" w:cs="Arial"/>
    </w:rPr>
  </w:style>
  <w:style w:type="character" w:customStyle="1" w:styleId="Level4Char">
    <w:name w:val="Level 4 Char"/>
    <w:link w:val="Level4"/>
    <w:rsid w:val="00F63019"/>
    <w:rPr>
      <w:rFonts w:ascii="Arial" w:eastAsia="Arial" w:hAnsi="Arial" w:cs="Arial"/>
    </w:rPr>
  </w:style>
  <w:style w:type="paragraph" w:customStyle="1" w:styleId="Schedule">
    <w:name w:val="Schedule"/>
    <w:basedOn w:val="Normal"/>
    <w:rsid w:val="00F63019"/>
    <w:pPr>
      <w:keepNext/>
      <w:numPr>
        <w:numId w:val="20"/>
      </w:numPr>
      <w:adjustRightInd/>
      <w:spacing w:after="240" w:line="276" w:lineRule="auto"/>
      <w:jc w:val="center"/>
    </w:pPr>
    <w:rPr>
      <w:rFonts w:ascii="Verdana" w:eastAsia="Times New Roman" w:hAnsi="Verdana" w:cs="Times New Roman"/>
      <w:b/>
      <w:caps/>
      <w:sz w:val="24"/>
    </w:rPr>
  </w:style>
  <w:style w:type="paragraph" w:customStyle="1" w:styleId="Background">
    <w:name w:val="Background"/>
    <w:basedOn w:val="Normal"/>
    <w:rsid w:val="00F63019"/>
    <w:pPr>
      <w:numPr>
        <w:numId w:val="21"/>
      </w:numPr>
      <w:adjustRightInd/>
      <w:spacing w:after="240" w:line="276" w:lineRule="auto"/>
    </w:pPr>
    <w:rPr>
      <w:rFonts w:ascii="Verdana" w:eastAsia="Times New Roman" w:hAnsi="Verdana" w:cs="Times New Roman"/>
    </w:rPr>
  </w:style>
  <w:style w:type="character" w:customStyle="1" w:styleId="BodyChar">
    <w:name w:val="Body Char"/>
    <w:link w:val="Body"/>
    <w:locked/>
    <w:rsid w:val="00F63019"/>
    <w:rPr>
      <w:rFonts w:ascii="Arial" w:eastAsia="Arial" w:hAnsi="Arial" w:cs="Arial"/>
    </w:rPr>
  </w:style>
  <w:style w:type="paragraph" w:styleId="CommentText">
    <w:name w:val="annotation text"/>
    <w:basedOn w:val="Normal"/>
    <w:link w:val="CommentTextChar"/>
    <w:uiPriority w:val="99"/>
    <w:unhideWhenUsed/>
    <w:rsid w:val="006C3352"/>
  </w:style>
  <w:style w:type="character" w:customStyle="1" w:styleId="CommentTextChar">
    <w:name w:val="Comment Text Char"/>
    <w:basedOn w:val="DefaultParagraphFont"/>
    <w:link w:val="CommentText"/>
    <w:uiPriority w:val="99"/>
    <w:rsid w:val="006C3352"/>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6C3352"/>
    <w:rPr>
      <w:b/>
      <w:bCs/>
    </w:rPr>
  </w:style>
  <w:style w:type="character" w:customStyle="1" w:styleId="CommentSubjectChar">
    <w:name w:val="Comment Subject Char"/>
    <w:basedOn w:val="CommentTextChar"/>
    <w:link w:val="CommentSubject"/>
    <w:uiPriority w:val="99"/>
    <w:semiHidden/>
    <w:rsid w:val="006C3352"/>
    <w:rPr>
      <w:rFonts w:ascii="Arial" w:eastAsia="Arial" w:hAnsi="Arial" w:cs="Arial"/>
      <w:b/>
      <w:bCs/>
    </w:rPr>
  </w:style>
  <w:style w:type="character" w:customStyle="1" w:styleId="InsertText">
    <w:name w:val="Insert Text"/>
    <w:rsid w:val="00D2571F"/>
    <w:rPr>
      <w:bdr w:val="none" w:sz="0" w:space="0" w:color="auto"/>
      <w:shd w:val="clear" w:color="auto" w:fill="FFFF00"/>
    </w:rPr>
  </w:style>
  <w:style w:type="table" w:customStyle="1" w:styleId="PinsentsTableGrid">
    <w:name w:val="Pinsents Table Grid"/>
    <w:basedOn w:val="TableNormal"/>
    <w:rsid w:val="00D2571F"/>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character" w:customStyle="1" w:styleId="UnresolvedMention1">
    <w:name w:val="Unresolved Mention1"/>
    <w:basedOn w:val="DefaultParagraphFont"/>
    <w:uiPriority w:val="99"/>
    <w:semiHidden/>
    <w:unhideWhenUsed/>
    <w:rsid w:val="002E1D24"/>
    <w:rPr>
      <w:color w:val="808080"/>
      <w:shd w:val="clear" w:color="auto" w:fill="E6E6E6"/>
    </w:rPr>
  </w:style>
  <w:style w:type="character" w:customStyle="1" w:styleId="TextChar">
    <w:name w:val="Text Char"/>
    <w:link w:val="Text"/>
    <w:rsid w:val="00015AB8"/>
    <w:rPr>
      <w:rFonts w:ascii="Arial" w:hAnsi="Arial"/>
      <w:sz w:val="22"/>
    </w:rPr>
  </w:style>
  <w:style w:type="paragraph" w:customStyle="1" w:styleId="Text">
    <w:name w:val="Text"/>
    <w:link w:val="TextChar"/>
    <w:qFormat/>
    <w:rsid w:val="00015AB8"/>
    <w:pPr>
      <w:spacing w:after="240"/>
    </w:pPr>
    <w:rPr>
      <w:rFonts w:ascii="Arial" w:hAnsi="Arial"/>
      <w:sz w:val="22"/>
    </w:rPr>
  </w:style>
  <w:style w:type="paragraph" w:customStyle="1" w:styleId="AOHead1">
    <w:name w:val="AOHead1"/>
    <w:basedOn w:val="Normal"/>
    <w:next w:val="Normal"/>
    <w:rsid w:val="00015AB8"/>
    <w:pPr>
      <w:keepNext/>
      <w:numPr>
        <w:numId w:val="29"/>
      </w:numPr>
      <w:adjustRightInd/>
      <w:spacing w:before="240" w:line="260" w:lineRule="atLeast"/>
      <w:outlineLvl w:val="0"/>
    </w:pPr>
    <w:rPr>
      <w:rFonts w:ascii="Times New Roman" w:eastAsia="SimSun" w:hAnsi="Times New Roman" w:cs="Times New Roman"/>
      <w:b/>
      <w:caps/>
      <w:kern w:val="28"/>
      <w:sz w:val="22"/>
      <w:szCs w:val="22"/>
      <w:lang w:eastAsia="en-US"/>
    </w:rPr>
  </w:style>
  <w:style w:type="paragraph" w:customStyle="1" w:styleId="AOHead2">
    <w:name w:val="AOHead2"/>
    <w:basedOn w:val="Normal"/>
    <w:next w:val="Normal"/>
    <w:rsid w:val="00015AB8"/>
    <w:pPr>
      <w:keepNext/>
      <w:numPr>
        <w:ilvl w:val="1"/>
        <w:numId w:val="29"/>
      </w:numPr>
      <w:adjustRightInd/>
      <w:spacing w:before="240" w:line="260" w:lineRule="atLeast"/>
      <w:outlineLvl w:val="1"/>
    </w:pPr>
    <w:rPr>
      <w:rFonts w:ascii="Times New Roman" w:eastAsia="SimSun" w:hAnsi="Times New Roman" w:cs="Times New Roman"/>
      <w:b/>
      <w:sz w:val="22"/>
      <w:szCs w:val="22"/>
      <w:lang w:eastAsia="en-US"/>
    </w:rPr>
  </w:style>
  <w:style w:type="paragraph" w:customStyle="1" w:styleId="AOHead3">
    <w:name w:val="AOHead3"/>
    <w:basedOn w:val="Normal"/>
    <w:next w:val="Normal"/>
    <w:rsid w:val="00015AB8"/>
    <w:pPr>
      <w:numPr>
        <w:ilvl w:val="2"/>
        <w:numId w:val="29"/>
      </w:numPr>
      <w:adjustRightInd/>
      <w:spacing w:before="240" w:line="260" w:lineRule="atLeast"/>
      <w:outlineLvl w:val="2"/>
    </w:pPr>
    <w:rPr>
      <w:rFonts w:ascii="Times New Roman" w:eastAsia="SimSun" w:hAnsi="Times New Roman" w:cs="Times New Roman"/>
      <w:sz w:val="22"/>
      <w:szCs w:val="22"/>
      <w:lang w:eastAsia="en-US"/>
    </w:rPr>
  </w:style>
  <w:style w:type="paragraph" w:customStyle="1" w:styleId="AOHead4">
    <w:name w:val="AOHead4"/>
    <w:basedOn w:val="Normal"/>
    <w:next w:val="Normal"/>
    <w:rsid w:val="00015AB8"/>
    <w:pPr>
      <w:numPr>
        <w:ilvl w:val="3"/>
        <w:numId w:val="29"/>
      </w:numPr>
      <w:adjustRightInd/>
      <w:spacing w:before="240" w:line="260" w:lineRule="atLeast"/>
      <w:outlineLvl w:val="3"/>
    </w:pPr>
    <w:rPr>
      <w:rFonts w:ascii="Times New Roman" w:eastAsia="SimSun" w:hAnsi="Times New Roman" w:cs="Times New Roman"/>
      <w:sz w:val="22"/>
      <w:szCs w:val="22"/>
      <w:lang w:eastAsia="en-US"/>
    </w:rPr>
  </w:style>
  <w:style w:type="paragraph" w:customStyle="1" w:styleId="AOHead5">
    <w:name w:val="AOHead5"/>
    <w:basedOn w:val="Normal"/>
    <w:next w:val="Normal"/>
    <w:rsid w:val="00015AB8"/>
    <w:pPr>
      <w:numPr>
        <w:ilvl w:val="4"/>
        <w:numId w:val="29"/>
      </w:numPr>
      <w:adjustRightInd/>
      <w:spacing w:before="240" w:line="260" w:lineRule="atLeast"/>
      <w:outlineLvl w:val="4"/>
    </w:pPr>
    <w:rPr>
      <w:rFonts w:ascii="Times New Roman" w:eastAsia="SimSun" w:hAnsi="Times New Roman" w:cs="Times New Roman"/>
      <w:sz w:val="22"/>
      <w:szCs w:val="22"/>
      <w:lang w:eastAsia="en-US"/>
    </w:rPr>
  </w:style>
  <w:style w:type="paragraph" w:customStyle="1" w:styleId="AOHead6">
    <w:name w:val="AOHead6"/>
    <w:basedOn w:val="Normal"/>
    <w:next w:val="Normal"/>
    <w:rsid w:val="00015AB8"/>
    <w:pPr>
      <w:numPr>
        <w:ilvl w:val="5"/>
        <w:numId w:val="29"/>
      </w:numPr>
      <w:adjustRightInd/>
      <w:spacing w:before="240" w:line="260" w:lineRule="atLeast"/>
      <w:outlineLvl w:val="5"/>
    </w:pPr>
    <w:rPr>
      <w:rFonts w:ascii="Times New Roman" w:eastAsia="SimSun" w:hAnsi="Times New Roman" w:cs="Times New Roman"/>
      <w:sz w:val="22"/>
      <w:szCs w:val="22"/>
      <w:lang w:eastAsia="en-US"/>
    </w:rPr>
  </w:style>
  <w:style w:type="character" w:customStyle="1" w:styleId="UnresolvedMention2">
    <w:name w:val="Unresolved Mention2"/>
    <w:basedOn w:val="DefaultParagraphFont"/>
    <w:uiPriority w:val="99"/>
    <w:semiHidden/>
    <w:unhideWhenUsed/>
    <w:rsid w:val="00EC2F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5281">
      <w:bodyDiv w:val="1"/>
      <w:marLeft w:val="0"/>
      <w:marRight w:val="0"/>
      <w:marTop w:val="0"/>
      <w:marBottom w:val="0"/>
      <w:divBdr>
        <w:top w:val="none" w:sz="0" w:space="0" w:color="auto"/>
        <w:left w:val="none" w:sz="0" w:space="0" w:color="auto"/>
        <w:bottom w:val="none" w:sz="0" w:space="0" w:color="auto"/>
        <w:right w:val="none" w:sz="0" w:space="0" w:color="auto"/>
      </w:divBdr>
    </w:div>
    <w:div w:id="596329322">
      <w:bodyDiv w:val="1"/>
      <w:marLeft w:val="0"/>
      <w:marRight w:val="0"/>
      <w:marTop w:val="0"/>
      <w:marBottom w:val="0"/>
      <w:divBdr>
        <w:top w:val="none" w:sz="0" w:space="0" w:color="auto"/>
        <w:left w:val="none" w:sz="0" w:space="0" w:color="auto"/>
        <w:bottom w:val="none" w:sz="0" w:space="0" w:color="auto"/>
        <w:right w:val="none" w:sz="0" w:space="0" w:color="auto"/>
      </w:divBdr>
    </w:div>
    <w:div w:id="671446541">
      <w:bodyDiv w:val="1"/>
      <w:marLeft w:val="0"/>
      <w:marRight w:val="0"/>
      <w:marTop w:val="0"/>
      <w:marBottom w:val="0"/>
      <w:divBdr>
        <w:top w:val="none" w:sz="0" w:space="0" w:color="auto"/>
        <w:left w:val="none" w:sz="0" w:space="0" w:color="auto"/>
        <w:bottom w:val="none" w:sz="0" w:space="0" w:color="auto"/>
        <w:right w:val="none" w:sz="0" w:space="0" w:color="auto"/>
      </w:divBdr>
    </w:div>
    <w:div w:id="1202742668">
      <w:bodyDiv w:val="1"/>
      <w:marLeft w:val="0"/>
      <w:marRight w:val="0"/>
      <w:marTop w:val="0"/>
      <w:marBottom w:val="0"/>
      <w:divBdr>
        <w:top w:val="none" w:sz="0" w:space="0" w:color="auto"/>
        <w:left w:val="none" w:sz="0" w:space="0" w:color="auto"/>
        <w:bottom w:val="none" w:sz="0" w:space="0" w:color="auto"/>
        <w:right w:val="none" w:sz="0" w:space="0" w:color="auto"/>
      </w:divBdr>
    </w:div>
    <w:div w:id="1265115786">
      <w:bodyDiv w:val="1"/>
      <w:marLeft w:val="0"/>
      <w:marRight w:val="0"/>
      <w:marTop w:val="0"/>
      <w:marBottom w:val="0"/>
      <w:divBdr>
        <w:top w:val="none" w:sz="0" w:space="0" w:color="auto"/>
        <w:left w:val="none" w:sz="0" w:space="0" w:color="auto"/>
        <w:bottom w:val="none" w:sz="0" w:space="0" w:color="auto"/>
        <w:right w:val="none" w:sz="0" w:space="0" w:color="auto"/>
      </w:divBdr>
    </w:div>
    <w:div w:id="1323898755">
      <w:bodyDiv w:val="1"/>
      <w:marLeft w:val="0"/>
      <w:marRight w:val="0"/>
      <w:marTop w:val="0"/>
      <w:marBottom w:val="0"/>
      <w:divBdr>
        <w:top w:val="none" w:sz="0" w:space="0" w:color="auto"/>
        <w:left w:val="none" w:sz="0" w:space="0" w:color="auto"/>
        <w:bottom w:val="none" w:sz="0" w:space="0" w:color="auto"/>
        <w:right w:val="none" w:sz="0" w:space="0" w:color="auto"/>
      </w:divBdr>
    </w:div>
    <w:div w:id="1383216798">
      <w:bodyDiv w:val="1"/>
      <w:marLeft w:val="0"/>
      <w:marRight w:val="0"/>
      <w:marTop w:val="0"/>
      <w:marBottom w:val="0"/>
      <w:divBdr>
        <w:top w:val="none" w:sz="0" w:space="0" w:color="auto"/>
        <w:left w:val="none" w:sz="0" w:space="0" w:color="auto"/>
        <w:bottom w:val="none" w:sz="0" w:space="0" w:color="auto"/>
        <w:right w:val="none" w:sz="0" w:space="0" w:color="auto"/>
      </w:divBdr>
    </w:div>
    <w:div w:id="1454909570">
      <w:bodyDiv w:val="1"/>
      <w:marLeft w:val="0"/>
      <w:marRight w:val="0"/>
      <w:marTop w:val="0"/>
      <w:marBottom w:val="0"/>
      <w:divBdr>
        <w:top w:val="none" w:sz="0" w:space="0" w:color="auto"/>
        <w:left w:val="none" w:sz="0" w:space="0" w:color="auto"/>
        <w:bottom w:val="none" w:sz="0" w:space="0" w:color="auto"/>
        <w:right w:val="none" w:sz="0" w:space="0" w:color="auto"/>
      </w:divBdr>
    </w:div>
    <w:div w:id="1694309436">
      <w:bodyDiv w:val="1"/>
      <w:marLeft w:val="0"/>
      <w:marRight w:val="0"/>
      <w:marTop w:val="0"/>
      <w:marBottom w:val="0"/>
      <w:divBdr>
        <w:top w:val="none" w:sz="0" w:space="0" w:color="auto"/>
        <w:left w:val="none" w:sz="0" w:space="0" w:color="auto"/>
        <w:bottom w:val="none" w:sz="0" w:space="0" w:color="auto"/>
        <w:right w:val="none" w:sz="0" w:space="0" w:color="auto"/>
      </w:divBdr>
    </w:div>
    <w:div w:id="1768647374">
      <w:bodyDiv w:val="1"/>
      <w:marLeft w:val="0"/>
      <w:marRight w:val="0"/>
      <w:marTop w:val="0"/>
      <w:marBottom w:val="0"/>
      <w:divBdr>
        <w:top w:val="none" w:sz="0" w:space="0" w:color="auto"/>
        <w:left w:val="none" w:sz="0" w:space="0" w:color="auto"/>
        <w:bottom w:val="none" w:sz="0" w:space="0" w:color="auto"/>
        <w:right w:val="none" w:sz="0" w:space="0" w:color="auto"/>
      </w:divBdr>
    </w:div>
    <w:div w:id="1859612830">
      <w:bodyDiv w:val="1"/>
      <w:marLeft w:val="0"/>
      <w:marRight w:val="0"/>
      <w:marTop w:val="0"/>
      <w:marBottom w:val="0"/>
      <w:divBdr>
        <w:top w:val="none" w:sz="0" w:space="0" w:color="auto"/>
        <w:left w:val="none" w:sz="0" w:space="0" w:color="auto"/>
        <w:bottom w:val="none" w:sz="0" w:space="0" w:color="auto"/>
        <w:right w:val="none" w:sz="0" w:space="0" w:color="auto"/>
      </w:divBdr>
    </w:div>
    <w:div w:id="1866553972">
      <w:bodyDiv w:val="1"/>
      <w:marLeft w:val="0"/>
      <w:marRight w:val="0"/>
      <w:marTop w:val="0"/>
      <w:marBottom w:val="0"/>
      <w:divBdr>
        <w:top w:val="none" w:sz="0" w:space="0" w:color="auto"/>
        <w:left w:val="none" w:sz="0" w:space="0" w:color="auto"/>
        <w:bottom w:val="none" w:sz="0" w:space="0" w:color="auto"/>
        <w:right w:val="none" w:sz="0" w:space="0" w:color="auto"/>
      </w:divBdr>
    </w:div>
    <w:div w:id="195154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nistryofjusticecommercial.bravosolution.co.uk"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mailto:esourcing@justic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Leg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3D9CFD37F0A47914113319DA5BA52" ma:contentTypeVersion="12" ma:contentTypeDescription="Create a new document." ma:contentTypeScope="" ma:versionID="9f7ee0716223f7288ffdcb7e159cfbba">
  <xsd:schema xmlns:xsd="http://www.w3.org/2001/XMLSchema" xmlns:xs="http://www.w3.org/2001/XMLSchema" xmlns:p="http://schemas.microsoft.com/office/2006/metadata/properties" xmlns:ns3="1553bc3e-0b01-4c87-99bb-ef2fbcc4d99a" xmlns:ns4="b08fd04e-13b6-49e4-9bce-27ddc0774c57" targetNamespace="http://schemas.microsoft.com/office/2006/metadata/properties" ma:root="true" ma:fieldsID="5f6337f99c469339996feb019ea4d391" ns3:_="" ns4:_="">
    <xsd:import namespace="1553bc3e-0b01-4c87-99bb-ef2fbcc4d99a"/>
    <xsd:import namespace="b08fd04e-13b6-49e4-9bce-27ddc0774c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bc3e-0b01-4c87-99bb-ef2fbcc4d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8fd04e-13b6-49e4-9bce-27ddc0774c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3347-E50B-4368-BA3F-D028E909A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3bc3e-0b01-4c87-99bb-ef2fbcc4d99a"/>
    <ds:schemaRef ds:uri="b08fd04e-13b6-49e4-9bce-27ddc0774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1D9A9-EC64-4484-A364-B4E8258F56C1}">
  <ds:schemaRefs>
    <ds:schemaRef ds:uri="http://schemas.microsoft.com/sharepoint/v3/contenttype/forms"/>
  </ds:schemaRefs>
</ds:datastoreItem>
</file>

<file path=customXml/itemProps3.xml><?xml version="1.0" encoding="utf-8"?>
<ds:datastoreItem xmlns:ds="http://schemas.openxmlformats.org/officeDocument/2006/customXml" ds:itemID="{729C48F8-8CC8-49A5-9FF8-9746842B4309}">
  <ds:schemaRefs>
    <ds:schemaRef ds:uri="http://schemas.microsoft.com/office/2006/metadata/properties"/>
    <ds:schemaRef ds:uri="http://purl.org/dc/terms/"/>
    <ds:schemaRef ds:uri="1553bc3e-0b01-4c87-99bb-ef2fbcc4d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b08fd04e-13b6-49e4-9bce-27ddc0774c57"/>
    <ds:schemaRef ds:uri="http://www.w3.org/XML/1998/namespace"/>
    <ds:schemaRef ds:uri="http://purl.org/dc/dcmitype/"/>
  </ds:schemaRefs>
</ds:datastoreItem>
</file>

<file path=customXml/itemProps4.xml><?xml version="1.0" encoding="utf-8"?>
<ds:datastoreItem xmlns:ds="http://schemas.openxmlformats.org/officeDocument/2006/customXml" ds:itemID="{2EA92554-A37B-4CEF-AC28-613380A2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Doc.dotx</Template>
  <TotalTime>0</TotalTime>
  <Pages>34</Pages>
  <Words>12330</Words>
  <Characters>69369</Characters>
  <Application>Microsoft Office Word</Application>
  <DocSecurity>0</DocSecurity>
  <Lines>578</Lines>
  <Paragraphs>163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2020-06-10T14:18:00Z</dcterms:created>
  <dcterms:modified xsi:type="dcterms:W3CDTF">2020-06-10T15:01:00Z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108995540.12\EB34</vt:lpwstr>
  </property>
  <property fmtid="{D5CDD505-2E9C-101B-9397-08002B2CF9AE}" pid="3" name="PrintMode">
    <vt:lpwstr>White</vt:lpwstr>
  </property>
  <property fmtid="{D5CDD505-2E9C-101B-9397-08002B2CF9AE}" pid="4" name="ContentTypeId">
    <vt:lpwstr>0x0101001983D9CFD37F0A47914113319DA5BA52</vt:lpwstr>
  </property>
</Properties>
</file>