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7D96" w14:textId="7D2478AF" w:rsidR="00523066" w:rsidRPr="00CC0495" w:rsidRDefault="00592723" w:rsidP="00523066">
      <w:pPr>
        <w:pStyle w:val="Header"/>
        <w:tabs>
          <w:tab w:val="clear" w:pos="4513"/>
          <w:tab w:val="clear" w:pos="9026"/>
          <w:tab w:val="left" w:pos="4253"/>
        </w:tabs>
        <w:rPr>
          <w:rFonts w:ascii="Arial" w:hAnsi="Arial" w:cs="Arial"/>
          <w:sz w:val="32"/>
          <w:szCs w:val="32"/>
          <w:u w:val="single"/>
        </w:rPr>
      </w:pPr>
      <w:r>
        <w:rPr>
          <w:noProof/>
        </w:rPr>
        <w:pict w14:anchorId="44C60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in;height:75.75pt;visibility:visible;mso-wrap-style:square">
            <v:imagedata r:id="rId13" o:title=""/>
          </v:shape>
        </w:pict>
      </w:r>
    </w:p>
    <w:p w14:paraId="1D51CC8B" w14:textId="77777777" w:rsidR="00523066" w:rsidRPr="008E51C9" w:rsidRDefault="00523066" w:rsidP="00523066">
      <w:pPr>
        <w:rPr>
          <w:rFonts w:ascii="Arial" w:hAnsi="Arial" w:cs="Arial"/>
          <w:sz w:val="32"/>
          <w:szCs w:val="32"/>
          <w:u w:val="single"/>
        </w:rPr>
      </w:pPr>
    </w:p>
    <w:p w14:paraId="6620BD72" w14:textId="77777777" w:rsidR="00523066" w:rsidRPr="008E51C9" w:rsidRDefault="00523066" w:rsidP="00523066">
      <w:pPr>
        <w:rPr>
          <w:rFonts w:ascii="Arial" w:hAnsi="Arial" w:cs="Arial"/>
          <w:sz w:val="32"/>
          <w:szCs w:val="32"/>
          <w:u w:val="single"/>
        </w:rPr>
      </w:pPr>
    </w:p>
    <w:p w14:paraId="1110AD29" w14:textId="77777777" w:rsidR="00523066" w:rsidRPr="008E51C9" w:rsidRDefault="00523066" w:rsidP="00523066">
      <w:pPr>
        <w:rPr>
          <w:rFonts w:ascii="Arial" w:hAnsi="Arial" w:cs="Arial"/>
          <w:sz w:val="32"/>
          <w:szCs w:val="32"/>
          <w:u w:val="single"/>
        </w:rPr>
      </w:pPr>
    </w:p>
    <w:p w14:paraId="47CFC334" w14:textId="77777777" w:rsidR="00523066" w:rsidRPr="008E51C9" w:rsidRDefault="00523066" w:rsidP="00523066">
      <w:pPr>
        <w:rPr>
          <w:rFonts w:ascii="Arial" w:hAnsi="Arial" w:cs="Arial"/>
          <w:sz w:val="32"/>
          <w:szCs w:val="32"/>
          <w:u w:val="single"/>
        </w:rPr>
      </w:pPr>
    </w:p>
    <w:p w14:paraId="08807C68" w14:textId="77777777" w:rsidR="00523066" w:rsidRPr="001B6A55" w:rsidRDefault="00523066" w:rsidP="00523066">
      <w:pPr>
        <w:rPr>
          <w:rFonts w:ascii="Arial" w:hAnsi="Arial" w:cs="Arial"/>
          <w:color w:val="1F497D"/>
          <w:sz w:val="72"/>
          <w:szCs w:val="72"/>
        </w:rPr>
      </w:pPr>
      <w:bookmarkStart w:id="0" w:name="_Hlk507681469"/>
      <w:r w:rsidRPr="004B4CD0">
        <w:rPr>
          <w:rFonts w:ascii="Arial" w:hAnsi="Arial" w:cs="Arial"/>
          <w:color w:val="1F497D"/>
          <w:sz w:val="64"/>
          <w:szCs w:val="64"/>
        </w:rPr>
        <w:t xml:space="preserve">ENTERPRISE ACT 2002: </w:t>
      </w:r>
      <w:r w:rsidRPr="004B4CD0">
        <w:rPr>
          <w:rFonts w:ascii="Arial" w:hAnsi="Arial" w:cs="Arial"/>
          <w:caps/>
          <w:color w:val="1F497D"/>
          <w:sz w:val="64"/>
          <w:szCs w:val="64"/>
        </w:rPr>
        <w:t>changes to the turnover and share of supply tests for mergers</w:t>
      </w:r>
      <w:bookmarkEnd w:id="0"/>
    </w:p>
    <w:p w14:paraId="44316571" w14:textId="77777777" w:rsidR="00523066" w:rsidRPr="001B6A55" w:rsidRDefault="00523066" w:rsidP="00523066">
      <w:pPr>
        <w:rPr>
          <w:rFonts w:ascii="Arial" w:hAnsi="Arial" w:cs="Arial"/>
          <w:color w:val="1F497D"/>
          <w:sz w:val="72"/>
          <w:szCs w:val="72"/>
        </w:rPr>
      </w:pPr>
    </w:p>
    <w:p w14:paraId="360D7AB7" w14:textId="77777777" w:rsidR="00523066" w:rsidRPr="001B6A55" w:rsidRDefault="00523066" w:rsidP="00523066">
      <w:pPr>
        <w:rPr>
          <w:rFonts w:ascii="Arial" w:hAnsi="Arial" w:cs="Arial"/>
          <w:color w:val="1F497D"/>
          <w:sz w:val="48"/>
          <w:szCs w:val="48"/>
        </w:rPr>
      </w:pPr>
      <w:r w:rsidRPr="001B6A55">
        <w:rPr>
          <w:rFonts w:ascii="Arial" w:hAnsi="Arial" w:cs="Arial"/>
          <w:color w:val="1F497D"/>
          <w:sz w:val="48"/>
          <w:szCs w:val="48"/>
        </w:rPr>
        <w:t>Guidance</w:t>
      </w:r>
      <w:r>
        <w:rPr>
          <w:rFonts w:ascii="Arial" w:hAnsi="Arial" w:cs="Arial"/>
          <w:color w:val="1F497D"/>
          <w:sz w:val="48"/>
          <w:szCs w:val="48"/>
        </w:rPr>
        <w:t xml:space="preserve"> 2020</w:t>
      </w:r>
    </w:p>
    <w:p w14:paraId="3E299014" w14:textId="77777777" w:rsidR="00523066" w:rsidRPr="001B6A55" w:rsidRDefault="00523066" w:rsidP="00523066">
      <w:pPr>
        <w:rPr>
          <w:rFonts w:ascii="Arial" w:hAnsi="Arial" w:cs="Arial"/>
          <w:color w:val="1F497D"/>
          <w:sz w:val="48"/>
          <w:szCs w:val="48"/>
        </w:rPr>
      </w:pPr>
    </w:p>
    <w:p w14:paraId="5B8921AF" w14:textId="79911E29" w:rsidR="00523066" w:rsidRPr="001B6A55" w:rsidRDefault="00592723" w:rsidP="00523066">
      <w:pPr>
        <w:rPr>
          <w:rFonts w:ascii="Arial" w:hAnsi="Arial" w:cs="Arial"/>
          <w:color w:val="1F497D"/>
          <w:sz w:val="48"/>
          <w:szCs w:val="48"/>
        </w:rPr>
      </w:pPr>
      <w:r>
        <w:rPr>
          <w:noProof/>
        </w:rPr>
        <w:pict w14:anchorId="125FA030">
          <v:shape id="Picture 2" o:spid="_x0000_s1043" type="#_x0000_t75" alt="6" style="position:absolute;margin-left:-73.2pt;margin-top:42.35pt;width:451.3pt;height:127.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6"/>
            <w10:wrap type="topAndBottom"/>
          </v:shape>
        </w:pict>
      </w:r>
    </w:p>
    <w:p w14:paraId="36DE2F49" w14:textId="77777777" w:rsidR="00523066" w:rsidRPr="008E51C9" w:rsidRDefault="00523066" w:rsidP="00523066">
      <w:pPr>
        <w:rPr>
          <w:rFonts w:ascii="Arial" w:hAnsi="Arial" w:cs="Arial"/>
          <w:sz w:val="32"/>
          <w:szCs w:val="32"/>
        </w:rPr>
      </w:pPr>
    </w:p>
    <w:p w14:paraId="04C8CEE7" w14:textId="77777777" w:rsidR="00523066" w:rsidRDefault="00523066" w:rsidP="00523066">
      <w:pPr>
        <w:rPr>
          <w:rFonts w:ascii="Arial" w:hAnsi="Arial" w:cs="Arial"/>
          <w:sz w:val="32"/>
          <w:szCs w:val="32"/>
        </w:rPr>
      </w:pPr>
      <w:r w:rsidRPr="006A65E7">
        <w:rPr>
          <w:rFonts w:ascii="Arial" w:hAnsi="Arial" w:cs="Arial"/>
          <w:sz w:val="32"/>
          <w:szCs w:val="32"/>
        </w:rPr>
        <w:t>July 2020</w:t>
      </w:r>
    </w:p>
    <w:p w14:paraId="26B61D0E" w14:textId="77777777" w:rsidR="00523066" w:rsidRDefault="00523066" w:rsidP="00523066">
      <w:pPr>
        <w:rPr>
          <w:rFonts w:ascii="Arial" w:hAnsi="Arial" w:cs="Arial"/>
          <w:sz w:val="32"/>
          <w:szCs w:val="32"/>
        </w:rPr>
      </w:pPr>
    </w:p>
    <w:p w14:paraId="33857136" w14:textId="77777777" w:rsidR="00523066" w:rsidRDefault="00523066" w:rsidP="00523066">
      <w:pPr>
        <w:rPr>
          <w:rFonts w:ascii="Arial" w:hAnsi="Arial" w:cs="Arial"/>
          <w:sz w:val="32"/>
          <w:szCs w:val="32"/>
        </w:rPr>
      </w:pPr>
    </w:p>
    <w:p w14:paraId="2154F744" w14:textId="77777777" w:rsidR="00523066" w:rsidRDefault="00523066" w:rsidP="00523066">
      <w:pPr>
        <w:rPr>
          <w:rFonts w:ascii="Arial" w:hAnsi="Arial" w:cs="Arial"/>
          <w:sz w:val="32"/>
          <w:szCs w:val="32"/>
        </w:rPr>
      </w:pPr>
    </w:p>
    <w:p w14:paraId="539EAC97" w14:textId="77777777" w:rsidR="00523066" w:rsidRDefault="00523066" w:rsidP="00523066">
      <w:pPr>
        <w:rPr>
          <w:rFonts w:ascii="Arial" w:hAnsi="Arial" w:cs="Arial"/>
          <w:sz w:val="32"/>
          <w:szCs w:val="32"/>
        </w:rPr>
      </w:pPr>
    </w:p>
    <w:tbl>
      <w:tblPr>
        <w:tblW w:w="0" w:type="auto"/>
        <w:tblLook w:val="04A0" w:firstRow="1" w:lastRow="0" w:firstColumn="1" w:lastColumn="0" w:noHBand="0" w:noVBand="1"/>
      </w:tblPr>
      <w:tblGrid>
        <w:gridCol w:w="9242"/>
      </w:tblGrid>
      <w:tr w:rsidR="00523066" w:rsidRPr="003666F7" w14:paraId="5D72886B" w14:textId="77777777" w:rsidTr="00917B96">
        <w:trPr>
          <w:cantSplit/>
          <w:trHeight w:hRule="exact" w:val="3890"/>
        </w:trPr>
        <w:tc>
          <w:tcPr>
            <w:tcW w:w="9242" w:type="dxa"/>
            <w:shd w:val="clear" w:color="auto" w:fill="auto"/>
          </w:tcPr>
          <w:p w14:paraId="0950023D" w14:textId="582183D1" w:rsidR="00523066" w:rsidRPr="003666F7" w:rsidRDefault="00523066" w:rsidP="00917B96">
            <w:pPr>
              <w:rPr>
                <w:rFonts w:ascii="Arial" w:hAnsi="Arial" w:cs="Arial"/>
                <w:sz w:val="60"/>
                <w:szCs w:val="60"/>
              </w:rPr>
            </w:pPr>
          </w:p>
        </w:tc>
      </w:tr>
      <w:tr w:rsidR="00523066" w:rsidRPr="003666F7" w14:paraId="3B3F573C" w14:textId="77777777" w:rsidTr="00917B96">
        <w:trPr>
          <w:trHeight w:hRule="exact" w:val="2191"/>
        </w:trPr>
        <w:tc>
          <w:tcPr>
            <w:tcW w:w="9242" w:type="dxa"/>
            <w:shd w:val="clear" w:color="auto" w:fill="auto"/>
          </w:tcPr>
          <w:p w14:paraId="0DE85BCC" w14:textId="77777777" w:rsidR="00523066" w:rsidRPr="003666F7" w:rsidRDefault="00523066" w:rsidP="00917B96">
            <w:pPr>
              <w:spacing w:before="240"/>
              <w:rPr>
                <w:rFonts w:ascii="Arial" w:hAnsi="Arial" w:cs="Arial"/>
                <w:noProof/>
                <w:color w:val="000000"/>
                <w:sz w:val="48"/>
              </w:rPr>
            </w:pPr>
            <w:r w:rsidRPr="003666F7">
              <w:rPr>
                <w:rFonts w:ascii="Arial" w:hAnsi="Arial" w:cs="Arial"/>
                <w:color w:val="000000"/>
                <w:sz w:val="48"/>
              </w:rPr>
              <w:t>Guidance</w:t>
            </w:r>
          </w:p>
          <w:p w14:paraId="26165C4E" w14:textId="77777777" w:rsidR="00523066" w:rsidRPr="003666F7" w:rsidRDefault="00523066" w:rsidP="00917B96">
            <w:pPr>
              <w:rPr>
                <w:rFonts w:ascii="Arial" w:hAnsi="Arial" w:cs="Arial"/>
              </w:rPr>
            </w:pPr>
            <w:r w:rsidRPr="003666F7">
              <w:rPr>
                <w:rFonts w:ascii="Arial" w:hAnsi="Arial" w:cs="Arial"/>
              </w:rPr>
              <w:br/>
              <w:t xml:space="preserve">The guidance can be found on the BEIS section of GOV.UK: </w:t>
            </w:r>
            <w:r w:rsidRPr="003666F7">
              <w:rPr>
                <w:rFonts w:ascii="Arial" w:hAnsi="Arial" w:cs="Arial"/>
              </w:rPr>
              <w:br/>
            </w:r>
            <w:hyperlink r:id="rId15" w:history="1">
              <w:r w:rsidRPr="003666F7">
                <w:rPr>
                  <w:rFonts w:ascii="Arial" w:hAnsi="Arial" w:cs="Arial"/>
                  <w:color w:val="0000FF"/>
                  <w:u w:val="single"/>
                </w:rPr>
                <w:t>https://www.gov.uk/beis</w:t>
              </w:r>
            </w:hyperlink>
            <w:r w:rsidRPr="003666F7">
              <w:rPr>
                <w:rFonts w:ascii="Arial" w:hAnsi="Arial" w:cs="Arial"/>
              </w:rPr>
              <w:t xml:space="preserve">  </w:t>
            </w:r>
            <w:r w:rsidRPr="003666F7">
              <w:rPr>
                <w:rFonts w:ascii="Arial" w:hAnsi="Arial" w:cs="Arial"/>
              </w:rPr>
              <w:br/>
            </w:r>
          </w:p>
          <w:p w14:paraId="42DFE2D8" w14:textId="77777777" w:rsidR="00523066" w:rsidRPr="003666F7" w:rsidRDefault="00523066" w:rsidP="00917B96">
            <w:pPr>
              <w:spacing w:before="240"/>
              <w:rPr>
                <w:rFonts w:ascii="Arial" w:hAnsi="Arial" w:cs="Arial"/>
                <w:color w:val="000000"/>
                <w:sz w:val="48"/>
              </w:rPr>
            </w:pPr>
          </w:p>
          <w:p w14:paraId="220E4F63" w14:textId="77777777" w:rsidR="00523066" w:rsidRPr="003666F7" w:rsidRDefault="00523066" w:rsidP="00917B96">
            <w:pPr>
              <w:spacing w:before="240"/>
              <w:rPr>
                <w:rFonts w:ascii="Arial" w:hAnsi="Arial" w:cs="Arial"/>
                <w:color w:val="000000"/>
                <w:sz w:val="48"/>
              </w:rPr>
            </w:pPr>
          </w:p>
          <w:p w14:paraId="1A08576B" w14:textId="77777777" w:rsidR="00523066" w:rsidRPr="003666F7" w:rsidRDefault="00523066" w:rsidP="00917B96">
            <w:pPr>
              <w:spacing w:before="240"/>
              <w:rPr>
                <w:rFonts w:ascii="Arial" w:hAnsi="Arial" w:cs="Arial"/>
                <w:color w:val="000000"/>
                <w:sz w:val="48"/>
              </w:rPr>
            </w:pPr>
          </w:p>
          <w:p w14:paraId="4D0E5E2A" w14:textId="77777777" w:rsidR="00523066" w:rsidRPr="003666F7" w:rsidRDefault="00523066" w:rsidP="00917B96">
            <w:pPr>
              <w:spacing w:before="240"/>
              <w:rPr>
                <w:rFonts w:ascii="Arial" w:hAnsi="Arial" w:cs="Arial"/>
                <w:color w:val="000000"/>
                <w:sz w:val="48"/>
              </w:rPr>
            </w:pPr>
          </w:p>
        </w:tc>
      </w:tr>
    </w:tbl>
    <w:p w14:paraId="08027ACF" w14:textId="77777777" w:rsidR="00523066" w:rsidRDefault="00523066" w:rsidP="00523066"/>
    <w:p w14:paraId="622DFACA" w14:textId="77777777" w:rsidR="00523066" w:rsidRDefault="00523066" w:rsidP="00523066"/>
    <w:p w14:paraId="18FAFBF0" w14:textId="77777777" w:rsidR="00523066" w:rsidRDefault="00523066" w:rsidP="00523066"/>
    <w:p w14:paraId="6F9FF6E2" w14:textId="77777777" w:rsidR="00523066" w:rsidRDefault="00523066" w:rsidP="00523066"/>
    <w:p w14:paraId="66CF2DFE" w14:textId="77777777" w:rsidR="00523066" w:rsidRDefault="00523066" w:rsidP="00523066"/>
    <w:p w14:paraId="352446B6" w14:textId="77777777" w:rsidR="00523066" w:rsidRDefault="00523066" w:rsidP="00523066"/>
    <w:p w14:paraId="4BB97B00" w14:textId="77777777" w:rsidR="00523066" w:rsidRDefault="00523066" w:rsidP="00523066"/>
    <w:p w14:paraId="25B08266" w14:textId="77777777" w:rsidR="00523066" w:rsidRDefault="00523066" w:rsidP="00523066"/>
    <w:p w14:paraId="7F873CE5" w14:textId="77777777" w:rsidR="00523066" w:rsidRDefault="00523066" w:rsidP="00523066"/>
    <w:p w14:paraId="02382617" w14:textId="77777777" w:rsidR="00523066" w:rsidRDefault="00523066" w:rsidP="00523066"/>
    <w:p w14:paraId="3F19EE70" w14:textId="77777777" w:rsidR="00523066" w:rsidRDefault="00523066" w:rsidP="00523066"/>
    <w:p w14:paraId="60DD0D5D" w14:textId="77777777" w:rsidR="00523066" w:rsidRDefault="00523066" w:rsidP="00523066"/>
    <w:p w14:paraId="1B568EFD" w14:textId="77777777" w:rsidR="00523066" w:rsidRDefault="00523066" w:rsidP="00523066"/>
    <w:p w14:paraId="62B85075" w14:textId="77777777" w:rsidR="00523066" w:rsidRDefault="00523066" w:rsidP="00523066"/>
    <w:p w14:paraId="53F37C75" w14:textId="77777777" w:rsidR="00523066" w:rsidRDefault="00523066" w:rsidP="00523066"/>
    <w:p w14:paraId="3EFA7A2F" w14:textId="77777777" w:rsidR="00523066" w:rsidRDefault="00523066" w:rsidP="00523066"/>
    <w:p w14:paraId="2A2E2335" w14:textId="77777777" w:rsidR="00523066" w:rsidRDefault="00523066" w:rsidP="00523066"/>
    <w:p w14:paraId="470982B1" w14:textId="77777777" w:rsidR="00523066" w:rsidRDefault="00523066" w:rsidP="00523066"/>
    <w:p w14:paraId="52E7A35B" w14:textId="77777777" w:rsidR="00523066" w:rsidRDefault="00523066" w:rsidP="00523066"/>
    <w:p w14:paraId="1B72B8D8" w14:textId="77777777" w:rsidR="00523066" w:rsidRDefault="00523066" w:rsidP="00523066"/>
    <w:p w14:paraId="1B2A07B2" w14:textId="77777777" w:rsidR="00523066" w:rsidRDefault="00523066" w:rsidP="00523066"/>
    <w:p w14:paraId="3675E73F" w14:textId="77777777" w:rsidR="00523066" w:rsidRDefault="00523066" w:rsidP="00523066"/>
    <w:p w14:paraId="64351C79" w14:textId="77777777" w:rsidR="00523066" w:rsidRDefault="00523066" w:rsidP="00523066"/>
    <w:p w14:paraId="64923DD3" w14:textId="77777777" w:rsidR="00523066" w:rsidRDefault="00523066" w:rsidP="00523066"/>
    <w:p w14:paraId="595AA8C2" w14:textId="77777777" w:rsidR="00523066" w:rsidRDefault="00523066" w:rsidP="00523066"/>
    <w:p w14:paraId="060903E8" w14:textId="77777777" w:rsidR="00523066" w:rsidRDefault="00523066" w:rsidP="00523066"/>
    <w:p w14:paraId="22E77E33" w14:textId="77777777" w:rsidR="00523066" w:rsidRDefault="00523066" w:rsidP="00523066"/>
    <w:p w14:paraId="25E136BB" w14:textId="77777777" w:rsidR="00523066" w:rsidRDefault="00523066" w:rsidP="00523066"/>
    <w:p w14:paraId="4BFD735B" w14:textId="77777777" w:rsidR="00523066" w:rsidRPr="003666F7" w:rsidRDefault="00523066" w:rsidP="00523066">
      <w:pPr>
        <w:keepNext/>
        <w:keepLines/>
        <w:outlineLvl w:val="0"/>
        <w:rPr>
          <w:rFonts w:ascii="Arial" w:hAnsi="Arial" w:cs="Arial"/>
          <w:b/>
          <w:bCs/>
          <w:color w:val="1F497D"/>
          <w:sz w:val="50"/>
          <w:szCs w:val="50"/>
        </w:rPr>
      </w:pPr>
      <w:bookmarkStart w:id="1" w:name="_Toc44065801"/>
      <w:r w:rsidRPr="003666F7">
        <w:rPr>
          <w:rFonts w:ascii="Arial" w:hAnsi="Arial" w:cs="Arial"/>
          <w:b/>
          <w:bCs/>
          <w:color w:val="1F497D"/>
          <w:sz w:val="50"/>
          <w:szCs w:val="50"/>
        </w:rPr>
        <w:t>Introduction</w:t>
      </w:r>
      <w:bookmarkEnd w:id="1"/>
      <w:r w:rsidRPr="003666F7">
        <w:rPr>
          <w:rFonts w:ascii="Arial" w:hAnsi="Arial" w:cs="Arial"/>
          <w:b/>
          <w:bCs/>
          <w:color w:val="1F497D"/>
          <w:sz w:val="50"/>
          <w:szCs w:val="50"/>
        </w:rPr>
        <w:t xml:space="preserve"> </w:t>
      </w:r>
    </w:p>
    <w:p w14:paraId="553F5894" w14:textId="77777777" w:rsidR="00523066" w:rsidRPr="003666F7" w:rsidRDefault="00523066" w:rsidP="00523066">
      <w:pPr>
        <w:rPr>
          <w:rFonts w:ascii="Arial" w:hAnsi="Arial" w:cs="Arial"/>
        </w:rPr>
      </w:pPr>
    </w:p>
    <w:p w14:paraId="7A35FC88" w14:textId="77777777" w:rsidR="00523066" w:rsidRPr="003666F7" w:rsidRDefault="00523066" w:rsidP="00523066">
      <w:pPr>
        <w:keepNext/>
        <w:keepLines/>
        <w:outlineLvl w:val="1"/>
        <w:rPr>
          <w:rFonts w:ascii="Arial" w:hAnsi="Arial" w:cs="Arial"/>
          <w:b/>
          <w:bCs/>
          <w:color w:val="1F497D"/>
        </w:rPr>
      </w:pPr>
      <w:r w:rsidRPr="003666F7">
        <w:rPr>
          <w:rFonts w:ascii="Arial" w:hAnsi="Arial" w:cs="Arial"/>
          <w:b/>
          <w:bCs/>
          <w:color w:val="1F497D"/>
        </w:rPr>
        <w:t>Context</w:t>
      </w:r>
    </w:p>
    <w:p w14:paraId="0425D449" w14:textId="77777777" w:rsidR="00523066" w:rsidRPr="003666F7" w:rsidRDefault="00523066" w:rsidP="00523066">
      <w:pPr>
        <w:numPr>
          <w:ilvl w:val="0"/>
          <w:numId w:val="1"/>
        </w:numPr>
        <w:ind w:left="567" w:hanging="141"/>
        <w:contextualSpacing/>
        <w:rPr>
          <w:rFonts w:ascii="Arial" w:hAnsi="Arial" w:cs="Arial"/>
        </w:rPr>
      </w:pPr>
      <w:r w:rsidRPr="003666F7">
        <w:rPr>
          <w:rFonts w:ascii="Arial" w:hAnsi="Arial" w:cs="Arial"/>
        </w:rPr>
        <w:t>The Government published a Green Paper, ‘National Security and Infrastructure Investment Review’</w:t>
      </w:r>
      <w:r w:rsidRPr="003666F7">
        <w:rPr>
          <w:rFonts w:ascii="Arial" w:hAnsi="Arial" w:cs="Arial"/>
          <w:vertAlign w:val="superscript"/>
        </w:rPr>
        <w:footnoteReference w:id="2"/>
      </w:r>
      <w:r w:rsidRPr="003666F7">
        <w:rPr>
          <w:rFonts w:ascii="Arial" w:hAnsi="Arial" w:cs="Arial"/>
        </w:rPr>
        <w:t xml:space="preserve">, on 17 October 2017. In this, the Government proposed short and long-term proposals to reform how Government can ensure that national security is not undermined by investments or mergers. Two consultations followed. </w:t>
      </w:r>
    </w:p>
    <w:p w14:paraId="3A4DB722" w14:textId="77777777" w:rsidR="00523066" w:rsidRPr="003666F7" w:rsidRDefault="00523066" w:rsidP="00523066">
      <w:pPr>
        <w:ind w:left="567"/>
        <w:contextualSpacing/>
        <w:rPr>
          <w:rFonts w:ascii="Arial" w:hAnsi="Arial" w:cs="Arial"/>
        </w:rPr>
      </w:pPr>
    </w:p>
    <w:p w14:paraId="5277592F" w14:textId="77777777" w:rsidR="00523066" w:rsidRPr="003666F7" w:rsidRDefault="00523066" w:rsidP="00523066">
      <w:pPr>
        <w:numPr>
          <w:ilvl w:val="0"/>
          <w:numId w:val="1"/>
        </w:numPr>
        <w:ind w:left="567" w:hanging="141"/>
        <w:contextualSpacing/>
        <w:rPr>
          <w:rFonts w:ascii="Arial" w:hAnsi="Arial" w:cs="Arial"/>
        </w:rPr>
      </w:pPr>
      <w:r w:rsidRPr="003666F7">
        <w:rPr>
          <w:rFonts w:ascii="Arial" w:hAnsi="Arial" w:cs="Arial"/>
        </w:rPr>
        <w:t>The first consultation</w:t>
      </w:r>
      <w:r>
        <w:rPr>
          <w:rFonts w:ascii="Arial" w:hAnsi="Arial" w:cs="Arial"/>
        </w:rPr>
        <w:t>, which closed on 14 November 2017,</w:t>
      </w:r>
      <w:r w:rsidRPr="003666F7">
        <w:rPr>
          <w:rFonts w:ascii="Arial" w:hAnsi="Arial" w:cs="Arial"/>
        </w:rPr>
        <w:t xml:space="preserve"> focused on the proposals that resulted in the changes to the Enterprise Act 2002</w:t>
      </w:r>
      <w:r>
        <w:rPr>
          <w:rFonts w:ascii="Arial" w:hAnsi="Arial" w:cs="Arial"/>
        </w:rPr>
        <w:t>. A summary of those changes is set out at the start of this guidance.</w:t>
      </w:r>
    </w:p>
    <w:p w14:paraId="47A54501" w14:textId="77777777" w:rsidR="00523066" w:rsidRPr="003666F7" w:rsidRDefault="00523066" w:rsidP="00523066">
      <w:pPr>
        <w:ind w:left="567"/>
        <w:contextualSpacing/>
        <w:rPr>
          <w:rFonts w:ascii="Arial" w:hAnsi="Arial" w:cs="Arial"/>
        </w:rPr>
      </w:pPr>
    </w:p>
    <w:p w14:paraId="2A55048B" w14:textId="77777777" w:rsidR="00523066" w:rsidRDefault="00523066" w:rsidP="00523066">
      <w:pPr>
        <w:numPr>
          <w:ilvl w:val="0"/>
          <w:numId w:val="1"/>
        </w:numPr>
        <w:ind w:left="567" w:hanging="141"/>
        <w:contextualSpacing/>
        <w:rPr>
          <w:rFonts w:ascii="Arial" w:hAnsi="Arial" w:cs="Arial"/>
        </w:rPr>
      </w:pPr>
      <w:r w:rsidRPr="003666F7">
        <w:rPr>
          <w:rFonts w:ascii="Arial" w:hAnsi="Arial" w:cs="Arial"/>
        </w:rPr>
        <w:t>The second consultation</w:t>
      </w:r>
      <w:r>
        <w:rPr>
          <w:rFonts w:ascii="Arial" w:hAnsi="Arial" w:cs="Arial"/>
        </w:rPr>
        <w:t>, which closed on 9 January 2018,</w:t>
      </w:r>
      <w:r w:rsidRPr="003666F7">
        <w:rPr>
          <w:rFonts w:ascii="Arial" w:hAnsi="Arial" w:cs="Arial"/>
        </w:rPr>
        <w:t xml:space="preserve"> set out broad options for longer</w:t>
      </w:r>
      <w:r>
        <w:rPr>
          <w:rFonts w:ascii="Arial" w:hAnsi="Arial" w:cs="Arial"/>
        </w:rPr>
        <w:t>-</w:t>
      </w:r>
      <w:r w:rsidRPr="003666F7">
        <w:rPr>
          <w:rFonts w:ascii="Arial" w:hAnsi="Arial" w:cs="Arial"/>
        </w:rPr>
        <w:t xml:space="preserve">term, more far-reaching reforms. </w:t>
      </w:r>
      <w:r>
        <w:rPr>
          <w:rFonts w:ascii="Arial" w:hAnsi="Arial" w:cs="Arial"/>
        </w:rPr>
        <w:t xml:space="preserve">It was followed by a White Paper in July 2018, which set out more detailed proposals. </w:t>
      </w:r>
      <w:r w:rsidRPr="004B4CD0">
        <w:rPr>
          <w:rFonts w:ascii="Arial" w:hAnsi="Arial" w:cs="Arial"/>
        </w:rPr>
        <w:t xml:space="preserve">The National Security and Investment Bill </w:t>
      </w:r>
      <w:r>
        <w:rPr>
          <w:rFonts w:ascii="Arial" w:hAnsi="Arial" w:cs="Arial"/>
        </w:rPr>
        <w:t>making far-reaching</w:t>
      </w:r>
      <w:r w:rsidRPr="004B4CD0">
        <w:rPr>
          <w:rFonts w:ascii="Arial" w:hAnsi="Arial" w:cs="Arial"/>
        </w:rPr>
        <w:t xml:space="preserve"> reforms will be brought forward by the Government when Parliamentary time allows.</w:t>
      </w:r>
      <w:r>
        <w:rPr>
          <w:rFonts w:ascii="Arial" w:hAnsi="Arial" w:cs="Arial"/>
        </w:rPr>
        <w:t xml:space="preserve"> </w:t>
      </w:r>
    </w:p>
    <w:p w14:paraId="1A9BFF6C" w14:textId="77777777" w:rsidR="00523066" w:rsidRDefault="00523066" w:rsidP="00523066">
      <w:pPr>
        <w:ind w:left="567"/>
        <w:contextualSpacing/>
        <w:rPr>
          <w:rFonts w:ascii="Arial" w:hAnsi="Arial" w:cs="Arial"/>
        </w:rPr>
      </w:pPr>
    </w:p>
    <w:p w14:paraId="6DA28B2D" w14:textId="77777777" w:rsidR="00523066" w:rsidRDefault="00523066" w:rsidP="00523066">
      <w:pPr>
        <w:numPr>
          <w:ilvl w:val="0"/>
          <w:numId w:val="1"/>
        </w:numPr>
        <w:ind w:left="567" w:hanging="141"/>
        <w:contextualSpacing/>
        <w:rPr>
          <w:rFonts w:ascii="Arial" w:hAnsi="Arial" w:cs="Arial"/>
        </w:rPr>
      </w:pPr>
      <w:r>
        <w:rPr>
          <w:rFonts w:ascii="Arial" w:hAnsi="Arial" w:cs="Arial"/>
        </w:rPr>
        <w:t xml:space="preserve">This guidance focuses on further changes made to the Enterprise Act 2002 to extend the Government’s powers in intervening in mergers for </w:t>
      </w:r>
      <w:r w:rsidRPr="00A21E9F">
        <w:rPr>
          <w:rFonts w:ascii="Arial" w:hAnsi="Arial" w:cs="Arial"/>
        </w:rPr>
        <w:t xml:space="preserve">public interest reasons. In particular, the Government has legislated in this area for the intention of tackling risks to our </w:t>
      </w:r>
      <w:r>
        <w:rPr>
          <w:rFonts w:ascii="Arial" w:hAnsi="Arial" w:cs="Arial"/>
        </w:rPr>
        <w:t>national security</w:t>
      </w:r>
      <w:r w:rsidRPr="00A21E9F">
        <w:rPr>
          <w:rFonts w:ascii="Arial" w:hAnsi="Arial" w:cs="Arial"/>
        </w:rPr>
        <w:t>.</w:t>
      </w:r>
    </w:p>
    <w:p w14:paraId="0FC23F5A" w14:textId="77777777" w:rsidR="00523066" w:rsidRPr="00A21E9F" w:rsidRDefault="00523066" w:rsidP="00523066">
      <w:pPr>
        <w:ind w:left="567"/>
        <w:contextualSpacing/>
        <w:rPr>
          <w:rFonts w:ascii="Arial" w:hAnsi="Arial" w:cs="Arial"/>
        </w:rPr>
      </w:pPr>
    </w:p>
    <w:p w14:paraId="2A0518DE"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 xml:space="preserve">Purpose of this guidance </w:t>
      </w:r>
    </w:p>
    <w:p w14:paraId="2097C6D4" w14:textId="77777777" w:rsidR="00523066" w:rsidRDefault="00523066" w:rsidP="00523066">
      <w:pPr>
        <w:pStyle w:val="ListParagraph"/>
        <w:numPr>
          <w:ilvl w:val="0"/>
          <w:numId w:val="1"/>
        </w:numPr>
        <w:ind w:left="502"/>
        <w:rPr>
          <w:rFonts w:ascii="Arial" w:hAnsi="Arial" w:cs="Arial"/>
        </w:rPr>
      </w:pPr>
      <w:r w:rsidRPr="008E51C9">
        <w:rPr>
          <w:rFonts w:ascii="Arial" w:hAnsi="Arial" w:cs="Arial"/>
        </w:rPr>
        <w:t xml:space="preserve">This guidance </w:t>
      </w:r>
      <w:r>
        <w:rPr>
          <w:rFonts w:ascii="Arial" w:hAnsi="Arial" w:cs="Arial"/>
        </w:rPr>
        <w:t>was</w:t>
      </w:r>
      <w:r w:rsidRPr="008E51C9">
        <w:rPr>
          <w:rFonts w:ascii="Arial" w:hAnsi="Arial" w:cs="Arial"/>
        </w:rPr>
        <w:t xml:space="preserve"> produced by the Department for Business, Energy and Industrial Strategy (BEIS) to accompany the Enterprise Act 2002 (Share of Supply Test) </w:t>
      </w:r>
      <w:r>
        <w:rPr>
          <w:rFonts w:ascii="Arial" w:hAnsi="Arial" w:cs="Arial"/>
        </w:rPr>
        <w:t xml:space="preserve">(Amendment) </w:t>
      </w:r>
      <w:r w:rsidRPr="008E51C9">
        <w:rPr>
          <w:rFonts w:ascii="Arial" w:hAnsi="Arial" w:cs="Arial"/>
        </w:rPr>
        <w:t>Order 20</w:t>
      </w:r>
      <w:r>
        <w:rPr>
          <w:rFonts w:ascii="Arial" w:hAnsi="Arial" w:cs="Arial"/>
        </w:rPr>
        <w:t>20</w:t>
      </w:r>
      <w:r w:rsidRPr="008E51C9">
        <w:rPr>
          <w:rFonts w:ascii="Arial" w:hAnsi="Arial" w:cs="Arial"/>
        </w:rPr>
        <w:t xml:space="preserve"> </w:t>
      </w:r>
      <w:r>
        <w:rPr>
          <w:rFonts w:ascii="Arial" w:hAnsi="Arial" w:cs="Arial"/>
        </w:rPr>
        <w:t xml:space="preserve">and the Enterprise Act 2002 (Turnover </w:t>
      </w:r>
      <w:r w:rsidRPr="008E51C9">
        <w:rPr>
          <w:rFonts w:ascii="Arial" w:hAnsi="Arial" w:cs="Arial"/>
        </w:rPr>
        <w:t xml:space="preserve">Test) </w:t>
      </w:r>
      <w:r>
        <w:rPr>
          <w:rFonts w:ascii="Arial" w:hAnsi="Arial" w:cs="Arial"/>
        </w:rPr>
        <w:t>(Amendment) Order 2020 (‘the Orders’).</w:t>
      </w:r>
      <w:r w:rsidRPr="000A5786">
        <w:rPr>
          <w:rFonts w:ascii="Arial" w:hAnsi="Arial" w:cs="Arial"/>
        </w:rPr>
        <w:t xml:space="preserve"> </w:t>
      </w:r>
      <w:r>
        <w:rPr>
          <w:rFonts w:ascii="Arial" w:hAnsi="Arial" w:cs="Arial"/>
        </w:rPr>
        <w:t xml:space="preserve">It also consolidates guidance on previous amendments to the Act, </w:t>
      </w:r>
      <w:r w:rsidRPr="008E51C9">
        <w:rPr>
          <w:rFonts w:ascii="Arial" w:hAnsi="Arial" w:cs="Arial"/>
        </w:rPr>
        <w:t xml:space="preserve">the Enterprise Act 2002 (Share of Supply Test) </w:t>
      </w:r>
      <w:r>
        <w:rPr>
          <w:rFonts w:ascii="Arial" w:hAnsi="Arial" w:cs="Arial"/>
        </w:rPr>
        <w:t xml:space="preserve">(Amendment) </w:t>
      </w:r>
      <w:r w:rsidRPr="008E51C9">
        <w:rPr>
          <w:rFonts w:ascii="Arial" w:hAnsi="Arial" w:cs="Arial"/>
        </w:rPr>
        <w:t>Order 20</w:t>
      </w:r>
      <w:r>
        <w:rPr>
          <w:rFonts w:ascii="Arial" w:hAnsi="Arial" w:cs="Arial"/>
        </w:rPr>
        <w:t>18</w:t>
      </w:r>
      <w:r w:rsidRPr="008E51C9">
        <w:rPr>
          <w:rFonts w:ascii="Arial" w:hAnsi="Arial" w:cs="Arial"/>
        </w:rPr>
        <w:t xml:space="preserve"> </w:t>
      </w:r>
      <w:r>
        <w:rPr>
          <w:rFonts w:ascii="Arial" w:hAnsi="Arial" w:cs="Arial"/>
        </w:rPr>
        <w:t xml:space="preserve">and the Enterprise Act 2002 (Turnover </w:t>
      </w:r>
      <w:r w:rsidRPr="008E51C9">
        <w:rPr>
          <w:rFonts w:ascii="Arial" w:hAnsi="Arial" w:cs="Arial"/>
        </w:rPr>
        <w:t xml:space="preserve">Test) </w:t>
      </w:r>
      <w:r>
        <w:rPr>
          <w:rFonts w:ascii="Arial" w:hAnsi="Arial" w:cs="Arial"/>
        </w:rPr>
        <w:t>(Amendment) Order 2018.</w:t>
      </w:r>
    </w:p>
    <w:p w14:paraId="79B3861C" w14:textId="77777777" w:rsidR="00523066" w:rsidRPr="008E51C9" w:rsidRDefault="00523066" w:rsidP="00523066">
      <w:pPr>
        <w:pStyle w:val="ListParagraph"/>
        <w:ind w:left="567"/>
        <w:rPr>
          <w:rFonts w:ascii="Arial" w:hAnsi="Arial" w:cs="Arial"/>
        </w:rPr>
      </w:pPr>
    </w:p>
    <w:p w14:paraId="772CCADE" w14:textId="77777777" w:rsidR="00523066" w:rsidRDefault="00523066" w:rsidP="00523066">
      <w:pPr>
        <w:pStyle w:val="ListParagraph"/>
        <w:numPr>
          <w:ilvl w:val="0"/>
          <w:numId w:val="1"/>
        </w:numPr>
        <w:ind w:left="502"/>
        <w:rPr>
          <w:rFonts w:ascii="Arial" w:hAnsi="Arial" w:cs="Arial"/>
        </w:rPr>
      </w:pPr>
      <w:r w:rsidRPr="6703490E">
        <w:rPr>
          <w:rFonts w:ascii="Arial" w:hAnsi="Arial" w:cs="Arial"/>
        </w:rPr>
        <w:t xml:space="preserve">The Orders amend the Enterprise Act 2002 (‘the Act’)  to deal with the protection of critical sectors mergers in which it would otherwise not be able to intervene. </w:t>
      </w:r>
    </w:p>
    <w:p w14:paraId="0C6F99AB" w14:textId="77777777" w:rsidR="00523066" w:rsidRDefault="00523066" w:rsidP="00523066">
      <w:pPr>
        <w:pStyle w:val="ListParagraph"/>
        <w:ind w:left="753"/>
        <w:rPr>
          <w:rFonts w:ascii="Arial" w:hAnsi="Arial" w:cs="Arial"/>
        </w:rPr>
      </w:pPr>
    </w:p>
    <w:p w14:paraId="3066E1B4" w14:textId="77777777" w:rsidR="00523066" w:rsidRDefault="00523066" w:rsidP="00523066">
      <w:pPr>
        <w:pStyle w:val="ListParagraph"/>
        <w:numPr>
          <w:ilvl w:val="0"/>
          <w:numId w:val="1"/>
        </w:numPr>
        <w:ind w:left="502"/>
        <w:rPr>
          <w:rFonts w:ascii="Arial" w:hAnsi="Arial" w:cs="Arial"/>
        </w:rPr>
      </w:pPr>
      <w:r w:rsidRPr="000A5786">
        <w:rPr>
          <w:rFonts w:ascii="Arial" w:hAnsi="Arial" w:cs="Arial"/>
        </w:rPr>
        <w:t xml:space="preserve">This guidance explains why the Government amended the Act, describes </w:t>
      </w:r>
      <w:r w:rsidRPr="00D17E7C">
        <w:rPr>
          <w:rFonts w:ascii="Arial" w:hAnsi="Arial" w:cs="Arial"/>
        </w:rPr>
        <w:t>the legal and practical effect of the amendments</w:t>
      </w:r>
      <w:r w:rsidRPr="000A5786">
        <w:rPr>
          <w:rFonts w:ascii="Arial" w:hAnsi="Arial" w:cs="Arial"/>
        </w:rPr>
        <w:t xml:space="preserve">, and offers advice to businesses and others about how they may be affected by the changes.  </w:t>
      </w:r>
    </w:p>
    <w:p w14:paraId="75ED9326" w14:textId="77777777" w:rsidR="00523066" w:rsidRPr="00BD4AAD" w:rsidRDefault="00523066" w:rsidP="00523066">
      <w:pPr>
        <w:rPr>
          <w:rFonts w:ascii="Arial" w:hAnsi="Arial" w:cs="Arial"/>
        </w:rPr>
      </w:pPr>
    </w:p>
    <w:p w14:paraId="36331410" w14:textId="77777777" w:rsidR="00523066" w:rsidRDefault="00523066" w:rsidP="00523066">
      <w:pPr>
        <w:pStyle w:val="ListParagraph"/>
        <w:numPr>
          <w:ilvl w:val="0"/>
          <w:numId w:val="1"/>
        </w:numPr>
        <w:ind w:left="502"/>
        <w:rPr>
          <w:rFonts w:ascii="Arial" w:hAnsi="Arial" w:cs="Arial"/>
        </w:rPr>
      </w:pPr>
      <w:r w:rsidRPr="0010151D">
        <w:rPr>
          <w:rFonts w:ascii="Arial" w:hAnsi="Arial" w:cs="Arial"/>
        </w:rPr>
        <w:lastRenderedPageBreak/>
        <w:t xml:space="preserve">This guidance is not statutory guidance. </w:t>
      </w:r>
      <w:r>
        <w:rPr>
          <w:rFonts w:ascii="Arial" w:hAnsi="Arial" w:cs="Arial"/>
        </w:rPr>
        <w:t>It</w:t>
      </w:r>
      <w:r w:rsidRPr="00CC0495">
        <w:rPr>
          <w:rFonts w:ascii="Arial" w:hAnsi="Arial" w:cs="Arial"/>
        </w:rPr>
        <w:t xml:space="preserve"> does not change, for example, the legal duties of the Competition and Markets Authority (the CMA). Nor</w:t>
      </w:r>
      <w:r w:rsidRPr="0010151D">
        <w:rPr>
          <w:rFonts w:ascii="Arial" w:hAnsi="Arial" w:cs="Arial"/>
        </w:rPr>
        <w:t xml:space="preserve"> does it impose legal duties on businesses or any other organisation. </w:t>
      </w:r>
    </w:p>
    <w:p w14:paraId="60957C02" w14:textId="77777777" w:rsidR="00523066" w:rsidRDefault="00523066" w:rsidP="00523066">
      <w:pPr>
        <w:pStyle w:val="ListParagraph"/>
        <w:ind w:left="753"/>
        <w:rPr>
          <w:rFonts w:ascii="Arial" w:hAnsi="Arial" w:cs="Arial"/>
        </w:rPr>
      </w:pPr>
    </w:p>
    <w:p w14:paraId="61C33C88" w14:textId="77777777" w:rsidR="00523066" w:rsidRPr="004A7BB5" w:rsidRDefault="00523066" w:rsidP="00523066">
      <w:pPr>
        <w:pStyle w:val="ListParagraph"/>
        <w:numPr>
          <w:ilvl w:val="0"/>
          <w:numId w:val="1"/>
        </w:numPr>
        <w:ind w:left="502"/>
        <w:rPr>
          <w:rFonts w:ascii="Arial" w:hAnsi="Arial" w:cs="Arial"/>
        </w:rPr>
      </w:pPr>
      <w:r w:rsidRPr="31AAAA63">
        <w:rPr>
          <w:rFonts w:ascii="Arial" w:hAnsi="Arial" w:cs="Arial"/>
        </w:rPr>
        <w:t>Whilst the guidance is intended to provide an indication of how the  public interest merger regime will operate in practice, and the approach the Secretary of State is likely to adopt in considering cases, each transaction will be looked at on its merits on a case by-case basis. Businesses should consider their own particular circumstances and, where necessary, seek their own legal advice.</w:t>
      </w:r>
    </w:p>
    <w:p w14:paraId="19F60526" w14:textId="77777777" w:rsidR="00523066" w:rsidRPr="008E51C9" w:rsidRDefault="00523066" w:rsidP="00523066">
      <w:pPr>
        <w:pStyle w:val="ListParagraph"/>
        <w:ind w:left="0"/>
        <w:rPr>
          <w:rFonts w:ascii="Arial" w:hAnsi="Arial" w:cs="Arial"/>
        </w:rPr>
      </w:pPr>
    </w:p>
    <w:p w14:paraId="0E30512F" w14:textId="77777777" w:rsidR="00523066" w:rsidRPr="004A7BB5" w:rsidRDefault="00523066" w:rsidP="00523066">
      <w:pPr>
        <w:pStyle w:val="ListParagraph"/>
        <w:numPr>
          <w:ilvl w:val="0"/>
          <w:numId w:val="1"/>
        </w:numPr>
        <w:ind w:left="502"/>
        <w:rPr>
          <w:rFonts w:ascii="Arial" w:hAnsi="Arial" w:cs="Arial"/>
        </w:rPr>
      </w:pPr>
      <w:r>
        <w:rPr>
          <w:rFonts w:ascii="Arial" w:hAnsi="Arial" w:cs="Arial"/>
        </w:rPr>
        <w:t>The</w:t>
      </w:r>
      <w:r w:rsidRPr="004A7BB5">
        <w:rPr>
          <w:rFonts w:ascii="Arial" w:hAnsi="Arial" w:cs="Arial"/>
        </w:rPr>
        <w:t xml:space="preserve"> Government will keep this guidance under review, updating it to ensure it remains as relevant and as useful as possible. It welcomes comments from parties about any additions or clarifications that would be helpful. </w:t>
      </w:r>
    </w:p>
    <w:p w14:paraId="6EA72B66" w14:textId="77777777" w:rsidR="00523066" w:rsidRPr="00F142EC" w:rsidRDefault="00523066" w:rsidP="00523066">
      <w:pPr>
        <w:pStyle w:val="ListParagraph"/>
        <w:ind w:left="502"/>
        <w:rPr>
          <w:rFonts w:ascii="Arial" w:hAnsi="Arial" w:cs="Arial"/>
        </w:rPr>
      </w:pPr>
    </w:p>
    <w:p w14:paraId="1E38D228" w14:textId="77777777" w:rsidR="00523066" w:rsidRDefault="00523066" w:rsidP="00523066">
      <w:pPr>
        <w:contextualSpacing/>
        <w:rPr>
          <w:rFonts w:ascii="Arial" w:hAnsi="Arial" w:cs="Arial"/>
        </w:rPr>
      </w:pPr>
    </w:p>
    <w:p w14:paraId="04E303CE" w14:textId="77777777" w:rsidR="00523066" w:rsidRPr="003666F7" w:rsidRDefault="00523066" w:rsidP="00523066">
      <w:pPr>
        <w:contextualSpacing/>
        <w:rPr>
          <w:rFonts w:ascii="Arial" w:hAnsi="Arial" w:cs="Arial"/>
        </w:rPr>
      </w:pPr>
    </w:p>
    <w:p w14:paraId="14159CF4" w14:textId="77777777" w:rsidR="00523066" w:rsidRDefault="00523066" w:rsidP="00523066"/>
    <w:p w14:paraId="1C32E913" w14:textId="77777777" w:rsidR="00523066" w:rsidRPr="00F142EC" w:rsidRDefault="00523066" w:rsidP="00523066"/>
    <w:p w14:paraId="68244CBA" w14:textId="77777777" w:rsidR="00523066" w:rsidRPr="00F142EC" w:rsidRDefault="00523066" w:rsidP="00523066"/>
    <w:p w14:paraId="53A058B5" w14:textId="77777777" w:rsidR="00523066" w:rsidRPr="00F142EC" w:rsidRDefault="00523066" w:rsidP="00523066"/>
    <w:p w14:paraId="4977E920" w14:textId="77777777" w:rsidR="00523066" w:rsidRPr="00F142EC" w:rsidRDefault="00523066" w:rsidP="00523066"/>
    <w:p w14:paraId="18375482" w14:textId="77777777" w:rsidR="00523066" w:rsidRPr="00F142EC" w:rsidRDefault="00523066" w:rsidP="00523066"/>
    <w:p w14:paraId="1DB1B793" w14:textId="77777777" w:rsidR="00523066" w:rsidRPr="00F142EC" w:rsidRDefault="00523066" w:rsidP="00523066"/>
    <w:p w14:paraId="45DC4CA8" w14:textId="77777777" w:rsidR="00523066" w:rsidRPr="00F142EC" w:rsidRDefault="00523066" w:rsidP="00523066"/>
    <w:p w14:paraId="2F75A319" w14:textId="77777777" w:rsidR="00523066" w:rsidRPr="00F142EC" w:rsidRDefault="00523066" w:rsidP="00523066"/>
    <w:p w14:paraId="4EFEB64C" w14:textId="77777777" w:rsidR="00523066" w:rsidRPr="00F142EC" w:rsidRDefault="00523066" w:rsidP="00523066"/>
    <w:p w14:paraId="1CA44EA3" w14:textId="77777777" w:rsidR="00523066" w:rsidRPr="00F142EC" w:rsidRDefault="00523066" w:rsidP="00523066"/>
    <w:p w14:paraId="66699290" w14:textId="77777777" w:rsidR="00523066" w:rsidRPr="00F142EC" w:rsidRDefault="00523066" w:rsidP="00523066"/>
    <w:p w14:paraId="7B2885DC" w14:textId="77777777" w:rsidR="00523066" w:rsidRPr="00F142EC" w:rsidRDefault="00523066" w:rsidP="00523066"/>
    <w:p w14:paraId="5CA44A2C" w14:textId="77777777" w:rsidR="00523066" w:rsidRPr="00F142EC" w:rsidRDefault="00523066" w:rsidP="00523066"/>
    <w:p w14:paraId="25BE6090" w14:textId="77777777" w:rsidR="00523066" w:rsidRPr="00F142EC" w:rsidRDefault="00523066" w:rsidP="00523066"/>
    <w:p w14:paraId="138B4158" w14:textId="77777777" w:rsidR="00523066" w:rsidRPr="00F142EC" w:rsidRDefault="00523066" w:rsidP="00523066"/>
    <w:p w14:paraId="605675F4" w14:textId="77777777" w:rsidR="00523066" w:rsidRPr="00F142EC" w:rsidRDefault="00523066" w:rsidP="00523066"/>
    <w:p w14:paraId="6FF7F930" w14:textId="77777777" w:rsidR="00523066" w:rsidRPr="00F142EC" w:rsidRDefault="00523066" w:rsidP="00523066"/>
    <w:p w14:paraId="171FA7B1" w14:textId="77777777" w:rsidR="00523066" w:rsidRPr="00F142EC" w:rsidRDefault="00523066" w:rsidP="00523066"/>
    <w:p w14:paraId="3470F184" w14:textId="77777777" w:rsidR="00523066" w:rsidRPr="00F142EC" w:rsidRDefault="00523066" w:rsidP="00523066"/>
    <w:p w14:paraId="6BEE21FA" w14:textId="77777777" w:rsidR="00523066" w:rsidRPr="00F142EC" w:rsidRDefault="00523066" w:rsidP="00523066"/>
    <w:p w14:paraId="299A6989" w14:textId="77777777" w:rsidR="00523066" w:rsidRPr="00F142EC" w:rsidRDefault="00523066" w:rsidP="00523066"/>
    <w:p w14:paraId="23CF6E09" w14:textId="77777777" w:rsidR="00523066" w:rsidRPr="00F142EC" w:rsidRDefault="00523066" w:rsidP="00523066"/>
    <w:p w14:paraId="67BD0AC3" w14:textId="77777777" w:rsidR="00523066" w:rsidRPr="00F142EC" w:rsidRDefault="00523066" w:rsidP="00523066"/>
    <w:p w14:paraId="5A52BD38" w14:textId="77777777" w:rsidR="00523066" w:rsidRPr="00F142EC" w:rsidRDefault="00523066" w:rsidP="00523066"/>
    <w:p w14:paraId="3331FA24" w14:textId="77777777" w:rsidR="00523066" w:rsidRPr="00F142EC" w:rsidRDefault="00523066" w:rsidP="00523066"/>
    <w:p w14:paraId="1F560707" w14:textId="77777777" w:rsidR="00523066" w:rsidRPr="00F142EC" w:rsidRDefault="00523066" w:rsidP="00523066"/>
    <w:p w14:paraId="42586A1D" w14:textId="77777777" w:rsidR="00523066" w:rsidRPr="00F142EC" w:rsidRDefault="00523066" w:rsidP="00523066"/>
    <w:p w14:paraId="54EBBAD1" w14:textId="77777777" w:rsidR="00523066" w:rsidRPr="00F142EC" w:rsidRDefault="00523066" w:rsidP="00523066"/>
    <w:p w14:paraId="726ACD6C" w14:textId="77777777" w:rsidR="00523066" w:rsidRPr="00F142EC" w:rsidRDefault="00523066" w:rsidP="00523066"/>
    <w:p w14:paraId="06579EDA" w14:textId="77777777" w:rsidR="00523066" w:rsidRPr="00F142EC" w:rsidRDefault="00523066" w:rsidP="00523066"/>
    <w:p w14:paraId="6A75B2FC" w14:textId="77777777" w:rsidR="00523066" w:rsidRPr="00F142EC" w:rsidRDefault="00523066" w:rsidP="00523066"/>
    <w:p w14:paraId="40606AAD" w14:textId="77777777" w:rsidR="00523066" w:rsidRPr="00F142EC" w:rsidRDefault="00523066" w:rsidP="00523066"/>
    <w:p w14:paraId="4DE955B9" w14:textId="77777777" w:rsidR="00523066" w:rsidRPr="00F142EC" w:rsidRDefault="00523066" w:rsidP="00523066"/>
    <w:p w14:paraId="0B8A831C" w14:textId="77777777" w:rsidR="00523066" w:rsidRPr="00F142EC" w:rsidRDefault="00523066" w:rsidP="00523066"/>
    <w:p w14:paraId="5BD48809" w14:textId="77777777" w:rsidR="00523066" w:rsidRPr="00F142EC" w:rsidRDefault="00523066" w:rsidP="00523066"/>
    <w:p w14:paraId="0373AA53" w14:textId="77777777" w:rsidR="00523066" w:rsidRPr="00F142EC" w:rsidRDefault="00523066" w:rsidP="00523066"/>
    <w:p w14:paraId="0759D898" w14:textId="77777777" w:rsidR="00523066" w:rsidRPr="00F142EC" w:rsidRDefault="00523066" w:rsidP="00523066"/>
    <w:p w14:paraId="1CD6F9AA" w14:textId="77777777" w:rsidR="00523066" w:rsidRDefault="00523066" w:rsidP="00523066">
      <w:pPr>
        <w:tabs>
          <w:tab w:val="left" w:pos="1200"/>
        </w:tabs>
      </w:pPr>
    </w:p>
    <w:p w14:paraId="7E34BC4E" w14:textId="77777777" w:rsidR="00523066" w:rsidRPr="00C9111C" w:rsidRDefault="00523066" w:rsidP="00523066">
      <w:pPr>
        <w:pStyle w:val="Guidance1"/>
        <w:rPr>
          <w:color w:val="auto"/>
          <w:sz w:val="32"/>
          <w:szCs w:val="32"/>
          <w:u w:val="single"/>
        </w:rPr>
      </w:pPr>
      <w:bookmarkStart w:id="2" w:name="_Toc44065802"/>
      <w:r w:rsidRPr="001B6A55">
        <w:t>Contents</w:t>
      </w:r>
      <w:bookmarkEnd w:id="2"/>
    </w:p>
    <w:p w14:paraId="4828FC77" w14:textId="77777777" w:rsidR="00523066" w:rsidRPr="008E51C9" w:rsidRDefault="00523066" w:rsidP="00523066">
      <w:pPr>
        <w:tabs>
          <w:tab w:val="left" w:pos="6205"/>
        </w:tabs>
        <w:rPr>
          <w:rFonts w:ascii="Arial" w:hAnsi="Arial" w:cs="Arial"/>
        </w:rPr>
      </w:pPr>
      <w:r>
        <w:rPr>
          <w:rFonts w:ascii="Arial" w:hAnsi="Arial" w:cs="Arial"/>
        </w:rPr>
        <w:tab/>
      </w:r>
    </w:p>
    <w:p w14:paraId="676A2C15" w14:textId="77777777" w:rsidR="00523066" w:rsidRPr="008E51C9" w:rsidRDefault="00523066" w:rsidP="00523066">
      <w:pPr>
        <w:rPr>
          <w:rFonts w:ascii="Arial" w:hAnsi="Arial" w:cs="Arial"/>
        </w:rPr>
      </w:pPr>
    </w:p>
    <w:p w14:paraId="4CF4F9CE" w14:textId="53EE2911" w:rsidR="00170FD7" w:rsidRPr="00C50DCD" w:rsidRDefault="00523066">
      <w:pPr>
        <w:pStyle w:val="TOC1"/>
        <w:tabs>
          <w:tab w:val="right" w:leader="dot" w:pos="9016"/>
        </w:tabs>
        <w:rPr>
          <w:rFonts w:ascii="Calibri" w:eastAsia="Yu Mincho" w:hAnsi="Calibri" w:cs="Arial"/>
          <w:b/>
          <w:noProof/>
          <w:sz w:val="22"/>
          <w:szCs w:val="22"/>
        </w:rPr>
      </w:pPr>
      <w:r w:rsidRPr="00170FD7">
        <w:rPr>
          <w:b/>
          <w:noProof/>
        </w:rPr>
        <w:fldChar w:fldCharType="begin"/>
      </w:r>
      <w:r w:rsidRPr="00170FD7">
        <w:rPr>
          <w:b/>
        </w:rPr>
        <w:instrText xml:space="preserve"> TOC \o "1-1" \h \z \u </w:instrText>
      </w:r>
      <w:r w:rsidRPr="00170FD7">
        <w:rPr>
          <w:b/>
          <w:noProof/>
        </w:rPr>
        <w:fldChar w:fldCharType="separate"/>
      </w:r>
      <w:hyperlink w:anchor="_Toc44065801" w:history="1">
        <w:r w:rsidR="00170FD7" w:rsidRPr="00170FD7">
          <w:rPr>
            <w:rStyle w:val="Hyperlink"/>
            <w:rFonts w:cs="Arial"/>
            <w:b/>
            <w:noProof/>
          </w:rPr>
          <w:t>Introduction</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_Toc44065801 \h </w:instrText>
        </w:r>
        <w:r w:rsidR="00170FD7" w:rsidRPr="00170FD7">
          <w:rPr>
            <w:b/>
            <w:noProof/>
            <w:webHidden/>
          </w:rPr>
        </w:r>
        <w:r w:rsidR="00170FD7" w:rsidRPr="00170FD7">
          <w:rPr>
            <w:b/>
            <w:noProof/>
            <w:webHidden/>
          </w:rPr>
          <w:fldChar w:fldCharType="separate"/>
        </w:r>
        <w:r w:rsidR="00170FD7" w:rsidRPr="00170FD7">
          <w:rPr>
            <w:b/>
            <w:noProof/>
            <w:webHidden/>
          </w:rPr>
          <w:t>3</w:t>
        </w:r>
        <w:r w:rsidR="00170FD7" w:rsidRPr="00170FD7">
          <w:rPr>
            <w:b/>
            <w:noProof/>
            <w:webHidden/>
          </w:rPr>
          <w:fldChar w:fldCharType="end"/>
        </w:r>
      </w:hyperlink>
    </w:p>
    <w:p w14:paraId="6D203D42" w14:textId="76948FD9" w:rsidR="00170FD7" w:rsidRPr="00C50DCD" w:rsidRDefault="00592723">
      <w:pPr>
        <w:pStyle w:val="TOC1"/>
        <w:tabs>
          <w:tab w:val="right" w:leader="dot" w:pos="9016"/>
        </w:tabs>
        <w:rPr>
          <w:rFonts w:ascii="Calibri" w:eastAsia="Yu Mincho" w:hAnsi="Calibri" w:cs="Arial"/>
          <w:b/>
          <w:noProof/>
          <w:sz w:val="22"/>
          <w:szCs w:val="22"/>
        </w:rPr>
      </w:pPr>
      <w:hyperlink w:anchor="_Toc44065802" w:history="1">
        <w:r w:rsidR="00170FD7" w:rsidRPr="00170FD7">
          <w:rPr>
            <w:rStyle w:val="Hyperlink"/>
            <w:b/>
            <w:noProof/>
          </w:rPr>
          <w:t>Contents</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_Toc44065802 \h </w:instrText>
        </w:r>
        <w:r w:rsidR="00170FD7" w:rsidRPr="00170FD7">
          <w:rPr>
            <w:b/>
            <w:noProof/>
            <w:webHidden/>
          </w:rPr>
        </w:r>
        <w:r w:rsidR="00170FD7" w:rsidRPr="00170FD7">
          <w:rPr>
            <w:b/>
            <w:noProof/>
            <w:webHidden/>
          </w:rPr>
          <w:fldChar w:fldCharType="separate"/>
        </w:r>
        <w:r w:rsidR="00170FD7" w:rsidRPr="00170FD7">
          <w:rPr>
            <w:b/>
            <w:noProof/>
            <w:webHidden/>
          </w:rPr>
          <w:t>5</w:t>
        </w:r>
        <w:r w:rsidR="00170FD7" w:rsidRPr="00170FD7">
          <w:rPr>
            <w:b/>
            <w:noProof/>
            <w:webHidden/>
          </w:rPr>
          <w:fldChar w:fldCharType="end"/>
        </w:r>
      </w:hyperlink>
    </w:p>
    <w:p w14:paraId="08DAFCA0" w14:textId="6F5117CB" w:rsidR="00170FD7" w:rsidRPr="00C50DCD" w:rsidRDefault="00592723">
      <w:pPr>
        <w:pStyle w:val="TOC1"/>
        <w:tabs>
          <w:tab w:val="right" w:leader="dot" w:pos="9016"/>
        </w:tabs>
        <w:rPr>
          <w:rFonts w:ascii="Calibri" w:eastAsia="Yu Mincho" w:hAnsi="Calibri" w:cs="Arial"/>
          <w:b/>
          <w:noProof/>
          <w:sz w:val="22"/>
          <w:szCs w:val="22"/>
        </w:rPr>
      </w:pPr>
      <w:hyperlink w:anchor="_Toc44065803" w:history="1">
        <w:r w:rsidR="00170FD7" w:rsidRPr="00170FD7">
          <w:rPr>
            <w:rStyle w:val="Hyperlink"/>
            <w:rFonts w:cs="Arial"/>
            <w:b/>
            <w:noProof/>
          </w:rPr>
          <w:t>Executive summary</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_Toc44065803 \h </w:instrText>
        </w:r>
        <w:r w:rsidR="00170FD7" w:rsidRPr="00170FD7">
          <w:rPr>
            <w:b/>
            <w:noProof/>
            <w:webHidden/>
          </w:rPr>
        </w:r>
        <w:r w:rsidR="00170FD7" w:rsidRPr="00170FD7">
          <w:rPr>
            <w:b/>
            <w:noProof/>
            <w:webHidden/>
          </w:rPr>
          <w:fldChar w:fldCharType="separate"/>
        </w:r>
        <w:r w:rsidR="00170FD7" w:rsidRPr="00170FD7">
          <w:rPr>
            <w:b/>
            <w:noProof/>
            <w:webHidden/>
          </w:rPr>
          <w:t>6</w:t>
        </w:r>
        <w:r w:rsidR="00170FD7" w:rsidRPr="00170FD7">
          <w:rPr>
            <w:b/>
            <w:noProof/>
            <w:webHidden/>
          </w:rPr>
          <w:fldChar w:fldCharType="end"/>
        </w:r>
      </w:hyperlink>
    </w:p>
    <w:p w14:paraId="541A2C1D" w14:textId="5184EF4A" w:rsidR="00170FD7" w:rsidRPr="00C50DCD" w:rsidRDefault="00592723">
      <w:pPr>
        <w:pStyle w:val="TOC1"/>
        <w:tabs>
          <w:tab w:val="right" w:leader="dot" w:pos="9016"/>
        </w:tabs>
        <w:rPr>
          <w:rFonts w:ascii="Calibri" w:eastAsia="Yu Mincho" w:hAnsi="Calibri" w:cs="Arial"/>
          <w:b/>
          <w:noProof/>
          <w:sz w:val="22"/>
          <w:szCs w:val="22"/>
        </w:rPr>
      </w:pPr>
      <w:hyperlink w:anchor="_Toc44065804" w:history="1">
        <w:r w:rsidR="00170FD7" w:rsidRPr="00170FD7">
          <w:rPr>
            <w:rStyle w:val="Hyperlink"/>
            <w:rFonts w:cs="Arial"/>
            <w:b/>
            <w:noProof/>
          </w:rPr>
          <w:t>Chapter 1: Changes to Government intervention in mergers</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_Toc44065804 \h </w:instrText>
        </w:r>
        <w:r w:rsidR="00170FD7" w:rsidRPr="00170FD7">
          <w:rPr>
            <w:b/>
            <w:noProof/>
            <w:webHidden/>
          </w:rPr>
        </w:r>
        <w:r w:rsidR="00170FD7" w:rsidRPr="00170FD7">
          <w:rPr>
            <w:b/>
            <w:noProof/>
            <w:webHidden/>
          </w:rPr>
          <w:fldChar w:fldCharType="separate"/>
        </w:r>
        <w:r w:rsidR="00170FD7" w:rsidRPr="00170FD7">
          <w:rPr>
            <w:b/>
            <w:noProof/>
            <w:webHidden/>
          </w:rPr>
          <w:t>7</w:t>
        </w:r>
        <w:r w:rsidR="00170FD7" w:rsidRPr="00170FD7">
          <w:rPr>
            <w:b/>
            <w:noProof/>
            <w:webHidden/>
          </w:rPr>
          <w:fldChar w:fldCharType="end"/>
        </w:r>
      </w:hyperlink>
    </w:p>
    <w:p w14:paraId="0B1B31E6" w14:textId="706083BA" w:rsidR="00170FD7" w:rsidRPr="00C50DCD" w:rsidRDefault="00592723">
      <w:pPr>
        <w:pStyle w:val="TOC1"/>
        <w:tabs>
          <w:tab w:val="right" w:leader="dot" w:pos="9016"/>
        </w:tabs>
        <w:rPr>
          <w:rFonts w:ascii="Calibri" w:eastAsia="Yu Mincho" w:hAnsi="Calibri" w:cs="Arial"/>
          <w:b/>
          <w:noProof/>
          <w:sz w:val="22"/>
          <w:szCs w:val="22"/>
        </w:rPr>
      </w:pPr>
      <w:hyperlink w:anchor="_Toc44065805" w:history="1">
        <w:r w:rsidR="00170FD7" w:rsidRPr="00170FD7">
          <w:rPr>
            <w:rStyle w:val="Hyperlink"/>
            <w:b/>
            <w:noProof/>
          </w:rPr>
          <w:t>Chapter 2: Why the provisions are required</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_Toc44065805 \h </w:instrText>
        </w:r>
        <w:r w:rsidR="00170FD7" w:rsidRPr="00170FD7">
          <w:rPr>
            <w:b/>
            <w:noProof/>
            <w:webHidden/>
          </w:rPr>
        </w:r>
        <w:r w:rsidR="00170FD7" w:rsidRPr="00170FD7">
          <w:rPr>
            <w:b/>
            <w:noProof/>
            <w:webHidden/>
          </w:rPr>
          <w:fldChar w:fldCharType="separate"/>
        </w:r>
        <w:r w:rsidR="00170FD7" w:rsidRPr="00170FD7">
          <w:rPr>
            <w:b/>
            <w:noProof/>
            <w:webHidden/>
          </w:rPr>
          <w:t>10</w:t>
        </w:r>
        <w:r w:rsidR="00170FD7" w:rsidRPr="00170FD7">
          <w:rPr>
            <w:b/>
            <w:noProof/>
            <w:webHidden/>
          </w:rPr>
          <w:fldChar w:fldCharType="end"/>
        </w:r>
      </w:hyperlink>
    </w:p>
    <w:p w14:paraId="2D560478" w14:textId="7B7C434D" w:rsidR="00170FD7" w:rsidRPr="00C50DCD" w:rsidRDefault="00592723">
      <w:pPr>
        <w:pStyle w:val="TOC1"/>
        <w:tabs>
          <w:tab w:val="right" w:leader="dot" w:pos="9016"/>
        </w:tabs>
        <w:rPr>
          <w:rFonts w:ascii="Calibri" w:eastAsia="Yu Mincho" w:hAnsi="Calibri" w:cs="Arial"/>
          <w:b/>
          <w:noProof/>
          <w:sz w:val="22"/>
          <w:szCs w:val="22"/>
        </w:rPr>
      </w:pPr>
      <w:hyperlink w:anchor="_Toc44065806" w:history="1">
        <w:r w:rsidR="00170FD7" w:rsidRPr="00170FD7">
          <w:rPr>
            <w:rStyle w:val="Hyperlink"/>
            <w:rFonts w:cs="Arial"/>
            <w:b/>
            <w:noProof/>
          </w:rPr>
          <w:t>Chapter 3: The relevant enterprises to which the amended thresholds apply</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_Toc44065806 \h </w:instrText>
        </w:r>
        <w:r w:rsidR="00170FD7" w:rsidRPr="00170FD7">
          <w:rPr>
            <w:b/>
            <w:noProof/>
            <w:webHidden/>
          </w:rPr>
        </w:r>
        <w:r w:rsidR="00170FD7" w:rsidRPr="00170FD7">
          <w:rPr>
            <w:b/>
            <w:noProof/>
            <w:webHidden/>
          </w:rPr>
          <w:fldChar w:fldCharType="separate"/>
        </w:r>
        <w:r w:rsidR="00170FD7" w:rsidRPr="00170FD7">
          <w:rPr>
            <w:b/>
            <w:noProof/>
            <w:webHidden/>
          </w:rPr>
          <w:t>12</w:t>
        </w:r>
        <w:r w:rsidR="00170FD7" w:rsidRPr="00170FD7">
          <w:rPr>
            <w:b/>
            <w:noProof/>
            <w:webHidden/>
          </w:rPr>
          <w:fldChar w:fldCharType="end"/>
        </w:r>
      </w:hyperlink>
    </w:p>
    <w:p w14:paraId="57F6471C" w14:textId="0CC652A6" w:rsidR="00170FD7" w:rsidRPr="00C50DCD" w:rsidRDefault="00592723">
      <w:pPr>
        <w:pStyle w:val="TOC1"/>
        <w:tabs>
          <w:tab w:val="right" w:leader="dot" w:pos="9016"/>
        </w:tabs>
        <w:rPr>
          <w:rFonts w:ascii="Calibri" w:eastAsia="Yu Mincho" w:hAnsi="Calibri" w:cs="Arial"/>
          <w:b/>
          <w:noProof/>
          <w:sz w:val="22"/>
          <w:szCs w:val="22"/>
        </w:rPr>
      </w:pPr>
      <w:hyperlink w:anchor="_Toc44065807" w:history="1">
        <w:r w:rsidR="00170FD7" w:rsidRPr="00170FD7">
          <w:rPr>
            <w:rStyle w:val="Hyperlink"/>
            <w:rFonts w:cs="Arial"/>
            <w:b/>
            <w:noProof/>
          </w:rPr>
          <w:t>Chapter 4: The turnover and share of supply tests</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_Toc44065807 \h </w:instrText>
        </w:r>
        <w:r w:rsidR="00170FD7" w:rsidRPr="00170FD7">
          <w:rPr>
            <w:b/>
            <w:noProof/>
            <w:webHidden/>
          </w:rPr>
        </w:r>
        <w:r w:rsidR="00170FD7" w:rsidRPr="00170FD7">
          <w:rPr>
            <w:b/>
            <w:noProof/>
            <w:webHidden/>
          </w:rPr>
          <w:fldChar w:fldCharType="separate"/>
        </w:r>
        <w:r w:rsidR="00170FD7" w:rsidRPr="00170FD7">
          <w:rPr>
            <w:b/>
            <w:noProof/>
            <w:webHidden/>
          </w:rPr>
          <w:t>27</w:t>
        </w:r>
        <w:r w:rsidR="00170FD7" w:rsidRPr="00170FD7">
          <w:rPr>
            <w:b/>
            <w:noProof/>
            <w:webHidden/>
          </w:rPr>
          <w:fldChar w:fldCharType="end"/>
        </w:r>
      </w:hyperlink>
    </w:p>
    <w:p w14:paraId="1E12DD02" w14:textId="2065322B" w:rsidR="00170FD7" w:rsidRPr="00C50DCD" w:rsidRDefault="00592723">
      <w:pPr>
        <w:pStyle w:val="TOC1"/>
        <w:tabs>
          <w:tab w:val="right" w:leader="dot" w:pos="9016"/>
        </w:tabs>
        <w:rPr>
          <w:rFonts w:ascii="Calibri" w:eastAsia="Yu Mincho" w:hAnsi="Calibri" w:cs="Arial"/>
          <w:b/>
          <w:noProof/>
          <w:sz w:val="22"/>
          <w:szCs w:val="22"/>
        </w:rPr>
      </w:pPr>
      <w:hyperlink w:anchor="_Toc44065808" w:history="1">
        <w:r w:rsidR="00170FD7" w:rsidRPr="00170FD7">
          <w:rPr>
            <w:rStyle w:val="Hyperlink"/>
            <w:rFonts w:cs="Arial"/>
            <w:b/>
            <w:noProof/>
          </w:rPr>
          <w:t>Chapter 5: The process for any Government interventions in mergers</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_Toc44065808 \h </w:instrText>
        </w:r>
        <w:r w:rsidR="00170FD7" w:rsidRPr="00170FD7">
          <w:rPr>
            <w:b/>
            <w:noProof/>
            <w:webHidden/>
          </w:rPr>
        </w:r>
        <w:r w:rsidR="00170FD7" w:rsidRPr="00170FD7">
          <w:rPr>
            <w:b/>
            <w:noProof/>
            <w:webHidden/>
          </w:rPr>
          <w:fldChar w:fldCharType="separate"/>
        </w:r>
        <w:r w:rsidR="00170FD7" w:rsidRPr="00170FD7">
          <w:rPr>
            <w:b/>
            <w:noProof/>
            <w:webHidden/>
          </w:rPr>
          <w:t>33</w:t>
        </w:r>
        <w:r w:rsidR="00170FD7" w:rsidRPr="00170FD7">
          <w:rPr>
            <w:b/>
            <w:noProof/>
            <w:webHidden/>
          </w:rPr>
          <w:fldChar w:fldCharType="end"/>
        </w:r>
      </w:hyperlink>
    </w:p>
    <w:p w14:paraId="54B5556A" w14:textId="13D66FBC" w:rsidR="00170FD7" w:rsidRPr="00C50DCD" w:rsidRDefault="00592723">
      <w:pPr>
        <w:pStyle w:val="TOC1"/>
        <w:tabs>
          <w:tab w:val="right" w:leader="dot" w:pos="9016"/>
        </w:tabs>
        <w:rPr>
          <w:rFonts w:ascii="Calibri" w:eastAsia="Yu Mincho" w:hAnsi="Calibri" w:cs="Arial"/>
          <w:b/>
          <w:noProof/>
          <w:sz w:val="22"/>
          <w:szCs w:val="22"/>
        </w:rPr>
      </w:pPr>
      <w:hyperlink w:anchor="_Toc44065809" w:history="1">
        <w:r w:rsidR="00170FD7" w:rsidRPr="00170FD7">
          <w:rPr>
            <w:rStyle w:val="Hyperlink"/>
            <w:rFonts w:cs="Arial"/>
            <w:b/>
            <w:noProof/>
          </w:rPr>
          <w:t>Chapter 6: What you might wish to do as a result of the new provisions</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_Toc44065809 \h </w:instrText>
        </w:r>
        <w:r w:rsidR="00170FD7" w:rsidRPr="00170FD7">
          <w:rPr>
            <w:b/>
            <w:noProof/>
            <w:webHidden/>
          </w:rPr>
        </w:r>
        <w:r w:rsidR="00170FD7" w:rsidRPr="00170FD7">
          <w:rPr>
            <w:b/>
            <w:noProof/>
            <w:webHidden/>
          </w:rPr>
          <w:fldChar w:fldCharType="separate"/>
        </w:r>
        <w:r w:rsidR="00170FD7" w:rsidRPr="00170FD7">
          <w:rPr>
            <w:b/>
            <w:noProof/>
            <w:webHidden/>
          </w:rPr>
          <w:t>36</w:t>
        </w:r>
        <w:r w:rsidR="00170FD7" w:rsidRPr="00170FD7">
          <w:rPr>
            <w:b/>
            <w:noProof/>
            <w:webHidden/>
          </w:rPr>
          <w:fldChar w:fldCharType="end"/>
        </w:r>
      </w:hyperlink>
    </w:p>
    <w:p w14:paraId="4B9AAC7B" w14:textId="2CAB2F47" w:rsidR="00170FD7" w:rsidRPr="00C50DCD" w:rsidRDefault="00592723">
      <w:pPr>
        <w:pStyle w:val="TOC1"/>
        <w:tabs>
          <w:tab w:val="right" w:leader="dot" w:pos="9016"/>
        </w:tabs>
        <w:rPr>
          <w:rFonts w:ascii="Calibri" w:eastAsia="Yu Mincho" w:hAnsi="Calibri" w:cs="Arial"/>
          <w:b/>
          <w:noProof/>
          <w:sz w:val="22"/>
          <w:szCs w:val="22"/>
        </w:rPr>
      </w:pPr>
      <w:hyperlink w:anchor="_Toc44065810" w:history="1">
        <w:r w:rsidR="00170FD7" w:rsidRPr="00170FD7">
          <w:rPr>
            <w:rStyle w:val="Hyperlink"/>
            <w:b/>
            <w:noProof/>
          </w:rPr>
          <w:t>Annex A – contact details</w:t>
        </w:r>
        <w:r w:rsidR="00170FD7" w:rsidRPr="00170FD7">
          <w:rPr>
            <w:b/>
            <w:noProof/>
            <w:webHidden/>
          </w:rPr>
          <w:tab/>
        </w:r>
        <w:r w:rsidR="00170FD7" w:rsidRPr="00170FD7">
          <w:rPr>
            <w:b/>
            <w:noProof/>
            <w:webHidden/>
          </w:rPr>
          <w:fldChar w:fldCharType="begin"/>
        </w:r>
        <w:r w:rsidR="00170FD7" w:rsidRPr="00170FD7">
          <w:rPr>
            <w:b/>
            <w:noProof/>
            <w:webHidden/>
          </w:rPr>
          <w:instrText xml:space="preserve"> PAGEREF _Toc44065810 \h </w:instrText>
        </w:r>
        <w:r w:rsidR="00170FD7" w:rsidRPr="00170FD7">
          <w:rPr>
            <w:b/>
            <w:noProof/>
            <w:webHidden/>
          </w:rPr>
        </w:r>
        <w:r w:rsidR="00170FD7" w:rsidRPr="00170FD7">
          <w:rPr>
            <w:b/>
            <w:noProof/>
            <w:webHidden/>
          </w:rPr>
          <w:fldChar w:fldCharType="separate"/>
        </w:r>
        <w:r w:rsidR="00170FD7" w:rsidRPr="00170FD7">
          <w:rPr>
            <w:b/>
            <w:noProof/>
            <w:webHidden/>
          </w:rPr>
          <w:t>38</w:t>
        </w:r>
        <w:r w:rsidR="00170FD7" w:rsidRPr="00170FD7">
          <w:rPr>
            <w:b/>
            <w:noProof/>
            <w:webHidden/>
          </w:rPr>
          <w:fldChar w:fldCharType="end"/>
        </w:r>
      </w:hyperlink>
    </w:p>
    <w:p w14:paraId="273308AD" w14:textId="07D7D6E2" w:rsidR="00523066" w:rsidRPr="00170FD7" w:rsidRDefault="00523066" w:rsidP="00523066">
      <w:pPr>
        <w:tabs>
          <w:tab w:val="left" w:pos="1200"/>
        </w:tabs>
        <w:rPr>
          <w:rFonts w:ascii="Arial" w:hAnsi="Arial" w:cs="Arial"/>
          <w:b/>
        </w:rPr>
      </w:pPr>
      <w:r w:rsidRPr="00170FD7">
        <w:rPr>
          <w:rFonts w:ascii="Arial" w:hAnsi="Arial" w:cs="Arial"/>
          <w:b/>
        </w:rPr>
        <w:fldChar w:fldCharType="end"/>
      </w:r>
    </w:p>
    <w:p w14:paraId="6BE0AB63" w14:textId="77777777" w:rsidR="00523066" w:rsidRPr="005A70A5" w:rsidRDefault="00523066" w:rsidP="00523066">
      <w:pPr>
        <w:pStyle w:val="Header"/>
        <w:tabs>
          <w:tab w:val="clear" w:pos="4513"/>
          <w:tab w:val="clear" w:pos="9026"/>
        </w:tabs>
        <w:jc w:val="center"/>
      </w:pPr>
    </w:p>
    <w:p w14:paraId="251BED4D" w14:textId="77777777" w:rsidR="00523066" w:rsidRPr="005A70A5" w:rsidRDefault="00523066" w:rsidP="00523066">
      <w:pPr>
        <w:pStyle w:val="Header"/>
        <w:tabs>
          <w:tab w:val="clear" w:pos="4513"/>
          <w:tab w:val="clear" w:pos="9026"/>
          <w:tab w:val="left" w:pos="6700"/>
        </w:tabs>
      </w:pPr>
      <w:r>
        <w:tab/>
      </w:r>
    </w:p>
    <w:p w14:paraId="3B6B7206" w14:textId="77777777" w:rsidR="00523066" w:rsidRPr="005A70A5" w:rsidRDefault="00523066" w:rsidP="00523066">
      <w:pPr>
        <w:pStyle w:val="Header"/>
        <w:tabs>
          <w:tab w:val="clear" w:pos="4513"/>
          <w:tab w:val="clear" w:pos="9026"/>
        </w:tabs>
      </w:pPr>
    </w:p>
    <w:p w14:paraId="24021BDC" w14:textId="77777777" w:rsidR="00523066" w:rsidRPr="005A70A5" w:rsidRDefault="00523066" w:rsidP="00523066">
      <w:pPr>
        <w:pStyle w:val="Header"/>
        <w:tabs>
          <w:tab w:val="clear" w:pos="4513"/>
          <w:tab w:val="clear" w:pos="9026"/>
        </w:tabs>
      </w:pPr>
    </w:p>
    <w:p w14:paraId="7FF38BED" w14:textId="77777777" w:rsidR="00523066" w:rsidRPr="005A70A5" w:rsidRDefault="00523066" w:rsidP="00523066"/>
    <w:p w14:paraId="3D4C0E77" w14:textId="77777777" w:rsidR="00523066" w:rsidRPr="005A70A5" w:rsidRDefault="00523066" w:rsidP="00523066">
      <w:pPr>
        <w:pStyle w:val="Header"/>
        <w:tabs>
          <w:tab w:val="clear" w:pos="4513"/>
          <w:tab w:val="clear" w:pos="9026"/>
        </w:tabs>
      </w:pPr>
    </w:p>
    <w:p w14:paraId="29D3BF60" w14:textId="77777777" w:rsidR="00523066" w:rsidRPr="005A70A5" w:rsidRDefault="00523066" w:rsidP="00523066"/>
    <w:p w14:paraId="3B619F0A" w14:textId="77777777" w:rsidR="00523066" w:rsidRPr="005A70A5" w:rsidRDefault="00523066" w:rsidP="00523066"/>
    <w:p w14:paraId="2B1F2251" w14:textId="77777777" w:rsidR="00523066" w:rsidRPr="005A70A5" w:rsidRDefault="00523066" w:rsidP="00523066"/>
    <w:p w14:paraId="6474558A" w14:textId="77777777" w:rsidR="00523066" w:rsidRPr="005A70A5" w:rsidRDefault="00523066" w:rsidP="00523066"/>
    <w:p w14:paraId="5E028059" w14:textId="77777777" w:rsidR="00523066" w:rsidRPr="005A70A5" w:rsidRDefault="00523066" w:rsidP="00523066"/>
    <w:p w14:paraId="2102C1C8" w14:textId="77777777" w:rsidR="00523066" w:rsidRPr="005A70A5" w:rsidRDefault="00523066" w:rsidP="00523066"/>
    <w:p w14:paraId="01D0DB45" w14:textId="77777777" w:rsidR="00523066" w:rsidRPr="005A70A5" w:rsidRDefault="00523066" w:rsidP="00523066"/>
    <w:p w14:paraId="44788FBA" w14:textId="77777777" w:rsidR="00523066" w:rsidRPr="005A70A5" w:rsidRDefault="00523066" w:rsidP="00523066"/>
    <w:p w14:paraId="602EAC1C" w14:textId="77777777" w:rsidR="00523066" w:rsidRPr="005A70A5" w:rsidRDefault="00523066" w:rsidP="00523066"/>
    <w:p w14:paraId="798DA155" w14:textId="77777777" w:rsidR="00523066" w:rsidRPr="005A70A5" w:rsidRDefault="00523066" w:rsidP="00523066"/>
    <w:p w14:paraId="4973410D" w14:textId="77777777" w:rsidR="00523066" w:rsidRPr="005A70A5" w:rsidRDefault="00523066" w:rsidP="00523066"/>
    <w:p w14:paraId="65935D45" w14:textId="77777777" w:rsidR="00523066" w:rsidRPr="005A70A5" w:rsidRDefault="00523066" w:rsidP="00523066"/>
    <w:p w14:paraId="616E2031" w14:textId="77777777" w:rsidR="00523066" w:rsidRPr="005A70A5" w:rsidRDefault="00523066" w:rsidP="00523066"/>
    <w:p w14:paraId="58D5E8DE" w14:textId="77777777" w:rsidR="00523066" w:rsidRDefault="00523066" w:rsidP="00523066">
      <w:pPr>
        <w:rPr>
          <w:rFonts w:ascii="Arial" w:hAnsi="Arial" w:cs="Arial"/>
        </w:rPr>
      </w:pPr>
    </w:p>
    <w:p w14:paraId="21536A29" w14:textId="77777777" w:rsidR="00523066" w:rsidRDefault="00523066" w:rsidP="00523066">
      <w:pPr>
        <w:tabs>
          <w:tab w:val="left" w:pos="1275"/>
        </w:tabs>
      </w:pPr>
      <w:r>
        <w:tab/>
      </w:r>
    </w:p>
    <w:p w14:paraId="181C74BF" w14:textId="77777777" w:rsidR="00523066" w:rsidRDefault="00523066" w:rsidP="00523066">
      <w:pPr>
        <w:tabs>
          <w:tab w:val="left" w:pos="1275"/>
        </w:tabs>
      </w:pPr>
    </w:p>
    <w:p w14:paraId="16B792AA" w14:textId="77777777" w:rsidR="00523066" w:rsidRDefault="00523066" w:rsidP="00523066">
      <w:pPr>
        <w:tabs>
          <w:tab w:val="left" w:pos="1275"/>
        </w:tabs>
      </w:pPr>
    </w:p>
    <w:p w14:paraId="1B823DFB" w14:textId="77777777" w:rsidR="00523066" w:rsidRDefault="00523066" w:rsidP="00523066">
      <w:pPr>
        <w:tabs>
          <w:tab w:val="left" w:pos="1275"/>
        </w:tabs>
      </w:pPr>
    </w:p>
    <w:p w14:paraId="6E907ED4" w14:textId="77777777" w:rsidR="00523066" w:rsidRDefault="00523066" w:rsidP="00523066">
      <w:pPr>
        <w:tabs>
          <w:tab w:val="left" w:pos="1275"/>
        </w:tabs>
      </w:pPr>
    </w:p>
    <w:p w14:paraId="385E7125" w14:textId="77777777" w:rsidR="00523066" w:rsidRDefault="00523066" w:rsidP="00523066">
      <w:pPr>
        <w:tabs>
          <w:tab w:val="left" w:pos="1275"/>
        </w:tabs>
      </w:pPr>
    </w:p>
    <w:p w14:paraId="1A276219" w14:textId="77777777" w:rsidR="00523066" w:rsidRDefault="00523066" w:rsidP="00523066">
      <w:pPr>
        <w:tabs>
          <w:tab w:val="left" w:pos="1275"/>
        </w:tabs>
      </w:pPr>
    </w:p>
    <w:p w14:paraId="73EB21C2" w14:textId="77777777" w:rsidR="00523066" w:rsidRDefault="00523066" w:rsidP="00523066">
      <w:pPr>
        <w:tabs>
          <w:tab w:val="left" w:pos="1275"/>
        </w:tabs>
      </w:pPr>
    </w:p>
    <w:p w14:paraId="1E7B1706" w14:textId="77777777" w:rsidR="00523066" w:rsidRDefault="00523066" w:rsidP="00523066">
      <w:pPr>
        <w:tabs>
          <w:tab w:val="left" w:pos="1275"/>
        </w:tabs>
      </w:pPr>
    </w:p>
    <w:p w14:paraId="732F0B48" w14:textId="77777777" w:rsidR="00523066" w:rsidRDefault="00523066" w:rsidP="00523066">
      <w:pPr>
        <w:tabs>
          <w:tab w:val="left" w:pos="1275"/>
        </w:tabs>
      </w:pPr>
    </w:p>
    <w:p w14:paraId="6ED0BBA5" w14:textId="77777777" w:rsidR="00523066" w:rsidRDefault="00523066" w:rsidP="00523066">
      <w:pPr>
        <w:tabs>
          <w:tab w:val="left" w:pos="1275"/>
        </w:tabs>
      </w:pPr>
    </w:p>
    <w:p w14:paraId="58BB97C2" w14:textId="77777777" w:rsidR="00523066" w:rsidRDefault="00523066" w:rsidP="00523066">
      <w:pPr>
        <w:tabs>
          <w:tab w:val="left" w:pos="1275"/>
        </w:tabs>
      </w:pPr>
    </w:p>
    <w:p w14:paraId="2FB9E031" w14:textId="77777777" w:rsidR="00523066" w:rsidRPr="005A70A5" w:rsidRDefault="00523066" w:rsidP="00523066">
      <w:pPr>
        <w:pStyle w:val="Heading1"/>
        <w:spacing w:before="0"/>
        <w:rPr>
          <w:rFonts w:ascii="Arial" w:hAnsi="Arial" w:cs="Arial"/>
          <w:b w:val="0"/>
          <w:bCs w:val="0"/>
          <w:color w:val="1F497D"/>
          <w:sz w:val="50"/>
          <w:szCs w:val="50"/>
        </w:rPr>
      </w:pPr>
      <w:bookmarkStart w:id="3" w:name="_Toc498514494"/>
      <w:bookmarkStart w:id="4" w:name="_Toc508611545"/>
      <w:bookmarkStart w:id="5" w:name="_Toc44065803"/>
      <w:r w:rsidRPr="005A70A5">
        <w:rPr>
          <w:rFonts w:ascii="Arial" w:hAnsi="Arial" w:cs="Arial"/>
          <w:color w:val="1F497D"/>
          <w:sz w:val="50"/>
          <w:szCs w:val="50"/>
        </w:rPr>
        <w:t>Executive summary</w:t>
      </w:r>
      <w:bookmarkEnd w:id="3"/>
      <w:bookmarkEnd w:id="4"/>
      <w:bookmarkEnd w:id="5"/>
      <w:r w:rsidRPr="005A70A5">
        <w:rPr>
          <w:rFonts w:ascii="Arial" w:hAnsi="Arial" w:cs="Arial"/>
          <w:color w:val="1F497D"/>
          <w:sz w:val="50"/>
          <w:szCs w:val="50"/>
        </w:rPr>
        <w:t xml:space="preserve"> </w:t>
      </w:r>
    </w:p>
    <w:p w14:paraId="08DA952A" w14:textId="77777777" w:rsidR="00523066" w:rsidRPr="008E51C9" w:rsidRDefault="00523066" w:rsidP="00523066">
      <w:pPr>
        <w:rPr>
          <w:rFonts w:ascii="Arial" w:hAnsi="Arial" w:cs="Arial"/>
          <w:sz w:val="32"/>
          <w:szCs w:val="32"/>
          <w:u w:val="single"/>
        </w:rPr>
      </w:pPr>
    </w:p>
    <w:p w14:paraId="44992C2C" w14:textId="77777777" w:rsidR="00523066" w:rsidRDefault="00523066" w:rsidP="00523066">
      <w:pPr>
        <w:pStyle w:val="ListParagraph"/>
        <w:numPr>
          <w:ilvl w:val="0"/>
          <w:numId w:val="17"/>
        </w:numPr>
        <w:rPr>
          <w:rFonts w:ascii="Arial" w:hAnsi="Arial" w:cs="Arial"/>
        </w:rPr>
      </w:pPr>
      <w:r w:rsidRPr="006B5987">
        <w:rPr>
          <w:rFonts w:ascii="Arial" w:hAnsi="Arial" w:cs="Arial"/>
        </w:rPr>
        <w:t xml:space="preserve">The Government is committed to fostering innovation in areas of advanced technology, not only for the economic benefits it brings, but also the potential </w:t>
      </w:r>
      <w:r>
        <w:rPr>
          <w:rFonts w:ascii="Arial" w:hAnsi="Arial" w:cs="Arial"/>
        </w:rPr>
        <w:t>of</w:t>
      </w:r>
      <w:r w:rsidRPr="006B5987">
        <w:rPr>
          <w:rFonts w:ascii="Arial" w:hAnsi="Arial" w:cs="Arial"/>
        </w:rPr>
        <w:t xml:space="preserve"> emerging technologies to enhance the lives of British citizens. The Government prides itself on advanced technology being one of the fastest growing sectors in the United Kingdom and welcomes the increase in research, development and investment.</w:t>
      </w:r>
      <w:r>
        <w:rPr>
          <w:rFonts w:ascii="Arial" w:hAnsi="Arial" w:cs="Arial"/>
        </w:rPr>
        <w:t xml:space="preserve"> </w:t>
      </w:r>
      <w:r w:rsidRPr="008E51C9">
        <w:rPr>
          <w:rFonts w:ascii="Arial" w:hAnsi="Arial" w:cs="Arial"/>
        </w:rPr>
        <w:t>H</w:t>
      </w:r>
      <w:r>
        <w:rPr>
          <w:rFonts w:ascii="Arial" w:hAnsi="Arial" w:cs="Arial"/>
        </w:rPr>
        <w:t>owever, the Government</w:t>
      </w:r>
      <w:r w:rsidRPr="008E51C9">
        <w:rPr>
          <w:rFonts w:ascii="Arial" w:hAnsi="Arial" w:cs="Arial"/>
        </w:rPr>
        <w:t xml:space="preserve"> will not hesitate to take the necessary action</w:t>
      </w:r>
      <w:r>
        <w:rPr>
          <w:rFonts w:ascii="Arial" w:hAnsi="Arial" w:cs="Arial"/>
        </w:rPr>
        <w:t>s</w:t>
      </w:r>
      <w:r w:rsidRPr="008E51C9">
        <w:rPr>
          <w:rFonts w:ascii="Arial" w:hAnsi="Arial" w:cs="Arial"/>
        </w:rPr>
        <w:t xml:space="preserve"> to ensure that our national security </w:t>
      </w:r>
      <w:r>
        <w:rPr>
          <w:rFonts w:ascii="Arial" w:hAnsi="Arial" w:cs="Arial"/>
        </w:rPr>
        <w:t>is protected</w:t>
      </w:r>
      <w:r w:rsidRPr="008E51C9">
        <w:rPr>
          <w:rFonts w:ascii="Arial" w:hAnsi="Arial" w:cs="Arial"/>
        </w:rPr>
        <w:t xml:space="preserve">. As a result, it </w:t>
      </w:r>
      <w:r>
        <w:rPr>
          <w:rFonts w:ascii="Arial" w:hAnsi="Arial" w:cs="Arial"/>
        </w:rPr>
        <w:t>has amended the Enterprise Act 2002</w:t>
      </w:r>
      <w:r w:rsidRPr="008E51C9">
        <w:rPr>
          <w:rFonts w:ascii="Arial" w:hAnsi="Arial" w:cs="Arial"/>
        </w:rPr>
        <w:t xml:space="preserve"> to make targeted changes to ensure </w:t>
      </w:r>
      <w:r>
        <w:rPr>
          <w:rFonts w:ascii="Arial" w:hAnsi="Arial" w:cs="Arial"/>
        </w:rPr>
        <w:t>it</w:t>
      </w:r>
      <w:r w:rsidRPr="008E51C9">
        <w:rPr>
          <w:rFonts w:ascii="Arial" w:hAnsi="Arial" w:cs="Arial"/>
        </w:rPr>
        <w:t xml:space="preserve"> has sufficient powers to act when necessary.</w:t>
      </w:r>
      <w:r>
        <w:rPr>
          <w:rFonts w:ascii="Arial" w:hAnsi="Arial" w:cs="Arial"/>
        </w:rPr>
        <w:t xml:space="preserve"> The guidance focuses on the tests in the Act that determine whether the Government can intervene in mergers.</w:t>
      </w:r>
    </w:p>
    <w:p w14:paraId="43406B80" w14:textId="77777777" w:rsidR="00523066" w:rsidRDefault="00523066" w:rsidP="00523066">
      <w:pPr>
        <w:pStyle w:val="ListParagraph"/>
        <w:rPr>
          <w:rFonts w:ascii="Arial" w:hAnsi="Arial" w:cs="Arial"/>
        </w:rPr>
      </w:pPr>
    </w:p>
    <w:p w14:paraId="1968ED56" w14:textId="77777777" w:rsidR="00523066" w:rsidRDefault="00523066" w:rsidP="00523066">
      <w:pPr>
        <w:pStyle w:val="ListParagraph"/>
        <w:numPr>
          <w:ilvl w:val="0"/>
          <w:numId w:val="17"/>
        </w:numPr>
        <w:rPr>
          <w:rFonts w:ascii="Arial" w:hAnsi="Arial" w:cs="Arial"/>
        </w:rPr>
      </w:pPr>
      <w:r w:rsidRPr="00690B58">
        <w:rPr>
          <w:rFonts w:ascii="Arial" w:hAnsi="Arial" w:cs="Arial"/>
        </w:rPr>
        <w:t>In 2018 the Government amended the tests in the Act that determine whether it can intervene in</w:t>
      </w:r>
      <w:r>
        <w:rPr>
          <w:rFonts w:ascii="Arial" w:hAnsi="Arial" w:cs="Arial"/>
        </w:rPr>
        <w:t xml:space="preserve"> specific</w:t>
      </w:r>
      <w:r w:rsidRPr="00690B58">
        <w:rPr>
          <w:rFonts w:ascii="Arial" w:hAnsi="Arial" w:cs="Arial"/>
        </w:rPr>
        <w:t xml:space="preserve"> mergers.</w:t>
      </w:r>
      <w:r>
        <w:rPr>
          <w:rFonts w:ascii="Arial" w:hAnsi="Arial" w:cs="Arial"/>
        </w:rPr>
        <w:t xml:space="preserve"> The Enterprise Act 2002 (Share of Supply Test) (Amendment) Order 2018 and the Enterprise Act 2002 (Turnover Test) (Amendment) 2018</w:t>
      </w:r>
      <w:r w:rsidRPr="008E51C9">
        <w:rPr>
          <w:rStyle w:val="FootnoteReference"/>
          <w:rFonts w:ascii="Arial" w:hAnsi="Arial" w:cs="Arial"/>
        </w:rPr>
        <w:footnoteReference w:id="3"/>
      </w:r>
      <w:r>
        <w:rPr>
          <w:rFonts w:ascii="Arial" w:hAnsi="Arial" w:cs="Arial"/>
        </w:rPr>
        <w:t xml:space="preserve">, which came into force on 11 June 2018, amended the thresholds for the turnover and share of supply tests within the Act for three sectors: military and dual-use technologies, quantum technology and computing hardware. </w:t>
      </w:r>
    </w:p>
    <w:p w14:paraId="6965BBEE" w14:textId="77777777" w:rsidR="00523066" w:rsidRDefault="00523066" w:rsidP="00523066">
      <w:pPr>
        <w:pStyle w:val="ListParagraph"/>
        <w:rPr>
          <w:rFonts w:ascii="Arial" w:hAnsi="Arial" w:cs="Arial"/>
        </w:rPr>
      </w:pPr>
    </w:p>
    <w:p w14:paraId="7EE7826F" w14:textId="77777777" w:rsidR="00523066" w:rsidRPr="008E51C9" w:rsidRDefault="00523066" w:rsidP="00523066">
      <w:pPr>
        <w:pStyle w:val="ListParagraph"/>
        <w:numPr>
          <w:ilvl w:val="0"/>
          <w:numId w:val="17"/>
        </w:numPr>
        <w:rPr>
          <w:rFonts w:ascii="Arial" w:hAnsi="Arial" w:cs="Arial"/>
        </w:rPr>
      </w:pPr>
      <w:r w:rsidRPr="00F36E1E">
        <w:rPr>
          <w:rFonts w:ascii="Arial" w:hAnsi="Arial" w:cs="Arial"/>
        </w:rPr>
        <w:t xml:space="preserve">For mergers which involve the takeover of businesses covered by section 23A, the two tests </w:t>
      </w:r>
      <w:r>
        <w:rPr>
          <w:rFonts w:ascii="Arial" w:hAnsi="Arial" w:cs="Arial"/>
        </w:rPr>
        <w:t>we</w:t>
      </w:r>
      <w:r w:rsidRPr="00F36E1E">
        <w:rPr>
          <w:rFonts w:ascii="Arial" w:hAnsi="Arial" w:cs="Arial"/>
        </w:rPr>
        <w:t>re amended as follows</w:t>
      </w:r>
      <w:r w:rsidRPr="130CD644">
        <w:rPr>
          <w:rFonts w:ascii="Arial" w:hAnsi="Arial" w:cs="Arial"/>
        </w:rPr>
        <w:t>:</w:t>
      </w:r>
    </w:p>
    <w:p w14:paraId="1283C886" w14:textId="77777777" w:rsidR="00523066" w:rsidRDefault="00523066" w:rsidP="00523066">
      <w:pPr>
        <w:pStyle w:val="ListParagraph"/>
        <w:numPr>
          <w:ilvl w:val="1"/>
          <w:numId w:val="17"/>
        </w:numPr>
        <w:rPr>
          <w:rFonts w:ascii="Arial" w:hAnsi="Arial" w:cs="Arial"/>
        </w:rPr>
      </w:pPr>
      <w:r w:rsidRPr="409C7B57">
        <w:rPr>
          <w:rFonts w:ascii="Arial" w:hAnsi="Arial" w:cs="Arial"/>
        </w:rPr>
        <w:t>the business being taken over must have a UK turnover of over £1 million, rather than £70 million; and,</w:t>
      </w:r>
    </w:p>
    <w:p w14:paraId="64B07B3E" w14:textId="77777777" w:rsidR="00523066" w:rsidRDefault="00523066" w:rsidP="00523066">
      <w:pPr>
        <w:pStyle w:val="ListParagraph"/>
        <w:numPr>
          <w:ilvl w:val="1"/>
          <w:numId w:val="17"/>
        </w:numPr>
        <w:rPr>
          <w:rFonts w:ascii="Arial" w:hAnsi="Arial" w:cs="Arial"/>
        </w:rPr>
      </w:pPr>
      <w:r w:rsidRPr="00A2388E">
        <w:rPr>
          <w:rFonts w:ascii="Arial" w:hAnsi="Arial" w:cs="Arial"/>
        </w:rPr>
        <w:t>the requirement in the share of supply test to increase the share of supply</w:t>
      </w:r>
      <w:r>
        <w:rPr>
          <w:rFonts w:ascii="Arial" w:hAnsi="Arial" w:cs="Arial"/>
        </w:rPr>
        <w:t xml:space="preserve"> was removed.</w:t>
      </w:r>
    </w:p>
    <w:p w14:paraId="6174ED10" w14:textId="77777777" w:rsidR="00523066" w:rsidRPr="00A2388E" w:rsidRDefault="00523066" w:rsidP="00523066">
      <w:pPr>
        <w:pStyle w:val="ListParagraph"/>
        <w:ind w:left="1440"/>
        <w:rPr>
          <w:rFonts w:ascii="Arial" w:hAnsi="Arial" w:cs="Arial"/>
        </w:rPr>
      </w:pPr>
    </w:p>
    <w:p w14:paraId="5DB75C19" w14:textId="77777777" w:rsidR="00523066" w:rsidRDefault="00523066" w:rsidP="00523066">
      <w:pPr>
        <w:pStyle w:val="ListParagraph"/>
        <w:numPr>
          <w:ilvl w:val="0"/>
          <w:numId w:val="17"/>
        </w:numPr>
        <w:rPr>
          <w:rFonts w:ascii="Arial" w:hAnsi="Arial" w:cs="Arial"/>
        </w:rPr>
      </w:pPr>
      <w:r w:rsidRPr="00354321">
        <w:rPr>
          <w:rFonts w:ascii="Arial" w:hAnsi="Arial" w:cs="Arial"/>
        </w:rPr>
        <w:t xml:space="preserve">In 2020, </w:t>
      </w:r>
      <w:r>
        <w:rPr>
          <w:rFonts w:ascii="Arial" w:hAnsi="Arial" w:cs="Arial"/>
        </w:rPr>
        <w:t>t</w:t>
      </w:r>
      <w:r w:rsidRPr="008E51C9">
        <w:rPr>
          <w:rFonts w:ascii="Arial" w:hAnsi="Arial" w:cs="Arial"/>
        </w:rPr>
        <w:t xml:space="preserve">he Enterprise Act 2002 (Share of Supply Test) </w:t>
      </w:r>
      <w:r>
        <w:rPr>
          <w:rFonts w:ascii="Arial" w:hAnsi="Arial" w:cs="Arial"/>
        </w:rPr>
        <w:t xml:space="preserve">(Amendment) </w:t>
      </w:r>
      <w:r w:rsidRPr="008E51C9">
        <w:rPr>
          <w:rFonts w:ascii="Arial" w:hAnsi="Arial" w:cs="Arial"/>
        </w:rPr>
        <w:t>Order 20</w:t>
      </w:r>
      <w:r>
        <w:rPr>
          <w:rFonts w:ascii="Arial" w:hAnsi="Arial" w:cs="Arial"/>
        </w:rPr>
        <w:t>20</w:t>
      </w:r>
      <w:r w:rsidRPr="008E51C9">
        <w:rPr>
          <w:rFonts w:ascii="Arial" w:hAnsi="Arial" w:cs="Arial"/>
        </w:rPr>
        <w:t xml:space="preserve"> </w:t>
      </w:r>
      <w:r>
        <w:rPr>
          <w:rFonts w:ascii="Arial" w:hAnsi="Arial" w:cs="Arial"/>
        </w:rPr>
        <w:t xml:space="preserve">and the Enterprise Act 2002 (Turnover </w:t>
      </w:r>
      <w:r w:rsidRPr="008E51C9">
        <w:rPr>
          <w:rFonts w:ascii="Arial" w:hAnsi="Arial" w:cs="Arial"/>
        </w:rPr>
        <w:t xml:space="preserve">Test) </w:t>
      </w:r>
      <w:r>
        <w:rPr>
          <w:rFonts w:ascii="Arial" w:hAnsi="Arial" w:cs="Arial"/>
        </w:rPr>
        <w:t xml:space="preserve">(Amendment) Order 2020 were </w:t>
      </w:r>
      <w:r w:rsidRPr="00354321">
        <w:rPr>
          <w:rFonts w:ascii="Arial" w:hAnsi="Arial" w:cs="Arial"/>
        </w:rPr>
        <w:t xml:space="preserve">made to add three more categories </w:t>
      </w:r>
      <w:r>
        <w:rPr>
          <w:rFonts w:ascii="Arial" w:hAnsi="Arial" w:cs="Arial"/>
        </w:rPr>
        <w:t>of enterprises, to which the lower share of supply and turnover thresholds applies. The three categories are: artificial intelligence, advanced materials and cryptographic authentication.</w:t>
      </w:r>
    </w:p>
    <w:p w14:paraId="5E550A64" w14:textId="77777777" w:rsidR="00523066" w:rsidRDefault="00523066" w:rsidP="00523066">
      <w:pPr>
        <w:pStyle w:val="ListParagraph"/>
        <w:rPr>
          <w:rFonts w:ascii="Arial" w:hAnsi="Arial" w:cs="Arial"/>
        </w:rPr>
      </w:pPr>
    </w:p>
    <w:p w14:paraId="7F7C79F6" w14:textId="77777777" w:rsidR="00523066" w:rsidRDefault="00523066" w:rsidP="00523066">
      <w:pPr>
        <w:pStyle w:val="ListParagraph"/>
        <w:numPr>
          <w:ilvl w:val="0"/>
          <w:numId w:val="17"/>
        </w:numPr>
        <w:rPr>
          <w:rFonts w:ascii="Arial" w:hAnsi="Arial" w:cs="Arial"/>
        </w:rPr>
      </w:pPr>
      <w:r w:rsidRPr="00690B58">
        <w:rPr>
          <w:rFonts w:ascii="Arial" w:hAnsi="Arial" w:cs="Arial"/>
        </w:rPr>
        <w:t xml:space="preserve">The Orders do not require any business to take any direct action. The UK operates a voluntary notification mergers system, both for competition and public interest, including national security considerations. The changes made </w:t>
      </w:r>
      <w:r w:rsidRPr="00690B58">
        <w:rPr>
          <w:rFonts w:ascii="Arial" w:hAnsi="Arial" w:cs="Arial"/>
        </w:rPr>
        <w:lastRenderedPageBreak/>
        <w:t>by the Orders will also only relate to mergers that take place after they come into force.</w:t>
      </w:r>
    </w:p>
    <w:p w14:paraId="655FD830" w14:textId="77777777" w:rsidR="00523066" w:rsidRPr="00273651" w:rsidRDefault="00523066" w:rsidP="00523066">
      <w:pPr>
        <w:pStyle w:val="ListParagraph"/>
        <w:rPr>
          <w:rFonts w:ascii="Arial" w:hAnsi="Arial" w:cs="Arial"/>
        </w:rPr>
      </w:pPr>
    </w:p>
    <w:p w14:paraId="28F5932A" w14:textId="77777777" w:rsidR="00523066" w:rsidRPr="00690B58" w:rsidRDefault="00523066" w:rsidP="00523066">
      <w:pPr>
        <w:pStyle w:val="ListParagraph"/>
        <w:rPr>
          <w:rFonts w:ascii="Arial" w:hAnsi="Arial" w:cs="Arial"/>
        </w:rPr>
      </w:pPr>
    </w:p>
    <w:p w14:paraId="701B710C" w14:textId="77777777" w:rsidR="00523066" w:rsidRPr="00906675" w:rsidRDefault="00523066" w:rsidP="00523066">
      <w:pPr>
        <w:pStyle w:val="Heading1"/>
        <w:spacing w:before="0"/>
        <w:rPr>
          <w:rFonts w:ascii="Arial" w:hAnsi="Arial" w:cs="Arial"/>
          <w:b w:val="0"/>
          <w:bCs w:val="0"/>
          <w:color w:val="1F497D"/>
          <w:sz w:val="50"/>
          <w:szCs w:val="50"/>
        </w:rPr>
      </w:pPr>
      <w:bookmarkStart w:id="6" w:name="_Toc508611546"/>
      <w:bookmarkStart w:id="7" w:name="_Toc44065804"/>
      <w:r w:rsidRPr="00906675">
        <w:rPr>
          <w:rFonts w:ascii="Arial" w:hAnsi="Arial" w:cs="Arial"/>
          <w:color w:val="1F497D"/>
          <w:sz w:val="50"/>
          <w:szCs w:val="50"/>
        </w:rPr>
        <w:t xml:space="preserve">Chapter 1: </w:t>
      </w:r>
      <w:r>
        <w:rPr>
          <w:rFonts w:ascii="Arial" w:hAnsi="Arial" w:cs="Arial"/>
          <w:color w:val="1F497D"/>
          <w:sz w:val="50"/>
          <w:szCs w:val="50"/>
        </w:rPr>
        <w:t>Changes to</w:t>
      </w:r>
      <w:r w:rsidRPr="00906675">
        <w:rPr>
          <w:rFonts w:ascii="Arial" w:hAnsi="Arial" w:cs="Arial"/>
          <w:color w:val="1F497D"/>
          <w:sz w:val="50"/>
          <w:szCs w:val="50"/>
        </w:rPr>
        <w:t xml:space="preserve"> Government </w:t>
      </w:r>
      <w:r>
        <w:rPr>
          <w:rFonts w:ascii="Arial" w:hAnsi="Arial" w:cs="Arial"/>
          <w:color w:val="1F497D"/>
          <w:sz w:val="50"/>
          <w:szCs w:val="50"/>
        </w:rPr>
        <w:t>intervention</w:t>
      </w:r>
      <w:r w:rsidRPr="00906675">
        <w:rPr>
          <w:rFonts w:ascii="Arial" w:hAnsi="Arial" w:cs="Arial"/>
          <w:color w:val="1F497D"/>
          <w:sz w:val="50"/>
          <w:szCs w:val="50"/>
        </w:rPr>
        <w:t xml:space="preserve"> in mergers</w:t>
      </w:r>
      <w:bookmarkEnd w:id="6"/>
      <w:bookmarkEnd w:id="7"/>
    </w:p>
    <w:p w14:paraId="67CCBB70" w14:textId="77777777" w:rsidR="00523066" w:rsidRPr="008E51C9" w:rsidRDefault="00523066" w:rsidP="00523066">
      <w:pPr>
        <w:rPr>
          <w:rFonts w:ascii="Arial" w:hAnsi="Arial" w:cs="Arial"/>
        </w:rPr>
      </w:pPr>
    </w:p>
    <w:p w14:paraId="343FAF0D" w14:textId="6A87A0DF" w:rsidR="00523066" w:rsidRPr="008E51C9" w:rsidRDefault="00592723" w:rsidP="00523066">
      <w:pPr>
        <w:rPr>
          <w:rFonts w:ascii="Arial" w:hAnsi="Arial" w:cs="Arial"/>
        </w:rPr>
      </w:pPr>
      <w:r>
        <w:pict w14:anchorId="65864165">
          <v:shapetype id="_x0000_t202" coordsize="21600,21600" o:spt="202" path="m,l,21600r21600,l21600,xe">
            <v:stroke joinstyle="miter"/>
            <v:path gradientshapeok="t" o:connecttype="rect"/>
          </v:shapetype>
          <v:shape id="Text Box 3" o:spid="_x0000_s1046" type="#_x0000_t202" style="width:460.8pt;height:206.3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48D1D571" w14:textId="77777777" w:rsidR="00523066" w:rsidRDefault="00523066" w:rsidP="00523066">
                  <w:pPr>
                    <w:pStyle w:val="Heading2"/>
                    <w:spacing w:before="0"/>
                    <w:rPr>
                      <w:rFonts w:ascii="Arial" w:hAnsi="Arial" w:cs="Arial"/>
                      <w:color w:val="auto"/>
                      <w:sz w:val="24"/>
                      <w:szCs w:val="24"/>
                    </w:rPr>
                  </w:pPr>
                  <w:r w:rsidRPr="001B6A55">
                    <w:rPr>
                      <w:rFonts w:ascii="Arial" w:hAnsi="Arial" w:cs="Arial"/>
                      <w:color w:val="1F497D"/>
                      <w:sz w:val="24"/>
                      <w:szCs w:val="24"/>
                    </w:rPr>
                    <w:t>Summary</w:t>
                  </w:r>
                  <w:r>
                    <w:rPr>
                      <w:rFonts w:ascii="Arial" w:hAnsi="Arial" w:cs="Arial"/>
                      <w:color w:val="auto"/>
                      <w:sz w:val="24"/>
                      <w:szCs w:val="24"/>
                    </w:rPr>
                    <w:t xml:space="preserve"> </w:t>
                  </w:r>
                </w:p>
                <w:p w14:paraId="34F62D7D" w14:textId="77777777" w:rsidR="00523066" w:rsidRPr="0050718F" w:rsidRDefault="00523066" w:rsidP="00523066"/>
                <w:p w14:paraId="633BDB4A" w14:textId="77777777" w:rsidR="00523066" w:rsidRDefault="00523066" w:rsidP="00523066">
                  <w:pPr>
                    <w:rPr>
                      <w:rFonts w:ascii="Arial" w:hAnsi="Arial" w:cs="Arial"/>
                    </w:rPr>
                  </w:pPr>
                  <w:r>
                    <w:rPr>
                      <w:rFonts w:ascii="Arial" w:hAnsi="Arial" w:cs="Arial"/>
                    </w:rPr>
                    <w:t>U</w:t>
                  </w:r>
                  <w:r w:rsidRPr="009068BA">
                    <w:rPr>
                      <w:rFonts w:ascii="Arial" w:hAnsi="Arial" w:cs="Arial"/>
                    </w:rPr>
                    <w:t>nder the Enterprise Act 2002, the Government can only intervene in limited circumstances:</w:t>
                  </w:r>
                </w:p>
                <w:p w14:paraId="0A589FA5" w14:textId="77777777" w:rsidR="00523066" w:rsidRDefault="00523066" w:rsidP="00523066">
                  <w:pPr>
                    <w:pStyle w:val="ListParagraph"/>
                    <w:numPr>
                      <w:ilvl w:val="0"/>
                      <w:numId w:val="5"/>
                    </w:numPr>
                    <w:rPr>
                      <w:rFonts w:ascii="Arial" w:hAnsi="Arial" w:cs="Arial"/>
                    </w:rPr>
                  </w:pPr>
                  <w:r w:rsidRPr="009068BA">
                    <w:rPr>
                      <w:rFonts w:ascii="Arial" w:hAnsi="Arial" w:cs="Arial"/>
                    </w:rPr>
                    <w:t>when a transaction constitute</w:t>
                  </w:r>
                  <w:r>
                    <w:rPr>
                      <w:rFonts w:ascii="Arial" w:hAnsi="Arial" w:cs="Arial"/>
                    </w:rPr>
                    <w:t>s a “relevant merger situation”, i.e.:</w:t>
                  </w:r>
                </w:p>
                <w:p w14:paraId="04F136CA" w14:textId="77777777" w:rsidR="00523066" w:rsidRPr="009068BA" w:rsidRDefault="00523066" w:rsidP="00523066">
                  <w:pPr>
                    <w:pStyle w:val="ListParagraph"/>
                    <w:numPr>
                      <w:ilvl w:val="1"/>
                      <w:numId w:val="5"/>
                    </w:numPr>
                    <w:rPr>
                      <w:rFonts w:ascii="Arial" w:hAnsi="Arial" w:cs="Arial"/>
                    </w:rPr>
                  </w:pPr>
                  <w:r>
                    <w:rPr>
                      <w:rFonts w:ascii="Arial" w:hAnsi="Arial" w:cs="Arial"/>
                    </w:rPr>
                    <w:t xml:space="preserve">it involves </w:t>
                  </w:r>
                  <w:r w:rsidRPr="009068BA">
                    <w:rPr>
                      <w:rFonts w:ascii="Arial" w:hAnsi="Arial" w:cs="Arial"/>
                    </w:rPr>
                    <w:t>two</w:t>
                  </w:r>
                  <w:r>
                    <w:rPr>
                      <w:rFonts w:ascii="Arial" w:hAnsi="Arial" w:cs="Arial"/>
                    </w:rPr>
                    <w:t xml:space="preserve"> or more</w:t>
                  </w:r>
                  <w:r w:rsidRPr="009068BA">
                    <w:rPr>
                      <w:rFonts w:ascii="Arial" w:hAnsi="Arial" w:cs="Arial"/>
                    </w:rPr>
                    <w:t xml:space="preserve"> enterprises ceas</w:t>
                  </w:r>
                  <w:r>
                    <w:rPr>
                      <w:rFonts w:ascii="Arial" w:hAnsi="Arial" w:cs="Arial"/>
                    </w:rPr>
                    <w:t>ing</w:t>
                  </w:r>
                  <w:r w:rsidRPr="009068BA">
                    <w:rPr>
                      <w:rFonts w:ascii="Arial" w:hAnsi="Arial" w:cs="Arial"/>
                    </w:rPr>
                    <w:t xml:space="preserve"> to be distinct; and</w:t>
                  </w:r>
                </w:p>
                <w:p w14:paraId="34CF9F8D" w14:textId="77777777" w:rsidR="00523066" w:rsidRPr="009068BA" w:rsidRDefault="00523066" w:rsidP="00523066">
                  <w:pPr>
                    <w:pStyle w:val="ListParagraph"/>
                    <w:numPr>
                      <w:ilvl w:val="1"/>
                      <w:numId w:val="5"/>
                    </w:numPr>
                    <w:rPr>
                      <w:rFonts w:ascii="Arial" w:hAnsi="Arial" w:cs="Arial"/>
                    </w:rPr>
                  </w:pPr>
                  <w:r w:rsidRPr="009068BA">
                    <w:rPr>
                      <w:rFonts w:ascii="Arial" w:hAnsi="Arial" w:cs="Arial"/>
                    </w:rPr>
                    <w:t xml:space="preserve">the merger meets tests related to </w:t>
                  </w:r>
                  <w:r>
                    <w:rPr>
                      <w:rFonts w:ascii="Arial" w:hAnsi="Arial" w:cs="Arial"/>
                    </w:rPr>
                    <w:t xml:space="preserve">specific </w:t>
                  </w:r>
                  <w:r w:rsidRPr="009068BA">
                    <w:rPr>
                      <w:rFonts w:ascii="Arial" w:hAnsi="Arial" w:cs="Arial"/>
                    </w:rPr>
                    <w:t>turnover and/or share of supply; and</w:t>
                  </w:r>
                </w:p>
                <w:p w14:paraId="1C28B898" w14:textId="77777777" w:rsidR="00523066" w:rsidRPr="00057AB9" w:rsidRDefault="00523066" w:rsidP="00523066">
                  <w:pPr>
                    <w:pStyle w:val="ListParagraph"/>
                    <w:numPr>
                      <w:ilvl w:val="0"/>
                      <w:numId w:val="5"/>
                    </w:numPr>
                    <w:rPr>
                      <w:rFonts w:ascii="Arial" w:hAnsi="Arial" w:cs="Arial"/>
                    </w:rPr>
                  </w:pPr>
                  <w:r w:rsidRPr="0050718F">
                    <w:rPr>
                      <w:rFonts w:ascii="Arial" w:hAnsi="Arial" w:cs="Arial"/>
                    </w:rPr>
                    <w:t xml:space="preserve">when the merger raises at least one of </w:t>
                  </w:r>
                  <w:r>
                    <w:rPr>
                      <w:rFonts w:ascii="Arial" w:hAnsi="Arial" w:cs="Arial"/>
                    </w:rPr>
                    <w:t>four</w:t>
                  </w:r>
                  <w:r w:rsidRPr="0050718F">
                    <w:rPr>
                      <w:rFonts w:ascii="Arial" w:hAnsi="Arial" w:cs="Arial"/>
                    </w:rPr>
                    <w:t xml:space="preserve"> specific public interest issues – national security, financial stability, media plurality</w:t>
                  </w:r>
                  <w:r>
                    <w:rPr>
                      <w:rFonts w:ascii="Arial" w:hAnsi="Arial" w:cs="Arial"/>
                    </w:rPr>
                    <w:t>, or to combat a public health emergency</w:t>
                  </w:r>
                  <w:r w:rsidRPr="0050718F">
                    <w:rPr>
                      <w:rFonts w:ascii="Arial" w:hAnsi="Arial" w:cs="Arial"/>
                    </w:rPr>
                    <w:t xml:space="preserve">. </w:t>
                  </w:r>
                </w:p>
                <w:p w14:paraId="613E66EC" w14:textId="77777777" w:rsidR="00523066" w:rsidRDefault="00523066" w:rsidP="00523066"/>
                <w:p w14:paraId="31FF656B" w14:textId="77777777" w:rsidR="00523066" w:rsidRPr="008F1A4B" w:rsidRDefault="00523066" w:rsidP="00523066">
                  <w:pPr>
                    <w:rPr>
                      <w:rFonts w:ascii="Arial" w:hAnsi="Arial" w:cs="Arial"/>
                    </w:rPr>
                  </w:pPr>
                  <w:r w:rsidRPr="008F1A4B">
                    <w:rPr>
                      <w:rFonts w:ascii="Arial" w:hAnsi="Arial" w:cs="Arial"/>
                    </w:rPr>
                    <w:t xml:space="preserve">The </w:t>
                  </w:r>
                  <w:r>
                    <w:rPr>
                      <w:rFonts w:ascii="Arial" w:hAnsi="Arial" w:cs="Arial"/>
                    </w:rPr>
                    <w:t xml:space="preserve">only exception to the above is in relation to the limited circumstances prescribed by the Special Public Interest Regime. </w:t>
                  </w:r>
                </w:p>
              </w:txbxContent>
            </v:textbox>
            <w10:anchorlock/>
          </v:shape>
        </w:pict>
      </w:r>
    </w:p>
    <w:p w14:paraId="0A2B46C4" w14:textId="77777777" w:rsidR="00523066" w:rsidRPr="008E51C9" w:rsidRDefault="00523066" w:rsidP="00523066">
      <w:pPr>
        <w:rPr>
          <w:rFonts w:ascii="Arial" w:hAnsi="Arial" w:cs="Arial"/>
        </w:rPr>
      </w:pPr>
    </w:p>
    <w:p w14:paraId="394673CB"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Introduction</w:t>
      </w:r>
    </w:p>
    <w:p w14:paraId="5ED4FB20" w14:textId="77777777" w:rsidR="00523066" w:rsidRPr="008E51C9" w:rsidRDefault="00523066" w:rsidP="00523066">
      <w:pPr>
        <w:pStyle w:val="ListParagraph"/>
        <w:numPr>
          <w:ilvl w:val="1"/>
          <w:numId w:val="8"/>
        </w:numPr>
        <w:ind w:left="709" w:hanging="851"/>
        <w:rPr>
          <w:rFonts w:ascii="Arial" w:hAnsi="Arial" w:cs="Arial"/>
        </w:rPr>
      </w:pPr>
      <w:r w:rsidRPr="008E51C9">
        <w:rPr>
          <w:rFonts w:ascii="Arial" w:hAnsi="Arial" w:cs="Arial"/>
        </w:rPr>
        <w:t>The tests for when and how Government can intervene in mergers are set out in the Enterprise Act 2002. As the Act’s explanatory notes</w:t>
      </w:r>
      <w:r w:rsidRPr="008E51C9">
        <w:rPr>
          <w:rStyle w:val="FootnoteReference"/>
          <w:rFonts w:ascii="Arial" w:hAnsi="Arial" w:cs="Arial"/>
        </w:rPr>
        <w:footnoteReference w:id="4"/>
      </w:r>
      <w:r w:rsidRPr="008E51C9">
        <w:rPr>
          <w:rFonts w:ascii="Arial" w:hAnsi="Arial" w:cs="Arial"/>
        </w:rPr>
        <w:t xml:space="preserve"> described, a key change introduced by </w:t>
      </w:r>
      <w:r>
        <w:rPr>
          <w:rFonts w:ascii="Arial" w:hAnsi="Arial" w:cs="Arial"/>
        </w:rPr>
        <w:t xml:space="preserve">the </w:t>
      </w:r>
      <w:r w:rsidRPr="008E51C9">
        <w:rPr>
          <w:rFonts w:ascii="Arial" w:hAnsi="Arial" w:cs="Arial"/>
        </w:rPr>
        <w:t>Act was to provide that “</w:t>
      </w:r>
      <w:r>
        <w:rPr>
          <w:rFonts w:ascii="Arial" w:hAnsi="Arial" w:cs="Arial"/>
        </w:rPr>
        <w:t xml:space="preserve">final decisions on most mergers are </w:t>
      </w:r>
      <w:r w:rsidRPr="008E51C9">
        <w:rPr>
          <w:rFonts w:ascii="Arial" w:hAnsi="Arial" w:cs="Arial"/>
        </w:rPr>
        <w:t>to be taken by independent competition-focused authorities</w:t>
      </w:r>
      <w:r w:rsidRPr="008E51C9">
        <w:rPr>
          <w:rStyle w:val="FootnoteReference"/>
          <w:rFonts w:ascii="Arial" w:hAnsi="Arial" w:cs="Arial"/>
        </w:rPr>
        <w:footnoteReference w:id="5"/>
      </w:r>
      <w:r w:rsidRPr="008E51C9">
        <w:rPr>
          <w:rFonts w:ascii="Arial" w:hAnsi="Arial" w:cs="Arial"/>
        </w:rPr>
        <w:t xml:space="preserve"> rather than by the Secretary of State”. </w:t>
      </w:r>
    </w:p>
    <w:p w14:paraId="2BB2E64C" w14:textId="77777777" w:rsidR="00523066" w:rsidRPr="008E51C9" w:rsidRDefault="00523066" w:rsidP="00523066">
      <w:pPr>
        <w:pStyle w:val="ListParagraph"/>
        <w:rPr>
          <w:rFonts w:ascii="Arial" w:hAnsi="Arial" w:cs="Arial"/>
        </w:rPr>
      </w:pPr>
    </w:p>
    <w:p w14:paraId="0939CC20" w14:textId="77777777" w:rsidR="00523066" w:rsidRPr="008E51C9" w:rsidRDefault="00523066" w:rsidP="00523066">
      <w:pPr>
        <w:pStyle w:val="ListParagraph"/>
        <w:numPr>
          <w:ilvl w:val="1"/>
          <w:numId w:val="8"/>
        </w:numPr>
        <w:ind w:left="709" w:hanging="851"/>
        <w:rPr>
          <w:rFonts w:ascii="Arial" w:hAnsi="Arial" w:cs="Arial"/>
        </w:rPr>
      </w:pPr>
      <w:r w:rsidRPr="008E51C9">
        <w:rPr>
          <w:rFonts w:ascii="Arial" w:hAnsi="Arial" w:cs="Arial"/>
        </w:rPr>
        <w:t xml:space="preserve">As a result, the Act deliberately limited </w:t>
      </w:r>
      <w:r>
        <w:rPr>
          <w:rFonts w:ascii="Arial" w:hAnsi="Arial" w:cs="Arial"/>
        </w:rPr>
        <w:t>the Secretary of State’s</w:t>
      </w:r>
      <w:r w:rsidRPr="008E51C9">
        <w:rPr>
          <w:rFonts w:ascii="Arial" w:hAnsi="Arial" w:cs="Arial"/>
        </w:rPr>
        <w:t xml:space="preserve"> ability to intervene in mergers to cases where they raised “public interest considerations”. </w:t>
      </w:r>
      <w:r>
        <w:rPr>
          <w:rFonts w:ascii="Arial" w:hAnsi="Arial" w:cs="Arial"/>
        </w:rPr>
        <w:t>The Act ensured</w:t>
      </w:r>
      <w:r w:rsidRPr="008E51C9">
        <w:rPr>
          <w:rFonts w:ascii="Arial" w:hAnsi="Arial" w:cs="Arial"/>
        </w:rPr>
        <w:t xml:space="preserve"> that </w:t>
      </w:r>
      <w:r>
        <w:rPr>
          <w:rFonts w:ascii="Arial" w:hAnsi="Arial" w:cs="Arial"/>
        </w:rPr>
        <w:t>the Secretary of State</w:t>
      </w:r>
      <w:r w:rsidRPr="008E51C9">
        <w:rPr>
          <w:rFonts w:ascii="Arial" w:hAnsi="Arial" w:cs="Arial"/>
        </w:rPr>
        <w:t xml:space="preserve"> could only intervene in mergers that met certain turnover and/or share of supply te</w:t>
      </w:r>
      <w:r>
        <w:rPr>
          <w:rFonts w:ascii="Arial" w:hAnsi="Arial" w:cs="Arial"/>
        </w:rPr>
        <w:t>sts</w:t>
      </w:r>
      <w:r>
        <w:rPr>
          <w:rStyle w:val="FootnoteReference"/>
          <w:rFonts w:ascii="Arial" w:hAnsi="Arial" w:cs="Arial"/>
        </w:rPr>
        <w:footnoteReference w:id="6"/>
      </w:r>
      <w:r>
        <w:rPr>
          <w:rFonts w:ascii="Arial" w:hAnsi="Arial" w:cs="Arial"/>
        </w:rPr>
        <w:t xml:space="preserve">. These same thresholds </w:t>
      </w:r>
      <w:r w:rsidRPr="008E51C9">
        <w:rPr>
          <w:rFonts w:ascii="Arial" w:hAnsi="Arial" w:cs="Arial"/>
        </w:rPr>
        <w:t xml:space="preserve">permit the competition authorities to intervene in order to prevent a </w:t>
      </w:r>
      <w:r>
        <w:rPr>
          <w:rFonts w:ascii="Arial" w:hAnsi="Arial" w:cs="Arial"/>
        </w:rPr>
        <w:t>merger</w:t>
      </w:r>
      <w:r w:rsidRPr="008E51C9">
        <w:rPr>
          <w:rFonts w:ascii="Arial" w:hAnsi="Arial" w:cs="Arial"/>
        </w:rPr>
        <w:t xml:space="preserve"> from substantially lessening competition</w:t>
      </w:r>
      <w:r>
        <w:rPr>
          <w:rFonts w:ascii="Arial" w:hAnsi="Arial" w:cs="Arial"/>
        </w:rPr>
        <w:t>.</w:t>
      </w:r>
    </w:p>
    <w:p w14:paraId="0958AB4A" w14:textId="77777777" w:rsidR="00523066" w:rsidRPr="008E51C9" w:rsidRDefault="00523066" w:rsidP="00523066">
      <w:pPr>
        <w:pStyle w:val="ListParagraph"/>
        <w:rPr>
          <w:rFonts w:ascii="Arial" w:hAnsi="Arial" w:cs="Arial"/>
        </w:rPr>
      </w:pPr>
    </w:p>
    <w:p w14:paraId="29AFEA2F" w14:textId="77777777" w:rsidR="00523066" w:rsidRDefault="00523066" w:rsidP="00523066">
      <w:pPr>
        <w:pStyle w:val="ListParagraph"/>
        <w:numPr>
          <w:ilvl w:val="1"/>
          <w:numId w:val="8"/>
        </w:numPr>
        <w:ind w:left="709" w:hanging="851"/>
        <w:rPr>
          <w:rFonts w:ascii="Arial" w:hAnsi="Arial" w:cs="Arial"/>
        </w:rPr>
      </w:pPr>
      <w:r w:rsidRPr="004B2A2E">
        <w:rPr>
          <w:rFonts w:ascii="Arial" w:hAnsi="Arial" w:cs="Arial"/>
        </w:rPr>
        <w:t xml:space="preserve">As described in the next chapter, the Government concluded that the thresholds as set in 2002 </w:t>
      </w:r>
      <w:r>
        <w:rPr>
          <w:rFonts w:ascii="Arial" w:hAnsi="Arial" w:cs="Arial"/>
        </w:rPr>
        <w:t>were</w:t>
      </w:r>
      <w:r w:rsidRPr="004B2A2E">
        <w:rPr>
          <w:rFonts w:ascii="Arial" w:hAnsi="Arial" w:cs="Arial"/>
        </w:rPr>
        <w:t xml:space="preserve"> no longer working effectively as a threshold for intervention on national security grounds in certain areas of the economy. </w:t>
      </w:r>
      <w:r>
        <w:rPr>
          <w:rFonts w:ascii="Arial" w:hAnsi="Arial" w:cs="Arial"/>
        </w:rPr>
        <w:t xml:space="preserve">In </w:t>
      </w:r>
      <w:r>
        <w:rPr>
          <w:rFonts w:ascii="Arial" w:hAnsi="Arial" w:cs="Arial"/>
        </w:rPr>
        <w:lastRenderedPageBreak/>
        <w:t xml:space="preserve">2018, the Government amended the turnover threshold and share of supply jurisdictional tests within the Enterprise Act 2002 in three sectors of the economy: the military and dual-use technologies; quantum technology; and computing hardware. </w:t>
      </w:r>
    </w:p>
    <w:p w14:paraId="5CB7DEAB" w14:textId="77777777" w:rsidR="00523066" w:rsidRPr="00CC0495" w:rsidRDefault="00523066" w:rsidP="00523066">
      <w:pPr>
        <w:pStyle w:val="ListParagraph"/>
        <w:rPr>
          <w:rFonts w:ascii="Arial" w:hAnsi="Arial" w:cs="Arial"/>
        </w:rPr>
      </w:pPr>
    </w:p>
    <w:p w14:paraId="14E63EE9" w14:textId="77777777" w:rsidR="00523066" w:rsidRDefault="00523066" w:rsidP="00523066">
      <w:pPr>
        <w:pStyle w:val="ListParagraph"/>
        <w:ind w:left="709"/>
        <w:rPr>
          <w:rFonts w:ascii="Arial" w:hAnsi="Arial" w:cs="Arial"/>
        </w:rPr>
      </w:pPr>
    </w:p>
    <w:p w14:paraId="60081CA0" w14:textId="77777777" w:rsidR="00523066" w:rsidRPr="005B1DDB" w:rsidRDefault="00523066" w:rsidP="00523066">
      <w:pPr>
        <w:pStyle w:val="ListParagraph"/>
        <w:numPr>
          <w:ilvl w:val="1"/>
          <w:numId w:val="8"/>
        </w:numPr>
        <w:ind w:left="709" w:hanging="851"/>
        <w:rPr>
          <w:rFonts w:ascii="Arial" w:hAnsi="Arial" w:cs="Arial"/>
        </w:rPr>
      </w:pPr>
      <w:r>
        <w:rPr>
          <w:rFonts w:ascii="Arial" w:hAnsi="Arial" w:cs="Arial"/>
        </w:rPr>
        <w:t xml:space="preserve">The Government assessed the impact of pursuing further secondary legislation to amend the jurisdictional tests for mergers for additional areas of advanced technology against the risk of not taking any action. Following this assessment, the Government made further secondary legislation in relation to the following sectors: artificial intelligence (AI); cryptographic authentication; and advanced materials. </w:t>
      </w:r>
      <w:r w:rsidRPr="004B2A2E">
        <w:rPr>
          <w:rFonts w:ascii="Arial" w:hAnsi="Arial" w:cs="Arial"/>
        </w:rPr>
        <w:t>Chapter 3 and 4 respectively describe in more detail the areas of the economy</w:t>
      </w:r>
      <w:r>
        <w:rPr>
          <w:rFonts w:ascii="Arial" w:hAnsi="Arial" w:cs="Arial"/>
        </w:rPr>
        <w:t xml:space="preserve"> concerned</w:t>
      </w:r>
      <w:r w:rsidRPr="004B2A2E">
        <w:rPr>
          <w:rFonts w:ascii="Arial" w:hAnsi="Arial" w:cs="Arial"/>
        </w:rPr>
        <w:t xml:space="preserve"> and the amendments to </w:t>
      </w:r>
      <w:r>
        <w:rPr>
          <w:rFonts w:ascii="Arial" w:hAnsi="Arial" w:cs="Arial"/>
        </w:rPr>
        <w:t>the thresholds for intervention.</w:t>
      </w:r>
    </w:p>
    <w:p w14:paraId="323F17DE" w14:textId="77777777" w:rsidR="00523066" w:rsidRDefault="00523066" w:rsidP="00523066">
      <w:pPr>
        <w:pStyle w:val="ListParagraph"/>
        <w:ind w:left="709"/>
        <w:rPr>
          <w:rFonts w:ascii="Arial" w:hAnsi="Arial" w:cs="Arial"/>
        </w:rPr>
      </w:pPr>
    </w:p>
    <w:p w14:paraId="39836F26"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The tests set out in the Enterprise Act 2002</w:t>
      </w:r>
    </w:p>
    <w:p w14:paraId="024BD3EF" w14:textId="77777777" w:rsidR="00523066" w:rsidRPr="008E51C9" w:rsidRDefault="00523066" w:rsidP="00523066">
      <w:pPr>
        <w:pStyle w:val="ListParagraph"/>
        <w:numPr>
          <w:ilvl w:val="1"/>
          <w:numId w:val="8"/>
        </w:numPr>
        <w:ind w:left="709" w:hanging="851"/>
        <w:rPr>
          <w:rFonts w:ascii="Arial" w:hAnsi="Arial" w:cs="Arial"/>
        </w:rPr>
      </w:pPr>
      <w:r w:rsidRPr="008E51C9">
        <w:rPr>
          <w:rFonts w:ascii="Arial" w:hAnsi="Arial" w:cs="Arial"/>
        </w:rPr>
        <w:t>Under the Enterprise Act 2002, there are a number of steps that must be met before the Government</w:t>
      </w:r>
      <w:r>
        <w:rPr>
          <w:rStyle w:val="FootnoteReference"/>
          <w:rFonts w:ascii="Arial" w:hAnsi="Arial" w:cs="Arial"/>
        </w:rPr>
        <w:footnoteReference w:id="7"/>
      </w:r>
      <w:r>
        <w:rPr>
          <w:rFonts w:ascii="Arial" w:hAnsi="Arial" w:cs="Arial"/>
        </w:rPr>
        <w:t xml:space="preserve"> </w:t>
      </w:r>
      <w:r w:rsidRPr="008E51C9">
        <w:rPr>
          <w:rFonts w:ascii="Arial" w:hAnsi="Arial" w:cs="Arial"/>
        </w:rPr>
        <w:t>can intervene:</w:t>
      </w:r>
    </w:p>
    <w:p w14:paraId="320E241C" w14:textId="77777777" w:rsidR="00523066" w:rsidRPr="008E51C9" w:rsidRDefault="00523066" w:rsidP="00523066">
      <w:pPr>
        <w:pStyle w:val="ListParagraph"/>
        <w:numPr>
          <w:ilvl w:val="1"/>
          <w:numId w:val="2"/>
        </w:numPr>
        <w:rPr>
          <w:rFonts w:ascii="Arial" w:hAnsi="Arial" w:cs="Arial"/>
        </w:rPr>
      </w:pPr>
      <w:r w:rsidRPr="008E51C9">
        <w:rPr>
          <w:rFonts w:ascii="Arial" w:hAnsi="Arial" w:cs="Arial"/>
        </w:rPr>
        <w:t xml:space="preserve">there must be a </w:t>
      </w:r>
      <w:r>
        <w:rPr>
          <w:rFonts w:ascii="Arial" w:hAnsi="Arial" w:cs="Arial"/>
        </w:rPr>
        <w:t xml:space="preserve">relevant </w:t>
      </w:r>
      <w:r w:rsidRPr="008E51C9">
        <w:rPr>
          <w:rFonts w:ascii="Arial" w:hAnsi="Arial" w:cs="Arial"/>
        </w:rPr>
        <w:t>merger</w:t>
      </w:r>
      <w:r>
        <w:rPr>
          <w:rFonts w:ascii="Arial" w:hAnsi="Arial" w:cs="Arial"/>
        </w:rPr>
        <w:t xml:space="preserve"> situation; and </w:t>
      </w:r>
    </w:p>
    <w:p w14:paraId="638C070F" w14:textId="77777777" w:rsidR="00523066" w:rsidRDefault="00523066" w:rsidP="00523066">
      <w:pPr>
        <w:pStyle w:val="ListParagraph"/>
        <w:numPr>
          <w:ilvl w:val="1"/>
          <w:numId w:val="2"/>
        </w:numPr>
        <w:rPr>
          <w:rFonts w:ascii="Arial" w:hAnsi="Arial" w:cs="Arial"/>
        </w:rPr>
      </w:pPr>
      <w:r w:rsidRPr="008E51C9">
        <w:rPr>
          <w:rFonts w:ascii="Arial" w:hAnsi="Arial" w:cs="Arial"/>
        </w:rPr>
        <w:t>the intervention can only be on ‘public interest</w:t>
      </w:r>
      <w:r>
        <w:rPr>
          <w:rFonts w:ascii="Arial" w:hAnsi="Arial" w:cs="Arial"/>
        </w:rPr>
        <w:t>’ grounds as described in Section 58 of the Act.</w:t>
      </w:r>
    </w:p>
    <w:p w14:paraId="0DF7C6D5" w14:textId="77777777" w:rsidR="00523066" w:rsidRDefault="00523066" w:rsidP="00523066">
      <w:pPr>
        <w:pStyle w:val="ListParagraph"/>
        <w:ind w:left="1440"/>
        <w:rPr>
          <w:rFonts w:ascii="Arial" w:hAnsi="Arial" w:cs="Arial"/>
        </w:rPr>
      </w:pPr>
    </w:p>
    <w:p w14:paraId="7593A0EF" w14:textId="77777777" w:rsidR="00523066" w:rsidRPr="00BB5170" w:rsidRDefault="00523066" w:rsidP="00523066">
      <w:pPr>
        <w:pStyle w:val="ListParagraph"/>
        <w:numPr>
          <w:ilvl w:val="1"/>
          <w:numId w:val="8"/>
        </w:numPr>
        <w:ind w:left="709" w:hanging="851"/>
        <w:rPr>
          <w:rFonts w:ascii="Arial" w:hAnsi="Arial" w:cs="Arial"/>
        </w:rPr>
      </w:pPr>
      <w:r>
        <w:rPr>
          <w:rFonts w:ascii="Arial" w:hAnsi="Arial" w:cs="Arial"/>
        </w:rPr>
        <w:t xml:space="preserve">The </w:t>
      </w:r>
      <w:r w:rsidRPr="00BB5170">
        <w:rPr>
          <w:rFonts w:ascii="Arial" w:hAnsi="Arial" w:cs="Arial"/>
        </w:rPr>
        <w:t>Government can also intervene in a merger subject to the European Commission’s jurisdiction.</w:t>
      </w:r>
    </w:p>
    <w:p w14:paraId="3B91DC92" w14:textId="77777777" w:rsidR="00523066" w:rsidRDefault="00523066" w:rsidP="00523066"/>
    <w:p w14:paraId="65C7AEAB" w14:textId="77777777" w:rsidR="00523066" w:rsidRPr="001B6A55" w:rsidRDefault="00523066" w:rsidP="00523066">
      <w:pPr>
        <w:pStyle w:val="Heading3"/>
        <w:spacing w:before="0"/>
        <w:rPr>
          <w:rFonts w:ascii="Arial" w:hAnsi="Arial" w:cs="Arial"/>
          <w:i/>
          <w:color w:val="1F497D"/>
        </w:rPr>
      </w:pPr>
      <w:r w:rsidRPr="001B6A55">
        <w:rPr>
          <w:rFonts w:ascii="Arial" w:hAnsi="Arial" w:cs="Arial"/>
          <w:i/>
          <w:color w:val="1F497D"/>
        </w:rPr>
        <w:t xml:space="preserve">a) </w:t>
      </w:r>
      <w:r>
        <w:rPr>
          <w:rFonts w:ascii="Arial" w:hAnsi="Arial" w:cs="Arial"/>
          <w:i/>
          <w:color w:val="1F497D"/>
        </w:rPr>
        <w:t>a relevant merger situation</w:t>
      </w:r>
    </w:p>
    <w:p w14:paraId="3884C9F6" w14:textId="77777777" w:rsidR="00523066" w:rsidRPr="008E51C9" w:rsidRDefault="00523066" w:rsidP="00523066">
      <w:pPr>
        <w:pStyle w:val="ListParagraph"/>
        <w:numPr>
          <w:ilvl w:val="1"/>
          <w:numId w:val="8"/>
        </w:numPr>
        <w:ind w:left="709" w:hanging="851"/>
        <w:rPr>
          <w:rFonts w:ascii="Arial" w:hAnsi="Arial" w:cs="Arial"/>
        </w:rPr>
      </w:pPr>
      <w:r w:rsidRPr="008E51C9">
        <w:rPr>
          <w:rFonts w:ascii="Arial" w:hAnsi="Arial" w:cs="Arial"/>
        </w:rPr>
        <w:t xml:space="preserve">Section 23 of the Enterprise Act 2002 defines a relevant merger situation. The first limb of the definition provides that a relevant merger situation occurs when “two or more enterprises have ceased to be distinct enterprises”. Section 26 of the Act goes on to define further what “ceasing to be distinct” means. </w:t>
      </w:r>
    </w:p>
    <w:p w14:paraId="5944B529" w14:textId="77777777" w:rsidR="00523066" w:rsidRPr="008E51C9" w:rsidRDefault="00523066" w:rsidP="00523066">
      <w:pPr>
        <w:pStyle w:val="ListParagraph"/>
        <w:ind w:left="709"/>
        <w:rPr>
          <w:rFonts w:ascii="Arial" w:hAnsi="Arial" w:cs="Arial"/>
        </w:rPr>
      </w:pPr>
    </w:p>
    <w:p w14:paraId="3BE6DB15" w14:textId="77777777" w:rsidR="00523066" w:rsidRDefault="00523066" w:rsidP="00523066">
      <w:pPr>
        <w:pStyle w:val="ListParagraph"/>
        <w:numPr>
          <w:ilvl w:val="1"/>
          <w:numId w:val="8"/>
        </w:numPr>
        <w:ind w:left="709" w:hanging="851"/>
        <w:rPr>
          <w:rFonts w:ascii="Arial" w:hAnsi="Arial" w:cs="Arial"/>
        </w:rPr>
      </w:pPr>
      <w:r w:rsidRPr="008E51C9">
        <w:rPr>
          <w:rFonts w:ascii="Arial" w:hAnsi="Arial" w:cs="Arial"/>
        </w:rPr>
        <w:t xml:space="preserve">The </w:t>
      </w:r>
      <w:r>
        <w:rPr>
          <w:rFonts w:ascii="Arial" w:hAnsi="Arial" w:cs="Arial"/>
        </w:rPr>
        <w:t>CMA</w:t>
      </w:r>
      <w:r w:rsidRPr="008E51C9">
        <w:rPr>
          <w:rFonts w:ascii="Arial" w:hAnsi="Arial" w:cs="Arial"/>
        </w:rPr>
        <w:t xml:space="preserve"> has published statutory guidance</w:t>
      </w:r>
      <w:r w:rsidRPr="008E51C9">
        <w:rPr>
          <w:vertAlign w:val="superscript"/>
        </w:rPr>
        <w:footnoteReference w:id="8"/>
      </w:r>
      <w:r w:rsidRPr="008E51C9">
        <w:rPr>
          <w:rFonts w:ascii="Arial" w:hAnsi="Arial" w:cs="Arial"/>
        </w:rPr>
        <w:t xml:space="preserve"> describing and </w:t>
      </w:r>
      <w:r>
        <w:rPr>
          <w:rFonts w:ascii="Arial" w:hAnsi="Arial" w:cs="Arial"/>
        </w:rPr>
        <w:t>explaining</w:t>
      </w:r>
      <w:r w:rsidRPr="008E51C9">
        <w:rPr>
          <w:rFonts w:ascii="Arial" w:hAnsi="Arial" w:cs="Arial"/>
        </w:rPr>
        <w:t xml:space="preserve"> these, and other issues, in more detail – including the meaning of “enterprise”.</w:t>
      </w:r>
    </w:p>
    <w:p w14:paraId="226F91C4" w14:textId="77777777" w:rsidR="00523066" w:rsidRDefault="00523066" w:rsidP="00523066">
      <w:pPr>
        <w:pStyle w:val="ListParagraph"/>
        <w:ind w:left="709"/>
        <w:rPr>
          <w:rFonts w:ascii="Arial" w:hAnsi="Arial" w:cs="Arial"/>
        </w:rPr>
      </w:pPr>
    </w:p>
    <w:p w14:paraId="2D37DD94" w14:textId="77777777" w:rsidR="00523066" w:rsidRPr="008E51C9" w:rsidRDefault="00523066" w:rsidP="00523066">
      <w:pPr>
        <w:pStyle w:val="ListParagraph"/>
        <w:numPr>
          <w:ilvl w:val="1"/>
          <w:numId w:val="8"/>
        </w:numPr>
        <w:ind w:left="709" w:hanging="851"/>
        <w:rPr>
          <w:rFonts w:ascii="Arial" w:hAnsi="Arial" w:cs="Arial"/>
        </w:rPr>
      </w:pPr>
      <w:r>
        <w:rPr>
          <w:rFonts w:ascii="Arial" w:hAnsi="Arial" w:cs="Arial"/>
        </w:rPr>
        <w:t>Before the 2018 Orders came into force</w:t>
      </w:r>
      <w:r w:rsidRPr="008E51C9">
        <w:rPr>
          <w:rFonts w:ascii="Arial" w:hAnsi="Arial" w:cs="Arial"/>
        </w:rPr>
        <w:t xml:space="preserve">, </w:t>
      </w:r>
      <w:r>
        <w:rPr>
          <w:rFonts w:ascii="Arial" w:hAnsi="Arial" w:cs="Arial"/>
        </w:rPr>
        <w:t>the second limb of the definition of a relevant merger situation under the Act was that</w:t>
      </w:r>
      <w:r w:rsidRPr="008E51C9">
        <w:rPr>
          <w:rFonts w:ascii="Arial" w:hAnsi="Arial" w:cs="Arial"/>
        </w:rPr>
        <w:t>:</w:t>
      </w:r>
    </w:p>
    <w:p w14:paraId="533C3448" w14:textId="77777777" w:rsidR="00523066" w:rsidRPr="008E51C9" w:rsidRDefault="00523066" w:rsidP="00523066">
      <w:pPr>
        <w:pStyle w:val="ListParagraph"/>
        <w:numPr>
          <w:ilvl w:val="0"/>
          <w:numId w:val="3"/>
        </w:numPr>
        <w:rPr>
          <w:rFonts w:ascii="Arial" w:hAnsi="Arial" w:cs="Arial"/>
        </w:rPr>
      </w:pPr>
      <w:r w:rsidRPr="008E51C9">
        <w:rPr>
          <w:rFonts w:ascii="Arial" w:hAnsi="Arial" w:cs="Arial"/>
        </w:rPr>
        <w:t xml:space="preserve">the acquired business must have an annual UK turnover of more than £70 million; and/or </w:t>
      </w:r>
    </w:p>
    <w:p w14:paraId="47AE8CDE" w14:textId="77777777" w:rsidR="00523066" w:rsidRDefault="00523066" w:rsidP="00523066">
      <w:pPr>
        <w:pStyle w:val="ListParagraph"/>
        <w:numPr>
          <w:ilvl w:val="0"/>
          <w:numId w:val="3"/>
        </w:numPr>
        <w:rPr>
          <w:rFonts w:ascii="Arial" w:hAnsi="Arial" w:cs="Arial"/>
        </w:rPr>
      </w:pPr>
      <w:r w:rsidRPr="008E51C9">
        <w:rPr>
          <w:rFonts w:ascii="Arial" w:hAnsi="Arial" w:cs="Arial"/>
        </w:rPr>
        <w:t xml:space="preserve">the merger </w:t>
      </w:r>
      <w:r>
        <w:rPr>
          <w:rFonts w:ascii="Arial" w:hAnsi="Arial" w:cs="Arial"/>
        </w:rPr>
        <w:t>must</w:t>
      </w:r>
      <w:r w:rsidRPr="008E51C9">
        <w:rPr>
          <w:rFonts w:ascii="Arial" w:hAnsi="Arial" w:cs="Arial"/>
        </w:rPr>
        <w:t xml:space="preserve"> result in the creation of, or increase in, a 25% or more combined share of sales or purchases in the UK (or in a substantial part of it) of goods or services of a particular description.</w:t>
      </w:r>
    </w:p>
    <w:p w14:paraId="0E5EEAE8" w14:textId="77777777" w:rsidR="00523066" w:rsidRDefault="00523066" w:rsidP="00523066">
      <w:pPr>
        <w:pStyle w:val="ListParagraph"/>
        <w:ind w:left="709"/>
        <w:rPr>
          <w:rFonts w:ascii="Arial" w:hAnsi="Arial" w:cs="Arial"/>
        </w:rPr>
      </w:pPr>
    </w:p>
    <w:p w14:paraId="6A6679FB" w14:textId="77777777" w:rsidR="00523066" w:rsidRDefault="00523066" w:rsidP="00523066">
      <w:pPr>
        <w:pStyle w:val="ListParagraph"/>
        <w:numPr>
          <w:ilvl w:val="0"/>
          <w:numId w:val="17"/>
        </w:numPr>
        <w:rPr>
          <w:rFonts w:ascii="Arial" w:hAnsi="Arial" w:cs="Arial"/>
        </w:rPr>
      </w:pPr>
      <w:r>
        <w:rPr>
          <w:rFonts w:ascii="Arial" w:hAnsi="Arial" w:cs="Arial"/>
        </w:rPr>
        <w:t>The 2018 provisions amended the two tests mentioned in paragraph 1.9 in relation to specific areas of the economy, as follows:</w:t>
      </w:r>
    </w:p>
    <w:p w14:paraId="786278C2" w14:textId="77777777" w:rsidR="00523066" w:rsidRPr="00F33046" w:rsidRDefault="00523066" w:rsidP="00523066">
      <w:pPr>
        <w:rPr>
          <w:rFonts w:ascii="Arial" w:hAnsi="Arial" w:cs="Arial"/>
        </w:rPr>
      </w:pPr>
    </w:p>
    <w:p w14:paraId="74BF9DDD" w14:textId="77777777" w:rsidR="00523066" w:rsidRPr="008E51C9" w:rsidRDefault="00523066" w:rsidP="00523066">
      <w:pPr>
        <w:pStyle w:val="ListParagraph"/>
        <w:numPr>
          <w:ilvl w:val="1"/>
          <w:numId w:val="17"/>
        </w:numPr>
        <w:rPr>
          <w:rFonts w:ascii="Arial" w:hAnsi="Arial" w:cs="Arial"/>
        </w:rPr>
      </w:pPr>
      <w:r w:rsidRPr="008E51C9">
        <w:rPr>
          <w:rFonts w:ascii="Arial" w:hAnsi="Arial" w:cs="Arial"/>
        </w:rPr>
        <w:t>the ‘target’ business must have UK turnover over £1 million, rather than £70 million;</w:t>
      </w:r>
    </w:p>
    <w:p w14:paraId="76181CFF" w14:textId="77777777" w:rsidR="00523066" w:rsidRDefault="00523066" w:rsidP="00523066">
      <w:pPr>
        <w:pStyle w:val="ListParagraph"/>
        <w:numPr>
          <w:ilvl w:val="1"/>
          <w:numId w:val="17"/>
        </w:numPr>
        <w:rPr>
          <w:rFonts w:ascii="Arial" w:hAnsi="Arial" w:cs="Arial"/>
        </w:rPr>
      </w:pPr>
      <w:r>
        <w:rPr>
          <w:rFonts w:ascii="Arial" w:hAnsi="Arial" w:cs="Arial"/>
        </w:rPr>
        <w:t xml:space="preserve">either the existing share of supply test must be met, or </w:t>
      </w:r>
      <w:r w:rsidRPr="008E51C9">
        <w:rPr>
          <w:rFonts w:ascii="Arial" w:hAnsi="Arial" w:cs="Arial"/>
        </w:rPr>
        <w:t xml:space="preserve">the target must have a share of supply of 25% or more of relevant goods or services in the UK, i.e. goods or services connected with their activities in the </w:t>
      </w:r>
      <w:r>
        <w:rPr>
          <w:rFonts w:ascii="Arial" w:hAnsi="Arial" w:cs="Arial"/>
        </w:rPr>
        <w:t xml:space="preserve">three </w:t>
      </w:r>
      <w:r w:rsidRPr="008E51C9">
        <w:rPr>
          <w:rFonts w:ascii="Arial" w:hAnsi="Arial" w:cs="Arial"/>
        </w:rPr>
        <w:t xml:space="preserve">defined </w:t>
      </w:r>
      <w:r>
        <w:rPr>
          <w:rFonts w:ascii="Arial" w:hAnsi="Arial" w:cs="Arial"/>
        </w:rPr>
        <w:t>areas of the economy</w:t>
      </w:r>
      <w:r w:rsidRPr="008E51C9">
        <w:rPr>
          <w:rFonts w:ascii="Arial" w:hAnsi="Arial" w:cs="Arial"/>
        </w:rPr>
        <w:t xml:space="preserve">. </w:t>
      </w:r>
      <w:r>
        <w:rPr>
          <w:rFonts w:ascii="Arial" w:hAnsi="Arial" w:cs="Arial"/>
        </w:rPr>
        <w:t xml:space="preserve">It is therefore no longer a requirement that the merger must </w:t>
      </w:r>
      <w:r w:rsidRPr="008E51C9">
        <w:rPr>
          <w:rFonts w:ascii="Arial" w:hAnsi="Arial" w:cs="Arial"/>
        </w:rPr>
        <w:t>lead to</w:t>
      </w:r>
      <w:r>
        <w:rPr>
          <w:rFonts w:ascii="Arial" w:hAnsi="Arial" w:cs="Arial"/>
        </w:rPr>
        <w:t xml:space="preserve"> </w:t>
      </w:r>
      <w:r w:rsidRPr="00190370">
        <w:rPr>
          <w:rFonts w:ascii="Arial" w:hAnsi="Arial" w:cs="Arial"/>
        </w:rPr>
        <w:t>an increase in the merging parties’ s</w:t>
      </w:r>
      <w:r>
        <w:rPr>
          <w:rFonts w:ascii="Arial" w:hAnsi="Arial" w:cs="Arial"/>
        </w:rPr>
        <w:t>hare of supply to, or over, 25%.</w:t>
      </w:r>
      <w:r w:rsidRPr="00BE324F">
        <w:rPr>
          <w:rFonts w:ascii="Arial" w:hAnsi="Arial" w:cs="Arial"/>
        </w:rPr>
        <w:t xml:space="preserve"> </w:t>
      </w:r>
    </w:p>
    <w:p w14:paraId="161D4A44" w14:textId="77777777" w:rsidR="00523066" w:rsidRDefault="00523066" w:rsidP="00523066">
      <w:pPr>
        <w:pStyle w:val="ListParagraph"/>
        <w:ind w:left="709"/>
        <w:rPr>
          <w:rFonts w:ascii="Arial" w:hAnsi="Arial" w:cs="Arial"/>
        </w:rPr>
      </w:pPr>
    </w:p>
    <w:p w14:paraId="7CB6CE45" w14:textId="77777777" w:rsidR="00523066" w:rsidRDefault="00523066" w:rsidP="00523066">
      <w:pPr>
        <w:pStyle w:val="ListParagraph"/>
        <w:numPr>
          <w:ilvl w:val="1"/>
          <w:numId w:val="8"/>
        </w:numPr>
        <w:ind w:left="709" w:hanging="851"/>
        <w:rPr>
          <w:rFonts w:ascii="Arial" w:hAnsi="Arial" w:cs="Arial"/>
        </w:rPr>
      </w:pPr>
      <w:r>
        <w:rPr>
          <w:rFonts w:ascii="Arial" w:hAnsi="Arial" w:cs="Arial"/>
        </w:rPr>
        <w:t xml:space="preserve">The ‘Special Public Interest Regime’, which allows ministerial intervention in the absence of the requirements for a relevant merger situation being met in full so long as certain other conditions are satisfied, is described later in this chapter. </w:t>
      </w:r>
    </w:p>
    <w:p w14:paraId="0C14166B" w14:textId="77777777" w:rsidR="00523066" w:rsidRPr="008E51C9" w:rsidRDefault="00523066" w:rsidP="00523066">
      <w:pPr>
        <w:pStyle w:val="ListParagraph"/>
        <w:ind w:left="709"/>
        <w:rPr>
          <w:rFonts w:ascii="Arial" w:hAnsi="Arial" w:cs="Arial"/>
        </w:rPr>
      </w:pPr>
    </w:p>
    <w:p w14:paraId="79ACC954" w14:textId="77777777" w:rsidR="00523066" w:rsidRPr="004E462A" w:rsidRDefault="00523066" w:rsidP="00523066">
      <w:pPr>
        <w:pStyle w:val="Guidance3"/>
        <w:rPr>
          <w:b/>
        </w:rPr>
      </w:pPr>
      <w:r>
        <w:rPr>
          <w:b/>
        </w:rPr>
        <w:t>b</w:t>
      </w:r>
      <w:r w:rsidRPr="004E462A">
        <w:rPr>
          <w:b/>
        </w:rPr>
        <w:t>) the intervention can only be on ‘public interests’ grounds</w:t>
      </w:r>
    </w:p>
    <w:p w14:paraId="74B4A023" w14:textId="77777777" w:rsidR="00523066" w:rsidRPr="008E51C9" w:rsidRDefault="00523066" w:rsidP="00523066">
      <w:pPr>
        <w:pStyle w:val="ListParagraph"/>
        <w:numPr>
          <w:ilvl w:val="1"/>
          <w:numId w:val="8"/>
        </w:numPr>
        <w:ind w:left="709" w:hanging="851"/>
        <w:rPr>
          <w:rFonts w:ascii="Arial" w:hAnsi="Arial" w:cs="Arial"/>
        </w:rPr>
      </w:pPr>
      <w:r>
        <w:rPr>
          <w:rFonts w:ascii="Arial" w:hAnsi="Arial" w:cs="Arial"/>
        </w:rPr>
        <w:t>At present, u</w:t>
      </w:r>
      <w:r w:rsidRPr="008E51C9">
        <w:rPr>
          <w:rFonts w:ascii="Arial" w:hAnsi="Arial" w:cs="Arial"/>
        </w:rPr>
        <w:t xml:space="preserve">nder the Enterprise Act 2002, Ministers can only intervene in </w:t>
      </w:r>
      <w:r>
        <w:rPr>
          <w:rFonts w:ascii="Arial" w:hAnsi="Arial" w:cs="Arial"/>
        </w:rPr>
        <w:t>domestic and EU merger</w:t>
      </w:r>
      <w:r w:rsidRPr="008E51C9">
        <w:rPr>
          <w:rFonts w:ascii="Arial" w:hAnsi="Arial" w:cs="Arial"/>
        </w:rPr>
        <w:t xml:space="preserve"> cases that raise </w:t>
      </w:r>
      <w:r>
        <w:rPr>
          <w:rFonts w:ascii="Arial" w:hAnsi="Arial" w:cs="Arial"/>
        </w:rPr>
        <w:t xml:space="preserve">the following </w:t>
      </w:r>
      <w:r w:rsidRPr="008E51C9">
        <w:rPr>
          <w:rFonts w:ascii="Arial" w:hAnsi="Arial" w:cs="Arial"/>
        </w:rPr>
        <w:t>public interest considerations</w:t>
      </w:r>
      <w:r>
        <w:rPr>
          <w:rStyle w:val="FootnoteReference"/>
          <w:rFonts w:ascii="Arial" w:hAnsi="Arial" w:cs="Arial"/>
        </w:rPr>
        <w:footnoteReference w:id="9"/>
      </w:r>
      <w:r w:rsidRPr="008E51C9">
        <w:rPr>
          <w:rFonts w:ascii="Arial" w:hAnsi="Arial" w:cs="Arial"/>
        </w:rPr>
        <w:t xml:space="preserve">: </w:t>
      </w:r>
    </w:p>
    <w:p w14:paraId="50704C09" w14:textId="77777777" w:rsidR="00523066" w:rsidRPr="008E51C9" w:rsidRDefault="00523066" w:rsidP="00523066">
      <w:pPr>
        <w:pStyle w:val="ListParagraph"/>
        <w:numPr>
          <w:ilvl w:val="1"/>
          <w:numId w:val="7"/>
        </w:numPr>
        <w:rPr>
          <w:rFonts w:ascii="Arial" w:hAnsi="Arial" w:cs="Arial"/>
        </w:rPr>
      </w:pPr>
      <w:r w:rsidRPr="008E51C9">
        <w:rPr>
          <w:rFonts w:ascii="Arial" w:hAnsi="Arial" w:cs="Arial"/>
        </w:rPr>
        <w:t>national security (including public security);</w:t>
      </w:r>
    </w:p>
    <w:p w14:paraId="7F21CFB4" w14:textId="77777777" w:rsidR="00523066" w:rsidRDefault="00523066" w:rsidP="00523066">
      <w:pPr>
        <w:pStyle w:val="ListParagraph"/>
        <w:numPr>
          <w:ilvl w:val="1"/>
          <w:numId w:val="7"/>
        </w:numPr>
        <w:rPr>
          <w:rFonts w:ascii="Arial" w:hAnsi="Arial" w:cs="Arial"/>
        </w:rPr>
      </w:pPr>
      <w:r w:rsidRPr="008E51C9">
        <w:rPr>
          <w:rFonts w:ascii="Arial" w:hAnsi="Arial" w:cs="Arial"/>
        </w:rPr>
        <w:t>financial stability</w:t>
      </w:r>
      <w:r>
        <w:rPr>
          <w:rFonts w:ascii="Arial" w:hAnsi="Arial" w:cs="Arial"/>
        </w:rPr>
        <w:t>;</w:t>
      </w:r>
    </w:p>
    <w:p w14:paraId="4F2A35CF" w14:textId="77777777" w:rsidR="00523066" w:rsidRPr="008E51C9" w:rsidRDefault="00523066" w:rsidP="00523066">
      <w:pPr>
        <w:pStyle w:val="ListParagraph"/>
        <w:numPr>
          <w:ilvl w:val="1"/>
          <w:numId w:val="7"/>
        </w:numPr>
        <w:rPr>
          <w:rFonts w:ascii="Arial" w:hAnsi="Arial" w:cs="Arial"/>
        </w:rPr>
      </w:pPr>
      <w:r w:rsidRPr="00CC0495">
        <w:rPr>
          <w:rFonts w:ascii="Arial" w:hAnsi="Arial" w:cs="Arial"/>
        </w:rPr>
        <w:t>media plurality</w:t>
      </w:r>
      <w:r>
        <w:rPr>
          <w:rFonts w:ascii="Arial" w:hAnsi="Arial" w:cs="Arial"/>
        </w:rPr>
        <w:t>; and</w:t>
      </w:r>
    </w:p>
    <w:p w14:paraId="215F2523" w14:textId="77777777" w:rsidR="00523066" w:rsidRPr="008E51C9" w:rsidRDefault="00523066" w:rsidP="00523066">
      <w:pPr>
        <w:pStyle w:val="ListParagraph"/>
        <w:numPr>
          <w:ilvl w:val="1"/>
          <w:numId w:val="7"/>
        </w:numPr>
        <w:rPr>
          <w:rFonts w:ascii="Arial" w:hAnsi="Arial" w:cs="Arial"/>
        </w:rPr>
      </w:pPr>
      <w:r>
        <w:rPr>
          <w:rFonts w:ascii="Arial" w:hAnsi="Arial" w:cs="Arial"/>
        </w:rPr>
        <w:t>to combat a public health emergency.</w:t>
      </w:r>
    </w:p>
    <w:p w14:paraId="5A206882" w14:textId="77777777" w:rsidR="00523066" w:rsidRPr="00CC0495" w:rsidRDefault="00523066" w:rsidP="00523066">
      <w:pPr>
        <w:pStyle w:val="ListParagraph"/>
        <w:ind w:left="1440"/>
        <w:rPr>
          <w:rFonts w:ascii="Arial" w:hAnsi="Arial" w:cs="Arial"/>
        </w:rPr>
      </w:pPr>
    </w:p>
    <w:p w14:paraId="2856374B" w14:textId="77777777" w:rsidR="00523066" w:rsidRDefault="00523066" w:rsidP="00523066">
      <w:pPr>
        <w:pStyle w:val="ListParagraph"/>
        <w:numPr>
          <w:ilvl w:val="1"/>
          <w:numId w:val="8"/>
        </w:numPr>
        <w:ind w:left="709" w:hanging="851"/>
        <w:rPr>
          <w:rFonts w:ascii="Arial" w:hAnsi="Arial" w:cs="Arial"/>
        </w:rPr>
      </w:pPr>
      <w:r w:rsidRPr="008E51C9">
        <w:rPr>
          <w:rFonts w:ascii="Arial" w:hAnsi="Arial" w:cs="Arial"/>
        </w:rPr>
        <w:t xml:space="preserve">The </w:t>
      </w:r>
      <w:r>
        <w:rPr>
          <w:rFonts w:ascii="Arial" w:hAnsi="Arial" w:cs="Arial"/>
        </w:rPr>
        <w:t>Orders</w:t>
      </w:r>
      <w:r w:rsidRPr="008E51C9">
        <w:rPr>
          <w:rFonts w:ascii="Arial" w:hAnsi="Arial" w:cs="Arial"/>
        </w:rPr>
        <w:t xml:space="preserve"> </w:t>
      </w:r>
      <w:r>
        <w:rPr>
          <w:rFonts w:ascii="Arial" w:hAnsi="Arial" w:cs="Arial"/>
        </w:rPr>
        <w:t>do</w:t>
      </w:r>
      <w:r w:rsidRPr="008E51C9">
        <w:rPr>
          <w:rFonts w:ascii="Arial" w:hAnsi="Arial" w:cs="Arial"/>
        </w:rPr>
        <w:t xml:space="preserve"> </w:t>
      </w:r>
      <w:r w:rsidRPr="008E51C9">
        <w:rPr>
          <w:rFonts w:ascii="Arial" w:hAnsi="Arial" w:cs="Arial"/>
          <w:u w:val="single"/>
        </w:rPr>
        <w:t>not</w:t>
      </w:r>
      <w:r w:rsidRPr="008E51C9">
        <w:rPr>
          <w:rFonts w:ascii="Arial" w:hAnsi="Arial" w:cs="Arial"/>
        </w:rPr>
        <w:t xml:space="preserve"> amend or extend these public interest considerations. The Government will only be able to intervene in additional mergers as a result </w:t>
      </w:r>
      <w:r>
        <w:rPr>
          <w:rFonts w:ascii="Arial" w:hAnsi="Arial" w:cs="Arial"/>
        </w:rPr>
        <w:t>of the amendments</w:t>
      </w:r>
      <w:r w:rsidRPr="008E51C9">
        <w:rPr>
          <w:rFonts w:ascii="Arial" w:hAnsi="Arial" w:cs="Arial"/>
        </w:rPr>
        <w:t xml:space="preserve"> if they raise the</w:t>
      </w:r>
      <w:r>
        <w:rPr>
          <w:rFonts w:ascii="Arial" w:hAnsi="Arial" w:cs="Arial"/>
        </w:rPr>
        <w:t xml:space="preserve"> existing</w:t>
      </w:r>
      <w:r w:rsidRPr="008E51C9">
        <w:rPr>
          <w:rFonts w:ascii="Arial" w:hAnsi="Arial" w:cs="Arial"/>
        </w:rPr>
        <w:t xml:space="preserve"> public interest considerations</w:t>
      </w:r>
      <w:r>
        <w:rPr>
          <w:rFonts w:ascii="Arial" w:hAnsi="Arial" w:cs="Arial"/>
        </w:rPr>
        <w:t xml:space="preserve"> listed in the Act. Indeed, t</w:t>
      </w:r>
      <w:r w:rsidRPr="008E51C9">
        <w:rPr>
          <w:rFonts w:ascii="Arial" w:hAnsi="Arial" w:cs="Arial"/>
        </w:rPr>
        <w:t xml:space="preserve">he Government </w:t>
      </w:r>
      <w:r>
        <w:rPr>
          <w:rFonts w:ascii="Arial" w:hAnsi="Arial" w:cs="Arial"/>
        </w:rPr>
        <w:t>does not foresee</w:t>
      </w:r>
      <w:r w:rsidRPr="008E51C9">
        <w:rPr>
          <w:rFonts w:ascii="Arial" w:hAnsi="Arial" w:cs="Arial"/>
        </w:rPr>
        <w:t xml:space="preserve"> instances when it would intervene in mergers </w:t>
      </w:r>
      <w:r>
        <w:rPr>
          <w:rFonts w:ascii="Arial" w:hAnsi="Arial" w:cs="Arial"/>
        </w:rPr>
        <w:t>brought into scope by the amendments</w:t>
      </w:r>
      <w:r w:rsidRPr="008E51C9">
        <w:rPr>
          <w:rFonts w:ascii="Arial" w:hAnsi="Arial" w:cs="Arial"/>
        </w:rPr>
        <w:t xml:space="preserve"> for any other public interest ground</w:t>
      </w:r>
      <w:r>
        <w:rPr>
          <w:rFonts w:ascii="Arial" w:hAnsi="Arial" w:cs="Arial"/>
        </w:rPr>
        <w:t xml:space="preserve"> than national security given the nature of the businesses described in Chapter 3.</w:t>
      </w:r>
    </w:p>
    <w:p w14:paraId="0E93F996" w14:textId="77777777" w:rsidR="00523066" w:rsidRPr="00D06953" w:rsidRDefault="00523066" w:rsidP="00523066">
      <w:pPr>
        <w:rPr>
          <w:b/>
          <w:sz w:val="50"/>
          <w:szCs w:val="50"/>
        </w:rPr>
      </w:pPr>
    </w:p>
    <w:p w14:paraId="5DDAB1F4" w14:textId="77777777" w:rsidR="00523066" w:rsidRPr="003666F7" w:rsidRDefault="00523066" w:rsidP="00523066"/>
    <w:p w14:paraId="29E9BBE7" w14:textId="77777777" w:rsidR="00523066" w:rsidRPr="00B20D28" w:rsidRDefault="00523066" w:rsidP="00523066">
      <w:pPr>
        <w:rPr>
          <w:rFonts w:ascii="Arial" w:hAnsi="Arial" w:cs="Arial"/>
        </w:rPr>
      </w:pPr>
    </w:p>
    <w:p w14:paraId="06DA53BB" w14:textId="77777777" w:rsidR="00523066" w:rsidRDefault="00523066" w:rsidP="00523066">
      <w:pPr>
        <w:rPr>
          <w:rFonts w:ascii="Arial" w:hAnsi="Arial" w:cs="Arial"/>
        </w:rPr>
      </w:pPr>
    </w:p>
    <w:p w14:paraId="00CAD300" w14:textId="77777777" w:rsidR="00523066" w:rsidRDefault="00523066" w:rsidP="00523066">
      <w:pPr>
        <w:rPr>
          <w:rFonts w:ascii="Arial" w:hAnsi="Arial" w:cs="Arial"/>
        </w:rPr>
      </w:pPr>
    </w:p>
    <w:p w14:paraId="000D64F8" w14:textId="77777777" w:rsidR="00523066" w:rsidRDefault="00523066" w:rsidP="00523066">
      <w:pPr>
        <w:rPr>
          <w:rFonts w:ascii="Arial" w:hAnsi="Arial" w:cs="Arial"/>
        </w:rPr>
      </w:pPr>
    </w:p>
    <w:p w14:paraId="1CE739E4" w14:textId="77777777" w:rsidR="00523066" w:rsidRDefault="00523066" w:rsidP="00523066">
      <w:pPr>
        <w:rPr>
          <w:rFonts w:ascii="Arial" w:hAnsi="Arial" w:cs="Arial"/>
        </w:rPr>
      </w:pPr>
    </w:p>
    <w:p w14:paraId="6DA49CDA" w14:textId="77777777" w:rsidR="00523066" w:rsidRDefault="00523066" w:rsidP="00523066">
      <w:pPr>
        <w:rPr>
          <w:rFonts w:ascii="Arial" w:hAnsi="Arial" w:cs="Arial"/>
        </w:rPr>
      </w:pPr>
    </w:p>
    <w:p w14:paraId="5F2253B0" w14:textId="77777777" w:rsidR="00523066" w:rsidRDefault="00523066" w:rsidP="00523066">
      <w:pPr>
        <w:rPr>
          <w:rFonts w:ascii="Arial" w:hAnsi="Arial" w:cs="Arial"/>
        </w:rPr>
      </w:pPr>
    </w:p>
    <w:p w14:paraId="42F16C2A" w14:textId="77777777" w:rsidR="00523066" w:rsidRDefault="00523066" w:rsidP="00523066">
      <w:pPr>
        <w:rPr>
          <w:rFonts w:ascii="Arial" w:hAnsi="Arial" w:cs="Arial"/>
        </w:rPr>
      </w:pPr>
    </w:p>
    <w:p w14:paraId="42CF704F" w14:textId="77777777" w:rsidR="00523066" w:rsidRDefault="00523066" w:rsidP="00523066">
      <w:pPr>
        <w:rPr>
          <w:rFonts w:ascii="Arial" w:hAnsi="Arial" w:cs="Arial"/>
        </w:rPr>
      </w:pPr>
    </w:p>
    <w:p w14:paraId="2B145381" w14:textId="77777777" w:rsidR="00523066" w:rsidRDefault="00523066" w:rsidP="00523066">
      <w:pPr>
        <w:rPr>
          <w:rFonts w:ascii="Arial" w:hAnsi="Arial" w:cs="Arial"/>
        </w:rPr>
      </w:pPr>
    </w:p>
    <w:p w14:paraId="45D4364F" w14:textId="77777777" w:rsidR="00523066" w:rsidRDefault="00523066" w:rsidP="00523066">
      <w:pPr>
        <w:rPr>
          <w:rFonts w:ascii="Arial" w:hAnsi="Arial" w:cs="Arial"/>
        </w:rPr>
      </w:pPr>
    </w:p>
    <w:p w14:paraId="7934423F" w14:textId="77777777" w:rsidR="00523066" w:rsidRDefault="00523066" w:rsidP="00523066">
      <w:pPr>
        <w:rPr>
          <w:rFonts w:ascii="Arial" w:hAnsi="Arial" w:cs="Arial"/>
        </w:rPr>
      </w:pPr>
    </w:p>
    <w:p w14:paraId="64DE6B03" w14:textId="77777777" w:rsidR="00523066" w:rsidRDefault="00523066" w:rsidP="00523066">
      <w:pPr>
        <w:rPr>
          <w:rFonts w:ascii="Arial" w:hAnsi="Arial" w:cs="Arial"/>
        </w:rPr>
      </w:pPr>
    </w:p>
    <w:p w14:paraId="0D57C684" w14:textId="77777777" w:rsidR="00523066" w:rsidRPr="00E80EE6" w:rsidRDefault="00523066" w:rsidP="00523066">
      <w:pPr>
        <w:pStyle w:val="Guidance1"/>
      </w:pPr>
      <w:bookmarkStart w:id="8" w:name="_Toc498514496"/>
      <w:bookmarkStart w:id="9" w:name="_Toc508611547"/>
      <w:bookmarkStart w:id="10" w:name="_Toc44065805"/>
      <w:r w:rsidRPr="00F24628">
        <w:t>Chapter 2:</w:t>
      </w:r>
      <w:bookmarkEnd w:id="8"/>
      <w:r w:rsidRPr="00F24628">
        <w:t xml:space="preserve"> Why </w:t>
      </w:r>
      <w:r w:rsidRPr="00F24628" w:rsidDel="00AC013F">
        <w:t xml:space="preserve">the </w:t>
      </w:r>
      <w:r w:rsidRPr="000A3BDC">
        <w:t xml:space="preserve">provisions </w:t>
      </w:r>
      <w:r w:rsidRPr="003A088E">
        <w:t>are</w:t>
      </w:r>
      <w:r w:rsidRPr="00E80EE6">
        <w:t xml:space="preserve"> required</w:t>
      </w:r>
      <w:bookmarkEnd w:id="9"/>
      <w:bookmarkEnd w:id="10"/>
      <w:r w:rsidRPr="00E80EE6">
        <w:t xml:space="preserve"> </w:t>
      </w:r>
    </w:p>
    <w:p w14:paraId="7B676920" w14:textId="77777777" w:rsidR="00523066" w:rsidRPr="008E51C9" w:rsidRDefault="00523066" w:rsidP="00523066">
      <w:pPr>
        <w:pStyle w:val="ListParagraph"/>
        <w:rPr>
          <w:rFonts w:ascii="Arial" w:hAnsi="Arial" w:cs="Arial"/>
        </w:rPr>
      </w:pPr>
    </w:p>
    <w:p w14:paraId="4938F326" w14:textId="77777777" w:rsidR="00523066" w:rsidRPr="008E51C9" w:rsidRDefault="00523066" w:rsidP="00523066">
      <w:pPr>
        <w:pStyle w:val="ListParagraph"/>
        <w:rPr>
          <w:rFonts w:ascii="Arial" w:hAnsi="Arial" w:cs="Arial"/>
        </w:rPr>
      </w:pPr>
    </w:p>
    <w:p w14:paraId="28D4E2D4" w14:textId="3890FFF6" w:rsidR="00523066" w:rsidRPr="008E51C9" w:rsidRDefault="00592723" w:rsidP="00523066">
      <w:pPr>
        <w:pStyle w:val="ListParagraph"/>
        <w:ind w:left="0"/>
        <w:rPr>
          <w:rFonts w:ascii="Arial" w:hAnsi="Arial" w:cs="Arial"/>
        </w:rPr>
      </w:pPr>
      <w:r>
        <w:pict w14:anchorId="2E59DB9F">
          <v:shape id="Text Box 4" o:spid="_x0000_s1045" type="#_x0000_t202" style="width:448.2pt;height:173.1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14:paraId="2DE2931D"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Summary</w:t>
                  </w:r>
                </w:p>
                <w:p w14:paraId="68327FD2" w14:textId="77777777" w:rsidR="00523066" w:rsidRPr="0089614F" w:rsidRDefault="00523066" w:rsidP="00523066"/>
                <w:p w14:paraId="745E95A5" w14:textId="77777777" w:rsidR="00523066" w:rsidRPr="0089614F" w:rsidRDefault="00523066" w:rsidP="00523066">
                  <w:pPr>
                    <w:rPr>
                      <w:rFonts w:ascii="Arial" w:hAnsi="Arial" w:cs="Arial"/>
                    </w:rPr>
                  </w:pPr>
                  <w:r>
                    <w:rPr>
                      <w:rFonts w:ascii="Arial" w:hAnsi="Arial" w:cs="Arial"/>
                    </w:rPr>
                    <w:t xml:space="preserve">From </w:t>
                  </w:r>
                  <w:r w:rsidRPr="0089614F">
                    <w:rPr>
                      <w:rFonts w:ascii="Arial" w:hAnsi="Arial" w:cs="Arial"/>
                    </w:rPr>
                    <w:t xml:space="preserve">2002 </w:t>
                  </w:r>
                  <w:r>
                    <w:rPr>
                      <w:rFonts w:ascii="Arial" w:hAnsi="Arial" w:cs="Arial"/>
                    </w:rPr>
                    <w:t>to 2018,</w:t>
                  </w:r>
                  <w:r w:rsidRPr="0089614F">
                    <w:rPr>
                      <w:rFonts w:ascii="Arial" w:hAnsi="Arial" w:cs="Arial"/>
                    </w:rPr>
                    <w:t xml:space="preserve"> the same tests (related to </w:t>
                  </w:r>
                  <w:r>
                    <w:rPr>
                      <w:rFonts w:ascii="Arial" w:hAnsi="Arial" w:cs="Arial"/>
                    </w:rPr>
                    <w:t xml:space="preserve">UK </w:t>
                  </w:r>
                  <w:r w:rsidRPr="0089614F">
                    <w:rPr>
                      <w:rFonts w:ascii="Arial" w:hAnsi="Arial" w:cs="Arial"/>
                    </w:rPr>
                    <w:t>turnover and share of supply) applied to interventions on both competition and public interest grounds</w:t>
                  </w:r>
                  <w:r>
                    <w:rPr>
                      <w:rFonts w:ascii="Arial" w:hAnsi="Arial" w:cs="Arial"/>
                    </w:rPr>
                    <w:t xml:space="preserve"> across the economy</w:t>
                  </w:r>
                  <w:r w:rsidRPr="0089614F">
                    <w:rPr>
                      <w:rFonts w:ascii="Arial" w:hAnsi="Arial" w:cs="Arial"/>
                    </w:rPr>
                    <w:t>. The only exceptions</w:t>
                  </w:r>
                  <w:r>
                    <w:rPr>
                      <w:rFonts w:ascii="Arial" w:hAnsi="Arial" w:cs="Arial"/>
                    </w:rPr>
                    <w:t xml:space="preserve"> have</w:t>
                  </w:r>
                  <w:r w:rsidRPr="0089614F">
                    <w:rPr>
                      <w:rFonts w:ascii="Arial" w:hAnsi="Arial" w:cs="Arial"/>
                    </w:rPr>
                    <w:t xml:space="preserve"> related to two specific instances under the S</w:t>
                  </w:r>
                  <w:r>
                    <w:rPr>
                      <w:rFonts w:ascii="Arial" w:hAnsi="Arial" w:cs="Arial"/>
                    </w:rPr>
                    <w:t xml:space="preserve">pecial </w:t>
                  </w:r>
                  <w:r w:rsidRPr="0089614F">
                    <w:rPr>
                      <w:rFonts w:ascii="Arial" w:hAnsi="Arial" w:cs="Arial"/>
                    </w:rPr>
                    <w:t>P</w:t>
                  </w:r>
                  <w:r>
                    <w:rPr>
                      <w:rFonts w:ascii="Arial" w:hAnsi="Arial" w:cs="Arial"/>
                    </w:rPr>
                    <w:t>ublic Interest R</w:t>
                  </w:r>
                  <w:r w:rsidRPr="0089614F">
                    <w:rPr>
                      <w:rFonts w:ascii="Arial" w:hAnsi="Arial" w:cs="Arial"/>
                    </w:rPr>
                    <w:t xml:space="preserve">egime. </w:t>
                  </w:r>
                </w:p>
                <w:p w14:paraId="6B9FCC88" w14:textId="77777777" w:rsidR="00523066" w:rsidRPr="0089614F" w:rsidRDefault="00523066" w:rsidP="00523066">
                  <w:pPr>
                    <w:rPr>
                      <w:rFonts w:ascii="Arial" w:hAnsi="Arial" w:cs="Arial"/>
                    </w:rPr>
                  </w:pPr>
                </w:p>
                <w:p w14:paraId="6C766554" w14:textId="77777777" w:rsidR="00523066" w:rsidRDefault="00523066" w:rsidP="00523066">
                  <w:pPr>
                    <w:pStyle w:val="ListParagraph"/>
                    <w:rPr>
                      <w:rFonts w:ascii="Arial" w:hAnsi="Arial" w:cs="Arial"/>
                    </w:rPr>
                  </w:pPr>
                </w:p>
                <w:p w14:paraId="151A4553" w14:textId="77777777" w:rsidR="00523066" w:rsidRDefault="00523066" w:rsidP="00523066">
                  <w:pPr>
                    <w:rPr>
                      <w:rFonts w:ascii="Arial" w:hAnsi="Arial" w:cs="Arial"/>
                    </w:rPr>
                  </w:pPr>
                  <w:r w:rsidRPr="0089614F">
                    <w:rPr>
                      <w:rFonts w:ascii="Arial" w:hAnsi="Arial" w:cs="Arial"/>
                    </w:rPr>
                    <w:t xml:space="preserve">Since 2002, </w:t>
                  </w:r>
                  <w:r>
                    <w:rPr>
                      <w:rFonts w:ascii="Arial" w:hAnsi="Arial" w:cs="Arial"/>
                    </w:rPr>
                    <w:t xml:space="preserve">there have </w:t>
                  </w:r>
                  <w:r w:rsidRPr="00A369D7">
                    <w:rPr>
                      <w:rFonts w:ascii="Arial" w:hAnsi="Arial" w:cs="Arial"/>
                    </w:rPr>
                    <w:t xml:space="preserve">been considerable technological advances, developments in local, national and global economic structures, and changes in the national security threat facing the UK. </w:t>
                  </w:r>
                  <w:r>
                    <w:rPr>
                      <w:rFonts w:ascii="Arial" w:hAnsi="Arial" w:cs="Arial"/>
                    </w:rPr>
                    <w:t>These</w:t>
                  </w:r>
                  <w:r w:rsidRPr="0089614F">
                    <w:rPr>
                      <w:rFonts w:ascii="Arial" w:hAnsi="Arial" w:cs="Arial"/>
                    </w:rPr>
                    <w:t xml:space="preserve"> mean that the</w:t>
                  </w:r>
                  <w:r>
                    <w:rPr>
                      <w:rFonts w:ascii="Arial" w:hAnsi="Arial" w:cs="Arial"/>
                    </w:rPr>
                    <w:t xml:space="preserve"> thresholds in the Act were no longer effectively safeguarding our national security in all areas of the economy. The Government therefore concluded in 2018 that the thresholds needed to be amended for three sectors of the economy. Since then the Government has monitored the evolving situation and concluded that three further sectors should be subject to the amended thresholds.</w:t>
                  </w:r>
                </w:p>
                <w:p w14:paraId="2BE233BB" w14:textId="77777777" w:rsidR="00523066" w:rsidRPr="0089614F" w:rsidRDefault="00523066" w:rsidP="00523066">
                  <w:pPr>
                    <w:rPr>
                      <w:rFonts w:ascii="Arial" w:hAnsi="Arial" w:cs="Arial"/>
                    </w:rPr>
                  </w:pPr>
                </w:p>
              </w:txbxContent>
            </v:textbox>
            <w10:anchorlock/>
          </v:shape>
        </w:pict>
      </w:r>
    </w:p>
    <w:p w14:paraId="0A0EB9AF" w14:textId="77777777" w:rsidR="00523066" w:rsidRPr="00A369D7" w:rsidRDefault="00523066" w:rsidP="00523066">
      <w:pPr>
        <w:pStyle w:val="ListParagraph"/>
        <w:ind w:left="792"/>
        <w:rPr>
          <w:rFonts w:ascii="Arial" w:hAnsi="Arial" w:cs="Arial"/>
        </w:rPr>
      </w:pPr>
    </w:p>
    <w:p w14:paraId="71F619CE" w14:textId="77777777" w:rsidR="00523066" w:rsidRPr="008E51C9" w:rsidRDefault="00523066" w:rsidP="00523066">
      <w:pPr>
        <w:pStyle w:val="Guidance2"/>
      </w:pPr>
      <w:r w:rsidRPr="008E51C9">
        <w:t xml:space="preserve">Technological </w:t>
      </w:r>
      <w:r>
        <w:t>advances</w:t>
      </w:r>
      <w:r w:rsidRPr="008E51C9">
        <w:t xml:space="preserve"> </w:t>
      </w:r>
    </w:p>
    <w:p w14:paraId="0948ECA0" w14:textId="77777777" w:rsidR="00523066" w:rsidRPr="008E51C9" w:rsidRDefault="00523066" w:rsidP="00523066">
      <w:pPr>
        <w:pStyle w:val="ListParagraph"/>
        <w:numPr>
          <w:ilvl w:val="1"/>
          <w:numId w:val="9"/>
        </w:numPr>
        <w:ind w:left="709" w:hanging="792"/>
        <w:rPr>
          <w:rFonts w:ascii="Arial" w:hAnsi="Arial" w:cs="Arial"/>
        </w:rPr>
      </w:pPr>
      <w:r w:rsidRPr="008E51C9">
        <w:rPr>
          <w:rFonts w:ascii="Arial" w:hAnsi="Arial" w:cs="Arial"/>
        </w:rPr>
        <w:t xml:space="preserve">Technological advances have changed the way in which people interact and businesses develop and grow. New products and services offer the potential to radically transform the way we live – computers are exponentially more powerful than in 2002, and internet connectivity has been integrated into daily lives and an ever-increasing range of goods. The Government is proud that British businesses have been at the forefront of this change – driving innovation that has brought huge benefits to the global economy and society. </w:t>
      </w:r>
    </w:p>
    <w:p w14:paraId="4DAA621B" w14:textId="77777777" w:rsidR="00523066" w:rsidRPr="008E51C9" w:rsidRDefault="00523066" w:rsidP="00523066">
      <w:pPr>
        <w:pStyle w:val="ListParagraph"/>
        <w:ind w:left="709"/>
        <w:rPr>
          <w:rFonts w:ascii="Arial" w:hAnsi="Arial" w:cs="Arial"/>
        </w:rPr>
      </w:pPr>
    </w:p>
    <w:p w14:paraId="1C82978D" w14:textId="77777777" w:rsidR="00523066" w:rsidRDefault="00523066" w:rsidP="00523066">
      <w:pPr>
        <w:pStyle w:val="ListParagraph"/>
        <w:numPr>
          <w:ilvl w:val="1"/>
          <w:numId w:val="9"/>
        </w:numPr>
        <w:ind w:left="709" w:hanging="792"/>
        <w:rPr>
          <w:rFonts w:ascii="Arial" w:hAnsi="Arial" w:cs="Arial"/>
        </w:rPr>
      </w:pPr>
      <w:r w:rsidRPr="008E51C9">
        <w:rPr>
          <w:rFonts w:ascii="Arial" w:hAnsi="Arial" w:cs="Arial"/>
        </w:rPr>
        <w:t xml:space="preserve">However, these technological changes have also brought challenges. </w:t>
      </w:r>
      <w:r>
        <w:rPr>
          <w:rFonts w:ascii="Arial" w:hAnsi="Arial" w:cs="Arial"/>
        </w:rPr>
        <w:t>Some of these challenges are</w:t>
      </w:r>
      <w:r w:rsidRPr="008E51C9">
        <w:rPr>
          <w:rFonts w:ascii="Arial" w:hAnsi="Arial" w:cs="Arial"/>
        </w:rPr>
        <w:t xml:space="preserve"> national security related. As described in more detail in relation to specific </w:t>
      </w:r>
      <w:r>
        <w:rPr>
          <w:rFonts w:ascii="Arial" w:hAnsi="Arial" w:cs="Arial"/>
        </w:rPr>
        <w:t>businesses</w:t>
      </w:r>
      <w:r w:rsidRPr="008E51C9">
        <w:rPr>
          <w:rFonts w:ascii="Arial" w:hAnsi="Arial" w:cs="Arial"/>
        </w:rPr>
        <w:t xml:space="preserve"> to which the </w:t>
      </w:r>
      <w:r>
        <w:rPr>
          <w:rFonts w:ascii="Arial" w:hAnsi="Arial" w:cs="Arial"/>
        </w:rPr>
        <w:t>revised thresholds</w:t>
      </w:r>
      <w:r w:rsidRPr="008E51C9">
        <w:rPr>
          <w:rFonts w:ascii="Arial" w:hAnsi="Arial" w:cs="Arial"/>
        </w:rPr>
        <w:t xml:space="preserve"> will apply, hostile intent and action can be multiplied in more ways than ever before. </w:t>
      </w:r>
    </w:p>
    <w:p w14:paraId="58FCCBB8" w14:textId="77777777" w:rsidR="00523066" w:rsidRDefault="00523066" w:rsidP="00523066">
      <w:pPr>
        <w:pStyle w:val="ListParagraph"/>
        <w:ind w:left="709"/>
        <w:rPr>
          <w:rFonts w:ascii="Arial" w:hAnsi="Arial" w:cs="Arial"/>
        </w:rPr>
      </w:pPr>
    </w:p>
    <w:p w14:paraId="75204754" w14:textId="77777777" w:rsidR="00523066" w:rsidRPr="006C03EE" w:rsidRDefault="00523066" w:rsidP="00523066">
      <w:pPr>
        <w:pStyle w:val="ListParagraph"/>
        <w:numPr>
          <w:ilvl w:val="1"/>
          <w:numId w:val="9"/>
        </w:numPr>
        <w:ind w:left="709" w:hanging="792"/>
        <w:rPr>
          <w:rFonts w:ascii="Arial" w:hAnsi="Arial" w:cs="Arial"/>
        </w:rPr>
      </w:pPr>
      <w:r w:rsidRPr="006C03EE">
        <w:rPr>
          <w:rFonts w:ascii="Arial" w:hAnsi="Arial" w:cs="Arial"/>
        </w:rPr>
        <w:t xml:space="preserve">The businesses that </w:t>
      </w:r>
      <w:r>
        <w:rPr>
          <w:rFonts w:ascii="Arial" w:hAnsi="Arial" w:cs="Arial"/>
        </w:rPr>
        <w:t>are driving the development of</w:t>
      </w:r>
      <w:r w:rsidRPr="006C03EE">
        <w:rPr>
          <w:rFonts w:ascii="Arial" w:hAnsi="Arial" w:cs="Arial"/>
        </w:rPr>
        <w:t xml:space="preserve"> innovative goods</w:t>
      </w:r>
      <w:r>
        <w:rPr>
          <w:rFonts w:ascii="Arial" w:hAnsi="Arial" w:cs="Arial"/>
        </w:rPr>
        <w:t xml:space="preserve"> and technological advances</w:t>
      </w:r>
      <w:r w:rsidRPr="006C03EE">
        <w:rPr>
          <w:rFonts w:ascii="Arial" w:hAnsi="Arial" w:cs="Arial"/>
        </w:rPr>
        <w:t xml:space="preserve"> are not necessarily those with large turnovers. In fact, some of the most radical, far-reaching developments are </w:t>
      </w:r>
      <w:r>
        <w:rPr>
          <w:rFonts w:ascii="Arial" w:hAnsi="Arial" w:cs="Arial"/>
        </w:rPr>
        <w:t xml:space="preserve">made by </w:t>
      </w:r>
      <w:r w:rsidRPr="006C03EE">
        <w:rPr>
          <w:rFonts w:ascii="Arial" w:hAnsi="Arial" w:cs="Arial"/>
        </w:rPr>
        <w:t xml:space="preserve">enterprises with small turnovers. In addition, </w:t>
      </w:r>
      <w:r>
        <w:rPr>
          <w:rFonts w:ascii="Arial" w:hAnsi="Arial" w:cs="Arial"/>
        </w:rPr>
        <w:t xml:space="preserve">often </w:t>
      </w:r>
      <w:r w:rsidRPr="006C03EE">
        <w:rPr>
          <w:rFonts w:ascii="Arial" w:hAnsi="Arial" w:cs="Arial"/>
        </w:rPr>
        <w:t>a merger</w:t>
      </w:r>
      <w:r>
        <w:rPr>
          <w:rFonts w:ascii="Arial" w:hAnsi="Arial" w:cs="Arial"/>
        </w:rPr>
        <w:t xml:space="preserve"> in this area</w:t>
      </w:r>
      <w:r w:rsidRPr="006C03EE">
        <w:rPr>
          <w:rFonts w:ascii="Arial" w:hAnsi="Arial" w:cs="Arial"/>
        </w:rPr>
        <w:t xml:space="preserve"> will not raise the parties’ combi</w:t>
      </w:r>
      <w:r>
        <w:rPr>
          <w:rFonts w:ascii="Arial" w:hAnsi="Arial" w:cs="Arial"/>
        </w:rPr>
        <w:t xml:space="preserve">ned share of supply </w:t>
      </w:r>
      <w:r w:rsidRPr="006C03EE">
        <w:rPr>
          <w:rFonts w:ascii="Arial" w:hAnsi="Arial" w:cs="Arial"/>
        </w:rPr>
        <w:t xml:space="preserve">because the target firm </w:t>
      </w:r>
      <w:r>
        <w:rPr>
          <w:rFonts w:ascii="Arial" w:hAnsi="Arial" w:cs="Arial"/>
        </w:rPr>
        <w:t xml:space="preserve">is undertaking a unique </w:t>
      </w:r>
      <w:r w:rsidRPr="006C03EE">
        <w:rPr>
          <w:rFonts w:ascii="Arial" w:hAnsi="Arial" w:cs="Arial"/>
        </w:rPr>
        <w:t xml:space="preserve">activity. </w:t>
      </w:r>
    </w:p>
    <w:p w14:paraId="725D5A86" w14:textId="77777777" w:rsidR="00523066" w:rsidRPr="008E51C9" w:rsidRDefault="00523066" w:rsidP="00523066">
      <w:pPr>
        <w:pStyle w:val="ListParagraph"/>
        <w:ind w:left="709"/>
        <w:rPr>
          <w:rFonts w:ascii="Arial" w:hAnsi="Arial" w:cs="Arial"/>
        </w:rPr>
      </w:pPr>
    </w:p>
    <w:p w14:paraId="0266AE03" w14:textId="77777777" w:rsidR="00523066" w:rsidRPr="008E51C9" w:rsidRDefault="00523066" w:rsidP="00523066">
      <w:pPr>
        <w:pStyle w:val="ListParagraph"/>
        <w:numPr>
          <w:ilvl w:val="1"/>
          <w:numId w:val="9"/>
        </w:numPr>
        <w:ind w:left="709" w:hanging="792"/>
        <w:rPr>
          <w:rFonts w:ascii="Arial" w:hAnsi="Arial" w:cs="Arial"/>
        </w:rPr>
      </w:pPr>
      <w:r w:rsidRPr="008E51C9">
        <w:rPr>
          <w:rFonts w:ascii="Arial" w:hAnsi="Arial" w:cs="Arial"/>
        </w:rPr>
        <w:t xml:space="preserve">The Government wishes to ensure that it has sufficient powers to address national security threats that may arise from </w:t>
      </w:r>
      <w:r>
        <w:rPr>
          <w:rFonts w:ascii="Arial" w:hAnsi="Arial" w:cs="Arial"/>
        </w:rPr>
        <w:t xml:space="preserve">mergers involving </w:t>
      </w:r>
      <w:r w:rsidRPr="008E51C9">
        <w:rPr>
          <w:rFonts w:ascii="Arial" w:hAnsi="Arial" w:cs="Arial"/>
        </w:rPr>
        <w:t xml:space="preserve">these businesses.  </w:t>
      </w:r>
    </w:p>
    <w:p w14:paraId="382E48C9" w14:textId="77777777" w:rsidR="00523066" w:rsidRPr="001B6A55" w:rsidRDefault="00523066" w:rsidP="00523066"/>
    <w:p w14:paraId="62AB1A7D" w14:textId="77777777" w:rsidR="00523066"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 xml:space="preserve">Economic developments </w:t>
      </w:r>
    </w:p>
    <w:p w14:paraId="59242B97" w14:textId="77777777" w:rsidR="00523066" w:rsidRPr="00CC0495" w:rsidRDefault="00523066" w:rsidP="00523066">
      <w:pPr>
        <w:pStyle w:val="ListParagraph"/>
        <w:numPr>
          <w:ilvl w:val="1"/>
          <w:numId w:val="9"/>
        </w:numPr>
        <w:ind w:hanging="792"/>
      </w:pPr>
      <w:r w:rsidRPr="008E51C9">
        <w:rPr>
          <w:rFonts w:ascii="Arial" w:hAnsi="Arial" w:cs="Arial"/>
        </w:rPr>
        <w:t xml:space="preserve">The last </w:t>
      </w:r>
      <w:r>
        <w:rPr>
          <w:rFonts w:ascii="Arial" w:hAnsi="Arial" w:cs="Arial"/>
        </w:rPr>
        <w:t>eighteen</w:t>
      </w:r>
      <w:r w:rsidRPr="008E51C9">
        <w:rPr>
          <w:rFonts w:ascii="Arial" w:hAnsi="Arial" w:cs="Arial"/>
        </w:rPr>
        <w:t xml:space="preserve"> years have also seen significant change in the global economic market which, while bringing enormous benefits, raise national security challenges for all countries. Since the Enterprise Act 2002 was introduced, the global market has become more connected</w:t>
      </w:r>
      <w:r>
        <w:rPr>
          <w:rFonts w:ascii="Arial" w:hAnsi="Arial" w:cs="Arial"/>
        </w:rPr>
        <w:t xml:space="preserve"> and</w:t>
      </w:r>
      <w:r w:rsidRPr="00F5549B">
        <w:rPr>
          <w:rFonts w:ascii="Arial" w:hAnsi="Arial" w:cs="Arial"/>
        </w:rPr>
        <w:t xml:space="preserve"> industries now have deeper, broader and more complicated supply chains. </w:t>
      </w:r>
    </w:p>
    <w:p w14:paraId="5BA91533" w14:textId="77777777" w:rsidR="00523066" w:rsidRPr="008E51C9" w:rsidRDefault="00523066" w:rsidP="00523066">
      <w:pPr>
        <w:pStyle w:val="ListParagraph"/>
        <w:rPr>
          <w:rFonts w:ascii="Arial" w:hAnsi="Arial" w:cs="Arial"/>
        </w:rPr>
      </w:pPr>
    </w:p>
    <w:p w14:paraId="009F1B1A" w14:textId="77777777" w:rsidR="00523066" w:rsidRPr="008E51C9" w:rsidRDefault="00523066" w:rsidP="00523066">
      <w:pPr>
        <w:pStyle w:val="ListParagraph"/>
        <w:numPr>
          <w:ilvl w:val="1"/>
          <w:numId w:val="9"/>
        </w:numPr>
        <w:ind w:hanging="792"/>
        <w:rPr>
          <w:rFonts w:ascii="Arial" w:hAnsi="Arial" w:cs="Arial"/>
        </w:rPr>
      </w:pPr>
      <w:r w:rsidRPr="008E51C9">
        <w:rPr>
          <w:rFonts w:ascii="Arial" w:hAnsi="Arial" w:cs="Arial"/>
        </w:rPr>
        <w:t xml:space="preserve">As a result of this change, </w:t>
      </w:r>
      <w:r>
        <w:rPr>
          <w:rFonts w:ascii="Arial" w:hAnsi="Arial" w:cs="Arial"/>
        </w:rPr>
        <w:t xml:space="preserve">essential </w:t>
      </w:r>
      <w:r w:rsidRPr="008E51C9">
        <w:rPr>
          <w:rFonts w:ascii="Arial" w:hAnsi="Arial" w:cs="Arial"/>
        </w:rPr>
        <w:t xml:space="preserve">goods </w:t>
      </w:r>
      <w:r>
        <w:rPr>
          <w:rFonts w:ascii="Arial" w:hAnsi="Arial" w:cs="Arial"/>
        </w:rPr>
        <w:t xml:space="preserve">and services </w:t>
      </w:r>
      <w:r w:rsidRPr="008E51C9">
        <w:rPr>
          <w:rFonts w:ascii="Arial" w:hAnsi="Arial" w:cs="Arial"/>
        </w:rPr>
        <w:t xml:space="preserve">are </w:t>
      </w:r>
      <w:r>
        <w:rPr>
          <w:rFonts w:ascii="Arial" w:hAnsi="Arial" w:cs="Arial"/>
        </w:rPr>
        <w:t>provided</w:t>
      </w:r>
      <w:r w:rsidRPr="008E51C9">
        <w:rPr>
          <w:rFonts w:ascii="Arial" w:hAnsi="Arial" w:cs="Arial"/>
        </w:rPr>
        <w:t xml:space="preserve"> by </w:t>
      </w:r>
      <w:r>
        <w:rPr>
          <w:rFonts w:ascii="Arial" w:hAnsi="Arial" w:cs="Arial"/>
        </w:rPr>
        <w:t>increasingly</w:t>
      </w:r>
      <w:r w:rsidRPr="008E51C9">
        <w:rPr>
          <w:rFonts w:ascii="Arial" w:hAnsi="Arial" w:cs="Arial"/>
        </w:rPr>
        <w:t xml:space="preserve"> more diverse network</w:t>
      </w:r>
      <w:r>
        <w:rPr>
          <w:rFonts w:ascii="Arial" w:hAnsi="Arial" w:cs="Arial"/>
        </w:rPr>
        <w:t>s</w:t>
      </w:r>
      <w:r w:rsidRPr="008E51C9">
        <w:rPr>
          <w:rFonts w:ascii="Arial" w:hAnsi="Arial" w:cs="Arial"/>
        </w:rPr>
        <w:t xml:space="preserve"> of businesses, </w:t>
      </w:r>
      <w:r>
        <w:rPr>
          <w:rFonts w:ascii="Arial" w:hAnsi="Arial" w:cs="Arial"/>
        </w:rPr>
        <w:t xml:space="preserve">including those with </w:t>
      </w:r>
      <w:r w:rsidRPr="008E51C9">
        <w:rPr>
          <w:rFonts w:ascii="Arial" w:hAnsi="Arial" w:cs="Arial"/>
        </w:rPr>
        <w:t>small turnover</w:t>
      </w:r>
      <w:r>
        <w:rPr>
          <w:rFonts w:ascii="Arial" w:hAnsi="Arial" w:cs="Arial"/>
        </w:rPr>
        <w:t>s</w:t>
      </w:r>
      <w:r w:rsidRPr="008E51C9">
        <w:rPr>
          <w:rFonts w:ascii="Arial" w:hAnsi="Arial" w:cs="Arial"/>
        </w:rPr>
        <w:t xml:space="preserve">. </w:t>
      </w:r>
      <w:r>
        <w:rPr>
          <w:rFonts w:ascii="Arial" w:hAnsi="Arial" w:cs="Arial"/>
        </w:rPr>
        <w:t xml:space="preserve">The Government wishes to ensure that it can address any national security concerns that can arise when these businesses are acquired. </w:t>
      </w:r>
    </w:p>
    <w:p w14:paraId="72DF5230" w14:textId="77777777" w:rsidR="00523066" w:rsidRPr="008E51C9" w:rsidRDefault="00523066" w:rsidP="00523066">
      <w:pPr>
        <w:pStyle w:val="ListParagraph"/>
        <w:rPr>
          <w:rFonts w:ascii="Arial" w:hAnsi="Arial" w:cs="Arial"/>
        </w:rPr>
      </w:pPr>
    </w:p>
    <w:p w14:paraId="7C60FFE9"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The changing national security threat</w:t>
      </w:r>
    </w:p>
    <w:p w14:paraId="3046786B" w14:textId="77777777" w:rsidR="00523066" w:rsidRPr="002312D0" w:rsidRDefault="00523066" w:rsidP="00523066">
      <w:pPr>
        <w:pStyle w:val="ListParagraph"/>
        <w:numPr>
          <w:ilvl w:val="1"/>
          <w:numId w:val="9"/>
        </w:numPr>
        <w:ind w:hanging="792"/>
        <w:rPr>
          <w:rFonts w:ascii="Arial" w:hAnsi="Arial" w:cs="Arial"/>
        </w:rPr>
      </w:pPr>
      <w:r w:rsidRPr="002312D0">
        <w:rPr>
          <w:rFonts w:ascii="Arial" w:hAnsi="Arial" w:cs="Arial"/>
        </w:rPr>
        <w:t xml:space="preserve">Foreign intelligence agencies continue to engage in hostile activity against the UK and our interests, and against many of our close allies. This includes human, technical and cyber operations at home and overseas to compromise the Government, diplomatic missions, Government-held information and critical national infrastructure; attempts to influence Government policy covertly; and operations to steal commercial secrets and disrupt the private sector. This could have significant negative consequences not just for particular businesses, but the entire UK economy and our national security as a whole </w:t>
      </w:r>
      <w:bookmarkStart w:id="11" w:name="_Toc498514497"/>
      <w:r w:rsidRPr="008E08A0">
        <w:rPr>
          <w:rStyle w:val="FootnoteReference"/>
          <w:rFonts w:ascii="Arial" w:hAnsi="Arial" w:cs="Arial"/>
        </w:rPr>
        <w:footnoteReference w:id="10"/>
      </w:r>
      <w:r>
        <w:rPr>
          <w:rFonts w:ascii="Arial" w:hAnsi="Arial" w:cs="Arial"/>
        </w:rPr>
        <w:t xml:space="preserve"> </w:t>
      </w:r>
      <w:r>
        <w:rPr>
          <w:rStyle w:val="FootnoteReference"/>
          <w:rFonts w:ascii="Arial" w:hAnsi="Arial" w:cs="Arial"/>
        </w:rPr>
        <w:footnoteReference w:id="11"/>
      </w:r>
      <w:r>
        <w:rPr>
          <w:rFonts w:ascii="Arial" w:hAnsi="Arial" w:cs="Arial"/>
        </w:rPr>
        <w:t xml:space="preserve">.  It is especially important that Government </w:t>
      </w:r>
      <w:r w:rsidRPr="007A18ED">
        <w:rPr>
          <w:rFonts w:ascii="Arial" w:hAnsi="Arial" w:cs="Arial"/>
        </w:rPr>
        <w:t xml:space="preserve">maintain </w:t>
      </w:r>
      <w:r>
        <w:rPr>
          <w:rFonts w:ascii="Arial" w:hAnsi="Arial" w:cs="Arial"/>
        </w:rPr>
        <w:t>the UK’s</w:t>
      </w:r>
      <w:r w:rsidRPr="007A18ED">
        <w:rPr>
          <w:rFonts w:ascii="Arial" w:hAnsi="Arial" w:cs="Arial"/>
        </w:rPr>
        <w:t xml:space="preserve"> capability to act as a sovereign nation with its own capabilities</w:t>
      </w:r>
      <w:r>
        <w:rPr>
          <w:rFonts w:ascii="Arial" w:hAnsi="Arial" w:cs="Arial"/>
        </w:rPr>
        <w:t xml:space="preserve"> in light of such developments.</w:t>
      </w:r>
      <w:r w:rsidRPr="001B6A55">
        <w:rPr>
          <w:rFonts w:ascii="Arial" w:hAnsi="Arial" w:cs="Arial"/>
          <w:color w:val="1F497D"/>
          <w:sz w:val="50"/>
          <w:szCs w:val="50"/>
        </w:rPr>
        <w:br w:type="page"/>
      </w:r>
      <w:r w:rsidRPr="00690B58" w:rsidDel="00F21BDC">
        <w:rPr>
          <w:rFonts w:ascii="Arial" w:hAnsi="Arial" w:cs="Arial"/>
        </w:rPr>
        <w:lastRenderedPageBreak/>
        <w:t xml:space="preserve">         </w:t>
      </w:r>
    </w:p>
    <w:p w14:paraId="1A867492" w14:textId="77777777" w:rsidR="00523066" w:rsidRPr="00CC0495" w:rsidRDefault="00523066" w:rsidP="00523066">
      <w:pPr>
        <w:pStyle w:val="Heading1"/>
        <w:spacing w:before="0"/>
        <w:rPr>
          <w:rFonts w:ascii="Arial" w:hAnsi="Arial" w:cs="Arial"/>
          <w:b w:val="0"/>
          <w:color w:val="1F497D"/>
          <w:sz w:val="50"/>
          <w:szCs w:val="50"/>
        </w:rPr>
      </w:pPr>
      <w:bookmarkStart w:id="12" w:name="_Toc44065806"/>
      <w:bookmarkStart w:id="13" w:name="_Toc508611548"/>
      <w:r w:rsidRPr="00CC0495">
        <w:rPr>
          <w:rFonts w:ascii="Arial" w:hAnsi="Arial" w:cs="Arial"/>
          <w:color w:val="1F497D"/>
          <w:sz w:val="50"/>
          <w:szCs w:val="50"/>
        </w:rPr>
        <w:t xml:space="preserve">Chapter </w:t>
      </w:r>
      <w:r>
        <w:rPr>
          <w:rFonts w:ascii="Arial" w:hAnsi="Arial" w:cs="Arial"/>
          <w:color w:val="1F497D"/>
          <w:sz w:val="50"/>
          <w:szCs w:val="50"/>
        </w:rPr>
        <w:t>3</w:t>
      </w:r>
      <w:r w:rsidRPr="00CC0495">
        <w:rPr>
          <w:rFonts w:ascii="Arial" w:hAnsi="Arial" w:cs="Arial"/>
          <w:color w:val="1F497D"/>
          <w:sz w:val="50"/>
          <w:szCs w:val="50"/>
        </w:rPr>
        <w:t xml:space="preserve">: The relevant enterprises to which the </w:t>
      </w:r>
      <w:r>
        <w:rPr>
          <w:rFonts w:ascii="Arial" w:hAnsi="Arial" w:cs="Arial"/>
          <w:color w:val="1F497D"/>
          <w:sz w:val="50"/>
          <w:szCs w:val="50"/>
        </w:rPr>
        <w:t>amended thresholds apply</w:t>
      </w:r>
      <w:bookmarkEnd w:id="12"/>
    </w:p>
    <w:p w14:paraId="3332B465" w14:textId="77777777" w:rsidR="00523066" w:rsidRDefault="00523066" w:rsidP="00523066"/>
    <w:p w14:paraId="3B3F58BD" w14:textId="77777777" w:rsidR="00523066" w:rsidRPr="00A50186" w:rsidRDefault="00523066" w:rsidP="00523066">
      <w:pPr>
        <w:pStyle w:val="Guidance2"/>
      </w:pPr>
      <w:r w:rsidRPr="00A50186">
        <w:t xml:space="preserve">The 2018 amendments: military and dual-use technologies, </w:t>
      </w:r>
      <w:r>
        <w:t>computing hardware and quantum technology</w:t>
      </w:r>
    </w:p>
    <w:p w14:paraId="083C2088" w14:textId="77777777" w:rsidR="00523066" w:rsidRDefault="00523066" w:rsidP="00523066">
      <w:pPr>
        <w:pStyle w:val="Header"/>
        <w:tabs>
          <w:tab w:val="clear" w:pos="4513"/>
          <w:tab w:val="clear" w:pos="9026"/>
        </w:tabs>
      </w:pPr>
    </w:p>
    <w:p w14:paraId="05B8BB08" w14:textId="13751FEC" w:rsidR="00523066" w:rsidRPr="008E51C9" w:rsidRDefault="00592723" w:rsidP="00523066">
      <w:pPr>
        <w:rPr>
          <w:rFonts w:ascii="Arial" w:hAnsi="Arial" w:cs="Arial"/>
        </w:rPr>
      </w:pPr>
      <w:r>
        <w:pict w14:anchorId="2C53F2FD">
          <v:shape id="Text Box 5" o:spid="_x0000_s1044" type="#_x0000_t202" style="width:448.2pt;height:201.15pt;visibility:visible;mso-wrap-style:square;mso-left-percent:-10001;mso-top-percent:-10001;mso-position-horizontal:absolute;mso-position-horizontal-relative:char;mso-position-vertical:absolute;mso-position-vertical-relative:line;mso-left-percent:-10001;mso-top-percent:-10001;v-text-anchor:top">
            <v:textbox style="mso-fit-shape-to-text:t">
              <w:txbxContent>
                <w:p w14:paraId="1FE757B7"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Summary</w:t>
                  </w:r>
                </w:p>
                <w:p w14:paraId="091CC59A" w14:textId="77777777" w:rsidR="00523066" w:rsidRDefault="00523066" w:rsidP="00523066">
                  <w:pPr>
                    <w:rPr>
                      <w:rFonts w:ascii="Arial" w:hAnsi="Arial" w:cs="Arial"/>
                    </w:rPr>
                  </w:pPr>
                </w:p>
                <w:p w14:paraId="2FD54850" w14:textId="77777777" w:rsidR="00523066" w:rsidRDefault="00523066" w:rsidP="00523066">
                  <w:pPr>
                    <w:rPr>
                      <w:rFonts w:ascii="Arial" w:hAnsi="Arial" w:cs="Arial"/>
                    </w:rPr>
                  </w:pPr>
                  <w:r>
                    <w:rPr>
                      <w:rFonts w:ascii="Arial" w:hAnsi="Arial" w:cs="Arial"/>
                    </w:rPr>
                    <w:t>The 2018 amendments to the Act related to businesses active in three areas of the economy:</w:t>
                  </w:r>
                </w:p>
                <w:p w14:paraId="2443F4B7" w14:textId="77777777" w:rsidR="00523066" w:rsidRDefault="00523066" w:rsidP="00523066">
                  <w:pPr>
                    <w:pStyle w:val="ListParagraph"/>
                    <w:numPr>
                      <w:ilvl w:val="0"/>
                      <w:numId w:val="15"/>
                    </w:numPr>
                    <w:rPr>
                      <w:rFonts w:ascii="Arial" w:hAnsi="Arial" w:cs="Arial"/>
                    </w:rPr>
                  </w:pPr>
                  <w:r w:rsidRPr="008E51C9">
                    <w:rPr>
                      <w:rFonts w:ascii="Arial" w:hAnsi="Arial" w:cs="Arial"/>
                    </w:rPr>
                    <w:t>the development or production of items for military or military and civilian use (‘dual use’);</w:t>
                  </w:r>
                </w:p>
                <w:p w14:paraId="5E0FC72D" w14:textId="77777777" w:rsidR="00523066" w:rsidRDefault="00523066" w:rsidP="00523066">
                  <w:pPr>
                    <w:pStyle w:val="ListParagraph"/>
                    <w:numPr>
                      <w:ilvl w:val="0"/>
                      <w:numId w:val="15"/>
                    </w:numPr>
                    <w:rPr>
                      <w:rFonts w:ascii="Arial" w:hAnsi="Arial" w:cs="Arial"/>
                    </w:rPr>
                  </w:pPr>
                  <w:r w:rsidRPr="00F8031D">
                    <w:rPr>
                      <w:rFonts w:ascii="Arial" w:hAnsi="Arial" w:cs="Arial"/>
                    </w:rPr>
                    <w:t xml:space="preserve">the design and maintenance of aspects of computing hardware; and </w:t>
                  </w:r>
                </w:p>
                <w:p w14:paraId="1E58FA1E" w14:textId="77777777" w:rsidR="00523066" w:rsidRDefault="00523066" w:rsidP="00523066">
                  <w:pPr>
                    <w:pStyle w:val="ListParagraph"/>
                    <w:numPr>
                      <w:ilvl w:val="0"/>
                      <w:numId w:val="15"/>
                    </w:numPr>
                    <w:rPr>
                      <w:rFonts w:ascii="Arial" w:hAnsi="Arial" w:cs="Arial"/>
                    </w:rPr>
                  </w:pPr>
                  <w:r w:rsidRPr="00F8031D">
                    <w:rPr>
                      <w:rFonts w:ascii="Arial" w:hAnsi="Arial" w:cs="Arial"/>
                    </w:rPr>
                    <w:t>the development and production of quantum technology</w:t>
                  </w:r>
                  <w:r w:rsidRPr="00FE5FE5">
                    <w:rPr>
                      <w:rFonts w:ascii="Arial" w:hAnsi="Arial" w:cs="Arial"/>
                    </w:rPr>
                    <w:t>.</w:t>
                  </w:r>
                </w:p>
                <w:p w14:paraId="56801289" w14:textId="77777777" w:rsidR="00523066" w:rsidRDefault="00523066" w:rsidP="00523066">
                  <w:pPr>
                    <w:rPr>
                      <w:rFonts w:ascii="Arial" w:hAnsi="Arial" w:cs="Arial"/>
                    </w:rPr>
                  </w:pPr>
                </w:p>
                <w:p w14:paraId="0A53F01C" w14:textId="77777777" w:rsidR="00523066" w:rsidRDefault="00523066" w:rsidP="00523066">
                  <w:pPr>
                    <w:rPr>
                      <w:rFonts w:ascii="Arial" w:hAnsi="Arial" w:cs="Arial"/>
                    </w:rPr>
                  </w:pPr>
                  <w:r>
                    <w:rPr>
                      <w:rFonts w:ascii="Arial" w:hAnsi="Arial" w:cs="Arial"/>
                    </w:rPr>
                    <w:t>The 2020 amendments to the Act relate to businesses active in three additional areas of the economy:</w:t>
                  </w:r>
                </w:p>
                <w:p w14:paraId="512F0995" w14:textId="77777777" w:rsidR="00523066" w:rsidRPr="0011095C" w:rsidRDefault="00523066" w:rsidP="00523066">
                  <w:pPr>
                    <w:pStyle w:val="ListParagraph"/>
                    <w:numPr>
                      <w:ilvl w:val="0"/>
                      <w:numId w:val="15"/>
                    </w:numPr>
                    <w:rPr>
                      <w:rFonts w:ascii="Arial" w:hAnsi="Arial" w:cs="Arial"/>
                    </w:rPr>
                  </w:pPr>
                  <w:r w:rsidRPr="0011095C">
                    <w:rPr>
                      <w:rFonts w:ascii="Arial" w:hAnsi="Arial" w:cs="Arial"/>
                    </w:rPr>
                    <w:t>artificial intelligence;</w:t>
                  </w:r>
                </w:p>
                <w:p w14:paraId="148F87CD" w14:textId="77777777" w:rsidR="00523066" w:rsidRPr="0011095C" w:rsidRDefault="00523066" w:rsidP="00523066">
                  <w:pPr>
                    <w:pStyle w:val="ListParagraph"/>
                    <w:numPr>
                      <w:ilvl w:val="0"/>
                      <w:numId w:val="15"/>
                    </w:numPr>
                    <w:rPr>
                      <w:rFonts w:ascii="Arial" w:hAnsi="Arial" w:cs="Arial"/>
                    </w:rPr>
                  </w:pPr>
                  <w:r w:rsidRPr="0011095C">
                    <w:rPr>
                      <w:rFonts w:ascii="Arial" w:hAnsi="Arial" w:cs="Arial"/>
                    </w:rPr>
                    <w:t xml:space="preserve">cryptographic authentication; and </w:t>
                  </w:r>
                </w:p>
                <w:p w14:paraId="615981D0" w14:textId="77777777" w:rsidR="00523066" w:rsidRDefault="00523066" w:rsidP="00523066">
                  <w:pPr>
                    <w:pStyle w:val="ListParagraph"/>
                    <w:numPr>
                      <w:ilvl w:val="0"/>
                      <w:numId w:val="15"/>
                    </w:numPr>
                    <w:rPr>
                      <w:rFonts w:ascii="Arial" w:hAnsi="Arial" w:cs="Arial"/>
                    </w:rPr>
                  </w:pPr>
                  <w:r>
                    <w:rPr>
                      <w:rFonts w:ascii="Arial" w:hAnsi="Arial" w:cs="Arial"/>
                    </w:rPr>
                    <w:t>advanced materials</w:t>
                  </w:r>
                  <w:r w:rsidRPr="0011095C">
                    <w:rPr>
                      <w:rFonts w:ascii="Arial" w:hAnsi="Arial" w:cs="Arial"/>
                    </w:rPr>
                    <w:t>.</w:t>
                  </w:r>
                </w:p>
                <w:p w14:paraId="41D5E732" w14:textId="77777777" w:rsidR="00523066" w:rsidRPr="00CC0495" w:rsidRDefault="00523066" w:rsidP="00523066">
                  <w:pPr>
                    <w:rPr>
                      <w:rFonts w:ascii="Arial" w:hAnsi="Arial" w:cs="Arial"/>
                    </w:rPr>
                  </w:pPr>
                </w:p>
                <w:p w14:paraId="461352D0" w14:textId="77777777" w:rsidR="00523066" w:rsidRPr="007D40B0" w:rsidRDefault="00523066" w:rsidP="00523066">
                  <w:pPr>
                    <w:rPr>
                      <w:rFonts w:ascii="Arial" w:hAnsi="Arial" w:cs="Arial"/>
                    </w:rPr>
                  </w:pPr>
                  <w:r>
                    <w:rPr>
                      <w:rFonts w:ascii="Arial" w:hAnsi="Arial" w:cs="Arial"/>
                    </w:rPr>
                    <w:t>S</w:t>
                  </w:r>
                  <w:r w:rsidRPr="007D40B0">
                    <w:rPr>
                      <w:rFonts w:ascii="Arial" w:hAnsi="Arial" w:cs="Arial"/>
                    </w:rPr>
                    <w:t xml:space="preserve">ection 23A of the Act defines each of these. This guidance gives further details and examples to aid businesses and other parties.  </w:t>
                  </w:r>
                </w:p>
                <w:p w14:paraId="6E5CD3BF" w14:textId="77777777" w:rsidR="00523066" w:rsidRPr="00604047" w:rsidRDefault="00523066" w:rsidP="00523066">
                  <w:pPr>
                    <w:pStyle w:val="ListParagraph"/>
                    <w:rPr>
                      <w:rFonts w:ascii="Arial" w:hAnsi="Arial" w:cs="Arial"/>
                    </w:rPr>
                  </w:pPr>
                </w:p>
                <w:p w14:paraId="7A342C96" w14:textId="77777777" w:rsidR="00523066" w:rsidRPr="00604047" w:rsidRDefault="00523066" w:rsidP="00523066">
                  <w:pPr>
                    <w:rPr>
                      <w:rFonts w:ascii="Arial" w:hAnsi="Arial" w:cs="Arial"/>
                    </w:rPr>
                  </w:pPr>
                  <w:r>
                    <w:rPr>
                      <w:rFonts w:ascii="Arial" w:hAnsi="Arial" w:cs="Arial"/>
                    </w:rPr>
                    <w:t xml:space="preserve">The new provisions only relate to mergers which involve businesses in these areas of the economy being acquired. </w:t>
                  </w:r>
                </w:p>
              </w:txbxContent>
            </v:textbox>
            <w10:anchorlock/>
          </v:shape>
        </w:pict>
      </w:r>
    </w:p>
    <w:p w14:paraId="1AEBC92C" w14:textId="77777777" w:rsidR="00523066" w:rsidRDefault="00523066" w:rsidP="00523066"/>
    <w:p w14:paraId="6291575A" w14:textId="77777777" w:rsidR="00523066" w:rsidRPr="008E51C9" w:rsidRDefault="00523066" w:rsidP="00523066">
      <w:pPr>
        <w:pStyle w:val="ListParagraph"/>
        <w:numPr>
          <w:ilvl w:val="1"/>
          <w:numId w:val="10"/>
        </w:numPr>
        <w:ind w:hanging="792"/>
        <w:rPr>
          <w:rFonts w:ascii="Arial" w:hAnsi="Arial" w:cs="Arial"/>
        </w:rPr>
      </w:pPr>
      <w:r w:rsidRPr="130CD644">
        <w:rPr>
          <w:rFonts w:ascii="Arial" w:hAnsi="Arial" w:cs="Arial"/>
        </w:rPr>
        <w:t xml:space="preserve">In light of the developments and national security concerns described in </w:t>
      </w:r>
      <w:r>
        <w:rPr>
          <w:rFonts w:ascii="Arial" w:hAnsi="Arial" w:cs="Arial"/>
        </w:rPr>
        <w:t>Chapter 2</w:t>
      </w:r>
      <w:r w:rsidRPr="130CD644">
        <w:rPr>
          <w:rFonts w:ascii="Arial" w:hAnsi="Arial" w:cs="Arial"/>
        </w:rPr>
        <w:t xml:space="preserve">, the amendments to the thresholds in the Act are focused on particular areas of the economy where the Government has concluded that (without these changes) the Act would not permit Government to intervene in mergers that might raise national security concerns. </w:t>
      </w:r>
    </w:p>
    <w:p w14:paraId="7CD104A3" w14:textId="77777777" w:rsidR="00523066" w:rsidRDefault="00523066" w:rsidP="00523066">
      <w:pPr>
        <w:rPr>
          <w:rFonts w:ascii="Arial" w:hAnsi="Arial" w:cs="Arial"/>
        </w:rPr>
      </w:pPr>
    </w:p>
    <w:p w14:paraId="79ABE576"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The thresholds</w:t>
      </w:r>
      <w:r>
        <w:rPr>
          <w:rFonts w:ascii="Arial" w:hAnsi="Arial" w:cs="Arial"/>
        </w:rPr>
        <w:t>, which were amended in 2018,</w:t>
      </w:r>
      <w:r w:rsidRPr="130CD644">
        <w:rPr>
          <w:rFonts w:ascii="Arial" w:hAnsi="Arial" w:cs="Arial"/>
        </w:rPr>
        <w:t xml:space="preserve"> apply to “relevant enterprises” as defined in section 23A of the Act.  Section 23A provides definitions of business activities which raise the clearest risks to national security. </w:t>
      </w:r>
    </w:p>
    <w:p w14:paraId="528ED0A2" w14:textId="77777777" w:rsidR="00523066" w:rsidRPr="00FA72BB" w:rsidRDefault="00523066" w:rsidP="00523066">
      <w:pPr>
        <w:pStyle w:val="ListParagraph"/>
        <w:ind w:left="792"/>
        <w:rPr>
          <w:rFonts w:ascii="Arial" w:hAnsi="Arial" w:cs="Arial"/>
        </w:rPr>
      </w:pPr>
    </w:p>
    <w:p w14:paraId="4BE6BEED"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 xml:space="preserve">This chapter describes how the revised thresholds are focused on the </w:t>
      </w:r>
      <w:r w:rsidRPr="130CD644">
        <w:rPr>
          <w:rFonts w:ascii="Arial" w:hAnsi="Arial" w:cs="Arial"/>
          <w:i/>
          <w:iCs/>
        </w:rPr>
        <w:t xml:space="preserve">target </w:t>
      </w:r>
      <w:r w:rsidRPr="130CD644">
        <w:rPr>
          <w:rFonts w:ascii="Arial" w:hAnsi="Arial" w:cs="Arial"/>
        </w:rPr>
        <w:t xml:space="preserve">of a merger or takeover (rather than on the business that is acquiring another).  The chapter then considers each of the three business activity areas in more detail. </w:t>
      </w:r>
    </w:p>
    <w:p w14:paraId="6E376F66" w14:textId="77777777" w:rsidR="00523066" w:rsidRDefault="00523066" w:rsidP="00523066">
      <w:pPr>
        <w:pStyle w:val="ListParagraph"/>
        <w:ind w:left="792"/>
        <w:rPr>
          <w:rFonts w:ascii="Arial" w:hAnsi="Arial" w:cs="Arial"/>
        </w:rPr>
      </w:pPr>
    </w:p>
    <w:p w14:paraId="5FB98C12" w14:textId="77777777" w:rsidR="00523066" w:rsidRPr="006317B0" w:rsidRDefault="00523066" w:rsidP="00523066">
      <w:pPr>
        <w:pStyle w:val="ListParagraph"/>
        <w:numPr>
          <w:ilvl w:val="1"/>
          <w:numId w:val="10"/>
        </w:numPr>
        <w:ind w:hanging="792"/>
        <w:rPr>
          <w:rFonts w:ascii="Arial" w:hAnsi="Arial" w:cs="Arial"/>
        </w:rPr>
      </w:pPr>
      <w:r w:rsidRPr="130CD644">
        <w:rPr>
          <w:rFonts w:ascii="Arial" w:hAnsi="Arial" w:cs="Arial"/>
        </w:rPr>
        <w:t xml:space="preserve">This guidance gives further practical advice about the types of business activities, goods and services which would make an enterprise a “relevant enterprise”. However, this is not an exhaustive list, nor is it a definitive interpretation of the law.  If you are unsure and wish to establish whether </w:t>
      </w:r>
      <w:r w:rsidRPr="130CD644">
        <w:rPr>
          <w:rFonts w:ascii="Arial" w:hAnsi="Arial" w:cs="Arial"/>
        </w:rPr>
        <w:lastRenderedPageBreak/>
        <w:t>your business, or a business you are considering acquiring, is a relevant enterprise, you may wish to seek independent legal advice.</w:t>
      </w:r>
    </w:p>
    <w:p w14:paraId="6C3F7DA8" w14:textId="77777777" w:rsidR="00523066" w:rsidRDefault="00523066" w:rsidP="00523066">
      <w:pPr>
        <w:rPr>
          <w:rFonts w:ascii="Arial" w:hAnsi="Arial" w:cs="Arial"/>
        </w:rPr>
      </w:pPr>
    </w:p>
    <w:p w14:paraId="5AC47E2E"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 xml:space="preserve">The amendments relate to the </w:t>
      </w:r>
      <w:r>
        <w:rPr>
          <w:rFonts w:ascii="Arial" w:hAnsi="Arial" w:cs="Arial"/>
          <w:color w:val="1F497D"/>
          <w:sz w:val="24"/>
          <w:szCs w:val="24"/>
        </w:rPr>
        <w:t>‘</w:t>
      </w:r>
      <w:r w:rsidRPr="001B6A55">
        <w:rPr>
          <w:rFonts w:ascii="Arial" w:hAnsi="Arial" w:cs="Arial"/>
          <w:color w:val="1F497D"/>
          <w:sz w:val="24"/>
          <w:szCs w:val="24"/>
        </w:rPr>
        <w:t>target</w:t>
      </w:r>
      <w:r>
        <w:rPr>
          <w:rFonts w:ascii="Arial" w:hAnsi="Arial" w:cs="Arial"/>
          <w:color w:val="1F497D"/>
          <w:sz w:val="24"/>
          <w:szCs w:val="24"/>
        </w:rPr>
        <w:t>’</w:t>
      </w:r>
      <w:r w:rsidRPr="001B6A55">
        <w:rPr>
          <w:rFonts w:ascii="Arial" w:hAnsi="Arial" w:cs="Arial"/>
          <w:color w:val="1F497D"/>
          <w:sz w:val="24"/>
          <w:szCs w:val="24"/>
        </w:rPr>
        <w:t xml:space="preserve"> of a takeover </w:t>
      </w:r>
    </w:p>
    <w:p w14:paraId="3F299722" w14:textId="77777777" w:rsidR="00523066" w:rsidRPr="008E51C9" w:rsidRDefault="00523066" w:rsidP="00523066">
      <w:pPr>
        <w:pStyle w:val="ListParagraph"/>
        <w:numPr>
          <w:ilvl w:val="1"/>
          <w:numId w:val="10"/>
        </w:numPr>
        <w:ind w:hanging="792"/>
        <w:rPr>
          <w:rFonts w:ascii="Arial" w:hAnsi="Arial" w:cs="Arial"/>
        </w:rPr>
      </w:pPr>
      <w:r w:rsidRPr="130CD644">
        <w:rPr>
          <w:rFonts w:ascii="Arial" w:hAnsi="Arial" w:cs="Arial"/>
        </w:rPr>
        <w:t xml:space="preserve">The thresholds only relate to mergers when enterprises in the relevant areas of the economy are taken over or are, for example, the subject of certain joint ventures. That means that mergers involving relevant enterprises acquiring non-relevant enterprises are </w:t>
      </w:r>
      <w:r w:rsidRPr="130CD644">
        <w:rPr>
          <w:rFonts w:ascii="Arial" w:hAnsi="Arial" w:cs="Arial"/>
          <w:u w:val="single"/>
        </w:rPr>
        <w:t>not</w:t>
      </w:r>
      <w:r w:rsidRPr="130CD644">
        <w:rPr>
          <w:rFonts w:ascii="Arial" w:hAnsi="Arial" w:cs="Arial"/>
        </w:rPr>
        <w:t xml:space="preserve"> covered by the revised thresholds. </w:t>
      </w:r>
    </w:p>
    <w:p w14:paraId="3997C6D3" w14:textId="77777777" w:rsidR="00523066" w:rsidRPr="008E51C9" w:rsidRDefault="00523066" w:rsidP="00523066">
      <w:pPr>
        <w:pStyle w:val="ListParagraph"/>
        <w:rPr>
          <w:rFonts w:ascii="Arial" w:hAnsi="Arial" w:cs="Arial"/>
        </w:rPr>
      </w:pPr>
    </w:p>
    <w:p w14:paraId="0EB34D78" w14:textId="77777777" w:rsidR="00523066" w:rsidRPr="008E51C9" w:rsidRDefault="00523066" w:rsidP="00523066">
      <w:pPr>
        <w:pStyle w:val="ListParagraph"/>
        <w:numPr>
          <w:ilvl w:val="1"/>
          <w:numId w:val="10"/>
        </w:numPr>
        <w:ind w:hanging="792"/>
        <w:rPr>
          <w:rFonts w:ascii="Arial" w:hAnsi="Arial" w:cs="Arial"/>
        </w:rPr>
      </w:pPr>
      <w:r w:rsidRPr="130CD644">
        <w:rPr>
          <w:rFonts w:ascii="Arial" w:hAnsi="Arial" w:cs="Arial"/>
        </w:rPr>
        <w:t xml:space="preserve">In each case, the revised thresholds apply to businesses which undertake certain activities. This applies whether the activity is the business’s entire field or only a part of it. However, the Government will only be able to intervene </w:t>
      </w:r>
      <w:r>
        <w:rPr>
          <w:rFonts w:ascii="Arial" w:hAnsi="Arial" w:cs="Arial"/>
        </w:rPr>
        <w:t>when</w:t>
      </w:r>
      <w:r w:rsidRPr="130CD644">
        <w:rPr>
          <w:rFonts w:ascii="Arial" w:hAnsi="Arial" w:cs="Arial"/>
        </w:rPr>
        <w:t xml:space="preserve"> a merger involves a change in material influence or control over that particular activity. </w:t>
      </w:r>
    </w:p>
    <w:p w14:paraId="0FAFACA5" w14:textId="77777777" w:rsidR="00523066" w:rsidRDefault="00523066" w:rsidP="00523066">
      <w:pPr>
        <w:rPr>
          <w:rFonts w:ascii="Arial" w:hAnsi="Arial" w:cs="Arial"/>
        </w:rPr>
      </w:pPr>
    </w:p>
    <w:p w14:paraId="617EE452" w14:textId="77777777" w:rsidR="00523066" w:rsidRPr="008E51C9" w:rsidRDefault="00523066" w:rsidP="00523066">
      <w:pPr>
        <w:pStyle w:val="ListParagraph"/>
        <w:numPr>
          <w:ilvl w:val="1"/>
          <w:numId w:val="10"/>
        </w:numPr>
        <w:ind w:hanging="792"/>
        <w:rPr>
          <w:rFonts w:ascii="Arial" w:hAnsi="Arial" w:cs="Arial"/>
        </w:rPr>
      </w:pPr>
      <w:r w:rsidRPr="008E51C9">
        <w:rPr>
          <w:rFonts w:ascii="Arial" w:hAnsi="Arial" w:cs="Arial"/>
        </w:rPr>
        <w:t xml:space="preserve">For </w:t>
      </w:r>
      <w:r w:rsidRPr="00CC0495">
        <w:rPr>
          <w:rFonts w:ascii="Arial" w:hAnsi="Arial" w:cs="Arial"/>
        </w:rPr>
        <w:t>example</w:t>
      </w:r>
      <w:r w:rsidRPr="008E51C9">
        <w:rPr>
          <w:rFonts w:ascii="Arial" w:hAnsi="Arial" w:cs="Arial"/>
        </w:rPr>
        <w:t xml:space="preserve">, the </w:t>
      </w:r>
      <w:r>
        <w:rPr>
          <w:rFonts w:ascii="Arial" w:hAnsi="Arial" w:cs="Arial"/>
        </w:rPr>
        <w:t>amendments</w:t>
      </w:r>
      <w:r w:rsidRPr="008E51C9">
        <w:rPr>
          <w:rFonts w:ascii="Arial" w:hAnsi="Arial" w:cs="Arial"/>
        </w:rPr>
        <w:t xml:space="preserve"> </w:t>
      </w:r>
      <w:r w:rsidRPr="008E51C9">
        <w:rPr>
          <w:rFonts w:ascii="Arial" w:hAnsi="Arial" w:cs="Arial"/>
          <w:u w:val="single"/>
        </w:rPr>
        <w:t>would</w:t>
      </w:r>
      <w:r w:rsidRPr="008E51C9">
        <w:rPr>
          <w:rFonts w:ascii="Arial" w:hAnsi="Arial" w:cs="Arial"/>
        </w:rPr>
        <w:t xml:space="preserve"> apply to the takeover of a business with several divisions, only one of which designs quantum sensors. However, if the merger were structured such that the division designing quantum sensors was not subject to the new acquirer’s material influence or control (i.e. it was retained under the existing ownership and control), then Government intervention in the merger </w:t>
      </w:r>
      <w:r>
        <w:rPr>
          <w:rFonts w:ascii="Arial" w:hAnsi="Arial" w:cs="Arial"/>
        </w:rPr>
        <w:t xml:space="preserve">(on national security grounds) </w:t>
      </w:r>
      <w:r w:rsidRPr="008E51C9">
        <w:rPr>
          <w:rFonts w:ascii="Arial" w:hAnsi="Arial" w:cs="Arial"/>
        </w:rPr>
        <w:t>involving the other divisions would only be permitted if it met the existing tests, such as</w:t>
      </w:r>
      <w:r>
        <w:rPr>
          <w:rFonts w:ascii="Arial" w:hAnsi="Arial" w:cs="Arial"/>
        </w:rPr>
        <w:t xml:space="preserve"> the enterprise being taken over having</w:t>
      </w:r>
      <w:r w:rsidRPr="008E51C9">
        <w:rPr>
          <w:rFonts w:ascii="Arial" w:hAnsi="Arial" w:cs="Arial"/>
        </w:rPr>
        <w:t xml:space="preserve"> UK turnover in excess of £70 million</w:t>
      </w:r>
      <w:r>
        <w:rPr>
          <w:rStyle w:val="FootnoteReference"/>
          <w:rFonts w:ascii="Arial" w:hAnsi="Arial" w:cs="Arial"/>
        </w:rPr>
        <w:footnoteReference w:id="12"/>
      </w:r>
      <w:r w:rsidRPr="008E51C9">
        <w:rPr>
          <w:rFonts w:ascii="Arial" w:hAnsi="Arial" w:cs="Arial"/>
        </w:rPr>
        <w:t xml:space="preserve">. </w:t>
      </w:r>
    </w:p>
    <w:p w14:paraId="5C0A0856" w14:textId="77777777" w:rsidR="00523066" w:rsidRDefault="00523066" w:rsidP="005230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0DCD" w14:paraId="64C1A6B2" w14:textId="77777777" w:rsidTr="00C50DCD">
        <w:tc>
          <w:tcPr>
            <w:tcW w:w="9016" w:type="dxa"/>
            <w:shd w:val="clear" w:color="auto" w:fill="auto"/>
          </w:tcPr>
          <w:p w14:paraId="07EEB053" w14:textId="77777777" w:rsidR="00523066" w:rsidRPr="00C50DCD" w:rsidRDefault="00523066" w:rsidP="00C50DCD">
            <w:pPr>
              <w:pStyle w:val="ListParagraph"/>
              <w:ind w:left="0"/>
              <w:rPr>
                <w:rFonts w:ascii="Arial" w:hAnsi="Arial" w:cs="Arial"/>
                <w:b/>
                <w:color w:val="1F497D"/>
              </w:rPr>
            </w:pPr>
            <w:r w:rsidRPr="00C50DCD">
              <w:rPr>
                <w:rFonts w:ascii="Arial" w:hAnsi="Arial" w:cs="Arial"/>
                <w:b/>
                <w:color w:val="1F497D"/>
              </w:rPr>
              <w:t>Example of how the thresholds relate only to the target in a takeover</w:t>
            </w:r>
          </w:p>
          <w:p w14:paraId="6AEF14E6" w14:textId="77777777" w:rsidR="00523066" w:rsidRPr="00C50DCD" w:rsidRDefault="00523066" w:rsidP="00C50DCD">
            <w:pPr>
              <w:pStyle w:val="ListParagraph"/>
              <w:ind w:left="0"/>
              <w:rPr>
                <w:rFonts w:ascii="Arial" w:hAnsi="Arial" w:cs="Arial"/>
              </w:rPr>
            </w:pPr>
          </w:p>
          <w:p w14:paraId="7101B6F5" w14:textId="77777777" w:rsidR="00523066" w:rsidRPr="00C50DCD" w:rsidRDefault="00523066" w:rsidP="00C50DCD">
            <w:pPr>
              <w:pStyle w:val="ListParagraph"/>
              <w:ind w:left="0"/>
              <w:rPr>
                <w:rFonts w:ascii="Arial" w:hAnsi="Arial" w:cs="Arial"/>
              </w:rPr>
            </w:pPr>
            <w:r w:rsidRPr="00C50DCD">
              <w:rPr>
                <w:rFonts w:ascii="Arial" w:hAnsi="Arial" w:cs="Arial"/>
              </w:rPr>
              <w:t xml:space="preserve">Company A designs processing units. It is, therefore, a relevant enterprise for the purpose of the Orders.  </w:t>
            </w:r>
          </w:p>
          <w:p w14:paraId="69D4DB7F" w14:textId="77777777" w:rsidR="00523066" w:rsidRPr="00C50DCD" w:rsidRDefault="00523066" w:rsidP="00C50DCD">
            <w:pPr>
              <w:pStyle w:val="ListParagraph"/>
              <w:ind w:left="0"/>
              <w:rPr>
                <w:rFonts w:ascii="Arial" w:hAnsi="Arial" w:cs="Arial"/>
              </w:rPr>
            </w:pPr>
          </w:p>
          <w:p w14:paraId="25F59924" w14:textId="77777777" w:rsidR="00523066" w:rsidRPr="00C50DCD" w:rsidRDefault="00523066" w:rsidP="00C50DCD">
            <w:pPr>
              <w:pStyle w:val="ListParagraph"/>
              <w:ind w:left="0"/>
              <w:rPr>
                <w:rFonts w:ascii="Arial" w:hAnsi="Arial" w:cs="Arial"/>
              </w:rPr>
            </w:pPr>
            <w:r w:rsidRPr="00C50DCD">
              <w:rPr>
                <w:rFonts w:ascii="Arial" w:hAnsi="Arial" w:cs="Arial"/>
              </w:rPr>
              <w:t xml:space="preserve">A is considering acquiring Company B – a UK-based business that makes software. B is not a relevant enterprise (nor an enterprise covered by the Special Public Interest Regime). This transaction, therefore, is not covered by the amendments. As a result, the Government could only intervene (on national security or other specified public interest grounds) if B had a UK turnover of over £70 million or if the two businesses’ merger led to an increase in share of supply of goods or services in the UK (or a substantial part thereof) to, or above, 25%. </w:t>
            </w:r>
          </w:p>
          <w:p w14:paraId="5A00B32C" w14:textId="77777777" w:rsidR="00523066" w:rsidRPr="00C50DCD" w:rsidRDefault="00523066" w:rsidP="00C50DCD">
            <w:pPr>
              <w:pStyle w:val="ListParagraph"/>
              <w:ind w:left="0"/>
              <w:rPr>
                <w:rFonts w:ascii="Arial" w:hAnsi="Arial" w:cs="Arial"/>
              </w:rPr>
            </w:pPr>
          </w:p>
          <w:p w14:paraId="67E6888E" w14:textId="77777777" w:rsidR="00523066" w:rsidRPr="00C50DCD" w:rsidRDefault="00523066" w:rsidP="00C50DCD">
            <w:pPr>
              <w:pStyle w:val="ListParagraph"/>
              <w:ind w:left="0"/>
              <w:rPr>
                <w:rFonts w:ascii="Arial" w:hAnsi="Arial" w:cs="Arial"/>
              </w:rPr>
            </w:pPr>
            <w:r w:rsidRPr="00C50DCD">
              <w:rPr>
                <w:rFonts w:ascii="Arial" w:hAnsi="Arial" w:cs="Arial"/>
              </w:rPr>
              <w:t xml:space="preserve">A is also considering expanding into the quantum technology sector by acquiring company C which designs quantum sensors. This would be A’s first venture in that sector and market. The target of this merger, C, is a relevant enterprise and so this transaction would be subject to the revised thresholds. Government could, therefore, intervene (on national security or other specified public interest grounds) if C had a UK turnover over £1 million or at least a 25% share of supply of those goods in the UK or a substantial part thereof. </w:t>
            </w:r>
          </w:p>
          <w:p w14:paraId="1211AD2B" w14:textId="77777777" w:rsidR="00523066" w:rsidRPr="00C50DCD" w:rsidRDefault="00523066" w:rsidP="00C50DCD">
            <w:pPr>
              <w:pStyle w:val="ListParagraph"/>
              <w:ind w:left="0"/>
              <w:rPr>
                <w:rFonts w:ascii="Arial" w:hAnsi="Arial" w:cs="Arial"/>
              </w:rPr>
            </w:pPr>
          </w:p>
          <w:p w14:paraId="4B2D0E95" w14:textId="77777777" w:rsidR="00523066" w:rsidRPr="00C50DCD" w:rsidRDefault="00523066" w:rsidP="00C50DCD">
            <w:pPr>
              <w:pStyle w:val="ListParagraph"/>
              <w:ind w:left="0"/>
              <w:rPr>
                <w:rFonts w:ascii="Arial" w:hAnsi="Arial" w:cs="Arial"/>
              </w:rPr>
            </w:pPr>
            <w:r w:rsidRPr="00C50DCD">
              <w:rPr>
                <w:rFonts w:ascii="Arial" w:hAnsi="Arial" w:cs="Arial"/>
              </w:rPr>
              <w:lastRenderedPageBreak/>
              <w:t xml:space="preserve">A’s Board concludes that its long-term interests would be better served by establishing a joint venture with B. New company D would be the result of an equal merger of A and B – that is to say, they would pool their resources and their respective previous owners would have 50% of D. Because one party (in this case, A) is a relevant enterprise, this merger would be covered by the tests.   </w:t>
            </w:r>
          </w:p>
          <w:p w14:paraId="1A953A4E" w14:textId="77777777" w:rsidR="00523066" w:rsidRDefault="00523066" w:rsidP="00917B96"/>
          <w:p w14:paraId="69EA8372" w14:textId="77777777" w:rsidR="00523066" w:rsidRPr="00C50DCD" w:rsidRDefault="00523066" w:rsidP="00917B96">
            <w:pPr>
              <w:rPr>
                <w:rFonts w:ascii="Arial" w:hAnsi="Arial" w:cs="Arial"/>
              </w:rPr>
            </w:pPr>
          </w:p>
        </w:tc>
      </w:tr>
    </w:tbl>
    <w:p w14:paraId="7424E549" w14:textId="77777777" w:rsidR="00523066" w:rsidRDefault="00523066" w:rsidP="00523066">
      <w:pPr>
        <w:rPr>
          <w:rFonts w:ascii="Arial" w:hAnsi="Arial" w:cs="Arial"/>
        </w:rPr>
      </w:pPr>
    </w:p>
    <w:p w14:paraId="467D0D91" w14:textId="77777777" w:rsidR="00523066" w:rsidRPr="00685301" w:rsidRDefault="00523066" w:rsidP="00523066">
      <w:pPr>
        <w:rPr>
          <w:rFonts w:ascii="Arial" w:hAnsi="Arial" w:cs="Arial"/>
        </w:rPr>
      </w:pPr>
      <w:r>
        <w:rPr>
          <w:rFonts w:ascii="Arial" w:hAnsi="Arial" w:cs="Arial"/>
          <w:color w:val="1F497D"/>
        </w:rPr>
        <w:t>M</w:t>
      </w:r>
      <w:r w:rsidRPr="001B6A55">
        <w:rPr>
          <w:rFonts w:ascii="Arial" w:hAnsi="Arial" w:cs="Arial"/>
          <w:color w:val="1F497D"/>
        </w:rPr>
        <w:t xml:space="preserve">ilitary and dual-use item </w:t>
      </w:r>
      <w:r>
        <w:rPr>
          <w:rFonts w:ascii="Arial" w:hAnsi="Arial" w:cs="Arial"/>
          <w:color w:val="1F497D"/>
        </w:rPr>
        <w:t>technologies</w:t>
      </w:r>
    </w:p>
    <w:p w14:paraId="467E4AD1" w14:textId="77777777" w:rsidR="00523066" w:rsidRPr="008E51C9" w:rsidRDefault="00523066" w:rsidP="00523066">
      <w:pPr>
        <w:rPr>
          <w:rFonts w:ascii="Arial" w:hAnsi="Arial" w:cs="Arial"/>
        </w:rPr>
      </w:pPr>
    </w:p>
    <w:p w14:paraId="76091747" w14:textId="77777777" w:rsidR="00523066" w:rsidRPr="008E51C9" w:rsidRDefault="00523066" w:rsidP="00523066">
      <w:pPr>
        <w:pStyle w:val="Guidance3"/>
      </w:pPr>
      <w:r w:rsidRPr="008E51C9">
        <w:t>Government’s national security interests</w:t>
      </w:r>
    </w:p>
    <w:p w14:paraId="55CEF973" w14:textId="77777777" w:rsidR="00523066" w:rsidRPr="008E51C9" w:rsidRDefault="00523066" w:rsidP="00523066">
      <w:pPr>
        <w:pStyle w:val="ListParagraph"/>
        <w:numPr>
          <w:ilvl w:val="1"/>
          <w:numId w:val="10"/>
        </w:numPr>
        <w:ind w:hanging="792"/>
        <w:rPr>
          <w:rFonts w:ascii="Arial" w:hAnsi="Arial" w:cs="Arial"/>
        </w:rPr>
      </w:pPr>
      <w:r>
        <w:rPr>
          <w:rFonts w:ascii="Arial" w:hAnsi="Arial" w:cs="Arial"/>
        </w:rPr>
        <w:t>M</w:t>
      </w:r>
      <w:r w:rsidRPr="008E51C9">
        <w:rPr>
          <w:rFonts w:ascii="Arial" w:hAnsi="Arial" w:cs="Arial"/>
        </w:rPr>
        <w:t xml:space="preserve">ilitary and dual-use </w:t>
      </w:r>
      <w:r>
        <w:rPr>
          <w:rFonts w:ascii="Arial" w:hAnsi="Arial" w:cs="Arial"/>
        </w:rPr>
        <w:t>technologies</w:t>
      </w:r>
      <w:r w:rsidRPr="008E51C9">
        <w:rPr>
          <w:rFonts w:ascii="Arial" w:hAnsi="Arial" w:cs="Arial"/>
        </w:rPr>
        <w:t xml:space="preserve"> cover the design and production of military items (such as arms, military and paramilitary equipment) and so-called dual-use items which can be used for both military and civil purposes. </w:t>
      </w:r>
    </w:p>
    <w:p w14:paraId="004497F5" w14:textId="77777777" w:rsidR="00523066" w:rsidRPr="008E51C9" w:rsidRDefault="00523066" w:rsidP="00523066">
      <w:pPr>
        <w:pStyle w:val="ListParagraph"/>
        <w:rPr>
          <w:rFonts w:ascii="Arial" w:hAnsi="Arial" w:cs="Arial"/>
        </w:rPr>
      </w:pPr>
    </w:p>
    <w:p w14:paraId="62864A0C" w14:textId="77777777" w:rsidR="00523066" w:rsidRPr="008E51C9" w:rsidRDefault="00523066" w:rsidP="00523066">
      <w:pPr>
        <w:pStyle w:val="ListParagraph"/>
        <w:numPr>
          <w:ilvl w:val="1"/>
          <w:numId w:val="10"/>
        </w:numPr>
        <w:ind w:hanging="792"/>
        <w:rPr>
          <w:rFonts w:ascii="Arial" w:hAnsi="Arial" w:cs="Arial"/>
        </w:rPr>
      </w:pPr>
      <w:r w:rsidRPr="008E51C9">
        <w:rPr>
          <w:rFonts w:ascii="Arial" w:hAnsi="Arial" w:cs="Arial"/>
        </w:rPr>
        <w:t>The national security interests in this sector are obvious – these items can, in the wrong hands, pose clear and immediate risks to the UK, our people and society. There are also ‘indirect’ national security interests – thanks to UK businesses’ innovation, our military and defence forces have a clear operational advantage over others. The acquisition of items which provide this advantage can, therefore, raise legitimate and significant national security concerns</w:t>
      </w:r>
      <w:r>
        <w:rPr>
          <w:rFonts w:ascii="Arial" w:hAnsi="Arial" w:cs="Arial"/>
        </w:rPr>
        <w:t>.</w:t>
      </w:r>
    </w:p>
    <w:p w14:paraId="54D3A978" w14:textId="77777777" w:rsidR="00523066" w:rsidRPr="008E51C9" w:rsidRDefault="00523066" w:rsidP="00523066">
      <w:pPr>
        <w:pStyle w:val="ListParagraph"/>
        <w:rPr>
          <w:rFonts w:ascii="Arial" w:hAnsi="Arial" w:cs="Arial"/>
        </w:rPr>
      </w:pPr>
    </w:p>
    <w:p w14:paraId="5719332A" w14:textId="77777777" w:rsidR="00523066" w:rsidRPr="008E51C9" w:rsidRDefault="00523066" w:rsidP="00523066">
      <w:pPr>
        <w:pStyle w:val="Guidance3"/>
      </w:pPr>
      <w:r w:rsidRPr="008E51C9">
        <w:t>Export control</w:t>
      </w:r>
    </w:p>
    <w:p w14:paraId="7CCCB28A" w14:textId="77777777" w:rsidR="00523066" w:rsidRPr="008E51C9" w:rsidRDefault="00523066" w:rsidP="00523066">
      <w:pPr>
        <w:pStyle w:val="ListParagraph"/>
        <w:numPr>
          <w:ilvl w:val="1"/>
          <w:numId w:val="10"/>
        </w:numPr>
        <w:ind w:hanging="792"/>
        <w:rPr>
          <w:rFonts w:ascii="Arial" w:hAnsi="Arial" w:cs="Arial"/>
        </w:rPr>
      </w:pPr>
      <w:r>
        <w:rPr>
          <w:rFonts w:ascii="Arial" w:hAnsi="Arial" w:cs="Arial"/>
        </w:rPr>
        <w:t>T</w:t>
      </w:r>
      <w:r w:rsidRPr="008E51C9">
        <w:rPr>
          <w:rFonts w:ascii="Arial" w:hAnsi="Arial" w:cs="Arial"/>
        </w:rPr>
        <w:t>he Government, like many others, controls the export of these items. Through the Export Control Joint Unit within the Department for International Trade, the Government assesses application</w:t>
      </w:r>
      <w:r>
        <w:rPr>
          <w:rFonts w:ascii="Arial" w:hAnsi="Arial" w:cs="Arial"/>
        </w:rPr>
        <w:t>s</w:t>
      </w:r>
      <w:r w:rsidRPr="008E51C9">
        <w:rPr>
          <w:rFonts w:ascii="Arial" w:hAnsi="Arial" w:cs="Arial"/>
        </w:rPr>
        <w:t xml:space="preserve"> for export licences</w:t>
      </w:r>
      <w:r>
        <w:rPr>
          <w:rFonts w:ascii="Arial" w:hAnsi="Arial" w:cs="Arial"/>
        </w:rPr>
        <w:t xml:space="preserve"> for so-called strategic items</w:t>
      </w:r>
      <w:r w:rsidRPr="008E51C9">
        <w:rPr>
          <w:rFonts w:ascii="Arial" w:hAnsi="Arial" w:cs="Arial"/>
        </w:rPr>
        <w:t xml:space="preserve">, delivering an efficient service for businesses while ensuring that </w:t>
      </w:r>
      <w:r>
        <w:rPr>
          <w:rFonts w:ascii="Arial" w:hAnsi="Arial" w:cs="Arial"/>
        </w:rPr>
        <w:t xml:space="preserve">the items </w:t>
      </w:r>
      <w:r w:rsidRPr="008E51C9">
        <w:rPr>
          <w:rFonts w:ascii="Arial" w:hAnsi="Arial" w:cs="Arial"/>
        </w:rPr>
        <w:t>do not end up in the wrong hands.</w:t>
      </w:r>
    </w:p>
    <w:p w14:paraId="53EA41A2" w14:textId="77777777" w:rsidR="00523066" w:rsidRPr="008E51C9" w:rsidRDefault="00523066" w:rsidP="00523066">
      <w:pPr>
        <w:pStyle w:val="ListParagraph"/>
        <w:rPr>
          <w:rFonts w:ascii="Arial" w:hAnsi="Arial" w:cs="Arial"/>
        </w:rPr>
      </w:pPr>
    </w:p>
    <w:p w14:paraId="5CE4B419" w14:textId="77777777" w:rsidR="00523066" w:rsidRPr="00DF0624" w:rsidRDefault="00523066" w:rsidP="00523066">
      <w:pPr>
        <w:pStyle w:val="ListParagraph"/>
        <w:numPr>
          <w:ilvl w:val="1"/>
          <w:numId w:val="10"/>
        </w:numPr>
        <w:ind w:hanging="792"/>
        <w:rPr>
          <w:rFonts w:ascii="Arial" w:hAnsi="Arial" w:cs="Arial"/>
        </w:rPr>
      </w:pPr>
      <w:r>
        <w:rPr>
          <w:rFonts w:ascii="Arial" w:hAnsi="Arial" w:cs="Arial"/>
        </w:rPr>
        <w:t xml:space="preserve">The </w:t>
      </w:r>
      <w:r w:rsidRPr="00DF0624">
        <w:rPr>
          <w:rFonts w:ascii="Arial" w:hAnsi="Arial" w:cs="Arial"/>
        </w:rPr>
        <w:t>items subject to strategic export control are set out</w:t>
      </w:r>
      <w:r>
        <w:rPr>
          <w:rFonts w:ascii="Arial" w:hAnsi="Arial" w:cs="Arial"/>
        </w:rPr>
        <w:t xml:space="preserve"> in a</w:t>
      </w:r>
      <w:r w:rsidRPr="00DF0624">
        <w:rPr>
          <w:rFonts w:ascii="Arial" w:hAnsi="Arial" w:cs="Arial"/>
        </w:rPr>
        <w:t xml:space="preserve"> number of lists,</w:t>
      </w:r>
      <w:r>
        <w:rPr>
          <w:rFonts w:ascii="Arial" w:hAnsi="Arial" w:cs="Arial"/>
        </w:rPr>
        <w:t xml:space="preserve"> collectively known as Strategic Export Control Lists (SECLs). </w:t>
      </w:r>
    </w:p>
    <w:p w14:paraId="4CDE1187" w14:textId="77777777" w:rsidR="00523066" w:rsidRPr="008E51C9" w:rsidRDefault="00523066" w:rsidP="00523066">
      <w:pPr>
        <w:pStyle w:val="ListParagraph"/>
        <w:ind w:left="792"/>
      </w:pPr>
    </w:p>
    <w:p w14:paraId="7E5337D7" w14:textId="77777777" w:rsidR="00523066" w:rsidRPr="008E51C9" w:rsidRDefault="00523066" w:rsidP="00523066">
      <w:pPr>
        <w:pStyle w:val="ListParagraph"/>
        <w:numPr>
          <w:ilvl w:val="1"/>
          <w:numId w:val="10"/>
        </w:numPr>
        <w:ind w:hanging="792"/>
        <w:rPr>
          <w:rFonts w:ascii="Arial" w:hAnsi="Arial" w:cs="Arial"/>
          <w:b/>
        </w:rPr>
      </w:pPr>
      <w:r w:rsidRPr="008E51C9">
        <w:rPr>
          <w:rFonts w:ascii="Arial" w:hAnsi="Arial" w:cs="Arial"/>
        </w:rPr>
        <w:t xml:space="preserve">The lists are derived, in </w:t>
      </w:r>
      <w:r>
        <w:rPr>
          <w:rFonts w:ascii="Arial" w:hAnsi="Arial" w:cs="Arial"/>
        </w:rPr>
        <w:t xml:space="preserve">large </w:t>
      </w:r>
      <w:r w:rsidRPr="008E51C9">
        <w:rPr>
          <w:rFonts w:ascii="Arial" w:hAnsi="Arial" w:cs="Arial"/>
        </w:rPr>
        <w:t xml:space="preserve">part, from various international commitments </w:t>
      </w:r>
      <w:r>
        <w:rPr>
          <w:rFonts w:ascii="Arial" w:hAnsi="Arial" w:cs="Arial"/>
        </w:rPr>
        <w:t>related to the non-proliferation of conventional arms and of weapons of mass destruction, as well as from concerns around national security and human rights. However, there are</w:t>
      </w:r>
      <w:r w:rsidRPr="008E51C9">
        <w:rPr>
          <w:rFonts w:ascii="Arial" w:hAnsi="Arial" w:cs="Arial"/>
        </w:rPr>
        <w:t xml:space="preserve"> items on the </w:t>
      </w:r>
      <w:r>
        <w:rPr>
          <w:rFonts w:ascii="Arial" w:hAnsi="Arial" w:cs="Arial"/>
        </w:rPr>
        <w:t>control lists</w:t>
      </w:r>
      <w:r w:rsidRPr="008E51C9">
        <w:rPr>
          <w:rFonts w:ascii="Arial" w:hAnsi="Arial" w:cs="Arial"/>
        </w:rPr>
        <w:t xml:space="preserve"> in which Government has no national security interests. </w:t>
      </w:r>
      <w:r>
        <w:rPr>
          <w:rFonts w:ascii="Arial" w:hAnsi="Arial" w:cs="Arial"/>
        </w:rPr>
        <w:t xml:space="preserve">Therefore, </w:t>
      </w:r>
      <w:r w:rsidRPr="006F044E">
        <w:rPr>
          <w:rFonts w:ascii="Arial" w:hAnsi="Arial" w:cs="Arial"/>
        </w:rPr>
        <w:t>not all businesses which produce or design items subject to export control are subject to the amended thresholds.</w:t>
      </w:r>
    </w:p>
    <w:p w14:paraId="59921E1A" w14:textId="77777777" w:rsidR="00523066" w:rsidRPr="008E51C9" w:rsidRDefault="00523066" w:rsidP="00523066">
      <w:pPr>
        <w:pStyle w:val="Heading4"/>
        <w:spacing w:before="0"/>
        <w:rPr>
          <w:rFonts w:ascii="Arial" w:hAnsi="Arial" w:cs="Arial"/>
          <w:b w:val="0"/>
          <w:color w:val="auto"/>
        </w:rPr>
      </w:pPr>
    </w:p>
    <w:p w14:paraId="5599B3F8" w14:textId="77777777" w:rsidR="00523066" w:rsidRPr="008E51C9" w:rsidRDefault="00523066" w:rsidP="00523066">
      <w:pPr>
        <w:pStyle w:val="Guidance3"/>
      </w:pPr>
      <w:r>
        <w:t>Which</w:t>
      </w:r>
      <w:r w:rsidRPr="008E51C9">
        <w:t xml:space="preserve"> businesses are covered </w:t>
      </w:r>
      <w:r>
        <w:t>by the provisions</w:t>
      </w:r>
    </w:p>
    <w:p w14:paraId="049A19D9" w14:textId="77777777" w:rsidR="00523066" w:rsidRPr="008E51C9" w:rsidRDefault="00523066" w:rsidP="00523066">
      <w:pPr>
        <w:pStyle w:val="ListParagraph"/>
        <w:numPr>
          <w:ilvl w:val="1"/>
          <w:numId w:val="10"/>
        </w:numPr>
        <w:ind w:hanging="792"/>
        <w:rPr>
          <w:rFonts w:ascii="Arial" w:hAnsi="Arial" w:cs="Arial"/>
          <w:b/>
        </w:rPr>
      </w:pPr>
      <w:r>
        <w:rPr>
          <w:rFonts w:ascii="Arial" w:hAnsi="Arial" w:cs="Arial"/>
        </w:rPr>
        <w:t>Section 23A refers to the following lists which have national security aspects</w:t>
      </w:r>
      <w:r w:rsidRPr="008E51C9">
        <w:rPr>
          <w:rFonts w:ascii="Arial" w:hAnsi="Arial" w:cs="Arial"/>
        </w:rPr>
        <w:t>:</w:t>
      </w:r>
    </w:p>
    <w:p w14:paraId="26DE4AC3" w14:textId="77777777" w:rsidR="00523066" w:rsidRPr="00CC0495" w:rsidRDefault="00523066" w:rsidP="00523066">
      <w:pPr>
        <w:pStyle w:val="ListParagraph"/>
        <w:numPr>
          <w:ilvl w:val="1"/>
          <w:numId w:val="6"/>
        </w:numPr>
        <w:rPr>
          <w:rFonts w:ascii="Arial" w:hAnsi="Arial" w:cs="Arial"/>
        </w:rPr>
      </w:pPr>
      <w:r w:rsidRPr="00D658F7">
        <w:rPr>
          <w:rFonts w:ascii="Arial" w:hAnsi="Arial" w:cs="Arial"/>
        </w:rPr>
        <w:t>the UK Military List (Schedule 2, last amended by SI 2019/989 (ECO 2008));</w:t>
      </w:r>
    </w:p>
    <w:p w14:paraId="38E6E5C5" w14:textId="77777777" w:rsidR="00523066" w:rsidRPr="008E51C9" w:rsidRDefault="00523066" w:rsidP="00523066">
      <w:pPr>
        <w:pStyle w:val="ListParagraph"/>
        <w:numPr>
          <w:ilvl w:val="1"/>
          <w:numId w:val="6"/>
        </w:numPr>
        <w:rPr>
          <w:rFonts w:ascii="Arial" w:hAnsi="Arial" w:cs="Arial"/>
          <w:b/>
        </w:rPr>
      </w:pPr>
      <w:r w:rsidRPr="008E51C9">
        <w:rPr>
          <w:rFonts w:ascii="Arial" w:hAnsi="Arial" w:cs="Arial"/>
        </w:rPr>
        <w:t>the UK Dual-Use List</w:t>
      </w:r>
      <w:r>
        <w:rPr>
          <w:rFonts w:ascii="Arial" w:hAnsi="Arial" w:cs="Arial"/>
        </w:rPr>
        <w:t xml:space="preserve"> </w:t>
      </w:r>
      <w:r w:rsidRPr="008E51C9">
        <w:rPr>
          <w:rFonts w:ascii="Arial" w:hAnsi="Arial" w:cs="Arial"/>
        </w:rPr>
        <w:t>(Schedule 3</w:t>
      </w:r>
      <w:r>
        <w:rPr>
          <w:rFonts w:ascii="Arial" w:hAnsi="Arial" w:cs="Arial"/>
        </w:rPr>
        <w:t xml:space="preserve">, last amended by S1 2019/1159) </w:t>
      </w:r>
      <w:r w:rsidRPr="008E51C9">
        <w:rPr>
          <w:rFonts w:ascii="Arial" w:hAnsi="Arial" w:cs="Arial"/>
        </w:rPr>
        <w:t>ECO 2008)</w:t>
      </w:r>
      <w:r>
        <w:rPr>
          <w:rFonts w:ascii="Arial" w:hAnsi="Arial" w:cs="Arial"/>
        </w:rPr>
        <w:t>)</w:t>
      </w:r>
      <w:r w:rsidRPr="008E51C9">
        <w:rPr>
          <w:rFonts w:ascii="Arial" w:hAnsi="Arial" w:cs="Arial"/>
        </w:rPr>
        <w:t>;</w:t>
      </w:r>
    </w:p>
    <w:p w14:paraId="0D09829F"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the UK Radioactive Source List (Schedule to the Export of Radioactive Source</w:t>
      </w:r>
      <w:r>
        <w:rPr>
          <w:rFonts w:ascii="Arial" w:hAnsi="Arial" w:cs="Arial"/>
        </w:rPr>
        <w:t>s</w:t>
      </w:r>
      <w:r w:rsidRPr="008E51C9">
        <w:rPr>
          <w:rFonts w:ascii="Arial" w:hAnsi="Arial" w:cs="Arial"/>
        </w:rPr>
        <w:t xml:space="preserve"> (Control) Order 2006); and</w:t>
      </w:r>
      <w:r>
        <w:rPr>
          <w:rFonts w:ascii="Arial" w:hAnsi="Arial" w:cs="Arial"/>
        </w:rPr>
        <w:t>,</w:t>
      </w:r>
    </w:p>
    <w:p w14:paraId="40E4CF40"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the EU Dual-Use List</w:t>
      </w:r>
      <w:r>
        <w:rPr>
          <w:rFonts w:ascii="Arial" w:hAnsi="Arial" w:cs="Arial"/>
        </w:rPr>
        <w:t xml:space="preserve"> </w:t>
      </w:r>
      <w:r w:rsidRPr="008E51C9">
        <w:rPr>
          <w:rFonts w:ascii="Arial" w:hAnsi="Arial" w:cs="Arial"/>
        </w:rPr>
        <w:t>(Annex</w:t>
      </w:r>
      <w:r>
        <w:rPr>
          <w:rFonts w:ascii="Arial" w:hAnsi="Arial" w:cs="Arial"/>
        </w:rPr>
        <w:t>es I and IV of Council Regulation (EC) No. 428/2009, last amended by Regulation (EU) No. 2199/2019</w:t>
      </w:r>
      <w:r w:rsidRPr="008E51C9">
        <w:rPr>
          <w:rFonts w:ascii="Arial" w:hAnsi="Arial" w:cs="Arial"/>
        </w:rPr>
        <w:t>).</w:t>
      </w:r>
    </w:p>
    <w:p w14:paraId="24EF9AA6" w14:textId="77777777" w:rsidR="00523066" w:rsidRPr="008E51C9" w:rsidRDefault="00523066" w:rsidP="00523066">
      <w:pPr>
        <w:pStyle w:val="ListParagraph"/>
        <w:ind w:left="792"/>
        <w:rPr>
          <w:rFonts w:ascii="Arial" w:hAnsi="Arial" w:cs="Arial"/>
        </w:rPr>
      </w:pPr>
    </w:p>
    <w:p w14:paraId="170CA853" w14:textId="77777777" w:rsidR="00523066" w:rsidRDefault="00523066" w:rsidP="00523066">
      <w:pPr>
        <w:pStyle w:val="ListParagraph"/>
        <w:numPr>
          <w:ilvl w:val="1"/>
          <w:numId w:val="10"/>
        </w:numPr>
        <w:ind w:hanging="792"/>
        <w:rPr>
          <w:rFonts w:ascii="Arial" w:hAnsi="Arial" w:cs="Arial"/>
        </w:rPr>
      </w:pPr>
      <w:r w:rsidRPr="008E51C9">
        <w:rPr>
          <w:rFonts w:ascii="Arial" w:hAnsi="Arial" w:cs="Arial"/>
        </w:rPr>
        <w:t>T</w:t>
      </w:r>
      <w:r>
        <w:rPr>
          <w:rFonts w:ascii="Arial" w:hAnsi="Arial" w:cs="Arial"/>
        </w:rPr>
        <w:t>o ensure that the Government can adequately protect national security by preventing the acquisition of relevant enterprises, not just the export of controlled items, t</w:t>
      </w:r>
      <w:r w:rsidRPr="008E51C9">
        <w:rPr>
          <w:rFonts w:ascii="Arial" w:hAnsi="Arial" w:cs="Arial"/>
        </w:rPr>
        <w:t xml:space="preserve">he </w:t>
      </w:r>
      <w:r>
        <w:rPr>
          <w:rFonts w:ascii="Arial" w:hAnsi="Arial" w:cs="Arial"/>
        </w:rPr>
        <w:t>provisions brought</w:t>
      </w:r>
      <w:r w:rsidRPr="00E750CC">
        <w:rPr>
          <w:rFonts w:ascii="Arial" w:hAnsi="Arial" w:cs="Arial"/>
        </w:rPr>
        <w:t xml:space="preserve"> </w:t>
      </w:r>
      <w:r w:rsidRPr="0098180B">
        <w:rPr>
          <w:rFonts w:ascii="Arial" w:hAnsi="Arial" w:cs="Arial"/>
        </w:rPr>
        <w:t xml:space="preserve">into scope of the </w:t>
      </w:r>
      <w:r>
        <w:rPr>
          <w:rFonts w:ascii="Arial" w:hAnsi="Arial" w:cs="Arial"/>
        </w:rPr>
        <w:t>amended tests</w:t>
      </w:r>
      <w:r w:rsidRPr="0098180B">
        <w:rPr>
          <w:rFonts w:ascii="Arial" w:hAnsi="Arial" w:cs="Arial"/>
        </w:rPr>
        <w:t xml:space="preserve"> under the Act</w:t>
      </w:r>
      <w:r>
        <w:rPr>
          <w:rFonts w:ascii="Arial" w:hAnsi="Arial" w:cs="Arial"/>
        </w:rPr>
        <w:t xml:space="preserve"> </w:t>
      </w:r>
      <w:r w:rsidRPr="008E51C9">
        <w:rPr>
          <w:rFonts w:ascii="Arial" w:hAnsi="Arial" w:cs="Arial"/>
        </w:rPr>
        <w:t>businesses that</w:t>
      </w:r>
      <w:r>
        <w:rPr>
          <w:rFonts w:ascii="Arial" w:hAnsi="Arial" w:cs="Arial"/>
        </w:rPr>
        <w:t>:</w:t>
      </w:r>
    </w:p>
    <w:p w14:paraId="5BA23FB5" w14:textId="77777777" w:rsidR="00523066" w:rsidRDefault="00523066" w:rsidP="00523066">
      <w:pPr>
        <w:pStyle w:val="ListParagraph"/>
        <w:numPr>
          <w:ilvl w:val="2"/>
          <w:numId w:val="10"/>
        </w:numPr>
        <w:ind w:left="1418" w:hanging="425"/>
        <w:rPr>
          <w:rFonts w:ascii="Arial" w:hAnsi="Arial" w:cs="Arial"/>
        </w:rPr>
      </w:pPr>
      <w:r>
        <w:rPr>
          <w:rFonts w:ascii="Arial" w:hAnsi="Arial" w:cs="Arial"/>
          <w:b/>
        </w:rPr>
        <w:t>develop or produce</w:t>
      </w:r>
      <w:r w:rsidRPr="008E51C9">
        <w:rPr>
          <w:rFonts w:ascii="Arial" w:hAnsi="Arial" w:cs="Arial"/>
          <w:b/>
        </w:rPr>
        <w:t xml:space="preserve"> </w:t>
      </w:r>
      <w:r w:rsidRPr="008E51C9">
        <w:rPr>
          <w:rFonts w:ascii="Arial" w:hAnsi="Arial" w:cs="Arial"/>
        </w:rPr>
        <w:t xml:space="preserve">these goods or services </w:t>
      </w:r>
      <w:r>
        <w:rPr>
          <w:rFonts w:ascii="Arial" w:hAnsi="Arial" w:cs="Arial"/>
        </w:rPr>
        <w:t xml:space="preserve">or; </w:t>
      </w:r>
    </w:p>
    <w:p w14:paraId="7A72EE7F" w14:textId="77777777" w:rsidR="00523066" w:rsidRPr="00EF024E" w:rsidRDefault="00523066" w:rsidP="00523066">
      <w:pPr>
        <w:pStyle w:val="ListParagraph"/>
        <w:numPr>
          <w:ilvl w:val="2"/>
          <w:numId w:val="10"/>
        </w:numPr>
        <w:ind w:left="1418" w:hanging="425"/>
        <w:rPr>
          <w:rFonts w:ascii="Arial" w:hAnsi="Arial" w:cs="Arial"/>
        </w:rPr>
      </w:pPr>
      <w:r w:rsidRPr="00EF024E">
        <w:rPr>
          <w:rFonts w:ascii="Arial" w:hAnsi="Arial" w:cs="Arial"/>
          <w:b/>
        </w:rPr>
        <w:t xml:space="preserve">hold related information </w:t>
      </w:r>
      <w:r w:rsidRPr="00EF024E">
        <w:rPr>
          <w:rFonts w:ascii="Arial" w:hAnsi="Arial" w:cs="Arial"/>
        </w:rPr>
        <w:t>(including but not limited to information comprised in software and documents such as blueprints, manuals, diagrams and designs)</w:t>
      </w:r>
      <w:r w:rsidRPr="00EF024E">
        <w:rPr>
          <w:rFonts w:ascii="Arial" w:hAnsi="Arial" w:cs="Arial"/>
          <w:b/>
        </w:rPr>
        <w:t xml:space="preserve"> </w:t>
      </w:r>
      <w:r w:rsidRPr="00EF024E">
        <w:rPr>
          <w:rFonts w:ascii="Arial" w:hAnsi="Arial" w:cs="Arial"/>
        </w:rPr>
        <w:t xml:space="preserve">that is capable of use in connection with the development or production of these goods </w:t>
      </w:r>
      <w:r w:rsidRPr="00EF024E">
        <w:rPr>
          <w:rFonts w:ascii="Arial" w:hAnsi="Arial" w:cs="Arial"/>
          <w:u w:val="single"/>
        </w:rPr>
        <w:t>and</w:t>
      </w:r>
      <w:r w:rsidRPr="00EF024E">
        <w:rPr>
          <w:rFonts w:ascii="Arial" w:hAnsi="Arial" w:cs="Arial"/>
        </w:rPr>
        <w:t xml:space="preserve"> the information is responsible for achieving or exceeding the performance levels, characteristics or functions of the good or service where ‘these goods or services’ are items on the lists set out in 3.4</w:t>
      </w:r>
    </w:p>
    <w:p w14:paraId="263485FC" w14:textId="77777777" w:rsidR="00523066" w:rsidRPr="00983600" w:rsidRDefault="00523066" w:rsidP="00523066">
      <w:pPr>
        <w:pStyle w:val="ListParagraph"/>
        <w:ind w:left="0"/>
        <w:rPr>
          <w:rFonts w:ascii="Arial" w:hAnsi="Arial" w:cs="Arial"/>
        </w:rPr>
      </w:pPr>
    </w:p>
    <w:p w14:paraId="4804D429" w14:textId="77777777" w:rsidR="00523066" w:rsidRPr="008E51C9" w:rsidRDefault="00523066" w:rsidP="00523066">
      <w:pPr>
        <w:pStyle w:val="ListParagraph"/>
        <w:numPr>
          <w:ilvl w:val="1"/>
          <w:numId w:val="10"/>
        </w:numPr>
        <w:ind w:hanging="792"/>
        <w:rPr>
          <w:rFonts w:ascii="Arial" w:hAnsi="Arial" w:cs="Arial"/>
        </w:rPr>
      </w:pPr>
      <w:r w:rsidRPr="008E51C9">
        <w:rPr>
          <w:rFonts w:ascii="Arial" w:hAnsi="Arial" w:cs="Arial"/>
        </w:rPr>
        <w:t xml:space="preserve">The </w:t>
      </w:r>
      <w:r>
        <w:rPr>
          <w:rFonts w:ascii="Arial" w:hAnsi="Arial" w:cs="Arial"/>
        </w:rPr>
        <w:t xml:space="preserve">revised thresholds do </w:t>
      </w:r>
      <w:r w:rsidRPr="008E51C9">
        <w:rPr>
          <w:rFonts w:ascii="Arial" w:hAnsi="Arial" w:cs="Arial"/>
          <w:u w:val="single"/>
        </w:rPr>
        <w:t>not</w:t>
      </w:r>
      <w:r w:rsidRPr="008E51C9">
        <w:rPr>
          <w:rFonts w:ascii="Arial" w:hAnsi="Arial" w:cs="Arial"/>
        </w:rPr>
        <w:t xml:space="preserve"> apply to the </w:t>
      </w:r>
      <w:r>
        <w:rPr>
          <w:rFonts w:ascii="Arial" w:hAnsi="Arial" w:cs="Arial"/>
        </w:rPr>
        <w:t>development or production</w:t>
      </w:r>
      <w:r w:rsidRPr="008E51C9">
        <w:rPr>
          <w:rFonts w:ascii="Arial" w:hAnsi="Arial" w:cs="Arial"/>
        </w:rPr>
        <w:t xml:space="preserve"> of </w:t>
      </w:r>
      <w:r>
        <w:rPr>
          <w:rFonts w:ascii="Arial" w:hAnsi="Arial" w:cs="Arial"/>
        </w:rPr>
        <w:t xml:space="preserve">equipment or </w:t>
      </w:r>
      <w:r w:rsidRPr="008E51C9">
        <w:rPr>
          <w:rFonts w:ascii="Arial" w:hAnsi="Arial" w:cs="Arial"/>
        </w:rPr>
        <w:t>com</w:t>
      </w:r>
      <w:r>
        <w:rPr>
          <w:rFonts w:ascii="Arial" w:hAnsi="Arial" w:cs="Arial"/>
        </w:rPr>
        <w:t>ponents not on the above lists.</w:t>
      </w:r>
    </w:p>
    <w:p w14:paraId="7C4C0AE6" w14:textId="77777777" w:rsidR="00523066" w:rsidRPr="008E51C9" w:rsidRDefault="00523066" w:rsidP="00523066">
      <w:pPr>
        <w:pStyle w:val="ListParagraph"/>
        <w:rPr>
          <w:rFonts w:ascii="Arial" w:hAnsi="Arial" w:cs="Arial"/>
        </w:rPr>
      </w:pPr>
    </w:p>
    <w:p w14:paraId="0C4B09E0" w14:textId="77777777" w:rsidR="00523066" w:rsidRPr="001B6A55"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b/>
          <w:color w:val="1F497D"/>
        </w:rPr>
      </w:pPr>
      <w:r w:rsidRPr="001B6A55">
        <w:rPr>
          <w:rFonts w:ascii="Arial" w:hAnsi="Arial" w:cs="Arial"/>
          <w:b/>
          <w:color w:val="1F497D"/>
        </w:rPr>
        <w:t>The development and production of military and dual-use items – example of what is</w:t>
      </w:r>
      <w:r>
        <w:rPr>
          <w:rFonts w:ascii="Arial" w:hAnsi="Arial" w:cs="Arial"/>
          <w:b/>
          <w:color w:val="1F497D"/>
        </w:rPr>
        <w:t xml:space="preserve"> </w:t>
      </w:r>
      <w:r w:rsidRPr="001B6A55">
        <w:rPr>
          <w:rFonts w:ascii="Arial" w:hAnsi="Arial" w:cs="Arial"/>
          <w:b/>
          <w:color w:val="1F497D"/>
        </w:rPr>
        <w:t xml:space="preserve">covered </w:t>
      </w:r>
    </w:p>
    <w:p w14:paraId="35C694A4" w14:textId="77777777" w:rsidR="00523066" w:rsidRPr="001B6A55"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b/>
          <w:color w:val="1F497D"/>
        </w:rPr>
      </w:pPr>
    </w:p>
    <w:p w14:paraId="1E412F3F" w14:textId="77777777" w:rsidR="00523066" w:rsidRPr="001B6A55"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i/>
          <w:color w:val="1F497D"/>
        </w:rPr>
      </w:pPr>
      <w:r w:rsidRPr="001B6A55">
        <w:rPr>
          <w:rFonts w:ascii="Arial" w:hAnsi="Arial" w:cs="Arial"/>
          <w:i/>
          <w:color w:val="1F497D"/>
        </w:rPr>
        <w:t>Ships</w:t>
      </w:r>
    </w:p>
    <w:p w14:paraId="45BE4B4B"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r w:rsidRPr="008E51C9">
        <w:rPr>
          <w:rFonts w:ascii="Arial" w:hAnsi="Arial" w:cs="Arial"/>
        </w:rPr>
        <w:t xml:space="preserve">Waterborne vessels can, in theory, be used for military or civil purposes. However, the vast majority of boats do not fall under export control – nor, therefore, </w:t>
      </w:r>
      <w:r>
        <w:rPr>
          <w:rFonts w:ascii="Arial" w:hAnsi="Arial" w:cs="Arial"/>
        </w:rPr>
        <w:t xml:space="preserve">would the </w:t>
      </w:r>
      <w:r w:rsidRPr="008E51C9">
        <w:rPr>
          <w:rFonts w:ascii="Arial" w:hAnsi="Arial" w:cs="Arial"/>
        </w:rPr>
        <w:t xml:space="preserve">manufacturers or designers </w:t>
      </w:r>
      <w:r>
        <w:rPr>
          <w:rFonts w:ascii="Arial" w:hAnsi="Arial" w:cs="Arial"/>
        </w:rPr>
        <w:t xml:space="preserve">of that majority of boats </w:t>
      </w:r>
      <w:r w:rsidRPr="008E51C9">
        <w:rPr>
          <w:rFonts w:ascii="Arial" w:hAnsi="Arial" w:cs="Arial"/>
        </w:rPr>
        <w:t xml:space="preserve">come into scope of the </w:t>
      </w:r>
      <w:r>
        <w:rPr>
          <w:rFonts w:ascii="Arial" w:hAnsi="Arial" w:cs="Arial"/>
        </w:rPr>
        <w:t>2018 provisions</w:t>
      </w:r>
      <w:r w:rsidRPr="008E51C9">
        <w:rPr>
          <w:rFonts w:ascii="Arial" w:hAnsi="Arial" w:cs="Arial"/>
        </w:rPr>
        <w:t xml:space="preserve">. </w:t>
      </w:r>
    </w:p>
    <w:p w14:paraId="305B5A0F"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p>
    <w:p w14:paraId="3B9AB4CF"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r w:rsidRPr="008E51C9">
        <w:rPr>
          <w:rFonts w:ascii="Arial" w:hAnsi="Arial" w:cs="Arial"/>
        </w:rPr>
        <w:t>Specifically, the UK Military List includes only specific types</w:t>
      </w:r>
      <w:r>
        <w:rPr>
          <w:rFonts w:ascii="Arial" w:hAnsi="Arial" w:cs="Arial"/>
        </w:rPr>
        <w:t xml:space="preserve"> of </w:t>
      </w:r>
      <w:r>
        <w:rPr>
          <w:rFonts w:ascii="Arial" w:hAnsi="Arial" w:cs="Arial"/>
          <w:b/>
          <w:i/>
        </w:rPr>
        <w:t>waterborne vessels</w:t>
      </w:r>
      <w:r w:rsidRPr="008E51C9">
        <w:rPr>
          <w:rFonts w:ascii="Arial" w:hAnsi="Arial" w:cs="Arial"/>
        </w:rPr>
        <w:t xml:space="preserve">. Under section ML9, it stipulates that only “vessels of war” </w:t>
      </w:r>
      <w:r>
        <w:rPr>
          <w:rFonts w:ascii="Arial" w:hAnsi="Arial" w:cs="Arial"/>
        </w:rPr>
        <w:t xml:space="preserve">and specially designed components for those vessels </w:t>
      </w:r>
      <w:r w:rsidRPr="008E51C9">
        <w:rPr>
          <w:rFonts w:ascii="Arial" w:hAnsi="Arial" w:cs="Arial"/>
        </w:rPr>
        <w:t>are subject to export control. It goes on to specify that this means, for example, vessels “</w:t>
      </w:r>
      <w:r>
        <w:rPr>
          <w:rFonts w:ascii="Arial" w:hAnsi="Arial" w:cs="Arial"/>
        </w:rPr>
        <w:t xml:space="preserve">specially </w:t>
      </w:r>
      <w:r w:rsidRPr="008E51C9">
        <w:rPr>
          <w:rFonts w:ascii="Arial" w:hAnsi="Arial" w:cs="Arial"/>
        </w:rPr>
        <w:t xml:space="preserve">designed or modified for military use” (ML9.a.1) and/or with “automatic weapons” integrated (ML9.a.2.a) are subject to export control. Manufacturers of non-military vessels, therefore, </w:t>
      </w:r>
      <w:r>
        <w:rPr>
          <w:rFonts w:ascii="Arial" w:hAnsi="Arial" w:cs="Arial"/>
        </w:rPr>
        <w:t>were</w:t>
      </w:r>
      <w:r w:rsidRPr="008E51C9">
        <w:rPr>
          <w:rFonts w:ascii="Arial" w:hAnsi="Arial" w:cs="Arial"/>
        </w:rPr>
        <w:t xml:space="preserve"> unaffected by the changes made by the </w:t>
      </w:r>
      <w:r>
        <w:rPr>
          <w:rFonts w:ascii="Arial" w:hAnsi="Arial" w:cs="Arial"/>
        </w:rPr>
        <w:t>2018 provisions</w:t>
      </w:r>
      <w:r w:rsidRPr="008E51C9">
        <w:rPr>
          <w:rFonts w:ascii="Arial" w:hAnsi="Arial" w:cs="Arial"/>
        </w:rPr>
        <w:t xml:space="preserve">. </w:t>
      </w:r>
    </w:p>
    <w:p w14:paraId="39174E5A" w14:textId="77777777" w:rsidR="00523066" w:rsidRPr="008E51C9" w:rsidRDefault="00523066" w:rsidP="00523066">
      <w:pPr>
        <w:ind w:left="360"/>
        <w:rPr>
          <w:rFonts w:ascii="Arial" w:hAnsi="Arial" w:cs="Arial"/>
        </w:rPr>
      </w:pPr>
    </w:p>
    <w:p w14:paraId="4E25B4C7" w14:textId="77777777" w:rsidR="00523066" w:rsidRPr="008E51C9" w:rsidRDefault="00523066" w:rsidP="00523066"/>
    <w:p w14:paraId="17950738" w14:textId="77777777" w:rsidR="00523066" w:rsidRPr="008E51C9" w:rsidRDefault="00523066" w:rsidP="00523066">
      <w:pPr>
        <w:pStyle w:val="Guidance3"/>
      </w:pPr>
      <w:r w:rsidRPr="008E51C9">
        <w:t xml:space="preserve">How to check whether </w:t>
      </w:r>
      <w:r>
        <w:t xml:space="preserve">a business in this sector comes into scope of the provisions </w:t>
      </w:r>
    </w:p>
    <w:p w14:paraId="4B42A96A" w14:textId="77777777" w:rsidR="00523066" w:rsidRPr="008E51C9" w:rsidRDefault="00523066" w:rsidP="00523066">
      <w:pPr>
        <w:pStyle w:val="ListParagraph"/>
        <w:numPr>
          <w:ilvl w:val="1"/>
          <w:numId w:val="10"/>
        </w:numPr>
        <w:ind w:hanging="792"/>
        <w:rPr>
          <w:rFonts w:ascii="Arial" w:hAnsi="Arial" w:cs="Arial"/>
        </w:rPr>
      </w:pPr>
      <w:r w:rsidRPr="008E51C9">
        <w:rPr>
          <w:rFonts w:ascii="Arial" w:hAnsi="Arial" w:cs="Arial"/>
        </w:rPr>
        <w:t xml:space="preserve">A large proportion of the items are on the lists are clear and unambiguous. For example, existing businesses and would-be investors will be under no doubt as to whether they: </w:t>
      </w:r>
    </w:p>
    <w:p w14:paraId="576A1894"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produce semi-automatic type weapons (ML1.b.2.b);</w:t>
      </w:r>
    </w:p>
    <w:p w14:paraId="1C3DD423"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design rotor</w:t>
      </w:r>
      <w:r>
        <w:rPr>
          <w:rFonts w:ascii="Arial" w:hAnsi="Arial" w:cs="Arial"/>
        </w:rPr>
        <w:t xml:space="preserve"> </w:t>
      </w:r>
      <w:r w:rsidRPr="008E51C9">
        <w:rPr>
          <w:rFonts w:ascii="Arial" w:hAnsi="Arial" w:cs="Arial"/>
        </w:rPr>
        <w:t xml:space="preserve">blades incorporating “variable geometry airfoils” for helicopters (7E004); </w:t>
      </w:r>
      <w:r>
        <w:rPr>
          <w:rFonts w:ascii="Arial" w:hAnsi="Arial" w:cs="Arial"/>
        </w:rPr>
        <w:t>or</w:t>
      </w:r>
    </w:p>
    <w:p w14:paraId="0B000B8C"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 xml:space="preserve">manufacture sensors </w:t>
      </w:r>
      <w:r>
        <w:rPr>
          <w:rFonts w:ascii="Arial" w:hAnsi="Arial" w:cs="Arial"/>
        </w:rPr>
        <w:t>specially</w:t>
      </w:r>
      <w:r w:rsidRPr="008E51C9">
        <w:rPr>
          <w:rFonts w:ascii="Arial" w:hAnsi="Arial" w:cs="Arial"/>
        </w:rPr>
        <w:t xml:space="preserve"> designed for wind tunnels designed for speeds of Mach 1.2 or over (9B005.a).</w:t>
      </w:r>
    </w:p>
    <w:p w14:paraId="1BC7C29E" w14:textId="77777777" w:rsidR="00523066" w:rsidRPr="008E51C9" w:rsidRDefault="00523066" w:rsidP="00523066">
      <w:pPr>
        <w:pStyle w:val="ListParagraph"/>
        <w:rPr>
          <w:rFonts w:ascii="Arial" w:hAnsi="Arial" w:cs="Arial"/>
        </w:rPr>
      </w:pPr>
    </w:p>
    <w:p w14:paraId="5981E92F" w14:textId="77777777" w:rsidR="00523066" w:rsidRPr="008E51C9" w:rsidRDefault="00523066" w:rsidP="00523066">
      <w:pPr>
        <w:pStyle w:val="ListParagraph"/>
        <w:numPr>
          <w:ilvl w:val="1"/>
          <w:numId w:val="10"/>
        </w:numPr>
        <w:ind w:hanging="792"/>
        <w:rPr>
          <w:rFonts w:ascii="Arial" w:hAnsi="Arial" w:cs="Arial"/>
        </w:rPr>
      </w:pPr>
      <w:r w:rsidRPr="008E51C9">
        <w:rPr>
          <w:rFonts w:ascii="Arial" w:hAnsi="Arial" w:cs="Arial"/>
        </w:rPr>
        <w:t>If there had been doubt, the well-established and reasonable principle of export control, and the specific UK system for this, means the Government expects businesses will be reasonably aware that export of their goods is</w:t>
      </w:r>
      <w:r w:rsidRPr="004B6EF7">
        <w:rPr>
          <w:rFonts w:ascii="Arial" w:hAnsi="Arial" w:cs="Arial"/>
        </w:rPr>
        <w:t xml:space="preserve"> </w:t>
      </w:r>
      <w:r w:rsidRPr="008E51C9">
        <w:rPr>
          <w:rFonts w:ascii="Arial" w:hAnsi="Arial" w:cs="Arial"/>
        </w:rPr>
        <w:t>subject to export control, or would be</w:t>
      </w:r>
      <w:r>
        <w:rPr>
          <w:rFonts w:ascii="Arial" w:hAnsi="Arial" w:cs="Arial"/>
        </w:rPr>
        <w:t xml:space="preserve"> </w:t>
      </w:r>
      <w:r w:rsidRPr="008E51C9">
        <w:rPr>
          <w:rFonts w:ascii="Arial" w:hAnsi="Arial" w:cs="Arial"/>
        </w:rPr>
        <w:t>subject to export control</w:t>
      </w:r>
      <w:r>
        <w:rPr>
          <w:rFonts w:ascii="Arial" w:hAnsi="Arial" w:cs="Arial"/>
        </w:rPr>
        <w:t xml:space="preserve"> if they </w:t>
      </w:r>
      <w:r>
        <w:rPr>
          <w:rFonts w:ascii="Arial" w:hAnsi="Arial" w:cs="Arial"/>
        </w:rPr>
        <w:lastRenderedPageBreak/>
        <w:t>transferred them to other countries</w:t>
      </w:r>
      <w:r w:rsidRPr="008E51C9">
        <w:rPr>
          <w:rFonts w:ascii="Arial" w:hAnsi="Arial" w:cs="Arial"/>
        </w:rPr>
        <w:t>. This similarly applies to a business or entity giving serious consideration to acquiring (or merging with) a business.</w:t>
      </w:r>
    </w:p>
    <w:p w14:paraId="67DB9C58" w14:textId="77777777" w:rsidR="00523066" w:rsidRPr="008E51C9" w:rsidRDefault="00523066" w:rsidP="00523066">
      <w:pPr>
        <w:pStyle w:val="ListParagraph"/>
        <w:rPr>
          <w:rFonts w:ascii="Arial" w:hAnsi="Arial" w:cs="Arial"/>
        </w:rPr>
      </w:pPr>
    </w:p>
    <w:p w14:paraId="6F09C7DD" w14:textId="77777777" w:rsidR="00523066" w:rsidRDefault="00523066" w:rsidP="00523066">
      <w:pPr>
        <w:pStyle w:val="ListParagraph"/>
        <w:numPr>
          <w:ilvl w:val="1"/>
          <w:numId w:val="10"/>
        </w:numPr>
        <w:ind w:hanging="792"/>
        <w:rPr>
          <w:rFonts w:ascii="Arial" w:hAnsi="Arial" w:cs="Arial"/>
        </w:rPr>
      </w:pPr>
      <w:r w:rsidRPr="008E51C9">
        <w:rPr>
          <w:rFonts w:ascii="Arial" w:hAnsi="Arial" w:cs="Arial"/>
        </w:rPr>
        <w:t xml:space="preserve">However, the Government accepts that there may be some businesses or investors who may be unsure as to whether they are covered by the scope of </w:t>
      </w:r>
      <w:r>
        <w:rPr>
          <w:rFonts w:ascii="Arial" w:hAnsi="Arial" w:cs="Arial"/>
        </w:rPr>
        <w:t>provisions</w:t>
      </w:r>
      <w:r w:rsidRPr="008E51C9">
        <w:rPr>
          <w:rFonts w:ascii="Arial" w:hAnsi="Arial" w:cs="Arial"/>
        </w:rPr>
        <w:t xml:space="preserve">. This might be particularly the case if the business has not, to date, exported items. Equally, there may be investors interested in acquiring a business who may not be sufficiently familiar with its activities to have confidence about whether it would be covered by the </w:t>
      </w:r>
      <w:r>
        <w:rPr>
          <w:rFonts w:ascii="Arial" w:hAnsi="Arial" w:cs="Arial"/>
        </w:rPr>
        <w:t>provisions</w:t>
      </w:r>
      <w:r w:rsidRPr="008E51C9">
        <w:rPr>
          <w:rFonts w:ascii="Arial" w:hAnsi="Arial" w:cs="Arial"/>
        </w:rPr>
        <w:t xml:space="preserve">, and therefore the amended thresholds for Government intervention on national security grounds. </w:t>
      </w:r>
    </w:p>
    <w:p w14:paraId="654558B4" w14:textId="77777777" w:rsidR="00523066" w:rsidRPr="008E51C9" w:rsidRDefault="00523066" w:rsidP="00523066">
      <w:pPr>
        <w:pStyle w:val="ListParagraph"/>
        <w:ind w:left="0"/>
        <w:rPr>
          <w:rFonts w:ascii="Arial" w:hAnsi="Arial" w:cs="Arial"/>
        </w:rPr>
      </w:pPr>
    </w:p>
    <w:p w14:paraId="3068CF21" w14:textId="77777777" w:rsidR="00523066" w:rsidRPr="008E51C9" w:rsidRDefault="00523066" w:rsidP="00523066">
      <w:pPr>
        <w:pStyle w:val="ListParagraph"/>
        <w:numPr>
          <w:ilvl w:val="1"/>
          <w:numId w:val="10"/>
        </w:numPr>
        <w:ind w:hanging="792"/>
        <w:rPr>
          <w:rFonts w:ascii="Arial" w:hAnsi="Arial" w:cs="Arial"/>
        </w:rPr>
      </w:pPr>
      <w:r w:rsidRPr="008E51C9">
        <w:rPr>
          <w:rFonts w:ascii="Arial" w:hAnsi="Arial" w:cs="Arial"/>
        </w:rPr>
        <w:t xml:space="preserve">If a party would like </w:t>
      </w:r>
      <w:r>
        <w:rPr>
          <w:rFonts w:ascii="Arial" w:hAnsi="Arial" w:cs="Arial"/>
        </w:rPr>
        <w:t>assistance with this</w:t>
      </w:r>
      <w:r w:rsidRPr="008E51C9">
        <w:rPr>
          <w:rFonts w:ascii="Arial" w:hAnsi="Arial" w:cs="Arial"/>
        </w:rPr>
        <w:t xml:space="preserve">, </w:t>
      </w:r>
      <w:r>
        <w:rPr>
          <w:rFonts w:ascii="Arial" w:hAnsi="Arial" w:cs="Arial"/>
        </w:rPr>
        <w:t xml:space="preserve">the </w:t>
      </w:r>
      <w:r w:rsidRPr="008E51C9">
        <w:rPr>
          <w:rFonts w:ascii="Arial" w:hAnsi="Arial" w:cs="Arial"/>
        </w:rPr>
        <w:t>Government advises parties to use the Goods Checker Tool</w:t>
      </w:r>
      <w:r w:rsidRPr="008E51C9">
        <w:rPr>
          <w:rStyle w:val="FootnoteReference"/>
          <w:rFonts w:ascii="Arial" w:hAnsi="Arial" w:cs="Arial"/>
        </w:rPr>
        <w:footnoteReference w:id="13"/>
      </w:r>
      <w:r w:rsidRPr="008E51C9">
        <w:rPr>
          <w:rFonts w:ascii="Arial" w:hAnsi="Arial" w:cs="Arial"/>
        </w:rPr>
        <w:t xml:space="preserve">. Guidance is also available about how parties should best use </w:t>
      </w:r>
      <w:r w:rsidRPr="00CA0711">
        <w:rPr>
          <w:rFonts w:ascii="Arial" w:hAnsi="Arial" w:cs="Arial"/>
        </w:rPr>
        <w:t>the tool</w:t>
      </w:r>
      <w:r w:rsidRPr="00CA0711">
        <w:rPr>
          <w:rStyle w:val="FootnoteReference"/>
          <w:rFonts w:ascii="Arial" w:hAnsi="Arial" w:cs="Arial"/>
        </w:rPr>
        <w:footnoteReference w:id="14"/>
      </w:r>
      <w:r>
        <w:rPr>
          <w:rFonts w:ascii="Arial" w:hAnsi="Arial" w:cs="Arial"/>
        </w:rPr>
        <w:t xml:space="preserve"> </w:t>
      </w:r>
      <w:r w:rsidRPr="00CA0711">
        <w:rPr>
          <w:rStyle w:val="FootnoteReference"/>
          <w:rFonts w:ascii="Arial" w:hAnsi="Arial" w:cs="Arial"/>
        </w:rPr>
        <w:footnoteReference w:id="15"/>
      </w:r>
      <w:r w:rsidRPr="00CA0711">
        <w:rPr>
          <w:rFonts w:ascii="Arial" w:hAnsi="Arial" w:cs="Arial"/>
        </w:rPr>
        <w:t>.</w:t>
      </w:r>
    </w:p>
    <w:p w14:paraId="3FDEE161" w14:textId="77777777" w:rsidR="00523066" w:rsidRPr="008E51C9" w:rsidRDefault="00523066" w:rsidP="00523066">
      <w:pPr>
        <w:pStyle w:val="ListParagraph"/>
        <w:rPr>
          <w:rFonts w:ascii="Arial" w:hAnsi="Arial" w:cs="Arial"/>
        </w:rPr>
      </w:pPr>
    </w:p>
    <w:p w14:paraId="64792F83" w14:textId="77777777" w:rsidR="00523066" w:rsidRPr="008E51C9" w:rsidRDefault="00523066" w:rsidP="00523066">
      <w:pPr>
        <w:pStyle w:val="ListParagraph"/>
        <w:numPr>
          <w:ilvl w:val="1"/>
          <w:numId w:val="10"/>
        </w:numPr>
        <w:ind w:hanging="792"/>
        <w:rPr>
          <w:rFonts w:ascii="Arial" w:hAnsi="Arial" w:cs="Arial"/>
        </w:rPr>
      </w:pPr>
      <w:r w:rsidRPr="008E51C9">
        <w:rPr>
          <w:rFonts w:ascii="Arial" w:hAnsi="Arial" w:cs="Arial"/>
        </w:rPr>
        <w:t>If parties have followed these steps and still require further advice</w:t>
      </w:r>
      <w:r>
        <w:rPr>
          <w:rFonts w:ascii="Arial" w:hAnsi="Arial" w:cs="Arial"/>
        </w:rPr>
        <w:t xml:space="preserve"> as to whether particular businesses are subject to the revised thresholds</w:t>
      </w:r>
      <w:r w:rsidRPr="008E51C9">
        <w:rPr>
          <w:rFonts w:ascii="Arial" w:hAnsi="Arial" w:cs="Arial"/>
        </w:rPr>
        <w:t xml:space="preserve">, they can contact </w:t>
      </w:r>
      <w:r>
        <w:rPr>
          <w:rFonts w:ascii="Arial" w:hAnsi="Arial" w:cs="Arial"/>
        </w:rPr>
        <w:t>nsiireview@beis.gov.uk</w:t>
      </w:r>
      <w:r w:rsidRPr="008E51C9" w:rsidDel="00FC5FBE">
        <w:rPr>
          <w:rFonts w:ascii="Arial" w:hAnsi="Arial" w:cs="Arial"/>
        </w:rPr>
        <w:t xml:space="preserve"> </w:t>
      </w:r>
      <w:r>
        <w:rPr>
          <w:rFonts w:ascii="Arial" w:hAnsi="Arial" w:cs="Arial"/>
        </w:rPr>
        <w:t>w</w:t>
      </w:r>
      <w:r w:rsidRPr="008E51C9">
        <w:rPr>
          <w:rFonts w:ascii="Arial" w:hAnsi="Arial" w:cs="Arial"/>
        </w:rPr>
        <w:t xml:space="preserve">ith specific queries. The Government will endeavour to provide clear, informal (non-binding) advice as quickly as possible. However, any such advice (like this guidance) </w:t>
      </w:r>
      <w:r>
        <w:rPr>
          <w:rFonts w:ascii="Arial" w:hAnsi="Arial" w:cs="Arial"/>
        </w:rPr>
        <w:t>is not legal advice.</w:t>
      </w:r>
      <w:r w:rsidRPr="008E51C9">
        <w:rPr>
          <w:rFonts w:ascii="Arial" w:hAnsi="Arial" w:cs="Arial"/>
        </w:rPr>
        <w:t xml:space="preserve"> </w:t>
      </w:r>
      <w:r>
        <w:rPr>
          <w:rFonts w:ascii="Arial" w:hAnsi="Arial" w:cs="Arial"/>
        </w:rPr>
        <w:t>Businesses are encouraged to seek their own independent legal advice</w:t>
      </w:r>
      <w:r w:rsidRPr="008E51C9">
        <w:rPr>
          <w:rFonts w:ascii="Arial" w:hAnsi="Arial" w:cs="Arial"/>
        </w:rPr>
        <w:t xml:space="preserve">. </w:t>
      </w:r>
    </w:p>
    <w:p w14:paraId="1820964D" w14:textId="77777777" w:rsidR="00523066" w:rsidRPr="008E51C9" w:rsidRDefault="00523066" w:rsidP="00523066">
      <w:pPr>
        <w:pStyle w:val="ListParagraph"/>
        <w:rPr>
          <w:rFonts w:ascii="Arial" w:hAnsi="Arial" w:cs="Arial"/>
          <w:b/>
        </w:rPr>
      </w:pPr>
    </w:p>
    <w:p w14:paraId="3532B60E" w14:textId="77777777" w:rsidR="00523066" w:rsidRPr="008F1A4B" w:rsidRDefault="00523066" w:rsidP="00523066">
      <w:pPr>
        <w:pStyle w:val="Guidance3"/>
      </w:pPr>
      <w:r w:rsidRPr="008F1A4B">
        <w:t>How changes to the SECL</w:t>
      </w:r>
      <w:r>
        <w:t>s</w:t>
      </w:r>
      <w:r w:rsidRPr="008F1A4B">
        <w:t xml:space="preserve"> will affect the </w:t>
      </w:r>
      <w:r>
        <w:t>amended thresholds</w:t>
      </w:r>
    </w:p>
    <w:p w14:paraId="757F05C2" w14:textId="77777777" w:rsidR="00523066" w:rsidRDefault="00523066" w:rsidP="00523066">
      <w:pPr>
        <w:pStyle w:val="ListParagraph"/>
        <w:numPr>
          <w:ilvl w:val="1"/>
          <w:numId w:val="18"/>
        </w:numPr>
        <w:spacing w:after="200"/>
        <w:ind w:left="709" w:hanging="709"/>
        <w:rPr>
          <w:rFonts w:ascii="Arial" w:hAnsi="Arial" w:cs="Arial"/>
        </w:rPr>
      </w:pPr>
      <w:r>
        <w:rPr>
          <w:rFonts w:ascii="Arial" w:hAnsi="Arial" w:cs="Arial"/>
        </w:rPr>
        <w:t xml:space="preserve">The Government </w:t>
      </w:r>
      <w:r w:rsidRPr="00CC0495">
        <w:rPr>
          <w:rFonts w:ascii="Arial" w:hAnsi="Arial" w:cs="Arial"/>
        </w:rPr>
        <w:t>will periodically lay further secondary legislation amending</w:t>
      </w:r>
      <w:r>
        <w:rPr>
          <w:rFonts w:ascii="Arial" w:hAnsi="Arial" w:cs="Arial"/>
        </w:rPr>
        <w:t xml:space="preserve"> section 23A of the Act to reflect updates to the SECLs.</w:t>
      </w:r>
      <w:r w:rsidRPr="00AF3E64">
        <w:rPr>
          <w:rFonts w:ascii="Arial" w:hAnsi="Arial" w:cs="Arial"/>
        </w:rPr>
        <w:t xml:space="preserve"> </w:t>
      </w:r>
      <w:r>
        <w:rPr>
          <w:rFonts w:ascii="Arial" w:hAnsi="Arial" w:cs="Arial"/>
        </w:rPr>
        <w:t>This will ensure that a</w:t>
      </w:r>
      <w:r w:rsidRPr="008F1A4B">
        <w:rPr>
          <w:rFonts w:ascii="Arial" w:hAnsi="Arial" w:cs="Arial"/>
        </w:rPr>
        <w:t xml:space="preserve">s items are added to, or removed from, the list of what is subject to export control – the businesses which design or produce them will similarly be brought into, and out of, scope of the </w:t>
      </w:r>
      <w:r>
        <w:rPr>
          <w:rFonts w:ascii="Arial" w:hAnsi="Arial" w:cs="Arial"/>
        </w:rPr>
        <w:t>amendments to the Act</w:t>
      </w:r>
      <w:r w:rsidRPr="008F1A4B">
        <w:rPr>
          <w:rFonts w:ascii="Arial" w:hAnsi="Arial" w:cs="Arial"/>
        </w:rPr>
        <w:t xml:space="preserve">. The process of amending the lists operates, and will continue to operate, independently from any consideration of whether or not a merger or takeover involving a company designing or manufacturing items on the lists should be subject to </w:t>
      </w:r>
      <w:r>
        <w:rPr>
          <w:rFonts w:ascii="Arial" w:hAnsi="Arial" w:cs="Arial"/>
        </w:rPr>
        <w:t>amended tests.</w:t>
      </w:r>
      <w:r w:rsidRPr="0062432F">
        <w:rPr>
          <w:rFonts w:ascii="Arial" w:hAnsi="Arial" w:cs="Arial"/>
        </w:rPr>
        <w:t xml:space="preserve"> </w:t>
      </w:r>
    </w:p>
    <w:p w14:paraId="250CD90B" w14:textId="77777777" w:rsidR="00523066" w:rsidRDefault="00523066" w:rsidP="00523066">
      <w:pPr>
        <w:pStyle w:val="ListParagraph"/>
        <w:spacing w:after="200"/>
        <w:ind w:left="709"/>
        <w:rPr>
          <w:rFonts w:ascii="Arial" w:hAnsi="Arial" w:cs="Arial"/>
        </w:rPr>
      </w:pPr>
    </w:p>
    <w:p w14:paraId="78EF2E52" w14:textId="77777777" w:rsidR="00523066" w:rsidRDefault="00523066" w:rsidP="00523066">
      <w:pPr>
        <w:pStyle w:val="ListParagraph"/>
        <w:numPr>
          <w:ilvl w:val="1"/>
          <w:numId w:val="18"/>
        </w:numPr>
        <w:spacing w:after="200"/>
        <w:ind w:left="709" w:hanging="709"/>
        <w:rPr>
          <w:rFonts w:ascii="Arial" w:hAnsi="Arial" w:cs="Arial"/>
        </w:rPr>
      </w:pPr>
      <w:r w:rsidRPr="007B2546">
        <w:rPr>
          <w:rFonts w:ascii="Arial" w:hAnsi="Arial" w:cs="Arial"/>
        </w:rPr>
        <w:t>The majority of the items to which the revised tests will apply are controlled for export because they appear on lists agreed in the four international export control regimes</w:t>
      </w:r>
      <w:r w:rsidRPr="008F1A4B">
        <w:rPr>
          <w:rStyle w:val="FootnoteReference"/>
          <w:rFonts w:ascii="Arial" w:hAnsi="Arial" w:cs="Arial"/>
        </w:rPr>
        <w:footnoteReference w:id="16"/>
      </w:r>
      <w:r w:rsidRPr="007B2546">
        <w:rPr>
          <w:rFonts w:ascii="Arial" w:hAnsi="Arial" w:cs="Arial"/>
        </w:rPr>
        <w:t xml:space="preserve">. Changes to these lists are agreed with partner countries in the regimes and implemented either via national legislation or by the EU (or by a combination thereof). Changes to controls on military items, and other items subject to national control, are implemented by way of a statutory instrument. Changes to controls on dual-use items are implemented by the EU through amendment to Council Regulation 428/2009. Updates are done </w:t>
      </w:r>
      <w:r w:rsidRPr="007B2546">
        <w:rPr>
          <w:rFonts w:ascii="Arial" w:hAnsi="Arial" w:cs="Arial"/>
        </w:rPr>
        <w:lastRenderedPageBreak/>
        <w:t>on a regular basis – the UK lists are typically updated every six months, the EU lists on an annual basis. Businesses or other interested parties can subscribe to the Export Control Joint Unit’s Notices to Exporters</w:t>
      </w:r>
      <w:r w:rsidRPr="008F1A4B">
        <w:rPr>
          <w:rStyle w:val="FootnoteReference"/>
          <w:rFonts w:ascii="Arial" w:hAnsi="Arial" w:cs="Arial"/>
        </w:rPr>
        <w:footnoteReference w:id="17"/>
      </w:r>
      <w:r w:rsidRPr="007B2546">
        <w:rPr>
          <w:rFonts w:ascii="Arial" w:hAnsi="Arial" w:cs="Arial"/>
        </w:rPr>
        <w:t xml:space="preserve"> in order to keep updated about these or other related changes.</w:t>
      </w:r>
    </w:p>
    <w:p w14:paraId="0AD0E9E4" w14:textId="77777777" w:rsidR="00523066" w:rsidRDefault="00523066" w:rsidP="00523066">
      <w:pPr>
        <w:pStyle w:val="ListParagraph"/>
        <w:rPr>
          <w:rFonts w:ascii="Arial" w:hAnsi="Arial" w:cs="Arial"/>
        </w:rPr>
      </w:pPr>
    </w:p>
    <w:p w14:paraId="0BA98B1A" w14:textId="77777777" w:rsidR="00523066" w:rsidRPr="007B2546" w:rsidRDefault="00523066" w:rsidP="00523066">
      <w:pPr>
        <w:pStyle w:val="ListParagraph"/>
        <w:numPr>
          <w:ilvl w:val="1"/>
          <w:numId w:val="18"/>
        </w:numPr>
        <w:spacing w:after="200"/>
        <w:ind w:left="709" w:hanging="709"/>
        <w:rPr>
          <w:rFonts w:ascii="Arial" w:hAnsi="Arial" w:cs="Arial"/>
        </w:rPr>
      </w:pPr>
      <w:r w:rsidRPr="007B2546">
        <w:rPr>
          <w:rFonts w:ascii="Arial" w:hAnsi="Arial" w:cs="Arial"/>
        </w:rPr>
        <w:t xml:space="preserve">For the avoidance of doubt, businesses which design or manufacture items subject to </w:t>
      </w:r>
      <w:r w:rsidRPr="001646E7">
        <w:rPr>
          <w:rFonts w:ascii="Arial" w:hAnsi="Arial" w:cs="Arial"/>
        </w:rPr>
        <w:t>temporary</w:t>
      </w:r>
      <w:r w:rsidRPr="007B2546">
        <w:rPr>
          <w:rFonts w:ascii="Arial" w:hAnsi="Arial" w:cs="Arial"/>
        </w:rPr>
        <w:t xml:space="preserve"> export controls will not be in scope of the new thresholds.  </w:t>
      </w:r>
    </w:p>
    <w:p w14:paraId="024A0B90" w14:textId="77777777" w:rsidR="00523066" w:rsidRPr="008E51C9" w:rsidRDefault="00523066" w:rsidP="00523066">
      <w:pPr>
        <w:pStyle w:val="Guidance3"/>
      </w:pPr>
      <w:r>
        <w:t>The Special Public Interest R</w:t>
      </w:r>
      <w:r w:rsidRPr="008E51C9">
        <w:t>egime</w:t>
      </w:r>
    </w:p>
    <w:p w14:paraId="6DAA3FBE" w14:textId="77777777" w:rsidR="00523066" w:rsidRPr="00675064" w:rsidRDefault="00523066" w:rsidP="00523066">
      <w:pPr>
        <w:pStyle w:val="ListParagraph"/>
        <w:numPr>
          <w:ilvl w:val="1"/>
          <w:numId w:val="19"/>
        </w:numPr>
        <w:ind w:hanging="792"/>
        <w:rPr>
          <w:rFonts w:ascii="Arial" w:hAnsi="Arial" w:cs="Arial"/>
        </w:rPr>
      </w:pPr>
      <w:r>
        <w:rPr>
          <w:rFonts w:ascii="Arial" w:hAnsi="Arial" w:cs="Arial"/>
        </w:rPr>
        <w:t xml:space="preserve">Some mergers involving </w:t>
      </w:r>
      <w:r w:rsidRPr="0098685A">
        <w:rPr>
          <w:rFonts w:ascii="Arial" w:hAnsi="Arial" w:cs="Arial"/>
        </w:rPr>
        <w:t xml:space="preserve">businesses which </w:t>
      </w:r>
      <w:r w:rsidRPr="00797D3B">
        <w:rPr>
          <w:rFonts w:ascii="Arial" w:hAnsi="Arial" w:cs="Arial"/>
        </w:rPr>
        <w:t xml:space="preserve">produce </w:t>
      </w:r>
      <w:r w:rsidRPr="0070103B">
        <w:rPr>
          <w:rFonts w:ascii="Arial" w:hAnsi="Arial" w:cs="Arial"/>
        </w:rPr>
        <w:t xml:space="preserve">military and dual-use items </w:t>
      </w:r>
      <w:r>
        <w:rPr>
          <w:rFonts w:ascii="Arial" w:hAnsi="Arial" w:cs="Arial"/>
        </w:rPr>
        <w:t>will</w:t>
      </w:r>
      <w:r w:rsidRPr="0070103B">
        <w:rPr>
          <w:rFonts w:ascii="Arial" w:hAnsi="Arial" w:cs="Arial"/>
        </w:rPr>
        <w:t xml:space="preserve"> </w:t>
      </w:r>
      <w:r>
        <w:rPr>
          <w:rFonts w:ascii="Arial" w:hAnsi="Arial" w:cs="Arial"/>
        </w:rPr>
        <w:t xml:space="preserve">remain </w:t>
      </w:r>
      <w:r w:rsidRPr="0070103B">
        <w:rPr>
          <w:rFonts w:ascii="Arial" w:hAnsi="Arial" w:cs="Arial"/>
        </w:rPr>
        <w:t>covered by the scope of the S</w:t>
      </w:r>
      <w:r>
        <w:rPr>
          <w:rFonts w:ascii="Arial" w:hAnsi="Arial" w:cs="Arial"/>
        </w:rPr>
        <w:t xml:space="preserve">pecial </w:t>
      </w:r>
      <w:r w:rsidRPr="0070103B">
        <w:rPr>
          <w:rFonts w:ascii="Arial" w:hAnsi="Arial" w:cs="Arial"/>
        </w:rPr>
        <w:t>P</w:t>
      </w:r>
      <w:r>
        <w:rPr>
          <w:rFonts w:ascii="Arial" w:hAnsi="Arial" w:cs="Arial"/>
        </w:rPr>
        <w:t xml:space="preserve">ublic </w:t>
      </w:r>
      <w:r w:rsidRPr="0070103B">
        <w:rPr>
          <w:rFonts w:ascii="Arial" w:hAnsi="Arial" w:cs="Arial"/>
        </w:rPr>
        <w:t>I</w:t>
      </w:r>
      <w:r>
        <w:rPr>
          <w:rFonts w:ascii="Arial" w:hAnsi="Arial" w:cs="Arial"/>
        </w:rPr>
        <w:t>nterest R</w:t>
      </w:r>
      <w:r w:rsidRPr="008F1A4B">
        <w:rPr>
          <w:rFonts w:ascii="Arial" w:hAnsi="Arial" w:cs="Arial"/>
        </w:rPr>
        <w:t xml:space="preserve">egime. </w:t>
      </w:r>
      <w:r>
        <w:rPr>
          <w:rFonts w:ascii="Arial" w:hAnsi="Arial" w:cs="Arial"/>
        </w:rPr>
        <w:t xml:space="preserve">Specifically, mergers affecting </w:t>
      </w:r>
      <w:r w:rsidRPr="00675064">
        <w:rPr>
          <w:rFonts w:ascii="Arial" w:hAnsi="Arial" w:cs="Arial"/>
        </w:rPr>
        <w:t>relevant government contractor</w:t>
      </w:r>
      <w:r>
        <w:rPr>
          <w:rFonts w:ascii="Arial" w:hAnsi="Arial" w:cs="Arial"/>
        </w:rPr>
        <w:t>s,</w:t>
      </w:r>
      <w:r w:rsidRPr="00675064">
        <w:rPr>
          <w:rFonts w:ascii="Arial" w:hAnsi="Arial" w:cs="Arial"/>
        </w:rPr>
        <w:t xml:space="preserve"> as defined by section 59 </w:t>
      </w:r>
      <w:r>
        <w:rPr>
          <w:rFonts w:ascii="Arial" w:hAnsi="Arial" w:cs="Arial"/>
        </w:rPr>
        <w:t>of the Act, who</w:t>
      </w:r>
      <w:r w:rsidRPr="00675064">
        <w:rPr>
          <w:rFonts w:ascii="Arial" w:hAnsi="Arial" w:cs="Arial"/>
        </w:rPr>
        <w:t xml:space="preserve"> have been informed that their business holds confidential </w:t>
      </w:r>
      <w:r>
        <w:rPr>
          <w:rFonts w:ascii="Arial" w:hAnsi="Arial" w:cs="Arial"/>
        </w:rPr>
        <w:t>defence-related information and whose turnover and share of supply does not meet the tests set out in the Act.</w:t>
      </w:r>
    </w:p>
    <w:p w14:paraId="375C5137" w14:textId="77777777" w:rsidR="00523066" w:rsidRPr="008E51C9" w:rsidRDefault="00523066" w:rsidP="00523066">
      <w:pPr>
        <w:pStyle w:val="ListParagraph"/>
        <w:ind w:left="1440"/>
        <w:rPr>
          <w:rFonts w:ascii="Arial" w:hAnsi="Arial" w:cs="Arial"/>
        </w:rPr>
      </w:pPr>
    </w:p>
    <w:p w14:paraId="6BA478D4" w14:textId="77777777" w:rsidR="00523066" w:rsidRPr="008E08A0" w:rsidRDefault="00523066" w:rsidP="00523066">
      <w:pPr>
        <w:pStyle w:val="ListParagraph"/>
        <w:numPr>
          <w:ilvl w:val="1"/>
          <w:numId w:val="19"/>
        </w:numPr>
        <w:ind w:hanging="792"/>
        <w:rPr>
          <w:rFonts w:ascii="Arial" w:hAnsi="Arial" w:cs="Arial"/>
          <w:b/>
        </w:rPr>
      </w:pPr>
      <w:r>
        <w:rPr>
          <w:rFonts w:ascii="Arial" w:hAnsi="Arial" w:cs="Arial"/>
        </w:rPr>
        <w:t xml:space="preserve">However, due to the provisions, some mergers that were previously covered by the scope of the Special Public Interest Regime, will now be covered by the tests introduced by the provisions. </w:t>
      </w:r>
    </w:p>
    <w:p w14:paraId="1FBC52A8" w14:textId="77777777" w:rsidR="00523066" w:rsidRPr="008F1A4B" w:rsidRDefault="00523066" w:rsidP="00523066">
      <w:pPr>
        <w:pStyle w:val="ListParagraph"/>
        <w:ind w:left="0"/>
        <w:rPr>
          <w:rFonts w:ascii="Arial" w:hAnsi="Arial" w:cs="Arial"/>
          <w:b/>
        </w:rPr>
      </w:pPr>
    </w:p>
    <w:p w14:paraId="16BBB167" w14:textId="77777777" w:rsidR="00523066" w:rsidRPr="0081482E" w:rsidRDefault="00523066" w:rsidP="00523066">
      <w:pPr>
        <w:pStyle w:val="ListParagraph"/>
        <w:numPr>
          <w:ilvl w:val="1"/>
          <w:numId w:val="19"/>
        </w:numPr>
        <w:ind w:hanging="792"/>
        <w:rPr>
          <w:rFonts w:ascii="Arial" w:hAnsi="Arial" w:cs="Arial"/>
        </w:rPr>
      </w:pPr>
      <w:r w:rsidRPr="0081482E">
        <w:rPr>
          <w:rFonts w:ascii="Arial" w:hAnsi="Arial" w:cs="Arial"/>
        </w:rPr>
        <w:t xml:space="preserve">Given the thresholds also apply to determine which mergers are subject to scrutiny on competition grounds, businesses which are in scope of the thresholds may wish to consider whether a merger they are contemplating raises competition issues. </w:t>
      </w:r>
    </w:p>
    <w:p w14:paraId="39918300" w14:textId="77777777" w:rsidR="00523066" w:rsidRPr="008E51C9" w:rsidRDefault="00523066" w:rsidP="00523066">
      <w:pPr>
        <w:pStyle w:val="Guidance2"/>
      </w:pPr>
      <w:r>
        <w:br w:type="page"/>
      </w:r>
      <w:r>
        <w:lastRenderedPageBreak/>
        <w:t>Computing hardware</w:t>
      </w:r>
    </w:p>
    <w:p w14:paraId="1E5B74E3" w14:textId="77777777" w:rsidR="00523066" w:rsidRPr="008E51C9" w:rsidRDefault="00523066" w:rsidP="00523066">
      <w:pPr>
        <w:rPr>
          <w:rFonts w:ascii="Arial" w:hAnsi="Arial" w:cs="Arial"/>
        </w:rPr>
      </w:pPr>
    </w:p>
    <w:p w14:paraId="359FF2CB" w14:textId="77777777" w:rsidR="00523066" w:rsidRPr="008E51C9" w:rsidRDefault="00523066" w:rsidP="00523066">
      <w:pPr>
        <w:pStyle w:val="Guidance3"/>
      </w:pPr>
      <w:r w:rsidRPr="008E51C9">
        <w:t xml:space="preserve">Government’s national security concerns </w:t>
      </w:r>
    </w:p>
    <w:p w14:paraId="543236C7" w14:textId="77777777" w:rsidR="00523066" w:rsidRPr="008E51C9" w:rsidRDefault="00523066" w:rsidP="00523066">
      <w:pPr>
        <w:pStyle w:val="ListParagraph"/>
        <w:numPr>
          <w:ilvl w:val="1"/>
          <w:numId w:val="19"/>
        </w:numPr>
        <w:ind w:hanging="792"/>
        <w:rPr>
          <w:rFonts w:ascii="Arial" w:hAnsi="Arial" w:cs="Arial"/>
        </w:rPr>
      </w:pPr>
      <w:r w:rsidRPr="008E51C9">
        <w:rPr>
          <w:rFonts w:ascii="Arial" w:hAnsi="Arial" w:cs="Arial"/>
        </w:rPr>
        <w:t>Technological advances have changed the way in which people interact and businesses develop and grow. New products and services offer the potential to transform the way we live. Much of this depends on continuing advances in computing power and in connectivity, in and out of the home. These changes have also brought challenges. Advances in technology now mean that there are ubiquitous goods with the potential to be directed remotely should</w:t>
      </w:r>
      <w:r>
        <w:rPr>
          <w:rFonts w:ascii="Arial" w:hAnsi="Arial" w:cs="Arial"/>
        </w:rPr>
        <w:t>, for instance,</w:t>
      </w:r>
      <w:r w:rsidRPr="008E51C9">
        <w:rPr>
          <w:rFonts w:ascii="Arial" w:hAnsi="Arial" w:cs="Arial"/>
        </w:rPr>
        <w:t xml:space="preserve"> a hostile actor obtain access or control. Mergers related to </w:t>
      </w:r>
      <w:r>
        <w:rPr>
          <w:rFonts w:ascii="Arial" w:hAnsi="Arial" w:cs="Arial"/>
        </w:rPr>
        <w:t>businesses</w:t>
      </w:r>
      <w:r w:rsidRPr="008E51C9">
        <w:rPr>
          <w:rFonts w:ascii="Arial" w:hAnsi="Arial" w:cs="Arial"/>
        </w:rPr>
        <w:t xml:space="preserve"> that undertake these activities, therefore, have the potential to give hostile actors knowledge or expertise that could be used to undermine our national security.</w:t>
      </w:r>
    </w:p>
    <w:p w14:paraId="256C52C0" w14:textId="77777777" w:rsidR="00523066" w:rsidRPr="008E51C9" w:rsidRDefault="00523066" w:rsidP="00523066">
      <w:pPr>
        <w:ind w:left="720"/>
        <w:rPr>
          <w:rFonts w:ascii="Arial" w:hAnsi="Arial" w:cs="Arial"/>
        </w:rPr>
      </w:pPr>
    </w:p>
    <w:p w14:paraId="47AF5D27" w14:textId="77777777" w:rsidR="00523066" w:rsidRPr="008E51C9" w:rsidRDefault="00523066" w:rsidP="00523066">
      <w:pPr>
        <w:pStyle w:val="Guidance3"/>
      </w:pPr>
      <w:r>
        <w:t>Which</w:t>
      </w:r>
      <w:r w:rsidRPr="008E51C9">
        <w:t xml:space="preserve"> </w:t>
      </w:r>
      <w:r>
        <w:t>computing hardware</w:t>
      </w:r>
      <w:r w:rsidRPr="008E51C9">
        <w:t xml:space="preserve"> technology firms are </w:t>
      </w:r>
      <w:r>
        <w:t>subject to the provisions</w:t>
      </w:r>
    </w:p>
    <w:p w14:paraId="2D956CFF" w14:textId="77777777" w:rsidR="00523066" w:rsidRPr="008E51C9" w:rsidRDefault="00523066" w:rsidP="00523066">
      <w:pPr>
        <w:pStyle w:val="ListParagraph"/>
        <w:numPr>
          <w:ilvl w:val="1"/>
          <w:numId w:val="19"/>
        </w:numPr>
        <w:ind w:hanging="792"/>
        <w:rPr>
          <w:rFonts w:ascii="Arial" w:hAnsi="Arial" w:cs="Arial"/>
        </w:rPr>
      </w:pPr>
      <w:r>
        <w:rPr>
          <w:rFonts w:ascii="Arial" w:hAnsi="Arial" w:cs="Arial"/>
        </w:rPr>
        <w:t xml:space="preserve">Section 23A </w:t>
      </w:r>
      <w:r w:rsidRPr="008E51C9">
        <w:rPr>
          <w:rFonts w:ascii="Arial" w:hAnsi="Arial" w:cs="Arial"/>
        </w:rPr>
        <w:t>specifies two activities</w:t>
      </w:r>
      <w:r>
        <w:rPr>
          <w:rFonts w:ascii="Arial" w:hAnsi="Arial" w:cs="Arial"/>
        </w:rPr>
        <w:t xml:space="preserve"> in this area of the economy</w:t>
      </w:r>
      <w:r w:rsidRPr="008E51C9">
        <w:rPr>
          <w:rFonts w:ascii="Arial" w:hAnsi="Arial" w:cs="Arial"/>
        </w:rPr>
        <w:t>:</w:t>
      </w:r>
    </w:p>
    <w:p w14:paraId="58834595" w14:textId="77777777" w:rsidR="00523066" w:rsidRDefault="00523066" w:rsidP="00523066">
      <w:pPr>
        <w:pStyle w:val="ListParagraph"/>
        <w:numPr>
          <w:ilvl w:val="1"/>
          <w:numId w:val="6"/>
        </w:numPr>
        <w:rPr>
          <w:rFonts w:ascii="Arial" w:hAnsi="Arial" w:cs="Arial"/>
        </w:rPr>
      </w:pPr>
      <w:r w:rsidRPr="008E51C9">
        <w:rPr>
          <w:rFonts w:ascii="Arial" w:hAnsi="Arial" w:cs="Arial"/>
        </w:rPr>
        <w:t>the ownership, creation or supply of intellectual property</w:t>
      </w:r>
      <w:r>
        <w:rPr>
          <w:rFonts w:ascii="Arial" w:hAnsi="Arial" w:cs="Arial"/>
        </w:rPr>
        <w:t xml:space="preserve"> relating to the functional capability of:</w:t>
      </w:r>
    </w:p>
    <w:p w14:paraId="3F1141E4" w14:textId="77777777" w:rsidR="00523066" w:rsidRDefault="00523066" w:rsidP="00523066">
      <w:pPr>
        <w:pStyle w:val="ListParagraph"/>
        <w:numPr>
          <w:ilvl w:val="2"/>
          <w:numId w:val="6"/>
        </w:numPr>
        <w:rPr>
          <w:rFonts w:ascii="Arial" w:hAnsi="Arial" w:cs="Arial"/>
        </w:rPr>
      </w:pPr>
      <w:r>
        <w:rPr>
          <w:rFonts w:ascii="Arial" w:hAnsi="Arial" w:cs="Arial"/>
        </w:rPr>
        <w:t>computer processing units</w:t>
      </w:r>
      <w:r w:rsidRPr="008E51C9">
        <w:rPr>
          <w:rFonts w:ascii="Arial" w:hAnsi="Arial" w:cs="Arial"/>
        </w:rPr>
        <w:t>;</w:t>
      </w:r>
    </w:p>
    <w:p w14:paraId="14199CBA" w14:textId="77777777" w:rsidR="00523066" w:rsidRDefault="00523066" w:rsidP="00523066">
      <w:pPr>
        <w:pStyle w:val="ListParagraph"/>
        <w:numPr>
          <w:ilvl w:val="2"/>
          <w:numId w:val="6"/>
        </w:numPr>
        <w:rPr>
          <w:rFonts w:ascii="Arial" w:hAnsi="Arial" w:cs="Arial"/>
        </w:rPr>
      </w:pPr>
      <w:r>
        <w:rPr>
          <w:rFonts w:ascii="Arial" w:hAnsi="Arial" w:cs="Arial"/>
        </w:rPr>
        <w:t>the instruction set architecture for such units;</w:t>
      </w:r>
    </w:p>
    <w:p w14:paraId="359E3754" w14:textId="77777777" w:rsidR="00523066" w:rsidRPr="008E51C9" w:rsidRDefault="00523066" w:rsidP="00523066">
      <w:pPr>
        <w:pStyle w:val="ListParagraph"/>
        <w:numPr>
          <w:ilvl w:val="2"/>
          <w:numId w:val="6"/>
        </w:numPr>
        <w:rPr>
          <w:rFonts w:ascii="Arial" w:hAnsi="Arial" w:cs="Arial"/>
        </w:rPr>
      </w:pPr>
      <w:r>
        <w:rPr>
          <w:rFonts w:ascii="Arial" w:hAnsi="Arial" w:cs="Arial"/>
        </w:rPr>
        <w:t>computer code that provides low level control for such units</w:t>
      </w:r>
    </w:p>
    <w:p w14:paraId="11BD6E5B" w14:textId="77777777" w:rsidR="00523066" w:rsidRDefault="00523066" w:rsidP="00523066">
      <w:pPr>
        <w:pStyle w:val="ListParagraph"/>
        <w:numPr>
          <w:ilvl w:val="1"/>
          <w:numId w:val="6"/>
        </w:numPr>
        <w:rPr>
          <w:rFonts w:ascii="Arial" w:hAnsi="Arial" w:cs="Arial"/>
        </w:rPr>
      </w:pPr>
      <w:r w:rsidRPr="008E51C9">
        <w:rPr>
          <w:rFonts w:ascii="Arial" w:hAnsi="Arial" w:cs="Arial"/>
        </w:rPr>
        <w:t xml:space="preserve">the design, maintenance or </w:t>
      </w:r>
      <w:r>
        <w:rPr>
          <w:rFonts w:ascii="Arial" w:hAnsi="Arial" w:cs="Arial"/>
        </w:rPr>
        <w:t xml:space="preserve">provision of </w:t>
      </w:r>
      <w:r w:rsidRPr="008E51C9">
        <w:rPr>
          <w:rFonts w:ascii="Arial" w:hAnsi="Arial" w:cs="Arial"/>
        </w:rPr>
        <w:t xml:space="preserve">support </w:t>
      </w:r>
      <w:r>
        <w:rPr>
          <w:rFonts w:ascii="Arial" w:hAnsi="Arial" w:cs="Arial"/>
        </w:rPr>
        <w:t xml:space="preserve">for </w:t>
      </w:r>
      <w:r w:rsidRPr="008E51C9">
        <w:rPr>
          <w:rFonts w:ascii="Arial" w:hAnsi="Arial" w:cs="Arial"/>
        </w:rPr>
        <w:t>the secure provisioning or management of</w:t>
      </w:r>
      <w:r>
        <w:rPr>
          <w:rFonts w:ascii="Arial" w:hAnsi="Arial" w:cs="Arial"/>
        </w:rPr>
        <w:t>:</w:t>
      </w:r>
      <w:r w:rsidRPr="008E51C9">
        <w:rPr>
          <w:rFonts w:ascii="Arial" w:hAnsi="Arial" w:cs="Arial"/>
        </w:rPr>
        <w:t xml:space="preserve"> </w:t>
      </w:r>
    </w:p>
    <w:p w14:paraId="2B3F4E8F" w14:textId="77777777" w:rsidR="00523066" w:rsidRDefault="00523066" w:rsidP="00523066">
      <w:pPr>
        <w:pStyle w:val="ListParagraph"/>
        <w:numPr>
          <w:ilvl w:val="2"/>
          <w:numId w:val="6"/>
        </w:numPr>
        <w:rPr>
          <w:rFonts w:ascii="Arial" w:hAnsi="Arial" w:cs="Arial"/>
        </w:rPr>
      </w:pPr>
      <w:r>
        <w:rPr>
          <w:rFonts w:ascii="Arial" w:hAnsi="Arial" w:cs="Arial"/>
        </w:rPr>
        <w:t>r</w:t>
      </w:r>
      <w:r w:rsidRPr="008E51C9">
        <w:rPr>
          <w:rFonts w:ascii="Arial" w:hAnsi="Arial" w:cs="Arial"/>
        </w:rPr>
        <w:t xml:space="preserve">oots of trust of </w:t>
      </w:r>
      <w:r>
        <w:rPr>
          <w:rFonts w:ascii="Arial" w:hAnsi="Arial" w:cs="Arial"/>
        </w:rPr>
        <w:t>computer processing units;</w:t>
      </w:r>
    </w:p>
    <w:p w14:paraId="36B591F3" w14:textId="77777777" w:rsidR="00523066" w:rsidRPr="008E51C9" w:rsidRDefault="00523066" w:rsidP="00523066">
      <w:pPr>
        <w:pStyle w:val="ListParagraph"/>
        <w:numPr>
          <w:ilvl w:val="2"/>
          <w:numId w:val="6"/>
        </w:numPr>
        <w:rPr>
          <w:rFonts w:ascii="Arial" w:hAnsi="Arial" w:cs="Arial"/>
        </w:rPr>
      </w:pPr>
      <w:r>
        <w:rPr>
          <w:rFonts w:ascii="Arial" w:hAnsi="Arial" w:cs="Arial"/>
        </w:rPr>
        <w:t>computer code that provides low level control for such units</w:t>
      </w:r>
    </w:p>
    <w:p w14:paraId="6EACF47C" w14:textId="77777777" w:rsidR="00523066" w:rsidRPr="008E51C9" w:rsidRDefault="00523066" w:rsidP="00523066">
      <w:pPr>
        <w:pStyle w:val="ListParagraph"/>
        <w:ind w:left="1440"/>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C50DCD" w14:paraId="54145A41" w14:textId="77777777" w:rsidTr="00C50DCD">
        <w:tc>
          <w:tcPr>
            <w:tcW w:w="8341" w:type="dxa"/>
            <w:shd w:val="clear" w:color="auto" w:fill="auto"/>
          </w:tcPr>
          <w:p w14:paraId="7C2C37BF" w14:textId="77777777" w:rsidR="00523066" w:rsidRPr="00C50DCD" w:rsidRDefault="00523066" w:rsidP="00C50DCD">
            <w:pPr>
              <w:pStyle w:val="LQDefPara"/>
              <w:ind w:left="0"/>
              <w:rPr>
                <w:rFonts w:ascii="Arial" w:hAnsi="Arial" w:cs="Arial"/>
                <w:b/>
                <w:color w:val="1F497D"/>
                <w:sz w:val="24"/>
                <w:szCs w:val="24"/>
              </w:rPr>
            </w:pPr>
            <w:r w:rsidRPr="00C50DCD">
              <w:rPr>
                <w:rFonts w:ascii="Arial" w:hAnsi="Arial" w:cs="Arial"/>
                <w:b/>
                <w:color w:val="1F497D"/>
                <w:sz w:val="24"/>
                <w:szCs w:val="24"/>
              </w:rPr>
              <w:t xml:space="preserve">What are “roots of trust”?  </w:t>
            </w:r>
          </w:p>
          <w:p w14:paraId="4763A095" w14:textId="77777777" w:rsidR="00523066" w:rsidRDefault="00523066" w:rsidP="00C50DCD">
            <w:pPr>
              <w:pStyle w:val="LQN3"/>
              <w:ind w:left="0" w:firstLine="0"/>
            </w:pPr>
            <w:r w:rsidRPr="00C50DCD">
              <w:rPr>
                <w:rFonts w:ascii="Arial" w:hAnsi="Arial" w:cs="Arial"/>
                <w:sz w:val="24"/>
                <w:szCs w:val="24"/>
              </w:rPr>
              <w:t>“roots of trust” means hardware, firmware, or software components that are inherently trusted to perform critical security functions, (including, for example, cryptographic key material bound to a device that can identify the device or verify a digital signature to authenticate a remote entity).</w:t>
            </w:r>
          </w:p>
        </w:tc>
      </w:tr>
    </w:tbl>
    <w:p w14:paraId="2BD75F8F" w14:textId="77777777" w:rsidR="00523066" w:rsidRDefault="00523066" w:rsidP="00523066">
      <w:pPr>
        <w:pStyle w:val="LQN3"/>
        <w:ind w:left="0" w:firstLine="0"/>
        <w:rPr>
          <w:rFonts w:ascii="Arial" w:hAnsi="Arial" w:cs="Arial"/>
          <w:sz w:val="24"/>
          <w:szCs w:val="24"/>
        </w:rPr>
      </w:pPr>
    </w:p>
    <w:p w14:paraId="0079B2AA" w14:textId="77777777" w:rsidR="00523066" w:rsidRPr="008E51C9" w:rsidRDefault="00523066" w:rsidP="00523066">
      <w:pPr>
        <w:pStyle w:val="LQN3"/>
        <w:ind w:left="0" w:firstLine="0"/>
        <w:rPr>
          <w:rFonts w:ascii="Arial" w:hAnsi="Arial" w:cs="Arial"/>
          <w:sz w:val="24"/>
          <w:szCs w:val="24"/>
        </w:rPr>
      </w:pPr>
    </w:p>
    <w:p w14:paraId="57C7E2B2" w14:textId="77777777" w:rsidR="00523066" w:rsidRPr="00D2423D" w:rsidRDefault="00523066" w:rsidP="00523066">
      <w:pPr>
        <w:pStyle w:val="ListParagraph"/>
        <w:numPr>
          <w:ilvl w:val="1"/>
          <w:numId w:val="19"/>
        </w:numPr>
        <w:ind w:hanging="792"/>
        <w:rPr>
          <w:rFonts w:ascii="Arial" w:hAnsi="Arial" w:cs="Arial"/>
        </w:rPr>
      </w:pPr>
      <w:r w:rsidRPr="008E51C9">
        <w:rPr>
          <w:rFonts w:ascii="Arial" w:hAnsi="Arial" w:cs="Arial"/>
        </w:rPr>
        <w:t>This means that enterpris</w:t>
      </w:r>
      <w:r>
        <w:rPr>
          <w:rFonts w:ascii="Arial" w:hAnsi="Arial" w:cs="Arial"/>
        </w:rPr>
        <w:t>es that own, create or supply intellectual property</w:t>
      </w:r>
      <w:r w:rsidRPr="008E51C9">
        <w:rPr>
          <w:rFonts w:ascii="Arial" w:hAnsi="Arial" w:cs="Arial"/>
        </w:rPr>
        <w:t xml:space="preserve"> in relation to the way that processing units function will be in scope. Businesses that manage roots of trust in relation to processing units are also in scope. This could</w:t>
      </w:r>
      <w:r>
        <w:rPr>
          <w:rFonts w:ascii="Arial" w:hAnsi="Arial" w:cs="Arial"/>
        </w:rPr>
        <w:t xml:space="preserve"> include businesses that design</w:t>
      </w:r>
      <w:r w:rsidRPr="008E51C9">
        <w:rPr>
          <w:rFonts w:ascii="Arial" w:hAnsi="Arial" w:cs="Arial"/>
        </w:rPr>
        <w:t xml:space="preserve"> firmware containing the cryptographic material for a processing unit. </w:t>
      </w:r>
    </w:p>
    <w:p w14:paraId="2A50B6AF" w14:textId="77777777" w:rsidR="00523066" w:rsidRPr="008E51C9" w:rsidRDefault="00523066" w:rsidP="00523066">
      <w:pPr>
        <w:pStyle w:val="LQDefPara"/>
        <w:ind w:left="720"/>
        <w:rPr>
          <w:rFonts w:ascii="Arial" w:hAnsi="Arial" w:cs="Arial"/>
          <w:sz w:val="24"/>
          <w:szCs w:val="24"/>
        </w:rPr>
      </w:pPr>
    </w:p>
    <w:p w14:paraId="757D2BB7" w14:textId="77777777" w:rsidR="00523066" w:rsidRPr="001B6A55"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b/>
          <w:color w:val="1F497D"/>
        </w:rPr>
      </w:pPr>
      <w:r w:rsidRPr="001B6A55">
        <w:rPr>
          <w:rFonts w:ascii="Arial" w:hAnsi="Arial" w:cs="Arial"/>
          <w:b/>
          <w:color w:val="1F497D"/>
        </w:rPr>
        <w:t>Computing hardware – example 1 of what is, and what is not, covered</w:t>
      </w:r>
    </w:p>
    <w:p w14:paraId="5E030B02"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b/>
        </w:rPr>
      </w:pPr>
      <w:r w:rsidRPr="008E51C9">
        <w:rPr>
          <w:rFonts w:ascii="Arial" w:hAnsi="Arial" w:cs="Arial"/>
          <w:b/>
        </w:rPr>
        <w:t xml:space="preserve"> </w:t>
      </w:r>
    </w:p>
    <w:p w14:paraId="35CA2B90"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r w:rsidRPr="008E51C9">
        <w:rPr>
          <w:rFonts w:ascii="Arial" w:hAnsi="Arial" w:cs="Arial"/>
        </w:rPr>
        <w:t xml:space="preserve">Company A has a </w:t>
      </w:r>
      <w:r>
        <w:rPr>
          <w:rFonts w:ascii="Arial" w:hAnsi="Arial" w:cs="Arial"/>
        </w:rPr>
        <w:t xml:space="preserve">UK </w:t>
      </w:r>
      <w:r w:rsidRPr="008E51C9">
        <w:rPr>
          <w:rFonts w:ascii="Arial" w:hAnsi="Arial" w:cs="Arial"/>
        </w:rPr>
        <w:t>turnover of over £1 million</w:t>
      </w:r>
      <w:r>
        <w:rPr>
          <w:rFonts w:ascii="Arial" w:hAnsi="Arial" w:cs="Arial"/>
        </w:rPr>
        <w:t>, but under £70 million</w:t>
      </w:r>
      <w:r w:rsidRPr="008E51C9">
        <w:rPr>
          <w:rFonts w:ascii="Arial" w:hAnsi="Arial" w:cs="Arial"/>
        </w:rPr>
        <w:t xml:space="preserve"> and has significant expertise in the production of processing units and firmware. Whilst they have ceased to produce processing units themselves, as a result of historic activity in this area</w:t>
      </w:r>
      <w:r>
        <w:rPr>
          <w:rFonts w:ascii="Arial" w:hAnsi="Arial" w:cs="Arial"/>
        </w:rPr>
        <w:t>,</w:t>
      </w:r>
      <w:r w:rsidRPr="008E51C9">
        <w:rPr>
          <w:rFonts w:ascii="Arial" w:hAnsi="Arial" w:cs="Arial"/>
        </w:rPr>
        <w:t xml:space="preserve"> they have built up substantial intellectual property and they license this intellectual property to other companies who produce the units. </w:t>
      </w:r>
    </w:p>
    <w:p w14:paraId="27F5F301"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p>
    <w:p w14:paraId="21782FFA"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r w:rsidRPr="008E51C9">
        <w:rPr>
          <w:rFonts w:ascii="Arial" w:hAnsi="Arial" w:cs="Arial"/>
        </w:rPr>
        <w:lastRenderedPageBreak/>
        <w:t>Party B is interested in acquiring A. The Government believe</w:t>
      </w:r>
      <w:r>
        <w:rPr>
          <w:rFonts w:ascii="Arial" w:hAnsi="Arial" w:cs="Arial"/>
        </w:rPr>
        <w:t>s</w:t>
      </w:r>
      <w:r w:rsidRPr="008E51C9">
        <w:rPr>
          <w:rFonts w:ascii="Arial" w:hAnsi="Arial" w:cs="Arial"/>
        </w:rPr>
        <w:t xml:space="preserve"> that this acquisition would raise national security concerns. </w:t>
      </w:r>
    </w:p>
    <w:p w14:paraId="1AD54FA8"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p>
    <w:p w14:paraId="045D9E9A" w14:textId="77777777" w:rsidR="00523066"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r w:rsidRPr="008E51C9">
        <w:rPr>
          <w:rFonts w:ascii="Arial" w:hAnsi="Arial" w:cs="Arial"/>
        </w:rPr>
        <w:t xml:space="preserve">Because A is in scope of the </w:t>
      </w:r>
      <w:r>
        <w:rPr>
          <w:rFonts w:ascii="Arial" w:hAnsi="Arial" w:cs="Arial"/>
        </w:rPr>
        <w:t xml:space="preserve">turnover threshold, </w:t>
      </w:r>
      <w:r w:rsidRPr="008E51C9">
        <w:rPr>
          <w:rFonts w:ascii="Arial" w:hAnsi="Arial" w:cs="Arial"/>
        </w:rPr>
        <w:t xml:space="preserve">as it has a </w:t>
      </w:r>
      <w:r>
        <w:rPr>
          <w:rFonts w:ascii="Arial" w:hAnsi="Arial" w:cs="Arial"/>
        </w:rPr>
        <w:t xml:space="preserve">UK </w:t>
      </w:r>
      <w:r w:rsidRPr="008E51C9">
        <w:rPr>
          <w:rFonts w:ascii="Arial" w:hAnsi="Arial" w:cs="Arial"/>
        </w:rPr>
        <w:t>turnover of over £1 million, the Government is able to intervene in this transaction</w:t>
      </w:r>
      <w:r>
        <w:rPr>
          <w:rFonts w:ascii="Arial" w:hAnsi="Arial" w:cs="Arial"/>
        </w:rPr>
        <w:t xml:space="preserve"> on national security grounds</w:t>
      </w:r>
      <w:r w:rsidRPr="008E51C9">
        <w:rPr>
          <w:rFonts w:ascii="Arial" w:hAnsi="Arial" w:cs="Arial"/>
        </w:rPr>
        <w:t xml:space="preserve">, regardless of the size </w:t>
      </w:r>
      <w:r>
        <w:rPr>
          <w:rFonts w:ascii="Arial" w:hAnsi="Arial" w:cs="Arial"/>
        </w:rPr>
        <w:t>of Company A (</w:t>
      </w:r>
      <w:r w:rsidRPr="008E51C9">
        <w:rPr>
          <w:rFonts w:ascii="Arial" w:hAnsi="Arial" w:cs="Arial"/>
        </w:rPr>
        <w:t>or whether there has been an increase in</w:t>
      </w:r>
      <w:r>
        <w:rPr>
          <w:rFonts w:ascii="Arial" w:hAnsi="Arial" w:cs="Arial"/>
        </w:rPr>
        <w:t>)</w:t>
      </w:r>
      <w:r w:rsidRPr="008E51C9">
        <w:rPr>
          <w:rFonts w:ascii="Arial" w:hAnsi="Arial" w:cs="Arial"/>
        </w:rPr>
        <w:t xml:space="preserve"> the share of supply. </w:t>
      </w:r>
    </w:p>
    <w:p w14:paraId="169A20C3"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p>
    <w:p w14:paraId="31E78FC3" w14:textId="77777777" w:rsidR="00523066" w:rsidRDefault="00523066" w:rsidP="00523066">
      <w:pPr>
        <w:rPr>
          <w:rFonts w:ascii="Arial" w:hAnsi="Arial" w:cs="Arial"/>
        </w:rPr>
      </w:pPr>
    </w:p>
    <w:p w14:paraId="1B830B27" w14:textId="77777777" w:rsidR="00523066" w:rsidRPr="008E51C9" w:rsidRDefault="00523066" w:rsidP="00523066">
      <w:pPr>
        <w:rPr>
          <w:rFonts w:ascii="Arial" w:hAnsi="Arial" w:cs="Arial"/>
        </w:rPr>
      </w:pPr>
    </w:p>
    <w:p w14:paraId="0D4F8C72" w14:textId="77777777" w:rsidR="00523066" w:rsidRPr="00C059DF" w:rsidRDefault="00523066" w:rsidP="00523066">
      <w:pPr>
        <w:pStyle w:val="ListParagraph"/>
        <w:ind w:left="0"/>
        <w:rPr>
          <w:rFonts w:ascii="Arial" w:hAnsi="Arial" w:cs="Arial"/>
          <w:b/>
          <w:color w:val="1F497D"/>
        </w:rPr>
      </w:pPr>
      <w:r w:rsidRPr="00C059DF">
        <w:rPr>
          <w:rFonts w:ascii="Arial" w:hAnsi="Arial" w:cs="Arial"/>
          <w:b/>
          <w:color w:val="1F497D"/>
        </w:rPr>
        <w:t>Quantum technology</w:t>
      </w:r>
    </w:p>
    <w:p w14:paraId="3FCBAA82" w14:textId="77777777" w:rsidR="00523066" w:rsidRPr="00993D1E" w:rsidRDefault="00523066" w:rsidP="00523066">
      <w:pPr>
        <w:pStyle w:val="ListParagraph"/>
        <w:ind w:left="360"/>
        <w:rPr>
          <w:rFonts w:ascii="Arial" w:hAnsi="Arial" w:cs="Arial"/>
        </w:rPr>
      </w:pPr>
    </w:p>
    <w:p w14:paraId="035926CE" w14:textId="77777777" w:rsidR="00523066" w:rsidRPr="00C059DF" w:rsidRDefault="00523066" w:rsidP="00523066">
      <w:pPr>
        <w:pStyle w:val="ListParagraph"/>
        <w:ind w:left="0"/>
        <w:rPr>
          <w:rFonts w:ascii="Arial" w:hAnsi="Arial" w:cs="Arial"/>
          <w:i/>
          <w:color w:val="1F497D"/>
        </w:rPr>
      </w:pPr>
      <w:r w:rsidRPr="00C059DF">
        <w:rPr>
          <w:rFonts w:ascii="Arial" w:hAnsi="Arial" w:cs="Arial"/>
          <w:i/>
          <w:color w:val="1F497D"/>
        </w:rPr>
        <w:t>What is quantum technology?</w:t>
      </w:r>
    </w:p>
    <w:p w14:paraId="0E325DB1" w14:textId="77777777" w:rsidR="00523066" w:rsidRPr="00993D1E" w:rsidRDefault="00523066" w:rsidP="00523066">
      <w:pPr>
        <w:pStyle w:val="ListParagraph"/>
        <w:numPr>
          <w:ilvl w:val="1"/>
          <w:numId w:val="19"/>
        </w:numPr>
        <w:ind w:hanging="792"/>
        <w:rPr>
          <w:rFonts w:ascii="Arial" w:hAnsi="Arial" w:cs="Arial"/>
        </w:rPr>
      </w:pPr>
      <w:r w:rsidRPr="00993D1E">
        <w:rPr>
          <w:rFonts w:ascii="Arial" w:hAnsi="Arial" w:cs="Arial"/>
        </w:rPr>
        <w:t>Quantum theory arose in the first quarter of the 20</w:t>
      </w:r>
      <w:r w:rsidRPr="001646E7">
        <w:rPr>
          <w:rFonts w:ascii="Arial" w:hAnsi="Arial" w:cs="Arial"/>
          <w:vertAlign w:val="superscript"/>
        </w:rPr>
        <w:t>th</w:t>
      </w:r>
      <w:r w:rsidRPr="00993D1E">
        <w:rPr>
          <w:rFonts w:ascii="Arial" w:hAnsi="Arial" w:cs="Arial"/>
        </w:rPr>
        <w:t xml:space="preserve"> </w:t>
      </w:r>
      <w:r>
        <w:rPr>
          <w:rFonts w:ascii="Arial" w:hAnsi="Arial" w:cs="Arial"/>
        </w:rPr>
        <w:t>C</w:t>
      </w:r>
      <w:r w:rsidRPr="00993D1E">
        <w:rPr>
          <w:rFonts w:ascii="Arial" w:hAnsi="Arial" w:cs="Arial"/>
        </w:rPr>
        <w:t xml:space="preserve">entury to explain how light and matter behave on a fundamental level. </w:t>
      </w:r>
    </w:p>
    <w:p w14:paraId="3D411343" w14:textId="77777777" w:rsidR="00523066" w:rsidRPr="00993D1E" w:rsidRDefault="00523066" w:rsidP="00523066">
      <w:pPr>
        <w:pStyle w:val="ListParagraph"/>
        <w:ind w:left="792"/>
        <w:rPr>
          <w:rFonts w:ascii="Arial" w:hAnsi="Arial" w:cs="Arial"/>
        </w:rPr>
      </w:pPr>
    </w:p>
    <w:p w14:paraId="048CC184" w14:textId="77777777" w:rsidR="00523066" w:rsidRPr="00993D1E" w:rsidRDefault="00523066" w:rsidP="00523066">
      <w:pPr>
        <w:pStyle w:val="ListParagraph"/>
        <w:numPr>
          <w:ilvl w:val="1"/>
          <w:numId w:val="19"/>
        </w:numPr>
        <w:ind w:hanging="792"/>
        <w:rPr>
          <w:rFonts w:ascii="Arial" w:hAnsi="Arial" w:cs="Arial"/>
        </w:rPr>
      </w:pPr>
      <w:r w:rsidRPr="00993D1E">
        <w:rPr>
          <w:rFonts w:ascii="Arial" w:hAnsi="Arial" w:cs="Arial"/>
        </w:rPr>
        <w:t>While a conventional computer uses binary ‘bits’ which take the value 0 or 1, the fundamental unit of information in a quantum computer is the qubit</w:t>
      </w:r>
      <w:r>
        <w:rPr>
          <w:rFonts w:ascii="Arial" w:hAnsi="Arial" w:cs="Arial"/>
        </w:rPr>
        <w:t>,</w:t>
      </w:r>
      <w:r w:rsidRPr="00993D1E">
        <w:rPr>
          <w:rFonts w:ascii="Arial" w:hAnsi="Arial" w:cs="Arial"/>
        </w:rPr>
        <w:t xml:space="preserve"> which can be in the state 0, 1 or a combination of both simultaneously.  </w:t>
      </w:r>
    </w:p>
    <w:p w14:paraId="26E8A611" w14:textId="77777777" w:rsidR="00523066" w:rsidRPr="00993D1E" w:rsidRDefault="00523066" w:rsidP="00523066">
      <w:pPr>
        <w:pStyle w:val="ListParagraph"/>
        <w:ind w:left="792"/>
        <w:rPr>
          <w:rFonts w:ascii="Arial" w:hAnsi="Arial" w:cs="Arial"/>
        </w:rPr>
      </w:pPr>
    </w:p>
    <w:p w14:paraId="4637AE18" w14:textId="77777777" w:rsidR="00523066" w:rsidRPr="00D66AD6" w:rsidRDefault="00523066" w:rsidP="00523066">
      <w:pPr>
        <w:pStyle w:val="ListParagraph"/>
        <w:numPr>
          <w:ilvl w:val="1"/>
          <w:numId w:val="19"/>
        </w:numPr>
        <w:ind w:hanging="792"/>
        <w:rPr>
          <w:rFonts w:ascii="Arial" w:hAnsi="Arial" w:cs="Arial"/>
        </w:rPr>
      </w:pPr>
      <w:r w:rsidRPr="00993D1E">
        <w:rPr>
          <w:rFonts w:ascii="Arial" w:hAnsi="Arial" w:cs="Arial"/>
        </w:rPr>
        <w:t xml:space="preserve">A new generation of quantum technologies are now driving and enabling a new generation of devices and systems, from </w:t>
      </w:r>
      <w:r>
        <w:rPr>
          <w:rFonts w:ascii="Arial" w:hAnsi="Arial" w:cs="Arial"/>
        </w:rPr>
        <w:t>very</w:t>
      </w:r>
      <w:r w:rsidRPr="00993D1E">
        <w:rPr>
          <w:rFonts w:ascii="Arial" w:hAnsi="Arial" w:cs="Arial"/>
        </w:rPr>
        <w:t xml:space="preserve"> powerful medical imaging devices to entirely new methods of computing to solve currently intractable problems – all made possible by the engineering of quantum effects into next-generation technologies</w:t>
      </w:r>
      <w:r>
        <w:rPr>
          <w:rStyle w:val="FootnoteReference"/>
          <w:rFonts w:ascii="Arial" w:hAnsi="Arial" w:cs="Arial"/>
        </w:rPr>
        <w:footnoteReference w:id="18"/>
      </w:r>
      <w:r w:rsidRPr="00993D1E">
        <w:rPr>
          <w:rFonts w:ascii="Arial" w:hAnsi="Arial" w:cs="Arial"/>
        </w:rPr>
        <w:t>.</w:t>
      </w:r>
    </w:p>
    <w:p w14:paraId="611EB957" w14:textId="77777777" w:rsidR="00523066" w:rsidRPr="008E51C9" w:rsidRDefault="00523066" w:rsidP="00523066">
      <w:pPr>
        <w:pStyle w:val="ListParagraph"/>
        <w:rPr>
          <w:rFonts w:ascii="Arial" w:hAnsi="Arial" w:cs="Arial"/>
        </w:rPr>
      </w:pPr>
    </w:p>
    <w:p w14:paraId="72B92AA6" w14:textId="77777777" w:rsidR="00523066" w:rsidRPr="008E51C9" w:rsidRDefault="00523066" w:rsidP="00523066">
      <w:pPr>
        <w:pStyle w:val="Guidance3"/>
      </w:pPr>
      <w:r w:rsidRPr="008E51C9">
        <w:t>Government’s national security concerns</w:t>
      </w:r>
    </w:p>
    <w:p w14:paraId="44A61FA9" w14:textId="77777777" w:rsidR="00523066" w:rsidRPr="00B34BED" w:rsidRDefault="00523066" w:rsidP="00523066">
      <w:pPr>
        <w:pStyle w:val="ListParagraph"/>
        <w:numPr>
          <w:ilvl w:val="1"/>
          <w:numId w:val="19"/>
        </w:numPr>
        <w:ind w:hanging="792"/>
        <w:rPr>
          <w:rFonts w:ascii="Arial" w:hAnsi="Arial" w:cs="Arial"/>
        </w:rPr>
      </w:pPr>
      <w:r w:rsidRPr="008E51C9">
        <w:rPr>
          <w:rFonts w:ascii="Arial" w:hAnsi="Arial" w:cs="Arial"/>
        </w:rPr>
        <w:t>The Government strongly supports the quantum technology sector in the UK. The Blacke</w:t>
      </w:r>
      <w:r>
        <w:rPr>
          <w:rFonts w:ascii="Arial" w:hAnsi="Arial" w:cs="Arial"/>
        </w:rPr>
        <w:t>t</w:t>
      </w:r>
      <w:r w:rsidRPr="008E51C9">
        <w:rPr>
          <w:rFonts w:ascii="Arial" w:hAnsi="Arial" w:cs="Arial"/>
        </w:rPr>
        <w:t>t review published in November 2016</w:t>
      </w:r>
      <w:r w:rsidRPr="008E51C9">
        <w:rPr>
          <w:rStyle w:val="FootnoteReference"/>
          <w:rFonts w:ascii="Arial" w:hAnsi="Arial" w:cs="Arial"/>
        </w:rPr>
        <w:footnoteReference w:id="19"/>
      </w:r>
      <w:r w:rsidRPr="008E51C9">
        <w:rPr>
          <w:rFonts w:ascii="Arial" w:hAnsi="Arial" w:cs="Arial"/>
        </w:rPr>
        <w:t xml:space="preserve"> highlighted the significant potential offered by new pos</w:t>
      </w:r>
      <w:r>
        <w:rPr>
          <w:rFonts w:ascii="Arial" w:hAnsi="Arial" w:cs="Arial"/>
        </w:rPr>
        <w:t>t-digital quantum technologies.</w:t>
      </w:r>
    </w:p>
    <w:p w14:paraId="34196BE4" w14:textId="77777777" w:rsidR="00523066" w:rsidRPr="008E51C9" w:rsidRDefault="00523066" w:rsidP="00523066">
      <w:pPr>
        <w:pStyle w:val="ListParagraph"/>
        <w:ind w:left="792"/>
        <w:rPr>
          <w:rFonts w:ascii="Arial" w:hAnsi="Arial" w:cs="Arial"/>
        </w:rPr>
      </w:pPr>
    </w:p>
    <w:p w14:paraId="4E4CC6F8" w14:textId="77777777" w:rsidR="00523066" w:rsidRPr="008E51C9" w:rsidRDefault="00523066" w:rsidP="00523066">
      <w:pPr>
        <w:pStyle w:val="ListParagraph"/>
        <w:numPr>
          <w:ilvl w:val="1"/>
          <w:numId w:val="19"/>
        </w:numPr>
        <w:ind w:hanging="792"/>
        <w:rPr>
          <w:rFonts w:ascii="Arial" w:hAnsi="Arial" w:cs="Arial"/>
        </w:rPr>
      </w:pPr>
      <w:r w:rsidRPr="008E51C9">
        <w:rPr>
          <w:rFonts w:ascii="Arial" w:hAnsi="Arial" w:cs="Arial"/>
        </w:rPr>
        <w:t>The Government is aware, however, that the huge potential offered by quantum technology also presents national security challenges. Quantum technology has the potential to break currently secure computer and telecommunications systems. It could also transform military power – giving vehicles and weapons systems substantial additional abilities.</w:t>
      </w:r>
    </w:p>
    <w:p w14:paraId="7279FA52" w14:textId="77777777" w:rsidR="00523066" w:rsidRPr="008E51C9" w:rsidRDefault="00523066" w:rsidP="00523066">
      <w:pPr>
        <w:pStyle w:val="ListParagrap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50DCD" w14:paraId="43F2F314" w14:textId="77777777" w:rsidTr="00C50DCD">
        <w:tc>
          <w:tcPr>
            <w:tcW w:w="9016" w:type="dxa"/>
            <w:shd w:val="clear" w:color="auto" w:fill="auto"/>
          </w:tcPr>
          <w:p w14:paraId="4C852103" w14:textId="77777777" w:rsidR="00523066" w:rsidRPr="00C50DCD" w:rsidRDefault="00523066" w:rsidP="00917B96">
            <w:pPr>
              <w:rPr>
                <w:rFonts w:ascii="Arial" w:hAnsi="Arial" w:cs="Arial"/>
                <w:i/>
                <w:color w:val="002060"/>
              </w:rPr>
            </w:pPr>
            <w:r w:rsidRPr="00C50DCD">
              <w:rPr>
                <w:rFonts w:ascii="Arial" w:hAnsi="Arial" w:cs="Arial"/>
                <w:i/>
                <w:color w:val="002060"/>
              </w:rPr>
              <w:t>Quantum technology – example 1 of what is, and what is not, covered</w:t>
            </w:r>
          </w:p>
          <w:p w14:paraId="2A50486F" w14:textId="77777777" w:rsidR="00523066" w:rsidRPr="00C50DCD" w:rsidRDefault="00523066" w:rsidP="00917B96">
            <w:pPr>
              <w:rPr>
                <w:rFonts w:ascii="Arial" w:hAnsi="Arial" w:cs="Arial"/>
                <w:i/>
                <w:color w:val="002060"/>
              </w:rPr>
            </w:pPr>
          </w:p>
          <w:p w14:paraId="64F783B8" w14:textId="77777777" w:rsidR="00523066" w:rsidRPr="00C50DCD" w:rsidRDefault="00523066" w:rsidP="00917B96">
            <w:pPr>
              <w:rPr>
                <w:rFonts w:ascii="Arial" w:hAnsi="Arial" w:cs="Arial"/>
                <w:i/>
                <w:color w:val="002060"/>
              </w:rPr>
            </w:pPr>
            <w:r w:rsidRPr="00C50DCD">
              <w:rPr>
                <w:rFonts w:ascii="Arial" w:hAnsi="Arial" w:cs="Arial"/>
                <w:i/>
                <w:color w:val="002060"/>
              </w:rPr>
              <w:t>Quantum computing</w:t>
            </w:r>
          </w:p>
          <w:p w14:paraId="068508EE" w14:textId="77777777" w:rsidR="00523066" w:rsidRPr="00C50DCD" w:rsidRDefault="00523066" w:rsidP="00917B96">
            <w:pPr>
              <w:rPr>
                <w:rFonts w:ascii="Arial" w:hAnsi="Arial" w:cs="Arial"/>
              </w:rPr>
            </w:pPr>
            <w:r w:rsidRPr="00C50DCD">
              <w:rPr>
                <w:rFonts w:ascii="Arial" w:hAnsi="Arial" w:cs="Arial"/>
              </w:rPr>
              <w:t xml:space="preserve">University A has been undertaking innovative research aimed at applying quantum phenomena to particular types of computing systems. Recognising the potential commercial application, researchers establish Company B, which holds the intellectual property and which provides commercial services based </w:t>
            </w:r>
            <w:r w:rsidRPr="00C50DCD">
              <w:rPr>
                <w:rFonts w:ascii="Arial" w:hAnsi="Arial" w:cs="Arial"/>
              </w:rPr>
              <w:lastRenderedPageBreak/>
              <w:t xml:space="preserve">on this, with a view to commercialising the research. </w:t>
            </w:r>
          </w:p>
          <w:p w14:paraId="38B45932" w14:textId="77777777" w:rsidR="00523066" w:rsidRPr="00C50DCD" w:rsidRDefault="00523066" w:rsidP="00917B96">
            <w:pPr>
              <w:rPr>
                <w:rFonts w:ascii="Arial" w:hAnsi="Arial" w:cs="Arial"/>
              </w:rPr>
            </w:pPr>
          </w:p>
          <w:p w14:paraId="79CE989F" w14:textId="77777777" w:rsidR="00523066" w:rsidRPr="00C50DCD" w:rsidRDefault="00523066" w:rsidP="00917B96">
            <w:pPr>
              <w:rPr>
                <w:rFonts w:ascii="Arial" w:hAnsi="Arial" w:cs="Arial"/>
              </w:rPr>
            </w:pPr>
            <w:r w:rsidRPr="00C50DCD">
              <w:rPr>
                <w:rFonts w:ascii="Arial" w:hAnsi="Arial" w:cs="Arial"/>
              </w:rPr>
              <w:t>B has more than 25% share of supply of the particular services underpinned by quantum technology (e.g. it provides consulting services in relation to quantum simulation). Party C, with no role in the UK quantum sector, is interested in acquiring B. The Government believes that this acquisition would raise national security concerns.</w:t>
            </w:r>
          </w:p>
          <w:p w14:paraId="05C1F437" w14:textId="77777777" w:rsidR="00523066" w:rsidRPr="00C50DCD" w:rsidRDefault="00523066" w:rsidP="00917B96">
            <w:pPr>
              <w:rPr>
                <w:rFonts w:ascii="Arial" w:hAnsi="Arial" w:cs="Arial"/>
              </w:rPr>
            </w:pPr>
          </w:p>
          <w:p w14:paraId="7CC29D8C" w14:textId="77777777" w:rsidR="00523066" w:rsidRPr="00C50DCD" w:rsidRDefault="00523066" w:rsidP="00917B96">
            <w:pPr>
              <w:rPr>
                <w:rFonts w:ascii="Arial" w:hAnsi="Arial" w:cs="Arial"/>
              </w:rPr>
            </w:pPr>
            <w:r w:rsidRPr="00C50DCD">
              <w:rPr>
                <w:rFonts w:ascii="Arial" w:hAnsi="Arial" w:cs="Arial"/>
              </w:rPr>
              <w:t xml:space="preserve">Because B is in scope of the thresholds, the Government is able to intervene in this transaction on national security grounds, notwithstanding that B has a UK turnover of less than £70 million (and, indeed, £1 million) and that the merger would not increase the parties’ combined share of supply. </w:t>
            </w:r>
          </w:p>
          <w:p w14:paraId="5122ED35" w14:textId="77777777" w:rsidR="00523066" w:rsidRPr="00C50DCD" w:rsidRDefault="00523066" w:rsidP="00917B96">
            <w:pPr>
              <w:rPr>
                <w:rFonts w:ascii="Arial" w:hAnsi="Arial" w:cs="Arial"/>
              </w:rPr>
            </w:pPr>
          </w:p>
        </w:tc>
      </w:tr>
    </w:tbl>
    <w:p w14:paraId="5A642486" w14:textId="77777777" w:rsidR="00523066" w:rsidRPr="008E51C9" w:rsidRDefault="00523066" w:rsidP="00523066">
      <w:pPr>
        <w:rPr>
          <w:rFonts w:ascii="Arial" w:hAnsi="Arial" w:cs="Arial"/>
        </w:rPr>
      </w:pPr>
    </w:p>
    <w:p w14:paraId="4EDA15DA" w14:textId="77777777" w:rsidR="00523066" w:rsidRPr="008E51C9" w:rsidRDefault="00523066" w:rsidP="00523066">
      <w:pPr>
        <w:pStyle w:val="Guidance3"/>
      </w:pPr>
      <w:r>
        <w:t>Which quantum</w:t>
      </w:r>
      <w:r w:rsidRPr="008E51C9">
        <w:t xml:space="preserve"> technology firms are covered </w:t>
      </w:r>
    </w:p>
    <w:p w14:paraId="1F8518A0" w14:textId="77777777" w:rsidR="00523066" w:rsidRPr="008E51C9" w:rsidRDefault="00523066" w:rsidP="00523066">
      <w:pPr>
        <w:pStyle w:val="ListParagraph"/>
        <w:numPr>
          <w:ilvl w:val="1"/>
          <w:numId w:val="19"/>
        </w:numPr>
        <w:ind w:hanging="792"/>
        <w:rPr>
          <w:rFonts w:ascii="Arial" w:hAnsi="Arial" w:cs="Arial"/>
        </w:rPr>
      </w:pPr>
      <w:r>
        <w:rPr>
          <w:rFonts w:ascii="Arial" w:hAnsi="Arial" w:cs="Arial"/>
        </w:rPr>
        <w:t>The definition of relevant enterprise in section 23A covers</w:t>
      </w:r>
      <w:r w:rsidRPr="008E51C9">
        <w:rPr>
          <w:rFonts w:ascii="Arial" w:hAnsi="Arial" w:cs="Arial"/>
        </w:rPr>
        <w:t xml:space="preserve"> </w:t>
      </w:r>
      <w:r>
        <w:rPr>
          <w:rFonts w:ascii="Arial" w:hAnsi="Arial" w:cs="Arial"/>
        </w:rPr>
        <w:t>the following</w:t>
      </w:r>
      <w:r w:rsidRPr="008E51C9">
        <w:rPr>
          <w:rFonts w:ascii="Arial" w:hAnsi="Arial" w:cs="Arial"/>
        </w:rPr>
        <w:t xml:space="preserve"> quantum</w:t>
      </w:r>
      <w:r>
        <w:rPr>
          <w:rFonts w:ascii="Arial" w:hAnsi="Arial" w:cs="Arial"/>
        </w:rPr>
        <w:t xml:space="preserve"> technology</w:t>
      </w:r>
      <w:r w:rsidRPr="008E51C9">
        <w:rPr>
          <w:rFonts w:ascii="Arial" w:hAnsi="Arial" w:cs="Arial"/>
        </w:rPr>
        <w:t xml:space="preserve"> activities:</w:t>
      </w:r>
    </w:p>
    <w:p w14:paraId="500E7017"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quantum computing or simulation;</w:t>
      </w:r>
    </w:p>
    <w:p w14:paraId="54EF0483"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quantum imaging, sensing, timing or navigation;</w:t>
      </w:r>
    </w:p>
    <w:p w14:paraId="708CED7A"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quantum communications;</w:t>
      </w:r>
      <w:r>
        <w:rPr>
          <w:rFonts w:ascii="Arial" w:hAnsi="Arial" w:cs="Arial"/>
        </w:rPr>
        <w:t xml:space="preserve"> and</w:t>
      </w:r>
    </w:p>
    <w:p w14:paraId="697F63FE" w14:textId="77777777" w:rsidR="00523066" w:rsidRPr="00744B77" w:rsidRDefault="00523066" w:rsidP="00523066">
      <w:pPr>
        <w:pStyle w:val="ListParagraph"/>
        <w:numPr>
          <w:ilvl w:val="1"/>
          <w:numId w:val="6"/>
        </w:numPr>
        <w:rPr>
          <w:rFonts w:ascii="Arial" w:hAnsi="Arial" w:cs="Arial"/>
        </w:rPr>
      </w:pPr>
      <w:r w:rsidRPr="008E51C9">
        <w:rPr>
          <w:rFonts w:ascii="Arial" w:hAnsi="Arial" w:cs="Arial"/>
        </w:rPr>
        <w:t>quantum resistant cryptography</w:t>
      </w:r>
      <w:r>
        <w:rPr>
          <w:rFonts w:ascii="Arial" w:hAnsi="Arial" w:cs="Arial"/>
        </w:rPr>
        <w:t>.</w:t>
      </w:r>
    </w:p>
    <w:p w14:paraId="572BFF15" w14:textId="77777777" w:rsidR="00523066" w:rsidRDefault="00523066" w:rsidP="00523066">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50DCD" w14:paraId="2CC0EF21" w14:textId="77777777" w:rsidTr="00C50DCD">
        <w:tc>
          <w:tcPr>
            <w:tcW w:w="9016" w:type="dxa"/>
            <w:shd w:val="clear" w:color="auto" w:fill="auto"/>
          </w:tcPr>
          <w:p w14:paraId="4DE5B37A" w14:textId="77777777" w:rsidR="00523066" w:rsidRPr="00C50DCD" w:rsidRDefault="00523066" w:rsidP="00917B96">
            <w:pPr>
              <w:rPr>
                <w:rFonts w:ascii="Arial" w:hAnsi="Arial" w:cs="Arial"/>
                <w:b/>
                <w:color w:val="002060"/>
              </w:rPr>
            </w:pPr>
            <w:r w:rsidRPr="00C50DCD">
              <w:rPr>
                <w:rFonts w:ascii="Arial" w:hAnsi="Arial" w:cs="Arial"/>
                <w:b/>
                <w:color w:val="002060"/>
              </w:rPr>
              <w:t>Quantum technology – the areas covered by the changes made by the 2018 Orders</w:t>
            </w:r>
          </w:p>
          <w:p w14:paraId="002329EA" w14:textId="77777777" w:rsidR="00523066" w:rsidRPr="00C50DCD" w:rsidRDefault="00523066" w:rsidP="00917B96">
            <w:pPr>
              <w:rPr>
                <w:rFonts w:ascii="Arial" w:hAnsi="Arial" w:cs="Arial"/>
                <w:b/>
                <w:color w:val="002060"/>
              </w:rPr>
            </w:pPr>
          </w:p>
          <w:p w14:paraId="600B9A45" w14:textId="77777777" w:rsidR="00523066" w:rsidRPr="00C50DCD" w:rsidRDefault="00523066" w:rsidP="00917B96">
            <w:pPr>
              <w:rPr>
                <w:rFonts w:ascii="Arial" w:hAnsi="Arial" w:cs="Arial"/>
              </w:rPr>
            </w:pPr>
            <w:r w:rsidRPr="00C50DCD">
              <w:rPr>
                <w:rFonts w:ascii="Arial" w:hAnsi="Arial" w:cs="Arial"/>
                <w:i/>
              </w:rPr>
              <w:t xml:space="preserve">quantum computing or simulation </w:t>
            </w:r>
            <w:r w:rsidRPr="00C50DCD">
              <w:rPr>
                <w:rFonts w:ascii="Arial" w:hAnsi="Arial" w:cs="Arial"/>
              </w:rPr>
              <w:t>means the study, simulation or realisation of systems that utilise certain properties of quantum mechanics, in particular superposition or entanglement, to process information, run algorithms or perform operations on data;</w:t>
            </w:r>
          </w:p>
          <w:p w14:paraId="382A45F9" w14:textId="77777777" w:rsidR="00523066" w:rsidRPr="00C50DCD" w:rsidRDefault="00523066" w:rsidP="00917B96">
            <w:pPr>
              <w:rPr>
                <w:rFonts w:ascii="Arial" w:hAnsi="Arial" w:cs="Arial"/>
              </w:rPr>
            </w:pPr>
          </w:p>
          <w:p w14:paraId="48CB41D1" w14:textId="77777777" w:rsidR="00523066" w:rsidRPr="00C50DCD" w:rsidRDefault="00523066" w:rsidP="00917B96">
            <w:pPr>
              <w:rPr>
                <w:rFonts w:ascii="Arial" w:hAnsi="Arial" w:cs="Arial"/>
              </w:rPr>
            </w:pPr>
            <w:r w:rsidRPr="00C50DCD">
              <w:rPr>
                <w:rFonts w:ascii="Arial" w:hAnsi="Arial" w:cs="Arial"/>
                <w:i/>
              </w:rPr>
              <w:t>quantum imaging</w:t>
            </w:r>
            <w:r w:rsidRPr="00C50DCD">
              <w:rPr>
                <w:rFonts w:ascii="Arial" w:hAnsi="Arial" w:cs="Arial"/>
              </w:rPr>
              <w:t xml:space="preserve"> means utilising certain properties of quantum mechanics, in particular superposition or entanglement, to create images of objects with a resolution or other imaging criteria that is beyond what is possible in non-quantum optics;</w:t>
            </w:r>
          </w:p>
          <w:p w14:paraId="38A8B908" w14:textId="77777777" w:rsidR="00523066" w:rsidRPr="00C50DCD" w:rsidRDefault="00523066" w:rsidP="00917B96">
            <w:pPr>
              <w:rPr>
                <w:rFonts w:ascii="Arial" w:hAnsi="Arial" w:cs="Arial"/>
              </w:rPr>
            </w:pPr>
          </w:p>
          <w:p w14:paraId="3BCF3409" w14:textId="77777777" w:rsidR="00523066" w:rsidRPr="00C50DCD" w:rsidRDefault="00523066" w:rsidP="00917B96">
            <w:pPr>
              <w:rPr>
                <w:rFonts w:ascii="Arial" w:hAnsi="Arial" w:cs="Arial"/>
              </w:rPr>
            </w:pPr>
            <w:r w:rsidRPr="00C50DCD">
              <w:rPr>
                <w:rFonts w:ascii="Arial" w:hAnsi="Arial" w:cs="Arial"/>
                <w:i/>
              </w:rPr>
              <w:t>quantum sensing</w:t>
            </w:r>
            <w:r w:rsidRPr="00C50DCD">
              <w:rPr>
                <w:rFonts w:ascii="Arial" w:hAnsi="Arial" w:cs="Arial"/>
              </w:rPr>
              <w:t xml:space="preserve"> means utilising certain properties of quantum mechanics, including measurements of suspensions of atoms or ions, to determine a property or rate of change in the property of an object, or the effect of an object on a measurable quantity, with a resolution or sensitivity that is beyond what is possible in non-quantum devices or systems;</w:t>
            </w:r>
          </w:p>
          <w:p w14:paraId="170C05BA" w14:textId="77777777" w:rsidR="00523066" w:rsidRPr="00C50DCD" w:rsidRDefault="00523066" w:rsidP="00917B96">
            <w:pPr>
              <w:rPr>
                <w:rFonts w:ascii="Arial" w:hAnsi="Arial" w:cs="Arial"/>
              </w:rPr>
            </w:pPr>
          </w:p>
          <w:p w14:paraId="43447CD9" w14:textId="77777777" w:rsidR="00523066" w:rsidRPr="00C50DCD" w:rsidRDefault="00523066" w:rsidP="00917B96">
            <w:pPr>
              <w:rPr>
                <w:rFonts w:ascii="Arial" w:hAnsi="Arial" w:cs="Arial"/>
              </w:rPr>
            </w:pPr>
            <w:r w:rsidRPr="00C50DCD">
              <w:rPr>
                <w:rFonts w:ascii="Arial" w:hAnsi="Arial" w:cs="Arial"/>
                <w:i/>
              </w:rPr>
              <w:t>quantum timing</w:t>
            </w:r>
            <w:r w:rsidRPr="00C50DCD">
              <w:rPr>
                <w:rFonts w:ascii="Arial" w:hAnsi="Arial" w:cs="Arial"/>
              </w:rPr>
              <w:t xml:space="preserve"> means utilising certain properties of quantum mechanics, including measurements of suspensions of atoms or ions, to provide a timing signal with a resolution or sensitivity that is beyond what is possible in non-quantum devices or systems;</w:t>
            </w:r>
          </w:p>
          <w:p w14:paraId="3576673A" w14:textId="77777777" w:rsidR="00523066" w:rsidRPr="00C50DCD" w:rsidRDefault="00523066" w:rsidP="00917B96">
            <w:pPr>
              <w:rPr>
                <w:rFonts w:ascii="Arial" w:hAnsi="Arial" w:cs="Arial"/>
              </w:rPr>
            </w:pPr>
          </w:p>
          <w:p w14:paraId="1A62E01C" w14:textId="77777777" w:rsidR="00523066" w:rsidRPr="00C50DCD" w:rsidRDefault="00523066" w:rsidP="00917B96">
            <w:pPr>
              <w:rPr>
                <w:rFonts w:ascii="Arial" w:hAnsi="Arial" w:cs="Arial"/>
              </w:rPr>
            </w:pPr>
            <w:r w:rsidRPr="00C50DCD">
              <w:rPr>
                <w:rFonts w:ascii="Arial" w:hAnsi="Arial" w:cs="Arial"/>
                <w:i/>
              </w:rPr>
              <w:t>quantum navigation</w:t>
            </w:r>
            <w:r w:rsidRPr="00C50DCD">
              <w:rPr>
                <w:rFonts w:ascii="Arial" w:hAnsi="Arial" w:cs="Arial"/>
              </w:rPr>
              <w:t xml:space="preserve"> means utilising certain properties of quantum mechanics, including measurements of suspensions of atoms or ions, to establish the location or movement of objects with a resolution or sensitivity that is beyond what is possible in non-quantum devices or systems;</w:t>
            </w:r>
          </w:p>
          <w:p w14:paraId="5E3C42F3" w14:textId="77777777" w:rsidR="00523066" w:rsidRPr="00C50DCD" w:rsidRDefault="00523066" w:rsidP="00917B96">
            <w:pPr>
              <w:rPr>
                <w:rFonts w:ascii="Arial" w:hAnsi="Arial" w:cs="Arial"/>
              </w:rPr>
            </w:pPr>
          </w:p>
          <w:p w14:paraId="48E147A2" w14:textId="77777777" w:rsidR="00523066" w:rsidRPr="00C50DCD" w:rsidRDefault="00523066" w:rsidP="00917B96">
            <w:pPr>
              <w:rPr>
                <w:rFonts w:ascii="Arial" w:hAnsi="Arial" w:cs="Arial"/>
              </w:rPr>
            </w:pPr>
            <w:r w:rsidRPr="00C50DCD">
              <w:rPr>
                <w:rFonts w:ascii="Arial" w:hAnsi="Arial" w:cs="Arial"/>
                <w:i/>
              </w:rPr>
              <w:t>quantum resistant</w:t>
            </w:r>
            <w:r w:rsidRPr="00C50DCD">
              <w:rPr>
                <w:rFonts w:ascii="Arial" w:hAnsi="Arial" w:cs="Arial"/>
              </w:rPr>
              <w:t xml:space="preserve"> cryptography means methods of securing information or data being transmitted or stored, including by non-quantum means, with a view to resisting attack by a quantum computer; (quantum computers make direct use of quantum-mechanical phenomena, such as superposition and entanglement, to perform operations on data);</w:t>
            </w:r>
          </w:p>
          <w:p w14:paraId="0585E626" w14:textId="77777777" w:rsidR="00523066" w:rsidRPr="00C50DCD" w:rsidRDefault="00523066" w:rsidP="00917B96">
            <w:pPr>
              <w:rPr>
                <w:rFonts w:ascii="Arial" w:hAnsi="Arial" w:cs="Arial"/>
              </w:rPr>
            </w:pPr>
          </w:p>
          <w:p w14:paraId="7CDB008A" w14:textId="77777777" w:rsidR="00523066" w:rsidRPr="00C50DCD" w:rsidRDefault="00523066" w:rsidP="00917B96">
            <w:pPr>
              <w:rPr>
                <w:rFonts w:ascii="Arial" w:hAnsi="Arial" w:cs="Arial"/>
              </w:rPr>
            </w:pPr>
            <w:r w:rsidRPr="00C50DCD">
              <w:rPr>
                <w:rFonts w:ascii="Arial" w:hAnsi="Arial" w:cs="Arial"/>
                <w:i/>
              </w:rPr>
              <w:t>quantum communications</w:t>
            </w:r>
            <w:r w:rsidRPr="00C50DCD">
              <w:rPr>
                <w:rFonts w:ascii="Arial" w:hAnsi="Arial" w:cs="Arial"/>
              </w:rPr>
              <w:t xml:space="preserve"> means the transmission of information, from one location to another (point-to-point) or across a network, utilising the properties of quantum mechanics, in particular superposition or entanglement and includes the establishment of cryptographic keys and the generation of true random numbers using a quantum physical process.</w:t>
            </w:r>
          </w:p>
          <w:p w14:paraId="78B0ABEF" w14:textId="77777777" w:rsidR="00523066" w:rsidRPr="00C50DCD" w:rsidRDefault="00523066" w:rsidP="00917B96">
            <w:pPr>
              <w:rPr>
                <w:rFonts w:ascii="Arial" w:hAnsi="Arial" w:cs="Arial"/>
              </w:rPr>
            </w:pPr>
          </w:p>
        </w:tc>
      </w:tr>
    </w:tbl>
    <w:p w14:paraId="00A28FD9" w14:textId="77777777" w:rsidR="00523066" w:rsidRPr="008E51C9" w:rsidRDefault="00523066" w:rsidP="00523066">
      <w:pPr>
        <w:ind w:left="720"/>
        <w:rPr>
          <w:rFonts w:ascii="Arial" w:hAnsi="Arial" w:cs="Arial"/>
        </w:rPr>
      </w:pPr>
    </w:p>
    <w:p w14:paraId="7775168D" w14:textId="77777777" w:rsidR="00523066" w:rsidRPr="008E51C9" w:rsidRDefault="00523066" w:rsidP="00523066">
      <w:pPr>
        <w:pStyle w:val="ListParagraph"/>
        <w:numPr>
          <w:ilvl w:val="1"/>
          <w:numId w:val="19"/>
        </w:numPr>
        <w:ind w:hanging="792"/>
        <w:rPr>
          <w:rFonts w:ascii="Arial" w:hAnsi="Arial" w:cs="Arial"/>
        </w:rPr>
      </w:pPr>
      <w:r w:rsidRPr="008E51C9">
        <w:rPr>
          <w:rFonts w:ascii="Arial" w:hAnsi="Arial" w:cs="Arial"/>
        </w:rPr>
        <w:t xml:space="preserve">The thresholds apply to businesses which research, develop, or produce goods </w:t>
      </w:r>
      <w:r>
        <w:rPr>
          <w:rFonts w:ascii="Arial" w:hAnsi="Arial" w:cs="Arial"/>
        </w:rPr>
        <w:t>designed</w:t>
      </w:r>
      <w:r w:rsidRPr="008E51C9">
        <w:rPr>
          <w:rFonts w:ascii="Arial" w:hAnsi="Arial" w:cs="Arial"/>
        </w:rPr>
        <w:t xml:space="preserve"> for use in these activities or which supply services employing these activities. It is intended that “development” means all stages prior to production (e.g. design, assembly and testing of prototype). This would include the creation of intellectual property (even if not yet put to commercial use). Businesses supplying quantum</w:t>
      </w:r>
      <w:r>
        <w:rPr>
          <w:rFonts w:ascii="Arial" w:hAnsi="Arial" w:cs="Arial"/>
        </w:rPr>
        <w:t xml:space="preserve"> technology </w:t>
      </w:r>
      <w:r w:rsidRPr="008E51C9">
        <w:rPr>
          <w:rFonts w:ascii="Arial" w:hAnsi="Arial" w:cs="Arial"/>
        </w:rPr>
        <w:t>components to other firms would, therefore, be covered by the</w:t>
      </w:r>
      <w:r>
        <w:rPr>
          <w:rFonts w:ascii="Arial" w:hAnsi="Arial" w:cs="Arial"/>
        </w:rPr>
        <w:t xml:space="preserve"> definitions in section 23A</w:t>
      </w:r>
      <w:r w:rsidRPr="008E51C9">
        <w:rPr>
          <w:rFonts w:ascii="Arial" w:hAnsi="Arial" w:cs="Arial"/>
        </w:rPr>
        <w:t xml:space="preserve">. Similarly, businesses offering services (such as consultancy advice, or data analysis) which use quantum-based technology would also be within scope of the </w:t>
      </w:r>
      <w:r>
        <w:rPr>
          <w:rFonts w:ascii="Arial" w:hAnsi="Arial" w:cs="Arial"/>
        </w:rPr>
        <w:t>revised tests</w:t>
      </w:r>
      <w:r w:rsidRPr="008E51C9">
        <w:rPr>
          <w:rFonts w:ascii="Arial" w:hAnsi="Arial" w:cs="Arial"/>
        </w:rPr>
        <w:t xml:space="preserve">.  </w:t>
      </w:r>
    </w:p>
    <w:p w14:paraId="61EF0B32" w14:textId="77777777" w:rsidR="00523066" w:rsidRPr="008E51C9" w:rsidRDefault="00523066" w:rsidP="00523066">
      <w:pPr>
        <w:pStyle w:val="ListParagraph"/>
        <w:rPr>
          <w:rFonts w:ascii="Arial" w:hAnsi="Arial" w:cs="Arial"/>
        </w:rPr>
      </w:pPr>
    </w:p>
    <w:p w14:paraId="2A8D58CE" w14:textId="77777777" w:rsidR="00523066" w:rsidRDefault="00523066" w:rsidP="00523066">
      <w:pPr>
        <w:pStyle w:val="ListParagraph"/>
        <w:numPr>
          <w:ilvl w:val="1"/>
          <w:numId w:val="19"/>
        </w:numPr>
        <w:ind w:hanging="792"/>
        <w:rPr>
          <w:rFonts w:ascii="Arial" w:hAnsi="Arial" w:cs="Arial"/>
        </w:rPr>
      </w:pPr>
      <w:r w:rsidRPr="008E51C9">
        <w:rPr>
          <w:rFonts w:ascii="Arial" w:hAnsi="Arial" w:cs="Arial"/>
        </w:rPr>
        <w:t xml:space="preserve">Businesses which </w:t>
      </w:r>
      <w:r>
        <w:rPr>
          <w:rFonts w:ascii="Arial" w:hAnsi="Arial" w:cs="Arial"/>
        </w:rPr>
        <w:t>provide non-quantum technology-related</w:t>
      </w:r>
      <w:r w:rsidRPr="008E51C9">
        <w:rPr>
          <w:rFonts w:ascii="Arial" w:hAnsi="Arial" w:cs="Arial"/>
        </w:rPr>
        <w:t xml:space="preserve"> goods, o</w:t>
      </w:r>
      <w:r>
        <w:rPr>
          <w:rFonts w:ascii="Arial" w:hAnsi="Arial" w:cs="Arial"/>
        </w:rPr>
        <w:t xml:space="preserve">r </w:t>
      </w:r>
      <w:r w:rsidRPr="008E51C9">
        <w:rPr>
          <w:rFonts w:ascii="Arial" w:hAnsi="Arial" w:cs="Arial"/>
        </w:rPr>
        <w:t xml:space="preserve">services, to quantum technology businesses are </w:t>
      </w:r>
      <w:r w:rsidRPr="008F1A4B">
        <w:rPr>
          <w:rFonts w:ascii="Arial" w:hAnsi="Arial" w:cs="Arial"/>
          <w:u w:val="single"/>
        </w:rPr>
        <w:t>not</w:t>
      </w:r>
      <w:r w:rsidRPr="008E51C9">
        <w:rPr>
          <w:rFonts w:ascii="Arial" w:hAnsi="Arial" w:cs="Arial"/>
        </w:rPr>
        <w:t xml:space="preserve"> covered by the </w:t>
      </w:r>
      <w:r>
        <w:rPr>
          <w:rFonts w:ascii="Arial" w:hAnsi="Arial" w:cs="Arial"/>
        </w:rPr>
        <w:t>definitions in section 23A</w:t>
      </w:r>
      <w:r w:rsidRPr="008E51C9">
        <w:rPr>
          <w:rFonts w:ascii="Arial" w:hAnsi="Arial" w:cs="Arial"/>
        </w:rPr>
        <w:t xml:space="preserve"> unless covered in their own right. A firm providing accountancy services, for example, to a quantum technology business is not in scope of the changes. </w:t>
      </w:r>
    </w:p>
    <w:p w14:paraId="0B948FEF" w14:textId="77777777" w:rsidR="00523066" w:rsidRPr="008E51C9" w:rsidRDefault="00523066" w:rsidP="00523066">
      <w:pPr>
        <w:pStyle w:val="ListParagraph"/>
        <w:ind w:left="792"/>
        <w:rPr>
          <w:rFonts w:ascii="Arial" w:hAnsi="Arial" w:cs="Arial"/>
        </w:rPr>
      </w:pPr>
    </w:p>
    <w:p w14:paraId="5D628709" w14:textId="77777777" w:rsidR="00523066" w:rsidRPr="008E51C9" w:rsidRDefault="00523066" w:rsidP="00523066">
      <w:pPr>
        <w:pStyle w:val="ListParagraph"/>
        <w:numPr>
          <w:ilvl w:val="1"/>
          <w:numId w:val="19"/>
        </w:numPr>
        <w:ind w:hanging="792"/>
        <w:rPr>
          <w:rFonts w:ascii="Arial" w:hAnsi="Arial" w:cs="Arial"/>
        </w:rPr>
      </w:pPr>
      <w:r w:rsidRPr="008E51C9">
        <w:rPr>
          <w:rFonts w:ascii="Arial" w:hAnsi="Arial" w:cs="Arial"/>
        </w:rPr>
        <w:t>The definitions for these activities come, in part, from the National Strategy for Quantum Technologies and ha</w:t>
      </w:r>
      <w:r>
        <w:rPr>
          <w:rFonts w:ascii="Arial" w:hAnsi="Arial" w:cs="Arial"/>
        </w:rPr>
        <w:t>ve</w:t>
      </w:r>
      <w:r w:rsidRPr="008E51C9">
        <w:rPr>
          <w:rFonts w:ascii="Arial" w:hAnsi="Arial" w:cs="Arial"/>
        </w:rPr>
        <w:t xml:space="preserve"> been informed by the Government’s consultation </w:t>
      </w:r>
      <w:r>
        <w:rPr>
          <w:rFonts w:ascii="Arial" w:hAnsi="Arial" w:cs="Arial"/>
        </w:rPr>
        <w:t>in 2017</w:t>
      </w:r>
      <w:r w:rsidRPr="008E51C9">
        <w:rPr>
          <w:rFonts w:ascii="Arial" w:hAnsi="Arial" w:cs="Arial"/>
        </w:rPr>
        <w:t xml:space="preserve">. The Government considers that those businesses which undertake these activities, and any investors with a serious intent to acquire them, will be clear about the </w:t>
      </w:r>
      <w:r>
        <w:rPr>
          <w:rFonts w:ascii="Arial" w:hAnsi="Arial" w:cs="Arial"/>
        </w:rPr>
        <w:t>scope of the provisions</w:t>
      </w:r>
      <w:r w:rsidRPr="008E51C9">
        <w:rPr>
          <w:rFonts w:ascii="Arial" w:hAnsi="Arial" w:cs="Arial"/>
        </w:rPr>
        <w:t xml:space="preserve">. </w:t>
      </w:r>
    </w:p>
    <w:p w14:paraId="27E33B7D" w14:textId="77777777" w:rsidR="00523066" w:rsidRDefault="00523066" w:rsidP="00523066">
      <w:pPr>
        <w:pStyle w:val="ListParagraph"/>
        <w:rPr>
          <w:rFonts w:ascii="Arial" w:hAnsi="Arial" w:cs="Arial"/>
        </w:rPr>
      </w:pPr>
    </w:p>
    <w:p w14:paraId="536DEE5F" w14:textId="77777777" w:rsidR="00523066" w:rsidRPr="001646E7" w:rsidRDefault="00523066" w:rsidP="00523066">
      <w:pPr>
        <w:pBdr>
          <w:top w:val="single" w:sz="4" w:space="1" w:color="auto"/>
          <w:left w:val="single" w:sz="4" w:space="0" w:color="auto"/>
          <w:bottom w:val="single" w:sz="4" w:space="1" w:color="auto"/>
          <w:right w:val="single" w:sz="4" w:space="4" w:color="auto"/>
        </w:pBdr>
        <w:ind w:left="720"/>
        <w:rPr>
          <w:rFonts w:ascii="Arial" w:hAnsi="Arial" w:cs="Arial"/>
          <w:i/>
          <w:color w:val="1F497D"/>
        </w:rPr>
      </w:pPr>
      <w:r w:rsidRPr="001646E7">
        <w:rPr>
          <w:rFonts w:ascii="Arial" w:hAnsi="Arial" w:cs="Arial"/>
          <w:i/>
          <w:color w:val="1F497D"/>
        </w:rPr>
        <w:t xml:space="preserve">Quantum technology – example 2 of what is, and what is not, covered </w:t>
      </w:r>
    </w:p>
    <w:p w14:paraId="3B5E82B0" w14:textId="77777777" w:rsidR="00523066" w:rsidRPr="008E51C9" w:rsidRDefault="00523066" w:rsidP="00523066">
      <w:pPr>
        <w:pBdr>
          <w:top w:val="single" w:sz="4" w:space="1" w:color="auto"/>
          <w:left w:val="single" w:sz="4" w:space="0" w:color="auto"/>
          <w:bottom w:val="single" w:sz="4" w:space="1" w:color="auto"/>
          <w:right w:val="single" w:sz="4" w:space="4" w:color="auto"/>
        </w:pBdr>
        <w:ind w:left="720"/>
        <w:rPr>
          <w:rFonts w:ascii="Arial" w:hAnsi="Arial" w:cs="Arial"/>
          <w:b/>
        </w:rPr>
      </w:pPr>
    </w:p>
    <w:p w14:paraId="33C85B0D" w14:textId="77777777" w:rsidR="00523066" w:rsidRPr="001B6A55" w:rsidRDefault="00523066" w:rsidP="00523066">
      <w:pPr>
        <w:pBdr>
          <w:top w:val="single" w:sz="4" w:space="1" w:color="auto"/>
          <w:left w:val="single" w:sz="4" w:space="0" w:color="auto"/>
          <w:bottom w:val="single" w:sz="4" w:space="1" w:color="auto"/>
          <w:right w:val="single" w:sz="4" w:space="4" w:color="auto"/>
        </w:pBdr>
        <w:ind w:left="720"/>
        <w:rPr>
          <w:rFonts w:ascii="Arial" w:hAnsi="Arial" w:cs="Arial"/>
          <w:i/>
          <w:color w:val="1F497D"/>
        </w:rPr>
      </w:pPr>
      <w:r w:rsidRPr="001B6A55">
        <w:rPr>
          <w:rFonts w:ascii="Arial" w:hAnsi="Arial" w:cs="Arial"/>
          <w:i/>
          <w:color w:val="1F497D"/>
        </w:rPr>
        <w:t xml:space="preserve">Companies </w:t>
      </w:r>
      <w:r w:rsidRPr="001B6A55">
        <w:rPr>
          <w:rFonts w:ascii="Arial" w:hAnsi="Arial" w:cs="Arial"/>
          <w:i/>
          <w:color w:val="1F497D"/>
          <w:u w:val="single"/>
        </w:rPr>
        <w:t>using</w:t>
      </w:r>
      <w:r w:rsidRPr="001B6A55">
        <w:rPr>
          <w:rFonts w:ascii="Arial" w:hAnsi="Arial" w:cs="Arial"/>
          <w:i/>
          <w:color w:val="1F497D"/>
        </w:rPr>
        <w:t xml:space="preserve"> quantum technology </w:t>
      </w:r>
    </w:p>
    <w:p w14:paraId="2859D5A5" w14:textId="77777777" w:rsidR="00523066" w:rsidRPr="008E51C9" w:rsidRDefault="00523066" w:rsidP="00523066">
      <w:pPr>
        <w:pBdr>
          <w:top w:val="single" w:sz="4" w:space="1" w:color="auto"/>
          <w:left w:val="single" w:sz="4" w:space="0" w:color="auto"/>
          <w:bottom w:val="single" w:sz="4" w:space="1" w:color="auto"/>
          <w:right w:val="single" w:sz="4" w:space="4" w:color="auto"/>
        </w:pBdr>
        <w:ind w:left="720"/>
        <w:rPr>
          <w:rFonts w:ascii="Arial" w:hAnsi="Arial" w:cs="Arial"/>
        </w:rPr>
      </w:pPr>
      <w:r w:rsidRPr="008E51C9">
        <w:rPr>
          <w:rFonts w:ascii="Arial" w:hAnsi="Arial" w:cs="Arial"/>
        </w:rPr>
        <w:t xml:space="preserve">The </w:t>
      </w:r>
      <w:r>
        <w:rPr>
          <w:rFonts w:ascii="Arial" w:hAnsi="Arial" w:cs="Arial"/>
        </w:rPr>
        <w:t>provisions</w:t>
      </w:r>
      <w:r w:rsidRPr="008E51C9">
        <w:rPr>
          <w:rFonts w:ascii="Arial" w:hAnsi="Arial" w:cs="Arial"/>
        </w:rPr>
        <w:t xml:space="preserve"> only appl</w:t>
      </w:r>
      <w:r>
        <w:rPr>
          <w:rFonts w:ascii="Arial" w:hAnsi="Arial" w:cs="Arial"/>
        </w:rPr>
        <w:t>y</w:t>
      </w:r>
      <w:r w:rsidRPr="008E51C9">
        <w:rPr>
          <w:rFonts w:ascii="Arial" w:hAnsi="Arial" w:cs="Arial"/>
        </w:rPr>
        <w:t xml:space="preserve"> to businesses which carry out research into, </w:t>
      </w:r>
      <w:r>
        <w:rPr>
          <w:rFonts w:ascii="Arial" w:hAnsi="Arial" w:cs="Arial"/>
        </w:rPr>
        <w:t>design or manufacture quantum</w:t>
      </w:r>
      <w:r w:rsidRPr="008E51C9">
        <w:rPr>
          <w:rFonts w:ascii="Arial" w:hAnsi="Arial" w:cs="Arial"/>
        </w:rPr>
        <w:t xml:space="preserve"> technology. Those which </w:t>
      </w:r>
      <w:r w:rsidRPr="008E51C9">
        <w:rPr>
          <w:rFonts w:ascii="Arial" w:hAnsi="Arial" w:cs="Arial"/>
          <w:u w:val="single"/>
        </w:rPr>
        <w:t>use</w:t>
      </w:r>
      <w:r w:rsidRPr="008E51C9">
        <w:rPr>
          <w:rFonts w:ascii="Arial" w:hAnsi="Arial" w:cs="Arial"/>
        </w:rPr>
        <w:t xml:space="preserve"> quantum goods or services provided by others are not in scope.</w:t>
      </w:r>
    </w:p>
    <w:p w14:paraId="1965DF34" w14:textId="77777777" w:rsidR="00523066" w:rsidRPr="008E51C9" w:rsidRDefault="00523066" w:rsidP="00523066">
      <w:pPr>
        <w:pBdr>
          <w:top w:val="single" w:sz="4" w:space="1" w:color="auto"/>
          <w:left w:val="single" w:sz="4" w:space="0" w:color="auto"/>
          <w:bottom w:val="single" w:sz="4" w:space="1" w:color="auto"/>
          <w:right w:val="single" w:sz="4" w:space="4" w:color="auto"/>
        </w:pBdr>
        <w:ind w:left="720"/>
        <w:rPr>
          <w:rFonts w:ascii="Arial" w:hAnsi="Arial" w:cs="Arial"/>
        </w:rPr>
      </w:pPr>
    </w:p>
    <w:p w14:paraId="74309392" w14:textId="77777777" w:rsidR="00523066" w:rsidRPr="008E51C9" w:rsidRDefault="00523066" w:rsidP="00523066">
      <w:pPr>
        <w:pBdr>
          <w:top w:val="single" w:sz="4" w:space="1" w:color="auto"/>
          <w:left w:val="single" w:sz="4" w:space="0" w:color="auto"/>
          <w:bottom w:val="single" w:sz="4" w:space="1" w:color="auto"/>
          <w:right w:val="single" w:sz="4" w:space="4" w:color="auto"/>
        </w:pBdr>
        <w:ind w:left="720"/>
        <w:rPr>
          <w:rFonts w:ascii="Arial" w:hAnsi="Arial" w:cs="Arial"/>
        </w:rPr>
      </w:pPr>
      <w:r w:rsidRPr="008E51C9">
        <w:rPr>
          <w:rFonts w:ascii="Arial" w:hAnsi="Arial" w:cs="Arial"/>
        </w:rPr>
        <w:t xml:space="preserve">Pharmaceutical company A is developing a new drug. This requires substantial computing power in order to try various permutations of </w:t>
      </w:r>
      <w:r w:rsidRPr="00430E9F">
        <w:rPr>
          <w:rFonts w:ascii="Arial" w:hAnsi="Arial" w:cs="Arial"/>
        </w:rPr>
        <w:t>data.</w:t>
      </w:r>
      <w:r w:rsidRPr="008E51C9">
        <w:rPr>
          <w:rFonts w:ascii="Arial" w:hAnsi="Arial" w:cs="Arial"/>
        </w:rPr>
        <w:t xml:space="preserve"> It employs quantum business B to use its quantum</w:t>
      </w:r>
      <w:r>
        <w:rPr>
          <w:rFonts w:ascii="Arial" w:hAnsi="Arial" w:cs="Arial"/>
        </w:rPr>
        <w:t xml:space="preserve"> technology </w:t>
      </w:r>
      <w:r w:rsidRPr="008E51C9">
        <w:rPr>
          <w:rFonts w:ascii="Arial" w:hAnsi="Arial" w:cs="Arial"/>
        </w:rPr>
        <w:t>computers to significantly increase the speed at which these calculations can happen.</w:t>
      </w:r>
    </w:p>
    <w:p w14:paraId="069A4566" w14:textId="77777777" w:rsidR="00523066" w:rsidRPr="008E51C9" w:rsidRDefault="00523066" w:rsidP="00523066">
      <w:pPr>
        <w:pBdr>
          <w:top w:val="single" w:sz="4" w:space="1" w:color="auto"/>
          <w:left w:val="single" w:sz="4" w:space="0" w:color="auto"/>
          <w:bottom w:val="single" w:sz="4" w:space="1" w:color="auto"/>
          <w:right w:val="single" w:sz="4" w:space="4" w:color="auto"/>
        </w:pBdr>
        <w:ind w:left="720"/>
        <w:rPr>
          <w:rFonts w:ascii="Arial" w:hAnsi="Arial" w:cs="Arial"/>
        </w:rPr>
      </w:pPr>
    </w:p>
    <w:p w14:paraId="6765092F" w14:textId="77777777" w:rsidR="00523066" w:rsidRPr="008E51C9" w:rsidRDefault="00523066" w:rsidP="00523066">
      <w:pPr>
        <w:pBdr>
          <w:top w:val="single" w:sz="4" w:space="1" w:color="auto"/>
          <w:left w:val="single" w:sz="4" w:space="0" w:color="auto"/>
          <w:bottom w:val="single" w:sz="4" w:space="1" w:color="auto"/>
          <w:right w:val="single" w:sz="4" w:space="4" w:color="auto"/>
        </w:pBdr>
        <w:ind w:left="720"/>
        <w:rPr>
          <w:rFonts w:ascii="Arial" w:hAnsi="Arial" w:cs="Arial"/>
        </w:rPr>
      </w:pPr>
      <w:r w:rsidRPr="008E51C9">
        <w:rPr>
          <w:rFonts w:ascii="Arial" w:hAnsi="Arial" w:cs="Arial"/>
        </w:rPr>
        <w:lastRenderedPageBreak/>
        <w:t>Company A is unaffected by the</w:t>
      </w:r>
      <w:r>
        <w:rPr>
          <w:rFonts w:ascii="Arial" w:hAnsi="Arial" w:cs="Arial"/>
        </w:rPr>
        <w:t xml:space="preserve"> provisions</w:t>
      </w:r>
      <w:r w:rsidRPr="008E51C9">
        <w:rPr>
          <w:rFonts w:ascii="Arial" w:hAnsi="Arial" w:cs="Arial"/>
        </w:rPr>
        <w:t xml:space="preserve">. Any competition or national security-related intervention in the takeover of A would be subject to the £70 million </w:t>
      </w:r>
      <w:r>
        <w:rPr>
          <w:rFonts w:ascii="Arial" w:hAnsi="Arial" w:cs="Arial"/>
        </w:rPr>
        <w:t xml:space="preserve">UK </w:t>
      </w:r>
      <w:r w:rsidRPr="008E51C9">
        <w:rPr>
          <w:rFonts w:ascii="Arial" w:hAnsi="Arial" w:cs="Arial"/>
        </w:rPr>
        <w:t>turnover threshold, and the requirement for the merger to increase the share of supply</w:t>
      </w:r>
      <w:r>
        <w:rPr>
          <w:rFonts w:ascii="Arial" w:hAnsi="Arial" w:cs="Arial"/>
        </w:rPr>
        <w:t xml:space="preserve"> to or over 25%</w:t>
      </w:r>
      <w:r w:rsidRPr="008E51C9">
        <w:rPr>
          <w:rFonts w:ascii="Arial" w:hAnsi="Arial" w:cs="Arial"/>
        </w:rPr>
        <w:t xml:space="preserve">. </w:t>
      </w:r>
    </w:p>
    <w:p w14:paraId="2A1E3395" w14:textId="77777777" w:rsidR="00523066" w:rsidRPr="008E51C9" w:rsidRDefault="00523066" w:rsidP="00523066">
      <w:pPr>
        <w:pBdr>
          <w:top w:val="single" w:sz="4" w:space="1" w:color="auto"/>
          <w:left w:val="single" w:sz="4" w:space="0" w:color="auto"/>
          <w:bottom w:val="single" w:sz="4" w:space="1" w:color="auto"/>
          <w:right w:val="single" w:sz="4" w:space="4" w:color="auto"/>
        </w:pBdr>
        <w:ind w:left="720"/>
        <w:rPr>
          <w:rFonts w:ascii="Arial" w:hAnsi="Arial" w:cs="Arial"/>
          <w:b/>
          <w:i/>
        </w:rPr>
      </w:pPr>
    </w:p>
    <w:p w14:paraId="63AD96FF" w14:textId="77777777" w:rsidR="00523066" w:rsidRPr="008E51C9" w:rsidRDefault="00523066" w:rsidP="00523066">
      <w:pPr>
        <w:rPr>
          <w:rFonts w:ascii="Arial" w:hAnsi="Arial" w:cs="Arial"/>
        </w:rPr>
      </w:pPr>
    </w:p>
    <w:p w14:paraId="66D54753" w14:textId="77777777" w:rsidR="00523066" w:rsidRDefault="00523066" w:rsidP="00523066"/>
    <w:p w14:paraId="1F1E3357" w14:textId="77777777" w:rsidR="00523066" w:rsidRPr="00A50186" w:rsidRDefault="00523066" w:rsidP="00523066">
      <w:pPr>
        <w:pStyle w:val="Guidance2"/>
        <w:rPr>
          <w:color w:val="auto"/>
        </w:rPr>
      </w:pPr>
      <w:r w:rsidRPr="00A50186">
        <w:t>The 2020 amendments: artificial intelligence, cryptographic authentication</w:t>
      </w:r>
      <w:r w:rsidRPr="00523066" w:rsidDel="00237EDC">
        <w:rPr>
          <w:color w:val="4472C4"/>
        </w:rPr>
        <w:t xml:space="preserve"> </w:t>
      </w:r>
      <w:r w:rsidRPr="00A50186">
        <w:t xml:space="preserve">and advanced materials </w:t>
      </w:r>
      <w:bookmarkEnd w:id="11"/>
      <w:bookmarkEnd w:id="13"/>
    </w:p>
    <w:p w14:paraId="64A45191" w14:textId="77777777" w:rsidR="00523066" w:rsidRDefault="00523066" w:rsidP="00523066">
      <w:pPr>
        <w:rPr>
          <w:rFonts w:ascii="Arial" w:hAnsi="Arial" w:cs="Arial"/>
        </w:rPr>
      </w:pPr>
    </w:p>
    <w:p w14:paraId="0EDA1407" w14:textId="77777777" w:rsidR="00523066" w:rsidRPr="00DD4277" w:rsidRDefault="00523066" w:rsidP="00523066">
      <w:pPr>
        <w:pStyle w:val="Guidance2"/>
        <w:keepLines w:val="0"/>
        <w:rPr>
          <w:rFonts w:eastAsia="Calibri"/>
        </w:rPr>
      </w:pPr>
      <w:r w:rsidRPr="00DD4277">
        <w:rPr>
          <w:rFonts w:eastAsia="Calibri"/>
        </w:rPr>
        <w:t>Artificial intelligence</w:t>
      </w:r>
    </w:p>
    <w:p w14:paraId="5F3EF6AE" w14:textId="77777777" w:rsidR="00523066" w:rsidRDefault="00523066" w:rsidP="00523066">
      <w:pPr>
        <w:rPr>
          <w:rFonts w:ascii="Arial" w:hAnsi="Arial" w:cs="Arial"/>
        </w:rPr>
      </w:pPr>
    </w:p>
    <w:p w14:paraId="0D8A5C83" w14:textId="77777777" w:rsidR="00523066" w:rsidRPr="008E51C9" w:rsidRDefault="00523066" w:rsidP="00523066">
      <w:pPr>
        <w:pStyle w:val="Guidance3"/>
      </w:pPr>
      <w:r w:rsidRPr="008E51C9">
        <w:t>Government’s national security interests</w:t>
      </w:r>
    </w:p>
    <w:p w14:paraId="100BC544"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Artificial intelligence (AI) technologies are transforming the global economy. They can be seen as new industries in their own right, but they are also transforming business models across many sectors. They deploy vast datasets to identify better ways of doing complex tasks.</w:t>
      </w:r>
    </w:p>
    <w:p w14:paraId="2E9B739B" w14:textId="77777777" w:rsidR="00523066" w:rsidRDefault="00523066" w:rsidP="00523066">
      <w:pPr>
        <w:pStyle w:val="ListParagraph"/>
        <w:ind w:left="792"/>
        <w:rPr>
          <w:rFonts w:ascii="Arial" w:hAnsi="Arial" w:cs="Arial"/>
        </w:rPr>
      </w:pPr>
    </w:p>
    <w:p w14:paraId="1CAEDA1A"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 xml:space="preserve">AI </w:t>
      </w:r>
      <w:r>
        <w:rPr>
          <w:rFonts w:ascii="Arial" w:hAnsi="Arial" w:cs="Arial"/>
        </w:rPr>
        <w:t xml:space="preserve">devices or software </w:t>
      </w:r>
      <w:r w:rsidRPr="130CD644">
        <w:rPr>
          <w:rFonts w:ascii="Arial" w:hAnsi="Arial" w:cs="Arial"/>
        </w:rPr>
        <w:t>have the potential to be directed remotely or in ways that raise national security concerns should</w:t>
      </w:r>
      <w:r>
        <w:rPr>
          <w:rFonts w:ascii="Arial" w:hAnsi="Arial" w:cs="Arial"/>
        </w:rPr>
        <w:t>, for instance,</w:t>
      </w:r>
      <w:r w:rsidRPr="130CD644">
        <w:rPr>
          <w:rFonts w:ascii="Arial" w:hAnsi="Arial" w:cs="Arial"/>
        </w:rPr>
        <w:t xml:space="preserve"> a hostile actor obtain access or control over them.  </w:t>
      </w:r>
    </w:p>
    <w:p w14:paraId="7AF1D449" w14:textId="77777777" w:rsidR="00523066" w:rsidRDefault="00523066" w:rsidP="00523066">
      <w:pPr>
        <w:pStyle w:val="ListParagraph"/>
        <w:ind w:left="792"/>
        <w:rPr>
          <w:rFonts w:ascii="Arial" w:hAnsi="Arial" w:cs="Arial"/>
        </w:rPr>
      </w:pPr>
    </w:p>
    <w:p w14:paraId="2A69E13E" w14:textId="77777777" w:rsidR="00523066" w:rsidRDefault="00523066" w:rsidP="00523066">
      <w:pPr>
        <w:pStyle w:val="ListParagraph"/>
        <w:numPr>
          <w:ilvl w:val="1"/>
          <w:numId w:val="10"/>
        </w:numPr>
        <w:ind w:hanging="792"/>
        <w:rPr>
          <w:rFonts w:ascii="Arial" w:hAnsi="Arial" w:cs="Arial"/>
        </w:rPr>
      </w:pPr>
      <w:r>
        <w:rPr>
          <w:rFonts w:ascii="Arial" w:hAnsi="Arial" w:cs="Arial"/>
        </w:rPr>
        <w:t>The opportunity to use AI positively across the UK economy can only be harnessed if sensitive and critical applications of AI, especially in defence and security and national infrastructure, can be protected from, for instance, the risk of hostile actors intending to do harm to the UK and its interests.</w:t>
      </w:r>
    </w:p>
    <w:p w14:paraId="3AF2D094" w14:textId="77777777" w:rsidR="00523066" w:rsidRDefault="00523066" w:rsidP="00523066">
      <w:pPr>
        <w:rPr>
          <w:rFonts w:ascii="Arial" w:hAnsi="Arial" w:cs="Arial"/>
        </w:rPr>
      </w:pPr>
    </w:p>
    <w:p w14:paraId="10389B6E" w14:textId="77777777" w:rsidR="00523066" w:rsidRPr="008E51C9" w:rsidRDefault="00523066" w:rsidP="00523066">
      <w:pPr>
        <w:pStyle w:val="Guidance3"/>
      </w:pPr>
      <w:r>
        <w:t>What is artificial intelligence?</w:t>
      </w:r>
    </w:p>
    <w:p w14:paraId="66AF8062" w14:textId="77777777" w:rsidR="00523066" w:rsidRPr="00683034" w:rsidRDefault="00523066" w:rsidP="00523066">
      <w:pPr>
        <w:pStyle w:val="ListParagraph"/>
        <w:numPr>
          <w:ilvl w:val="1"/>
          <w:numId w:val="10"/>
        </w:numPr>
        <w:ind w:hanging="792"/>
        <w:rPr>
          <w:rFonts w:ascii="Arial" w:hAnsi="Arial" w:cs="Arial"/>
        </w:rPr>
      </w:pPr>
      <w:r w:rsidRPr="00CC0495">
        <w:rPr>
          <w:rFonts w:ascii="Arial" w:hAnsi="Arial" w:cs="Arial"/>
        </w:rPr>
        <w:t xml:space="preserve">‘Artificial </w:t>
      </w:r>
      <w:r>
        <w:rPr>
          <w:rFonts w:ascii="Arial" w:hAnsi="Arial" w:cs="Arial"/>
        </w:rPr>
        <w:t>i</w:t>
      </w:r>
      <w:r w:rsidRPr="00CC0495">
        <w:rPr>
          <w:rFonts w:ascii="Arial" w:hAnsi="Arial" w:cs="Arial"/>
        </w:rPr>
        <w:t>ntelligence’ refers to technology enabling the programming, or execution of a computational process capable of undertaking complex tasks commonly associated with human intelligence. These tasks are often data intensive, including but not restricted to analysis, decision making, image processing and recognition, natural language understanding, autonomous operation in complex domains, reflection or introspection.</w:t>
      </w:r>
    </w:p>
    <w:p w14:paraId="75DD1CFE" w14:textId="77777777" w:rsidR="00523066" w:rsidRDefault="00523066" w:rsidP="00523066">
      <w:pPr>
        <w:pStyle w:val="ListParagraph"/>
        <w:ind w:left="792"/>
        <w:rPr>
          <w:rFonts w:ascii="Arial" w:hAnsi="Arial" w:cs="Arial"/>
        </w:rPr>
      </w:pPr>
    </w:p>
    <w:p w14:paraId="3EAE43F8"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AI</w:t>
      </w:r>
      <w:r w:rsidRPr="130CD644" w:rsidDel="00E009B0">
        <w:rPr>
          <w:rFonts w:ascii="Arial" w:hAnsi="Arial" w:cs="Arial"/>
        </w:rPr>
        <w:t xml:space="preserve"> </w:t>
      </w:r>
      <w:r w:rsidRPr="130CD644">
        <w:rPr>
          <w:rFonts w:ascii="Arial" w:hAnsi="Arial" w:cs="Arial"/>
        </w:rPr>
        <w:t xml:space="preserve">can employ, for example, machine learning algorithms (algorithms with the ability to learn without being explicitly programmed) in order to deploy adaptable, automated decision-making models for complex tasks. This implies interaction with the digital and in some cases the physical environment. </w:t>
      </w:r>
    </w:p>
    <w:p w14:paraId="3E725923" w14:textId="77777777" w:rsidR="00523066" w:rsidRDefault="00523066" w:rsidP="00523066">
      <w:pPr>
        <w:pStyle w:val="ListParagraph"/>
        <w:ind w:left="792"/>
        <w:rPr>
          <w:rFonts w:ascii="Arial" w:hAnsi="Arial" w:cs="Arial"/>
        </w:rPr>
      </w:pPr>
    </w:p>
    <w:p w14:paraId="43D2579A" w14:textId="77777777" w:rsidR="00523066" w:rsidRPr="008E51C9" w:rsidRDefault="00523066" w:rsidP="00523066">
      <w:pPr>
        <w:pStyle w:val="Guidance3"/>
      </w:pPr>
      <w:r>
        <w:t>Which</w:t>
      </w:r>
      <w:r w:rsidRPr="008E51C9">
        <w:t xml:space="preserve"> </w:t>
      </w:r>
      <w:r>
        <w:t>AI firms</w:t>
      </w:r>
      <w:r w:rsidRPr="008E51C9">
        <w:t xml:space="preserve"> are covered </w:t>
      </w:r>
      <w:r>
        <w:t>by the new provisions</w:t>
      </w:r>
    </w:p>
    <w:p w14:paraId="77777826"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 xml:space="preserve">The Government intends to cover all businesses that produce, develop and design AI technologies, including components and service providers and all relevant intellectual property, where these products are reasonably expected to be used in systems critical for national security. </w:t>
      </w:r>
      <w:r w:rsidRPr="00CC0495">
        <w:rPr>
          <w:rFonts w:ascii="Arial" w:hAnsi="Arial" w:cs="Arial"/>
        </w:rPr>
        <w:t xml:space="preserve">This also includes technology which enables the training of a device or software to use or process external data (independent of any further input or programming). </w:t>
      </w:r>
      <w:r>
        <w:rPr>
          <w:rFonts w:ascii="Arial" w:hAnsi="Arial" w:cs="Arial"/>
        </w:rPr>
        <w:t>The Government does not intend to intervene in mergers or takeovers where enterprises whose g</w:t>
      </w:r>
      <w:r w:rsidRPr="130CD644">
        <w:rPr>
          <w:rFonts w:ascii="Arial" w:hAnsi="Arial" w:cs="Arial"/>
        </w:rPr>
        <w:t xml:space="preserve">oods and services that utilise AI which are generally </w:t>
      </w:r>
      <w:r w:rsidRPr="130CD644">
        <w:rPr>
          <w:rFonts w:ascii="Arial" w:hAnsi="Arial" w:cs="Arial"/>
        </w:rPr>
        <w:lastRenderedPageBreak/>
        <w:t xml:space="preserve">available to the public and for use by the consumer </w:t>
      </w:r>
      <w:r>
        <w:rPr>
          <w:rFonts w:ascii="Arial" w:hAnsi="Arial" w:cs="Arial"/>
        </w:rPr>
        <w:t xml:space="preserve">, for example, virtual AI assistants that are capable of undertaking certain actions by voice commands. Other examples of widely available functions include traffic routing, SPAM removal, social networking applications, facial recognition for security and shopping recommendations. </w:t>
      </w:r>
    </w:p>
    <w:p w14:paraId="3D493567" w14:textId="77777777" w:rsidR="00523066" w:rsidRDefault="00523066" w:rsidP="00523066">
      <w:pPr>
        <w:pStyle w:val="ListParagraph"/>
        <w:ind w:left="792"/>
        <w:rPr>
          <w:rFonts w:ascii="Arial" w:hAnsi="Arial" w:cs="Arial"/>
        </w:rPr>
      </w:pPr>
    </w:p>
    <w:p w14:paraId="3C9283F7"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 xml:space="preserve">AI is integral to the Government’s Industrial Strategy and embedding AI across the UK will create thousands of good quality jobs and drive economic growth. This legislation is not intended to undermine the Government’s commitment to fostering research, development and investment in AI; it is designed to strike the right balance between the priorities of championing economic prosperity and protecting national security. It is anticipated that only a small minority of mergers will raise national security concerns. </w:t>
      </w:r>
    </w:p>
    <w:p w14:paraId="5BDD6283" w14:textId="77777777" w:rsidR="00523066" w:rsidRDefault="00523066" w:rsidP="00523066">
      <w:pPr>
        <w:pStyle w:val="ListParagraph"/>
        <w:ind w:left="792"/>
        <w:rPr>
          <w:rFonts w:ascii="Arial" w:hAnsi="Arial" w:cs="Arial"/>
        </w:rPr>
      </w:pPr>
    </w:p>
    <w:p w14:paraId="571915E1" w14:textId="77777777" w:rsidR="00523066" w:rsidRPr="00DD4277" w:rsidRDefault="00523066" w:rsidP="00523066">
      <w:pPr>
        <w:pStyle w:val="Guidance2"/>
        <w:keepLines w:val="0"/>
        <w:rPr>
          <w:rFonts w:eastAsia="Calibri"/>
        </w:rPr>
      </w:pPr>
      <w:r>
        <w:rPr>
          <w:rFonts w:eastAsia="Calibri"/>
        </w:rPr>
        <w:t>Cryptographic authentication</w:t>
      </w:r>
    </w:p>
    <w:p w14:paraId="78692DDB" w14:textId="77777777" w:rsidR="00523066" w:rsidRDefault="00523066" w:rsidP="00523066">
      <w:pPr>
        <w:rPr>
          <w:rFonts w:ascii="Arial" w:hAnsi="Arial" w:cs="Arial"/>
        </w:rPr>
      </w:pPr>
    </w:p>
    <w:p w14:paraId="76111195" w14:textId="77777777" w:rsidR="00523066" w:rsidRPr="008E51C9" w:rsidRDefault="00523066" w:rsidP="00523066">
      <w:pPr>
        <w:pStyle w:val="Guidance3"/>
      </w:pPr>
      <w:r w:rsidRPr="008E51C9">
        <w:t>Government’s national security interests</w:t>
      </w:r>
    </w:p>
    <w:p w14:paraId="07DC780B" w14:textId="77777777" w:rsidR="00523066" w:rsidRDefault="00523066" w:rsidP="00523066">
      <w:pPr>
        <w:pStyle w:val="ListParagraph"/>
        <w:numPr>
          <w:ilvl w:val="1"/>
          <w:numId w:val="10"/>
        </w:numPr>
        <w:ind w:hanging="792"/>
        <w:rPr>
          <w:rFonts w:ascii="Arial" w:hAnsi="Arial" w:cs="Arial"/>
        </w:rPr>
      </w:pPr>
      <w:r w:rsidRPr="002C7A03">
        <w:rPr>
          <w:rFonts w:ascii="Arial" w:hAnsi="Arial" w:cs="Arial"/>
        </w:rPr>
        <w:t>Cryptographic technology enables information to be protected whilst in storage or in transit by making it inaccessible or unreadable by everyone except those who have the information needed to access or read it. The technology is integral to a well-functioning economy</w:t>
      </w:r>
      <w:r w:rsidRPr="006B5987">
        <w:rPr>
          <w:rFonts w:ascii="Arial" w:hAnsi="Arial" w:cs="Arial"/>
          <w:shd w:val="clear" w:color="auto" w:fill="FFFFFF"/>
        </w:rPr>
        <w:t>, for example</w:t>
      </w:r>
      <w:r>
        <w:rPr>
          <w:rFonts w:ascii="Arial" w:hAnsi="Arial" w:cs="Arial"/>
          <w:shd w:val="clear" w:color="auto" w:fill="FFFFFF"/>
        </w:rPr>
        <w:t>,</w:t>
      </w:r>
      <w:r w:rsidRPr="006B5987">
        <w:rPr>
          <w:rFonts w:ascii="Arial" w:hAnsi="Arial" w:cs="Arial"/>
          <w:shd w:val="clear" w:color="auto" w:fill="FFFFFF"/>
        </w:rPr>
        <w:t xml:space="preserve"> by enabling businesses to go about their work, secure in the knowledge that their important information is safe. </w:t>
      </w:r>
      <w:r w:rsidRPr="002C7A03">
        <w:rPr>
          <w:rFonts w:ascii="Arial" w:hAnsi="Arial" w:cs="Arial"/>
        </w:rPr>
        <w:t xml:space="preserve"> The Government recognises the importance of these technologies to the UK and promotes research and innovation in cyber security through research grants and supporting the development of new cyber innovation centres.</w:t>
      </w:r>
    </w:p>
    <w:p w14:paraId="2FF5FBAA" w14:textId="77777777" w:rsidR="00523066" w:rsidRDefault="00523066" w:rsidP="00523066">
      <w:pPr>
        <w:pStyle w:val="ListParagraph"/>
        <w:ind w:left="792"/>
        <w:rPr>
          <w:rFonts w:ascii="Arial" w:hAnsi="Arial" w:cs="Arial"/>
        </w:rPr>
      </w:pPr>
    </w:p>
    <w:p w14:paraId="0AC46F0B" w14:textId="77777777" w:rsidR="00523066" w:rsidRDefault="00523066" w:rsidP="00523066">
      <w:pPr>
        <w:pStyle w:val="ListParagraph"/>
        <w:numPr>
          <w:ilvl w:val="1"/>
          <w:numId w:val="10"/>
        </w:numPr>
        <w:ind w:hanging="792"/>
        <w:rPr>
          <w:rFonts w:ascii="Arial" w:hAnsi="Arial" w:cs="Arial"/>
        </w:rPr>
      </w:pPr>
      <w:r>
        <w:rPr>
          <w:rFonts w:ascii="Arial" w:hAnsi="Arial" w:cs="Arial"/>
        </w:rPr>
        <w:t>A risk that may arise in this area is, for instance, a h</w:t>
      </w:r>
      <w:r w:rsidRPr="130CD644">
        <w:rPr>
          <w:rFonts w:ascii="Arial" w:hAnsi="Arial" w:cs="Arial"/>
        </w:rPr>
        <w:t>ostile actor  be</w:t>
      </w:r>
      <w:r>
        <w:rPr>
          <w:rFonts w:ascii="Arial" w:hAnsi="Arial" w:cs="Arial"/>
        </w:rPr>
        <w:t>ing</w:t>
      </w:r>
      <w:r w:rsidRPr="130CD644">
        <w:rPr>
          <w:rFonts w:ascii="Arial" w:hAnsi="Arial" w:cs="Arial"/>
        </w:rPr>
        <w:t xml:space="preserve"> able to access critical systems and undermine national security by acquiring a business </w:t>
      </w:r>
      <w:r w:rsidRPr="00516C04">
        <w:rPr>
          <w:rFonts w:ascii="Arial" w:hAnsi="Arial" w:cs="Arial"/>
        </w:rPr>
        <w:t>that produces, develops</w:t>
      </w:r>
      <w:r>
        <w:rPr>
          <w:rFonts w:ascii="Arial" w:hAnsi="Arial" w:cs="Arial"/>
        </w:rPr>
        <w:t>,</w:t>
      </w:r>
      <w:r w:rsidRPr="00516C04">
        <w:rPr>
          <w:rFonts w:ascii="Arial" w:hAnsi="Arial" w:cs="Arial"/>
        </w:rPr>
        <w:t xml:space="preserve"> designs</w:t>
      </w:r>
      <w:r>
        <w:rPr>
          <w:rFonts w:ascii="Arial" w:hAnsi="Arial" w:cs="Arial"/>
        </w:rPr>
        <w:t>, or provides services for</w:t>
      </w:r>
      <w:r w:rsidRPr="00516C04">
        <w:rPr>
          <w:rFonts w:ascii="Arial" w:hAnsi="Arial" w:cs="Arial"/>
        </w:rPr>
        <w:t xml:space="preserve"> technologies which are used to control access to these critical systems</w:t>
      </w:r>
      <w:r w:rsidRPr="130CD644">
        <w:rPr>
          <w:rFonts w:ascii="Arial" w:hAnsi="Arial" w:cs="Arial"/>
        </w:rPr>
        <w:t>.  Significant damage to the UK could result if authentication systems are compromised or bypassed, including through sabotage and espionage, to allow a hostile actor to gain unauthorised access to systems critical for national security.</w:t>
      </w:r>
    </w:p>
    <w:p w14:paraId="2CE4BB02" w14:textId="77777777" w:rsidR="00523066" w:rsidRDefault="00523066" w:rsidP="00523066">
      <w:pPr>
        <w:rPr>
          <w:rFonts w:ascii="Arial" w:hAnsi="Arial" w:cs="Arial"/>
        </w:rPr>
      </w:pPr>
    </w:p>
    <w:p w14:paraId="5DE7168A" w14:textId="77777777" w:rsidR="00523066" w:rsidRPr="008E51C9" w:rsidRDefault="00523066" w:rsidP="00523066">
      <w:pPr>
        <w:pStyle w:val="Guidance3"/>
      </w:pPr>
      <w:r>
        <w:t>Which</w:t>
      </w:r>
      <w:r w:rsidRPr="008E51C9">
        <w:t xml:space="preserve"> </w:t>
      </w:r>
      <w:r>
        <w:t>firms</w:t>
      </w:r>
      <w:r w:rsidRPr="008E51C9">
        <w:t xml:space="preserve"> are covered </w:t>
      </w:r>
      <w:r>
        <w:t>by the provisions</w:t>
      </w:r>
    </w:p>
    <w:p w14:paraId="05588BAC"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 xml:space="preserve">The Government intends the proposed legislation will apply to businesses that develop products whose primary function is authentication using cryptographic means, where these products are reasonably expected to be used in systems critical for national security. This includes IT systems in critical infrastructure sectors. Such products may be used in the verification of the identity of an individual or user. </w:t>
      </w:r>
      <w:r w:rsidRPr="00CC0495">
        <w:rPr>
          <w:rFonts w:ascii="Arial" w:hAnsi="Arial" w:cs="Arial"/>
        </w:rPr>
        <w:t>The legislation also applies to include companies that provide services relating to cryptographic authentication.</w:t>
      </w:r>
    </w:p>
    <w:p w14:paraId="30F2E94D" w14:textId="77777777" w:rsidR="00523066" w:rsidRDefault="00523066" w:rsidP="00523066">
      <w:pPr>
        <w:pStyle w:val="ListParagraph"/>
        <w:ind w:left="792"/>
        <w:rPr>
          <w:rFonts w:ascii="Arial" w:hAnsi="Arial" w:cs="Arial"/>
        </w:rPr>
      </w:pPr>
    </w:p>
    <w:p w14:paraId="71ED0211" w14:textId="77777777" w:rsidR="00523066" w:rsidRPr="00AA340F" w:rsidRDefault="00523066" w:rsidP="00523066">
      <w:pPr>
        <w:pStyle w:val="ListParagraph"/>
        <w:numPr>
          <w:ilvl w:val="1"/>
          <w:numId w:val="10"/>
        </w:numPr>
        <w:ind w:hanging="792"/>
        <w:rPr>
          <w:rFonts w:ascii="Arial" w:hAnsi="Arial" w:cs="Arial"/>
        </w:rPr>
      </w:pPr>
      <w:bookmarkStart w:id="14" w:name="_Hlk41657337"/>
      <w:r w:rsidRPr="00523066">
        <w:rPr>
          <w:rFonts w:ascii="Arial" w:eastAsia="Yu Mincho" w:hAnsi="Arial" w:cs="Arial"/>
        </w:rPr>
        <w:t xml:space="preserve">Examples of technologies within scope of the proposed new amendments are </w:t>
      </w:r>
      <w:r w:rsidRPr="130CD644">
        <w:rPr>
          <w:rFonts w:ascii="Arial" w:hAnsi="Arial" w:cs="Arial"/>
        </w:rPr>
        <w:t>systems that authenticate</w:t>
      </w:r>
      <w:r w:rsidRPr="00523066">
        <w:rPr>
          <w:rFonts w:ascii="Arial" w:eastAsia="Yu Mincho" w:hAnsi="Arial" w:cs="Arial"/>
        </w:rPr>
        <w:t xml:space="preserve">: </w:t>
      </w:r>
    </w:p>
    <w:p w14:paraId="2C7530E0" w14:textId="77777777" w:rsidR="00523066" w:rsidRPr="00D5033A" w:rsidRDefault="00523066" w:rsidP="00523066">
      <w:pPr>
        <w:pStyle w:val="ListParagraph"/>
        <w:numPr>
          <w:ilvl w:val="0"/>
          <w:numId w:val="20"/>
        </w:numPr>
        <w:rPr>
          <w:rFonts w:ascii="Arial" w:hAnsi="Arial" w:cs="Arial"/>
        </w:rPr>
      </w:pPr>
      <w:r w:rsidRPr="00D5033A">
        <w:rPr>
          <w:rFonts w:ascii="Arial" w:hAnsi="Arial" w:cs="Arial"/>
        </w:rPr>
        <w:t>the identity of a physical person using an access token to gain entrance to a civil nuclear site;</w:t>
      </w:r>
    </w:p>
    <w:p w14:paraId="26E0CE07" w14:textId="77777777" w:rsidR="00523066" w:rsidRPr="00D5033A" w:rsidRDefault="00523066" w:rsidP="00523066">
      <w:pPr>
        <w:pStyle w:val="ListParagraph"/>
        <w:numPr>
          <w:ilvl w:val="0"/>
          <w:numId w:val="20"/>
        </w:numPr>
        <w:rPr>
          <w:rFonts w:ascii="Arial" w:hAnsi="Arial" w:cs="Arial"/>
        </w:rPr>
      </w:pPr>
      <w:r w:rsidRPr="00D5033A">
        <w:rPr>
          <w:rFonts w:ascii="Arial" w:hAnsi="Arial" w:cs="Arial"/>
        </w:rPr>
        <w:lastRenderedPageBreak/>
        <w:t>the identity of a user to gain electronic access to the computer network of a power station;</w:t>
      </w:r>
    </w:p>
    <w:p w14:paraId="194CB56B" w14:textId="77777777" w:rsidR="00523066" w:rsidRPr="00D5033A" w:rsidRDefault="00523066" w:rsidP="00523066">
      <w:pPr>
        <w:pStyle w:val="ListParagraph"/>
        <w:numPr>
          <w:ilvl w:val="0"/>
          <w:numId w:val="20"/>
        </w:numPr>
        <w:rPr>
          <w:rFonts w:ascii="Arial" w:hAnsi="Arial" w:cs="Arial"/>
        </w:rPr>
      </w:pPr>
      <w:r w:rsidRPr="00D5033A">
        <w:rPr>
          <w:rFonts w:ascii="Arial" w:hAnsi="Arial" w:cs="Arial"/>
        </w:rPr>
        <w:t>a biometric property of an individual to allow access to a restricted area of an industrial site;</w:t>
      </w:r>
    </w:p>
    <w:p w14:paraId="2ED8794D" w14:textId="77777777" w:rsidR="00523066" w:rsidRPr="00D5033A" w:rsidRDefault="00523066" w:rsidP="00523066">
      <w:pPr>
        <w:pStyle w:val="ListParagraph"/>
        <w:numPr>
          <w:ilvl w:val="0"/>
          <w:numId w:val="20"/>
        </w:numPr>
        <w:rPr>
          <w:rFonts w:ascii="Arial" w:hAnsi="Arial" w:cs="Arial"/>
        </w:rPr>
      </w:pPr>
      <w:r w:rsidRPr="00D5033A">
        <w:rPr>
          <w:rFonts w:ascii="Arial" w:hAnsi="Arial" w:cs="Arial"/>
        </w:rPr>
        <w:t>a credit/debit chip-and-pin card at an ATM or retail point of sale;</w:t>
      </w:r>
    </w:p>
    <w:p w14:paraId="41B257FD" w14:textId="77777777" w:rsidR="00523066" w:rsidRPr="00D5033A" w:rsidRDefault="00523066" w:rsidP="00523066">
      <w:pPr>
        <w:pStyle w:val="ListParagraph"/>
        <w:numPr>
          <w:ilvl w:val="0"/>
          <w:numId w:val="20"/>
        </w:numPr>
        <w:rPr>
          <w:rFonts w:ascii="Arial" w:hAnsi="Arial" w:cs="Arial"/>
        </w:rPr>
      </w:pPr>
      <w:r w:rsidRPr="00D5033A">
        <w:rPr>
          <w:rFonts w:ascii="Arial" w:hAnsi="Arial" w:cs="Arial"/>
        </w:rPr>
        <w:t>facial recognition technology used in conjunction with CCTV footage; and</w:t>
      </w:r>
    </w:p>
    <w:p w14:paraId="71E656A7" w14:textId="77777777" w:rsidR="00523066" w:rsidRPr="000A6A41" w:rsidRDefault="00523066" w:rsidP="00523066">
      <w:pPr>
        <w:pStyle w:val="ListParagraph"/>
        <w:numPr>
          <w:ilvl w:val="0"/>
          <w:numId w:val="20"/>
        </w:numPr>
        <w:rPr>
          <w:rFonts w:ascii="Arial" w:hAnsi="Arial" w:cs="Arial"/>
        </w:rPr>
      </w:pPr>
      <w:r w:rsidRPr="00D5033A">
        <w:rPr>
          <w:rFonts w:ascii="Arial" w:hAnsi="Arial" w:cs="Arial"/>
        </w:rPr>
        <w:t>the digital information held on an e-passport to determine whether to allow the holder into the country.</w:t>
      </w:r>
    </w:p>
    <w:bookmarkEnd w:id="14"/>
    <w:p w14:paraId="2C974B64" w14:textId="77777777" w:rsidR="00523066" w:rsidRPr="00AA340F" w:rsidRDefault="00523066" w:rsidP="00523066">
      <w:pPr>
        <w:rPr>
          <w:rFonts w:ascii="Arial" w:hAnsi="Arial" w:cs="Arial"/>
        </w:rPr>
      </w:pPr>
    </w:p>
    <w:p w14:paraId="43340595" w14:textId="77777777" w:rsidR="00523066" w:rsidRDefault="00523066" w:rsidP="00523066">
      <w:pPr>
        <w:pStyle w:val="ListParagraph"/>
        <w:numPr>
          <w:ilvl w:val="1"/>
          <w:numId w:val="10"/>
        </w:numPr>
        <w:ind w:hanging="792"/>
        <w:rPr>
          <w:rFonts w:ascii="Arial" w:hAnsi="Arial" w:cs="Arial"/>
        </w:rPr>
      </w:pPr>
      <w:r>
        <w:rPr>
          <w:rFonts w:ascii="Arial" w:hAnsi="Arial" w:cs="Arial"/>
        </w:rPr>
        <w:t>The Government does not intend to use its powers to intervene where a</w:t>
      </w:r>
      <w:r w:rsidRPr="130CD644">
        <w:rPr>
          <w:rFonts w:ascii="Arial" w:hAnsi="Arial" w:cs="Arial"/>
        </w:rPr>
        <w:t xml:space="preserve">uthentication products and systems that are generally available to the public and for use by the consumer. The Government does not intend to </w:t>
      </w:r>
      <w:r>
        <w:rPr>
          <w:rFonts w:ascii="Arial" w:hAnsi="Arial" w:cs="Arial"/>
        </w:rPr>
        <w:t>intervene in</w:t>
      </w:r>
      <w:r w:rsidRPr="130CD644">
        <w:rPr>
          <w:rFonts w:ascii="Arial" w:hAnsi="Arial" w:cs="Arial"/>
        </w:rPr>
        <w:t xml:space="preserve"> businesses that develop products which have a primary function of encryption and not authentication. </w:t>
      </w:r>
    </w:p>
    <w:p w14:paraId="3DC6FF31" w14:textId="77777777" w:rsidR="00523066" w:rsidRDefault="00523066" w:rsidP="00523066">
      <w:pPr>
        <w:pStyle w:val="ListParagraph"/>
        <w:ind w:left="792"/>
        <w:rPr>
          <w:rFonts w:ascii="Arial" w:hAnsi="Arial" w:cs="Arial"/>
        </w:rPr>
      </w:pPr>
    </w:p>
    <w:p w14:paraId="1638E161" w14:textId="77777777" w:rsidR="00523066" w:rsidRPr="00690B58" w:rsidRDefault="00523066" w:rsidP="00523066">
      <w:pPr>
        <w:pStyle w:val="Guidance3"/>
      </w:pPr>
      <w:r w:rsidRPr="00690B58">
        <w:t>Examples of technology firms which are unlikely to be subject to Government intervention:</w:t>
      </w:r>
    </w:p>
    <w:p w14:paraId="1F2B1344" w14:textId="77777777" w:rsidR="00523066" w:rsidRPr="00690B58" w:rsidRDefault="00523066" w:rsidP="00523066">
      <w:pPr>
        <w:pStyle w:val="ListParagraph"/>
        <w:ind w:left="792"/>
        <w:rPr>
          <w:rFonts w:ascii="Arial" w:hAnsi="Arial" w:cs="Arial"/>
        </w:rPr>
      </w:pPr>
      <w:r w:rsidRPr="00690B58">
        <w:rPr>
          <w:rFonts w:ascii="Arial" w:hAnsi="Arial" w:cs="Arial"/>
        </w:rPr>
        <w:t>(a) username and password access to log on locally to computers running consumer operating systems;</w:t>
      </w:r>
    </w:p>
    <w:p w14:paraId="528EE70D" w14:textId="77777777" w:rsidR="00523066" w:rsidRPr="00690B58" w:rsidRDefault="00523066" w:rsidP="00523066">
      <w:pPr>
        <w:pStyle w:val="ListParagraph"/>
        <w:ind w:left="792"/>
        <w:rPr>
          <w:rFonts w:ascii="Arial" w:hAnsi="Arial" w:cs="Arial"/>
        </w:rPr>
      </w:pPr>
      <w:r w:rsidRPr="00690B58">
        <w:rPr>
          <w:rFonts w:ascii="Arial" w:hAnsi="Arial" w:cs="Arial"/>
        </w:rPr>
        <w:t>(b) username and password access to online services</w:t>
      </w:r>
    </w:p>
    <w:p w14:paraId="4F42C546" w14:textId="77777777" w:rsidR="00523066" w:rsidRPr="00690B58" w:rsidRDefault="00523066" w:rsidP="00523066">
      <w:pPr>
        <w:pStyle w:val="ListParagraph"/>
        <w:ind w:left="792"/>
        <w:rPr>
          <w:rFonts w:ascii="Arial" w:hAnsi="Arial" w:cs="Arial"/>
        </w:rPr>
      </w:pPr>
      <w:r w:rsidRPr="00690B58">
        <w:rPr>
          <w:rFonts w:ascii="Arial" w:hAnsi="Arial" w:cs="Arial"/>
        </w:rPr>
        <w:t>(c) multi-factor authentication technologies used to access online services</w:t>
      </w:r>
    </w:p>
    <w:p w14:paraId="4F96E951" w14:textId="77777777" w:rsidR="00523066" w:rsidRPr="00690B58" w:rsidRDefault="00523066" w:rsidP="00523066">
      <w:pPr>
        <w:pStyle w:val="ListParagraph"/>
        <w:ind w:left="792"/>
        <w:rPr>
          <w:rFonts w:ascii="Arial" w:hAnsi="Arial" w:cs="Arial"/>
        </w:rPr>
      </w:pPr>
      <w:r w:rsidRPr="00690B58">
        <w:rPr>
          <w:rFonts w:ascii="Arial" w:hAnsi="Arial" w:cs="Arial"/>
        </w:rPr>
        <w:t>(d) fingerprint and other biometric verification devices built into smart phones; and</w:t>
      </w:r>
    </w:p>
    <w:p w14:paraId="6B81AEED" w14:textId="77777777" w:rsidR="00523066" w:rsidRDefault="00523066" w:rsidP="00523066">
      <w:pPr>
        <w:pStyle w:val="ListParagraph"/>
        <w:ind w:left="792"/>
        <w:rPr>
          <w:rFonts w:ascii="Arial" w:hAnsi="Arial" w:cs="Arial"/>
        </w:rPr>
      </w:pPr>
      <w:r w:rsidRPr="00690B58">
        <w:rPr>
          <w:rFonts w:ascii="Arial" w:hAnsi="Arial" w:cs="Arial"/>
        </w:rPr>
        <w:t>(e) chip-and-pin</w:t>
      </w:r>
      <w:r w:rsidRPr="000A6A41">
        <w:rPr>
          <w:rFonts w:ascii="Arial" w:hAnsi="Arial" w:cs="Arial"/>
        </w:rPr>
        <w:t xml:space="preserve"> card readers used for access to online banking accounts.</w:t>
      </w:r>
    </w:p>
    <w:p w14:paraId="6920A684" w14:textId="77777777" w:rsidR="00523066" w:rsidRPr="008E51C9" w:rsidRDefault="00523066" w:rsidP="00523066">
      <w:pPr>
        <w:pStyle w:val="ListParagraph"/>
        <w:rPr>
          <w:rFonts w:ascii="Arial" w:hAnsi="Arial" w:cs="Arial"/>
        </w:rPr>
      </w:pPr>
    </w:p>
    <w:p w14:paraId="24A10FDD" w14:textId="77777777" w:rsidR="00523066"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i/>
          <w:color w:val="1F497D"/>
        </w:rPr>
      </w:pPr>
      <w:r>
        <w:rPr>
          <w:rFonts w:ascii="Arial" w:hAnsi="Arial" w:cs="Arial"/>
          <w:i/>
          <w:color w:val="1F497D"/>
        </w:rPr>
        <w:t>Cryptographic technology – example</w:t>
      </w:r>
      <w:r w:rsidRPr="001A0AE8">
        <w:rPr>
          <w:rFonts w:ascii="Arial" w:hAnsi="Arial" w:cs="Arial"/>
          <w:i/>
          <w:color w:val="1F497D"/>
        </w:rPr>
        <w:t xml:space="preserve"> of what is, and what is not, covered</w:t>
      </w:r>
    </w:p>
    <w:p w14:paraId="51EA5911" w14:textId="77777777" w:rsidR="00523066"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i/>
          <w:color w:val="1F497D"/>
        </w:rPr>
      </w:pPr>
    </w:p>
    <w:p w14:paraId="2667BB77" w14:textId="77777777" w:rsidR="00523066" w:rsidRPr="001B6A55"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i/>
          <w:color w:val="1F497D"/>
        </w:rPr>
      </w:pPr>
      <w:r>
        <w:rPr>
          <w:rFonts w:ascii="Arial" w:hAnsi="Arial" w:cs="Arial"/>
          <w:i/>
          <w:color w:val="1F497D"/>
        </w:rPr>
        <w:t>Cryptographic authentication</w:t>
      </w:r>
    </w:p>
    <w:p w14:paraId="748F9959"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r w:rsidRPr="008E51C9">
        <w:rPr>
          <w:rFonts w:ascii="Arial" w:hAnsi="Arial" w:cs="Arial"/>
        </w:rPr>
        <w:t>University A has been undertaking innovative research aimed at applying</w:t>
      </w:r>
      <w:r>
        <w:rPr>
          <w:rFonts w:ascii="Arial" w:hAnsi="Arial" w:cs="Arial"/>
        </w:rPr>
        <w:t xml:space="preserve"> cryptographic authentication</w:t>
      </w:r>
      <w:r w:rsidRPr="008E51C9">
        <w:rPr>
          <w:rFonts w:ascii="Arial" w:hAnsi="Arial" w:cs="Arial"/>
        </w:rPr>
        <w:t xml:space="preserve"> to </w:t>
      </w:r>
      <w:r>
        <w:rPr>
          <w:rFonts w:ascii="Arial" w:hAnsi="Arial" w:cs="Arial"/>
        </w:rPr>
        <w:t>products in IT</w:t>
      </w:r>
      <w:r w:rsidRPr="008E51C9">
        <w:rPr>
          <w:rFonts w:ascii="Arial" w:hAnsi="Arial" w:cs="Arial"/>
        </w:rPr>
        <w:t xml:space="preserve"> systems. Recognising the potential commercial application, researchers establish Company B, which holds the intellectual property and which provides commercial services based on this, with a view to commercialising the research. </w:t>
      </w:r>
    </w:p>
    <w:p w14:paraId="43FAD25C"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p>
    <w:p w14:paraId="0864E3F9"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r w:rsidRPr="008E51C9">
        <w:rPr>
          <w:rFonts w:ascii="Arial" w:hAnsi="Arial" w:cs="Arial"/>
        </w:rPr>
        <w:t xml:space="preserve">B has more than 25% share of supply of the </w:t>
      </w:r>
      <w:r>
        <w:rPr>
          <w:rFonts w:ascii="Arial" w:hAnsi="Arial" w:cs="Arial"/>
        </w:rPr>
        <w:t xml:space="preserve">particular </w:t>
      </w:r>
      <w:r w:rsidRPr="008E51C9">
        <w:rPr>
          <w:rFonts w:ascii="Arial" w:hAnsi="Arial" w:cs="Arial"/>
        </w:rPr>
        <w:t xml:space="preserve">services underpinned by </w:t>
      </w:r>
      <w:r>
        <w:rPr>
          <w:rFonts w:ascii="Arial" w:hAnsi="Arial" w:cs="Arial"/>
        </w:rPr>
        <w:t xml:space="preserve">cryptographic technology. </w:t>
      </w:r>
      <w:r w:rsidRPr="008E51C9">
        <w:rPr>
          <w:rFonts w:ascii="Arial" w:hAnsi="Arial" w:cs="Arial"/>
        </w:rPr>
        <w:t>Party C, with no role in the UK</w:t>
      </w:r>
      <w:r>
        <w:rPr>
          <w:rFonts w:ascii="Arial" w:hAnsi="Arial" w:cs="Arial"/>
        </w:rPr>
        <w:t xml:space="preserve"> technology</w:t>
      </w:r>
      <w:r w:rsidRPr="008E51C9">
        <w:rPr>
          <w:rFonts w:ascii="Arial" w:hAnsi="Arial" w:cs="Arial"/>
        </w:rPr>
        <w:t xml:space="preserve"> sector, is interested in acquiring B. The Government believe</w:t>
      </w:r>
      <w:r>
        <w:rPr>
          <w:rFonts w:ascii="Arial" w:hAnsi="Arial" w:cs="Arial"/>
        </w:rPr>
        <w:t>s</w:t>
      </w:r>
      <w:r w:rsidRPr="008E51C9">
        <w:rPr>
          <w:rFonts w:ascii="Arial" w:hAnsi="Arial" w:cs="Arial"/>
        </w:rPr>
        <w:t xml:space="preserve"> that this acquisition would raise national security concerns.</w:t>
      </w:r>
    </w:p>
    <w:p w14:paraId="218A850D"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p>
    <w:p w14:paraId="5A1F0309"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r w:rsidRPr="008E51C9">
        <w:rPr>
          <w:rFonts w:ascii="Arial" w:hAnsi="Arial" w:cs="Arial"/>
        </w:rPr>
        <w:t xml:space="preserve">Because B is in scope of </w:t>
      </w:r>
      <w:r>
        <w:rPr>
          <w:rFonts w:ascii="Arial" w:hAnsi="Arial" w:cs="Arial"/>
        </w:rPr>
        <w:t>the revised thresholds</w:t>
      </w:r>
      <w:r w:rsidRPr="008E51C9">
        <w:rPr>
          <w:rFonts w:ascii="Arial" w:hAnsi="Arial" w:cs="Arial"/>
        </w:rPr>
        <w:t>, the Government is able to intervene in this transaction</w:t>
      </w:r>
      <w:r>
        <w:rPr>
          <w:rFonts w:ascii="Arial" w:hAnsi="Arial" w:cs="Arial"/>
        </w:rPr>
        <w:t xml:space="preserve"> on national security grounds</w:t>
      </w:r>
      <w:r w:rsidRPr="008E51C9">
        <w:rPr>
          <w:rFonts w:ascii="Arial" w:hAnsi="Arial" w:cs="Arial"/>
        </w:rPr>
        <w:t xml:space="preserve">, notwithstanding that B has a </w:t>
      </w:r>
      <w:r>
        <w:rPr>
          <w:rFonts w:ascii="Arial" w:hAnsi="Arial" w:cs="Arial"/>
        </w:rPr>
        <w:t xml:space="preserve">UK </w:t>
      </w:r>
      <w:r w:rsidRPr="008E51C9">
        <w:rPr>
          <w:rFonts w:ascii="Arial" w:hAnsi="Arial" w:cs="Arial"/>
        </w:rPr>
        <w:t xml:space="preserve">turnover of less than £70 million (and, indeed, £1 million) and that the merger would not increase the parties’ </w:t>
      </w:r>
      <w:r>
        <w:rPr>
          <w:rFonts w:ascii="Arial" w:hAnsi="Arial" w:cs="Arial"/>
        </w:rPr>
        <w:t xml:space="preserve">combined </w:t>
      </w:r>
      <w:r w:rsidRPr="008E51C9">
        <w:rPr>
          <w:rFonts w:ascii="Arial" w:hAnsi="Arial" w:cs="Arial"/>
        </w:rPr>
        <w:t xml:space="preserve">share of supply. </w:t>
      </w:r>
    </w:p>
    <w:p w14:paraId="72C45CC3" w14:textId="77777777" w:rsidR="00523066" w:rsidRPr="008E51C9" w:rsidRDefault="00523066" w:rsidP="00523066">
      <w:pPr>
        <w:pStyle w:val="ListParagraph"/>
        <w:pBdr>
          <w:top w:val="single" w:sz="4" w:space="1" w:color="auto"/>
          <w:left w:val="single" w:sz="4" w:space="4" w:color="auto"/>
          <w:bottom w:val="single" w:sz="4" w:space="1" w:color="auto"/>
          <w:right w:val="single" w:sz="4" w:space="4" w:color="auto"/>
        </w:pBdr>
        <w:rPr>
          <w:rFonts w:ascii="Arial" w:hAnsi="Arial" w:cs="Arial"/>
        </w:rPr>
      </w:pPr>
    </w:p>
    <w:p w14:paraId="7227A5A4" w14:textId="77777777" w:rsidR="00523066" w:rsidRPr="00AA340F" w:rsidRDefault="00523066" w:rsidP="00523066"/>
    <w:p w14:paraId="760A67B5" w14:textId="77777777" w:rsidR="00523066" w:rsidRPr="00DD4277" w:rsidRDefault="00523066" w:rsidP="00523066">
      <w:pPr>
        <w:pStyle w:val="Guidance2"/>
        <w:keepLines w:val="0"/>
        <w:rPr>
          <w:rFonts w:eastAsia="Calibri"/>
        </w:rPr>
      </w:pPr>
      <w:r>
        <w:rPr>
          <w:rFonts w:eastAsia="Calibri"/>
        </w:rPr>
        <w:t>Advanced materials</w:t>
      </w:r>
    </w:p>
    <w:p w14:paraId="08397096" w14:textId="77777777" w:rsidR="00523066" w:rsidRDefault="00523066" w:rsidP="00523066">
      <w:pPr>
        <w:rPr>
          <w:rFonts w:ascii="Arial" w:hAnsi="Arial" w:cs="Arial"/>
        </w:rPr>
      </w:pPr>
    </w:p>
    <w:p w14:paraId="1EA0D847" w14:textId="77777777" w:rsidR="00523066" w:rsidRPr="008E51C9" w:rsidRDefault="00523066" w:rsidP="00523066">
      <w:pPr>
        <w:pStyle w:val="Guidance3"/>
      </w:pPr>
      <w:r w:rsidRPr="008E51C9">
        <w:t>Government’s national security interests</w:t>
      </w:r>
    </w:p>
    <w:p w14:paraId="1B95CE99"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Materials sciences encompasses the discovery and development for example,</w:t>
      </w:r>
      <w:r w:rsidRPr="130CD644" w:rsidDel="00E009B0">
        <w:rPr>
          <w:rFonts w:ascii="Arial" w:hAnsi="Arial" w:cs="Arial"/>
        </w:rPr>
        <w:t xml:space="preserve"> </w:t>
      </w:r>
      <w:r w:rsidRPr="130CD644">
        <w:rPr>
          <w:rFonts w:ascii="Arial" w:hAnsi="Arial" w:cs="Arial"/>
        </w:rPr>
        <w:t xml:space="preserve">of new classes of two-dimensional materials like graphene and new </w:t>
      </w:r>
      <w:r w:rsidRPr="130CD644">
        <w:rPr>
          <w:rFonts w:ascii="Arial" w:hAnsi="Arial" w:cs="Arial"/>
        </w:rPr>
        <w:lastRenderedPageBreak/>
        <w:t>functional materials like metamaterials. However, advances in traditional classes of advanced materials science remain a dominant and important contribution.</w:t>
      </w:r>
    </w:p>
    <w:p w14:paraId="5D237CE7" w14:textId="77777777" w:rsidR="00523066" w:rsidRPr="00AA340F" w:rsidRDefault="00523066" w:rsidP="00523066">
      <w:pPr>
        <w:pStyle w:val="ListParagraph"/>
        <w:ind w:left="792"/>
        <w:rPr>
          <w:rFonts w:ascii="Arial" w:hAnsi="Arial" w:cs="Arial"/>
        </w:rPr>
      </w:pPr>
    </w:p>
    <w:p w14:paraId="357B8209"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Breakthroughs in advanced materials science are fundamental enablers across all areas of societal and economic development. They have underpinned and continue to underpin advances in the physical and digital world. These all stem from understanding, manipulating and exploiting the composition, arrangement and properties of matter.</w:t>
      </w:r>
    </w:p>
    <w:p w14:paraId="5E385E1F" w14:textId="77777777" w:rsidR="00523066" w:rsidRDefault="00523066" w:rsidP="00523066">
      <w:pPr>
        <w:pStyle w:val="ListParagraph"/>
        <w:ind w:left="792"/>
        <w:rPr>
          <w:rFonts w:ascii="Arial" w:hAnsi="Arial" w:cs="Arial"/>
        </w:rPr>
      </w:pPr>
    </w:p>
    <w:p w14:paraId="337FB6B6" w14:textId="77777777" w:rsidR="00523066" w:rsidRDefault="00523066" w:rsidP="00523066">
      <w:pPr>
        <w:pStyle w:val="ListParagraph"/>
        <w:numPr>
          <w:ilvl w:val="1"/>
          <w:numId w:val="10"/>
        </w:numPr>
        <w:ind w:hanging="792"/>
        <w:rPr>
          <w:rFonts w:ascii="Arial" w:hAnsi="Arial" w:cs="Arial"/>
        </w:rPr>
      </w:pPr>
      <w:r w:rsidRPr="130CD644">
        <w:rPr>
          <w:rFonts w:ascii="Arial" w:hAnsi="Arial" w:cs="Arial"/>
        </w:rPr>
        <w:t>The Government will act to maintain advantage in its defence and security capability and there may be a risk of loss in this advantage if UK companies (and the Intellectual Property that they generate) in this area are controlled by hostile actors.</w:t>
      </w:r>
    </w:p>
    <w:p w14:paraId="459129BA" w14:textId="77777777" w:rsidR="00523066" w:rsidRDefault="00523066" w:rsidP="00523066">
      <w:pPr>
        <w:pStyle w:val="ListParagraph"/>
        <w:ind w:left="792"/>
        <w:rPr>
          <w:rFonts w:ascii="Arial" w:hAnsi="Arial" w:cs="Arial"/>
        </w:rPr>
      </w:pPr>
    </w:p>
    <w:p w14:paraId="6CFA9497" w14:textId="77777777" w:rsidR="00523066" w:rsidRPr="00CC0495" w:rsidRDefault="00523066" w:rsidP="00523066">
      <w:pPr>
        <w:pStyle w:val="ListParagraph"/>
        <w:numPr>
          <w:ilvl w:val="1"/>
          <w:numId w:val="10"/>
        </w:numPr>
        <w:ind w:hanging="792"/>
        <w:rPr>
          <w:rFonts w:ascii="Arial" w:hAnsi="Arial" w:cs="Arial"/>
        </w:rPr>
      </w:pPr>
      <w:r w:rsidRPr="00CC0495">
        <w:rPr>
          <w:rFonts w:ascii="Arial" w:hAnsi="Arial" w:cs="Arial"/>
        </w:rPr>
        <w:t xml:space="preserve">An enterprise falls within this subsection if its activities consist in or include – </w:t>
      </w:r>
    </w:p>
    <w:p w14:paraId="642364C2" w14:textId="77777777" w:rsidR="00523066" w:rsidRPr="00CC0495" w:rsidRDefault="00523066" w:rsidP="00523066">
      <w:pPr>
        <w:pStyle w:val="ListParagraph"/>
        <w:ind w:left="792"/>
        <w:rPr>
          <w:rFonts w:ascii="Arial" w:hAnsi="Arial" w:cs="Arial"/>
        </w:rPr>
      </w:pPr>
      <w:r w:rsidRPr="00CC0495">
        <w:rPr>
          <w:rFonts w:ascii="Arial" w:hAnsi="Arial" w:cs="Arial"/>
        </w:rPr>
        <w:t xml:space="preserve">(a) research into; </w:t>
      </w:r>
    </w:p>
    <w:p w14:paraId="3CDD42B7" w14:textId="77777777" w:rsidR="00523066" w:rsidRPr="00CC0495" w:rsidRDefault="00523066" w:rsidP="00523066">
      <w:pPr>
        <w:pStyle w:val="ListParagraph"/>
        <w:ind w:left="792"/>
        <w:rPr>
          <w:rFonts w:ascii="Arial" w:hAnsi="Arial" w:cs="Arial"/>
        </w:rPr>
      </w:pPr>
      <w:r w:rsidRPr="00CC0495">
        <w:rPr>
          <w:rFonts w:ascii="Arial" w:hAnsi="Arial" w:cs="Arial"/>
        </w:rPr>
        <w:t xml:space="preserve">(b) developing or producing; </w:t>
      </w:r>
    </w:p>
    <w:p w14:paraId="0F5530F6" w14:textId="77777777" w:rsidR="00523066" w:rsidRPr="00CC0495" w:rsidRDefault="00523066" w:rsidP="00523066">
      <w:pPr>
        <w:pStyle w:val="ListParagraph"/>
        <w:ind w:left="792"/>
        <w:rPr>
          <w:rFonts w:ascii="Arial" w:hAnsi="Arial" w:cs="Arial"/>
        </w:rPr>
      </w:pPr>
      <w:r w:rsidRPr="00CC0495">
        <w:rPr>
          <w:rFonts w:ascii="Arial" w:hAnsi="Arial" w:cs="Arial"/>
        </w:rPr>
        <w:t>(c) developing or producing anything designed as an enabler for use in;</w:t>
      </w:r>
    </w:p>
    <w:p w14:paraId="524415F9" w14:textId="77777777" w:rsidR="00523066" w:rsidRPr="00CC0495" w:rsidRDefault="00523066" w:rsidP="00523066">
      <w:pPr>
        <w:pStyle w:val="ListParagraph"/>
        <w:ind w:left="792"/>
        <w:rPr>
          <w:rFonts w:ascii="Arial" w:hAnsi="Arial" w:cs="Arial"/>
        </w:rPr>
      </w:pPr>
      <w:r w:rsidRPr="00CC0495">
        <w:rPr>
          <w:rFonts w:ascii="Arial" w:hAnsi="Arial" w:cs="Arial"/>
        </w:rPr>
        <w:t>(d) developing or producing anything designed to be used to make;</w:t>
      </w:r>
    </w:p>
    <w:p w14:paraId="190BCBAC" w14:textId="77777777" w:rsidR="00523066" w:rsidRPr="00CC0495" w:rsidRDefault="00523066" w:rsidP="00523066">
      <w:pPr>
        <w:pStyle w:val="ListParagraph"/>
        <w:ind w:left="792"/>
        <w:rPr>
          <w:rFonts w:ascii="Arial" w:hAnsi="Arial" w:cs="Arial"/>
        </w:rPr>
      </w:pPr>
      <w:r w:rsidRPr="00CC0495">
        <w:rPr>
          <w:rFonts w:ascii="Arial" w:hAnsi="Arial" w:cs="Arial"/>
        </w:rPr>
        <w:t xml:space="preserve">(e) owning, creating, supplying or exploiting intellectual property relating to, or </w:t>
      </w:r>
    </w:p>
    <w:p w14:paraId="749153A2" w14:textId="77777777" w:rsidR="00523066" w:rsidRPr="00CC0495" w:rsidRDefault="00523066" w:rsidP="00523066">
      <w:pPr>
        <w:pStyle w:val="ListParagraph"/>
        <w:ind w:left="792"/>
        <w:rPr>
          <w:rFonts w:ascii="Arial" w:hAnsi="Arial" w:cs="Arial"/>
        </w:rPr>
      </w:pPr>
      <w:r w:rsidRPr="00CC0495">
        <w:rPr>
          <w:rFonts w:ascii="Arial" w:hAnsi="Arial" w:cs="Arial"/>
        </w:rPr>
        <w:t xml:space="preserve">(f) provide know-how or services of enablers for use in – </w:t>
      </w:r>
    </w:p>
    <w:p w14:paraId="06425901" w14:textId="77777777" w:rsidR="00523066" w:rsidRPr="00CC0495" w:rsidRDefault="00523066" w:rsidP="00523066">
      <w:pPr>
        <w:rPr>
          <w:rFonts w:ascii="Arial" w:hAnsi="Arial" w:cs="Arial"/>
        </w:rPr>
      </w:pPr>
    </w:p>
    <w:p w14:paraId="3A5D2540" w14:textId="77777777" w:rsidR="00523066" w:rsidRPr="008C2297" w:rsidRDefault="00523066" w:rsidP="00523066">
      <w:pPr>
        <w:pStyle w:val="ListParagraph"/>
        <w:ind w:left="1440"/>
        <w:rPr>
          <w:rFonts w:ascii="Arial" w:hAnsi="Arial" w:cs="Arial"/>
        </w:rPr>
      </w:pPr>
      <w:r w:rsidRPr="008C2297">
        <w:rPr>
          <w:rFonts w:ascii="Arial" w:hAnsi="Arial" w:cs="Arial"/>
        </w:rPr>
        <w:t>(a)</w:t>
      </w:r>
      <w:r w:rsidRPr="008C2297">
        <w:rPr>
          <w:rFonts w:ascii="Arial" w:hAnsi="Arial" w:cs="Arial"/>
        </w:rPr>
        <w:tab/>
        <w:t>any materials that are capable of modifying (including in real time) the appearance, detectability, traceability or identification of any object to a human or to sensors within the range 1.5e13 Hz up to and including ultraviolet;</w:t>
      </w:r>
    </w:p>
    <w:p w14:paraId="226AD055" w14:textId="77777777" w:rsidR="00523066" w:rsidRPr="008C2297" w:rsidRDefault="00523066" w:rsidP="00523066">
      <w:pPr>
        <w:pStyle w:val="ListParagraph"/>
        <w:ind w:left="1440"/>
        <w:rPr>
          <w:rFonts w:ascii="Arial" w:hAnsi="Arial" w:cs="Arial"/>
        </w:rPr>
      </w:pPr>
      <w:r w:rsidRPr="008C2297">
        <w:rPr>
          <w:rFonts w:ascii="Arial" w:hAnsi="Arial" w:cs="Arial"/>
        </w:rPr>
        <w:t>(b)</w:t>
      </w:r>
      <w:r w:rsidRPr="008C2297">
        <w:rPr>
          <w:rFonts w:ascii="Arial" w:hAnsi="Arial" w:cs="Arial"/>
        </w:rPr>
        <w:tab/>
        <w:t>any alloys that are formed by chemical or electrochemical reduction of feedstocks in the solid state;</w:t>
      </w:r>
    </w:p>
    <w:p w14:paraId="504DB037" w14:textId="77777777" w:rsidR="0051317D" w:rsidRDefault="00523066" w:rsidP="00523066">
      <w:pPr>
        <w:pStyle w:val="ListParagraph"/>
        <w:ind w:left="1440"/>
        <w:rPr>
          <w:rFonts w:ascii="Arial" w:hAnsi="Arial" w:cs="Arial"/>
        </w:rPr>
      </w:pPr>
      <w:r w:rsidRPr="008C2297">
        <w:rPr>
          <w:rFonts w:ascii="Arial" w:hAnsi="Arial" w:cs="Arial"/>
        </w:rPr>
        <w:t>(c)</w:t>
      </w:r>
      <w:r w:rsidRPr="008C2297">
        <w:rPr>
          <w:rFonts w:ascii="Arial" w:hAnsi="Arial" w:cs="Arial"/>
        </w:rPr>
        <w:tab/>
        <w:t>any manufacturing processes that are involved in the solid state formation of alloys in or into crude or semi-fabricated forms, or powders for additive manufacturing, where “additive manufacturing” means a process of joining materials to make parts from three-dimensional model data; or</w:t>
      </w:r>
      <w:r w:rsidR="0051317D">
        <w:rPr>
          <w:rFonts w:ascii="Arial" w:hAnsi="Arial" w:cs="Arial"/>
        </w:rPr>
        <w:t>,</w:t>
      </w:r>
    </w:p>
    <w:p w14:paraId="76C71CAD" w14:textId="27DD13F6" w:rsidR="00523066" w:rsidRPr="00996123" w:rsidRDefault="0051317D" w:rsidP="00523066">
      <w:pPr>
        <w:pStyle w:val="ListParagraph"/>
        <w:ind w:left="1440"/>
        <w:rPr>
          <w:rFonts w:ascii="Arial" w:hAnsi="Arial" w:cs="Arial"/>
        </w:rPr>
      </w:pPr>
      <w:r>
        <w:rPr>
          <w:rFonts w:ascii="Arial" w:hAnsi="Arial" w:cs="Arial"/>
        </w:rPr>
        <w:t>(d)</w:t>
      </w:r>
      <w:r>
        <w:rPr>
          <w:rFonts w:ascii="Arial" w:hAnsi="Arial" w:cs="Arial"/>
        </w:rPr>
        <w:tab/>
      </w:r>
      <w:r w:rsidR="00523066" w:rsidRPr="00CC0495">
        <w:rPr>
          <w:rFonts w:ascii="Arial" w:hAnsi="Arial" w:cs="Arial"/>
        </w:rPr>
        <w:t>any metamaterial</w:t>
      </w:r>
      <w:r w:rsidR="00523066">
        <w:rPr>
          <w:rFonts w:ascii="Arial" w:hAnsi="Arial" w:cs="Arial"/>
        </w:rPr>
        <w:t xml:space="preserve"> </w:t>
      </w:r>
      <w:r w:rsidR="00523066" w:rsidRPr="00996123">
        <w:rPr>
          <w:rFonts w:ascii="Arial" w:hAnsi="Arial" w:cs="Arial"/>
        </w:rPr>
        <w:t xml:space="preserve">that does not include- </w:t>
      </w:r>
    </w:p>
    <w:p w14:paraId="4FA403D8" w14:textId="77777777" w:rsidR="00523066" w:rsidRPr="003C4DAA" w:rsidRDefault="00523066" w:rsidP="00523066">
      <w:pPr>
        <w:pStyle w:val="ListParagraph"/>
        <w:numPr>
          <w:ilvl w:val="0"/>
          <w:numId w:val="21"/>
        </w:numPr>
        <w:ind w:left="2808"/>
        <w:rPr>
          <w:rFonts w:ascii="Arial" w:hAnsi="Arial" w:cs="Arial"/>
        </w:rPr>
      </w:pPr>
      <w:r w:rsidRPr="003C4DAA">
        <w:rPr>
          <w:rFonts w:ascii="Arial" w:hAnsi="Arial" w:cs="Arial"/>
        </w:rPr>
        <w:t>fibre-reinforced plastics in structural components, products or coatings with completely random dispersion of pigment or other filler; or</w:t>
      </w:r>
    </w:p>
    <w:p w14:paraId="62345DFE" w14:textId="77777777" w:rsidR="00523066" w:rsidRDefault="00523066" w:rsidP="00523066">
      <w:pPr>
        <w:pStyle w:val="ListParagraph"/>
        <w:numPr>
          <w:ilvl w:val="0"/>
          <w:numId w:val="21"/>
        </w:numPr>
        <w:ind w:left="2808"/>
        <w:rPr>
          <w:rFonts w:ascii="Arial" w:hAnsi="Arial" w:cs="Arial"/>
        </w:rPr>
      </w:pPr>
      <w:r w:rsidRPr="003C4DAA">
        <w:rPr>
          <w:rFonts w:ascii="Arial" w:hAnsi="Arial" w:cs="Arial"/>
        </w:rPr>
        <w:t>any packaged device components that are designed for civil application.</w:t>
      </w:r>
    </w:p>
    <w:p w14:paraId="0E06C207" w14:textId="77777777" w:rsidR="00523066" w:rsidRDefault="00523066" w:rsidP="00523066">
      <w:pPr>
        <w:pStyle w:val="ListParagraph"/>
        <w:ind w:left="2808"/>
        <w:rPr>
          <w:rFonts w:ascii="Arial" w:hAnsi="Arial" w:cs="Arial"/>
        </w:rPr>
      </w:pPr>
    </w:p>
    <w:tbl>
      <w:tblPr>
        <w:tblW w:w="859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C50DCD" w14:paraId="274D153C" w14:textId="77777777" w:rsidTr="00C50DCD">
        <w:tc>
          <w:tcPr>
            <w:tcW w:w="8595" w:type="dxa"/>
            <w:shd w:val="clear" w:color="auto" w:fill="auto"/>
          </w:tcPr>
          <w:p w14:paraId="344E3779" w14:textId="77777777" w:rsidR="00523066" w:rsidRPr="00C50DCD" w:rsidRDefault="00523066" w:rsidP="00917B96">
            <w:pPr>
              <w:rPr>
                <w:rFonts w:ascii="Arial" w:hAnsi="Arial" w:cs="Arial"/>
                <w:b/>
                <w:color w:val="1F497D"/>
              </w:rPr>
            </w:pPr>
            <w:r w:rsidRPr="00C50DCD">
              <w:rPr>
                <w:rFonts w:ascii="Arial" w:hAnsi="Arial" w:cs="Arial"/>
                <w:b/>
                <w:color w:val="1F497D"/>
              </w:rPr>
              <w:t>Advanced materials – relevant definitions included in the 2020 Orders</w:t>
            </w:r>
          </w:p>
          <w:p w14:paraId="37B2E7E3" w14:textId="77777777" w:rsidR="00523066" w:rsidRPr="00C50DCD" w:rsidRDefault="00523066" w:rsidP="00C50DCD">
            <w:pPr>
              <w:pStyle w:val="LQDefPara"/>
              <w:ind w:left="0"/>
              <w:rPr>
                <w:rFonts w:ascii="Arial" w:hAnsi="Arial" w:cs="Arial"/>
                <w:iCs/>
                <w:sz w:val="24"/>
                <w:szCs w:val="24"/>
              </w:rPr>
            </w:pPr>
            <w:r w:rsidRPr="00C50DCD">
              <w:rPr>
                <w:rFonts w:ascii="Arial" w:hAnsi="Arial" w:cs="Arial"/>
                <w:iCs/>
                <w:sz w:val="24"/>
                <w:szCs w:val="24"/>
              </w:rPr>
              <w:t>“</w:t>
            </w:r>
            <w:r w:rsidRPr="00C50DCD">
              <w:rPr>
                <w:rFonts w:ascii="Arial" w:hAnsi="Arial" w:cs="Arial"/>
                <w:i/>
                <w:sz w:val="24"/>
                <w:szCs w:val="24"/>
              </w:rPr>
              <w:t>metamaterial</w:t>
            </w:r>
            <w:r w:rsidRPr="00C50DCD">
              <w:rPr>
                <w:rFonts w:ascii="Arial" w:hAnsi="Arial" w:cs="Arial"/>
                <w:iCs/>
                <w:sz w:val="24"/>
                <w:szCs w:val="24"/>
              </w:rPr>
              <w:t xml:space="preserve">” means a composite material in which the constituents are designed and spatially arranged through a rational design-led approach to change the manner in which electromagnetic, acoustic or vibrational energy interacts with the material, in order to achieve a property or performance that is not possible naturally and includes a </w:t>
            </w:r>
            <w:r w:rsidRPr="00C50DCD">
              <w:rPr>
                <w:rFonts w:ascii="Arial" w:hAnsi="Arial" w:cs="Arial"/>
                <w:i/>
                <w:sz w:val="24"/>
                <w:szCs w:val="24"/>
              </w:rPr>
              <w:t>metasurface</w:t>
            </w:r>
            <w:r w:rsidRPr="00C50DCD">
              <w:rPr>
                <w:rFonts w:ascii="Arial" w:hAnsi="Arial" w:cs="Arial"/>
                <w:iCs/>
                <w:sz w:val="24"/>
                <w:szCs w:val="24"/>
              </w:rPr>
              <w:t>; and for this purpose “</w:t>
            </w:r>
            <w:r w:rsidRPr="00C50DCD">
              <w:rPr>
                <w:rFonts w:ascii="Arial" w:hAnsi="Arial" w:cs="Arial"/>
                <w:i/>
                <w:sz w:val="24"/>
                <w:szCs w:val="24"/>
              </w:rPr>
              <w:t>composite material</w:t>
            </w:r>
            <w:r w:rsidRPr="00C50DCD">
              <w:rPr>
                <w:rFonts w:ascii="Arial" w:hAnsi="Arial" w:cs="Arial"/>
                <w:iCs/>
                <w:sz w:val="24"/>
                <w:szCs w:val="24"/>
              </w:rPr>
              <w:t>” means a solid material formed from two or more constituents and “</w:t>
            </w:r>
            <w:r w:rsidRPr="00C50DCD">
              <w:rPr>
                <w:rFonts w:ascii="Arial" w:hAnsi="Arial" w:cs="Arial"/>
                <w:i/>
                <w:sz w:val="24"/>
                <w:szCs w:val="24"/>
              </w:rPr>
              <w:t>constituent</w:t>
            </w:r>
            <w:r w:rsidRPr="00C50DCD">
              <w:rPr>
                <w:rFonts w:ascii="Arial" w:hAnsi="Arial" w:cs="Arial"/>
                <w:iCs/>
                <w:sz w:val="24"/>
                <w:szCs w:val="24"/>
              </w:rPr>
              <w:t>” includes a region containing a vacuum, gas or liquid;</w:t>
            </w:r>
          </w:p>
          <w:p w14:paraId="6576BB84" w14:textId="77777777" w:rsidR="00523066" w:rsidRPr="00C50DCD" w:rsidRDefault="00523066" w:rsidP="00C50DCD">
            <w:pPr>
              <w:pStyle w:val="LQDefPara"/>
              <w:ind w:left="0"/>
              <w:rPr>
                <w:rFonts w:ascii="Arial" w:hAnsi="Arial" w:cs="Arial"/>
                <w:iCs/>
                <w:sz w:val="24"/>
                <w:szCs w:val="24"/>
              </w:rPr>
            </w:pPr>
            <w:r w:rsidRPr="00C50DCD">
              <w:rPr>
                <w:rFonts w:ascii="Arial" w:hAnsi="Arial" w:cs="Arial"/>
                <w:iCs/>
                <w:sz w:val="24"/>
                <w:szCs w:val="24"/>
              </w:rPr>
              <w:lastRenderedPageBreak/>
              <w:t>“</w:t>
            </w:r>
            <w:r w:rsidRPr="00C50DCD">
              <w:rPr>
                <w:rFonts w:ascii="Arial" w:hAnsi="Arial" w:cs="Arial"/>
                <w:i/>
                <w:sz w:val="24"/>
                <w:szCs w:val="24"/>
              </w:rPr>
              <w:t>metasurface</w:t>
            </w:r>
            <w:r w:rsidRPr="00C50DCD">
              <w:rPr>
                <w:rFonts w:ascii="Arial" w:hAnsi="Arial" w:cs="Arial"/>
                <w:iCs/>
                <w:sz w:val="24"/>
                <w:szCs w:val="24"/>
              </w:rPr>
              <w:t>” means a two-dimensional form of metamaterial which includes one or more layers of material that are intentionally patterned or textured (irrespective of whether they are periodic or not) through a rational design-led approach.</w:t>
            </w:r>
          </w:p>
          <w:p w14:paraId="17049ECE" w14:textId="77777777" w:rsidR="00523066" w:rsidRPr="00C50DCD" w:rsidRDefault="00523066" w:rsidP="00917B96">
            <w:pPr>
              <w:pStyle w:val="Guidance3"/>
              <w:rPr>
                <w:i w:val="0"/>
                <w:iCs/>
                <w:color w:val="000000"/>
              </w:rPr>
            </w:pPr>
          </w:p>
        </w:tc>
      </w:tr>
    </w:tbl>
    <w:p w14:paraId="533474D0" w14:textId="77777777" w:rsidR="00523066" w:rsidRPr="00FC1128" w:rsidRDefault="00523066" w:rsidP="00523066"/>
    <w:p w14:paraId="1E723D7C" w14:textId="77777777" w:rsidR="00523066" w:rsidRPr="00252633" w:rsidRDefault="00523066" w:rsidP="00523066"/>
    <w:p w14:paraId="1FAD836F" w14:textId="77777777" w:rsidR="00523066" w:rsidRPr="00C059DF" w:rsidRDefault="00523066" w:rsidP="00523066">
      <w:pPr>
        <w:pStyle w:val="ListParagraph"/>
        <w:ind w:left="0"/>
        <w:rPr>
          <w:rFonts w:ascii="Arial" w:hAnsi="Arial" w:cs="Arial"/>
          <w:b/>
          <w:color w:val="1F497D"/>
        </w:rPr>
      </w:pPr>
      <w:r>
        <w:rPr>
          <w:rFonts w:ascii="Arial" w:hAnsi="Arial" w:cs="Arial"/>
          <w:b/>
          <w:color w:val="1F497D"/>
        </w:rPr>
        <w:t>Business operating in more than one area covered by the provisions</w:t>
      </w:r>
    </w:p>
    <w:p w14:paraId="5E97F471" w14:textId="77777777" w:rsidR="00523066" w:rsidRPr="00CC0495" w:rsidRDefault="00523066" w:rsidP="00523066">
      <w:pPr>
        <w:pStyle w:val="ListParagraph"/>
        <w:numPr>
          <w:ilvl w:val="1"/>
          <w:numId w:val="19"/>
        </w:numPr>
        <w:ind w:hanging="792"/>
        <w:rPr>
          <w:rFonts w:ascii="Arial" w:hAnsi="Arial" w:cs="Arial"/>
        </w:rPr>
      </w:pPr>
      <w:r>
        <w:rPr>
          <w:rFonts w:ascii="Arial" w:hAnsi="Arial" w:cs="Arial"/>
        </w:rPr>
        <w:t>Businesses may operate in more than one area of the economy covered by new section 23A of the Act. This does not affect the provisions’ applicability to them. Businesses only need to be undertaking activities in one of the described areas, for a relevant merger in which they are involved be subject to the provisions.</w:t>
      </w:r>
    </w:p>
    <w:p w14:paraId="068978F5" w14:textId="77777777" w:rsidR="00523066" w:rsidRPr="00252633" w:rsidRDefault="00523066" w:rsidP="00523066"/>
    <w:p w14:paraId="62F203AD" w14:textId="77777777" w:rsidR="00523066" w:rsidRPr="00252633" w:rsidRDefault="00523066" w:rsidP="00523066"/>
    <w:p w14:paraId="7983F848" w14:textId="77777777" w:rsidR="00523066" w:rsidRPr="00252633" w:rsidRDefault="00523066" w:rsidP="00523066"/>
    <w:p w14:paraId="56D8ECB3" w14:textId="77777777" w:rsidR="00523066" w:rsidRPr="00252633" w:rsidRDefault="00523066" w:rsidP="00523066"/>
    <w:p w14:paraId="5AFD6352" w14:textId="77777777" w:rsidR="00523066" w:rsidRPr="00252633" w:rsidRDefault="00523066" w:rsidP="00523066"/>
    <w:p w14:paraId="45D827E4" w14:textId="77777777" w:rsidR="00523066" w:rsidRPr="00252633" w:rsidRDefault="00523066" w:rsidP="00523066"/>
    <w:p w14:paraId="107F2D46" w14:textId="77777777" w:rsidR="00523066" w:rsidRPr="00252633" w:rsidRDefault="00523066" w:rsidP="00523066"/>
    <w:p w14:paraId="79F888EE" w14:textId="77777777" w:rsidR="00523066" w:rsidRDefault="00523066" w:rsidP="00523066">
      <w:pPr>
        <w:sectPr w:rsidR="0052306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4EA9FCA2" w14:textId="77777777" w:rsidR="00523066" w:rsidRDefault="00523066" w:rsidP="00523066"/>
    <w:p w14:paraId="6A4DBB86" w14:textId="77777777" w:rsidR="00523066" w:rsidRPr="00252633" w:rsidRDefault="00523066" w:rsidP="00523066">
      <w:pPr>
        <w:pStyle w:val="Heading1"/>
        <w:spacing w:before="0"/>
        <w:rPr>
          <w:rFonts w:ascii="Arial" w:hAnsi="Arial" w:cs="Arial"/>
          <w:b w:val="0"/>
          <w:bCs w:val="0"/>
          <w:color w:val="1F497D"/>
          <w:sz w:val="50"/>
          <w:szCs w:val="50"/>
        </w:rPr>
      </w:pPr>
      <w:bookmarkStart w:id="15" w:name="_Toc508611549"/>
      <w:bookmarkStart w:id="16" w:name="_Toc44065807"/>
      <w:r w:rsidRPr="00252633">
        <w:rPr>
          <w:rFonts w:ascii="Arial" w:hAnsi="Arial" w:cs="Arial"/>
          <w:color w:val="1F497D"/>
          <w:sz w:val="50"/>
          <w:szCs w:val="50"/>
        </w:rPr>
        <w:t xml:space="preserve">Chapter </w:t>
      </w:r>
      <w:r>
        <w:rPr>
          <w:rFonts w:ascii="Arial" w:hAnsi="Arial" w:cs="Arial"/>
          <w:color w:val="1F497D"/>
          <w:sz w:val="50"/>
          <w:szCs w:val="50"/>
        </w:rPr>
        <w:t>4</w:t>
      </w:r>
      <w:r w:rsidRPr="00252633">
        <w:rPr>
          <w:rFonts w:ascii="Arial" w:hAnsi="Arial" w:cs="Arial"/>
          <w:color w:val="1F497D"/>
          <w:sz w:val="50"/>
          <w:szCs w:val="50"/>
        </w:rPr>
        <w:t>: The turnover and share of supply tests</w:t>
      </w:r>
      <w:bookmarkEnd w:id="15"/>
      <w:bookmarkEnd w:id="16"/>
    </w:p>
    <w:p w14:paraId="431FFA5E" w14:textId="391B49DD" w:rsidR="00523066" w:rsidRPr="008E51C9" w:rsidRDefault="00592723" w:rsidP="00523066">
      <w:pPr>
        <w:rPr>
          <w:rFonts w:ascii="Arial" w:hAnsi="Arial" w:cs="Arial"/>
        </w:rPr>
      </w:pPr>
      <w:r>
        <w:rPr>
          <w:noProof/>
        </w:rPr>
        <w:pict w14:anchorId="6992A044">
          <v:shape id="Text Box 9" o:spid="_x0000_s1039" type="#_x0000_t202" style="position:absolute;margin-left:-12.65pt;margin-top:10.2pt;width:448.2pt;height:187.35pt;z-index: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">
            <v:textbox style="mso-fit-shape-to-text:t">
              <w:txbxContent>
                <w:p w14:paraId="3E9F6D67"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Summary</w:t>
                  </w:r>
                </w:p>
                <w:p w14:paraId="0534EC73" w14:textId="77777777" w:rsidR="00523066" w:rsidRDefault="00523066" w:rsidP="00523066">
                  <w:pPr>
                    <w:rPr>
                      <w:rFonts w:ascii="Arial" w:hAnsi="Arial" w:cs="Arial"/>
                    </w:rPr>
                  </w:pPr>
                </w:p>
                <w:p w14:paraId="5A5FBE0F" w14:textId="77777777" w:rsidR="00523066" w:rsidRDefault="00523066" w:rsidP="00523066">
                  <w:pPr>
                    <w:rPr>
                      <w:rFonts w:ascii="Arial" w:hAnsi="Arial" w:cs="Arial"/>
                    </w:rPr>
                  </w:pPr>
                  <w:r w:rsidRPr="00F66536">
                    <w:rPr>
                      <w:rFonts w:ascii="Arial" w:hAnsi="Arial" w:cs="Arial"/>
                    </w:rPr>
                    <w:t xml:space="preserve">For </w:t>
                  </w:r>
                  <w:r>
                    <w:rPr>
                      <w:rFonts w:ascii="Arial" w:hAnsi="Arial" w:cs="Arial"/>
                    </w:rPr>
                    <w:t>mergers in relation to the relevant enterprises as set out in Chapter 3</w:t>
                  </w:r>
                  <w:r w:rsidRPr="00F66536">
                    <w:rPr>
                      <w:rFonts w:ascii="Arial" w:hAnsi="Arial" w:cs="Arial"/>
                    </w:rPr>
                    <w:t xml:space="preserve">, the </w:t>
                  </w:r>
                  <w:r>
                    <w:rPr>
                      <w:rFonts w:ascii="Arial" w:hAnsi="Arial" w:cs="Arial"/>
                    </w:rPr>
                    <w:t xml:space="preserve">provisions </w:t>
                  </w:r>
                  <w:r w:rsidRPr="00F66536">
                    <w:rPr>
                      <w:rFonts w:ascii="Arial" w:hAnsi="Arial" w:cs="Arial"/>
                    </w:rPr>
                    <w:t>mean that a relevant merg</w:t>
                  </w:r>
                  <w:r>
                    <w:rPr>
                      <w:rFonts w:ascii="Arial" w:hAnsi="Arial" w:cs="Arial"/>
                    </w:rPr>
                    <w:t xml:space="preserve">er situation will arise if the </w:t>
                  </w:r>
                  <w:r w:rsidRPr="00F66536">
                    <w:rPr>
                      <w:rFonts w:ascii="Arial" w:hAnsi="Arial" w:cs="Arial"/>
                    </w:rPr>
                    <w:t>target firm has UK turnover of over £1 million</w:t>
                  </w:r>
                  <w:r>
                    <w:rPr>
                      <w:rFonts w:ascii="Arial" w:hAnsi="Arial" w:cs="Arial"/>
                    </w:rPr>
                    <w:t>, or an</w:t>
                  </w:r>
                  <w:r w:rsidRPr="00F66536">
                    <w:rPr>
                      <w:rFonts w:ascii="Arial" w:hAnsi="Arial" w:cs="Arial"/>
                    </w:rPr>
                    <w:t xml:space="preserve"> existing share of supply of at least 25%.</w:t>
                  </w:r>
                  <w:r>
                    <w:rPr>
                      <w:rFonts w:ascii="Arial" w:hAnsi="Arial" w:cs="Arial"/>
                    </w:rPr>
                    <w:t xml:space="preserve"> The existing share of supply test (where a relevant merger situation is created if a merger leads to an increase in the share of supply to or beyond 25%) will continue to apply. </w:t>
                  </w:r>
                </w:p>
                <w:p w14:paraId="260B2DD4" w14:textId="77777777" w:rsidR="00523066" w:rsidRDefault="00523066" w:rsidP="00523066">
                  <w:pPr>
                    <w:rPr>
                      <w:rFonts w:ascii="Arial" w:hAnsi="Arial" w:cs="Arial"/>
                    </w:rPr>
                  </w:pPr>
                </w:p>
                <w:p w14:paraId="15E9D278" w14:textId="77777777" w:rsidR="00523066" w:rsidRDefault="00523066" w:rsidP="00523066">
                  <w:pPr>
                    <w:rPr>
                      <w:rFonts w:ascii="Arial" w:hAnsi="Arial" w:cs="Arial"/>
                    </w:rPr>
                  </w:pPr>
                  <w:r>
                    <w:rPr>
                      <w:rFonts w:ascii="Arial" w:hAnsi="Arial" w:cs="Arial"/>
                    </w:rPr>
                    <w:t>The Government will be able to intervene in the transaction if at least one of these tests is met and it believes that the merger may raise</w:t>
                  </w:r>
                  <w:r w:rsidRPr="00163236">
                    <w:rPr>
                      <w:rFonts w:ascii="Arial" w:hAnsi="Arial" w:cs="Arial"/>
                    </w:rPr>
                    <w:t xml:space="preserve"> national security concerns</w:t>
                  </w:r>
                  <w:r>
                    <w:rPr>
                      <w:rFonts w:ascii="Arial" w:hAnsi="Arial" w:cs="Arial"/>
                    </w:rPr>
                    <w:t>.</w:t>
                  </w:r>
                </w:p>
                <w:p w14:paraId="463BFEC4" w14:textId="77777777" w:rsidR="00523066" w:rsidRPr="0089614F" w:rsidRDefault="00523066" w:rsidP="00523066">
                  <w:pPr>
                    <w:rPr>
                      <w:rFonts w:ascii="Arial" w:hAnsi="Arial" w:cs="Arial"/>
                    </w:rPr>
                  </w:pPr>
                </w:p>
              </w:txbxContent>
            </v:textbox>
          </v:shape>
        </w:pict>
      </w:r>
    </w:p>
    <w:p w14:paraId="3CD4B733" w14:textId="77777777" w:rsidR="00523066" w:rsidRPr="008E51C9" w:rsidRDefault="00523066" w:rsidP="00523066">
      <w:pPr>
        <w:rPr>
          <w:rFonts w:ascii="Arial" w:hAnsi="Arial" w:cs="Arial"/>
        </w:rPr>
      </w:pPr>
    </w:p>
    <w:p w14:paraId="4784EB34" w14:textId="77777777" w:rsidR="00523066" w:rsidRPr="008E51C9" w:rsidRDefault="00523066" w:rsidP="00523066">
      <w:pPr>
        <w:rPr>
          <w:rFonts w:ascii="Arial" w:hAnsi="Arial" w:cs="Arial"/>
        </w:rPr>
      </w:pPr>
    </w:p>
    <w:p w14:paraId="51401543" w14:textId="77777777" w:rsidR="00523066" w:rsidRDefault="00523066" w:rsidP="00523066">
      <w:pPr>
        <w:rPr>
          <w:rFonts w:ascii="Arial" w:hAnsi="Arial" w:cs="Arial"/>
        </w:rPr>
      </w:pPr>
    </w:p>
    <w:p w14:paraId="227C9058" w14:textId="77777777" w:rsidR="00523066" w:rsidRDefault="00523066" w:rsidP="00523066">
      <w:pPr>
        <w:rPr>
          <w:rFonts w:ascii="Arial" w:hAnsi="Arial" w:cs="Arial"/>
        </w:rPr>
      </w:pPr>
    </w:p>
    <w:p w14:paraId="1FBA541E" w14:textId="77777777" w:rsidR="00523066" w:rsidRDefault="00523066" w:rsidP="00523066">
      <w:pPr>
        <w:rPr>
          <w:rFonts w:ascii="Arial" w:hAnsi="Arial" w:cs="Arial"/>
        </w:rPr>
      </w:pPr>
    </w:p>
    <w:p w14:paraId="4A39B5B3" w14:textId="77777777" w:rsidR="00523066" w:rsidRDefault="00523066" w:rsidP="00523066">
      <w:pPr>
        <w:rPr>
          <w:rFonts w:ascii="Arial" w:hAnsi="Arial" w:cs="Arial"/>
        </w:rPr>
      </w:pPr>
    </w:p>
    <w:p w14:paraId="22FC73B6" w14:textId="77777777" w:rsidR="00523066" w:rsidRDefault="00523066" w:rsidP="00523066">
      <w:pPr>
        <w:rPr>
          <w:rFonts w:ascii="Arial" w:hAnsi="Arial" w:cs="Arial"/>
        </w:rPr>
      </w:pPr>
    </w:p>
    <w:p w14:paraId="49EFE53C" w14:textId="77777777" w:rsidR="00523066" w:rsidRDefault="00523066" w:rsidP="00523066">
      <w:pPr>
        <w:rPr>
          <w:rFonts w:ascii="Arial" w:hAnsi="Arial" w:cs="Arial"/>
        </w:rPr>
      </w:pPr>
    </w:p>
    <w:p w14:paraId="1339F9A7" w14:textId="77777777" w:rsidR="00523066" w:rsidRDefault="00523066" w:rsidP="00523066">
      <w:pPr>
        <w:rPr>
          <w:rFonts w:ascii="Arial" w:hAnsi="Arial" w:cs="Arial"/>
        </w:rPr>
      </w:pPr>
    </w:p>
    <w:p w14:paraId="322B40C1" w14:textId="77777777" w:rsidR="00523066" w:rsidRDefault="00523066" w:rsidP="00523066">
      <w:pPr>
        <w:rPr>
          <w:rFonts w:ascii="Arial" w:hAnsi="Arial" w:cs="Arial"/>
        </w:rPr>
      </w:pPr>
    </w:p>
    <w:p w14:paraId="405FF1B9" w14:textId="77777777" w:rsidR="00523066" w:rsidRDefault="00523066" w:rsidP="00523066">
      <w:pPr>
        <w:rPr>
          <w:rFonts w:ascii="Arial" w:hAnsi="Arial" w:cs="Arial"/>
        </w:rPr>
      </w:pPr>
    </w:p>
    <w:p w14:paraId="3BC9163B" w14:textId="77777777" w:rsidR="00523066" w:rsidRDefault="00523066" w:rsidP="00523066">
      <w:pPr>
        <w:rPr>
          <w:rFonts w:ascii="Arial" w:hAnsi="Arial" w:cs="Arial"/>
        </w:rPr>
      </w:pPr>
    </w:p>
    <w:p w14:paraId="2C66AEF9" w14:textId="77777777" w:rsidR="00523066" w:rsidRDefault="00523066" w:rsidP="00523066">
      <w:pPr>
        <w:rPr>
          <w:rFonts w:ascii="Arial" w:hAnsi="Arial" w:cs="Arial"/>
        </w:rPr>
      </w:pPr>
    </w:p>
    <w:p w14:paraId="7A53629E" w14:textId="77777777" w:rsidR="00523066" w:rsidRDefault="00523066" w:rsidP="00523066">
      <w:pPr>
        <w:rPr>
          <w:rFonts w:ascii="Arial" w:hAnsi="Arial" w:cs="Arial"/>
        </w:rPr>
      </w:pPr>
    </w:p>
    <w:p w14:paraId="6BFB3145" w14:textId="77777777" w:rsidR="00523066" w:rsidRPr="008E51C9" w:rsidRDefault="00523066" w:rsidP="00523066">
      <w:pPr>
        <w:rPr>
          <w:rFonts w:ascii="Arial" w:hAnsi="Arial" w:cs="Arial"/>
        </w:rPr>
      </w:pPr>
    </w:p>
    <w:p w14:paraId="1E9E173C" w14:textId="77777777" w:rsidR="00523066" w:rsidRPr="008E51C9" w:rsidRDefault="00523066" w:rsidP="00523066">
      <w:pPr>
        <w:pStyle w:val="Guidance2"/>
      </w:pPr>
      <w:r w:rsidRPr="008E51C9">
        <w:t>Turnover test</w:t>
      </w:r>
    </w:p>
    <w:p w14:paraId="31EE1351"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 xml:space="preserve">For those businesses </w:t>
      </w:r>
      <w:r>
        <w:rPr>
          <w:rFonts w:ascii="Arial" w:hAnsi="Arial" w:cs="Arial"/>
        </w:rPr>
        <w:t>active in the areas set out in Chapter 3 and 4</w:t>
      </w:r>
      <w:r w:rsidRPr="008E51C9">
        <w:rPr>
          <w:rFonts w:ascii="Arial" w:hAnsi="Arial" w:cs="Arial"/>
        </w:rPr>
        <w:t xml:space="preserve">, the </w:t>
      </w:r>
      <w:r>
        <w:rPr>
          <w:rFonts w:ascii="Arial" w:hAnsi="Arial" w:cs="Arial"/>
        </w:rPr>
        <w:t>provisions</w:t>
      </w:r>
      <w:r w:rsidRPr="008E51C9">
        <w:rPr>
          <w:rFonts w:ascii="Arial" w:hAnsi="Arial" w:cs="Arial"/>
        </w:rPr>
        <w:t xml:space="preserve"> mean that a relevant merger situation</w:t>
      </w:r>
      <w:r>
        <w:rPr>
          <w:rFonts w:ascii="Arial" w:hAnsi="Arial" w:cs="Arial"/>
        </w:rPr>
        <w:t xml:space="preserve"> will arise if the business</w:t>
      </w:r>
      <w:r w:rsidRPr="008E51C9">
        <w:rPr>
          <w:rFonts w:ascii="Arial" w:hAnsi="Arial" w:cs="Arial"/>
        </w:rPr>
        <w:t xml:space="preserve"> </w:t>
      </w:r>
      <w:r>
        <w:rPr>
          <w:rFonts w:ascii="Arial" w:hAnsi="Arial" w:cs="Arial"/>
        </w:rPr>
        <w:t xml:space="preserve">being acquired is a relevant enterprise (or if there is a change of control over a relevant enterprise in any other scenario such as a pure merger) and the relevant enterprise </w:t>
      </w:r>
      <w:r w:rsidRPr="008E51C9">
        <w:rPr>
          <w:rFonts w:ascii="Arial" w:hAnsi="Arial" w:cs="Arial"/>
        </w:rPr>
        <w:t xml:space="preserve">has UK turnover of over £1 million, rather than £70 million. This still excludes </w:t>
      </w:r>
      <w:r>
        <w:rPr>
          <w:rFonts w:ascii="Arial" w:hAnsi="Arial" w:cs="Arial"/>
        </w:rPr>
        <w:t xml:space="preserve">the acquiring of </w:t>
      </w:r>
      <w:r w:rsidRPr="008E51C9">
        <w:rPr>
          <w:rFonts w:ascii="Arial" w:hAnsi="Arial" w:cs="Arial"/>
        </w:rPr>
        <w:t xml:space="preserve">micro-businesses from the scope of the revised thresholds, ensuring that </w:t>
      </w:r>
      <w:r>
        <w:rPr>
          <w:rFonts w:ascii="Arial" w:hAnsi="Arial" w:cs="Arial"/>
        </w:rPr>
        <w:t xml:space="preserve">the Government </w:t>
      </w:r>
      <w:r w:rsidRPr="008E51C9">
        <w:rPr>
          <w:rFonts w:ascii="Arial" w:hAnsi="Arial" w:cs="Arial"/>
        </w:rPr>
        <w:t xml:space="preserve">take as proportionate and focused approach as possible to delivering </w:t>
      </w:r>
      <w:r>
        <w:rPr>
          <w:rFonts w:ascii="Arial" w:hAnsi="Arial" w:cs="Arial"/>
        </w:rPr>
        <w:t>its</w:t>
      </w:r>
      <w:r w:rsidRPr="008E51C9">
        <w:rPr>
          <w:rFonts w:ascii="Arial" w:hAnsi="Arial" w:cs="Arial"/>
        </w:rPr>
        <w:t xml:space="preserve"> policy intention. </w:t>
      </w:r>
    </w:p>
    <w:p w14:paraId="1567DEF3" w14:textId="77777777" w:rsidR="00523066" w:rsidRPr="00870A0B" w:rsidRDefault="00523066" w:rsidP="00523066">
      <w:pPr>
        <w:pStyle w:val="ListParagraph"/>
        <w:ind w:left="0"/>
        <w:rPr>
          <w:rFonts w:ascii="Arial" w:hAnsi="Arial" w:cs="Arial"/>
        </w:rPr>
      </w:pPr>
    </w:p>
    <w:p w14:paraId="4CE0BF8E" w14:textId="77777777" w:rsidR="00523066" w:rsidRDefault="00523066" w:rsidP="00523066">
      <w:pPr>
        <w:pStyle w:val="ListParagraph"/>
        <w:numPr>
          <w:ilvl w:val="1"/>
          <w:numId w:val="11"/>
        </w:numPr>
        <w:ind w:hanging="792"/>
        <w:rPr>
          <w:rFonts w:ascii="Arial" w:hAnsi="Arial" w:cs="Arial"/>
        </w:rPr>
      </w:pPr>
      <w:r w:rsidRPr="008E51C9">
        <w:rPr>
          <w:rFonts w:ascii="Arial" w:hAnsi="Arial" w:cs="Arial"/>
        </w:rPr>
        <w:t>The</w:t>
      </w:r>
      <w:r>
        <w:rPr>
          <w:rFonts w:ascii="Arial" w:hAnsi="Arial" w:cs="Arial"/>
        </w:rPr>
        <w:t xml:space="preserve"> provisions do not change</w:t>
      </w:r>
      <w:r w:rsidRPr="008E51C9">
        <w:rPr>
          <w:rFonts w:ascii="Arial" w:hAnsi="Arial" w:cs="Arial"/>
        </w:rPr>
        <w:t xml:space="preserve"> the </w:t>
      </w:r>
      <w:r>
        <w:rPr>
          <w:rFonts w:ascii="Arial" w:hAnsi="Arial" w:cs="Arial"/>
        </w:rPr>
        <w:t xml:space="preserve">definition of turnover or how the turnover of the enterprise being taken over is calculated, nor do they </w:t>
      </w:r>
      <w:r w:rsidRPr="008E51C9">
        <w:rPr>
          <w:rFonts w:ascii="Arial" w:hAnsi="Arial" w:cs="Arial"/>
        </w:rPr>
        <w:t xml:space="preserve">alter the fact the threshold relates only to UK turnover. As set out in the Enterprise Act 2002 (Merger Fees and Determination of Turnover) Order 2003 and the CMA’s guidance, in essence this relates to sales to (or acquisitions from) UK customers or suppliers. In assessing whether a firm is active in the UK, the CMA will have regard to whether its sales or purchases are made directly or indirectly (via agents or traders) to UK customers. In the event that the Government wishes to intervene in a merger brought into scope by the </w:t>
      </w:r>
      <w:r>
        <w:rPr>
          <w:rFonts w:ascii="Arial" w:hAnsi="Arial" w:cs="Arial"/>
        </w:rPr>
        <w:t>amendments</w:t>
      </w:r>
      <w:r w:rsidRPr="008E51C9">
        <w:rPr>
          <w:rFonts w:ascii="Arial" w:hAnsi="Arial" w:cs="Arial"/>
        </w:rPr>
        <w:t xml:space="preserve">, the CMA retains </w:t>
      </w:r>
      <w:r>
        <w:rPr>
          <w:rFonts w:ascii="Arial" w:hAnsi="Arial" w:cs="Arial"/>
        </w:rPr>
        <w:t>its</w:t>
      </w:r>
      <w:r w:rsidRPr="008E51C9">
        <w:rPr>
          <w:rFonts w:ascii="Arial" w:hAnsi="Arial" w:cs="Arial"/>
        </w:rPr>
        <w:t xml:space="preserve"> role in confirming whether the deal meets the relevant thresholds, including turnover. </w:t>
      </w:r>
    </w:p>
    <w:p w14:paraId="65219C07" w14:textId="77777777" w:rsidR="00523066" w:rsidRDefault="00523066" w:rsidP="00523066">
      <w:pPr>
        <w:pStyle w:val="ListParagraph"/>
        <w:ind w:left="792"/>
        <w:rPr>
          <w:rFonts w:ascii="Arial" w:hAnsi="Arial" w:cs="Arial"/>
        </w:rPr>
      </w:pPr>
    </w:p>
    <w:p w14:paraId="556B9288" w14:textId="77777777" w:rsidR="00523066" w:rsidRPr="008E51C9" w:rsidRDefault="00523066" w:rsidP="00523066">
      <w:pPr>
        <w:pStyle w:val="ListParagraph"/>
        <w:numPr>
          <w:ilvl w:val="1"/>
          <w:numId w:val="11"/>
        </w:numPr>
        <w:rPr>
          <w:rFonts w:ascii="Arial" w:hAnsi="Arial" w:cs="Arial"/>
        </w:rPr>
      </w:pPr>
      <w:r>
        <w:rPr>
          <w:rFonts w:ascii="Arial" w:hAnsi="Arial" w:cs="Arial"/>
        </w:rPr>
        <w:lastRenderedPageBreak/>
        <w:t>The CMA’s guidance</w:t>
      </w:r>
      <w:r>
        <w:rPr>
          <w:rStyle w:val="FootnoteReference"/>
          <w:rFonts w:ascii="Arial" w:hAnsi="Arial" w:cs="Arial"/>
        </w:rPr>
        <w:footnoteReference w:id="20"/>
      </w:r>
      <w:r>
        <w:rPr>
          <w:rFonts w:ascii="Arial" w:hAnsi="Arial" w:cs="Arial"/>
        </w:rPr>
        <w:t xml:space="preserve"> </w:t>
      </w:r>
      <w:r w:rsidRPr="008A5359">
        <w:rPr>
          <w:rFonts w:ascii="Arial" w:hAnsi="Arial" w:cs="Arial"/>
        </w:rPr>
        <w:t>provides greater detail on how the turnover test is interpreted in various scenarios such as a straightforward acquisition, a full legal merger, or a joint venture.</w:t>
      </w:r>
    </w:p>
    <w:p w14:paraId="1AE14B04" w14:textId="77777777" w:rsidR="00523066" w:rsidRPr="008E51C9" w:rsidRDefault="00523066" w:rsidP="00523066">
      <w:pPr>
        <w:rPr>
          <w:rFonts w:ascii="Arial" w:hAnsi="Arial" w:cs="Arial"/>
        </w:rPr>
      </w:pPr>
    </w:p>
    <w:p w14:paraId="5007A99A" w14:textId="77777777" w:rsidR="00523066" w:rsidRPr="008E51C9" w:rsidRDefault="00523066" w:rsidP="00523066">
      <w:pPr>
        <w:pStyle w:val="Guidance2"/>
      </w:pPr>
      <w:r w:rsidRPr="008E51C9">
        <w:t>Share of supply</w:t>
      </w:r>
      <w:r>
        <w:t xml:space="preserve"> test</w:t>
      </w:r>
    </w:p>
    <w:p w14:paraId="510247EB" w14:textId="77777777" w:rsidR="00523066" w:rsidRPr="008E51C9" w:rsidRDefault="00523066" w:rsidP="00523066">
      <w:pPr>
        <w:pStyle w:val="ListParagraph"/>
        <w:numPr>
          <w:ilvl w:val="1"/>
          <w:numId w:val="11"/>
        </w:numPr>
        <w:ind w:hanging="792"/>
        <w:rPr>
          <w:rFonts w:ascii="Arial" w:hAnsi="Arial" w:cs="Arial"/>
        </w:rPr>
      </w:pPr>
      <w:r>
        <w:rPr>
          <w:rFonts w:ascii="Arial" w:hAnsi="Arial" w:cs="Arial"/>
        </w:rPr>
        <w:t>The share of supply test means that</w:t>
      </w:r>
      <w:r w:rsidRPr="008E51C9">
        <w:rPr>
          <w:rFonts w:ascii="Arial" w:hAnsi="Arial" w:cs="Arial"/>
        </w:rPr>
        <w:t xml:space="preserve"> </w:t>
      </w:r>
      <w:r>
        <w:rPr>
          <w:rFonts w:ascii="Arial" w:hAnsi="Arial" w:cs="Arial"/>
        </w:rPr>
        <w:t>(</w:t>
      </w:r>
      <w:r w:rsidRPr="008E51C9">
        <w:rPr>
          <w:rFonts w:ascii="Arial" w:hAnsi="Arial" w:cs="Arial"/>
        </w:rPr>
        <w:t xml:space="preserve">in the case of </w:t>
      </w:r>
      <w:r>
        <w:rPr>
          <w:rFonts w:ascii="Arial" w:hAnsi="Arial" w:cs="Arial"/>
        </w:rPr>
        <w:t xml:space="preserve">transactions in which </w:t>
      </w:r>
      <w:r w:rsidRPr="008E51C9">
        <w:rPr>
          <w:rFonts w:ascii="Arial" w:hAnsi="Arial" w:cs="Arial"/>
        </w:rPr>
        <w:t xml:space="preserve">a relevant </w:t>
      </w:r>
      <w:r>
        <w:rPr>
          <w:rFonts w:ascii="Arial" w:hAnsi="Arial" w:cs="Arial"/>
        </w:rPr>
        <w:t>enterprise</w:t>
      </w:r>
      <w:r w:rsidRPr="008E51C9">
        <w:rPr>
          <w:rFonts w:ascii="Arial" w:hAnsi="Arial" w:cs="Arial"/>
        </w:rPr>
        <w:t xml:space="preserve"> </w:t>
      </w:r>
      <w:r>
        <w:rPr>
          <w:rFonts w:ascii="Arial" w:hAnsi="Arial" w:cs="Arial"/>
        </w:rPr>
        <w:t xml:space="preserve">is acquired or in a pure merger or other transaction involving a change of control or the acquisition of material influence over a relevant enterprise) the Government can intervene in a merger </w:t>
      </w:r>
      <w:r w:rsidRPr="008E51C9">
        <w:rPr>
          <w:rFonts w:ascii="Arial" w:hAnsi="Arial" w:cs="Arial"/>
        </w:rPr>
        <w:t>if th</w:t>
      </w:r>
      <w:r>
        <w:rPr>
          <w:rFonts w:ascii="Arial" w:hAnsi="Arial" w:cs="Arial"/>
        </w:rPr>
        <w:t>os</w:t>
      </w:r>
      <w:r w:rsidRPr="008E51C9">
        <w:rPr>
          <w:rFonts w:ascii="Arial" w:hAnsi="Arial" w:cs="Arial"/>
        </w:rPr>
        <w:t xml:space="preserve">e </w:t>
      </w:r>
      <w:r>
        <w:rPr>
          <w:rFonts w:ascii="Arial" w:hAnsi="Arial" w:cs="Arial"/>
        </w:rPr>
        <w:t>carrying on the relevant</w:t>
      </w:r>
      <w:r w:rsidRPr="008E51C9">
        <w:rPr>
          <w:rFonts w:ascii="Arial" w:hAnsi="Arial" w:cs="Arial"/>
        </w:rPr>
        <w:t xml:space="preserve"> </w:t>
      </w:r>
      <w:r>
        <w:rPr>
          <w:rFonts w:ascii="Arial" w:hAnsi="Arial" w:cs="Arial"/>
        </w:rPr>
        <w:t>enterprise</w:t>
      </w:r>
      <w:r w:rsidRPr="008E51C9">
        <w:rPr>
          <w:rFonts w:ascii="Arial" w:hAnsi="Arial" w:cs="Arial"/>
        </w:rPr>
        <w:t xml:space="preserve"> ha</w:t>
      </w:r>
      <w:r>
        <w:rPr>
          <w:rFonts w:ascii="Arial" w:hAnsi="Arial" w:cs="Arial"/>
        </w:rPr>
        <w:t>d</w:t>
      </w:r>
      <w:r w:rsidRPr="008E51C9">
        <w:rPr>
          <w:rFonts w:ascii="Arial" w:hAnsi="Arial" w:cs="Arial"/>
        </w:rPr>
        <w:t xml:space="preserve"> an existing share of supply of at least 25%</w:t>
      </w:r>
      <w:r>
        <w:rPr>
          <w:rFonts w:ascii="Arial" w:hAnsi="Arial" w:cs="Arial"/>
        </w:rPr>
        <w:t xml:space="preserve"> before the merger</w:t>
      </w:r>
      <w:r w:rsidRPr="008E51C9">
        <w:rPr>
          <w:rFonts w:ascii="Arial" w:hAnsi="Arial" w:cs="Arial"/>
        </w:rPr>
        <w:t xml:space="preserve">. </w:t>
      </w:r>
    </w:p>
    <w:p w14:paraId="5F8DED71" w14:textId="77777777" w:rsidR="00523066" w:rsidRPr="008E51C9" w:rsidRDefault="00523066" w:rsidP="00523066">
      <w:pPr>
        <w:pStyle w:val="ListParagraph"/>
        <w:rPr>
          <w:rFonts w:ascii="Arial" w:hAnsi="Arial" w:cs="Arial"/>
        </w:rPr>
      </w:pPr>
    </w:p>
    <w:p w14:paraId="62DAF78B" w14:textId="77777777" w:rsidR="00523066" w:rsidRDefault="00523066" w:rsidP="00523066">
      <w:pPr>
        <w:pStyle w:val="ListParagraph"/>
        <w:numPr>
          <w:ilvl w:val="1"/>
          <w:numId w:val="11"/>
        </w:numPr>
        <w:ind w:hanging="792"/>
        <w:rPr>
          <w:rFonts w:ascii="Arial" w:hAnsi="Arial" w:cs="Arial"/>
        </w:rPr>
      </w:pPr>
      <w:r w:rsidRPr="008E51C9">
        <w:rPr>
          <w:rFonts w:ascii="Arial" w:hAnsi="Arial" w:cs="Arial"/>
        </w:rPr>
        <w:t>This approach is taken because the Government wishes to ensure that it can act when a merger or takeover raises national security concerns</w:t>
      </w:r>
      <w:r>
        <w:rPr>
          <w:rFonts w:ascii="Arial" w:hAnsi="Arial" w:cs="Arial"/>
        </w:rPr>
        <w:t xml:space="preserve"> because it involves a business with a significant share of the supply of particular critical goods or services in the UK</w:t>
      </w:r>
      <w:r w:rsidRPr="008E51C9">
        <w:rPr>
          <w:rFonts w:ascii="Arial" w:hAnsi="Arial" w:cs="Arial"/>
        </w:rPr>
        <w:t xml:space="preserve">. </w:t>
      </w:r>
      <w:r>
        <w:rPr>
          <w:rFonts w:ascii="Arial" w:hAnsi="Arial" w:cs="Arial"/>
        </w:rPr>
        <w:t>Whether the other businesses involved in the merger have an overlapping</w:t>
      </w:r>
      <w:r w:rsidRPr="008E51C9">
        <w:rPr>
          <w:rFonts w:ascii="Arial" w:hAnsi="Arial" w:cs="Arial"/>
        </w:rPr>
        <w:t xml:space="preserve"> share of supply </w:t>
      </w:r>
      <w:r>
        <w:rPr>
          <w:rFonts w:ascii="Arial" w:hAnsi="Arial" w:cs="Arial"/>
        </w:rPr>
        <w:t xml:space="preserve">in the UK, </w:t>
      </w:r>
      <w:r w:rsidRPr="008E51C9">
        <w:rPr>
          <w:rFonts w:ascii="Arial" w:hAnsi="Arial" w:cs="Arial"/>
        </w:rPr>
        <w:t xml:space="preserve">is immaterial to this national security risk. Indeed, there is a significant risk that hostile actors could invest via a ‘clean’ business, unconnected to the target’s sector, in order to evade Government’s scrutiny of national security implications. </w:t>
      </w:r>
    </w:p>
    <w:p w14:paraId="05577421" w14:textId="77777777" w:rsidR="00523066" w:rsidRDefault="00523066" w:rsidP="00523066">
      <w:pPr>
        <w:pStyle w:val="ListParagraph"/>
        <w:rPr>
          <w:rFonts w:ascii="Arial" w:hAnsi="Arial" w:cs="Arial"/>
        </w:rPr>
      </w:pPr>
    </w:p>
    <w:p w14:paraId="070EC74B" w14:textId="77777777" w:rsidR="00523066" w:rsidRDefault="00523066" w:rsidP="00523066">
      <w:pPr>
        <w:pStyle w:val="ListParagraph"/>
        <w:numPr>
          <w:ilvl w:val="1"/>
          <w:numId w:val="11"/>
        </w:numPr>
        <w:ind w:hanging="792"/>
        <w:rPr>
          <w:rFonts w:ascii="Arial" w:hAnsi="Arial" w:cs="Arial"/>
        </w:rPr>
      </w:pPr>
      <w:r>
        <w:rPr>
          <w:rFonts w:ascii="Arial" w:hAnsi="Arial" w:cs="Arial"/>
        </w:rPr>
        <w:t xml:space="preserve">The provisions adds to, rather than replaces, the previous share of supply tests in relation to the acquisition of relevant enterprises. That is to say that the Government could intervene in a merger where a relevant enterprise (with less than 25% share of supply) merges with another business and this transaction leads to an increase to, or over, a combined 25% share of supply. </w:t>
      </w:r>
    </w:p>
    <w:p w14:paraId="5D004FA7" w14:textId="77777777" w:rsidR="00523066" w:rsidRDefault="00523066" w:rsidP="00523066">
      <w:pPr>
        <w:pStyle w:val="ListParagraph"/>
        <w:rPr>
          <w:rFonts w:ascii="Arial" w:hAnsi="Arial" w:cs="Arial"/>
        </w:rPr>
      </w:pPr>
    </w:p>
    <w:p w14:paraId="6FFC977A" w14:textId="77777777" w:rsidR="00523066" w:rsidRPr="008E51C9" w:rsidRDefault="00523066" w:rsidP="00523066">
      <w:pPr>
        <w:pStyle w:val="Guidance2"/>
      </w:pPr>
      <w:r w:rsidRPr="008E08A0">
        <w:t xml:space="preserve">  </w:t>
      </w:r>
      <w:r>
        <w:t>When the provisions take</w:t>
      </w:r>
      <w:r w:rsidRPr="008E51C9">
        <w:t xml:space="preserve"> effect</w:t>
      </w:r>
    </w:p>
    <w:p w14:paraId="484C0D0B" w14:textId="77777777" w:rsidR="00523066" w:rsidRPr="00CC0495" w:rsidRDefault="00523066" w:rsidP="00523066">
      <w:pPr>
        <w:pStyle w:val="ListParagraph"/>
        <w:numPr>
          <w:ilvl w:val="1"/>
          <w:numId w:val="11"/>
        </w:numPr>
        <w:ind w:hanging="792"/>
        <w:rPr>
          <w:rFonts w:ascii="Arial" w:hAnsi="Arial" w:cs="Arial"/>
        </w:rPr>
      </w:pPr>
      <w:r w:rsidRPr="00CC0495">
        <w:rPr>
          <w:rFonts w:ascii="Arial" w:hAnsi="Arial" w:cs="Arial"/>
        </w:rPr>
        <w:t>The</w:t>
      </w:r>
      <w:r w:rsidRPr="00CC0495" w:rsidDel="00D17AB9">
        <w:rPr>
          <w:rFonts w:ascii="Arial" w:hAnsi="Arial" w:cs="Arial"/>
        </w:rPr>
        <w:t xml:space="preserve"> </w:t>
      </w:r>
      <w:r w:rsidRPr="00CC0495">
        <w:rPr>
          <w:rFonts w:ascii="Arial" w:hAnsi="Arial" w:cs="Arial"/>
        </w:rPr>
        <w:t xml:space="preserve">provisions do not apply retrospectively. </w:t>
      </w:r>
      <w:r>
        <w:rPr>
          <w:rFonts w:ascii="Arial" w:hAnsi="Arial" w:cs="Arial"/>
        </w:rPr>
        <w:t>T</w:t>
      </w:r>
      <w:r w:rsidRPr="00CC0495">
        <w:rPr>
          <w:rFonts w:ascii="Arial" w:hAnsi="Arial" w:cs="Arial"/>
        </w:rPr>
        <w:t xml:space="preserve">he Government cannot rely on the new provisions to intervene in mergers where the parties ceased to be distinct before the </w:t>
      </w:r>
      <w:r>
        <w:rPr>
          <w:rFonts w:ascii="Arial" w:hAnsi="Arial" w:cs="Arial"/>
        </w:rPr>
        <w:t xml:space="preserve">relevant order </w:t>
      </w:r>
      <w:r w:rsidRPr="00CC0495">
        <w:rPr>
          <w:rFonts w:ascii="Arial" w:hAnsi="Arial" w:cs="Arial"/>
        </w:rPr>
        <w:t>c</w:t>
      </w:r>
      <w:r>
        <w:rPr>
          <w:rFonts w:ascii="Arial" w:hAnsi="Arial" w:cs="Arial"/>
        </w:rPr>
        <w:t>a</w:t>
      </w:r>
      <w:r w:rsidRPr="00CC0495">
        <w:rPr>
          <w:rFonts w:ascii="Arial" w:hAnsi="Arial" w:cs="Arial"/>
        </w:rPr>
        <w:t xml:space="preserve">me into force.  The Government can, however intervene on national security grounds in mergers which are underway (for example, are subject to ongoing negotiation) but where the parties have not yet ceased to be distinct at the time that the new provisions take effect. </w:t>
      </w:r>
    </w:p>
    <w:p w14:paraId="289D443A" w14:textId="77777777" w:rsidR="00523066" w:rsidRPr="008E51C9" w:rsidRDefault="00523066" w:rsidP="00523066">
      <w:pPr>
        <w:pStyle w:val="ListParagraph"/>
        <w:ind w:left="0"/>
        <w:rPr>
          <w:rFonts w:ascii="Arial" w:hAnsi="Arial" w:cs="Arial"/>
        </w:rPr>
      </w:pPr>
    </w:p>
    <w:p w14:paraId="344F27C2" w14:textId="77777777" w:rsidR="00523066" w:rsidRPr="008E51C9" w:rsidRDefault="00523066" w:rsidP="00523066">
      <w:pPr>
        <w:pStyle w:val="Guidance2"/>
      </w:pPr>
      <w:r w:rsidRPr="008E51C9">
        <w:t xml:space="preserve">The assessment of whether a particular merger is covered by the </w:t>
      </w:r>
      <w:r>
        <w:t>provisions</w:t>
      </w:r>
    </w:p>
    <w:p w14:paraId="5BB50A47"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 xml:space="preserve">As the next chapter sets out in greater detail, mergers within scope of the </w:t>
      </w:r>
      <w:r>
        <w:rPr>
          <w:rFonts w:ascii="Arial" w:hAnsi="Arial" w:cs="Arial"/>
        </w:rPr>
        <w:t>amended</w:t>
      </w:r>
      <w:r w:rsidRPr="008E51C9">
        <w:rPr>
          <w:rFonts w:ascii="Arial" w:hAnsi="Arial" w:cs="Arial"/>
        </w:rPr>
        <w:t xml:space="preserve"> thresholds will follow the same statutory process as those in</w:t>
      </w:r>
      <w:r>
        <w:rPr>
          <w:rFonts w:ascii="Arial" w:hAnsi="Arial" w:cs="Arial"/>
        </w:rPr>
        <w:t xml:space="preserve"> any</w:t>
      </w:r>
      <w:r w:rsidRPr="008E51C9">
        <w:rPr>
          <w:rFonts w:ascii="Arial" w:hAnsi="Arial" w:cs="Arial"/>
        </w:rPr>
        <w:t xml:space="preserve"> other </w:t>
      </w:r>
      <w:r>
        <w:rPr>
          <w:rFonts w:ascii="Arial" w:hAnsi="Arial" w:cs="Arial"/>
        </w:rPr>
        <w:t xml:space="preserve">area of the economy.  </w:t>
      </w:r>
      <w:r w:rsidRPr="008E51C9">
        <w:rPr>
          <w:rFonts w:ascii="Arial" w:hAnsi="Arial" w:cs="Arial"/>
        </w:rPr>
        <w:t xml:space="preserve">That means that </w:t>
      </w:r>
      <w:r w:rsidRPr="008E51C9">
        <w:rPr>
          <w:rFonts w:ascii="Arial" w:hAnsi="Arial" w:cs="Arial"/>
          <w:b/>
        </w:rPr>
        <w:t>it will be the CMA wh</w:t>
      </w:r>
      <w:r>
        <w:rPr>
          <w:rFonts w:ascii="Arial" w:hAnsi="Arial" w:cs="Arial"/>
          <w:b/>
        </w:rPr>
        <w:t>ich</w:t>
      </w:r>
      <w:r w:rsidRPr="008E51C9">
        <w:rPr>
          <w:rFonts w:ascii="Arial" w:hAnsi="Arial" w:cs="Arial"/>
          <w:b/>
        </w:rPr>
        <w:t xml:space="preserve"> will determine whether a relevant merger situation has arisen</w:t>
      </w:r>
      <w:r w:rsidRPr="008E51C9">
        <w:rPr>
          <w:rFonts w:ascii="Arial" w:hAnsi="Arial" w:cs="Arial"/>
        </w:rPr>
        <w:t xml:space="preserve"> and thus whether the Government can refer a merger for investigation on national security grounds. Following the issue of an intervention notice by the Government, the CMA is obliged to report to the Secretary of State (under section 44 of the Enterprise Act 2002) on a number </w:t>
      </w:r>
      <w:r>
        <w:rPr>
          <w:rFonts w:ascii="Arial" w:hAnsi="Arial" w:cs="Arial"/>
        </w:rPr>
        <w:t>of</w:t>
      </w:r>
      <w:r w:rsidRPr="008E51C9">
        <w:rPr>
          <w:rFonts w:ascii="Arial" w:hAnsi="Arial" w:cs="Arial"/>
        </w:rPr>
        <w:t xml:space="preserve"> matters including whether a particular merger qualifies as a “relevant merger situation”.</w:t>
      </w:r>
    </w:p>
    <w:p w14:paraId="4B58269A" w14:textId="77777777" w:rsidR="00523066" w:rsidRPr="008E51C9" w:rsidRDefault="00523066" w:rsidP="00523066">
      <w:pPr>
        <w:pStyle w:val="ListParagraph"/>
        <w:rPr>
          <w:rFonts w:ascii="Arial" w:hAnsi="Arial" w:cs="Arial"/>
        </w:rPr>
      </w:pPr>
    </w:p>
    <w:p w14:paraId="0FCDAF80" w14:textId="77777777" w:rsidR="00523066" w:rsidRPr="008E51C9" w:rsidRDefault="00523066" w:rsidP="00523066">
      <w:pPr>
        <w:pStyle w:val="Guidance2"/>
      </w:pPr>
      <w:r w:rsidRPr="008E51C9">
        <w:t>The grounds on which Government can intervene</w:t>
      </w:r>
    </w:p>
    <w:p w14:paraId="60D274E6"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 xml:space="preserve">Because of the structure of the Enterprise Act 2002, following the amendments </w:t>
      </w:r>
      <w:r>
        <w:rPr>
          <w:rFonts w:ascii="Arial" w:hAnsi="Arial" w:cs="Arial"/>
        </w:rPr>
        <w:t>to the Act</w:t>
      </w:r>
      <w:r w:rsidRPr="008E51C9">
        <w:rPr>
          <w:rFonts w:ascii="Arial" w:hAnsi="Arial" w:cs="Arial"/>
        </w:rPr>
        <w:t>, the Government will in theory be able to intervene in mergers in the relevant sectors for any of the public interest criteria – namely:</w:t>
      </w:r>
    </w:p>
    <w:p w14:paraId="04DB8CA0"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national security (including public security);</w:t>
      </w:r>
    </w:p>
    <w:p w14:paraId="75AE8D45"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financial stability;</w:t>
      </w:r>
    </w:p>
    <w:p w14:paraId="446E8448" w14:textId="77777777" w:rsidR="00523066" w:rsidRDefault="00523066" w:rsidP="00523066">
      <w:pPr>
        <w:pStyle w:val="ListParagraph"/>
        <w:numPr>
          <w:ilvl w:val="1"/>
          <w:numId w:val="6"/>
        </w:numPr>
        <w:rPr>
          <w:rFonts w:ascii="Arial" w:hAnsi="Arial" w:cs="Arial"/>
        </w:rPr>
      </w:pPr>
      <w:r w:rsidRPr="008E51C9">
        <w:rPr>
          <w:rFonts w:ascii="Arial" w:hAnsi="Arial" w:cs="Arial"/>
        </w:rPr>
        <w:t>media plurality</w:t>
      </w:r>
      <w:r>
        <w:rPr>
          <w:rFonts w:ascii="Arial" w:hAnsi="Arial" w:cs="Arial"/>
        </w:rPr>
        <w:t>; and</w:t>
      </w:r>
    </w:p>
    <w:p w14:paraId="5ED58D81" w14:textId="77777777" w:rsidR="00523066" w:rsidRPr="00CC0495" w:rsidRDefault="00523066" w:rsidP="00523066">
      <w:pPr>
        <w:pStyle w:val="ListParagraph"/>
        <w:numPr>
          <w:ilvl w:val="1"/>
          <w:numId w:val="6"/>
        </w:numPr>
        <w:rPr>
          <w:rFonts w:ascii="Arial" w:hAnsi="Arial" w:cs="Arial"/>
        </w:rPr>
      </w:pPr>
      <w:r>
        <w:rPr>
          <w:rFonts w:ascii="Arial" w:hAnsi="Arial" w:cs="Arial"/>
        </w:rPr>
        <w:t>maintaining capability to combat a public health emergency.</w:t>
      </w:r>
    </w:p>
    <w:p w14:paraId="41A2756A" w14:textId="77777777" w:rsidR="00523066" w:rsidRPr="008E51C9" w:rsidRDefault="00523066" w:rsidP="00523066">
      <w:pPr>
        <w:pStyle w:val="ListParagraph"/>
        <w:ind w:left="1440"/>
        <w:rPr>
          <w:rFonts w:ascii="Arial" w:hAnsi="Arial" w:cs="Arial"/>
        </w:rPr>
      </w:pPr>
    </w:p>
    <w:p w14:paraId="107F3E66" w14:textId="77777777" w:rsidR="00523066" w:rsidRDefault="00523066" w:rsidP="00523066">
      <w:pPr>
        <w:pStyle w:val="ListParagraph"/>
        <w:numPr>
          <w:ilvl w:val="1"/>
          <w:numId w:val="11"/>
        </w:numPr>
        <w:ind w:hanging="792"/>
        <w:rPr>
          <w:rFonts w:ascii="Arial" w:hAnsi="Arial" w:cs="Arial"/>
        </w:rPr>
      </w:pPr>
      <w:r w:rsidRPr="008E51C9">
        <w:rPr>
          <w:rFonts w:ascii="Arial" w:hAnsi="Arial" w:cs="Arial"/>
        </w:rPr>
        <w:t xml:space="preserve">The Government’s rationale for </w:t>
      </w:r>
      <w:r>
        <w:rPr>
          <w:rFonts w:ascii="Arial" w:hAnsi="Arial" w:cs="Arial"/>
        </w:rPr>
        <w:t>the changes to the Act</w:t>
      </w:r>
      <w:r w:rsidRPr="008E51C9">
        <w:rPr>
          <w:rFonts w:ascii="Arial" w:hAnsi="Arial" w:cs="Arial"/>
        </w:rPr>
        <w:t xml:space="preserve"> is related solely to national security. The Government </w:t>
      </w:r>
      <w:r>
        <w:rPr>
          <w:rFonts w:ascii="Arial" w:hAnsi="Arial" w:cs="Arial"/>
        </w:rPr>
        <w:t>does not foresee</w:t>
      </w:r>
      <w:r w:rsidRPr="008E51C9">
        <w:rPr>
          <w:rFonts w:ascii="Arial" w:hAnsi="Arial" w:cs="Arial"/>
        </w:rPr>
        <w:t xml:space="preserve"> any circumstances whe</w:t>
      </w:r>
      <w:r>
        <w:rPr>
          <w:rFonts w:ascii="Arial" w:hAnsi="Arial" w:cs="Arial"/>
        </w:rPr>
        <w:t>re it would wish to, or need to,</w:t>
      </w:r>
      <w:r w:rsidRPr="008E51C9">
        <w:rPr>
          <w:rFonts w:ascii="Arial" w:hAnsi="Arial" w:cs="Arial"/>
        </w:rPr>
        <w:t xml:space="preserve"> intervene in a merger brought into scope of its power</w:t>
      </w:r>
      <w:r>
        <w:rPr>
          <w:rFonts w:ascii="Arial" w:hAnsi="Arial" w:cs="Arial"/>
        </w:rPr>
        <w:t xml:space="preserve"> by the new provisions,</w:t>
      </w:r>
      <w:r w:rsidRPr="008E51C9">
        <w:rPr>
          <w:rFonts w:ascii="Arial" w:hAnsi="Arial" w:cs="Arial"/>
        </w:rPr>
        <w:t xml:space="preserve"> for reasons other than national security. </w:t>
      </w:r>
    </w:p>
    <w:p w14:paraId="7C898F31" w14:textId="77777777" w:rsidR="00523066" w:rsidRDefault="00523066" w:rsidP="00523066">
      <w:pPr>
        <w:pStyle w:val="ListParagraph"/>
        <w:ind w:left="792"/>
        <w:rPr>
          <w:rFonts w:ascii="Arial" w:hAnsi="Arial" w:cs="Arial"/>
        </w:rPr>
      </w:pPr>
    </w:p>
    <w:p w14:paraId="44473739" w14:textId="77777777" w:rsidR="00523066" w:rsidRPr="00F6767A" w:rsidRDefault="00523066" w:rsidP="00523066">
      <w:pPr>
        <w:pStyle w:val="ListParagraph"/>
        <w:numPr>
          <w:ilvl w:val="1"/>
          <w:numId w:val="11"/>
        </w:numPr>
        <w:ind w:hanging="792"/>
        <w:rPr>
          <w:rFonts w:ascii="Arial" w:hAnsi="Arial" w:cs="Arial"/>
        </w:rPr>
      </w:pPr>
      <w:r w:rsidRPr="00F6767A">
        <w:rPr>
          <w:rFonts w:ascii="Arial" w:hAnsi="Arial" w:cs="Arial"/>
        </w:rPr>
        <w:t>The Government believes that free, well-regulated markets remain the best way to develop economic growth and wealth. It has been free markets, with international flows of capital and investment that have transformed the global economy and lifted m</w:t>
      </w:r>
      <w:r>
        <w:rPr>
          <w:rFonts w:ascii="Arial" w:hAnsi="Arial" w:cs="Arial"/>
        </w:rPr>
        <w:t>illions out of poverty. The provisions</w:t>
      </w:r>
      <w:r w:rsidRPr="00F6767A">
        <w:rPr>
          <w:rFonts w:ascii="Arial" w:hAnsi="Arial" w:cs="Arial"/>
        </w:rPr>
        <w:t xml:space="preserve"> do not undermine this wider commitment. The UK will remain the strongest advocate for free trade.    </w:t>
      </w:r>
    </w:p>
    <w:p w14:paraId="7B1E5940" w14:textId="77777777" w:rsidR="00523066" w:rsidRPr="008E51C9" w:rsidRDefault="00523066" w:rsidP="00523066"/>
    <w:p w14:paraId="5652DA65" w14:textId="77777777" w:rsidR="00523066" w:rsidRPr="008E51C9" w:rsidRDefault="00523066" w:rsidP="00523066">
      <w:pPr>
        <w:pStyle w:val="Guidance2"/>
      </w:pPr>
      <w:r w:rsidRPr="008E51C9">
        <w:t xml:space="preserve">National security </w:t>
      </w:r>
    </w:p>
    <w:p w14:paraId="43912F21"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National security is about protecting lives and protecting our way of life. Mergers and acquisitions can, in theory, put either of these at risk in three different manners:</w:t>
      </w:r>
    </w:p>
    <w:p w14:paraId="33C9E80B"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 xml:space="preserve">the greater opportunity to undertake </w:t>
      </w:r>
      <w:r w:rsidRPr="008E51C9">
        <w:rPr>
          <w:rFonts w:ascii="Arial" w:hAnsi="Arial" w:cs="Arial"/>
          <w:b/>
        </w:rPr>
        <w:t>disruptive or destructive actions</w:t>
      </w:r>
      <w:r w:rsidRPr="008E51C9">
        <w:rPr>
          <w:rFonts w:ascii="Arial" w:hAnsi="Arial" w:cs="Arial"/>
        </w:rPr>
        <w:t xml:space="preserve"> or an increase in the impact of such action;</w:t>
      </w:r>
    </w:p>
    <w:p w14:paraId="63D7CCC7"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 xml:space="preserve">the increase access (to businesses, physical assets, people, operations or data) and ability to undertake </w:t>
      </w:r>
      <w:r w:rsidRPr="008E51C9">
        <w:rPr>
          <w:rFonts w:ascii="Arial" w:hAnsi="Arial" w:cs="Arial"/>
          <w:b/>
        </w:rPr>
        <w:t>espionage</w:t>
      </w:r>
      <w:r w:rsidRPr="008E51C9">
        <w:rPr>
          <w:rFonts w:ascii="Arial" w:hAnsi="Arial" w:cs="Arial"/>
        </w:rPr>
        <w:t>; and</w:t>
      </w:r>
    </w:p>
    <w:p w14:paraId="68D7E5E0" w14:textId="77777777" w:rsidR="00523066" w:rsidRPr="008E51C9" w:rsidRDefault="00523066" w:rsidP="00523066">
      <w:pPr>
        <w:pStyle w:val="ListParagraph"/>
        <w:numPr>
          <w:ilvl w:val="1"/>
          <w:numId w:val="6"/>
        </w:numPr>
        <w:rPr>
          <w:rFonts w:ascii="Arial" w:hAnsi="Arial" w:cs="Arial"/>
        </w:rPr>
      </w:pPr>
      <w:r w:rsidRPr="008E51C9">
        <w:rPr>
          <w:rFonts w:ascii="Arial" w:hAnsi="Arial" w:cs="Arial"/>
        </w:rPr>
        <w:t xml:space="preserve">the ability to exploit an investment to dictate or alter services or to utilise ownership or control as </w:t>
      </w:r>
      <w:r w:rsidRPr="008E51C9">
        <w:rPr>
          <w:rFonts w:ascii="Arial" w:hAnsi="Arial" w:cs="Arial"/>
          <w:b/>
        </w:rPr>
        <w:t>inappropriate leverage</w:t>
      </w:r>
      <w:r w:rsidRPr="008E51C9">
        <w:rPr>
          <w:rFonts w:ascii="Arial" w:hAnsi="Arial" w:cs="Arial"/>
        </w:rPr>
        <w:t xml:space="preserve"> in other negotiations. </w:t>
      </w:r>
    </w:p>
    <w:p w14:paraId="3D9ABEAE" w14:textId="77777777" w:rsidR="00523066" w:rsidRPr="008E51C9" w:rsidRDefault="00523066" w:rsidP="00523066">
      <w:pPr>
        <w:pStyle w:val="ListParagraph"/>
        <w:rPr>
          <w:rFonts w:ascii="Arial" w:hAnsi="Arial" w:cs="Arial"/>
        </w:rPr>
      </w:pPr>
    </w:p>
    <w:p w14:paraId="74920029"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 xml:space="preserve">Businesses and others will appreciate that Government </w:t>
      </w:r>
      <w:r>
        <w:rPr>
          <w:rFonts w:ascii="Arial" w:hAnsi="Arial" w:cs="Arial"/>
        </w:rPr>
        <w:t>(</w:t>
      </w:r>
      <w:r w:rsidRPr="008E51C9">
        <w:rPr>
          <w:rFonts w:ascii="Arial" w:hAnsi="Arial" w:cs="Arial"/>
        </w:rPr>
        <w:t>cannot give detailed guidance about what factors might cause national security concerns in a particular merger</w:t>
      </w:r>
      <w:r>
        <w:rPr>
          <w:rFonts w:ascii="Arial" w:hAnsi="Arial" w:cs="Arial"/>
        </w:rPr>
        <w:t xml:space="preserve"> (nor, for that matter, can the CMA)</w:t>
      </w:r>
      <w:r w:rsidRPr="008E51C9">
        <w:rPr>
          <w:rFonts w:ascii="Arial" w:hAnsi="Arial" w:cs="Arial"/>
        </w:rPr>
        <w:t xml:space="preserve">. Doing so would, of course, help those determined to cause us harm. </w:t>
      </w:r>
    </w:p>
    <w:p w14:paraId="201D14C4" w14:textId="77777777" w:rsidR="00523066" w:rsidRPr="008E51C9" w:rsidRDefault="00523066" w:rsidP="00523066">
      <w:pPr>
        <w:pStyle w:val="ListParagraph"/>
        <w:rPr>
          <w:rFonts w:ascii="Arial" w:hAnsi="Arial" w:cs="Arial"/>
        </w:rPr>
      </w:pPr>
    </w:p>
    <w:p w14:paraId="16B25E06"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 xml:space="preserve">However, it is the case that, in the broadest terms, foreign investment is more likely than domestic investment to raise national security concerns. Foreign investors are less likely to have the UK’s interests at heart and may be controlled or influenced by hostile state actors who wish to undermine our country, society, military or way of life. However, the overwhelming majority of foreign investment poses no national security concerns – and Government would expect this to remain the case in relation to the </w:t>
      </w:r>
      <w:r>
        <w:rPr>
          <w:rFonts w:ascii="Arial" w:hAnsi="Arial" w:cs="Arial"/>
        </w:rPr>
        <w:t>businesses</w:t>
      </w:r>
      <w:r w:rsidRPr="008E51C9">
        <w:rPr>
          <w:rFonts w:ascii="Arial" w:hAnsi="Arial" w:cs="Arial"/>
        </w:rPr>
        <w:t xml:space="preserve"> covered by the </w:t>
      </w:r>
      <w:r>
        <w:rPr>
          <w:rFonts w:ascii="Arial" w:hAnsi="Arial" w:cs="Arial"/>
        </w:rPr>
        <w:t>thresholds</w:t>
      </w:r>
      <w:r w:rsidRPr="008E51C9">
        <w:rPr>
          <w:rFonts w:ascii="Arial" w:hAnsi="Arial" w:cs="Arial"/>
        </w:rPr>
        <w:t xml:space="preserve">. </w:t>
      </w:r>
    </w:p>
    <w:p w14:paraId="53CDD635" w14:textId="77777777" w:rsidR="00523066" w:rsidRPr="008E51C9" w:rsidRDefault="00523066" w:rsidP="00523066">
      <w:pPr>
        <w:pStyle w:val="ListParagraph"/>
        <w:rPr>
          <w:rFonts w:ascii="Arial" w:hAnsi="Arial" w:cs="Arial"/>
        </w:rPr>
      </w:pPr>
    </w:p>
    <w:p w14:paraId="1A9F9AC7"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lastRenderedPageBreak/>
        <w:t xml:space="preserve"> Any national security assessment must, necessarily, be undertaken on a case-by-case basis. An investor acquiring one business may pose no national security concerns but would in relation to a different company.  </w:t>
      </w:r>
    </w:p>
    <w:p w14:paraId="780190DE" w14:textId="77777777" w:rsidR="00523066" w:rsidRPr="008E51C9" w:rsidRDefault="00523066" w:rsidP="00523066">
      <w:pPr>
        <w:rPr>
          <w:rFonts w:ascii="Arial" w:hAnsi="Arial" w:cs="Arial"/>
        </w:rPr>
      </w:pPr>
    </w:p>
    <w:p w14:paraId="6F1F86E9" w14:textId="77777777" w:rsidR="00523066" w:rsidRPr="008E51C9" w:rsidRDefault="00523066" w:rsidP="00523066">
      <w:pPr>
        <w:pStyle w:val="Guidance2"/>
      </w:pPr>
      <w:r w:rsidRPr="008E51C9">
        <w:t xml:space="preserve">What the Government can do as a result of the </w:t>
      </w:r>
      <w:r>
        <w:t>amendments</w:t>
      </w:r>
    </w:p>
    <w:p w14:paraId="27879900" w14:textId="77777777" w:rsidR="00523066" w:rsidRPr="008E51C9" w:rsidRDefault="00523066" w:rsidP="00523066">
      <w:pPr>
        <w:pStyle w:val="ListParagraph"/>
        <w:numPr>
          <w:ilvl w:val="1"/>
          <w:numId w:val="11"/>
        </w:numPr>
        <w:ind w:hanging="792"/>
        <w:rPr>
          <w:rFonts w:ascii="Arial" w:hAnsi="Arial" w:cs="Arial"/>
        </w:rPr>
      </w:pPr>
      <w:r>
        <w:rPr>
          <w:rFonts w:ascii="Arial" w:hAnsi="Arial" w:cs="Arial"/>
        </w:rPr>
        <w:t xml:space="preserve">The </w:t>
      </w:r>
      <w:r w:rsidRPr="005D4240">
        <w:rPr>
          <w:rFonts w:ascii="Arial" w:hAnsi="Arial" w:cs="Arial"/>
        </w:rPr>
        <w:t xml:space="preserve">Government wishes to ensure that mergers can go ahead in such a way as to not undermine national security. </w:t>
      </w:r>
      <w:r w:rsidRPr="008E51C9">
        <w:rPr>
          <w:rFonts w:ascii="Arial" w:hAnsi="Arial" w:cs="Arial"/>
        </w:rPr>
        <w:t xml:space="preserve">The Government is clear that not all mergers or takeovers in the </w:t>
      </w:r>
      <w:r>
        <w:rPr>
          <w:rFonts w:ascii="Arial" w:hAnsi="Arial" w:cs="Arial"/>
        </w:rPr>
        <w:t>six</w:t>
      </w:r>
      <w:r w:rsidRPr="008E51C9">
        <w:rPr>
          <w:rFonts w:ascii="Arial" w:hAnsi="Arial" w:cs="Arial"/>
        </w:rPr>
        <w:t xml:space="preserve"> </w:t>
      </w:r>
      <w:r>
        <w:rPr>
          <w:rFonts w:ascii="Arial" w:hAnsi="Arial" w:cs="Arial"/>
        </w:rPr>
        <w:t>areas of the economy</w:t>
      </w:r>
      <w:r w:rsidRPr="008E51C9">
        <w:rPr>
          <w:rFonts w:ascii="Arial" w:hAnsi="Arial" w:cs="Arial"/>
        </w:rPr>
        <w:t xml:space="preserve">, even those that meet the thresholds, raise national security-related concerns. It has </w:t>
      </w:r>
      <w:r>
        <w:rPr>
          <w:rFonts w:ascii="Arial" w:hAnsi="Arial" w:cs="Arial"/>
        </w:rPr>
        <w:t>amended the Act</w:t>
      </w:r>
      <w:r w:rsidRPr="008E51C9">
        <w:rPr>
          <w:rFonts w:ascii="Arial" w:hAnsi="Arial" w:cs="Arial"/>
        </w:rPr>
        <w:t xml:space="preserve"> to ensure it has sufficient powers to intervene in the rare instances where national security concerns do arise. </w:t>
      </w:r>
    </w:p>
    <w:p w14:paraId="18054E53" w14:textId="77777777" w:rsidR="00523066" w:rsidRPr="008E51C9" w:rsidRDefault="00523066" w:rsidP="00523066">
      <w:pPr>
        <w:pStyle w:val="ListParagraph"/>
        <w:rPr>
          <w:rFonts w:ascii="Arial" w:hAnsi="Arial" w:cs="Arial"/>
        </w:rPr>
      </w:pPr>
    </w:p>
    <w:p w14:paraId="1E9A77E8"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 xml:space="preserve">For those deals that do raise national security concerns, the Government would follow the process set out in the </w:t>
      </w:r>
      <w:r>
        <w:rPr>
          <w:rFonts w:ascii="Arial" w:hAnsi="Arial" w:cs="Arial"/>
        </w:rPr>
        <w:t>Act</w:t>
      </w:r>
      <w:r w:rsidRPr="008E51C9">
        <w:rPr>
          <w:rFonts w:ascii="Arial" w:hAnsi="Arial" w:cs="Arial"/>
        </w:rPr>
        <w:t>,</w:t>
      </w:r>
      <w:r>
        <w:rPr>
          <w:rFonts w:ascii="Arial" w:hAnsi="Arial" w:cs="Arial"/>
        </w:rPr>
        <w:t xml:space="preserve"> </w:t>
      </w:r>
      <w:r w:rsidRPr="008E51C9">
        <w:rPr>
          <w:rFonts w:ascii="Arial" w:hAnsi="Arial" w:cs="Arial"/>
        </w:rPr>
        <w:t xml:space="preserve">which it has followed for the </w:t>
      </w:r>
      <w:r>
        <w:rPr>
          <w:rFonts w:ascii="Arial" w:hAnsi="Arial" w:cs="Arial"/>
        </w:rPr>
        <w:t xml:space="preserve">previous </w:t>
      </w:r>
      <w:r w:rsidRPr="008E51C9">
        <w:rPr>
          <w:rFonts w:ascii="Arial" w:hAnsi="Arial" w:cs="Arial"/>
        </w:rPr>
        <w:t xml:space="preserve">seven instances when it has intervened on the basis of national security. This is set out in more detail in the following chapter. </w:t>
      </w:r>
    </w:p>
    <w:p w14:paraId="26F6CA23" w14:textId="77777777" w:rsidR="00523066" w:rsidRPr="008E51C9" w:rsidRDefault="00523066" w:rsidP="00523066">
      <w:pPr>
        <w:pStyle w:val="ListParagraph"/>
        <w:ind w:left="0"/>
        <w:rPr>
          <w:rFonts w:ascii="Arial" w:hAnsi="Arial" w:cs="Arial"/>
        </w:rPr>
      </w:pPr>
    </w:p>
    <w:p w14:paraId="64B565CC"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 xml:space="preserve">If </w:t>
      </w:r>
      <w:r>
        <w:rPr>
          <w:rFonts w:ascii="Arial" w:hAnsi="Arial" w:cs="Arial"/>
        </w:rPr>
        <w:t>the Government</w:t>
      </w:r>
      <w:r w:rsidRPr="008E51C9">
        <w:rPr>
          <w:rFonts w:ascii="Arial" w:hAnsi="Arial" w:cs="Arial"/>
        </w:rPr>
        <w:t xml:space="preserve"> intervenes formally in a deal, the CMA’s first </w:t>
      </w:r>
      <w:r>
        <w:rPr>
          <w:rFonts w:ascii="Arial" w:hAnsi="Arial" w:cs="Arial"/>
        </w:rPr>
        <w:t>P</w:t>
      </w:r>
      <w:r w:rsidRPr="008E51C9">
        <w:rPr>
          <w:rFonts w:ascii="Arial" w:hAnsi="Arial" w:cs="Arial"/>
        </w:rPr>
        <w:t>hase 1 report to the Government will detail any undertakings voluntarily proposed by the parties in order to deal with any national security (or other public interest) concerns</w:t>
      </w:r>
      <w:r>
        <w:rPr>
          <w:rFonts w:ascii="Arial" w:hAnsi="Arial" w:cs="Arial"/>
        </w:rPr>
        <w:t xml:space="preserve"> or will report that undertakings are being considered</w:t>
      </w:r>
      <w:r w:rsidRPr="008E51C9">
        <w:rPr>
          <w:rFonts w:ascii="Arial" w:hAnsi="Arial" w:cs="Arial"/>
        </w:rPr>
        <w:t xml:space="preserve">. In all seven national security-related interventions to date, this process has been sufficient. However, if this was to prove insufficient (and following a CMA-led Phase 2 investigation), the Government can issue orders to ensure that a merger does not undermine national security.  </w:t>
      </w:r>
    </w:p>
    <w:p w14:paraId="1E0F2F15" w14:textId="77777777" w:rsidR="00523066" w:rsidRPr="008E51C9" w:rsidRDefault="00523066" w:rsidP="00523066">
      <w:pPr>
        <w:pStyle w:val="ListParagraph"/>
        <w:rPr>
          <w:rFonts w:ascii="Arial" w:hAnsi="Arial" w:cs="Arial"/>
        </w:rPr>
      </w:pPr>
    </w:p>
    <w:p w14:paraId="478E08A7" w14:textId="77777777" w:rsidR="00523066" w:rsidRDefault="00523066" w:rsidP="00523066">
      <w:pPr>
        <w:pStyle w:val="ListParagraph"/>
        <w:numPr>
          <w:ilvl w:val="1"/>
          <w:numId w:val="11"/>
        </w:numPr>
        <w:ind w:hanging="792"/>
        <w:rPr>
          <w:rFonts w:ascii="Arial" w:hAnsi="Arial" w:cs="Arial"/>
        </w:rPr>
      </w:pPr>
      <w:r w:rsidRPr="008E51C9">
        <w:rPr>
          <w:rFonts w:ascii="Arial" w:hAnsi="Arial" w:cs="Arial"/>
        </w:rPr>
        <w:t xml:space="preserve">Whether proposed voluntarily </w:t>
      </w:r>
      <w:r>
        <w:rPr>
          <w:rFonts w:ascii="Arial" w:hAnsi="Arial" w:cs="Arial"/>
        </w:rPr>
        <w:t xml:space="preserve">in undertakings </w:t>
      </w:r>
      <w:r w:rsidRPr="008E51C9">
        <w:rPr>
          <w:rFonts w:ascii="Arial" w:hAnsi="Arial" w:cs="Arial"/>
        </w:rPr>
        <w:t xml:space="preserve">or imposed by order, </w:t>
      </w:r>
      <w:r>
        <w:rPr>
          <w:rFonts w:ascii="Arial" w:hAnsi="Arial" w:cs="Arial"/>
        </w:rPr>
        <w:t xml:space="preserve">remedies </w:t>
      </w:r>
      <w:r w:rsidRPr="008E51C9">
        <w:rPr>
          <w:rFonts w:ascii="Arial" w:hAnsi="Arial" w:cs="Arial"/>
        </w:rPr>
        <w:t xml:space="preserve">can take two broad forms – behavioural and structural. The first relates to parties doing, or not doing, certain activities to protect national security. Structural conditions relate to the organisational structure of enterprises or the merger. </w:t>
      </w:r>
    </w:p>
    <w:p w14:paraId="2EEEC835" w14:textId="77777777" w:rsidR="00523066" w:rsidRDefault="00523066" w:rsidP="00523066">
      <w:pPr>
        <w:pStyle w:val="ListParagraph"/>
        <w:ind w:left="792"/>
        <w:rPr>
          <w:rFonts w:ascii="Arial" w:hAnsi="Arial" w:cs="Arial"/>
        </w:rPr>
      </w:pPr>
    </w:p>
    <w:p w14:paraId="1983756B" w14:textId="77777777" w:rsidR="00523066" w:rsidRPr="00D67274" w:rsidRDefault="00523066" w:rsidP="00523066">
      <w:pPr>
        <w:pStyle w:val="ListParagraph"/>
        <w:numPr>
          <w:ilvl w:val="1"/>
          <w:numId w:val="11"/>
        </w:numPr>
        <w:ind w:hanging="792"/>
        <w:rPr>
          <w:rFonts w:ascii="Arial" w:hAnsi="Arial" w:cs="Arial"/>
        </w:rPr>
      </w:pPr>
      <w:r w:rsidRPr="00D67274">
        <w:rPr>
          <w:rFonts w:ascii="Arial" w:hAnsi="Arial" w:cs="Arial"/>
        </w:rPr>
        <w:t xml:space="preserve">An example of behavioural undertakings in relation to </w:t>
      </w:r>
      <w:r>
        <w:rPr>
          <w:rFonts w:ascii="Arial" w:hAnsi="Arial" w:cs="Arial"/>
        </w:rPr>
        <w:t>national security could include</w:t>
      </w:r>
      <w:r w:rsidRPr="00D67274">
        <w:rPr>
          <w:rFonts w:ascii="Arial" w:hAnsi="Arial" w:cs="Arial"/>
        </w:rPr>
        <w:t xml:space="preserve"> </w:t>
      </w:r>
      <w:r>
        <w:rPr>
          <w:rFonts w:ascii="Arial" w:hAnsi="Arial" w:cs="Arial"/>
        </w:rPr>
        <w:t xml:space="preserve">limiting </w:t>
      </w:r>
      <w:r w:rsidRPr="00D67274">
        <w:rPr>
          <w:rFonts w:ascii="Arial" w:hAnsi="Arial" w:cs="Arial"/>
        </w:rPr>
        <w:t xml:space="preserve">access </w:t>
      </w:r>
      <w:r>
        <w:rPr>
          <w:rFonts w:ascii="Arial" w:hAnsi="Arial" w:cs="Arial"/>
        </w:rPr>
        <w:t>to certain physical sites, or other tangible or non-tangible assets</w:t>
      </w:r>
      <w:r w:rsidRPr="007F487D">
        <w:rPr>
          <w:rFonts w:ascii="Arial" w:hAnsi="Arial" w:cs="Arial"/>
        </w:rPr>
        <w:t xml:space="preserve"> </w:t>
      </w:r>
      <w:r>
        <w:rPr>
          <w:rFonts w:ascii="Arial" w:hAnsi="Arial" w:cs="Arial"/>
        </w:rPr>
        <w:t xml:space="preserve">of </w:t>
      </w:r>
      <w:r w:rsidRPr="00D67274">
        <w:rPr>
          <w:rFonts w:ascii="Arial" w:hAnsi="Arial" w:cs="Arial"/>
        </w:rPr>
        <w:t>the target business</w:t>
      </w:r>
      <w:r>
        <w:rPr>
          <w:rFonts w:ascii="Arial" w:hAnsi="Arial" w:cs="Arial"/>
        </w:rPr>
        <w:t xml:space="preserve"> to those with appropriate UK security clearances.</w:t>
      </w:r>
    </w:p>
    <w:p w14:paraId="633C4D61" w14:textId="77777777" w:rsidR="00523066" w:rsidRPr="005D4240" w:rsidRDefault="00523066" w:rsidP="00523066">
      <w:pPr>
        <w:pStyle w:val="ListParagraph"/>
        <w:ind w:left="1080"/>
        <w:rPr>
          <w:rFonts w:ascii="Arial" w:hAnsi="Arial" w:cs="Arial"/>
        </w:rPr>
      </w:pPr>
    </w:p>
    <w:p w14:paraId="1B717555" w14:textId="77777777" w:rsidR="00523066" w:rsidRDefault="00523066" w:rsidP="00523066">
      <w:pPr>
        <w:pStyle w:val="ListParagraph"/>
        <w:numPr>
          <w:ilvl w:val="1"/>
          <w:numId w:val="11"/>
        </w:numPr>
        <w:ind w:hanging="792"/>
        <w:rPr>
          <w:rFonts w:ascii="Arial" w:hAnsi="Arial" w:cs="Arial"/>
        </w:rPr>
      </w:pPr>
      <w:r w:rsidRPr="008E51C9">
        <w:rPr>
          <w:rFonts w:ascii="Arial" w:hAnsi="Arial" w:cs="Arial"/>
        </w:rPr>
        <w:t xml:space="preserve">Structural undertakings, meanwhile, could include </w:t>
      </w:r>
      <w:r>
        <w:rPr>
          <w:rFonts w:ascii="Arial" w:hAnsi="Arial" w:cs="Arial"/>
        </w:rPr>
        <w:t>(</w:t>
      </w:r>
      <w:r w:rsidRPr="008E51C9">
        <w:rPr>
          <w:rFonts w:ascii="Arial" w:hAnsi="Arial" w:cs="Arial"/>
        </w:rPr>
        <w:t>but not be limited to</w:t>
      </w:r>
      <w:r>
        <w:rPr>
          <w:rFonts w:ascii="Arial" w:hAnsi="Arial" w:cs="Arial"/>
        </w:rPr>
        <w:t xml:space="preserve">) </w:t>
      </w:r>
      <w:r w:rsidRPr="008E51C9">
        <w:rPr>
          <w:rFonts w:ascii="Arial" w:hAnsi="Arial" w:cs="Arial"/>
        </w:rPr>
        <w:t>a requirement that control over a particular division or asset is not part of a wider merger. This might be the case where</w:t>
      </w:r>
      <w:r>
        <w:rPr>
          <w:rFonts w:ascii="Arial" w:hAnsi="Arial" w:cs="Arial"/>
        </w:rPr>
        <w:t xml:space="preserve"> </w:t>
      </w:r>
      <w:r w:rsidRPr="008E51C9">
        <w:rPr>
          <w:rFonts w:ascii="Arial" w:hAnsi="Arial" w:cs="Arial"/>
        </w:rPr>
        <w:t xml:space="preserve">the </w:t>
      </w:r>
      <w:r>
        <w:rPr>
          <w:rFonts w:ascii="Arial" w:hAnsi="Arial" w:cs="Arial"/>
        </w:rPr>
        <w:t xml:space="preserve">acquired party undertakes a broad range of economic activity in addition to the activity subject to the revised thresholds. A suitable remedy might be that that activity is not part of the merger so does not change hands. </w:t>
      </w:r>
    </w:p>
    <w:p w14:paraId="6AAEF15A" w14:textId="77777777" w:rsidR="00523066" w:rsidRPr="008E51C9" w:rsidRDefault="00523066" w:rsidP="00523066">
      <w:pPr>
        <w:pStyle w:val="ListParagraph"/>
        <w:rPr>
          <w:rFonts w:ascii="Arial" w:hAnsi="Arial" w:cs="Arial"/>
        </w:rPr>
      </w:pPr>
    </w:p>
    <w:p w14:paraId="546E01BB"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 xml:space="preserve"> In the event that Government </w:t>
      </w:r>
      <w:r>
        <w:rPr>
          <w:rFonts w:ascii="Arial" w:hAnsi="Arial" w:cs="Arial"/>
        </w:rPr>
        <w:t>has i</w:t>
      </w:r>
      <w:r w:rsidRPr="008E51C9">
        <w:rPr>
          <w:rFonts w:ascii="Arial" w:hAnsi="Arial" w:cs="Arial"/>
        </w:rPr>
        <w:t xml:space="preserve">ntervened in a merger, it would welcome parties’ suggestions at the earliest point as to acceptable undertakings which they consider could deal with the Government’s concerns. </w:t>
      </w:r>
    </w:p>
    <w:p w14:paraId="1B453C53" w14:textId="77777777" w:rsidR="00523066" w:rsidRPr="008E51C9" w:rsidRDefault="00523066" w:rsidP="00523066">
      <w:pPr>
        <w:pStyle w:val="ListParagraph"/>
        <w:rPr>
          <w:rFonts w:ascii="Arial" w:hAnsi="Arial" w:cs="Arial"/>
        </w:rPr>
      </w:pPr>
    </w:p>
    <w:p w14:paraId="4A280A61" w14:textId="77777777" w:rsidR="00523066" w:rsidRPr="008E51C9" w:rsidRDefault="00523066" w:rsidP="00523066">
      <w:pPr>
        <w:pStyle w:val="ListParagraph"/>
        <w:numPr>
          <w:ilvl w:val="1"/>
          <w:numId w:val="11"/>
        </w:numPr>
        <w:ind w:hanging="792"/>
        <w:rPr>
          <w:rFonts w:ascii="Arial" w:hAnsi="Arial" w:cs="Arial"/>
        </w:rPr>
      </w:pPr>
      <w:r>
        <w:rPr>
          <w:rFonts w:ascii="Arial" w:hAnsi="Arial" w:cs="Arial"/>
        </w:rPr>
        <w:t xml:space="preserve">Before deciding whether to refer a merger for a Phase 2 investigation, the Secretary of State would consider whether any national security concerns </w:t>
      </w:r>
      <w:r>
        <w:rPr>
          <w:rFonts w:ascii="Arial" w:hAnsi="Arial" w:cs="Arial"/>
        </w:rPr>
        <w:lastRenderedPageBreak/>
        <w:t>could be adequately addressed by undertakings offered by the parties. O</w:t>
      </w:r>
      <w:r w:rsidRPr="008E51C9">
        <w:rPr>
          <w:rFonts w:ascii="Arial" w:hAnsi="Arial" w:cs="Arial"/>
        </w:rPr>
        <w:t xml:space="preserve">nly when this process has been followed and </w:t>
      </w:r>
      <w:r>
        <w:rPr>
          <w:rFonts w:ascii="Arial" w:hAnsi="Arial" w:cs="Arial"/>
        </w:rPr>
        <w:t xml:space="preserve">any offered undertakings have been </w:t>
      </w:r>
      <w:r w:rsidRPr="008E51C9">
        <w:rPr>
          <w:rFonts w:ascii="Arial" w:hAnsi="Arial" w:cs="Arial"/>
        </w:rPr>
        <w:t xml:space="preserve">found to be insufficient to deal with national security concerns, would the Government </w:t>
      </w:r>
      <w:r>
        <w:rPr>
          <w:rFonts w:ascii="Arial" w:hAnsi="Arial" w:cs="Arial"/>
        </w:rPr>
        <w:t xml:space="preserve">refer a merger for </w:t>
      </w:r>
      <w:r w:rsidRPr="008E51C9">
        <w:rPr>
          <w:rFonts w:ascii="Arial" w:hAnsi="Arial" w:cs="Arial"/>
        </w:rPr>
        <w:t>a Phase 2 investigation</w:t>
      </w:r>
      <w:r w:rsidRPr="008E08A0">
        <w:rPr>
          <w:rFonts w:ascii="Arial" w:hAnsi="Arial" w:cs="Arial"/>
          <w:vertAlign w:val="superscript"/>
        </w:rPr>
        <w:footnoteReference w:id="21"/>
      </w:r>
      <w:r w:rsidRPr="008E51C9">
        <w:rPr>
          <w:rFonts w:ascii="Arial" w:hAnsi="Arial" w:cs="Arial"/>
        </w:rPr>
        <w:t xml:space="preserve">. Only </w:t>
      </w:r>
      <w:r>
        <w:rPr>
          <w:rFonts w:ascii="Arial" w:hAnsi="Arial" w:cs="Arial"/>
        </w:rPr>
        <w:t xml:space="preserve">following the Phase 2 investigation and </w:t>
      </w:r>
      <w:r w:rsidRPr="008E51C9">
        <w:rPr>
          <w:rFonts w:ascii="Arial" w:hAnsi="Arial" w:cs="Arial"/>
        </w:rPr>
        <w:t xml:space="preserve">as a last resort would the Government impose </w:t>
      </w:r>
      <w:r>
        <w:rPr>
          <w:rFonts w:ascii="Arial" w:hAnsi="Arial" w:cs="Arial"/>
        </w:rPr>
        <w:t xml:space="preserve">remedies </w:t>
      </w:r>
      <w:r w:rsidRPr="008E51C9">
        <w:rPr>
          <w:rFonts w:ascii="Arial" w:hAnsi="Arial" w:cs="Arial"/>
        </w:rPr>
        <w:t>or, when even this was insufficient to protect national security, would it block a deal</w:t>
      </w:r>
      <w:r>
        <w:rPr>
          <w:rFonts w:ascii="Arial" w:hAnsi="Arial" w:cs="Arial"/>
        </w:rPr>
        <w:t xml:space="preserve"> altogether</w:t>
      </w:r>
      <w:r w:rsidRPr="008E51C9">
        <w:rPr>
          <w:rFonts w:ascii="Arial" w:hAnsi="Arial" w:cs="Arial"/>
        </w:rPr>
        <w:t xml:space="preserve">. The Government has never had to use </w:t>
      </w:r>
      <w:r>
        <w:rPr>
          <w:rFonts w:ascii="Arial" w:hAnsi="Arial" w:cs="Arial"/>
        </w:rPr>
        <w:t>the power to block</w:t>
      </w:r>
      <w:r w:rsidRPr="008E51C9">
        <w:rPr>
          <w:rFonts w:ascii="Arial" w:hAnsi="Arial" w:cs="Arial"/>
        </w:rPr>
        <w:t xml:space="preserve"> for national security-related interventions since the Enterprise Act 2002 was introduced. </w:t>
      </w:r>
    </w:p>
    <w:p w14:paraId="7D22F6FD" w14:textId="77777777" w:rsidR="00523066" w:rsidRPr="008E51C9" w:rsidRDefault="00523066" w:rsidP="00523066">
      <w:pPr>
        <w:pStyle w:val="ListParagraph"/>
        <w:rPr>
          <w:rFonts w:ascii="Arial" w:hAnsi="Arial" w:cs="Arial"/>
        </w:rPr>
      </w:pPr>
    </w:p>
    <w:p w14:paraId="416A3A40" w14:textId="77777777" w:rsidR="00523066" w:rsidRPr="008E51C9" w:rsidRDefault="00523066" w:rsidP="00523066">
      <w:pPr>
        <w:pStyle w:val="ListParagraph"/>
        <w:numPr>
          <w:ilvl w:val="1"/>
          <w:numId w:val="11"/>
        </w:numPr>
        <w:ind w:hanging="792"/>
        <w:rPr>
          <w:rFonts w:ascii="Arial" w:hAnsi="Arial" w:cs="Arial"/>
        </w:rPr>
      </w:pPr>
      <w:r w:rsidRPr="008E51C9">
        <w:rPr>
          <w:rFonts w:ascii="Arial" w:hAnsi="Arial" w:cs="Arial"/>
        </w:rPr>
        <w:t xml:space="preserve">The Government’s intervention in a deal and any decisions in relation to undertakings or remedies will, as with all powers, be reasonable and proportionate. Parties which consider that Government is acting otherwise can seek judicial review of its actions </w:t>
      </w:r>
      <w:r>
        <w:rPr>
          <w:rFonts w:ascii="Arial" w:hAnsi="Arial" w:cs="Arial"/>
        </w:rPr>
        <w:t>under section 120 of the Act</w:t>
      </w:r>
      <w:r w:rsidRPr="008E51C9">
        <w:rPr>
          <w:rFonts w:ascii="Arial" w:hAnsi="Arial" w:cs="Arial"/>
        </w:rPr>
        <w:t xml:space="preserve">, and as set out in the next chapter. </w:t>
      </w:r>
    </w:p>
    <w:p w14:paraId="23498A49" w14:textId="77777777" w:rsidR="00523066" w:rsidRPr="008E51C9" w:rsidRDefault="00523066" w:rsidP="00523066">
      <w:pPr>
        <w:pStyle w:val="ListParagraph"/>
        <w:rPr>
          <w:rFonts w:ascii="Arial" w:hAnsi="Arial" w:cs="Arial"/>
        </w:rPr>
      </w:pPr>
    </w:p>
    <w:p w14:paraId="574ACE9C" w14:textId="77777777" w:rsidR="00523066" w:rsidRPr="008E51C9" w:rsidRDefault="00523066" w:rsidP="00523066">
      <w:pPr>
        <w:pStyle w:val="Guidance2"/>
      </w:pPr>
      <w:r>
        <w:t>The provisions’</w:t>
      </w:r>
      <w:r w:rsidRPr="008E51C9">
        <w:t xml:space="preserve"> interaction with the competition regime </w:t>
      </w:r>
    </w:p>
    <w:p w14:paraId="6BE52A6F" w14:textId="77777777" w:rsidR="00523066" w:rsidRDefault="00523066" w:rsidP="00523066">
      <w:pPr>
        <w:pStyle w:val="ListParagraph"/>
        <w:numPr>
          <w:ilvl w:val="1"/>
          <w:numId w:val="11"/>
        </w:numPr>
        <w:ind w:hanging="792"/>
        <w:rPr>
          <w:rFonts w:ascii="Arial" w:hAnsi="Arial" w:cs="Arial"/>
        </w:rPr>
      </w:pPr>
      <w:r w:rsidRPr="004F675E">
        <w:rPr>
          <w:rFonts w:ascii="Arial" w:hAnsi="Arial" w:cs="Arial"/>
        </w:rPr>
        <w:t xml:space="preserve">The </w:t>
      </w:r>
      <w:r>
        <w:rPr>
          <w:rFonts w:ascii="Arial" w:hAnsi="Arial" w:cs="Arial"/>
        </w:rPr>
        <w:t xml:space="preserve">provisions were introduced </w:t>
      </w:r>
      <w:r w:rsidRPr="004F675E">
        <w:rPr>
          <w:rFonts w:ascii="Arial" w:hAnsi="Arial" w:cs="Arial"/>
        </w:rPr>
        <w:t xml:space="preserve">for these areas of business in order to permit </w:t>
      </w:r>
      <w:r>
        <w:rPr>
          <w:rFonts w:ascii="Arial" w:hAnsi="Arial" w:cs="Arial"/>
        </w:rPr>
        <w:t>the Government</w:t>
      </w:r>
      <w:r w:rsidRPr="004F675E">
        <w:rPr>
          <w:rFonts w:ascii="Arial" w:hAnsi="Arial" w:cs="Arial"/>
        </w:rPr>
        <w:t xml:space="preserve"> to intervene</w:t>
      </w:r>
      <w:r>
        <w:rPr>
          <w:rFonts w:ascii="Arial" w:hAnsi="Arial" w:cs="Arial"/>
        </w:rPr>
        <w:t xml:space="preserve"> effectively in mergers</w:t>
      </w:r>
      <w:r w:rsidRPr="004F675E">
        <w:rPr>
          <w:rFonts w:ascii="Arial" w:hAnsi="Arial" w:cs="Arial"/>
        </w:rPr>
        <w:t>, if necessary, on national security grounds.</w:t>
      </w:r>
      <w:r>
        <w:rPr>
          <w:rFonts w:ascii="Arial" w:hAnsi="Arial" w:cs="Arial"/>
        </w:rPr>
        <w:t xml:space="preserve"> The provisions, and thus the thresholds, also apply to the assessment of whether the CMA has jurisdiction for the purpose of undertaking a competition assessment under the </w:t>
      </w:r>
      <w:r w:rsidRPr="007B2546">
        <w:rPr>
          <w:rFonts w:ascii="Arial" w:hAnsi="Arial" w:cs="Arial"/>
        </w:rPr>
        <w:t>Act. As</w:t>
      </w:r>
      <w:r w:rsidRPr="00117DD6">
        <w:rPr>
          <w:rFonts w:ascii="Arial" w:hAnsi="Arial" w:cs="Arial"/>
          <w:u w:val="single"/>
        </w:rPr>
        <w:t xml:space="preserve"> </w:t>
      </w:r>
      <w:r w:rsidRPr="007B2546">
        <w:rPr>
          <w:rFonts w:ascii="Arial" w:hAnsi="Arial" w:cs="Arial"/>
        </w:rPr>
        <w:t>such, those mergers that Government can now intervene in for national security reasons could in principle also be investigated by the CMA for competition concerns. Therefore, the amendments do, in theory, also bring more mergers within scope of the CMA’s jurisdiction.</w:t>
      </w:r>
      <w:r>
        <w:rPr>
          <w:rFonts w:ascii="Arial" w:hAnsi="Arial" w:cs="Arial"/>
        </w:rPr>
        <w:t xml:space="preserve"> </w:t>
      </w:r>
    </w:p>
    <w:p w14:paraId="5199D684" w14:textId="77777777" w:rsidR="00523066" w:rsidRDefault="00523066" w:rsidP="00523066">
      <w:pPr>
        <w:pStyle w:val="ListParagraph"/>
        <w:ind w:left="792"/>
        <w:rPr>
          <w:rFonts w:ascii="Arial" w:hAnsi="Arial" w:cs="Arial"/>
        </w:rPr>
      </w:pPr>
    </w:p>
    <w:p w14:paraId="15C758E7" w14:textId="77777777" w:rsidR="00523066" w:rsidRDefault="00523066" w:rsidP="00523066">
      <w:pPr>
        <w:pStyle w:val="ListParagraph"/>
        <w:numPr>
          <w:ilvl w:val="1"/>
          <w:numId w:val="11"/>
        </w:numPr>
        <w:ind w:hanging="792"/>
        <w:rPr>
          <w:rFonts w:ascii="Arial" w:hAnsi="Arial" w:cs="Arial"/>
        </w:rPr>
      </w:pPr>
      <w:r w:rsidRPr="007B2546">
        <w:rPr>
          <w:rFonts w:ascii="Arial" w:hAnsi="Arial" w:cs="Arial"/>
        </w:rPr>
        <w:t>While competition assessment remains a matter for the CMA, which is an independent body, the Government notes that the CMA is only concerned with relevant merger situations that raise competition concerns</w:t>
      </w:r>
      <w:r w:rsidRPr="008E08A0">
        <w:rPr>
          <w:rFonts w:ascii="Arial" w:hAnsi="Arial" w:cs="Arial"/>
          <w:vertAlign w:val="superscript"/>
        </w:rPr>
        <w:footnoteReference w:id="22"/>
      </w:r>
      <w:r w:rsidRPr="007B2546">
        <w:rPr>
          <w:rFonts w:ascii="Arial" w:hAnsi="Arial" w:cs="Arial"/>
        </w:rPr>
        <w:t xml:space="preserve">. </w:t>
      </w:r>
      <w:r w:rsidRPr="00FD7547">
        <w:rPr>
          <w:rFonts w:ascii="Arial" w:hAnsi="Arial" w:cs="Arial"/>
        </w:rPr>
        <w:t>Neither the Government nor the CMA itself expects that there will be a consequential material change in the CMA’s approach to competition scrutiny</w:t>
      </w:r>
      <w:r>
        <w:rPr>
          <w:rFonts w:ascii="Arial" w:hAnsi="Arial" w:cs="Arial"/>
        </w:rPr>
        <w:t>.</w:t>
      </w:r>
    </w:p>
    <w:p w14:paraId="1BAA4C52" w14:textId="77777777" w:rsidR="00523066" w:rsidRDefault="00523066" w:rsidP="00523066">
      <w:pPr>
        <w:pStyle w:val="ListParagraph"/>
        <w:rPr>
          <w:rFonts w:ascii="Arial" w:hAnsi="Arial" w:cs="Arial"/>
        </w:rPr>
      </w:pPr>
    </w:p>
    <w:p w14:paraId="6F3E9451" w14:textId="77777777" w:rsidR="00523066" w:rsidRPr="007B2546" w:rsidRDefault="00523066" w:rsidP="00523066">
      <w:pPr>
        <w:pStyle w:val="ListParagraph"/>
        <w:numPr>
          <w:ilvl w:val="1"/>
          <w:numId w:val="11"/>
        </w:numPr>
        <w:ind w:hanging="792"/>
        <w:rPr>
          <w:rFonts w:ascii="Arial" w:hAnsi="Arial" w:cs="Arial"/>
        </w:rPr>
      </w:pPr>
      <w:r w:rsidRPr="007B2546">
        <w:rPr>
          <w:rFonts w:ascii="Arial" w:hAnsi="Arial" w:cs="Arial"/>
        </w:rPr>
        <w:t xml:space="preserve">For further guidance on the impact of the provisions on the CMA’s merger review function see the CMA’s published ‘Guidance on changes to the jurisdictional thresholds for UK merger control’. </w:t>
      </w:r>
    </w:p>
    <w:p w14:paraId="4ECCDFE9" w14:textId="77777777" w:rsidR="00523066" w:rsidRPr="008E51C9" w:rsidRDefault="00523066" w:rsidP="00523066">
      <w:pPr>
        <w:pStyle w:val="ListParagraph"/>
        <w:rPr>
          <w:rFonts w:ascii="Arial" w:hAnsi="Arial" w:cs="Arial"/>
        </w:rPr>
      </w:pPr>
    </w:p>
    <w:p w14:paraId="24B6CA7C" w14:textId="77777777" w:rsidR="00523066" w:rsidRPr="008E51C9" w:rsidRDefault="00523066" w:rsidP="00523066">
      <w:pPr>
        <w:pStyle w:val="Guidance2"/>
      </w:pPr>
      <w:r w:rsidRPr="008E51C9">
        <w:t>Summary of</w:t>
      </w:r>
      <w:r>
        <w:t xml:space="preserve"> what the provisions</w:t>
      </w:r>
      <w:r w:rsidRPr="008E51C9">
        <w:t xml:space="preserve"> do </w:t>
      </w:r>
      <w:r w:rsidRPr="008E51C9">
        <w:rPr>
          <w:u w:val="single"/>
        </w:rPr>
        <w:t xml:space="preserve">not </w:t>
      </w:r>
      <w:r w:rsidRPr="008E51C9">
        <w:t>change</w:t>
      </w:r>
    </w:p>
    <w:p w14:paraId="1382AC8C" w14:textId="77777777" w:rsidR="00523066" w:rsidRPr="008E51C9" w:rsidRDefault="00523066" w:rsidP="00523066">
      <w:pPr>
        <w:pStyle w:val="ListParagraph"/>
        <w:numPr>
          <w:ilvl w:val="1"/>
          <w:numId w:val="11"/>
        </w:numPr>
        <w:ind w:hanging="792"/>
        <w:rPr>
          <w:rFonts w:ascii="Arial" w:hAnsi="Arial" w:cs="Arial"/>
        </w:rPr>
      </w:pPr>
      <w:r>
        <w:rPr>
          <w:rFonts w:ascii="Arial" w:hAnsi="Arial" w:cs="Arial"/>
        </w:rPr>
        <w:t>The provisions made</w:t>
      </w:r>
      <w:r w:rsidRPr="008E51C9">
        <w:rPr>
          <w:rFonts w:ascii="Arial" w:hAnsi="Arial" w:cs="Arial"/>
        </w:rPr>
        <w:t xml:space="preserve"> important changes to the Government’s powers to protect national s</w:t>
      </w:r>
      <w:r>
        <w:rPr>
          <w:rFonts w:ascii="Arial" w:hAnsi="Arial" w:cs="Arial"/>
        </w:rPr>
        <w:t>ecurity. However, the changes do</w:t>
      </w:r>
      <w:r w:rsidRPr="008E51C9">
        <w:rPr>
          <w:rFonts w:ascii="Arial" w:hAnsi="Arial" w:cs="Arial"/>
        </w:rPr>
        <w:t xml:space="preserve"> not affect a number of key tests, powers or processes as set out in </w:t>
      </w:r>
      <w:r>
        <w:rPr>
          <w:rFonts w:ascii="Arial" w:hAnsi="Arial" w:cs="Arial"/>
        </w:rPr>
        <w:t>the Act.</w:t>
      </w:r>
      <w:r w:rsidRPr="008E51C9">
        <w:rPr>
          <w:rFonts w:ascii="Arial" w:hAnsi="Arial" w:cs="Arial"/>
        </w:rPr>
        <w:t xml:space="preserve"> This section summarises these in order, </w:t>
      </w:r>
      <w:r>
        <w:rPr>
          <w:rFonts w:ascii="Arial" w:hAnsi="Arial" w:cs="Arial"/>
        </w:rPr>
        <w:t xml:space="preserve">the </w:t>
      </w:r>
      <w:r w:rsidRPr="008E51C9">
        <w:rPr>
          <w:rFonts w:ascii="Arial" w:hAnsi="Arial" w:cs="Arial"/>
        </w:rPr>
        <w:t xml:space="preserve">Government hopes, to reassure all parties about the proportionate and focused </w:t>
      </w:r>
      <w:r>
        <w:rPr>
          <w:rFonts w:ascii="Arial" w:hAnsi="Arial" w:cs="Arial"/>
        </w:rPr>
        <w:t>amendments to the Act</w:t>
      </w:r>
      <w:r w:rsidRPr="008E51C9">
        <w:rPr>
          <w:rFonts w:ascii="Arial" w:hAnsi="Arial" w:cs="Arial"/>
        </w:rPr>
        <w:t xml:space="preserve">.  </w:t>
      </w:r>
    </w:p>
    <w:p w14:paraId="172244DD" w14:textId="77777777" w:rsidR="00523066" w:rsidRPr="008E51C9" w:rsidRDefault="00523066" w:rsidP="00523066">
      <w:pPr>
        <w:pStyle w:val="ListParagraph"/>
        <w:rPr>
          <w:rFonts w:ascii="Arial" w:hAnsi="Arial" w:cs="Arial"/>
        </w:rPr>
      </w:pPr>
    </w:p>
    <w:p w14:paraId="18B88923" w14:textId="77777777" w:rsidR="00523066" w:rsidRPr="008E51C9" w:rsidRDefault="00523066" w:rsidP="00523066">
      <w:pPr>
        <w:pStyle w:val="ListParagraph"/>
        <w:numPr>
          <w:ilvl w:val="1"/>
          <w:numId w:val="11"/>
        </w:numPr>
        <w:ind w:hanging="792"/>
        <w:rPr>
          <w:rFonts w:ascii="Arial" w:hAnsi="Arial" w:cs="Arial"/>
        </w:rPr>
      </w:pPr>
      <w:r>
        <w:rPr>
          <w:rFonts w:ascii="Arial" w:hAnsi="Arial" w:cs="Arial"/>
        </w:rPr>
        <w:t>The amendments do</w:t>
      </w:r>
      <w:r w:rsidRPr="008E51C9">
        <w:rPr>
          <w:rFonts w:ascii="Arial" w:hAnsi="Arial" w:cs="Arial"/>
        </w:rPr>
        <w:t xml:space="preserve"> </w:t>
      </w:r>
      <w:r w:rsidRPr="008E51C9">
        <w:rPr>
          <w:rFonts w:ascii="Arial" w:hAnsi="Arial" w:cs="Arial"/>
          <w:u w:val="single"/>
        </w:rPr>
        <w:t>not</w:t>
      </w:r>
      <w:r w:rsidRPr="008E51C9">
        <w:rPr>
          <w:rFonts w:ascii="Arial" w:hAnsi="Arial" w:cs="Arial"/>
        </w:rPr>
        <w:t xml:space="preserve"> change:</w:t>
      </w:r>
    </w:p>
    <w:p w14:paraId="7A71B5B0" w14:textId="77777777" w:rsidR="00523066" w:rsidRPr="008E51C9" w:rsidRDefault="00523066" w:rsidP="00523066">
      <w:pPr>
        <w:pStyle w:val="ListParagraph"/>
        <w:numPr>
          <w:ilvl w:val="1"/>
          <w:numId w:val="4"/>
        </w:numPr>
        <w:rPr>
          <w:rFonts w:ascii="Arial" w:hAnsi="Arial" w:cs="Arial"/>
        </w:rPr>
      </w:pPr>
      <w:r w:rsidRPr="008E51C9">
        <w:rPr>
          <w:rFonts w:ascii="Arial" w:hAnsi="Arial" w:cs="Arial"/>
        </w:rPr>
        <w:lastRenderedPageBreak/>
        <w:t xml:space="preserve">the definition of an enterprise as described in </w:t>
      </w:r>
      <w:r>
        <w:rPr>
          <w:rFonts w:ascii="Arial" w:hAnsi="Arial" w:cs="Arial"/>
        </w:rPr>
        <w:t>the Act</w:t>
      </w:r>
    </w:p>
    <w:p w14:paraId="7754270E" w14:textId="77777777" w:rsidR="00523066" w:rsidRPr="008E51C9" w:rsidRDefault="00523066" w:rsidP="00523066">
      <w:pPr>
        <w:pStyle w:val="ListParagraph"/>
        <w:numPr>
          <w:ilvl w:val="1"/>
          <w:numId w:val="4"/>
        </w:numPr>
        <w:rPr>
          <w:rFonts w:ascii="Arial" w:hAnsi="Arial" w:cs="Arial"/>
        </w:rPr>
      </w:pPr>
      <w:r w:rsidRPr="008E51C9">
        <w:rPr>
          <w:rFonts w:ascii="Arial" w:hAnsi="Arial" w:cs="Arial"/>
        </w:rPr>
        <w:t xml:space="preserve">the definition of what constitutes enterprises “ceasing to be distinct” which remains as set out in section 26 of the </w:t>
      </w:r>
      <w:r>
        <w:rPr>
          <w:rFonts w:ascii="Arial" w:hAnsi="Arial" w:cs="Arial"/>
        </w:rPr>
        <w:t>Act</w:t>
      </w:r>
      <w:r w:rsidRPr="008E51C9">
        <w:rPr>
          <w:rFonts w:ascii="Arial" w:hAnsi="Arial" w:cs="Arial"/>
        </w:rPr>
        <w:t>;</w:t>
      </w:r>
    </w:p>
    <w:p w14:paraId="726B49AE" w14:textId="77777777" w:rsidR="00523066" w:rsidRPr="008E51C9" w:rsidRDefault="00523066" w:rsidP="00523066">
      <w:pPr>
        <w:pStyle w:val="ListParagraph"/>
        <w:numPr>
          <w:ilvl w:val="1"/>
          <w:numId w:val="4"/>
        </w:numPr>
        <w:rPr>
          <w:rFonts w:ascii="Arial" w:hAnsi="Arial" w:cs="Arial"/>
        </w:rPr>
      </w:pPr>
      <w:r w:rsidRPr="008E51C9">
        <w:rPr>
          <w:rFonts w:ascii="Arial" w:hAnsi="Arial" w:cs="Arial"/>
        </w:rPr>
        <w:t xml:space="preserve">what constitutes UK turnover; </w:t>
      </w:r>
    </w:p>
    <w:p w14:paraId="18F69352" w14:textId="77777777" w:rsidR="00523066" w:rsidRPr="008E51C9" w:rsidRDefault="00523066" w:rsidP="00523066">
      <w:pPr>
        <w:pStyle w:val="ListParagraph"/>
        <w:numPr>
          <w:ilvl w:val="1"/>
          <w:numId w:val="4"/>
        </w:numPr>
        <w:rPr>
          <w:rFonts w:ascii="Arial" w:hAnsi="Arial" w:cs="Arial"/>
        </w:rPr>
      </w:pPr>
      <w:r w:rsidRPr="008E51C9">
        <w:rPr>
          <w:rFonts w:ascii="Arial" w:hAnsi="Arial" w:cs="Arial"/>
        </w:rPr>
        <w:t>the way in which a share of supply is determined;</w:t>
      </w:r>
    </w:p>
    <w:p w14:paraId="467E750C" w14:textId="77777777" w:rsidR="00523066" w:rsidRPr="008E51C9" w:rsidRDefault="00523066" w:rsidP="00523066">
      <w:pPr>
        <w:pStyle w:val="ListParagraph"/>
        <w:numPr>
          <w:ilvl w:val="1"/>
          <w:numId w:val="4"/>
        </w:numPr>
        <w:rPr>
          <w:rFonts w:ascii="Arial" w:hAnsi="Arial" w:cs="Arial"/>
        </w:rPr>
      </w:pPr>
      <w:r w:rsidRPr="008E51C9">
        <w:rPr>
          <w:rFonts w:ascii="Arial" w:hAnsi="Arial" w:cs="Arial"/>
        </w:rPr>
        <w:t>the requirements on businesses set out in the EU Merger Regulation, including the requirement to notify relevant mergers to the European Commission;</w:t>
      </w:r>
    </w:p>
    <w:p w14:paraId="7C5D3967" w14:textId="77777777" w:rsidR="00523066" w:rsidRPr="008E51C9" w:rsidRDefault="00523066" w:rsidP="00523066">
      <w:pPr>
        <w:pStyle w:val="ListParagraph"/>
        <w:numPr>
          <w:ilvl w:val="1"/>
          <w:numId w:val="4"/>
        </w:numPr>
        <w:rPr>
          <w:rFonts w:ascii="Arial" w:hAnsi="Arial" w:cs="Arial"/>
        </w:rPr>
      </w:pPr>
      <w:r w:rsidRPr="008E51C9">
        <w:rPr>
          <w:rFonts w:ascii="Arial" w:hAnsi="Arial" w:cs="Arial"/>
        </w:rPr>
        <w:t>the process by which mergers subject to public interest interventions are scrutinised by the CMA to confirm they meet jurisdictional tests;</w:t>
      </w:r>
    </w:p>
    <w:p w14:paraId="1F7021C6" w14:textId="77777777" w:rsidR="00523066" w:rsidRPr="008E51C9" w:rsidRDefault="00523066" w:rsidP="00523066">
      <w:pPr>
        <w:pStyle w:val="ListParagraph"/>
        <w:numPr>
          <w:ilvl w:val="1"/>
          <w:numId w:val="4"/>
        </w:numPr>
        <w:rPr>
          <w:rFonts w:ascii="Arial" w:hAnsi="Arial" w:cs="Arial"/>
        </w:rPr>
      </w:pPr>
      <w:r w:rsidRPr="008E51C9">
        <w:rPr>
          <w:rFonts w:ascii="Arial" w:hAnsi="Arial" w:cs="Arial"/>
        </w:rPr>
        <w:t>the powers open to the Secretary of State in respect of relevant mergers; and</w:t>
      </w:r>
    </w:p>
    <w:p w14:paraId="2BCC7E6D" w14:textId="77777777" w:rsidR="00523066" w:rsidRPr="008E51C9" w:rsidRDefault="00523066" w:rsidP="00523066">
      <w:pPr>
        <w:pStyle w:val="ListParagraph"/>
        <w:numPr>
          <w:ilvl w:val="1"/>
          <w:numId w:val="4"/>
        </w:numPr>
        <w:rPr>
          <w:rFonts w:ascii="Arial" w:hAnsi="Arial" w:cs="Arial"/>
        </w:rPr>
      </w:pPr>
      <w:r w:rsidRPr="008E51C9">
        <w:rPr>
          <w:rFonts w:ascii="Arial" w:hAnsi="Arial" w:cs="Arial"/>
        </w:rPr>
        <w:t xml:space="preserve">the ability for affected parties to pursue a judicial review of all actions and decisions made by the Government under the public interest regime. </w:t>
      </w:r>
    </w:p>
    <w:p w14:paraId="5F1AD8BD" w14:textId="77777777" w:rsidR="00523066" w:rsidRDefault="00523066" w:rsidP="00523066"/>
    <w:p w14:paraId="23F9ACE5" w14:textId="77777777" w:rsidR="00523066" w:rsidRDefault="00523066" w:rsidP="00523066"/>
    <w:p w14:paraId="3C6A85B0" w14:textId="77777777" w:rsidR="00523066" w:rsidRDefault="00523066" w:rsidP="00523066"/>
    <w:p w14:paraId="5D978920" w14:textId="77777777" w:rsidR="00523066" w:rsidRDefault="00523066" w:rsidP="00523066"/>
    <w:p w14:paraId="197488D0" w14:textId="77777777" w:rsidR="00523066" w:rsidRDefault="00523066" w:rsidP="00523066"/>
    <w:p w14:paraId="26B15487" w14:textId="77777777" w:rsidR="00523066" w:rsidRDefault="00523066" w:rsidP="00523066"/>
    <w:p w14:paraId="7C048506" w14:textId="77777777" w:rsidR="00523066" w:rsidRDefault="00523066" w:rsidP="00523066"/>
    <w:p w14:paraId="54702A0B" w14:textId="77777777" w:rsidR="00523066" w:rsidRDefault="00523066" w:rsidP="00523066"/>
    <w:p w14:paraId="6E09D35E" w14:textId="77777777" w:rsidR="00523066" w:rsidRDefault="00523066" w:rsidP="00523066"/>
    <w:p w14:paraId="09FEA228" w14:textId="77777777" w:rsidR="00523066" w:rsidRDefault="00523066" w:rsidP="00523066"/>
    <w:p w14:paraId="089F8651" w14:textId="77777777" w:rsidR="00523066" w:rsidRDefault="00523066" w:rsidP="00523066"/>
    <w:p w14:paraId="6AF0843A" w14:textId="77777777" w:rsidR="00523066" w:rsidRDefault="00523066" w:rsidP="00523066"/>
    <w:p w14:paraId="280D84C1" w14:textId="77777777" w:rsidR="00523066" w:rsidRDefault="00523066" w:rsidP="00523066"/>
    <w:p w14:paraId="29AAB84E" w14:textId="77777777" w:rsidR="00523066" w:rsidRDefault="00523066" w:rsidP="00523066"/>
    <w:p w14:paraId="156D5A29" w14:textId="77777777" w:rsidR="00523066" w:rsidRDefault="00523066" w:rsidP="00523066"/>
    <w:p w14:paraId="1F2897DC" w14:textId="77777777" w:rsidR="00523066" w:rsidRDefault="00523066" w:rsidP="00523066"/>
    <w:p w14:paraId="735698E7" w14:textId="77777777" w:rsidR="00523066" w:rsidRDefault="00523066" w:rsidP="00523066"/>
    <w:p w14:paraId="5C34C8C8" w14:textId="77777777" w:rsidR="00523066" w:rsidRDefault="00523066" w:rsidP="00523066"/>
    <w:p w14:paraId="70078C07" w14:textId="77777777" w:rsidR="00523066" w:rsidRDefault="00523066" w:rsidP="00523066"/>
    <w:p w14:paraId="6C93CD8B" w14:textId="77777777" w:rsidR="00523066" w:rsidRDefault="00523066" w:rsidP="00523066"/>
    <w:p w14:paraId="7D414800" w14:textId="77777777" w:rsidR="00523066" w:rsidRDefault="00523066" w:rsidP="00523066"/>
    <w:p w14:paraId="4C74279A" w14:textId="77777777" w:rsidR="00523066" w:rsidRDefault="00523066" w:rsidP="00523066"/>
    <w:p w14:paraId="1F2025AD" w14:textId="77777777" w:rsidR="00523066" w:rsidRDefault="00523066" w:rsidP="00523066"/>
    <w:p w14:paraId="2F521273" w14:textId="77777777" w:rsidR="00523066" w:rsidRDefault="00523066" w:rsidP="00523066"/>
    <w:p w14:paraId="7A9A8CE2" w14:textId="77777777" w:rsidR="00523066" w:rsidRDefault="00523066" w:rsidP="00523066"/>
    <w:p w14:paraId="161BA268" w14:textId="77777777" w:rsidR="00523066" w:rsidRDefault="00523066" w:rsidP="00523066"/>
    <w:p w14:paraId="3D321D43" w14:textId="77777777" w:rsidR="00523066" w:rsidRDefault="00523066" w:rsidP="00523066">
      <w:pPr>
        <w:pStyle w:val="Heading1"/>
        <w:rPr>
          <w:rFonts w:ascii="Arial" w:hAnsi="Arial" w:cs="Arial"/>
          <w:b w:val="0"/>
          <w:bCs w:val="0"/>
          <w:sz w:val="50"/>
          <w:szCs w:val="50"/>
        </w:rPr>
        <w:sectPr w:rsidR="00523066">
          <w:pgSz w:w="11906" w:h="16838"/>
          <w:pgMar w:top="1440" w:right="1440" w:bottom="1440" w:left="1440" w:header="708" w:footer="708" w:gutter="0"/>
          <w:cols w:space="708"/>
          <w:docGrid w:linePitch="360"/>
        </w:sectPr>
      </w:pPr>
      <w:bookmarkStart w:id="17" w:name="_Toc508611550"/>
    </w:p>
    <w:p w14:paraId="469976FF" w14:textId="77777777" w:rsidR="00523066" w:rsidRPr="00A07CB5" w:rsidRDefault="00523066" w:rsidP="00523066">
      <w:pPr>
        <w:pStyle w:val="Heading1"/>
        <w:rPr>
          <w:rFonts w:ascii="Arial" w:hAnsi="Arial" w:cs="Arial"/>
          <w:b w:val="0"/>
          <w:bCs w:val="0"/>
          <w:sz w:val="50"/>
          <w:szCs w:val="50"/>
          <w:u w:val="single"/>
        </w:rPr>
      </w:pPr>
      <w:bookmarkStart w:id="18" w:name="_Toc44065808"/>
      <w:r w:rsidRPr="00A07CB5">
        <w:rPr>
          <w:rFonts w:ascii="Arial" w:hAnsi="Arial" w:cs="Arial"/>
          <w:sz w:val="50"/>
          <w:szCs w:val="50"/>
        </w:rPr>
        <w:lastRenderedPageBreak/>
        <w:t xml:space="preserve">Chapter </w:t>
      </w:r>
      <w:r>
        <w:rPr>
          <w:rFonts w:ascii="Arial" w:hAnsi="Arial" w:cs="Arial"/>
          <w:sz w:val="50"/>
          <w:szCs w:val="50"/>
        </w:rPr>
        <w:t>5</w:t>
      </w:r>
      <w:r w:rsidRPr="00A07CB5">
        <w:rPr>
          <w:rFonts w:ascii="Arial" w:hAnsi="Arial" w:cs="Arial"/>
          <w:sz w:val="50"/>
          <w:szCs w:val="50"/>
        </w:rPr>
        <w:t>: The process for any Government interventions in mergers</w:t>
      </w:r>
      <w:bookmarkEnd w:id="17"/>
      <w:bookmarkEnd w:id="18"/>
      <w:r w:rsidRPr="00A07CB5">
        <w:rPr>
          <w:rFonts w:ascii="Arial" w:hAnsi="Arial" w:cs="Arial"/>
          <w:sz w:val="50"/>
          <w:szCs w:val="50"/>
        </w:rPr>
        <w:t xml:space="preserve"> </w:t>
      </w:r>
    </w:p>
    <w:p w14:paraId="0876DE72" w14:textId="77777777" w:rsidR="00523066" w:rsidRPr="008E51C9" w:rsidRDefault="00523066" w:rsidP="00523066">
      <w:pPr>
        <w:rPr>
          <w:rFonts w:ascii="Arial" w:hAnsi="Arial" w:cs="Arial"/>
        </w:rPr>
      </w:pPr>
    </w:p>
    <w:p w14:paraId="53406BAB" w14:textId="7AAA6CCD" w:rsidR="00523066" w:rsidRPr="008E51C9" w:rsidRDefault="00592723" w:rsidP="00523066">
      <w:pPr>
        <w:rPr>
          <w:rFonts w:ascii="Arial" w:hAnsi="Arial" w:cs="Arial"/>
        </w:rPr>
      </w:pPr>
      <w:r>
        <w:rPr>
          <w:noProof/>
        </w:rPr>
        <w:pict w14:anchorId="26B14B81">
          <v:shape id="Text Box 10" o:spid="_x0000_s1038" type="#_x0000_t202" style="position:absolute;margin-left:5.5pt;margin-top:6.15pt;width:448.2pt;height:311.5pt;z-index:7;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">
            <v:textbox style="mso-fit-shape-to-text:t">
              <w:txbxContent>
                <w:p w14:paraId="06A96F63"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Summary</w:t>
                  </w:r>
                </w:p>
                <w:p w14:paraId="2D22D5B3" w14:textId="77777777" w:rsidR="00523066" w:rsidRDefault="00523066" w:rsidP="00523066">
                  <w:pPr>
                    <w:rPr>
                      <w:rFonts w:ascii="Arial" w:hAnsi="Arial" w:cs="Arial"/>
                    </w:rPr>
                  </w:pPr>
                </w:p>
                <w:p w14:paraId="2C6CF85D" w14:textId="77777777" w:rsidR="00523066" w:rsidRDefault="00523066" w:rsidP="00523066">
                  <w:pPr>
                    <w:rPr>
                      <w:rFonts w:ascii="Arial" w:hAnsi="Arial" w:cs="Arial"/>
                    </w:rPr>
                  </w:pPr>
                  <w:r>
                    <w:rPr>
                      <w:rFonts w:ascii="Arial" w:hAnsi="Arial" w:cs="Arial"/>
                    </w:rPr>
                    <w:t>The process for Government intervention remains as set out in the Enterprise Act 2002.</w:t>
                  </w:r>
                </w:p>
                <w:p w14:paraId="6B80D46F" w14:textId="77777777" w:rsidR="00523066" w:rsidRDefault="00523066" w:rsidP="00523066">
                  <w:pPr>
                    <w:rPr>
                      <w:rFonts w:ascii="Arial" w:hAnsi="Arial" w:cs="Arial"/>
                    </w:rPr>
                  </w:pPr>
                </w:p>
                <w:p w14:paraId="48629F8F" w14:textId="77777777" w:rsidR="00523066" w:rsidRDefault="00523066" w:rsidP="00523066">
                  <w:pPr>
                    <w:rPr>
                      <w:rFonts w:ascii="Arial" w:hAnsi="Arial" w:cs="Arial"/>
                    </w:rPr>
                  </w:pPr>
                  <w:r>
                    <w:rPr>
                      <w:rFonts w:ascii="Arial" w:hAnsi="Arial" w:cs="Arial"/>
                    </w:rPr>
                    <w:t>This statutory process involves:</w:t>
                  </w:r>
                </w:p>
                <w:p w14:paraId="0A9006E5" w14:textId="77777777" w:rsidR="00523066" w:rsidRDefault="00523066" w:rsidP="00523066">
                  <w:pPr>
                    <w:pStyle w:val="ListParagraph"/>
                    <w:numPr>
                      <w:ilvl w:val="0"/>
                      <w:numId w:val="16"/>
                    </w:numPr>
                    <w:rPr>
                      <w:rFonts w:ascii="Arial" w:hAnsi="Arial" w:cs="Arial"/>
                    </w:rPr>
                  </w:pPr>
                  <w:r>
                    <w:rPr>
                      <w:rFonts w:ascii="Arial" w:hAnsi="Arial" w:cs="Arial"/>
                    </w:rPr>
                    <w:t>the Government issuing (and publishing) a Public Intervention Notice;</w:t>
                  </w:r>
                </w:p>
                <w:p w14:paraId="52653FC7" w14:textId="77777777" w:rsidR="00523066" w:rsidRDefault="00523066" w:rsidP="00523066">
                  <w:pPr>
                    <w:pStyle w:val="ListParagraph"/>
                    <w:numPr>
                      <w:ilvl w:val="0"/>
                      <w:numId w:val="16"/>
                    </w:numPr>
                    <w:rPr>
                      <w:rFonts w:ascii="Arial" w:hAnsi="Arial" w:cs="Arial"/>
                    </w:rPr>
                  </w:pPr>
                  <w:r>
                    <w:rPr>
                      <w:rFonts w:ascii="Arial" w:hAnsi="Arial" w:cs="Arial"/>
                    </w:rPr>
                    <w:t>following a call for evidence and a review, the CMA provides the Secretary of State with a Phase 1 report. This report includes its assessment as to whether the merger meets the relevant jurisdictional tests, including any relating to UK turnover or share of supply;</w:t>
                  </w:r>
                </w:p>
                <w:p w14:paraId="114CA52A" w14:textId="77777777" w:rsidR="00523066" w:rsidRDefault="00523066" w:rsidP="00523066">
                  <w:pPr>
                    <w:pStyle w:val="ListParagraph"/>
                    <w:numPr>
                      <w:ilvl w:val="0"/>
                      <w:numId w:val="16"/>
                    </w:numPr>
                    <w:rPr>
                      <w:rFonts w:ascii="Arial" w:hAnsi="Arial" w:cs="Arial"/>
                    </w:rPr>
                  </w:pPr>
                  <w:r>
                    <w:rPr>
                      <w:rFonts w:ascii="Arial" w:hAnsi="Arial" w:cs="Arial"/>
                    </w:rPr>
                    <w:t>the Secretary of State can decide i) there are no public interest concerns, ii) to accept (subject to consultation) voluntary undertakings provided by the parties, or iii) to refer the transaction for further investigation;</w:t>
                  </w:r>
                </w:p>
                <w:p w14:paraId="4468F700" w14:textId="77777777" w:rsidR="00523066" w:rsidRDefault="00523066" w:rsidP="00523066">
                  <w:pPr>
                    <w:pStyle w:val="ListParagraph"/>
                    <w:numPr>
                      <w:ilvl w:val="0"/>
                      <w:numId w:val="16"/>
                    </w:numPr>
                    <w:rPr>
                      <w:rFonts w:ascii="Arial" w:hAnsi="Arial" w:cs="Arial"/>
                    </w:rPr>
                  </w:pPr>
                  <w:r>
                    <w:rPr>
                      <w:rFonts w:ascii="Arial" w:hAnsi="Arial" w:cs="Arial"/>
                    </w:rPr>
                    <w:t>in the event of further investigation being required, the CMA undertakes a Phase 2 investigation before providing a report to the Secretary of State;</w:t>
                  </w:r>
                </w:p>
                <w:p w14:paraId="09D8A46E" w14:textId="77777777" w:rsidR="00523066" w:rsidRDefault="00523066" w:rsidP="00523066">
                  <w:pPr>
                    <w:pStyle w:val="ListParagraph"/>
                    <w:numPr>
                      <w:ilvl w:val="0"/>
                      <w:numId w:val="16"/>
                    </w:numPr>
                    <w:rPr>
                      <w:rFonts w:ascii="Arial" w:hAnsi="Arial" w:cs="Arial"/>
                    </w:rPr>
                  </w:pPr>
                  <w:r>
                    <w:rPr>
                      <w:rFonts w:ascii="Arial" w:hAnsi="Arial" w:cs="Arial"/>
                    </w:rPr>
                    <w:t>the Secretary of State can then either decide there are no public interest concerns, accept undertakings, or impose an order to deal with the public interest concerns;</w:t>
                  </w:r>
                </w:p>
                <w:p w14:paraId="5728B2E0" w14:textId="77777777" w:rsidR="00523066" w:rsidRDefault="00523066" w:rsidP="00523066">
                  <w:pPr>
                    <w:pStyle w:val="ListParagraph"/>
                    <w:numPr>
                      <w:ilvl w:val="0"/>
                      <w:numId w:val="16"/>
                    </w:numPr>
                    <w:rPr>
                      <w:rFonts w:ascii="Arial" w:hAnsi="Arial" w:cs="Arial"/>
                    </w:rPr>
                  </w:pPr>
                  <w:r>
                    <w:rPr>
                      <w:rFonts w:ascii="Arial" w:hAnsi="Arial" w:cs="Arial"/>
                    </w:rPr>
                    <w:t>parties can pursue judicial review of any decision made by the Secretary of State.</w:t>
                  </w:r>
                </w:p>
                <w:p w14:paraId="4F632DF1" w14:textId="77777777" w:rsidR="00523066" w:rsidRDefault="00523066" w:rsidP="00523066">
                  <w:pPr>
                    <w:rPr>
                      <w:rFonts w:ascii="Arial" w:hAnsi="Arial" w:cs="Arial"/>
                    </w:rPr>
                  </w:pPr>
                </w:p>
              </w:txbxContent>
            </v:textbox>
          </v:shape>
        </w:pict>
      </w:r>
    </w:p>
    <w:p w14:paraId="696F580F" w14:textId="77777777" w:rsidR="00523066" w:rsidRPr="008E51C9" w:rsidRDefault="00523066" w:rsidP="00523066">
      <w:pPr>
        <w:rPr>
          <w:rFonts w:ascii="Arial" w:hAnsi="Arial" w:cs="Arial"/>
        </w:rPr>
      </w:pPr>
    </w:p>
    <w:p w14:paraId="6F922897" w14:textId="77777777" w:rsidR="00523066" w:rsidRDefault="00523066" w:rsidP="00523066">
      <w:pPr>
        <w:rPr>
          <w:rFonts w:ascii="Arial" w:hAnsi="Arial" w:cs="Arial"/>
        </w:rPr>
      </w:pPr>
    </w:p>
    <w:p w14:paraId="552C0D55" w14:textId="77777777" w:rsidR="00523066" w:rsidRDefault="00523066" w:rsidP="00523066">
      <w:pPr>
        <w:rPr>
          <w:rFonts w:ascii="Arial" w:hAnsi="Arial" w:cs="Arial"/>
        </w:rPr>
      </w:pPr>
    </w:p>
    <w:p w14:paraId="1608660D" w14:textId="77777777" w:rsidR="00523066" w:rsidRDefault="00523066" w:rsidP="00523066">
      <w:pPr>
        <w:rPr>
          <w:rFonts w:ascii="Arial" w:hAnsi="Arial" w:cs="Arial"/>
        </w:rPr>
      </w:pPr>
    </w:p>
    <w:p w14:paraId="5B3FB0FA" w14:textId="77777777" w:rsidR="00523066" w:rsidRDefault="00523066" w:rsidP="00523066">
      <w:pPr>
        <w:rPr>
          <w:rFonts w:ascii="Arial" w:hAnsi="Arial" w:cs="Arial"/>
        </w:rPr>
      </w:pPr>
    </w:p>
    <w:p w14:paraId="35753FC3" w14:textId="77777777" w:rsidR="00523066" w:rsidRDefault="00523066" w:rsidP="00523066">
      <w:pPr>
        <w:rPr>
          <w:rFonts w:ascii="Arial" w:hAnsi="Arial" w:cs="Arial"/>
        </w:rPr>
      </w:pPr>
    </w:p>
    <w:p w14:paraId="6E1BE69E" w14:textId="77777777" w:rsidR="00523066" w:rsidRDefault="00523066" w:rsidP="00523066">
      <w:pPr>
        <w:rPr>
          <w:rFonts w:ascii="Arial" w:hAnsi="Arial" w:cs="Arial"/>
        </w:rPr>
      </w:pPr>
    </w:p>
    <w:p w14:paraId="3F6B1FE1" w14:textId="77777777" w:rsidR="00523066" w:rsidRDefault="00523066" w:rsidP="00523066">
      <w:pPr>
        <w:rPr>
          <w:rFonts w:ascii="Arial" w:hAnsi="Arial" w:cs="Arial"/>
        </w:rPr>
      </w:pPr>
    </w:p>
    <w:p w14:paraId="0BB2C48C" w14:textId="77777777" w:rsidR="00523066" w:rsidRDefault="00523066" w:rsidP="00523066">
      <w:pPr>
        <w:rPr>
          <w:rFonts w:ascii="Arial" w:hAnsi="Arial" w:cs="Arial"/>
        </w:rPr>
      </w:pPr>
    </w:p>
    <w:p w14:paraId="642ADF1C" w14:textId="77777777" w:rsidR="00523066" w:rsidRDefault="00523066" w:rsidP="00523066">
      <w:pPr>
        <w:rPr>
          <w:rFonts w:ascii="Arial" w:hAnsi="Arial" w:cs="Arial"/>
        </w:rPr>
      </w:pPr>
    </w:p>
    <w:p w14:paraId="5BBE3479" w14:textId="77777777" w:rsidR="00523066" w:rsidRDefault="00523066" w:rsidP="00523066">
      <w:pPr>
        <w:rPr>
          <w:rFonts w:ascii="Arial" w:hAnsi="Arial" w:cs="Arial"/>
        </w:rPr>
      </w:pPr>
    </w:p>
    <w:p w14:paraId="2AEFF71A" w14:textId="77777777" w:rsidR="00523066" w:rsidRDefault="00523066" w:rsidP="00523066">
      <w:pPr>
        <w:rPr>
          <w:rFonts w:ascii="Arial" w:hAnsi="Arial" w:cs="Arial"/>
        </w:rPr>
      </w:pPr>
    </w:p>
    <w:p w14:paraId="52E75E8F" w14:textId="77777777" w:rsidR="00523066" w:rsidRDefault="00523066" w:rsidP="00523066">
      <w:pPr>
        <w:rPr>
          <w:rFonts w:ascii="Arial" w:hAnsi="Arial" w:cs="Arial"/>
        </w:rPr>
      </w:pPr>
    </w:p>
    <w:p w14:paraId="1123840C" w14:textId="77777777" w:rsidR="00523066" w:rsidRDefault="00523066" w:rsidP="00523066">
      <w:pPr>
        <w:rPr>
          <w:rFonts w:ascii="Arial" w:hAnsi="Arial" w:cs="Arial"/>
        </w:rPr>
      </w:pPr>
    </w:p>
    <w:p w14:paraId="1A8D69A6" w14:textId="77777777" w:rsidR="00523066" w:rsidRDefault="00523066" w:rsidP="00523066">
      <w:pPr>
        <w:rPr>
          <w:rFonts w:ascii="Arial" w:hAnsi="Arial" w:cs="Arial"/>
        </w:rPr>
      </w:pPr>
    </w:p>
    <w:p w14:paraId="3E1ABC01" w14:textId="77777777" w:rsidR="00523066" w:rsidRDefault="00523066" w:rsidP="00523066">
      <w:pPr>
        <w:rPr>
          <w:rFonts w:ascii="Arial" w:hAnsi="Arial" w:cs="Arial"/>
        </w:rPr>
      </w:pPr>
    </w:p>
    <w:p w14:paraId="22AB3CC5" w14:textId="77777777" w:rsidR="00523066" w:rsidRDefault="00523066" w:rsidP="00523066">
      <w:pPr>
        <w:rPr>
          <w:rFonts w:ascii="Arial" w:hAnsi="Arial" w:cs="Arial"/>
        </w:rPr>
      </w:pPr>
    </w:p>
    <w:p w14:paraId="1E471335" w14:textId="77777777" w:rsidR="00523066" w:rsidRDefault="00523066" w:rsidP="00523066">
      <w:pPr>
        <w:rPr>
          <w:rFonts w:ascii="Arial" w:hAnsi="Arial" w:cs="Arial"/>
        </w:rPr>
      </w:pPr>
    </w:p>
    <w:p w14:paraId="27B8903A" w14:textId="77777777" w:rsidR="00523066" w:rsidRDefault="00523066" w:rsidP="00523066">
      <w:pPr>
        <w:rPr>
          <w:rFonts w:ascii="Arial" w:hAnsi="Arial" w:cs="Arial"/>
        </w:rPr>
      </w:pPr>
    </w:p>
    <w:p w14:paraId="6E81CED8" w14:textId="77777777" w:rsidR="00523066" w:rsidRDefault="00523066" w:rsidP="00523066">
      <w:pPr>
        <w:rPr>
          <w:rFonts w:ascii="Arial" w:hAnsi="Arial" w:cs="Arial"/>
        </w:rPr>
      </w:pPr>
    </w:p>
    <w:p w14:paraId="04E92324" w14:textId="77777777" w:rsidR="00523066" w:rsidRDefault="00523066" w:rsidP="00523066">
      <w:pPr>
        <w:rPr>
          <w:rFonts w:ascii="Arial" w:hAnsi="Arial" w:cs="Arial"/>
        </w:rPr>
      </w:pPr>
    </w:p>
    <w:p w14:paraId="7EF5DA7D" w14:textId="77777777" w:rsidR="00523066" w:rsidRDefault="00523066" w:rsidP="00523066">
      <w:pPr>
        <w:rPr>
          <w:rFonts w:ascii="Arial" w:hAnsi="Arial" w:cs="Arial"/>
        </w:rPr>
      </w:pPr>
    </w:p>
    <w:p w14:paraId="38CBF961" w14:textId="77777777" w:rsidR="00523066" w:rsidRDefault="00523066" w:rsidP="00523066">
      <w:pPr>
        <w:rPr>
          <w:rFonts w:ascii="Arial" w:hAnsi="Arial" w:cs="Arial"/>
        </w:rPr>
      </w:pPr>
    </w:p>
    <w:p w14:paraId="7916239B" w14:textId="77777777" w:rsidR="00523066" w:rsidRPr="008E51C9" w:rsidRDefault="00523066" w:rsidP="00523066">
      <w:pPr>
        <w:pStyle w:val="Guidance2"/>
      </w:pPr>
      <w:r w:rsidRPr="008E51C9">
        <w:t>The statutory process</w:t>
      </w:r>
    </w:p>
    <w:p w14:paraId="6160EE96" w14:textId="77777777" w:rsidR="00523066" w:rsidRPr="008E51C9" w:rsidRDefault="00523066" w:rsidP="00523066">
      <w:pPr>
        <w:pStyle w:val="ListParagraph"/>
        <w:numPr>
          <w:ilvl w:val="1"/>
          <w:numId w:val="12"/>
        </w:numPr>
        <w:ind w:hanging="792"/>
        <w:rPr>
          <w:rFonts w:ascii="Arial" w:hAnsi="Arial" w:cs="Arial"/>
        </w:rPr>
      </w:pPr>
      <w:r>
        <w:rPr>
          <w:rFonts w:ascii="Arial" w:hAnsi="Arial" w:cs="Arial"/>
        </w:rPr>
        <w:t>The amendments to the Act do</w:t>
      </w:r>
      <w:r w:rsidRPr="008E51C9">
        <w:rPr>
          <w:rFonts w:ascii="Arial" w:hAnsi="Arial" w:cs="Arial"/>
        </w:rPr>
        <w:t xml:space="preserve"> </w:t>
      </w:r>
      <w:r w:rsidRPr="008E51C9">
        <w:rPr>
          <w:rFonts w:ascii="Arial" w:hAnsi="Arial" w:cs="Arial"/>
          <w:u w:val="single"/>
        </w:rPr>
        <w:t>not</w:t>
      </w:r>
      <w:r w:rsidRPr="008E51C9">
        <w:rPr>
          <w:rFonts w:ascii="Arial" w:hAnsi="Arial" w:cs="Arial"/>
        </w:rPr>
        <w:t xml:space="preserve"> change the statutory process by which mergers can be scrutinised for public interest, including national security, concerns. The Government wishes to retain the clarity, the transparency and fairness of the current process. The process is set out in detail in guidance.</w:t>
      </w:r>
      <w:r w:rsidRPr="008E51C9">
        <w:rPr>
          <w:rStyle w:val="FootnoteReference"/>
          <w:rFonts w:ascii="Arial" w:hAnsi="Arial" w:cs="Arial"/>
        </w:rPr>
        <w:footnoteReference w:id="23"/>
      </w:r>
      <w:r w:rsidRPr="008E51C9">
        <w:rPr>
          <w:rFonts w:ascii="Arial" w:hAnsi="Arial" w:cs="Arial"/>
        </w:rPr>
        <w:t xml:space="preserve"> This section of the guida</w:t>
      </w:r>
      <w:r>
        <w:rPr>
          <w:rFonts w:ascii="Arial" w:hAnsi="Arial" w:cs="Arial"/>
        </w:rPr>
        <w:t>nce seeks only to summarise the process</w:t>
      </w:r>
      <w:r w:rsidRPr="008E51C9">
        <w:rPr>
          <w:rFonts w:ascii="Arial" w:hAnsi="Arial" w:cs="Arial"/>
        </w:rPr>
        <w:t>.</w:t>
      </w:r>
      <w:r w:rsidRPr="008E51C9">
        <w:rPr>
          <w:rStyle w:val="FootnoteReference"/>
          <w:rFonts w:ascii="Arial" w:hAnsi="Arial" w:cs="Arial"/>
        </w:rPr>
        <w:footnoteReference w:id="24"/>
      </w:r>
      <w:r w:rsidRPr="008E51C9">
        <w:rPr>
          <w:rFonts w:ascii="Arial" w:hAnsi="Arial" w:cs="Arial"/>
        </w:rPr>
        <w:t xml:space="preserve"> </w:t>
      </w:r>
    </w:p>
    <w:p w14:paraId="5EADE54E" w14:textId="77777777" w:rsidR="00523066" w:rsidRPr="008E51C9" w:rsidRDefault="00523066" w:rsidP="00523066">
      <w:pPr>
        <w:pStyle w:val="ListParagraph"/>
        <w:rPr>
          <w:rFonts w:ascii="Arial" w:hAnsi="Arial" w:cs="Arial"/>
        </w:rPr>
      </w:pPr>
    </w:p>
    <w:p w14:paraId="5042C1FE" w14:textId="77777777" w:rsidR="00523066" w:rsidRPr="008E51C9" w:rsidRDefault="00523066" w:rsidP="00523066">
      <w:pPr>
        <w:pStyle w:val="Guidance3"/>
      </w:pPr>
      <w:r w:rsidRPr="008E51C9">
        <w:t>The Public Intervention Notice</w:t>
      </w:r>
    </w:p>
    <w:p w14:paraId="2C191341" w14:textId="77777777" w:rsidR="00523066" w:rsidRPr="008E51C9" w:rsidRDefault="00523066" w:rsidP="00523066">
      <w:pPr>
        <w:pStyle w:val="ListParagraph"/>
        <w:numPr>
          <w:ilvl w:val="1"/>
          <w:numId w:val="12"/>
        </w:numPr>
        <w:ind w:hanging="792"/>
        <w:rPr>
          <w:rFonts w:ascii="Arial" w:hAnsi="Arial" w:cs="Arial"/>
        </w:rPr>
      </w:pPr>
      <w:r w:rsidRPr="008E51C9">
        <w:rPr>
          <w:rFonts w:ascii="Arial" w:hAnsi="Arial" w:cs="Arial"/>
        </w:rPr>
        <w:t xml:space="preserve">The first formal step for </w:t>
      </w:r>
      <w:r>
        <w:rPr>
          <w:rFonts w:ascii="Arial" w:hAnsi="Arial" w:cs="Arial"/>
        </w:rPr>
        <w:t xml:space="preserve">the </w:t>
      </w:r>
      <w:r w:rsidRPr="008E51C9">
        <w:rPr>
          <w:rFonts w:ascii="Arial" w:hAnsi="Arial" w:cs="Arial"/>
        </w:rPr>
        <w:t xml:space="preserve">Government’s intervention in a merger is the issuing of a </w:t>
      </w:r>
      <w:r w:rsidRPr="008E51C9">
        <w:rPr>
          <w:rFonts w:ascii="Arial" w:hAnsi="Arial" w:cs="Arial"/>
          <w:b/>
        </w:rPr>
        <w:t>Public Intervention Notice</w:t>
      </w:r>
      <w:r w:rsidRPr="008E51C9">
        <w:rPr>
          <w:rFonts w:ascii="Arial" w:hAnsi="Arial" w:cs="Arial"/>
        </w:rPr>
        <w:t xml:space="preserve">. The Secretary of State issues an intervention notice to the CMA if he or she has “reasonable grounds for suspecting” that it is or may be the case that a relevant merger situation has </w:t>
      </w:r>
      <w:r w:rsidRPr="008E51C9">
        <w:rPr>
          <w:rFonts w:ascii="Arial" w:hAnsi="Arial" w:cs="Arial"/>
        </w:rPr>
        <w:lastRenderedPageBreak/>
        <w:t xml:space="preserve">been created or is in progress, and one of the public interest considerations in section 58 of the </w:t>
      </w:r>
      <w:r>
        <w:rPr>
          <w:rFonts w:ascii="Arial" w:hAnsi="Arial" w:cs="Arial"/>
        </w:rPr>
        <w:t xml:space="preserve">Act </w:t>
      </w:r>
      <w:r w:rsidRPr="008E51C9">
        <w:rPr>
          <w:rFonts w:ascii="Arial" w:hAnsi="Arial" w:cs="Arial"/>
        </w:rPr>
        <w:t xml:space="preserve">is relevant. This notice has to be published. </w:t>
      </w:r>
    </w:p>
    <w:p w14:paraId="59046041" w14:textId="77777777" w:rsidR="00523066" w:rsidRPr="008E51C9" w:rsidRDefault="00523066" w:rsidP="00523066">
      <w:pPr>
        <w:pStyle w:val="ListParagraph"/>
        <w:rPr>
          <w:rFonts w:ascii="Arial" w:hAnsi="Arial" w:cs="Arial"/>
        </w:rPr>
      </w:pPr>
    </w:p>
    <w:p w14:paraId="17ED8DEF" w14:textId="77777777" w:rsidR="00523066" w:rsidRPr="008E51C9" w:rsidRDefault="00523066" w:rsidP="00523066">
      <w:pPr>
        <w:pStyle w:val="ListParagraph"/>
        <w:rPr>
          <w:rFonts w:ascii="Arial" w:hAnsi="Arial" w:cs="Arial"/>
        </w:rPr>
      </w:pPr>
    </w:p>
    <w:p w14:paraId="0F6AC805" w14:textId="77777777" w:rsidR="00523066" w:rsidRPr="008E51C9" w:rsidRDefault="00523066" w:rsidP="00523066">
      <w:pPr>
        <w:pStyle w:val="ListParagraph"/>
        <w:numPr>
          <w:ilvl w:val="1"/>
          <w:numId w:val="12"/>
        </w:numPr>
        <w:ind w:hanging="792"/>
        <w:rPr>
          <w:rFonts w:ascii="Arial" w:hAnsi="Arial" w:cs="Arial"/>
        </w:rPr>
      </w:pPr>
      <w:r w:rsidRPr="008E51C9">
        <w:rPr>
          <w:rFonts w:ascii="Arial" w:hAnsi="Arial" w:cs="Arial"/>
        </w:rPr>
        <w:t xml:space="preserve">In the event of a merger that has </w:t>
      </w:r>
      <w:r>
        <w:rPr>
          <w:rFonts w:ascii="Arial" w:hAnsi="Arial" w:cs="Arial"/>
        </w:rPr>
        <w:t>already taken place</w:t>
      </w:r>
      <w:r w:rsidRPr="008E51C9">
        <w:rPr>
          <w:rFonts w:ascii="Arial" w:hAnsi="Arial" w:cs="Arial"/>
        </w:rPr>
        <w:t xml:space="preserve">, the CMA (under section 24 of the Enterprise Act 2002) can decide up to four months after it </w:t>
      </w:r>
      <w:r>
        <w:rPr>
          <w:rFonts w:ascii="Arial" w:hAnsi="Arial" w:cs="Arial"/>
        </w:rPr>
        <w:t>completed</w:t>
      </w:r>
      <w:r w:rsidRPr="008E51C9">
        <w:rPr>
          <w:rFonts w:ascii="Arial" w:hAnsi="Arial" w:cs="Arial"/>
        </w:rPr>
        <w:t xml:space="preserve"> whether to refer the case to a Phase 2 investigation on competition grounds. The Secretary of State </w:t>
      </w:r>
      <w:r>
        <w:rPr>
          <w:rFonts w:ascii="Arial" w:hAnsi="Arial" w:cs="Arial"/>
        </w:rPr>
        <w:t xml:space="preserve">has the same four month period in which to decide, having issued a </w:t>
      </w:r>
      <w:r w:rsidRPr="008E51C9">
        <w:rPr>
          <w:rFonts w:ascii="Arial" w:hAnsi="Arial" w:cs="Arial"/>
        </w:rPr>
        <w:t>Public Intervention Notice</w:t>
      </w:r>
      <w:r>
        <w:rPr>
          <w:rFonts w:ascii="Arial" w:hAnsi="Arial" w:cs="Arial"/>
        </w:rPr>
        <w:t>, whether to refer a completed merger for a Phase 2 investigation of whether it is likely to operate against the public interest. Where the CMA is investigating the merger, however, the Secretary of State must intervene before the CMA reaches a decision on whether to make a reference to Phase 2 on competition grounds.</w:t>
      </w:r>
    </w:p>
    <w:p w14:paraId="0E881227" w14:textId="77777777" w:rsidR="00523066" w:rsidRPr="008E51C9" w:rsidRDefault="00523066" w:rsidP="00523066">
      <w:pPr>
        <w:pStyle w:val="ListParagraph"/>
        <w:rPr>
          <w:rFonts w:ascii="Arial" w:hAnsi="Arial" w:cs="Arial"/>
        </w:rPr>
      </w:pPr>
    </w:p>
    <w:p w14:paraId="152D2DB3" w14:textId="77777777" w:rsidR="00523066" w:rsidRPr="008E51C9" w:rsidRDefault="00523066" w:rsidP="00523066">
      <w:pPr>
        <w:pStyle w:val="Guidance3"/>
      </w:pPr>
      <w:r w:rsidRPr="008E51C9">
        <w:t>Phase 1</w:t>
      </w:r>
    </w:p>
    <w:p w14:paraId="013EE31B" w14:textId="77777777" w:rsidR="00523066" w:rsidRDefault="00523066" w:rsidP="00523066">
      <w:pPr>
        <w:pStyle w:val="ListParagraph"/>
        <w:numPr>
          <w:ilvl w:val="1"/>
          <w:numId w:val="12"/>
        </w:numPr>
        <w:ind w:hanging="792"/>
        <w:rPr>
          <w:rFonts w:ascii="Arial" w:hAnsi="Arial" w:cs="Arial"/>
        </w:rPr>
      </w:pPr>
      <w:r w:rsidRPr="008E51C9">
        <w:rPr>
          <w:rFonts w:ascii="Arial" w:hAnsi="Arial" w:cs="Arial"/>
        </w:rPr>
        <w:t xml:space="preserve">Following an intervention notice, the CMA is obliged to prepare a report for the Secretary of State by a date specified by the Secretary of State. To enable it to produce this report, the CMA will carry out an investigation of the merger and will publicly seek third party views on the merger. </w:t>
      </w:r>
    </w:p>
    <w:p w14:paraId="649B2353" w14:textId="77777777" w:rsidR="00523066" w:rsidRDefault="00523066" w:rsidP="00523066">
      <w:pPr>
        <w:pStyle w:val="ListParagraph"/>
        <w:ind w:left="792"/>
        <w:rPr>
          <w:rFonts w:ascii="Arial" w:hAnsi="Arial" w:cs="Arial"/>
        </w:rPr>
      </w:pPr>
    </w:p>
    <w:p w14:paraId="2EA720EA" w14:textId="77777777" w:rsidR="00523066" w:rsidRPr="00EF05F8" w:rsidRDefault="00523066" w:rsidP="00523066">
      <w:pPr>
        <w:pStyle w:val="ListParagraph"/>
        <w:numPr>
          <w:ilvl w:val="1"/>
          <w:numId w:val="12"/>
        </w:numPr>
        <w:ind w:hanging="792"/>
        <w:rPr>
          <w:rFonts w:ascii="Arial" w:hAnsi="Arial" w:cs="Arial"/>
        </w:rPr>
      </w:pPr>
      <w:r w:rsidRPr="00EF05F8">
        <w:rPr>
          <w:rFonts w:ascii="Arial" w:hAnsi="Arial" w:cs="Arial"/>
        </w:rPr>
        <w:t>Following this investigation, the CMA will report on its views on the competition issues and whether, if it were not a public interest case, it would refer the matter for further investigation (a so-called “Phase 2” investigation) or accept undertakings in lieu of a reference. The report will also summarise the views received on the public interest aspects of the merger</w:t>
      </w:r>
      <w:r w:rsidRPr="000005A1">
        <w:t xml:space="preserve"> </w:t>
      </w:r>
      <w:r w:rsidRPr="00EF05F8">
        <w:rPr>
          <w:rFonts w:ascii="Arial" w:hAnsi="Arial" w:cs="Arial"/>
        </w:rPr>
        <w:t xml:space="preserve">and, where relevant, it may refer to any undertakings offered by the parties to mitigate the public interest concerns.  </w:t>
      </w:r>
    </w:p>
    <w:p w14:paraId="5CA67651" w14:textId="77777777" w:rsidR="00523066" w:rsidRPr="008E51C9" w:rsidRDefault="00523066" w:rsidP="00523066">
      <w:pPr>
        <w:pStyle w:val="ListParagraph"/>
        <w:rPr>
          <w:rFonts w:ascii="Arial" w:hAnsi="Arial" w:cs="Arial"/>
        </w:rPr>
      </w:pPr>
    </w:p>
    <w:p w14:paraId="7915DBF0" w14:textId="77777777" w:rsidR="00523066" w:rsidRPr="008E51C9" w:rsidRDefault="00523066" w:rsidP="00523066">
      <w:pPr>
        <w:pStyle w:val="ListParagraph"/>
        <w:numPr>
          <w:ilvl w:val="1"/>
          <w:numId w:val="12"/>
        </w:numPr>
        <w:ind w:hanging="792"/>
        <w:rPr>
          <w:rFonts w:ascii="Arial" w:hAnsi="Arial" w:cs="Arial"/>
        </w:rPr>
      </w:pPr>
      <w:r w:rsidRPr="008E51C9">
        <w:rPr>
          <w:rFonts w:ascii="Arial" w:hAnsi="Arial" w:cs="Arial"/>
        </w:rPr>
        <w:t>Having received the report, the Secretary of State has three options:</w:t>
      </w:r>
    </w:p>
    <w:p w14:paraId="56A37036" w14:textId="77777777" w:rsidR="00523066" w:rsidRPr="008E51C9" w:rsidRDefault="00523066" w:rsidP="00523066">
      <w:pPr>
        <w:pStyle w:val="ListParagraph"/>
        <w:numPr>
          <w:ilvl w:val="1"/>
          <w:numId w:val="13"/>
        </w:numPr>
        <w:rPr>
          <w:rFonts w:ascii="Arial" w:hAnsi="Arial" w:cs="Arial"/>
        </w:rPr>
      </w:pPr>
      <w:r w:rsidRPr="008E51C9">
        <w:rPr>
          <w:rFonts w:ascii="Arial" w:hAnsi="Arial" w:cs="Arial"/>
        </w:rPr>
        <w:t xml:space="preserve">they may conclude that there are </w:t>
      </w:r>
      <w:r w:rsidRPr="008E51C9">
        <w:rPr>
          <w:rFonts w:ascii="Arial" w:hAnsi="Arial" w:cs="Arial"/>
          <w:u w:val="single"/>
        </w:rPr>
        <w:t xml:space="preserve">no relevant public interest concerns </w:t>
      </w:r>
      <w:r w:rsidRPr="008E51C9">
        <w:rPr>
          <w:rFonts w:ascii="Arial" w:hAnsi="Arial" w:cs="Arial"/>
        </w:rPr>
        <w:t xml:space="preserve">and the merger can proceed (assuming the CMA </w:t>
      </w:r>
      <w:r>
        <w:rPr>
          <w:rFonts w:ascii="Arial" w:hAnsi="Arial" w:cs="Arial"/>
        </w:rPr>
        <w:t xml:space="preserve">has </w:t>
      </w:r>
      <w:r w:rsidRPr="008E51C9">
        <w:rPr>
          <w:rFonts w:ascii="Arial" w:hAnsi="Arial" w:cs="Arial"/>
        </w:rPr>
        <w:t xml:space="preserve">not </w:t>
      </w:r>
      <w:r>
        <w:rPr>
          <w:rFonts w:ascii="Arial" w:hAnsi="Arial" w:cs="Arial"/>
        </w:rPr>
        <w:t xml:space="preserve">raised any </w:t>
      </w:r>
      <w:r w:rsidRPr="008E51C9">
        <w:rPr>
          <w:rFonts w:ascii="Arial" w:hAnsi="Arial" w:cs="Arial"/>
        </w:rPr>
        <w:t>competition-related concerns);</w:t>
      </w:r>
    </w:p>
    <w:p w14:paraId="5714A25B" w14:textId="77777777" w:rsidR="00523066" w:rsidRPr="008E51C9" w:rsidRDefault="00523066" w:rsidP="00523066">
      <w:pPr>
        <w:pStyle w:val="ListParagraph"/>
        <w:ind w:left="1440"/>
        <w:rPr>
          <w:rFonts w:ascii="Arial" w:hAnsi="Arial" w:cs="Arial"/>
        </w:rPr>
      </w:pPr>
    </w:p>
    <w:p w14:paraId="4DA555A0" w14:textId="77777777" w:rsidR="00523066" w:rsidRPr="008E51C9" w:rsidRDefault="00523066" w:rsidP="00523066">
      <w:pPr>
        <w:pStyle w:val="ListParagraph"/>
        <w:numPr>
          <w:ilvl w:val="1"/>
          <w:numId w:val="13"/>
        </w:numPr>
        <w:rPr>
          <w:rFonts w:ascii="Arial" w:hAnsi="Arial" w:cs="Arial"/>
        </w:rPr>
      </w:pPr>
      <w:r w:rsidRPr="008E51C9">
        <w:rPr>
          <w:rFonts w:ascii="Arial" w:hAnsi="Arial" w:cs="Arial"/>
        </w:rPr>
        <w:t xml:space="preserve">they can </w:t>
      </w:r>
      <w:r>
        <w:rPr>
          <w:rFonts w:ascii="Arial" w:hAnsi="Arial" w:cs="Arial"/>
        </w:rPr>
        <w:t xml:space="preserve">(subject to a public consultation) </w:t>
      </w:r>
      <w:r w:rsidRPr="008E51C9">
        <w:rPr>
          <w:rFonts w:ascii="Arial" w:hAnsi="Arial" w:cs="Arial"/>
          <w:u w:val="single"/>
        </w:rPr>
        <w:t>accept undertakings</w:t>
      </w:r>
      <w:r w:rsidRPr="008E51C9">
        <w:rPr>
          <w:rFonts w:ascii="Arial" w:hAnsi="Arial" w:cs="Arial"/>
        </w:rPr>
        <w:t xml:space="preserve"> offered by the parties in order to mitigate national security risks</w:t>
      </w:r>
      <w:r>
        <w:rPr>
          <w:rFonts w:ascii="Arial" w:hAnsi="Arial" w:cs="Arial"/>
        </w:rPr>
        <w:t xml:space="preserve"> and/or any competition concerns raised by the CMA</w:t>
      </w:r>
      <w:r w:rsidRPr="008E51C9">
        <w:rPr>
          <w:rFonts w:ascii="Arial" w:hAnsi="Arial" w:cs="Arial"/>
        </w:rPr>
        <w:t>;</w:t>
      </w:r>
    </w:p>
    <w:p w14:paraId="5AD2A96C" w14:textId="77777777" w:rsidR="00523066" w:rsidRPr="008E51C9" w:rsidRDefault="00523066" w:rsidP="00523066">
      <w:pPr>
        <w:pStyle w:val="ListParagraph"/>
        <w:rPr>
          <w:rFonts w:ascii="Arial" w:hAnsi="Arial" w:cs="Arial"/>
        </w:rPr>
      </w:pPr>
    </w:p>
    <w:p w14:paraId="5EBA8D51" w14:textId="77777777" w:rsidR="00523066" w:rsidRPr="008E51C9" w:rsidRDefault="00523066" w:rsidP="00523066">
      <w:pPr>
        <w:pStyle w:val="ListParagraph"/>
        <w:numPr>
          <w:ilvl w:val="1"/>
          <w:numId w:val="13"/>
        </w:numPr>
        <w:rPr>
          <w:rFonts w:ascii="Arial" w:hAnsi="Arial" w:cs="Arial"/>
        </w:rPr>
      </w:pPr>
      <w:r w:rsidRPr="008E51C9">
        <w:rPr>
          <w:rFonts w:ascii="Arial" w:hAnsi="Arial" w:cs="Arial"/>
        </w:rPr>
        <w:t xml:space="preserve">refer the merger for </w:t>
      </w:r>
      <w:r w:rsidRPr="008E51C9">
        <w:rPr>
          <w:rFonts w:ascii="Arial" w:hAnsi="Arial" w:cs="Arial"/>
          <w:u w:val="single"/>
        </w:rPr>
        <w:t>further investigation.</w:t>
      </w:r>
    </w:p>
    <w:p w14:paraId="35CC4AA5" w14:textId="77777777" w:rsidR="00523066" w:rsidRPr="008E51C9" w:rsidRDefault="00523066" w:rsidP="00523066">
      <w:pPr>
        <w:rPr>
          <w:rFonts w:ascii="Arial" w:hAnsi="Arial" w:cs="Arial"/>
        </w:rPr>
      </w:pPr>
    </w:p>
    <w:p w14:paraId="79587D32" w14:textId="77777777" w:rsidR="00523066" w:rsidRPr="008E51C9" w:rsidRDefault="00523066" w:rsidP="00523066">
      <w:pPr>
        <w:pStyle w:val="ListParagraph"/>
        <w:numPr>
          <w:ilvl w:val="1"/>
          <w:numId w:val="12"/>
        </w:numPr>
        <w:ind w:hanging="792"/>
        <w:rPr>
          <w:rFonts w:ascii="Arial" w:hAnsi="Arial" w:cs="Arial"/>
        </w:rPr>
      </w:pPr>
      <w:r w:rsidRPr="008E51C9">
        <w:rPr>
          <w:rFonts w:ascii="Arial" w:hAnsi="Arial" w:cs="Arial"/>
        </w:rPr>
        <w:t xml:space="preserve">There is no statutory deadline for the Secretary of State to respond to the CMA’s Phase 1 report. They are likely to also receive advice from the MoD </w:t>
      </w:r>
      <w:r>
        <w:rPr>
          <w:rFonts w:ascii="Arial" w:hAnsi="Arial" w:cs="Arial"/>
        </w:rPr>
        <w:t>and/</w:t>
      </w:r>
      <w:r w:rsidRPr="008E51C9">
        <w:rPr>
          <w:rFonts w:ascii="Arial" w:hAnsi="Arial" w:cs="Arial"/>
        </w:rPr>
        <w:t xml:space="preserve">or </w:t>
      </w:r>
      <w:r>
        <w:rPr>
          <w:rFonts w:ascii="Arial" w:hAnsi="Arial" w:cs="Arial"/>
        </w:rPr>
        <w:t xml:space="preserve">other parts of Government </w:t>
      </w:r>
      <w:r w:rsidRPr="008E51C9">
        <w:rPr>
          <w:rFonts w:ascii="Arial" w:hAnsi="Arial" w:cs="Arial"/>
        </w:rPr>
        <w:t xml:space="preserve">in order to inform this decision. </w:t>
      </w:r>
    </w:p>
    <w:p w14:paraId="52C7DE86" w14:textId="77777777" w:rsidR="00523066" w:rsidRPr="008E51C9" w:rsidRDefault="00523066" w:rsidP="00523066">
      <w:pPr>
        <w:pStyle w:val="ListParagraph"/>
        <w:rPr>
          <w:rFonts w:ascii="Arial" w:hAnsi="Arial" w:cs="Arial"/>
        </w:rPr>
      </w:pPr>
    </w:p>
    <w:p w14:paraId="58B0A228" w14:textId="77777777" w:rsidR="00523066" w:rsidRPr="008E51C9" w:rsidRDefault="00523066" w:rsidP="00523066">
      <w:pPr>
        <w:pStyle w:val="ListParagraph"/>
        <w:rPr>
          <w:rFonts w:ascii="Arial" w:hAnsi="Arial" w:cs="Arial"/>
        </w:rPr>
      </w:pPr>
    </w:p>
    <w:p w14:paraId="0B49AC74" w14:textId="77777777" w:rsidR="00523066" w:rsidRPr="008E51C9" w:rsidRDefault="00523066" w:rsidP="00523066">
      <w:pPr>
        <w:pStyle w:val="Guidance3"/>
      </w:pPr>
      <w:r w:rsidRPr="008E51C9">
        <w:t>Phase 2</w:t>
      </w:r>
    </w:p>
    <w:p w14:paraId="2469A267" w14:textId="77777777" w:rsidR="00523066" w:rsidRPr="00CE7093" w:rsidRDefault="00523066" w:rsidP="00523066">
      <w:pPr>
        <w:pStyle w:val="ListParagraph"/>
        <w:numPr>
          <w:ilvl w:val="1"/>
          <w:numId w:val="12"/>
        </w:numPr>
        <w:ind w:hanging="792"/>
        <w:rPr>
          <w:rFonts w:ascii="Arial" w:hAnsi="Arial" w:cs="Arial"/>
        </w:rPr>
      </w:pPr>
      <w:r w:rsidRPr="00CE7093">
        <w:rPr>
          <w:rFonts w:ascii="Arial" w:hAnsi="Arial" w:cs="Arial"/>
        </w:rPr>
        <w:t xml:space="preserve">In the event that the Secretary of State wishes </w:t>
      </w:r>
      <w:r>
        <w:rPr>
          <w:rFonts w:ascii="Arial" w:hAnsi="Arial" w:cs="Arial"/>
        </w:rPr>
        <w:t>the merger to be investigated further</w:t>
      </w:r>
      <w:r w:rsidRPr="00CE7093">
        <w:rPr>
          <w:rFonts w:ascii="Arial" w:hAnsi="Arial" w:cs="Arial"/>
        </w:rPr>
        <w:t xml:space="preserve">, it is referred to the CMA which will establish a group </w:t>
      </w:r>
      <w:r>
        <w:rPr>
          <w:rFonts w:ascii="Arial" w:hAnsi="Arial" w:cs="Arial"/>
        </w:rPr>
        <w:t xml:space="preserve">of independent panel members </w:t>
      </w:r>
      <w:r w:rsidRPr="00CE7093">
        <w:rPr>
          <w:rFonts w:ascii="Arial" w:hAnsi="Arial" w:cs="Arial"/>
        </w:rPr>
        <w:t xml:space="preserve">(not involved in the Phase 1 investigation) to look at the matter. This group will undertake a further investigation into whether the </w:t>
      </w:r>
      <w:r w:rsidRPr="00CE7093">
        <w:rPr>
          <w:rFonts w:ascii="Arial" w:hAnsi="Arial" w:cs="Arial"/>
        </w:rPr>
        <w:lastRenderedPageBreak/>
        <w:t xml:space="preserve">merger is likely to operate against the public interest, taking account of any competition issues and the public interest consideration. It will also consider whether any remedies are appropriate to deal with either or both considerations. </w:t>
      </w:r>
    </w:p>
    <w:p w14:paraId="03880F1B" w14:textId="77777777" w:rsidR="00523066" w:rsidRPr="008E51C9" w:rsidRDefault="00523066" w:rsidP="00523066">
      <w:pPr>
        <w:pStyle w:val="ListParagraph"/>
        <w:ind w:left="792"/>
        <w:rPr>
          <w:rFonts w:ascii="Arial" w:hAnsi="Arial" w:cs="Arial"/>
        </w:rPr>
      </w:pPr>
    </w:p>
    <w:p w14:paraId="15B82F71" w14:textId="77777777" w:rsidR="00523066" w:rsidRPr="008E51C9" w:rsidRDefault="00523066" w:rsidP="00523066">
      <w:pPr>
        <w:pStyle w:val="ListParagraph"/>
        <w:numPr>
          <w:ilvl w:val="1"/>
          <w:numId w:val="12"/>
        </w:numPr>
        <w:ind w:hanging="792"/>
        <w:rPr>
          <w:rFonts w:ascii="Arial" w:hAnsi="Arial" w:cs="Arial"/>
        </w:rPr>
      </w:pPr>
      <w:r w:rsidRPr="008E51C9">
        <w:rPr>
          <w:rFonts w:ascii="Arial" w:hAnsi="Arial" w:cs="Arial"/>
        </w:rPr>
        <w:t xml:space="preserve">The CMA must submit its Phase 2 report to the Secretary of State within 24 weeks (with a possible extension for a further eight weeks). This report is published. </w:t>
      </w:r>
    </w:p>
    <w:p w14:paraId="5600B11B" w14:textId="77777777" w:rsidR="00523066" w:rsidRPr="008E51C9" w:rsidRDefault="00523066" w:rsidP="00523066">
      <w:pPr>
        <w:pStyle w:val="ListParagraph"/>
        <w:ind w:left="792"/>
        <w:rPr>
          <w:rFonts w:ascii="Arial" w:hAnsi="Arial" w:cs="Arial"/>
        </w:rPr>
      </w:pPr>
    </w:p>
    <w:p w14:paraId="73973558" w14:textId="77777777" w:rsidR="00523066" w:rsidRPr="00CE7093" w:rsidRDefault="00523066" w:rsidP="00523066">
      <w:pPr>
        <w:pStyle w:val="ListParagraph"/>
        <w:numPr>
          <w:ilvl w:val="1"/>
          <w:numId w:val="12"/>
        </w:numPr>
        <w:ind w:hanging="792"/>
        <w:rPr>
          <w:rFonts w:ascii="Arial" w:hAnsi="Arial" w:cs="Arial"/>
        </w:rPr>
      </w:pPr>
      <w:r w:rsidRPr="00CE7093">
        <w:rPr>
          <w:rFonts w:ascii="Arial" w:hAnsi="Arial" w:cs="Arial"/>
        </w:rPr>
        <w:t xml:space="preserve">The Secretary of State has 30 days from receipt of the Phase 2 report to consider their decision. If </w:t>
      </w:r>
      <w:r>
        <w:rPr>
          <w:rFonts w:ascii="Arial" w:hAnsi="Arial" w:cs="Arial"/>
        </w:rPr>
        <w:t>they consider</w:t>
      </w:r>
      <w:r w:rsidRPr="00CE7093">
        <w:rPr>
          <w:rFonts w:ascii="Arial" w:hAnsi="Arial" w:cs="Arial"/>
        </w:rPr>
        <w:t xml:space="preserve"> that there are relevant public interest considerations, </w:t>
      </w:r>
      <w:r>
        <w:rPr>
          <w:rFonts w:ascii="Arial" w:hAnsi="Arial" w:cs="Arial"/>
        </w:rPr>
        <w:t>t</w:t>
      </w:r>
      <w:r w:rsidRPr="00CE7093">
        <w:rPr>
          <w:rFonts w:ascii="Arial" w:hAnsi="Arial" w:cs="Arial"/>
        </w:rPr>
        <w:t>he</w:t>
      </w:r>
      <w:r>
        <w:rPr>
          <w:rFonts w:ascii="Arial" w:hAnsi="Arial" w:cs="Arial"/>
        </w:rPr>
        <w:t>y</w:t>
      </w:r>
      <w:r w:rsidRPr="00CE7093">
        <w:rPr>
          <w:rFonts w:ascii="Arial" w:hAnsi="Arial" w:cs="Arial"/>
        </w:rPr>
        <w:t xml:space="preserve"> may choose to accept undertakings. Alternatively, the Secretary of State may make orders imposing conditions or</w:t>
      </w:r>
      <w:r>
        <w:rPr>
          <w:rFonts w:ascii="Arial" w:hAnsi="Arial" w:cs="Arial"/>
        </w:rPr>
        <w:t>,</w:t>
      </w:r>
      <w:r w:rsidRPr="00CE7093">
        <w:rPr>
          <w:rFonts w:ascii="Arial" w:hAnsi="Arial" w:cs="Arial"/>
        </w:rPr>
        <w:t xml:space="preserve"> </w:t>
      </w:r>
      <w:r>
        <w:rPr>
          <w:rFonts w:ascii="Arial" w:hAnsi="Arial" w:cs="Arial"/>
        </w:rPr>
        <w:t>if they consider no remedies can adequately address th</w:t>
      </w:r>
      <w:r w:rsidRPr="00CE7093">
        <w:rPr>
          <w:rFonts w:ascii="Arial" w:hAnsi="Arial" w:cs="Arial"/>
        </w:rPr>
        <w:t xml:space="preserve">e </w:t>
      </w:r>
      <w:r>
        <w:rPr>
          <w:rFonts w:ascii="Arial" w:hAnsi="Arial" w:cs="Arial"/>
        </w:rPr>
        <w:t xml:space="preserve">public interest </w:t>
      </w:r>
      <w:r w:rsidRPr="00CE7093">
        <w:rPr>
          <w:rFonts w:ascii="Arial" w:hAnsi="Arial" w:cs="Arial"/>
        </w:rPr>
        <w:t>concerns,</w:t>
      </w:r>
      <w:r>
        <w:rPr>
          <w:rFonts w:ascii="Arial" w:hAnsi="Arial" w:cs="Arial"/>
        </w:rPr>
        <w:t xml:space="preserve"> they</w:t>
      </w:r>
      <w:r w:rsidRPr="00CE7093">
        <w:rPr>
          <w:rFonts w:ascii="Arial" w:hAnsi="Arial" w:cs="Arial"/>
        </w:rPr>
        <w:t xml:space="preserve"> </w:t>
      </w:r>
      <w:r>
        <w:rPr>
          <w:rFonts w:ascii="Arial" w:hAnsi="Arial" w:cs="Arial"/>
        </w:rPr>
        <w:t xml:space="preserve">can </w:t>
      </w:r>
      <w:r w:rsidRPr="00CE7093">
        <w:rPr>
          <w:rFonts w:ascii="Arial" w:hAnsi="Arial" w:cs="Arial"/>
        </w:rPr>
        <w:t xml:space="preserve">block the deal entirely. If </w:t>
      </w:r>
      <w:r>
        <w:rPr>
          <w:rFonts w:ascii="Arial" w:hAnsi="Arial" w:cs="Arial"/>
        </w:rPr>
        <w:t>they</w:t>
      </w:r>
      <w:r w:rsidRPr="00CE7093">
        <w:rPr>
          <w:rFonts w:ascii="Arial" w:hAnsi="Arial" w:cs="Arial"/>
        </w:rPr>
        <w:t xml:space="preserve"> conclude that there are no</w:t>
      </w:r>
      <w:r>
        <w:rPr>
          <w:rFonts w:ascii="Arial" w:hAnsi="Arial" w:cs="Arial"/>
        </w:rPr>
        <w:t xml:space="preserve"> relevant</w:t>
      </w:r>
      <w:r w:rsidRPr="00CE7093">
        <w:rPr>
          <w:rFonts w:ascii="Arial" w:hAnsi="Arial" w:cs="Arial"/>
        </w:rPr>
        <w:t xml:space="preserve"> any public interest considerations, the Secretary of State cannot make any finding at all on the competition issues</w:t>
      </w:r>
      <w:r>
        <w:rPr>
          <w:rFonts w:ascii="Arial" w:hAnsi="Arial" w:cs="Arial"/>
        </w:rPr>
        <w:t xml:space="preserve"> (if there are any);</w:t>
      </w:r>
      <w:r w:rsidRPr="00CE7093">
        <w:rPr>
          <w:rFonts w:ascii="Arial" w:hAnsi="Arial" w:cs="Arial"/>
        </w:rPr>
        <w:t xml:space="preserve"> any such decision will be the CMA’s alone. </w:t>
      </w:r>
    </w:p>
    <w:p w14:paraId="0AE65753" w14:textId="77777777" w:rsidR="00523066" w:rsidRPr="008E51C9" w:rsidRDefault="00523066" w:rsidP="00523066">
      <w:pPr>
        <w:pStyle w:val="ListParagraph"/>
        <w:rPr>
          <w:rFonts w:ascii="Arial" w:hAnsi="Arial" w:cs="Arial"/>
        </w:rPr>
      </w:pPr>
    </w:p>
    <w:p w14:paraId="41B0C36C" w14:textId="77777777" w:rsidR="00523066" w:rsidRPr="008E51C9" w:rsidRDefault="00523066" w:rsidP="00523066">
      <w:pPr>
        <w:pStyle w:val="Guidance3"/>
      </w:pPr>
      <w:r w:rsidRPr="008E51C9">
        <w:t>Intervention in an EU merger</w:t>
      </w:r>
    </w:p>
    <w:p w14:paraId="3545EFE2" w14:textId="77777777" w:rsidR="00523066" w:rsidRPr="008E51C9" w:rsidRDefault="00523066" w:rsidP="00523066">
      <w:pPr>
        <w:pStyle w:val="ListParagraph"/>
        <w:numPr>
          <w:ilvl w:val="1"/>
          <w:numId w:val="12"/>
        </w:numPr>
        <w:ind w:hanging="792"/>
        <w:rPr>
          <w:rFonts w:ascii="Arial" w:hAnsi="Arial" w:cs="Arial"/>
        </w:rPr>
      </w:pPr>
      <w:r w:rsidRPr="008E51C9">
        <w:rPr>
          <w:rFonts w:ascii="Arial" w:hAnsi="Arial" w:cs="Arial"/>
        </w:rPr>
        <w:t xml:space="preserve">Where the Secretary of State believes that </w:t>
      </w:r>
      <w:r>
        <w:rPr>
          <w:rFonts w:ascii="Arial" w:hAnsi="Arial" w:cs="Arial"/>
        </w:rPr>
        <w:t>t</w:t>
      </w:r>
      <w:r w:rsidRPr="008E51C9">
        <w:rPr>
          <w:rFonts w:ascii="Arial" w:hAnsi="Arial" w:cs="Arial"/>
        </w:rPr>
        <w:t>he</w:t>
      </w:r>
      <w:r>
        <w:rPr>
          <w:rFonts w:ascii="Arial" w:hAnsi="Arial" w:cs="Arial"/>
        </w:rPr>
        <w:t>y</w:t>
      </w:r>
      <w:r w:rsidRPr="008E51C9">
        <w:rPr>
          <w:rFonts w:ascii="Arial" w:hAnsi="Arial" w:cs="Arial"/>
        </w:rPr>
        <w:t xml:space="preserve"> may wish to exercise </w:t>
      </w:r>
      <w:r>
        <w:rPr>
          <w:rFonts w:ascii="Arial" w:hAnsi="Arial" w:cs="Arial"/>
        </w:rPr>
        <w:t xml:space="preserve">their </w:t>
      </w:r>
      <w:r w:rsidRPr="008E51C9">
        <w:rPr>
          <w:rFonts w:ascii="Arial" w:hAnsi="Arial" w:cs="Arial"/>
        </w:rPr>
        <w:t>powers under Article 21(3) of the EU Merger Regulation to protect legitimate interests</w:t>
      </w:r>
      <w:r>
        <w:rPr>
          <w:rFonts w:ascii="Arial" w:hAnsi="Arial" w:cs="Arial"/>
        </w:rPr>
        <w:t>,</w:t>
      </w:r>
      <w:r w:rsidRPr="008E51C9">
        <w:rPr>
          <w:rFonts w:ascii="Arial" w:hAnsi="Arial" w:cs="Arial"/>
        </w:rPr>
        <w:t xml:space="preserve"> </w:t>
      </w:r>
      <w:r>
        <w:rPr>
          <w:rFonts w:ascii="Arial" w:hAnsi="Arial" w:cs="Arial"/>
        </w:rPr>
        <w:t>t</w:t>
      </w:r>
      <w:r w:rsidRPr="008E51C9">
        <w:rPr>
          <w:rFonts w:ascii="Arial" w:hAnsi="Arial" w:cs="Arial"/>
        </w:rPr>
        <w:t>he</w:t>
      </w:r>
      <w:r>
        <w:rPr>
          <w:rFonts w:ascii="Arial" w:hAnsi="Arial" w:cs="Arial"/>
        </w:rPr>
        <w:t>y</w:t>
      </w:r>
      <w:r w:rsidRPr="008E51C9">
        <w:rPr>
          <w:rFonts w:ascii="Arial" w:hAnsi="Arial" w:cs="Arial"/>
        </w:rPr>
        <w:t xml:space="preserve"> will issue a European Intervention Notice under the Enterprise Act 2002. The process then broadly follows the procedure for public interest cases described</w:t>
      </w:r>
      <w:r>
        <w:rPr>
          <w:rFonts w:ascii="Arial" w:hAnsi="Arial" w:cs="Arial"/>
        </w:rPr>
        <w:t xml:space="preserve"> above. However, the CMA would </w:t>
      </w:r>
      <w:r w:rsidRPr="008E51C9">
        <w:rPr>
          <w:rFonts w:ascii="Arial" w:hAnsi="Arial" w:cs="Arial"/>
        </w:rPr>
        <w:t>investigate and report solely on the public interest issues</w:t>
      </w:r>
      <w:r>
        <w:rPr>
          <w:rFonts w:ascii="Arial" w:hAnsi="Arial" w:cs="Arial"/>
        </w:rPr>
        <w:t>,</w:t>
      </w:r>
      <w:r w:rsidRPr="008E51C9">
        <w:rPr>
          <w:rFonts w:ascii="Arial" w:hAnsi="Arial" w:cs="Arial"/>
        </w:rPr>
        <w:t xml:space="preserve"> as the competition aspects of the case fall within the competence of the European Commission. </w:t>
      </w:r>
    </w:p>
    <w:p w14:paraId="57108F49" w14:textId="77777777" w:rsidR="00523066" w:rsidRPr="008E51C9" w:rsidRDefault="00523066" w:rsidP="00523066">
      <w:pPr>
        <w:pStyle w:val="ListParagraph"/>
        <w:rPr>
          <w:rFonts w:ascii="Arial" w:hAnsi="Arial" w:cs="Arial"/>
        </w:rPr>
      </w:pPr>
    </w:p>
    <w:p w14:paraId="3155C9B9" w14:textId="77777777" w:rsidR="00523066" w:rsidRPr="008E51C9" w:rsidRDefault="00523066" w:rsidP="00523066">
      <w:pPr>
        <w:pStyle w:val="Guidance3"/>
      </w:pPr>
      <w:r w:rsidRPr="008E51C9">
        <w:t>Judicial review</w:t>
      </w:r>
    </w:p>
    <w:p w14:paraId="43288EC1" w14:textId="77777777" w:rsidR="00523066" w:rsidRDefault="00523066" w:rsidP="00523066">
      <w:pPr>
        <w:pStyle w:val="ListParagraph"/>
        <w:numPr>
          <w:ilvl w:val="1"/>
          <w:numId w:val="12"/>
        </w:numPr>
        <w:ind w:hanging="792"/>
        <w:rPr>
          <w:rFonts w:ascii="Arial" w:hAnsi="Arial" w:cs="Arial"/>
        </w:rPr>
      </w:pPr>
      <w:r w:rsidRPr="008E51C9">
        <w:rPr>
          <w:rFonts w:ascii="Arial" w:hAnsi="Arial" w:cs="Arial"/>
        </w:rPr>
        <w:t>The Secretary of State’s decisions at each stage of the process may be challenged by a judicial review</w:t>
      </w:r>
      <w:r>
        <w:rPr>
          <w:rStyle w:val="FootnoteReference"/>
          <w:rFonts w:ascii="Arial" w:hAnsi="Arial" w:cs="Arial"/>
        </w:rPr>
        <w:footnoteReference w:id="25"/>
      </w:r>
      <w:r w:rsidRPr="008E51C9">
        <w:rPr>
          <w:rFonts w:ascii="Arial" w:hAnsi="Arial" w:cs="Arial"/>
        </w:rPr>
        <w:t xml:space="preserve">. Specifically, affected parties can request judicial review of the decision to serve (or not to serve) a Public Interest Notice, any decision that follows a Phase 1 report, or any decision that follows a Phase 2 report. In each case, the courts will scrutinise whether the Secretary of State acted in a reasonable </w:t>
      </w:r>
      <w:r>
        <w:rPr>
          <w:rFonts w:ascii="Arial" w:hAnsi="Arial" w:cs="Arial"/>
        </w:rPr>
        <w:t xml:space="preserve">and lawful </w:t>
      </w:r>
      <w:r w:rsidRPr="008E51C9">
        <w:rPr>
          <w:rFonts w:ascii="Arial" w:hAnsi="Arial" w:cs="Arial"/>
        </w:rPr>
        <w:t xml:space="preserve">manner.  </w:t>
      </w:r>
    </w:p>
    <w:p w14:paraId="05F96612" w14:textId="77777777" w:rsidR="00523066" w:rsidRDefault="00523066" w:rsidP="00523066">
      <w:pPr>
        <w:pStyle w:val="ListParagraph"/>
        <w:ind w:left="792"/>
        <w:rPr>
          <w:rFonts w:ascii="Arial" w:hAnsi="Arial" w:cs="Arial"/>
        </w:rPr>
      </w:pPr>
    </w:p>
    <w:p w14:paraId="4BCD7FDA" w14:textId="77777777" w:rsidR="00523066" w:rsidRPr="00322441" w:rsidRDefault="00523066" w:rsidP="00523066">
      <w:pPr>
        <w:rPr>
          <w:rFonts w:ascii="Arial" w:hAnsi="Arial" w:cs="Arial"/>
          <w:i/>
          <w:color w:val="1F497D"/>
        </w:rPr>
      </w:pPr>
      <w:r w:rsidRPr="001B6A55">
        <w:rPr>
          <w:rFonts w:ascii="Arial" w:hAnsi="Arial" w:cs="Arial"/>
          <w:i/>
          <w:color w:val="1F497D"/>
        </w:rPr>
        <w:t>Information sharing</w:t>
      </w:r>
    </w:p>
    <w:p w14:paraId="25AEBAB2" w14:textId="77777777" w:rsidR="00523066" w:rsidRPr="00322441" w:rsidRDefault="00523066" w:rsidP="00523066">
      <w:pPr>
        <w:pStyle w:val="ListParagraph"/>
        <w:numPr>
          <w:ilvl w:val="1"/>
          <w:numId w:val="12"/>
        </w:numPr>
        <w:ind w:hanging="792"/>
        <w:rPr>
          <w:rFonts w:ascii="Arial" w:hAnsi="Arial" w:cs="Arial"/>
        </w:rPr>
      </w:pPr>
      <w:r w:rsidRPr="00322441">
        <w:rPr>
          <w:rFonts w:ascii="Arial" w:hAnsi="Arial" w:cs="Arial"/>
        </w:rPr>
        <w:t>The Government may choose to share information provided by parties throughout the process with other parts of Government and with the CMA. However, this will always be done in accordance with its obligations under the Enterprise Act 2002 and other relevant legislation as regards the handling of confidential information.</w:t>
      </w:r>
    </w:p>
    <w:p w14:paraId="3B3CF2BD" w14:textId="77777777" w:rsidR="00523066" w:rsidRDefault="00523066" w:rsidP="00523066">
      <w:pPr>
        <w:rPr>
          <w:rFonts w:ascii="Arial" w:hAnsi="Arial" w:cs="Arial"/>
          <w:i/>
          <w:color w:val="1F497D"/>
        </w:rPr>
      </w:pPr>
    </w:p>
    <w:p w14:paraId="2C391FB8" w14:textId="77777777" w:rsidR="00523066" w:rsidRDefault="00523066" w:rsidP="00523066">
      <w:pPr>
        <w:rPr>
          <w:rFonts w:ascii="Arial" w:hAnsi="Arial" w:cs="Arial"/>
          <w:i/>
          <w:color w:val="1F497D"/>
        </w:rPr>
      </w:pPr>
    </w:p>
    <w:p w14:paraId="26828E44" w14:textId="77777777" w:rsidR="00523066" w:rsidRPr="00322441" w:rsidRDefault="00523066" w:rsidP="00523066">
      <w:pPr>
        <w:pStyle w:val="ListParagraph"/>
        <w:rPr>
          <w:rFonts w:ascii="Arial" w:hAnsi="Arial" w:cs="Arial"/>
        </w:rPr>
      </w:pPr>
    </w:p>
    <w:p w14:paraId="799897EC" w14:textId="77777777" w:rsidR="00523066" w:rsidRPr="004F475B" w:rsidRDefault="00523066" w:rsidP="00523066">
      <w:pPr>
        <w:pStyle w:val="Heading1"/>
        <w:spacing w:before="0"/>
        <w:rPr>
          <w:rFonts w:ascii="Arial" w:hAnsi="Arial" w:cs="Arial"/>
          <w:b w:val="0"/>
          <w:bCs w:val="0"/>
          <w:color w:val="1F497D"/>
          <w:sz w:val="50"/>
          <w:szCs w:val="50"/>
        </w:rPr>
      </w:pPr>
      <w:r w:rsidRPr="008E51C9">
        <w:rPr>
          <w:rFonts w:ascii="Arial" w:hAnsi="Arial" w:cs="Arial"/>
          <w:u w:val="single"/>
        </w:rPr>
        <w:br w:type="page"/>
      </w:r>
      <w:bookmarkStart w:id="19" w:name="_Toc508611551"/>
      <w:bookmarkStart w:id="20" w:name="_Toc44065809"/>
      <w:r w:rsidRPr="004F475B">
        <w:rPr>
          <w:rFonts w:ascii="Arial" w:hAnsi="Arial" w:cs="Arial"/>
          <w:color w:val="1F497D"/>
          <w:sz w:val="50"/>
          <w:szCs w:val="50"/>
        </w:rPr>
        <w:lastRenderedPageBreak/>
        <w:t xml:space="preserve">Chapter </w:t>
      </w:r>
      <w:r>
        <w:rPr>
          <w:rFonts w:ascii="Arial" w:hAnsi="Arial" w:cs="Arial"/>
          <w:color w:val="1F497D"/>
          <w:sz w:val="50"/>
          <w:szCs w:val="50"/>
        </w:rPr>
        <w:t>6</w:t>
      </w:r>
      <w:r w:rsidRPr="004F475B">
        <w:rPr>
          <w:rFonts w:ascii="Arial" w:hAnsi="Arial" w:cs="Arial"/>
          <w:color w:val="1F497D"/>
          <w:sz w:val="50"/>
          <w:szCs w:val="50"/>
        </w:rPr>
        <w:t xml:space="preserve">: </w:t>
      </w:r>
      <w:bookmarkEnd w:id="19"/>
      <w:r w:rsidRPr="00566BC6">
        <w:rPr>
          <w:rFonts w:ascii="Arial" w:hAnsi="Arial" w:cs="Arial"/>
          <w:color w:val="1F497D"/>
          <w:sz w:val="50"/>
          <w:szCs w:val="50"/>
        </w:rPr>
        <w:t>What you might wish to do as a result of the new provisions</w:t>
      </w:r>
      <w:bookmarkEnd w:id="20"/>
    </w:p>
    <w:p w14:paraId="6E09350A" w14:textId="77777777" w:rsidR="00523066" w:rsidRPr="008E51C9" w:rsidRDefault="00523066" w:rsidP="00523066">
      <w:pPr>
        <w:rPr>
          <w:rFonts w:ascii="Arial" w:hAnsi="Arial" w:cs="Arial"/>
        </w:rPr>
      </w:pPr>
    </w:p>
    <w:p w14:paraId="7244A7A8" w14:textId="31B79C3A" w:rsidR="00523066" w:rsidRPr="008E51C9" w:rsidRDefault="00592723" w:rsidP="00523066">
      <w:pPr>
        <w:rPr>
          <w:rFonts w:ascii="Arial" w:hAnsi="Arial" w:cs="Arial"/>
        </w:rPr>
      </w:pPr>
      <w:r>
        <w:rPr>
          <w:noProof/>
        </w:rPr>
        <w:pict w14:anchorId="0775151D">
          <v:shape id="Text Box 11" o:spid="_x0000_s1037" type="#_x0000_t202" style="position:absolute;margin-left:1588pt;margin-top:1.25pt;width:448.2pt;height:90.7pt;z-index: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">
            <v:textbox style="mso-fit-shape-to-text:t">
              <w:txbxContent>
                <w:p w14:paraId="5F174FFA" w14:textId="77777777" w:rsidR="00523066" w:rsidRPr="001B6A55" w:rsidRDefault="00523066" w:rsidP="00523066">
                  <w:pPr>
                    <w:pStyle w:val="Heading2"/>
                    <w:spacing w:before="0"/>
                    <w:rPr>
                      <w:rFonts w:ascii="Arial" w:hAnsi="Arial" w:cs="Arial"/>
                      <w:color w:val="1F497D"/>
                      <w:sz w:val="24"/>
                      <w:szCs w:val="24"/>
                    </w:rPr>
                  </w:pPr>
                  <w:r w:rsidRPr="001B6A55">
                    <w:rPr>
                      <w:rFonts w:ascii="Arial" w:hAnsi="Arial" w:cs="Arial"/>
                      <w:color w:val="1F497D"/>
                      <w:sz w:val="24"/>
                      <w:szCs w:val="24"/>
                    </w:rPr>
                    <w:t>Summary</w:t>
                  </w:r>
                </w:p>
                <w:p w14:paraId="1C640097" w14:textId="77777777" w:rsidR="00523066" w:rsidRDefault="00523066" w:rsidP="00523066">
                  <w:pPr>
                    <w:rPr>
                      <w:rFonts w:ascii="Arial" w:hAnsi="Arial" w:cs="Arial"/>
                    </w:rPr>
                  </w:pPr>
                </w:p>
                <w:p w14:paraId="4377615E" w14:textId="77777777" w:rsidR="00523066" w:rsidRPr="0089614F" w:rsidRDefault="00523066" w:rsidP="00523066">
                  <w:pPr>
                    <w:rPr>
                      <w:rFonts w:ascii="Arial" w:hAnsi="Arial" w:cs="Arial"/>
                    </w:rPr>
                  </w:pPr>
                  <w:r w:rsidRPr="00566BC6">
                    <w:rPr>
                      <w:rFonts w:ascii="Arial" w:hAnsi="Arial" w:cs="Arial"/>
                    </w:rPr>
                    <w:t>No immediate action is required.  However, relevant businesses or their advisors, may wish to familiarise themselves with the implications of the new public interest consideration so as to be well-placed in relation to any relevant merger or acquisition</w:t>
                  </w:r>
                </w:p>
              </w:txbxContent>
            </v:textbox>
            <w10:wrap anchorx="margin"/>
          </v:shape>
        </w:pict>
      </w:r>
    </w:p>
    <w:p w14:paraId="4EE0CEF1" w14:textId="77777777" w:rsidR="00523066" w:rsidRDefault="00523066" w:rsidP="00523066"/>
    <w:p w14:paraId="216FD795" w14:textId="77777777" w:rsidR="00523066" w:rsidRDefault="00523066" w:rsidP="00523066"/>
    <w:p w14:paraId="5AAE3569" w14:textId="77777777" w:rsidR="00523066" w:rsidRDefault="00523066" w:rsidP="00523066"/>
    <w:p w14:paraId="6843E584" w14:textId="77777777" w:rsidR="00523066" w:rsidRDefault="00523066" w:rsidP="00523066"/>
    <w:p w14:paraId="0FC8FA22" w14:textId="77777777" w:rsidR="00523066" w:rsidRDefault="00523066" w:rsidP="00523066"/>
    <w:p w14:paraId="2C30A386" w14:textId="77777777" w:rsidR="00523066" w:rsidRPr="00D502FE" w:rsidRDefault="00523066" w:rsidP="00523066"/>
    <w:p w14:paraId="60FE15DB" w14:textId="77777777" w:rsidR="00523066" w:rsidRPr="008E51C9" w:rsidRDefault="00523066" w:rsidP="00523066"/>
    <w:p w14:paraId="0E996C05" w14:textId="77777777" w:rsidR="00523066" w:rsidRPr="00566BC6" w:rsidRDefault="00523066" w:rsidP="00523066">
      <w:pPr>
        <w:pStyle w:val="Guidance2"/>
      </w:pPr>
      <w:r w:rsidRPr="00566BC6">
        <w:t xml:space="preserve">Action needed </w:t>
      </w:r>
    </w:p>
    <w:p w14:paraId="2ED1C027" w14:textId="77777777" w:rsidR="00523066" w:rsidRPr="00566BC6" w:rsidRDefault="00523066" w:rsidP="00523066">
      <w:pPr>
        <w:pStyle w:val="ListParagraph"/>
        <w:numPr>
          <w:ilvl w:val="1"/>
          <w:numId w:val="14"/>
        </w:numPr>
        <w:ind w:hanging="792"/>
        <w:rPr>
          <w:rFonts w:ascii="Arial" w:hAnsi="Arial" w:cs="Arial"/>
        </w:rPr>
      </w:pPr>
      <w:r w:rsidRPr="00566BC6">
        <w:rPr>
          <w:rFonts w:ascii="Arial" w:hAnsi="Arial" w:cs="Arial"/>
        </w:rPr>
        <w:t>The new provisions do not impose any legal obligations on any business or other private organisation or individual. Therefore, there is no need take any action as a direct consequence of the amendments coming into force.</w:t>
      </w:r>
    </w:p>
    <w:p w14:paraId="3FC564D2" w14:textId="77777777" w:rsidR="00523066" w:rsidRPr="00566BC6" w:rsidRDefault="00523066" w:rsidP="00523066">
      <w:pPr>
        <w:rPr>
          <w:rFonts w:ascii="Arial" w:hAnsi="Arial" w:cs="Arial"/>
        </w:rPr>
      </w:pPr>
    </w:p>
    <w:p w14:paraId="12B99F2A" w14:textId="77777777" w:rsidR="00523066" w:rsidRPr="00566BC6" w:rsidRDefault="00523066" w:rsidP="00523066">
      <w:pPr>
        <w:pStyle w:val="ListParagraph"/>
        <w:numPr>
          <w:ilvl w:val="1"/>
          <w:numId w:val="14"/>
        </w:numPr>
        <w:ind w:hanging="792"/>
        <w:rPr>
          <w:rFonts w:ascii="Arial" w:hAnsi="Arial" w:cs="Arial"/>
        </w:rPr>
      </w:pPr>
      <w:r w:rsidRPr="00566BC6">
        <w:rPr>
          <w:rFonts w:ascii="Arial" w:hAnsi="Arial" w:cs="Arial"/>
        </w:rPr>
        <w:t xml:space="preserve">Businesses and investors, or their advisers, may wish to familiarise themselves with the implications of the changes to the Act so as to be well placed in relation to any relevant merger or acquisition that might raise </w:t>
      </w:r>
      <w:r>
        <w:rPr>
          <w:rFonts w:ascii="Arial" w:hAnsi="Arial" w:cs="Arial"/>
        </w:rPr>
        <w:t xml:space="preserve">national security </w:t>
      </w:r>
      <w:r w:rsidRPr="00566BC6">
        <w:rPr>
          <w:rFonts w:ascii="Arial" w:hAnsi="Arial" w:cs="Arial"/>
        </w:rPr>
        <w:t>concerns</w:t>
      </w:r>
      <w:r>
        <w:rPr>
          <w:rFonts w:ascii="Arial" w:hAnsi="Arial" w:cs="Arial"/>
        </w:rPr>
        <w:t>.</w:t>
      </w:r>
    </w:p>
    <w:p w14:paraId="761BBDAF" w14:textId="77777777" w:rsidR="00523066" w:rsidRPr="00566BC6" w:rsidRDefault="00523066" w:rsidP="00523066">
      <w:pPr>
        <w:rPr>
          <w:rFonts w:ascii="Arial" w:hAnsi="Arial" w:cs="Arial"/>
        </w:rPr>
      </w:pPr>
    </w:p>
    <w:p w14:paraId="2148E1F4" w14:textId="77777777" w:rsidR="00523066" w:rsidRPr="00566BC6" w:rsidRDefault="00523066" w:rsidP="00523066">
      <w:pPr>
        <w:pStyle w:val="Guidance2"/>
      </w:pPr>
      <w:r w:rsidRPr="00566BC6">
        <w:t>Process for any merger or acquisition brought into scope by the new provisions</w:t>
      </w:r>
    </w:p>
    <w:p w14:paraId="04111F64" w14:textId="2BCC4FE3" w:rsidR="00523066" w:rsidRPr="00566BC6" w:rsidRDefault="00523066" w:rsidP="00523066">
      <w:pPr>
        <w:pStyle w:val="ListParagraph"/>
        <w:numPr>
          <w:ilvl w:val="1"/>
          <w:numId w:val="14"/>
        </w:numPr>
        <w:ind w:hanging="792"/>
        <w:rPr>
          <w:rFonts w:ascii="Arial" w:hAnsi="Arial" w:cs="Arial"/>
        </w:rPr>
      </w:pPr>
      <w:r w:rsidRPr="00566BC6">
        <w:rPr>
          <w:rFonts w:ascii="Arial" w:hAnsi="Arial" w:cs="Arial"/>
        </w:rPr>
        <w:t xml:space="preserve">For mergers and acquisition brought into scope of Government intervention as a result of the </w:t>
      </w:r>
      <w:r>
        <w:rPr>
          <w:rFonts w:ascii="Arial" w:hAnsi="Arial" w:cs="Arial"/>
        </w:rPr>
        <w:t>Orders</w:t>
      </w:r>
      <w:r w:rsidRPr="00566BC6">
        <w:rPr>
          <w:rFonts w:ascii="Arial" w:hAnsi="Arial" w:cs="Arial"/>
        </w:rPr>
        <w:t>, parties may wish to voluntarily notify BEIS of the transaction</w:t>
      </w:r>
      <w:r w:rsidR="00DE41B0">
        <w:rPr>
          <w:rFonts w:ascii="Arial" w:hAnsi="Arial" w:cs="Arial"/>
        </w:rPr>
        <w:t xml:space="preserve"> (</w:t>
      </w:r>
      <w:hyperlink r:id="rId22" w:history="1">
        <w:r w:rsidR="00170FD7" w:rsidRPr="0081556C">
          <w:rPr>
            <w:rStyle w:val="Hyperlink"/>
            <w:rFonts w:ascii="Arial" w:hAnsi="Arial" w:cs="Arial"/>
          </w:rPr>
          <w:t>publicinterestandmergers@beis.gov.uk</w:t>
        </w:r>
      </w:hyperlink>
      <w:r w:rsidR="00DE41B0">
        <w:rPr>
          <w:rFonts w:ascii="Arial" w:hAnsi="Arial" w:cs="Arial"/>
        </w:rPr>
        <w:t>)</w:t>
      </w:r>
      <w:r w:rsidRPr="00566BC6">
        <w:rPr>
          <w:rFonts w:ascii="Arial" w:hAnsi="Arial" w:cs="Arial"/>
        </w:rPr>
        <w:t>. The statutory process for Government public interest interventions will remain the same.</w:t>
      </w:r>
    </w:p>
    <w:p w14:paraId="1FEDF953" w14:textId="77777777" w:rsidR="00523066" w:rsidRPr="00566BC6" w:rsidRDefault="00523066" w:rsidP="00523066">
      <w:pPr>
        <w:pStyle w:val="ListParagraph"/>
        <w:ind w:left="792"/>
        <w:rPr>
          <w:rFonts w:ascii="Arial" w:hAnsi="Arial" w:cs="Arial"/>
        </w:rPr>
      </w:pPr>
    </w:p>
    <w:p w14:paraId="0782AF43" w14:textId="77777777" w:rsidR="00523066" w:rsidRPr="00566BC6" w:rsidRDefault="00523066" w:rsidP="00523066">
      <w:pPr>
        <w:pStyle w:val="ListParagraph"/>
        <w:numPr>
          <w:ilvl w:val="1"/>
          <w:numId w:val="14"/>
        </w:numPr>
        <w:ind w:hanging="792"/>
        <w:rPr>
          <w:rFonts w:ascii="Arial" w:hAnsi="Arial" w:cs="Arial"/>
        </w:rPr>
      </w:pPr>
      <w:r w:rsidRPr="00566BC6">
        <w:rPr>
          <w:rFonts w:ascii="Arial" w:hAnsi="Arial" w:cs="Arial"/>
        </w:rPr>
        <w:t>The Secretary of State will make intervention decisions on a case-by-case basis. To inform the Secretary of State’s decisions, central government departments’ officials will seek to work as closely as appropriate, as early as appropriate, with the parties. They will communicate directly with parties, recognising takeovers can be fast-moving. They will seek to understand and discuss (where appropriate) any concerns with a takeover, and how these might be mitigated.</w:t>
      </w:r>
    </w:p>
    <w:p w14:paraId="3B8A431B" w14:textId="77777777" w:rsidR="00523066" w:rsidRPr="00566BC6" w:rsidRDefault="00523066" w:rsidP="00523066">
      <w:pPr>
        <w:pStyle w:val="ListParagraph"/>
        <w:ind w:left="792"/>
        <w:rPr>
          <w:rFonts w:ascii="Arial" w:hAnsi="Arial" w:cs="Arial"/>
        </w:rPr>
      </w:pPr>
    </w:p>
    <w:p w14:paraId="423D2B44" w14:textId="77777777" w:rsidR="00523066" w:rsidRPr="00566BC6" w:rsidRDefault="00523066" w:rsidP="00523066">
      <w:pPr>
        <w:pStyle w:val="ListParagraph"/>
        <w:numPr>
          <w:ilvl w:val="1"/>
          <w:numId w:val="14"/>
        </w:numPr>
        <w:ind w:hanging="792"/>
        <w:rPr>
          <w:rFonts w:ascii="Arial" w:hAnsi="Arial" w:cs="Arial"/>
        </w:rPr>
      </w:pPr>
      <w:r w:rsidRPr="00566BC6">
        <w:rPr>
          <w:rFonts w:ascii="Arial" w:hAnsi="Arial" w:cs="Arial"/>
        </w:rPr>
        <w:t>Whilst the information needed to inform the Secretary of State’s intervention decisions will differ from case to case, these are likely to be informed, in part, by the following types of information:</w:t>
      </w:r>
    </w:p>
    <w:p w14:paraId="3FB19BFB" w14:textId="77777777" w:rsidR="00523066" w:rsidRPr="00566BC6" w:rsidRDefault="00523066" w:rsidP="00523066">
      <w:pPr>
        <w:pStyle w:val="ListParagraph"/>
        <w:numPr>
          <w:ilvl w:val="0"/>
          <w:numId w:val="22"/>
        </w:numPr>
        <w:rPr>
          <w:rFonts w:ascii="Arial" w:hAnsi="Arial" w:cs="Arial"/>
        </w:rPr>
      </w:pPr>
      <w:r w:rsidRPr="00566BC6">
        <w:rPr>
          <w:rFonts w:ascii="Arial" w:hAnsi="Arial" w:cs="Arial"/>
        </w:rPr>
        <w:t>which business, or part of a business, will change hands;</w:t>
      </w:r>
    </w:p>
    <w:p w14:paraId="1BB9C294" w14:textId="77777777" w:rsidR="00523066" w:rsidRPr="00566BC6" w:rsidRDefault="00523066" w:rsidP="00523066">
      <w:pPr>
        <w:pStyle w:val="ListParagraph"/>
        <w:numPr>
          <w:ilvl w:val="0"/>
          <w:numId w:val="22"/>
        </w:numPr>
        <w:rPr>
          <w:rFonts w:ascii="Arial" w:hAnsi="Arial" w:cs="Arial"/>
        </w:rPr>
      </w:pPr>
      <w:r w:rsidRPr="00566BC6">
        <w:rPr>
          <w:rFonts w:ascii="Arial" w:hAnsi="Arial" w:cs="Arial"/>
        </w:rPr>
        <w:t>who is acquiring an interest in the business or division – the individual or business name, and any existing holdings they have in these or other sectors</w:t>
      </w:r>
      <w:r>
        <w:rPr>
          <w:rFonts w:ascii="Arial" w:hAnsi="Arial" w:cs="Arial"/>
        </w:rPr>
        <w:t>;</w:t>
      </w:r>
    </w:p>
    <w:p w14:paraId="406A6BCD" w14:textId="77777777" w:rsidR="00523066" w:rsidRPr="00566BC6" w:rsidRDefault="00523066" w:rsidP="00523066">
      <w:pPr>
        <w:pStyle w:val="ListParagraph"/>
        <w:numPr>
          <w:ilvl w:val="0"/>
          <w:numId w:val="22"/>
        </w:numPr>
        <w:rPr>
          <w:rFonts w:ascii="Arial" w:hAnsi="Arial" w:cs="Arial"/>
        </w:rPr>
      </w:pPr>
      <w:r w:rsidRPr="00566BC6">
        <w:rPr>
          <w:rFonts w:ascii="Arial" w:hAnsi="Arial" w:cs="Arial"/>
        </w:rPr>
        <w:t xml:space="preserve">what influence or control that interest may give rise to – for example, how is any new business being structured, what share of voting rights will the acquirer have, or how many Board members can they appoint; </w:t>
      </w:r>
    </w:p>
    <w:p w14:paraId="4DB66E9D" w14:textId="77777777" w:rsidR="00523066" w:rsidRPr="00566BC6" w:rsidRDefault="00523066" w:rsidP="00523066">
      <w:pPr>
        <w:pStyle w:val="ListParagraph"/>
        <w:numPr>
          <w:ilvl w:val="0"/>
          <w:numId w:val="22"/>
        </w:numPr>
        <w:rPr>
          <w:rFonts w:ascii="Arial" w:hAnsi="Arial" w:cs="Arial"/>
        </w:rPr>
      </w:pPr>
      <w:r w:rsidRPr="00566BC6">
        <w:rPr>
          <w:rFonts w:ascii="Arial" w:hAnsi="Arial" w:cs="Arial"/>
        </w:rPr>
        <w:t>how could that influence or control be manifested</w:t>
      </w:r>
      <w:r>
        <w:rPr>
          <w:rFonts w:ascii="Arial" w:hAnsi="Arial" w:cs="Arial"/>
        </w:rPr>
        <w:t>;</w:t>
      </w:r>
    </w:p>
    <w:p w14:paraId="6ABE6063" w14:textId="77777777" w:rsidR="00523066" w:rsidRPr="00566BC6" w:rsidRDefault="00523066" w:rsidP="00523066">
      <w:pPr>
        <w:pStyle w:val="ListParagraph"/>
        <w:numPr>
          <w:ilvl w:val="0"/>
          <w:numId w:val="22"/>
        </w:numPr>
        <w:rPr>
          <w:rFonts w:ascii="Arial" w:hAnsi="Arial" w:cs="Arial"/>
        </w:rPr>
      </w:pPr>
      <w:r w:rsidRPr="00566BC6">
        <w:rPr>
          <w:rFonts w:ascii="Arial" w:hAnsi="Arial" w:cs="Arial"/>
        </w:rPr>
        <w:lastRenderedPageBreak/>
        <w:t>any proposed mitigations that the parties propose in order to deal with Government’s concerns; and</w:t>
      </w:r>
      <w:r>
        <w:rPr>
          <w:rFonts w:ascii="Arial" w:hAnsi="Arial" w:cs="Arial"/>
        </w:rPr>
        <w:t>,</w:t>
      </w:r>
    </w:p>
    <w:p w14:paraId="2484B0A0" w14:textId="77777777" w:rsidR="00523066" w:rsidRPr="00566BC6" w:rsidRDefault="00523066" w:rsidP="00523066">
      <w:pPr>
        <w:pStyle w:val="ListParagraph"/>
        <w:numPr>
          <w:ilvl w:val="0"/>
          <w:numId w:val="22"/>
        </w:numPr>
        <w:rPr>
          <w:rFonts w:ascii="Arial" w:hAnsi="Arial" w:cs="Arial"/>
        </w:rPr>
      </w:pPr>
      <w:r w:rsidRPr="00566BC6">
        <w:rPr>
          <w:rFonts w:ascii="Arial" w:hAnsi="Arial" w:cs="Arial"/>
        </w:rPr>
        <w:t xml:space="preserve">with whom Government should engage. </w:t>
      </w:r>
    </w:p>
    <w:p w14:paraId="1178AADE" w14:textId="77777777" w:rsidR="00523066" w:rsidRPr="00566BC6" w:rsidRDefault="00523066" w:rsidP="00523066">
      <w:pPr>
        <w:pStyle w:val="ListParagraph"/>
        <w:ind w:left="792"/>
        <w:rPr>
          <w:rFonts w:ascii="Arial" w:hAnsi="Arial" w:cs="Arial"/>
        </w:rPr>
      </w:pPr>
    </w:p>
    <w:p w14:paraId="5D3FB7BA" w14:textId="77777777" w:rsidR="00523066" w:rsidRPr="00566BC6" w:rsidRDefault="00523066" w:rsidP="00523066">
      <w:pPr>
        <w:pStyle w:val="ListParagraph"/>
        <w:numPr>
          <w:ilvl w:val="1"/>
          <w:numId w:val="14"/>
        </w:numPr>
        <w:ind w:hanging="792"/>
        <w:rPr>
          <w:rFonts w:ascii="Arial" w:hAnsi="Arial" w:cs="Arial"/>
        </w:rPr>
      </w:pPr>
      <w:r w:rsidRPr="00566BC6">
        <w:rPr>
          <w:rFonts w:ascii="Arial" w:hAnsi="Arial" w:cs="Arial"/>
        </w:rPr>
        <w:t>The process for public interest interventions has previously been set out by the CMA in its guidance “Mergers - the CMA’s jurisdiction and procedure: CMA2”</w:t>
      </w:r>
      <w:r w:rsidRPr="00566BC6">
        <w:rPr>
          <w:rFonts w:ascii="Arial" w:hAnsi="Arial" w:cs="Arial"/>
          <w:vertAlign w:val="superscript"/>
        </w:rPr>
        <w:footnoteReference w:id="26"/>
      </w:r>
      <w:r>
        <w:rPr>
          <w:rFonts w:ascii="Arial" w:hAnsi="Arial" w:cs="Arial"/>
        </w:rPr>
        <w:t>.</w:t>
      </w:r>
    </w:p>
    <w:p w14:paraId="7078336F" w14:textId="77777777" w:rsidR="00523066" w:rsidRPr="00566BC6" w:rsidRDefault="00523066" w:rsidP="00523066">
      <w:pPr>
        <w:pStyle w:val="ListParagraph"/>
        <w:ind w:left="792"/>
        <w:rPr>
          <w:rFonts w:ascii="Arial" w:hAnsi="Arial" w:cs="Arial"/>
        </w:rPr>
      </w:pPr>
    </w:p>
    <w:p w14:paraId="4E5A137F" w14:textId="77777777" w:rsidR="00523066" w:rsidRPr="00566BC6" w:rsidRDefault="00523066" w:rsidP="00523066">
      <w:pPr>
        <w:pStyle w:val="ListParagraph"/>
        <w:numPr>
          <w:ilvl w:val="1"/>
          <w:numId w:val="14"/>
        </w:numPr>
        <w:ind w:hanging="792"/>
        <w:rPr>
          <w:rFonts w:ascii="Arial" w:hAnsi="Arial" w:cs="Arial"/>
        </w:rPr>
      </w:pPr>
      <w:r w:rsidRPr="00566BC6">
        <w:rPr>
          <w:rFonts w:ascii="Arial" w:hAnsi="Arial" w:cs="Arial"/>
        </w:rPr>
        <w:t xml:space="preserve">BEIS welcomes parties’ notification of mergers and acquisitions which might raise concerns as early as possible. This can allow it to begin its assessment process. Where relevant, it can also allow Government to say that it has no present public interest concerns with a deal so that parties can choose to proceed subject to any competition assessment that may be relevant and other regulatory processes. However, parties should note that such an indication is subject to change as other information may come to light, or relevant circumstances may change.  </w:t>
      </w:r>
    </w:p>
    <w:p w14:paraId="70AAD7CF" w14:textId="77777777" w:rsidR="00523066" w:rsidRPr="008E51C9" w:rsidRDefault="00523066" w:rsidP="00523066">
      <w:pPr>
        <w:pStyle w:val="ListParagraph"/>
        <w:rPr>
          <w:rFonts w:ascii="Arial" w:hAnsi="Arial" w:cs="Arial"/>
        </w:rPr>
      </w:pPr>
    </w:p>
    <w:p w14:paraId="652616E2" w14:textId="77777777" w:rsidR="00523066" w:rsidRPr="00566BC6" w:rsidRDefault="00523066" w:rsidP="00523066">
      <w:pPr>
        <w:pStyle w:val="ListParagraph"/>
        <w:numPr>
          <w:ilvl w:val="1"/>
          <w:numId w:val="14"/>
        </w:numPr>
        <w:ind w:hanging="792"/>
        <w:rPr>
          <w:rFonts w:ascii="Arial" w:hAnsi="Arial" w:cs="Arial"/>
          <w:color w:val="000000"/>
        </w:rPr>
      </w:pPr>
      <w:r w:rsidRPr="00566BC6">
        <w:rPr>
          <w:rFonts w:ascii="Arial" w:hAnsi="Arial" w:cs="Arial"/>
        </w:rPr>
        <w:t>Relevant enterprises, or their advisers, may wish to familiarise themselves with the implications of the changes to the Act so as to be well placed ahead of any relevant merger in future that might raise national security-related concerns.</w:t>
      </w:r>
      <w:r>
        <w:rPr>
          <w:rFonts w:ascii="Arial" w:hAnsi="Arial" w:cs="Arial"/>
        </w:rPr>
        <w:t xml:space="preserve"> These parties </w:t>
      </w:r>
      <w:r w:rsidRPr="00566BC6">
        <w:rPr>
          <w:rFonts w:ascii="Arial" w:hAnsi="Arial" w:cs="Arial"/>
          <w:color w:val="000000"/>
        </w:rPr>
        <w:t xml:space="preserve">should contact their existing government contact or the department that has responsibility for their area of the economy. </w:t>
      </w:r>
    </w:p>
    <w:p w14:paraId="0148D185" w14:textId="77777777" w:rsidR="00523066" w:rsidRPr="00B90F5E" w:rsidRDefault="00523066" w:rsidP="00523066">
      <w:pPr>
        <w:pStyle w:val="ListParagraph"/>
        <w:ind w:left="792"/>
        <w:rPr>
          <w:rFonts w:ascii="Arial" w:hAnsi="Arial" w:cs="Arial"/>
          <w:color w:val="000000"/>
        </w:rPr>
      </w:pPr>
    </w:p>
    <w:p w14:paraId="619A80A1" w14:textId="52C29170" w:rsidR="00523066" w:rsidRPr="00B90F5E" w:rsidRDefault="00523066" w:rsidP="00523066">
      <w:pPr>
        <w:pStyle w:val="ListParagraph"/>
        <w:numPr>
          <w:ilvl w:val="1"/>
          <w:numId w:val="14"/>
        </w:numPr>
        <w:ind w:hanging="792"/>
        <w:rPr>
          <w:rFonts w:ascii="Arial" w:hAnsi="Arial" w:cs="Arial"/>
          <w:color w:val="000000"/>
        </w:rPr>
      </w:pPr>
      <w:r w:rsidRPr="00B90F5E">
        <w:rPr>
          <w:rFonts w:ascii="Arial" w:hAnsi="Arial" w:cs="Arial"/>
          <w:color w:val="000000"/>
        </w:rPr>
        <w:t xml:space="preserve">If businesses or investors wish to discuss </w:t>
      </w:r>
      <w:r>
        <w:rPr>
          <w:rFonts w:ascii="Arial" w:hAnsi="Arial" w:cs="Arial"/>
          <w:color w:val="000000"/>
        </w:rPr>
        <w:t>the Orders</w:t>
      </w:r>
      <w:r w:rsidR="00477257">
        <w:rPr>
          <w:rFonts w:ascii="Arial" w:hAnsi="Arial" w:cs="Arial"/>
          <w:color w:val="000000"/>
        </w:rPr>
        <w:t xml:space="preserve"> they</w:t>
      </w:r>
      <w:r w:rsidRPr="00B90F5E">
        <w:rPr>
          <w:rFonts w:ascii="Arial" w:hAnsi="Arial" w:cs="Arial"/>
          <w:color w:val="000000"/>
        </w:rPr>
        <w:t xml:space="preserve"> should </w:t>
      </w:r>
      <w:r w:rsidRPr="00E552FC">
        <w:rPr>
          <w:rFonts w:ascii="Arial" w:hAnsi="Arial" w:cs="Arial"/>
          <w:color w:val="000000"/>
        </w:rPr>
        <w:t xml:space="preserve">contact </w:t>
      </w:r>
      <w:hyperlink r:id="rId23" w:history="1">
        <w:r w:rsidRPr="0098706A">
          <w:rPr>
            <w:rStyle w:val="Hyperlink"/>
            <w:rFonts w:ascii="Arial" w:hAnsi="Arial" w:cs="Arial"/>
          </w:rPr>
          <w:t>NSIIReview@beis.gov.uk</w:t>
        </w:r>
      </w:hyperlink>
      <w:r w:rsidRPr="00E552FC">
        <w:rPr>
          <w:rFonts w:ascii="Arial" w:hAnsi="Arial" w:cs="Arial"/>
          <w:color w:val="000000"/>
        </w:rPr>
        <w:t>. Like this guidance, any such discussion cannot change the legal scope of the Orders</w:t>
      </w:r>
      <w:r w:rsidRPr="00B90F5E">
        <w:rPr>
          <w:rFonts w:ascii="Arial" w:hAnsi="Arial" w:cs="Arial"/>
          <w:color w:val="000000"/>
        </w:rPr>
        <w:t xml:space="preserve"> and cannot be considered binding. If businesses or investors are considering a merger it may be advisable to seek independent legal advice.</w:t>
      </w:r>
    </w:p>
    <w:p w14:paraId="7F458BDC" w14:textId="77777777" w:rsidR="00523066" w:rsidRPr="00590523" w:rsidRDefault="00523066" w:rsidP="00523066">
      <w:pPr>
        <w:pStyle w:val="ListParagraph"/>
        <w:ind w:left="792"/>
        <w:rPr>
          <w:rFonts w:ascii="Arial" w:hAnsi="Arial" w:cs="Arial"/>
        </w:rPr>
      </w:pPr>
    </w:p>
    <w:p w14:paraId="2A136764" w14:textId="77777777" w:rsidR="00523066" w:rsidRPr="00E42D64" w:rsidRDefault="00523066" w:rsidP="00523066">
      <w:pPr>
        <w:ind w:left="360"/>
        <w:rPr>
          <w:rFonts w:ascii="Arial" w:hAnsi="Arial" w:cs="Arial"/>
        </w:rPr>
      </w:pPr>
    </w:p>
    <w:p w14:paraId="45723388" w14:textId="77777777" w:rsidR="00523066" w:rsidRPr="008E51C9" w:rsidRDefault="00523066" w:rsidP="00523066">
      <w:pPr>
        <w:pStyle w:val="ListParagraph"/>
        <w:rPr>
          <w:rFonts w:ascii="Arial" w:hAnsi="Arial" w:cs="Arial"/>
        </w:rPr>
      </w:pPr>
    </w:p>
    <w:p w14:paraId="492FB7D4" w14:textId="77777777" w:rsidR="00523066" w:rsidRPr="008E51C9" w:rsidRDefault="00523066" w:rsidP="00523066">
      <w:pPr>
        <w:pStyle w:val="ListParagraph"/>
        <w:rPr>
          <w:rFonts w:ascii="Arial" w:hAnsi="Arial" w:cs="Arial"/>
        </w:rPr>
      </w:pPr>
    </w:p>
    <w:p w14:paraId="46AC2E89" w14:textId="77777777" w:rsidR="00523066" w:rsidRPr="008E51C9" w:rsidRDefault="00523066" w:rsidP="00523066">
      <w:pPr>
        <w:pStyle w:val="ListParagraph"/>
        <w:rPr>
          <w:rFonts w:ascii="Arial" w:hAnsi="Arial" w:cs="Arial"/>
        </w:rPr>
      </w:pPr>
    </w:p>
    <w:p w14:paraId="56821489" w14:textId="77777777" w:rsidR="00523066" w:rsidRPr="008E51C9" w:rsidRDefault="00523066" w:rsidP="00523066">
      <w:pPr>
        <w:pStyle w:val="ListParagraph"/>
        <w:rPr>
          <w:rFonts w:ascii="Arial" w:hAnsi="Arial" w:cs="Arial"/>
        </w:rPr>
      </w:pPr>
    </w:p>
    <w:p w14:paraId="575AB2A5" w14:textId="77777777" w:rsidR="00523066" w:rsidRPr="008E51C9" w:rsidRDefault="00523066" w:rsidP="00523066">
      <w:pPr>
        <w:rPr>
          <w:rFonts w:ascii="Arial" w:hAnsi="Arial" w:cs="Arial"/>
        </w:rPr>
      </w:pPr>
    </w:p>
    <w:p w14:paraId="4D844CD7" w14:textId="77777777" w:rsidR="00523066" w:rsidRPr="00252633" w:rsidRDefault="00523066" w:rsidP="00523066"/>
    <w:p w14:paraId="34C9ED86" w14:textId="77777777" w:rsidR="00D714FD" w:rsidRPr="008E51C9" w:rsidRDefault="00D714FD">
      <w:pPr>
        <w:rPr>
          <w:rFonts w:ascii="Arial" w:hAnsi="Arial" w:cs="Arial"/>
        </w:rPr>
        <w:sectPr w:rsidR="00D714FD" w:rsidRPr="008E51C9" w:rsidSect="00974CB1">
          <w:headerReference w:type="even" r:id="rId24"/>
          <w:headerReference w:type="default" r:id="rId25"/>
          <w:footerReference w:type="even" r:id="rId26"/>
          <w:footerReference w:type="default" r:id="rId27"/>
          <w:headerReference w:type="first" r:id="rId28"/>
          <w:footerReference w:type="first" r:id="rId29"/>
          <w:pgSz w:w="11906" w:h="16838"/>
          <w:pgMar w:top="1468" w:right="1440" w:bottom="1440" w:left="1440" w:header="708" w:footer="708" w:gutter="0"/>
          <w:cols w:space="708"/>
          <w:docGrid w:linePitch="360"/>
        </w:sectPr>
      </w:pPr>
    </w:p>
    <w:p w14:paraId="7AC4A289" w14:textId="649C5981" w:rsidR="00DE41B0" w:rsidRPr="008E51C9" w:rsidRDefault="00DE41B0" w:rsidP="00DE41B0">
      <w:pPr>
        <w:pStyle w:val="Guidance1"/>
      </w:pPr>
      <w:bookmarkStart w:id="21" w:name="_Toc44065810"/>
      <w:r>
        <w:lastRenderedPageBreak/>
        <w:t>Annex A – contact details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E41B0" w:rsidRPr="00C50DCD" w14:paraId="3681684D" w14:textId="77777777" w:rsidTr="00C50DCD">
        <w:tc>
          <w:tcPr>
            <w:tcW w:w="4621" w:type="dxa"/>
            <w:shd w:val="clear" w:color="auto" w:fill="auto"/>
          </w:tcPr>
          <w:p w14:paraId="71C84361" w14:textId="00914F9E" w:rsidR="00DE41B0" w:rsidRPr="00C50DCD" w:rsidRDefault="00DE41B0" w:rsidP="00C50DCD">
            <w:pPr>
              <w:pStyle w:val="BackSheetFooter"/>
              <w:jc w:val="center"/>
              <w:rPr>
                <w:rFonts w:cs="Arial"/>
              </w:rPr>
            </w:pPr>
            <w:r w:rsidRPr="00C50DCD">
              <w:rPr>
                <w:b/>
                <w:bCs/>
              </w:rPr>
              <w:t>Area(s)</w:t>
            </w:r>
          </w:p>
        </w:tc>
        <w:tc>
          <w:tcPr>
            <w:tcW w:w="4621" w:type="dxa"/>
            <w:shd w:val="clear" w:color="auto" w:fill="auto"/>
          </w:tcPr>
          <w:p w14:paraId="2ACDDC19" w14:textId="4D8AAFBC" w:rsidR="00DE41B0" w:rsidRPr="00C50DCD" w:rsidRDefault="00DE41B0" w:rsidP="00C50DCD">
            <w:pPr>
              <w:pStyle w:val="BackSheetFooter"/>
              <w:jc w:val="center"/>
              <w:rPr>
                <w:rFonts w:cs="Arial"/>
              </w:rPr>
            </w:pPr>
            <w:r w:rsidRPr="00C50DCD">
              <w:rPr>
                <w:b/>
                <w:bCs/>
              </w:rPr>
              <w:t>Contact</w:t>
            </w:r>
          </w:p>
        </w:tc>
      </w:tr>
      <w:tr w:rsidR="00DE41B0" w:rsidRPr="00C50DCD" w14:paraId="493186C1" w14:textId="77777777" w:rsidTr="00C50DCD">
        <w:tc>
          <w:tcPr>
            <w:tcW w:w="4621" w:type="dxa"/>
            <w:shd w:val="clear" w:color="auto" w:fill="auto"/>
          </w:tcPr>
          <w:p w14:paraId="1D8B14D0" w14:textId="1FA832D4" w:rsidR="00DE41B0" w:rsidRPr="00C50DCD" w:rsidRDefault="00DE41B0" w:rsidP="00DE41B0">
            <w:pPr>
              <w:pStyle w:val="BackSheetFooter"/>
              <w:rPr>
                <w:rFonts w:cs="Arial"/>
              </w:rPr>
            </w:pPr>
            <w:r w:rsidRPr="00C50DCD">
              <w:rPr>
                <w:rFonts w:cs="Arial"/>
              </w:rPr>
              <w:t xml:space="preserve">Military </w:t>
            </w:r>
          </w:p>
        </w:tc>
        <w:tc>
          <w:tcPr>
            <w:tcW w:w="4621" w:type="dxa"/>
            <w:shd w:val="clear" w:color="auto" w:fill="auto"/>
          </w:tcPr>
          <w:p w14:paraId="19AD3750" w14:textId="77777777" w:rsidR="00DE41B0" w:rsidRPr="00C50DCD" w:rsidRDefault="00592723" w:rsidP="00DE41B0">
            <w:pPr>
              <w:pStyle w:val="BackSheetFooter"/>
              <w:rPr>
                <w:rFonts w:cs="Arial"/>
              </w:rPr>
            </w:pPr>
            <w:hyperlink r:id="rId30" w:history="1">
              <w:r w:rsidR="00DE41B0" w:rsidRPr="00C50DCD">
                <w:rPr>
                  <w:rStyle w:val="Hyperlink"/>
                  <w:rFonts w:cs="Arial"/>
                </w:rPr>
                <w:t>NSII-Defence@mod.gov.uk</w:t>
              </w:r>
            </w:hyperlink>
            <w:r w:rsidR="00DE41B0" w:rsidRPr="00C50DCD">
              <w:rPr>
                <w:rFonts w:cs="Arial"/>
              </w:rPr>
              <w:t xml:space="preserve">   </w:t>
            </w:r>
          </w:p>
          <w:p w14:paraId="7BAA23EF" w14:textId="191D720E" w:rsidR="00DE41B0" w:rsidRPr="00C50DCD" w:rsidRDefault="00DE41B0" w:rsidP="00DE41B0">
            <w:pPr>
              <w:pStyle w:val="BackSheetFooter"/>
              <w:rPr>
                <w:rFonts w:cs="Arial"/>
              </w:rPr>
            </w:pPr>
          </w:p>
        </w:tc>
      </w:tr>
      <w:tr w:rsidR="00DE41B0" w:rsidRPr="00C50DCD" w14:paraId="0CAADC13" w14:textId="77777777" w:rsidTr="00C50DCD">
        <w:tc>
          <w:tcPr>
            <w:tcW w:w="4621" w:type="dxa"/>
            <w:shd w:val="clear" w:color="auto" w:fill="auto"/>
          </w:tcPr>
          <w:p w14:paraId="0C0B6891" w14:textId="2404A888" w:rsidR="00DE41B0" w:rsidRPr="00C50DCD" w:rsidRDefault="00DE41B0" w:rsidP="00DE41B0">
            <w:pPr>
              <w:pStyle w:val="BackSheetFooter"/>
              <w:rPr>
                <w:rFonts w:cs="Arial"/>
              </w:rPr>
            </w:pPr>
            <w:r w:rsidRPr="00C50DCD">
              <w:rPr>
                <w:rFonts w:cs="Arial"/>
              </w:rPr>
              <w:t>Dual-use, Artificial Intelligence, cryptographic authentication technology, advanced materials</w:t>
            </w:r>
          </w:p>
        </w:tc>
        <w:tc>
          <w:tcPr>
            <w:tcW w:w="4621" w:type="dxa"/>
            <w:shd w:val="clear" w:color="auto" w:fill="auto"/>
          </w:tcPr>
          <w:p w14:paraId="781357D5" w14:textId="77777777" w:rsidR="00DE41B0" w:rsidRPr="00C50DCD" w:rsidRDefault="00DE41B0" w:rsidP="00DE41B0">
            <w:pPr>
              <w:pStyle w:val="BackSheetFooter"/>
              <w:rPr>
                <w:rFonts w:cs="Arial"/>
              </w:rPr>
            </w:pPr>
            <w:r w:rsidRPr="00C50DCD">
              <w:rPr>
                <w:rFonts w:cs="Arial"/>
              </w:rPr>
              <w:t xml:space="preserve">Parties should contact their existing Government contact. Where there is not a clear email contact </w:t>
            </w:r>
            <w:hyperlink r:id="rId31" w:history="1">
              <w:r w:rsidRPr="00C50DCD">
                <w:rPr>
                  <w:rStyle w:val="Hyperlink"/>
                  <w:rFonts w:cs="Arial"/>
                </w:rPr>
                <w:t>publicinterestandmergers@beis.gov.uk</w:t>
              </w:r>
            </w:hyperlink>
            <w:r w:rsidRPr="00C50DCD">
              <w:rPr>
                <w:rFonts w:cs="Arial"/>
              </w:rPr>
              <w:t xml:space="preserve">  </w:t>
            </w:r>
          </w:p>
          <w:p w14:paraId="2CB73CF9" w14:textId="62126E03" w:rsidR="00DE41B0" w:rsidRPr="00C50DCD" w:rsidRDefault="00DE41B0" w:rsidP="00DE41B0">
            <w:pPr>
              <w:pStyle w:val="BackSheetFooter"/>
              <w:rPr>
                <w:rFonts w:cs="Arial"/>
              </w:rPr>
            </w:pPr>
          </w:p>
        </w:tc>
      </w:tr>
      <w:tr w:rsidR="00DE41B0" w:rsidRPr="00C50DCD" w14:paraId="343DC41E" w14:textId="77777777" w:rsidTr="00C50DCD">
        <w:tc>
          <w:tcPr>
            <w:tcW w:w="4621" w:type="dxa"/>
            <w:shd w:val="clear" w:color="auto" w:fill="auto"/>
          </w:tcPr>
          <w:p w14:paraId="11C9808C" w14:textId="2BEA4807" w:rsidR="00DE41B0" w:rsidRPr="00C50DCD" w:rsidRDefault="00DE41B0" w:rsidP="00DE41B0">
            <w:pPr>
              <w:pStyle w:val="BackSheetFooter"/>
              <w:rPr>
                <w:rFonts w:cs="Arial"/>
              </w:rPr>
            </w:pPr>
            <w:r w:rsidRPr="00C50DCD">
              <w:rPr>
                <w:rFonts w:cs="Arial"/>
              </w:rPr>
              <w:t xml:space="preserve">Computing hardware </w:t>
            </w:r>
          </w:p>
        </w:tc>
        <w:tc>
          <w:tcPr>
            <w:tcW w:w="4621" w:type="dxa"/>
            <w:shd w:val="clear" w:color="auto" w:fill="auto"/>
          </w:tcPr>
          <w:p w14:paraId="344CD6D8" w14:textId="77777777" w:rsidR="00DE41B0" w:rsidRPr="00C50DCD" w:rsidRDefault="00592723" w:rsidP="00DE41B0">
            <w:pPr>
              <w:pStyle w:val="BackSheetFooter"/>
              <w:rPr>
                <w:rFonts w:cs="Arial"/>
              </w:rPr>
            </w:pPr>
            <w:hyperlink r:id="rId32" w:history="1">
              <w:r w:rsidR="00DE41B0" w:rsidRPr="00C50DCD">
                <w:rPr>
                  <w:rStyle w:val="Hyperlink"/>
                  <w:rFonts w:cs="Arial"/>
                </w:rPr>
                <w:t>NSII.ComputingHardware@beis.gov.uk</w:t>
              </w:r>
            </w:hyperlink>
            <w:r w:rsidR="00DE41B0" w:rsidRPr="00C50DCD">
              <w:rPr>
                <w:rFonts w:cs="Arial"/>
              </w:rPr>
              <w:t xml:space="preserve">  </w:t>
            </w:r>
          </w:p>
          <w:p w14:paraId="7A5544CF" w14:textId="252FC2B1" w:rsidR="00DE41B0" w:rsidRPr="00C50DCD" w:rsidRDefault="00DE41B0" w:rsidP="00DE41B0">
            <w:pPr>
              <w:pStyle w:val="BackSheetFooter"/>
              <w:rPr>
                <w:rFonts w:cs="Arial"/>
              </w:rPr>
            </w:pPr>
          </w:p>
        </w:tc>
      </w:tr>
      <w:tr w:rsidR="00DE41B0" w:rsidRPr="00C50DCD" w14:paraId="6C4CF363" w14:textId="77777777" w:rsidTr="00C50DCD">
        <w:tc>
          <w:tcPr>
            <w:tcW w:w="4621" w:type="dxa"/>
            <w:shd w:val="clear" w:color="auto" w:fill="auto"/>
          </w:tcPr>
          <w:p w14:paraId="409983BF" w14:textId="275E4EAF" w:rsidR="00DE41B0" w:rsidRPr="00C50DCD" w:rsidRDefault="00DE41B0" w:rsidP="00DE41B0">
            <w:pPr>
              <w:pStyle w:val="BackSheetFooter"/>
              <w:rPr>
                <w:rFonts w:cs="Arial"/>
              </w:rPr>
            </w:pPr>
            <w:r w:rsidRPr="00C50DCD">
              <w:rPr>
                <w:rFonts w:cs="Arial"/>
              </w:rPr>
              <w:t xml:space="preserve">Quantum technologies </w:t>
            </w:r>
          </w:p>
        </w:tc>
        <w:tc>
          <w:tcPr>
            <w:tcW w:w="4621" w:type="dxa"/>
            <w:shd w:val="clear" w:color="auto" w:fill="auto"/>
          </w:tcPr>
          <w:p w14:paraId="23FA33F4" w14:textId="77777777" w:rsidR="00DE41B0" w:rsidRPr="00C50DCD" w:rsidRDefault="00592723" w:rsidP="00DE41B0">
            <w:pPr>
              <w:pStyle w:val="BackSheetFooter"/>
              <w:rPr>
                <w:rFonts w:cs="Arial"/>
              </w:rPr>
            </w:pPr>
            <w:hyperlink r:id="rId33" w:history="1">
              <w:r w:rsidR="00DE41B0" w:rsidRPr="00C50DCD">
                <w:rPr>
                  <w:rStyle w:val="Hyperlink"/>
                  <w:rFonts w:cs="Arial"/>
                </w:rPr>
                <w:t>NSII-Quantum@culture.gov.uk</w:t>
              </w:r>
            </w:hyperlink>
            <w:r w:rsidR="00DE41B0" w:rsidRPr="00C50DCD">
              <w:rPr>
                <w:rFonts w:cs="Arial"/>
              </w:rPr>
              <w:t xml:space="preserve">  </w:t>
            </w:r>
          </w:p>
          <w:p w14:paraId="5C600FDA" w14:textId="02DAEE72" w:rsidR="00DE41B0" w:rsidRPr="00C50DCD" w:rsidRDefault="00DE41B0" w:rsidP="00DE41B0">
            <w:pPr>
              <w:pStyle w:val="BackSheetFooter"/>
              <w:rPr>
                <w:rFonts w:cs="Arial"/>
              </w:rPr>
            </w:pPr>
          </w:p>
        </w:tc>
      </w:tr>
      <w:tr w:rsidR="00DE41B0" w:rsidRPr="00C50DCD" w14:paraId="2464AF35" w14:textId="77777777" w:rsidTr="00C50DCD">
        <w:tc>
          <w:tcPr>
            <w:tcW w:w="4621" w:type="dxa"/>
            <w:shd w:val="clear" w:color="auto" w:fill="auto"/>
          </w:tcPr>
          <w:p w14:paraId="5F220AF5" w14:textId="7C7D5ECF" w:rsidR="00DE41B0" w:rsidRPr="00C50DCD" w:rsidRDefault="00DE41B0" w:rsidP="00DE41B0">
            <w:pPr>
              <w:pStyle w:val="BackSheetFooter"/>
              <w:rPr>
                <w:rFonts w:cs="Arial"/>
              </w:rPr>
            </w:pPr>
            <w:r w:rsidRPr="00C50DCD">
              <w:rPr>
                <w:rFonts w:cs="Arial"/>
              </w:rPr>
              <w:t xml:space="preserve">Public interest and Mergers generally </w:t>
            </w:r>
          </w:p>
        </w:tc>
        <w:tc>
          <w:tcPr>
            <w:tcW w:w="4621" w:type="dxa"/>
            <w:shd w:val="clear" w:color="auto" w:fill="auto"/>
          </w:tcPr>
          <w:p w14:paraId="51B1F4DB" w14:textId="77777777" w:rsidR="00DE41B0" w:rsidRPr="00C50DCD" w:rsidRDefault="00592723" w:rsidP="00DE41B0">
            <w:pPr>
              <w:pStyle w:val="BackSheetFooter"/>
              <w:rPr>
                <w:rFonts w:cs="Arial"/>
              </w:rPr>
            </w:pPr>
            <w:hyperlink r:id="rId34" w:history="1">
              <w:r w:rsidR="00DE41B0" w:rsidRPr="00C50DCD">
                <w:rPr>
                  <w:rStyle w:val="Hyperlink"/>
                  <w:rFonts w:cs="Arial"/>
                </w:rPr>
                <w:t>publicinterestandmergers@beis.gov.uk</w:t>
              </w:r>
            </w:hyperlink>
            <w:r w:rsidR="00DE41B0" w:rsidRPr="00C50DCD">
              <w:rPr>
                <w:rFonts w:cs="Arial"/>
              </w:rPr>
              <w:t xml:space="preserve">  </w:t>
            </w:r>
          </w:p>
          <w:p w14:paraId="380B4BB8" w14:textId="50A7D562" w:rsidR="00DE41B0" w:rsidRPr="00C50DCD" w:rsidRDefault="00DE41B0" w:rsidP="00DE41B0">
            <w:pPr>
              <w:pStyle w:val="BackSheetFooter"/>
              <w:rPr>
                <w:rFonts w:cs="Arial"/>
              </w:rPr>
            </w:pPr>
          </w:p>
        </w:tc>
      </w:tr>
      <w:tr w:rsidR="00DE41B0" w:rsidRPr="00C50DCD" w14:paraId="0285078D" w14:textId="77777777" w:rsidTr="00C50DCD">
        <w:tc>
          <w:tcPr>
            <w:tcW w:w="4621" w:type="dxa"/>
            <w:shd w:val="clear" w:color="auto" w:fill="auto"/>
          </w:tcPr>
          <w:p w14:paraId="45A2442B" w14:textId="7319EFD0" w:rsidR="00DE41B0" w:rsidRPr="00C50DCD" w:rsidRDefault="00DE41B0" w:rsidP="00DE41B0">
            <w:pPr>
              <w:pStyle w:val="BackSheetFooter"/>
              <w:rPr>
                <w:rFonts w:cs="Arial"/>
              </w:rPr>
            </w:pPr>
            <w:r w:rsidRPr="00C50DCD">
              <w:rPr>
                <w:rFonts w:cs="Arial"/>
              </w:rPr>
              <w:t xml:space="preserve">General queries </w:t>
            </w:r>
          </w:p>
        </w:tc>
        <w:tc>
          <w:tcPr>
            <w:tcW w:w="4621" w:type="dxa"/>
            <w:shd w:val="clear" w:color="auto" w:fill="auto"/>
          </w:tcPr>
          <w:p w14:paraId="54258B66" w14:textId="77777777" w:rsidR="00DE41B0" w:rsidRPr="00C50DCD" w:rsidRDefault="00592723" w:rsidP="00DE41B0">
            <w:pPr>
              <w:pStyle w:val="BackSheetFooter"/>
              <w:rPr>
                <w:rFonts w:cs="Arial"/>
              </w:rPr>
            </w:pPr>
            <w:hyperlink r:id="rId35" w:history="1">
              <w:r w:rsidR="00DE41B0" w:rsidRPr="00C50DCD">
                <w:rPr>
                  <w:rStyle w:val="Hyperlink"/>
                  <w:rFonts w:cs="Arial"/>
                </w:rPr>
                <w:t>nsiireview@beis.gov.uk</w:t>
              </w:r>
            </w:hyperlink>
            <w:r w:rsidR="00DE41B0" w:rsidRPr="00C50DCD">
              <w:rPr>
                <w:rFonts w:cs="Arial"/>
              </w:rPr>
              <w:t xml:space="preserve">  </w:t>
            </w:r>
          </w:p>
          <w:p w14:paraId="7D1DFD22" w14:textId="330B50BF" w:rsidR="00DE41B0" w:rsidRPr="00C50DCD" w:rsidRDefault="00DE41B0" w:rsidP="00DE41B0">
            <w:pPr>
              <w:pStyle w:val="BackSheetFooter"/>
              <w:rPr>
                <w:rFonts w:cs="Arial"/>
              </w:rPr>
            </w:pPr>
          </w:p>
        </w:tc>
      </w:tr>
    </w:tbl>
    <w:p w14:paraId="340EBE0F" w14:textId="77777777" w:rsidR="00D714FD" w:rsidRPr="008E51C9" w:rsidRDefault="00D714FD" w:rsidP="00D714FD">
      <w:pPr>
        <w:pStyle w:val="BackSheetFooter"/>
        <w:rPr>
          <w:rFonts w:cs="Arial"/>
        </w:rPr>
      </w:pPr>
    </w:p>
    <w:p w14:paraId="349E025E" w14:textId="77777777" w:rsidR="00D714FD" w:rsidRPr="008E51C9" w:rsidRDefault="00D714FD" w:rsidP="00D714FD">
      <w:pPr>
        <w:pStyle w:val="BackSheetFooter"/>
        <w:rPr>
          <w:rFonts w:cs="Arial"/>
        </w:rPr>
      </w:pPr>
    </w:p>
    <w:p w14:paraId="2CCD9D7A" w14:textId="77777777" w:rsidR="00D714FD" w:rsidRPr="008E51C9" w:rsidRDefault="00D714FD" w:rsidP="00D714FD">
      <w:pPr>
        <w:pStyle w:val="BackSheetFooter"/>
        <w:rPr>
          <w:rFonts w:cs="Arial"/>
        </w:rPr>
      </w:pPr>
    </w:p>
    <w:p w14:paraId="671F162D" w14:textId="77777777" w:rsidR="00D714FD" w:rsidRPr="008E51C9" w:rsidRDefault="00D714FD" w:rsidP="00D714FD">
      <w:pPr>
        <w:pStyle w:val="BackSheetFooter"/>
        <w:rPr>
          <w:rFonts w:cs="Arial"/>
        </w:rPr>
      </w:pPr>
    </w:p>
    <w:p w14:paraId="2EA2B9C7" w14:textId="77777777" w:rsidR="00D714FD" w:rsidRPr="008E51C9" w:rsidRDefault="00D714FD" w:rsidP="00D714FD">
      <w:pPr>
        <w:pStyle w:val="BackSheetFooter"/>
        <w:rPr>
          <w:rFonts w:cs="Arial"/>
        </w:rPr>
      </w:pPr>
    </w:p>
    <w:p w14:paraId="33BDE3AE" w14:textId="77777777" w:rsidR="00D714FD" w:rsidRPr="008E51C9" w:rsidRDefault="00D714FD" w:rsidP="00D714FD">
      <w:pPr>
        <w:pStyle w:val="BackSheetFooter"/>
        <w:rPr>
          <w:rFonts w:cs="Arial"/>
        </w:rPr>
      </w:pPr>
    </w:p>
    <w:p w14:paraId="16D462A1" w14:textId="77777777" w:rsidR="00D714FD" w:rsidRPr="008E51C9" w:rsidRDefault="00D714FD" w:rsidP="00D714FD">
      <w:pPr>
        <w:pStyle w:val="BackSheetFooter"/>
        <w:rPr>
          <w:rFonts w:cs="Arial"/>
        </w:rPr>
      </w:pPr>
    </w:p>
    <w:p w14:paraId="6CD87AD9" w14:textId="77777777" w:rsidR="00D714FD" w:rsidRPr="008E51C9" w:rsidRDefault="00D714FD" w:rsidP="00D714FD">
      <w:pPr>
        <w:pStyle w:val="BackSheetFooter"/>
        <w:rPr>
          <w:rFonts w:cs="Arial"/>
        </w:rPr>
      </w:pPr>
    </w:p>
    <w:p w14:paraId="47EDD828" w14:textId="77777777" w:rsidR="00D714FD" w:rsidRPr="008E51C9" w:rsidRDefault="00D714FD" w:rsidP="00D714FD">
      <w:pPr>
        <w:pStyle w:val="BackSheetFooter"/>
        <w:rPr>
          <w:rFonts w:cs="Arial"/>
        </w:rPr>
      </w:pPr>
    </w:p>
    <w:p w14:paraId="0A8A6428" w14:textId="77777777" w:rsidR="00D714FD" w:rsidRPr="008E51C9" w:rsidRDefault="00D714FD" w:rsidP="00D714FD">
      <w:pPr>
        <w:pStyle w:val="BackSheetFooter"/>
        <w:rPr>
          <w:rFonts w:cs="Arial"/>
        </w:rPr>
      </w:pPr>
    </w:p>
    <w:p w14:paraId="7A30FC0A" w14:textId="77777777" w:rsidR="00D714FD" w:rsidRPr="008E51C9" w:rsidRDefault="00D714FD" w:rsidP="00D714FD">
      <w:pPr>
        <w:pStyle w:val="BackSheetFooter"/>
        <w:rPr>
          <w:rFonts w:cs="Arial"/>
        </w:rPr>
      </w:pPr>
    </w:p>
    <w:p w14:paraId="4441FD99" w14:textId="77777777" w:rsidR="00D714FD" w:rsidRPr="008E51C9" w:rsidRDefault="00D714FD" w:rsidP="00D714FD">
      <w:pPr>
        <w:pStyle w:val="BackSheetFooter"/>
        <w:rPr>
          <w:rFonts w:cs="Arial"/>
        </w:rPr>
      </w:pPr>
    </w:p>
    <w:p w14:paraId="32AABB10" w14:textId="77777777" w:rsidR="00D714FD" w:rsidRPr="008E51C9" w:rsidRDefault="00D714FD" w:rsidP="00D714FD">
      <w:pPr>
        <w:pStyle w:val="BackSheetFooter"/>
        <w:rPr>
          <w:rFonts w:cs="Arial"/>
        </w:rPr>
      </w:pPr>
    </w:p>
    <w:p w14:paraId="5AD71E8A" w14:textId="77777777" w:rsidR="00D714FD" w:rsidRPr="008E51C9" w:rsidRDefault="00D714FD" w:rsidP="00D714FD">
      <w:pPr>
        <w:pStyle w:val="BackSheetFooter"/>
        <w:rPr>
          <w:rFonts w:cs="Arial"/>
        </w:rPr>
      </w:pPr>
    </w:p>
    <w:p w14:paraId="09BB8A26" w14:textId="77777777" w:rsidR="00D714FD" w:rsidRPr="008E51C9" w:rsidRDefault="00D714FD" w:rsidP="00D714FD">
      <w:pPr>
        <w:pStyle w:val="BackSheetFooter"/>
        <w:rPr>
          <w:rFonts w:cs="Arial"/>
        </w:rPr>
      </w:pPr>
    </w:p>
    <w:p w14:paraId="7AAF8A80" w14:textId="77777777" w:rsidR="00D714FD" w:rsidRPr="008E51C9" w:rsidRDefault="00D714FD" w:rsidP="00D714FD">
      <w:pPr>
        <w:pStyle w:val="BackSheetFooter"/>
        <w:rPr>
          <w:rFonts w:cs="Arial"/>
        </w:rPr>
      </w:pPr>
    </w:p>
    <w:p w14:paraId="3B614145" w14:textId="77777777" w:rsidR="00D714FD" w:rsidRPr="008E51C9" w:rsidRDefault="00D714FD" w:rsidP="00D714FD">
      <w:pPr>
        <w:pStyle w:val="BackSheetFooter"/>
        <w:rPr>
          <w:rFonts w:cs="Arial"/>
        </w:rPr>
      </w:pPr>
    </w:p>
    <w:p w14:paraId="1D11B5C8" w14:textId="77777777" w:rsidR="00D714FD" w:rsidRPr="008E51C9" w:rsidRDefault="00D714FD" w:rsidP="00D714FD">
      <w:pPr>
        <w:pStyle w:val="BackSheetFooter"/>
        <w:rPr>
          <w:rFonts w:cs="Arial"/>
        </w:rPr>
      </w:pPr>
    </w:p>
    <w:p w14:paraId="4B777898" w14:textId="77777777" w:rsidR="00D714FD" w:rsidRPr="008E51C9" w:rsidRDefault="00D714FD" w:rsidP="00D714FD">
      <w:pPr>
        <w:pStyle w:val="BackSheetFooter"/>
        <w:rPr>
          <w:rFonts w:cs="Arial"/>
        </w:rPr>
      </w:pPr>
    </w:p>
    <w:p w14:paraId="415A4F3D" w14:textId="77777777" w:rsidR="00D714FD" w:rsidRPr="008E51C9" w:rsidRDefault="00D714FD" w:rsidP="00D714FD">
      <w:pPr>
        <w:pStyle w:val="BackSheetFooter"/>
        <w:rPr>
          <w:rFonts w:cs="Arial"/>
        </w:rPr>
      </w:pPr>
    </w:p>
    <w:p w14:paraId="409E9FD7" w14:textId="77777777" w:rsidR="00D714FD" w:rsidRPr="008E51C9" w:rsidRDefault="00D714FD" w:rsidP="00D714FD">
      <w:pPr>
        <w:pStyle w:val="BackSheetFooter"/>
        <w:rPr>
          <w:rFonts w:cs="Arial"/>
        </w:rPr>
      </w:pPr>
    </w:p>
    <w:p w14:paraId="2066DC4A" w14:textId="77777777" w:rsidR="00D714FD" w:rsidRPr="008E51C9" w:rsidRDefault="00D714FD" w:rsidP="00D714FD">
      <w:pPr>
        <w:pStyle w:val="BackSheetFooter"/>
        <w:rPr>
          <w:rFonts w:cs="Arial"/>
        </w:rPr>
      </w:pPr>
    </w:p>
    <w:p w14:paraId="251DCCEA" w14:textId="77777777" w:rsidR="00D714FD" w:rsidRPr="008E51C9" w:rsidRDefault="00D714FD" w:rsidP="00D714FD">
      <w:pPr>
        <w:pStyle w:val="BackSheetFooter"/>
        <w:rPr>
          <w:rFonts w:cs="Arial"/>
        </w:rPr>
      </w:pPr>
    </w:p>
    <w:p w14:paraId="034AF22C" w14:textId="77777777" w:rsidR="00D714FD" w:rsidRPr="008E51C9" w:rsidRDefault="00D714FD" w:rsidP="00D714FD">
      <w:pPr>
        <w:pStyle w:val="BackSheetFooter"/>
        <w:rPr>
          <w:rFonts w:cs="Arial"/>
        </w:rPr>
      </w:pPr>
    </w:p>
    <w:p w14:paraId="6D392832" w14:textId="77777777" w:rsidR="00D714FD" w:rsidRPr="008E51C9" w:rsidRDefault="00D714FD" w:rsidP="00D714FD">
      <w:pPr>
        <w:pStyle w:val="BackSheetFooter"/>
        <w:rPr>
          <w:rFonts w:cs="Arial"/>
        </w:rPr>
      </w:pPr>
    </w:p>
    <w:p w14:paraId="44C7F86F" w14:textId="77777777" w:rsidR="00D714FD" w:rsidRPr="008E51C9" w:rsidRDefault="00D714FD" w:rsidP="00D714FD">
      <w:pPr>
        <w:pStyle w:val="BackSheetFooter"/>
        <w:rPr>
          <w:rFonts w:cs="Arial"/>
        </w:rPr>
      </w:pPr>
    </w:p>
    <w:p w14:paraId="469284E1" w14:textId="77777777" w:rsidR="00D714FD" w:rsidRPr="008E51C9" w:rsidRDefault="00D714FD" w:rsidP="00D714FD">
      <w:pPr>
        <w:pStyle w:val="BackSheetFooter"/>
        <w:rPr>
          <w:rFonts w:cs="Arial"/>
        </w:rPr>
      </w:pPr>
    </w:p>
    <w:p w14:paraId="7E007B4F" w14:textId="77777777" w:rsidR="00D714FD" w:rsidRPr="008E51C9" w:rsidRDefault="00D714FD" w:rsidP="00D714FD">
      <w:pPr>
        <w:pStyle w:val="BackSheetFooter"/>
        <w:rPr>
          <w:rFonts w:cs="Arial"/>
        </w:rPr>
      </w:pPr>
    </w:p>
    <w:p w14:paraId="73878227" w14:textId="77777777" w:rsidR="00D714FD" w:rsidRPr="008E51C9" w:rsidRDefault="00D714FD" w:rsidP="00D714FD">
      <w:pPr>
        <w:pStyle w:val="BackSheetFooter"/>
        <w:rPr>
          <w:rFonts w:cs="Arial"/>
        </w:rPr>
      </w:pPr>
    </w:p>
    <w:p w14:paraId="30990722" w14:textId="77777777" w:rsidR="00D714FD" w:rsidRPr="008E51C9" w:rsidRDefault="00D714FD" w:rsidP="00D714FD">
      <w:pPr>
        <w:pStyle w:val="BackSheetFooter"/>
        <w:rPr>
          <w:rFonts w:cs="Arial"/>
        </w:rPr>
      </w:pPr>
    </w:p>
    <w:p w14:paraId="79B36BA7" w14:textId="77777777" w:rsidR="00D714FD" w:rsidRPr="008E51C9" w:rsidRDefault="00592723" w:rsidP="00D714FD">
      <w:pPr>
        <w:pStyle w:val="BackSheetFooter"/>
        <w:rPr>
          <w:rFonts w:cs="Arial"/>
        </w:rPr>
      </w:pPr>
      <w:r>
        <w:rPr>
          <w:noProof/>
        </w:rPr>
        <w:pict w14:anchorId="4B2ABC4A">
          <v:shape id="Picture 14" o:spid="_x0000_s1026" type="#_x0000_t75" alt="6" style="position:absolute;margin-left:-73pt;margin-top:.25pt;width:451.3pt;height:129.2pt;z-index:4;visibility:visible;mso-wrap-edited:f;mso-width-percent:0;mso-height-percent:0;mso-width-percent:0;mso-height-percent:0">
            <v:imagedata r:id="rId36" o:title="6"/>
          </v:shape>
        </w:pict>
      </w:r>
    </w:p>
    <w:p w14:paraId="7335F0BB" w14:textId="77777777" w:rsidR="00D714FD" w:rsidRPr="008E51C9" w:rsidRDefault="00D714FD" w:rsidP="00D714FD">
      <w:pPr>
        <w:pStyle w:val="BackSheetFooter"/>
        <w:rPr>
          <w:rFonts w:cs="Arial"/>
        </w:rPr>
      </w:pPr>
    </w:p>
    <w:p w14:paraId="77613AEE" w14:textId="77777777" w:rsidR="00D714FD" w:rsidRPr="008E51C9" w:rsidRDefault="00D714FD" w:rsidP="00D714FD">
      <w:pPr>
        <w:pStyle w:val="BackSheetFooter"/>
        <w:rPr>
          <w:rFonts w:cs="Arial"/>
        </w:rPr>
      </w:pPr>
    </w:p>
    <w:p w14:paraId="681EA62F" w14:textId="77777777" w:rsidR="00D714FD" w:rsidRPr="008E51C9" w:rsidRDefault="00D714FD" w:rsidP="00D714FD">
      <w:pPr>
        <w:pStyle w:val="BackSheetFooter"/>
        <w:rPr>
          <w:rFonts w:cs="Arial"/>
        </w:rPr>
      </w:pPr>
    </w:p>
    <w:p w14:paraId="7ADA3E4D" w14:textId="77777777" w:rsidR="00D714FD" w:rsidRPr="008E51C9" w:rsidRDefault="00D714FD" w:rsidP="00D714FD">
      <w:pPr>
        <w:pStyle w:val="BackSheetFooter"/>
        <w:rPr>
          <w:rFonts w:cs="Arial"/>
        </w:rPr>
      </w:pPr>
    </w:p>
    <w:p w14:paraId="2194F906" w14:textId="77777777" w:rsidR="00D714FD" w:rsidRPr="008E51C9" w:rsidRDefault="00D714FD" w:rsidP="00D714FD">
      <w:pPr>
        <w:pStyle w:val="BackSheetFooter"/>
        <w:rPr>
          <w:rFonts w:cs="Arial"/>
        </w:rPr>
      </w:pPr>
    </w:p>
    <w:p w14:paraId="6B222821" w14:textId="77777777" w:rsidR="00D714FD" w:rsidRPr="008E51C9" w:rsidRDefault="00D714FD" w:rsidP="00D714FD">
      <w:pPr>
        <w:pStyle w:val="BackSheetFooter"/>
        <w:rPr>
          <w:rFonts w:cs="Arial"/>
        </w:rPr>
      </w:pPr>
    </w:p>
    <w:p w14:paraId="186A68BC" w14:textId="77777777" w:rsidR="00D714FD" w:rsidRPr="008E51C9" w:rsidRDefault="00D714FD" w:rsidP="00D714FD">
      <w:pPr>
        <w:pStyle w:val="BackSheetFooter"/>
        <w:rPr>
          <w:rFonts w:cs="Arial"/>
        </w:rPr>
      </w:pPr>
    </w:p>
    <w:p w14:paraId="4540B9C1" w14:textId="77777777" w:rsidR="00D714FD" w:rsidRPr="008E51C9" w:rsidRDefault="00D714FD" w:rsidP="00D714FD">
      <w:pPr>
        <w:pStyle w:val="BackSheetFooter"/>
        <w:rPr>
          <w:rFonts w:cs="Arial"/>
        </w:rPr>
      </w:pPr>
    </w:p>
    <w:p w14:paraId="2E30C76E" w14:textId="77777777" w:rsidR="00D714FD" w:rsidRPr="008E51C9" w:rsidRDefault="00D714FD" w:rsidP="00D714FD">
      <w:pPr>
        <w:pStyle w:val="BackSheetFooter"/>
        <w:rPr>
          <w:rFonts w:cs="Arial"/>
        </w:rPr>
      </w:pPr>
      <w:r w:rsidRPr="008E51C9">
        <w:rPr>
          <w:rFonts w:cs="Arial"/>
        </w:rPr>
        <w:t>© Crown copyright 20</w:t>
      </w:r>
      <w:r w:rsidR="00710C62">
        <w:rPr>
          <w:rFonts w:cs="Arial"/>
        </w:rPr>
        <w:t>20</w:t>
      </w:r>
    </w:p>
    <w:p w14:paraId="205F8288" w14:textId="77777777" w:rsidR="00D714FD" w:rsidRPr="008E51C9" w:rsidRDefault="00D714FD" w:rsidP="00D714FD">
      <w:pPr>
        <w:pStyle w:val="BackSheetFooter"/>
        <w:rPr>
          <w:rFonts w:cs="Arial"/>
          <w:b/>
        </w:rPr>
      </w:pPr>
      <w:r w:rsidRPr="008E51C9">
        <w:rPr>
          <w:rFonts w:cs="Arial"/>
          <w:b/>
        </w:rPr>
        <w:t>Department for Business, Energy &amp; Industrial Strategy</w:t>
      </w:r>
    </w:p>
    <w:p w14:paraId="0B1F5E65" w14:textId="77777777" w:rsidR="00D714FD" w:rsidRPr="008E51C9" w:rsidRDefault="00592723" w:rsidP="00D714FD">
      <w:pPr>
        <w:rPr>
          <w:rFonts w:ascii="Arial" w:hAnsi="Arial" w:cs="Arial"/>
        </w:rPr>
      </w:pPr>
      <w:hyperlink r:id="rId37" w:history="1">
        <w:r w:rsidR="00D714FD" w:rsidRPr="008E51C9">
          <w:rPr>
            <w:rStyle w:val="Hyperlink"/>
            <w:rFonts w:ascii="Arial" w:hAnsi="Arial" w:cs="Arial"/>
          </w:rPr>
          <w:t>www.gov.uk/beis</w:t>
        </w:r>
      </w:hyperlink>
      <w:r w:rsidR="00D714FD" w:rsidRPr="008E51C9">
        <w:rPr>
          <w:rFonts w:ascii="Arial" w:hAnsi="Arial" w:cs="Arial"/>
        </w:rPr>
        <w:t xml:space="preserve">   </w:t>
      </w:r>
    </w:p>
    <w:sectPr w:rsidR="00D714FD" w:rsidRPr="008E51C9">
      <w:headerReference w:type="even" r:id="rId38"/>
      <w:headerReference w:type="default" r:id="rId39"/>
      <w:footerReference w:type="default" r:id="rId40"/>
      <w:head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7E7F6" w14:textId="77777777" w:rsidR="00267186" w:rsidRDefault="00267186" w:rsidP="00850DA7">
      <w:r>
        <w:separator/>
      </w:r>
    </w:p>
  </w:endnote>
  <w:endnote w:type="continuationSeparator" w:id="0">
    <w:p w14:paraId="000A10EB" w14:textId="77777777" w:rsidR="00267186" w:rsidRDefault="00267186" w:rsidP="00850DA7">
      <w:r>
        <w:continuationSeparator/>
      </w:r>
    </w:p>
  </w:endnote>
  <w:endnote w:type="continuationNotice" w:id="1">
    <w:p w14:paraId="7F04DD1F" w14:textId="77777777" w:rsidR="00267186" w:rsidRDefault="00267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6127" w14:textId="77777777" w:rsidR="00523066" w:rsidRDefault="00523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FDC2" w14:textId="1642F5B6" w:rsidR="00523066" w:rsidRDefault="00523066">
    <w:pPr>
      <w:pStyle w:val="Footer"/>
      <w:jc w:val="right"/>
    </w:pPr>
    <w:r>
      <w:fldChar w:fldCharType="begin"/>
    </w:r>
    <w:r>
      <w:instrText xml:space="preserve"> PAGE   \* MERGEFORMAT </w:instrText>
    </w:r>
    <w:r>
      <w:fldChar w:fldCharType="separate"/>
    </w:r>
    <w:r>
      <w:rPr>
        <w:noProof/>
      </w:rPr>
      <w:t>2</w:t>
    </w:r>
    <w:r>
      <w:rPr>
        <w:noProof/>
      </w:rPr>
      <w:fldChar w:fldCharType="end"/>
    </w:r>
  </w:p>
  <w:p w14:paraId="5407CEF2" w14:textId="77777777" w:rsidR="00523066" w:rsidRDefault="00523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8A77" w14:textId="77777777" w:rsidR="00523066" w:rsidRDefault="005230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00E7" w14:textId="77777777" w:rsidR="007E1EA9" w:rsidRDefault="007E1E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B22C" w14:textId="77777777" w:rsidR="007E1EA9" w:rsidRPr="000238F8" w:rsidRDefault="007E1EA9" w:rsidP="000238F8">
    <w:pPr>
      <w:pStyle w:val="Footer"/>
      <w:jc w:val="right"/>
      <w:rPr>
        <w:rFonts w:ascii="Arial" w:hAnsi="Arial" w:cs="Arial"/>
      </w:rPr>
    </w:pPr>
    <w:r w:rsidRPr="000238F8">
      <w:rPr>
        <w:rFonts w:ascii="Arial" w:hAnsi="Arial" w:cs="Arial"/>
      </w:rPr>
      <w:fldChar w:fldCharType="begin"/>
    </w:r>
    <w:r w:rsidRPr="000238F8">
      <w:rPr>
        <w:rFonts w:ascii="Arial" w:hAnsi="Arial" w:cs="Arial"/>
      </w:rPr>
      <w:instrText xml:space="preserve"> PAGE   \* MERGEFORMAT </w:instrText>
    </w:r>
    <w:r w:rsidRPr="000238F8">
      <w:rPr>
        <w:rFonts w:ascii="Arial" w:hAnsi="Arial" w:cs="Arial"/>
      </w:rPr>
      <w:fldChar w:fldCharType="separate"/>
    </w:r>
    <w:r>
      <w:rPr>
        <w:rFonts w:ascii="Arial" w:hAnsi="Arial" w:cs="Arial"/>
        <w:noProof/>
      </w:rPr>
      <w:t>39</w:t>
    </w:r>
    <w:r w:rsidRPr="000238F8">
      <w:rPr>
        <w:rFonts w:ascii="Arial" w:hAnsi="Arial" w:cs="Arial"/>
        <w:noProof/>
      </w:rPr>
      <w:fldChar w:fldCharType="end"/>
    </w:r>
  </w:p>
  <w:p w14:paraId="3C374064" w14:textId="77777777" w:rsidR="007E1EA9" w:rsidRPr="000238F8" w:rsidRDefault="007E1EA9" w:rsidP="000238F8">
    <w:pPr>
      <w:pStyle w:val="Footer"/>
      <w:jc w:val="right"/>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C73B" w14:textId="77777777" w:rsidR="007E1EA9" w:rsidRDefault="007E1E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BE22" w14:textId="77777777" w:rsidR="007E1EA9" w:rsidRPr="000238F8" w:rsidRDefault="007E1EA9" w:rsidP="000238F8">
    <w:pPr>
      <w:pStyle w:val="Footer"/>
      <w:jc w:val="right"/>
      <w:rPr>
        <w:rFonts w:ascii="Arial" w:hAnsi="Arial" w:cs="Arial"/>
      </w:rPr>
    </w:pPr>
  </w:p>
  <w:p w14:paraId="1181F559" w14:textId="77777777" w:rsidR="007E1EA9" w:rsidRPr="000238F8" w:rsidRDefault="007E1EA9" w:rsidP="000238F8">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067B2" w14:textId="77777777" w:rsidR="00267186" w:rsidRDefault="00267186" w:rsidP="00850DA7">
      <w:r>
        <w:separator/>
      </w:r>
    </w:p>
  </w:footnote>
  <w:footnote w:type="continuationSeparator" w:id="0">
    <w:p w14:paraId="1139A0EA" w14:textId="77777777" w:rsidR="00267186" w:rsidRDefault="00267186" w:rsidP="00850DA7">
      <w:r>
        <w:continuationSeparator/>
      </w:r>
    </w:p>
  </w:footnote>
  <w:footnote w:type="continuationNotice" w:id="1">
    <w:p w14:paraId="06ECD852" w14:textId="77777777" w:rsidR="00267186" w:rsidRDefault="00267186"/>
  </w:footnote>
  <w:footnote w:id="2">
    <w:p w14:paraId="7CD32046"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Department for Business, Energy and Industrial Strategy (2017), ‘National Security and Infrastructure Investment Review’, </w:t>
      </w:r>
      <w:hyperlink r:id="rId1" w:history="1">
        <w:r w:rsidRPr="008E08A0">
          <w:rPr>
            <w:rStyle w:val="Hyperlink"/>
            <w:rFonts w:ascii="Arial" w:hAnsi="Arial" w:cs="Arial"/>
          </w:rPr>
          <w:t>https://www.gov.uk/government/consultations/national-security-and-infrastructure-investment-review</w:t>
        </w:r>
      </w:hyperlink>
    </w:p>
  </w:footnote>
  <w:footnote w:id="3">
    <w:p w14:paraId="4A8A0C8C"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w:t>
      </w:r>
      <w:r>
        <w:rPr>
          <w:rFonts w:ascii="Arial" w:hAnsi="Arial" w:cs="Arial"/>
        </w:rPr>
        <w:t xml:space="preserve">Guidance to accompany the amendments </w:t>
      </w:r>
      <w:hyperlink r:id="rId2" w:history="1">
        <w:r w:rsidRPr="003430D0">
          <w:rPr>
            <w:rStyle w:val="Hyperlink"/>
          </w:rPr>
          <w:t>https://www.gov.uk/government/publications/enterprise-act-2002-guidance-on-changes-to-the-turnover-and-share-of-supply-tests-for-mergers</w:t>
        </w:r>
      </w:hyperlink>
    </w:p>
  </w:footnote>
  <w:footnote w:id="4">
    <w:p w14:paraId="2D103F16"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w:t>
      </w:r>
      <w:hyperlink r:id="rId3" w:history="1">
        <w:r w:rsidRPr="008E08A0">
          <w:rPr>
            <w:rStyle w:val="Hyperlink"/>
            <w:rFonts w:ascii="Arial" w:hAnsi="Arial" w:cs="Arial"/>
          </w:rPr>
          <w:t>http://www.legislation.gov.uk/ukpga/2002/40/notes/division/4/3</w:t>
        </w:r>
      </w:hyperlink>
      <w:r w:rsidRPr="008E08A0">
        <w:rPr>
          <w:rFonts w:ascii="Arial" w:hAnsi="Arial" w:cs="Arial"/>
        </w:rPr>
        <w:t xml:space="preserve"> </w:t>
      </w:r>
    </w:p>
  </w:footnote>
  <w:footnote w:id="5">
    <w:p w14:paraId="6350FBDE"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At the time of introduction, this was the Office of Fair Trading and the Competition Commission. These were replaced by the Competition and Markets Authority in 2014 following the Enterprise and Regulatory Reform Act 2013. </w:t>
      </w:r>
    </w:p>
  </w:footnote>
  <w:footnote w:id="6">
    <w:p w14:paraId="34DB5B6D"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A limited exception to this applies in cases where a merger qualifies as a “special public interest merger”. In such a case</w:t>
      </w:r>
      <w:r>
        <w:rPr>
          <w:rFonts w:ascii="Arial" w:hAnsi="Arial" w:cs="Arial"/>
        </w:rPr>
        <w:t>,</w:t>
      </w:r>
      <w:r w:rsidRPr="008E08A0">
        <w:rPr>
          <w:rFonts w:ascii="Arial" w:hAnsi="Arial" w:cs="Arial"/>
        </w:rPr>
        <w:t xml:space="preserve"> Ministers can intervene where the threshold tests would not be met</w:t>
      </w:r>
      <w:r>
        <w:rPr>
          <w:rFonts w:ascii="Arial" w:hAnsi="Arial" w:cs="Arial"/>
        </w:rPr>
        <w:t xml:space="preserve"> as described later in this chapter</w:t>
      </w:r>
      <w:r w:rsidRPr="008E08A0">
        <w:rPr>
          <w:rFonts w:ascii="Arial" w:hAnsi="Arial" w:cs="Arial"/>
        </w:rPr>
        <w:t>.</w:t>
      </w:r>
    </w:p>
  </w:footnote>
  <w:footnote w:id="7">
    <w:p w14:paraId="5E4F2E07"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The Act actually permits a ‘Secretary of State’, a Government minister, to intervene in mergers.</w:t>
      </w:r>
    </w:p>
  </w:footnote>
  <w:footnote w:id="8">
    <w:p w14:paraId="1EA59CAF"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Competition and Markets Authority (2014), ‘Mergers – the CMA’s jurisdiction and procedure: CMA2’, </w:t>
      </w:r>
      <w:hyperlink r:id="rId4" w:history="1">
        <w:r w:rsidRPr="008E08A0">
          <w:rPr>
            <w:rStyle w:val="Hyperlink"/>
            <w:rFonts w:ascii="Arial" w:hAnsi="Arial" w:cs="Arial"/>
          </w:rPr>
          <w:t>https://www.gov.uk/government/publications/mergers-guidance-on-the-cmas-jurisdiction-and-procedure</w:t>
        </w:r>
      </w:hyperlink>
      <w:r w:rsidRPr="008E08A0">
        <w:rPr>
          <w:rFonts w:ascii="Arial" w:hAnsi="Arial" w:cs="Arial"/>
        </w:rPr>
        <w:t xml:space="preserve"> </w:t>
      </w:r>
    </w:p>
  </w:footnote>
  <w:footnote w:id="9">
    <w:p w14:paraId="5278ACC1"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Prudential regulation is also recognised as a legitimate interest under the EU Merger Regulation but is not a public interest ground in the Enterprise Act 2002. </w:t>
      </w:r>
    </w:p>
  </w:footnote>
  <w:footnote w:id="10">
    <w:p w14:paraId="7A885761" w14:textId="77777777" w:rsidR="00523066" w:rsidRPr="00A97EC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HM</w:t>
      </w:r>
      <w:r>
        <w:rPr>
          <w:rFonts w:ascii="Arial" w:hAnsi="Arial" w:cs="Arial"/>
        </w:rPr>
        <w:t xml:space="preserve"> Government (2015), ‘National Security Strategy and Strategic Defence and Security Review 2015’, </w:t>
      </w:r>
      <w:hyperlink r:id="rId5" w:history="1">
        <w:r w:rsidRPr="008637CB">
          <w:rPr>
            <w:rStyle w:val="Hyperlink"/>
            <w:rFonts w:ascii="Arial" w:hAnsi="Arial" w:cs="Arial"/>
          </w:rPr>
          <w:t>https://www.gov.uk/government/publications/national-security-strategy-and-strategic-defence-and-security-review-2015</w:t>
        </w:r>
      </w:hyperlink>
      <w:r>
        <w:rPr>
          <w:rFonts w:ascii="Arial" w:hAnsi="Arial" w:cs="Arial"/>
        </w:rPr>
        <w:t xml:space="preserve"> </w:t>
      </w:r>
    </w:p>
  </w:footnote>
  <w:footnote w:id="11">
    <w:p w14:paraId="5B8D1A53" w14:textId="77777777" w:rsidR="00523066" w:rsidRDefault="00523066" w:rsidP="00523066">
      <w:pPr>
        <w:pStyle w:val="FootnoteText"/>
      </w:pPr>
      <w:r>
        <w:rPr>
          <w:rStyle w:val="FootnoteReference"/>
        </w:rPr>
        <w:footnoteRef/>
      </w:r>
      <w:r>
        <w:t xml:space="preserve"> </w:t>
      </w:r>
      <w:r w:rsidRPr="008E08A0">
        <w:rPr>
          <w:rFonts w:ascii="Arial" w:hAnsi="Arial" w:cs="Arial"/>
        </w:rPr>
        <w:t>HM</w:t>
      </w:r>
      <w:r>
        <w:rPr>
          <w:rFonts w:ascii="Arial" w:hAnsi="Arial" w:cs="Arial"/>
        </w:rPr>
        <w:t xml:space="preserve"> Government (2019), ‘NSS and SDSR 2015: Third Annual Report’, </w:t>
      </w:r>
      <w:hyperlink r:id="rId6" w:history="1">
        <w:r>
          <w:rPr>
            <w:rStyle w:val="Hyperlink"/>
          </w:rPr>
          <w:t>https://www.gov.uk/government/publications/nss-and-sdsr-2015-third-annual-report--2</w:t>
        </w:r>
      </w:hyperlink>
    </w:p>
  </w:footnote>
  <w:footnote w:id="12">
    <w:p w14:paraId="4F37C62E" w14:textId="77777777" w:rsidR="00523066" w:rsidRPr="00EF2FAA" w:rsidRDefault="00523066" w:rsidP="00523066">
      <w:pPr>
        <w:pStyle w:val="FootnoteText"/>
        <w:rPr>
          <w:rFonts w:ascii="Arial" w:hAnsi="Arial" w:cs="Arial"/>
        </w:rPr>
      </w:pPr>
      <w:r w:rsidRPr="00EF2FAA">
        <w:rPr>
          <w:rStyle w:val="FootnoteReference"/>
          <w:rFonts w:ascii="Arial" w:hAnsi="Arial" w:cs="Arial"/>
        </w:rPr>
        <w:footnoteRef/>
      </w:r>
      <w:r w:rsidRPr="00EF2FAA">
        <w:rPr>
          <w:rFonts w:ascii="Arial" w:hAnsi="Arial" w:cs="Arial"/>
        </w:rPr>
        <w:t xml:space="preserve"> Under existing powers, the Government can intervene in </w:t>
      </w:r>
      <w:r>
        <w:rPr>
          <w:rFonts w:ascii="Arial" w:hAnsi="Arial" w:cs="Arial"/>
        </w:rPr>
        <w:t xml:space="preserve">certain limited categories of </w:t>
      </w:r>
      <w:r w:rsidRPr="00EF2FAA">
        <w:rPr>
          <w:rFonts w:ascii="Arial" w:hAnsi="Arial" w:cs="Arial"/>
        </w:rPr>
        <w:t>mergers that do not meet the normal UK turnover and share of supply tests (and which therefore do not amount to a relevant merger situation, whether on the original thresholds or the new thresholds). This is set out in the Special Public Interest Regime as referred to paragraphs 1.15-1.16 in this document</w:t>
      </w:r>
    </w:p>
  </w:footnote>
  <w:footnote w:id="13">
    <w:p w14:paraId="29BABF5C"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w:t>
      </w:r>
      <w:hyperlink r:id="rId7" w:history="1">
        <w:r w:rsidRPr="008E08A0">
          <w:rPr>
            <w:rStyle w:val="Hyperlink"/>
            <w:rFonts w:ascii="Arial" w:hAnsi="Arial" w:cs="Arial"/>
          </w:rPr>
          <w:t>https://www.ecochecker.trade.gov.uk/spirefox5live/fox/spire/</w:t>
        </w:r>
      </w:hyperlink>
      <w:r w:rsidRPr="008E08A0">
        <w:rPr>
          <w:rFonts w:ascii="Arial" w:hAnsi="Arial" w:cs="Arial"/>
        </w:rPr>
        <w:t xml:space="preserve"> </w:t>
      </w:r>
    </w:p>
  </w:footnote>
  <w:footnote w:id="14">
    <w:p w14:paraId="7C4BEE6E" w14:textId="77777777" w:rsidR="00523066" w:rsidRPr="008E08A0" w:rsidRDefault="00523066" w:rsidP="00523066">
      <w:pPr>
        <w:pStyle w:val="FootnoteText"/>
        <w:rPr>
          <w:rFonts w:ascii="Arial" w:hAnsi="Arial" w:cs="Arial"/>
        </w:rPr>
      </w:pPr>
      <w:r w:rsidRPr="00CA0711">
        <w:rPr>
          <w:rStyle w:val="FootnoteReference"/>
          <w:rFonts w:ascii="Arial" w:hAnsi="Arial" w:cs="Arial"/>
        </w:rPr>
        <w:footnoteRef/>
      </w:r>
      <w:r>
        <w:rPr>
          <w:rFonts w:ascii="Arial" w:hAnsi="Arial" w:cs="Arial"/>
        </w:rPr>
        <w:t xml:space="preserve"> </w:t>
      </w:r>
      <w:r w:rsidRPr="00D221EB">
        <w:rPr>
          <w:rFonts w:ascii="Arial" w:hAnsi="Arial" w:cs="Arial"/>
        </w:rPr>
        <w:t>https://www.spire.trade.gov.uk/docs/guidance/Goods%20Checker%20Guidance.pdf</w:t>
      </w:r>
    </w:p>
  </w:footnote>
  <w:footnote w:id="15">
    <w:p w14:paraId="0806F324" w14:textId="77777777" w:rsidR="00523066" w:rsidRDefault="00523066" w:rsidP="00523066">
      <w:pPr>
        <w:pStyle w:val="CommentText"/>
      </w:pPr>
      <w:r>
        <w:rPr>
          <w:rStyle w:val="FootnoteReference"/>
        </w:rPr>
        <w:footnoteRef/>
      </w:r>
      <w:r>
        <w:t xml:space="preserve"> </w:t>
      </w:r>
      <w:r w:rsidRPr="00EF2FAA">
        <w:rPr>
          <w:rFonts w:ascii="Arial" w:hAnsi="Arial" w:cs="Arial"/>
        </w:rPr>
        <w:t>In using the checker tool parties should also bear in mind that there may have been updates to the SECLs which may not yet have been reflected in amendments to the Act – see paragraph 3.22 for details</w:t>
      </w:r>
      <w:r>
        <w:rPr>
          <w:rFonts w:ascii="Arial" w:hAnsi="Arial" w:cs="Arial"/>
        </w:rPr>
        <w:t>.</w:t>
      </w:r>
    </w:p>
  </w:footnote>
  <w:footnote w:id="16">
    <w:p w14:paraId="0DAA6540"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The regimes are the Wassenaar Arrangement (WA); Nuclear Suppliers Group (NSG); Missile Technology Control Regime (MTCR) and Australia Group (AG).</w:t>
      </w:r>
    </w:p>
  </w:footnote>
  <w:footnote w:id="17">
    <w:p w14:paraId="5CFB126D"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See </w:t>
      </w:r>
      <w:hyperlink r:id="rId8" w:history="1">
        <w:r w:rsidRPr="008E08A0">
          <w:rPr>
            <w:rStyle w:val="Hyperlink"/>
            <w:rFonts w:ascii="Arial" w:hAnsi="Arial" w:cs="Arial"/>
          </w:rPr>
          <w:t>https://www.gov.uk/government/collections/notices-to-exporters</w:t>
        </w:r>
      </w:hyperlink>
      <w:r w:rsidRPr="008E08A0">
        <w:rPr>
          <w:rFonts w:ascii="Arial" w:hAnsi="Arial" w:cs="Arial"/>
        </w:rPr>
        <w:t xml:space="preserve"> for further details. </w:t>
      </w:r>
    </w:p>
  </w:footnote>
  <w:footnote w:id="18">
    <w:p w14:paraId="26FED90F"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See the National Strategy for Quantum Technologies</w:t>
      </w:r>
      <w:r>
        <w:rPr>
          <w:rFonts w:ascii="Arial" w:hAnsi="Arial" w:cs="Arial"/>
        </w:rPr>
        <w:t xml:space="preserve"> (</w:t>
      </w:r>
      <w:hyperlink r:id="rId9" w:history="1">
        <w:r w:rsidRPr="008637CB">
          <w:rPr>
            <w:rStyle w:val="Hyperlink"/>
            <w:rFonts w:ascii="Arial" w:hAnsi="Arial" w:cs="Arial"/>
          </w:rPr>
          <w:t>https://www.gov.uk/government/publications/national-strategy-for-quantum-technologies</w:t>
        </w:r>
      </w:hyperlink>
      <w:r>
        <w:rPr>
          <w:rFonts w:ascii="Arial" w:hAnsi="Arial" w:cs="Arial"/>
        </w:rPr>
        <w:t xml:space="preserve">) for further information </w:t>
      </w:r>
    </w:p>
  </w:footnote>
  <w:footnote w:id="19">
    <w:p w14:paraId="19D9D8C9"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Pr>
          <w:rFonts w:ascii="Arial" w:hAnsi="Arial" w:cs="Arial"/>
        </w:rPr>
        <w:t xml:space="preserve"> Government Office for Science (2016), ‘The Quantum Age: technological opportunities’, </w:t>
      </w:r>
      <w:r w:rsidRPr="008E08A0">
        <w:rPr>
          <w:rFonts w:ascii="Arial" w:hAnsi="Arial" w:cs="Arial"/>
        </w:rPr>
        <w:t xml:space="preserve"> </w:t>
      </w:r>
      <w:hyperlink r:id="rId10" w:history="1">
        <w:r w:rsidRPr="008E08A0">
          <w:rPr>
            <w:rStyle w:val="Hyperlink"/>
            <w:rFonts w:ascii="Arial" w:hAnsi="Arial" w:cs="Arial"/>
          </w:rPr>
          <w:t>https://www.gov.uk/government/publications/quantum-technologies-blackett-review</w:t>
        </w:r>
      </w:hyperlink>
      <w:r w:rsidRPr="008E08A0">
        <w:rPr>
          <w:rFonts w:ascii="Arial" w:hAnsi="Arial" w:cs="Arial"/>
        </w:rPr>
        <w:t xml:space="preserve"> </w:t>
      </w:r>
    </w:p>
  </w:footnote>
  <w:footnote w:id="20">
    <w:p w14:paraId="555E63AC"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CMA (2014), </w:t>
      </w:r>
      <w:r>
        <w:rPr>
          <w:rFonts w:ascii="Arial" w:hAnsi="Arial" w:cs="Arial"/>
        </w:rPr>
        <w:t>‘</w:t>
      </w:r>
      <w:r w:rsidRPr="008E08A0">
        <w:rPr>
          <w:rFonts w:ascii="Arial" w:hAnsi="Arial" w:cs="Arial"/>
          <w:iCs/>
        </w:rPr>
        <w:t>Mergers: Guidance on the CMA’s jurisdiction and procedure</w:t>
      </w:r>
      <w:r>
        <w:rPr>
          <w:rFonts w:ascii="Arial" w:hAnsi="Arial" w:cs="Arial"/>
          <w:iCs/>
        </w:rPr>
        <w:t>’</w:t>
      </w:r>
      <w:r>
        <w:rPr>
          <w:rFonts w:ascii="Arial" w:hAnsi="Arial" w:cs="Arial"/>
        </w:rPr>
        <w:t>: CMA2’</w:t>
      </w:r>
      <w:r w:rsidRPr="008E08A0">
        <w:rPr>
          <w:rFonts w:ascii="Arial" w:hAnsi="Arial" w:cs="Arial"/>
        </w:rPr>
        <w:t xml:space="preserve"> </w:t>
      </w:r>
      <w:hyperlink r:id="rId11" w:history="1">
        <w:r w:rsidRPr="008E08A0">
          <w:rPr>
            <w:rStyle w:val="Hyperlink"/>
            <w:rFonts w:ascii="Arial" w:hAnsi="Arial" w:cs="Arial"/>
          </w:rPr>
          <w:t>https://www.gov.uk/government/publications/mergers-guidance-on-the-cmas-jurisdiction-and-procedure</w:t>
        </w:r>
      </w:hyperlink>
    </w:p>
  </w:footnote>
  <w:footnote w:id="21">
    <w:p w14:paraId="2122905B"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As described in more detail in chapter 5, the CMA can also refer cases to Phase 2 investigation on competition grounds. </w:t>
      </w:r>
    </w:p>
  </w:footnote>
  <w:footnote w:id="22">
    <w:p w14:paraId="4608C8DA"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w:t>
      </w:r>
      <w:r w:rsidRPr="00AB5409">
        <w:rPr>
          <w:rFonts w:ascii="Arial" w:hAnsi="Arial" w:cs="Arial"/>
        </w:rPr>
        <w:t xml:space="preserve">See sections 3.1 to 3.6 of the CMA guidance </w:t>
      </w:r>
      <w:r w:rsidRPr="00EF2FAA">
        <w:rPr>
          <w:rFonts w:ascii="Arial" w:hAnsi="Arial" w:cs="Arial"/>
        </w:rPr>
        <w:t>‘Guidance on changes to the jurisdictional thresholds for UK merger control’</w:t>
      </w:r>
    </w:p>
  </w:footnote>
  <w:footnote w:id="23">
    <w:p w14:paraId="5A0E2C35"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CMA (2014), </w:t>
      </w:r>
      <w:r>
        <w:rPr>
          <w:rFonts w:ascii="Arial" w:hAnsi="Arial" w:cs="Arial"/>
        </w:rPr>
        <w:t>‘</w:t>
      </w:r>
      <w:r w:rsidRPr="008E08A0">
        <w:rPr>
          <w:rFonts w:ascii="Arial" w:hAnsi="Arial" w:cs="Arial"/>
          <w:iCs/>
        </w:rPr>
        <w:t>Mergers: Guidance on the CMA’s jurisdiction and procedure</w:t>
      </w:r>
      <w:r>
        <w:rPr>
          <w:rFonts w:ascii="Arial" w:hAnsi="Arial" w:cs="Arial"/>
        </w:rPr>
        <w:t>: CMA2’</w:t>
      </w:r>
      <w:r w:rsidRPr="008E08A0">
        <w:rPr>
          <w:rFonts w:ascii="Arial" w:hAnsi="Arial" w:cs="Arial"/>
        </w:rPr>
        <w:t xml:space="preserve"> </w:t>
      </w:r>
      <w:hyperlink r:id="rId12" w:history="1">
        <w:r w:rsidRPr="008E08A0">
          <w:rPr>
            <w:rStyle w:val="Hyperlink"/>
            <w:rFonts w:ascii="Arial" w:hAnsi="Arial" w:cs="Arial"/>
          </w:rPr>
          <w:t>https://www.gov.uk/government/publications/mergers-guidance-on-the-cmas-jurisdiction-and-procedure</w:t>
        </w:r>
      </w:hyperlink>
    </w:p>
  </w:footnote>
  <w:footnote w:id="24">
    <w:p w14:paraId="6CC2E55D" w14:textId="77777777" w:rsidR="00523066" w:rsidRPr="008E08A0" w:rsidRDefault="00523066" w:rsidP="00523066">
      <w:pPr>
        <w:pStyle w:val="FootnoteText"/>
        <w:rPr>
          <w:rFonts w:ascii="Arial" w:hAnsi="Arial" w:cs="Arial"/>
        </w:rPr>
      </w:pPr>
      <w:r w:rsidRPr="008E08A0">
        <w:rPr>
          <w:rStyle w:val="FootnoteReference"/>
          <w:rFonts w:ascii="Arial" w:hAnsi="Arial" w:cs="Arial"/>
        </w:rPr>
        <w:footnoteRef/>
      </w:r>
      <w:r w:rsidRPr="008E08A0">
        <w:rPr>
          <w:rFonts w:ascii="Arial" w:hAnsi="Arial" w:cs="Arial"/>
        </w:rPr>
        <w:t xml:space="preserve"> The statutory process is slightly different for some media- and newspaper-related mergers where Ofcom has a role. This chapter does not seek to cover the process for such a merger. </w:t>
      </w:r>
    </w:p>
  </w:footnote>
  <w:footnote w:id="25">
    <w:p w14:paraId="0BE60125" w14:textId="77777777" w:rsidR="00523066" w:rsidRPr="008E08A0" w:rsidRDefault="00523066" w:rsidP="00523066">
      <w:pPr>
        <w:pStyle w:val="FootnoteText"/>
        <w:rPr>
          <w:rFonts w:ascii="Arial" w:hAnsi="Arial" w:cs="Arial"/>
        </w:rPr>
      </w:pPr>
      <w:r w:rsidRPr="00EF05F8">
        <w:rPr>
          <w:rStyle w:val="FootnoteReference"/>
          <w:rFonts w:ascii="Arial" w:hAnsi="Arial" w:cs="Arial"/>
        </w:rPr>
        <w:footnoteRef/>
      </w:r>
      <w:r w:rsidRPr="00EF05F8">
        <w:rPr>
          <w:rFonts w:ascii="Arial" w:hAnsi="Arial" w:cs="Arial"/>
        </w:rPr>
        <w:t xml:space="preserve"> For</w:t>
      </w:r>
      <w:r>
        <w:rPr>
          <w:rFonts w:ascii="Arial" w:hAnsi="Arial" w:cs="Arial"/>
        </w:rPr>
        <w:t xml:space="preserve"> applications to the CAT for review see section 120 of the Enterprise Act.</w:t>
      </w:r>
    </w:p>
  </w:footnote>
  <w:footnote w:id="26">
    <w:p w14:paraId="11C6B2B3" w14:textId="77777777" w:rsidR="00523066" w:rsidRDefault="00523066" w:rsidP="00523066">
      <w:r>
        <w:rPr>
          <w:rStyle w:val="FootnoteReference"/>
        </w:rPr>
        <w:footnoteRef/>
      </w:r>
      <w:r>
        <w:t xml:space="preserve"> </w:t>
      </w:r>
      <w:hyperlink r:id="rId13" w:history="1">
        <w:r>
          <w:rPr>
            <w:rStyle w:val="Hyperlink"/>
          </w:rPr>
          <w:t>https://www.gov.uk/government/publications/mergers-guidance-on-the-cmas-jurisdiction-and-procedure</w:t>
        </w:r>
      </w:hyperlink>
    </w:p>
    <w:p w14:paraId="0EC230BB" w14:textId="77777777" w:rsidR="00523066" w:rsidRDefault="00523066" w:rsidP="005230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3626" w14:textId="20558B70" w:rsidR="00523066" w:rsidRDefault="00592723">
    <w:pPr>
      <w:pStyle w:val="Header"/>
    </w:pPr>
    <w:r>
      <w:rPr>
        <w:noProof/>
      </w:rPr>
      <w:pict w14:anchorId="0B0A2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7079" o:spid="_x0000_s2053" type="#_x0000_t136" style="position:absolute;margin-left:0;margin-top:0;width:459.55pt;height:176.75pt;rotation:315;z-index:-251661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E6BA" w14:textId="7948AC18" w:rsidR="00523066" w:rsidRDefault="00592723">
    <w:pPr>
      <w:pStyle w:val="Header"/>
    </w:pPr>
    <w:r>
      <w:rPr>
        <w:noProof/>
      </w:rPr>
      <w:pict w14:anchorId="2B8DC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7080" o:spid="_x0000_s2054" type="#_x0000_t136" style="position:absolute;margin-left:0;margin-top:0;width:459.55pt;height:176.75pt;rotation:315;z-index:-251660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ADC4" w14:textId="66383DC1" w:rsidR="00523066" w:rsidRDefault="00592723">
    <w:pPr>
      <w:pStyle w:val="Header"/>
    </w:pPr>
    <w:r>
      <w:rPr>
        <w:noProof/>
      </w:rPr>
      <w:pict w14:anchorId="315D5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7078" o:spid="_x0000_s2052" type="#_x0000_t136" style="position:absolute;margin-left:0;margin-top:0;width:459.55pt;height:176.75pt;rotation:315;z-index:-2516628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19FC" w14:textId="40535421" w:rsidR="007E1EA9" w:rsidRDefault="00592723">
    <w:pPr>
      <w:pStyle w:val="Header"/>
    </w:pPr>
    <w:r>
      <w:rPr>
        <w:noProof/>
      </w:rPr>
      <w:pict w14:anchorId="20679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7082" o:spid="_x0000_s2056" type="#_x0000_t136" style="position:absolute;margin-left:0;margin-top:0;width:459.55pt;height:176.7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2F63" w14:textId="61479A56" w:rsidR="007E1EA9" w:rsidRDefault="00592723" w:rsidP="00D52E70">
    <w:pPr>
      <w:pStyle w:val="Header"/>
      <w:rPr>
        <w:rFonts w:ascii="Arial" w:hAnsi="Arial" w:cs="Arial"/>
      </w:rPr>
    </w:pPr>
    <w:r>
      <w:rPr>
        <w:noProof/>
      </w:rPr>
      <w:pict w14:anchorId="2B907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7083" o:spid="_x0000_s2057" type="#_x0000_t136" style="position:absolute;margin-left:0;margin-top:0;width:459.55pt;height:176.7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E70E" w14:textId="0BEC6624" w:rsidR="007E1EA9" w:rsidRDefault="00592723">
    <w:pPr>
      <w:pStyle w:val="Header"/>
    </w:pPr>
    <w:r>
      <w:rPr>
        <w:noProof/>
      </w:rPr>
      <w:pict w14:anchorId="13DC7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7081" o:spid="_x0000_s2055" type="#_x0000_t136" style="position:absolute;margin-left:0;margin-top:0;width:459.55pt;height:176.7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31CC" w14:textId="13EFE9BE" w:rsidR="00BB50EE" w:rsidRDefault="00592723">
    <w:pPr>
      <w:pStyle w:val="Header"/>
    </w:pPr>
    <w:r>
      <w:rPr>
        <w:noProof/>
      </w:rPr>
      <w:pict w14:anchorId="739E1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7085" o:spid="_x0000_s2059" type="#_x0000_t136" style="position:absolute;margin-left:0;margin-top:0;width:459.55pt;height:176.75pt;rotation:315;z-index:-251655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A189" w14:textId="07FC82F7" w:rsidR="00BB50EE" w:rsidRDefault="00592723">
    <w:pPr>
      <w:pStyle w:val="Header"/>
    </w:pPr>
    <w:r>
      <w:rPr>
        <w:noProof/>
      </w:rPr>
      <w:pict w14:anchorId="3B214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7086" o:spid="_x0000_s2060" type="#_x0000_t136" style="position:absolute;margin-left:0;margin-top:0;width:459.55pt;height:176.7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DEDD" w14:textId="6B34F4D6" w:rsidR="00BB50EE" w:rsidRDefault="00592723">
    <w:pPr>
      <w:pStyle w:val="Header"/>
    </w:pPr>
    <w:r>
      <w:rPr>
        <w:noProof/>
      </w:rPr>
      <w:pict w14:anchorId="1E9C3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57084" o:spid="_x0000_s2058" type="#_x0000_t136" style="position:absolute;margin-left:0;margin-top:0;width:459.55pt;height:176.7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57A"/>
    <w:multiLevelType w:val="hybridMultilevel"/>
    <w:tmpl w:val="654EE294"/>
    <w:lvl w:ilvl="0" w:tplc="D9121E8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6632"/>
    <w:multiLevelType w:val="multilevel"/>
    <w:tmpl w:val="0ED2D98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CA2409"/>
    <w:multiLevelType w:val="multilevel"/>
    <w:tmpl w:val="4418CF6C"/>
    <w:lvl w:ilvl="0">
      <w:start w:val="3"/>
      <w:numFmt w:val="decimal"/>
      <w:lvlText w:val="%1."/>
      <w:lvlJc w:val="left"/>
      <w:pPr>
        <w:ind w:left="360" w:hanging="360"/>
      </w:pPr>
      <w:rPr>
        <w:rFonts w:hint="default"/>
      </w:rPr>
    </w:lvl>
    <w:lvl w:ilvl="1">
      <w:start w:val="25"/>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085829"/>
    <w:multiLevelType w:val="hybridMultilevel"/>
    <w:tmpl w:val="9A90F6E2"/>
    <w:lvl w:ilvl="0" w:tplc="D9121E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66F"/>
    <w:multiLevelType w:val="hybridMultilevel"/>
    <w:tmpl w:val="50BA4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4568E"/>
    <w:multiLevelType w:val="hybridMultilevel"/>
    <w:tmpl w:val="BFCC8854"/>
    <w:lvl w:ilvl="0" w:tplc="8F2282E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E5888"/>
    <w:multiLevelType w:val="hybridMultilevel"/>
    <w:tmpl w:val="D362E65A"/>
    <w:lvl w:ilvl="0" w:tplc="1332E00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D651A3A"/>
    <w:multiLevelType w:val="hybridMultilevel"/>
    <w:tmpl w:val="8C5C325C"/>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17571"/>
    <w:multiLevelType w:val="hybridMultilevel"/>
    <w:tmpl w:val="461E5B44"/>
    <w:lvl w:ilvl="0" w:tplc="8F2282E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33881"/>
    <w:multiLevelType w:val="hybridMultilevel"/>
    <w:tmpl w:val="ED78931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3EBE3F32"/>
    <w:multiLevelType w:val="multilevel"/>
    <w:tmpl w:val="F85A1A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0B34A3"/>
    <w:multiLevelType w:val="hybridMultilevel"/>
    <w:tmpl w:val="44AE5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E0ED1"/>
    <w:multiLevelType w:val="multilevel"/>
    <w:tmpl w:val="09CC41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8B5B19"/>
    <w:multiLevelType w:val="hybridMultilevel"/>
    <w:tmpl w:val="40683F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D6213E"/>
    <w:multiLevelType w:val="hybridMultilevel"/>
    <w:tmpl w:val="6E2E6A3A"/>
    <w:lvl w:ilvl="0" w:tplc="08090013">
      <w:start w:val="1"/>
      <w:numFmt w:val="upperRoman"/>
      <w:lvlText w:val="%1."/>
      <w:lvlJc w:val="right"/>
      <w:pPr>
        <w:ind w:left="753" w:hanging="360"/>
      </w:pPr>
      <w:rPr>
        <w:b w:val="0"/>
      </w:rPr>
    </w:lvl>
    <w:lvl w:ilvl="1" w:tplc="08090001">
      <w:start w:val="1"/>
      <w:numFmt w:val="bullet"/>
      <w:lvlText w:val=""/>
      <w:lvlJc w:val="left"/>
      <w:pPr>
        <w:ind w:left="1473" w:hanging="360"/>
      </w:pPr>
      <w:rPr>
        <w:rFonts w:ascii="Symbol" w:hAnsi="Symbol" w:hint="default"/>
      </w:rPr>
    </w:lvl>
    <w:lvl w:ilvl="2" w:tplc="0809001B">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5" w15:restartNumberingAfterBreak="0">
    <w:nsid w:val="62D831F0"/>
    <w:multiLevelType w:val="multilevel"/>
    <w:tmpl w:val="091E024E"/>
    <w:lvl w:ilvl="0">
      <w:start w:val="3"/>
      <w:numFmt w:val="decimal"/>
      <w:lvlText w:val="%1"/>
      <w:lvlJc w:val="left"/>
      <w:pPr>
        <w:ind w:left="468" w:hanging="468"/>
      </w:pPr>
      <w:rPr>
        <w:rFonts w:hint="default"/>
      </w:rPr>
    </w:lvl>
    <w:lvl w:ilvl="1">
      <w:start w:val="22"/>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3CD02B0"/>
    <w:multiLevelType w:val="hybridMultilevel"/>
    <w:tmpl w:val="B5261C40"/>
    <w:lvl w:ilvl="0" w:tplc="0809001B">
      <w:start w:val="1"/>
      <w:numFmt w:val="lowerRoman"/>
      <w:lvlText w:val="%1."/>
      <w:lvlJc w:val="righ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30F5F"/>
    <w:multiLevelType w:val="multilevel"/>
    <w:tmpl w:val="89A4F4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2459EB"/>
    <w:multiLevelType w:val="multilevel"/>
    <w:tmpl w:val="81844DB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EE0BEC"/>
    <w:multiLevelType w:val="hybridMultilevel"/>
    <w:tmpl w:val="51E07F70"/>
    <w:lvl w:ilvl="0" w:tplc="8F2282E4">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B8797D"/>
    <w:multiLevelType w:val="hybridMultilevel"/>
    <w:tmpl w:val="0C74413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FC943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20"/>
  </w:num>
  <w:num w:numId="4">
    <w:abstractNumId w:val="19"/>
  </w:num>
  <w:num w:numId="5">
    <w:abstractNumId w:val="4"/>
  </w:num>
  <w:num w:numId="6">
    <w:abstractNumId w:val="5"/>
  </w:num>
  <w:num w:numId="7">
    <w:abstractNumId w:val="8"/>
  </w:num>
  <w:num w:numId="8">
    <w:abstractNumId w:val="21"/>
  </w:num>
  <w:num w:numId="9">
    <w:abstractNumId w:val="17"/>
  </w:num>
  <w:num w:numId="10">
    <w:abstractNumId w:val="18"/>
  </w:num>
  <w:num w:numId="11">
    <w:abstractNumId w:val="12"/>
  </w:num>
  <w:num w:numId="12">
    <w:abstractNumId w:val="1"/>
  </w:num>
  <w:num w:numId="13">
    <w:abstractNumId w:val="11"/>
  </w:num>
  <w:num w:numId="14">
    <w:abstractNumId w:val="10"/>
  </w:num>
  <w:num w:numId="15">
    <w:abstractNumId w:val="0"/>
  </w:num>
  <w:num w:numId="16">
    <w:abstractNumId w:val="3"/>
  </w:num>
  <w:num w:numId="17">
    <w:abstractNumId w:val="16"/>
  </w:num>
  <w:num w:numId="18">
    <w:abstractNumId w:val="15"/>
  </w:num>
  <w:num w:numId="19">
    <w:abstractNumId w:val="2"/>
  </w:num>
  <w:num w:numId="20">
    <w:abstractNumId w:val="13"/>
  </w:num>
  <w:num w:numId="21">
    <w:abstractNumId w:val="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36B"/>
    <w:rsid w:val="000005A1"/>
    <w:rsid w:val="0000097A"/>
    <w:rsid w:val="00002A88"/>
    <w:rsid w:val="00004686"/>
    <w:rsid w:val="000065F0"/>
    <w:rsid w:val="00006E65"/>
    <w:rsid w:val="00006EAD"/>
    <w:rsid w:val="0001054D"/>
    <w:rsid w:val="00010D29"/>
    <w:rsid w:val="000110B8"/>
    <w:rsid w:val="000117C8"/>
    <w:rsid w:val="00014868"/>
    <w:rsid w:val="00017EC8"/>
    <w:rsid w:val="0002077B"/>
    <w:rsid w:val="000238F8"/>
    <w:rsid w:val="00024676"/>
    <w:rsid w:val="000246A8"/>
    <w:rsid w:val="00026A47"/>
    <w:rsid w:val="000273E8"/>
    <w:rsid w:val="00027DB8"/>
    <w:rsid w:val="0003143C"/>
    <w:rsid w:val="0003435D"/>
    <w:rsid w:val="00034550"/>
    <w:rsid w:val="0004019F"/>
    <w:rsid w:val="00044DE3"/>
    <w:rsid w:val="00044E49"/>
    <w:rsid w:val="00051FB1"/>
    <w:rsid w:val="000532C0"/>
    <w:rsid w:val="00053338"/>
    <w:rsid w:val="00053C89"/>
    <w:rsid w:val="00054BC2"/>
    <w:rsid w:val="0005627F"/>
    <w:rsid w:val="00057548"/>
    <w:rsid w:val="00057AB9"/>
    <w:rsid w:val="000609DB"/>
    <w:rsid w:val="00060EA4"/>
    <w:rsid w:val="000628F5"/>
    <w:rsid w:val="000649B9"/>
    <w:rsid w:val="000651A2"/>
    <w:rsid w:val="00065DBE"/>
    <w:rsid w:val="0006696E"/>
    <w:rsid w:val="00067608"/>
    <w:rsid w:val="00067930"/>
    <w:rsid w:val="000734CA"/>
    <w:rsid w:val="0007461B"/>
    <w:rsid w:val="00074703"/>
    <w:rsid w:val="00075448"/>
    <w:rsid w:val="000810EC"/>
    <w:rsid w:val="0008142F"/>
    <w:rsid w:val="00081D55"/>
    <w:rsid w:val="00082095"/>
    <w:rsid w:val="0008403B"/>
    <w:rsid w:val="00085778"/>
    <w:rsid w:val="0008686F"/>
    <w:rsid w:val="00087C89"/>
    <w:rsid w:val="000901B6"/>
    <w:rsid w:val="00091AD0"/>
    <w:rsid w:val="00093202"/>
    <w:rsid w:val="00093A53"/>
    <w:rsid w:val="000A067A"/>
    <w:rsid w:val="000A2748"/>
    <w:rsid w:val="000A4EA4"/>
    <w:rsid w:val="000A53ED"/>
    <w:rsid w:val="000A7BB5"/>
    <w:rsid w:val="000B187E"/>
    <w:rsid w:val="000B58FD"/>
    <w:rsid w:val="000B6E8D"/>
    <w:rsid w:val="000B7559"/>
    <w:rsid w:val="000C0671"/>
    <w:rsid w:val="000C085F"/>
    <w:rsid w:val="000C13B0"/>
    <w:rsid w:val="000C15B7"/>
    <w:rsid w:val="000C202B"/>
    <w:rsid w:val="000C4945"/>
    <w:rsid w:val="000C5514"/>
    <w:rsid w:val="000C5774"/>
    <w:rsid w:val="000C617C"/>
    <w:rsid w:val="000C785B"/>
    <w:rsid w:val="000D11E5"/>
    <w:rsid w:val="000D1D97"/>
    <w:rsid w:val="000D484B"/>
    <w:rsid w:val="000E0347"/>
    <w:rsid w:val="000E0DE6"/>
    <w:rsid w:val="000E1AAE"/>
    <w:rsid w:val="000E31F6"/>
    <w:rsid w:val="000E4306"/>
    <w:rsid w:val="000E43DD"/>
    <w:rsid w:val="000E474A"/>
    <w:rsid w:val="000E54F3"/>
    <w:rsid w:val="000E603F"/>
    <w:rsid w:val="000E6C60"/>
    <w:rsid w:val="000E6F91"/>
    <w:rsid w:val="000E7D62"/>
    <w:rsid w:val="000F010E"/>
    <w:rsid w:val="000F1A3B"/>
    <w:rsid w:val="000F5EB5"/>
    <w:rsid w:val="0010151D"/>
    <w:rsid w:val="00102008"/>
    <w:rsid w:val="00103652"/>
    <w:rsid w:val="0010527F"/>
    <w:rsid w:val="001104A1"/>
    <w:rsid w:val="001119C9"/>
    <w:rsid w:val="00112804"/>
    <w:rsid w:val="00113AF6"/>
    <w:rsid w:val="001165C0"/>
    <w:rsid w:val="00116CBE"/>
    <w:rsid w:val="00117DD6"/>
    <w:rsid w:val="0012014C"/>
    <w:rsid w:val="0012152B"/>
    <w:rsid w:val="00122920"/>
    <w:rsid w:val="001255C8"/>
    <w:rsid w:val="00125EA0"/>
    <w:rsid w:val="00134E7B"/>
    <w:rsid w:val="00135E67"/>
    <w:rsid w:val="00136548"/>
    <w:rsid w:val="00137F2D"/>
    <w:rsid w:val="00140CBC"/>
    <w:rsid w:val="00146D41"/>
    <w:rsid w:val="00151CC1"/>
    <w:rsid w:val="00154363"/>
    <w:rsid w:val="001565B3"/>
    <w:rsid w:val="00156F20"/>
    <w:rsid w:val="00163236"/>
    <w:rsid w:val="00164AD1"/>
    <w:rsid w:val="0016590C"/>
    <w:rsid w:val="001661CC"/>
    <w:rsid w:val="00170FD7"/>
    <w:rsid w:val="00172E27"/>
    <w:rsid w:val="0017380B"/>
    <w:rsid w:val="001747B8"/>
    <w:rsid w:val="00177EC1"/>
    <w:rsid w:val="001822F8"/>
    <w:rsid w:val="0018422E"/>
    <w:rsid w:val="00186523"/>
    <w:rsid w:val="001869B9"/>
    <w:rsid w:val="00187368"/>
    <w:rsid w:val="00187591"/>
    <w:rsid w:val="00190370"/>
    <w:rsid w:val="00191451"/>
    <w:rsid w:val="0019518F"/>
    <w:rsid w:val="00196744"/>
    <w:rsid w:val="00197C3F"/>
    <w:rsid w:val="001A0AE8"/>
    <w:rsid w:val="001A4E9B"/>
    <w:rsid w:val="001A7BE0"/>
    <w:rsid w:val="001B324B"/>
    <w:rsid w:val="001B6A55"/>
    <w:rsid w:val="001B6AED"/>
    <w:rsid w:val="001B7A46"/>
    <w:rsid w:val="001B7B7C"/>
    <w:rsid w:val="001C0316"/>
    <w:rsid w:val="001C1401"/>
    <w:rsid w:val="001C6C05"/>
    <w:rsid w:val="001C788B"/>
    <w:rsid w:val="001D1922"/>
    <w:rsid w:val="001D2A57"/>
    <w:rsid w:val="001D2F39"/>
    <w:rsid w:val="001D3E7B"/>
    <w:rsid w:val="001D412F"/>
    <w:rsid w:val="001D4640"/>
    <w:rsid w:val="001D6C95"/>
    <w:rsid w:val="001E196D"/>
    <w:rsid w:val="001E2510"/>
    <w:rsid w:val="001E3718"/>
    <w:rsid w:val="001E3856"/>
    <w:rsid w:val="001E3D2C"/>
    <w:rsid w:val="001E4A1A"/>
    <w:rsid w:val="001E57ED"/>
    <w:rsid w:val="001E5CC4"/>
    <w:rsid w:val="001E6B0D"/>
    <w:rsid w:val="001F15DA"/>
    <w:rsid w:val="001F23CE"/>
    <w:rsid w:val="001F2D05"/>
    <w:rsid w:val="001F3344"/>
    <w:rsid w:val="001F487A"/>
    <w:rsid w:val="00200DF1"/>
    <w:rsid w:val="00200E1C"/>
    <w:rsid w:val="002011D7"/>
    <w:rsid w:val="00201A80"/>
    <w:rsid w:val="00202898"/>
    <w:rsid w:val="00202CC8"/>
    <w:rsid w:val="0020533F"/>
    <w:rsid w:val="002056E1"/>
    <w:rsid w:val="00207F5C"/>
    <w:rsid w:val="00211850"/>
    <w:rsid w:val="00212AF4"/>
    <w:rsid w:val="002140F6"/>
    <w:rsid w:val="00217294"/>
    <w:rsid w:val="00217806"/>
    <w:rsid w:val="002208E5"/>
    <w:rsid w:val="00221B27"/>
    <w:rsid w:val="00221DB3"/>
    <w:rsid w:val="00223AC1"/>
    <w:rsid w:val="00224D75"/>
    <w:rsid w:val="00225C33"/>
    <w:rsid w:val="00226F30"/>
    <w:rsid w:val="002312D0"/>
    <w:rsid w:val="00231716"/>
    <w:rsid w:val="002332AB"/>
    <w:rsid w:val="00233635"/>
    <w:rsid w:val="0023382D"/>
    <w:rsid w:val="002427F5"/>
    <w:rsid w:val="00242E6D"/>
    <w:rsid w:val="002458B6"/>
    <w:rsid w:val="00246B4D"/>
    <w:rsid w:val="00250DE1"/>
    <w:rsid w:val="00253FDA"/>
    <w:rsid w:val="00256596"/>
    <w:rsid w:val="00260D31"/>
    <w:rsid w:val="0026169A"/>
    <w:rsid w:val="002616AA"/>
    <w:rsid w:val="00264D29"/>
    <w:rsid w:val="00265465"/>
    <w:rsid w:val="00265DD1"/>
    <w:rsid w:val="00267186"/>
    <w:rsid w:val="00267ADA"/>
    <w:rsid w:val="00273779"/>
    <w:rsid w:val="002770B8"/>
    <w:rsid w:val="0028173E"/>
    <w:rsid w:val="00281E98"/>
    <w:rsid w:val="00284B2A"/>
    <w:rsid w:val="002865EF"/>
    <w:rsid w:val="00292F52"/>
    <w:rsid w:val="00294498"/>
    <w:rsid w:val="00294CB5"/>
    <w:rsid w:val="00295A5B"/>
    <w:rsid w:val="002A0F92"/>
    <w:rsid w:val="002A4100"/>
    <w:rsid w:val="002A6864"/>
    <w:rsid w:val="002B04DA"/>
    <w:rsid w:val="002B0DF9"/>
    <w:rsid w:val="002B3FB9"/>
    <w:rsid w:val="002B4731"/>
    <w:rsid w:val="002B7EE9"/>
    <w:rsid w:val="002B7FA8"/>
    <w:rsid w:val="002C07E2"/>
    <w:rsid w:val="002C2B3A"/>
    <w:rsid w:val="002C2BD2"/>
    <w:rsid w:val="002C40F6"/>
    <w:rsid w:val="002C462F"/>
    <w:rsid w:val="002D0070"/>
    <w:rsid w:val="002D0388"/>
    <w:rsid w:val="002D20CB"/>
    <w:rsid w:val="002D5886"/>
    <w:rsid w:val="002D6291"/>
    <w:rsid w:val="002D7343"/>
    <w:rsid w:val="002D7485"/>
    <w:rsid w:val="002E0354"/>
    <w:rsid w:val="002E32D8"/>
    <w:rsid w:val="002E3C4F"/>
    <w:rsid w:val="002E3D6D"/>
    <w:rsid w:val="002E58AE"/>
    <w:rsid w:val="002E660C"/>
    <w:rsid w:val="002E76F4"/>
    <w:rsid w:val="002F31B3"/>
    <w:rsid w:val="002F45E9"/>
    <w:rsid w:val="00301193"/>
    <w:rsid w:val="00301C80"/>
    <w:rsid w:val="0030563A"/>
    <w:rsid w:val="00305843"/>
    <w:rsid w:val="00307302"/>
    <w:rsid w:val="00310508"/>
    <w:rsid w:val="003130F7"/>
    <w:rsid w:val="0031426B"/>
    <w:rsid w:val="00315135"/>
    <w:rsid w:val="0031653C"/>
    <w:rsid w:val="00321349"/>
    <w:rsid w:val="00322441"/>
    <w:rsid w:val="00322498"/>
    <w:rsid w:val="0032483A"/>
    <w:rsid w:val="0033489B"/>
    <w:rsid w:val="0033495E"/>
    <w:rsid w:val="00336963"/>
    <w:rsid w:val="00340604"/>
    <w:rsid w:val="0034135F"/>
    <w:rsid w:val="00341CBB"/>
    <w:rsid w:val="0034395F"/>
    <w:rsid w:val="00344868"/>
    <w:rsid w:val="0035035A"/>
    <w:rsid w:val="00350A70"/>
    <w:rsid w:val="003511F4"/>
    <w:rsid w:val="0035154F"/>
    <w:rsid w:val="003541C8"/>
    <w:rsid w:val="00355ADE"/>
    <w:rsid w:val="00356659"/>
    <w:rsid w:val="00356671"/>
    <w:rsid w:val="003568EE"/>
    <w:rsid w:val="00357CA7"/>
    <w:rsid w:val="00363B80"/>
    <w:rsid w:val="00364FE7"/>
    <w:rsid w:val="0036578A"/>
    <w:rsid w:val="0036606E"/>
    <w:rsid w:val="0037072C"/>
    <w:rsid w:val="003711BB"/>
    <w:rsid w:val="00371627"/>
    <w:rsid w:val="00371980"/>
    <w:rsid w:val="00373748"/>
    <w:rsid w:val="00376DBD"/>
    <w:rsid w:val="00380A7E"/>
    <w:rsid w:val="00381C54"/>
    <w:rsid w:val="003820F6"/>
    <w:rsid w:val="00384F6F"/>
    <w:rsid w:val="003856DC"/>
    <w:rsid w:val="003866A3"/>
    <w:rsid w:val="0039076C"/>
    <w:rsid w:val="003918D4"/>
    <w:rsid w:val="003929D5"/>
    <w:rsid w:val="00395DFE"/>
    <w:rsid w:val="003A1746"/>
    <w:rsid w:val="003A1ADF"/>
    <w:rsid w:val="003A1DEE"/>
    <w:rsid w:val="003A31F3"/>
    <w:rsid w:val="003A33DF"/>
    <w:rsid w:val="003A467E"/>
    <w:rsid w:val="003A59E0"/>
    <w:rsid w:val="003A5A77"/>
    <w:rsid w:val="003A6032"/>
    <w:rsid w:val="003A7B0E"/>
    <w:rsid w:val="003A7E04"/>
    <w:rsid w:val="003B0C76"/>
    <w:rsid w:val="003B339F"/>
    <w:rsid w:val="003B37FF"/>
    <w:rsid w:val="003B50C9"/>
    <w:rsid w:val="003B52FB"/>
    <w:rsid w:val="003C1632"/>
    <w:rsid w:val="003C2105"/>
    <w:rsid w:val="003C3724"/>
    <w:rsid w:val="003D1AB6"/>
    <w:rsid w:val="003D343E"/>
    <w:rsid w:val="003D5D63"/>
    <w:rsid w:val="003D69EE"/>
    <w:rsid w:val="003D6D34"/>
    <w:rsid w:val="003E13E4"/>
    <w:rsid w:val="003E459D"/>
    <w:rsid w:val="003E4BD1"/>
    <w:rsid w:val="003E56A1"/>
    <w:rsid w:val="003E71DD"/>
    <w:rsid w:val="003E75BB"/>
    <w:rsid w:val="003F08BE"/>
    <w:rsid w:val="003F2038"/>
    <w:rsid w:val="003F475F"/>
    <w:rsid w:val="003F4CEF"/>
    <w:rsid w:val="003F5A3C"/>
    <w:rsid w:val="003F64C8"/>
    <w:rsid w:val="004003D9"/>
    <w:rsid w:val="00412C6F"/>
    <w:rsid w:val="0041351B"/>
    <w:rsid w:val="00416D9F"/>
    <w:rsid w:val="00416F2E"/>
    <w:rsid w:val="004172DA"/>
    <w:rsid w:val="00420833"/>
    <w:rsid w:val="00421632"/>
    <w:rsid w:val="00422527"/>
    <w:rsid w:val="00422627"/>
    <w:rsid w:val="00422DD3"/>
    <w:rsid w:val="004253C0"/>
    <w:rsid w:val="00426AAE"/>
    <w:rsid w:val="00426F1D"/>
    <w:rsid w:val="00430E9F"/>
    <w:rsid w:val="00431016"/>
    <w:rsid w:val="00431707"/>
    <w:rsid w:val="00434E4A"/>
    <w:rsid w:val="00435D73"/>
    <w:rsid w:val="004404D9"/>
    <w:rsid w:val="004411F8"/>
    <w:rsid w:val="0044221D"/>
    <w:rsid w:val="00444E12"/>
    <w:rsid w:val="00445FC6"/>
    <w:rsid w:val="00447EC3"/>
    <w:rsid w:val="00450B23"/>
    <w:rsid w:val="00451738"/>
    <w:rsid w:val="004548B3"/>
    <w:rsid w:val="00461920"/>
    <w:rsid w:val="00462459"/>
    <w:rsid w:val="00462636"/>
    <w:rsid w:val="00462D4F"/>
    <w:rsid w:val="00463359"/>
    <w:rsid w:val="00464153"/>
    <w:rsid w:val="004651C0"/>
    <w:rsid w:val="00467075"/>
    <w:rsid w:val="00467ADA"/>
    <w:rsid w:val="004707DD"/>
    <w:rsid w:val="004719A2"/>
    <w:rsid w:val="00471BD7"/>
    <w:rsid w:val="00471E3F"/>
    <w:rsid w:val="00472210"/>
    <w:rsid w:val="004732F3"/>
    <w:rsid w:val="004735B5"/>
    <w:rsid w:val="00473A0A"/>
    <w:rsid w:val="00474AF8"/>
    <w:rsid w:val="0047620F"/>
    <w:rsid w:val="00477257"/>
    <w:rsid w:val="0048035A"/>
    <w:rsid w:val="0048269D"/>
    <w:rsid w:val="00483887"/>
    <w:rsid w:val="004844A1"/>
    <w:rsid w:val="00484628"/>
    <w:rsid w:val="00485E72"/>
    <w:rsid w:val="0049025A"/>
    <w:rsid w:val="00491C19"/>
    <w:rsid w:val="0049204C"/>
    <w:rsid w:val="0049254C"/>
    <w:rsid w:val="004925CF"/>
    <w:rsid w:val="00493428"/>
    <w:rsid w:val="00493DAF"/>
    <w:rsid w:val="00497388"/>
    <w:rsid w:val="00497DF3"/>
    <w:rsid w:val="004A02C2"/>
    <w:rsid w:val="004A1426"/>
    <w:rsid w:val="004A2CA7"/>
    <w:rsid w:val="004A3504"/>
    <w:rsid w:val="004A3928"/>
    <w:rsid w:val="004A42EC"/>
    <w:rsid w:val="004A6CE2"/>
    <w:rsid w:val="004A7BB5"/>
    <w:rsid w:val="004A7D3F"/>
    <w:rsid w:val="004A7F7B"/>
    <w:rsid w:val="004B0BFA"/>
    <w:rsid w:val="004B2A2E"/>
    <w:rsid w:val="004B2FF9"/>
    <w:rsid w:val="004B3EA1"/>
    <w:rsid w:val="004B611C"/>
    <w:rsid w:val="004B6EF7"/>
    <w:rsid w:val="004B739A"/>
    <w:rsid w:val="004B7E21"/>
    <w:rsid w:val="004C2CDE"/>
    <w:rsid w:val="004C336C"/>
    <w:rsid w:val="004C39A7"/>
    <w:rsid w:val="004C3B9D"/>
    <w:rsid w:val="004C6181"/>
    <w:rsid w:val="004D0282"/>
    <w:rsid w:val="004D030D"/>
    <w:rsid w:val="004D05D2"/>
    <w:rsid w:val="004D2E6E"/>
    <w:rsid w:val="004D3B5E"/>
    <w:rsid w:val="004D3D66"/>
    <w:rsid w:val="004D4512"/>
    <w:rsid w:val="004D56D7"/>
    <w:rsid w:val="004D68D3"/>
    <w:rsid w:val="004E2DFB"/>
    <w:rsid w:val="004E3D7C"/>
    <w:rsid w:val="004E4108"/>
    <w:rsid w:val="004E4373"/>
    <w:rsid w:val="004E462A"/>
    <w:rsid w:val="004E49E9"/>
    <w:rsid w:val="004F5278"/>
    <w:rsid w:val="004F675E"/>
    <w:rsid w:val="005014A0"/>
    <w:rsid w:val="00502213"/>
    <w:rsid w:val="00502E4A"/>
    <w:rsid w:val="0050633F"/>
    <w:rsid w:val="00506E45"/>
    <w:rsid w:val="00506EBD"/>
    <w:rsid w:val="0050718F"/>
    <w:rsid w:val="0051317D"/>
    <w:rsid w:val="00514461"/>
    <w:rsid w:val="00515089"/>
    <w:rsid w:val="0051606D"/>
    <w:rsid w:val="0051682A"/>
    <w:rsid w:val="0052043F"/>
    <w:rsid w:val="0052156F"/>
    <w:rsid w:val="00521C42"/>
    <w:rsid w:val="00521E24"/>
    <w:rsid w:val="00522EFA"/>
    <w:rsid w:val="00523066"/>
    <w:rsid w:val="00523A35"/>
    <w:rsid w:val="00524DD4"/>
    <w:rsid w:val="00525726"/>
    <w:rsid w:val="00527962"/>
    <w:rsid w:val="00530E48"/>
    <w:rsid w:val="00531004"/>
    <w:rsid w:val="005344CC"/>
    <w:rsid w:val="00535686"/>
    <w:rsid w:val="00535CFA"/>
    <w:rsid w:val="00537C9E"/>
    <w:rsid w:val="005415DE"/>
    <w:rsid w:val="005426C8"/>
    <w:rsid w:val="005479D3"/>
    <w:rsid w:val="00551172"/>
    <w:rsid w:val="005548A4"/>
    <w:rsid w:val="00555D64"/>
    <w:rsid w:val="00556F60"/>
    <w:rsid w:val="00560CE2"/>
    <w:rsid w:val="00562ED0"/>
    <w:rsid w:val="005644DC"/>
    <w:rsid w:val="00566622"/>
    <w:rsid w:val="005670CB"/>
    <w:rsid w:val="00567A6C"/>
    <w:rsid w:val="005726FB"/>
    <w:rsid w:val="00574A9A"/>
    <w:rsid w:val="00574CBF"/>
    <w:rsid w:val="00575D70"/>
    <w:rsid w:val="005770C0"/>
    <w:rsid w:val="00577496"/>
    <w:rsid w:val="00582394"/>
    <w:rsid w:val="0058316C"/>
    <w:rsid w:val="005837C4"/>
    <w:rsid w:val="0058403C"/>
    <w:rsid w:val="00585A32"/>
    <w:rsid w:val="00586C69"/>
    <w:rsid w:val="00587DFA"/>
    <w:rsid w:val="00590523"/>
    <w:rsid w:val="00590622"/>
    <w:rsid w:val="0059122B"/>
    <w:rsid w:val="00591370"/>
    <w:rsid w:val="00591F4F"/>
    <w:rsid w:val="00592723"/>
    <w:rsid w:val="00592A4B"/>
    <w:rsid w:val="00595A2A"/>
    <w:rsid w:val="005960B6"/>
    <w:rsid w:val="00597CF7"/>
    <w:rsid w:val="005A0A97"/>
    <w:rsid w:val="005A43B3"/>
    <w:rsid w:val="005A71E7"/>
    <w:rsid w:val="005B2108"/>
    <w:rsid w:val="005B2CFB"/>
    <w:rsid w:val="005B3656"/>
    <w:rsid w:val="005B4635"/>
    <w:rsid w:val="005B4774"/>
    <w:rsid w:val="005B4A7D"/>
    <w:rsid w:val="005B506F"/>
    <w:rsid w:val="005B5629"/>
    <w:rsid w:val="005B7FC6"/>
    <w:rsid w:val="005C185F"/>
    <w:rsid w:val="005C1B40"/>
    <w:rsid w:val="005C3403"/>
    <w:rsid w:val="005C5C61"/>
    <w:rsid w:val="005D1B6C"/>
    <w:rsid w:val="005D1EAD"/>
    <w:rsid w:val="005D3CEC"/>
    <w:rsid w:val="005D41A5"/>
    <w:rsid w:val="005D4240"/>
    <w:rsid w:val="005D50BC"/>
    <w:rsid w:val="005D7613"/>
    <w:rsid w:val="005D7EEC"/>
    <w:rsid w:val="005E03A6"/>
    <w:rsid w:val="005E14D3"/>
    <w:rsid w:val="005E278B"/>
    <w:rsid w:val="005E4F6C"/>
    <w:rsid w:val="005E5DB7"/>
    <w:rsid w:val="005E655B"/>
    <w:rsid w:val="005E7F80"/>
    <w:rsid w:val="005F4F9F"/>
    <w:rsid w:val="005F5B24"/>
    <w:rsid w:val="005F665C"/>
    <w:rsid w:val="00601027"/>
    <w:rsid w:val="0060384E"/>
    <w:rsid w:val="00604047"/>
    <w:rsid w:val="00612B15"/>
    <w:rsid w:val="006140F5"/>
    <w:rsid w:val="00616913"/>
    <w:rsid w:val="00620757"/>
    <w:rsid w:val="00621A27"/>
    <w:rsid w:val="006221E4"/>
    <w:rsid w:val="006225B4"/>
    <w:rsid w:val="00623EE2"/>
    <w:rsid w:val="0062432F"/>
    <w:rsid w:val="00624D54"/>
    <w:rsid w:val="00626762"/>
    <w:rsid w:val="006269FF"/>
    <w:rsid w:val="006317B0"/>
    <w:rsid w:val="00632FA3"/>
    <w:rsid w:val="00636415"/>
    <w:rsid w:val="00636794"/>
    <w:rsid w:val="00636EBD"/>
    <w:rsid w:val="006420F0"/>
    <w:rsid w:val="00643008"/>
    <w:rsid w:val="00643B71"/>
    <w:rsid w:val="006458EE"/>
    <w:rsid w:val="00646BB9"/>
    <w:rsid w:val="00646F54"/>
    <w:rsid w:val="0064706E"/>
    <w:rsid w:val="006477AA"/>
    <w:rsid w:val="0065372E"/>
    <w:rsid w:val="00654555"/>
    <w:rsid w:val="00656E3D"/>
    <w:rsid w:val="006600D8"/>
    <w:rsid w:val="0066045D"/>
    <w:rsid w:val="006606EC"/>
    <w:rsid w:val="00660887"/>
    <w:rsid w:val="006619DF"/>
    <w:rsid w:val="00662CBD"/>
    <w:rsid w:val="00663438"/>
    <w:rsid w:val="0066413B"/>
    <w:rsid w:val="00667DAE"/>
    <w:rsid w:val="0067068A"/>
    <w:rsid w:val="00670CF4"/>
    <w:rsid w:val="00671649"/>
    <w:rsid w:val="00671A43"/>
    <w:rsid w:val="006734BF"/>
    <w:rsid w:val="00673790"/>
    <w:rsid w:val="00675064"/>
    <w:rsid w:val="006770AE"/>
    <w:rsid w:val="0067732A"/>
    <w:rsid w:val="00677401"/>
    <w:rsid w:val="0067765C"/>
    <w:rsid w:val="00680CFC"/>
    <w:rsid w:val="00681B01"/>
    <w:rsid w:val="00683163"/>
    <w:rsid w:val="0068494D"/>
    <w:rsid w:val="0069153E"/>
    <w:rsid w:val="00691F7B"/>
    <w:rsid w:val="00692974"/>
    <w:rsid w:val="00696102"/>
    <w:rsid w:val="006A054D"/>
    <w:rsid w:val="006A14F5"/>
    <w:rsid w:val="006A2086"/>
    <w:rsid w:val="006A3BDB"/>
    <w:rsid w:val="006A69F1"/>
    <w:rsid w:val="006A6AF6"/>
    <w:rsid w:val="006A7F20"/>
    <w:rsid w:val="006B2BE0"/>
    <w:rsid w:val="006B3D72"/>
    <w:rsid w:val="006B41C4"/>
    <w:rsid w:val="006B7AA5"/>
    <w:rsid w:val="006C0182"/>
    <w:rsid w:val="006C03EE"/>
    <w:rsid w:val="006C06A3"/>
    <w:rsid w:val="006C0915"/>
    <w:rsid w:val="006C3142"/>
    <w:rsid w:val="006C3F7D"/>
    <w:rsid w:val="006C4860"/>
    <w:rsid w:val="006C4D85"/>
    <w:rsid w:val="006C5353"/>
    <w:rsid w:val="006C5F1E"/>
    <w:rsid w:val="006D018B"/>
    <w:rsid w:val="006D1B3F"/>
    <w:rsid w:val="006D1D64"/>
    <w:rsid w:val="006D26C9"/>
    <w:rsid w:val="006D31D0"/>
    <w:rsid w:val="006D3D75"/>
    <w:rsid w:val="006D412A"/>
    <w:rsid w:val="006E025A"/>
    <w:rsid w:val="006E0AF0"/>
    <w:rsid w:val="006E1CBD"/>
    <w:rsid w:val="006E5E0E"/>
    <w:rsid w:val="006E6CC6"/>
    <w:rsid w:val="006E7347"/>
    <w:rsid w:val="006F401D"/>
    <w:rsid w:val="006F4B05"/>
    <w:rsid w:val="006F511D"/>
    <w:rsid w:val="006F7FAF"/>
    <w:rsid w:val="0070103B"/>
    <w:rsid w:val="0070268A"/>
    <w:rsid w:val="00703658"/>
    <w:rsid w:val="007043A4"/>
    <w:rsid w:val="007067F3"/>
    <w:rsid w:val="00706BAC"/>
    <w:rsid w:val="00710C62"/>
    <w:rsid w:val="00712414"/>
    <w:rsid w:val="00713036"/>
    <w:rsid w:val="007138AB"/>
    <w:rsid w:val="007158E6"/>
    <w:rsid w:val="00716A20"/>
    <w:rsid w:val="0071766B"/>
    <w:rsid w:val="00717FB3"/>
    <w:rsid w:val="007208C9"/>
    <w:rsid w:val="00722282"/>
    <w:rsid w:val="00722EE4"/>
    <w:rsid w:val="00723A3B"/>
    <w:rsid w:val="00726C43"/>
    <w:rsid w:val="007308BD"/>
    <w:rsid w:val="00731533"/>
    <w:rsid w:val="00731E21"/>
    <w:rsid w:val="007344BD"/>
    <w:rsid w:val="007375AC"/>
    <w:rsid w:val="0074082C"/>
    <w:rsid w:val="00740DE7"/>
    <w:rsid w:val="00741FB7"/>
    <w:rsid w:val="00744E33"/>
    <w:rsid w:val="0075174C"/>
    <w:rsid w:val="00751798"/>
    <w:rsid w:val="007526C5"/>
    <w:rsid w:val="00753D9A"/>
    <w:rsid w:val="0075411B"/>
    <w:rsid w:val="007555A1"/>
    <w:rsid w:val="0075641E"/>
    <w:rsid w:val="0076038C"/>
    <w:rsid w:val="00762C67"/>
    <w:rsid w:val="00766B48"/>
    <w:rsid w:val="00767859"/>
    <w:rsid w:val="00767C00"/>
    <w:rsid w:val="00767D57"/>
    <w:rsid w:val="00767E2B"/>
    <w:rsid w:val="00770FCC"/>
    <w:rsid w:val="00771C82"/>
    <w:rsid w:val="00773FF0"/>
    <w:rsid w:val="00775AA7"/>
    <w:rsid w:val="00775F3C"/>
    <w:rsid w:val="007760F3"/>
    <w:rsid w:val="007801FB"/>
    <w:rsid w:val="00780E40"/>
    <w:rsid w:val="00781187"/>
    <w:rsid w:val="00786EF1"/>
    <w:rsid w:val="007905A0"/>
    <w:rsid w:val="00791196"/>
    <w:rsid w:val="007925C7"/>
    <w:rsid w:val="00795170"/>
    <w:rsid w:val="00795630"/>
    <w:rsid w:val="00797346"/>
    <w:rsid w:val="00797375"/>
    <w:rsid w:val="00797D3B"/>
    <w:rsid w:val="007A023B"/>
    <w:rsid w:val="007A28D1"/>
    <w:rsid w:val="007A3120"/>
    <w:rsid w:val="007A34FC"/>
    <w:rsid w:val="007A3586"/>
    <w:rsid w:val="007A4624"/>
    <w:rsid w:val="007A4BD1"/>
    <w:rsid w:val="007A5177"/>
    <w:rsid w:val="007B1E45"/>
    <w:rsid w:val="007B2546"/>
    <w:rsid w:val="007B329E"/>
    <w:rsid w:val="007B6101"/>
    <w:rsid w:val="007B6E57"/>
    <w:rsid w:val="007B72CC"/>
    <w:rsid w:val="007C0BA3"/>
    <w:rsid w:val="007C1A58"/>
    <w:rsid w:val="007C2955"/>
    <w:rsid w:val="007C3373"/>
    <w:rsid w:val="007C3AFC"/>
    <w:rsid w:val="007C3B7D"/>
    <w:rsid w:val="007C483D"/>
    <w:rsid w:val="007C65A9"/>
    <w:rsid w:val="007D0580"/>
    <w:rsid w:val="007D067A"/>
    <w:rsid w:val="007D31D9"/>
    <w:rsid w:val="007D31F5"/>
    <w:rsid w:val="007D6582"/>
    <w:rsid w:val="007E1EA9"/>
    <w:rsid w:val="007E4271"/>
    <w:rsid w:val="007E45B6"/>
    <w:rsid w:val="007E7A08"/>
    <w:rsid w:val="007F487D"/>
    <w:rsid w:val="007F6AC7"/>
    <w:rsid w:val="007F748B"/>
    <w:rsid w:val="008004D8"/>
    <w:rsid w:val="00801181"/>
    <w:rsid w:val="00801ED4"/>
    <w:rsid w:val="0080200C"/>
    <w:rsid w:val="008028B8"/>
    <w:rsid w:val="00805F63"/>
    <w:rsid w:val="008103E9"/>
    <w:rsid w:val="00812D40"/>
    <w:rsid w:val="00813401"/>
    <w:rsid w:val="00813B97"/>
    <w:rsid w:val="008167D8"/>
    <w:rsid w:val="00816F33"/>
    <w:rsid w:val="00817AA7"/>
    <w:rsid w:val="00821B90"/>
    <w:rsid w:val="00824209"/>
    <w:rsid w:val="008246EB"/>
    <w:rsid w:val="008266C6"/>
    <w:rsid w:val="00826F34"/>
    <w:rsid w:val="008272D8"/>
    <w:rsid w:val="00827AD7"/>
    <w:rsid w:val="00831EB1"/>
    <w:rsid w:val="00832B85"/>
    <w:rsid w:val="00833B0D"/>
    <w:rsid w:val="008341B1"/>
    <w:rsid w:val="00834346"/>
    <w:rsid w:val="00834BE7"/>
    <w:rsid w:val="008355BB"/>
    <w:rsid w:val="008373D1"/>
    <w:rsid w:val="0084000F"/>
    <w:rsid w:val="00841D29"/>
    <w:rsid w:val="00842BE4"/>
    <w:rsid w:val="008434A9"/>
    <w:rsid w:val="00846AAC"/>
    <w:rsid w:val="008500BD"/>
    <w:rsid w:val="00850DA7"/>
    <w:rsid w:val="00851B03"/>
    <w:rsid w:val="008533AD"/>
    <w:rsid w:val="00853AE5"/>
    <w:rsid w:val="00853B1F"/>
    <w:rsid w:val="00853C86"/>
    <w:rsid w:val="00854CF2"/>
    <w:rsid w:val="008570A5"/>
    <w:rsid w:val="00860337"/>
    <w:rsid w:val="0086037D"/>
    <w:rsid w:val="008609E6"/>
    <w:rsid w:val="008616E2"/>
    <w:rsid w:val="00862212"/>
    <w:rsid w:val="00864932"/>
    <w:rsid w:val="00870A0B"/>
    <w:rsid w:val="0087189A"/>
    <w:rsid w:val="00872360"/>
    <w:rsid w:val="00880EEB"/>
    <w:rsid w:val="00883B04"/>
    <w:rsid w:val="00885315"/>
    <w:rsid w:val="00886578"/>
    <w:rsid w:val="00890174"/>
    <w:rsid w:val="0089308D"/>
    <w:rsid w:val="0089328D"/>
    <w:rsid w:val="00894BD8"/>
    <w:rsid w:val="0089614F"/>
    <w:rsid w:val="008A5359"/>
    <w:rsid w:val="008A6319"/>
    <w:rsid w:val="008A6331"/>
    <w:rsid w:val="008A674B"/>
    <w:rsid w:val="008A67B9"/>
    <w:rsid w:val="008B12B4"/>
    <w:rsid w:val="008B1C0F"/>
    <w:rsid w:val="008B2F6C"/>
    <w:rsid w:val="008B3093"/>
    <w:rsid w:val="008C1E91"/>
    <w:rsid w:val="008C4A3C"/>
    <w:rsid w:val="008C4ABF"/>
    <w:rsid w:val="008C5D78"/>
    <w:rsid w:val="008C65EB"/>
    <w:rsid w:val="008C662C"/>
    <w:rsid w:val="008D037F"/>
    <w:rsid w:val="008D23CE"/>
    <w:rsid w:val="008D2432"/>
    <w:rsid w:val="008D2D3E"/>
    <w:rsid w:val="008D317B"/>
    <w:rsid w:val="008E08A0"/>
    <w:rsid w:val="008E51C9"/>
    <w:rsid w:val="008E55A6"/>
    <w:rsid w:val="008E5F8D"/>
    <w:rsid w:val="008F1A4B"/>
    <w:rsid w:val="008F2E9D"/>
    <w:rsid w:val="008F4274"/>
    <w:rsid w:val="008F5487"/>
    <w:rsid w:val="008F6318"/>
    <w:rsid w:val="008F758B"/>
    <w:rsid w:val="0090062A"/>
    <w:rsid w:val="009029DB"/>
    <w:rsid w:val="00904FB0"/>
    <w:rsid w:val="00905592"/>
    <w:rsid w:val="009068BA"/>
    <w:rsid w:val="00910567"/>
    <w:rsid w:val="00913594"/>
    <w:rsid w:val="00914D38"/>
    <w:rsid w:val="00916198"/>
    <w:rsid w:val="00917854"/>
    <w:rsid w:val="009201F4"/>
    <w:rsid w:val="00922E15"/>
    <w:rsid w:val="00924291"/>
    <w:rsid w:val="00930BA4"/>
    <w:rsid w:val="00932CA3"/>
    <w:rsid w:val="00937269"/>
    <w:rsid w:val="00940C6D"/>
    <w:rsid w:val="0094291C"/>
    <w:rsid w:val="00942E88"/>
    <w:rsid w:val="00943A30"/>
    <w:rsid w:val="00943DE8"/>
    <w:rsid w:val="00944C0B"/>
    <w:rsid w:val="009451D7"/>
    <w:rsid w:val="0094671B"/>
    <w:rsid w:val="00947E84"/>
    <w:rsid w:val="0095040D"/>
    <w:rsid w:val="0095073D"/>
    <w:rsid w:val="00951691"/>
    <w:rsid w:val="00953C2E"/>
    <w:rsid w:val="009619EE"/>
    <w:rsid w:val="00962551"/>
    <w:rsid w:val="00964338"/>
    <w:rsid w:val="009663B6"/>
    <w:rsid w:val="00970A77"/>
    <w:rsid w:val="00971AA6"/>
    <w:rsid w:val="00974CB1"/>
    <w:rsid w:val="009779C3"/>
    <w:rsid w:val="009810AC"/>
    <w:rsid w:val="0098180B"/>
    <w:rsid w:val="00983600"/>
    <w:rsid w:val="009867F0"/>
    <w:rsid w:val="0098685A"/>
    <w:rsid w:val="009875DA"/>
    <w:rsid w:val="00987B55"/>
    <w:rsid w:val="00991CF3"/>
    <w:rsid w:val="00992AAA"/>
    <w:rsid w:val="00992DDE"/>
    <w:rsid w:val="00993D1E"/>
    <w:rsid w:val="009942C2"/>
    <w:rsid w:val="009A0678"/>
    <w:rsid w:val="009A0917"/>
    <w:rsid w:val="009A1EDB"/>
    <w:rsid w:val="009A3252"/>
    <w:rsid w:val="009A411D"/>
    <w:rsid w:val="009A5677"/>
    <w:rsid w:val="009B0BEF"/>
    <w:rsid w:val="009B1238"/>
    <w:rsid w:val="009B21AA"/>
    <w:rsid w:val="009B21DE"/>
    <w:rsid w:val="009C1395"/>
    <w:rsid w:val="009C1BB6"/>
    <w:rsid w:val="009C28BB"/>
    <w:rsid w:val="009C425C"/>
    <w:rsid w:val="009C509C"/>
    <w:rsid w:val="009C6E15"/>
    <w:rsid w:val="009C7631"/>
    <w:rsid w:val="009D0A9D"/>
    <w:rsid w:val="009D26D1"/>
    <w:rsid w:val="009D3006"/>
    <w:rsid w:val="009D42F4"/>
    <w:rsid w:val="009D5C32"/>
    <w:rsid w:val="009E07AB"/>
    <w:rsid w:val="009E1A41"/>
    <w:rsid w:val="009E3422"/>
    <w:rsid w:val="009E4486"/>
    <w:rsid w:val="009E7D3A"/>
    <w:rsid w:val="009F2054"/>
    <w:rsid w:val="009F3449"/>
    <w:rsid w:val="009F3D99"/>
    <w:rsid w:val="009F4BF1"/>
    <w:rsid w:val="00A031F2"/>
    <w:rsid w:val="00A03CFC"/>
    <w:rsid w:val="00A03E02"/>
    <w:rsid w:val="00A0480A"/>
    <w:rsid w:val="00A04B6F"/>
    <w:rsid w:val="00A104DB"/>
    <w:rsid w:val="00A11C94"/>
    <w:rsid w:val="00A14C3A"/>
    <w:rsid w:val="00A1710F"/>
    <w:rsid w:val="00A21709"/>
    <w:rsid w:val="00A24393"/>
    <w:rsid w:val="00A2481F"/>
    <w:rsid w:val="00A2534F"/>
    <w:rsid w:val="00A26EAF"/>
    <w:rsid w:val="00A27F5B"/>
    <w:rsid w:val="00A3171B"/>
    <w:rsid w:val="00A327F0"/>
    <w:rsid w:val="00A32F77"/>
    <w:rsid w:val="00A361CD"/>
    <w:rsid w:val="00A3657E"/>
    <w:rsid w:val="00A369D7"/>
    <w:rsid w:val="00A37D8B"/>
    <w:rsid w:val="00A40AC6"/>
    <w:rsid w:val="00A414A4"/>
    <w:rsid w:val="00A416A2"/>
    <w:rsid w:val="00A4232C"/>
    <w:rsid w:val="00A43796"/>
    <w:rsid w:val="00A45EC9"/>
    <w:rsid w:val="00A47B62"/>
    <w:rsid w:val="00A53DFB"/>
    <w:rsid w:val="00A54342"/>
    <w:rsid w:val="00A56BD3"/>
    <w:rsid w:val="00A572D3"/>
    <w:rsid w:val="00A60F61"/>
    <w:rsid w:val="00A60F9E"/>
    <w:rsid w:val="00A62F6D"/>
    <w:rsid w:val="00A73DA7"/>
    <w:rsid w:val="00A75543"/>
    <w:rsid w:val="00A77EFE"/>
    <w:rsid w:val="00A803D6"/>
    <w:rsid w:val="00A81E24"/>
    <w:rsid w:val="00A8250C"/>
    <w:rsid w:val="00A85A5F"/>
    <w:rsid w:val="00A877F1"/>
    <w:rsid w:val="00A934DF"/>
    <w:rsid w:val="00A93875"/>
    <w:rsid w:val="00A95936"/>
    <w:rsid w:val="00A96260"/>
    <w:rsid w:val="00A963B3"/>
    <w:rsid w:val="00AA1098"/>
    <w:rsid w:val="00AA3644"/>
    <w:rsid w:val="00AA3975"/>
    <w:rsid w:val="00AA4511"/>
    <w:rsid w:val="00AA46FB"/>
    <w:rsid w:val="00AA4D08"/>
    <w:rsid w:val="00AA5B4C"/>
    <w:rsid w:val="00AA5C2B"/>
    <w:rsid w:val="00AA61A4"/>
    <w:rsid w:val="00AA6771"/>
    <w:rsid w:val="00AB0C5C"/>
    <w:rsid w:val="00AB1519"/>
    <w:rsid w:val="00AB1CF1"/>
    <w:rsid w:val="00AB23CA"/>
    <w:rsid w:val="00AB4449"/>
    <w:rsid w:val="00AB5409"/>
    <w:rsid w:val="00AB64E4"/>
    <w:rsid w:val="00AC18E1"/>
    <w:rsid w:val="00AC1BCA"/>
    <w:rsid w:val="00AC1D36"/>
    <w:rsid w:val="00AC3D75"/>
    <w:rsid w:val="00AC4422"/>
    <w:rsid w:val="00AC57BF"/>
    <w:rsid w:val="00AC7658"/>
    <w:rsid w:val="00AD3BD6"/>
    <w:rsid w:val="00AD4053"/>
    <w:rsid w:val="00AD42EB"/>
    <w:rsid w:val="00AD4B9D"/>
    <w:rsid w:val="00AD636B"/>
    <w:rsid w:val="00AE2061"/>
    <w:rsid w:val="00AE58A5"/>
    <w:rsid w:val="00AE623C"/>
    <w:rsid w:val="00AE7394"/>
    <w:rsid w:val="00AE7D53"/>
    <w:rsid w:val="00AF0C04"/>
    <w:rsid w:val="00AF3F76"/>
    <w:rsid w:val="00AF72CD"/>
    <w:rsid w:val="00B00AB2"/>
    <w:rsid w:val="00B023D0"/>
    <w:rsid w:val="00B036B9"/>
    <w:rsid w:val="00B03BBA"/>
    <w:rsid w:val="00B05A5B"/>
    <w:rsid w:val="00B05C59"/>
    <w:rsid w:val="00B0657E"/>
    <w:rsid w:val="00B0694E"/>
    <w:rsid w:val="00B147A4"/>
    <w:rsid w:val="00B21447"/>
    <w:rsid w:val="00B214CC"/>
    <w:rsid w:val="00B220E6"/>
    <w:rsid w:val="00B22771"/>
    <w:rsid w:val="00B229DB"/>
    <w:rsid w:val="00B22A2E"/>
    <w:rsid w:val="00B245B3"/>
    <w:rsid w:val="00B256C2"/>
    <w:rsid w:val="00B25947"/>
    <w:rsid w:val="00B3066D"/>
    <w:rsid w:val="00B30FDE"/>
    <w:rsid w:val="00B32682"/>
    <w:rsid w:val="00B32758"/>
    <w:rsid w:val="00B34BED"/>
    <w:rsid w:val="00B35D9E"/>
    <w:rsid w:val="00B40A01"/>
    <w:rsid w:val="00B419D7"/>
    <w:rsid w:val="00B41BEE"/>
    <w:rsid w:val="00B427C0"/>
    <w:rsid w:val="00B4434B"/>
    <w:rsid w:val="00B45F66"/>
    <w:rsid w:val="00B467D5"/>
    <w:rsid w:val="00B47C9A"/>
    <w:rsid w:val="00B5015C"/>
    <w:rsid w:val="00B55B3C"/>
    <w:rsid w:val="00B57E48"/>
    <w:rsid w:val="00B605DC"/>
    <w:rsid w:val="00B62AEA"/>
    <w:rsid w:val="00B63677"/>
    <w:rsid w:val="00B64706"/>
    <w:rsid w:val="00B64C86"/>
    <w:rsid w:val="00B6776C"/>
    <w:rsid w:val="00B70D05"/>
    <w:rsid w:val="00B72177"/>
    <w:rsid w:val="00B7292C"/>
    <w:rsid w:val="00B7328D"/>
    <w:rsid w:val="00B7348D"/>
    <w:rsid w:val="00B73BA2"/>
    <w:rsid w:val="00B80398"/>
    <w:rsid w:val="00B80852"/>
    <w:rsid w:val="00B83D0B"/>
    <w:rsid w:val="00B842D7"/>
    <w:rsid w:val="00B84E5F"/>
    <w:rsid w:val="00B84FEE"/>
    <w:rsid w:val="00B8516A"/>
    <w:rsid w:val="00B86371"/>
    <w:rsid w:val="00B86A1B"/>
    <w:rsid w:val="00B86D4C"/>
    <w:rsid w:val="00B91CD6"/>
    <w:rsid w:val="00B91EE8"/>
    <w:rsid w:val="00B92778"/>
    <w:rsid w:val="00B9363C"/>
    <w:rsid w:val="00B93D19"/>
    <w:rsid w:val="00B96122"/>
    <w:rsid w:val="00B96463"/>
    <w:rsid w:val="00B96493"/>
    <w:rsid w:val="00BA1073"/>
    <w:rsid w:val="00BA149D"/>
    <w:rsid w:val="00BA1595"/>
    <w:rsid w:val="00BA688D"/>
    <w:rsid w:val="00BA6D5E"/>
    <w:rsid w:val="00BB0F2A"/>
    <w:rsid w:val="00BB13EF"/>
    <w:rsid w:val="00BB2539"/>
    <w:rsid w:val="00BB4A43"/>
    <w:rsid w:val="00BB4C3A"/>
    <w:rsid w:val="00BB50EE"/>
    <w:rsid w:val="00BB5170"/>
    <w:rsid w:val="00BB585C"/>
    <w:rsid w:val="00BB5F97"/>
    <w:rsid w:val="00BB6965"/>
    <w:rsid w:val="00BB6DF5"/>
    <w:rsid w:val="00BB751C"/>
    <w:rsid w:val="00BB783F"/>
    <w:rsid w:val="00BC180F"/>
    <w:rsid w:val="00BC1E5D"/>
    <w:rsid w:val="00BC33A3"/>
    <w:rsid w:val="00BC69BA"/>
    <w:rsid w:val="00BC69C4"/>
    <w:rsid w:val="00BD0AF1"/>
    <w:rsid w:val="00BD554D"/>
    <w:rsid w:val="00BD6950"/>
    <w:rsid w:val="00BD7D17"/>
    <w:rsid w:val="00BE07DE"/>
    <w:rsid w:val="00BE0E69"/>
    <w:rsid w:val="00BE324F"/>
    <w:rsid w:val="00BE56A2"/>
    <w:rsid w:val="00BF0422"/>
    <w:rsid w:val="00BF2A9E"/>
    <w:rsid w:val="00BF3486"/>
    <w:rsid w:val="00BF3EB4"/>
    <w:rsid w:val="00BF603E"/>
    <w:rsid w:val="00BF65A7"/>
    <w:rsid w:val="00C00DE4"/>
    <w:rsid w:val="00C0104E"/>
    <w:rsid w:val="00C01405"/>
    <w:rsid w:val="00C02378"/>
    <w:rsid w:val="00C05838"/>
    <w:rsid w:val="00C059DF"/>
    <w:rsid w:val="00C07954"/>
    <w:rsid w:val="00C11FBC"/>
    <w:rsid w:val="00C143C7"/>
    <w:rsid w:val="00C15DF2"/>
    <w:rsid w:val="00C16074"/>
    <w:rsid w:val="00C200E6"/>
    <w:rsid w:val="00C21835"/>
    <w:rsid w:val="00C2273A"/>
    <w:rsid w:val="00C231CF"/>
    <w:rsid w:val="00C23B90"/>
    <w:rsid w:val="00C23E79"/>
    <w:rsid w:val="00C264FB"/>
    <w:rsid w:val="00C27ABB"/>
    <w:rsid w:val="00C32A98"/>
    <w:rsid w:val="00C32C77"/>
    <w:rsid w:val="00C32DE9"/>
    <w:rsid w:val="00C34F73"/>
    <w:rsid w:val="00C353C8"/>
    <w:rsid w:val="00C35633"/>
    <w:rsid w:val="00C35766"/>
    <w:rsid w:val="00C362EB"/>
    <w:rsid w:val="00C3666E"/>
    <w:rsid w:val="00C37392"/>
    <w:rsid w:val="00C40C9C"/>
    <w:rsid w:val="00C41C09"/>
    <w:rsid w:val="00C44E7F"/>
    <w:rsid w:val="00C45249"/>
    <w:rsid w:val="00C454C2"/>
    <w:rsid w:val="00C45CB2"/>
    <w:rsid w:val="00C465C9"/>
    <w:rsid w:val="00C467A8"/>
    <w:rsid w:val="00C50DCD"/>
    <w:rsid w:val="00C51669"/>
    <w:rsid w:val="00C51F85"/>
    <w:rsid w:val="00C5202B"/>
    <w:rsid w:val="00C561FC"/>
    <w:rsid w:val="00C56605"/>
    <w:rsid w:val="00C56BAE"/>
    <w:rsid w:val="00C63929"/>
    <w:rsid w:val="00C64096"/>
    <w:rsid w:val="00C65329"/>
    <w:rsid w:val="00C65361"/>
    <w:rsid w:val="00C653E2"/>
    <w:rsid w:val="00C73F09"/>
    <w:rsid w:val="00C74288"/>
    <w:rsid w:val="00C75627"/>
    <w:rsid w:val="00C765E3"/>
    <w:rsid w:val="00C768F1"/>
    <w:rsid w:val="00C80886"/>
    <w:rsid w:val="00C845E4"/>
    <w:rsid w:val="00C849AE"/>
    <w:rsid w:val="00C87318"/>
    <w:rsid w:val="00C9022A"/>
    <w:rsid w:val="00C9111C"/>
    <w:rsid w:val="00C91915"/>
    <w:rsid w:val="00C91F8B"/>
    <w:rsid w:val="00C92394"/>
    <w:rsid w:val="00C9253A"/>
    <w:rsid w:val="00C933E8"/>
    <w:rsid w:val="00C95276"/>
    <w:rsid w:val="00C95635"/>
    <w:rsid w:val="00C972E2"/>
    <w:rsid w:val="00C97FCE"/>
    <w:rsid w:val="00CA0711"/>
    <w:rsid w:val="00CA1D24"/>
    <w:rsid w:val="00CA251B"/>
    <w:rsid w:val="00CA2A43"/>
    <w:rsid w:val="00CA2E24"/>
    <w:rsid w:val="00CA3DFA"/>
    <w:rsid w:val="00CB1022"/>
    <w:rsid w:val="00CB10F0"/>
    <w:rsid w:val="00CB18BB"/>
    <w:rsid w:val="00CB37A5"/>
    <w:rsid w:val="00CB5B7E"/>
    <w:rsid w:val="00CC45EB"/>
    <w:rsid w:val="00CC556F"/>
    <w:rsid w:val="00CD02A6"/>
    <w:rsid w:val="00CD380D"/>
    <w:rsid w:val="00CD4775"/>
    <w:rsid w:val="00CD504C"/>
    <w:rsid w:val="00CD5DF7"/>
    <w:rsid w:val="00CD78F6"/>
    <w:rsid w:val="00CE0344"/>
    <w:rsid w:val="00CE04C1"/>
    <w:rsid w:val="00CE064A"/>
    <w:rsid w:val="00CE1010"/>
    <w:rsid w:val="00CE1742"/>
    <w:rsid w:val="00CE20EF"/>
    <w:rsid w:val="00CE2F7B"/>
    <w:rsid w:val="00CE3BAA"/>
    <w:rsid w:val="00CE47DE"/>
    <w:rsid w:val="00CE7093"/>
    <w:rsid w:val="00CF0C2A"/>
    <w:rsid w:val="00CF26E7"/>
    <w:rsid w:val="00CF338F"/>
    <w:rsid w:val="00CF3D31"/>
    <w:rsid w:val="00CF3FA6"/>
    <w:rsid w:val="00CF5A10"/>
    <w:rsid w:val="00CF61F2"/>
    <w:rsid w:val="00D051AB"/>
    <w:rsid w:val="00D055FA"/>
    <w:rsid w:val="00D06B4E"/>
    <w:rsid w:val="00D10B1B"/>
    <w:rsid w:val="00D112BE"/>
    <w:rsid w:val="00D128DC"/>
    <w:rsid w:val="00D12BC4"/>
    <w:rsid w:val="00D14DB4"/>
    <w:rsid w:val="00D17070"/>
    <w:rsid w:val="00D1768C"/>
    <w:rsid w:val="00D20D4F"/>
    <w:rsid w:val="00D221EB"/>
    <w:rsid w:val="00D23435"/>
    <w:rsid w:val="00D2423D"/>
    <w:rsid w:val="00D24C85"/>
    <w:rsid w:val="00D2707C"/>
    <w:rsid w:val="00D27C20"/>
    <w:rsid w:val="00D310F2"/>
    <w:rsid w:val="00D32950"/>
    <w:rsid w:val="00D32C49"/>
    <w:rsid w:val="00D338EF"/>
    <w:rsid w:val="00D357C3"/>
    <w:rsid w:val="00D409DA"/>
    <w:rsid w:val="00D41E4D"/>
    <w:rsid w:val="00D42C30"/>
    <w:rsid w:val="00D43052"/>
    <w:rsid w:val="00D43A5C"/>
    <w:rsid w:val="00D43B8B"/>
    <w:rsid w:val="00D45304"/>
    <w:rsid w:val="00D4629F"/>
    <w:rsid w:val="00D46ADE"/>
    <w:rsid w:val="00D47994"/>
    <w:rsid w:val="00D513B6"/>
    <w:rsid w:val="00D52E70"/>
    <w:rsid w:val="00D5359F"/>
    <w:rsid w:val="00D54912"/>
    <w:rsid w:val="00D55008"/>
    <w:rsid w:val="00D5677C"/>
    <w:rsid w:val="00D56FA3"/>
    <w:rsid w:val="00D57554"/>
    <w:rsid w:val="00D61AFF"/>
    <w:rsid w:val="00D66AD6"/>
    <w:rsid w:val="00D67011"/>
    <w:rsid w:val="00D67274"/>
    <w:rsid w:val="00D67F3D"/>
    <w:rsid w:val="00D709E7"/>
    <w:rsid w:val="00D71243"/>
    <w:rsid w:val="00D714FD"/>
    <w:rsid w:val="00D72BC6"/>
    <w:rsid w:val="00D75379"/>
    <w:rsid w:val="00D759E8"/>
    <w:rsid w:val="00D759F9"/>
    <w:rsid w:val="00D75B72"/>
    <w:rsid w:val="00D8105A"/>
    <w:rsid w:val="00D8352B"/>
    <w:rsid w:val="00D840E2"/>
    <w:rsid w:val="00D848D6"/>
    <w:rsid w:val="00D85031"/>
    <w:rsid w:val="00D85CC2"/>
    <w:rsid w:val="00D86AFB"/>
    <w:rsid w:val="00D901A8"/>
    <w:rsid w:val="00D93228"/>
    <w:rsid w:val="00D943FF"/>
    <w:rsid w:val="00D946F9"/>
    <w:rsid w:val="00D94E04"/>
    <w:rsid w:val="00D94E90"/>
    <w:rsid w:val="00D965A4"/>
    <w:rsid w:val="00D975C3"/>
    <w:rsid w:val="00DA141F"/>
    <w:rsid w:val="00DA1609"/>
    <w:rsid w:val="00DA1D9B"/>
    <w:rsid w:val="00DA384C"/>
    <w:rsid w:val="00DA41EA"/>
    <w:rsid w:val="00DA5248"/>
    <w:rsid w:val="00DA551C"/>
    <w:rsid w:val="00DA5ACE"/>
    <w:rsid w:val="00DA5DD4"/>
    <w:rsid w:val="00DA7B52"/>
    <w:rsid w:val="00DB0216"/>
    <w:rsid w:val="00DB15BB"/>
    <w:rsid w:val="00DB250A"/>
    <w:rsid w:val="00DB3AF6"/>
    <w:rsid w:val="00DB4326"/>
    <w:rsid w:val="00DB45FE"/>
    <w:rsid w:val="00DC0F0E"/>
    <w:rsid w:val="00DC1F5A"/>
    <w:rsid w:val="00DC2B02"/>
    <w:rsid w:val="00DC5ED8"/>
    <w:rsid w:val="00DC686D"/>
    <w:rsid w:val="00DC7775"/>
    <w:rsid w:val="00DD2935"/>
    <w:rsid w:val="00DD341C"/>
    <w:rsid w:val="00DD3902"/>
    <w:rsid w:val="00DD3E68"/>
    <w:rsid w:val="00DD41D4"/>
    <w:rsid w:val="00DD43A5"/>
    <w:rsid w:val="00DD4C38"/>
    <w:rsid w:val="00DD6FEA"/>
    <w:rsid w:val="00DE02EE"/>
    <w:rsid w:val="00DE41B0"/>
    <w:rsid w:val="00DE4794"/>
    <w:rsid w:val="00DE6BDF"/>
    <w:rsid w:val="00DF012C"/>
    <w:rsid w:val="00DF0624"/>
    <w:rsid w:val="00DF0AB2"/>
    <w:rsid w:val="00DF1E9C"/>
    <w:rsid w:val="00DF35A6"/>
    <w:rsid w:val="00DF3E56"/>
    <w:rsid w:val="00DF53B4"/>
    <w:rsid w:val="00DF6B58"/>
    <w:rsid w:val="00E030BB"/>
    <w:rsid w:val="00E0367A"/>
    <w:rsid w:val="00E0402F"/>
    <w:rsid w:val="00E0521C"/>
    <w:rsid w:val="00E0567C"/>
    <w:rsid w:val="00E10C76"/>
    <w:rsid w:val="00E10EAD"/>
    <w:rsid w:val="00E126A4"/>
    <w:rsid w:val="00E15361"/>
    <w:rsid w:val="00E20B0D"/>
    <w:rsid w:val="00E25747"/>
    <w:rsid w:val="00E2697E"/>
    <w:rsid w:val="00E275AD"/>
    <w:rsid w:val="00E27669"/>
    <w:rsid w:val="00E30AC9"/>
    <w:rsid w:val="00E30B54"/>
    <w:rsid w:val="00E33521"/>
    <w:rsid w:val="00E4096F"/>
    <w:rsid w:val="00E409D5"/>
    <w:rsid w:val="00E4293A"/>
    <w:rsid w:val="00E429E1"/>
    <w:rsid w:val="00E42D64"/>
    <w:rsid w:val="00E4446C"/>
    <w:rsid w:val="00E44BA4"/>
    <w:rsid w:val="00E45F40"/>
    <w:rsid w:val="00E476D4"/>
    <w:rsid w:val="00E4786D"/>
    <w:rsid w:val="00E50460"/>
    <w:rsid w:val="00E5072A"/>
    <w:rsid w:val="00E54760"/>
    <w:rsid w:val="00E6226D"/>
    <w:rsid w:val="00E62437"/>
    <w:rsid w:val="00E635E9"/>
    <w:rsid w:val="00E652D9"/>
    <w:rsid w:val="00E676C7"/>
    <w:rsid w:val="00E74090"/>
    <w:rsid w:val="00E750CC"/>
    <w:rsid w:val="00E87B09"/>
    <w:rsid w:val="00E90A83"/>
    <w:rsid w:val="00E919A7"/>
    <w:rsid w:val="00E92411"/>
    <w:rsid w:val="00E94810"/>
    <w:rsid w:val="00E94A03"/>
    <w:rsid w:val="00E9585A"/>
    <w:rsid w:val="00E96630"/>
    <w:rsid w:val="00E96A6D"/>
    <w:rsid w:val="00E9700B"/>
    <w:rsid w:val="00E97D21"/>
    <w:rsid w:val="00EA1506"/>
    <w:rsid w:val="00EA16BE"/>
    <w:rsid w:val="00EA1CC4"/>
    <w:rsid w:val="00EA29CD"/>
    <w:rsid w:val="00EA2F2F"/>
    <w:rsid w:val="00EA35EB"/>
    <w:rsid w:val="00EA363B"/>
    <w:rsid w:val="00EB0083"/>
    <w:rsid w:val="00EB36D9"/>
    <w:rsid w:val="00EC06D2"/>
    <w:rsid w:val="00EC40CF"/>
    <w:rsid w:val="00EC5AE4"/>
    <w:rsid w:val="00EC6BFF"/>
    <w:rsid w:val="00EC6D58"/>
    <w:rsid w:val="00ED0D12"/>
    <w:rsid w:val="00ED20E3"/>
    <w:rsid w:val="00ED6B72"/>
    <w:rsid w:val="00ED7E91"/>
    <w:rsid w:val="00EE0084"/>
    <w:rsid w:val="00EE1D88"/>
    <w:rsid w:val="00EE2C37"/>
    <w:rsid w:val="00EE5094"/>
    <w:rsid w:val="00EE54BD"/>
    <w:rsid w:val="00EF024E"/>
    <w:rsid w:val="00EF05F8"/>
    <w:rsid w:val="00EF1878"/>
    <w:rsid w:val="00EF2FAA"/>
    <w:rsid w:val="00EF3020"/>
    <w:rsid w:val="00EF4B56"/>
    <w:rsid w:val="00EF7092"/>
    <w:rsid w:val="00F01002"/>
    <w:rsid w:val="00F01F24"/>
    <w:rsid w:val="00F060B5"/>
    <w:rsid w:val="00F06C29"/>
    <w:rsid w:val="00F07E40"/>
    <w:rsid w:val="00F119DC"/>
    <w:rsid w:val="00F124C1"/>
    <w:rsid w:val="00F12E6E"/>
    <w:rsid w:val="00F13EFC"/>
    <w:rsid w:val="00F14139"/>
    <w:rsid w:val="00F1477C"/>
    <w:rsid w:val="00F155B0"/>
    <w:rsid w:val="00F16472"/>
    <w:rsid w:val="00F16F51"/>
    <w:rsid w:val="00F17CCD"/>
    <w:rsid w:val="00F22F25"/>
    <w:rsid w:val="00F24A02"/>
    <w:rsid w:val="00F27985"/>
    <w:rsid w:val="00F33500"/>
    <w:rsid w:val="00F343F7"/>
    <w:rsid w:val="00F34972"/>
    <w:rsid w:val="00F357A6"/>
    <w:rsid w:val="00F40490"/>
    <w:rsid w:val="00F41783"/>
    <w:rsid w:val="00F42382"/>
    <w:rsid w:val="00F425ED"/>
    <w:rsid w:val="00F47E9A"/>
    <w:rsid w:val="00F51F7D"/>
    <w:rsid w:val="00F5549B"/>
    <w:rsid w:val="00F56B58"/>
    <w:rsid w:val="00F57273"/>
    <w:rsid w:val="00F6044A"/>
    <w:rsid w:val="00F6177D"/>
    <w:rsid w:val="00F62C8F"/>
    <w:rsid w:val="00F637B5"/>
    <w:rsid w:val="00F66536"/>
    <w:rsid w:val="00F6767A"/>
    <w:rsid w:val="00F70E5C"/>
    <w:rsid w:val="00F71D3E"/>
    <w:rsid w:val="00F73389"/>
    <w:rsid w:val="00F775E6"/>
    <w:rsid w:val="00F8031D"/>
    <w:rsid w:val="00F81A9A"/>
    <w:rsid w:val="00F82458"/>
    <w:rsid w:val="00F851A4"/>
    <w:rsid w:val="00F86A74"/>
    <w:rsid w:val="00F9516B"/>
    <w:rsid w:val="00F95594"/>
    <w:rsid w:val="00F97D87"/>
    <w:rsid w:val="00FA26A9"/>
    <w:rsid w:val="00FA55C7"/>
    <w:rsid w:val="00FA72BB"/>
    <w:rsid w:val="00FA78AF"/>
    <w:rsid w:val="00FB14E7"/>
    <w:rsid w:val="00FB3D26"/>
    <w:rsid w:val="00FB4BB1"/>
    <w:rsid w:val="00FB5772"/>
    <w:rsid w:val="00FB605A"/>
    <w:rsid w:val="00FB71F8"/>
    <w:rsid w:val="00FC15B9"/>
    <w:rsid w:val="00FC4D5F"/>
    <w:rsid w:val="00FC6C15"/>
    <w:rsid w:val="00FC70A5"/>
    <w:rsid w:val="00FD1DAF"/>
    <w:rsid w:val="00FD486C"/>
    <w:rsid w:val="00FD4F5F"/>
    <w:rsid w:val="00FD68BD"/>
    <w:rsid w:val="00FD7C64"/>
    <w:rsid w:val="00FE1843"/>
    <w:rsid w:val="00FE1A02"/>
    <w:rsid w:val="00FE2BE0"/>
    <w:rsid w:val="00FE5E5E"/>
    <w:rsid w:val="00FE5FE5"/>
    <w:rsid w:val="00FF053F"/>
    <w:rsid w:val="00FF0FFC"/>
    <w:rsid w:val="00FF112A"/>
    <w:rsid w:val="0BC5BC2B"/>
    <w:rsid w:val="10C4F2C9"/>
    <w:rsid w:val="3B73639E"/>
    <w:rsid w:val="44CAA3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91F2757"/>
  <w15:chartTrackingRefBased/>
  <w15:docId w15:val="{3327F35A-70C3-4BB0-83C4-997187F9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15"/>
    <w:rPr>
      <w:rFonts w:ascii="Times New Roman" w:eastAsia="Times New Roman" w:hAnsi="Times New Roman"/>
      <w:sz w:val="24"/>
      <w:szCs w:val="24"/>
    </w:rPr>
  </w:style>
  <w:style w:type="paragraph" w:styleId="Heading1">
    <w:name w:val="heading 1"/>
    <w:basedOn w:val="Normal"/>
    <w:next w:val="Normal"/>
    <w:link w:val="Heading1Char"/>
    <w:uiPriority w:val="9"/>
    <w:qFormat/>
    <w:rsid w:val="0075179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5179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5179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C933E8"/>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0E31F6"/>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0E31F6"/>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0E31F6"/>
    <w:pPr>
      <w:tabs>
        <w:tab w:val="num" w:pos="1296"/>
      </w:tabs>
      <w:spacing w:before="240" w:after="60"/>
      <w:ind w:left="1296" w:hanging="1296"/>
      <w:outlineLvl w:val="6"/>
    </w:pPr>
  </w:style>
  <w:style w:type="paragraph" w:styleId="Heading8">
    <w:name w:val="heading 8"/>
    <w:basedOn w:val="Normal"/>
    <w:next w:val="Normal"/>
    <w:link w:val="Heading8Char"/>
    <w:qFormat/>
    <w:rsid w:val="000E31F6"/>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0E31F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Recommendatio,OBC Bullet,List Paragraph11,Dot pt,Bullet 1,Numbered Para 1,No Spacing1,List Paragraph Char Char Char,Indicator Text,List Paragraph1,Bullet Points,MAIN CONTENT,List Paragraph12,F5 List Paragraph,L"/>
    <w:basedOn w:val="Normal"/>
    <w:link w:val="ListParagraphChar"/>
    <w:uiPriority w:val="34"/>
    <w:qFormat/>
    <w:rsid w:val="00AD636B"/>
    <w:pPr>
      <w:ind w:left="720"/>
      <w:contextualSpacing/>
    </w:pPr>
  </w:style>
  <w:style w:type="character" w:styleId="Hyperlink">
    <w:name w:val="Hyperlink"/>
    <w:uiPriority w:val="99"/>
    <w:unhideWhenUsed/>
    <w:rsid w:val="00913594"/>
    <w:rPr>
      <w:color w:val="0000FF"/>
      <w:u w:val="single"/>
    </w:rPr>
  </w:style>
  <w:style w:type="paragraph" w:styleId="FootnoteText">
    <w:name w:val="footnote text"/>
    <w:basedOn w:val="Normal"/>
    <w:link w:val="FootnoteTextChar"/>
    <w:uiPriority w:val="99"/>
    <w:semiHidden/>
    <w:unhideWhenUsed/>
    <w:rsid w:val="00850DA7"/>
    <w:rPr>
      <w:sz w:val="20"/>
      <w:szCs w:val="20"/>
    </w:rPr>
  </w:style>
  <w:style w:type="character" w:customStyle="1" w:styleId="FootnoteTextChar">
    <w:name w:val="Footnote Text Char"/>
    <w:link w:val="FootnoteText"/>
    <w:uiPriority w:val="99"/>
    <w:semiHidden/>
    <w:rsid w:val="00850DA7"/>
    <w:rPr>
      <w:sz w:val="20"/>
      <w:szCs w:val="20"/>
    </w:rPr>
  </w:style>
  <w:style w:type="character" w:styleId="FootnoteReference">
    <w:name w:val="footnote reference"/>
    <w:uiPriority w:val="99"/>
    <w:semiHidden/>
    <w:unhideWhenUsed/>
    <w:rsid w:val="00850DA7"/>
    <w:rPr>
      <w:vertAlign w:val="superscript"/>
    </w:rPr>
  </w:style>
  <w:style w:type="paragraph" w:customStyle="1" w:styleId="Default">
    <w:name w:val="Default"/>
    <w:rsid w:val="00850DA7"/>
    <w:pPr>
      <w:autoSpaceDE w:val="0"/>
      <w:autoSpaceDN w:val="0"/>
      <w:adjustRightInd w:val="0"/>
    </w:pPr>
    <w:rPr>
      <w:rFonts w:ascii="Arial" w:hAnsi="Arial" w:cs="Arial"/>
      <w:color w:val="000000"/>
      <w:sz w:val="24"/>
      <w:szCs w:val="24"/>
      <w:lang w:eastAsia="en-US"/>
    </w:rPr>
  </w:style>
  <w:style w:type="character" w:customStyle="1" w:styleId="Heading1Char">
    <w:name w:val="Heading 1 Char"/>
    <w:link w:val="Heading1"/>
    <w:uiPriority w:val="9"/>
    <w:rsid w:val="0075179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5179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51798"/>
    <w:rPr>
      <w:rFonts w:ascii="Cambria" w:eastAsia="Times New Roman" w:hAnsi="Cambria" w:cs="Times New Roman"/>
      <w:b/>
      <w:bCs/>
      <w:color w:val="4F81BD"/>
    </w:rPr>
  </w:style>
  <w:style w:type="paragraph" w:styleId="TOC1">
    <w:name w:val="toc 1"/>
    <w:basedOn w:val="Normal"/>
    <w:next w:val="Normal"/>
    <w:autoRedefine/>
    <w:uiPriority w:val="39"/>
    <w:unhideWhenUsed/>
    <w:rsid w:val="009867F0"/>
    <w:pPr>
      <w:spacing w:after="100"/>
    </w:pPr>
    <w:rPr>
      <w:rFonts w:ascii="Arial" w:hAnsi="Arial"/>
    </w:rPr>
  </w:style>
  <w:style w:type="character" w:styleId="FollowedHyperlink">
    <w:name w:val="FollowedHyperlink"/>
    <w:uiPriority w:val="99"/>
    <w:semiHidden/>
    <w:unhideWhenUsed/>
    <w:rsid w:val="00B45F66"/>
    <w:rPr>
      <w:color w:val="800080"/>
      <w:u w:val="single"/>
    </w:rPr>
  </w:style>
  <w:style w:type="paragraph" w:styleId="Header">
    <w:name w:val="header"/>
    <w:basedOn w:val="Normal"/>
    <w:link w:val="HeaderChar"/>
    <w:uiPriority w:val="99"/>
    <w:unhideWhenUsed/>
    <w:rsid w:val="000238F8"/>
    <w:pPr>
      <w:tabs>
        <w:tab w:val="center" w:pos="4513"/>
        <w:tab w:val="right" w:pos="9026"/>
      </w:tabs>
    </w:pPr>
  </w:style>
  <w:style w:type="character" w:customStyle="1" w:styleId="HeaderChar">
    <w:name w:val="Header Char"/>
    <w:basedOn w:val="DefaultParagraphFont"/>
    <w:link w:val="Header"/>
    <w:uiPriority w:val="99"/>
    <w:rsid w:val="000238F8"/>
  </w:style>
  <w:style w:type="paragraph" w:styleId="Footer">
    <w:name w:val="footer"/>
    <w:basedOn w:val="Normal"/>
    <w:link w:val="FooterChar"/>
    <w:uiPriority w:val="99"/>
    <w:unhideWhenUsed/>
    <w:rsid w:val="000238F8"/>
    <w:pPr>
      <w:tabs>
        <w:tab w:val="center" w:pos="4513"/>
        <w:tab w:val="right" w:pos="9026"/>
      </w:tabs>
    </w:pPr>
  </w:style>
  <w:style w:type="character" w:customStyle="1" w:styleId="FooterChar">
    <w:name w:val="Footer Char"/>
    <w:basedOn w:val="DefaultParagraphFont"/>
    <w:link w:val="Footer"/>
    <w:uiPriority w:val="99"/>
    <w:rsid w:val="000238F8"/>
  </w:style>
  <w:style w:type="character" w:styleId="CommentReference">
    <w:name w:val="annotation reference"/>
    <w:uiPriority w:val="99"/>
    <w:semiHidden/>
    <w:unhideWhenUsed/>
    <w:rsid w:val="005E14D3"/>
    <w:rPr>
      <w:sz w:val="16"/>
      <w:szCs w:val="16"/>
    </w:rPr>
  </w:style>
  <w:style w:type="paragraph" w:styleId="CommentText">
    <w:name w:val="annotation text"/>
    <w:basedOn w:val="Normal"/>
    <w:link w:val="CommentTextChar"/>
    <w:uiPriority w:val="99"/>
    <w:unhideWhenUsed/>
    <w:rsid w:val="005E14D3"/>
    <w:rPr>
      <w:sz w:val="20"/>
      <w:szCs w:val="20"/>
    </w:rPr>
  </w:style>
  <w:style w:type="character" w:customStyle="1" w:styleId="CommentTextChar">
    <w:name w:val="Comment Text Char"/>
    <w:link w:val="CommentText"/>
    <w:uiPriority w:val="99"/>
    <w:rsid w:val="005E14D3"/>
    <w:rPr>
      <w:sz w:val="20"/>
      <w:szCs w:val="20"/>
    </w:rPr>
  </w:style>
  <w:style w:type="paragraph" w:styleId="CommentSubject">
    <w:name w:val="annotation subject"/>
    <w:basedOn w:val="CommentText"/>
    <w:next w:val="CommentText"/>
    <w:link w:val="CommentSubjectChar"/>
    <w:uiPriority w:val="99"/>
    <w:semiHidden/>
    <w:unhideWhenUsed/>
    <w:rsid w:val="005E14D3"/>
    <w:rPr>
      <w:b/>
      <w:bCs/>
    </w:rPr>
  </w:style>
  <w:style w:type="character" w:customStyle="1" w:styleId="CommentSubjectChar">
    <w:name w:val="Comment Subject Char"/>
    <w:link w:val="CommentSubject"/>
    <w:uiPriority w:val="99"/>
    <w:semiHidden/>
    <w:rsid w:val="005E14D3"/>
    <w:rPr>
      <w:b/>
      <w:bCs/>
      <w:sz w:val="20"/>
      <w:szCs w:val="20"/>
    </w:rPr>
  </w:style>
  <w:style w:type="paragraph" w:styleId="BalloonText">
    <w:name w:val="Balloon Text"/>
    <w:basedOn w:val="Normal"/>
    <w:link w:val="BalloonTextChar"/>
    <w:uiPriority w:val="99"/>
    <w:semiHidden/>
    <w:unhideWhenUsed/>
    <w:rsid w:val="005E14D3"/>
    <w:rPr>
      <w:rFonts w:ascii="Tahoma" w:hAnsi="Tahoma" w:cs="Tahoma"/>
      <w:sz w:val="16"/>
      <w:szCs w:val="16"/>
    </w:rPr>
  </w:style>
  <w:style w:type="character" w:customStyle="1" w:styleId="BalloonTextChar">
    <w:name w:val="Balloon Text Char"/>
    <w:link w:val="BalloonText"/>
    <w:uiPriority w:val="99"/>
    <w:semiHidden/>
    <w:rsid w:val="005E14D3"/>
    <w:rPr>
      <w:rFonts w:ascii="Tahoma" w:hAnsi="Tahoma" w:cs="Tahoma"/>
      <w:sz w:val="16"/>
      <w:szCs w:val="16"/>
    </w:rPr>
  </w:style>
  <w:style w:type="paragraph" w:styleId="TOC2">
    <w:name w:val="toc 2"/>
    <w:basedOn w:val="Normal"/>
    <w:next w:val="Normal"/>
    <w:autoRedefine/>
    <w:uiPriority w:val="39"/>
    <w:unhideWhenUsed/>
    <w:rsid w:val="009867F0"/>
    <w:pPr>
      <w:spacing w:after="100"/>
      <w:ind w:left="220"/>
    </w:pPr>
  </w:style>
  <w:style w:type="paragraph" w:styleId="TOC3">
    <w:name w:val="toc 3"/>
    <w:basedOn w:val="Normal"/>
    <w:next w:val="Normal"/>
    <w:autoRedefine/>
    <w:uiPriority w:val="39"/>
    <w:unhideWhenUsed/>
    <w:rsid w:val="009867F0"/>
    <w:pPr>
      <w:spacing w:after="100"/>
      <w:ind w:left="440"/>
    </w:pPr>
  </w:style>
  <w:style w:type="character" w:customStyle="1" w:styleId="Heading4Char">
    <w:name w:val="Heading 4 Char"/>
    <w:link w:val="Heading4"/>
    <w:uiPriority w:val="9"/>
    <w:rsid w:val="00C933E8"/>
    <w:rPr>
      <w:rFonts w:ascii="Cambria" w:eastAsia="Times New Roman" w:hAnsi="Cambria" w:cs="Times New Roman"/>
      <w:b/>
      <w:bCs/>
      <w:i/>
      <w:iCs/>
      <w:color w:val="4F81BD"/>
    </w:rPr>
  </w:style>
  <w:style w:type="character" w:customStyle="1" w:styleId="ListParagraphChar">
    <w:name w:val="List Paragraph Char"/>
    <w:aliases w:val="List Paragraph2 Char,Recommendatio Char,OBC Bullet Char,List Paragraph11 Char,Dot pt Char,Bullet 1 Char,Numbered Para 1 Char,No Spacing1 Char,List Paragraph Char Char Char Char,Indicator Text Char,List Paragraph1 Char,L Char"/>
    <w:basedOn w:val="DefaultParagraphFont"/>
    <w:link w:val="ListParagraph"/>
    <w:uiPriority w:val="34"/>
    <w:qFormat/>
    <w:locked/>
    <w:rsid w:val="00B147A4"/>
  </w:style>
  <w:style w:type="paragraph" w:customStyle="1" w:styleId="LQN3">
    <w:name w:val="LQN3"/>
    <w:basedOn w:val="Normal"/>
    <w:rsid w:val="00FE1A02"/>
    <w:pPr>
      <w:tabs>
        <w:tab w:val="left" w:pos="1304"/>
      </w:tabs>
      <w:spacing w:before="80" w:line="220" w:lineRule="atLeast"/>
      <w:ind w:left="1304" w:hanging="397"/>
      <w:jc w:val="both"/>
    </w:pPr>
    <w:rPr>
      <w:sz w:val="21"/>
      <w:szCs w:val="20"/>
    </w:rPr>
  </w:style>
  <w:style w:type="paragraph" w:customStyle="1" w:styleId="LQDefPara">
    <w:name w:val="LQ Def Para"/>
    <w:basedOn w:val="Normal"/>
    <w:rsid w:val="00FE1A02"/>
    <w:pPr>
      <w:spacing w:before="80" w:line="220" w:lineRule="atLeast"/>
      <w:ind w:left="907"/>
      <w:jc w:val="both"/>
    </w:pPr>
    <w:rPr>
      <w:sz w:val="21"/>
      <w:szCs w:val="20"/>
    </w:rPr>
  </w:style>
  <w:style w:type="paragraph" w:customStyle="1" w:styleId="LQN4">
    <w:name w:val="LQN4"/>
    <w:basedOn w:val="LQN3"/>
    <w:rsid w:val="00F637B5"/>
    <w:pPr>
      <w:tabs>
        <w:tab w:val="clear" w:pos="1304"/>
        <w:tab w:val="right" w:pos="1588"/>
        <w:tab w:val="left" w:pos="1701"/>
      </w:tabs>
      <w:ind w:left="1701" w:hanging="1701"/>
    </w:pPr>
  </w:style>
  <w:style w:type="table" w:styleId="TableGrid">
    <w:name w:val="Table Grid"/>
    <w:basedOn w:val="TableNormal"/>
    <w:uiPriority w:val="39"/>
    <w:rsid w:val="00DA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nerCoverTitle">
    <w:name w:val="Inner Cover Title"/>
    <w:basedOn w:val="Normal"/>
    <w:qFormat/>
    <w:rsid w:val="00DA41EA"/>
    <w:pPr>
      <w:spacing w:line="320" w:lineRule="atLeast"/>
    </w:pPr>
    <w:rPr>
      <w:rFonts w:ascii="Arial" w:hAnsi="Arial"/>
      <w:caps/>
      <w:color w:val="000000"/>
      <w:sz w:val="64"/>
    </w:rPr>
  </w:style>
  <w:style w:type="paragraph" w:customStyle="1" w:styleId="InnerCoverSubtitle">
    <w:name w:val="Inner Cover Subtitle"/>
    <w:basedOn w:val="Normal"/>
    <w:qFormat/>
    <w:rsid w:val="00DA41EA"/>
    <w:pPr>
      <w:spacing w:before="240"/>
    </w:pPr>
    <w:rPr>
      <w:rFonts w:ascii="Arial" w:hAnsi="Arial"/>
      <w:color w:val="000000"/>
      <w:sz w:val="48"/>
    </w:rPr>
  </w:style>
  <w:style w:type="paragraph" w:customStyle="1" w:styleId="Acknowledgements">
    <w:name w:val="Acknowledgements"/>
    <w:basedOn w:val="Normal"/>
    <w:qFormat/>
    <w:rsid w:val="00DA41EA"/>
    <w:rPr>
      <w:rFonts w:ascii="Arial" w:hAnsi="Arial"/>
    </w:rPr>
  </w:style>
  <w:style w:type="paragraph" w:customStyle="1" w:styleId="BackSheetFooter">
    <w:name w:val="Back Sheet Footer"/>
    <w:basedOn w:val="Normal"/>
    <w:qFormat/>
    <w:rsid w:val="00D714FD"/>
    <w:rPr>
      <w:rFonts w:ascii="Arial" w:hAnsi="Arial"/>
    </w:rPr>
  </w:style>
  <w:style w:type="paragraph" w:customStyle="1" w:styleId="Pa3">
    <w:name w:val="Pa3"/>
    <w:basedOn w:val="Default"/>
    <w:next w:val="Default"/>
    <w:uiPriority w:val="99"/>
    <w:rsid w:val="00722282"/>
    <w:pPr>
      <w:spacing w:line="161" w:lineRule="atLeast"/>
    </w:pPr>
    <w:rPr>
      <w:color w:val="auto"/>
    </w:rPr>
  </w:style>
  <w:style w:type="paragraph" w:customStyle="1" w:styleId="Guidance2">
    <w:name w:val="Guidance 2"/>
    <w:basedOn w:val="Heading2"/>
    <w:link w:val="Guidance2Char"/>
    <w:qFormat/>
    <w:rsid w:val="007A34FC"/>
    <w:pPr>
      <w:spacing w:before="0"/>
    </w:pPr>
    <w:rPr>
      <w:rFonts w:ascii="Arial" w:hAnsi="Arial" w:cs="Arial"/>
      <w:color w:val="1F497D"/>
      <w:sz w:val="24"/>
      <w:szCs w:val="24"/>
    </w:rPr>
  </w:style>
  <w:style w:type="paragraph" w:customStyle="1" w:styleId="Guidance1">
    <w:name w:val="Guidance 1"/>
    <w:basedOn w:val="Heading1"/>
    <w:link w:val="Guidance1Char"/>
    <w:qFormat/>
    <w:rsid w:val="007A34FC"/>
    <w:pPr>
      <w:spacing w:before="0"/>
    </w:pPr>
    <w:rPr>
      <w:rFonts w:ascii="Arial" w:hAnsi="Arial" w:cs="Arial"/>
      <w:color w:val="1F497D"/>
      <w:sz w:val="50"/>
      <w:szCs w:val="50"/>
    </w:rPr>
  </w:style>
  <w:style w:type="character" w:customStyle="1" w:styleId="Guidance2Char">
    <w:name w:val="Guidance 2 Char"/>
    <w:link w:val="Guidance2"/>
    <w:rsid w:val="007A34FC"/>
    <w:rPr>
      <w:rFonts w:ascii="Arial" w:eastAsia="Times New Roman" w:hAnsi="Arial" w:cs="Arial"/>
      <w:b/>
      <w:bCs/>
      <w:color w:val="1F497D"/>
      <w:sz w:val="24"/>
      <w:szCs w:val="24"/>
    </w:rPr>
  </w:style>
  <w:style w:type="paragraph" w:customStyle="1" w:styleId="Guidance3">
    <w:name w:val="Guidance 3"/>
    <w:basedOn w:val="Heading3"/>
    <w:link w:val="Guidance3Char"/>
    <w:qFormat/>
    <w:rsid w:val="00894BD8"/>
    <w:pPr>
      <w:spacing w:before="0"/>
    </w:pPr>
    <w:rPr>
      <w:rFonts w:ascii="Arial" w:hAnsi="Arial" w:cs="Arial"/>
      <w:b w:val="0"/>
      <w:i/>
      <w:color w:val="1F497D"/>
    </w:rPr>
  </w:style>
  <w:style w:type="character" w:customStyle="1" w:styleId="Guidance1Char">
    <w:name w:val="Guidance 1 Char"/>
    <w:link w:val="Guidance1"/>
    <w:rsid w:val="007A34FC"/>
    <w:rPr>
      <w:rFonts w:ascii="Arial" w:eastAsia="Times New Roman" w:hAnsi="Arial" w:cs="Arial"/>
      <w:b/>
      <w:bCs/>
      <w:color w:val="1F497D"/>
      <w:sz w:val="50"/>
      <w:szCs w:val="50"/>
    </w:rPr>
  </w:style>
  <w:style w:type="character" w:customStyle="1" w:styleId="Guidance3Char">
    <w:name w:val="Guidance 3 Char"/>
    <w:link w:val="Guidance3"/>
    <w:rsid w:val="00894BD8"/>
    <w:rPr>
      <w:rFonts w:ascii="Arial" w:eastAsia="Times New Roman" w:hAnsi="Arial" w:cs="Arial"/>
      <w:b w:val="0"/>
      <w:bCs/>
      <w:i/>
      <w:color w:val="1F497D"/>
      <w:sz w:val="24"/>
      <w:szCs w:val="24"/>
    </w:rPr>
  </w:style>
  <w:style w:type="paragraph" w:styleId="EndnoteText">
    <w:name w:val="endnote text"/>
    <w:basedOn w:val="Normal"/>
    <w:link w:val="EndnoteTextChar"/>
    <w:uiPriority w:val="99"/>
    <w:semiHidden/>
    <w:unhideWhenUsed/>
    <w:rsid w:val="00597CF7"/>
    <w:rPr>
      <w:sz w:val="20"/>
      <w:szCs w:val="20"/>
    </w:rPr>
  </w:style>
  <w:style w:type="character" w:customStyle="1" w:styleId="EndnoteTextChar">
    <w:name w:val="Endnote Text Char"/>
    <w:link w:val="EndnoteText"/>
    <w:uiPriority w:val="99"/>
    <w:semiHidden/>
    <w:rsid w:val="00597CF7"/>
    <w:rPr>
      <w:lang w:eastAsia="en-US"/>
    </w:rPr>
  </w:style>
  <w:style w:type="character" w:styleId="EndnoteReference">
    <w:name w:val="endnote reference"/>
    <w:uiPriority w:val="99"/>
    <w:semiHidden/>
    <w:unhideWhenUsed/>
    <w:rsid w:val="00597CF7"/>
    <w:rPr>
      <w:vertAlign w:val="superscript"/>
    </w:rPr>
  </w:style>
  <w:style w:type="paragraph" w:styleId="Revision">
    <w:name w:val="Revision"/>
    <w:hidden/>
    <w:uiPriority w:val="99"/>
    <w:semiHidden/>
    <w:rsid w:val="00190370"/>
    <w:rPr>
      <w:sz w:val="22"/>
      <w:szCs w:val="22"/>
      <w:lang w:eastAsia="en-US"/>
    </w:rPr>
  </w:style>
  <w:style w:type="character" w:styleId="UnresolvedMention">
    <w:name w:val="Unresolved Mention"/>
    <w:uiPriority w:val="99"/>
    <w:unhideWhenUsed/>
    <w:rsid w:val="00310508"/>
    <w:rPr>
      <w:color w:val="808080"/>
      <w:shd w:val="clear" w:color="auto" w:fill="E6E6E6"/>
    </w:rPr>
  </w:style>
  <w:style w:type="paragraph" w:styleId="Title">
    <w:name w:val="Title"/>
    <w:basedOn w:val="Normal"/>
    <w:link w:val="TitleChar"/>
    <w:qFormat/>
    <w:rsid w:val="001747B8"/>
    <w:pPr>
      <w:spacing w:after="600"/>
      <w:jc w:val="center"/>
    </w:pPr>
    <w:rPr>
      <w:kern w:val="28"/>
      <w:sz w:val="32"/>
      <w:szCs w:val="20"/>
    </w:rPr>
  </w:style>
  <w:style w:type="character" w:customStyle="1" w:styleId="TitleChar">
    <w:name w:val="Title Char"/>
    <w:link w:val="Title"/>
    <w:rsid w:val="001747B8"/>
    <w:rPr>
      <w:rFonts w:ascii="Times New Roman" w:eastAsia="Times New Roman" w:hAnsi="Times New Roman"/>
      <w:kern w:val="28"/>
      <w:sz w:val="32"/>
    </w:rPr>
  </w:style>
  <w:style w:type="character" w:customStyle="1" w:styleId="normaltextrun">
    <w:name w:val="normaltextrun"/>
    <w:rsid w:val="006C0915"/>
  </w:style>
  <w:style w:type="character" w:customStyle="1" w:styleId="Heading5Char">
    <w:name w:val="Heading 5 Char"/>
    <w:link w:val="Heading5"/>
    <w:rsid w:val="000E31F6"/>
    <w:rPr>
      <w:rFonts w:ascii="Times New Roman" w:eastAsia="Times New Roman" w:hAnsi="Times New Roman"/>
      <w:b/>
      <w:bCs/>
      <w:i/>
      <w:iCs/>
      <w:sz w:val="26"/>
      <w:szCs w:val="26"/>
    </w:rPr>
  </w:style>
  <w:style w:type="character" w:customStyle="1" w:styleId="Heading6Char">
    <w:name w:val="Heading 6 Char"/>
    <w:link w:val="Heading6"/>
    <w:rsid w:val="000E31F6"/>
    <w:rPr>
      <w:rFonts w:ascii="Times New Roman" w:eastAsia="Times New Roman" w:hAnsi="Times New Roman"/>
      <w:b/>
      <w:bCs/>
      <w:sz w:val="22"/>
      <w:szCs w:val="22"/>
    </w:rPr>
  </w:style>
  <w:style w:type="character" w:customStyle="1" w:styleId="Heading7Char">
    <w:name w:val="Heading 7 Char"/>
    <w:link w:val="Heading7"/>
    <w:rsid w:val="000E31F6"/>
    <w:rPr>
      <w:rFonts w:ascii="Times New Roman" w:eastAsia="Times New Roman" w:hAnsi="Times New Roman"/>
      <w:sz w:val="24"/>
      <w:szCs w:val="24"/>
    </w:rPr>
  </w:style>
  <w:style w:type="character" w:customStyle="1" w:styleId="Heading8Char">
    <w:name w:val="Heading 8 Char"/>
    <w:link w:val="Heading8"/>
    <w:rsid w:val="000E31F6"/>
    <w:rPr>
      <w:rFonts w:ascii="Times New Roman" w:eastAsia="Times New Roman" w:hAnsi="Times New Roman"/>
      <w:i/>
      <w:iCs/>
      <w:sz w:val="24"/>
      <w:szCs w:val="24"/>
    </w:rPr>
  </w:style>
  <w:style w:type="character" w:customStyle="1" w:styleId="Heading9Char">
    <w:name w:val="Heading 9 Char"/>
    <w:link w:val="Heading9"/>
    <w:rsid w:val="000E31F6"/>
    <w:rPr>
      <w:rFonts w:ascii="Arial" w:eastAsia="Times New Roman" w:hAnsi="Arial" w:cs="Arial"/>
      <w:sz w:val="22"/>
      <w:szCs w:val="22"/>
    </w:rPr>
  </w:style>
  <w:style w:type="paragraph" w:customStyle="1" w:styleId="EMSectionTitle">
    <w:name w:val="EM Section Title"/>
    <w:basedOn w:val="Heading1"/>
    <w:next w:val="EMLevel1Paragraph"/>
    <w:rsid w:val="000E31F6"/>
    <w:pPr>
      <w:keepLines w:val="0"/>
      <w:spacing w:before="240"/>
      <w:ind w:left="720" w:hanging="720"/>
    </w:pPr>
    <w:rPr>
      <w:rFonts w:ascii="Times New Roman" w:hAnsi="Times New Roman" w:cs="Arial"/>
      <w:color w:val="auto"/>
      <w:kern w:val="32"/>
      <w:sz w:val="24"/>
      <w:szCs w:val="32"/>
    </w:rPr>
  </w:style>
  <w:style w:type="paragraph" w:customStyle="1" w:styleId="EMLevel1Paragraph">
    <w:name w:val="EM Level 1 Paragraph"/>
    <w:basedOn w:val="Heading2"/>
    <w:rsid w:val="000E31F6"/>
    <w:pPr>
      <w:keepNext w:val="0"/>
      <w:keepLines w:val="0"/>
      <w:numPr>
        <w:ilvl w:val="1"/>
      </w:numPr>
      <w:tabs>
        <w:tab w:val="num" w:pos="696"/>
      </w:tabs>
      <w:spacing w:before="120" w:after="60"/>
      <w:ind w:left="696" w:hanging="576"/>
    </w:pPr>
    <w:rPr>
      <w:rFonts w:ascii="Times New Roman" w:hAnsi="Times New Roman" w:cs="Arial"/>
      <w:b w:val="0"/>
      <w:bCs w:val="0"/>
      <w:color w:val="auto"/>
      <w:sz w:val="24"/>
      <w:szCs w:val="28"/>
    </w:rPr>
  </w:style>
  <w:style w:type="character" w:styleId="Mention">
    <w:name w:val="Mention"/>
    <w:uiPriority w:val="99"/>
    <w:unhideWhenUsed/>
    <w:rsid w:val="00B96493"/>
    <w:rPr>
      <w:color w:val="2B579A"/>
      <w:shd w:val="clear" w:color="auto" w:fill="E1DFDD"/>
    </w:rPr>
  </w:style>
  <w:style w:type="paragraph" w:styleId="BodyText">
    <w:name w:val="Body Text"/>
    <w:basedOn w:val="Normal"/>
    <w:link w:val="BodyTextChar"/>
    <w:uiPriority w:val="99"/>
    <w:unhideWhenUsed/>
    <w:rsid w:val="00523066"/>
    <w:rPr>
      <w:rFonts w:ascii="Arial" w:eastAsia="Calibri" w:hAnsi="Arial" w:cs="Arial"/>
      <w:b/>
      <w:bCs/>
      <w:color w:val="1F3864"/>
      <w:sz w:val="28"/>
      <w:szCs w:val="28"/>
      <w:lang w:eastAsia="en-US"/>
    </w:rPr>
  </w:style>
  <w:style w:type="character" w:customStyle="1" w:styleId="BodyTextChar">
    <w:name w:val="Body Text Char"/>
    <w:link w:val="BodyText"/>
    <w:uiPriority w:val="99"/>
    <w:rsid w:val="00523066"/>
    <w:rPr>
      <w:rFonts w:ascii="Arial" w:hAnsi="Arial" w:cs="Arial"/>
      <w:b/>
      <w:bCs/>
      <w:color w:val="1F3864"/>
      <w:sz w:val="28"/>
      <w:szCs w:val="28"/>
      <w:lang w:eastAsia="en-US"/>
    </w:rPr>
  </w:style>
  <w:style w:type="paragraph" w:styleId="NormalWeb">
    <w:name w:val="Normal (Web)"/>
    <w:basedOn w:val="Normal"/>
    <w:uiPriority w:val="99"/>
    <w:semiHidden/>
    <w:unhideWhenUsed/>
    <w:rsid w:val="005230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8492">
      <w:bodyDiv w:val="1"/>
      <w:marLeft w:val="0"/>
      <w:marRight w:val="0"/>
      <w:marTop w:val="0"/>
      <w:marBottom w:val="0"/>
      <w:divBdr>
        <w:top w:val="none" w:sz="0" w:space="0" w:color="auto"/>
        <w:left w:val="none" w:sz="0" w:space="0" w:color="auto"/>
        <w:bottom w:val="none" w:sz="0" w:space="0" w:color="auto"/>
        <w:right w:val="none" w:sz="0" w:space="0" w:color="auto"/>
      </w:divBdr>
    </w:div>
    <w:div w:id="287320961">
      <w:bodyDiv w:val="1"/>
      <w:marLeft w:val="0"/>
      <w:marRight w:val="0"/>
      <w:marTop w:val="0"/>
      <w:marBottom w:val="0"/>
      <w:divBdr>
        <w:top w:val="none" w:sz="0" w:space="0" w:color="auto"/>
        <w:left w:val="none" w:sz="0" w:space="0" w:color="auto"/>
        <w:bottom w:val="none" w:sz="0" w:space="0" w:color="auto"/>
        <w:right w:val="none" w:sz="0" w:space="0" w:color="auto"/>
      </w:divBdr>
    </w:div>
    <w:div w:id="433285612">
      <w:bodyDiv w:val="1"/>
      <w:marLeft w:val="0"/>
      <w:marRight w:val="0"/>
      <w:marTop w:val="0"/>
      <w:marBottom w:val="0"/>
      <w:divBdr>
        <w:top w:val="none" w:sz="0" w:space="0" w:color="auto"/>
        <w:left w:val="none" w:sz="0" w:space="0" w:color="auto"/>
        <w:bottom w:val="none" w:sz="0" w:space="0" w:color="auto"/>
        <w:right w:val="none" w:sz="0" w:space="0" w:color="auto"/>
      </w:divBdr>
    </w:div>
    <w:div w:id="652608527">
      <w:bodyDiv w:val="1"/>
      <w:marLeft w:val="0"/>
      <w:marRight w:val="0"/>
      <w:marTop w:val="0"/>
      <w:marBottom w:val="0"/>
      <w:divBdr>
        <w:top w:val="none" w:sz="0" w:space="0" w:color="auto"/>
        <w:left w:val="none" w:sz="0" w:space="0" w:color="auto"/>
        <w:bottom w:val="none" w:sz="0" w:space="0" w:color="auto"/>
        <w:right w:val="none" w:sz="0" w:space="0" w:color="auto"/>
      </w:divBdr>
    </w:div>
    <w:div w:id="714742195">
      <w:bodyDiv w:val="1"/>
      <w:marLeft w:val="0"/>
      <w:marRight w:val="0"/>
      <w:marTop w:val="0"/>
      <w:marBottom w:val="0"/>
      <w:divBdr>
        <w:top w:val="none" w:sz="0" w:space="0" w:color="auto"/>
        <w:left w:val="none" w:sz="0" w:space="0" w:color="auto"/>
        <w:bottom w:val="none" w:sz="0" w:space="0" w:color="auto"/>
        <w:right w:val="none" w:sz="0" w:space="0" w:color="auto"/>
      </w:divBdr>
    </w:div>
    <w:div w:id="988290770">
      <w:bodyDiv w:val="1"/>
      <w:marLeft w:val="0"/>
      <w:marRight w:val="0"/>
      <w:marTop w:val="0"/>
      <w:marBottom w:val="0"/>
      <w:divBdr>
        <w:top w:val="none" w:sz="0" w:space="0" w:color="auto"/>
        <w:left w:val="none" w:sz="0" w:space="0" w:color="auto"/>
        <w:bottom w:val="none" w:sz="0" w:space="0" w:color="auto"/>
        <w:right w:val="none" w:sz="0" w:space="0" w:color="auto"/>
      </w:divBdr>
    </w:div>
    <w:div w:id="1135760218">
      <w:bodyDiv w:val="1"/>
      <w:marLeft w:val="0"/>
      <w:marRight w:val="0"/>
      <w:marTop w:val="0"/>
      <w:marBottom w:val="0"/>
      <w:divBdr>
        <w:top w:val="none" w:sz="0" w:space="0" w:color="auto"/>
        <w:left w:val="none" w:sz="0" w:space="0" w:color="auto"/>
        <w:bottom w:val="none" w:sz="0" w:space="0" w:color="auto"/>
        <w:right w:val="none" w:sz="0" w:space="0" w:color="auto"/>
      </w:divBdr>
    </w:div>
    <w:div w:id="1157115391">
      <w:bodyDiv w:val="1"/>
      <w:marLeft w:val="0"/>
      <w:marRight w:val="0"/>
      <w:marTop w:val="0"/>
      <w:marBottom w:val="0"/>
      <w:divBdr>
        <w:top w:val="none" w:sz="0" w:space="0" w:color="auto"/>
        <w:left w:val="none" w:sz="0" w:space="0" w:color="auto"/>
        <w:bottom w:val="none" w:sz="0" w:space="0" w:color="auto"/>
        <w:right w:val="none" w:sz="0" w:space="0" w:color="auto"/>
      </w:divBdr>
    </w:div>
    <w:div w:id="1300381413">
      <w:bodyDiv w:val="1"/>
      <w:marLeft w:val="0"/>
      <w:marRight w:val="0"/>
      <w:marTop w:val="0"/>
      <w:marBottom w:val="0"/>
      <w:divBdr>
        <w:top w:val="none" w:sz="0" w:space="0" w:color="auto"/>
        <w:left w:val="none" w:sz="0" w:space="0" w:color="auto"/>
        <w:bottom w:val="none" w:sz="0" w:space="0" w:color="auto"/>
        <w:right w:val="none" w:sz="0" w:space="0" w:color="auto"/>
      </w:divBdr>
    </w:div>
    <w:div w:id="1849900202">
      <w:bodyDiv w:val="1"/>
      <w:marLeft w:val="0"/>
      <w:marRight w:val="0"/>
      <w:marTop w:val="0"/>
      <w:marBottom w:val="0"/>
      <w:divBdr>
        <w:top w:val="none" w:sz="0" w:space="0" w:color="auto"/>
        <w:left w:val="none" w:sz="0" w:space="0" w:color="auto"/>
        <w:bottom w:val="none" w:sz="0" w:space="0" w:color="auto"/>
        <w:right w:val="none" w:sz="0" w:space="0" w:color="auto"/>
      </w:divBdr>
    </w:div>
    <w:div w:id="1968509024">
      <w:bodyDiv w:val="1"/>
      <w:marLeft w:val="0"/>
      <w:marRight w:val="0"/>
      <w:marTop w:val="0"/>
      <w:marBottom w:val="0"/>
      <w:divBdr>
        <w:top w:val="none" w:sz="0" w:space="0" w:color="auto"/>
        <w:left w:val="none" w:sz="0" w:space="0" w:color="auto"/>
        <w:bottom w:val="none" w:sz="0" w:space="0" w:color="auto"/>
        <w:right w:val="none" w:sz="0" w:space="0" w:color="auto"/>
      </w:divBdr>
    </w:div>
    <w:div w:id="202338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publicinterestandmergers@beis.gov.uk"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NSII-Quantum@culture.gov.uk"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NSII.ComputingHardware@beis.gov.uk" TargetMode="External"/><Relationship Id="rId37" Type="http://schemas.openxmlformats.org/officeDocument/2006/relationships/hyperlink" Target="http://www.gov.uk/beis" TargetMode="External"/><Relationship Id="rId40"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s://www.gov.uk/beis" TargetMode="External"/><Relationship Id="rId23" Type="http://schemas.openxmlformats.org/officeDocument/2006/relationships/hyperlink" Target="mailto:NSIIReview@beis.gov.uk" TargetMode="External"/><Relationship Id="rId28" Type="http://schemas.openxmlformats.org/officeDocument/2006/relationships/header" Target="header6.xml"/><Relationship Id="rId36"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publicinterestandmergers@bei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publicinterestandmergers@beis.gov.uk" TargetMode="External"/><Relationship Id="rId27" Type="http://schemas.openxmlformats.org/officeDocument/2006/relationships/footer" Target="footer5.xml"/><Relationship Id="rId30" Type="http://schemas.openxmlformats.org/officeDocument/2006/relationships/hyperlink" Target="mailto:NSII-Defence@mod.gov.uk" TargetMode="External"/><Relationship Id="rId35" Type="http://schemas.openxmlformats.org/officeDocument/2006/relationships/hyperlink" Target="mailto:nsiireview@beis.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collections/notices-to-exporters" TargetMode="External"/><Relationship Id="rId13" Type="http://schemas.openxmlformats.org/officeDocument/2006/relationships/hyperlink" Target="https://www.gov.uk/government/publications/mergers-guidance-on-the-cmas-jurisdiction-and-procedure" TargetMode="External"/><Relationship Id="rId3" Type="http://schemas.openxmlformats.org/officeDocument/2006/relationships/hyperlink" Target="http://www.legislation.gov.uk/ukpga/2002/40/notes/division/4/3" TargetMode="External"/><Relationship Id="rId7" Type="http://schemas.openxmlformats.org/officeDocument/2006/relationships/hyperlink" Target="https://www.ecochecker.trade.gov.uk/spirefox5live/fox/spire/" TargetMode="External"/><Relationship Id="rId12" Type="http://schemas.openxmlformats.org/officeDocument/2006/relationships/hyperlink" Target="https://www.gov.uk/government/publications/mergers-guidance-on-the-cmas-jurisdiction-and-procedure" TargetMode="External"/><Relationship Id="rId2" Type="http://schemas.openxmlformats.org/officeDocument/2006/relationships/hyperlink" Target="https://www.gov.uk/government/publications/enterprise-act-2002-guidance-on-changes-to-the-turnover-and-share-of-supply-tests-for-mergers" TargetMode="External"/><Relationship Id="rId1" Type="http://schemas.openxmlformats.org/officeDocument/2006/relationships/hyperlink" Target="https://www.gov.uk/government/consultations/national-security-and-infrastructure-investment-review" TargetMode="External"/><Relationship Id="rId6" Type="http://schemas.openxmlformats.org/officeDocument/2006/relationships/hyperlink" Target="https://www.gov.uk/government/publications/nss-and-sdsr-2015-third-annual-report--2" TargetMode="External"/><Relationship Id="rId11" Type="http://schemas.openxmlformats.org/officeDocument/2006/relationships/hyperlink" Target="https://www.gov.uk/government/publications/mergers-guidance-on-the-cmas-jurisdiction-and-procedure" TargetMode="External"/><Relationship Id="rId5" Type="http://schemas.openxmlformats.org/officeDocument/2006/relationships/hyperlink" Target="https://www.gov.uk/government/publications/national-security-strategy-and-strategic-defence-and-security-review-2015" TargetMode="External"/><Relationship Id="rId10" Type="http://schemas.openxmlformats.org/officeDocument/2006/relationships/hyperlink" Target="https://www.gov.uk/government/publications/quantum-technologies-blackett-review" TargetMode="External"/><Relationship Id="rId4" Type="http://schemas.openxmlformats.org/officeDocument/2006/relationships/hyperlink" Target="https://www.gov.uk/government/publications/mergers-guidance-on-the-cmas-jurisdiction-and-procedure" TargetMode="External"/><Relationship Id="rId9" Type="http://schemas.openxmlformats.org/officeDocument/2006/relationships/hyperlink" Target="https://www.gov.uk/government/publications/national-strategy-for-quantum-technolo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BE611386BE24EA9BAECBFA52F5C4D" ma:contentTypeVersion="14" ma:contentTypeDescription="Create a new document." ma:contentTypeScope="" ma:versionID="e1ff8eb4350b633a6a02fdcf167c3676">
  <xsd:schema xmlns:xsd="http://www.w3.org/2001/XMLSchema" xmlns:xs="http://www.w3.org/2001/XMLSchema" xmlns:p="http://schemas.microsoft.com/office/2006/metadata/properties"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038493d2-be98-4500-968c-b1cbd2e8370d" xmlns:ns10="a99b7023-9e6b-4fb6-be86-23d87a6549e6" xmlns:ns11="40b40c50-ea91-49fb-b96e-8225733f989f" targetNamespace="http://schemas.microsoft.com/office/2006/metadata/properties" ma:root="true" ma:fieldsID="b1288f38f9c97a7db62b46eba517014c" ns2:_="" ns3:_="" ns4:_="" ns5:_="" ns6:_="" ns7:_="" ns8:_="" ns9:_="" ns10:_="" ns11:_="">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038493d2-be98-4500-968c-b1cbd2e8370d"/>
    <xsd:import namespace="a99b7023-9e6b-4fb6-be86-23d87a6549e6"/>
    <xsd:import namespace="40b40c50-ea91-49fb-b96e-8225733f989f"/>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_dlc_BarcodeValue" minOccurs="0"/>
                <xsd:element ref="ns9:_dlc_BarcodePreview" minOccurs="0"/>
                <xsd:element ref="ns10:MediaServiceMetadata" minOccurs="0"/>
                <xsd:element ref="ns10:MediaServiceFastMetadata" minOccurs="0"/>
                <xsd:element ref="ns10:MediaServiceAutoKeyPoints" minOccurs="0"/>
                <xsd:element ref="ns10:MediaServiceKeyPoints" minOccurs="0"/>
                <xsd:element ref="ns10:MediaServiceAutoTags" minOccurs="0"/>
                <xsd:element ref="ns10:MediaServiceOCR" minOccurs="0"/>
                <xsd:element ref="ns10:MediaServiceGenerationTime" minOccurs="0"/>
                <xsd:element ref="ns10:MediaServiceEventHashCode" minOccurs="0"/>
                <xsd:element ref="ns11:SharedWithUsers" minOccurs="0"/>
                <xsd:element ref="ns11:SharedWithDetails" minOccurs="0"/>
                <xsd:element ref="ns10:MediaServiceDateTaken" minOccurs="0"/>
                <xsd:element ref="ns10: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8493d2-be98-4500-968c-b1cbd2e8370d" elementFormDefault="qualified">
    <xsd:import namespace="http://schemas.microsoft.com/office/2006/documentManagement/types"/>
    <xsd:import namespace="http://schemas.microsoft.com/office/infopath/2007/PartnerControls"/>
    <xsd:element name="_dlc_BarcodeValue" ma:index="65" nillable="true" ma:displayName="Barcode Value" ma:description="The value of the barcode assigned to this item." ma:internalName="_dlc_BarcodeValue" ma:readOnly="true">
      <xsd:simpleType>
        <xsd:restriction base="dms:Text"/>
      </xsd:simpleType>
    </xsd:element>
    <xsd:element name="_dlc_BarcodePreview" ma:index="6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9b7023-9e6b-4fb6-be86-23d87a6549e6"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69" nillable="true" ma:displayName="MediaServiceAutoKeyPoints" ma:hidden="true" ma:internalName="MediaServiceAutoKeyPoints" ma:readOnly="true">
      <xsd:simpleType>
        <xsd:restriction base="dms:Note"/>
      </xsd:simpleType>
    </xsd:element>
    <xsd:element name="MediaServiceKeyPoints" ma:index="70" nillable="true" ma:displayName="KeyPoints" ma:internalName="MediaServiceKeyPoints" ma:readOnly="true">
      <xsd:simpleType>
        <xsd:restriction base="dms:Note">
          <xsd:maxLength value="255"/>
        </xsd:restriction>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40c50-ea91-49fb-b96e-8225733f989f" elementFormDefault="qualified">
    <xsd:import namespace="http://schemas.microsoft.com/office/2006/documentManagement/types"/>
    <xsd:import namespace="http://schemas.microsoft.com/office/infopath/2007/PartnerControls"/>
    <xsd:element name="SharedWithUsers" ma:index="7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BarcodeValue xmlns="038493d2-be98-4500-968c-b1cbd2e8370d" xsi:nil="true"/>
    <LegacyDocumentLink xmlns="b67a7830-db79-4a49-bf27-2aff92a2201a" xsi:nil="true"/>
    <LegacyDocumentType xmlns="b67a7830-db79-4a49-bf27-2aff92a2201a" xsi:nil="true"/>
    <LegacyRequestType xmlns="a172083e-e40c-4314-b43a-827352a1ed2c" xsi:nil="true"/>
    <LegacyLastActionDate xmlns="b67a7830-db79-4a49-bf27-2aff92a2201a" xsi:nil="true"/>
    <LegacyFolderNotes xmlns="a172083e-e40c-4314-b43a-827352a1ed2c" xsi:nil="true"/>
    <LegacyDescriptor xmlns="a172083e-e40c-4314-b43a-827352a1ed2c" xsi:nil="true"/>
    <LegacyExpiryReviewDate xmlns="b67a7830-db79-4a49-bf27-2aff92a2201a" xsi:nil="true"/>
    <_dlc_DocId xmlns="f5306899-96aa-46e9-8b25-112cc89a50d9">CQ7C7EK6CYH2-457165629-7390</_dlc_DocId>
    <LegacyNumericClass xmlns="b67a7830-db79-4a49-bf27-2aff92a2201a" xsi:nil="true"/>
    <ExternallyShared xmlns="b67a7830-db79-4a49-bf27-2aff92a2201a" xsi:nil="true"/>
    <LegacyProtectiveMarking xmlns="b67a7830-db79-4a49-bf27-2aff92a2201a" xsi:nil="true"/>
    <LegacyDateFileReturned xmlns="a172083e-e40c-4314-b43a-827352a1ed2c" xsi:nil="true"/>
    <LegacyLastModified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Analysis, Strategy and Critical Infrastructure</TermName>
          <TermId xmlns="http://schemas.microsoft.com/office/infopath/2007/PartnerControls">4b051bf0-2ecd-41ff-accb-f2792d7c72cd</TermId>
        </TermInfo>
      </Terms>
    </m975189f4ba442ecbf67d4147307b177>
    <LegacyReferencesToOtherItems xmlns="b67a7830-db79-4a49-bf27-2aff92a2201a" xsi:nil="true"/>
    <LegacyDateFileReceived xmlns="a172083e-e40c-4314-b43a-827352a1ed2c" xsi:nil="true"/>
    <Document_x0020_Notes xmlns="b413c3fd-5a3b-4239-b985-69032e371c04" xsi:nil="true"/>
    <LegacyPhysicalFormat xmlns="a172083e-e40c-4314-b43a-827352a1ed2c">false</LegacyPhysicalFormat>
    <Retention_x0020_Label xmlns="a8f60570-4bd3-4f2b-950b-a996de8ab151">HMG PPP Review</Retention_x0020_Label>
    <Government_x0020_Body xmlns="b413c3fd-5a3b-4239-b985-69032e371c04">BEIS</Government_x0020_Body>
    <Date_x0020_Opened xmlns="b413c3fd-5a3b-4239-b985-69032e371c04">2018-03-14T16:58:22+00:00</Date_x0020_Opened>
    <Descriptor xmlns="f5306899-96aa-46e9-8b25-112cc89a50d9" xsi:nil="true"/>
    <LegacyMP xmlns="a172083e-e40c-4314-b43a-827352a1ed2c" xsi:nil="true"/>
    <CIRRUSPreviousID xmlns="b413c3fd-5a3b-4239-b985-69032e371c04" xsi:nil="true"/>
    <_dlc_DocIdPersistId xmlns="f5306899-96aa-46e9-8b25-112cc89a50d9">false</_dlc_DocIdPersistId>
    <LegacyRecordCategoryIdentifier xmlns="b67a7830-db79-4a49-bf27-2aff92a2201a" xsi:nil="true"/>
    <LegacyDateFileRequested xmlns="a172083e-e40c-4314-b43a-827352a1ed2c" xsi:nil="true"/>
    <LegacyDateClosed xmlns="b67a7830-db79-4a49-bf27-2aff92a2201a" xsi:nil="true"/>
    <CIRRUSPreviousRetentionPolicy xmlns="b413c3fd-5a3b-4239-b985-69032e371c04" xsi:nil="true"/>
    <LegacyMinister xmlns="a172083e-e40c-4314-b43a-827352a1ed2c" xsi:nil="true"/>
    <LegacyCurrentLocation xmlns="b67a7830-db79-4a49-bf27-2aff92a2201a" xsi:nil="true"/>
    <LegacyPhysicalItemLocation xmlns="a172083e-e40c-4314-b43a-827352a1ed2c" xsi:nil="true"/>
    <LegacyDispositionAsOfDate xmlns="b67a7830-db79-4a49-bf27-2aff92a2201a" xsi:nil="true"/>
    <_dlc_DocIdUrl xmlns="f5306899-96aa-46e9-8b25-112cc89a50d9">
      <Url>https://beisgov.sharepoint.com/sites/beis2/255/_layouts/15/DocIdRedir.aspx?ID=CQ7C7EK6CYH2-457165629-7390</Url>
      <Description>CQ7C7EK6CYH2-457165629-7390</Description>
    </_dlc_DocIdUrl>
    <LegacyAdditionalAuthors xmlns="b67a7830-db79-4a49-bf27-2aff92a2201a" xsi:nil="true"/>
    <National_x0020_Caveat xmlns="f5306899-96aa-46e9-8b25-112cc89a50d9" xsi:nil="true"/>
    <Security_x0020_Classification xmlns="f5306899-96aa-46e9-8b25-112cc89a50d9">OFFICIAL</Security_x0020_Classification>
    <LegacyModifier xmlns="b67a7830-db79-4a49-bf27-2aff92a2201a">
      <UserInfo>
        <DisplayName/>
        <AccountId xsi:nil="true"/>
        <AccountType/>
      </UserInfo>
    </LegacyModifier>
    <LegacyStatusonTransfer xmlns="b67a7830-db79-4a49-bf27-2aff92a2201a" xsi:nil="true"/>
    <LegacyFolder xmlns="b67a7830-db79-4a49-bf27-2aff92a2201a" xsi:nil="true"/>
    <Date_x0020_Closed xmlns="b413c3fd-5a3b-4239-b985-69032e371c04" xsi:nil="true"/>
    <LegacyTags xmlns="b67a7830-db79-4a49-bf27-2aff92a2201a" xsi:nil="true"/>
    <_dlc_BarcodePreview xmlns="038493d2-be98-4500-968c-b1cbd2e8370d">
      <Url xsi:nil="true"/>
      <Description xsi:nil="true"/>
    </_dlc_BarcodePreview>
    <Handling_x0020_Instructions xmlns="b413c3fd-5a3b-4239-b985-69032e371c04" xsi:nil="true"/>
    <CIRRUSPreviousLocation xmlns="b413c3fd-5a3b-4239-b985-69032e371c04" xsi:nil="true"/>
    <LegacyCaseReferenceNumber xmlns="c0e5669f-1bcb-499c-94e0-3ccb733d3d13" xsi:nil="true"/>
    <LegacyRecordFolderIdentifier xmlns="b67a7830-db79-4a49-bf27-2aff92a2201a" xsi:nil="true"/>
    <LegacyContentType xmlns="b67a7830-db79-4a49-bf27-2aff92a2201a" xsi:nil="true"/>
    <LegacyFolderLink xmlns="b67a7830-db79-4a49-bf27-2aff92a2201a" xsi:nil="true"/>
    <LegacyCopyright xmlns="b67a7830-db79-4a49-bf27-2aff92a2201a" xsi:nil="true"/>
    <TaxCatchAll xmlns="f5306899-96aa-46e9-8b25-112cc89a50d9">
      <Value>112</Value>
    </TaxCatchAll>
    <LegacyFolderType xmlns="b67a7830-db79-4a49-bf27-2aff92a2201a" xsi:nil="true"/>
    <LegacyHomeLocation xmlns="b67a7830-db79-4a49-bf27-2aff92a2201a" xsi:nil="true"/>
    <LegacyFileplanTarget xmlns="b67a7830-db79-4a49-bf27-2aff92a2201a" xsi:nil="true"/>
    <LegacyReferencesFromOtherItems xmlns="b67a7830-db79-4a49-bf27-2aff92a2201a" xsi:nil="true"/>
    <LegacyCustodian xmlns="b67a7830-db79-4a49-bf27-2aff92a2201a" xsi:nil="true"/>
    <SharedWithUsers xmlns="40b40c50-ea91-49fb-b96e-8225733f989f">
      <UserInfo>
        <DisplayName/>
        <AccountId xsi:nil="true"/>
        <AccountType/>
      </UserInfo>
    </SharedWithUsers>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716B6E-ECC7-4390-82AF-7659F30909E6}">
  <ds:schemaRefs>
    <ds:schemaRef ds:uri="http://schemas.openxmlformats.org/officeDocument/2006/bibliography"/>
  </ds:schemaRefs>
</ds:datastoreItem>
</file>

<file path=customXml/itemProps2.xml><?xml version="1.0" encoding="utf-8"?>
<ds:datastoreItem xmlns:ds="http://schemas.openxmlformats.org/officeDocument/2006/customXml" ds:itemID="{EE154FEF-1206-4820-BFB8-1D1B7815EF2C}">
  <ds:schemaRefs>
    <ds:schemaRef ds:uri="http://schemas.microsoft.com/sharepoint/v3/contenttype/forms"/>
  </ds:schemaRefs>
</ds:datastoreItem>
</file>

<file path=customXml/itemProps3.xml><?xml version="1.0" encoding="utf-8"?>
<ds:datastoreItem xmlns:ds="http://schemas.openxmlformats.org/officeDocument/2006/customXml" ds:itemID="{E9987DC6-32B4-4033-9C0F-1CD89D0E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038493d2-be98-4500-968c-b1cbd2e8370d"/>
    <ds:schemaRef ds:uri="a99b7023-9e6b-4fb6-be86-23d87a6549e6"/>
    <ds:schemaRef ds:uri="40b40c50-ea91-49fb-b96e-8225733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A99B3-C45D-41CA-B524-B014C9C0931A}">
  <ds:schemaRefs>
    <ds:schemaRef ds:uri="http://schemas.microsoft.com/office/2006/metadata/properties"/>
    <ds:schemaRef ds:uri="http://schemas.microsoft.com/office/infopath/2007/PartnerControls"/>
    <ds:schemaRef ds:uri="038493d2-be98-4500-968c-b1cbd2e8370d"/>
    <ds:schemaRef ds:uri="b67a7830-db79-4a49-bf27-2aff92a2201a"/>
    <ds:schemaRef ds:uri="a172083e-e40c-4314-b43a-827352a1ed2c"/>
    <ds:schemaRef ds:uri="f5306899-96aa-46e9-8b25-112cc89a50d9"/>
    <ds:schemaRef ds:uri="c963a4c1-1bb4-49f2-a011-9c776a7eed2a"/>
    <ds:schemaRef ds:uri="b413c3fd-5a3b-4239-b985-69032e371c04"/>
    <ds:schemaRef ds:uri="a8f60570-4bd3-4f2b-950b-a996de8ab151"/>
    <ds:schemaRef ds:uri="c0e5669f-1bcb-499c-94e0-3ccb733d3d13"/>
    <ds:schemaRef ds:uri="40b40c50-ea91-49fb-b96e-8225733f989f"/>
  </ds:schemaRefs>
</ds:datastoreItem>
</file>

<file path=customXml/itemProps5.xml><?xml version="1.0" encoding="utf-8"?>
<ds:datastoreItem xmlns:ds="http://schemas.openxmlformats.org/officeDocument/2006/customXml" ds:itemID="{8FDE7C4C-92E7-4076-8097-5A2C10CA5D6B}">
  <ds:schemaRefs>
    <ds:schemaRef ds:uri="http://schemas.microsoft.com/office/2006/metadata/longProperties"/>
  </ds:schemaRefs>
</ds:datastoreItem>
</file>

<file path=customXml/itemProps6.xml><?xml version="1.0" encoding="utf-8"?>
<ds:datastoreItem xmlns:ds="http://schemas.openxmlformats.org/officeDocument/2006/customXml" ds:itemID="{3D11370D-6D64-4CC6-9D2E-F1B12F0266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10809</Words>
  <Characters>61617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72282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Alan (consumer and competition policy)</dc:creator>
  <cp:keywords/>
  <cp:lastModifiedBy>Najeeb, Aashiya (Consumer &amp; Competition)</cp:lastModifiedBy>
  <cp:revision>2</cp:revision>
  <cp:lastPrinted>2018-02-23T00:02:00Z</cp:lastPrinted>
  <dcterms:created xsi:type="dcterms:W3CDTF">2020-06-26T14:46:00Z</dcterms:created>
  <dcterms:modified xsi:type="dcterms:W3CDTF">2020-06-26T14:46:00Z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9.0</vt:lpwstr>
  </property>
  <property fmtid="{D5CDD505-2E9C-101B-9397-08002B2CF9AE}" pid="3" name="LastOSversion">
    <vt:lpwstr>16.0</vt:lpwstr>
  </property>
  <property fmtid="{D5CDD505-2E9C-101B-9397-08002B2CF9AE}" pid="4" name="_dlc_DocId">
    <vt:lpwstr>CQ7C7EK6CYH2-457165629-7386</vt:lpwstr>
  </property>
  <property fmtid="{D5CDD505-2E9C-101B-9397-08002B2CF9AE}" pid="5" name="_dlc_DocIdItemGuid">
    <vt:lpwstr>642b5b2f-b9f9-4a07-9baa-b4dfd66909b7</vt:lpwstr>
  </property>
  <property fmtid="{D5CDD505-2E9C-101B-9397-08002B2CF9AE}" pid="6" name="_dlc_DocIdUrl">
    <vt:lpwstr>https://beisgov.sharepoint.com/sites/beis2/255/_layouts/15/DocIdRedir.aspx?ID=CQ7C7EK6CYH2-457165629-7386, CQ7C7EK6CYH2-457165629-7386</vt:lpwstr>
  </property>
  <property fmtid="{D5CDD505-2E9C-101B-9397-08002B2CF9AE}" pid="7" name="Business Unit">
    <vt:lpwstr>112;#Analysis, Strategy and Critical Infrastructure|4b051bf0-2ecd-41ff-accb-f2792d7c72cd</vt:lpwstr>
  </property>
  <property fmtid="{D5CDD505-2E9C-101B-9397-08002B2CF9AE}" pid="8" name="MailSubject">
    <vt:lpwstr/>
  </property>
  <property fmtid="{D5CDD505-2E9C-101B-9397-08002B2CF9AE}" pid="9" name="Order">
    <vt:lpwstr>800.000000000000</vt:lpwstr>
  </property>
  <property fmtid="{D5CDD505-2E9C-101B-9397-08002B2CF9AE}" pid="10" name="LegacyPaperReason">
    <vt:lpwstr/>
  </property>
  <property fmtid="{D5CDD505-2E9C-101B-9397-08002B2CF9AE}" pid="11" name="LegacyPhysicalObject">
    <vt:lpwstr/>
  </property>
  <property fmtid="{D5CDD505-2E9C-101B-9397-08002B2CF9AE}" pid="12" name="MailAttachments">
    <vt:lpwstr/>
  </property>
  <property fmtid="{D5CDD505-2E9C-101B-9397-08002B2CF9AE}" pid="13" name="MailPreviewData">
    <vt:lpwstr/>
  </property>
  <property fmtid="{D5CDD505-2E9C-101B-9397-08002B2CF9AE}" pid="14" name="LegacyAddressee">
    <vt:lpwstr/>
  </property>
  <property fmtid="{D5CDD505-2E9C-101B-9397-08002B2CF9AE}" pid="15" name="LegacyMovementHistory">
    <vt:lpwstr/>
  </property>
  <property fmtid="{D5CDD505-2E9C-101B-9397-08002B2CF9AE}" pid="16" name="xd_Signature">
    <vt:lpwstr/>
  </property>
  <property fmtid="{D5CDD505-2E9C-101B-9397-08002B2CF9AE}" pid="17" name="xd_ProgID">
    <vt:lpwstr/>
  </property>
  <property fmtid="{D5CDD505-2E9C-101B-9397-08002B2CF9AE}" pid="18" name="ContentTypeId">
    <vt:lpwstr>0x010100162BE611386BE24EA9BAECBFA52F5C4D</vt:lpwstr>
  </property>
  <property fmtid="{D5CDD505-2E9C-101B-9397-08002B2CF9AE}" pid="19" name="MailIn-Reply-To">
    <vt:lpwstr/>
  </property>
  <property fmtid="{D5CDD505-2E9C-101B-9397-08002B2CF9AE}" pid="20" name="MailReferences">
    <vt:lpwstr/>
  </property>
  <property fmtid="{D5CDD505-2E9C-101B-9397-08002B2CF9AE}" pid="21" name="Held By">
    <vt:lpwstr/>
  </property>
  <property fmtid="{D5CDD505-2E9C-101B-9397-08002B2CF9AE}" pid="22" name="display_urn:schemas-microsoft-com:office:office#Editor">
    <vt:lpwstr>zz_Lam, Christopher (Consumer &amp; Competition)</vt:lpwstr>
  </property>
  <property fmtid="{D5CDD505-2E9C-101B-9397-08002B2CF9AE}" pid="23" name="ComplianceAssetId">
    <vt:lpwstr/>
  </property>
  <property fmtid="{D5CDD505-2E9C-101B-9397-08002B2CF9AE}" pid="24" name="TemplateUrl">
    <vt:lpwstr/>
  </property>
  <property fmtid="{D5CDD505-2E9C-101B-9397-08002B2CF9AE}" pid="25" name="LegacyDocumentID">
    <vt:lpwstr/>
  </property>
  <property fmtid="{D5CDD505-2E9C-101B-9397-08002B2CF9AE}" pid="26" name="Barcode">
    <vt:lpwstr/>
  </property>
  <property fmtid="{D5CDD505-2E9C-101B-9397-08002B2CF9AE}" pid="27" name="MailTo">
    <vt:lpwstr/>
  </property>
  <property fmtid="{D5CDD505-2E9C-101B-9397-08002B2CF9AE}" pid="28" name="LegacyHistoricalBarcode">
    <vt:lpwstr/>
  </property>
  <property fmtid="{D5CDD505-2E9C-101B-9397-08002B2CF9AE}" pid="29" name="MailFrom">
    <vt:lpwstr/>
  </property>
  <property fmtid="{D5CDD505-2E9C-101B-9397-08002B2CF9AE}" pid="30" name="MailOriginalSubject">
    <vt:lpwstr/>
  </property>
  <property fmtid="{D5CDD505-2E9C-101B-9397-08002B2CF9AE}" pid="31" name="LegacyAddresses">
    <vt:lpwstr/>
  </property>
  <property fmtid="{D5CDD505-2E9C-101B-9397-08002B2CF9AE}" pid="32" name="LegacySubject">
    <vt:lpwstr/>
  </property>
  <property fmtid="{D5CDD505-2E9C-101B-9397-08002B2CF9AE}" pid="33" name="LegacyFolderDocumentID">
    <vt:lpwstr/>
  </property>
  <property fmtid="{D5CDD505-2E9C-101B-9397-08002B2CF9AE}" pid="34" name="LegacyBarcode">
    <vt:lpwstr/>
  </property>
  <property fmtid="{D5CDD505-2E9C-101B-9397-08002B2CF9AE}" pid="35" name="MailReply-To">
    <vt:lpwstr/>
  </property>
  <property fmtid="{D5CDD505-2E9C-101B-9397-08002B2CF9AE}" pid="36" name="_dlc_DocIdPersistId">
    <vt:lpwstr/>
  </property>
  <property fmtid="{D5CDD505-2E9C-101B-9397-08002B2CF9AE}" pid="37" name="LegacyForeignBarcode">
    <vt:lpwstr/>
  </property>
  <property fmtid="{D5CDD505-2E9C-101B-9397-08002B2CF9AE}" pid="38" name="display_urn:schemas-microsoft-com:office:office#Author">
    <vt:lpwstr>Dave, Zubin (Consumer &amp; Competition)</vt:lpwstr>
  </property>
  <property fmtid="{D5CDD505-2E9C-101B-9397-08002B2CF9AE}" pid="39" name="MailDate">
    <vt:lpwstr/>
  </property>
  <property fmtid="{D5CDD505-2E9C-101B-9397-08002B2CF9AE}" pid="40" name="LegacyDisposition">
    <vt:lpwstr/>
  </property>
  <property fmtid="{D5CDD505-2E9C-101B-9397-08002B2CF9AE}" pid="41" name="LegacyOriginator">
    <vt:lpwstr/>
  </property>
  <property fmtid="{D5CDD505-2E9C-101B-9397-08002B2CF9AE}" pid="42" name="LegacySentDate">
    <vt:lpwstr/>
  </property>
  <property fmtid="{D5CDD505-2E9C-101B-9397-08002B2CF9AE}" pid="43" name="MailCc">
    <vt:lpwstr/>
  </property>
  <property fmtid="{D5CDD505-2E9C-101B-9397-08002B2CF9AE}" pid="44" name="_dlc_BarcodeValue">
    <vt:lpwstr/>
  </property>
  <property fmtid="{D5CDD505-2E9C-101B-9397-08002B2CF9AE}" pid="45" name="_dlc_BarcodePreview">
    <vt:lpwstr/>
  </property>
  <property fmtid="{D5CDD505-2E9C-101B-9397-08002B2CF9AE}" pid="46" name="MSIP_Label_ba62f585-b40f-4ab9-bafe-39150f03d124_Enabled">
    <vt:lpwstr>true</vt:lpwstr>
  </property>
  <property fmtid="{D5CDD505-2E9C-101B-9397-08002B2CF9AE}" pid="47" name="MSIP_Label_ba62f585-b40f-4ab9-bafe-39150f03d124_SetDate">
    <vt:lpwstr>2020-05-29T10:34:20Z</vt:lpwstr>
  </property>
  <property fmtid="{D5CDD505-2E9C-101B-9397-08002B2CF9AE}" pid="48" name="MSIP_Label_ba62f585-b40f-4ab9-bafe-39150f03d124_Method">
    <vt:lpwstr>Standard</vt:lpwstr>
  </property>
  <property fmtid="{D5CDD505-2E9C-101B-9397-08002B2CF9AE}" pid="49" name="MSIP_Label_ba62f585-b40f-4ab9-bafe-39150f03d124_Name">
    <vt:lpwstr>OFFICIAL</vt:lpwstr>
  </property>
  <property fmtid="{D5CDD505-2E9C-101B-9397-08002B2CF9AE}" pid="50" name="MSIP_Label_ba62f585-b40f-4ab9-bafe-39150f03d124_SiteId">
    <vt:lpwstr>cbac7005-02c1-43eb-b497-e6492d1b2dd8</vt:lpwstr>
  </property>
  <property fmtid="{D5CDD505-2E9C-101B-9397-08002B2CF9AE}" pid="51" name="MSIP_Label_ba62f585-b40f-4ab9-bafe-39150f03d124_ActionId">
    <vt:lpwstr>20655e9f-f8a3-4b92-a99f-000044dc9932</vt:lpwstr>
  </property>
  <property fmtid="{D5CDD505-2E9C-101B-9397-08002B2CF9AE}" pid="52" name="MSIP_Label_ba62f585-b40f-4ab9-bafe-39150f03d124_ContentBits">
    <vt:lpwstr>0</vt:lpwstr>
  </property>
  <property fmtid="{D5CDD505-2E9C-101B-9397-08002B2CF9AE}" pid="53" name="Government Body">
    <vt:lpwstr>BEIS</vt:lpwstr>
  </property>
  <property fmtid="{D5CDD505-2E9C-101B-9397-08002B2CF9AE}" pid="54" name="TaxCatchAll">
    <vt:lpwstr>112;#</vt:lpwstr>
  </property>
  <property fmtid="{D5CDD505-2E9C-101B-9397-08002B2CF9AE}" pid="55" name="Date Opened">
    <vt:lpwstr>2018-03-14T16:58:22Z</vt:lpwstr>
  </property>
  <property fmtid="{D5CDD505-2E9C-101B-9397-08002B2CF9AE}" pid="56" name="LegacyRecordCategoryIdentifier">
    <vt:lpwstr/>
  </property>
  <property fmtid="{D5CDD505-2E9C-101B-9397-08002B2CF9AE}" pid="57" name="LegacyCaseReferenceNumber">
    <vt:lpwstr/>
  </property>
  <property fmtid="{D5CDD505-2E9C-101B-9397-08002B2CF9AE}" pid="58" name="LegacyDateFileRequested">
    <vt:lpwstr/>
  </property>
  <property fmtid="{D5CDD505-2E9C-101B-9397-08002B2CF9AE}" pid="59" name="Descriptor">
    <vt:lpwstr/>
  </property>
  <property fmtid="{D5CDD505-2E9C-101B-9397-08002B2CF9AE}" pid="60" name="LegacyFolderType">
    <vt:lpwstr/>
  </property>
  <property fmtid="{D5CDD505-2E9C-101B-9397-08002B2CF9AE}" pid="61" name="LegacyRecordFolderIdentifier">
    <vt:lpwstr/>
  </property>
  <property fmtid="{D5CDD505-2E9C-101B-9397-08002B2CF9AE}" pid="62" name="LegacyFolder">
    <vt:lpwstr/>
  </property>
  <property fmtid="{D5CDD505-2E9C-101B-9397-08002B2CF9AE}" pid="63" name="LegacyMP">
    <vt:lpwstr/>
  </property>
  <property fmtid="{D5CDD505-2E9C-101B-9397-08002B2CF9AE}" pid="64" name="ExternallyShared">
    <vt:lpwstr/>
  </property>
  <property fmtid="{D5CDD505-2E9C-101B-9397-08002B2CF9AE}" pid="65" name="LegacyDateFileReceived">
    <vt:lpwstr/>
  </property>
  <property fmtid="{D5CDD505-2E9C-101B-9397-08002B2CF9AE}" pid="66" name="LegacyFolderLink">
    <vt:lpwstr/>
  </property>
  <property fmtid="{D5CDD505-2E9C-101B-9397-08002B2CF9AE}" pid="67" name="Document_0x0020_Notes">
    <vt:lpwstr/>
  </property>
  <property fmtid="{D5CDD505-2E9C-101B-9397-08002B2CF9AE}" pid="68" name="LegacyAdditionalAuthors">
    <vt:lpwstr/>
  </property>
  <property fmtid="{D5CDD505-2E9C-101B-9397-08002B2CF9AE}" pid="69" name="LegacyDocumentLink">
    <vt:lpwstr/>
  </property>
  <property fmtid="{D5CDD505-2E9C-101B-9397-08002B2CF9AE}" pid="70" name="National Caveat">
    <vt:lpwstr/>
  </property>
  <property fmtid="{D5CDD505-2E9C-101B-9397-08002B2CF9AE}" pid="71" name="CIRRUSPreviousLocation">
    <vt:lpwstr/>
  </property>
  <property fmtid="{D5CDD505-2E9C-101B-9397-08002B2CF9AE}" pid="72" name="LegacyPhysicalItemLocation">
    <vt:lpwstr/>
  </property>
  <property fmtid="{D5CDD505-2E9C-101B-9397-08002B2CF9AE}" pid="73" name="Security Classification">
    <vt:lpwstr>OFFICIAL</vt:lpwstr>
  </property>
  <property fmtid="{D5CDD505-2E9C-101B-9397-08002B2CF9AE}" pid="74" name="LegacyDescriptor">
    <vt:lpwstr/>
  </property>
  <property fmtid="{D5CDD505-2E9C-101B-9397-08002B2CF9AE}" pid="75" name="LegacyRequestType">
    <vt:lpwstr/>
  </property>
  <property fmtid="{D5CDD505-2E9C-101B-9397-08002B2CF9AE}" pid="76" name="LegacyLastModifiedDate">
    <vt:lpwstr/>
  </property>
  <property fmtid="{D5CDD505-2E9C-101B-9397-08002B2CF9AE}" pid="77" name="LegacyDateClosed">
    <vt:lpwstr/>
  </property>
  <property fmtid="{D5CDD505-2E9C-101B-9397-08002B2CF9AE}" pid="78" name="LegacyHomeLocation">
    <vt:lpwstr/>
  </property>
  <property fmtid="{D5CDD505-2E9C-101B-9397-08002B2CF9AE}" pid="79" name="LegacyExpiryReviewDate">
    <vt:lpwstr/>
  </property>
  <property fmtid="{D5CDD505-2E9C-101B-9397-08002B2CF9AE}" pid="80" name="LegacyPhysicalFormat">
    <vt:lpwstr/>
  </property>
  <property fmtid="{D5CDD505-2E9C-101B-9397-08002B2CF9AE}" pid="81" name="LegacyDocumentType">
    <vt:lpwstr/>
  </property>
  <property fmtid="{D5CDD505-2E9C-101B-9397-08002B2CF9AE}" pid="82" name="LegacyReferencesFromOtherItems">
    <vt:lpwstr/>
  </property>
  <property fmtid="{D5CDD505-2E9C-101B-9397-08002B2CF9AE}" pid="83" name="m975189f4ba442ecbf67d4147307b177">
    <vt:lpwstr>Analysis, Strategy and Critical Infrastructure|4b051bf0-2ecd-41ff-accb-f2792d7c72cd</vt:lpwstr>
  </property>
  <property fmtid="{D5CDD505-2E9C-101B-9397-08002B2CF9AE}" pid="84" name="LegacyLastActionDate">
    <vt:lpwstr/>
  </property>
  <property fmtid="{D5CDD505-2E9C-101B-9397-08002B2CF9AE}" pid="85" name="CIRRUSPreviousID">
    <vt:lpwstr/>
  </property>
  <property fmtid="{D5CDD505-2E9C-101B-9397-08002B2CF9AE}" pid="86" name="LegacyModifier">
    <vt:lpwstr/>
  </property>
  <property fmtid="{D5CDD505-2E9C-101B-9397-08002B2CF9AE}" pid="87" name="CIRRUSPreviousRetentionPolicy">
    <vt:lpwstr/>
  </property>
  <property fmtid="{D5CDD505-2E9C-101B-9397-08002B2CF9AE}" pid="88" name="LegacyStatusonTransfer">
    <vt:lpwstr/>
  </property>
  <property fmtid="{D5CDD505-2E9C-101B-9397-08002B2CF9AE}" pid="89" name="LegacyDispositionAsOfDate">
    <vt:lpwstr/>
  </property>
  <property fmtid="{D5CDD505-2E9C-101B-9397-08002B2CF9AE}" pid="90" name="LegacyMinister">
    <vt:lpwstr/>
  </property>
  <property fmtid="{D5CDD505-2E9C-101B-9397-08002B2CF9AE}" pid="91" name="LegacyFileplanTarget">
    <vt:lpwstr/>
  </property>
  <property fmtid="{D5CDD505-2E9C-101B-9397-08002B2CF9AE}" pid="92" name="LegacyCustodian">
    <vt:lpwstr/>
  </property>
  <property fmtid="{D5CDD505-2E9C-101B-9397-08002B2CF9AE}" pid="93" name="LegacyContentType">
    <vt:lpwstr/>
  </property>
  <property fmtid="{D5CDD505-2E9C-101B-9397-08002B2CF9AE}" pid="94" name="LegacyProtectiveMarking">
    <vt:lpwstr/>
  </property>
  <property fmtid="{D5CDD505-2E9C-101B-9397-08002B2CF9AE}" pid="95" name="LegacyReferencesToOtherItems">
    <vt:lpwstr/>
  </property>
  <property fmtid="{D5CDD505-2E9C-101B-9397-08002B2CF9AE}" pid="96" name="LegacyDateFileReturned">
    <vt:lpwstr/>
  </property>
  <property fmtid="{D5CDD505-2E9C-101B-9397-08002B2CF9AE}" pid="97" name="Retention Label">
    <vt:lpwstr>HMG PPP Review</vt:lpwstr>
  </property>
  <property fmtid="{D5CDD505-2E9C-101B-9397-08002B2CF9AE}" pid="98" name="LegacyCopyright">
    <vt:lpwstr/>
  </property>
  <property fmtid="{D5CDD505-2E9C-101B-9397-08002B2CF9AE}" pid="99" name="Handling Instructions">
    <vt:lpwstr/>
  </property>
  <property fmtid="{D5CDD505-2E9C-101B-9397-08002B2CF9AE}" pid="100" name="Date Closed">
    <vt:lpwstr/>
  </property>
  <property fmtid="{D5CDD505-2E9C-101B-9397-08002B2CF9AE}" pid="101" name="LegacyTags">
    <vt:lpwstr/>
  </property>
  <property fmtid="{D5CDD505-2E9C-101B-9397-08002B2CF9AE}" pid="102" name="LegacyFolderNotes">
    <vt:lpwstr/>
  </property>
  <property fmtid="{D5CDD505-2E9C-101B-9397-08002B2CF9AE}" pid="103" name="LegacyNumericClass">
    <vt:lpwstr/>
  </property>
  <property fmtid="{D5CDD505-2E9C-101B-9397-08002B2CF9AE}" pid="104" name="LegacyCurrentLocation">
    <vt:lpwstr/>
  </property>
</Properties>
</file>