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C8A8" w14:textId="17F9C5F0" w:rsidR="00A2790B" w:rsidRPr="00A2790B" w:rsidRDefault="00A2790B" w:rsidP="0069717F">
      <w:pPr>
        <w:widowControl w:val="0"/>
        <w:autoSpaceDN w:val="0"/>
        <w:adjustRightInd w:val="0"/>
        <w:rPr>
          <w:rFonts w:hAnsi="Arial"/>
          <w:sz w:val="22"/>
          <w:szCs w:val="22"/>
          <w:lang w:bidi="hi-IN"/>
        </w:rPr>
      </w:pPr>
      <w:r w:rsidRPr="00A2790B">
        <w:rPr>
          <w:rFonts w:hAnsi="Arial"/>
          <w:sz w:val="22"/>
          <w:szCs w:val="22"/>
          <w:lang w:bidi="hi-IN"/>
        </w:rPr>
        <w:t>PQN/19-21/2020/05201</w:t>
      </w:r>
      <w:r w:rsidRPr="00A2790B">
        <w:rPr>
          <w:rFonts w:hAnsi="Arial"/>
          <w:sz w:val="22"/>
          <w:szCs w:val="22"/>
          <w:lang w:bidi="hi-IN"/>
        </w:rPr>
        <w:tab/>
      </w:r>
      <w:r w:rsidRPr="00A2790B">
        <w:rPr>
          <w:rFonts w:hAnsi="Arial"/>
          <w:sz w:val="22"/>
          <w:szCs w:val="22"/>
          <w:lang w:bidi="hi-IN"/>
        </w:rPr>
        <w:tab/>
      </w:r>
      <w:r w:rsidRPr="00A2790B">
        <w:rPr>
          <w:rFonts w:hAnsi="Arial"/>
          <w:sz w:val="22"/>
          <w:szCs w:val="22"/>
          <w:lang w:bidi="hi-IN"/>
        </w:rPr>
        <w:tab/>
      </w:r>
      <w:r w:rsidR="0069717F" w:rsidRPr="0069717F">
        <w:rPr>
          <w:rFonts w:hAnsi="Arial"/>
          <w:sz w:val="22"/>
          <w:szCs w:val="22"/>
          <w:lang w:bidi="hi-IN"/>
        </w:rPr>
        <w:tab/>
      </w:r>
      <w:r w:rsidR="0069717F" w:rsidRPr="0069717F">
        <w:rPr>
          <w:rFonts w:hAnsi="Arial"/>
          <w:sz w:val="22"/>
          <w:szCs w:val="22"/>
          <w:lang w:bidi="hi-IN"/>
        </w:rPr>
        <w:tab/>
      </w:r>
      <w:r w:rsidRPr="00A2790B">
        <w:rPr>
          <w:rFonts w:hAnsi="Arial"/>
          <w:sz w:val="22"/>
          <w:szCs w:val="22"/>
          <w:lang w:bidi="hi-IN"/>
        </w:rPr>
        <w:tab/>
      </w:r>
      <w:r w:rsidRPr="00A2790B">
        <w:rPr>
          <w:rFonts w:hAnsi="Arial"/>
          <w:sz w:val="22"/>
          <w:szCs w:val="22"/>
          <w:lang w:bidi="hi-IN"/>
        </w:rPr>
        <w:tab/>
      </w:r>
      <w:r w:rsidRPr="00A2790B">
        <w:rPr>
          <w:rFonts w:hAnsi="Arial"/>
          <w:sz w:val="22"/>
          <w:szCs w:val="22"/>
          <w:lang w:bidi="hi-IN"/>
        </w:rPr>
        <w:tab/>
      </w:r>
      <w:r w:rsidR="0069717F" w:rsidRPr="0069717F">
        <w:rPr>
          <w:rFonts w:hAnsi="Arial"/>
          <w:sz w:val="22"/>
          <w:szCs w:val="22"/>
          <w:lang w:bidi="hi-IN"/>
        </w:rPr>
        <w:t xml:space="preserve">14 </w:t>
      </w:r>
      <w:r w:rsidRPr="00A2790B">
        <w:rPr>
          <w:rFonts w:hAnsi="Arial"/>
          <w:sz w:val="22"/>
          <w:szCs w:val="22"/>
          <w:lang w:bidi="hi-IN"/>
        </w:rPr>
        <w:fldChar w:fldCharType="begin"/>
      </w:r>
      <w:r w:rsidRPr="00A2790B">
        <w:rPr>
          <w:rFonts w:hAnsi="Arial"/>
          <w:sz w:val="22"/>
          <w:szCs w:val="22"/>
          <w:lang w:bidi="hi-IN"/>
        </w:rPr>
        <w:instrText xml:space="preserve"> DATE \@"MMMM\ yyyy" </w:instrText>
      </w:r>
      <w:r w:rsidRPr="00A2790B">
        <w:rPr>
          <w:rFonts w:hAnsi="Arial"/>
          <w:sz w:val="22"/>
          <w:szCs w:val="22"/>
          <w:lang w:bidi="hi-IN"/>
        </w:rPr>
        <w:fldChar w:fldCharType="separate"/>
      </w:r>
      <w:r w:rsidR="008711D0">
        <w:rPr>
          <w:rFonts w:hAnsi="Arial"/>
          <w:noProof/>
          <w:sz w:val="22"/>
          <w:szCs w:val="22"/>
          <w:lang w:bidi="hi-IN"/>
        </w:rPr>
        <w:t>May 2020</w:t>
      </w:r>
      <w:r w:rsidRPr="00A2790B">
        <w:rPr>
          <w:rFonts w:hAnsi="Arial"/>
          <w:sz w:val="22"/>
          <w:szCs w:val="22"/>
          <w:lang w:bidi="hi-IN"/>
        </w:rPr>
        <w:fldChar w:fldCharType="end"/>
      </w:r>
    </w:p>
    <w:p w14:paraId="663888A8" w14:textId="77777777" w:rsidR="00A2790B" w:rsidRPr="00A2790B" w:rsidRDefault="00A2790B" w:rsidP="0069717F">
      <w:pPr>
        <w:widowControl w:val="0"/>
        <w:autoSpaceDN w:val="0"/>
        <w:adjustRightInd w:val="0"/>
        <w:rPr>
          <w:rFonts w:hAnsi="Arial"/>
          <w:sz w:val="22"/>
          <w:szCs w:val="22"/>
          <w:lang w:bidi="hi-IN"/>
        </w:rPr>
      </w:pPr>
    </w:p>
    <w:p w14:paraId="75965976" w14:textId="77777777" w:rsidR="0069717F" w:rsidRDefault="0069717F" w:rsidP="0069717F">
      <w:pPr>
        <w:widowControl w:val="0"/>
        <w:autoSpaceDN w:val="0"/>
        <w:adjustRightInd w:val="0"/>
        <w:rPr>
          <w:rFonts w:hAnsi="Arial"/>
          <w:sz w:val="22"/>
          <w:szCs w:val="22"/>
          <w:lang w:bidi="hi-IN"/>
        </w:rPr>
      </w:pPr>
    </w:p>
    <w:p w14:paraId="23A2D386" w14:textId="4A013DC6" w:rsidR="0069717F" w:rsidRDefault="0069717F" w:rsidP="0069717F">
      <w:pPr>
        <w:widowControl w:val="0"/>
        <w:autoSpaceDN w:val="0"/>
        <w:adjustRightInd w:val="0"/>
        <w:rPr>
          <w:rFonts w:hAnsi="Arial"/>
          <w:sz w:val="22"/>
          <w:szCs w:val="22"/>
          <w:lang w:bidi="hi-IN"/>
        </w:rPr>
      </w:pPr>
      <w:r>
        <w:rPr>
          <w:rFonts w:hAnsi="Arial"/>
          <w:sz w:val="22"/>
          <w:szCs w:val="22"/>
          <w:lang w:bidi="hi-IN"/>
        </w:rPr>
        <w:t>Dear Kevan,</w:t>
      </w:r>
    </w:p>
    <w:p w14:paraId="2CABADA5" w14:textId="77777777" w:rsidR="0069717F" w:rsidRPr="00A2790B" w:rsidRDefault="0069717F" w:rsidP="0069717F">
      <w:pPr>
        <w:widowControl w:val="0"/>
        <w:autoSpaceDN w:val="0"/>
        <w:adjustRightInd w:val="0"/>
        <w:rPr>
          <w:rFonts w:hAnsi="Arial"/>
          <w:sz w:val="22"/>
          <w:szCs w:val="22"/>
          <w:lang w:bidi="hi-IN"/>
        </w:rPr>
      </w:pPr>
    </w:p>
    <w:p w14:paraId="148A88BA" w14:textId="77777777" w:rsidR="00A2790B" w:rsidRPr="00A2790B" w:rsidRDefault="00A2790B" w:rsidP="0069717F">
      <w:pPr>
        <w:ind w:right="172"/>
        <w:rPr>
          <w:rFonts w:eastAsiaTheme="minorEastAsia" w:hAnsi="Arial"/>
          <w:color w:val="000000"/>
          <w:sz w:val="22"/>
          <w:szCs w:val="22"/>
          <w:lang w:eastAsia="en-GB"/>
        </w:rPr>
      </w:pPr>
      <w:r w:rsidRPr="00A2790B">
        <w:rPr>
          <w:rFonts w:eastAsiaTheme="minorEastAsia" w:hAnsi="Arial"/>
          <w:color w:val="000000"/>
          <w:sz w:val="22"/>
          <w:szCs w:val="22"/>
          <w:lang w:eastAsia="en-GB"/>
        </w:rPr>
        <w:t xml:space="preserve">In response to your question (41912) tabled on 1 May 2020 asking how many days each Type 23 Frigate spent at sea during 2019, I indicated that the information would take some time to collate. I am now able to provide a substantive response.  </w:t>
      </w:r>
    </w:p>
    <w:p w14:paraId="21AC168C" w14:textId="77777777" w:rsidR="00A2790B" w:rsidRPr="00A2790B" w:rsidRDefault="00A2790B" w:rsidP="0069717F">
      <w:pPr>
        <w:ind w:right="172"/>
        <w:rPr>
          <w:rFonts w:eastAsiaTheme="minorEastAsia" w:hAnsi="Arial"/>
          <w:sz w:val="22"/>
          <w:szCs w:val="22"/>
          <w:lang w:val="en" w:eastAsia="en-GB"/>
        </w:rPr>
      </w:pPr>
    </w:p>
    <w:p w14:paraId="61E9BD91" w14:textId="77777777" w:rsidR="00A2790B" w:rsidRPr="00A2790B" w:rsidRDefault="00A2790B" w:rsidP="0069717F">
      <w:pPr>
        <w:ind w:right="172"/>
        <w:rPr>
          <w:rFonts w:eastAsiaTheme="minorEastAsia" w:hAnsi="Arial"/>
          <w:sz w:val="22"/>
          <w:szCs w:val="22"/>
          <w:lang w:eastAsia="en-GB"/>
        </w:rPr>
      </w:pPr>
      <w:r w:rsidRPr="00A2790B">
        <w:rPr>
          <w:rFonts w:eastAsiaTheme="minorEastAsia" w:hAnsi="Arial"/>
          <w:sz w:val="22"/>
          <w:szCs w:val="22"/>
          <w:lang w:eastAsia="en-GB"/>
        </w:rPr>
        <w:t>The table below shows the number of days that each of the Type 23 Frigates currently in service spent at sea during 2019:</w:t>
      </w:r>
    </w:p>
    <w:p w14:paraId="5F1A532B" w14:textId="77777777" w:rsidR="00A2790B" w:rsidRPr="00A2790B" w:rsidRDefault="00A2790B" w:rsidP="0069717F">
      <w:pPr>
        <w:ind w:right="172"/>
        <w:rPr>
          <w:rFonts w:eastAsiaTheme="minorEastAsia" w:hAnsi="Arial"/>
          <w:sz w:val="22"/>
          <w:szCs w:val="22"/>
          <w:lang w:eastAsia="en-GB"/>
        </w:rPr>
      </w:pPr>
    </w:p>
    <w:tbl>
      <w:tblPr>
        <w:tblStyle w:val="TableGrid"/>
        <w:tblpPr w:leftFromText="180" w:rightFromText="180" w:vertAnchor="text" w:tblpY="1"/>
        <w:tblOverlap w:val="never"/>
        <w:tblW w:w="9493" w:type="dxa"/>
        <w:tblLook w:val="04A0" w:firstRow="1" w:lastRow="0" w:firstColumn="1" w:lastColumn="0" w:noHBand="0" w:noVBand="1"/>
      </w:tblPr>
      <w:tblGrid>
        <w:gridCol w:w="4106"/>
        <w:gridCol w:w="5387"/>
      </w:tblGrid>
      <w:tr w:rsidR="00A2790B" w:rsidRPr="00A2790B" w14:paraId="4EB219C7" w14:textId="77777777" w:rsidTr="0069717F">
        <w:tc>
          <w:tcPr>
            <w:tcW w:w="4106" w:type="dxa"/>
          </w:tcPr>
          <w:p w14:paraId="0FF57D41" w14:textId="77777777" w:rsidR="00A2790B" w:rsidRPr="00A2790B" w:rsidRDefault="00A2790B" w:rsidP="0069717F">
            <w:pPr>
              <w:jc w:val="center"/>
              <w:rPr>
                <w:rFonts w:eastAsiaTheme="minorEastAsia" w:hAnsi="Arial"/>
                <w:b/>
                <w:sz w:val="20"/>
                <w:szCs w:val="20"/>
                <w:lang w:eastAsia="en-US"/>
              </w:rPr>
            </w:pPr>
            <w:r w:rsidRPr="00A2790B">
              <w:rPr>
                <w:rFonts w:eastAsiaTheme="minorEastAsia" w:hAnsi="Arial"/>
                <w:b/>
                <w:sz w:val="20"/>
                <w:szCs w:val="20"/>
                <w:lang w:eastAsia="en-US"/>
              </w:rPr>
              <w:t>Type 23</w:t>
            </w:r>
          </w:p>
        </w:tc>
        <w:tc>
          <w:tcPr>
            <w:tcW w:w="5387" w:type="dxa"/>
          </w:tcPr>
          <w:p w14:paraId="57D2D7EA" w14:textId="049316B4" w:rsidR="00A2790B" w:rsidRPr="00A2790B" w:rsidRDefault="00A2790B" w:rsidP="0069717F">
            <w:pPr>
              <w:jc w:val="center"/>
              <w:rPr>
                <w:rFonts w:eastAsiaTheme="minorEastAsia" w:hAnsi="Arial"/>
                <w:b/>
                <w:sz w:val="20"/>
                <w:szCs w:val="20"/>
                <w:lang w:eastAsia="en-US"/>
              </w:rPr>
            </w:pPr>
            <w:r w:rsidRPr="00A2790B">
              <w:rPr>
                <w:rFonts w:eastAsiaTheme="minorEastAsia" w:hAnsi="Arial"/>
                <w:b/>
                <w:sz w:val="20"/>
                <w:szCs w:val="20"/>
                <w:lang w:eastAsia="en-US"/>
              </w:rPr>
              <w:t>Year 2019</w:t>
            </w:r>
            <w:r w:rsidR="0069717F" w:rsidRPr="0069717F">
              <w:rPr>
                <w:rFonts w:eastAsiaTheme="minorEastAsia" w:hAnsi="Arial"/>
                <w:b/>
                <w:sz w:val="20"/>
                <w:szCs w:val="20"/>
                <w:lang w:eastAsia="en-US"/>
              </w:rPr>
              <w:br/>
            </w:r>
            <w:r w:rsidRPr="00A2790B">
              <w:rPr>
                <w:rFonts w:eastAsiaTheme="minorEastAsia" w:hAnsi="Arial"/>
                <w:b/>
                <w:sz w:val="20"/>
                <w:szCs w:val="20"/>
                <w:lang w:eastAsia="en-US"/>
              </w:rPr>
              <w:t>(1 January – 31 December 2019)</w:t>
            </w:r>
          </w:p>
        </w:tc>
      </w:tr>
      <w:tr w:rsidR="00A2790B" w:rsidRPr="00A2790B" w14:paraId="5F5F36C6" w14:textId="77777777" w:rsidTr="0069717F">
        <w:tc>
          <w:tcPr>
            <w:tcW w:w="4106" w:type="dxa"/>
          </w:tcPr>
          <w:p w14:paraId="2193C51B"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ARGYLL</w:t>
            </w:r>
          </w:p>
        </w:tc>
        <w:tc>
          <w:tcPr>
            <w:tcW w:w="5387" w:type="dxa"/>
          </w:tcPr>
          <w:p w14:paraId="3CFD602B"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103</w:t>
            </w:r>
          </w:p>
        </w:tc>
      </w:tr>
      <w:tr w:rsidR="00A2790B" w:rsidRPr="00A2790B" w14:paraId="59429385" w14:textId="77777777" w:rsidTr="0069717F">
        <w:tc>
          <w:tcPr>
            <w:tcW w:w="4106" w:type="dxa"/>
          </w:tcPr>
          <w:p w14:paraId="62C52C02"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IRON DUKE</w:t>
            </w:r>
          </w:p>
        </w:tc>
        <w:tc>
          <w:tcPr>
            <w:tcW w:w="5387" w:type="dxa"/>
          </w:tcPr>
          <w:p w14:paraId="41364003"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4</w:t>
            </w:r>
          </w:p>
        </w:tc>
      </w:tr>
      <w:tr w:rsidR="00A2790B" w:rsidRPr="00A2790B" w14:paraId="04F97E19" w14:textId="77777777" w:rsidTr="0069717F">
        <w:tc>
          <w:tcPr>
            <w:tcW w:w="4106" w:type="dxa"/>
          </w:tcPr>
          <w:p w14:paraId="6A224CC0"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KENT</w:t>
            </w:r>
          </w:p>
        </w:tc>
        <w:tc>
          <w:tcPr>
            <w:tcW w:w="5387" w:type="dxa"/>
          </w:tcPr>
          <w:p w14:paraId="40E7501F"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186</w:t>
            </w:r>
          </w:p>
        </w:tc>
      </w:tr>
      <w:tr w:rsidR="00A2790B" w:rsidRPr="00A2790B" w14:paraId="249C393B" w14:textId="77777777" w:rsidTr="0069717F">
        <w:tc>
          <w:tcPr>
            <w:tcW w:w="4106" w:type="dxa"/>
          </w:tcPr>
          <w:p w14:paraId="72672779"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LANCASTER</w:t>
            </w:r>
          </w:p>
        </w:tc>
        <w:tc>
          <w:tcPr>
            <w:tcW w:w="5387" w:type="dxa"/>
          </w:tcPr>
          <w:p w14:paraId="7A62351B"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7</w:t>
            </w:r>
          </w:p>
        </w:tc>
      </w:tr>
      <w:tr w:rsidR="00A2790B" w:rsidRPr="00A2790B" w14:paraId="4E71C905" w14:textId="77777777" w:rsidTr="0069717F">
        <w:tc>
          <w:tcPr>
            <w:tcW w:w="4106" w:type="dxa"/>
          </w:tcPr>
          <w:p w14:paraId="184C5FFB"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MONMOUTH</w:t>
            </w:r>
          </w:p>
        </w:tc>
        <w:tc>
          <w:tcPr>
            <w:tcW w:w="5387" w:type="dxa"/>
          </w:tcPr>
          <w:p w14:paraId="450AE7F7"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36</w:t>
            </w:r>
          </w:p>
        </w:tc>
      </w:tr>
      <w:tr w:rsidR="00A2790B" w:rsidRPr="00A2790B" w14:paraId="7F3817BD" w14:textId="77777777" w:rsidTr="0069717F">
        <w:tc>
          <w:tcPr>
            <w:tcW w:w="4106" w:type="dxa"/>
          </w:tcPr>
          <w:p w14:paraId="7E3999EE"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MONTROSE</w:t>
            </w:r>
          </w:p>
        </w:tc>
        <w:tc>
          <w:tcPr>
            <w:tcW w:w="5387" w:type="dxa"/>
          </w:tcPr>
          <w:p w14:paraId="02D34CDB"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210</w:t>
            </w:r>
          </w:p>
        </w:tc>
      </w:tr>
      <w:tr w:rsidR="00A2790B" w:rsidRPr="00A2790B" w14:paraId="3CFE67CD" w14:textId="77777777" w:rsidTr="0069717F">
        <w:tc>
          <w:tcPr>
            <w:tcW w:w="4106" w:type="dxa"/>
          </w:tcPr>
          <w:p w14:paraId="25F3B7FB"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NORTHUMBERLAND</w:t>
            </w:r>
          </w:p>
        </w:tc>
        <w:tc>
          <w:tcPr>
            <w:tcW w:w="5387" w:type="dxa"/>
          </w:tcPr>
          <w:p w14:paraId="11E5EE94"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154</w:t>
            </w:r>
          </w:p>
        </w:tc>
      </w:tr>
      <w:tr w:rsidR="00A2790B" w:rsidRPr="00A2790B" w14:paraId="64489C9F" w14:textId="77777777" w:rsidTr="0069717F">
        <w:tc>
          <w:tcPr>
            <w:tcW w:w="4106" w:type="dxa"/>
          </w:tcPr>
          <w:p w14:paraId="06E0FA9E"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PORTLAND</w:t>
            </w:r>
          </w:p>
        </w:tc>
        <w:tc>
          <w:tcPr>
            <w:tcW w:w="5387" w:type="dxa"/>
          </w:tcPr>
          <w:p w14:paraId="7FFB3C63"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0</w:t>
            </w:r>
          </w:p>
        </w:tc>
      </w:tr>
      <w:tr w:rsidR="00A2790B" w:rsidRPr="00A2790B" w14:paraId="31F23954" w14:textId="77777777" w:rsidTr="0069717F">
        <w:tc>
          <w:tcPr>
            <w:tcW w:w="4106" w:type="dxa"/>
          </w:tcPr>
          <w:p w14:paraId="50AD66F0"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RICHMOND</w:t>
            </w:r>
          </w:p>
        </w:tc>
        <w:tc>
          <w:tcPr>
            <w:tcW w:w="5387" w:type="dxa"/>
          </w:tcPr>
          <w:p w14:paraId="2752E399"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11</w:t>
            </w:r>
          </w:p>
        </w:tc>
      </w:tr>
      <w:tr w:rsidR="00A2790B" w:rsidRPr="00A2790B" w14:paraId="336B85EC" w14:textId="77777777" w:rsidTr="0069717F">
        <w:tc>
          <w:tcPr>
            <w:tcW w:w="4106" w:type="dxa"/>
          </w:tcPr>
          <w:p w14:paraId="348E0FB4"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SOMERSET</w:t>
            </w:r>
          </w:p>
        </w:tc>
        <w:tc>
          <w:tcPr>
            <w:tcW w:w="5387" w:type="dxa"/>
          </w:tcPr>
          <w:p w14:paraId="48FD2B1B"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0</w:t>
            </w:r>
          </w:p>
        </w:tc>
      </w:tr>
      <w:tr w:rsidR="00A2790B" w:rsidRPr="00A2790B" w14:paraId="2BCBD64A" w14:textId="77777777" w:rsidTr="0069717F">
        <w:tc>
          <w:tcPr>
            <w:tcW w:w="4106" w:type="dxa"/>
          </w:tcPr>
          <w:p w14:paraId="3EFD83C7"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ST ALBANS</w:t>
            </w:r>
          </w:p>
        </w:tc>
        <w:tc>
          <w:tcPr>
            <w:tcW w:w="5387" w:type="dxa"/>
          </w:tcPr>
          <w:p w14:paraId="1EB5495A"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84</w:t>
            </w:r>
          </w:p>
        </w:tc>
      </w:tr>
      <w:tr w:rsidR="00A2790B" w:rsidRPr="00A2790B" w14:paraId="6BB89F14" w14:textId="77777777" w:rsidTr="0069717F">
        <w:tc>
          <w:tcPr>
            <w:tcW w:w="4106" w:type="dxa"/>
          </w:tcPr>
          <w:p w14:paraId="45E8B17F"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SUTHERLAND</w:t>
            </w:r>
          </w:p>
        </w:tc>
        <w:tc>
          <w:tcPr>
            <w:tcW w:w="5387" w:type="dxa"/>
          </w:tcPr>
          <w:p w14:paraId="0AEE1C19"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113</w:t>
            </w:r>
          </w:p>
        </w:tc>
      </w:tr>
      <w:tr w:rsidR="00A2790B" w:rsidRPr="00A2790B" w14:paraId="279E1DAF" w14:textId="77777777" w:rsidTr="0069717F">
        <w:tc>
          <w:tcPr>
            <w:tcW w:w="4106" w:type="dxa"/>
          </w:tcPr>
          <w:p w14:paraId="24BBC4B8" w14:textId="77777777" w:rsidR="00A2790B" w:rsidRPr="00A2790B" w:rsidRDefault="00A2790B" w:rsidP="0069717F">
            <w:pPr>
              <w:ind w:left="884"/>
              <w:rPr>
                <w:rFonts w:eastAsiaTheme="minorEastAsia" w:hAnsi="Arial"/>
                <w:sz w:val="20"/>
                <w:szCs w:val="20"/>
                <w:lang w:eastAsia="en-US"/>
              </w:rPr>
            </w:pPr>
            <w:r w:rsidRPr="00A2790B">
              <w:rPr>
                <w:rFonts w:eastAsiaTheme="minorEastAsia" w:hAnsi="Arial"/>
                <w:sz w:val="20"/>
                <w:szCs w:val="20"/>
                <w:lang w:eastAsia="en-US"/>
              </w:rPr>
              <w:t>WESTMINSTER</w:t>
            </w:r>
          </w:p>
        </w:tc>
        <w:tc>
          <w:tcPr>
            <w:tcW w:w="5387" w:type="dxa"/>
          </w:tcPr>
          <w:p w14:paraId="52768376" w14:textId="77777777" w:rsidR="00A2790B" w:rsidRPr="00A2790B" w:rsidRDefault="00A2790B" w:rsidP="0069717F">
            <w:pPr>
              <w:jc w:val="center"/>
              <w:rPr>
                <w:rFonts w:eastAsiaTheme="minorEastAsia" w:hAnsi="Arial"/>
                <w:sz w:val="20"/>
                <w:szCs w:val="20"/>
                <w:lang w:eastAsia="en-US"/>
              </w:rPr>
            </w:pPr>
            <w:r w:rsidRPr="00A2790B">
              <w:rPr>
                <w:rFonts w:eastAsiaTheme="minorEastAsia" w:hAnsi="Arial"/>
                <w:sz w:val="20"/>
                <w:szCs w:val="20"/>
                <w:lang w:eastAsia="en-US"/>
              </w:rPr>
              <w:t>132</w:t>
            </w:r>
          </w:p>
        </w:tc>
      </w:tr>
    </w:tbl>
    <w:p w14:paraId="77E597EA" w14:textId="77777777" w:rsidR="00A2790B" w:rsidRPr="00A2790B" w:rsidRDefault="00A2790B" w:rsidP="0069717F">
      <w:pPr>
        <w:ind w:right="172"/>
        <w:rPr>
          <w:rFonts w:eastAsiaTheme="minorEastAsia" w:hAnsi="Arial"/>
          <w:sz w:val="22"/>
          <w:szCs w:val="22"/>
          <w:lang w:val="en" w:eastAsia="en-GB"/>
        </w:rPr>
      </w:pPr>
    </w:p>
    <w:p w14:paraId="5FCC1411" w14:textId="52B4F36D" w:rsidR="00A2790B" w:rsidRPr="00A2790B" w:rsidRDefault="00A2790B" w:rsidP="0069717F">
      <w:pPr>
        <w:ind w:right="172"/>
        <w:rPr>
          <w:rFonts w:eastAsiaTheme="minorEastAsia" w:hAnsi="Arial"/>
          <w:sz w:val="22"/>
          <w:szCs w:val="22"/>
          <w:lang w:eastAsia="en-GB"/>
        </w:rPr>
      </w:pPr>
      <w:r w:rsidRPr="00A2790B">
        <w:rPr>
          <w:rFonts w:eastAsiaTheme="minorEastAsia" w:hAnsi="Arial"/>
          <w:sz w:val="22"/>
          <w:szCs w:val="22"/>
          <w:lang w:eastAsia="en-GB"/>
        </w:rPr>
        <w:t xml:space="preserve">As you will be aware, but for the avoidance of doubt, the normal operating cycle of every ship involves them entering different readiness levels depending on their programmes, periods of refit and Departmental planning requirements. In addition, these figures represent days at </w:t>
      </w:r>
      <w:r w:rsidR="0069717F" w:rsidRPr="00A2790B">
        <w:rPr>
          <w:rFonts w:eastAsiaTheme="minorEastAsia" w:hAnsi="Arial"/>
          <w:sz w:val="22"/>
          <w:szCs w:val="22"/>
          <w:lang w:eastAsia="en-GB"/>
        </w:rPr>
        <w:t>sea,</w:t>
      </w:r>
      <w:r w:rsidRPr="00A2790B">
        <w:rPr>
          <w:rFonts w:eastAsiaTheme="minorEastAsia" w:hAnsi="Arial"/>
          <w:sz w:val="22"/>
          <w:szCs w:val="22"/>
          <w:lang w:eastAsia="en-GB"/>
        </w:rPr>
        <w:t xml:space="preserve"> and it should be noted that, while </w:t>
      </w:r>
      <w:r w:rsidRPr="00A2790B">
        <w:rPr>
          <w:rFonts w:eastAsiaTheme="minorEastAsia" w:hAnsi="Arial"/>
          <w:sz w:val="22"/>
          <w:szCs w:val="22"/>
          <w:lang w:val="en" w:eastAsia="en-GB"/>
        </w:rPr>
        <w:t>deployed away from the UK, ships will spend both days at sea and alongside in ports around the world</w:t>
      </w:r>
      <w:r w:rsidRPr="00A2790B">
        <w:rPr>
          <w:rFonts w:eastAsiaTheme="minorEastAsia" w:hAnsi="Arial"/>
          <w:sz w:val="22"/>
          <w:szCs w:val="22"/>
          <w:lang w:eastAsia="en-GB"/>
        </w:rPr>
        <w:t xml:space="preserve">.  </w:t>
      </w:r>
    </w:p>
    <w:p w14:paraId="332AB687" w14:textId="77777777" w:rsidR="00A2790B" w:rsidRPr="00A2790B" w:rsidRDefault="00A2790B" w:rsidP="0069717F">
      <w:pPr>
        <w:ind w:right="172"/>
        <w:rPr>
          <w:rFonts w:eastAsiaTheme="minorEastAsia" w:hAnsi="Arial"/>
          <w:color w:val="000000"/>
          <w:sz w:val="22"/>
          <w:szCs w:val="22"/>
          <w:lang w:eastAsia="en-GB"/>
        </w:rPr>
      </w:pPr>
    </w:p>
    <w:p w14:paraId="08A93788" w14:textId="77777777" w:rsidR="00A2790B" w:rsidRPr="00A2790B" w:rsidRDefault="00A2790B" w:rsidP="0069717F">
      <w:pPr>
        <w:ind w:right="172"/>
        <w:rPr>
          <w:rFonts w:eastAsiaTheme="minorEastAsia" w:hAnsi="Arial"/>
          <w:color w:val="000000"/>
          <w:sz w:val="22"/>
          <w:szCs w:val="22"/>
          <w:lang w:eastAsia="en-GB"/>
        </w:rPr>
      </w:pPr>
      <w:r w:rsidRPr="00A2790B">
        <w:rPr>
          <w:rFonts w:eastAsiaTheme="minorEastAsia" w:hAnsi="Arial"/>
          <w:color w:val="000000"/>
          <w:sz w:val="22"/>
          <w:szCs w:val="22"/>
          <w:lang w:eastAsia="en-GB"/>
        </w:rPr>
        <w:t>I hope that this response is helpful.</w:t>
      </w:r>
    </w:p>
    <w:p w14:paraId="5EC411C1" w14:textId="77777777" w:rsidR="00A2790B" w:rsidRPr="00A2790B" w:rsidRDefault="00A2790B" w:rsidP="0069717F">
      <w:pPr>
        <w:ind w:right="172"/>
        <w:rPr>
          <w:rFonts w:eastAsiaTheme="minorEastAsia" w:hAnsi="Arial"/>
          <w:color w:val="000000"/>
          <w:sz w:val="22"/>
          <w:szCs w:val="22"/>
          <w:lang w:eastAsia="en-GB"/>
        </w:rPr>
      </w:pPr>
    </w:p>
    <w:p w14:paraId="22E9FF8B" w14:textId="77777777" w:rsidR="00A2790B" w:rsidRPr="00A2790B" w:rsidRDefault="00A2790B" w:rsidP="0069717F">
      <w:pPr>
        <w:ind w:right="172"/>
        <w:rPr>
          <w:rFonts w:eastAsiaTheme="minorEastAsia" w:hAnsi="Arial"/>
          <w:color w:val="000000"/>
          <w:sz w:val="22"/>
          <w:szCs w:val="22"/>
          <w:lang w:eastAsia="en-GB"/>
        </w:rPr>
      </w:pPr>
      <w:r w:rsidRPr="00A2790B">
        <w:rPr>
          <w:rFonts w:eastAsiaTheme="minorEastAsia" w:hAnsi="Arial"/>
          <w:color w:val="000000"/>
          <w:sz w:val="22"/>
          <w:szCs w:val="22"/>
          <w:lang w:eastAsia="en-GB"/>
        </w:rPr>
        <w:t>A copy of this letter will be placed in the Library of the House.</w:t>
      </w:r>
    </w:p>
    <w:p w14:paraId="12B2CBAE" w14:textId="77777777" w:rsidR="009B1902" w:rsidRPr="0069717F" w:rsidRDefault="009B1902" w:rsidP="0069717F">
      <w:pPr>
        <w:tabs>
          <w:tab w:val="left" w:pos="720"/>
          <w:tab w:val="left" w:pos="2880"/>
        </w:tabs>
        <w:rPr>
          <w:rFonts w:hAnsi="Arial"/>
          <w:sz w:val="22"/>
          <w:szCs w:val="22"/>
        </w:rPr>
      </w:pPr>
    </w:p>
    <w:p w14:paraId="703C87B5" w14:textId="77777777" w:rsidR="009B1902" w:rsidRPr="0069717F" w:rsidRDefault="00DF5AE8" w:rsidP="0069717F">
      <w:pPr>
        <w:tabs>
          <w:tab w:val="left" w:pos="720"/>
          <w:tab w:val="left" w:pos="2880"/>
        </w:tabs>
        <w:jc w:val="center"/>
        <w:rPr>
          <w:rFonts w:hAnsi="Arial"/>
          <w:sz w:val="22"/>
          <w:szCs w:val="22"/>
        </w:rPr>
      </w:pPr>
      <w:r w:rsidRPr="0069717F">
        <w:rPr>
          <w:rFonts w:hAnsi="Arial"/>
          <w:sz w:val="22"/>
          <w:szCs w:val="22"/>
        </w:rPr>
        <w:t>Yours sincerely,</w:t>
      </w:r>
    </w:p>
    <w:p w14:paraId="5D2F1F1E" w14:textId="77777777" w:rsidR="009B1902" w:rsidRPr="0069717F" w:rsidRDefault="009B1902" w:rsidP="0069717F">
      <w:pPr>
        <w:tabs>
          <w:tab w:val="left" w:pos="720"/>
          <w:tab w:val="left" w:pos="2880"/>
        </w:tabs>
        <w:rPr>
          <w:rFonts w:hAnsi="Arial"/>
          <w:sz w:val="22"/>
          <w:szCs w:val="22"/>
        </w:rPr>
      </w:pPr>
    </w:p>
    <w:p w14:paraId="73C99F2E" w14:textId="77777777" w:rsidR="009B1902" w:rsidRPr="0069717F" w:rsidRDefault="009B1902" w:rsidP="0069717F">
      <w:pPr>
        <w:tabs>
          <w:tab w:val="left" w:pos="720"/>
          <w:tab w:val="left" w:pos="2880"/>
        </w:tabs>
        <w:rPr>
          <w:rFonts w:hAnsi="Arial"/>
          <w:sz w:val="22"/>
          <w:szCs w:val="22"/>
        </w:rPr>
      </w:pPr>
      <w:r w:rsidRPr="0069717F">
        <w:rPr>
          <w:rFonts w:hAnsi="Arial"/>
          <w:noProof/>
          <w:sz w:val="22"/>
          <w:szCs w:val="22"/>
        </w:rPr>
        <w:drawing>
          <wp:anchor distT="0" distB="0" distL="114300" distR="114300" simplePos="0" relativeHeight="251659264" behindDoc="0" locked="0" layoutInCell="1" allowOverlap="1" wp14:anchorId="5E0CB9B1" wp14:editId="532E5AB5">
            <wp:simplePos x="0" y="0"/>
            <wp:positionH relativeFrom="margin">
              <wp:posOffset>1036646</wp:posOffset>
            </wp:positionH>
            <wp:positionV relativeFrom="paragraph">
              <wp:posOffset>13057</wp:posOffset>
            </wp:positionV>
            <wp:extent cx="3393549" cy="987747"/>
            <wp:effectExtent l="0" t="0" r="0" b="3175"/>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416716" cy="994490"/>
                    </a:xfrm>
                    <a:prstGeom prst="rect">
                      <a:avLst/>
                    </a:prstGeom>
                  </pic:spPr>
                </pic:pic>
              </a:graphicData>
            </a:graphic>
            <wp14:sizeRelH relativeFrom="page">
              <wp14:pctWidth>0</wp14:pctWidth>
            </wp14:sizeRelH>
            <wp14:sizeRelV relativeFrom="page">
              <wp14:pctHeight>0</wp14:pctHeight>
            </wp14:sizeRelV>
          </wp:anchor>
        </w:drawing>
      </w:r>
    </w:p>
    <w:p w14:paraId="18ECAD63" w14:textId="77777777" w:rsidR="009B1902" w:rsidRPr="0069717F" w:rsidRDefault="009B1902" w:rsidP="0069717F">
      <w:pPr>
        <w:tabs>
          <w:tab w:val="left" w:pos="720"/>
          <w:tab w:val="left" w:pos="2880"/>
        </w:tabs>
        <w:rPr>
          <w:rFonts w:hAnsi="Arial"/>
          <w:sz w:val="22"/>
          <w:szCs w:val="22"/>
        </w:rPr>
      </w:pPr>
    </w:p>
    <w:p w14:paraId="4AC4643D" w14:textId="77777777" w:rsidR="009B1902" w:rsidRPr="0069717F" w:rsidRDefault="009B1902" w:rsidP="0069717F">
      <w:pPr>
        <w:tabs>
          <w:tab w:val="left" w:pos="720"/>
          <w:tab w:val="left" w:pos="2880"/>
        </w:tabs>
        <w:rPr>
          <w:rFonts w:hAnsi="Arial"/>
          <w:sz w:val="22"/>
          <w:szCs w:val="22"/>
        </w:rPr>
      </w:pPr>
    </w:p>
    <w:p w14:paraId="6B46579E" w14:textId="77777777" w:rsidR="009B1902" w:rsidRPr="0069717F" w:rsidRDefault="009B1902" w:rsidP="0069717F">
      <w:pPr>
        <w:tabs>
          <w:tab w:val="left" w:pos="720"/>
          <w:tab w:val="left" w:pos="2880"/>
        </w:tabs>
        <w:rPr>
          <w:rFonts w:hAnsi="Arial"/>
          <w:sz w:val="22"/>
          <w:szCs w:val="22"/>
        </w:rPr>
      </w:pPr>
    </w:p>
    <w:p w14:paraId="049C31FA" w14:textId="77777777" w:rsidR="009B1902" w:rsidRPr="0069717F" w:rsidRDefault="009B1902" w:rsidP="0069717F">
      <w:pPr>
        <w:tabs>
          <w:tab w:val="left" w:pos="720"/>
          <w:tab w:val="left" w:pos="2880"/>
        </w:tabs>
        <w:jc w:val="center"/>
        <w:rPr>
          <w:rFonts w:hAnsi="Arial"/>
          <w:sz w:val="22"/>
          <w:szCs w:val="22"/>
        </w:rPr>
      </w:pPr>
    </w:p>
    <w:p w14:paraId="7735F4BF" w14:textId="77777777" w:rsidR="009B1902" w:rsidRPr="0069717F" w:rsidRDefault="009B1902" w:rsidP="0069717F">
      <w:pPr>
        <w:tabs>
          <w:tab w:val="left" w:pos="720"/>
          <w:tab w:val="left" w:pos="2880"/>
        </w:tabs>
        <w:rPr>
          <w:rFonts w:hAnsi="Arial"/>
          <w:sz w:val="22"/>
          <w:szCs w:val="22"/>
        </w:rPr>
      </w:pPr>
    </w:p>
    <w:p w14:paraId="0E473D70" w14:textId="0B51B903" w:rsidR="00B43930" w:rsidRPr="0069717F" w:rsidRDefault="00765D93" w:rsidP="0069717F">
      <w:pPr>
        <w:tabs>
          <w:tab w:val="left" w:pos="720"/>
          <w:tab w:val="left" w:pos="2880"/>
        </w:tabs>
        <w:jc w:val="center"/>
        <w:rPr>
          <w:rFonts w:hAnsi="Arial"/>
          <w:b/>
          <w:sz w:val="22"/>
          <w:szCs w:val="22"/>
        </w:rPr>
      </w:pPr>
      <w:r w:rsidRPr="0069717F">
        <w:rPr>
          <w:rFonts w:hAnsi="Arial"/>
          <w:b/>
          <w:sz w:val="22"/>
          <w:szCs w:val="22"/>
        </w:rPr>
        <w:t>JEREMY QUIN MP</w:t>
      </w:r>
    </w:p>
    <w:sectPr w:rsidR="00B43930" w:rsidRPr="0069717F" w:rsidSect="0069717F">
      <w:headerReference w:type="first" r:id="rId8"/>
      <w:footerReference w:type="first" r:id="rId9"/>
      <w:pgSz w:w="11906" w:h="16838" w:code="9"/>
      <w:pgMar w:top="2977" w:right="1080" w:bottom="170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B3F9" w14:textId="77777777" w:rsidR="005E5CFB" w:rsidRDefault="005E5CFB">
      <w:pPr>
        <w:rPr>
          <w:rFonts w:cs="Times New Roman"/>
        </w:rPr>
      </w:pPr>
      <w:r>
        <w:rPr>
          <w:rFonts w:cs="Times New Roman"/>
        </w:rPr>
        <w:separator/>
      </w:r>
    </w:p>
  </w:endnote>
  <w:endnote w:type="continuationSeparator" w:id="0">
    <w:p w14:paraId="0C29A915" w14:textId="77777777" w:rsidR="005E5CFB" w:rsidRDefault="005E5C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5D5B" w14:textId="76ADBBD7" w:rsidR="0069717F" w:rsidRPr="0069717F" w:rsidRDefault="0069717F" w:rsidP="0069717F">
    <w:pPr>
      <w:pStyle w:val="Footer"/>
      <w:rPr>
        <w:sz w:val="22"/>
        <w:szCs w:val="22"/>
      </w:rPr>
    </w:pPr>
    <w:r w:rsidRPr="0069717F">
      <w:rPr>
        <w:sz w:val="22"/>
        <w:szCs w:val="22"/>
      </w:rPr>
      <w:t>The Rt Hon Kevan Jones MP</w:t>
    </w:r>
  </w:p>
  <w:p w14:paraId="1BD833D8" w14:textId="77777777" w:rsidR="0069717F" w:rsidRPr="0069717F" w:rsidRDefault="0069717F" w:rsidP="0069717F">
    <w:pPr>
      <w:pStyle w:val="Footer"/>
      <w:rPr>
        <w:sz w:val="22"/>
        <w:szCs w:val="22"/>
      </w:rPr>
    </w:pPr>
    <w:r w:rsidRPr="0069717F">
      <w:rPr>
        <w:sz w:val="22"/>
        <w:szCs w:val="22"/>
      </w:rPr>
      <w:t>House of Commons</w:t>
    </w:r>
  </w:p>
  <w:p w14:paraId="50499965" w14:textId="77777777" w:rsidR="0069717F" w:rsidRPr="0069717F" w:rsidRDefault="0069717F" w:rsidP="0069717F">
    <w:pPr>
      <w:pStyle w:val="Footer"/>
      <w:rPr>
        <w:sz w:val="22"/>
        <w:szCs w:val="22"/>
      </w:rPr>
    </w:pPr>
    <w:r w:rsidRPr="0069717F">
      <w:rPr>
        <w:sz w:val="22"/>
        <w:szCs w:val="22"/>
      </w:rPr>
      <w:t>London</w:t>
    </w:r>
  </w:p>
  <w:p w14:paraId="328E8CD0" w14:textId="77777777" w:rsidR="0069717F" w:rsidRPr="0069717F" w:rsidRDefault="0069717F" w:rsidP="0069717F">
    <w:pPr>
      <w:pStyle w:val="Footer"/>
      <w:rPr>
        <w:sz w:val="22"/>
        <w:szCs w:val="22"/>
      </w:rPr>
    </w:pPr>
    <w:r w:rsidRPr="0069717F">
      <w:rPr>
        <w:sz w:val="22"/>
        <w:szCs w:val="22"/>
      </w:rPr>
      <w:t>SW1A 0AA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49A9" w14:textId="77777777" w:rsidR="005E5CFB" w:rsidRDefault="005E5CFB">
      <w:pPr>
        <w:rPr>
          <w:rFonts w:cs="Times New Roman"/>
        </w:rPr>
      </w:pPr>
      <w:r>
        <w:rPr>
          <w:rFonts w:cs="Times New Roman"/>
        </w:rPr>
        <w:separator/>
      </w:r>
    </w:p>
  </w:footnote>
  <w:footnote w:type="continuationSeparator" w:id="0">
    <w:p w14:paraId="1DA766D9" w14:textId="77777777" w:rsidR="005E5CFB" w:rsidRDefault="005E5CF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C67E" w14:textId="77777777" w:rsidR="00B43930" w:rsidRPr="00D81BEB" w:rsidRDefault="00D20DEB" w:rsidP="00B43930">
    <w:pPr>
      <w:pStyle w:val="Header"/>
    </w:pPr>
    <w:r>
      <w:rPr>
        <w:noProof/>
      </w:rPr>
      <w:drawing>
        <wp:anchor distT="0" distB="0" distL="114300" distR="114300" simplePos="0" relativeHeight="251660288" behindDoc="0" locked="0" layoutInCell="1" allowOverlap="1" wp14:anchorId="4FA0D13A" wp14:editId="67878612">
          <wp:simplePos x="0" y="0"/>
          <wp:positionH relativeFrom="column">
            <wp:posOffset>-76200</wp:posOffset>
          </wp:positionH>
          <wp:positionV relativeFrom="paragraph">
            <wp:posOffset>-105410</wp:posOffset>
          </wp:positionV>
          <wp:extent cx="1360805" cy="108839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52F3EDF" wp14:editId="108BE527">
              <wp:simplePos x="0" y="0"/>
              <wp:positionH relativeFrom="column">
                <wp:posOffset>3505200</wp:posOffset>
              </wp:positionH>
              <wp:positionV relativeFrom="paragraph">
                <wp:posOffset>96520</wp:posOffset>
              </wp:positionV>
              <wp:extent cx="2766060" cy="12801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2D179"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558AF3A9"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4EB27907"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2FD9EB31" w14:textId="77777777" w:rsidR="00B43930" w:rsidRPr="00D81BEB" w:rsidRDefault="00B43930" w:rsidP="00B43930">
                          <w:pPr>
                            <w:rPr>
                              <w:rFonts w:hAnsi="Arial" w:cs="Times New Roman"/>
                              <w:color w:val="000000"/>
                              <w:sz w:val="18"/>
                              <w:szCs w:val="18"/>
                            </w:rPr>
                          </w:pPr>
                        </w:p>
                        <w:p w14:paraId="562094FC"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3B006DC0" w14:textId="77777777" w:rsidR="00B43930" w:rsidRDefault="00B43930" w:rsidP="00B43930">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3EDF" id="_x0000_t202" coordsize="21600,21600" o:spt="202" path="m,l,21600r21600,l21600,xe">
              <v:stroke joinstyle="miter"/>
              <v:path gradientshapeok="t" o:connecttype="rect"/>
            </v:shapetype>
            <v:shape id="Text Box 2" o:spid="_x0000_s1026" type="#_x0000_t202" style="position:absolute;margin-left:276pt;margin-top:7.6pt;width:217.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fOgQIAABA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" o:allowincell="f" stroked="f">
              <v:textbox>
                <w:txbxContent>
                  <w:p w14:paraId="61E2D179"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558AF3A9"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4EB27907"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2FD9EB31" w14:textId="77777777" w:rsidR="00B43930" w:rsidRPr="00D81BEB" w:rsidRDefault="00B43930" w:rsidP="00B43930">
                    <w:pPr>
                      <w:rPr>
                        <w:rFonts w:hAnsi="Arial" w:cs="Times New Roman"/>
                        <w:color w:val="000000"/>
                        <w:sz w:val="18"/>
                        <w:szCs w:val="18"/>
                      </w:rPr>
                    </w:pPr>
                  </w:p>
                  <w:p w14:paraId="562094FC"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3B006DC0" w14:textId="77777777" w:rsidR="00B43930" w:rsidRDefault="00B43930" w:rsidP="00B43930">
                    <w:pPr>
                      <w:rPr>
                        <w:rFonts w:cs="Times New Roman"/>
                        <w:color w:val="000000"/>
                        <w:sz w:val="18"/>
                        <w:szCs w:val="18"/>
                      </w:rPr>
                    </w:pPr>
                  </w:p>
                </w:txbxContent>
              </v:textbox>
            </v:shape>
          </w:pict>
        </mc:Fallback>
      </mc:AlternateContent>
    </w:r>
    <w:r w:rsidR="00B43930" w:rsidRPr="00D81BEB">
      <w:t xml:space="preserve">         </w:t>
    </w:r>
  </w:p>
  <w:p w14:paraId="04948461" w14:textId="77777777" w:rsidR="00B43930" w:rsidRPr="004E3F29" w:rsidRDefault="00B43930" w:rsidP="00B43930">
    <w:pPr>
      <w:pStyle w:val="Header"/>
      <w:rPr>
        <w:rFonts w:cs="Times New Roman"/>
        <w:b/>
        <w:bCs/>
        <w:sz w:val="16"/>
        <w:szCs w:val="16"/>
      </w:rPr>
    </w:pPr>
  </w:p>
  <w:p w14:paraId="50A71DFB" w14:textId="77777777" w:rsidR="009A7941" w:rsidRDefault="009A7941" w:rsidP="00F97D10">
    <w:pPr>
      <w:pStyle w:val="Header"/>
      <w:rPr>
        <w:b/>
        <w:bCs/>
        <w:color w:val="000000"/>
        <w:sz w:val="16"/>
        <w:szCs w:val="16"/>
      </w:rPr>
    </w:pPr>
  </w:p>
  <w:p w14:paraId="36360E7C" w14:textId="77777777" w:rsidR="009A7941" w:rsidRDefault="009A7941" w:rsidP="00F97D10">
    <w:pPr>
      <w:pStyle w:val="Header"/>
      <w:rPr>
        <w:b/>
        <w:bCs/>
        <w:color w:val="000000"/>
        <w:sz w:val="16"/>
        <w:szCs w:val="16"/>
      </w:rPr>
    </w:pPr>
  </w:p>
  <w:p w14:paraId="52D67EE4" w14:textId="77777777" w:rsidR="009A7941" w:rsidRDefault="009A7941" w:rsidP="00F97D10">
    <w:pPr>
      <w:pStyle w:val="Header"/>
      <w:rPr>
        <w:b/>
        <w:bCs/>
        <w:color w:val="000000"/>
        <w:sz w:val="16"/>
        <w:szCs w:val="16"/>
      </w:rPr>
    </w:pPr>
  </w:p>
  <w:p w14:paraId="09CED47D" w14:textId="77777777" w:rsidR="009A7941" w:rsidRDefault="009A7941" w:rsidP="00F97D10">
    <w:pPr>
      <w:pStyle w:val="Header"/>
      <w:rPr>
        <w:b/>
        <w:bCs/>
        <w:color w:val="000000"/>
        <w:sz w:val="16"/>
        <w:szCs w:val="16"/>
      </w:rPr>
    </w:pPr>
  </w:p>
  <w:p w14:paraId="5EBA62DA" w14:textId="77777777" w:rsidR="009A7941" w:rsidRDefault="009A7941" w:rsidP="00F97D10">
    <w:pPr>
      <w:pStyle w:val="Header"/>
      <w:rPr>
        <w:b/>
        <w:bCs/>
        <w:color w:val="000000"/>
        <w:sz w:val="16"/>
        <w:szCs w:val="16"/>
      </w:rPr>
    </w:pPr>
  </w:p>
  <w:p w14:paraId="2F6F1BD0" w14:textId="77777777" w:rsidR="009A7941" w:rsidRDefault="009A7941" w:rsidP="00F97D10">
    <w:pPr>
      <w:pStyle w:val="Header"/>
      <w:rPr>
        <w:b/>
        <w:bCs/>
        <w:color w:val="000000"/>
        <w:sz w:val="16"/>
        <w:szCs w:val="16"/>
      </w:rPr>
    </w:pPr>
  </w:p>
  <w:p w14:paraId="548AD380" w14:textId="77777777" w:rsidR="009A7941" w:rsidRPr="00765D93" w:rsidRDefault="009A7941" w:rsidP="00F97D10">
    <w:pPr>
      <w:pStyle w:val="Header"/>
      <w:rPr>
        <w:b/>
        <w:bCs/>
        <w:color w:val="000000"/>
        <w:sz w:val="16"/>
        <w:szCs w:val="16"/>
      </w:rPr>
    </w:pPr>
  </w:p>
  <w:p w14:paraId="6CE0C6A4" w14:textId="77777777" w:rsidR="00765D93" w:rsidRPr="00765D93" w:rsidRDefault="00765D93" w:rsidP="00F97D10">
    <w:pPr>
      <w:pStyle w:val="Header"/>
      <w:rPr>
        <w:b/>
        <w:color w:val="000000"/>
        <w:sz w:val="16"/>
        <w:szCs w:val="16"/>
      </w:rPr>
    </w:pPr>
    <w:r w:rsidRPr="00765D93">
      <w:rPr>
        <w:b/>
        <w:color w:val="000000"/>
        <w:sz w:val="16"/>
        <w:szCs w:val="16"/>
      </w:rPr>
      <w:t>JEREMY QUIN MP</w:t>
    </w:r>
  </w:p>
  <w:p w14:paraId="06316610" w14:textId="77777777" w:rsidR="0081294E" w:rsidRPr="0081294E" w:rsidRDefault="00765D93" w:rsidP="00F97D10">
    <w:pPr>
      <w:pStyle w:val="Header"/>
      <w:rPr>
        <w:color w:val="000000"/>
        <w:sz w:val="16"/>
        <w:szCs w:val="16"/>
      </w:rPr>
    </w:pPr>
    <w:r>
      <w:rPr>
        <w:color w:val="000000"/>
        <w:sz w:val="16"/>
        <w:szCs w:val="16"/>
      </w:rPr>
      <w:t xml:space="preserve">MINISTER </w:t>
    </w:r>
    <w:r w:rsidR="00BD32C4">
      <w:rPr>
        <w:color w:val="000000"/>
        <w:sz w:val="16"/>
        <w:szCs w:val="16"/>
      </w:rPr>
      <w:t xml:space="preserve">OF STATE </w:t>
    </w:r>
    <w:r>
      <w:rPr>
        <w:color w:val="000000"/>
        <w:sz w:val="16"/>
        <w:szCs w:val="16"/>
      </w:rPr>
      <w:t>FOR DEFENCE PROCUREMENT</w:t>
    </w:r>
  </w:p>
  <w:p w14:paraId="19F9EF3C" w14:textId="77777777" w:rsidR="00D11873" w:rsidRPr="00B43930" w:rsidRDefault="00D11873" w:rsidP="00B4393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701"/>
    <w:multiLevelType w:val="hybridMultilevel"/>
    <w:tmpl w:val="D3B8D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11789"/>
    <w:rsid w:val="00014272"/>
    <w:rsid w:val="00017D65"/>
    <w:rsid w:val="00023878"/>
    <w:rsid w:val="000319FB"/>
    <w:rsid w:val="00047737"/>
    <w:rsid w:val="000529B8"/>
    <w:rsid w:val="00081263"/>
    <w:rsid w:val="000923B1"/>
    <w:rsid w:val="000A45D7"/>
    <w:rsid w:val="000C73C5"/>
    <w:rsid w:val="000F6A4A"/>
    <w:rsid w:val="00111E0D"/>
    <w:rsid w:val="00116874"/>
    <w:rsid w:val="001218B1"/>
    <w:rsid w:val="00140D36"/>
    <w:rsid w:val="001C2815"/>
    <w:rsid w:val="001D4F2C"/>
    <w:rsid w:val="001E0F14"/>
    <w:rsid w:val="00217A81"/>
    <w:rsid w:val="002546C5"/>
    <w:rsid w:val="002618C9"/>
    <w:rsid w:val="00263A28"/>
    <w:rsid w:val="002735A9"/>
    <w:rsid w:val="00291E06"/>
    <w:rsid w:val="002B1CBA"/>
    <w:rsid w:val="002C3AD4"/>
    <w:rsid w:val="002C5CD3"/>
    <w:rsid w:val="002F1F2F"/>
    <w:rsid w:val="002F73E6"/>
    <w:rsid w:val="003054A0"/>
    <w:rsid w:val="00320E8F"/>
    <w:rsid w:val="003469A1"/>
    <w:rsid w:val="0037392E"/>
    <w:rsid w:val="003901D8"/>
    <w:rsid w:val="003A10B7"/>
    <w:rsid w:val="003B6771"/>
    <w:rsid w:val="003D1A45"/>
    <w:rsid w:val="003E404B"/>
    <w:rsid w:val="003E4C16"/>
    <w:rsid w:val="003E75AF"/>
    <w:rsid w:val="0044397F"/>
    <w:rsid w:val="00446434"/>
    <w:rsid w:val="004B295B"/>
    <w:rsid w:val="004D28E4"/>
    <w:rsid w:val="004E31F0"/>
    <w:rsid w:val="004E3F29"/>
    <w:rsid w:val="00500509"/>
    <w:rsid w:val="00520C4D"/>
    <w:rsid w:val="005420D6"/>
    <w:rsid w:val="00546E80"/>
    <w:rsid w:val="00563E66"/>
    <w:rsid w:val="005779C9"/>
    <w:rsid w:val="00584272"/>
    <w:rsid w:val="00593E2F"/>
    <w:rsid w:val="005B20A0"/>
    <w:rsid w:val="005B4170"/>
    <w:rsid w:val="005D1265"/>
    <w:rsid w:val="005E5CFB"/>
    <w:rsid w:val="005F49EB"/>
    <w:rsid w:val="005F7C45"/>
    <w:rsid w:val="00623940"/>
    <w:rsid w:val="006301EE"/>
    <w:rsid w:val="00655439"/>
    <w:rsid w:val="0067723B"/>
    <w:rsid w:val="0069717F"/>
    <w:rsid w:val="006B29B1"/>
    <w:rsid w:val="006B6B2B"/>
    <w:rsid w:val="006E0D90"/>
    <w:rsid w:val="006E182D"/>
    <w:rsid w:val="006E6EE7"/>
    <w:rsid w:val="0072332E"/>
    <w:rsid w:val="00727146"/>
    <w:rsid w:val="00765D93"/>
    <w:rsid w:val="007667E3"/>
    <w:rsid w:val="00775F73"/>
    <w:rsid w:val="00785079"/>
    <w:rsid w:val="007B5EC0"/>
    <w:rsid w:val="007C3FE7"/>
    <w:rsid w:val="007E4C6A"/>
    <w:rsid w:val="007F24EE"/>
    <w:rsid w:val="0080149D"/>
    <w:rsid w:val="00801BCF"/>
    <w:rsid w:val="008125B0"/>
    <w:rsid w:val="0081294E"/>
    <w:rsid w:val="00813547"/>
    <w:rsid w:val="00841CAE"/>
    <w:rsid w:val="008711D0"/>
    <w:rsid w:val="008717B1"/>
    <w:rsid w:val="0089502D"/>
    <w:rsid w:val="008D304E"/>
    <w:rsid w:val="0090129C"/>
    <w:rsid w:val="00912F15"/>
    <w:rsid w:val="00927A06"/>
    <w:rsid w:val="00936FC5"/>
    <w:rsid w:val="00940DE7"/>
    <w:rsid w:val="00977609"/>
    <w:rsid w:val="00981ED4"/>
    <w:rsid w:val="009967B3"/>
    <w:rsid w:val="009A19CD"/>
    <w:rsid w:val="009A7941"/>
    <w:rsid w:val="009B1902"/>
    <w:rsid w:val="009C4F2C"/>
    <w:rsid w:val="009D34CF"/>
    <w:rsid w:val="009E65EC"/>
    <w:rsid w:val="009E7F11"/>
    <w:rsid w:val="00A007F6"/>
    <w:rsid w:val="00A2790B"/>
    <w:rsid w:val="00A46977"/>
    <w:rsid w:val="00A84EDF"/>
    <w:rsid w:val="00A90E77"/>
    <w:rsid w:val="00AA2573"/>
    <w:rsid w:val="00AB4F86"/>
    <w:rsid w:val="00AC2E21"/>
    <w:rsid w:val="00AC6E60"/>
    <w:rsid w:val="00B3247F"/>
    <w:rsid w:val="00B326A6"/>
    <w:rsid w:val="00B43930"/>
    <w:rsid w:val="00B46182"/>
    <w:rsid w:val="00B52E3F"/>
    <w:rsid w:val="00B54B31"/>
    <w:rsid w:val="00B61CD3"/>
    <w:rsid w:val="00B62BFD"/>
    <w:rsid w:val="00BC6E13"/>
    <w:rsid w:val="00BD32C4"/>
    <w:rsid w:val="00C00D0B"/>
    <w:rsid w:val="00C02A7F"/>
    <w:rsid w:val="00C16AE2"/>
    <w:rsid w:val="00C2203A"/>
    <w:rsid w:val="00C26459"/>
    <w:rsid w:val="00C348BC"/>
    <w:rsid w:val="00C37A1A"/>
    <w:rsid w:val="00C62584"/>
    <w:rsid w:val="00C779FA"/>
    <w:rsid w:val="00C96FCF"/>
    <w:rsid w:val="00CA3CC3"/>
    <w:rsid w:val="00CC1DAB"/>
    <w:rsid w:val="00CC5EB1"/>
    <w:rsid w:val="00CD4F23"/>
    <w:rsid w:val="00D03FC6"/>
    <w:rsid w:val="00D06C27"/>
    <w:rsid w:val="00D11873"/>
    <w:rsid w:val="00D20DEB"/>
    <w:rsid w:val="00D223A1"/>
    <w:rsid w:val="00D77024"/>
    <w:rsid w:val="00D81BEB"/>
    <w:rsid w:val="00D9422B"/>
    <w:rsid w:val="00D9510F"/>
    <w:rsid w:val="00DE35D4"/>
    <w:rsid w:val="00DE6A9A"/>
    <w:rsid w:val="00DF4FF9"/>
    <w:rsid w:val="00DF5AE8"/>
    <w:rsid w:val="00E04F1D"/>
    <w:rsid w:val="00E1038A"/>
    <w:rsid w:val="00E55BD8"/>
    <w:rsid w:val="00E63A49"/>
    <w:rsid w:val="00E9516E"/>
    <w:rsid w:val="00EC1815"/>
    <w:rsid w:val="00EC3A32"/>
    <w:rsid w:val="00EC5225"/>
    <w:rsid w:val="00EC5339"/>
    <w:rsid w:val="00EC7E9A"/>
    <w:rsid w:val="00F2233C"/>
    <w:rsid w:val="00F269EB"/>
    <w:rsid w:val="00F42B6C"/>
    <w:rsid w:val="00F435CC"/>
    <w:rsid w:val="00F71A49"/>
    <w:rsid w:val="00F97D10"/>
    <w:rsid w:val="00FD11BB"/>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D7568"/>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semiHidden/>
    <w:locked/>
    <w:rPr>
      <w:rFonts w:ascii="Arial" w:eastAsia="Times New Roman" w:cs="Arial"/>
      <w:sz w:val="24"/>
      <w:szCs w:val="24"/>
      <w:lang w:val="x-none" w:eastAsia="zh-TW"/>
    </w:rPr>
  </w:style>
  <w:style w:type="paragraph" w:customStyle="1" w:styleId="Char">
    <w:name w:val="Char"/>
    <w:basedOn w:val="Normal"/>
    <w:uiPriority w:val="99"/>
    <w:rsid w:val="005B20A0"/>
    <w:pPr>
      <w:spacing w:after="160" w:line="240" w:lineRule="exact"/>
    </w:pPr>
    <w:rPr>
      <w:rFonts w:ascii="Verdana" w:eastAsia="Arial Unicode MS" w:hAnsi="Verdana" w:cs="Verdana"/>
      <w:sz w:val="20"/>
      <w:szCs w:val="20"/>
      <w:lang w:val="en-US" w:eastAsia="en-US"/>
    </w:rPr>
  </w:style>
  <w:style w:type="paragraph" w:styleId="BalloonText">
    <w:name w:val="Balloon Text"/>
    <w:basedOn w:val="Normal"/>
    <w:link w:val="BalloonTextChar"/>
    <w:uiPriority w:val="99"/>
    <w:semiHidden/>
    <w:rsid w:val="005B20A0"/>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DocumentMap">
    <w:name w:val="Document Map"/>
    <w:basedOn w:val="Normal"/>
    <w:link w:val="DocumentMapChar"/>
    <w:uiPriority w:val="99"/>
    <w:semiHidden/>
    <w:rsid w:val="0078507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TW"/>
    </w:rPr>
  </w:style>
  <w:style w:type="table" w:styleId="TableGrid">
    <w:name w:val="Table Grid"/>
    <w:basedOn w:val="TableNormal"/>
    <w:uiPriority w:val="39"/>
    <w:rsid w:val="00A2790B"/>
    <w:pPr>
      <w:spacing w:after="0" w:line="240" w:lineRule="auto"/>
    </w:pPr>
    <w:rPr>
      <w:rFonts w:asciiTheme="minorHAnsi" w:eastAsiaTheme="minorEastAsia"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9717F"/>
    <w:rPr>
      <w:rFonts w:ascii="Arial" w:eastAsia="Times New Roman" w:hAnsi="Times New Roman"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Robertson, Lorraine Mrs (Parli Branch-AsstParliClerk5)</cp:lastModifiedBy>
  <cp:revision>2</cp:revision>
  <cp:lastPrinted>2007-03-12T11:52:00Z</cp:lastPrinted>
  <dcterms:created xsi:type="dcterms:W3CDTF">2020-05-14T15:16:00Z</dcterms:created>
  <dcterms:modified xsi:type="dcterms:W3CDTF">2020-05-14T15:16:00Z</dcterms:modified>
</cp:coreProperties>
</file>