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D7DB" w14:textId="77777777" w:rsidR="00DB2EC5" w:rsidRPr="00E949BE" w:rsidRDefault="00DB2EC5" w:rsidP="00A848CA">
      <w:pPr>
        <w:spacing w:line="240" w:lineRule="auto"/>
        <w:ind w:left="0" w:firstLine="0"/>
        <w:rPr>
          <w:rFonts w:ascii="Arial" w:hAnsi="Arial" w:cs="Arial"/>
          <w:b/>
          <w:sz w:val="28"/>
          <w:szCs w:val="28"/>
        </w:rPr>
      </w:pPr>
    </w:p>
    <w:p w14:paraId="006BC80C" w14:textId="12447713" w:rsidR="001F58EB" w:rsidRPr="00E949BE" w:rsidRDefault="00503A9D" w:rsidP="00807315">
      <w:pPr>
        <w:spacing w:line="240" w:lineRule="auto"/>
        <w:ind w:left="0" w:firstLine="0"/>
        <w:rPr>
          <w:rFonts w:ascii="Arial" w:hAnsi="Arial" w:cs="Arial"/>
          <w:b/>
          <w:sz w:val="28"/>
          <w:szCs w:val="28"/>
        </w:rPr>
      </w:pPr>
      <w:r w:rsidRPr="00CB6FA2">
        <w:rPr>
          <w:rFonts w:ascii="Arial" w:hAnsi="Arial" w:cs="Arial"/>
          <w:b/>
          <w:sz w:val="28"/>
          <w:szCs w:val="28"/>
        </w:rPr>
        <w:t xml:space="preserve">A REPORT ON </w:t>
      </w:r>
      <w:r w:rsidR="001F58EB" w:rsidRPr="00CB6FA2">
        <w:rPr>
          <w:rFonts w:ascii="Arial" w:hAnsi="Arial" w:cs="Arial"/>
          <w:b/>
          <w:sz w:val="28"/>
          <w:szCs w:val="28"/>
        </w:rPr>
        <w:t xml:space="preserve">DECISIONS TAKEN </w:t>
      </w:r>
      <w:r w:rsidR="00877BB5" w:rsidRPr="00CB6FA2">
        <w:rPr>
          <w:rFonts w:ascii="Arial" w:hAnsi="Arial" w:cs="Arial"/>
          <w:b/>
          <w:sz w:val="28"/>
          <w:szCs w:val="28"/>
        </w:rPr>
        <w:t xml:space="preserve">DURING </w:t>
      </w:r>
      <w:r w:rsidR="00EC50E0">
        <w:rPr>
          <w:rFonts w:ascii="Arial" w:hAnsi="Arial" w:cs="Arial"/>
          <w:b/>
          <w:sz w:val="28"/>
          <w:szCs w:val="28"/>
        </w:rPr>
        <w:t>JANUARY 2020</w:t>
      </w:r>
      <w:r w:rsidR="00877BB5" w:rsidRPr="00CB6FA2">
        <w:rPr>
          <w:rFonts w:ascii="Arial" w:hAnsi="Arial" w:cs="Arial"/>
          <w:b/>
          <w:sz w:val="28"/>
          <w:szCs w:val="28"/>
        </w:rPr>
        <w:t xml:space="preserve"> </w:t>
      </w:r>
      <w:r w:rsidR="001F58EB" w:rsidRPr="00CB6FA2">
        <w:rPr>
          <w:rFonts w:ascii="Arial" w:hAnsi="Arial" w:cs="Arial"/>
          <w:b/>
          <w:sz w:val="28"/>
          <w:szCs w:val="28"/>
        </w:rPr>
        <w:t>BY N</w:t>
      </w:r>
      <w:r w:rsidR="00877BB5" w:rsidRPr="00CB6FA2">
        <w:rPr>
          <w:rFonts w:ascii="Arial" w:hAnsi="Arial" w:cs="Arial"/>
          <w:b/>
          <w:sz w:val="28"/>
          <w:szCs w:val="28"/>
        </w:rPr>
        <w:t xml:space="preserve">ORTHERN </w:t>
      </w:r>
      <w:r w:rsidR="001F58EB" w:rsidRPr="00CB6FA2">
        <w:rPr>
          <w:rFonts w:ascii="Arial" w:hAnsi="Arial" w:cs="Arial"/>
          <w:b/>
          <w:sz w:val="28"/>
          <w:szCs w:val="28"/>
        </w:rPr>
        <w:t>I</w:t>
      </w:r>
      <w:r w:rsidR="00877BB5" w:rsidRPr="00CB6FA2">
        <w:rPr>
          <w:rFonts w:ascii="Arial" w:hAnsi="Arial" w:cs="Arial"/>
          <w:b/>
          <w:sz w:val="28"/>
          <w:szCs w:val="28"/>
        </w:rPr>
        <w:t>RELAND</w:t>
      </w:r>
      <w:r w:rsidR="00243DB8" w:rsidRPr="00CB6FA2">
        <w:rPr>
          <w:rFonts w:ascii="Arial" w:hAnsi="Arial" w:cs="Arial"/>
          <w:b/>
          <w:sz w:val="28"/>
          <w:szCs w:val="28"/>
        </w:rPr>
        <w:t xml:space="preserve"> </w:t>
      </w:r>
      <w:r w:rsidR="001F58EB" w:rsidRPr="00CB6FA2">
        <w:rPr>
          <w:rFonts w:ascii="Arial" w:hAnsi="Arial" w:cs="Arial"/>
          <w:b/>
          <w:sz w:val="28"/>
          <w:szCs w:val="28"/>
        </w:rPr>
        <w:t xml:space="preserve">DEPARTMENTS </w:t>
      </w:r>
      <w:r w:rsidR="005348C6" w:rsidRPr="00CB6FA2">
        <w:rPr>
          <w:rFonts w:ascii="Arial" w:hAnsi="Arial" w:cs="Arial"/>
          <w:b/>
          <w:sz w:val="28"/>
          <w:szCs w:val="28"/>
        </w:rPr>
        <w:t xml:space="preserve">IN </w:t>
      </w:r>
      <w:r w:rsidR="001F58EB" w:rsidRPr="00CB6FA2">
        <w:rPr>
          <w:rFonts w:ascii="Arial" w:hAnsi="Arial" w:cs="Arial"/>
          <w:b/>
          <w:sz w:val="28"/>
          <w:szCs w:val="28"/>
        </w:rPr>
        <w:t xml:space="preserve">ACCORDANCE WITH THE GUIDANCE ISSUED BY THE SECRETARY OF STATE </w:t>
      </w:r>
      <w:r w:rsidR="00C212C9" w:rsidRPr="00CB6FA2">
        <w:rPr>
          <w:rFonts w:ascii="Arial" w:hAnsi="Arial" w:cs="Arial"/>
          <w:b/>
          <w:sz w:val="28"/>
          <w:szCs w:val="28"/>
        </w:rPr>
        <w:t xml:space="preserve">FOR NORTHERN IRELAND </w:t>
      </w:r>
      <w:r w:rsidR="001F58EB" w:rsidRPr="00CB6FA2">
        <w:rPr>
          <w:rFonts w:ascii="Arial" w:hAnsi="Arial" w:cs="Arial"/>
          <w:b/>
          <w:sz w:val="28"/>
          <w:szCs w:val="28"/>
        </w:rPr>
        <w:t>UNDER THE PROVISIONS OF THE NORTHERN IRELAND (EXECUTIVE FORMATION AND EXERCISE OF FUNCTIONS) ACT 2018</w:t>
      </w:r>
      <w:r w:rsidR="001F58EB" w:rsidRPr="00E949BE">
        <w:rPr>
          <w:rFonts w:ascii="Arial" w:hAnsi="Arial" w:cs="Arial"/>
          <w:b/>
          <w:sz w:val="28"/>
          <w:szCs w:val="28"/>
        </w:rPr>
        <w:t xml:space="preserve"> </w:t>
      </w:r>
    </w:p>
    <w:p w14:paraId="41E62630" w14:textId="77777777" w:rsidR="001F58EB" w:rsidRPr="00E949BE" w:rsidRDefault="001F58EB" w:rsidP="00632DE8">
      <w:pPr>
        <w:ind w:left="0" w:firstLine="0"/>
        <w:rPr>
          <w:rFonts w:ascii="Arial" w:hAnsi="Arial" w:cs="Arial"/>
        </w:rPr>
      </w:pPr>
    </w:p>
    <w:p w14:paraId="133BD518" w14:textId="16C9C625" w:rsidR="00BF1BB1" w:rsidRPr="00E949BE" w:rsidRDefault="00BF1BB1" w:rsidP="00BF1BB1">
      <w:pPr>
        <w:ind w:left="0" w:firstLine="0"/>
        <w:rPr>
          <w:rFonts w:ascii="Arial" w:hAnsi="Arial" w:cs="Arial"/>
        </w:rPr>
      </w:pPr>
      <w:r w:rsidRPr="00E949BE">
        <w:rPr>
          <w:rFonts w:ascii="Arial" w:hAnsi="Arial" w:cs="Arial"/>
        </w:rPr>
        <w:t xml:space="preserve">On 5 November 2018 the Secretary of State for Northern Ireland, in accordance with section 3(2) of the Northern Ireland (Executive Formation and Exercise of Functions) Act 2018, published guidance about the exercise of the functions of Northern Ireland departments during the period for Executive Formation.  This guidance requires Northern Ireland departments to prepare a monthly summary report of decisions taken by senior officials using the guidance and to share this with the Secretary of State, who will in turn promptly make it available to Parliament and to Northern Ireland </w:t>
      </w:r>
      <w:r>
        <w:rPr>
          <w:rFonts w:ascii="Arial" w:hAnsi="Arial" w:cs="Arial"/>
        </w:rPr>
        <w:t>Ministers</w:t>
      </w:r>
      <w:r w:rsidRPr="00E949BE">
        <w:rPr>
          <w:rFonts w:ascii="Arial" w:hAnsi="Arial" w:cs="Arial"/>
        </w:rPr>
        <w:t>.</w:t>
      </w:r>
    </w:p>
    <w:p w14:paraId="796AB80E" w14:textId="77777777" w:rsidR="00BF1BB1" w:rsidRPr="00E949BE" w:rsidRDefault="00BF1BB1" w:rsidP="00BF1BB1">
      <w:pPr>
        <w:ind w:left="0" w:firstLine="0"/>
        <w:rPr>
          <w:rFonts w:ascii="Arial" w:hAnsi="Arial" w:cs="Arial"/>
        </w:rPr>
      </w:pPr>
    </w:p>
    <w:p w14:paraId="0E23F616" w14:textId="6CBA804C" w:rsidR="00BF1BB1" w:rsidRPr="00E949BE" w:rsidRDefault="00BF1BB1" w:rsidP="00BF1BB1">
      <w:pPr>
        <w:ind w:left="0" w:firstLine="0"/>
        <w:rPr>
          <w:rFonts w:ascii="Arial" w:hAnsi="Arial" w:cs="Arial"/>
          <w:b/>
          <w:sz w:val="28"/>
          <w:szCs w:val="28"/>
        </w:rPr>
      </w:pPr>
      <w:r w:rsidRPr="00E949BE">
        <w:rPr>
          <w:rFonts w:ascii="Arial" w:hAnsi="Arial" w:cs="Arial"/>
        </w:rPr>
        <w:t xml:space="preserve">This Summary Report has been prepared by the Executive Office and provides information on the decisions taken by Northern Ireland departments </w:t>
      </w:r>
      <w:r w:rsidR="000A6EBA">
        <w:rPr>
          <w:rFonts w:ascii="Arial" w:hAnsi="Arial" w:cs="Arial"/>
        </w:rPr>
        <w:t>between 1 </w:t>
      </w:r>
      <w:r w:rsidR="00EC50E0">
        <w:rPr>
          <w:rFonts w:ascii="Arial" w:hAnsi="Arial" w:cs="Arial"/>
        </w:rPr>
        <w:t>January 2020</w:t>
      </w:r>
      <w:r w:rsidR="000A6EBA">
        <w:rPr>
          <w:rFonts w:ascii="Arial" w:hAnsi="Arial" w:cs="Arial"/>
        </w:rPr>
        <w:t xml:space="preserve"> </w:t>
      </w:r>
      <w:r w:rsidR="00B43B0A">
        <w:rPr>
          <w:rFonts w:ascii="Arial" w:hAnsi="Arial" w:cs="Arial"/>
        </w:rPr>
        <w:t xml:space="preserve">and </w:t>
      </w:r>
      <w:r w:rsidR="00EC50E0">
        <w:rPr>
          <w:rFonts w:ascii="Arial" w:hAnsi="Arial" w:cs="Arial"/>
        </w:rPr>
        <w:t xml:space="preserve">the Executive's formation on 11 January 2020. </w:t>
      </w:r>
      <w:r w:rsidRPr="00E949BE">
        <w:rPr>
          <w:rFonts w:ascii="Arial" w:hAnsi="Arial" w:cs="Arial"/>
        </w:rPr>
        <w:t xml:space="preserve"> </w:t>
      </w:r>
    </w:p>
    <w:p w14:paraId="5344B5A3" w14:textId="77777777" w:rsidR="001F58EB" w:rsidRPr="00E949BE" w:rsidRDefault="001F58EB" w:rsidP="001F58EB">
      <w:pPr>
        <w:rPr>
          <w:rFonts w:ascii="Arial" w:hAnsi="Arial" w:cs="Arial"/>
          <w:b/>
          <w:sz w:val="28"/>
          <w:szCs w:val="28"/>
        </w:rPr>
      </w:pPr>
    </w:p>
    <w:tbl>
      <w:tblPr>
        <w:tblW w:w="9026" w:type="dxa"/>
        <w:tblLayout w:type="fixed"/>
        <w:tblLook w:val="04A0" w:firstRow="1" w:lastRow="0" w:firstColumn="1" w:lastColumn="0" w:noHBand="0" w:noVBand="1"/>
      </w:tblPr>
      <w:tblGrid>
        <w:gridCol w:w="1985"/>
        <w:gridCol w:w="7041"/>
      </w:tblGrid>
      <w:tr w:rsidR="001F58EB" w:rsidRPr="00E949BE" w14:paraId="4E2DEC8A" w14:textId="77777777" w:rsidTr="00702259">
        <w:trPr>
          <w:trHeight w:val="663"/>
        </w:trPr>
        <w:tc>
          <w:tcPr>
            <w:tcW w:w="9026" w:type="dxa"/>
            <w:gridSpan w:val="2"/>
            <w:hideMark/>
          </w:tcPr>
          <w:p w14:paraId="0DF90D14" w14:textId="3DD9508A" w:rsidR="001F58EB" w:rsidRPr="00E949BE" w:rsidRDefault="0029710F" w:rsidP="00387F69">
            <w:pPr>
              <w:ind w:left="0" w:firstLine="0"/>
              <w:rPr>
                <w:rFonts w:ascii="Arial" w:hAnsi="Arial" w:cs="Arial"/>
                <w:b/>
                <w:sz w:val="28"/>
                <w:szCs w:val="28"/>
              </w:rPr>
            </w:pPr>
            <w:r w:rsidRPr="00E949BE">
              <w:rPr>
                <w:rFonts w:ascii="Arial" w:hAnsi="Arial" w:cs="Arial"/>
                <w:b/>
                <w:sz w:val="28"/>
                <w:szCs w:val="28"/>
              </w:rPr>
              <w:t>Decisions Taken by N</w:t>
            </w:r>
            <w:r w:rsidR="00877BB5" w:rsidRPr="00E949BE">
              <w:rPr>
                <w:rFonts w:ascii="Arial" w:hAnsi="Arial" w:cs="Arial"/>
                <w:b/>
                <w:sz w:val="28"/>
                <w:szCs w:val="28"/>
              </w:rPr>
              <w:t xml:space="preserve">orthern </w:t>
            </w:r>
            <w:r w:rsidRPr="00E949BE">
              <w:rPr>
                <w:rFonts w:ascii="Arial" w:hAnsi="Arial" w:cs="Arial"/>
                <w:b/>
                <w:sz w:val="28"/>
                <w:szCs w:val="28"/>
              </w:rPr>
              <w:t>I</w:t>
            </w:r>
            <w:r w:rsidR="00877BB5" w:rsidRPr="00E949BE">
              <w:rPr>
                <w:rFonts w:ascii="Arial" w:hAnsi="Arial" w:cs="Arial"/>
                <w:b/>
                <w:sz w:val="28"/>
                <w:szCs w:val="28"/>
              </w:rPr>
              <w:t>reland</w:t>
            </w:r>
            <w:r w:rsidR="00F4058D">
              <w:rPr>
                <w:rFonts w:ascii="Arial" w:hAnsi="Arial" w:cs="Arial"/>
                <w:b/>
                <w:sz w:val="28"/>
                <w:szCs w:val="28"/>
              </w:rPr>
              <w:t xml:space="preserve"> Departments: </w:t>
            </w:r>
            <w:r w:rsidR="00CB4B1E">
              <w:rPr>
                <w:rFonts w:ascii="Arial" w:hAnsi="Arial" w:cs="Arial"/>
                <w:b/>
                <w:sz w:val="28"/>
                <w:szCs w:val="28"/>
              </w:rPr>
              <w:t xml:space="preserve">1-11 </w:t>
            </w:r>
            <w:r w:rsidR="00F65322">
              <w:rPr>
                <w:rFonts w:ascii="Arial" w:hAnsi="Arial" w:cs="Arial"/>
                <w:b/>
                <w:sz w:val="28"/>
                <w:szCs w:val="28"/>
              </w:rPr>
              <w:t>January</w:t>
            </w:r>
            <w:r w:rsidR="00726A6C">
              <w:rPr>
                <w:rFonts w:ascii="Arial" w:hAnsi="Arial" w:cs="Arial"/>
                <w:b/>
                <w:sz w:val="28"/>
                <w:szCs w:val="28"/>
              </w:rPr>
              <w:t xml:space="preserve"> </w:t>
            </w:r>
            <w:r w:rsidR="00B23EAB">
              <w:rPr>
                <w:rFonts w:ascii="Arial" w:hAnsi="Arial" w:cs="Arial"/>
                <w:b/>
                <w:sz w:val="28"/>
                <w:szCs w:val="28"/>
              </w:rPr>
              <w:t>2020</w:t>
            </w:r>
            <w:r w:rsidRPr="00E949BE">
              <w:rPr>
                <w:rFonts w:ascii="Arial" w:hAnsi="Arial" w:cs="Arial"/>
                <w:b/>
                <w:sz w:val="28"/>
                <w:szCs w:val="28"/>
              </w:rPr>
              <w:t xml:space="preserve"> </w:t>
            </w:r>
            <w:bookmarkStart w:id="0" w:name="_GoBack"/>
            <w:bookmarkEnd w:id="0"/>
          </w:p>
          <w:p w14:paraId="26776A18" w14:textId="77777777" w:rsidR="0029710F" w:rsidRPr="00E949BE" w:rsidRDefault="0029710F" w:rsidP="00BF1BB1">
            <w:pPr>
              <w:ind w:left="0" w:firstLine="0"/>
              <w:rPr>
                <w:rFonts w:ascii="Arial" w:hAnsi="Arial" w:cs="Arial"/>
                <w:b/>
              </w:rPr>
            </w:pPr>
          </w:p>
        </w:tc>
      </w:tr>
      <w:tr w:rsidR="00FB2F61" w:rsidRPr="00E949BE" w14:paraId="291A34B3" w14:textId="77777777" w:rsidTr="00702259">
        <w:trPr>
          <w:trHeight w:val="610"/>
        </w:trPr>
        <w:tc>
          <w:tcPr>
            <w:tcW w:w="1985" w:type="dxa"/>
            <w:hideMark/>
          </w:tcPr>
          <w:p w14:paraId="52D85175" w14:textId="77777777" w:rsidR="001F58EB" w:rsidRPr="00E949BE" w:rsidRDefault="0029710F" w:rsidP="0029710F">
            <w:pPr>
              <w:rPr>
                <w:rFonts w:ascii="Arial" w:hAnsi="Arial" w:cs="Arial"/>
                <w:b/>
              </w:rPr>
            </w:pPr>
            <w:r w:rsidRPr="00E949BE">
              <w:rPr>
                <w:rFonts w:ascii="Arial" w:hAnsi="Arial" w:cs="Arial"/>
                <w:b/>
              </w:rPr>
              <w:t>Department</w:t>
            </w:r>
          </w:p>
        </w:tc>
        <w:tc>
          <w:tcPr>
            <w:tcW w:w="7041" w:type="dxa"/>
            <w:hideMark/>
          </w:tcPr>
          <w:p w14:paraId="3DB56F97" w14:textId="77777777" w:rsidR="0029710F" w:rsidRDefault="008E7721" w:rsidP="00D82650">
            <w:pPr>
              <w:ind w:left="34" w:firstLine="0"/>
              <w:rPr>
                <w:rFonts w:ascii="Arial" w:hAnsi="Arial" w:cs="Arial"/>
                <w:b/>
              </w:rPr>
            </w:pPr>
            <w:r w:rsidRPr="00E949BE">
              <w:rPr>
                <w:rFonts w:ascii="Arial" w:hAnsi="Arial" w:cs="Arial"/>
                <w:b/>
              </w:rPr>
              <w:t>Description</w:t>
            </w:r>
            <w:r w:rsidR="009C41E3" w:rsidRPr="00E949BE">
              <w:rPr>
                <w:rFonts w:ascii="Arial" w:hAnsi="Arial" w:cs="Arial"/>
                <w:b/>
              </w:rPr>
              <w:t xml:space="preserve"> </w:t>
            </w:r>
          </w:p>
          <w:p w14:paraId="4FB9E1D9" w14:textId="2ED3634B" w:rsidR="00BF1BB1" w:rsidRPr="00E949BE" w:rsidRDefault="00BF1BB1" w:rsidP="00BF1BB1">
            <w:pPr>
              <w:ind w:left="0" w:firstLine="0"/>
              <w:rPr>
                <w:rFonts w:ascii="Arial" w:hAnsi="Arial" w:cs="Arial"/>
                <w:b/>
              </w:rPr>
            </w:pPr>
          </w:p>
        </w:tc>
      </w:tr>
      <w:tr w:rsidR="00BF1BB1" w:rsidRPr="00E949BE" w14:paraId="2F654F63" w14:textId="77777777" w:rsidTr="00702259">
        <w:trPr>
          <w:trHeight w:val="2056"/>
        </w:trPr>
        <w:tc>
          <w:tcPr>
            <w:tcW w:w="1985" w:type="dxa"/>
          </w:tcPr>
          <w:p w14:paraId="13D687DE" w14:textId="77777777" w:rsidR="00BF1BB1" w:rsidRPr="00175EDA" w:rsidRDefault="00BF1BB1" w:rsidP="00175EDA">
            <w:pPr>
              <w:ind w:left="0" w:firstLine="0"/>
              <w:jc w:val="left"/>
              <w:rPr>
                <w:rFonts w:ascii="Arial" w:hAnsi="Arial" w:cs="Arial"/>
                <w:b/>
              </w:rPr>
            </w:pPr>
            <w:r w:rsidRPr="00175EDA">
              <w:rPr>
                <w:rFonts w:ascii="Arial" w:hAnsi="Arial" w:cs="Arial"/>
                <w:b/>
              </w:rPr>
              <w:t xml:space="preserve">Department </w:t>
            </w:r>
          </w:p>
          <w:p w14:paraId="2C19BDE8" w14:textId="0C49CECD" w:rsidR="00BF1BB1" w:rsidRPr="00BF1BB1" w:rsidRDefault="00BF1BB1" w:rsidP="00D42DCA">
            <w:pPr>
              <w:ind w:left="0" w:firstLine="0"/>
              <w:jc w:val="left"/>
              <w:rPr>
                <w:rFonts w:ascii="Arial" w:hAnsi="Arial" w:cs="Arial"/>
                <w:b/>
              </w:rPr>
            </w:pPr>
            <w:r w:rsidRPr="00175EDA">
              <w:rPr>
                <w:rFonts w:ascii="Arial" w:hAnsi="Arial" w:cs="Arial"/>
                <w:b/>
              </w:rPr>
              <w:t>of Agriculture, Environment and Rural Affairs</w:t>
            </w:r>
            <w:r>
              <w:rPr>
                <w:rFonts w:ascii="Arial" w:hAnsi="Arial" w:cs="Arial"/>
                <w:b/>
              </w:rPr>
              <w:t xml:space="preserve"> </w:t>
            </w:r>
          </w:p>
        </w:tc>
        <w:tc>
          <w:tcPr>
            <w:tcW w:w="7041" w:type="dxa"/>
          </w:tcPr>
          <w:p w14:paraId="72973F53" w14:textId="2AFDC4D7" w:rsidR="00BF1BB1" w:rsidRPr="00BF1BB1" w:rsidRDefault="003C2784" w:rsidP="003C2784">
            <w:pPr>
              <w:ind w:left="0" w:firstLine="0"/>
              <w:rPr>
                <w:rFonts w:ascii="Arial" w:hAnsi="Arial" w:cs="Arial"/>
                <w:color w:val="0070C0"/>
              </w:rPr>
            </w:pPr>
            <w:r w:rsidRPr="003C2784">
              <w:rPr>
                <w:rFonts w:ascii="Arial" w:hAnsi="Arial" w:cs="Arial"/>
              </w:rPr>
              <w:t>A decision was taken to amend the Code of Practice (COP) and Terms of Reference (TOR) for the UK Expert Committee on Pesticides (ECP).  Following the UK’s exit from the EU, the amendments will enable the ECP to carry out a range of functions currently undertaken by the European Food Safety Authority.</w:t>
            </w:r>
          </w:p>
        </w:tc>
      </w:tr>
      <w:tr w:rsidR="00F2500F" w:rsidRPr="00E949BE" w14:paraId="791B2D06" w14:textId="77777777" w:rsidTr="00702259">
        <w:trPr>
          <w:trHeight w:val="699"/>
        </w:trPr>
        <w:tc>
          <w:tcPr>
            <w:tcW w:w="1985" w:type="dxa"/>
          </w:tcPr>
          <w:p w14:paraId="3A504548" w14:textId="77777777" w:rsidR="00F2500F" w:rsidRPr="003C2784" w:rsidRDefault="00F2500F" w:rsidP="00175EDA">
            <w:pPr>
              <w:ind w:left="0" w:firstLine="0"/>
              <w:jc w:val="left"/>
              <w:rPr>
                <w:rFonts w:ascii="Arial" w:hAnsi="Arial" w:cs="Arial"/>
                <w:b/>
              </w:rPr>
            </w:pPr>
          </w:p>
        </w:tc>
        <w:tc>
          <w:tcPr>
            <w:tcW w:w="7041" w:type="dxa"/>
          </w:tcPr>
          <w:p w14:paraId="347EA20A" w14:textId="776E9D32" w:rsidR="00F2500F" w:rsidRPr="003C2784" w:rsidRDefault="003C2784" w:rsidP="003C2784">
            <w:pPr>
              <w:ind w:left="0" w:firstLine="0"/>
              <w:rPr>
                <w:rFonts w:ascii="Arial" w:hAnsi="Arial" w:cs="Arial"/>
              </w:rPr>
            </w:pPr>
            <w:r w:rsidRPr="003C2784">
              <w:rPr>
                <w:rFonts w:ascii="Arial" w:hAnsi="Arial" w:cs="Arial"/>
              </w:rPr>
              <w:t xml:space="preserve">A decision was taken that the arrangements for 2020 Common Agriculture Policy (CAP) Pillar 1 Direct Payments will remain the </w:t>
            </w:r>
            <w:r w:rsidRPr="003C2784">
              <w:rPr>
                <w:rFonts w:ascii="Arial" w:hAnsi="Arial" w:cs="Arial"/>
              </w:rPr>
              <w:lastRenderedPageBreak/>
              <w:t>same as 2019 except where changes are required as a result of EU Exit.</w:t>
            </w:r>
          </w:p>
        </w:tc>
      </w:tr>
      <w:tr w:rsidR="00674749" w:rsidRPr="00E949BE" w14:paraId="07741C58" w14:textId="77777777" w:rsidTr="00702259">
        <w:tc>
          <w:tcPr>
            <w:tcW w:w="1985" w:type="dxa"/>
          </w:tcPr>
          <w:p w14:paraId="0988D0E0" w14:textId="269A660D" w:rsidR="006E14E4" w:rsidRPr="00E949BE" w:rsidRDefault="00674749" w:rsidP="00674749">
            <w:pPr>
              <w:ind w:left="0" w:firstLine="0"/>
              <w:jc w:val="left"/>
              <w:rPr>
                <w:rFonts w:ascii="Arial" w:hAnsi="Arial" w:cs="Arial"/>
                <w:b/>
              </w:rPr>
            </w:pPr>
            <w:r>
              <w:rPr>
                <w:rFonts w:ascii="Arial" w:hAnsi="Arial" w:cs="Arial"/>
                <w:b/>
              </w:rPr>
              <w:lastRenderedPageBreak/>
              <w:t>Department for Communities</w:t>
            </w:r>
          </w:p>
        </w:tc>
        <w:tc>
          <w:tcPr>
            <w:tcW w:w="7041" w:type="dxa"/>
          </w:tcPr>
          <w:p w14:paraId="758CDDFD" w14:textId="2130EA33" w:rsidR="00831FB1" w:rsidRPr="00831FB1" w:rsidRDefault="00831FB1" w:rsidP="000A6EBA">
            <w:pPr>
              <w:ind w:left="0" w:firstLine="0"/>
              <w:contextualSpacing/>
              <w:rPr>
                <w:rFonts w:ascii="Arial" w:eastAsiaTheme="minorEastAsia" w:hAnsi="Arial" w:cs="Arial"/>
                <w:lang w:eastAsia="en-GB"/>
              </w:rPr>
            </w:pPr>
            <w:r>
              <w:rPr>
                <w:rFonts w:ascii="Arial" w:eastAsiaTheme="minorEastAsia" w:hAnsi="Arial" w:cs="Arial"/>
                <w:lang w:eastAsia="en-GB"/>
              </w:rPr>
              <w:t>Decisions were taken to make the following public appointments to ensure the maintenance of sustainable and efficient public services:</w:t>
            </w:r>
          </w:p>
          <w:p w14:paraId="3A1CE520" w14:textId="6EA1A676" w:rsidR="00831FB1" w:rsidRPr="00831FB1" w:rsidRDefault="00831FB1" w:rsidP="000A6EBA">
            <w:pPr>
              <w:pStyle w:val="ListParagraph"/>
              <w:numPr>
                <w:ilvl w:val="0"/>
                <w:numId w:val="29"/>
              </w:numPr>
              <w:spacing w:line="360" w:lineRule="auto"/>
              <w:ind w:left="737"/>
              <w:rPr>
                <w:rFonts w:ascii="Arial" w:hAnsi="Arial" w:cs="Arial"/>
              </w:rPr>
            </w:pPr>
            <w:r w:rsidRPr="00831FB1">
              <w:rPr>
                <w:rFonts w:ascii="Arial" w:hAnsi="Arial" w:cs="Arial"/>
              </w:rPr>
              <w:t>To extend the terms of appointment of two members of the Board of the NI Museums Council from 1 January 2020 until 30 June 2020;</w:t>
            </w:r>
          </w:p>
          <w:p w14:paraId="6030C01E" w14:textId="77CA7F36" w:rsidR="00831FB1" w:rsidRPr="00831FB1" w:rsidRDefault="00831FB1" w:rsidP="000A6EBA">
            <w:pPr>
              <w:pStyle w:val="ListParagraph"/>
              <w:numPr>
                <w:ilvl w:val="0"/>
                <w:numId w:val="29"/>
              </w:numPr>
              <w:spacing w:line="360" w:lineRule="auto"/>
              <w:ind w:left="737"/>
              <w:rPr>
                <w:rFonts w:ascii="Arial" w:hAnsi="Arial" w:cs="Arial"/>
              </w:rPr>
            </w:pPr>
            <w:r w:rsidRPr="00831FB1">
              <w:rPr>
                <w:rFonts w:ascii="Arial" w:hAnsi="Arial" w:cs="Arial"/>
              </w:rPr>
              <w:t>To extend the appointments of two Commissioners to the Board of the Charity Commission for Northern Ireland for a period of six months from 1 March 2020.</w:t>
            </w:r>
          </w:p>
          <w:p w14:paraId="49471943" w14:textId="77777777" w:rsidR="00831FB1" w:rsidRPr="00831FB1" w:rsidRDefault="00831FB1" w:rsidP="000A6EBA">
            <w:pPr>
              <w:pStyle w:val="ListParagraph"/>
              <w:numPr>
                <w:ilvl w:val="0"/>
                <w:numId w:val="29"/>
              </w:numPr>
              <w:spacing w:line="360" w:lineRule="auto"/>
              <w:ind w:left="737"/>
              <w:rPr>
                <w:rFonts w:ascii="Arial" w:hAnsi="Arial" w:cs="Arial"/>
              </w:rPr>
            </w:pPr>
            <w:r w:rsidRPr="00831FB1">
              <w:rPr>
                <w:rFonts w:ascii="Arial" w:hAnsi="Arial" w:cs="Arial"/>
              </w:rPr>
              <w:t>To appoint one Councillor Member to the Board of Libraries NI from 1 February 2020 until the date of the next Council elections.</w:t>
            </w:r>
          </w:p>
          <w:p w14:paraId="60C1D779" w14:textId="47488224" w:rsidR="00674749" w:rsidRPr="000B2047" w:rsidRDefault="00674749" w:rsidP="0087165A">
            <w:pPr>
              <w:ind w:left="0" w:firstLine="0"/>
              <w:rPr>
                <w:rFonts w:ascii="Arial" w:hAnsi="Arial" w:cs="Arial"/>
              </w:rPr>
            </w:pPr>
          </w:p>
        </w:tc>
      </w:tr>
      <w:tr w:rsidR="00F85D62" w:rsidRPr="00E949BE" w14:paraId="454415A4" w14:textId="77777777" w:rsidTr="00702259">
        <w:tc>
          <w:tcPr>
            <w:tcW w:w="1985" w:type="dxa"/>
          </w:tcPr>
          <w:p w14:paraId="20C1FAC8" w14:textId="77777777" w:rsidR="00F85D62" w:rsidRDefault="00F85D62" w:rsidP="00674749">
            <w:pPr>
              <w:ind w:left="0" w:firstLine="0"/>
              <w:jc w:val="left"/>
              <w:rPr>
                <w:rFonts w:ascii="Arial" w:hAnsi="Arial" w:cs="Arial"/>
                <w:b/>
              </w:rPr>
            </w:pPr>
          </w:p>
        </w:tc>
        <w:tc>
          <w:tcPr>
            <w:tcW w:w="7041" w:type="dxa"/>
          </w:tcPr>
          <w:p w14:paraId="198F7A0D" w14:textId="77777777" w:rsidR="00F85D62" w:rsidRDefault="00831FB1" w:rsidP="00831FB1">
            <w:pPr>
              <w:ind w:left="0" w:firstLine="0"/>
              <w:rPr>
                <w:rFonts w:ascii="Arial" w:hAnsi="Arial" w:cs="Arial"/>
                <w:lang w:eastAsia="en-GB"/>
              </w:rPr>
            </w:pPr>
            <w:r>
              <w:rPr>
                <w:rFonts w:ascii="Arial" w:hAnsi="Arial" w:cs="Arial"/>
                <w:lang w:eastAsia="en-GB"/>
              </w:rPr>
              <w:t>A decision was taken to endorse payment of legacy Special Needs Management Allowance (SNMA) funding to nineteen registered Residential Care Homes to ensure the maintenance of sustainable and efficient public services.</w:t>
            </w:r>
          </w:p>
          <w:p w14:paraId="4CBE8D6B" w14:textId="5EA39A17" w:rsidR="00831FB1" w:rsidRPr="000B2047" w:rsidRDefault="00831FB1" w:rsidP="00831FB1">
            <w:pPr>
              <w:spacing w:line="276" w:lineRule="auto"/>
              <w:ind w:left="0" w:firstLine="0"/>
              <w:rPr>
                <w:rFonts w:ascii="Arial" w:hAnsi="Arial" w:cs="Arial"/>
                <w:lang w:eastAsia="en-GB"/>
              </w:rPr>
            </w:pPr>
          </w:p>
        </w:tc>
      </w:tr>
      <w:tr w:rsidR="00F85D62" w:rsidRPr="00E949BE" w14:paraId="12B14111" w14:textId="77777777" w:rsidTr="00702259">
        <w:tc>
          <w:tcPr>
            <w:tcW w:w="1985" w:type="dxa"/>
          </w:tcPr>
          <w:p w14:paraId="6C230C42" w14:textId="216F043B" w:rsidR="00F85D62" w:rsidRDefault="009650EB" w:rsidP="00674749">
            <w:pPr>
              <w:ind w:left="0" w:firstLine="0"/>
              <w:jc w:val="left"/>
              <w:rPr>
                <w:rFonts w:ascii="Arial" w:hAnsi="Arial" w:cs="Arial"/>
                <w:b/>
              </w:rPr>
            </w:pPr>
            <w:r>
              <w:rPr>
                <w:rFonts w:ascii="Arial" w:hAnsi="Arial" w:cs="Arial"/>
                <w:b/>
              </w:rPr>
              <w:t>Department for the Economy</w:t>
            </w:r>
          </w:p>
        </w:tc>
        <w:tc>
          <w:tcPr>
            <w:tcW w:w="7041" w:type="dxa"/>
          </w:tcPr>
          <w:p w14:paraId="1F8C6F87" w14:textId="77777777" w:rsidR="009650EB" w:rsidRDefault="009650EB" w:rsidP="000A6EBA">
            <w:pPr>
              <w:rPr>
                <w:rFonts w:ascii="Arial" w:hAnsi="Arial" w:cs="Arial"/>
              </w:rPr>
            </w:pPr>
            <w:r>
              <w:rPr>
                <w:rFonts w:ascii="Arial" w:hAnsi="Arial" w:cs="Arial"/>
              </w:rPr>
              <w:t>Decisions were</w:t>
            </w:r>
            <w:r w:rsidRPr="00CD79FD">
              <w:rPr>
                <w:rFonts w:ascii="Arial" w:hAnsi="Arial" w:cs="Arial"/>
              </w:rPr>
              <w:t xml:space="preserve"> taken to make the following Statutory Rules: </w:t>
            </w:r>
          </w:p>
          <w:p w14:paraId="699F4C75" w14:textId="77777777" w:rsidR="009650EB" w:rsidRPr="008C0BCC" w:rsidRDefault="009650EB" w:rsidP="000A6EBA">
            <w:pPr>
              <w:pStyle w:val="ListParagraph"/>
              <w:numPr>
                <w:ilvl w:val="0"/>
                <w:numId w:val="28"/>
              </w:numPr>
              <w:spacing w:line="360" w:lineRule="auto"/>
              <w:contextualSpacing/>
              <w:jc w:val="both"/>
              <w:rPr>
                <w:rFonts w:ascii="Arial" w:hAnsi="Arial" w:cs="Arial"/>
              </w:rPr>
            </w:pPr>
            <w:r w:rsidRPr="008C0BCC">
              <w:rPr>
                <w:rFonts w:ascii="Arial" w:hAnsi="Arial" w:cs="Arial"/>
              </w:rPr>
              <w:t xml:space="preserve">The Industrial Tribunals and Fair Employment Tribunal (Constitution and Rules of Procedure) Regulations (Northern Ireland) 2019. </w:t>
            </w:r>
          </w:p>
          <w:p w14:paraId="1F450A1C" w14:textId="2FE3F4BD" w:rsidR="009650EB" w:rsidRPr="00331AE0" w:rsidRDefault="009650EB" w:rsidP="000A6EBA">
            <w:pPr>
              <w:pStyle w:val="Default"/>
              <w:numPr>
                <w:ilvl w:val="0"/>
                <w:numId w:val="28"/>
              </w:numPr>
              <w:spacing w:line="360" w:lineRule="auto"/>
              <w:jc w:val="both"/>
            </w:pPr>
            <w:r w:rsidRPr="008C0BCC">
              <w:t>The Employment Act (Northern Ireland) 2016 (Commencement No.3) Order (Northern Ireland) 2019</w:t>
            </w:r>
            <w:r w:rsidR="00A80825">
              <w:t>, which</w:t>
            </w:r>
            <w:r w:rsidRPr="00CD79FD">
              <w:t xml:space="preserve"> i</w:t>
            </w:r>
            <w:r>
              <w:t>s not subject to any procedure;</w:t>
            </w:r>
          </w:p>
          <w:p w14:paraId="36A19356" w14:textId="77777777" w:rsidR="009650EB" w:rsidRPr="00CD79FD" w:rsidRDefault="009650EB" w:rsidP="000A6EBA">
            <w:pPr>
              <w:pStyle w:val="Default"/>
              <w:numPr>
                <w:ilvl w:val="0"/>
                <w:numId w:val="28"/>
              </w:numPr>
              <w:spacing w:line="360" w:lineRule="auto"/>
              <w:jc w:val="both"/>
            </w:pPr>
            <w:r w:rsidRPr="00CD79FD">
              <w:t>The Industrial Tribunals and Fair Employment Tribunal (Early Conciliation: Exemption and Rules of Procedure) Regulations (Northern Ireland) 2019</w:t>
            </w:r>
            <w:r>
              <w:t>, subject to negative resolution</w:t>
            </w:r>
            <w:r w:rsidRPr="00CD79FD">
              <w:t xml:space="preserve">; and </w:t>
            </w:r>
          </w:p>
          <w:p w14:paraId="084C6A72" w14:textId="77777777" w:rsidR="00F85D62" w:rsidRDefault="009650EB" w:rsidP="000A6EBA">
            <w:pPr>
              <w:pStyle w:val="Default"/>
              <w:numPr>
                <w:ilvl w:val="0"/>
                <w:numId w:val="28"/>
              </w:numPr>
              <w:spacing w:line="360" w:lineRule="auto"/>
              <w:jc w:val="both"/>
            </w:pPr>
            <w:r w:rsidRPr="00CD79FD">
              <w:lastRenderedPageBreak/>
              <w:t>The Industrial Tribunals (1996 Order) (Application of Conciliation Provisions)</w:t>
            </w:r>
            <w:r>
              <w:t xml:space="preserve"> Order (Northern Ireland) 2019, subject to negative resolution.</w:t>
            </w:r>
          </w:p>
          <w:p w14:paraId="179A3A0A" w14:textId="5B3ABF8B" w:rsidR="001F2008" w:rsidRPr="009650EB" w:rsidRDefault="001F2008" w:rsidP="001F2008">
            <w:pPr>
              <w:pStyle w:val="Default"/>
              <w:spacing w:line="360" w:lineRule="auto"/>
              <w:ind w:left="720"/>
              <w:jc w:val="both"/>
            </w:pPr>
          </w:p>
        </w:tc>
      </w:tr>
      <w:tr w:rsidR="009650EB" w:rsidRPr="00E949BE" w14:paraId="7208A495" w14:textId="77777777" w:rsidTr="00702259">
        <w:tc>
          <w:tcPr>
            <w:tcW w:w="1985" w:type="dxa"/>
          </w:tcPr>
          <w:p w14:paraId="42B00451" w14:textId="77777777" w:rsidR="009650EB" w:rsidRDefault="009650EB" w:rsidP="00674749">
            <w:pPr>
              <w:ind w:left="0" w:firstLine="0"/>
              <w:jc w:val="left"/>
              <w:rPr>
                <w:rFonts w:ascii="Arial" w:hAnsi="Arial" w:cs="Arial"/>
                <w:b/>
              </w:rPr>
            </w:pPr>
          </w:p>
        </w:tc>
        <w:tc>
          <w:tcPr>
            <w:tcW w:w="7041" w:type="dxa"/>
          </w:tcPr>
          <w:p w14:paraId="24501C8A" w14:textId="77777777" w:rsidR="001F2008" w:rsidRDefault="009650EB" w:rsidP="0087165A">
            <w:pPr>
              <w:ind w:left="0" w:firstLine="0"/>
              <w:rPr>
                <w:rFonts w:ascii="Arial" w:hAnsi="Arial" w:cs="Arial"/>
              </w:rPr>
            </w:pPr>
            <w:r w:rsidRPr="009650EB">
              <w:rPr>
                <w:rFonts w:ascii="Arial" w:hAnsi="Arial" w:cs="Arial"/>
              </w:rPr>
              <w:t>A decision was taken to agree to the making of the Mines (Amendment) Regulations (Northern Ireland 2020) and for notifying stakeholders of new workplace exposure limits in Directive (EU) 2017/2398.</w:t>
            </w:r>
          </w:p>
          <w:p w14:paraId="75A264F9" w14:textId="63A74D5F" w:rsidR="001F2008" w:rsidRPr="000B2047" w:rsidRDefault="001F2008" w:rsidP="0087165A">
            <w:pPr>
              <w:ind w:left="0" w:firstLine="0"/>
              <w:rPr>
                <w:rFonts w:ascii="Arial" w:hAnsi="Arial" w:cs="Arial"/>
              </w:rPr>
            </w:pPr>
          </w:p>
        </w:tc>
      </w:tr>
      <w:tr w:rsidR="009650EB" w:rsidRPr="00E949BE" w14:paraId="6453FD3C" w14:textId="77777777" w:rsidTr="00702259">
        <w:tc>
          <w:tcPr>
            <w:tcW w:w="1985" w:type="dxa"/>
          </w:tcPr>
          <w:p w14:paraId="4D8ADE5A" w14:textId="77777777" w:rsidR="009650EB" w:rsidRDefault="009650EB" w:rsidP="00674749">
            <w:pPr>
              <w:ind w:left="0" w:firstLine="0"/>
              <w:jc w:val="left"/>
              <w:rPr>
                <w:rFonts w:ascii="Arial" w:hAnsi="Arial" w:cs="Arial"/>
                <w:b/>
              </w:rPr>
            </w:pPr>
          </w:p>
        </w:tc>
        <w:tc>
          <w:tcPr>
            <w:tcW w:w="7041" w:type="dxa"/>
          </w:tcPr>
          <w:p w14:paraId="3063AA9B" w14:textId="3DCC4EEF" w:rsidR="009650EB" w:rsidRDefault="009650EB" w:rsidP="0087165A">
            <w:pPr>
              <w:ind w:left="0" w:firstLine="0"/>
              <w:rPr>
                <w:rFonts w:ascii="Arial" w:hAnsi="Arial" w:cs="Arial"/>
              </w:rPr>
            </w:pPr>
            <w:r w:rsidRPr="009650EB">
              <w:rPr>
                <w:rFonts w:ascii="Arial" w:hAnsi="Arial" w:cs="Arial"/>
              </w:rPr>
              <w:t xml:space="preserve">A decision was taken to </w:t>
            </w:r>
            <w:r w:rsidR="00B43B0A">
              <w:rPr>
                <w:rFonts w:ascii="Arial" w:hAnsi="Arial" w:cs="Arial"/>
              </w:rPr>
              <w:t xml:space="preserve">make </w:t>
            </w:r>
            <w:r w:rsidRPr="009650EB">
              <w:rPr>
                <w:rFonts w:ascii="Arial" w:hAnsi="Arial" w:cs="Arial"/>
              </w:rPr>
              <w:t>the Seafarers (Collective Redundancies, Information and Consultation and Insolvency Miscellaneous Amendments) Regulations (Northern Ireland) 2020.</w:t>
            </w:r>
          </w:p>
          <w:p w14:paraId="6380EEBF" w14:textId="51928675" w:rsidR="001F2008" w:rsidRPr="000B2047" w:rsidRDefault="001F2008" w:rsidP="0087165A">
            <w:pPr>
              <w:ind w:left="0" w:firstLine="0"/>
              <w:rPr>
                <w:rFonts w:ascii="Arial" w:hAnsi="Arial" w:cs="Arial"/>
              </w:rPr>
            </w:pPr>
          </w:p>
        </w:tc>
      </w:tr>
      <w:tr w:rsidR="009650EB" w:rsidRPr="00E949BE" w14:paraId="18DDE535" w14:textId="77777777" w:rsidTr="00702259">
        <w:tc>
          <w:tcPr>
            <w:tcW w:w="1985" w:type="dxa"/>
          </w:tcPr>
          <w:p w14:paraId="2C42CDA7" w14:textId="77777777" w:rsidR="009650EB" w:rsidRDefault="009650EB" w:rsidP="00674749">
            <w:pPr>
              <w:ind w:left="0" w:firstLine="0"/>
              <w:jc w:val="left"/>
              <w:rPr>
                <w:rFonts w:ascii="Arial" w:hAnsi="Arial" w:cs="Arial"/>
                <w:b/>
              </w:rPr>
            </w:pPr>
          </w:p>
        </w:tc>
        <w:tc>
          <w:tcPr>
            <w:tcW w:w="7041" w:type="dxa"/>
          </w:tcPr>
          <w:p w14:paraId="7A94D94B" w14:textId="61FCFCC4" w:rsidR="009650EB" w:rsidRDefault="009650EB" w:rsidP="00831FB1">
            <w:pPr>
              <w:ind w:left="0" w:firstLine="0"/>
              <w:rPr>
                <w:rFonts w:ascii="Arial" w:hAnsi="Arial" w:cs="Arial"/>
              </w:rPr>
            </w:pPr>
            <w:r w:rsidRPr="009650EB">
              <w:rPr>
                <w:rFonts w:ascii="Arial" w:hAnsi="Arial" w:cs="Arial"/>
              </w:rPr>
              <w:t xml:space="preserve">A decision was taken to have a public </w:t>
            </w:r>
            <w:r w:rsidR="00B43B0A">
              <w:rPr>
                <w:rFonts w:ascii="Arial" w:hAnsi="Arial" w:cs="Arial"/>
              </w:rPr>
              <w:t>C</w:t>
            </w:r>
            <w:r w:rsidRPr="009650EB">
              <w:rPr>
                <w:rFonts w:ascii="Arial" w:hAnsi="Arial" w:cs="Arial"/>
              </w:rPr>
              <w:t>all for Evidence to invite engagement on the initial planning stage for a new Energy Strategy for NI.</w:t>
            </w:r>
          </w:p>
          <w:p w14:paraId="19D8450E" w14:textId="0E96AC44" w:rsidR="001F2008" w:rsidRPr="000B2047" w:rsidRDefault="001F2008" w:rsidP="00831FB1">
            <w:pPr>
              <w:ind w:left="0" w:firstLine="0"/>
              <w:rPr>
                <w:rFonts w:ascii="Arial" w:hAnsi="Arial" w:cs="Arial"/>
              </w:rPr>
            </w:pPr>
          </w:p>
        </w:tc>
      </w:tr>
      <w:tr w:rsidR="009650EB" w:rsidRPr="00E949BE" w14:paraId="52167BC6" w14:textId="77777777" w:rsidTr="00702259">
        <w:tc>
          <w:tcPr>
            <w:tcW w:w="1985" w:type="dxa"/>
          </w:tcPr>
          <w:p w14:paraId="55B30418" w14:textId="77777777" w:rsidR="009650EB" w:rsidRDefault="009650EB" w:rsidP="00674749">
            <w:pPr>
              <w:ind w:left="0" w:firstLine="0"/>
              <w:jc w:val="left"/>
              <w:rPr>
                <w:rFonts w:ascii="Arial" w:hAnsi="Arial" w:cs="Arial"/>
                <w:b/>
              </w:rPr>
            </w:pPr>
          </w:p>
        </w:tc>
        <w:tc>
          <w:tcPr>
            <w:tcW w:w="7041" w:type="dxa"/>
          </w:tcPr>
          <w:p w14:paraId="3B60FC0C" w14:textId="77777777" w:rsidR="009650EB" w:rsidRDefault="009650EB" w:rsidP="00831FB1">
            <w:pPr>
              <w:ind w:left="0" w:firstLine="0"/>
              <w:rPr>
                <w:rFonts w:ascii="Arial" w:hAnsi="Arial" w:cs="Arial"/>
              </w:rPr>
            </w:pPr>
            <w:r w:rsidRPr="009650EB">
              <w:rPr>
                <w:rFonts w:ascii="Arial" w:hAnsi="Arial" w:cs="Arial"/>
              </w:rPr>
              <w:t>A decision was taken to engage external consultants for audit and accountability support for HMS Caroline.</w:t>
            </w:r>
          </w:p>
          <w:p w14:paraId="4FB0F0E6" w14:textId="2E90BFFF" w:rsidR="001F2008" w:rsidRPr="000B2047" w:rsidRDefault="001F2008" w:rsidP="00831FB1">
            <w:pPr>
              <w:ind w:left="0" w:firstLine="0"/>
              <w:rPr>
                <w:rFonts w:ascii="Arial" w:hAnsi="Arial" w:cs="Arial"/>
              </w:rPr>
            </w:pPr>
          </w:p>
        </w:tc>
      </w:tr>
      <w:tr w:rsidR="00B17A88" w:rsidRPr="00E949BE" w14:paraId="4267C99D" w14:textId="77777777" w:rsidTr="00702259">
        <w:tc>
          <w:tcPr>
            <w:tcW w:w="1985" w:type="dxa"/>
          </w:tcPr>
          <w:p w14:paraId="35483C9C" w14:textId="546A6338" w:rsidR="00B17A88" w:rsidRPr="00E949BE" w:rsidRDefault="00B17A88" w:rsidP="00B17A88">
            <w:pPr>
              <w:ind w:left="0" w:firstLine="0"/>
              <w:jc w:val="left"/>
              <w:rPr>
                <w:rFonts w:ascii="Arial" w:hAnsi="Arial" w:cs="Arial"/>
                <w:b/>
              </w:rPr>
            </w:pPr>
            <w:r>
              <w:rPr>
                <w:rFonts w:ascii="Arial" w:hAnsi="Arial" w:cs="Arial"/>
                <w:b/>
              </w:rPr>
              <w:t>Department of Education</w:t>
            </w:r>
          </w:p>
        </w:tc>
        <w:tc>
          <w:tcPr>
            <w:tcW w:w="7041" w:type="dxa"/>
          </w:tcPr>
          <w:p w14:paraId="227EFE35" w14:textId="77777777" w:rsidR="00B17A88" w:rsidRDefault="00831FB1" w:rsidP="00831FB1">
            <w:pPr>
              <w:ind w:left="0" w:firstLine="0"/>
              <w:rPr>
                <w:rFonts w:ascii="Arial" w:hAnsi="Arial" w:cs="Arial"/>
              </w:rPr>
            </w:pPr>
            <w:r w:rsidRPr="00512320">
              <w:rPr>
                <w:rFonts w:ascii="Arial" w:hAnsi="Arial" w:cs="Arial"/>
              </w:rPr>
              <w:t>Decisions were taken on 10 school Development Proposals in the period 2 January 2020 to 8 January 2020 of which 7 were approved, one approved with modification and two not approved.</w:t>
            </w:r>
          </w:p>
          <w:p w14:paraId="2F49EF22" w14:textId="5575C7CE" w:rsidR="00831FB1" w:rsidRDefault="00831FB1" w:rsidP="00831FB1">
            <w:pPr>
              <w:ind w:left="0" w:firstLine="0"/>
              <w:rPr>
                <w:rFonts w:ascii="Arial" w:hAnsi="Arial" w:cs="Arial"/>
              </w:rPr>
            </w:pPr>
          </w:p>
        </w:tc>
      </w:tr>
      <w:tr w:rsidR="00674749" w:rsidRPr="00E949BE" w14:paraId="1C5FD611" w14:textId="77777777" w:rsidTr="00702259">
        <w:tc>
          <w:tcPr>
            <w:tcW w:w="1985" w:type="dxa"/>
          </w:tcPr>
          <w:p w14:paraId="19BAE06F" w14:textId="43138535" w:rsidR="00674749" w:rsidRPr="00E949BE" w:rsidRDefault="00674749" w:rsidP="00674749">
            <w:pPr>
              <w:ind w:left="0" w:firstLine="0"/>
              <w:jc w:val="left"/>
              <w:rPr>
                <w:rFonts w:ascii="Arial" w:hAnsi="Arial" w:cs="Arial"/>
                <w:b/>
              </w:rPr>
            </w:pPr>
            <w:r w:rsidRPr="00E949BE">
              <w:rPr>
                <w:rFonts w:ascii="Arial" w:hAnsi="Arial" w:cs="Arial"/>
                <w:b/>
              </w:rPr>
              <w:t>Department of Health</w:t>
            </w:r>
          </w:p>
        </w:tc>
        <w:tc>
          <w:tcPr>
            <w:tcW w:w="7041" w:type="dxa"/>
          </w:tcPr>
          <w:p w14:paraId="78A6BF50" w14:textId="263FB1BB" w:rsidR="009952EC" w:rsidRDefault="00090935" w:rsidP="00090935">
            <w:pPr>
              <w:ind w:left="0" w:firstLine="0"/>
              <w:contextualSpacing/>
              <w:rPr>
                <w:rFonts w:ascii="Arial" w:hAnsi="Arial" w:cs="Arial"/>
              </w:rPr>
            </w:pPr>
            <w:r>
              <w:rPr>
                <w:rFonts w:ascii="Arial" w:hAnsi="Arial" w:cs="Arial"/>
              </w:rPr>
              <w:t>A decision was taken to proceed with a replacement Laboratory Information Management System (LIMS). LIMS perform a range of crucial functions enabling HSC Pathology services. These are considered service critical systems, whereby any compromise of system availability and accuracy of outputs could result in HSC being unable to support accurate and timely diagnosis for patients and users of its services.</w:t>
            </w:r>
          </w:p>
          <w:p w14:paraId="3140C204" w14:textId="54C82CCC" w:rsidR="00702259" w:rsidRPr="009952EC" w:rsidRDefault="00702259" w:rsidP="00831FB1">
            <w:pPr>
              <w:pStyle w:val="Title"/>
              <w:spacing w:after="0" w:line="360" w:lineRule="auto"/>
              <w:jc w:val="left"/>
              <w:rPr>
                <w:rFonts w:ascii="Arial" w:hAnsi="Arial" w:cs="Arial"/>
              </w:rPr>
            </w:pPr>
          </w:p>
        </w:tc>
      </w:tr>
      <w:tr w:rsidR="00123D1C" w:rsidRPr="00726A6C" w14:paraId="09FD99D1" w14:textId="77777777" w:rsidTr="00702259">
        <w:tc>
          <w:tcPr>
            <w:tcW w:w="1985" w:type="dxa"/>
          </w:tcPr>
          <w:p w14:paraId="74FB1410" w14:textId="77777777" w:rsidR="00123D1C" w:rsidRPr="00123D1C" w:rsidRDefault="00123D1C" w:rsidP="008E377C">
            <w:pPr>
              <w:ind w:left="0" w:firstLine="0"/>
              <w:rPr>
                <w:rFonts w:ascii="Arial" w:hAnsi="Arial" w:cs="Arial"/>
                <w:b/>
              </w:rPr>
            </w:pPr>
            <w:r w:rsidRPr="00123D1C">
              <w:rPr>
                <w:rFonts w:ascii="Arial" w:hAnsi="Arial" w:cs="Arial"/>
                <w:b/>
              </w:rPr>
              <w:lastRenderedPageBreak/>
              <w:t>Department of</w:t>
            </w:r>
          </w:p>
          <w:p w14:paraId="227B93BC" w14:textId="56F40581" w:rsidR="00123D1C" w:rsidRPr="00726A6C" w:rsidRDefault="00123D1C" w:rsidP="008E377C">
            <w:pPr>
              <w:ind w:firstLine="0"/>
              <w:rPr>
                <w:rFonts w:ascii="Arial" w:hAnsi="Arial" w:cs="Arial"/>
                <w:b/>
              </w:rPr>
            </w:pPr>
            <w:r w:rsidRPr="00123D1C">
              <w:rPr>
                <w:rFonts w:ascii="Arial" w:hAnsi="Arial" w:cs="Arial"/>
                <w:b/>
              </w:rPr>
              <w:t>Justice</w:t>
            </w:r>
          </w:p>
        </w:tc>
        <w:tc>
          <w:tcPr>
            <w:tcW w:w="7041" w:type="dxa"/>
          </w:tcPr>
          <w:p w14:paraId="79DF639E" w14:textId="31EEA6C5" w:rsidR="00123D1C" w:rsidRPr="008E377C" w:rsidRDefault="001F2008" w:rsidP="00831FB1">
            <w:pPr>
              <w:ind w:left="0" w:firstLine="0"/>
              <w:contextualSpacing/>
              <w:rPr>
                <w:rFonts w:ascii="Arial" w:hAnsi="Arial" w:cs="Arial"/>
              </w:rPr>
            </w:pPr>
            <w:r>
              <w:rPr>
                <w:rFonts w:ascii="Arial" w:hAnsi="Arial" w:cs="Arial"/>
              </w:rPr>
              <w:t>A decision was taken</w:t>
            </w:r>
            <w:r w:rsidRPr="001F2008">
              <w:rPr>
                <w:rFonts w:ascii="Arial" w:hAnsi="Arial" w:cs="Arial"/>
              </w:rPr>
              <w:t xml:space="preserve"> to make and sign the Judicial Pensions (Amendment) Regulations (Northern Ireland) 2020</w:t>
            </w:r>
            <w:r>
              <w:rPr>
                <w:rFonts w:ascii="Arial" w:hAnsi="Arial" w:cs="Arial"/>
              </w:rPr>
              <w:t>.</w:t>
            </w:r>
          </w:p>
        </w:tc>
      </w:tr>
    </w:tbl>
    <w:p w14:paraId="7BBB1744" w14:textId="29FA9947" w:rsidR="001D2DFE" w:rsidRDefault="001D2DFE" w:rsidP="00CD57A5">
      <w:pPr>
        <w:ind w:left="0" w:firstLine="0"/>
        <w:rPr>
          <w:rFonts w:ascii="Arial" w:hAnsi="Arial" w:cs="Arial"/>
          <w:b/>
        </w:rPr>
      </w:pPr>
    </w:p>
    <w:p w14:paraId="09040049" w14:textId="77777777" w:rsidR="00DC09CC" w:rsidRDefault="00DC09CC" w:rsidP="00CD57A5">
      <w:pPr>
        <w:ind w:left="0" w:firstLine="0"/>
        <w:rPr>
          <w:rFonts w:ascii="Arial" w:hAnsi="Arial" w:cs="Arial"/>
          <w:b/>
        </w:rPr>
      </w:pPr>
    </w:p>
    <w:p w14:paraId="72F16C72" w14:textId="07490627" w:rsidR="00093AE9" w:rsidRPr="001D2DFE" w:rsidRDefault="00C761D6" w:rsidP="00CD57A5">
      <w:pPr>
        <w:ind w:left="0" w:firstLine="0"/>
        <w:rPr>
          <w:rFonts w:ascii="Arial" w:hAnsi="Arial" w:cs="Arial"/>
          <w:b/>
          <w:sz w:val="28"/>
          <w:szCs w:val="28"/>
        </w:rPr>
      </w:pPr>
      <w:r w:rsidRPr="00D96432">
        <w:rPr>
          <w:rFonts w:ascii="Arial" w:hAnsi="Arial" w:cs="Arial"/>
          <w:b/>
        </w:rPr>
        <w:t>THE EXECUTIVE OFFICE</w:t>
      </w:r>
    </w:p>
    <w:p w14:paraId="25202BD1" w14:textId="0C01466C" w:rsidR="00EB54DA" w:rsidRPr="00D96432" w:rsidRDefault="00702259" w:rsidP="00CD57A5">
      <w:pPr>
        <w:ind w:left="0" w:firstLine="0"/>
        <w:rPr>
          <w:rFonts w:ascii="Arial" w:hAnsi="Arial" w:cs="Arial"/>
          <w:b/>
        </w:rPr>
      </w:pPr>
      <w:r>
        <w:rPr>
          <w:rFonts w:ascii="Arial" w:hAnsi="Arial" w:cs="Arial"/>
          <w:b/>
        </w:rPr>
        <w:t>FEBRUARY</w:t>
      </w:r>
      <w:r w:rsidR="00BF1BB1">
        <w:rPr>
          <w:rFonts w:ascii="Arial" w:hAnsi="Arial" w:cs="Arial"/>
          <w:b/>
        </w:rPr>
        <w:t xml:space="preserve"> 2020</w:t>
      </w:r>
    </w:p>
    <w:sectPr w:rsidR="00EB54DA" w:rsidRPr="00D96432">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836D" w16cid:durableId="1FC48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E521" w14:textId="77777777" w:rsidR="00120FC7" w:rsidRDefault="00120FC7" w:rsidP="005348C6">
      <w:pPr>
        <w:spacing w:line="240" w:lineRule="auto"/>
      </w:pPr>
      <w:r>
        <w:separator/>
      </w:r>
    </w:p>
  </w:endnote>
  <w:endnote w:type="continuationSeparator" w:id="0">
    <w:p w14:paraId="0AFB64E9" w14:textId="77777777" w:rsidR="00120FC7" w:rsidRDefault="00120FC7" w:rsidP="0053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EFAB2" w14:textId="77777777" w:rsidR="00120FC7" w:rsidRDefault="00120FC7" w:rsidP="005348C6">
      <w:pPr>
        <w:spacing w:line="240" w:lineRule="auto"/>
      </w:pPr>
      <w:r>
        <w:separator/>
      </w:r>
    </w:p>
  </w:footnote>
  <w:footnote w:type="continuationSeparator" w:id="0">
    <w:p w14:paraId="1C785CD7" w14:textId="77777777" w:rsidR="00120FC7" w:rsidRDefault="00120FC7" w:rsidP="00534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7C7E" w14:textId="7D51049C" w:rsidR="005348C6" w:rsidRPr="00845664" w:rsidRDefault="005348C6" w:rsidP="005348C6">
    <w:pPr>
      <w:pStyle w:val="Header"/>
      <w:jc w:val="center"/>
      <w:rPr>
        <w:color w:val="FF0000"/>
        <w:sz w:val="16"/>
        <w:szCs w:val="16"/>
      </w:rPr>
    </w:pPr>
    <w:r w:rsidRPr="00845664">
      <w:rPr>
        <w:color w:val="FF0000"/>
        <w:sz w:val="16"/>
        <w:szCs w:val="16"/>
      </w:rPr>
      <w:t xml:space="preserve">Summary of Decisions Taken in </w:t>
    </w:r>
    <w:r w:rsidR="0067145E">
      <w:rPr>
        <w:color w:val="FF0000"/>
        <w:sz w:val="16"/>
        <w:szCs w:val="16"/>
      </w:rPr>
      <w:t>January</w:t>
    </w:r>
    <w:r w:rsidR="005B0A3D">
      <w:rPr>
        <w:color w:val="FF0000"/>
        <w:sz w:val="16"/>
        <w:szCs w:val="16"/>
      </w:rPr>
      <w:t xml:space="preserve"> </w:t>
    </w:r>
    <w:r w:rsidR="00B23EAB">
      <w:rPr>
        <w:color w:val="FF0000"/>
        <w:sz w:val="16"/>
        <w:szCs w:val="16"/>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FA7"/>
    <w:multiLevelType w:val="hybridMultilevel"/>
    <w:tmpl w:val="B4108266"/>
    <w:lvl w:ilvl="0" w:tplc="18C21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19E"/>
    <w:multiLevelType w:val="multilevel"/>
    <w:tmpl w:val="4F5284F8"/>
    <w:lvl w:ilvl="0">
      <w:start w:val="1"/>
      <w:numFmt w:val="decimal"/>
      <w:lvlText w:val="%1."/>
      <w:lvlJc w:val="left"/>
      <w:pPr>
        <w:ind w:left="502" w:hanging="360"/>
      </w:pPr>
      <w:rPr>
        <w:sz w:val="24"/>
        <w:szCs w:val="24"/>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2" w15:restartNumberingAfterBreak="0">
    <w:nsid w:val="08FA088C"/>
    <w:multiLevelType w:val="hybridMultilevel"/>
    <w:tmpl w:val="277ACB4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 w15:restartNumberingAfterBreak="0">
    <w:nsid w:val="095E7CB7"/>
    <w:multiLevelType w:val="hybridMultilevel"/>
    <w:tmpl w:val="9D5EAB0E"/>
    <w:lvl w:ilvl="0" w:tplc="D24A1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E4499"/>
    <w:multiLevelType w:val="hybridMultilevel"/>
    <w:tmpl w:val="7C28A5AE"/>
    <w:lvl w:ilvl="0" w:tplc="4134C7D2">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13E03AD3"/>
    <w:multiLevelType w:val="hybridMultilevel"/>
    <w:tmpl w:val="E7CE6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773E01"/>
    <w:multiLevelType w:val="hybridMultilevel"/>
    <w:tmpl w:val="85F203AA"/>
    <w:lvl w:ilvl="0" w:tplc="3E48BAA2">
      <w:start w:val="2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1042B"/>
    <w:multiLevelType w:val="hybridMultilevel"/>
    <w:tmpl w:val="B0EE41AE"/>
    <w:lvl w:ilvl="0" w:tplc="09427D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1210E3"/>
    <w:multiLevelType w:val="hybridMultilevel"/>
    <w:tmpl w:val="2A3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A3CB1"/>
    <w:multiLevelType w:val="hybridMultilevel"/>
    <w:tmpl w:val="0FC8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2D722A"/>
    <w:multiLevelType w:val="hybridMultilevel"/>
    <w:tmpl w:val="B4B2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A409D"/>
    <w:multiLevelType w:val="hybridMultilevel"/>
    <w:tmpl w:val="2F2AD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296856"/>
    <w:multiLevelType w:val="hybridMultilevel"/>
    <w:tmpl w:val="F538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015968"/>
    <w:multiLevelType w:val="hybridMultilevel"/>
    <w:tmpl w:val="45D6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5409A"/>
    <w:multiLevelType w:val="hybridMultilevel"/>
    <w:tmpl w:val="468AA794"/>
    <w:lvl w:ilvl="0" w:tplc="8C866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3608FF"/>
    <w:multiLevelType w:val="hybridMultilevel"/>
    <w:tmpl w:val="60040DEE"/>
    <w:lvl w:ilvl="0" w:tplc="39E0A71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5A8741D"/>
    <w:multiLevelType w:val="hybridMultilevel"/>
    <w:tmpl w:val="D9984C86"/>
    <w:lvl w:ilvl="0" w:tplc="0E0E921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83141B3"/>
    <w:multiLevelType w:val="hybridMultilevel"/>
    <w:tmpl w:val="406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F3D86"/>
    <w:multiLevelType w:val="hybridMultilevel"/>
    <w:tmpl w:val="20825D5E"/>
    <w:lvl w:ilvl="0" w:tplc="7C7E62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43487"/>
    <w:multiLevelType w:val="hybridMultilevel"/>
    <w:tmpl w:val="5184C46C"/>
    <w:lvl w:ilvl="0" w:tplc="ADBED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711D3"/>
    <w:multiLevelType w:val="hybridMultilevel"/>
    <w:tmpl w:val="E6A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123BA"/>
    <w:multiLevelType w:val="hybridMultilevel"/>
    <w:tmpl w:val="A7284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5E4A1D"/>
    <w:multiLevelType w:val="hybridMultilevel"/>
    <w:tmpl w:val="A05C775A"/>
    <w:lvl w:ilvl="0" w:tplc="8A822004">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6A6A4003"/>
    <w:multiLevelType w:val="hybridMultilevel"/>
    <w:tmpl w:val="10FA9ED8"/>
    <w:lvl w:ilvl="0" w:tplc="D5FA5E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B5CB3"/>
    <w:multiLevelType w:val="hybridMultilevel"/>
    <w:tmpl w:val="F51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9174D"/>
    <w:multiLevelType w:val="hybridMultilevel"/>
    <w:tmpl w:val="A7A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574C0"/>
    <w:multiLevelType w:val="hybridMultilevel"/>
    <w:tmpl w:val="62EC75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E277790"/>
    <w:multiLevelType w:val="hybridMultilevel"/>
    <w:tmpl w:val="E67245D2"/>
    <w:lvl w:ilvl="0" w:tplc="58342D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7"/>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25"/>
  </w:num>
  <w:num w:numId="10">
    <w:abstractNumId w:val="10"/>
  </w:num>
  <w:num w:numId="11">
    <w:abstractNumId w:val="23"/>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7"/>
  </w:num>
  <w:num w:numId="20">
    <w:abstractNumId w:val="22"/>
  </w:num>
  <w:num w:numId="21">
    <w:abstractNumId w:val="24"/>
  </w:num>
  <w:num w:numId="22">
    <w:abstractNumId w:val="18"/>
  </w:num>
  <w:num w:numId="23">
    <w:abstractNumId w:val="4"/>
  </w:num>
  <w:num w:numId="24">
    <w:abstractNumId w:val="2"/>
  </w:num>
  <w:num w:numId="25">
    <w:abstractNumId w:val="17"/>
  </w:num>
  <w:num w:numId="26">
    <w:abstractNumId w:val="21"/>
  </w:num>
  <w:num w:numId="27">
    <w:abstractNumId w:val="20"/>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EB"/>
    <w:rsid w:val="000008DD"/>
    <w:rsid w:val="00003D4C"/>
    <w:rsid w:val="0000452B"/>
    <w:rsid w:val="00006E27"/>
    <w:rsid w:val="000079F2"/>
    <w:rsid w:val="000124B9"/>
    <w:rsid w:val="00016A06"/>
    <w:rsid w:val="00021C8C"/>
    <w:rsid w:val="00026560"/>
    <w:rsid w:val="00030D37"/>
    <w:rsid w:val="0003234B"/>
    <w:rsid w:val="0003376D"/>
    <w:rsid w:val="00033D5B"/>
    <w:rsid w:val="00034FB4"/>
    <w:rsid w:val="00042672"/>
    <w:rsid w:val="00052CEC"/>
    <w:rsid w:val="00053E78"/>
    <w:rsid w:val="00071EF9"/>
    <w:rsid w:val="00076AD4"/>
    <w:rsid w:val="0008292E"/>
    <w:rsid w:val="00082D86"/>
    <w:rsid w:val="00083635"/>
    <w:rsid w:val="00086567"/>
    <w:rsid w:val="00090935"/>
    <w:rsid w:val="00093AE9"/>
    <w:rsid w:val="000947E3"/>
    <w:rsid w:val="000A0BC2"/>
    <w:rsid w:val="000A59D2"/>
    <w:rsid w:val="000A6EBA"/>
    <w:rsid w:val="000A7A66"/>
    <w:rsid w:val="000B2047"/>
    <w:rsid w:val="000D028E"/>
    <w:rsid w:val="000D1D40"/>
    <w:rsid w:val="000D26EF"/>
    <w:rsid w:val="000E4CFC"/>
    <w:rsid w:val="000F57E9"/>
    <w:rsid w:val="001179C3"/>
    <w:rsid w:val="00120FC7"/>
    <w:rsid w:val="00121681"/>
    <w:rsid w:val="00121D87"/>
    <w:rsid w:val="00123D1C"/>
    <w:rsid w:val="001272A4"/>
    <w:rsid w:val="001432D9"/>
    <w:rsid w:val="00144343"/>
    <w:rsid w:val="0015150B"/>
    <w:rsid w:val="00154513"/>
    <w:rsid w:val="00160ABF"/>
    <w:rsid w:val="00166036"/>
    <w:rsid w:val="001738E2"/>
    <w:rsid w:val="00175EDA"/>
    <w:rsid w:val="00176949"/>
    <w:rsid w:val="00180F69"/>
    <w:rsid w:val="001817A4"/>
    <w:rsid w:val="00182A1A"/>
    <w:rsid w:val="001874CE"/>
    <w:rsid w:val="0018769A"/>
    <w:rsid w:val="001954D3"/>
    <w:rsid w:val="00197C7C"/>
    <w:rsid w:val="00197E1D"/>
    <w:rsid w:val="001A078F"/>
    <w:rsid w:val="001B573A"/>
    <w:rsid w:val="001C170E"/>
    <w:rsid w:val="001C2077"/>
    <w:rsid w:val="001C2271"/>
    <w:rsid w:val="001C3F4F"/>
    <w:rsid w:val="001C475A"/>
    <w:rsid w:val="001D2DFE"/>
    <w:rsid w:val="001E485A"/>
    <w:rsid w:val="001F149A"/>
    <w:rsid w:val="001F2008"/>
    <w:rsid w:val="001F4D4D"/>
    <w:rsid w:val="001F58EB"/>
    <w:rsid w:val="00207AEC"/>
    <w:rsid w:val="002123D2"/>
    <w:rsid w:val="0022573B"/>
    <w:rsid w:val="002259D6"/>
    <w:rsid w:val="00237291"/>
    <w:rsid w:val="0024011A"/>
    <w:rsid w:val="00240B3F"/>
    <w:rsid w:val="0024144A"/>
    <w:rsid w:val="00243DB8"/>
    <w:rsid w:val="00250CAA"/>
    <w:rsid w:val="00251A1B"/>
    <w:rsid w:val="0025273B"/>
    <w:rsid w:val="002631A0"/>
    <w:rsid w:val="002702D3"/>
    <w:rsid w:val="002746CE"/>
    <w:rsid w:val="00275489"/>
    <w:rsid w:val="00282BDE"/>
    <w:rsid w:val="00287979"/>
    <w:rsid w:val="0029449A"/>
    <w:rsid w:val="0029710F"/>
    <w:rsid w:val="002A3352"/>
    <w:rsid w:val="002B0A8C"/>
    <w:rsid w:val="002C4243"/>
    <w:rsid w:val="002C67A2"/>
    <w:rsid w:val="002E04B7"/>
    <w:rsid w:val="002E13FC"/>
    <w:rsid w:val="002E3AC9"/>
    <w:rsid w:val="002E42FD"/>
    <w:rsid w:val="002E6160"/>
    <w:rsid w:val="002F1194"/>
    <w:rsid w:val="002F1412"/>
    <w:rsid w:val="002F4E99"/>
    <w:rsid w:val="003030AC"/>
    <w:rsid w:val="00321FD0"/>
    <w:rsid w:val="00336EF7"/>
    <w:rsid w:val="00343FEB"/>
    <w:rsid w:val="0035215D"/>
    <w:rsid w:val="00353610"/>
    <w:rsid w:val="00365B96"/>
    <w:rsid w:val="00373965"/>
    <w:rsid w:val="003805F7"/>
    <w:rsid w:val="00380EAE"/>
    <w:rsid w:val="00381AC0"/>
    <w:rsid w:val="00383355"/>
    <w:rsid w:val="0038555D"/>
    <w:rsid w:val="00385B3B"/>
    <w:rsid w:val="00387F69"/>
    <w:rsid w:val="00392C0E"/>
    <w:rsid w:val="003953EC"/>
    <w:rsid w:val="003C2784"/>
    <w:rsid w:val="003D11EC"/>
    <w:rsid w:val="003E1571"/>
    <w:rsid w:val="003E1C29"/>
    <w:rsid w:val="003E254F"/>
    <w:rsid w:val="003F3927"/>
    <w:rsid w:val="00401CA0"/>
    <w:rsid w:val="00403EF5"/>
    <w:rsid w:val="00406502"/>
    <w:rsid w:val="00411CC4"/>
    <w:rsid w:val="004152EB"/>
    <w:rsid w:val="00415BEC"/>
    <w:rsid w:val="00420587"/>
    <w:rsid w:val="00431EFC"/>
    <w:rsid w:val="00432902"/>
    <w:rsid w:val="00445B53"/>
    <w:rsid w:val="00446276"/>
    <w:rsid w:val="00447970"/>
    <w:rsid w:val="00452006"/>
    <w:rsid w:val="004629A8"/>
    <w:rsid w:val="004637A2"/>
    <w:rsid w:val="00463D25"/>
    <w:rsid w:val="0046401B"/>
    <w:rsid w:val="00464EED"/>
    <w:rsid w:val="00467634"/>
    <w:rsid w:val="00467E61"/>
    <w:rsid w:val="00471B2C"/>
    <w:rsid w:val="00486872"/>
    <w:rsid w:val="0048773E"/>
    <w:rsid w:val="00490A7B"/>
    <w:rsid w:val="00490E08"/>
    <w:rsid w:val="00496799"/>
    <w:rsid w:val="004A1033"/>
    <w:rsid w:val="004A5C28"/>
    <w:rsid w:val="004A60CE"/>
    <w:rsid w:val="004A7BD6"/>
    <w:rsid w:val="004B018A"/>
    <w:rsid w:val="004B069A"/>
    <w:rsid w:val="004B15A1"/>
    <w:rsid w:val="004C3EDE"/>
    <w:rsid w:val="004C7D10"/>
    <w:rsid w:val="004D325B"/>
    <w:rsid w:val="004E4AFD"/>
    <w:rsid w:val="004E4DFA"/>
    <w:rsid w:val="004F027E"/>
    <w:rsid w:val="004F186E"/>
    <w:rsid w:val="00500D88"/>
    <w:rsid w:val="005011C4"/>
    <w:rsid w:val="00503A9D"/>
    <w:rsid w:val="0050461F"/>
    <w:rsid w:val="00506F2C"/>
    <w:rsid w:val="005105B6"/>
    <w:rsid w:val="0052662A"/>
    <w:rsid w:val="00527546"/>
    <w:rsid w:val="005348C6"/>
    <w:rsid w:val="00535AC9"/>
    <w:rsid w:val="005362FE"/>
    <w:rsid w:val="005411F1"/>
    <w:rsid w:val="00541540"/>
    <w:rsid w:val="00541782"/>
    <w:rsid w:val="0054506B"/>
    <w:rsid w:val="00557EFE"/>
    <w:rsid w:val="00580F93"/>
    <w:rsid w:val="0058222B"/>
    <w:rsid w:val="00583288"/>
    <w:rsid w:val="00583F8B"/>
    <w:rsid w:val="005A3F00"/>
    <w:rsid w:val="005A7106"/>
    <w:rsid w:val="005B0A3D"/>
    <w:rsid w:val="005B0F3F"/>
    <w:rsid w:val="005B16B9"/>
    <w:rsid w:val="005B22A9"/>
    <w:rsid w:val="005B6524"/>
    <w:rsid w:val="005C2F89"/>
    <w:rsid w:val="005C6530"/>
    <w:rsid w:val="005D33AE"/>
    <w:rsid w:val="005E0F5C"/>
    <w:rsid w:val="005E1064"/>
    <w:rsid w:val="005E2FDB"/>
    <w:rsid w:val="005E5058"/>
    <w:rsid w:val="005E5369"/>
    <w:rsid w:val="005E5D3E"/>
    <w:rsid w:val="005F0118"/>
    <w:rsid w:val="005F05EE"/>
    <w:rsid w:val="00600D4E"/>
    <w:rsid w:val="00602615"/>
    <w:rsid w:val="00605664"/>
    <w:rsid w:val="00614949"/>
    <w:rsid w:val="00617F75"/>
    <w:rsid w:val="00626CA0"/>
    <w:rsid w:val="006274EC"/>
    <w:rsid w:val="00632DE8"/>
    <w:rsid w:val="00641068"/>
    <w:rsid w:val="00651B50"/>
    <w:rsid w:val="0065220E"/>
    <w:rsid w:val="006528AE"/>
    <w:rsid w:val="00662809"/>
    <w:rsid w:val="00662C38"/>
    <w:rsid w:val="00664254"/>
    <w:rsid w:val="00664F1C"/>
    <w:rsid w:val="00665E37"/>
    <w:rsid w:val="0067145E"/>
    <w:rsid w:val="0067382D"/>
    <w:rsid w:val="006739FA"/>
    <w:rsid w:val="00674749"/>
    <w:rsid w:val="00674F9F"/>
    <w:rsid w:val="00681896"/>
    <w:rsid w:val="0068431C"/>
    <w:rsid w:val="0068472D"/>
    <w:rsid w:val="00687F0D"/>
    <w:rsid w:val="00693371"/>
    <w:rsid w:val="00693E75"/>
    <w:rsid w:val="0069599C"/>
    <w:rsid w:val="006A03F1"/>
    <w:rsid w:val="006A0CEC"/>
    <w:rsid w:val="006B0475"/>
    <w:rsid w:val="006C536C"/>
    <w:rsid w:val="006C578C"/>
    <w:rsid w:val="006D6072"/>
    <w:rsid w:val="006D69AF"/>
    <w:rsid w:val="006D7AFA"/>
    <w:rsid w:val="006E14E4"/>
    <w:rsid w:val="006E397C"/>
    <w:rsid w:val="006E4C37"/>
    <w:rsid w:val="006E4DCD"/>
    <w:rsid w:val="006F41DD"/>
    <w:rsid w:val="00702259"/>
    <w:rsid w:val="007029F2"/>
    <w:rsid w:val="00704E9F"/>
    <w:rsid w:val="007050D8"/>
    <w:rsid w:val="00706B98"/>
    <w:rsid w:val="00714DF2"/>
    <w:rsid w:val="007162BF"/>
    <w:rsid w:val="00720134"/>
    <w:rsid w:val="0072241B"/>
    <w:rsid w:val="00722480"/>
    <w:rsid w:val="00726A6C"/>
    <w:rsid w:val="00727B28"/>
    <w:rsid w:val="007313B1"/>
    <w:rsid w:val="00733B1D"/>
    <w:rsid w:val="007500EB"/>
    <w:rsid w:val="00751AA9"/>
    <w:rsid w:val="00762393"/>
    <w:rsid w:val="007643A1"/>
    <w:rsid w:val="00765D6E"/>
    <w:rsid w:val="0077062A"/>
    <w:rsid w:val="00771D3E"/>
    <w:rsid w:val="007753EF"/>
    <w:rsid w:val="00776D62"/>
    <w:rsid w:val="00780FD3"/>
    <w:rsid w:val="007829AA"/>
    <w:rsid w:val="00785B83"/>
    <w:rsid w:val="00792A7D"/>
    <w:rsid w:val="007A14EA"/>
    <w:rsid w:val="007A38C8"/>
    <w:rsid w:val="007B538C"/>
    <w:rsid w:val="007B7B3B"/>
    <w:rsid w:val="007C761B"/>
    <w:rsid w:val="007D0259"/>
    <w:rsid w:val="007D12C4"/>
    <w:rsid w:val="007D29A6"/>
    <w:rsid w:val="007D55F7"/>
    <w:rsid w:val="007D5BE9"/>
    <w:rsid w:val="008002C3"/>
    <w:rsid w:val="0080640C"/>
    <w:rsid w:val="00806A19"/>
    <w:rsid w:val="008072CA"/>
    <w:rsid w:val="00807315"/>
    <w:rsid w:val="00813320"/>
    <w:rsid w:val="00820AD2"/>
    <w:rsid w:val="0082197B"/>
    <w:rsid w:val="00823FB5"/>
    <w:rsid w:val="008306E2"/>
    <w:rsid w:val="00831FB1"/>
    <w:rsid w:val="00833F81"/>
    <w:rsid w:val="00841581"/>
    <w:rsid w:val="00843DEE"/>
    <w:rsid w:val="008449DD"/>
    <w:rsid w:val="00845664"/>
    <w:rsid w:val="00861143"/>
    <w:rsid w:val="00865508"/>
    <w:rsid w:val="0087165A"/>
    <w:rsid w:val="00877816"/>
    <w:rsid w:val="00877BB5"/>
    <w:rsid w:val="00877D5D"/>
    <w:rsid w:val="00884971"/>
    <w:rsid w:val="008879F7"/>
    <w:rsid w:val="00891E08"/>
    <w:rsid w:val="00893851"/>
    <w:rsid w:val="00894CCD"/>
    <w:rsid w:val="008A04A2"/>
    <w:rsid w:val="008B4D45"/>
    <w:rsid w:val="008C4E47"/>
    <w:rsid w:val="008D1310"/>
    <w:rsid w:val="008D5146"/>
    <w:rsid w:val="008D6B0C"/>
    <w:rsid w:val="008E377C"/>
    <w:rsid w:val="008E6F13"/>
    <w:rsid w:val="008E6F7A"/>
    <w:rsid w:val="008E7721"/>
    <w:rsid w:val="008F0524"/>
    <w:rsid w:val="008F3FF8"/>
    <w:rsid w:val="008F4A6F"/>
    <w:rsid w:val="009040CC"/>
    <w:rsid w:val="00906954"/>
    <w:rsid w:val="00910CC2"/>
    <w:rsid w:val="0091545B"/>
    <w:rsid w:val="00917C39"/>
    <w:rsid w:val="00920CC2"/>
    <w:rsid w:val="00920DB8"/>
    <w:rsid w:val="00922AAB"/>
    <w:rsid w:val="00923365"/>
    <w:rsid w:val="009250BE"/>
    <w:rsid w:val="00930B9D"/>
    <w:rsid w:val="0093427C"/>
    <w:rsid w:val="00935D52"/>
    <w:rsid w:val="00944A21"/>
    <w:rsid w:val="00952125"/>
    <w:rsid w:val="00962A3A"/>
    <w:rsid w:val="00963365"/>
    <w:rsid w:val="00963A31"/>
    <w:rsid w:val="009650EB"/>
    <w:rsid w:val="00972CFF"/>
    <w:rsid w:val="00981755"/>
    <w:rsid w:val="00990781"/>
    <w:rsid w:val="0099113E"/>
    <w:rsid w:val="00994C11"/>
    <w:rsid w:val="009952EC"/>
    <w:rsid w:val="009A4AA5"/>
    <w:rsid w:val="009A5794"/>
    <w:rsid w:val="009B03EF"/>
    <w:rsid w:val="009B05C0"/>
    <w:rsid w:val="009B0EE8"/>
    <w:rsid w:val="009B5D63"/>
    <w:rsid w:val="009C1CBE"/>
    <w:rsid w:val="009C41E3"/>
    <w:rsid w:val="009D0C85"/>
    <w:rsid w:val="009D3E7F"/>
    <w:rsid w:val="009D4995"/>
    <w:rsid w:val="009E2944"/>
    <w:rsid w:val="009E7F2E"/>
    <w:rsid w:val="009F4693"/>
    <w:rsid w:val="00A04E54"/>
    <w:rsid w:val="00A12307"/>
    <w:rsid w:val="00A16F76"/>
    <w:rsid w:val="00A20644"/>
    <w:rsid w:val="00A237D1"/>
    <w:rsid w:val="00A322A5"/>
    <w:rsid w:val="00A342E1"/>
    <w:rsid w:val="00A357DF"/>
    <w:rsid w:val="00A360B4"/>
    <w:rsid w:val="00A415A9"/>
    <w:rsid w:val="00A42D69"/>
    <w:rsid w:val="00A50A1D"/>
    <w:rsid w:val="00A538C8"/>
    <w:rsid w:val="00A547C1"/>
    <w:rsid w:val="00A65087"/>
    <w:rsid w:val="00A6605E"/>
    <w:rsid w:val="00A66861"/>
    <w:rsid w:val="00A72BEB"/>
    <w:rsid w:val="00A748FB"/>
    <w:rsid w:val="00A80825"/>
    <w:rsid w:val="00A825B7"/>
    <w:rsid w:val="00A83FA6"/>
    <w:rsid w:val="00A848CA"/>
    <w:rsid w:val="00A92654"/>
    <w:rsid w:val="00A9374F"/>
    <w:rsid w:val="00A9670F"/>
    <w:rsid w:val="00AA5985"/>
    <w:rsid w:val="00AB2286"/>
    <w:rsid w:val="00AB2D8F"/>
    <w:rsid w:val="00AB412B"/>
    <w:rsid w:val="00AB5A40"/>
    <w:rsid w:val="00AB6DBE"/>
    <w:rsid w:val="00AC1B5C"/>
    <w:rsid w:val="00AD32B2"/>
    <w:rsid w:val="00AD4042"/>
    <w:rsid w:val="00AD42E6"/>
    <w:rsid w:val="00AE42E9"/>
    <w:rsid w:val="00AE7A41"/>
    <w:rsid w:val="00AF0B0F"/>
    <w:rsid w:val="00AF74A4"/>
    <w:rsid w:val="00B00B30"/>
    <w:rsid w:val="00B01632"/>
    <w:rsid w:val="00B0332C"/>
    <w:rsid w:val="00B03A16"/>
    <w:rsid w:val="00B1179F"/>
    <w:rsid w:val="00B1521C"/>
    <w:rsid w:val="00B17A88"/>
    <w:rsid w:val="00B17D0A"/>
    <w:rsid w:val="00B2380D"/>
    <w:rsid w:val="00B23EAB"/>
    <w:rsid w:val="00B3564A"/>
    <w:rsid w:val="00B37477"/>
    <w:rsid w:val="00B43B0A"/>
    <w:rsid w:val="00B473A4"/>
    <w:rsid w:val="00B51CD7"/>
    <w:rsid w:val="00B5561B"/>
    <w:rsid w:val="00B604C8"/>
    <w:rsid w:val="00B61041"/>
    <w:rsid w:val="00B65D1A"/>
    <w:rsid w:val="00B77E5D"/>
    <w:rsid w:val="00B81731"/>
    <w:rsid w:val="00B876DD"/>
    <w:rsid w:val="00B90A24"/>
    <w:rsid w:val="00B96E60"/>
    <w:rsid w:val="00BA1157"/>
    <w:rsid w:val="00BA3CCA"/>
    <w:rsid w:val="00BB0189"/>
    <w:rsid w:val="00BC3373"/>
    <w:rsid w:val="00BC40C8"/>
    <w:rsid w:val="00BC55C1"/>
    <w:rsid w:val="00BC5F74"/>
    <w:rsid w:val="00BC6FA6"/>
    <w:rsid w:val="00BD3C43"/>
    <w:rsid w:val="00BD44B0"/>
    <w:rsid w:val="00BD519B"/>
    <w:rsid w:val="00BD6CCF"/>
    <w:rsid w:val="00BD73BB"/>
    <w:rsid w:val="00BE2100"/>
    <w:rsid w:val="00BF1BB1"/>
    <w:rsid w:val="00C03E6B"/>
    <w:rsid w:val="00C078BC"/>
    <w:rsid w:val="00C109B7"/>
    <w:rsid w:val="00C13126"/>
    <w:rsid w:val="00C212C9"/>
    <w:rsid w:val="00C22742"/>
    <w:rsid w:val="00C2357C"/>
    <w:rsid w:val="00C31CE3"/>
    <w:rsid w:val="00C407D6"/>
    <w:rsid w:val="00C447C3"/>
    <w:rsid w:val="00C46D45"/>
    <w:rsid w:val="00C472CA"/>
    <w:rsid w:val="00C506FF"/>
    <w:rsid w:val="00C530EC"/>
    <w:rsid w:val="00C5494C"/>
    <w:rsid w:val="00C54E02"/>
    <w:rsid w:val="00C554DF"/>
    <w:rsid w:val="00C5690A"/>
    <w:rsid w:val="00C56FE7"/>
    <w:rsid w:val="00C60684"/>
    <w:rsid w:val="00C61A5D"/>
    <w:rsid w:val="00C62BEB"/>
    <w:rsid w:val="00C642B7"/>
    <w:rsid w:val="00C65500"/>
    <w:rsid w:val="00C70651"/>
    <w:rsid w:val="00C713A0"/>
    <w:rsid w:val="00C74FFA"/>
    <w:rsid w:val="00C761D6"/>
    <w:rsid w:val="00C7682D"/>
    <w:rsid w:val="00C8006D"/>
    <w:rsid w:val="00C84A77"/>
    <w:rsid w:val="00C86794"/>
    <w:rsid w:val="00C914C1"/>
    <w:rsid w:val="00C94D2F"/>
    <w:rsid w:val="00CA0FFB"/>
    <w:rsid w:val="00CA40BF"/>
    <w:rsid w:val="00CA42C2"/>
    <w:rsid w:val="00CA52C9"/>
    <w:rsid w:val="00CA7305"/>
    <w:rsid w:val="00CA77E4"/>
    <w:rsid w:val="00CB4A3E"/>
    <w:rsid w:val="00CB4B1E"/>
    <w:rsid w:val="00CB6FA2"/>
    <w:rsid w:val="00CC34AD"/>
    <w:rsid w:val="00CD4370"/>
    <w:rsid w:val="00CD542F"/>
    <w:rsid w:val="00CD57A5"/>
    <w:rsid w:val="00CE0316"/>
    <w:rsid w:val="00CE6085"/>
    <w:rsid w:val="00CE79E4"/>
    <w:rsid w:val="00CF3210"/>
    <w:rsid w:val="00CF3351"/>
    <w:rsid w:val="00D02133"/>
    <w:rsid w:val="00D052D6"/>
    <w:rsid w:val="00D1129B"/>
    <w:rsid w:val="00D16CAF"/>
    <w:rsid w:val="00D20367"/>
    <w:rsid w:val="00D22CA6"/>
    <w:rsid w:val="00D31178"/>
    <w:rsid w:val="00D31BD2"/>
    <w:rsid w:val="00D37452"/>
    <w:rsid w:val="00D42DCA"/>
    <w:rsid w:val="00D43B73"/>
    <w:rsid w:val="00D56A67"/>
    <w:rsid w:val="00D64B72"/>
    <w:rsid w:val="00D67248"/>
    <w:rsid w:val="00D679D2"/>
    <w:rsid w:val="00D7268E"/>
    <w:rsid w:val="00D74F64"/>
    <w:rsid w:val="00D7512A"/>
    <w:rsid w:val="00D7544A"/>
    <w:rsid w:val="00D77BD5"/>
    <w:rsid w:val="00D808E8"/>
    <w:rsid w:val="00D82650"/>
    <w:rsid w:val="00D86C8A"/>
    <w:rsid w:val="00D91EBB"/>
    <w:rsid w:val="00D96432"/>
    <w:rsid w:val="00DA4FE1"/>
    <w:rsid w:val="00DA706F"/>
    <w:rsid w:val="00DB2EC5"/>
    <w:rsid w:val="00DC09CC"/>
    <w:rsid w:val="00DC2191"/>
    <w:rsid w:val="00DC2BA9"/>
    <w:rsid w:val="00DD2B8D"/>
    <w:rsid w:val="00DD6350"/>
    <w:rsid w:val="00DE2BA3"/>
    <w:rsid w:val="00DE2E8C"/>
    <w:rsid w:val="00DE75B0"/>
    <w:rsid w:val="00DF1E02"/>
    <w:rsid w:val="00DF36BC"/>
    <w:rsid w:val="00E0646F"/>
    <w:rsid w:val="00E104B0"/>
    <w:rsid w:val="00E12823"/>
    <w:rsid w:val="00E20113"/>
    <w:rsid w:val="00E23ECD"/>
    <w:rsid w:val="00E25D3F"/>
    <w:rsid w:val="00E276E6"/>
    <w:rsid w:val="00E35919"/>
    <w:rsid w:val="00E409DC"/>
    <w:rsid w:val="00E42DB0"/>
    <w:rsid w:val="00E46A76"/>
    <w:rsid w:val="00E47B25"/>
    <w:rsid w:val="00E50271"/>
    <w:rsid w:val="00E51D05"/>
    <w:rsid w:val="00E55CFE"/>
    <w:rsid w:val="00E678A2"/>
    <w:rsid w:val="00E6799E"/>
    <w:rsid w:val="00E70308"/>
    <w:rsid w:val="00E711F9"/>
    <w:rsid w:val="00E73773"/>
    <w:rsid w:val="00E949BE"/>
    <w:rsid w:val="00EA0F07"/>
    <w:rsid w:val="00EB3504"/>
    <w:rsid w:val="00EB54DA"/>
    <w:rsid w:val="00EB7351"/>
    <w:rsid w:val="00EC28E6"/>
    <w:rsid w:val="00EC50E0"/>
    <w:rsid w:val="00ED5020"/>
    <w:rsid w:val="00EF19A3"/>
    <w:rsid w:val="00EF5B92"/>
    <w:rsid w:val="00EF75D7"/>
    <w:rsid w:val="00F000D0"/>
    <w:rsid w:val="00F02BF7"/>
    <w:rsid w:val="00F06020"/>
    <w:rsid w:val="00F07DF4"/>
    <w:rsid w:val="00F10D98"/>
    <w:rsid w:val="00F133B7"/>
    <w:rsid w:val="00F14ECA"/>
    <w:rsid w:val="00F15AFD"/>
    <w:rsid w:val="00F234FA"/>
    <w:rsid w:val="00F2500F"/>
    <w:rsid w:val="00F27C97"/>
    <w:rsid w:val="00F33979"/>
    <w:rsid w:val="00F4058D"/>
    <w:rsid w:val="00F42BDF"/>
    <w:rsid w:val="00F43475"/>
    <w:rsid w:val="00F46A33"/>
    <w:rsid w:val="00F509F0"/>
    <w:rsid w:val="00F523E2"/>
    <w:rsid w:val="00F544C2"/>
    <w:rsid w:val="00F555A6"/>
    <w:rsid w:val="00F65322"/>
    <w:rsid w:val="00F71EEE"/>
    <w:rsid w:val="00F74616"/>
    <w:rsid w:val="00F75A53"/>
    <w:rsid w:val="00F75B7C"/>
    <w:rsid w:val="00F85D62"/>
    <w:rsid w:val="00F875CE"/>
    <w:rsid w:val="00F87B4E"/>
    <w:rsid w:val="00F90A82"/>
    <w:rsid w:val="00F97644"/>
    <w:rsid w:val="00F97D89"/>
    <w:rsid w:val="00FA0CA6"/>
    <w:rsid w:val="00FA6697"/>
    <w:rsid w:val="00FB1CE2"/>
    <w:rsid w:val="00FB2DE4"/>
    <w:rsid w:val="00FB2F61"/>
    <w:rsid w:val="00FB500E"/>
    <w:rsid w:val="00FB6C3C"/>
    <w:rsid w:val="00FC4521"/>
    <w:rsid w:val="00FC71E3"/>
    <w:rsid w:val="00FD0F47"/>
    <w:rsid w:val="00FD26A5"/>
    <w:rsid w:val="00FF680F"/>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A38"/>
  <w15:docId w15:val="{50D4060F-6809-469D-ADE8-32BB8F6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EB"/>
    <w:pPr>
      <w:spacing w:after="0" w:line="360" w:lineRule="auto"/>
      <w:ind w:left="720" w:hanging="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E8"/>
    <w:pPr>
      <w:spacing w:line="240" w:lineRule="auto"/>
      <w:ind w:firstLine="0"/>
      <w:jc w:val="left"/>
    </w:pPr>
  </w:style>
  <w:style w:type="paragraph" w:styleId="Header">
    <w:name w:val="header"/>
    <w:basedOn w:val="Normal"/>
    <w:link w:val="HeaderChar"/>
    <w:uiPriority w:val="99"/>
    <w:unhideWhenUsed/>
    <w:rsid w:val="005348C6"/>
    <w:pPr>
      <w:tabs>
        <w:tab w:val="center" w:pos="4513"/>
        <w:tab w:val="right" w:pos="9026"/>
      </w:tabs>
      <w:spacing w:line="240" w:lineRule="auto"/>
    </w:pPr>
  </w:style>
  <w:style w:type="character" w:customStyle="1" w:styleId="HeaderChar">
    <w:name w:val="Header Char"/>
    <w:basedOn w:val="DefaultParagraphFont"/>
    <w:link w:val="Header"/>
    <w:uiPriority w:val="99"/>
    <w:rsid w:val="00534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8C6"/>
    <w:pPr>
      <w:tabs>
        <w:tab w:val="center" w:pos="4513"/>
        <w:tab w:val="right" w:pos="9026"/>
      </w:tabs>
      <w:spacing w:line="240" w:lineRule="auto"/>
    </w:pPr>
  </w:style>
  <w:style w:type="character" w:customStyle="1" w:styleId="FooterChar">
    <w:name w:val="Footer Char"/>
    <w:basedOn w:val="DefaultParagraphFont"/>
    <w:link w:val="Footer"/>
    <w:uiPriority w:val="99"/>
    <w:rsid w:val="00534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069A"/>
    <w:rPr>
      <w:sz w:val="16"/>
      <w:szCs w:val="16"/>
    </w:rPr>
  </w:style>
  <w:style w:type="paragraph" w:styleId="CommentText">
    <w:name w:val="annotation text"/>
    <w:basedOn w:val="Normal"/>
    <w:link w:val="CommentTextChar"/>
    <w:uiPriority w:val="99"/>
    <w:semiHidden/>
    <w:unhideWhenUsed/>
    <w:rsid w:val="004B069A"/>
    <w:pPr>
      <w:spacing w:line="240" w:lineRule="auto"/>
    </w:pPr>
    <w:rPr>
      <w:sz w:val="20"/>
      <w:szCs w:val="20"/>
    </w:rPr>
  </w:style>
  <w:style w:type="character" w:customStyle="1" w:styleId="CommentTextChar">
    <w:name w:val="Comment Text Char"/>
    <w:basedOn w:val="DefaultParagraphFont"/>
    <w:link w:val="CommentText"/>
    <w:uiPriority w:val="99"/>
    <w:semiHidden/>
    <w:rsid w:val="004B0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69A"/>
    <w:rPr>
      <w:b/>
      <w:bCs/>
    </w:rPr>
  </w:style>
  <w:style w:type="character" w:customStyle="1" w:styleId="CommentSubjectChar">
    <w:name w:val="Comment Subject Char"/>
    <w:basedOn w:val="CommentTextChar"/>
    <w:link w:val="CommentSubject"/>
    <w:uiPriority w:val="99"/>
    <w:semiHidden/>
    <w:rsid w:val="004B069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376D"/>
    <w:rPr>
      <w:color w:val="0563C1" w:themeColor="hyperlink"/>
      <w:u w:val="single"/>
    </w:rPr>
  </w:style>
  <w:style w:type="character" w:customStyle="1" w:styleId="s6">
    <w:name w:val="s6"/>
    <w:basedOn w:val="DefaultParagraphFont"/>
    <w:rsid w:val="00053E78"/>
  </w:style>
  <w:style w:type="paragraph" w:styleId="PlainText">
    <w:name w:val="Plain Text"/>
    <w:basedOn w:val="Normal"/>
    <w:link w:val="PlainTextChar"/>
    <w:uiPriority w:val="99"/>
    <w:unhideWhenUsed/>
    <w:rsid w:val="002F4E9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2F4E99"/>
    <w:rPr>
      <w:rFonts w:ascii="Consolas" w:eastAsia="Times New Roman" w:hAnsi="Consolas" w:cs="Times New Roman"/>
      <w:sz w:val="21"/>
      <w:szCs w:val="21"/>
    </w:rPr>
  </w:style>
  <w:style w:type="paragraph" w:styleId="NormalWeb">
    <w:name w:val="Normal (Web)"/>
    <w:basedOn w:val="Normal"/>
    <w:uiPriority w:val="99"/>
    <w:unhideWhenUsed/>
    <w:rsid w:val="00FB1CE2"/>
    <w:pPr>
      <w:spacing w:before="100" w:beforeAutospacing="1" w:after="100" w:afterAutospacing="1" w:line="240" w:lineRule="auto"/>
      <w:ind w:left="0" w:firstLine="0"/>
      <w:jc w:val="left"/>
    </w:pPr>
    <w:rPr>
      <w:rFonts w:ascii="Arial" w:eastAsiaTheme="minorHAnsi" w:hAnsi="Arial" w:cs="Arial"/>
      <w:sz w:val="20"/>
      <w:szCs w:val="20"/>
      <w:lang w:eastAsia="en-GB"/>
    </w:rPr>
  </w:style>
  <w:style w:type="paragraph" w:styleId="Title">
    <w:name w:val="Title"/>
    <w:basedOn w:val="Normal"/>
    <w:link w:val="TitleChar"/>
    <w:uiPriority w:val="10"/>
    <w:qFormat/>
    <w:rsid w:val="00F02BF7"/>
    <w:pPr>
      <w:spacing w:after="600" w:line="240" w:lineRule="auto"/>
      <w:ind w:left="0" w:firstLine="0"/>
      <w:jc w:val="center"/>
    </w:pPr>
    <w:rPr>
      <w:rFonts w:eastAsiaTheme="minorHAnsi"/>
      <w:sz w:val="32"/>
      <w:szCs w:val="32"/>
    </w:rPr>
  </w:style>
  <w:style w:type="character" w:customStyle="1" w:styleId="TitleChar">
    <w:name w:val="Title Char"/>
    <w:basedOn w:val="DefaultParagraphFont"/>
    <w:link w:val="Title"/>
    <w:uiPriority w:val="10"/>
    <w:rsid w:val="00F02BF7"/>
    <w:rPr>
      <w:rFonts w:ascii="Times New Roman" w:hAnsi="Times New Roman" w:cs="Times New Roman"/>
      <w:sz w:val="32"/>
      <w:szCs w:val="32"/>
    </w:rPr>
  </w:style>
  <w:style w:type="paragraph" w:customStyle="1" w:styleId="Default">
    <w:name w:val="Default"/>
    <w:basedOn w:val="Normal"/>
    <w:rsid w:val="009650EB"/>
    <w:pPr>
      <w:autoSpaceDE w:val="0"/>
      <w:autoSpaceDN w:val="0"/>
      <w:spacing w:line="240" w:lineRule="auto"/>
      <w:ind w:left="0" w:firstLine="0"/>
      <w:jc w:val="left"/>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687">
      <w:bodyDiv w:val="1"/>
      <w:marLeft w:val="0"/>
      <w:marRight w:val="0"/>
      <w:marTop w:val="0"/>
      <w:marBottom w:val="0"/>
      <w:divBdr>
        <w:top w:val="none" w:sz="0" w:space="0" w:color="auto"/>
        <w:left w:val="none" w:sz="0" w:space="0" w:color="auto"/>
        <w:bottom w:val="none" w:sz="0" w:space="0" w:color="auto"/>
        <w:right w:val="none" w:sz="0" w:space="0" w:color="auto"/>
      </w:divBdr>
    </w:div>
    <w:div w:id="174156709">
      <w:bodyDiv w:val="1"/>
      <w:marLeft w:val="0"/>
      <w:marRight w:val="0"/>
      <w:marTop w:val="0"/>
      <w:marBottom w:val="0"/>
      <w:divBdr>
        <w:top w:val="none" w:sz="0" w:space="0" w:color="auto"/>
        <w:left w:val="none" w:sz="0" w:space="0" w:color="auto"/>
        <w:bottom w:val="none" w:sz="0" w:space="0" w:color="auto"/>
        <w:right w:val="none" w:sz="0" w:space="0" w:color="auto"/>
      </w:divBdr>
    </w:div>
    <w:div w:id="238447287">
      <w:bodyDiv w:val="1"/>
      <w:marLeft w:val="0"/>
      <w:marRight w:val="0"/>
      <w:marTop w:val="0"/>
      <w:marBottom w:val="0"/>
      <w:divBdr>
        <w:top w:val="none" w:sz="0" w:space="0" w:color="auto"/>
        <w:left w:val="none" w:sz="0" w:space="0" w:color="auto"/>
        <w:bottom w:val="none" w:sz="0" w:space="0" w:color="auto"/>
        <w:right w:val="none" w:sz="0" w:space="0" w:color="auto"/>
      </w:divBdr>
    </w:div>
    <w:div w:id="366956227">
      <w:bodyDiv w:val="1"/>
      <w:marLeft w:val="0"/>
      <w:marRight w:val="0"/>
      <w:marTop w:val="0"/>
      <w:marBottom w:val="0"/>
      <w:divBdr>
        <w:top w:val="none" w:sz="0" w:space="0" w:color="auto"/>
        <w:left w:val="none" w:sz="0" w:space="0" w:color="auto"/>
        <w:bottom w:val="none" w:sz="0" w:space="0" w:color="auto"/>
        <w:right w:val="none" w:sz="0" w:space="0" w:color="auto"/>
      </w:divBdr>
    </w:div>
    <w:div w:id="427578876">
      <w:bodyDiv w:val="1"/>
      <w:marLeft w:val="0"/>
      <w:marRight w:val="0"/>
      <w:marTop w:val="0"/>
      <w:marBottom w:val="0"/>
      <w:divBdr>
        <w:top w:val="none" w:sz="0" w:space="0" w:color="auto"/>
        <w:left w:val="none" w:sz="0" w:space="0" w:color="auto"/>
        <w:bottom w:val="none" w:sz="0" w:space="0" w:color="auto"/>
        <w:right w:val="none" w:sz="0" w:space="0" w:color="auto"/>
      </w:divBdr>
    </w:div>
    <w:div w:id="502430969">
      <w:bodyDiv w:val="1"/>
      <w:marLeft w:val="0"/>
      <w:marRight w:val="0"/>
      <w:marTop w:val="0"/>
      <w:marBottom w:val="0"/>
      <w:divBdr>
        <w:top w:val="none" w:sz="0" w:space="0" w:color="auto"/>
        <w:left w:val="none" w:sz="0" w:space="0" w:color="auto"/>
        <w:bottom w:val="none" w:sz="0" w:space="0" w:color="auto"/>
        <w:right w:val="none" w:sz="0" w:space="0" w:color="auto"/>
      </w:divBdr>
    </w:div>
    <w:div w:id="518587787">
      <w:bodyDiv w:val="1"/>
      <w:marLeft w:val="0"/>
      <w:marRight w:val="0"/>
      <w:marTop w:val="0"/>
      <w:marBottom w:val="0"/>
      <w:divBdr>
        <w:top w:val="none" w:sz="0" w:space="0" w:color="auto"/>
        <w:left w:val="none" w:sz="0" w:space="0" w:color="auto"/>
        <w:bottom w:val="none" w:sz="0" w:space="0" w:color="auto"/>
        <w:right w:val="none" w:sz="0" w:space="0" w:color="auto"/>
      </w:divBdr>
    </w:div>
    <w:div w:id="544684702">
      <w:bodyDiv w:val="1"/>
      <w:marLeft w:val="0"/>
      <w:marRight w:val="0"/>
      <w:marTop w:val="0"/>
      <w:marBottom w:val="0"/>
      <w:divBdr>
        <w:top w:val="none" w:sz="0" w:space="0" w:color="auto"/>
        <w:left w:val="none" w:sz="0" w:space="0" w:color="auto"/>
        <w:bottom w:val="none" w:sz="0" w:space="0" w:color="auto"/>
        <w:right w:val="none" w:sz="0" w:space="0" w:color="auto"/>
      </w:divBdr>
    </w:div>
    <w:div w:id="714082954">
      <w:bodyDiv w:val="1"/>
      <w:marLeft w:val="0"/>
      <w:marRight w:val="0"/>
      <w:marTop w:val="0"/>
      <w:marBottom w:val="0"/>
      <w:divBdr>
        <w:top w:val="none" w:sz="0" w:space="0" w:color="auto"/>
        <w:left w:val="none" w:sz="0" w:space="0" w:color="auto"/>
        <w:bottom w:val="none" w:sz="0" w:space="0" w:color="auto"/>
        <w:right w:val="none" w:sz="0" w:space="0" w:color="auto"/>
      </w:divBdr>
    </w:div>
    <w:div w:id="820459641">
      <w:bodyDiv w:val="1"/>
      <w:marLeft w:val="0"/>
      <w:marRight w:val="0"/>
      <w:marTop w:val="0"/>
      <w:marBottom w:val="0"/>
      <w:divBdr>
        <w:top w:val="none" w:sz="0" w:space="0" w:color="auto"/>
        <w:left w:val="none" w:sz="0" w:space="0" w:color="auto"/>
        <w:bottom w:val="none" w:sz="0" w:space="0" w:color="auto"/>
        <w:right w:val="none" w:sz="0" w:space="0" w:color="auto"/>
      </w:divBdr>
    </w:div>
    <w:div w:id="828717224">
      <w:bodyDiv w:val="1"/>
      <w:marLeft w:val="0"/>
      <w:marRight w:val="0"/>
      <w:marTop w:val="0"/>
      <w:marBottom w:val="0"/>
      <w:divBdr>
        <w:top w:val="none" w:sz="0" w:space="0" w:color="auto"/>
        <w:left w:val="none" w:sz="0" w:space="0" w:color="auto"/>
        <w:bottom w:val="none" w:sz="0" w:space="0" w:color="auto"/>
        <w:right w:val="none" w:sz="0" w:space="0" w:color="auto"/>
      </w:divBdr>
    </w:div>
    <w:div w:id="928123533">
      <w:bodyDiv w:val="1"/>
      <w:marLeft w:val="0"/>
      <w:marRight w:val="0"/>
      <w:marTop w:val="0"/>
      <w:marBottom w:val="0"/>
      <w:divBdr>
        <w:top w:val="none" w:sz="0" w:space="0" w:color="auto"/>
        <w:left w:val="none" w:sz="0" w:space="0" w:color="auto"/>
        <w:bottom w:val="none" w:sz="0" w:space="0" w:color="auto"/>
        <w:right w:val="none" w:sz="0" w:space="0" w:color="auto"/>
      </w:divBdr>
    </w:div>
    <w:div w:id="948317723">
      <w:bodyDiv w:val="1"/>
      <w:marLeft w:val="0"/>
      <w:marRight w:val="0"/>
      <w:marTop w:val="0"/>
      <w:marBottom w:val="0"/>
      <w:divBdr>
        <w:top w:val="none" w:sz="0" w:space="0" w:color="auto"/>
        <w:left w:val="none" w:sz="0" w:space="0" w:color="auto"/>
        <w:bottom w:val="none" w:sz="0" w:space="0" w:color="auto"/>
        <w:right w:val="none" w:sz="0" w:space="0" w:color="auto"/>
      </w:divBdr>
    </w:div>
    <w:div w:id="1009068752">
      <w:bodyDiv w:val="1"/>
      <w:marLeft w:val="0"/>
      <w:marRight w:val="0"/>
      <w:marTop w:val="0"/>
      <w:marBottom w:val="0"/>
      <w:divBdr>
        <w:top w:val="none" w:sz="0" w:space="0" w:color="auto"/>
        <w:left w:val="none" w:sz="0" w:space="0" w:color="auto"/>
        <w:bottom w:val="none" w:sz="0" w:space="0" w:color="auto"/>
        <w:right w:val="none" w:sz="0" w:space="0" w:color="auto"/>
      </w:divBdr>
    </w:div>
    <w:div w:id="1065877521">
      <w:bodyDiv w:val="1"/>
      <w:marLeft w:val="0"/>
      <w:marRight w:val="0"/>
      <w:marTop w:val="0"/>
      <w:marBottom w:val="0"/>
      <w:divBdr>
        <w:top w:val="none" w:sz="0" w:space="0" w:color="auto"/>
        <w:left w:val="none" w:sz="0" w:space="0" w:color="auto"/>
        <w:bottom w:val="none" w:sz="0" w:space="0" w:color="auto"/>
        <w:right w:val="none" w:sz="0" w:space="0" w:color="auto"/>
      </w:divBdr>
    </w:div>
    <w:div w:id="1124272721">
      <w:bodyDiv w:val="1"/>
      <w:marLeft w:val="0"/>
      <w:marRight w:val="0"/>
      <w:marTop w:val="0"/>
      <w:marBottom w:val="0"/>
      <w:divBdr>
        <w:top w:val="none" w:sz="0" w:space="0" w:color="auto"/>
        <w:left w:val="none" w:sz="0" w:space="0" w:color="auto"/>
        <w:bottom w:val="none" w:sz="0" w:space="0" w:color="auto"/>
        <w:right w:val="none" w:sz="0" w:space="0" w:color="auto"/>
      </w:divBdr>
    </w:div>
    <w:div w:id="1175072971">
      <w:bodyDiv w:val="1"/>
      <w:marLeft w:val="0"/>
      <w:marRight w:val="0"/>
      <w:marTop w:val="0"/>
      <w:marBottom w:val="0"/>
      <w:divBdr>
        <w:top w:val="none" w:sz="0" w:space="0" w:color="auto"/>
        <w:left w:val="none" w:sz="0" w:space="0" w:color="auto"/>
        <w:bottom w:val="none" w:sz="0" w:space="0" w:color="auto"/>
        <w:right w:val="none" w:sz="0" w:space="0" w:color="auto"/>
      </w:divBdr>
    </w:div>
    <w:div w:id="1192643127">
      <w:bodyDiv w:val="1"/>
      <w:marLeft w:val="0"/>
      <w:marRight w:val="0"/>
      <w:marTop w:val="0"/>
      <w:marBottom w:val="0"/>
      <w:divBdr>
        <w:top w:val="none" w:sz="0" w:space="0" w:color="auto"/>
        <w:left w:val="none" w:sz="0" w:space="0" w:color="auto"/>
        <w:bottom w:val="none" w:sz="0" w:space="0" w:color="auto"/>
        <w:right w:val="none" w:sz="0" w:space="0" w:color="auto"/>
      </w:divBdr>
    </w:div>
    <w:div w:id="1209144629">
      <w:bodyDiv w:val="1"/>
      <w:marLeft w:val="0"/>
      <w:marRight w:val="0"/>
      <w:marTop w:val="0"/>
      <w:marBottom w:val="0"/>
      <w:divBdr>
        <w:top w:val="none" w:sz="0" w:space="0" w:color="auto"/>
        <w:left w:val="none" w:sz="0" w:space="0" w:color="auto"/>
        <w:bottom w:val="none" w:sz="0" w:space="0" w:color="auto"/>
        <w:right w:val="none" w:sz="0" w:space="0" w:color="auto"/>
      </w:divBdr>
    </w:div>
    <w:div w:id="1234003773">
      <w:bodyDiv w:val="1"/>
      <w:marLeft w:val="0"/>
      <w:marRight w:val="0"/>
      <w:marTop w:val="0"/>
      <w:marBottom w:val="0"/>
      <w:divBdr>
        <w:top w:val="none" w:sz="0" w:space="0" w:color="auto"/>
        <w:left w:val="none" w:sz="0" w:space="0" w:color="auto"/>
        <w:bottom w:val="none" w:sz="0" w:space="0" w:color="auto"/>
        <w:right w:val="none" w:sz="0" w:space="0" w:color="auto"/>
      </w:divBdr>
    </w:div>
    <w:div w:id="1279412757">
      <w:bodyDiv w:val="1"/>
      <w:marLeft w:val="0"/>
      <w:marRight w:val="0"/>
      <w:marTop w:val="0"/>
      <w:marBottom w:val="0"/>
      <w:divBdr>
        <w:top w:val="none" w:sz="0" w:space="0" w:color="auto"/>
        <w:left w:val="none" w:sz="0" w:space="0" w:color="auto"/>
        <w:bottom w:val="none" w:sz="0" w:space="0" w:color="auto"/>
        <w:right w:val="none" w:sz="0" w:space="0" w:color="auto"/>
      </w:divBdr>
    </w:div>
    <w:div w:id="1307393706">
      <w:bodyDiv w:val="1"/>
      <w:marLeft w:val="0"/>
      <w:marRight w:val="0"/>
      <w:marTop w:val="0"/>
      <w:marBottom w:val="0"/>
      <w:divBdr>
        <w:top w:val="none" w:sz="0" w:space="0" w:color="auto"/>
        <w:left w:val="none" w:sz="0" w:space="0" w:color="auto"/>
        <w:bottom w:val="none" w:sz="0" w:space="0" w:color="auto"/>
        <w:right w:val="none" w:sz="0" w:space="0" w:color="auto"/>
      </w:divBdr>
    </w:div>
    <w:div w:id="1332296509">
      <w:bodyDiv w:val="1"/>
      <w:marLeft w:val="0"/>
      <w:marRight w:val="0"/>
      <w:marTop w:val="0"/>
      <w:marBottom w:val="0"/>
      <w:divBdr>
        <w:top w:val="none" w:sz="0" w:space="0" w:color="auto"/>
        <w:left w:val="none" w:sz="0" w:space="0" w:color="auto"/>
        <w:bottom w:val="none" w:sz="0" w:space="0" w:color="auto"/>
        <w:right w:val="none" w:sz="0" w:space="0" w:color="auto"/>
      </w:divBdr>
    </w:div>
    <w:div w:id="1358462232">
      <w:bodyDiv w:val="1"/>
      <w:marLeft w:val="0"/>
      <w:marRight w:val="0"/>
      <w:marTop w:val="0"/>
      <w:marBottom w:val="0"/>
      <w:divBdr>
        <w:top w:val="none" w:sz="0" w:space="0" w:color="auto"/>
        <w:left w:val="none" w:sz="0" w:space="0" w:color="auto"/>
        <w:bottom w:val="none" w:sz="0" w:space="0" w:color="auto"/>
        <w:right w:val="none" w:sz="0" w:space="0" w:color="auto"/>
      </w:divBdr>
    </w:div>
    <w:div w:id="1389645305">
      <w:bodyDiv w:val="1"/>
      <w:marLeft w:val="0"/>
      <w:marRight w:val="0"/>
      <w:marTop w:val="0"/>
      <w:marBottom w:val="0"/>
      <w:divBdr>
        <w:top w:val="none" w:sz="0" w:space="0" w:color="auto"/>
        <w:left w:val="none" w:sz="0" w:space="0" w:color="auto"/>
        <w:bottom w:val="none" w:sz="0" w:space="0" w:color="auto"/>
        <w:right w:val="none" w:sz="0" w:space="0" w:color="auto"/>
      </w:divBdr>
    </w:div>
    <w:div w:id="1425228737">
      <w:bodyDiv w:val="1"/>
      <w:marLeft w:val="0"/>
      <w:marRight w:val="0"/>
      <w:marTop w:val="0"/>
      <w:marBottom w:val="0"/>
      <w:divBdr>
        <w:top w:val="none" w:sz="0" w:space="0" w:color="auto"/>
        <w:left w:val="none" w:sz="0" w:space="0" w:color="auto"/>
        <w:bottom w:val="none" w:sz="0" w:space="0" w:color="auto"/>
        <w:right w:val="none" w:sz="0" w:space="0" w:color="auto"/>
      </w:divBdr>
    </w:div>
    <w:div w:id="1474522724">
      <w:bodyDiv w:val="1"/>
      <w:marLeft w:val="0"/>
      <w:marRight w:val="0"/>
      <w:marTop w:val="0"/>
      <w:marBottom w:val="0"/>
      <w:divBdr>
        <w:top w:val="none" w:sz="0" w:space="0" w:color="auto"/>
        <w:left w:val="none" w:sz="0" w:space="0" w:color="auto"/>
        <w:bottom w:val="none" w:sz="0" w:space="0" w:color="auto"/>
        <w:right w:val="none" w:sz="0" w:space="0" w:color="auto"/>
      </w:divBdr>
    </w:div>
    <w:div w:id="1487823959">
      <w:bodyDiv w:val="1"/>
      <w:marLeft w:val="0"/>
      <w:marRight w:val="0"/>
      <w:marTop w:val="0"/>
      <w:marBottom w:val="0"/>
      <w:divBdr>
        <w:top w:val="none" w:sz="0" w:space="0" w:color="auto"/>
        <w:left w:val="none" w:sz="0" w:space="0" w:color="auto"/>
        <w:bottom w:val="none" w:sz="0" w:space="0" w:color="auto"/>
        <w:right w:val="none" w:sz="0" w:space="0" w:color="auto"/>
      </w:divBdr>
    </w:div>
    <w:div w:id="1539925675">
      <w:bodyDiv w:val="1"/>
      <w:marLeft w:val="0"/>
      <w:marRight w:val="0"/>
      <w:marTop w:val="0"/>
      <w:marBottom w:val="0"/>
      <w:divBdr>
        <w:top w:val="none" w:sz="0" w:space="0" w:color="auto"/>
        <w:left w:val="none" w:sz="0" w:space="0" w:color="auto"/>
        <w:bottom w:val="none" w:sz="0" w:space="0" w:color="auto"/>
        <w:right w:val="none" w:sz="0" w:space="0" w:color="auto"/>
      </w:divBdr>
    </w:div>
    <w:div w:id="1709184405">
      <w:bodyDiv w:val="1"/>
      <w:marLeft w:val="0"/>
      <w:marRight w:val="0"/>
      <w:marTop w:val="0"/>
      <w:marBottom w:val="0"/>
      <w:divBdr>
        <w:top w:val="none" w:sz="0" w:space="0" w:color="auto"/>
        <w:left w:val="none" w:sz="0" w:space="0" w:color="auto"/>
        <w:bottom w:val="none" w:sz="0" w:space="0" w:color="auto"/>
        <w:right w:val="none" w:sz="0" w:space="0" w:color="auto"/>
      </w:divBdr>
    </w:div>
    <w:div w:id="1752189903">
      <w:bodyDiv w:val="1"/>
      <w:marLeft w:val="0"/>
      <w:marRight w:val="0"/>
      <w:marTop w:val="0"/>
      <w:marBottom w:val="0"/>
      <w:divBdr>
        <w:top w:val="none" w:sz="0" w:space="0" w:color="auto"/>
        <w:left w:val="none" w:sz="0" w:space="0" w:color="auto"/>
        <w:bottom w:val="none" w:sz="0" w:space="0" w:color="auto"/>
        <w:right w:val="none" w:sz="0" w:space="0" w:color="auto"/>
      </w:divBdr>
    </w:div>
    <w:div w:id="1999917130">
      <w:bodyDiv w:val="1"/>
      <w:marLeft w:val="0"/>
      <w:marRight w:val="0"/>
      <w:marTop w:val="0"/>
      <w:marBottom w:val="0"/>
      <w:divBdr>
        <w:top w:val="none" w:sz="0" w:space="0" w:color="auto"/>
        <w:left w:val="none" w:sz="0" w:space="0" w:color="auto"/>
        <w:bottom w:val="none" w:sz="0" w:space="0" w:color="auto"/>
        <w:right w:val="none" w:sz="0" w:space="0" w:color="auto"/>
      </w:divBdr>
    </w:div>
    <w:div w:id="2013147118">
      <w:bodyDiv w:val="1"/>
      <w:marLeft w:val="0"/>
      <w:marRight w:val="0"/>
      <w:marTop w:val="0"/>
      <w:marBottom w:val="0"/>
      <w:divBdr>
        <w:top w:val="none" w:sz="0" w:space="0" w:color="auto"/>
        <w:left w:val="none" w:sz="0" w:space="0" w:color="auto"/>
        <w:bottom w:val="none" w:sz="0" w:space="0" w:color="auto"/>
        <w:right w:val="none" w:sz="0" w:space="0" w:color="auto"/>
      </w:divBdr>
    </w:div>
    <w:div w:id="2029866307">
      <w:bodyDiv w:val="1"/>
      <w:marLeft w:val="0"/>
      <w:marRight w:val="0"/>
      <w:marTop w:val="0"/>
      <w:marBottom w:val="0"/>
      <w:divBdr>
        <w:top w:val="none" w:sz="0" w:space="0" w:color="auto"/>
        <w:left w:val="none" w:sz="0" w:space="0" w:color="auto"/>
        <w:bottom w:val="none" w:sz="0" w:space="0" w:color="auto"/>
        <w:right w:val="none" w:sz="0" w:space="0" w:color="auto"/>
      </w:divBdr>
    </w:div>
    <w:div w:id="2058049569">
      <w:bodyDiv w:val="1"/>
      <w:marLeft w:val="0"/>
      <w:marRight w:val="0"/>
      <w:marTop w:val="0"/>
      <w:marBottom w:val="0"/>
      <w:divBdr>
        <w:top w:val="none" w:sz="0" w:space="0" w:color="auto"/>
        <w:left w:val="none" w:sz="0" w:space="0" w:color="auto"/>
        <w:bottom w:val="none" w:sz="0" w:space="0" w:color="auto"/>
        <w:right w:val="none" w:sz="0" w:space="0" w:color="auto"/>
      </w:divBdr>
    </w:div>
    <w:div w:id="2130969035">
      <w:bodyDiv w:val="1"/>
      <w:marLeft w:val="0"/>
      <w:marRight w:val="0"/>
      <w:marTop w:val="0"/>
      <w:marBottom w:val="0"/>
      <w:divBdr>
        <w:top w:val="none" w:sz="0" w:space="0" w:color="auto"/>
        <w:left w:val="none" w:sz="0" w:space="0" w:color="auto"/>
        <w:bottom w:val="none" w:sz="0" w:space="0" w:color="auto"/>
        <w:right w:val="none" w:sz="0" w:space="0" w:color="auto"/>
      </w:divBdr>
    </w:div>
    <w:div w:id="21389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BE55-E218-48C1-B9B3-2C3EE433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Reid</dc:creator>
  <cp:lastModifiedBy>William Durkin</cp:lastModifiedBy>
  <cp:revision>7</cp:revision>
  <cp:lastPrinted>2019-11-18T16:31:00Z</cp:lastPrinted>
  <dcterms:created xsi:type="dcterms:W3CDTF">2020-02-25T16:51:00Z</dcterms:created>
  <dcterms:modified xsi:type="dcterms:W3CDTF">2020-02-26T13:24:00Z</dcterms:modified>
</cp:coreProperties>
</file>