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C5" w:rsidRPr="00E949BE" w:rsidRDefault="00DB2EC5" w:rsidP="00A848CA">
      <w:pPr>
        <w:spacing w:line="240" w:lineRule="auto"/>
        <w:ind w:left="0" w:firstLine="0"/>
        <w:rPr>
          <w:rFonts w:ascii="Arial" w:hAnsi="Arial" w:cs="Arial"/>
          <w:b/>
          <w:sz w:val="28"/>
          <w:szCs w:val="28"/>
        </w:rPr>
      </w:pPr>
    </w:p>
    <w:p w:rsidR="001F58EB" w:rsidRPr="00E949BE" w:rsidRDefault="00503A9D" w:rsidP="00807315">
      <w:pPr>
        <w:spacing w:line="240" w:lineRule="auto"/>
        <w:ind w:left="0" w:firstLine="0"/>
        <w:rPr>
          <w:rFonts w:ascii="Arial" w:hAnsi="Arial" w:cs="Arial"/>
          <w:b/>
          <w:sz w:val="28"/>
          <w:szCs w:val="28"/>
        </w:rPr>
      </w:pPr>
      <w:r w:rsidRPr="00CB6FA2">
        <w:rPr>
          <w:rFonts w:ascii="Arial" w:hAnsi="Arial" w:cs="Arial"/>
          <w:b/>
          <w:sz w:val="28"/>
          <w:szCs w:val="28"/>
        </w:rPr>
        <w:t xml:space="preserve">A REPORT ON </w:t>
      </w:r>
      <w:r w:rsidR="001F58EB" w:rsidRPr="00CB6FA2">
        <w:rPr>
          <w:rFonts w:ascii="Arial" w:hAnsi="Arial" w:cs="Arial"/>
          <w:b/>
          <w:sz w:val="28"/>
          <w:szCs w:val="28"/>
        </w:rPr>
        <w:t xml:space="preserve">DECISIONS TAKEN </w:t>
      </w:r>
      <w:r w:rsidR="00877BB5" w:rsidRPr="00CB6FA2">
        <w:rPr>
          <w:rFonts w:ascii="Arial" w:hAnsi="Arial" w:cs="Arial"/>
          <w:b/>
          <w:sz w:val="28"/>
          <w:szCs w:val="28"/>
        </w:rPr>
        <w:t xml:space="preserve">DURING </w:t>
      </w:r>
      <w:r w:rsidR="00F4058D">
        <w:rPr>
          <w:rFonts w:ascii="Arial" w:hAnsi="Arial" w:cs="Arial"/>
          <w:b/>
          <w:sz w:val="28"/>
          <w:szCs w:val="28"/>
        </w:rPr>
        <w:t>JUNE</w:t>
      </w:r>
      <w:r w:rsidR="00A20644" w:rsidRPr="00CB6FA2">
        <w:rPr>
          <w:rFonts w:ascii="Arial" w:hAnsi="Arial" w:cs="Arial"/>
          <w:b/>
          <w:sz w:val="28"/>
          <w:szCs w:val="28"/>
        </w:rPr>
        <w:t xml:space="preserve"> </w:t>
      </w:r>
      <w:r w:rsidR="00877BB5" w:rsidRPr="00CB6FA2">
        <w:rPr>
          <w:rFonts w:ascii="Arial" w:hAnsi="Arial" w:cs="Arial"/>
          <w:b/>
          <w:sz w:val="28"/>
          <w:szCs w:val="28"/>
        </w:rPr>
        <w:t>201</w:t>
      </w:r>
      <w:r w:rsidR="00490A7B" w:rsidRPr="00CB6FA2">
        <w:rPr>
          <w:rFonts w:ascii="Arial" w:hAnsi="Arial" w:cs="Arial"/>
          <w:b/>
          <w:sz w:val="28"/>
          <w:szCs w:val="28"/>
        </w:rPr>
        <w:t>9</w:t>
      </w:r>
      <w:r w:rsidR="00877BB5" w:rsidRPr="00CB6FA2">
        <w:rPr>
          <w:rFonts w:ascii="Arial" w:hAnsi="Arial" w:cs="Arial"/>
          <w:b/>
          <w:sz w:val="28"/>
          <w:szCs w:val="28"/>
        </w:rPr>
        <w:t xml:space="preserve"> </w:t>
      </w:r>
      <w:r w:rsidR="001F58EB" w:rsidRPr="00CB6FA2">
        <w:rPr>
          <w:rFonts w:ascii="Arial" w:hAnsi="Arial" w:cs="Arial"/>
          <w:b/>
          <w:sz w:val="28"/>
          <w:szCs w:val="28"/>
        </w:rPr>
        <w:t>BY N</w:t>
      </w:r>
      <w:r w:rsidR="00877BB5" w:rsidRPr="00CB6FA2">
        <w:rPr>
          <w:rFonts w:ascii="Arial" w:hAnsi="Arial" w:cs="Arial"/>
          <w:b/>
          <w:sz w:val="28"/>
          <w:szCs w:val="28"/>
        </w:rPr>
        <w:t xml:space="preserve">ORTHERN </w:t>
      </w:r>
      <w:r w:rsidR="001F58EB" w:rsidRPr="00CB6FA2">
        <w:rPr>
          <w:rFonts w:ascii="Arial" w:hAnsi="Arial" w:cs="Arial"/>
          <w:b/>
          <w:sz w:val="28"/>
          <w:szCs w:val="28"/>
        </w:rPr>
        <w:t>I</w:t>
      </w:r>
      <w:r w:rsidR="00877BB5" w:rsidRPr="00CB6FA2">
        <w:rPr>
          <w:rFonts w:ascii="Arial" w:hAnsi="Arial" w:cs="Arial"/>
          <w:b/>
          <w:sz w:val="28"/>
          <w:szCs w:val="28"/>
        </w:rPr>
        <w:t>RELAND</w:t>
      </w:r>
      <w:r w:rsidR="00243DB8" w:rsidRPr="00CB6FA2">
        <w:rPr>
          <w:rFonts w:ascii="Arial" w:hAnsi="Arial" w:cs="Arial"/>
          <w:b/>
          <w:sz w:val="28"/>
          <w:szCs w:val="28"/>
        </w:rPr>
        <w:t xml:space="preserve"> </w:t>
      </w:r>
      <w:r w:rsidR="001F58EB" w:rsidRPr="00CB6FA2">
        <w:rPr>
          <w:rFonts w:ascii="Arial" w:hAnsi="Arial" w:cs="Arial"/>
          <w:b/>
          <w:sz w:val="28"/>
          <w:szCs w:val="28"/>
        </w:rPr>
        <w:t xml:space="preserve">DEPARTMENTS </w:t>
      </w:r>
      <w:r w:rsidR="005348C6" w:rsidRPr="00CB6FA2">
        <w:rPr>
          <w:rFonts w:ascii="Arial" w:hAnsi="Arial" w:cs="Arial"/>
          <w:b/>
          <w:sz w:val="28"/>
          <w:szCs w:val="28"/>
        </w:rPr>
        <w:t xml:space="preserve">IN </w:t>
      </w:r>
      <w:r w:rsidR="001F58EB" w:rsidRPr="00CB6FA2">
        <w:rPr>
          <w:rFonts w:ascii="Arial" w:hAnsi="Arial" w:cs="Arial"/>
          <w:b/>
          <w:sz w:val="28"/>
          <w:szCs w:val="28"/>
        </w:rPr>
        <w:t xml:space="preserve">ACCORDANCE WITH THE GUIDANCE ISSUED BY THE SECRETARY OF STATE </w:t>
      </w:r>
      <w:r w:rsidR="00C212C9" w:rsidRPr="00CB6FA2">
        <w:rPr>
          <w:rFonts w:ascii="Arial" w:hAnsi="Arial" w:cs="Arial"/>
          <w:b/>
          <w:sz w:val="28"/>
          <w:szCs w:val="28"/>
        </w:rPr>
        <w:t xml:space="preserve">FOR NORTHERN IRELAND </w:t>
      </w:r>
      <w:r w:rsidR="001F58EB" w:rsidRPr="00CB6FA2">
        <w:rPr>
          <w:rFonts w:ascii="Arial" w:hAnsi="Arial" w:cs="Arial"/>
          <w:b/>
          <w:sz w:val="28"/>
          <w:szCs w:val="28"/>
        </w:rPr>
        <w:t>UNDER THE PROVISIONS OF THE NORTHERN IRELAND (EXECUTIVE FORMATION AND EXERCISE OF FUNCTIONS) ACT 2018</w:t>
      </w:r>
      <w:r w:rsidR="001F58EB" w:rsidRPr="00E949BE">
        <w:rPr>
          <w:rFonts w:ascii="Arial" w:hAnsi="Arial" w:cs="Arial"/>
          <w:b/>
          <w:sz w:val="28"/>
          <w:szCs w:val="28"/>
        </w:rPr>
        <w:t xml:space="preserve"> </w:t>
      </w:r>
    </w:p>
    <w:p w:rsidR="001F58EB" w:rsidRPr="00E949BE" w:rsidRDefault="001F58EB" w:rsidP="00632DE8">
      <w:pPr>
        <w:ind w:left="0" w:firstLine="0"/>
        <w:rPr>
          <w:rFonts w:ascii="Arial" w:hAnsi="Arial" w:cs="Arial"/>
        </w:rPr>
      </w:pPr>
    </w:p>
    <w:p w:rsidR="00632DE8" w:rsidRPr="00E949BE" w:rsidRDefault="00632DE8" w:rsidP="005348C6">
      <w:pPr>
        <w:ind w:left="0" w:firstLine="0"/>
        <w:rPr>
          <w:rFonts w:ascii="Arial" w:hAnsi="Arial" w:cs="Arial"/>
        </w:rPr>
      </w:pPr>
      <w:r w:rsidRPr="00E949BE">
        <w:rPr>
          <w:rFonts w:ascii="Arial" w:hAnsi="Arial" w:cs="Arial"/>
        </w:rPr>
        <w:t xml:space="preserve">On 5 November 2018 the Secretary of State </w:t>
      </w:r>
      <w:r w:rsidR="00086567" w:rsidRPr="00E949BE">
        <w:rPr>
          <w:rFonts w:ascii="Arial" w:hAnsi="Arial" w:cs="Arial"/>
        </w:rPr>
        <w:t>for Northern Ire</w:t>
      </w:r>
      <w:r w:rsidR="00503A9D" w:rsidRPr="00E949BE">
        <w:rPr>
          <w:rFonts w:ascii="Arial" w:hAnsi="Arial" w:cs="Arial"/>
        </w:rPr>
        <w:t>land, in accordance with section 3(2) of the Northern Ireland (Ex</w:t>
      </w:r>
      <w:r w:rsidR="009C41E3" w:rsidRPr="00E949BE">
        <w:rPr>
          <w:rFonts w:ascii="Arial" w:hAnsi="Arial" w:cs="Arial"/>
        </w:rPr>
        <w:t xml:space="preserve">ecutive Formation and Exercise </w:t>
      </w:r>
      <w:r w:rsidR="00503A9D" w:rsidRPr="00E949BE">
        <w:rPr>
          <w:rFonts w:ascii="Arial" w:hAnsi="Arial" w:cs="Arial"/>
        </w:rPr>
        <w:t>of Functions) Act</w:t>
      </w:r>
      <w:r w:rsidR="00877BB5" w:rsidRPr="00E949BE">
        <w:rPr>
          <w:rFonts w:ascii="Arial" w:hAnsi="Arial" w:cs="Arial"/>
        </w:rPr>
        <w:t xml:space="preserve"> 2018</w:t>
      </w:r>
      <w:r w:rsidR="009C41E3" w:rsidRPr="00E949BE">
        <w:rPr>
          <w:rFonts w:ascii="Arial" w:hAnsi="Arial" w:cs="Arial"/>
        </w:rPr>
        <w:t>,</w:t>
      </w:r>
      <w:r w:rsidR="00503A9D" w:rsidRPr="00E949BE">
        <w:rPr>
          <w:rFonts w:ascii="Arial" w:hAnsi="Arial" w:cs="Arial"/>
        </w:rPr>
        <w:t xml:space="preserve"> </w:t>
      </w:r>
      <w:r w:rsidRPr="00E949BE">
        <w:rPr>
          <w:rFonts w:ascii="Arial" w:hAnsi="Arial" w:cs="Arial"/>
        </w:rPr>
        <w:t xml:space="preserve">published guidance </w:t>
      </w:r>
      <w:r w:rsidR="00503A9D" w:rsidRPr="00E949BE">
        <w:rPr>
          <w:rFonts w:ascii="Arial" w:hAnsi="Arial" w:cs="Arial"/>
        </w:rPr>
        <w:t xml:space="preserve">about the exercise of the functions of </w:t>
      </w:r>
      <w:r w:rsidRPr="00E949BE">
        <w:rPr>
          <w:rFonts w:ascii="Arial" w:hAnsi="Arial" w:cs="Arial"/>
        </w:rPr>
        <w:t>Northern Ireland departments during the period for Executive Formation</w:t>
      </w:r>
      <w:r w:rsidR="00E23ECD" w:rsidRPr="00E949BE">
        <w:rPr>
          <w:rFonts w:ascii="Arial" w:hAnsi="Arial" w:cs="Arial"/>
        </w:rPr>
        <w:t>.</w:t>
      </w:r>
      <w:r w:rsidRPr="00E949BE">
        <w:rPr>
          <w:rFonts w:ascii="Arial" w:hAnsi="Arial" w:cs="Arial"/>
        </w:rPr>
        <w:t xml:space="preserve">  </w:t>
      </w:r>
      <w:r w:rsidR="00503A9D" w:rsidRPr="00E949BE">
        <w:rPr>
          <w:rFonts w:ascii="Arial" w:hAnsi="Arial" w:cs="Arial"/>
        </w:rPr>
        <w:t xml:space="preserve">This </w:t>
      </w:r>
      <w:r w:rsidR="005348C6" w:rsidRPr="00E949BE">
        <w:rPr>
          <w:rFonts w:ascii="Arial" w:hAnsi="Arial" w:cs="Arial"/>
        </w:rPr>
        <w:t>guidance requires N</w:t>
      </w:r>
      <w:r w:rsidR="00503A9D" w:rsidRPr="00E949BE">
        <w:rPr>
          <w:rFonts w:ascii="Arial" w:hAnsi="Arial" w:cs="Arial"/>
        </w:rPr>
        <w:t xml:space="preserve">orthern Ireland </w:t>
      </w:r>
      <w:r w:rsidRPr="00E949BE">
        <w:rPr>
          <w:rFonts w:ascii="Arial" w:hAnsi="Arial" w:cs="Arial"/>
        </w:rPr>
        <w:t xml:space="preserve">departments </w:t>
      </w:r>
      <w:r w:rsidR="00503A9D" w:rsidRPr="00E949BE">
        <w:rPr>
          <w:rFonts w:ascii="Arial" w:hAnsi="Arial" w:cs="Arial"/>
        </w:rPr>
        <w:t xml:space="preserve">to prepare </w:t>
      </w:r>
      <w:r w:rsidRPr="00E949BE">
        <w:rPr>
          <w:rFonts w:ascii="Arial" w:hAnsi="Arial" w:cs="Arial"/>
        </w:rPr>
        <w:t xml:space="preserve">a monthly summary report of decisions </w:t>
      </w:r>
      <w:r w:rsidR="00CC34AD" w:rsidRPr="00E949BE">
        <w:rPr>
          <w:rFonts w:ascii="Arial" w:hAnsi="Arial" w:cs="Arial"/>
        </w:rPr>
        <w:t xml:space="preserve">taken </w:t>
      </w:r>
      <w:r w:rsidR="00C761D6" w:rsidRPr="00E949BE">
        <w:rPr>
          <w:rFonts w:ascii="Arial" w:hAnsi="Arial" w:cs="Arial"/>
        </w:rPr>
        <w:t xml:space="preserve">by senior officials </w:t>
      </w:r>
      <w:r w:rsidR="00CC34AD" w:rsidRPr="00E949BE">
        <w:rPr>
          <w:rFonts w:ascii="Arial" w:hAnsi="Arial" w:cs="Arial"/>
        </w:rPr>
        <w:t xml:space="preserve">using the guidance </w:t>
      </w:r>
      <w:r w:rsidR="00503A9D" w:rsidRPr="00E949BE">
        <w:rPr>
          <w:rFonts w:ascii="Arial" w:hAnsi="Arial" w:cs="Arial"/>
        </w:rPr>
        <w:t xml:space="preserve">and to share this with </w:t>
      </w:r>
      <w:r w:rsidRPr="00E949BE">
        <w:rPr>
          <w:rFonts w:ascii="Arial" w:hAnsi="Arial" w:cs="Arial"/>
        </w:rPr>
        <w:t>the Secretary of State</w:t>
      </w:r>
      <w:r w:rsidR="005348C6" w:rsidRPr="00E949BE">
        <w:rPr>
          <w:rFonts w:ascii="Arial" w:hAnsi="Arial" w:cs="Arial"/>
        </w:rPr>
        <w:t>,</w:t>
      </w:r>
      <w:r w:rsidRPr="00E949BE">
        <w:rPr>
          <w:rFonts w:ascii="Arial" w:hAnsi="Arial" w:cs="Arial"/>
        </w:rPr>
        <w:t xml:space="preserve"> who will </w:t>
      </w:r>
      <w:r w:rsidR="005348C6" w:rsidRPr="00E949BE">
        <w:rPr>
          <w:rFonts w:ascii="Arial" w:hAnsi="Arial" w:cs="Arial"/>
        </w:rPr>
        <w:t xml:space="preserve">in turn </w:t>
      </w:r>
      <w:r w:rsidR="00503A9D" w:rsidRPr="00E949BE">
        <w:rPr>
          <w:rFonts w:ascii="Arial" w:hAnsi="Arial" w:cs="Arial"/>
        </w:rPr>
        <w:t xml:space="preserve">promptly </w:t>
      </w:r>
      <w:r w:rsidRPr="00E949BE">
        <w:rPr>
          <w:rFonts w:ascii="Arial" w:hAnsi="Arial" w:cs="Arial"/>
        </w:rPr>
        <w:t>make it available to Parliament and to the N</w:t>
      </w:r>
      <w:r w:rsidR="00877BB5" w:rsidRPr="00E949BE">
        <w:rPr>
          <w:rFonts w:ascii="Arial" w:hAnsi="Arial" w:cs="Arial"/>
        </w:rPr>
        <w:t xml:space="preserve">orthern </w:t>
      </w:r>
      <w:r w:rsidRPr="00E949BE">
        <w:rPr>
          <w:rFonts w:ascii="Arial" w:hAnsi="Arial" w:cs="Arial"/>
        </w:rPr>
        <w:t>I</w:t>
      </w:r>
      <w:r w:rsidR="00877BB5" w:rsidRPr="00E949BE">
        <w:rPr>
          <w:rFonts w:ascii="Arial" w:hAnsi="Arial" w:cs="Arial"/>
        </w:rPr>
        <w:t>reland</w:t>
      </w:r>
      <w:r w:rsidRPr="00E949BE">
        <w:rPr>
          <w:rFonts w:ascii="Arial" w:hAnsi="Arial" w:cs="Arial"/>
        </w:rPr>
        <w:t xml:space="preserve"> political parties.</w:t>
      </w:r>
    </w:p>
    <w:p w:rsidR="00CC34AD" w:rsidRPr="00E949BE" w:rsidRDefault="00CC34AD" w:rsidP="005348C6">
      <w:pPr>
        <w:ind w:left="0" w:firstLine="0"/>
        <w:rPr>
          <w:rFonts w:ascii="Arial" w:hAnsi="Arial" w:cs="Arial"/>
        </w:rPr>
      </w:pPr>
    </w:p>
    <w:p w:rsidR="001F58EB" w:rsidRPr="00E949BE" w:rsidRDefault="00CC34AD" w:rsidP="00CC34AD">
      <w:pPr>
        <w:ind w:left="0" w:firstLine="0"/>
        <w:rPr>
          <w:rFonts w:ascii="Arial" w:hAnsi="Arial" w:cs="Arial"/>
          <w:b/>
          <w:sz w:val="28"/>
          <w:szCs w:val="28"/>
        </w:rPr>
      </w:pPr>
      <w:r w:rsidRPr="00E949BE">
        <w:rPr>
          <w:rFonts w:ascii="Arial" w:hAnsi="Arial" w:cs="Arial"/>
        </w:rPr>
        <w:t xml:space="preserve">This Summary Report </w:t>
      </w:r>
      <w:r w:rsidR="00877BB5" w:rsidRPr="00E949BE">
        <w:rPr>
          <w:rFonts w:ascii="Arial" w:hAnsi="Arial" w:cs="Arial"/>
        </w:rPr>
        <w:t xml:space="preserve">has been </w:t>
      </w:r>
      <w:r w:rsidR="00503A9D" w:rsidRPr="00E949BE">
        <w:rPr>
          <w:rFonts w:ascii="Arial" w:hAnsi="Arial" w:cs="Arial"/>
        </w:rPr>
        <w:t xml:space="preserve">prepared by the Executive Office </w:t>
      </w:r>
      <w:r w:rsidR="00877BB5" w:rsidRPr="00E949BE">
        <w:rPr>
          <w:rFonts w:ascii="Arial" w:hAnsi="Arial" w:cs="Arial"/>
        </w:rPr>
        <w:t xml:space="preserve">and </w:t>
      </w:r>
      <w:r w:rsidR="00503A9D" w:rsidRPr="00E949BE">
        <w:rPr>
          <w:rFonts w:ascii="Arial" w:hAnsi="Arial" w:cs="Arial"/>
        </w:rPr>
        <w:t xml:space="preserve">provides information on </w:t>
      </w:r>
      <w:r w:rsidRPr="00E949BE">
        <w:rPr>
          <w:rFonts w:ascii="Arial" w:hAnsi="Arial" w:cs="Arial"/>
        </w:rPr>
        <w:t>the decisions taken by N</w:t>
      </w:r>
      <w:r w:rsidR="00503A9D" w:rsidRPr="00E949BE">
        <w:rPr>
          <w:rFonts w:ascii="Arial" w:hAnsi="Arial" w:cs="Arial"/>
        </w:rPr>
        <w:t xml:space="preserve">orthern </w:t>
      </w:r>
      <w:r w:rsidRPr="00E949BE">
        <w:rPr>
          <w:rFonts w:ascii="Arial" w:hAnsi="Arial" w:cs="Arial"/>
        </w:rPr>
        <w:t>I</w:t>
      </w:r>
      <w:r w:rsidR="00486872" w:rsidRPr="00E949BE">
        <w:rPr>
          <w:rFonts w:ascii="Arial" w:hAnsi="Arial" w:cs="Arial"/>
        </w:rPr>
        <w:t>reland</w:t>
      </w:r>
      <w:r w:rsidRPr="00E949BE">
        <w:rPr>
          <w:rFonts w:ascii="Arial" w:hAnsi="Arial" w:cs="Arial"/>
        </w:rPr>
        <w:t xml:space="preserve"> departments </w:t>
      </w:r>
      <w:r w:rsidR="00D82650" w:rsidRPr="00E949BE">
        <w:rPr>
          <w:rFonts w:ascii="Arial" w:hAnsi="Arial" w:cs="Arial"/>
        </w:rPr>
        <w:t xml:space="preserve">in </w:t>
      </w:r>
      <w:r w:rsidR="00F4058D">
        <w:rPr>
          <w:rFonts w:ascii="Arial" w:hAnsi="Arial" w:cs="Arial"/>
        </w:rPr>
        <w:t>June</w:t>
      </w:r>
      <w:r w:rsidR="00B90A24" w:rsidRPr="00E949BE">
        <w:rPr>
          <w:rFonts w:ascii="Arial" w:hAnsi="Arial" w:cs="Arial"/>
        </w:rPr>
        <w:t xml:space="preserve"> </w:t>
      </w:r>
      <w:r w:rsidR="00FB500E" w:rsidRPr="00E949BE">
        <w:rPr>
          <w:rFonts w:ascii="Arial" w:hAnsi="Arial" w:cs="Arial"/>
        </w:rPr>
        <w:t>2019</w:t>
      </w:r>
      <w:r w:rsidR="00503A9D" w:rsidRPr="00E949BE">
        <w:rPr>
          <w:rFonts w:ascii="Arial" w:hAnsi="Arial" w:cs="Arial"/>
        </w:rPr>
        <w:t>.</w:t>
      </w:r>
      <w:r w:rsidRPr="00E949BE">
        <w:rPr>
          <w:rFonts w:ascii="Arial" w:hAnsi="Arial" w:cs="Arial"/>
        </w:rPr>
        <w:t xml:space="preserve"> </w:t>
      </w:r>
    </w:p>
    <w:p w:rsidR="001F58EB" w:rsidRPr="00E949BE" w:rsidRDefault="001F58EB" w:rsidP="001F58EB">
      <w:pPr>
        <w:rPr>
          <w:rFonts w:ascii="Arial" w:hAnsi="Arial" w:cs="Arial"/>
          <w:b/>
          <w:sz w:val="28"/>
          <w:szCs w:val="28"/>
        </w:rPr>
      </w:pPr>
    </w:p>
    <w:tbl>
      <w:tblPr>
        <w:tblW w:w="0" w:type="auto"/>
        <w:tblLayout w:type="fixed"/>
        <w:tblLook w:val="04A0" w:firstRow="1" w:lastRow="0" w:firstColumn="1" w:lastColumn="0" w:noHBand="0" w:noVBand="1"/>
      </w:tblPr>
      <w:tblGrid>
        <w:gridCol w:w="1985"/>
        <w:gridCol w:w="7041"/>
      </w:tblGrid>
      <w:tr w:rsidR="001F58EB" w:rsidRPr="00E949BE" w:rsidTr="00AB2286">
        <w:trPr>
          <w:trHeight w:val="663"/>
        </w:trPr>
        <w:tc>
          <w:tcPr>
            <w:tcW w:w="9026" w:type="dxa"/>
            <w:gridSpan w:val="2"/>
            <w:hideMark/>
          </w:tcPr>
          <w:p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00F4058D">
              <w:rPr>
                <w:rFonts w:ascii="Arial" w:hAnsi="Arial" w:cs="Arial"/>
                <w:b/>
                <w:sz w:val="28"/>
                <w:szCs w:val="28"/>
              </w:rPr>
              <w:t xml:space="preserve"> Departments: June</w:t>
            </w:r>
            <w:r w:rsidR="00AB2286" w:rsidRPr="00E949BE">
              <w:rPr>
                <w:rFonts w:ascii="Arial" w:hAnsi="Arial" w:cs="Arial"/>
                <w:b/>
                <w:sz w:val="28"/>
                <w:szCs w:val="28"/>
              </w:rPr>
              <w:t xml:space="preserve"> </w:t>
            </w:r>
            <w:r w:rsidRPr="00E949BE">
              <w:rPr>
                <w:rFonts w:ascii="Arial" w:hAnsi="Arial" w:cs="Arial"/>
                <w:b/>
                <w:sz w:val="28"/>
                <w:szCs w:val="28"/>
              </w:rPr>
              <w:t>201</w:t>
            </w:r>
            <w:r w:rsidR="00AB2286" w:rsidRPr="00E949BE">
              <w:rPr>
                <w:rFonts w:ascii="Arial" w:hAnsi="Arial" w:cs="Arial"/>
                <w:b/>
                <w:sz w:val="28"/>
                <w:szCs w:val="28"/>
              </w:rPr>
              <w:t>9</w:t>
            </w:r>
            <w:r w:rsidRPr="00E949BE">
              <w:rPr>
                <w:rFonts w:ascii="Arial" w:hAnsi="Arial" w:cs="Arial"/>
                <w:b/>
                <w:sz w:val="28"/>
                <w:szCs w:val="28"/>
              </w:rPr>
              <w:t xml:space="preserve"> </w:t>
            </w:r>
          </w:p>
          <w:p w:rsidR="0029710F" w:rsidRPr="00E949BE" w:rsidRDefault="0029710F" w:rsidP="0029710F">
            <w:pPr>
              <w:rPr>
                <w:rFonts w:ascii="Arial" w:hAnsi="Arial" w:cs="Arial"/>
                <w:b/>
              </w:rPr>
            </w:pPr>
          </w:p>
        </w:tc>
      </w:tr>
      <w:tr w:rsidR="00FB2F61" w:rsidRPr="00E949BE" w:rsidTr="00E0646F">
        <w:trPr>
          <w:trHeight w:val="554"/>
        </w:trPr>
        <w:tc>
          <w:tcPr>
            <w:tcW w:w="1985" w:type="dxa"/>
            <w:hideMark/>
          </w:tcPr>
          <w:p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rsidR="0029710F" w:rsidRPr="00E949BE"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tc>
      </w:tr>
      <w:tr w:rsidR="00E70308" w:rsidRPr="00E949BE" w:rsidTr="00FB2F61">
        <w:tc>
          <w:tcPr>
            <w:tcW w:w="1985" w:type="dxa"/>
            <w:vMerge w:val="restart"/>
          </w:tcPr>
          <w:p w:rsidR="00E70308" w:rsidRPr="00175EDA" w:rsidRDefault="00E70308" w:rsidP="00175EDA">
            <w:pPr>
              <w:ind w:left="0" w:firstLine="0"/>
              <w:jc w:val="left"/>
              <w:rPr>
                <w:rFonts w:ascii="Arial" w:hAnsi="Arial" w:cs="Arial"/>
                <w:b/>
              </w:rPr>
            </w:pPr>
            <w:r w:rsidRPr="00175EDA">
              <w:rPr>
                <w:rFonts w:ascii="Arial" w:hAnsi="Arial" w:cs="Arial"/>
                <w:b/>
              </w:rPr>
              <w:t xml:space="preserve">Department </w:t>
            </w:r>
          </w:p>
          <w:p w:rsidR="00166036" w:rsidRDefault="00E70308" w:rsidP="00175EDA">
            <w:pPr>
              <w:ind w:left="0" w:firstLine="0"/>
              <w:jc w:val="left"/>
              <w:rPr>
                <w:rFonts w:ascii="Arial" w:hAnsi="Arial" w:cs="Arial"/>
                <w:b/>
              </w:rPr>
            </w:pPr>
            <w:r w:rsidRPr="00175EDA">
              <w:rPr>
                <w:rFonts w:ascii="Arial" w:hAnsi="Arial" w:cs="Arial"/>
                <w:b/>
              </w:rPr>
              <w:t>of Agriculture, Environment and Rural Affairs</w:t>
            </w:r>
            <w:r>
              <w:rPr>
                <w:rFonts w:ascii="Arial" w:hAnsi="Arial" w:cs="Arial"/>
                <w:b/>
              </w:rPr>
              <w:t xml:space="preserve"> </w:t>
            </w:r>
          </w:p>
          <w:p w:rsidR="00E70308" w:rsidRPr="00166036" w:rsidRDefault="00E70308" w:rsidP="00175EDA">
            <w:pPr>
              <w:ind w:left="0" w:firstLine="0"/>
              <w:jc w:val="left"/>
              <w:rPr>
                <w:rFonts w:ascii="Arial" w:hAnsi="Arial" w:cs="Arial"/>
                <w:b/>
                <w:color w:val="FF0000"/>
              </w:rPr>
            </w:pPr>
          </w:p>
          <w:p w:rsidR="00E70308" w:rsidRPr="007D29A6" w:rsidRDefault="00E70308" w:rsidP="00175EDA">
            <w:pPr>
              <w:ind w:left="0" w:firstLine="0"/>
              <w:jc w:val="left"/>
              <w:rPr>
                <w:rFonts w:ascii="Arial" w:hAnsi="Arial" w:cs="Arial"/>
                <w:b/>
                <w:i/>
                <w:color w:val="0070C0"/>
              </w:rPr>
            </w:pPr>
          </w:p>
        </w:tc>
        <w:tc>
          <w:tcPr>
            <w:tcW w:w="7041" w:type="dxa"/>
          </w:tcPr>
          <w:p w:rsidR="00E70308" w:rsidRPr="00AB412B" w:rsidRDefault="00E70308" w:rsidP="006D69AF">
            <w:pPr>
              <w:ind w:left="0" w:firstLine="0"/>
              <w:rPr>
                <w:rFonts w:ascii="Arial" w:hAnsi="Arial" w:cs="Arial"/>
              </w:rPr>
            </w:pPr>
            <w:r w:rsidRPr="00AB412B">
              <w:rPr>
                <w:rFonts w:ascii="Arial" w:hAnsi="Arial" w:cs="Arial"/>
              </w:rPr>
              <w:t xml:space="preserve">A decision was taken to </w:t>
            </w:r>
            <w:r w:rsidR="00AB412B" w:rsidRPr="00AB412B">
              <w:rPr>
                <w:rFonts w:ascii="Arial" w:hAnsi="Arial" w:cs="Arial"/>
              </w:rPr>
              <w:t xml:space="preserve">approve the publication of the Marine Science Co-ordination Committee (MSCC) “UK Marine Science for </w:t>
            </w:r>
            <w:r w:rsidR="00AB412B" w:rsidRPr="00B03A16">
              <w:rPr>
                <w:rFonts w:ascii="Arial" w:hAnsi="Arial" w:cs="Arial"/>
              </w:rPr>
              <w:t xml:space="preserve">Sustainable and Productive Seas” Road Map, and </w:t>
            </w:r>
            <w:r w:rsidR="00AB412B" w:rsidRPr="00AB412B">
              <w:rPr>
                <w:rFonts w:ascii="Arial" w:hAnsi="Arial" w:cs="Arial"/>
              </w:rPr>
              <w:t>the inclusion of DAERA in the list of Marine Science Co-ordinating Committee members.</w:t>
            </w:r>
          </w:p>
          <w:p w:rsidR="00E70308" w:rsidRPr="00665E37" w:rsidRDefault="00E70308" w:rsidP="006D69AF">
            <w:pPr>
              <w:ind w:left="0" w:firstLine="0"/>
              <w:rPr>
                <w:rFonts w:ascii="Arial" w:hAnsi="Arial" w:cs="Arial"/>
                <w:i/>
                <w:color w:val="0070C0"/>
              </w:rPr>
            </w:pPr>
          </w:p>
        </w:tc>
      </w:tr>
      <w:tr w:rsidR="00E70308" w:rsidRPr="00E949BE" w:rsidTr="00FB2F61">
        <w:tc>
          <w:tcPr>
            <w:tcW w:w="1985" w:type="dxa"/>
            <w:vMerge/>
          </w:tcPr>
          <w:p w:rsidR="00E70308" w:rsidRPr="00175EDA" w:rsidRDefault="00E70308" w:rsidP="00175EDA">
            <w:pPr>
              <w:ind w:left="0" w:firstLine="0"/>
              <w:jc w:val="left"/>
              <w:rPr>
                <w:rFonts w:ascii="Arial" w:hAnsi="Arial" w:cs="Arial"/>
                <w:b/>
              </w:rPr>
            </w:pPr>
          </w:p>
        </w:tc>
        <w:tc>
          <w:tcPr>
            <w:tcW w:w="7041" w:type="dxa"/>
          </w:tcPr>
          <w:p w:rsidR="00AB412B" w:rsidRPr="00AB412B" w:rsidRDefault="00E70308" w:rsidP="00AB412B">
            <w:pPr>
              <w:ind w:left="0" w:firstLine="0"/>
              <w:rPr>
                <w:rFonts w:ascii="Arial" w:hAnsi="Arial" w:cs="Arial"/>
              </w:rPr>
            </w:pPr>
            <w:r w:rsidRPr="00AB412B">
              <w:rPr>
                <w:rFonts w:ascii="Arial" w:hAnsi="Arial" w:cs="Arial"/>
              </w:rPr>
              <w:t xml:space="preserve">A decision was taken to </w:t>
            </w:r>
            <w:r w:rsidR="00AB412B" w:rsidRPr="00AB412B">
              <w:rPr>
                <w:rFonts w:ascii="Arial" w:hAnsi="Arial" w:cs="Arial"/>
              </w:rPr>
              <w:t>publish a consultation on proposals for a new bovine numbering regime</w:t>
            </w:r>
            <w:r w:rsidR="00F14ECA">
              <w:rPr>
                <w:rFonts w:ascii="Arial" w:hAnsi="Arial" w:cs="Arial"/>
              </w:rPr>
              <w:t>, to</w:t>
            </w:r>
            <w:r w:rsidR="00AB412B" w:rsidRPr="00AB412B">
              <w:rPr>
                <w:rFonts w:ascii="Arial" w:hAnsi="Arial" w:cs="Arial"/>
              </w:rPr>
              <w:t xml:space="preserve"> facilitate electronic identification (EID) and ensure compliance with the International Committee for Animal Recording (ICAR) and International Organisation for Standardisation (ISO) standards.</w:t>
            </w:r>
          </w:p>
        </w:tc>
      </w:tr>
      <w:tr w:rsidR="00CA52C9" w:rsidRPr="00E949BE" w:rsidTr="00FB2F61">
        <w:tc>
          <w:tcPr>
            <w:tcW w:w="1985" w:type="dxa"/>
          </w:tcPr>
          <w:p w:rsidR="00CA52C9" w:rsidRPr="00CA52C9" w:rsidRDefault="00CA52C9" w:rsidP="00CA52C9">
            <w:pPr>
              <w:ind w:left="0" w:firstLine="0"/>
              <w:jc w:val="left"/>
              <w:rPr>
                <w:rFonts w:ascii="Arial" w:hAnsi="Arial" w:cs="Arial"/>
                <w:b/>
              </w:rPr>
            </w:pPr>
            <w:r w:rsidRPr="00CA52C9">
              <w:rPr>
                <w:rFonts w:ascii="Arial" w:hAnsi="Arial" w:cs="Arial"/>
                <w:b/>
              </w:rPr>
              <w:t xml:space="preserve">Department </w:t>
            </w:r>
          </w:p>
          <w:p w:rsidR="00CA52C9" w:rsidRPr="00CA52C9" w:rsidRDefault="00CA52C9" w:rsidP="00CA52C9">
            <w:pPr>
              <w:ind w:left="0" w:firstLine="0"/>
              <w:jc w:val="left"/>
              <w:rPr>
                <w:rFonts w:ascii="Arial" w:hAnsi="Arial" w:cs="Arial"/>
                <w:b/>
              </w:rPr>
            </w:pPr>
            <w:r w:rsidRPr="00CA52C9">
              <w:rPr>
                <w:rFonts w:ascii="Arial" w:hAnsi="Arial" w:cs="Arial"/>
                <w:b/>
              </w:rPr>
              <w:t>For</w:t>
            </w:r>
          </w:p>
          <w:p w:rsidR="00CA52C9" w:rsidRPr="00175EDA" w:rsidRDefault="00CA52C9" w:rsidP="00CA52C9">
            <w:pPr>
              <w:ind w:left="0" w:firstLine="0"/>
              <w:jc w:val="left"/>
              <w:rPr>
                <w:rFonts w:ascii="Arial" w:hAnsi="Arial" w:cs="Arial"/>
                <w:b/>
              </w:rPr>
            </w:pPr>
            <w:r w:rsidRPr="00CA52C9">
              <w:rPr>
                <w:rFonts w:ascii="Arial" w:hAnsi="Arial" w:cs="Arial"/>
                <w:b/>
              </w:rPr>
              <w:t>Communities</w:t>
            </w:r>
          </w:p>
        </w:tc>
        <w:tc>
          <w:tcPr>
            <w:tcW w:w="7041" w:type="dxa"/>
          </w:tcPr>
          <w:p w:rsidR="00CA52C9" w:rsidRDefault="00CA52C9" w:rsidP="00AB412B">
            <w:pPr>
              <w:ind w:left="0" w:firstLine="0"/>
              <w:rPr>
                <w:rFonts w:ascii="Arial" w:hAnsi="Arial" w:cs="Arial"/>
              </w:rPr>
            </w:pPr>
            <w:r w:rsidRPr="00CA52C9">
              <w:rPr>
                <w:rFonts w:ascii="Arial" w:hAnsi="Arial" w:cs="Arial"/>
              </w:rPr>
              <w:t>A decision was taken to activate a Scheme of Emergency Financial Assistance to support households which had suffered from flooding.  This is consistent with the previous decisions of Ministers with responsibility for Local Government.</w:t>
            </w:r>
          </w:p>
          <w:p w:rsidR="00CA52C9" w:rsidRPr="00AB412B" w:rsidRDefault="00CA52C9" w:rsidP="00AB412B">
            <w:pPr>
              <w:ind w:left="0" w:firstLine="0"/>
              <w:rPr>
                <w:rFonts w:ascii="Arial" w:hAnsi="Arial" w:cs="Arial"/>
              </w:rPr>
            </w:pPr>
          </w:p>
        </w:tc>
      </w:tr>
      <w:tr w:rsidR="006A0CEC" w:rsidRPr="00E949BE" w:rsidTr="00FB2F61">
        <w:tc>
          <w:tcPr>
            <w:tcW w:w="1985" w:type="dxa"/>
          </w:tcPr>
          <w:p w:rsidR="00380EAE" w:rsidRPr="00380EAE" w:rsidRDefault="00380EAE">
            <w:pPr>
              <w:rPr>
                <w:rFonts w:ascii="Arial" w:hAnsi="Arial" w:cs="Arial"/>
                <w:b/>
                <w:color w:val="FF0000"/>
              </w:rPr>
            </w:pPr>
          </w:p>
          <w:p w:rsidR="00674F9F" w:rsidRPr="00674F9F" w:rsidRDefault="00674F9F">
            <w:pPr>
              <w:rPr>
                <w:rFonts w:ascii="Arial" w:hAnsi="Arial" w:cs="Arial"/>
                <w:b/>
                <w:color w:val="FF0000"/>
              </w:rPr>
            </w:pPr>
          </w:p>
          <w:p w:rsidR="006A0CEC" w:rsidRPr="00687F0D" w:rsidRDefault="006A0CEC">
            <w:pPr>
              <w:rPr>
                <w:rFonts w:ascii="Arial" w:hAnsi="Arial" w:cs="Arial"/>
                <w:b/>
                <w:color w:val="FF0000"/>
              </w:rPr>
            </w:pPr>
          </w:p>
          <w:p w:rsidR="006A0CEC" w:rsidRPr="00E949BE" w:rsidRDefault="006A0CEC">
            <w:pPr>
              <w:rPr>
                <w:rFonts w:ascii="Arial" w:hAnsi="Arial" w:cs="Arial"/>
                <w:b/>
              </w:rPr>
            </w:pPr>
          </w:p>
          <w:p w:rsidR="006A0CEC" w:rsidRPr="00E949BE" w:rsidRDefault="006A0CEC" w:rsidP="00AF0B0F">
            <w:pPr>
              <w:ind w:left="34" w:hanging="34"/>
              <w:rPr>
                <w:rFonts w:ascii="Arial" w:hAnsi="Arial" w:cs="Arial"/>
              </w:rPr>
            </w:pPr>
            <w:r w:rsidRPr="00E949BE">
              <w:rPr>
                <w:rFonts w:ascii="Arial" w:hAnsi="Arial" w:cs="Arial"/>
                <w:b/>
                <w:color w:val="FF0000"/>
              </w:rPr>
              <w:t xml:space="preserve"> </w:t>
            </w:r>
          </w:p>
        </w:tc>
        <w:tc>
          <w:tcPr>
            <w:tcW w:w="7041" w:type="dxa"/>
            <w:vMerge w:val="restart"/>
          </w:tcPr>
          <w:p w:rsidR="00380EAE" w:rsidRPr="00380EAE" w:rsidRDefault="006A0CEC" w:rsidP="00CA52C9">
            <w:pPr>
              <w:ind w:left="34" w:hanging="34"/>
              <w:rPr>
                <w:rFonts w:ascii="Arial" w:hAnsi="Arial" w:cs="Arial"/>
                <w:bCs/>
                <w:lang w:eastAsia="en-GB"/>
              </w:rPr>
            </w:pPr>
            <w:r w:rsidRPr="00380EAE">
              <w:rPr>
                <w:rFonts w:ascii="Arial" w:hAnsi="Arial" w:cs="Arial"/>
                <w:bCs/>
                <w:lang w:eastAsia="en-GB"/>
              </w:rPr>
              <w:t xml:space="preserve">The following decisions were taken in relation to public appointments: </w:t>
            </w:r>
          </w:p>
          <w:p w:rsidR="00380EAE" w:rsidRPr="00380EAE" w:rsidRDefault="00380EAE" w:rsidP="00380EAE">
            <w:pPr>
              <w:pStyle w:val="ListParagraph"/>
              <w:numPr>
                <w:ilvl w:val="0"/>
                <w:numId w:val="18"/>
              </w:numPr>
              <w:rPr>
                <w:rFonts w:ascii="Arial" w:hAnsi="Arial" w:cs="Arial"/>
                <w:bCs/>
                <w:lang w:eastAsia="en-GB"/>
              </w:rPr>
            </w:pPr>
            <w:r w:rsidRPr="00380EAE">
              <w:rPr>
                <w:rFonts w:ascii="Arial" w:hAnsi="Arial" w:cs="Arial"/>
                <w:bCs/>
                <w:lang w:eastAsia="en-GB"/>
              </w:rPr>
              <w:t>To extend the appointments of the Chair and six trustees of the Board of National Museums NI for a six m</w:t>
            </w:r>
            <w:r>
              <w:rPr>
                <w:rFonts w:ascii="Arial" w:hAnsi="Arial" w:cs="Arial"/>
                <w:bCs/>
                <w:lang w:eastAsia="en-GB"/>
              </w:rPr>
              <w:t>onth period to 31 December 2019;</w:t>
            </w:r>
            <w:r w:rsidRPr="00380EAE">
              <w:rPr>
                <w:rFonts w:ascii="Arial" w:hAnsi="Arial" w:cs="Arial"/>
                <w:bCs/>
                <w:lang w:eastAsia="en-GB"/>
              </w:rPr>
              <w:t xml:space="preserve"> </w:t>
            </w:r>
          </w:p>
          <w:p w:rsidR="00380EAE" w:rsidRPr="00380EAE" w:rsidRDefault="00380EAE" w:rsidP="00380EAE">
            <w:pPr>
              <w:ind w:left="34" w:hanging="34"/>
              <w:rPr>
                <w:rFonts w:ascii="Arial" w:hAnsi="Arial" w:cs="Arial"/>
                <w:bCs/>
                <w:lang w:eastAsia="en-GB"/>
              </w:rPr>
            </w:pPr>
          </w:p>
          <w:p w:rsidR="00380EAE" w:rsidRPr="00380EAE" w:rsidRDefault="00380EAE" w:rsidP="00380EAE">
            <w:pPr>
              <w:pStyle w:val="ListParagraph"/>
              <w:numPr>
                <w:ilvl w:val="0"/>
                <w:numId w:val="18"/>
              </w:numPr>
              <w:rPr>
                <w:rFonts w:ascii="Arial" w:hAnsi="Arial" w:cs="Arial"/>
                <w:bCs/>
                <w:lang w:eastAsia="en-GB"/>
              </w:rPr>
            </w:pPr>
            <w:r w:rsidRPr="00380EAE">
              <w:rPr>
                <w:rFonts w:ascii="Arial" w:hAnsi="Arial" w:cs="Arial"/>
                <w:bCs/>
                <w:lang w:eastAsia="en-GB"/>
              </w:rPr>
              <w:t>To appoint three members to the Board of Libraries NI for terms of up to fou</w:t>
            </w:r>
            <w:r>
              <w:rPr>
                <w:rFonts w:ascii="Arial" w:hAnsi="Arial" w:cs="Arial"/>
                <w:bCs/>
                <w:lang w:eastAsia="en-GB"/>
              </w:rPr>
              <w:t>r years starting on 1 July 2019;</w:t>
            </w:r>
            <w:r w:rsidRPr="00380EAE">
              <w:rPr>
                <w:rFonts w:ascii="Arial" w:hAnsi="Arial" w:cs="Arial"/>
                <w:bCs/>
                <w:lang w:eastAsia="en-GB"/>
              </w:rPr>
              <w:t xml:space="preserve"> </w:t>
            </w:r>
          </w:p>
          <w:p w:rsidR="00380EAE" w:rsidRPr="00380EAE" w:rsidRDefault="00380EAE" w:rsidP="00380EAE">
            <w:pPr>
              <w:ind w:left="34" w:hanging="34"/>
              <w:rPr>
                <w:rFonts w:ascii="Arial" w:hAnsi="Arial" w:cs="Arial"/>
                <w:bCs/>
                <w:lang w:eastAsia="en-GB"/>
              </w:rPr>
            </w:pPr>
            <w:r w:rsidRPr="00380EAE">
              <w:rPr>
                <w:rFonts w:ascii="Arial" w:hAnsi="Arial" w:cs="Arial"/>
                <w:bCs/>
                <w:lang w:eastAsia="en-GB"/>
              </w:rPr>
              <w:t xml:space="preserve"> </w:t>
            </w:r>
          </w:p>
          <w:p w:rsidR="00380EAE" w:rsidRPr="00380EAE" w:rsidRDefault="00380EAE" w:rsidP="00380EAE">
            <w:pPr>
              <w:pStyle w:val="ListParagraph"/>
              <w:numPr>
                <w:ilvl w:val="0"/>
                <w:numId w:val="18"/>
              </w:numPr>
              <w:rPr>
                <w:rFonts w:ascii="Arial" w:hAnsi="Arial" w:cs="Arial"/>
                <w:bCs/>
                <w:lang w:eastAsia="en-GB"/>
              </w:rPr>
            </w:pPr>
            <w:r w:rsidRPr="00380EAE">
              <w:rPr>
                <w:rFonts w:ascii="Arial" w:hAnsi="Arial" w:cs="Arial"/>
                <w:bCs/>
                <w:lang w:eastAsia="en-GB"/>
              </w:rPr>
              <w:t>To initiate a public appointment competition for Councillor membe</w:t>
            </w:r>
            <w:r>
              <w:rPr>
                <w:rFonts w:ascii="Arial" w:hAnsi="Arial" w:cs="Arial"/>
                <w:bCs/>
                <w:lang w:eastAsia="en-GB"/>
              </w:rPr>
              <w:t xml:space="preserve">rs </w:t>
            </w:r>
            <w:r w:rsidR="00F000D0">
              <w:rPr>
                <w:rFonts w:ascii="Arial" w:hAnsi="Arial" w:cs="Arial"/>
                <w:bCs/>
                <w:lang w:eastAsia="en-GB"/>
              </w:rPr>
              <w:t xml:space="preserve">of </w:t>
            </w:r>
            <w:r>
              <w:rPr>
                <w:rFonts w:ascii="Arial" w:hAnsi="Arial" w:cs="Arial"/>
                <w:bCs/>
                <w:lang w:eastAsia="en-GB"/>
              </w:rPr>
              <w:t>the Board of Libraries NI; and</w:t>
            </w:r>
            <w:r w:rsidRPr="00380EAE">
              <w:rPr>
                <w:rFonts w:ascii="Arial" w:hAnsi="Arial" w:cs="Arial"/>
                <w:bCs/>
                <w:lang w:eastAsia="en-GB"/>
              </w:rPr>
              <w:t xml:space="preserve">  </w:t>
            </w:r>
          </w:p>
          <w:p w:rsidR="00380EAE" w:rsidRPr="00380EAE" w:rsidRDefault="00380EAE" w:rsidP="00380EAE">
            <w:pPr>
              <w:ind w:left="34" w:hanging="34"/>
              <w:rPr>
                <w:rFonts w:ascii="Arial" w:hAnsi="Arial" w:cs="Arial"/>
                <w:bCs/>
                <w:lang w:eastAsia="en-GB"/>
              </w:rPr>
            </w:pPr>
            <w:r w:rsidRPr="00380EAE">
              <w:rPr>
                <w:rFonts w:ascii="Arial" w:hAnsi="Arial" w:cs="Arial"/>
                <w:bCs/>
                <w:lang w:eastAsia="en-GB"/>
              </w:rPr>
              <w:t xml:space="preserve"> </w:t>
            </w:r>
          </w:p>
          <w:p w:rsidR="006A0CEC" w:rsidRPr="00380EAE" w:rsidRDefault="00380EAE" w:rsidP="00380EAE">
            <w:pPr>
              <w:pStyle w:val="ListParagraph"/>
              <w:numPr>
                <w:ilvl w:val="0"/>
                <w:numId w:val="18"/>
              </w:numPr>
              <w:rPr>
                <w:rFonts w:ascii="Arial" w:hAnsi="Arial" w:cs="Arial"/>
                <w:bCs/>
                <w:lang w:eastAsia="en-GB"/>
              </w:rPr>
            </w:pPr>
            <w:r w:rsidRPr="00380EAE">
              <w:rPr>
                <w:rFonts w:ascii="Arial" w:hAnsi="Arial" w:cs="Arial"/>
                <w:bCs/>
                <w:lang w:eastAsia="en-GB"/>
              </w:rPr>
              <w:t xml:space="preserve">To endorse the </w:t>
            </w:r>
            <w:r w:rsidR="00F000D0" w:rsidRPr="00380EAE">
              <w:rPr>
                <w:rFonts w:ascii="Arial" w:hAnsi="Arial" w:cs="Arial"/>
                <w:bCs/>
                <w:lang w:eastAsia="en-GB"/>
              </w:rPr>
              <w:t xml:space="preserve">decision </w:t>
            </w:r>
            <w:r w:rsidR="00F000D0">
              <w:rPr>
                <w:rFonts w:ascii="Arial" w:hAnsi="Arial" w:cs="Arial"/>
                <w:bCs/>
                <w:lang w:eastAsia="en-GB"/>
              </w:rPr>
              <w:t>of the Permanent Secretary</w:t>
            </w:r>
            <w:r w:rsidR="00F000D0" w:rsidRPr="00380EAE">
              <w:rPr>
                <w:rFonts w:ascii="Arial" w:hAnsi="Arial" w:cs="Arial"/>
                <w:bCs/>
                <w:lang w:eastAsia="en-GB"/>
              </w:rPr>
              <w:t xml:space="preserve"> </w:t>
            </w:r>
            <w:r w:rsidR="00F000D0">
              <w:rPr>
                <w:rFonts w:ascii="Arial" w:hAnsi="Arial" w:cs="Arial"/>
                <w:bCs/>
                <w:lang w:eastAsia="en-GB"/>
              </w:rPr>
              <w:t xml:space="preserve">of the </w:t>
            </w:r>
            <w:r w:rsidRPr="00380EAE">
              <w:rPr>
                <w:rFonts w:ascii="Arial" w:hAnsi="Arial" w:cs="Arial"/>
                <w:bCs/>
                <w:lang w:eastAsia="en-GB"/>
              </w:rPr>
              <w:t xml:space="preserve">Department for </w:t>
            </w:r>
            <w:r>
              <w:rPr>
                <w:rFonts w:ascii="Arial" w:hAnsi="Arial" w:cs="Arial"/>
                <w:bCs/>
                <w:lang w:eastAsia="en-GB"/>
              </w:rPr>
              <w:t xml:space="preserve">the </w:t>
            </w:r>
            <w:r w:rsidRPr="00380EAE">
              <w:rPr>
                <w:rFonts w:ascii="Arial" w:hAnsi="Arial" w:cs="Arial"/>
                <w:bCs/>
                <w:lang w:eastAsia="en-GB"/>
              </w:rPr>
              <w:t xml:space="preserve">Economy to exercise the power to appoint and reappoint </w:t>
            </w:r>
            <w:r w:rsidR="00F000D0" w:rsidRPr="00380EAE">
              <w:rPr>
                <w:rFonts w:ascii="Arial" w:hAnsi="Arial" w:cs="Arial"/>
                <w:bCs/>
                <w:lang w:eastAsia="en-GB"/>
              </w:rPr>
              <w:t xml:space="preserve">Board members </w:t>
            </w:r>
            <w:r w:rsidR="00F000D0">
              <w:rPr>
                <w:rFonts w:ascii="Arial" w:hAnsi="Arial" w:cs="Arial"/>
                <w:bCs/>
                <w:lang w:eastAsia="en-GB"/>
              </w:rPr>
              <w:t xml:space="preserve">of </w:t>
            </w:r>
            <w:r w:rsidRPr="00380EAE">
              <w:rPr>
                <w:rFonts w:ascii="Arial" w:hAnsi="Arial" w:cs="Arial"/>
                <w:bCs/>
                <w:lang w:eastAsia="en-GB"/>
              </w:rPr>
              <w:t>Northern Ireland Screen.</w:t>
            </w:r>
          </w:p>
          <w:p w:rsidR="00380EAE" w:rsidRPr="00665E37" w:rsidRDefault="00380EAE" w:rsidP="00380EAE">
            <w:pPr>
              <w:ind w:left="34" w:hanging="34"/>
              <w:rPr>
                <w:rFonts w:ascii="Arial" w:eastAsia="Calibri" w:hAnsi="Arial" w:cs="Arial"/>
                <w:i/>
              </w:rPr>
            </w:pPr>
          </w:p>
        </w:tc>
      </w:tr>
      <w:tr w:rsidR="006A0CEC" w:rsidRPr="00DF36BC" w:rsidTr="00FB2F61">
        <w:tc>
          <w:tcPr>
            <w:tcW w:w="1985" w:type="dxa"/>
          </w:tcPr>
          <w:p w:rsidR="006A0CEC" w:rsidRPr="00DF36BC" w:rsidRDefault="006A0CEC">
            <w:pPr>
              <w:rPr>
                <w:rFonts w:ascii="Arial" w:hAnsi="Arial" w:cs="Arial"/>
              </w:rPr>
            </w:pPr>
          </w:p>
        </w:tc>
        <w:tc>
          <w:tcPr>
            <w:tcW w:w="7041" w:type="dxa"/>
            <w:vMerge/>
          </w:tcPr>
          <w:p w:rsidR="006A0CEC" w:rsidRPr="006A0CEC" w:rsidRDefault="006A0CEC" w:rsidP="006A0CEC">
            <w:pPr>
              <w:pStyle w:val="ListParagraph"/>
              <w:numPr>
                <w:ilvl w:val="0"/>
                <w:numId w:val="14"/>
              </w:numPr>
              <w:rPr>
                <w:rFonts w:ascii="Arial" w:hAnsi="Arial" w:cs="Arial"/>
                <w:bCs/>
                <w:lang w:eastAsia="en-GB"/>
              </w:rPr>
            </w:pPr>
          </w:p>
        </w:tc>
      </w:tr>
      <w:tr w:rsidR="00FB2F61" w:rsidRPr="00E949BE" w:rsidTr="00FB2F61">
        <w:tc>
          <w:tcPr>
            <w:tcW w:w="1985" w:type="dxa"/>
          </w:tcPr>
          <w:p w:rsidR="002E04B7" w:rsidRPr="00E949BE" w:rsidRDefault="002E04B7" w:rsidP="002E04B7">
            <w:pPr>
              <w:jc w:val="left"/>
              <w:rPr>
                <w:rFonts w:ascii="Arial" w:hAnsi="Arial" w:cs="Arial"/>
                <w:b/>
              </w:rPr>
            </w:pPr>
            <w:r w:rsidRPr="00E949BE">
              <w:rPr>
                <w:rFonts w:ascii="Arial" w:hAnsi="Arial" w:cs="Arial"/>
                <w:b/>
              </w:rPr>
              <w:t xml:space="preserve">Department </w:t>
            </w:r>
          </w:p>
          <w:p w:rsidR="0091545B" w:rsidRDefault="002E04B7" w:rsidP="002E04B7">
            <w:pPr>
              <w:ind w:left="0" w:firstLine="0"/>
              <w:jc w:val="left"/>
              <w:rPr>
                <w:rFonts w:ascii="Arial" w:hAnsi="Arial" w:cs="Arial"/>
                <w:b/>
              </w:rPr>
            </w:pPr>
            <w:r w:rsidRPr="00E949BE">
              <w:rPr>
                <w:rFonts w:ascii="Arial" w:hAnsi="Arial" w:cs="Arial"/>
                <w:b/>
              </w:rPr>
              <w:t>for the Economy</w:t>
            </w:r>
          </w:p>
          <w:p w:rsidR="000A7A66" w:rsidRPr="000A7A66" w:rsidRDefault="000A7A66" w:rsidP="002E04B7">
            <w:pPr>
              <w:ind w:left="0" w:firstLine="0"/>
              <w:jc w:val="left"/>
              <w:rPr>
                <w:rFonts w:ascii="Arial" w:hAnsi="Arial" w:cs="Arial"/>
                <w:b/>
                <w:color w:val="FF0000"/>
              </w:rPr>
            </w:pPr>
          </w:p>
          <w:p w:rsidR="00365B96" w:rsidRPr="00E949BE" w:rsidRDefault="00365B96" w:rsidP="002E04B7">
            <w:pPr>
              <w:ind w:left="0" w:firstLine="0"/>
              <w:jc w:val="left"/>
              <w:rPr>
                <w:rFonts w:ascii="Arial" w:hAnsi="Arial" w:cs="Arial"/>
                <w:b/>
              </w:rPr>
            </w:pPr>
          </w:p>
        </w:tc>
        <w:tc>
          <w:tcPr>
            <w:tcW w:w="7041" w:type="dxa"/>
          </w:tcPr>
          <w:p w:rsidR="00F4058D" w:rsidRPr="00F4058D" w:rsidRDefault="0068472D" w:rsidP="00F4058D">
            <w:pPr>
              <w:ind w:left="0" w:firstLine="0"/>
              <w:rPr>
                <w:rFonts w:ascii="Arial" w:hAnsi="Arial" w:cs="Arial"/>
                <w:i/>
                <w:iCs/>
              </w:rPr>
            </w:pPr>
            <w:r>
              <w:rPr>
                <w:rFonts w:ascii="Arial" w:hAnsi="Arial" w:cs="Arial"/>
              </w:rPr>
              <w:t>A d</w:t>
            </w:r>
            <w:r w:rsidR="00AB2286" w:rsidRPr="00DF36BC">
              <w:rPr>
                <w:rFonts w:ascii="Arial" w:hAnsi="Arial" w:cs="Arial"/>
              </w:rPr>
              <w:t>ecision</w:t>
            </w:r>
            <w:r>
              <w:rPr>
                <w:rFonts w:ascii="Arial" w:hAnsi="Arial" w:cs="Arial"/>
              </w:rPr>
              <w:t xml:space="preserve"> was </w:t>
            </w:r>
            <w:r w:rsidRPr="00F4058D">
              <w:rPr>
                <w:rFonts w:ascii="Arial" w:hAnsi="Arial" w:cs="Arial"/>
              </w:rPr>
              <w:t xml:space="preserve">taken </w:t>
            </w:r>
            <w:bookmarkStart w:id="0" w:name="OLE_LINK1"/>
            <w:bookmarkStart w:id="1" w:name="OLE_LINK2"/>
            <w:bookmarkEnd w:id="0"/>
            <w:bookmarkEnd w:id="1"/>
            <w:r w:rsidR="00F4058D" w:rsidRPr="00F4058D">
              <w:rPr>
                <w:rFonts w:ascii="Arial" w:hAnsi="Arial" w:cs="Arial"/>
              </w:rPr>
              <w:t xml:space="preserve">that </w:t>
            </w:r>
            <w:r w:rsidR="00F4058D" w:rsidRPr="00F4058D">
              <w:rPr>
                <w:rFonts w:ascii="Arial" w:hAnsi="Arial" w:cs="Arial"/>
                <w:iCs/>
              </w:rPr>
              <w:t>EU students part way through their higher education courses, or starting in the 2020/21 academic year, will have guaranteed ‘home fee’ status for the duration of their courses in Northern Ireland</w:t>
            </w:r>
            <w:r w:rsidR="00F14ECA">
              <w:rPr>
                <w:rFonts w:ascii="Arial" w:hAnsi="Arial" w:cs="Arial"/>
                <w:iCs/>
              </w:rPr>
              <w:t>.</w:t>
            </w:r>
          </w:p>
          <w:p w:rsidR="0068472D" w:rsidRPr="00FB1CE2" w:rsidRDefault="0068472D" w:rsidP="0068472D">
            <w:pPr>
              <w:ind w:left="0" w:firstLine="0"/>
              <w:rPr>
                <w:rFonts w:ascii="Arial" w:hAnsi="Arial" w:cs="Arial"/>
                <w:i/>
              </w:rPr>
            </w:pPr>
          </w:p>
        </w:tc>
      </w:tr>
      <w:tr w:rsidR="00F4058D" w:rsidRPr="00E949BE" w:rsidTr="00FB2F61">
        <w:tc>
          <w:tcPr>
            <w:tcW w:w="1985" w:type="dxa"/>
          </w:tcPr>
          <w:p w:rsidR="00F4058D" w:rsidRPr="00E949BE" w:rsidRDefault="00F4058D" w:rsidP="002E04B7">
            <w:pPr>
              <w:jc w:val="left"/>
              <w:rPr>
                <w:rFonts w:ascii="Arial" w:hAnsi="Arial" w:cs="Arial"/>
                <w:b/>
              </w:rPr>
            </w:pPr>
          </w:p>
        </w:tc>
        <w:tc>
          <w:tcPr>
            <w:tcW w:w="7041" w:type="dxa"/>
          </w:tcPr>
          <w:p w:rsidR="00FF680F" w:rsidRDefault="00FF680F" w:rsidP="00F4058D">
            <w:pPr>
              <w:ind w:left="0" w:firstLine="0"/>
              <w:rPr>
                <w:rFonts w:ascii="Arial" w:hAnsi="Arial" w:cs="Arial"/>
                <w:iCs/>
              </w:rPr>
            </w:pPr>
            <w:r w:rsidRPr="00FF680F">
              <w:rPr>
                <w:rFonts w:ascii="Arial" w:hAnsi="Arial" w:cs="Arial"/>
                <w:iCs/>
              </w:rPr>
              <w:t>The following decisions were taken in relation to public appointments:</w:t>
            </w:r>
          </w:p>
          <w:p w:rsidR="00FF680F" w:rsidRDefault="00FF680F" w:rsidP="00F4058D">
            <w:pPr>
              <w:ind w:left="0" w:firstLine="0"/>
              <w:rPr>
                <w:rFonts w:ascii="Arial" w:hAnsi="Arial" w:cs="Arial"/>
                <w:iCs/>
              </w:rPr>
            </w:pPr>
          </w:p>
          <w:p w:rsidR="00F4058D" w:rsidRDefault="00FF680F" w:rsidP="00FF680F">
            <w:pPr>
              <w:pStyle w:val="ListParagraph"/>
              <w:numPr>
                <w:ilvl w:val="0"/>
                <w:numId w:val="14"/>
              </w:numPr>
              <w:rPr>
                <w:rFonts w:ascii="Arial" w:hAnsi="Arial" w:cs="Arial"/>
                <w:iCs/>
              </w:rPr>
            </w:pPr>
            <w:r>
              <w:rPr>
                <w:rFonts w:ascii="Arial" w:hAnsi="Arial" w:cs="Arial"/>
                <w:iCs/>
              </w:rPr>
              <w:t>T</w:t>
            </w:r>
            <w:r w:rsidR="00F4058D" w:rsidRPr="00FF680F">
              <w:rPr>
                <w:rFonts w:ascii="Arial" w:hAnsi="Arial" w:cs="Arial"/>
                <w:iCs/>
              </w:rPr>
              <w:t xml:space="preserve">o re-appoint </w:t>
            </w:r>
            <w:r w:rsidR="00E409DC" w:rsidRPr="00FF680F">
              <w:rPr>
                <w:rFonts w:ascii="Arial" w:hAnsi="Arial" w:cs="Arial"/>
                <w:iCs/>
              </w:rPr>
              <w:t xml:space="preserve">twenty </w:t>
            </w:r>
            <w:r w:rsidR="00F4058D" w:rsidRPr="00FF680F">
              <w:rPr>
                <w:rFonts w:ascii="Arial" w:hAnsi="Arial" w:cs="Arial"/>
                <w:iCs/>
              </w:rPr>
              <w:t xml:space="preserve">members across the six Further Education College Governing Bodies in Northern Ireland </w:t>
            </w:r>
            <w:r w:rsidR="00F000D0" w:rsidRPr="00FF680F">
              <w:rPr>
                <w:rFonts w:ascii="Arial" w:hAnsi="Arial" w:cs="Arial"/>
                <w:iCs/>
              </w:rPr>
              <w:t xml:space="preserve">to serve a second term </w:t>
            </w:r>
            <w:r w:rsidR="00F4058D" w:rsidRPr="00FF680F">
              <w:rPr>
                <w:rFonts w:ascii="Arial" w:hAnsi="Arial" w:cs="Arial"/>
                <w:iCs/>
              </w:rPr>
              <w:t xml:space="preserve">from </w:t>
            </w:r>
            <w:r w:rsidR="00E409DC" w:rsidRPr="00FF680F">
              <w:rPr>
                <w:rFonts w:ascii="Arial" w:hAnsi="Arial" w:cs="Arial"/>
                <w:iCs/>
              </w:rPr>
              <w:t>1 August 2019 for four years</w:t>
            </w:r>
            <w:r>
              <w:rPr>
                <w:rFonts w:ascii="Arial" w:hAnsi="Arial" w:cs="Arial"/>
                <w:iCs/>
              </w:rPr>
              <w:t>; and</w:t>
            </w:r>
          </w:p>
          <w:p w:rsidR="00FF680F" w:rsidRPr="00FF680F" w:rsidRDefault="00FF680F" w:rsidP="00FF680F">
            <w:pPr>
              <w:pStyle w:val="ListParagraph"/>
              <w:numPr>
                <w:ilvl w:val="0"/>
                <w:numId w:val="14"/>
              </w:numPr>
              <w:rPr>
                <w:rFonts w:ascii="Arial" w:hAnsi="Arial" w:cs="Arial"/>
                <w:iCs/>
              </w:rPr>
            </w:pPr>
            <w:r>
              <w:rPr>
                <w:rFonts w:ascii="Arial" w:hAnsi="Arial" w:cs="Arial"/>
                <w:iCs/>
              </w:rPr>
              <w:t>T</w:t>
            </w:r>
            <w:r w:rsidRPr="00FF680F">
              <w:rPr>
                <w:rFonts w:ascii="Arial" w:hAnsi="Arial" w:cs="Arial"/>
                <w:iCs/>
              </w:rPr>
              <w:t>o re-appoint all eleven members of the Construction Industry Training Board for Northern Irelan</w:t>
            </w:r>
            <w:r>
              <w:rPr>
                <w:rFonts w:ascii="Arial" w:hAnsi="Arial" w:cs="Arial"/>
                <w:iCs/>
              </w:rPr>
              <w:t>d for a further three year term:</w:t>
            </w:r>
            <w:r w:rsidRPr="00FF680F">
              <w:rPr>
                <w:rFonts w:ascii="Arial" w:hAnsi="Arial" w:cs="Arial"/>
                <w:iCs/>
              </w:rPr>
              <w:t xml:space="preserve"> three from 1 June 2019 and eight, including the Chair, from 1 July 2019.</w:t>
            </w:r>
          </w:p>
          <w:p w:rsidR="00F4058D" w:rsidRDefault="00F4058D" w:rsidP="00F4058D">
            <w:pPr>
              <w:ind w:left="0" w:firstLine="0"/>
              <w:rPr>
                <w:rFonts w:ascii="Arial" w:hAnsi="Arial" w:cs="Arial"/>
              </w:rPr>
            </w:pPr>
          </w:p>
        </w:tc>
      </w:tr>
      <w:tr w:rsidR="00406502" w:rsidRPr="00E949BE" w:rsidTr="00FB2F61">
        <w:tc>
          <w:tcPr>
            <w:tcW w:w="1985" w:type="dxa"/>
          </w:tcPr>
          <w:p w:rsidR="00373965" w:rsidRPr="00373965" w:rsidRDefault="00373965" w:rsidP="00373965">
            <w:pPr>
              <w:ind w:left="0" w:firstLine="0"/>
              <w:jc w:val="left"/>
              <w:rPr>
                <w:rFonts w:ascii="Arial" w:hAnsi="Arial" w:cs="Arial"/>
                <w:b/>
              </w:rPr>
            </w:pPr>
            <w:r w:rsidRPr="00373965">
              <w:rPr>
                <w:rFonts w:ascii="Arial" w:hAnsi="Arial" w:cs="Arial"/>
                <w:b/>
              </w:rPr>
              <w:t>Department of</w:t>
            </w:r>
          </w:p>
          <w:p w:rsidR="00406502" w:rsidRDefault="00373965" w:rsidP="00373965">
            <w:pPr>
              <w:ind w:left="0" w:firstLine="0"/>
              <w:jc w:val="left"/>
              <w:rPr>
                <w:rFonts w:ascii="Arial" w:hAnsi="Arial" w:cs="Arial"/>
                <w:b/>
              </w:rPr>
            </w:pPr>
            <w:r w:rsidRPr="00373965">
              <w:rPr>
                <w:rFonts w:ascii="Arial" w:hAnsi="Arial" w:cs="Arial"/>
                <w:b/>
              </w:rPr>
              <w:t>Education</w:t>
            </w:r>
          </w:p>
          <w:p w:rsidR="00AA5985" w:rsidRPr="00AA5985" w:rsidRDefault="00AA5985" w:rsidP="00373965">
            <w:pPr>
              <w:ind w:left="0" w:firstLine="0"/>
              <w:jc w:val="left"/>
              <w:rPr>
                <w:rFonts w:ascii="Arial" w:hAnsi="Arial" w:cs="Arial"/>
                <w:b/>
                <w:color w:val="FF0000"/>
              </w:rPr>
            </w:pPr>
          </w:p>
          <w:p w:rsidR="00E70308" w:rsidRPr="00E949BE" w:rsidRDefault="00E70308" w:rsidP="00373965">
            <w:pPr>
              <w:ind w:left="0" w:firstLine="0"/>
              <w:jc w:val="left"/>
              <w:rPr>
                <w:rFonts w:ascii="Arial" w:hAnsi="Arial" w:cs="Arial"/>
                <w:b/>
              </w:rPr>
            </w:pPr>
          </w:p>
        </w:tc>
        <w:tc>
          <w:tcPr>
            <w:tcW w:w="7041" w:type="dxa"/>
          </w:tcPr>
          <w:p w:rsidR="00E70308" w:rsidRDefault="00AA5985" w:rsidP="00AA5985">
            <w:pPr>
              <w:ind w:left="0" w:firstLine="0"/>
              <w:contextualSpacing/>
              <w:rPr>
                <w:rFonts w:ascii="Arial" w:hAnsi="Arial" w:cs="Arial"/>
              </w:rPr>
            </w:pPr>
            <w:r w:rsidRPr="00AA5985">
              <w:rPr>
                <w:rFonts w:ascii="Arial" w:hAnsi="Arial" w:cs="Arial"/>
              </w:rPr>
              <w:t xml:space="preserve">Four decisions were taken on published Development Proposals </w:t>
            </w:r>
            <w:r w:rsidR="00F000D0">
              <w:rPr>
                <w:rFonts w:ascii="Arial" w:hAnsi="Arial" w:cs="Arial"/>
              </w:rPr>
              <w:t xml:space="preserve">for </w:t>
            </w:r>
            <w:r w:rsidRPr="00AA5985">
              <w:rPr>
                <w:rFonts w:ascii="Arial" w:hAnsi="Arial" w:cs="Arial"/>
              </w:rPr>
              <w:t xml:space="preserve">changes to the design of education provision.  Three of the Proposals were approved and one not approved.  The approved </w:t>
            </w:r>
            <w:r w:rsidR="00F000D0">
              <w:rPr>
                <w:rFonts w:ascii="Arial" w:hAnsi="Arial" w:cs="Arial"/>
              </w:rPr>
              <w:t xml:space="preserve">proposals </w:t>
            </w:r>
            <w:r w:rsidR="00F000D0" w:rsidRPr="00AA5985">
              <w:rPr>
                <w:rFonts w:ascii="Arial" w:hAnsi="Arial" w:cs="Arial"/>
              </w:rPr>
              <w:t xml:space="preserve"> </w:t>
            </w:r>
            <w:r w:rsidRPr="00AA5985">
              <w:rPr>
                <w:rFonts w:ascii="Arial" w:hAnsi="Arial" w:cs="Arial"/>
              </w:rPr>
              <w:t>were for: the closure of a small, unsustainable, rural primary school (</w:t>
            </w:r>
            <w:proofErr w:type="spellStart"/>
            <w:r w:rsidRPr="00AA5985">
              <w:rPr>
                <w:rFonts w:ascii="Arial" w:hAnsi="Arial" w:cs="Arial"/>
              </w:rPr>
              <w:t>Lisfearty</w:t>
            </w:r>
            <w:proofErr w:type="spellEnd"/>
            <w:r w:rsidRPr="00AA5985">
              <w:rPr>
                <w:rFonts w:ascii="Arial" w:hAnsi="Arial" w:cs="Arial"/>
              </w:rPr>
              <w:t xml:space="preserve"> Primary School) in the </w:t>
            </w:r>
            <w:proofErr w:type="spellStart"/>
            <w:r w:rsidRPr="00AA5985">
              <w:rPr>
                <w:rFonts w:ascii="Arial" w:hAnsi="Arial" w:cs="Arial"/>
              </w:rPr>
              <w:t>Dungannon</w:t>
            </w:r>
            <w:proofErr w:type="spellEnd"/>
            <w:r w:rsidRPr="00AA5985">
              <w:rPr>
                <w:rFonts w:ascii="Arial" w:hAnsi="Arial" w:cs="Arial"/>
              </w:rPr>
              <w:t xml:space="preserve"> area; </w:t>
            </w:r>
            <w:r w:rsidR="00F000D0">
              <w:rPr>
                <w:rFonts w:ascii="Arial" w:hAnsi="Arial" w:cs="Arial"/>
              </w:rPr>
              <w:t xml:space="preserve">an </w:t>
            </w:r>
            <w:r w:rsidRPr="00AA5985">
              <w:rPr>
                <w:rFonts w:ascii="Arial" w:hAnsi="Arial" w:cs="Arial"/>
              </w:rPr>
              <w:t xml:space="preserve">increase </w:t>
            </w:r>
            <w:r w:rsidR="00F000D0">
              <w:rPr>
                <w:rFonts w:ascii="Arial" w:hAnsi="Arial" w:cs="Arial"/>
              </w:rPr>
              <w:t xml:space="preserve">to </w:t>
            </w:r>
            <w:r w:rsidRPr="00AA5985">
              <w:rPr>
                <w:rFonts w:ascii="Arial" w:hAnsi="Arial" w:cs="Arial"/>
              </w:rPr>
              <w:t xml:space="preserve">the approved admission and enrolment numbers at </w:t>
            </w:r>
            <w:proofErr w:type="spellStart"/>
            <w:r w:rsidRPr="00AA5985">
              <w:rPr>
                <w:rFonts w:ascii="Arial" w:hAnsi="Arial" w:cs="Arial"/>
              </w:rPr>
              <w:t>Aughnacloy</w:t>
            </w:r>
            <w:proofErr w:type="spellEnd"/>
            <w:r w:rsidRPr="00AA5985">
              <w:rPr>
                <w:rFonts w:ascii="Arial" w:hAnsi="Arial" w:cs="Arial"/>
              </w:rPr>
              <w:t xml:space="preserve"> Primary School to meet current and anticipated demand for places; and a decision to “right-size” </w:t>
            </w:r>
            <w:proofErr w:type="spellStart"/>
            <w:r w:rsidRPr="00AA5985">
              <w:rPr>
                <w:rFonts w:ascii="Arial" w:hAnsi="Arial" w:cs="Arial"/>
              </w:rPr>
              <w:t>Killyleagh</w:t>
            </w:r>
            <w:proofErr w:type="spellEnd"/>
            <w:r w:rsidRPr="00AA5985">
              <w:rPr>
                <w:rFonts w:ascii="Arial" w:hAnsi="Arial" w:cs="Arial"/>
              </w:rPr>
              <w:t xml:space="preserve"> Integrated Primary School by decreasing its approved admission and enrolment numbers.  A Proposal to establish a statutory nursery unit at </w:t>
            </w:r>
            <w:proofErr w:type="spellStart"/>
            <w:r w:rsidRPr="00AA5985">
              <w:rPr>
                <w:rFonts w:ascii="Arial" w:hAnsi="Arial" w:cs="Arial"/>
              </w:rPr>
              <w:t>Gaelscoil</w:t>
            </w:r>
            <w:proofErr w:type="spellEnd"/>
            <w:r w:rsidRPr="00AA5985">
              <w:rPr>
                <w:rFonts w:ascii="Arial" w:hAnsi="Arial" w:cs="Arial"/>
              </w:rPr>
              <w:t xml:space="preserve"> </w:t>
            </w:r>
            <w:proofErr w:type="spellStart"/>
            <w:r w:rsidRPr="00AA5985">
              <w:rPr>
                <w:rFonts w:ascii="Arial" w:hAnsi="Arial" w:cs="Arial"/>
              </w:rPr>
              <w:t>na</w:t>
            </w:r>
            <w:proofErr w:type="spellEnd"/>
            <w:r w:rsidRPr="00AA5985">
              <w:rPr>
                <w:rFonts w:ascii="Arial" w:hAnsi="Arial" w:cs="Arial"/>
              </w:rPr>
              <w:t xml:space="preserve"> </w:t>
            </w:r>
            <w:proofErr w:type="spellStart"/>
            <w:r w:rsidRPr="00AA5985">
              <w:rPr>
                <w:rFonts w:ascii="Arial" w:hAnsi="Arial" w:cs="Arial"/>
              </w:rPr>
              <w:t>mBeann</w:t>
            </w:r>
            <w:proofErr w:type="spellEnd"/>
            <w:r w:rsidRPr="00AA5985">
              <w:rPr>
                <w:rFonts w:ascii="Arial" w:hAnsi="Arial" w:cs="Arial"/>
              </w:rPr>
              <w:t xml:space="preserve">, an Irish-medium primary school in </w:t>
            </w:r>
            <w:proofErr w:type="spellStart"/>
            <w:r w:rsidRPr="00AA5985">
              <w:rPr>
                <w:rFonts w:ascii="Arial" w:hAnsi="Arial" w:cs="Arial"/>
              </w:rPr>
              <w:t>Kilkeel</w:t>
            </w:r>
            <w:proofErr w:type="spellEnd"/>
            <w:r w:rsidRPr="00AA5985">
              <w:rPr>
                <w:rFonts w:ascii="Arial" w:hAnsi="Arial" w:cs="Arial"/>
              </w:rPr>
              <w:t xml:space="preserve">, was not approved.  </w:t>
            </w:r>
          </w:p>
          <w:p w:rsidR="00AA5985" w:rsidRPr="00AA5985" w:rsidRDefault="00AA5985" w:rsidP="00AA5985">
            <w:pPr>
              <w:ind w:left="0" w:firstLine="0"/>
              <w:contextualSpacing/>
              <w:rPr>
                <w:rFonts w:ascii="Arial" w:hAnsi="Arial" w:cs="Arial"/>
              </w:rPr>
            </w:pPr>
          </w:p>
        </w:tc>
      </w:tr>
      <w:tr w:rsidR="00373965" w:rsidRPr="00E949BE" w:rsidTr="00FB2F61">
        <w:tc>
          <w:tcPr>
            <w:tcW w:w="1985" w:type="dxa"/>
          </w:tcPr>
          <w:p w:rsidR="00373965" w:rsidRPr="00373965" w:rsidRDefault="00373965" w:rsidP="00373965">
            <w:pPr>
              <w:ind w:left="0" w:firstLine="0"/>
              <w:jc w:val="left"/>
              <w:rPr>
                <w:rFonts w:ascii="Arial" w:hAnsi="Arial" w:cs="Arial"/>
                <w:b/>
              </w:rPr>
            </w:pPr>
          </w:p>
        </w:tc>
        <w:tc>
          <w:tcPr>
            <w:tcW w:w="7041" w:type="dxa"/>
          </w:tcPr>
          <w:p w:rsidR="00373965" w:rsidRPr="00AA5985" w:rsidRDefault="00AA5985" w:rsidP="00AA5985">
            <w:pPr>
              <w:ind w:left="0" w:firstLine="0"/>
              <w:contextualSpacing/>
              <w:rPr>
                <w:rFonts w:ascii="Arial" w:hAnsi="Arial" w:cs="Arial"/>
              </w:rPr>
            </w:pPr>
            <w:r w:rsidRPr="00AA5985">
              <w:rPr>
                <w:rFonts w:ascii="Arial" w:hAnsi="Arial" w:cs="Arial"/>
              </w:rPr>
              <w:t xml:space="preserve">A decision was taken to grant additional places outside of </w:t>
            </w:r>
            <w:r w:rsidR="00F000D0">
              <w:rPr>
                <w:rFonts w:ascii="Arial" w:hAnsi="Arial" w:cs="Arial"/>
              </w:rPr>
              <w:t xml:space="preserve">the </w:t>
            </w:r>
            <w:r w:rsidRPr="00AA5985">
              <w:rPr>
                <w:rFonts w:ascii="Arial" w:hAnsi="Arial" w:cs="Arial"/>
              </w:rPr>
              <w:t xml:space="preserve">Temporary Variation policy to reduce the number of unplaced children in the </w:t>
            </w:r>
            <w:proofErr w:type="spellStart"/>
            <w:r w:rsidRPr="00AA5985">
              <w:rPr>
                <w:rFonts w:ascii="Arial" w:hAnsi="Arial" w:cs="Arial"/>
              </w:rPr>
              <w:t>Limavady</w:t>
            </w:r>
            <w:proofErr w:type="spellEnd"/>
            <w:r w:rsidRPr="00AA5985">
              <w:rPr>
                <w:rFonts w:ascii="Arial" w:hAnsi="Arial" w:cs="Arial"/>
              </w:rPr>
              <w:t xml:space="preserve"> area.</w:t>
            </w:r>
          </w:p>
          <w:p w:rsidR="00AA5985" w:rsidRPr="00665E37" w:rsidRDefault="00AA5985" w:rsidP="00AA5985">
            <w:pPr>
              <w:ind w:left="0" w:firstLine="0"/>
              <w:contextualSpacing/>
              <w:rPr>
                <w:rFonts w:ascii="Arial" w:hAnsi="Arial" w:cs="Arial"/>
                <w:i/>
              </w:rPr>
            </w:pPr>
          </w:p>
        </w:tc>
      </w:tr>
      <w:tr w:rsidR="00861143" w:rsidRPr="00E949BE" w:rsidTr="00CD57A5">
        <w:tc>
          <w:tcPr>
            <w:tcW w:w="1985" w:type="dxa"/>
          </w:tcPr>
          <w:p w:rsidR="00687F0D" w:rsidRDefault="00861143" w:rsidP="00861143">
            <w:pPr>
              <w:ind w:left="0" w:firstLine="0"/>
              <w:jc w:val="left"/>
              <w:rPr>
                <w:rFonts w:ascii="Arial" w:hAnsi="Arial" w:cs="Arial"/>
                <w:b/>
              </w:rPr>
            </w:pPr>
            <w:r w:rsidRPr="00E949BE">
              <w:rPr>
                <w:rFonts w:ascii="Arial" w:hAnsi="Arial" w:cs="Arial"/>
                <w:b/>
              </w:rPr>
              <w:t>Department of Finance</w:t>
            </w:r>
          </w:p>
          <w:p w:rsidR="00861143" w:rsidRPr="00E949BE" w:rsidRDefault="00861143" w:rsidP="00861143">
            <w:pPr>
              <w:ind w:left="0" w:firstLine="0"/>
              <w:jc w:val="left"/>
              <w:rPr>
                <w:rFonts w:ascii="Arial" w:hAnsi="Arial" w:cs="Arial"/>
                <w:b/>
              </w:rPr>
            </w:pPr>
          </w:p>
        </w:tc>
        <w:tc>
          <w:tcPr>
            <w:tcW w:w="7041" w:type="dxa"/>
          </w:tcPr>
          <w:p w:rsidR="00121D87" w:rsidRPr="0025273B" w:rsidRDefault="00F33979" w:rsidP="008879F7">
            <w:pPr>
              <w:ind w:left="34" w:firstLine="0"/>
              <w:rPr>
                <w:rFonts w:ascii="Arial" w:hAnsi="Arial" w:cs="Arial"/>
              </w:rPr>
            </w:pPr>
            <w:r w:rsidRPr="0025273B">
              <w:rPr>
                <w:rFonts w:ascii="Arial" w:hAnsi="Arial" w:cs="Arial"/>
              </w:rPr>
              <w:t xml:space="preserve">A decision was taken </w:t>
            </w:r>
            <w:r w:rsidR="0025273B" w:rsidRPr="0025273B">
              <w:rPr>
                <w:rFonts w:ascii="Arial" w:hAnsi="Arial" w:cs="Arial"/>
              </w:rPr>
              <w:t xml:space="preserve">to implement the NICS 2018 pay award. </w:t>
            </w:r>
          </w:p>
        </w:tc>
      </w:tr>
      <w:tr w:rsidR="00583F8B" w:rsidRPr="00E949BE" w:rsidTr="00CD57A5">
        <w:tc>
          <w:tcPr>
            <w:tcW w:w="1985" w:type="dxa"/>
          </w:tcPr>
          <w:p w:rsidR="00583F8B" w:rsidRDefault="00583F8B" w:rsidP="00583F8B">
            <w:pPr>
              <w:ind w:left="0" w:firstLine="0"/>
              <w:jc w:val="left"/>
              <w:rPr>
                <w:rFonts w:ascii="Arial" w:hAnsi="Arial" w:cs="Arial"/>
                <w:b/>
              </w:rPr>
            </w:pPr>
            <w:r w:rsidRPr="00E949BE">
              <w:rPr>
                <w:rFonts w:ascii="Arial" w:hAnsi="Arial" w:cs="Arial"/>
                <w:b/>
              </w:rPr>
              <w:t>Department of Health</w:t>
            </w:r>
          </w:p>
          <w:p w:rsidR="00380EAE" w:rsidRPr="00380EAE" w:rsidRDefault="00380EAE" w:rsidP="00583F8B">
            <w:pPr>
              <w:ind w:left="0" w:firstLine="0"/>
              <w:jc w:val="left"/>
              <w:rPr>
                <w:rFonts w:ascii="Arial" w:hAnsi="Arial" w:cs="Arial"/>
                <w:b/>
                <w:color w:val="FF0000"/>
              </w:rPr>
            </w:pPr>
          </w:p>
          <w:p w:rsidR="0029449A" w:rsidRPr="0029449A" w:rsidRDefault="0029449A" w:rsidP="00583F8B">
            <w:pPr>
              <w:ind w:left="0" w:firstLine="0"/>
              <w:jc w:val="left"/>
              <w:rPr>
                <w:rFonts w:ascii="Arial" w:hAnsi="Arial" w:cs="Arial"/>
                <w:b/>
                <w:color w:val="FF0000"/>
              </w:rPr>
            </w:pPr>
          </w:p>
          <w:p w:rsidR="00583F8B" w:rsidRPr="00E949BE" w:rsidRDefault="00583F8B" w:rsidP="00861143">
            <w:pPr>
              <w:ind w:left="0" w:firstLine="0"/>
              <w:jc w:val="left"/>
              <w:rPr>
                <w:rFonts w:ascii="Arial" w:hAnsi="Arial" w:cs="Arial"/>
                <w:b/>
              </w:rPr>
            </w:pPr>
          </w:p>
        </w:tc>
        <w:tc>
          <w:tcPr>
            <w:tcW w:w="7041" w:type="dxa"/>
          </w:tcPr>
          <w:p w:rsidR="00373965" w:rsidRPr="00380EAE" w:rsidRDefault="00D679D2" w:rsidP="00380EAE">
            <w:pPr>
              <w:ind w:left="0" w:firstLine="0"/>
              <w:rPr>
                <w:rFonts w:ascii="Arial" w:hAnsi="Arial" w:cs="Arial"/>
              </w:rPr>
            </w:pPr>
            <w:r w:rsidRPr="00380EAE">
              <w:rPr>
                <w:rFonts w:ascii="Arial" w:hAnsi="Arial" w:cs="Arial"/>
              </w:rPr>
              <w:t xml:space="preserve">A decision </w:t>
            </w:r>
            <w:r w:rsidR="00B3564A" w:rsidRPr="00380EAE">
              <w:rPr>
                <w:rFonts w:ascii="Arial" w:hAnsi="Arial" w:cs="Arial"/>
              </w:rPr>
              <w:t xml:space="preserve">was </w:t>
            </w:r>
            <w:r w:rsidR="00C7682D" w:rsidRPr="00380EAE">
              <w:rPr>
                <w:rFonts w:ascii="Arial" w:hAnsi="Arial" w:cs="Arial"/>
              </w:rPr>
              <w:t xml:space="preserve">taken to </w:t>
            </w:r>
            <w:r w:rsidR="00380EAE" w:rsidRPr="00380EAE">
              <w:rPr>
                <w:rFonts w:ascii="Arial" w:hAnsi="Arial" w:cs="Arial"/>
              </w:rPr>
              <w:t>make the Pharmaceutical Services (Amendments Relating to Serious Shortage Protocols) Regulations (N</w:t>
            </w:r>
            <w:r w:rsidR="00D02133">
              <w:rPr>
                <w:rFonts w:ascii="Arial" w:hAnsi="Arial" w:cs="Arial"/>
              </w:rPr>
              <w:t xml:space="preserve">orthern </w:t>
            </w:r>
            <w:r w:rsidR="00380EAE" w:rsidRPr="00380EAE">
              <w:rPr>
                <w:rFonts w:ascii="Arial" w:hAnsi="Arial" w:cs="Arial"/>
              </w:rPr>
              <w:t>I</w:t>
            </w:r>
            <w:r w:rsidR="00D02133">
              <w:rPr>
                <w:rFonts w:ascii="Arial" w:hAnsi="Arial" w:cs="Arial"/>
              </w:rPr>
              <w:t>reland</w:t>
            </w:r>
            <w:r w:rsidR="00380EAE" w:rsidRPr="00380EAE">
              <w:rPr>
                <w:rFonts w:ascii="Arial" w:hAnsi="Arial" w:cs="Arial"/>
              </w:rPr>
              <w:t xml:space="preserve">) 2019.  The Regulations amend the Pharmaceutical Services Regulations </w:t>
            </w:r>
            <w:r w:rsidR="00D02133">
              <w:rPr>
                <w:rFonts w:ascii="Arial" w:hAnsi="Arial" w:cs="Arial"/>
              </w:rPr>
              <w:t>(</w:t>
            </w:r>
            <w:r w:rsidR="00380EAE" w:rsidRPr="00380EAE">
              <w:rPr>
                <w:rFonts w:ascii="Arial" w:hAnsi="Arial" w:cs="Arial"/>
              </w:rPr>
              <w:t>Northern Ireland</w:t>
            </w:r>
            <w:r w:rsidR="00D02133">
              <w:rPr>
                <w:rFonts w:ascii="Arial" w:hAnsi="Arial" w:cs="Arial"/>
              </w:rPr>
              <w:t>)</w:t>
            </w:r>
            <w:r w:rsidR="00380EAE" w:rsidRPr="00380EAE">
              <w:rPr>
                <w:rFonts w:ascii="Arial" w:hAnsi="Arial" w:cs="Arial"/>
              </w:rPr>
              <w:t xml:space="preserve"> 1997 which govern the arrangements for the provision of pharmaceutical services under the Health and Personal Social Services (Northern Ireland) Order 1972</w:t>
            </w:r>
            <w:r w:rsidR="00D02133">
              <w:rPr>
                <w:rFonts w:ascii="Arial" w:hAnsi="Arial" w:cs="Arial"/>
              </w:rPr>
              <w:t>,</w:t>
            </w:r>
            <w:r w:rsidR="00380EAE" w:rsidRPr="00380EAE">
              <w:rPr>
                <w:rFonts w:ascii="Arial" w:hAnsi="Arial" w:cs="Arial"/>
              </w:rPr>
              <w:t xml:space="preserve"> and make provision in relation to serious shortage protocols (SSPs).  </w:t>
            </w:r>
            <w:r w:rsidR="00E20113" w:rsidRPr="00E20113">
              <w:rPr>
                <w:rFonts w:ascii="Arial" w:hAnsi="Arial" w:cs="Arial"/>
              </w:rPr>
              <w:t>SSPs allow the Department to put in place alternative arrangements for supply, where a drug or appliance is ordered on prescription but there is, or may in the future be, a serious shortage of the drug or appliance. </w:t>
            </w:r>
          </w:p>
          <w:p w:rsidR="00380EAE" w:rsidRPr="00665E37" w:rsidRDefault="00380EAE" w:rsidP="00380EAE">
            <w:pPr>
              <w:ind w:left="0" w:firstLine="0"/>
              <w:rPr>
                <w:rFonts w:ascii="Arial" w:hAnsi="Arial" w:cs="Arial"/>
                <w:i/>
              </w:rPr>
            </w:pPr>
          </w:p>
        </w:tc>
      </w:tr>
      <w:tr w:rsidR="00583F8B" w:rsidRPr="00E949BE" w:rsidTr="00CD57A5">
        <w:tc>
          <w:tcPr>
            <w:tcW w:w="1985" w:type="dxa"/>
          </w:tcPr>
          <w:p w:rsidR="00583F8B" w:rsidRPr="00E949BE" w:rsidRDefault="00583F8B" w:rsidP="00861143">
            <w:pPr>
              <w:ind w:left="0" w:firstLine="0"/>
              <w:jc w:val="left"/>
              <w:rPr>
                <w:rFonts w:ascii="Arial" w:hAnsi="Arial" w:cs="Arial"/>
                <w:b/>
              </w:rPr>
            </w:pPr>
          </w:p>
        </w:tc>
        <w:tc>
          <w:tcPr>
            <w:tcW w:w="7041" w:type="dxa"/>
          </w:tcPr>
          <w:p w:rsidR="00D679D2" w:rsidRPr="00380EAE" w:rsidRDefault="00C7682D" w:rsidP="00D679D2">
            <w:pPr>
              <w:ind w:left="0" w:firstLine="0"/>
              <w:rPr>
                <w:rFonts w:ascii="Arial" w:hAnsi="Arial" w:cs="Arial"/>
                <w:color w:val="000000" w:themeColor="text1"/>
                <w:lang w:eastAsia="en-GB"/>
              </w:rPr>
            </w:pPr>
            <w:r w:rsidRPr="00380EAE">
              <w:rPr>
                <w:rFonts w:ascii="Arial" w:hAnsi="Arial" w:cs="Arial"/>
              </w:rPr>
              <w:t>A decision was taken</w:t>
            </w:r>
            <w:r w:rsidR="00380EAE" w:rsidRPr="00380EAE">
              <w:rPr>
                <w:rFonts w:ascii="Arial" w:hAnsi="Arial" w:cs="Arial"/>
              </w:rPr>
              <w:t>,</w:t>
            </w:r>
            <w:r w:rsidRPr="00380EAE">
              <w:rPr>
                <w:rFonts w:ascii="Arial" w:hAnsi="Arial" w:cs="Arial"/>
              </w:rPr>
              <w:t xml:space="preserve"> </w:t>
            </w:r>
            <w:r w:rsidR="00380EAE" w:rsidRPr="00380EAE">
              <w:rPr>
                <w:rFonts w:ascii="Arial" w:hAnsi="Arial" w:cs="Arial"/>
              </w:rPr>
              <w:t xml:space="preserve">in line with advice from the Food Standards Agency, to introduce improved allergen labelling provisions contained within the Food Information Regulations (Northern Ireland) 2014, for food which is prepacked for direct sale.  It is intended that the subordinate legislation will be introduced by the FSA in due course and will come into force by the summer of 2021.  </w:t>
            </w:r>
          </w:p>
          <w:p w:rsidR="00373965" w:rsidRPr="00665E37" w:rsidRDefault="00373965" w:rsidP="00D679D2">
            <w:pPr>
              <w:ind w:left="0" w:firstLine="0"/>
              <w:rPr>
                <w:rFonts w:ascii="Arial" w:hAnsi="Arial" w:cs="Arial"/>
                <w:i/>
              </w:rPr>
            </w:pPr>
          </w:p>
        </w:tc>
      </w:tr>
      <w:tr w:rsidR="00FB2F61" w:rsidRPr="00E949BE" w:rsidTr="00CD57A5">
        <w:tc>
          <w:tcPr>
            <w:tcW w:w="1985" w:type="dxa"/>
          </w:tcPr>
          <w:p w:rsidR="00DA4FE1" w:rsidRPr="00E949BE" w:rsidRDefault="00DA4FE1">
            <w:pPr>
              <w:rPr>
                <w:rFonts w:ascii="Arial" w:hAnsi="Arial" w:cs="Arial"/>
                <w:b/>
              </w:rPr>
            </w:pPr>
          </w:p>
          <w:p w:rsidR="00DA4FE1" w:rsidRPr="00E949BE" w:rsidRDefault="00DA4FE1" w:rsidP="0069599C">
            <w:pPr>
              <w:ind w:left="0" w:firstLine="0"/>
              <w:rPr>
                <w:rFonts w:ascii="Arial" w:hAnsi="Arial" w:cs="Arial"/>
                <w:b/>
              </w:rPr>
            </w:pPr>
          </w:p>
          <w:p w:rsidR="00B77E5D" w:rsidRPr="00E949BE" w:rsidRDefault="00B77E5D" w:rsidP="0069599C">
            <w:pPr>
              <w:ind w:left="0" w:firstLine="0"/>
              <w:rPr>
                <w:rFonts w:ascii="Arial" w:hAnsi="Arial" w:cs="Arial"/>
                <w:b/>
              </w:rPr>
            </w:pPr>
          </w:p>
          <w:p w:rsidR="00B77E5D" w:rsidRPr="00E949BE" w:rsidRDefault="00B77E5D" w:rsidP="0069599C">
            <w:pPr>
              <w:ind w:left="0" w:firstLine="0"/>
              <w:rPr>
                <w:rFonts w:ascii="Arial" w:hAnsi="Arial" w:cs="Arial"/>
                <w:b/>
              </w:rPr>
            </w:pPr>
          </w:p>
          <w:p w:rsidR="00920CC2" w:rsidRPr="00E949BE" w:rsidRDefault="00920CC2" w:rsidP="0069599C">
            <w:pPr>
              <w:ind w:left="0" w:firstLine="0"/>
              <w:rPr>
                <w:rFonts w:ascii="Arial" w:hAnsi="Arial" w:cs="Arial"/>
                <w:b/>
              </w:rPr>
            </w:pPr>
          </w:p>
          <w:p w:rsidR="006C578C" w:rsidRPr="00E949BE" w:rsidRDefault="006C578C" w:rsidP="00861143">
            <w:pPr>
              <w:ind w:left="0" w:firstLine="0"/>
              <w:rPr>
                <w:rFonts w:ascii="Arial" w:hAnsi="Arial" w:cs="Arial"/>
                <w:b/>
                <w:color w:val="FF0000"/>
              </w:rPr>
            </w:pPr>
          </w:p>
          <w:p w:rsidR="00704E9F" w:rsidRPr="00E949BE" w:rsidRDefault="00704E9F">
            <w:pPr>
              <w:rPr>
                <w:rFonts w:ascii="Arial" w:hAnsi="Arial" w:cs="Arial"/>
              </w:rPr>
            </w:pPr>
          </w:p>
        </w:tc>
        <w:tc>
          <w:tcPr>
            <w:tcW w:w="7041" w:type="dxa"/>
          </w:tcPr>
          <w:p w:rsidR="00920CC2" w:rsidRPr="00D02133" w:rsidRDefault="00FB1CE2" w:rsidP="00651B50">
            <w:pPr>
              <w:ind w:left="0" w:firstLine="0"/>
              <w:rPr>
                <w:rFonts w:ascii="Arial" w:hAnsi="Arial" w:cs="Arial"/>
              </w:rPr>
            </w:pPr>
            <w:r w:rsidRPr="00D02133">
              <w:rPr>
                <w:rFonts w:ascii="Arial" w:hAnsi="Arial" w:cs="Arial"/>
              </w:rPr>
              <w:t xml:space="preserve">The following </w:t>
            </w:r>
            <w:r w:rsidR="004152EB" w:rsidRPr="00D02133">
              <w:rPr>
                <w:rFonts w:ascii="Arial" w:hAnsi="Arial" w:cs="Arial"/>
              </w:rPr>
              <w:t xml:space="preserve">decisions were taken in relation to </w:t>
            </w:r>
            <w:r w:rsidRPr="00D02133">
              <w:rPr>
                <w:rFonts w:ascii="Arial" w:hAnsi="Arial" w:cs="Arial"/>
              </w:rPr>
              <w:t xml:space="preserve">public </w:t>
            </w:r>
            <w:r w:rsidR="00920CC2" w:rsidRPr="00D02133">
              <w:rPr>
                <w:rFonts w:ascii="Arial" w:hAnsi="Arial" w:cs="Arial"/>
              </w:rPr>
              <w:t xml:space="preserve">appointments: </w:t>
            </w:r>
          </w:p>
          <w:p w:rsidR="00144343" w:rsidRPr="00380EAE" w:rsidRDefault="00F000D0" w:rsidP="008002C3">
            <w:pPr>
              <w:pStyle w:val="NormalWeb"/>
              <w:numPr>
                <w:ilvl w:val="0"/>
                <w:numId w:val="14"/>
              </w:numPr>
              <w:jc w:val="both"/>
              <w:rPr>
                <w:sz w:val="24"/>
                <w:szCs w:val="24"/>
              </w:rPr>
            </w:pPr>
            <w:r>
              <w:rPr>
                <w:sz w:val="24"/>
                <w:szCs w:val="24"/>
              </w:rPr>
              <w:t xml:space="preserve">To extend for </w:t>
            </w:r>
            <w:r w:rsidR="00380EAE" w:rsidRPr="00380EAE">
              <w:rPr>
                <w:sz w:val="24"/>
                <w:szCs w:val="24"/>
              </w:rPr>
              <w:t xml:space="preserve">12 </w:t>
            </w:r>
            <w:r>
              <w:rPr>
                <w:sz w:val="24"/>
                <w:szCs w:val="24"/>
              </w:rPr>
              <w:t>m</w:t>
            </w:r>
            <w:r w:rsidR="00380EAE" w:rsidRPr="00380EAE">
              <w:rPr>
                <w:sz w:val="24"/>
                <w:szCs w:val="24"/>
              </w:rPr>
              <w:t>onth</w:t>
            </w:r>
            <w:r>
              <w:rPr>
                <w:sz w:val="24"/>
                <w:szCs w:val="24"/>
              </w:rPr>
              <w:t>s</w:t>
            </w:r>
            <w:r w:rsidR="00380EAE" w:rsidRPr="00380EAE">
              <w:rPr>
                <w:sz w:val="24"/>
                <w:szCs w:val="24"/>
              </w:rPr>
              <w:t xml:space="preserve"> </w:t>
            </w:r>
            <w:r>
              <w:rPr>
                <w:sz w:val="24"/>
                <w:szCs w:val="24"/>
              </w:rPr>
              <w:t xml:space="preserve">from </w:t>
            </w:r>
            <w:r w:rsidRPr="00380EAE">
              <w:rPr>
                <w:sz w:val="24"/>
                <w:szCs w:val="24"/>
              </w:rPr>
              <w:t>30 June 2019</w:t>
            </w:r>
            <w:r>
              <w:rPr>
                <w:sz w:val="24"/>
                <w:szCs w:val="24"/>
              </w:rPr>
              <w:t xml:space="preserve"> the first </w:t>
            </w:r>
            <w:r w:rsidRPr="00380EAE">
              <w:rPr>
                <w:sz w:val="24"/>
                <w:szCs w:val="24"/>
              </w:rPr>
              <w:t xml:space="preserve">term of appointment </w:t>
            </w:r>
            <w:r w:rsidR="00380EAE" w:rsidRPr="00380EAE">
              <w:rPr>
                <w:sz w:val="24"/>
                <w:szCs w:val="24"/>
              </w:rPr>
              <w:t xml:space="preserve">of the Non-Executive Chair of the Northern Ireland </w:t>
            </w:r>
            <w:r w:rsidR="00D02133">
              <w:rPr>
                <w:sz w:val="24"/>
                <w:szCs w:val="24"/>
              </w:rPr>
              <w:t>Fire and Rescue Service</w:t>
            </w:r>
            <w:r w:rsidR="00CD542F">
              <w:rPr>
                <w:sz w:val="24"/>
                <w:szCs w:val="24"/>
              </w:rPr>
              <w:t>; and</w:t>
            </w:r>
          </w:p>
          <w:p w:rsidR="00380EAE" w:rsidRPr="00380EAE" w:rsidRDefault="00F000D0">
            <w:pPr>
              <w:pStyle w:val="NormalWeb"/>
              <w:numPr>
                <w:ilvl w:val="0"/>
                <w:numId w:val="14"/>
              </w:numPr>
              <w:jc w:val="both"/>
              <w:rPr>
                <w:i/>
                <w:sz w:val="24"/>
                <w:szCs w:val="24"/>
              </w:rPr>
            </w:pPr>
            <w:r>
              <w:rPr>
                <w:sz w:val="24"/>
                <w:szCs w:val="24"/>
              </w:rPr>
              <w:t xml:space="preserve">To </w:t>
            </w:r>
            <w:r w:rsidR="00380EAE" w:rsidRPr="00380EAE">
              <w:rPr>
                <w:sz w:val="24"/>
                <w:szCs w:val="24"/>
              </w:rPr>
              <w:t>re-appoint, for u</w:t>
            </w:r>
            <w:r w:rsidR="00D02133">
              <w:rPr>
                <w:sz w:val="24"/>
                <w:szCs w:val="24"/>
              </w:rPr>
              <w:t xml:space="preserve">p to maximum of 4 years, </w:t>
            </w:r>
            <w:r w:rsidR="00906954">
              <w:rPr>
                <w:sz w:val="24"/>
                <w:szCs w:val="24"/>
              </w:rPr>
              <w:t>two Public Health Agency (</w:t>
            </w:r>
            <w:r w:rsidR="00380EAE" w:rsidRPr="00380EAE">
              <w:rPr>
                <w:sz w:val="24"/>
                <w:szCs w:val="24"/>
              </w:rPr>
              <w:t>PHA) Non-Executive Directors. These reappointments are required in order to ensure that the quorum could be met and that the governance and accountability of the organisation is not compromised.</w:t>
            </w:r>
            <w:r w:rsidR="00380EAE" w:rsidRPr="00380EAE">
              <w:rPr>
                <w:i/>
                <w:sz w:val="24"/>
                <w:szCs w:val="24"/>
              </w:rPr>
              <w:t xml:space="preserve">  </w:t>
            </w:r>
          </w:p>
        </w:tc>
      </w:tr>
      <w:tr w:rsidR="00861143" w:rsidRPr="00E949BE" w:rsidTr="00CD57A5">
        <w:tc>
          <w:tcPr>
            <w:tcW w:w="1985" w:type="dxa"/>
          </w:tcPr>
          <w:p w:rsidR="00861143" w:rsidRPr="00E949BE" w:rsidRDefault="00861143" w:rsidP="00861143">
            <w:pPr>
              <w:ind w:left="0" w:firstLine="0"/>
              <w:rPr>
                <w:rFonts w:ascii="Arial" w:hAnsi="Arial" w:cs="Arial"/>
                <w:b/>
              </w:rPr>
            </w:pPr>
            <w:r w:rsidRPr="00E949BE">
              <w:rPr>
                <w:rFonts w:ascii="Arial" w:hAnsi="Arial" w:cs="Arial"/>
                <w:b/>
              </w:rPr>
              <w:t xml:space="preserve">Department for </w:t>
            </w:r>
          </w:p>
          <w:p w:rsidR="00861143" w:rsidRDefault="00861143" w:rsidP="00861143">
            <w:pPr>
              <w:ind w:left="0" w:firstLine="0"/>
              <w:jc w:val="left"/>
              <w:rPr>
                <w:rFonts w:ascii="Arial" w:hAnsi="Arial" w:cs="Arial"/>
                <w:b/>
              </w:rPr>
            </w:pPr>
            <w:r w:rsidRPr="00E949BE">
              <w:rPr>
                <w:rFonts w:ascii="Arial" w:hAnsi="Arial" w:cs="Arial"/>
                <w:b/>
              </w:rPr>
              <w:t>Infrastructure</w:t>
            </w:r>
          </w:p>
          <w:p w:rsidR="00275489" w:rsidRPr="00E949BE" w:rsidRDefault="00275489" w:rsidP="00282BDE">
            <w:pPr>
              <w:ind w:left="0" w:firstLine="0"/>
              <w:jc w:val="left"/>
              <w:rPr>
                <w:rFonts w:ascii="Arial" w:hAnsi="Arial" w:cs="Arial"/>
                <w:b/>
              </w:rPr>
            </w:pPr>
          </w:p>
        </w:tc>
        <w:tc>
          <w:tcPr>
            <w:tcW w:w="7041" w:type="dxa"/>
          </w:tcPr>
          <w:p w:rsidR="00BE2100" w:rsidRDefault="00BE2100" w:rsidP="00282BDE">
            <w:pPr>
              <w:ind w:left="0" w:firstLine="0"/>
              <w:rPr>
                <w:rFonts w:ascii="Arial" w:hAnsi="Arial" w:cs="Arial"/>
              </w:rPr>
            </w:pPr>
            <w:r>
              <w:rPr>
                <w:rFonts w:ascii="Arial" w:hAnsi="Arial" w:cs="Arial"/>
              </w:rPr>
              <w:t>The following decisions were taken in relation to public appointments:</w:t>
            </w:r>
          </w:p>
          <w:p w:rsidR="00282BDE" w:rsidRPr="00BE2100" w:rsidRDefault="00BE2100" w:rsidP="00BE2100">
            <w:pPr>
              <w:pStyle w:val="ListParagraph"/>
              <w:numPr>
                <w:ilvl w:val="0"/>
                <w:numId w:val="14"/>
              </w:numPr>
              <w:rPr>
                <w:rFonts w:ascii="Arial" w:eastAsiaTheme="minorHAnsi" w:hAnsi="Arial" w:cs="Arial"/>
                <w:lang w:eastAsia="en-GB"/>
              </w:rPr>
            </w:pPr>
            <w:r w:rsidRPr="00BE2100">
              <w:rPr>
                <w:rFonts w:ascii="Arial" w:eastAsiaTheme="minorHAnsi" w:hAnsi="Arial" w:cs="Arial"/>
                <w:lang w:eastAsia="en-GB"/>
              </w:rPr>
              <w:t>T</w:t>
            </w:r>
            <w:r w:rsidR="00527546" w:rsidRPr="00BE2100">
              <w:rPr>
                <w:rFonts w:ascii="Arial" w:eastAsiaTheme="minorHAnsi" w:hAnsi="Arial" w:cs="Arial"/>
                <w:lang w:eastAsia="en-GB"/>
              </w:rPr>
              <w:t>o extend the appointments of five current non-executive Board members of NI Water for a period of 6 months from 31 July 2019</w:t>
            </w:r>
            <w:r w:rsidRPr="00BE2100">
              <w:rPr>
                <w:rFonts w:ascii="Arial" w:eastAsiaTheme="minorHAnsi" w:hAnsi="Arial" w:cs="Arial"/>
                <w:lang w:eastAsia="en-GB"/>
              </w:rPr>
              <w:t>; and</w:t>
            </w:r>
          </w:p>
          <w:p w:rsidR="00BE2100" w:rsidRDefault="00BE2100" w:rsidP="00BE2100">
            <w:pPr>
              <w:pStyle w:val="ListParagraph"/>
              <w:numPr>
                <w:ilvl w:val="0"/>
                <w:numId w:val="14"/>
              </w:numPr>
              <w:rPr>
                <w:rFonts w:ascii="Arial" w:hAnsi="Arial" w:cs="Arial"/>
              </w:rPr>
            </w:pPr>
            <w:r>
              <w:rPr>
                <w:rFonts w:ascii="Arial" w:hAnsi="Arial" w:cs="Arial"/>
              </w:rPr>
              <w:t>T</w:t>
            </w:r>
            <w:r w:rsidRPr="00BE2100">
              <w:rPr>
                <w:rFonts w:ascii="Arial" w:hAnsi="Arial" w:cs="Arial"/>
              </w:rPr>
              <w:t xml:space="preserve">o extend the appointments of two councillor members of Londonderry Port and Harbour Commissioners and one councillor member of the </w:t>
            </w:r>
            <w:proofErr w:type="spellStart"/>
            <w:r w:rsidRPr="00BE2100">
              <w:rPr>
                <w:rFonts w:ascii="Arial" w:hAnsi="Arial" w:cs="Arial"/>
              </w:rPr>
              <w:t>Warrenpoint</w:t>
            </w:r>
            <w:proofErr w:type="spellEnd"/>
            <w:r w:rsidRPr="00BE2100">
              <w:rPr>
                <w:rFonts w:ascii="Arial" w:hAnsi="Arial" w:cs="Arial"/>
              </w:rPr>
              <w:t xml:space="preserve"> Harbour Authority until 29 February 2020 to secure the continuation of good governance at the ports.</w:t>
            </w:r>
          </w:p>
          <w:p w:rsidR="00BE2100" w:rsidRPr="00527546" w:rsidRDefault="00BE2100" w:rsidP="00BE2100">
            <w:pPr>
              <w:pStyle w:val="ListParagraph"/>
              <w:rPr>
                <w:rFonts w:ascii="Arial" w:hAnsi="Arial" w:cs="Arial"/>
              </w:rPr>
            </w:pPr>
          </w:p>
        </w:tc>
      </w:tr>
      <w:tr w:rsidR="00506F2C" w:rsidRPr="00E949BE" w:rsidTr="00CD57A5">
        <w:tc>
          <w:tcPr>
            <w:tcW w:w="1985" w:type="dxa"/>
          </w:tcPr>
          <w:p w:rsidR="00506F2C" w:rsidRPr="00E949BE" w:rsidRDefault="00506F2C" w:rsidP="00861143">
            <w:pPr>
              <w:ind w:left="0" w:firstLine="0"/>
              <w:rPr>
                <w:rFonts w:ascii="Arial" w:hAnsi="Arial" w:cs="Arial"/>
                <w:b/>
              </w:rPr>
            </w:pPr>
          </w:p>
        </w:tc>
        <w:tc>
          <w:tcPr>
            <w:tcW w:w="7041" w:type="dxa"/>
          </w:tcPr>
          <w:p w:rsidR="00275489" w:rsidRDefault="00527546" w:rsidP="00275489">
            <w:pPr>
              <w:ind w:left="0" w:firstLine="0"/>
              <w:rPr>
                <w:rFonts w:ascii="Arial" w:hAnsi="Arial" w:cs="Arial"/>
              </w:rPr>
            </w:pPr>
            <w:r w:rsidRPr="00527546">
              <w:rPr>
                <w:rFonts w:ascii="Arial" w:hAnsi="Arial" w:cs="Arial"/>
              </w:rPr>
              <w:t xml:space="preserve">Decisions were taken to make eight Traffic Regulation Orders </w:t>
            </w:r>
            <w:r w:rsidR="00282BDE">
              <w:rPr>
                <w:rFonts w:ascii="Arial" w:hAnsi="Arial" w:cs="Arial"/>
              </w:rPr>
              <w:t xml:space="preserve">(Statutory Rules): </w:t>
            </w:r>
            <w:r w:rsidRPr="00527546">
              <w:rPr>
                <w:rFonts w:ascii="Arial" w:hAnsi="Arial" w:cs="Arial"/>
              </w:rPr>
              <w:t>The Parking and Waiting Restrictions (Antrim) Order (Northern Irelan</w:t>
            </w:r>
            <w:r w:rsidR="00282BDE">
              <w:rPr>
                <w:rFonts w:ascii="Arial" w:hAnsi="Arial" w:cs="Arial"/>
              </w:rPr>
              <w:t>d) 2019;</w:t>
            </w:r>
            <w:r w:rsidRPr="00527546">
              <w:rPr>
                <w:rFonts w:ascii="Arial" w:hAnsi="Arial" w:cs="Arial"/>
              </w:rPr>
              <w:t xml:space="preserve"> The Parking Places on Roads and Waiting Restrictions (</w:t>
            </w:r>
            <w:proofErr w:type="spellStart"/>
            <w:r w:rsidRPr="00527546">
              <w:rPr>
                <w:rFonts w:ascii="Arial" w:hAnsi="Arial" w:cs="Arial"/>
              </w:rPr>
              <w:t>Cookstown</w:t>
            </w:r>
            <w:proofErr w:type="spellEnd"/>
            <w:r w:rsidRPr="00527546">
              <w:rPr>
                <w:rFonts w:ascii="Arial" w:hAnsi="Arial" w:cs="Arial"/>
              </w:rPr>
              <w:t xml:space="preserve">) (Amendment) Order (Northern </w:t>
            </w:r>
            <w:r w:rsidR="00282BDE">
              <w:rPr>
                <w:rFonts w:ascii="Arial" w:hAnsi="Arial" w:cs="Arial"/>
              </w:rPr>
              <w:t>Ireland) 2019;</w:t>
            </w:r>
            <w:r w:rsidRPr="00527546">
              <w:rPr>
                <w:rFonts w:ascii="Arial" w:hAnsi="Arial" w:cs="Arial"/>
              </w:rPr>
              <w:t xml:space="preserve"> The Parking Places, Loading Bay and Waiting Restrictions (Downpatrick) (Amendment</w:t>
            </w:r>
            <w:r w:rsidR="00282BDE">
              <w:rPr>
                <w:rFonts w:ascii="Arial" w:hAnsi="Arial" w:cs="Arial"/>
              </w:rPr>
              <w:t>) Order (Northern Ireland) 2019;</w:t>
            </w:r>
            <w:r w:rsidRPr="00527546">
              <w:rPr>
                <w:rFonts w:ascii="Arial" w:hAnsi="Arial" w:cs="Arial"/>
              </w:rPr>
              <w:t xml:space="preserve"> The Waiting Restrictions (Lisburn) (Amendment</w:t>
            </w:r>
            <w:r w:rsidR="00282BDE">
              <w:rPr>
                <w:rFonts w:ascii="Arial" w:hAnsi="Arial" w:cs="Arial"/>
              </w:rPr>
              <w:t>) Order (Northern Ireland) 2019;</w:t>
            </w:r>
            <w:r w:rsidRPr="00527546">
              <w:rPr>
                <w:rFonts w:ascii="Arial" w:hAnsi="Arial" w:cs="Arial"/>
              </w:rPr>
              <w:t xml:space="preserve"> The Parking Places on Roads, Loading Bay and Waiting Restrictions (Newcastle) (Amendment No. 2</w:t>
            </w:r>
            <w:r w:rsidR="00282BDE">
              <w:rPr>
                <w:rFonts w:ascii="Arial" w:hAnsi="Arial" w:cs="Arial"/>
              </w:rPr>
              <w:t>) Order (Northern Ireland) 2019;</w:t>
            </w:r>
            <w:r w:rsidRPr="00527546">
              <w:rPr>
                <w:rFonts w:ascii="Arial" w:hAnsi="Arial" w:cs="Arial"/>
              </w:rPr>
              <w:t xml:space="preserve"> The Taxis (</w:t>
            </w:r>
            <w:proofErr w:type="spellStart"/>
            <w:r w:rsidRPr="00527546">
              <w:rPr>
                <w:rFonts w:ascii="Arial" w:hAnsi="Arial" w:cs="Arial"/>
              </w:rPr>
              <w:t>Ballynahinch</w:t>
            </w:r>
            <w:proofErr w:type="spellEnd"/>
            <w:r w:rsidR="00282BDE">
              <w:rPr>
                <w:rFonts w:ascii="Arial" w:hAnsi="Arial" w:cs="Arial"/>
              </w:rPr>
              <w:t>) Order (Northern Ireland) 2019;</w:t>
            </w:r>
            <w:r w:rsidRPr="00527546">
              <w:rPr>
                <w:rFonts w:ascii="Arial" w:hAnsi="Arial" w:cs="Arial"/>
              </w:rPr>
              <w:t xml:space="preserve"> The Prohibition of Waiting (Schools) (Amendment) Order (Northern Ireland) 2019</w:t>
            </w:r>
            <w:r w:rsidR="00282BDE">
              <w:rPr>
                <w:rFonts w:ascii="Arial" w:hAnsi="Arial" w:cs="Arial"/>
              </w:rPr>
              <w:t>;</w:t>
            </w:r>
            <w:r w:rsidRPr="00527546">
              <w:rPr>
                <w:rFonts w:ascii="Arial" w:hAnsi="Arial" w:cs="Arial"/>
              </w:rPr>
              <w:t xml:space="preserve"> and The Roads (Speed Limit) (No. 2) Order (Northern Ireland) 2019. </w:t>
            </w:r>
          </w:p>
          <w:p w:rsidR="00527546" w:rsidRPr="00527546" w:rsidRDefault="00527546" w:rsidP="00275489">
            <w:pPr>
              <w:ind w:left="0" w:firstLine="0"/>
              <w:rPr>
                <w:rFonts w:ascii="Arial" w:hAnsi="Arial" w:cs="Arial"/>
              </w:rPr>
            </w:pPr>
          </w:p>
        </w:tc>
      </w:tr>
      <w:tr w:rsidR="00FB2F61" w:rsidRPr="00E949BE" w:rsidTr="00CD57A5">
        <w:tc>
          <w:tcPr>
            <w:tcW w:w="1985" w:type="dxa"/>
          </w:tcPr>
          <w:p w:rsidR="001F58EB" w:rsidRPr="00E949BE" w:rsidRDefault="001F58EB">
            <w:pPr>
              <w:rPr>
                <w:rFonts w:ascii="Arial" w:hAnsi="Arial" w:cs="Arial"/>
              </w:rPr>
            </w:pPr>
          </w:p>
        </w:tc>
        <w:tc>
          <w:tcPr>
            <w:tcW w:w="7041" w:type="dxa"/>
          </w:tcPr>
          <w:p w:rsidR="00275489" w:rsidRDefault="00527546" w:rsidP="00275489">
            <w:pPr>
              <w:ind w:left="0" w:firstLine="0"/>
              <w:rPr>
                <w:rFonts w:ascii="Arial" w:hAnsi="Arial" w:cs="Arial"/>
              </w:rPr>
            </w:pPr>
            <w:r w:rsidRPr="00527546">
              <w:rPr>
                <w:rFonts w:ascii="Arial" w:hAnsi="Arial" w:cs="Arial"/>
              </w:rPr>
              <w:t>Decisions were taken to make three Statutory Rules to introduce waiting restrictions and a coach bay/taxi stand on Bridge Street, Bangor</w:t>
            </w:r>
            <w:r w:rsidR="00BE2100">
              <w:rPr>
                <w:rFonts w:ascii="Arial" w:hAnsi="Arial" w:cs="Arial"/>
              </w:rPr>
              <w:t>:</w:t>
            </w:r>
            <w:r w:rsidR="00D31178">
              <w:rPr>
                <w:rFonts w:ascii="Arial" w:hAnsi="Arial" w:cs="Arial"/>
              </w:rPr>
              <w:t xml:space="preserve"> </w:t>
            </w:r>
            <w:r w:rsidRPr="00527546">
              <w:rPr>
                <w:rFonts w:ascii="Arial" w:hAnsi="Arial" w:cs="Arial"/>
              </w:rPr>
              <w:t>The Parking and Waiting Restrictions (Bangor) (Amendment</w:t>
            </w:r>
            <w:r w:rsidR="00BE2100">
              <w:rPr>
                <w:rFonts w:ascii="Arial" w:hAnsi="Arial" w:cs="Arial"/>
              </w:rPr>
              <w:t>) Order (Northern Ireland) 2019;</w:t>
            </w:r>
            <w:r w:rsidRPr="00527546">
              <w:rPr>
                <w:rFonts w:ascii="Arial" w:hAnsi="Arial" w:cs="Arial"/>
              </w:rPr>
              <w:t xml:space="preserve"> The Parking Places on Roads (Coaches) (Bangor) Order (Northern Ireland) 2019</w:t>
            </w:r>
            <w:r w:rsidR="00BE2100">
              <w:rPr>
                <w:rFonts w:ascii="Arial" w:hAnsi="Arial" w:cs="Arial"/>
              </w:rPr>
              <w:t>;</w:t>
            </w:r>
            <w:r w:rsidRPr="00527546">
              <w:rPr>
                <w:rFonts w:ascii="Arial" w:hAnsi="Arial" w:cs="Arial"/>
              </w:rPr>
              <w:t xml:space="preserve"> and The Taxis (Bangor) Order (Northern Ireland) 2019.</w:t>
            </w:r>
            <w:r w:rsidR="00D31178">
              <w:rPr>
                <w:rFonts w:ascii="Arial" w:hAnsi="Arial" w:cs="Arial"/>
              </w:rPr>
              <w:t xml:space="preserve"> </w:t>
            </w:r>
          </w:p>
          <w:p w:rsidR="00527546" w:rsidRPr="001D2DFE" w:rsidRDefault="00527546" w:rsidP="00275489">
            <w:pPr>
              <w:ind w:left="0" w:firstLine="0"/>
              <w:rPr>
                <w:rFonts w:ascii="Arial" w:hAnsi="Arial" w:cs="Arial"/>
                <w:sz w:val="20"/>
                <w:szCs w:val="20"/>
              </w:rPr>
            </w:pPr>
          </w:p>
        </w:tc>
      </w:tr>
      <w:tr w:rsidR="007500EB" w:rsidRPr="00E949BE" w:rsidTr="00CD57A5">
        <w:tc>
          <w:tcPr>
            <w:tcW w:w="1985" w:type="dxa"/>
          </w:tcPr>
          <w:p w:rsidR="007500EB" w:rsidRPr="00E949BE" w:rsidRDefault="007500EB">
            <w:pPr>
              <w:rPr>
                <w:rFonts w:ascii="Arial" w:hAnsi="Arial" w:cs="Arial"/>
              </w:rPr>
            </w:pPr>
          </w:p>
        </w:tc>
        <w:tc>
          <w:tcPr>
            <w:tcW w:w="7041" w:type="dxa"/>
          </w:tcPr>
          <w:p w:rsidR="00275489" w:rsidRDefault="00527546" w:rsidP="00527546">
            <w:pPr>
              <w:ind w:left="0" w:firstLine="0"/>
              <w:rPr>
                <w:rFonts w:ascii="Arial" w:hAnsi="Arial" w:cs="Arial"/>
              </w:rPr>
            </w:pPr>
            <w:r w:rsidRPr="00527546">
              <w:rPr>
                <w:rFonts w:ascii="Arial" w:hAnsi="Arial" w:cs="Arial"/>
              </w:rPr>
              <w:t>A decision was taken to make an Abandonment Order under Article 68 of the Roads (N</w:t>
            </w:r>
            <w:r w:rsidR="00D31178">
              <w:rPr>
                <w:rFonts w:ascii="Arial" w:hAnsi="Arial" w:cs="Arial"/>
              </w:rPr>
              <w:t xml:space="preserve">orthern </w:t>
            </w:r>
            <w:r w:rsidRPr="00527546">
              <w:rPr>
                <w:rFonts w:ascii="Arial" w:hAnsi="Arial" w:cs="Arial"/>
              </w:rPr>
              <w:t>I</w:t>
            </w:r>
            <w:r w:rsidR="00D31178">
              <w:rPr>
                <w:rFonts w:ascii="Arial" w:hAnsi="Arial" w:cs="Arial"/>
              </w:rPr>
              <w:t>reland</w:t>
            </w:r>
            <w:r w:rsidRPr="00527546">
              <w:rPr>
                <w:rFonts w:ascii="Arial" w:hAnsi="Arial" w:cs="Arial"/>
              </w:rPr>
              <w:t xml:space="preserve">) Order 1993 to remove a length of Charlestown Road, </w:t>
            </w:r>
            <w:proofErr w:type="spellStart"/>
            <w:r w:rsidRPr="00527546">
              <w:rPr>
                <w:rFonts w:ascii="Arial" w:hAnsi="Arial" w:cs="Arial"/>
              </w:rPr>
              <w:t>Portadown</w:t>
            </w:r>
            <w:proofErr w:type="spellEnd"/>
            <w:r w:rsidRPr="00527546">
              <w:rPr>
                <w:rFonts w:ascii="Arial" w:hAnsi="Arial" w:cs="Arial"/>
              </w:rPr>
              <w:t xml:space="preserve"> from the public road network.  </w:t>
            </w:r>
          </w:p>
          <w:p w:rsidR="00527546" w:rsidRPr="001D2DFE" w:rsidRDefault="00527546" w:rsidP="00527546">
            <w:pPr>
              <w:ind w:left="0" w:firstLine="0"/>
              <w:rPr>
                <w:rFonts w:ascii="Arial" w:hAnsi="Arial" w:cs="Arial"/>
                <w:sz w:val="20"/>
                <w:szCs w:val="20"/>
              </w:rPr>
            </w:pPr>
          </w:p>
        </w:tc>
      </w:tr>
      <w:tr w:rsidR="00C713A0" w:rsidRPr="00E949BE" w:rsidTr="00CD57A5">
        <w:tc>
          <w:tcPr>
            <w:tcW w:w="1985" w:type="dxa"/>
          </w:tcPr>
          <w:p w:rsidR="00C713A0" w:rsidRPr="00E949BE" w:rsidRDefault="00C713A0">
            <w:pPr>
              <w:rPr>
                <w:rFonts w:ascii="Arial" w:hAnsi="Arial" w:cs="Arial"/>
              </w:rPr>
            </w:pPr>
          </w:p>
        </w:tc>
        <w:tc>
          <w:tcPr>
            <w:tcW w:w="7041" w:type="dxa"/>
          </w:tcPr>
          <w:p w:rsidR="00C713A0" w:rsidRDefault="00C713A0" w:rsidP="00527546">
            <w:pPr>
              <w:ind w:left="0" w:firstLine="0"/>
              <w:rPr>
                <w:rFonts w:ascii="Arial" w:hAnsi="Arial" w:cs="Arial"/>
              </w:rPr>
            </w:pPr>
            <w:r w:rsidRPr="00C713A0">
              <w:rPr>
                <w:rFonts w:ascii="Arial" w:hAnsi="Arial" w:cs="Arial"/>
              </w:rPr>
              <w:t>A decision was taken to make The Road Races (Down Rally) Order (Northern Ireland) 2019) to close roads for the Down Rally. The Order w</w:t>
            </w:r>
            <w:r w:rsidR="00B03A16">
              <w:rPr>
                <w:rFonts w:ascii="Arial" w:hAnsi="Arial" w:cs="Arial"/>
              </w:rPr>
              <w:t>as</w:t>
            </w:r>
            <w:r w:rsidRPr="00C713A0">
              <w:rPr>
                <w:rFonts w:ascii="Arial" w:hAnsi="Arial" w:cs="Arial"/>
              </w:rPr>
              <w:t xml:space="preserve"> made on 28 June 2019 and will authorise the closing of specified public roads</w:t>
            </w:r>
            <w:r w:rsidR="00BE2100">
              <w:rPr>
                <w:rFonts w:ascii="Arial" w:hAnsi="Arial" w:cs="Arial"/>
              </w:rPr>
              <w:t>,</w:t>
            </w:r>
            <w:r w:rsidRPr="00C713A0">
              <w:rPr>
                <w:rFonts w:ascii="Arial" w:hAnsi="Arial" w:cs="Arial"/>
              </w:rPr>
              <w:t xml:space="preserve"> permit their use for road racing on the days and during the times specified</w:t>
            </w:r>
            <w:r w:rsidR="00BE2100">
              <w:rPr>
                <w:rFonts w:ascii="Arial" w:hAnsi="Arial" w:cs="Arial"/>
              </w:rPr>
              <w:t xml:space="preserve">, and </w:t>
            </w:r>
            <w:r w:rsidRPr="00C713A0">
              <w:rPr>
                <w:rFonts w:ascii="Arial" w:hAnsi="Arial" w:cs="Arial"/>
              </w:rPr>
              <w:t>specify conditions which apply in respect of the road closures.</w:t>
            </w:r>
          </w:p>
          <w:p w:rsidR="00C713A0" w:rsidRPr="001D2DFE" w:rsidRDefault="00C713A0" w:rsidP="00527546">
            <w:pPr>
              <w:ind w:left="0" w:firstLine="0"/>
              <w:rPr>
                <w:rFonts w:ascii="Arial" w:hAnsi="Arial" w:cs="Arial"/>
                <w:sz w:val="20"/>
                <w:szCs w:val="20"/>
              </w:rPr>
            </w:pPr>
          </w:p>
        </w:tc>
      </w:tr>
      <w:tr w:rsidR="00FB2F61" w:rsidRPr="00583288" w:rsidTr="00CD57A5">
        <w:tc>
          <w:tcPr>
            <w:tcW w:w="1985" w:type="dxa"/>
          </w:tcPr>
          <w:p w:rsidR="001F58EB" w:rsidRPr="00583288" w:rsidRDefault="00EA0F07">
            <w:pPr>
              <w:rPr>
                <w:rFonts w:ascii="Arial" w:hAnsi="Arial" w:cs="Arial"/>
                <w:b/>
              </w:rPr>
            </w:pPr>
            <w:r w:rsidRPr="00583288">
              <w:rPr>
                <w:rFonts w:ascii="Arial" w:hAnsi="Arial" w:cs="Arial"/>
                <w:b/>
              </w:rPr>
              <w:t>Department of</w:t>
            </w:r>
          </w:p>
          <w:p w:rsidR="00EA0F07" w:rsidRDefault="00EA0F07">
            <w:pPr>
              <w:rPr>
                <w:rFonts w:ascii="Arial" w:hAnsi="Arial" w:cs="Arial"/>
                <w:b/>
              </w:rPr>
            </w:pPr>
            <w:r w:rsidRPr="00583288">
              <w:rPr>
                <w:rFonts w:ascii="Arial" w:hAnsi="Arial" w:cs="Arial"/>
                <w:b/>
              </w:rPr>
              <w:t>Justice</w:t>
            </w:r>
          </w:p>
          <w:p w:rsidR="006C578C" w:rsidRPr="00583288" w:rsidRDefault="006C578C" w:rsidP="006C578C">
            <w:pPr>
              <w:ind w:left="0" w:firstLine="0"/>
              <w:rPr>
                <w:rFonts w:ascii="Arial" w:hAnsi="Arial" w:cs="Arial"/>
              </w:rPr>
            </w:pPr>
          </w:p>
        </w:tc>
        <w:tc>
          <w:tcPr>
            <w:tcW w:w="7041" w:type="dxa"/>
          </w:tcPr>
          <w:p w:rsidR="00B0332C" w:rsidRPr="00166036" w:rsidRDefault="00166036" w:rsidP="00B0332C">
            <w:pPr>
              <w:ind w:left="0" w:firstLine="0"/>
              <w:rPr>
                <w:rFonts w:ascii="Arial" w:hAnsi="Arial" w:cs="Arial"/>
              </w:rPr>
            </w:pPr>
            <w:r>
              <w:rPr>
                <w:rFonts w:ascii="Arial" w:hAnsi="Arial" w:cs="Arial"/>
              </w:rPr>
              <w:t xml:space="preserve">A decision was taken to </w:t>
            </w:r>
            <w:r w:rsidRPr="00166036">
              <w:rPr>
                <w:rFonts w:ascii="Arial" w:hAnsi="Arial" w:cs="Arial"/>
              </w:rPr>
              <w:t>approve the Civil Legal Services (Remuneration) (Amendment) Order (Northern Ireland) 2019.</w:t>
            </w:r>
          </w:p>
          <w:p w:rsidR="002123D2" w:rsidRPr="00166036" w:rsidRDefault="006F41DD" w:rsidP="006F41DD">
            <w:pPr>
              <w:ind w:left="0" w:firstLine="0"/>
              <w:rPr>
                <w:rFonts w:ascii="Arial" w:hAnsi="Arial" w:cs="Arial"/>
              </w:rPr>
            </w:pPr>
            <w:r w:rsidRPr="00166036">
              <w:rPr>
                <w:rFonts w:ascii="Arial" w:hAnsi="Arial" w:cs="Arial"/>
              </w:rPr>
              <w:t xml:space="preserve"> </w:t>
            </w:r>
            <w:r w:rsidR="00BA3CCA" w:rsidRPr="00166036">
              <w:rPr>
                <w:rFonts w:ascii="Arial" w:hAnsi="Arial" w:cs="Arial"/>
              </w:rPr>
              <w:t xml:space="preserve"> </w:t>
            </w:r>
          </w:p>
        </w:tc>
      </w:tr>
      <w:tr w:rsidR="00166036" w:rsidRPr="00583288" w:rsidTr="00CD57A5">
        <w:tc>
          <w:tcPr>
            <w:tcW w:w="1985" w:type="dxa"/>
          </w:tcPr>
          <w:p w:rsidR="00166036" w:rsidRPr="00583288" w:rsidRDefault="00166036">
            <w:pPr>
              <w:rPr>
                <w:rFonts w:ascii="Arial" w:hAnsi="Arial" w:cs="Arial"/>
                <w:b/>
              </w:rPr>
            </w:pPr>
          </w:p>
        </w:tc>
        <w:tc>
          <w:tcPr>
            <w:tcW w:w="7041" w:type="dxa"/>
          </w:tcPr>
          <w:p w:rsidR="00166036" w:rsidRDefault="00166036" w:rsidP="005B0F3F">
            <w:pPr>
              <w:ind w:left="0" w:firstLine="0"/>
              <w:rPr>
                <w:rFonts w:ascii="Arial" w:hAnsi="Arial" w:cs="Arial"/>
              </w:rPr>
            </w:pPr>
            <w:r w:rsidRPr="00166036">
              <w:rPr>
                <w:rFonts w:ascii="Arial" w:hAnsi="Arial" w:cs="Arial"/>
              </w:rPr>
              <w:t xml:space="preserve">A decision was </w:t>
            </w:r>
            <w:r>
              <w:rPr>
                <w:rFonts w:ascii="Arial" w:hAnsi="Arial" w:cs="Arial"/>
              </w:rPr>
              <w:t>taken to approve the Magistrate</w:t>
            </w:r>
            <w:r w:rsidRPr="00166036">
              <w:rPr>
                <w:rFonts w:ascii="Arial" w:hAnsi="Arial" w:cs="Arial"/>
              </w:rPr>
              <w:t>s</w:t>
            </w:r>
            <w:r>
              <w:rPr>
                <w:rFonts w:ascii="Arial" w:hAnsi="Arial" w:cs="Arial"/>
              </w:rPr>
              <w:t>’</w:t>
            </w:r>
            <w:r w:rsidRPr="00166036">
              <w:rPr>
                <w:rFonts w:ascii="Arial" w:hAnsi="Arial" w:cs="Arial"/>
              </w:rPr>
              <w:t xml:space="preserve"> Courts and County Courts Appeals (Criminal Legal Aid) (Costs)</w:t>
            </w:r>
            <w:r w:rsidR="000F57E9">
              <w:rPr>
                <w:rFonts w:ascii="Arial" w:hAnsi="Arial" w:cs="Arial"/>
              </w:rPr>
              <w:t xml:space="preserve"> </w:t>
            </w:r>
            <w:r w:rsidRPr="00166036">
              <w:rPr>
                <w:rFonts w:ascii="Arial" w:hAnsi="Arial" w:cs="Arial"/>
              </w:rPr>
              <w:t>(Amendment) Rules (Northern Ireland) 2019; and the Legal Aid for Crown Court Proceedings (Costs) (Amendment) Rules (Northern Ireland) 2019.</w:t>
            </w:r>
          </w:p>
          <w:p w:rsidR="00166036" w:rsidRPr="001D2DFE" w:rsidRDefault="00166036" w:rsidP="005B0F3F">
            <w:pPr>
              <w:ind w:left="0" w:firstLine="0"/>
              <w:rPr>
                <w:rFonts w:ascii="Arial" w:hAnsi="Arial" w:cs="Arial"/>
                <w:sz w:val="20"/>
                <w:szCs w:val="20"/>
              </w:rPr>
            </w:pPr>
          </w:p>
        </w:tc>
      </w:tr>
      <w:tr w:rsidR="006F41DD" w:rsidRPr="00E949BE" w:rsidTr="00CD57A5">
        <w:tc>
          <w:tcPr>
            <w:tcW w:w="1985" w:type="dxa"/>
          </w:tcPr>
          <w:p w:rsidR="006F41DD" w:rsidRPr="00E949BE" w:rsidRDefault="006F41DD">
            <w:pPr>
              <w:rPr>
                <w:rFonts w:ascii="Arial" w:hAnsi="Arial" w:cs="Arial"/>
                <w:b/>
              </w:rPr>
            </w:pPr>
          </w:p>
        </w:tc>
        <w:tc>
          <w:tcPr>
            <w:tcW w:w="7041" w:type="dxa"/>
          </w:tcPr>
          <w:p w:rsidR="001179C3" w:rsidRPr="00166036" w:rsidRDefault="00166036" w:rsidP="00166036">
            <w:pPr>
              <w:ind w:left="0" w:firstLine="0"/>
              <w:rPr>
                <w:rFonts w:ascii="Arial" w:hAnsi="Arial" w:cs="Arial"/>
              </w:rPr>
            </w:pPr>
            <w:r w:rsidRPr="00166036">
              <w:rPr>
                <w:rFonts w:ascii="Arial" w:hAnsi="Arial" w:cs="Arial"/>
              </w:rPr>
              <w:t>A decision was taken to appoint a Board member to the Northern Ireland Police Fund.</w:t>
            </w:r>
          </w:p>
          <w:p w:rsidR="00166036" w:rsidRPr="001D2DFE" w:rsidRDefault="00166036" w:rsidP="00166036">
            <w:pPr>
              <w:pStyle w:val="NormalWeb"/>
              <w:rPr>
                <w:i/>
              </w:rPr>
            </w:pPr>
          </w:p>
        </w:tc>
      </w:tr>
    </w:tbl>
    <w:p w:rsidR="001D2DFE" w:rsidRDefault="001D2DFE" w:rsidP="00CD57A5">
      <w:pPr>
        <w:ind w:left="0" w:firstLine="0"/>
        <w:rPr>
          <w:rFonts w:ascii="Arial" w:hAnsi="Arial" w:cs="Arial"/>
          <w:b/>
        </w:rPr>
      </w:pPr>
    </w:p>
    <w:p w:rsidR="00093AE9" w:rsidRPr="001D2DFE" w:rsidRDefault="00C761D6" w:rsidP="00CD57A5">
      <w:pPr>
        <w:ind w:left="0" w:firstLine="0"/>
        <w:rPr>
          <w:rFonts w:ascii="Arial" w:hAnsi="Arial" w:cs="Arial"/>
          <w:b/>
          <w:sz w:val="28"/>
          <w:szCs w:val="28"/>
        </w:rPr>
      </w:pPr>
      <w:r w:rsidRPr="00D96432">
        <w:rPr>
          <w:rFonts w:ascii="Arial" w:hAnsi="Arial" w:cs="Arial"/>
          <w:b/>
        </w:rPr>
        <w:t>THE EXECUTIVE OFFICE</w:t>
      </w:r>
    </w:p>
    <w:p w:rsidR="00EB54DA" w:rsidRPr="00D96432" w:rsidRDefault="001D2DFE" w:rsidP="00CD57A5">
      <w:pPr>
        <w:ind w:left="0" w:firstLine="0"/>
        <w:rPr>
          <w:rFonts w:ascii="Arial" w:hAnsi="Arial" w:cs="Arial"/>
          <w:b/>
        </w:rPr>
      </w:pPr>
      <w:r>
        <w:rPr>
          <w:rFonts w:ascii="Arial" w:hAnsi="Arial" w:cs="Arial"/>
          <w:b/>
        </w:rPr>
        <w:t>AUGUST</w:t>
      </w:r>
      <w:r w:rsidR="00E46A76">
        <w:rPr>
          <w:rFonts w:ascii="Arial" w:hAnsi="Arial" w:cs="Arial"/>
          <w:b/>
        </w:rPr>
        <w:t xml:space="preserve"> </w:t>
      </w:r>
      <w:r w:rsidR="00C761D6" w:rsidRPr="00D96432">
        <w:rPr>
          <w:rFonts w:ascii="Arial" w:hAnsi="Arial" w:cs="Arial"/>
          <w:b/>
        </w:rPr>
        <w:t>201</w:t>
      </w:r>
      <w:r w:rsidR="003E254F">
        <w:rPr>
          <w:rFonts w:ascii="Arial" w:hAnsi="Arial" w:cs="Arial"/>
          <w:b/>
        </w:rPr>
        <w:t>9</w:t>
      </w:r>
    </w:p>
    <w:sectPr w:rsidR="00EB54DA" w:rsidRPr="00D96432">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836D" w16cid:durableId="1FC48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E0" w:rsidRDefault="006849E0" w:rsidP="005348C6">
      <w:pPr>
        <w:spacing w:line="240" w:lineRule="auto"/>
      </w:pPr>
      <w:r>
        <w:separator/>
      </w:r>
    </w:p>
  </w:endnote>
  <w:endnote w:type="continuationSeparator" w:id="0">
    <w:p w:rsidR="006849E0" w:rsidRDefault="006849E0"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E0" w:rsidRDefault="006849E0" w:rsidP="005348C6">
      <w:pPr>
        <w:spacing w:line="240" w:lineRule="auto"/>
      </w:pPr>
      <w:r>
        <w:separator/>
      </w:r>
    </w:p>
  </w:footnote>
  <w:footnote w:type="continuationSeparator" w:id="0">
    <w:p w:rsidR="006849E0" w:rsidRDefault="006849E0" w:rsidP="0053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F4058D">
      <w:rPr>
        <w:color w:val="FF0000"/>
        <w:sz w:val="16"/>
        <w:szCs w:val="16"/>
      </w:rPr>
      <w:t>June</w:t>
    </w:r>
    <w:r w:rsidR="00FB1CE2">
      <w:rPr>
        <w:color w:val="FF0000"/>
        <w:sz w:val="16"/>
        <w:szCs w:val="16"/>
      </w:rPr>
      <w:t xml:space="preserve"> </w:t>
    </w:r>
    <w:r w:rsidRPr="00845664">
      <w:rPr>
        <w:color w:val="FF0000"/>
        <w:sz w:val="16"/>
        <w:szCs w:val="16"/>
      </w:rPr>
      <w:t>201</w:t>
    </w:r>
    <w:r w:rsidR="00490A7B">
      <w:rPr>
        <w:color w:val="FF0000"/>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A7"/>
    <w:multiLevelType w:val="hybridMultilevel"/>
    <w:tmpl w:val="B4108266"/>
    <w:lvl w:ilvl="0" w:tplc="18C21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15:restartNumberingAfterBreak="0">
    <w:nsid w:val="095E7CB7"/>
    <w:multiLevelType w:val="hybridMultilevel"/>
    <w:tmpl w:val="9D5EAB0E"/>
    <w:lvl w:ilvl="0" w:tplc="D24A1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3AD3"/>
    <w:multiLevelType w:val="hybridMultilevel"/>
    <w:tmpl w:val="E7CE6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A3CB1"/>
    <w:multiLevelType w:val="hybridMultilevel"/>
    <w:tmpl w:val="0FC8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2D722A"/>
    <w:multiLevelType w:val="hybridMultilevel"/>
    <w:tmpl w:val="B4B2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A409D"/>
    <w:multiLevelType w:val="hybridMultilevel"/>
    <w:tmpl w:val="2F2AD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296856"/>
    <w:multiLevelType w:val="hybridMultilevel"/>
    <w:tmpl w:val="F538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043487"/>
    <w:multiLevelType w:val="hybridMultilevel"/>
    <w:tmpl w:val="5184C46C"/>
    <w:lvl w:ilvl="0" w:tplc="ADBED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A4003"/>
    <w:multiLevelType w:val="hybridMultilevel"/>
    <w:tmpl w:val="10FA9ED8"/>
    <w:lvl w:ilvl="0" w:tplc="D5FA5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5"/>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8"/>
  </w:num>
  <w:num w:numId="11">
    <w:abstractNumId w:val="15"/>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B"/>
    <w:rsid w:val="000008DD"/>
    <w:rsid w:val="00003D4C"/>
    <w:rsid w:val="0000452B"/>
    <w:rsid w:val="000124B9"/>
    <w:rsid w:val="00016A06"/>
    <w:rsid w:val="00021C8C"/>
    <w:rsid w:val="00026560"/>
    <w:rsid w:val="0003234B"/>
    <w:rsid w:val="0003376D"/>
    <w:rsid w:val="00033D5B"/>
    <w:rsid w:val="00042672"/>
    <w:rsid w:val="00052CEC"/>
    <w:rsid w:val="00053E78"/>
    <w:rsid w:val="00076AD4"/>
    <w:rsid w:val="0008292E"/>
    <w:rsid w:val="00082D86"/>
    <w:rsid w:val="00083635"/>
    <w:rsid w:val="00086567"/>
    <w:rsid w:val="00093AE9"/>
    <w:rsid w:val="000A0BC2"/>
    <w:rsid w:val="000A59D2"/>
    <w:rsid w:val="000A7A66"/>
    <w:rsid w:val="000D028E"/>
    <w:rsid w:val="000D1D40"/>
    <w:rsid w:val="000D26EF"/>
    <w:rsid w:val="000E4CFC"/>
    <w:rsid w:val="000F57E9"/>
    <w:rsid w:val="001179C3"/>
    <w:rsid w:val="00121681"/>
    <w:rsid w:val="00121D87"/>
    <w:rsid w:val="001272A4"/>
    <w:rsid w:val="001432D9"/>
    <w:rsid w:val="00144343"/>
    <w:rsid w:val="00154513"/>
    <w:rsid w:val="00160ABF"/>
    <w:rsid w:val="00166036"/>
    <w:rsid w:val="001738E2"/>
    <w:rsid w:val="00175EDA"/>
    <w:rsid w:val="00176949"/>
    <w:rsid w:val="00180F69"/>
    <w:rsid w:val="001817A4"/>
    <w:rsid w:val="00182A1A"/>
    <w:rsid w:val="001874CE"/>
    <w:rsid w:val="0018769A"/>
    <w:rsid w:val="001954D3"/>
    <w:rsid w:val="00197C7C"/>
    <w:rsid w:val="00197E1D"/>
    <w:rsid w:val="001A078F"/>
    <w:rsid w:val="001B573A"/>
    <w:rsid w:val="001C170E"/>
    <w:rsid w:val="001C2077"/>
    <w:rsid w:val="001C2271"/>
    <w:rsid w:val="001C3F4F"/>
    <w:rsid w:val="001C475A"/>
    <w:rsid w:val="001D2DFE"/>
    <w:rsid w:val="001E485A"/>
    <w:rsid w:val="001F58EB"/>
    <w:rsid w:val="00207AEC"/>
    <w:rsid w:val="002123D2"/>
    <w:rsid w:val="002259D6"/>
    <w:rsid w:val="00237291"/>
    <w:rsid w:val="0024011A"/>
    <w:rsid w:val="00240B3F"/>
    <w:rsid w:val="0024144A"/>
    <w:rsid w:val="00243DB8"/>
    <w:rsid w:val="00250CAA"/>
    <w:rsid w:val="0025273B"/>
    <w:rsid w:val="002746CE"/>
    <w:rsid w:val="00275489"/>
    <w:rsid w:val="00282BDE"/>
    <w:rsid w:val="00287979"/>
    <w:rsid w:val="0029449A"/>
    <w:rsid w:val="0029710F"/>
    <w:rsid w:val="002A3352"/>
    <w:rsid w:val="002B0A8C"/>
    <w:rsid w:val="002C4243"/>
    <w:rsid w:val="002E04B7"/>
    <w:rsid w:val="002E6160"/>
    <w:rsid w:val="002F1194"/>
    <w:rsid w:val="002F1412"/>
    <w:rsid w:val="002F4E99"/>
    <w:rsid w:val="003030AC"/>
    <w:rsid w:val="00321FD0"/>
    <w:rsid w:val="00336EF7"/>
    <w:rsid w:val="00343FEB"/>
    <w:rsid w:val="00365B96"/>
    <w:rsid w:val="00373965"/>
    <w:rsid w:val="003805F7"/>
    <w:rsid w:val="00380EAE"/>
    <w:rsid w:val="00381AC0"/>
    <w:rsid w:val="00383355"/>
    <w:rsid w:val="00385B3B"/>
    <w:rsid w:val="00387F69"/>
    <w:rsid w:val="00392C0E"/>
    <w:rsid w:val="003953EC"/>
    <w:rsid w:val="003E1571"/>
    <w:rsid w:val="003E254F"/>
    <w:rsid w:val="003F3927"/>
    <w:rsid w:val="00403EF5"/>
    <w:rsid w:val="00406502"/>
    <w:rsid w:val="00411CC4"/>
    <w:rsid w:val="004152EB"/>
    <w:rsid w:val="00415BEC"/>
    <w:rsid w:val="00420587"/>
    <w:rsid w:val="00431EFC"/>
    <w:rsid w:val="00445B53"/>
    <w:rsid w:val="00446276"/>
    <w:rsid w:val="00447970"/>
    <w:rsid w:val="00452006"/>
    <w:rsid w:val="004637A2"/>
    <w:rsid w:val="00463D25"/>
    <w:rsid w:val="0046401B"/>
    <w:rsid w:val="00467634"/>
    <w:rsid w:val="00467E61"/>
    <w:rsid w:val="00471B2C"/>
    <w:rsid w:val="00486872"/>
    <w:rsid w:val="00490A7B"/>
    <w:rsid w:val="00496799"/>
    <w:rsid w:val="00496D03"/>
    <w:rsid w:val="004A1033"/>
    <w:rsid w:val="004B018A"/>
    <w:rsid w:val="004B069A"/>
    <w:rsid w:val="004B15A1"/>
    <w:rsid w:val="004C3EDE"/>
    <w:rsid w:val="004C7D10"/>
    <w:rsid w:val="004D325B"/>
    <w:rsid w:val="004E4DFA"/>
    <w:rsid w:val="004F027E"/>
    <w:rsid w:val="004F186E"/>
    <w:rsid w:val="005011C4"/>
    <w:rsid w:val="00503A9D"/>
    <w:rsid w:val="0050461F"/>
    <w:rsid w:val="00506F2C"/>
    <w:rsid w:val="00527546"/>
    <w:rsid w:val="005348C6"/>
    <w:rsid w:val="005362FE"/>
    <w:rsid w:val="005411F1"/>
    <w:rsid w:val="00541540"/>
    <w:rsid w:val="00541782"/>
    <w:rsid w:val="0054506B"/>
    <w:rsid w:val="00557EFE"/>
    <w:rsid w:val="00580F93"/>
    <w:rsid w:val="0058222B"/>
    <w:rsid w:val="00583288"/>
    <w:rsid w:val="00583F8B"/>
    <w:rsid w:val="005A3F00"/>
    <w:rsid w:val="005B0F3F"/>
    <w:rsid w:val="005B16B9"/>
    <w:rsid w:val="005B22A9"/>
    <w:rsid w:val="005C2F89"/>
    <w:rsid w:val="005C6530"/>
    <w:rsid w:val="005E0F5C"/>
    <w:rsid w:val="005E1064"/>
    <w:rsid w:val="005E2FDB"/>
    <w:rsid w:val="005E5058"/>
    <w:rsid w:val="005E5369"/>
    <w:rsid w:val="005E5D3E"/>
    <w:rsid w:val="005F0118"/>
    <w:rsid w:val="005F05EE"/>
    <w:rsid w:val="00602615"/>
    <w:rsid w:val="00605664"/>
    <w:rsid w:val="00617F75"/>
    <w:rsid w:val="00626CA0"/>
    <w:rsid w:val="006274EC"/>
    <w:rsid w:val="00632DE8"/>
    <w:rsid w:val="00651B50"/>
    <w:rsid w:val="0065220E"/>
    <w:rsid w:val="00662809"/>
    <w:rsid w:val="00662C38"/>
    <w:rsid w:val="00664254"/>
    <w:rsid w:val="00664F1C"/>
    <w:rsid w:val="00665E37"/>
    <w:rsid w:val="0067382D"/>
    <w:rsid w:val="006739FA"/>
    <w:rsid w:val="00674F9F"/>
    <w:rsid w:val="0068431C"/>
    <w:rsid w:val="0068472D"/>
    <w:rsid w:val="006849E0"/>
    <w:rsid w:val="00687F0D"/>
    <w:rsid w:val="0069599C"/>
    <w:rsid w:val="006A03F1"/>
    <w:rsid w:val="006A0CEC"/>
    <w:rsid w:val="006C536C"/>
    <w:rsid w:val="006C578C"/>
    <w:rsid w:val="006D6072"/>
    <w:rsid w:val="006D69AF"/>
    <w:rsid w:val="006D7AFA"/>
    <w:rsid w:val="006E397C"/>
    <w:rsid w:val="006E4C37"/>
    <w:rsid w:val="006F41DD"/>
    <w:rsid w:val="00704E9F"/>
    <w:rsid w:val="007050D8"/>
    <w:rsid w:val="00706B98"/>
    <w:rsid w:val="00714DF2"/>
    <w:rsid w:val="007162BF"/>
    <w:rsid w:val="00722480"/>
    <w:rsid w:val="00727B28"/>
    <w:rsid w:val="007313B1"/>
    <w:rsid w:val="00733B1D"/>
    <w:rsid w:val="007500EB"/>
    <w:rsid w:val="007643A1"/>
    <w:rsid w:val="00765D6E"/>
    <w:rsid w:val="0077062A"/>
    <w:rsid w:val="007753EF"/>
    <w:rsid w:val="00785B83"/>
    <w:rsid w:val="007A38C8"/>
    <w:rsid w:val="007B538C"/>
    <w:rsid w:val="007C761B"/>
    <w:rsid w:val="007D0259"/>
    <w:rsid w:val="007D12C4"/>
    <w:rsid w:val="007D29A6"/>
    <w:rsid w:val="007D55F7"/>
    <w:rsid w:val="008002C3"/>
    <w:rsid w:val="0080640C"/>
    <w:rsid w:val="00806A19"/>
    <w:rsid w:val="008072CA"/>
    <w:rsid w:val="00807315"/>
    <w:rsid w:val="00820AD2"/>
    <w:rsid w:val="0082197B"/>
    <w:rsid w:val="00823FB5"/>
    <w:rsid w:val="00833F81"/>
    <w:rsid w:val="00841581"/>
    <w:rsid w:val="00843DEE"/>
    <w:rsid w:val="00845664"/>
    <w:rsid w:val="00861143"/>
    <w:rsid w:val="00865508"/>
    <w:rsid w:val="00877BB5"/>
    <w:rsid w:val="00877D5D"/>
    <w:rsid w:val="008879F7"/>
    <w:rsid w:val="00891E08"/>
    <w:rsid w:val="00894CCD"/>
    <w:rsid w:val="008A04A2"/>
    <w:rsid w:val="008B4D45"/>
    <w:rsid w:val="008C4E47"/>
    <w:rsid w:val="008E6F13"/>
    <w:rsid w:val="008E7721"/>
    <w:rsid w:val="008F0524"/>
    <w:rsid w:val="008F4A6F"/>
    <w:rsid w:val="009040CC"/>
    <w:rsid w:val="00906954"/>
    <w:rsid w:val="0091545B"/>
    <w:rsid w:val="00920CC2"/>
    <w:rsid w:val="00920DB8"/>
    <w:rsid w:val="00922AAB"/>
    <w:rsid w:val="00923365"/>
    <w:rsid w:val="009250BE"/>
    <w:rsid w:val="00930B9D"/>
    <w:rsid w:val="00935D52"/>
    <w:rsid w:val="00952125"/>
    <w:rsid w:val="00972CFF"/>
    <w:rsid w:val="00981755"/>
    <w:rsid w:val="00990781"/>
    <w:rsid w:val="00994C11"/>
    <w:rsid w:val="009B03EF"/>
    <w:rsid w:val="009B05C0"/>
    <w:rsid w:val="009B0EE8"/>
    <w:rsid w:val="009C1CBE"/>
    <w:rsid w:val="009C41E3"/>
    <w:rsid w:val="009D0C85"/>
    <w:rsid w:val="009D3E7F"/>
    <w:rsid w:val="009D4995"/>
    <w:rsid w:val="009E2944"/>
    <w:rsid w:val="009E7F2E"/>
    <w:rsid w:val="00A12307"/>
    <w:rsid w:val="00A16F76"/>
    <w:rsid w:val="00A20644"/>
    <w:rsid w:val="00A237D1"/>
    <w:rsid w:val="00A322A5"/>
    <w:rsid w:val="00A342E1"/>
    <w:rsid w:val="00A357DF"/>
    <w:rsid w:val="00A360B4"/>
    <w:rsid w:val="00A42D69"/>
    <w:rsid w:val="00A538C8"/>
    <w:rsid w:val="00A547C1"/>
    <w:rsid w:val="00A66861"/>
    <w:rsid w:val="00A72BEB"/>
    <w:rsid w:val="00A748FB"/>
    <w:rsid w:val="00A83FA6"/>
    <w:rsid w:val="00A848CA"/>
    <w:rsid w:val="00A9670F"/>
    <w:rsid w:val="00AA5985"/>
    <w:rsid w:val="00AB2286"/>
    <w:rsid w:val="00AB2D8F"/>
    <w:rsid w:val="00AB412B"/>
    <w:rsid w:val="00AB6DBE"/>
    <w:rsid w:val="00AC1B5C"/>
    <w:rsid w:val="00AD32B2"/>
    <w:rsid w:val="00AD4042"/>
    <w:rsid w:val="00AE7A41"/>
    <w:rsid w:val="00AF0B0F"/>
    <w:rsid w:val="00AF74A4"/>
    <w:rsid w:val="00B00B30"/>
    <w:rsid w:val="00B01632"/>
    <w:rsid w:val="00B0332C"/>
    <w:rsid w:val="00B03A16"/>
    <w:rsid w:val="00B1179F"/>
    <w:rsid w:val="00B1521C"/>
    <w:rsid w:val="00B3564A"/>
    <w:rsid w:val="00B37477"/>
    <w:rsid w:val="00B473A4"/>
    <w:rsid w:val="00B51CD7"/>
    <w:rsid w:val="00B5561B"/>
    <w:rsid w:val="00B604C8"/>
    <w:rsid w:val="00B61041"/>
    <w:rsid w:val="00B65D1A"/>
    <w:rsid w:val="00B77E5D"/>
    <w:rsid w:val="00B90A24"/>
    <w:rsid w:val="00B96E60"/>
    <w:rsid w:val="00BA1157"/>
    <w:rsid w:val="00BA3CCA"/>
    <w:rsid w:val="00BC40C8"/>
    <w:rsid w:val="00BC6FA6"/>
    <w:rsid w:val="00BD44B0"/>
    <w:rsid w:val="00BD519B"/>
    <w:rsid w:val="00BD73BB"/>
    <w:rsid w:val="00BE2100"/>
    <w:rsid w:val="00C03E6B"/>
    <w:rsid w:val="00C212C9"/>
    <w:rsid w:val="00C22742"/>
    <w:rsid w:val="00C31CE3"/>
    <w:rsid w:val="00C407D6"/>
    <w:rsid w:val="00C447C3"/>
    <w:rsid w:val="00C46D45"/>
    <w:rsid w:val="00C472CA"/>
    <w:rsid w:val="00C506FF"/>
    <w:rsid w:val="00C530EC"/>
    <w:rsid w:val="00C5494C"/>
    <w:rsid w:val="00C54E02"/>
    <w:rsid w:val="00C554DF"/>
    <w:rsid w:val="00C56FE7"/>
    <w:rsid w:val="00C60684"/>
    <w:rsid w:val="00C62BEB"/>
    <w:rsid w:val="00C70651"/>
    <w:rsid w:val="00C713A0"/>
    <w:rsid w:val="00C74FFA"/>
    <w:rsid w:val="00C761D6"/>
    <w:rsid w:val="00C7682D"/>
    <w:rsid w:val="00C84A77"/>
    <w:rsid w:val="00C86794"/>
    <w:rsid w:val="00C94D2F"/>
    <w:rsid w:val="00CA0FFB"/>
    <w:rsid w:val="00CA40BF"/>
    <w:rsid w:val="00CA42C2"/>
    <w:rsid w:val="00CA52C9"/>
    <w:rsid w:val="00CA7305"/>
    <w:rsid w:val="00CB4A3E"/>
    <w:rsid w:val="00CB6FA2"/>
    <w:rsid w:val="00CC34AD"/>
    <w:rsid w:val="00CD542F"/>
    <w:rsid w:val="00CD57A5"/>
    <w:rsid w:val="00CE0316"/>
    <w:rsid w:val="00CE6085"/>
    <w:rsid w:val="00D02133"/>
    <w:rsid w:val="00D1129B"/>
    <w:rsid w:val="00D16CAF"/>
    <w:rsid w:val="00D20367"/>
    <w:rsid w:val="00D31178"/>
    <w:rsid w:val="00D31BD2"/>
    <w:rsid w:val="00D43B73"/>
    <w:rsid w:val="00D64B72"/>
    <w:rsid w:val="00D679D2"/>
    <w:rsid w:val="00D7268E"/>
    <w:rsid w:val="00D7512A"/>
    <w:rsid w:val="00D7544A"/>
    <w:rsid w:val="00D808E8"/>
    <w:rsid w:val="00D82650"/>
    <w:rsid w:val="00D91EBB"/>
    <w:rsid w:val="00D96432"/>
    <w:rsid w:val="00DA4FE1"/>
    <w:rsid w:val="00DA706F"/>
    <w:rsid w:val="00DB2EC5"/>
    <w:rsid w:val="00DC2BA9"/>
    <w:rsid w:val="00DD6350"/>
    <w:rsid w:val="00DE2BA3"/>
    <w:rsid w:val="00DE2E8C"/>
    <w:rsid w:val="00DE75B0"/>
    <w:rsid w:val="00DF1E02"/>
    <w:rsid w:val="00DF36BC"/>
    <w:rsid w:val="00E0646F"/>
    <w:rsid w:val="00E104B0"/>
    <w:rsid w:val="00E20113"/>
    <w:rsid w:val="00E23ECD"/>
    <w:rsid w:val="00E25D3F"/>
    <w:rsid w:val="00E276E6"/>
    <w:rsid w:val="00E35919"/>
    <w:rsid w:val="00E409DC"/>
    <w:rsid w:val="00E42DB0"/>
    <w:rsid w:val="00E46A76"/>
    <w:rsid w:val="00E47B25"/>
    <w:rsid w:val="00E50271"/>
    <w:rsid w:val="00E55CFE"/>
    <w:rsid w:val="00E678A2"/>
    <w:rsid w:val="00E6799E"/>
    <w:rsid w:val="00E70308"/>
    <w:rsid w:val="00E711F9"/>
    <w:rsid w:val="00E73773"/>
    <w:rsid w:val="00E949BE"/>
    <w:rsid w:val="00EA0F07"/>
    <w:rsid w:val="00EB3504"/>
    <w:rsid w:val="00EB54DA"/>
    <w:rsid w:val="00EB7351"/>
    <w:rsid w:val="00EC28E6"/>
    <w:rsid w:val="00ED5020"/>
    <w:rsid w:val="00EF75D7"/>
    <w:rsid w:val="00F000D0"/>
    <w:rsid w:val="00F14ECA"/>
    <w:rsid w:val="00F15AFD"/>
    <w:rsid w:val="00F234FA"/>
    <w:rsid w:val="00F33979"/>
    <w:rsid w:val="00F4058D"/>
    <w:rsid w:val="00F42BDF"/>
    <w:rsid w:val="00F43475"/>
    <w:rsid w:val="00F509F0"/>
    <w:rsid w:val="00F544C2"/>
    <w:rsid w:val="00F555A6"/>
    <w:rsid w:val="00F74616"/>
    <w:rsid w:val="00F75A53"/>
    <w:rsid w:val="00F75B7C"/>
    <w:rsid w:val="00F97D89"/>
    <w:rsid w:val="00FA0CA6"/>
    <w:rsid w:val="00FA6697"/>
    <w:rsid w:val="00FB1CE2"/>
    <w:rsid w:val="00FB2DE4"/>
    <w:rsid w:val="00FB2F61"/>
    <w:rsid w:val="00FB500E"/>
    <w:rsid w:val="00FB6C3C"/>
    <w:rsid w:val="00FC71E3"/>
    <w:rsid w:val="00FD0F47"/>
    <w:rsid w:val="00FD26A5"/>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A38"/>
  <w15:docId w15:val="{50D4060F-6809-469D-ADE8-32BB8F6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semiHidden/>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4E99"/>
    <w:rPr>
      <w:rFonts w:ascii="Consolas" w:eastAsia="Times New Roman" w:hAnsi="Consolas" w:cs="Times New Roman"/>
      <w:sz w:val="21"/>
      <w:szCs w:val="21"/>
    </w:rPr>
  </w:style>
  <w:style w:type="paragraph" w:styleId="NormalWeb">
    <w:name w:val="Normal (Web)"/>
    <w:basedOn w:val="Normal"/>
    <w:uiPriority w:val="99"/>
    <w:unhideWhenUsed/>
    <w:rsid w:val="00FB1CE2"/>
    <w:pPr>
      <w:spacing w:before="100" w:beforeAutospacing="1" w:after="100" w:afterAutospacing="1" w:line="240" w:lineRule="auto"/>
      <w:ind w:left="0" w:firstLine="0"/>
      <w:jc w:val="left"/>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87">
      <w:bodyDiv w:val="1"/>
      <w:marLeft w:val="0"/>
      <w:marRight w:val="0"/>
      <w:marTop w:val="0"/>
      <w:marBottom w:val="0"/>
      <w:divBdr>
        <w:top w:val="none" w:sz="0" w:space="0" w:color="auto"/>
        <w:left w:val="none" w:sz="0" w:space="0" w:color="auto"/>
        <w:bottom w:val="none" w:sz="0" w:space="0" w:color="auto"/>
        <w:right w:val="none" w:sz="0" w:space="0" w:color="auto"/>
      </w:divBdr>
    </w:div>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238447287">
      <w:bodyDiv w:val="1"/>
      <w:marLeft w:val="0"/>
      <w:marRight w:val="0"/>
      <w:marTop w:val="0"/>
      <w:marBottom w:val="0"/>
      <w:divBdr>
        <w:top w:val="none" w:sz="0" w:space="0" w:color="auto"/>
        <w:left w:val="none" w:sz="0" w:space="0" w:color="auto"/>
        <w:bottom w:val="none" w:sz="0" w:space="0" w:color="auto"/>
        <w:right w:val="none" w:sz="0" w:space="0" w:color="auto"/>
      </w:divBdr>
    </w:div>
    <w:div w:id="366956227">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544684702">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94831772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175072971">
      <w:bodyDiv w:val="1"/>
      <w:marLeft w:val="0"/>
      <w:marRight w:val="0"/>
      <w:marTop w:val="0"/>
      <w:marBottom w:val="0"/>
      <w:divBdr>
        <w:top w:val="none" w:sz="0" w:space="0" w:color="auto"/>
        <w:left w:val="none" w:sz="0" w:space="0" w:color="auto"/>
        <w:bottom w:val="none" w:sz="0" w:space="0" w:color="auto"/>
        <w:right w:val="none" w:sz="0" w:space="0" w:color="auto"/>
      </w:divBdr>
    </w:div>
    <w:div w:id="1192643127">
      <w:bodyDiv w:val="1"/>
      <w:marLeft w:val="0"/>
      <w:marRight w:val="0"/>
      <w:marTop w:val="0"/>
      <w:marBottom w:val="0"/>
      <w:divBdr>
        <w:top w:val="none" w:sz="0" w:space="0" w:color="auto"/>
        <w:left w:val="none" w:sz="0" w:space="0" w:color="auto"/>
        <w:bottom w:val="none" w:sz="0" w:space="0" w:color="auto"/>
        <w:right w:val="none" w:sz="0" w:space="0" w:color="auto"/>
      </w:divBdr>
    </w:div>
    <w:div w:id="1209144629">
      <w:bodyDiv w:val="1"/>
      <w:marLeft w:val="0"/>
      <w:marRight w:val="0"/>
      <w:marTop w:val="0"/>
      <w:marBottom w:val="0"/>
      <w:divBdr>
        <w:top w:val="none" w:sz="0" w:space="0" w:color="auto"/>
        <w:left w:val="none" w:sz="0" w:space="0" w:color="auto"/>
        <w:bottom w:val="none" w:sz="0" w:space="0" w:color="auto"/>
        <w:right w:val="none" w:sz="0" w:space="0" w:color="auto"/>
      </w:divBdr>
    </w:div>
    <w:div w:id="1234003773">
      <w:bodyDiv w:val="1"/>
      <w:marLeft w:val="0"/>
      <w:marRight w:val="0"/>
      <w:marTop w:val="0"/>
      <w:marBottom w:val="0"/>
      <w:divBdr>
        <w:top w:val="none" w:sz="0" w:space="0" w:color="auto"/>
        <w:left w:val="none" w:sz="0" w:space="0" w:color="auto"/>
        <w:bottom w:val="none" w:sz="0" w:space="0" w:color="auto"/>
        <w:right w:val="none" w:sz="0" w:space="0" w:color="auto"/>
      </w:divBdr>
    </w:div>
    <w:div w:id="1279412757">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1539925675">
      <w:bodyDiv w:val="1"/>
      <w:marLeft w:val="0"/>
      <w:marRight w:val="0"/>
      <w:marTop w:val="0"/>
      <w:marBottom w:val="0"/>
      <w:divBdr>
        <w:top w:val="none" w:sz="0" w:space="0" w:color="auto"/>
        <w:left w:val="none" w:sz="0" w:space="0" w:color="auto"/>
        <w:bottom w:val="none" w:sz="0" w:space="0" w:color="auto"/>
        <w:right w:val="none" w:sz="0" w:space="0" w:color="auto"/>
      </w:divBdr>
    </w:div>
    <w:div w:id="1752189903">
      <w:bodyDiv w:val="1"/>
      <w:marLeft w:val="0"/>
      <w:marRight w:val="0"/>
      <w:marTop w:val="0"/>
      <w:marBottom w:val="0"/>
      <w:divBdr>
        <w:top w:val="none" w:sz="0" w:space="0" w:color="auto"/>
        <w:left w:val="none" w:sz="0" w:space="0" w:color="auto"/>
        <w:bottom w:val="none" w:sz="0" w:space="0" w:color="auto"/>
        <w:right w:val="none" w:sz="0" w:space="0" w:color="auto"/>
      </w:divBdr>
    </w:div>
    <w:div w:id="1999917130">
      <w:bodyDiv w:val="1"/>
      <w:marLeft w:val="0"/>
      <w:marRight w:val="0"/>
      <w:marTop w:val="0"/>
      <w:marBottom w:val="0"/>
      <w:divBdr>
        <w:top w:val="none" w:sz="0" w:space="0" w:color="auto"/>
        <w:left w:val="none" w:sz="0" w:space="0" w:color="auto"/>
        <w:bottom w:val="none" w:sz="0" w:space="0" w:color="auto"/>
        <w:right w:val="none" w:sz="0" w:space="0" w:color="auto"/>
      </w:divBdr>
    </w:div>
    <w:div w:id="2013147118">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 w:id="2138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99CDBCA2BB249B508A0D3E6F071A4" ma:contentTypeVersion="0" ma:contentTypeDescription="Create a new document." ma:contentTypeScope="" ma:versionID="cf1905f3de5b6e00fa87c55540a34d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C28D-0578-4D5A-8392-27B81572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BED2AD-D53E-40EE-9767-25A7495AD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45D86-A8FD-4141-94C8-3A450143A636}">
  <ds:schemaRefs>
    <ds:schemaRef ds:uri="http://schemas.microsoft.com/sharepoint/v3/contenttype/forms"/>
  </ds:schemaRefs>
</ds:datastoreItem>
</file>

<file path=customXml/itemProps4.xml><?xml version="1.0" encoding="utf-8"?>
<ds:datastoreItem xmlns:ds="http://schemas.openxmlformats.org/officeDocument/2006/customXml" ds:itemID="{C5E5EE41-D4BF-4187-85C4-285960C3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Graeme Reid</cp:lastModifiedBy>
  <cp:revision>5</cp:revision>
  <cp:lastPrinted>2019-07-18T09:46:00Z</cp:lastPrinted>
  <dcterms:created xsi:type="dcterms:W3CDTF">2019-07-19T14:12:00Z</dcterms:created>
  <dcterms:modified xsi:type="dcterms:W3CDTF">2019-08-06T13:39:00Z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0x01010074C99CDBCA2BB249B508A0D3E6F071A4</vt:lpwstr>
  </property>
</Properties>
</file>