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AD2" w:rsidRDefault="00B82AD2" w:rsidP="00B82AD2">
      <w:pPr>
        <w:spacing w:line="290" w:lineRule="auto"/>
        <w:ind w:left="865" w:right="904"/>
        <w:rPr>
          <w:rFonts w:ascii="Trebuchet MS"/>
          <w:b/>
          <w:sz w:val="28"/>
        </w:rPr>
      </w:pPr>
      <w:bookmarkStart w:id="0" w:name="_GoBack"/>
      <w:r>
        <w:rPr>
          <w:rFonts w:ascii="Trebuchet MS"/>
          <w:b/>
          <w:w w:val="95"/>
          <w:sz w:val="28"/>
        </w:rPr>
        <w:t>Memorandum</w:t>
      </w:r>
      <w:r>
        <w:rPr>
          <w:rFonts w:ascii="Trebuchet MS"/>
          <w:b/>
          <w:spacing w:val="-43"/>
          <w:w w:val="95"/>
          <w:sz w:val="28"/>
        </w:rPr>
        <w:t xml:space="preserve"> </w:t>
      </w:r>
      <w:r>
        <w:rPr>
          <w:rFonts w:ascii="Trebuchet MS"/>
          <w:b/>
          <w:w w:val="95"/>
          <w:sz w:val="28"/>
        </w:rPr>
        <w:t>for</w:t>
      </w:r>
      <w:r>
        <w:rPr>
          <w:rFonts w:ascii="Trebuchet MS"/>
          <w:b/>
          <w:spacing w:val="-43"/>
          <w:w w:val="95"/>
          <w:sz w:val="28"/>
        </w:rPr>
        <w:t xml:space="preserve"> </w:t>
      </w:r>
      <w:r>
        <w:rPr>
          <w:rFonts w:ascii="Trebuchet MS"/>
          <w:b/>
          <w:w w:val="95"/>
          <w:sz w:val="28"/>
        </w:rPr>
        <w:t>Public</w:t>
      </w:r>
      <w:r>
        <w:rPr>
          <w:rFonts w:ascii="Trebuchet MS"/>
          <w:b/>
          <w:spacing w:val="-43"/>
          <w:w w:val="95"/>
          <w:sz w:val="28"/>
        </w:rPr>
        <w:t xml:space="preserve"> </w:t>
      </w:r>
      <w:r>
        <w:rPr>
          <w:rFonts w:ascii="Trebuchet MS"/>
          <w:b/>
          <w:w w:val="95"/>
          <w:sz w:val="28"/>
        </w:rPr>
        <w:t>Bill</w:t>
      </w:r>
      <w:r>
        <w:rPr>
          <w:rFonts w:ascii="Trebuchet MS"/>
          <w:b/>
          <w:spacing w:val="-43"/>
          <w:w w:val="95"/>
          <w:sz w:val="28"/>
        </w:rPr>
        <w:t xml:space="preserve"> </w:t>
      </w:r>
      <w:r>
        <w:rPr>
          <w:rFonts w:ascii="Trebuchet MS"/>
          <w:b/>
          <w:w w:val="95"/>
          <w:sz w:val="28"/>
        </w:rPr>
        <w:t>Committee</w:t>
      </w:r>
      <w:r>
        <w:rPr>
          <w:rFonts w:ascii="Trebuchet MS"/>
          <w:b/>
          <w:spacing w:val="-44"/>
          <w:w w:val="95"/>
          <w:sz w:val="28"/>
        </w:rPr>
        <w:t xml:space="preserve"> </w:t>
      </w:r>
      <w:r>
        <w:rPr>
          <w:rFonts w:ascii="Trebuchet MS"/>
          <w:b/>
          <w:w w:val="95"/>
          <w:sz w:val="28"/>
        </w:rPr>
        <w:t>on</w:t>
      </w:r>
      <w:r>
        <w:rPr>
          <w:rFonts w:ascii="Trebuchet MS"/>
          <w:b/>
          <w:spacing w:val="-43"/>
          <w:w w:val="95"/>
          <w:sz w:val="28"/>
        </w:rPr>
        <w:t xml:space="preserve"> </w:t>
      </w:r>
      <w:r>
        <w:rPr>
          <w:rFonts w:ascii="Trebuchet MS"/>
          <w:b/>
          <w:w w:val="95"/>
          <w:sz w:val="28"/>
        </w:rPr>
        <w:t>the</w:t>
      </w:r>
      <w:r>
        <w:rPr>
          <w:rFonts w:ascii="Trebuchet MS"/>
          <w:b/>
          <w:spacing w:val="-43"/>
          <w:w w:val="95"/>
          <w:sz w:val="28"/>
        </w:rPr>
        <w:t xml:space="preserve"> </w:t>
      </w:r>
      <w:r>
        <w:rPr>
          <w:rFonts w:ascii="Trebuchet MS"/>
          <w:b/>
          <w:w w:val="95"/>
          <w:sz w:val="28"/>
        </w:rPr>
        <w:t>application</w:t>
      </w:r>
      <w:r>
        <w:rPr>
          <w:rFonts w:ascii="Trebuchet MS"/>
          <w:b/>
          <w:spacing w:val="-43"/>
          <w:w w:val="95"/>
          <w:sz w:val="28"/>
        </w:rPr>
        <w:t xml:space="preserve"> </w:t>
      </w:r>
      <w:r>
        <w:rPr>
          <w:rFonts w:ascii="Trebuchet MS"/>
          <w:b/>
          <w:w w:val="95"/>
          <w:sz w:val="28"/>
        </w:rPr>
        <w:t>of</w:t>
      </w:r>
      <w:r>
        <w:rPr>
          <w:rFonts w:ascii="Trebuchet MS"/>
          <w:b/>
          <w:spacing w:val="-43"/>
          <w:w w:val="95"/>
          <w:sz w:val="28"/>
        </w:rPr>
        <w:t xml:space="preserve"> </w:t>
      </w:r>
      <w:r>
        <w:rPr>
          <w:rFonts w:ascii="Trebuchet MS"/>
          <w:b/>
          <w:w w:val="95"/>
          <w:sz w:val="28"/>
        </w:rPr>
        <w:t>Standing Order</w:t>
      </w:r>
      <w:r>
        <w:rPr>
          <w:rFonts w:ascii="Trebuchet MS"/>
          <w:b/>
          <w:spacing w:val="-50"/>
          <w:w w:val="95"/>
          <w:sz w:val="28"/>
        </w:rPr>
        <w:t xml:space="preserve"> </w:t>
      </w:r>
      <w:r>
        <w:rPr>
          <w:rFonts w:ascii="Trebuchet MS"/>
          <w:b/>
          <w:w w:val="95"/>
          <w:sz w:val="28"/>
        </w:rPr>
        <w:t>No.</w:t>
      </w:r>
      <w:r>
        <w:rPr>
          <w:rFonts w:ascii="Trebuchet MS"/>
          <w:b/>
          <w:spacing w:val="-49"/>
          <w:w w:val="95"/>
          <w:sz w:val="28"/>
        </w:rPr>
        <w:t xml:space="preserve"> </w:t>
      </w:r>
      <w:r>
        <w:rPr>
          <w:rFonts w:ascii="Trebuchet MS"/>
          <w:b/>
          <w:w w:val="95"/>
          <w:sz w:val="28"/>
        </w:rPr>
        <w:t>83L</w:t>
      </w:r>
      <w:r>
        <w:rPr>
          <w:rFonts w:ascii="Trebuchet MS"/>
          <w:b/>
          <w:spacing w:val="-50"/>
          <w:w w:val="95"/>
          <w:sz w:val="28"/>
        </w:rPr>
        <w:t xml:space="preserve"> </w:t>
      </w:r>
      <w:r>
        <w:rPr>
          <w:rFonts w:ascii="Trebuchet MS"/>
          <w:b/>
          <w:w w:val="95"/>
          <w:sz w:val="28"/>
        </w:rPr>
        <w:t>of</w:t>
      </w:r>
      <w:r>
        <w:rPr>
          <w:rFonts w:ascii="Trebuchet MS"/>
          <w:b/>
          <w:spacing w:val="-49"/>
          <w:w w:val="95"/>
          <w:sz w:val="28"/>
        </w:rPr>
        <w:t xml:space="preserve"> </w:t>
      </w:r>
      <w:r>
        <w:rPr>
          <w:rFonts w:ascii="Trebuchet MS"/>
          <w:b/>
          <w:w w:val="95"/>
          <w:sz w:val="28"/>
        </w:rPr>
        <w:t>the</w:t>
      </w:r>
      <w:r>
        <w:rPr>
          <w:rFonts w:ascii="Trebuchet MS"/>
          <w:b/>
          <w:spacing w:val="-50"/>
          <w:w w:val="95"/>
          <w:sz w:val="28"/>
        </w:rPr>
        <w:t xml:space="preserve"> </w:t>
      </w:r>
      <w:r>
        <w:rPr>
          <w:rFonts w:ascii="Trebuchet MS"/>
          <w:b/>
          <w:w w:val="95"/>
          <w:sz w:val="28"/>
        </w:rPr>
        <w:t>Standing</w:t>
      </w:r>
      <w:r>
        <w:rPr>
          <w:rFonts w:ascii="Trebuchet MS"/>
          <w:b/>
          <w:spacing w:val="-49"/>
          <w:w w:val="95"/>
          <w:sz w:val="28"/>
        </w:rPr>
        <w:t xml:space="preserve"> </w:t>
      </w:r>
      <w:r>
        <w:rPr>
          <w:rFonts w:ascii="Trebuchet MS"/>
          <w:b/>
          <w:w w:val="95"/>
          <w:sz w:val="28"/>
        </w:rPr>
        <w:t>Orders</w:t>
      </w:r>
      <w:r>
        <w:rPr>
          <w:rFonts w:ascii="Trebuchet MS"/>
          <w:b/>
          <w:spacing w:val="-50"/>
          <w:w w:val="95"/>
          <w:sz w:val="28"/>
        </w:rPr>
        <w:t xml:space="preserve"> </w:t>
      </w:r>
      <w:r>
        <w:rPr>
          <w:rFonts w:ascii="Trebuchet MS"/>
          <w:b/>
          <w:w w:val="95"/>
          <w:sz w:val="28"/>
        </w:rPr>
        <w:t>of</w:t>
      </w:r>
      <w:r>
        <w:rPr>
          <w:rFonts w:ascii="Trebuchet MS"/>
          <w:b/>
          <w:spacing w:val="-49"/>
          <w:w w:val="95"/>
          <w:sz w:val="28"/>
        </w:rPr>
        <w:t xml:space="preserve"> </w:t>
      </w:r>
      <w:r>
        <w:rPr>
          <w:rFonts w:ascii="Trebuchet MS"/>
          <w:b/>
          <w:w w:val="95"/>
          <w:sz w:val="28"/>
        </w:rPr>
        <w:t>the</w:t>
      </w:r>
      <w:r>
        <w:rPr>
          <w:rFonts w:ascii="Trebuchet MS"/>
          <w:b/>
          <w:spacing w:val="-50"/>
          <w:w w:val="95"/>
          <w:sz w:val="28"/>
        </w:rPr>
        <w:t xml:space="preserve"> </w:t>
      </w:r>
      <w:r>
        <w:rPr>
          <w:rFonts w:ascii="Trebuchet MS"/>
          <w:b/>
          <w:w w:val="95"/>
          <w:sz w:val="28"/>
        </w:rPr>
        <w:t>House</w:t>
      </w:r>
      <w:r>
        <w:rPr>
          <w:rFonts w:ascii="Trebuchet MS"/>
          <w:b/>
          <w:spacing w:val="-49"/>
          <w:w w:val="95"/>
          <w:sz w:val="28"/>
        </w:rPr>
        <w:t xml:space="preserve"> </w:t>
      </w:r>
      <w:r>
        <w:rPr>
          <w:rFonts w:ascii="Trebuchet MS"/>
          <w:b/>
          <w:w w:val="95"/>
          <w:sz w:val="28"/>
        </w:rPr>
        <w:t>of</w:t>
      </w:r>
      <w:r>
        <w:rPr>
          <w:rFonts w:ascii="Trebuchet MS"/>
          <w:b/>
          <w:spacing w:val="-50"/>
          <w:w w:val="95"/>
          <w:sz w:val="28"/>
        </w:rPr>
        <w:t xml:space="preserve"> </w:t>
      </w:r>
      <w:r>
        <w:rPr>
          <w:rFonts w:ascii="Trebuchet MS"/>
          <w:b/>
          <w:w w:val="95"/>
          <w:sz w:val="28"/>
        </w:rPr>
        <w:t>Commons</w:t>
      </w:r>
      <w:r>
        <w:rPr>
          <w:rFonts w:ascii="Trebuchet MS"/>
          <w:b/>
          <w:spacing w:val="-49"/>
          <w:w w:val="95"/>
          <w:sz w:val="28"/>
        </w:rPr>
        <w:t xml:space="preserve"> </w:t>
      </w:r>
      <w:r>
        <w:rPr>
          <w:rFonts w:ascii="Trebuchet MS"/>
          <w:b/>
          <w:w w:val="95"/>
          <w:sz w:val="28"/>
        </w:rPr>
        <w:t>relating</w:t>
      </w:r>
      <w:r>
        <w:rPr>
          <w:rFonts w:ascii="Trebuchet MS"/>
          <w:b/>
          <w:spacing w:val="-50"/>
          <w:w w:val="95"/>
          <w:sz w:val="28"/>
        </w:rPr>
        <w:t xml:space="preserve"> </w:t>
      </w:r>
      <w:r>
        <w:rPr>
          <w:rFonts w:ascii="Trebuchet MS"/>
          <w:b/>
          <w:w w:val="95"/>
          <w:sz w:val="28"/>
        </w:rPr>
        <w:t xml:space="preserve">to </w:t>
      </w:r>
      <w:r>
        <w:rPr>
          <w:rFonts w:ascii="Trebuchet MS"/>
          <w:b/>
          <w:sz w:val="28"/>
        </w:rPr>
        <w:t>Public</w:t>
      </w:r>
      <w:r>
        <w:rPr>
          <w:rFonts w:ascii="Trebuchet MS"/>
          <w:b/>
          <w:spacing w:val="-30"/>
          <w:sz w:val="28"/>
        </w:rPr>
        <w:t xml:space="preserve"> </w:t>
      </w:r>
      <w:r>
        <w:rPr>
          <w:rFonts w:ascii="Trebuchet MS"/>
          <w:b/>
          <w:sz w:val="28"/>
        </w:rPr>
        <w:t>Business</w:t>
      </w:r>
      <w:r>
        <w:rPr>
          <w:rFonts w:ascii="Trebuchet MS"/>
          <w:b/>
          <w:spacing w:val="-29"/>
          <w:sz w:val="28"/>
        </w:rPr>
        <w:t xml:space="preserve"> </w:t>
      </w:r>
      <w:r>
        <w:rPr>
          <w:rFonts w:ascii="Trebuchet MS"/>
          <w:b/>
          <w:sz w:val="28"/>
        </w:rPr>
        <w:t>to</w:t>
      </w:r>
      <w:r>
        <w:rPr>
          <w:rFonts w:ascii="Trebuchet MS"/>
          <w:b/>
          <w:spacing w:val="-29"/>
          <w:sz w:val="28"/>
        </w:rPr>
        <w:t xml:space="preserve"> </w:t>
      </w:r>
      <w:r>
        <w:rPr>
          <w:rFonts w:ascii="Trebuchet MS"/>
          <w:b/>
          <w:sz w:val="28"/>
        </w:rPr>
        <w:t>the</w:t>
      </w:r>
      <w:r>
        <w:rPr>
          <w:rFonts w:ascii="Trebuchet MS"/>
          <w:b/>
          <w:spacing w:val="-30"/>
          <w:sz w:val="28"/>
        </w:rPr>
        <w:t xml:space="preserve"> </w:t>
      </w:r>
      <w:r>
        <w:rPr>
          <w:rFonts w:ascii="Trebuchet MS"/>
          <w:b/>
          <w:sz w:val="28"/>
        </w:rPr>
        <w:t xml:space="preserve">Mental Capacity </w:t>
      </w:r>
      <w:r w:rsidR="00FA1B65">
        <w:rPr>
          <w:rFonts w:ascii="Trebuchet MS"/>
          <w:b/>
          <w:sz w:val="28"/>
        </w:rPr>
        <w:t>(</w:t>
      </w:r>
      <w:r>
        <w:rPr>
          <w:rFonts w:ascii="Trebuchet MS"/>
          <w:b/>
          <w:sz w:val="28"/>
        </w:rPr>
        <w:t>Amendment</w:t>
      </w:r>
      <w:r w:rsidR="00FA1B65">
        <w:rPr>
          <w:rFonts w:ascii="Trebuchet MS"/>
          <w:b/>
          <w:sz w:val="28"/>
        </w:rPr>
        <w:t>)</w:t>
      </w:r>
      <w:r>
        <w:rPr>
          <w:rFonts w:ascii="Trebuchet MS"/>
          <w:b/>
          <w:sz w:val="28"/>
        </w:rPr>
        <w:t xml:space="preserve"> Bill</w:t>
      </w:r>
      <w:r>
        <w:rPr>
          <w:rFonts w:ascii="Trebuchet MS"/>
          <w:b/>
          <w:spacing w:val="-29"/>
          <w:sz w:val="28"/>
        </w:rPr>
        <w:t xml:space="preserve"> </w:t>
      </w:r>
      <w:r>
        <w:rPr>
          <w:rFonts w:ascii="Trebuchet MS"/>
          <w:b/>
          <w:sz w:val="28"/>
        </w:rPr>
        <w:t>as</w:t>
      </w:r>
      <w:r>
        <w:rPr>
          <w:rFonts w:ascii="Trebuchet MS"/>
          <w:b/>
          <w:spacing w:val="-29"/>
          <w:sz w:val="28"/>
        </w:rPr>
        <w:t xml:space="preserve"> </w:t>
      </w:r>
      <w:r>
        <w:rPr>
          <w:rFonts w:ascii="Trebuchet MS"/>
          <w:b/>
          <w:sz w:val="28"/>
        </w:rPr>
        <w:t>amended</w:t>
      </w:r>
    </w:p>
    <w:bookmarkEnd w:id="0"/>
    <w:p w:rsidR="00B82AD2" w:rsidRDefault="00B82AD2" w:rsidP="00B82AD2">
      <w:pPr>
        <w:spacing w:before="288"/>
        <w:ind w:left="865"/>
        <w:rPr>
          <w:b/>
          <w:i/>
          <w:sz w:val="24"/>
        </w:rPr>
      </w:pPr>
      <w:r>
        <w:rPr>
          <w:b/>
          <w:i/>
          <w:sz w:val="24"/>
        </w:rPr>
        <w:t>Commons Stage Committee</w:t>
      </w:r>
    </w:p>
    <w:p w:rsidR="00B82AD2" w:rsidRDefault="00B82AD2" w:rsidP="00B82AD2">
      <w:pPr>
        <w:pStyle w:val="BodyText"/>
        <w:spacing w:before="9"/>
        <w:rPr>
          <w:b/>
          <w:i/>
          <w:sz w:val="29"/>
        </w:rPr>
      </w:pPr>
    </w:p>
    <w:p w:rsidR="00B82AD2" w:rsidRPr="000354C7" w:rsidRDefault="00B82AD2" w:rsidP="00B82AD2">
      <w:pPr>
        <w:pStyle w:val="BodyText"/>
        <w:spacing w:line="288" w:lineRule="auto"/>
        <w:ind w:left="865" w:right="577"/>
        <w:rPr>
          <w:sz w:val="22"/>
          <w:szCs w:val="22"/>
        </w:rPr>
      </w:pPr>
      <w:r w:rsidRPr="000354C7">
        <w:rPr>
          <w:w w:val="105"/>
          <w:sz w:val="22"/>
          <w:szCs w:val="22"/>
        </w:rPr>
        <w:t>The following is the Department’s assessment of the Bill and amendments to the Bill made at Commons Committee Stage.</w:t>
      </w:r>
    </w:p>
    <w:p w:rsidR="00B82AD2" w:rsidRPr="000354C7" w:rsidRDefault="00B82AD2" w:rsidP="00B82AD2">
      <w:pPr>
        <w:pStyle w:val="BodyText"/>
        <w:spacing w:before="5"/>
        <w:rPr>
          <w:sz w:val="22"/>
          <w:szCs w:val="22"/>
        </w:rPr>
      </w:pPr>
    </w:p>
    <w:p w:rsidR="00B82AD2" w:rsidRPr="000354C7" w:rsidRDefault="00B82AD2" w:rsidP="00B82AD2">
      <w:pPr>
        <w:pStyle w:val="BodyText"/>
        <w:ind w:left="865"/>
        <w:rPr>
          <w:sz w:val="22"/>
          <w:szCs w:val="22"/>
        </w:rPr>
      </w:pPr>
      <w:r w:rsidRPr="000354C7">
        <w:rPr>
          <w:w w:val="105"/>
          <w:sz w:val="22"/>
          <w:szCs w:val="22"/>
          <w:u w:val="single"/>
        </w:rPr>
        <w:t>Summary</w:t>
      </w:r>
    </w:p>
    <w:p w:rsidR="00B82AD2" w:rsidRPr="000354C7" w:rsidRDefault="00B82AD2" w:rsidP="00B82AD2">
      <w:pPr>
        <w:pStyle w:val="BodyText"/>
        <w:spacing w:before="10"/>
        <w:rPr>
          <w:sz w:val="22"/>
          <w:szCs w:val="22"/>
        </w:rPr>
      </w:pPr>
    </w:p>
    <w:p w:rsidR="00B82AD2" w:rsidRPr="000354C7" w:rsidRDefault="00F67F27" w:rsidP="00B82AD2">
      <w:pPr>
        <w:pStyle w:val="BodyText"/>
        <w:spacing w:before="99" w:line="288" w:lineRule="auto"/>
        <w:ind w:left="865" w:right="536"/>
        <w:rPr>
          <w:sz w:val="22"/>
          <w:szCs w:val="22"/>
        </w:rPr>
      </w:pPr>
      <w:r w:rsidRPr="000354C7">
        <w:rPr>
          <w:w w:val="105"/>
          <w:sz w:val="22"/>
          <w:szCs w:val="22"/>
        </w:rPr>
        <w:t>The amendments made to the Bill at Committee stage have no impact on the territorial extent or application of the Bill. All clauses and schedules to the Bill apply and extend only to England and Wales.</w:t>
      </w:r>
      <w:r w:rsidRPr="000354C7">
        <w:rPr>
          <w:rStyle w:val="FootnoteReference"/>
          <w:w w:val="105"/>
          <w:sz w:val="22"/>
          <w:szCs w:val="22"/>
        </w:rPr>
        <w:footnoteReference w:id="1"/>
      </w:r>
      <w:r w:rsidR="00B82AD2" w:rsidRPr="000354C7">
        <w:rPr>
          <w:w w:val="105"/>
          <w:sz w:val="22"/>
          <w:szCs w:val="22"/>
        </w:rPr>
        <w:t xml:space="preserve"> </w:t>
      </w:r>
    </w:p>
    <w:p w:rsidR="00B82AD2" w:rsidRPr="000354C7" w:rsidRDefault="00B82AD2" w:rsidP="00B82AD2">
      <w:pPr>
        <w:pStyle w:val="BodyText"/>
        <w:spacing w:before="2"/>
        <w:rPr>
          <w:sz w:val="22"/>
          <w:szCs w:val="22"/>
        </w:rPr>
      </w:pPr>
    </w:p>
    <w:p w:rsidR="00B82AD2" w:rsidRPr="000354C7" w:rsidRDefault="00B82AD2" w:rsidP="00B82AD2">
      <w:pPr>
        <w:pStyle w:val="BodyText"/>
        <w:ind w:left="865"/>
        <w:rPr>
          <w:sz w:val="22"/>
          <w:szCs w:val="22"/>
        </w:rPr>
      </w:pPr>
      <w:r w:rsidRPr="000354C7">
        <w:rPr>
          <w:w w:val="105"/>
          <w:sz w:val="22"/>
          <w:szCs w:val="22"/>
        </w:rPr>
        <w:t>The above assessment is presented in tabular form below.</w:t>
      </w:r>
    </w:p>
    <w:p w:rsidR="00B82AD2" w:rsidRDefault="00B82AD2" w:rsidP="00B82AD2">
      <w:pPr>
        <w:pStyle w:val="BodyText"/>
        <w:spacing w:before="1" w:after="1"/>
        <w:rPr>
          <w:sz w:val="29"/>
        </w:rPr>
      </w:pPr>
    </w:p>
    <w:tbl>
      <w:tblPr>
        <w:tblW w:w="0" w:type="auto"/>
        <w:tblInd w:w="127"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0" w:type="dxa"/>
          <w:right w:w="0" w:type="dxa"/>
        </w:tblCellMar>
        <w:tblLook w:val="01E0" w:firstRow="1" w:lastRow="1" w:firstColumn="1" w:lastColumn="1" w:noHBand="0" w:noVBand="0"/>
      </w:tblPr>
      <w:tblGrid>
        <w:gridCol w:w="1114"/>
        <w:gridCol w:w="989"/>
        <w:gridCol w:w="975"/>
        <w:gridCol w:w="1349"/>
        <w:gridCol w:w="975"/>
        <w:gridCol w:w="1354"/>
        <w:gridCol w:w="989"/>
        <w:gridCol w:w="1349"/>
        <w:gridCol w:w="1051"/>
      </w:tblGrid>
      <w:tr w:rsidR="00B82AD2" w:rsidTr="00197B88">
        <w:trPr>
          <w:trHeight w:val="1693"/>
        </w:trPr>
        <w:tc>
          <w:tcPr>
            <w:tcW w:w="1114" w:type="dxa"/>
          </w:tcPr>
          <w:p w:rsidR="00B82AD2" w:rsidRDefault="00B82AD2" w:rsidP="00197B88">
            <w:pPr>
              <w:pStyle w:val="TableParagraph"/>
              <w:spacing w:line="182" w:lineRule="exact"/>
              <w:ind w:left="110"/>
              <w:rPr>
                <w:b/>
                <w:sz w:val="16"/>
              </w:rPr>
            </w:pPr>
            <w:r>
              <w:rPr>
                <w:b/>
                <w:sz w:val="16"/>
              </w:rPr>
              <w:t>Provision</w:t>
            </w:r>
          </w:p>
        </w:tc>
        <w:tc>
          <w:tcPr>
            <w:tcW w:w="989" w:type="dxa"/>
          </w:tcPr>
          <w:p w:rsidR="00B82AD2" w:rsidRDefault="00B82AD2" w:rsidP="00197B88">
            <w:pPr>
              <w:pStyle w:val="TableParagraph"/>
              <w:spacing w:line="276" w:lineRule="auto"/>
              <w:ind w:left="104" w:right="98"/>
              <w:rPr>
                <w:b/>
                <w:sz w:val="16"/>
              </w:rPr>
            </w:pPr>
            <w:r>
              <w:rPr>
                <w:b/>
                <w:sz w:val="16"/>
              </w:rPr>
              <w:t>Extends to E &amp; W and applies to England?</w:t>
            </w:r>
          </w:p>
        </w:tc>
        <w:tc>
          <w:tcPr>
            <w:tcW w:w="975" w:type="dxa"/>
          </w:tcPr>
          <w:p w:rsidR="00B82AD2" w:rsidRDefault="00B82AD2" w:rsidP="00197B88">
            <w:pPr>
              <w:pStyle w:val="TableParagraph"/>
              <w:spacing w:line="276" w:lineRule="auto"/>
              <w:ind w:left="104" w:right="84"/>
              <w:rPr>
                <w:b/>
                <w:sz w:val="16"/>
              </w:rPr>
            </w:pPr>
            <w:r>
              <w:rPr>
                <w:b/>
                <w:sz w:val="16"/>
              </w:rPr>
              <w:t>Extends to E &amp; W and applies to Wales?</w:t>
            </w:r>
          </w:p>
        </w:tc>
        <w:tc>
          <w:tcPr>
            <w:tcW w:w="1349" w:type="dxa"/>
          </w:tcPr>
          <w:p w:rsidR="00B82AD2" w:rsidRDefault="00B82AD2" w:rsidP="00197B88">
            <w:pPr>
              <w:pStyle w:val="TableParagraph"/>
              <w:spacing w:line="276" w:lineRule="auto"/>
              <w:ind w:left="103" w:right="76"/>
              <w:rPr>
                <w:b/>
                <w:sz w:val="16"/>
              </w:rPr>
            </w:pPr>
            <w:r>
              <w:rPr>
                <w:b/>
                <w:sz w:val="16"/>
              </w:rPr>
              <w:t>Would corresponding provision be within the competence of the National Assembly for</w:t>
            </w:r>
          </w:p>
          <w:p w:rsidR="00B82AD2" w:rsidRDefault="00B82AD2" w:rsidP="00197B88">
            <w:pPr>
              <w:pStyle w:val="TableParagraph"/>
              <w:ind w:left="103"/>
              <w:rPr>
                <w:b/>
                <w:sz w:val="16"/>
              </w:rPr>
            </w:pPr>
            <w:r>
              <w:rPr>
                <w:b/>
                <w:sz w:val="16"/>
              </w:rPr>
              <w:t>Wales?</w:t>
            </w:r>
          </w:p>
        </w:tc>
        <w:tc>
          <w:tcPr>
            <w:tcW w:w="975" w:type="dxa"/>
          </w:tcPr>
          <w:p w:rsidR="00B82AD2" w:rsidRDefault="00B82AD2" w:rsidP="00197B88">
            <w:pPr>
              <w:pStyle w:val="TableParagraph"/>
              <w:spacing w:line="276" w:lineRule="auto"/>
              <w:ind w:left="108" w:right="80"/>
              <w:rPr>
                <w:b/>
                <w:sz w:val="16"/>
              </w:rPr>
            </w:pPr>
            <w:r>
              <w:rPr>
                <w:b/>
                <w:sz w:val="16"/>
              </w:rPr>
              <w:t>Extends and applies to Scotland</w:t>
            </w:r>
          </w:p>
          <w:p w:rsidR="00B82AD2" w:rsidRDefault="00B82AD2" w:rsidP="00197B88">
            <w:pPr>
              <w:pStyle w:val="TableParagraph"/>
              <w:spacing w:line="182" w:lineRule="exact"/>
              <w:ind w:left="108"/>
              <w:rPr>
                <w:b/>
                <w:sz w:val="16"/>
              </w:rPr>
            </w:pPr>
            <w:r>
              <w:rPr>
                <w:b/>
                <w:w w:val="99"/>
                <w:sz w:val="16"/>
              </w:rPr>
              <w:t>?</w:t>
            </w:r>
          </w:p>
        </w:tc>
        <w:tc>
          <w:tcPr>
            <w:tcW w:w="1354" w:type="dxa"/>
          </w:tcPr>
          <w:p w:rsidR="00B82AD2" w:rsidRDefault="00B82AD2" w:rsidP="00197B88">
            <w:pPr>
              <w:pStyle w:val="TableParagraph"/>
              <w:spacing w:line="276" w:lineRule="auto"/>
              <w:ind w:left="107" w:right="77"/>
              <w:rPr>
                <w:b/>
                <w:sz w:val="16"/>
              </w:rPr>
            </w:pPr>
            <w:r>
              <w:rPr>
                <w:b/>
                <w:sz w:val="16"/>
              </w:rPr>
              <w:t>Would corresponding provision be within the competence of the Scottish Parliament?</w:t>
            </w:r>
          </w:p>
        </w:tc>
        <w:tc>
          <w:tcPr>
            <w:tcW w:w="989" w:type="dxa"/>
          </w:tcPr>
          <w:p w:rsidR="00B82AD2" w:rsidRDefault="00B82AD2" w:rsidP="00197B88">
            <w:pPr>
              <w:pStyle w:val="TableParagraph"/>
              <w:spacing w:line="276" w:lineRule="auto"/>
              <w:ind w:left="102" w:right="100"/>
              <w:rPr>
                <w:b/>
                <w:sz w:val="16"/>
              </w:rPr>
            </w:pPr>
            <w:r>
              <w:rPr>
                <w:b/>
                <w:sz w:val="16"/>
              </w:rPr>
              <w:t>Extends and applies to Northern Ireland?</w:t>
            </w:r>
          </w:p>
        </w:tc>
        <w:tc>
          <w:tcPr>
            <w:tcW w:w="1349" w:type="dxa"/>
          </w:tcPr>
          <w:p w:rsidR="00B82AD2" w:rsidRDefault="00B82AD2" w:rsidP="00197B88">
            <w:pPr>
              <w:pStyle w:val="TableParagraph"/>
              <w:spacing w:line="276" w:lineRule="auto"/>
              <w:ind w:left="102" w:right="77"/>
              <w:rPr>
                <w:b/>
                <w:sz w:val="16"/>
              </w:rPr>
            </w:pPr>
            <w:r>
              <w:rPr>
                <w:b/>
                <w:sz w:val="16"/>
              </w:rPr>
              <w:t>Would corresponding provision be within the competence of the Northern Ireland</w:t>
            </w:r>
          </w:p>
          <w:p w:rsidR="00B82AD2" w:rsidRDefault="00B82AD2" w:rsidP="00197B88">
            <w:pPr>
              <w:pStyle w:val="TableParagraph"/>
              <w:ind w:left="102"/>
              <w:rPr>
                <w:b/>
                <w:sz w:val="16"/>
              </w:rPr>
            </w:pPr>
            <w:r>
              <w:rPr>
                <w:b/>
                <w:sz w:val="16"/>
              </w:rPr>
              <w:t>Assembly?</w:t>
            </w:r>
          </w:p>
        </w:tc>
        <w:tc>
          <w:tcPr>
            <w:tcW w:w="1051" w:type="dxa"/>
          </w:tcPr>
          <w:p w:rsidR="00B82AD2" w:rsidRDefault="00B82AD2" w:rsidP="00197B88">
            <w:pPr>
              <w:pStyle w:val="TableParagraph"/>
              <w:spacing w:line="276" w:lineRule="auto"/>
              <w:ind w:left="107"/>
              <w:rPr>
                <w:b/>
                <w:sz w:val="16"/>
              </w:rPr>
            </w:pPr>
            <w:r>
              <w:rPr>
                <w:b/>
                <w:w w:val="95"/>
                <w:sz w:val="16"/>
              </w:rPr>
              <w:t xml:space="preserve">Legislative </w:t>
            </w:r>
            <w:r>
              <w:rPr>
                <w:b/>
                <w:sz w:val="16"/>
              </w:rPr>
              <w:t>Consent Motion needed?</w:t>
            </w:r>
          </w:p>
        </w:tc>
      </w:tr>
      <w:tr w:rsidR="00A7034B" w:rsidTr="0044635F">
        <w:trPr>
          <w:trHeight w:val="1217"/>
        </w:trPr>
        <w:tc>
          <w:tcPr>
            <w:tcW w:w="1114" w:type="dxa"/>
          </w:tcPr>
          <w:p w:rsidR="00A7034B" w:rsidRPr="0044635F" w:rsidRDefault="00A7034B" w:rsidP="00A7034B">
            <w:pPr>
              <w:pStyle w:val="TableParagraph"/>
              <w:spacing w:before="27"/>
              <w:ind w:left="110"/>
              <w:rPr>
                <w:rFonts w:ascii="Times New Roman" w:hAnsi="Times New Roman" w:cs="Times New Roman"/>
                <w:sz w:val="16"/>
              </w:rPr>
            </w:pPr>
            <w:r w:rsidRPr="0044635F">
              <w:rPr>
                <w:rFonts w:ascii="Times New Roman" w:hAnsi="Times New Roman" w:cs="Times New Roman"/>
                <w:sz w:val="16"/>
              </w:rPr>
              <w:t>Clause</w:t>
            </w:r>
            <w:r w:rsidRPr="0044635F">
              <w:rPr>
                <w:rFonts w:ascii="Times New Roman" w:hAnsi="Times New Roman" w:cs="Times New Roman"/>
                <w:spacing w:val="-5"/>
                <w:sz w:val="16"/>
              </w:rPr>
              <w:t xml:space="preserve"> </w:t>
            </w:r>
            <w:r w:rsidRPr="0044635F">
              <w:rPr>
                <w:rFonts w:ascii="Times New Roman" w:hAnsi="Times New Roman" w:cs="Times New Roman"/>
                <w:sz w:val="16"/>
              </w:rPr>
              <w:t>1</w:t>
            </w:r>
            <w:r w:rsidR="00FA1B65">
              <w:rPr>
                <w:rStyle w:val="FootnoteReference"/>
                <w:rFonts w:ascii="Times New Roman" w:hAnsi="Times New Roman" w:cs="Times New Roman"/>
                <w:sz w:val="16"/>
              </w:rPr>
              <w:footnoteReference w:id="2"/>
            </w:r>
          </w:p>
          <w:p w:rsidR="00A7034B" w:rsidRPr="0044635F" w:rsidRDefault="00A7034B" w:rsidP="00A7034B">
            <w:pPr>
              <w:pStyle w:val="TableParagraph"/>
              <w:spacing w:before="27"/>
              <w:ind w:left="110"/>
              <w:rPr>
                <w:rFonts w:ascii="Times New Roman" w:hAnsi="Times New Roman" w:cs="Times New Roman"/>
                <w:sz w:val="16"/>
              </w:rPr>
            </w:pPr>
            <w:r w:rsidRPr="0044635F">
              <w:rPr>
                <w:rFonts w:ascii="Times New Roman" w:hAnsi="Times New Roman" w:cs="Times New Roman"/>
                <w:sz w:val="16"/>
              </w:rPr>
              <w:t>Clause</w:t>
            </w:r>
            <w:r w:rsidRPr="0044635F">
              <w:rPr>
                <w:rFonts w:ascii="Times New Roman" w:hAnsi="Times New Roman" w:cs="Times New Roman"/>
                <w:spacing w:val="-5"/>
                <w:sz w:val="16"/>
              </w:rPr>
              <w:t xml:space="preserve"> </w:t>
            </w:r>
            <w:r w:rsidRPr="0044635F">
              <w:rPr>
                <w:rFonts w:ascii="Times New Roman" w:hAnsi="Times New Roman" w:cs="Times New Roman"/>
                <w:sz w:val="16"/>
              </w:rPr>
              <w:t>2</w:t>
            </w:r>
          </w:p>
          <w:p w:rsidR="00A7034B" w:rsidRPr="0044635F" w:rsidRDefault="00A7034B" w:rsidP="00A7034B">
            <w:pPr>
              <w:pStyle w:val="TableParagraph"/>
              <w:spacing w:before="27"/>
              <w:ind w:left="110"/>
              <w:rPr>
                <w:rFonts w:ascii="Times New Roman" w:hAnsi="Times New Roman" w:cs="Times New Roman"/>
                <w:sz w:val="16"/>
              </w:rPr>
            </w:pPr>
            <w:r w:rsidRPr="0044635F">
              <w:rPr>
                <w:rFonts w:ascii="Times New Roman" w:hAnsi="Times New Roman" w:cs="Times New Roman"/>
                <w:sz w:val="16"/>
              </w:rPr>
              <w:t>Clause</w:t>
            </w:r>
            <w:r w:rsidRPr="0044635F">
              <w:rPr>
                <w:rFonts w:ascii="Times New Roman" w:hAnsi="Times New Roman" w:cs="Times New Roman"/>
                <w:spacing w:val="-5"/>
                <w:sz w:val="16"/>
              </w:rPr>
              <w:t xml:space="preserve"> </w:t>
            </w:r>
            <w:r w:rsidRPr="0044635F">
              <w:rPr>
                <w:rFonts w:ascii="Times New Roman" w:hAnsi="Times New Roman" w:cs="Times New Roman"/>
                <w:sz w:val="16"/>
              </w:rPr>
              <w:t>3</w:t>
            </w:r>
          </w:p>
          <w:p w:rsidR="00A7034B" w:rsidRPr="0044635F" w:rsidRDefault="00A7034B" w:rsidP="00A7034B">
            <w:pPr>
              <w:pStyle w:val="TableParagraph"/>
              <w:spacing w:before="28"/>
              <w:ind w:left="110"/>
              <w:rPr>
                <w:rFonts w:ascii="Times New Roman" w:hAnsi="Times New Roman" w:cs="Times New Roman"/>
                <w:sz w:val="16"/>
              </w:rPr>
            </w:pPr>
            <w:r w:rsidRPr="0044635F">
              <w:rPr>
                <w:rFonts w:ascii="Times New Roman" w:hAnsi="Times New Roman" w:cs="Times New Roman"/>
                <w:sz w:val="16"/>
              </w:rPr>
              <w:t>Clause</w:t>
            </w:r>
            <w:r w:rsidRPr="0044635F">
              <w:rPr>
                <w:rFonts w:ascii="Times New Roman" w:hAnsi="Times New Roman" w:cs="Times New Roman"/>
                <w:spacing w:val="-5"/>
                <w:sz w:val="16"/>
              </w:rPr>
              <w:t xml:space="preserve"> </w:t>
            </w:r>
            <w:r w:rsidRPr="0044635F">
              <w:rPr>
                <w:rFonts w:ascii="Times New Roman" w:hAnsi="Times New Roman" w:cs="Times New Roman"/>
                <w:sz w:val="16"/>
              </w:rPr>
              <w:t>4</w:t>
            </w:r>
          </w:p>
          <w:p w:rsidR="00A7034B" w:rsidRPr="0044635F" w:rsidRDefault="00A7034B" w:rsidP="00A7034B">
            <w:pPr>
              <w:pStyle w:val="TableParagraph"/>
              <w:spacing w:before="28"/>
              <w:ind w:left="110"/>
              <w:rPr>
                <w:rFonts w:ascii="Times New Roman" w:hAnsi="Times New Roman" w:cs="Times New Roman"/>
                <w:sz w:val="16"/>
              </w:rPr>
            </w:pPr>
            <w:r w:rsidRPr="0044635F">
              <w:rPr>
                <w:rFonts w:ascii="Times New Roman" w:hAnsi="Times New Roman" w:cs="Times New Roman"/>
                <w:sz w:val="16"/>
              </w:rPr>
              <w:t>Clause 5</w:t>
            </w:r>
          </w:p>
          <w:p w:rsidR="00A7034B" w:rsidRPr="0044635F" w:rsidRDefault="00A7034B" w:rsidP="00A7034B">
            <w:pPr>
              <w:pStyle w:val="TableParagraph"/>
              <w:spacing w:before="28"/>
              <w:ind w:left="110"/>
              <w:rPr>
                <w:rFonts w:ascii="Times New Roman" w:hAnsi="Times New Roman" w:cs="Times New Roman"/>
                <w:sz w:val="16"/>
              </w:rPr>
            </w:pPr>
            <w:r w:rsidRPr="0044635F">
              <w:rPr>
                <w:rFonts w:ascii="Times New Roman" w:hAnsi="Times New Roman" w:cs="Times New Roman"/>
                <w:sz w:val="16"/>
              </w:rPr>
              <w:t xml:space="preserve">Clause 6 </w:t>
            </w:r>
          </w:p>
        </w:tc>
        <w:tc>
          <w:tcPr>
            <w:tcW w:w="989" w:type="dxa"/>
          </w:tcPr>
          <w:p w:rsidR="00A7034B" w:rsidRPr="0044635F" w:rsidRDefault="00A7034B" w:rsidP="0044635F">
            <w:pPr>
              <w:pStyle w:val="TableParagraph"/>
              <w:spacing w:before="32" w:line="276" w:lineRule="auto"/>
              <w:ind w:right="391"/>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91"/>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91"/>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91"/>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91"/>
              <w:rPr>
                <w:rFonts w:ascii="Times New Roman" w:hAnsi="Times New Roman" w:cs="Times New Roman"/>
                <w:sz w:val="16"/>
                <w:szCs w:val="16"/>
              </w:rPr>
            </w:pPr>
            <w:r w:rsidRPr="0044635F">
              <w:rPr>
                <w:rFonts w:ascii="Times New Roman" w:hAnsi="Times New Roman" w:cs="Times New Roman"/>
                <w:sz w:val="16"/>
                <w:szCs w:val="16"/>
              </w:rPr>
              <w:t>Yes</w:t>
            </w:r>
          </w:p>
        </w:tc>
        <w:tc>
          <w:tcPr>
            <w:tcW w:w="975" w:type="dxa"/>
          </w:tcPr>
          <w:p w:rsidR="00A7034B" w:rsidRPr="0044635F" w:rsidRDefault="00A7034B" w:rsidP="0044635F">
            <w:pPr>
              <w:pStyle w:val="TableParagraph"/>
              <w:spacing w:before="32" w:line="276" w:lineRule="auto"/>
              <w:ind w:right="377"/>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77"/>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77"/>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77"/>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44635F">
            <w:pPr>
              <w:pStyle w:val="TableParagraph"/>
              <w:spacing w:before="32" w:line="276" w:lineRule="auto"/>
              <w:ind w:right="377"/>
              <w:rPr>
                <w:rFonts w:ascii="Times New Roman" w:hAnsi="Times New Roman" w:cs="Times New Roman"/>
                <w:sz w:val="16"/>
                <w:szCs w:val="16"/>
              </w:rPr>
            </w:pPr>
            <w:r w:rsidRPr="0044635F">
              <w:rPr>
                <w:rFonts w:ascii="Times New Roman" w:hAnsi="Times New Roman" w:cs="Times New Roman"/>
                <w:sz w:val="16"/>
                <w:szCs w:val="16"/>
              </w:rPr>
              <w:t>Yes</w:t>
            </w:r>
          </w:p>
        </w:tc>
        <w:tc>
          <w:tcPr>
            <w:tcW w:w="1349" w:type="dxa"/>
          </w:tcPr>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line="278" w:lineRule="auto"/>
              <w:ind w:right="948"/>
              <w:jc w:val="both"/>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line="278" w:lineRule="auto"/>
              <w:ind w:right="948"/>
              <w:jc w:val="both"/>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line="278" w:lineRule="auto"/>
              <w:ind w:right="948"/>
              <w:jc w:val="both"/>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line="278" w:lineRule="auto"/>
              <w:ind w:right="948"/>
              <w:jc w:val="both"/>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line="278" w:lineRule="auto"/>
              <w:ind w:right="948"/>
              <w:jc w:val="both"/>
              <w:rPr>
                <w:rFonts w:ascii="Times New Roman" w:hAnsi="Times New Roman" w:cs="Times New Roman"/>
                <w:sz w:val="16"/>
                <w:szCs w:val="16"/>
              </w:rPr>
            </w:pPr>
            <w:r w:rsidRPr="0044635F">
              <w:rPr>
                <w:rFonts w:ascii="Times New Roman" w:hAnsi="Times New Roman" w:cs="Times New Roman"/>
                <w:sz w:val="16"/>
                <w:szCs w:val="16"/>
              </w:rPr>
              <w:t>No</w:t>
            </w:r>
          </w:p>
        </w:tc>
        <w:tc>
          <w:tcPr>
            <w:tcW w:w="975" w:type="dxa"/>
          </w:tcPr>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tc>
        <w:tc>
          <w:tcPr>
            <w:tcW w:w="1354" w:type="dxa"/>
          </w:tcPr>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tc>
        <w:tc>
          <w:tcPr>
            <w:tcW w:w="989" w:type="dxa"/>
          </w:tcPr>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No</w:t>
            </w:r>
          </w:p>
        </w:tc>
        <w:tc>
          <w:tcPr>
            <w:tcW w:w="1349" w:type="dxa"/>
          </w:tcPr>
          <w:p w:rsidR="00A7034B" w:rsidRPr="0044635F" w:rsidRDefault="00A7034B" w:rsidP="00A7034B">
            <w:pPr>
              <w:pStyle w:val="TableParagraph"/>
              <w:spacing w:before="10"/>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line="278" w:lineRule="auto"/>
              <w:ind w:right="949"/>
              <w:jc w:val="both"/>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line="278" w:lineRule="auto"/>
              <w:ind w:right="949"/>
              <w:jc w:val="both"/>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line="278" w:lineRule="auto"/>
              <w:ind w:right="949"/>
              <w:jc w:val="both"/>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line="278" w:lineRule="auto"/>
              <w:ind w:right="949"/>
              <w:jc w:val="both"/>
              <w:rPr>
                <w:rFonts w:ascii="Times New Roman" w:hAnsi="Times New Roman" w:cs="Times New Roman"/>
                <w:sz w:val="16"/>
                <w:szCs w:val="16"/>
              </w:rPr>
            </w:pPr>
            <w:r w:rsidRPr="0044635F">
              <w:rPr>
                <w:rFonts w:ascii="Times New Roman" w:hAnsi="Times New Roman" w:cs="Times New Roman"/>
                <w:sz w:val="16"/>
                <w:szCs w:val="16"/>
              </w:rPr>
              <w:t>Yes</w:t>
            </w:r>
          </w:p>
          <w:p w:rsidR="00A7034B" w:rsidRPr="0044635F" w:rsidRDefault="00A7034B" w:rsidP="00A7034B">
            <w:pPr>
              <w:pStyle w:val="TableParagraph"/>
              <w:spacing w:line="278" w:lineRule="auto"/>
              <w:ind w:right="949"/>
              <w:jc w:val="both"/>
              <w:rPr>
                <w:rFonts w:ascii="Times New Roman" w:hAnsi="Times New Roman" w:cs="Times New Roman"/>
                <w:sz w:val="16"/>
                <w:szCs w:val="16"/>
              </w:rPr>
            </w:pPr>
            <w:r w:rsidRPr="0044635F">
              <w:rPr>
                <w:rFonts w:ascii="Times New Roman" w:hAnsi="Times New Roman" w:cs="Times New Roman"/>
                <w:sz w:val="16"/>
                <w:szCs w:val="16"/>
              </w:rPr>
              <w:t>Yes</w:t>
            </w:r>
          </w:p>
        </w:tc>
        <w:tc>
          <w:tcPr>
            <w:tcW w:w="1051" w:type="dxa"/>
          </w:tcPr>
          <w:p w:rsidR="00A7034B" w:rsidRPr="0044635F" w:rsidRDefault="00A7034B" w:rsidP="0044635F">
            <w:pPr>
              <w:pStyle w:val="TableParagraph"/>
              <w:spacing w:before="1" w:line="210" w:lineRule="atLeast"/>
              <w:ind w:right="13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44635F">
            <w:pPr>
              <w:pStyle w:val="TableParagraph"/>
              <w:spacing w:before="1" w:line="210" w:lineRule="atLeast"/>
              <w:ind w:right="13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44635F">
            <w:pPr>
              <w:pStyle w:val="TableParagraph"/>
              <w:spacing w:before="1" w:line="210" w:lineRule="atLeast"/>
              <w:ind w:right="13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44635F">
            <w:pPr>
              <w:pStyle w:val="TableParagraph"/>
              <w:spacing w:before="1" w:line="210" w:lineRule="atLeast"/>
              <w:ind w:right="130"/>
              <w:rPr>
                <w:rFonts w:ascii="Times New Roman" w:hAnsi="Times New Roman" w:cs="Times New Roman"/>
                <w:sz w:val="16"/>
                <w:szCs w:val="16"/>
              </w:rPr>
            </w:pPr>
            <w:r w:rsidRPr="0044635F">
              <w:rPr>
                <w:rFonts w:ascii="Times New Roman" w:hAnsi="Times New Roman" w:cs="Times New Roman"/>
                <w:sz w:val="16"/>
                <w:szCs w:val="16"/>
              </w:rPr>
              <w:t>No</w:t>
            </w:r>
          </w:p>
          <w:p w:rsidR="0044635F" w:rsidRPr="0044635F" w:rsidRDefault="0044635F" w:rsidP="0044635F">
            <w:pPr>
              <w:pStyle w:val="TableParagraph"/>
              <w:spacing w:before="1" w:line="210" w:lineRule="atLeast"/>
              <w:ind w:right="130"/>
              <w:rPr>
                <w:rFonts w:ascii="Times New Roman" w:hAnsi="Times New Roman" w:cs="Times New Roman"/>
                <w:sz w:val="16"/>
                <w:szCs w:val="16"/>
              </w:rPr>
            </w:pPr>
            <w:r w:rsidRPr="0044635F">
              <w:rPr>
                <w:rFonts w:ascii="Times New Roman" w:hAnsi="Times New Roman" w:cs="Times New Roman"/>
                <w:sz w:val="16"/>
                <w:szCs w:val="16"/>
              </w:rPr>
              <w:t>No</w:t>
            </w:r>
          </w:p>
          <w:p w:rsidR="00A7034B" w:rsidRPr="0044635F" w:rsidRDefault="00A7034B" w:rsidP="0044635F">
            <w:pPr>
              <w:pStyle w:val="TableParagraph"/>
              <w:spacing w:before="1" w:line="210" w:lineRule="atLeast"/>
              <w:ind w:right="130"/>
              <w:rPr>
                <w:rFonts w:ascii="Times New Roman" w:hAnsi="Times New Roman" w:cs="Times New Roman"/>
                <w:sz w:val="16"/>
                <w:szCs w:val="16"/>
              </w:rPr>
            </w:pPr>
            <w:r w:rsidRPr="0044635F">
              <w:rPr>
                <w:rFonts w:ascii="Times New Roman" w:hAnsi="Times New Roman" w:cs="Times New Roman"/>
                <w:sz w:val="16"/>
                <w:szCs w:val="16"/>
              </w:rPr>
              <w:t>No</w:t>
            </w:r>
          </w:p>
        </w:tc>
      </w:tr>
      <w:tr w:rsidR="00A7034B" w:rsidTr="00A7034B">
        <w:trPr>
          <w:trHeight w:val="499"/>
        </w:trPr>
        <w:tc>
          <w:tcPr>
            <w:tcW w:w="1114" w:type="dxa"/>
          </w:tcPr>
          <w:p w:rsidR="00A7034B" w:rsidRPr="0044635F" w:rsidRDefault="00A7034B" w:rsidP="00A7034B">
            <w:pPr>
              <w:pStyle w:val="TableParagraph"/>
              <w:spacing w:line="182" w:lineRule="exact"/>
              <w:ind w:left="110"/>
              <w:rPr>
                <w:rFonts w:ascii="Times New Roman" w:hAnsi="Times New Roman" w:cs="Times New Roman"/>
                <w:sz w:val="16"/>
              </w:rPr>
            </w:pPr>
            <w:r w:rsidRPr="0044635F">
              <w:rPr>
                <w:rFonts w:ascii="Times New Roman" w:hAnsi="Times New Roman" w:cs="Times New Roman"/>
                <w:sz w:val="16"/>
              </w:rPr>
              <w:t>Schedule 1</w:t>
            </w:r>
          </w:p>
          <w:p w:rsidR="00A7034B" w:rsidRPr="0044635F" w:rsidRDefault="00A7034B" w:rsidP="00A7034B">
            <w:pPr>
              <w:pStyle w:val="TableParagraph"/>
              <w:spacing w:line="182" w:lineRule="exact"/>
              <w:ind w:left="110"/>
              <w:rPr>
                <w:rFonts w:ascii="Times New Roman" w:hAnsi="Times New Roman" w:cs="Times New Roman"/>
                <w:sz w:val="16"/>
              </w:rPr>
            </w:pPr>
            <w:r w:rsidRPr="0044635F">
              <w:rPr>
                <w:rFonts w:ascii="Times New Roman" w:hAnsi="Times New Roman" w:cs="Times New Roman"/>
                <w:sz w:val="16"/>
              </w:rPr>
              <w:t>Schedule 2</w:t>
            </w:r>
          </w:p>
        </w:tc>
        <w:tc>
          <w:tcPr>
            <w:tcW w:w="989"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tc>
        <w:tc>
          <w:tcPr>
            <w:tcW w:w="975"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tc>
        <w:tc>
          <w:tcPr>
            <w:tcW w:w="1349"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tc>
        <w:tc>
          <w:tcPr>
            <w:tcW w:w="975"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tc>
        <w:tc>
          <w:tcPr>
            <w:tcW w:w="1354"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tc>
        <w:tc>
          <w:tcPr>
            <w:tcW w:w="989"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tc>
        <w:tc>
          <w:tcPr>
            <w:tcW w:w="1349"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Yes</w:t>
            </w:r>
          </w:p>
        </w:tc>
        <w:tc>
          <w:tcPr>
            <w:tcW w:w="1051" w:type="dxa"/>
          </w:tcPr>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p w:rsidR="00A7034B" w:rsidRPr="0044635F" w:rsidRDefault="00A7034B" w:rsidP="00A7034B">
            <w:pPr>
              <w:pStyle w:val="TableParagraph"/>
              <w:rPr>
                <w:rFonts w:ascii="Times New Roman" w:hAnsi="Times New Roman" w:cs="Times New Roman"/>
                <w:sz w:val="16"/>
              </w:rPr>
            </w:pPr>
            <w:r w:rsidRPr="0044635F">
              <w:rPr>
                <w:rFonts w:ascii="Times New Roman" w:hAnsi="Times New Roman" w:cs="Times New Roman"/>
                <w:sz w:val="16"/>
              </w:rPr>
              <w:t>No</w:t>
            </w:r>
          </w:p>
        </w:tc>
      </w:tr>
    </w:tbl>
    <w:p w:rsidR="00F67F27" w:rsidRDefault="00F67F27" w:rsidP="00B82AD2">
      <w:pPr>
        <w:rPr>
          <w:rFonts w:ascii="Times New Roman"/>
          <w:sz w:val="20"/>
        </w:rPr>
      </w:pPr>
    </w:p>
    <w:p w:rsidR="00F67F27" w:rsidRPr="000354C7" w:rsidRDefault="00F67F27" w:rsidP="00F67F27">
      <w:pPr>
        <w:spacing w:before="70"/>
        <w:ind w:firstLine="720"/>
        <w:rPr>
          <w:i/>
        </w:rPr>
      </w:pPr>
      <w:r w:rsidRPr="000354C7">
        <w:rPr>
          <w:i/>
          <w:w w:val="105"/>
          <w:u w:val="single"/>
        </w:rPr>
        <w:t>Territorial application</w:t>
      </w:r>
    </w:p>
    <w:p w:rsidR="00F67F27" w:rsidRPr="000354C7" w:rsidRDefault="00F67F27" w:rsidP="00F67F27">
      <w:pPr>
        <w:pStyle w:val="BodyText"/>
        <w:spacing w:before="11"/>
        <w:rPr>
          <w:i/>
          <w:sz w:val="22"/>
          <w:szCs w:val="22"/>
        </w:rPr>
      </w:pPr>
    </w:p>
    <w:p w:rsidR="00F67F27" w:rsidRPr="000354C7" w:rsidRDefault="00F67F27" w:rsidP="00F67F27">
      <w:pPr>
        <w:pStyle w:val="ListParagraph"/>
        <w:numPr>
          <w:ilvl w:val="0"/>
          <w:numId w:val="1"/>
        </w:numPr>
        <w:tabs>
          <w:tab w:val="left" w:pos="1659"/>
          <w:tab w:val="left" w:pos="1660"/>
        </w:tabs>
        <w:spacing w:before="99" w:line="290" w:lineRule="auto"/>
        <w:ind w:right="1404" w:hanging="720"/>
      </w:pPr>
      <w:r w:rsidRPr="000354C7">
        <w:rPr>
          <w:w w:val="105"/>
        </w:rPr>
        <w:t>The amendments made at Committee Stage apply as</w:t>
      </w:r>
      <w:r w:rsidRPr="000354C7">
        <w:rPr>
          <w:spacing w:val="-40"/>
          <w:w w:val="105"/>
        </w:rPr>
        <w:t xml:space="preserve"> </w:t>
      </w:r>
      <w:r w:rsidRPr="000354C7">
        <w:rPr>
          <w:w w:val="105"/>
        </w:rPr>
        <w:t>follows</w:t>
      </w:r>
      <w:r w:rsidRPr="000354C7">
        <w:rPr>
          <w:b/>
          <w:w w:val="105"/>
        </w:rPr>
        <w:t>:</w:t>
      </w:r>
      <w:r w:rsidRPr="000354C7">
        <w:rPr>
          <w:w w:val="105"/>
        </w:rPr>
        <w:t xml:space="preserve"> all amendments made at Committee Stage apply to England and Wales only.</w:t>
      </w:r>
    </w:p>
    <w:p w:rsidR="00F67F27" w:rsidRPr="000354C7" w:rsidRDefault="00F67F27" w:rsidP="00F67F27">
      <w:pPr>
        <w:pStyle w:val="BodyText"/>
        <w:spacing w:before="1"/>
        <w:rPr>
          <w:sz w:val="22"/>
          <w:szCs w:val="22"/>
        </w:rPr>
      </w:pPr>
    </w:p>
    <w:p w:rsidR="00F67F27" w:rsidRPr="00FA1B65" w:rsidRDefault="00F67F27" w:rsidP="00F67F27">
      <w:pPr>
        <w:pStyle w:val="ListParagraph"/>
        <w:numPr>
          <w:ilvl w:val="0"/>
          <w:numId w:val="1"/>
        </w:numPr>
        <w:tabs>
          <w:tab w:val="left" w:pos="1659"/>
          <w:tab w:val="left" w:pos="1660"/>
        </w:tabs>
        <w:spacing w:before="2" w:line="290" w:lineRule="auto"/>
        <w:ind w:right="1504" w:hanging="720"/>
      </w:pPr>
      <w:r w:rsidRPr="000354C7">
        <w:rPr>
          <w:w w:val="105"/>
        </w:rPr>
        <w:t>There are no changes</w:t>
      </w:r>
      <w:r w:rsidRPr="000354C7">
        <w:rPr>
          <w:spacing w:val="-4"/>
          <w:w w:val="105"/>
        </w:rPr>
        <w:t xml:space="preserve"> </w:t>
      </w:r>
      <w:r w:rsidRPr="000354C7">
        <w:rPr>
          <w:w w:val="105"/>
        </w:rPr>
        <w:t>to</w:t>
      </w:r>
      <w:r w:rsidRPr="000354C7">
        <w:rPr>
          <w:spacing w:val="-4"/>
          <w:w w:val="105"/>
        </w:rPr>
        <w:t xml:space="preserve"> </w:t>
      </w:r>
      <w:r w:rsidRPr="000354C7">
        <w:rPr>
          <w:w w:val="105"/>
        </w:rPr>
        <w:t>territorial</w:t>
      </w:r>
      <w:r w:rsidRPr="000354C7">
        <w:rPr>
          <w:spacing w:val="-5"/>
          <w:w w:val="105"/>
        </w:rPr>
        <w:t xml:space="preserve"> </w:t>
      </w:r>
      <w:r w:rsidRPr="000354C7">
        <w:rPr>
          <w:w w:val="105"/>
        </w:rPr>
        <w:t>application</w:t>
      </w:r>
      <w:r w:rsidRPr="000354C7">
        <w:rPr>
          <w:spacing w:val="-4"/>
          <w:w w:val="105"/>
        </w:rPr>
        <w:t xml:space="preserve"> </w:t>
      </w:r>
      <w:r w:rsidRPr="000354C7">
        <w:rPr>
          <w:w w:val="105"/>
        </w:rPr>
        <w:t>as</w:t>
      </w:r>
      <w:r w:rsidRPr="000354C7">
        <w:rPr>
          <w:spacing w:val="-3"/>
          <w:w w:val="105"/>
        </w:rPr>
        <w:t xml:space="preserve"> </w:t>
      </w:r>
      <w:r w:rsidRPr="000354C7">
        <w:rPr>
          <w:w w:val="105"/>
        </w:rPr>
        <w:t>a</w:t>
      </w:r>
      <w:r w:rsidRPr="000354C7">
        <w:rPr>
          <w:spacing w:val="-4"/>
          <w:w w:val="105"/>
        </w:rPr>
        <w:t xml:space="preserve"> </w:t>
      </w:r>
      <w:r w:rsidRPr="000354C7">
        <w:rPr>
          <w:w w:val="105"/>
        </w:rPr>
        <w:t>result</w:t>
      </w:r>
      <w:r w:rsidRPr="000354C7">
        <w:rPr>
          <w:spacing w:val="-5"/>
          <w:w w:val="105"/>
        </w:rPr>
        <w:t xml:space="preserve"> </w:t>
      </w:r>
      <w:r w:rsidRPr="000354C7">
        <w:rPr>
          <w:w w:val="105"/>
        </w:rPr>
        <w:t>of</w:t>
      </w:r>
      <w:r w:rsidRPr="000354C7">
        <w:rPr>
          <w:spacing w:val="-5"/>
          <w:w w:val="105"/>
        </w:rPr>
        <w:t xml:space="preserve"> </w:t>
      </w:r>
      <w:r w:rsidRPr="000354C7">
        <w:rPr>
          <w:w w:val="105"/>
        </w:rPr>
        <w:t>amendments</w:t>
      </w:r>
      <w:r w:rsidRPr="000354C7">
        <w:rPr>
          <w:spacing w:val="-4"/>
          <w:w w:val="105"/>
        </w:rPr>
        <w:t xml:space="preserve"> made at Committee Stage.</w:t>
      </w:r>
    </w:p>
    <w:p w:rsidR="00FA1B65" w:rsidRPr="000354C7" w:rsidRDefault="00FA1B65" w:rsidP="00FA1B65">
      <w:pPr>
        <w:pStyle w:val="ListParagraph"/>
        <w:tabs>
          <w:tab w:val="left" w:pos="1659"/>
          <w:tab w:val="left" w:pos="1660"/>
        </w:tabs>
        <w:spacing w:before="2" w:line="290" w:lineRule="auto"/>
        <w:ind w:left="1585" w:right="1504"/>
        <w:jc w:val="left"/>
      </w:pPr>
    </w:p>
    <w:p w:rsidR="00F67F27" w:rsidRPr="000354C7" w:rsidRDefault="00F67F27" w:rsidP="00F67F27">
      <w:pPr>
        <w:pStyle w:val="BodyText"/>
        <w:spacing w:before="10"/>
        <w:rPr>
          <w:sz w:val="22"/>
          <w:szCs w:val="22"/>
        </w:rPr>
      </w:pPr>
    </w:p>
    <w:p w:rsidR="00F67F27" w:rsidRPr="000354C7" w:rsidRDefault="00F67F27" w:rsidP="00F67F27">
      <w:pPr>
        <w:ind w:left="865"/>
        <w:rPr>
          <w:i/>
        </w:rPr>
      </w:pPr>
      <w:r w:rsidRPr="000354C7">
        <w:rPr>
          <w:i/>
          <w:w w:val="105"/>
          <w:u w:val="single"/>
        </w:rPr>
        <w:t>Subject matter and legislative competence of devolved legislatures</w:t>
      </w:r>
    </w:p>
    <w:p w:rsidR="00F67F27" w:rsidRPr="000354C7" w:rsidRDefault="00F67F27" w:rsidP="00F67F27">
      <w:pPr>
        <w:pStyle w:val="BodyText"/>
        <w:spacing w:before="11"/>
        <w:rPr>
          <w:i/>
          <w:sz w:val="22"/>
          <w:szCs w:val="22"/>
        </w:rPr>
      </w:pPr>
    </w:p>
    <w:p w:rsidR="000354C7" w:rsidRPr="000354C7" w:rsidRDefault="00F67F27" w:rsidP="00F67F27">
      <w:pPr>
        <w:pStyle w:val="ListParagraph"/>
        <w:numPr>
          <w:ilvl w:val="0"/>
          <w:numId w:val="1"/>
        </w:numPr>
        <w:tabs>
          <w:tab w:val="left" w:pos="1659"/>
          <w:tab w:val="left" w:pos="1660"/>
        </w:tabs>
        <w:spacing w:before="98" w:line="288" w:lineRule="auto"/>
        <w:ind w:right="989"/>
      </w:pPr>
      <w:r w:rsidRPr="000354C7">
        <w:rPr>
          <w:w w:val="105"/>
        </w:rPr>
        <w:t>The amendments that apply to England</w:t>
      </w:r>
      <w:r w:rsidR="00225FFD" w:rsidRPr="000354C7">
        <w:rPr>
          <w:w w:val="105"/>
        </w:rPr>
        <w:t xml:space="preserve"> and Wales deal, in general terms, with</w:t>
      </w:r>
      <w:r w:rsidR="00225FFD" w:rsidRPr="000354C7">
        <w:t xml:space="preserve"> reform of the process in the Mental Capacity Act 2005 (“MCA”) for authorising arrangements enabling the care or treatment of people who lack capacity to consent to the arrangements, which give rise to</w:t>
      </w:r>
      <w:r w:rsidR="007509ED" w:rsidRPr="000354C7">
        <w:t xml:space="preserve"> a deprivation of their liberty</w:t>
      </w:r>
      <w:r w:rsidRPr="000354C7">
        <w:rPr>
          <w:w w:val="105"/>
        </w:rPr>
        <w:t>.</w:t>
      </w:r>
      <w:r w:rsidRPr="000354C7">
        <w:rPr>
          <w:spacing w:val="-44"/>
          <w:w w:val="105"/>
        </w:rPr>
        <w:t xml:space="preserve"> </w:t>
      </w:r>
      <w:r w:rsidR="000354C7" w:rsidRPr="000354C7">
        <w:rPr>
          <w:w w:val="105"/>
        </w:rPr>
        <w:t>As noted in paragraph 1 of the Explanatory Notes.</w:t>
      </w:r>
    </w:p>
    <w:p w:rsidR="00F67F27" w:rsidRPr="000354C7" w:rsidRDefault="000354C7" w:rsidP="00F67F27">
      <w:pPr>
        <w:pStyle w:val="ListParagraph"/>
        <w:numPr>
          <w:ilvl w:val="0"/>
          <w:numId w:val="1"/>
        </w:numPr>
        <w:tabs>
          <w:tab w:val="left" w:pos="1659"/>
          <w:tab w:val="left" w:pos="1660"/>
        </w:tabs>
        <w:spacing w:before="98" w:line="288" w:lineRule="auto"/>
        <w:ind w:right="989"/>
      </w:pPr>
      <w:r w:rsidRPr="000354C7">
        <w:t>In the opinion of the UK government, the subject matter of the Bill is within the devolved legislative competence of the Scotland and Northern Ireland legislatures (mental capacity is not a reserved matter within Schedule 5 to the Scotland Act 1998 and is not an excepted matter or a reserved matter within Schedule 2 or Schedule 3 to the Northern Ireland Act 1998) as noted in paragraph 82 of Annex A of the Explanatory Notes.</w:t>
      </w:r>
    </w:p>
    <w:p w:rsidR="00F67F27" w:rsidRPr="00275A5E" w:rsidRDefault="00F67F27" w:rsidP="00F67F27"/>
    <w:p w:rsidR="00F67F27" w:rsidRDefault="00F67F27" w:rsidP="00F67F27">
      <w:pPr>
        <w:tabs>
          <w:tab w:val="left" w:pos="2676"/>
        </w:tabs>
        <w:rPr>
          <w:rFonts w:ascii="Times New Roman"/>
          <w:sz w:val="20"/>
        </w:rPr>
      </w:pPr>
    </w:p>
    <w:p w:rsidR="00B82AD2" w:rsidRPr="00F67F27" w:rsidRDefault="00F67F27" w:rsidP="00F67F27">
      <w:pPr>
        <w:tabs>
          <w:tab w:val="left" w:pos="2676"/>
        </w:tabs>
        <w:rPr>
          <w:rFonts w:ascii="Times New Roman"/>
          <w:sz w:val="20"/>
        </w:rPr>
        <w:sectPr w:rsidR="00B82AD2" w:rsidRPr="00F67F27">
          <w:pgSz w:w="11900" w:h="16840"/>
          <w:pgMar w:top="1600" w:right="880" w:bottom="1000" w:left="580" w:header="0" w:footer="807" w:gutter="0"/>
          <w:cols w:space="720"/>
        </w:sectPr>
      </w:pPr>
      <w:r>
        <w:rPr>
          <w:rFonts w:ascii="Times New Roman"/>
          <w:sz w:val="20"/>
        </w:rPr>
        <w:tab/>
      </w:r>
    </w:p>
    <w:p w:rsidR="00197B88" w:rsidRPr="00275A5E" w:rsidRDefault="00197B88" w:rsidP="00F67F27">
      <w:pPr>
        <w:spacing w:before="70"/>
        <w:ind w:left="865"/>
      </w:pPr>
    </w:p>
    <w:sectPr w:rsidR="00197B88" w:rsidRPr="00275A5E">
      <w:pgSz w:w="11900" w:h="16840"/>
      <w:pgMar w:top="1380" w:right="880" w:bottom="1000" w:left="580" w:header="0" w:footer="8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9ED" w:rsidRDefault="007509ED" w:rsidP="00F67F27">
      <w:r>
        <w:separator/>
      </w:r>
    </w:p>
  </w:endnote>
  <w:endnote w:type="continuationSeparator" w:id="0">
    <w:p w:rsidR="007509ED" w:rsidRDefault="007509ED" w:rsidP="00F6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9ED" w:rsidRDefault="007509ED" w:rsidP="00F67F27">
      <w:r>
        <w:separator/>
      </w:r>
    </w:p>
  </w:footnote>
  <w:footnote w:type="continuationSeparator" w:id="0">
    <w:p w:rsidR="007509ED" w:rsidRDefault="007509ED" w:rsidP="00F67F27">
      <w:r>
        <w:continuationSeparator/>
      </w:r>
    </w:p>
  </w:footnote>
  <w:footnote w:id="1">
    <w:p w:rsidR="007509ED" w:rsidRPr="00FA1B65" w:rsidRDefault="007509ED" w:rsidP="00F67F27">
      <w:pPr>
        <w:spacing w:line="290" w:lineRule="auto"/>
        <w:ind w:left="865" w:right="489"/>
        <w:rPr>
          <w:sz w:val="19"/>
        </w:rPr>
      </w:pPr>
      <w:r w:rsidRPr="00FA1B65">
        <w:rPr>
          <w:rStyle w:val="FootnoteReference"/>
        </w:rPr>
        <w:footnoteRef/>
      </w:r>
      <w:r w:rsidRPr="00FA1B65">
        <w:t xml:space="preserve"> </w:t>
      </w:r>
      <w:r w:rsidRPr="00FA1B65">
        <w:rPr>
          <w:w w:val="105"/>
          <w:sz w:val="19"/>
        </w:rPr>
        <w:t>References in this statement to a provision being within the legislative competence of the Scottish Parliament, the National Assembly for Wales or the Northern Ireland Assembly are to the provision being within the legislative competence of the relevant devolved legislature for the purposes of Standing Order No. 83J of the Standing Orders of the House of Commons relating to Public Business.</w:t>
      </w:r>
    </w:p>
    <w:p w:rsidR="007509ED" w:rsidRPr="00FA1B65" w:rsidRDefault="007509ED">
      <w:pPr>
        <w:pStyle w:val="FootnoteText"/>
        <w:rPr>
          <w:sz w:val="18"/>
          <w:lang w:val="en-GB"/>
        </w:rPr>
      </w:pPr>
    </w:p>
  </w:footnote>
  <w:footnote w:id="2">
    <w:p w:rsidR="00FA1B65" w:rsidRPr="00FA1B65" w:rsidRDefault="00FA1B65" w:rsidP="00FA1B65">
      <w:pPr>
        <w:pStyle w:val="FootnoteText"/>
        <w:ind w:left="720"/>
        <w:rPr>
          <w:lang w:val="en-GB"/>
        </w:rPr>
      </w:pPr>
      <w:r w:rsidRPr="00FA1B65">
        <w:rPr>
          <w:rStyle w:val="FootnoteReference"/>
          <w:sz w:val="18"/>
        </w:rPr>
        <w:footnoteRef/>
      </w:r>
      <w:r w:rsidRPr="00FA1B65">
        <w:rPr>
          <w:sz w:val="18"/>
        </w:rPr>
        <w:t xml:space="preserve"> </w:t>
      </w:r>
      <w:r w:rsidRPr="00FA1B65">
        <w:rPr>
          <w:sz w:val="18"/>
          <w:lang w:val="en-GB"/>
        </w:rPr>
        <w:t xml:space="preserve">New Clause inserted to the Bill during Committee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547"/>
    <w:multiLevelType w:val="hybridMultilevel"/>
    <w:tmpl w:val="E716FE3A"/>
    <w:lvl w:ilvl="0" w:tplc="88966E3C">
      <w:start w:val="1"/>
      <w:numFmt w:val="decimal"/>
      <w:lvlText w:val="%1."/>
      <w:lvlJc w:val="left"/>
      <w:pPr>
        <w:ind w:left="1585" w:hanging="794"/>
        <w:jc w:val="left"/>
      </w:pPr>
      <w:rPr>
        <w:rFonts w:ascii="Arial" w:eastAsia="Arial" w:hAnsi="Arial" w:cs="Arial" w:hint="default"/>
        <w:spacing w:val="0"/>
        <w:w w:val="102"/>
        <w:sz w:val="21"/>
        <w:szCs w:val="21"/>
      </w:rPr>
    </w:lvl>
    <w:lvl w:ilvl="1" w:tplc="8ECEF648">
      <w:numFmt w:val="bullet"/>
      <w:lvlText w:val="•"/>
      <w:lvlJc w:val="left"/>
      <w:pPr>
        <w:ind w:left="2466" w:hanging="794"/>
      </w:pPr>
      <w:rPr>
        <w:rFonts w:hint="default"/>
      </w:rPr>
    </w:lvl>
    <w:lvl w:ilvl="2" w:tplc="D8083748">
      <w:numFmt w:val="bullet"/>
      <w:lvlText w:val="•"/>
      <w:lvlJc w:val="left"/>
      <w:pPr>
        <w:ind w:left="3352" w:hanging="794"/>
      </w:pPr>
      <w:rPr>
        <w:rFonts w:hint="default"/>
      </w:rPr>
    </w:lvl>
    <w:lvl w:ilvl="3" w:tplc="44C21316">
      <w:numFmt w:val="bullet"/>
      <w:lvlText w:val="•"/>
      <w:lvlJc w:val="left"/>
      <w:pPr>
        <w:ind w:left="4238" w:hanging="794"/>
      </w:pPr>
      <w:rPr>
        <w:rFonts w:hint="default"/>
      </w:rPr>
    </w:lvl>
    <w:lvl w:ilvl="4" w:tplc="B1661A50">
      <w:numFmt w:val="bullet"/>
      <w:lvlText w:val="•"/>
      <w:lvlJc w:val="left"/>
      <w:pPr>
        <w:ind w:left="5124" w:hanging="794"/>
      </w:pPr>
      <w:rPr>
        <w:rFonts w:hint="default"/>
      </w:rPr>
    </w:lvl>
    <w:lvl w:ilvl="5" w:tplc="CCE6288A">
      <w:numFmt w:val="bullet"/>
      <w:lvlText w:val="•"/>
      <w:lvlJc w:val="left"/>
      <w:pPr>
        <w:ind w:left="6010" w:hanging="794"/>
      </w:pPr>
      <w:rPr>
        <w:rFonts w:hint="default"/>
      </w:rPr>
    </w:lvl>
    <w:lvl w:ilvl="6" w:tplc="97AA0198">
      <w:numFmt w:val="bullet"/>
      <w:lvlText w:val="•"/>
      <w:lvlJc w:val="left"/>
      <w:pPr>
        <w:ind w:left="6896" w:hanging="794"/>
      </w:pPr>
      <w:rPr>
        <w:rFonts w:hint="default"/>
      </w:rPr>
    </w:lvl>
    <w:lvl w:ilvl="7" w:tplc="77C4286C">
      <w:numFmt w:val="bullet"/>
      <w:lvlText w:val="•"/>
      <w:lvlJc w:val="left"/>
      <w:pPr>
        <w:ind w:left="7782" w:hanging="794"/>
      </w:pPr>
      <w:rPr>
        <w:rFonts w:hint="default"/>
      </w:rPr>
    </w:lvl>
    <w:lvl w:ilvl="8" w:tplc="0884F318">
      <w:numFmt w:val="bullet"/>
      <w:lvlText w:val="•"/>
      <w:lvlJc w:val="left"/>
      <w:pPr>
        <w:ind w:left="8668" w:hanging="79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D2"/>
    <w:rsid w:val="000354C7"/>
    <w:rsid w:val="00197B88"/>
    <w:rsid w:val="00225FFD"/>
    <w:rsid w:val="00275A5E"/>
    <w:rsid w:val="003971D3"/>
    <w:rsid w:val="0044635F"/>
    <w:rsid w:val="007509ED"/>
    <w:rsid w:val="00A7034B"/>
    <w:rsid w:val="00B82AD2"/>
    <w:rsid w:val="00E345AD"/>
    <w:rsid w:val="00EC2091"/>
    <w:rsid w:val="00F67F27"/>
    <w:rsid w:val="00FA1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659A1-4F9C-4126-B296-B753EA77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82AD2"/>
    <w:pPr>
      <w:widowControl w:val="0"/>
      <w:autoSpaceDE w:val="0"/>
      <w:autoSpaceDN w:val="0"/>
      <w:spacing w:after="0" w:line="240" w:lineRule="auto"/>
    </w:pPr>
    <w:rPr>
      <w:rFonts w:ascii="Arial" w:eastAsia="Arial" w:hAnsi="Arial" w:cs="Arial"/>
      <w:lang w:val="en-US"/>
    </w:rPr>
  </w:style>
  <w:style w:type="paragraph" w:styleId="Heading2">
    <w:name w:val="heading 2"/>
    <w:basedOn w:val="Normal"/>
    <w:link w:val="Heading2Char"/>
    <w:uiPriority w:val="1"/>
    <w:qFormat/>
    <w:rsid w:val="00B82AD2"/>
    <w:pPr>
      <w:ind w:left="865"/>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82AD2"/>
    <w:rPr>
      <w:rFonts w:ascii="Arial" w:eastAsia="Arial" w:hAnsi="Arial" w:cs="Arial"/>
      <w:b/>
      <w:bCs/>
      <w:sz w:val="21"/>
      <w:szCs w:val="21"/>
      <w:lang w:val="en-US"/>
    </w:rPr>
  </w:style>
  <w:style w:type="paragraph" w:styleId="BodyText">
    <w:name w:val="Body Text"/>
    <w:basedOn w:val="Normal"/>
    <w:link w:val="BodyTextChar"/>
    <w:uiPriority w:val="1"/>
    <w:qFormat/>
    <w:rsid w:val="00B82AD2"/>
    <w:rPr>
      <w:sz w:val="21"/>
      <w:szCs w:val="21"/>
    </w:rPr>
  </w:style>
  <w:style w:type="character" w:customStyle="1" w:styleId="BodyTextChar">
    <w:name w:val="Body Text Char"/>
    <w:basedOn w:val="DefaultParagraphFont"/>
    <w:link w:val="BodyText"/>
    <w:uiPriority w:val="1"/>
    <w:rsid w:val="00B82AD2"/>
    <w:rPr>
      <w:rFonts w:ascii="Arial" w:eastAsia="Arial" w:hAnsi="Arial" w:cs="Arial"/>
      <w:sz w:val="21"/>
      <w:szCs w:val="21"/>
      <w:lang w:val="en-US"/>
    </w:rPr>
  </w:style>
  <w:style w:type="paragraph" w:styleId="ListParagraph">
    <w:name w:val="List Paragraph"/>
    <w:basedOn w:val="Normal"/>
    <w:uiPriority w:val="1"/>
    <w:qFormat/>
    <w:rsid w:val="00B82AD2"/>
    <w:pPr>
      <w:ind w:left="835" w:right="541"/>
      <w:jc w:val="both"/>
    </w:pPr>
  </w:style>
  <w:style w:type="paragraph" w:customStyle="1" w:styleId="TableParagraph">
    <w:name w:val="Table Paragraph"/>
    <w:basedOn w:val="Normal"/>
    <w:uiPriority w:val="1"/>
    <w:qFormat/>
    <w:rsid w:val="00B82AD2"/>
  </w:style>
  <w:style w:type="paragraph" w:styleId="FootnoteText">
    <w:name w:val="footnote text"/>
    <w:basedOn w:val="Normal"/>
    <w:link w:val="FootnoteTextChar"/>
    <w:uiPriority w:val="99"/>
    <w:semiHidden/>
    <w:unhideWhenUsed/>
    <w:rsid w:val="00F67F27"/>
    <w:rPr>
      <w:sz w:val="20"/>
      <w:szCs w:val="20"/>
    </w:rPr>
  </w:style>
  <w:style w:type="character" w:customStyle="1" w:styleId="FootnoteTextChar">
    <w:name w:val="Footnote Text Char"/>
    <w:basedOn w:val="DefaultParagraphFont"/>
    <w:link w:val="FootnoteText"/>
    <w:uiPriority w:val="99"/>
    <w:semiHidden/>
    <w:rsid w:val="00F67F27"/>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67F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46DC-9822-43DE-B7C1-713AC9200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373</Words>
  <Characters>2127</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Ashbourne</dc:creator>
  <cp:keywords/>
  <dc:description/>
  <cp:lastModifiedBy>Reading, Claire</cp:lastModifiedBy>
  <cp:revision>2</cp:revision>
  <dcterms:created xsi:type="dcterms:W3CDTF">2019-01-30T14:09:00Z</dcterms:created>
  <dcterms:modified xsi:type="dcterms:W3CDTF">2019-01-30T14:09:00Z</dcterms:modified>
</cp:coreProperties>
</file>