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B3824" w14:textId="103A79E1" w:rsidR="00943B60" w:rsidRDefault="00AF07EB" w:rsidP="00943B60">
      <w:pPr>
        <w:jc w:val="center"/>
      </w:pPr>
      <w:r>
        <w:rPr>
          <w:rFonts w:ascii="Calibri" w:eastAsia="Calibri" w:hAnsi="Calibri" w:cs="Calibri"/>
          <w:b/>
          <w:sz w:val="28"/>
          <w:szCs w:val="28"/>
        </w:rPr>
        <w:t>Tenant Fees</w:t>
      </w:r>
      <w:r w:rsidR="00466693">
        <w:rPr>
          <w:rFonts w:ascii="Calibri" w:eastAsia="Calibri" w:hAnsi="Calibri" w:cs="Calibri"/>
          <w:b/>
          <w:sz w:val="28"/>
          <w:szCs w:val="28"/>
        </w:rPr>
        <w:t xml:space="preserve"> Bill</w:t>
      </w:r>
      <w:r w:rsidR="00943B60">
        <w:rPr>
          <w:rFonts w:ascii="Calibri" w:eastAsia="Calibri" w:hAnsi="Calibri" w:cs="Calibri"/>
          <w:b/>
          <w:sz w:val="28"/>
          <w:szCs w:val="28"/>
        </w:rPr>
        <w:t xml:space="preserve"> – Analysis on the application of Standing Order No.</w:t>
      </w:r>
      <w:r w:rsidR="00FB1539">
        <w:rPr>
          <w:rFonts w:ascii="Calibri" w:eastAsia="Calibri" w:hAnsi="Calibri" w:cs="Calibri"/>
          <w:b/>
          <w:sz w:val="28"/>
          <w:szCs w:val="28"/>
        </w:rPr>
        <w:t xml:space="preserve">83O </w:t>
      </w:r>
      <w:r w:rsidR="00943B60">
        <w:rPr>
          <w:rFonts w:ascii="Calibri" w:eastAsia="Calibri" w:hAnsi="Calibri" w:cs="Calibri"/>
          <w:b/>
          <w:sz w:val="28"/>
          <w:szCs w:val="28"/>
        </w:rPr>
        <w:t xml:space="preserve">of the Standing Orders of the House of Commons relating to Public Business in respect of Government amendments </w:t>
      </w:r>
      <w:r w:rsidR="008D2EB3">
        <w:rPr>
          <w:rFonts w:ascii="Calibri" w:eastAsia="Calibri" w:hAnsi="Calibri" w:cs="Calibri"/>
          <w:b/>
          <w:sz w:val="28"/>
          <w:szCs w:val="28"/>
        </w:rPr>
        <w:t>made in the House of Lords</w:t>
      </w:r>
    </w:p>
    <w:p w14:paraId="7B957D83" w14:textId="77777777" w:rsidR="00FD1FB8" w:rsidRDefault="00FD1FB8" w:rsidP="00FD1FB8">
      <w:pPr>
        <w:jc w:val="center"/>
      </w:pPr>
    </w:p>
    <w:p w14:paraId="30FD12E3" w14:textId="77777777" w:rsidR="00466693" w:rsidRDefault="008D2EB3" w:rsidP="00FD1FB8">
      <w:pPr>
        <w:rPr>
          <w:b/>
          <w:i/>
          <w:sz w:val="24"/>
          <w:szCs w:val="24"/>
        </w:rPr>
      </w:pPr>
      <w:r>
        <w:rPr>
          <w:b/>
          <w:i/>
          <w:sz w:val="24"/>
          <w:szCs w:val="24"/>
        </w:rPr>
        <w:t>Commons consideration of Lords’</w:t>
      </w:r>
      <w:r w:rsidR="00943B60">
        <w:rPr>
          <w:b/>
          <w:i/>
          <w:sz w:val="24"/>
          <w:szCs w:val="24"/>
        </w:rPr>
        <w:t xml:space="preserve"> </w:t>
      </w:r>
      <w:r w:rsidR="00AF07EB">
        <w:rPr>
          <w:b/>
          <w:i/>
          <w:sz w:val="24"/>
          <w:szCs w:val="24"/>
        </w:rPr>
        <w:t>A</w:t>
      </w:r>
      <w:r w:rsidR="00943B60">
        <w:rPr>
          <w:b/>
          <w:i/>
          <w:sz w:val="24"/>
          <w:szCs w:val="24"/>
        </w:rPr>
        <w:t>mendments</w:t>
      </w:r>
      <w:r>
        <w:rPr>
          <w:b/>
          <w:i/>
          <w:sz w:val="24"/>
          <w:szCs w:val="24"/>
        </w:rPr>
        <w:t xml:space="preserve"> stage</w:t>
      </w:r>
    </w:p>
    <w:p w14:paraId="77CA5186" w14:textId="77777777" w:rsidR="00FD1FB8" w:rsidRDefault="00FD1FB8" w:rsidP="00FD1FB8">
      <w:r>
        <w:t xml:space="preserve"> </w:t>
      </w:r>
    </w:p>
    <w:p w14:paraId="27A67153" w14:textId="77777777" w:rsidR="00FD1FB8" w:rsidRDefault="00FD1FB8" w:rsidP="00FD1FB8">
      <w:r>
        <w:t xml:space="preserve">The following is the Department’s assessment of the Bill and </w:t>
      </w:r>
      <w:r w:rsidR="007F005A">
        <w:t xml:space="preserve">of </w:t>
      </w:r>
      <w:r>
        <w:t xml:space="preserve">Government </w:t>
      </w:r>
      <w:r w:rsidR="00AF07EB">
        <w:t>A</w:t>
      </w:r>
      <w:r>
        <w:t xml:space="preserve">mendments </w:t>
      </w:r>
      <w:r w:rsidR="008D2EB3">
        <w:t>made in the House of Lords for consideration by the House of Commons</w:t>
      </w:r>
      <w:r w:rsidR="00C77861">
        <w:t>.</w:t>
      </w:r>
    </w:p>
    <w:p w14:paraId="37564981" w14:textId="77777777" w:rsidR="00FD1FB8" w:rsidRDefault="00FD1FB8" w:rsidP="00FD1FB8"/>
    <w:p w14:paraId="044EB73A" w14:textId="6B54B5F1" w:rsidR="00FD1FB8" w:rsidRDefault="00FD1FB8" w:rsidP="00FD1FB8">
      <w:r>
        <w:rPr>
          <w:i/>
          <w:u w:val="single"/>
        </w:rPr>
        <w:t>Territorial application</w:t>
      </w:r>
    </w:p>
    <w:p w14:paraId="5AD7EBFC" w14:textId="77777777" w:rsidR="00FD1FB8" w:rsidRDefault="00FD1FB8" w:rsidP="00FD1FB8"/>
    <w:p w14:paraId="02675D63" w14:textId="2457EC5D" w:rsidR="00F40884" w:rsidRPr="00F40884" w:rsidRDefault="00F40884" w:rsidP="00F40884">
      <w:pPr>
        <w:pStyle w:val="ListParagraph"/>
        <w:numPr>
          <w:ilvl w:val="0"/>
          <w:numId w:val="9"/>
        </w:numPr>
        <w:ind w:left="360"/>
      </w:pPr>
      <w:r>
        <w:t>T</w:t>
      </w:r>
      <w:r w:rsidR="00FD1FB8">
        <w:t xml:space="preserve">he </w:t>
      </w:r>
      <w:r w:rsidR="006A1174">
        <w:t xml:space="preserve">Government </w:t>
      </w:r>
      <w:r w:rsidR="00FD1FB8" w:rsidRPr="00222054">
        <w:t>amendments</w:t>
      </w:r>
      <w:r w:rsidR="00FD1FB8">
        <w:t xml:space="preserve"> </w:t>
      </w:r>
      <w:r w:rsidR="00AA135A">
        <w:t xml:space="preserve">made </w:t>
      </w:r>
      <w:r w:rsidR="00FD1FB8">
        <w:t xml:space="preserve">at </w:t>
      </w:r>
      <w:r w:rsidR="00943B60">
        <w:t>Report</w:t>
      </w:r>
      <w:r w:rsidR="00FD1FB8">
        <w:t xml:space="preserve"> Stage </w:t>
      </w:r>
      <w:r w:rsidR="00AA135A">
        <w:t xml:space="preserve">in the House of Lords </w:t>
      </w:r>
      <w:r w:rsidR="00FD1FB8">
        <w:t>apply as follows</w:t>
      </w:r>
      <w:r w:rsidR="00FD1FB8" w:rsidRPr="00915E6B">
        <w:rPr>
          <w:b/>
        </w:rPr>
        <w:t>:</w:t>
      </w:r>
    </w:p>
    <w:p w14:paraId="107A17A6" w14:textId="4F71970E" w:rsidR="00466693" w:rsidRDefault="00F80527" w:rsidP="00915E6B">
      <w:pPr>
        <w:pStyle w:val="ListParagraph"/>
        <w:numPr>
          <w:ilvl w:val="0"/>
          <w:numId w:val="2"/>
        </w:numPr>
        <w:ind w:left="852"/>
      </w:pPr>
      <w:r>
        <w:t xml:space="preserve">Lords </w:t>
      </w:r>
      <w:r w:rsidR="00466693">
        <w:t xml:space="preserve">Amendments </w:t>
      </w:r>
      <w:r w:rsidR="00AF07EB">
        <w:t>1 to 4</w:t>
      </w:r>
      <w:r w:rsidR="00466693">
        <w:t xml:space="preserve"> amend Clause </w:t>
      </w:r>
      <w:r w:rsidR="00AF07EB">
        <w:t>1</w:t>
      </w:r>
      <w:r w:rsidR="00466693">
        <w:t xml:space="preserve"> which </w:t>
      </w:r>
      <w:r w:rsidR="00AF07EB">
        <w:t>extends to England and Wales and applies to England only</w:t>
      </w:r>
      <w:r w:rsidR="00E721EE">
        <w:t xml:space="preserve">. </w:t>
      </w:r>
      <w:r w:rsidR="009F6801">
        <w:t>Lords A</w:t>
      </w:r>
      <w:r w:rsidR="00E721EE">
        <w:t xml:space="preserve">mendments 3 and 4 apply to local authorities in Wales but the result of this is to exclude Welsh local authorities from the application of the Bill; </w:t>
      </w:r>
      <w:r w:rsidR="00466693">
        <w:t xml:space="preserve"> </w:t>
      </w:r>
    </w:p>
    <w:p w14:paraId="36E9FAFF" w14:textId="77777777" w:rsidR="008D2EB3" w:rsidRDefault="00F80527" w:rsidP="00915E6B">
      <w:pPr>
        <w:pStyle w:val="ListParagraph"/>
        <w:numPr>
          <w:ilvl w:val="0"/>
          <w:numId w:val="2"/>
        </w:numPr>
        <w:ind w:left="852"/>
      </w:pPr>
      <w:r>
        <w:t xml:space="preserve">Lords </w:t>
      </w:r>
      <w:r w:rsidR="00466693">
        <w:t xml:space="preserve">Amendments </w:t>
      </w:r>
      <w:r w:rsidR="008D2EB3">
        <w:t xml:space="preserve">5 </w:t>
      </w:r>
      <w:r w:rsidR="00AF07EB">
        <w:t>to 8</w:t>
      </w:r>
      <w:r w:rsidR="00466693">
        <w:t xml:space="preserve"> amend Clause </w:t>
      </w:r>
      <w:r w:rsidR="00AF07EB">
        <w:t>2</w:t>
      </w:r>
      <w:r w:rsidR="00466693">
        <w:t xml:space="preserve"> </w:t>
      </w:r>
      <w:r w:rsidR="00AF07EB">
        <w:t>which extends to England and Wales and applies to England only</w:t>
      </w:r>
      <w:r w:rsidR="008D2EB3">
        <w:t>;</w:t>
      </w:r>
    </w:p>
    <w:p w14:paraId="494ECB3F" w14:textId="77777777" w:rsidR="008D2EB3" w:rsidRDefault="00F80527" w:rsidP="00915E6B">
      <w:pPr>
        <w:pStyle w:val="ListParagraph"/>
        <w:numPr>
          <w:ilvl w:val="0"/>
          <w:numId w:val="2"/>
        </w:numPr>
        <w:ind w:left="852"/>
      </w:pPr>
      <w:r>
        <w:t xml:space="preserve">Lords </w:t>
      </w:r>
      <w:r w:rsidR="008D2EB3">
        <w:t xml:space="preserve">Amendments </w:t>
      </w:r>
      <w:r w:rsidR="00AF07EB">
        <w:t>9</w:t>
      </w:r>
      <w:r w:rsidR="008D2EB3">
        <w:t xml:space="preserve"> to </w:t>
      </w:r>
      <w:r w:rsidR="00AF07EB">
        <w:t>12</w:t>
      </w:r>
      <w:r w:rsidR="008D2EB3">
        <w:t xml:space="preserve"> amend Clause 4 </w:t>
      </w:r>
      <w:r w:rsidR="00AF07EB">
        <w:t>which extends to England and Wales and applies to England only</w:t>
      </w:r>
      <w:r w:rsidR="008D2EB3">
        <w:t>;</w:t>
      </w:r>
    </w:p>
    <w:p w14:paraId="6ED81C15" w14:textId="77777777" w:rsidR="008D2EB3" w:rsidRDefault="00F80527" w:rsidP="00915E6B">
      <w:pPr>
        <w:pStyle w:val="ListParagraph"/>
        <w:numPr>
          <w:ilvl w:val="0"/>
          <w:numId w:val="2"/>
        </w:numPr>
        <w:ind w:left="852"/>
      </w:pPr>
      <w:r>
        <w:t xml:space="preserve">Lords </w:t>
      </w:r>
      <w:r w:rsidR="008D2EB3">
        <w:t>Amendment</w:t>
      </w:r>
      <w:r w:rsidR="00AF07EB">
        <w:t xml:space="preserve"> 13</w:t>
      </w:r>
      <w:r w:rsidR="008D2EB3">
        <w:t xml:space="preserve"> </w:t>
      </w:r>
      <w:r w:rsidR="00AF07EB">
        <w:t>amends Clause 8</w:t>
      </w:r>
      <w:r w:rsidR="008D2EB3">
        <w:t xml:space="preserve"> </w:t>
      </w:r>
      <w:r w:rsidR="00AF07EB">
        <w:t>which extends to England and Wales and applies to England only</w:t>
      </w:r>
      <w:r w:rsidR="008D2EB3">
        <w:t>;</w:t>
      </w:r>
    </w:p>
    <w:p w14:paraId="73BA368E" w14:textId="77777777" w:rsidR="008D2EB3" w:rsidRDefault="00F80527" w:rsidP="00915E6B">
      <w:pPr>
        <w:pStyle w:val="ListParagraph"/>
        <w:numPr>
          <w:ilvl w:val="0"/>
          <w:numId w:val="2"/>
        </w:numPr>
        <w:ind w:left="852"/>
      </w:pPr>
      <w:r>
        <w:t xml:space="preserve">Lords </w:t>
      </w:r>
      <w:r w:rsidR="008D2EB3">
        <w:t xml:space="preserve">Amendments </w:t>
      </w:r>
      <w:r w:rsidR="00AF07EB">
        <w:t>14 amends</w:t>
      </w:r>
      <w:r w:rsidR="008D2EB3">
        <w:t xml:space="preserve"> Clause </w:t>
      </w:r>
      <w:r w:rsidR="00AF07EB">
        <w:t>10</w:t>
      </w:r>
      <w:r w:rsidR="008D2EB3">
        <w:t xml:space="preserve"> </w:t>
      </w:r>
      <w:r w:rsidR="00AF07EB">
        <w:t>which extends to England and Wales and applies to England only</w:t>
      </w:r>
      <w:r w:rsidR="008D2EB3">
        <w:t>;</w:t>
      </w:r>
    </w:p>
    <w:p w14:paraId="49CBD933" w14:textId="77777777" w:rsidR="00DE7B6A" w:rsidRDefault="00F80527" w:rsidP="00915E6B">
      <w:pPr>
        <w:pStyle w:val="ListParagraph"/>
        <w:numPr>
          <w:ilvl w:val="0"/>
          <w:numId w:val="2"/>
        </w:numPr>
        <w:ind w:left="852"/>
      </w:pPr>
      <w:r>
        <w:t xml:space="preserve">Lords </w:t>
      </w:r>
      <w:r w:rsidR="008D2EB3">
        <w:t xml:space="preserve">Amendments </w:t>
      </w:r>
      <w:r w:rsidR="00AF07EB">
        <w:t>15 to 20</w:t>
      </w:r>
      <w:r w:rsidR="00DE7B6A">
        <w:t xml:space="preserve"> </w:t>
      </w:r>
      <w:r w:rsidR="00AF07EB">
        <w:t>amend</w:t>
      </w:r>
      <w:r w:rsidR="00DE7B6A">
        <w:t xml:space="preserve"> Clause 1</w:t>
      </w:r>
      <w:r w:rsidR="00AF07EB">
        <w:t>1</w:t>
      </w:r>
      <w:r w:rsidR="00DE7B6A">
        <w:t xml:space="preserve"> </w:t>
      </w:r>
      <w:r w:rsidR="00AF07EB">
        <w:t>which extends to England and Wales and applies to England only</w:t>
      </w:r>
      <w:r w:rsidR="00DE7B6A">
        <w:t>;</w:t>
      </w:r>
    </w:p>
    <w:p w14:paraId="2C585DDC" w14:textId="77777777" w:rsidR="00DE7B6A" w:rsidRDefault="00F80527" w:rsidP="00915E6B">
      <w:pPr>
        <w:pStyle w:val="ListParagraph"/>
        <w:numPr>
          <w:ilvl w:val="0"/>
          <w:numId w:val="2"/>
        </w:numPr>
        <w:ind w:left="852"/>
      </w:pPr>
      <w:r>
        <w:t xml:space="preserve">Lords </w:t>
      </w:r>
      <w:r w:rsidR="00DE7B6A">
        <w:t xml:space="preserve">Amendment </w:t>
      </w:r>
      <w:r w:rsidR="008F2786">
        <w:t>2</w:t>
      </w:r>
      <w:r w:rsidR="00AF07EB">
        <w:t>1</w:t>
      </w:r>
      <w:r w:rsidR="00DE7B6A">
        <w:t xml:space="preserve"> amends Clause </w:t>
      </w:r>
      <w:r w:rsidR="00AF07EB">
        <w:t>2</w:t>
      </w:r>
      <w:r w:rsidR="00DE7B6A">
        <w:t xml:space="preserve">1 </w:t>
      </w:r>
      <w:r w:rsidR="00AF07EB">
        <w:t>which extends to England and Wales and applies to England only</w:t>
      </w:r>
      <w:r w:rsidR="00DE7B6A">
        <w:t>;</w:t>
      </w:r>
    </w:p>
    <w:p w14:paraId="55157CB7" w14:textId="647B7F6D" w:rsidR="001354D6" w:rsidRDefault="00F80527" w:rsidP="00915E6B">
      <w:pPr>
        <w:pStyle w:val="ListParagraph"/>
        <w:numPr>
          <w:ilvl w:val="0"/>
          <w:numId w:val="2"/>
        </w:numPr>
        <w:ind w:left="852"/>
      </w:pPr>
      <w:r>
        <w:t xml:space="preserve">Lords </w:t>
      </w:r>
      <w:r w:rsidR="00DE7B6A">
        <w:t>Amendments 2</w:t>
      </w:r>
      <w:r w:rsidR="00AF07EB">
        <w:t xml:space="preserve">2 and 23 insert two new clauses after Clause 21 regarding client money protection legislation which will both </w:t>
      </w:r>
      <w:r w:rsidR="009F680F">
        <w:t>extend t</w:t>
      </w:r>
      <w:r w:rsidR="00AF07EB">
        <w:t xml:space="preserve">o England and Wales and </w:t>
      </w:r>
      <w:r w:rsidR="009F680F">
        <w:t>apply</w:t>
      </w:r>
      <w:r w:rsidR="00AF07EB">
        <w:t xml:space="preserve"> to England only</w:t>
      </w:r>
      <w:r w:rsidR="001354D6">
        <w:t>;</w:t>
      </w:r>
    </w:p>
    <w:p w14:paraId="345E505F" w14:textId="77777777" w:rsidR="001354D6" w:rsidRDefault="00F80527" w:rsidP="00915E6B">
      <w:pPr>
        <w:pStyle w:val="ListParagraph"/>
        <w:numPr>
          <w:ilvl w:val="0"/>
          <w:numId w:val="2"/>
        </w:numPr>
        <w:ind w:left="852"/>
      </w:pPr>
      <w:r>
        <w:t xml:space="preserve">Lords </w:t>
      </w:r>
      <w:r w:rsidR="001354D6">
        <w:t xml:space="preserve">Amendments </w:t>
      </w:r>
      <w:r w:rsidR="00AF07EB">
        <w:t>24 to 26</w:t>
      </w:r>
      <w:r w:rsidR="001354D6">
        <w:t xml:space="preserve"> amend Clause </w:t>
      </w:r>
      <w:r w:rsidR="00AF07EB">
        <w:t>2</w:t>
      </w:r>
      <w:r w:rsidR="001354D6">
        <w:t xml:space="preserve">6 </w:t>
      </w:r>
      <w:r w:rsidR="00AF07EB">
        <w:t>which extends to England and Wales and applies to England only</w:t>
      </w:r>
      <w:r w:rsidR="001354D6">
        <w:t>;</w:t>
      </w:r>
    </w:p>
    <w:p w14:paraId="213E28D3" w14:textId="77777777" w:rsidR="001354D6" w:rsidRDefault="00F80527" w:rsidP="00915E6B">
      <w:pPr>
        <w:pStyle w:val="ListParagraph"/>
        <w:numPr>
          <w:ilvl w:val="0"/>
          <w:numId w:val="2"/>
        </w:numPr>
        <w:ind w:left="852"/>
      </w:pPr>
      <w:r>
        <w:t xml:space="preserve">Lords </w:t>
      </w:r>
      <w:r w:rsidR="001354D6">
        <w:t>Amendment 2</w:t>
      </w:r>
      <w:r w:rsidR="00AF07EB">
        <w:t>7 amends Clause 27</w:t>
      </w:r>
      <w:r w:rsidR="001354D6">
        <w:t xml:space="preserve"> </w:t>
      </w:r>
      <w:r w:rsidR="00AF07EB">
        <w:t>which extends to England and Wales and applies to England only</w:t>
      </w:r>
      <w:r w:rsidR="001354D6">
        <w:t>;</w:t>
      </w:r>
    </w:p>
    <w:p w14:paraId="68B0F819" w14:textId="34EBC551" w:rsidR="001354D6" w:rsidRDefault="00F80527" w:rsidP="00915E6B">
      <w:pPr>
        <w:pStyle w:val="ListParagraph"/>
        <w:numPr>
          <w:ilvl w:val="0"/>
          <w:numId w:val="2"/>
        </w:numPr>
        <w:ind w:left="852"/>
      </w:pPr>
      <w:r>
        <w:t xml:space="preserve">Lords </w:t>
      </w:r>
      <w:r w:rsidR="008F2786">
        <w:t xml:space="preserve">Amendments </w:t>
      </w:r>
      <w:r w:rsidR="00AF07EB">
        <w:t>28 to 35</w:t>
      </w:r>
      <w:r w:rsidR="001354D6">
        <w:t xml:space="preserve"> amend</w:t>
      </w:r>
      <w:r w:rsidR="007D6570">
        <w:t>s</w:t>
      </w:r>
      <w:r w:rsidR="001354D6">
        <w:t xml:space="preserve"> Clause </w:t>
      </w:r>
      <w:r w:rsidR="00AF07EB">
        <w:t>2</w:t>
      </w:r>
      <w:r w:rsidR="001354D6">
        <w:t xml:space="preserve">8 </w:t>
      </w:r>
      <w:r w:rsidR="00AF07EB">
        <w:t xml:space="preserve">which </w:t>
      </w:r>
      <w:r w:rsidR="007D6570">
        <w:t xml:space="preserve">primarily </w:t>
      </w:r>
      <w:r w:rsidR="00AF07EB">
        <w:t>extends to England</w:t>
      </w:r>
      <w:r w:rsidR="007D6570">
        <w:t xml:space="preserve"> and Wales</w:t>
      </w:r>
      <w:r w:rsidR="00AF07EB">
        <w:t xml:space="preserve"> and applies to England only</w:t>
      </w:r>
      <w:r w:rsidR="007D6570">
        <w:t xml:space="preserve"> although subsection 12 extends to England, Wales, Scotland and Northern Ireland </w:t>
      </w:r>
      <w:r w:rsidR="00B82DDD">
        <w:t>but</w:t>
      </w:r>
      <w:r w:rsidR="007D6570">
        <w:t xml:space="preserve"> applies to England only.</w:t>
      </w:r>
    </w:p>
    <w:p w14:paraId="682AC1ED" w14:textId="77777777" w:rsidR="001354D6" w:rsidRDefault="00F80527" w:rsidP="00915E6B">
      <w:pPr>
        <w:pStyle w:val="ListParagraph"/>
        <w:numPr>
          <w:ilvl w:val="0"/>
          <w:numId w:val="2"/>
        </w:numPr>
        <w:ind w:left="852"/>
      </w:pPr>
      <w:r>
        <w:t xml:space="preserve">Lords </w:t>
      </w:r>
      <w:r w:rsidR="008F2786">
        <w:t xml:space="preserve">Amendments </w:t>
      </w:r>
      <w:r w:rsidR="00AF07EB">
        <w:t>36 to 50 amend Schedule 1 which extends to England and Wales and applies to England</w:t>
      </w:r>
      <w:r w:rsidR="004A4669">
        <w:t>;</w:t>
      </w:r>
    </w:p>
    <w:p w14:paraId="4B5EA20D" w14:textId="77777777" w:rsidR="001354D6" w:rsidRDefault="00F80527" w:rsidP="00F531AD">
      <w:pPr>
        <w:pStyle w:val="ListParagraph"/>
        <w:numPr>
          <w:ilvl w:val="0"/>
          <w:numId w:val="2"/>
        </w:numPr>
        <w:ind w:left="852"/>
      </w:pPr>
      <w:r>
        <w:t xml:space="preserve">Lords </w:t>
      </w:r>
      <w:r w:rsidR="008F2786">
        <w:t xml:space="preserve">Amendments </w:t>
      </w:r>
      <w:r w:rsidR="00AF07EB">
        <w:t>51 to</w:t>
      </w:r>
      <w:r w:rsidR="001354D6">
        <w:t xml:space="preserve"> </w:t>
      </w:r>
      <w:r w:rsidR="00AF07EB">
        <w:t xml:space="preserve">60 </w:t>
      </w:r>
      <w:r w:rsidR="001354D6">
        <w:t xml:space="preserve">amend </w:t>
      </w:r>
      <w:r w:rsidR="00AF07EB">
        <w:t>Schedule 2 which extends to England and Wales and applies to England only.</w:t>
      </w:r>
    </w:p>
    <w:p w14:paraId="087B975B" w14:textId="30D03F5A" w:rsidR="00684C61" w:rsidRDefault="00684C61" w:rsidP="00F40884"/>
    <w:p w14:paraId="16EB8B1D" w14:textId="2C6AE0F8" w:rsidR="00171B6E" w:rsidRDefault="00652124" w:rsidP="00F40884">
      <w:pPr>
        <w:pStyle w:val="ListParagraph"/>
        <w:numPr>
          <w:ilvl w:val="0"/>
          <w:numId w:val="9"/>
        </w:numPr>
        <w:ind w:left="360"/>
      </w:pPr>
      <w:r>
        <w:t xml:space="preserve">The above clause numbers are those included in the Bill as introduced into the Lords. </w:t>
      </w:r>
      <w:r w:rsidR="00B02D00">
        <w:t xml:space="preserve">The Lords </w:t>
      </w:r>
      <w:r w:rsidR="00F80527">
        <w:t xml:space="preserve">Amendments </w:t>
      </w:r>
      <w:r w:rsidR="00B02D00">
        <w:t>can be summarised as follows:</w:t>
      </w:r>
    </w:p>
    <w:p w14:paraId="34ED115A" w14:textId="77777777" w:rsidR="00171B6E" w:rsidRDefault="00171B6E" w:rsidP="005926EA">
      <w:pPr>
        <w:pStyle w:val="NoSpacing"/>
      </w:pPr>
    </w:p>
    <w:p w14:paraId="422DB26F" w14:textId="57FE6119" w:rsidR="00171B6E" w:rsidRPr="00820CAD" w:rsidRDefault="00C27EFA" w:rsidP="00C83588">
      <w:pPr>
        <w:pStyle w:val="NoSpacing"/>
        <w:numPr>
          <w:ilvl w:val="0"/>
          <w:numId w:val="13"/>
        </w:numPr>
      </w:pPr>
      <w:r w:rsidRPr="008E2983">
        <w:t>Lords Amendments 1</w:t>
      </w:r>
      <w:r w:rsidR="00AE3B96" w:rsidRPr="008E2983">
        <w:t>, 2</w:t>
      </w:r>
      <w:r w:rsidR="00471AFB" w:rsidRPr="008E2983">
        <w:t xml:space="preserve">, </w:t>
      </w:r>
      <w:r w:rsidR="00004A3F" w:rsidRPr="008E2983">
        <w:t xml:space="preserve">6 to </w:t>
      </w:r>
      <w:r w:rsidR="00AE3B96" w:rsidRPr="008E2983">
        <w:t>12</w:t>
      </w:r>
      <w:r w:rsidR="008E2983" w:rsidRPr="008E2983">
        <w:t xml:space="preserve"> and </w:t>
      </w:r>
      <w:r w:rsidR="00C364E8" w:rsidRPr="008E2983">
        <w:t>28 to 35</w:t>
      </w:r>
      <w:r w:rsidR="000B0555" w:rsidRPr="008E2983">
        <w:t xml:space="preserve"> </w:t>
      </w:r>
      <w:r w:rsidR="008E2983">
        <w:t>would replace</w:t>
      </w:r>
      <w:r w:rsidR="008E2983" w:rsidRPr="008E2983">
        <w:t xml:space="preserve"> references to tenant with a reference to relevant person</w:t>
      </w:r>
      <w:r w:rsidR="000B0555" w:rsidRPr="008E2983">
        <w:t>.</w:t>
      </w:r>
      <w:r w:rsidR="00171B6E" w:rsidRPr="008E2983">
        <w:t xml:space="preserve"> </w:t>
      </w:r>
    </w:p>
    <w:p w14:paraId="2F2ADF0E" w14:textId="77777777" w:rsidR="00820CAD" w:rsidRPr="00820CAD" w:rsidRDefault="00820CAD" w:rsidP="00820CAD">
      <w:pPr>
        <w:pStyle w:val="NoSpacing"/>
        <w:ind w:left="720"/>
      </w:pPr>
    </w:p>
    <w:p w14:paraId="54BBB413" w14:textId="28C1CCF0" w:rsidR="00820CAD" w:rsidRDefault="00820CAD" w:rsidP="00C83588">
      <w:pPr>
        <w:pStyle w:val="NoSpacing"/>
        <w:numPr>
          <w:ilvl w:val="0"/>
          <w:numId w:val="13"/>
        </w:numPr>
      </w:pPr>
      <w:r>
        <w:t>Lords Amendments 3 and 4</w:t>
      </w:r>
      <w:r w:rsidR="00DA0B94" w:rsidRPr="00DA0B94">
        <w:t xml:space="preserve"> </w:t>
      </w:r>
      <w:r w:rsidR="00DA0B94">
        <w:t xml:space="preserve">would </w:t>
      </w:r>
      <w:r w:rsidR="00DA0B94" w:rsidRPr="00265FC9">
        <w:t>exclude local housing authorities</w:t>
      </w:r>
      <w:r w:rsidR="00DA0B94">
        <w:t xml:space="preserve">, the Greater London Authority </w:t>
      </w:r>
      <w:r w:rsidR="00DA0B94" w:rsidRPr="00265FC9">
        <w:t xml:space="preserve">or organisations acting on </w:t>
      </w:r>
      <w:r w:rsidR="00DA0B94">
        <w:t xml:space="preserve">their </w:t>
      </w:r>
      <w:r w:rsidR="00DA0B94" w:rsidRPr="00265FC9">
        <w:t xml:space="preserve">behalf from the definition of relevant person under the Act. </w:t>
      </w:r>
    </w:p>
    <w:p w14:paraId="1CF84988" w14:textId="77777777" w:rsidR="00171B6E" w:rsidRDefault="00171B6E" w:rsidP="00A9258A">
      <w:pPr>
        <w:pStyle w:val="NoSpacing"/>
      </w:pPr>
    </w:p>
    <w:p w14:paraId="7A06816E" w14:textId="3A37AEC6" w:rsidR="005926EA" w:rsidRDefault="00E25F29" w:rsidP="005926EA">
      <w:pPr>
        <w:pStyle w:val="NoSpacing"/>
        <w:numPr>
          <w:ilvl w:val="0"/>
          <w:numId w:val="13"/>
        </w:numPr>
      </w:pPr>
      <w:r>
        <w:t xml:space="preserve">Lords Amendment 5 would clarify that letting agents are prohibited from requiring a tenant or other relevant person from entering into a contract with themselves </w:t>
      </w:r>
      <w:r w:rsidR="00F84738">
        <w:t>in connection</w:t>
      </w:r>
      <w:r>
        <w:t xml:space="preserve"> with a tenancy of housing in England.</w:t>
      </w:r>
    </w:p>
    <w:p w14:paraId="02BDD81A" w14:textId="77777777" w:rsidR="00A9258A" w:rsidRDefault="00A9258A" w:rsidP="00A9258A">
      <w:pPr>
        <w:pStyle w:val="NoSpacing"/>
      </w:pPr>
    </w:p>
    <w:p w14:paraId="3046ED6B" w14:textId="1E9F2541" w:rsidR="00B77E2D" w:rsidRDefault="00E25F29" w:rsidP="00864629">
      <w:pPr>
        <w:pStyle w:val="NoSpacing"/>
        <w:numPr>
          <w:ilvl w:val="0"/>
          <w:numId w:val="13"/>
        </w:numPr>
      </w:pPr>
      <w:r>
        <w:t>Lords Amendment</w:t>
      </w:r>
      <w:r w:rsidR="001871A8">
        <w:t xml:space="preserve">s </w:t>
      </w:r>
      <w:r w:rsidR="001C3084">
        <w:t>13, 14,</w:t>
      </w:r>
      <w:r w:rsidR="00710BE6">
        <w:t xml:space="preserve"> </w:t>
      </w:r>
      <w:r w:rsidR="00DB2A1A">
        <w:t>19,</w:t>
      </w:r>
      <w:r w:rsidR="00730886">
        <w:t xml:space="preserve"> </w:t>
      </w:r>
      <w:r w:rsidR="00DB2A1A">
        <w:t>20,</w:t>
      </w:r>
      <w:r w:rsidR="00730886">
        <w:t xml:space="preserve"> 38 to 41, </w:t>
      </w:r>
      <w:r w:rsidR="004D191E">
        <w:t>5</w:t>
      </w:r>
      <w:r w:rsidR="00620573">
        <w:t>0</w:t>
      </w:r>
      <w:r w:rsidR="004D191E">
        <w:t xml:space="preserve"> to </w:t>
      </w:r>
      <w:r w:rsidR="001871A8">
        <w:t>5</w:t>
      </w:r>
      <w:r w:rsidR="00620573">
        <w:t xml:space="preserve">4 </w:t>
      </w:r>
      <w:r w:rsidR="00D651CE">
        <w:t xml:space="preserve">and 56 to 59 </w:t>
      </w:r>
      <w:r w:rsidR="009E39A7">
        <w:t xml:space="preserve">relate </w:t>
      </w:r>
      <w:r w:rsidR="00620573">
        <w:t xml:space="preserve">to holding deposits. Amendments </w:t>
      </w:r>
      <w:r w:rsidR="00B1198B">
        <w:t xml:space="preserve">19, 20 and 54 </w:t>
      </w:r>
      <w:r>
        <w:t xml:space="preserve">would </w:t>
      </w:r>
      <w:r w:rsidR="00B77E2D" w:rsidRPr="00D04082">
        <w:rPr>
          <w:szCs w:val="24"/>
        </w:rPr>
        <w:t>introduce</w:t>
      </w:r>
      <w:r w:rsidR="00B77E2D">
        <w:rPr>
          <w:szCs w:val="24"/>
        </w:rPr>
        <w:t xml:space="preserve"> </w:t>
      </w:r>
      <w:r w:rsidR="00B77E2D" w:rsidRPr="00D04082">
        <w:rPr>
          <w:szCs w:val="24"/>
        </w:rPr>
        <w:t>a formal requirement for landlords and agents to set out in writing why they are retaining a deposit</w:t>
      </w:r>
      <w:r>
        <w:t>.</w:t>
      </w:r>
      <w:r w:rsidR="001B2D13">
        <w:t xml:space="preserve"> Lords Amendments </w:t>
      </w:r>
      <w:r w:rsidR="00E91DC8">
        <w:t xml:space="preserve">38 to 41 would ensure </w:t>
      </w:r>
      <w:r w:rsidR="00B77E2D" w:rsidRPr="00864629">
        <w:rPr>
          <w:szCs w:val="24"/>
        </w:rPr>
        <w:t>that a landlord or agent can only take one holding deposit at any one time for a property</w:t>
      </w:r>
      <w:r w:rsidR="00785D0C">
        <w:rPr>
          <w:szCs w:val="24"/>
        </w:rPr>
        <w:t xml:space="preserve"> unless permitted to retain an earlier deposit</w:t>
      </w:r>
      <w:r w:rsidR="00B77E2D" w:rsidRPr="00864629">
        <w:rPr>
          <w:szCs w:val="24"/>
        </w:rPr>
        <w:t xml:space="preserve">. </w:t>
      </w:r>
      <w:r w:rsidR="00FB2593">
        <w:t>Lords Amendments 50 to 53</w:t>
      </w:r>
      <w:r w:rsidR="00FB2593" w:rsidRPr="00D04082">
        <w:t xml:space="preserve"> </w:t>
      </w:r>
      <w:r w:rsidR="00FB2593">
        <w:t xml:space="preserve">would ensure </w:t>
      </w:r>
      <w:r w:rsidR="00FB2593" w:rsidRPr="00D04082">
        <w:t xml:space="preserve">that a tenant always receives their holding deposit back when a tenancy agreement is </w:t>
      </w:r>
      <w:proofErr w:type="gramStart"/>
      <w:r w:rsidR="00FB2593" w:rsidRPr="00D04082">
        <w:t>entered into</w:t>
      </w:r>
      <w:proofErr w:type="gramEnd"/>
      <w:r w:rsidR="00FB2593">
        <w:t xml:space="preserve">. </w:t>
      </w:r>
      <w:r w:rsidR="00864629">
        <w:rPr>
          <w:szCs w:val="24"/>
        </w:rPr>
        <w:t xml:space="preserve">Lords Amendments </w:t>
      </w:r>
      <w:r w:rsidR="00D651CE">
        <w:rPr>
          <w:szCs w:val="24"/>
        </w:rPr>
        <w:t>56 to 59</w:t>
      </w:r>
      <w:r w:rsidR="00D92D58">
        <w:rPr>
          <w:szCs w:val="24"/>
        </w:rPr>
        <w:t xml:space="preserve"> </w:t>
      </w:r>
      <w:r w:rsidR="002F73ED">
        <w:rPr>
          <w:szCs w:val="24"/>
        </w:rPr>
        <w:t xml:space="preserve">would </w:t>
      </w:r>
      <w:r w:rsidR="00B77E2D" w:rsidRPr="00864629">
        <w:rPr>
          <w:iCs/>
        </w:rPr>
        <w:t>clarifi</w:t>
      </w:r>
      <w:r w:rsidR="002F73ED">
        <w:rPr>
          <w:iCs/>
        </w:rPr>
        <w:t>y</w:t>
      </w:r>
      <w:r w:rsidR="00B77E2D" w:rsidRPr="00864629">
        <w:rPr>
          <w:iCs/>
        </w:rPr>
        <w:t xml:space="preserve"> that </w:t>
      </w:r>
      <w:r w:rsidR="002F73ED">
        <w:rPr>
          <w:iCs/>
        </w:rPr>
        <w:t>a</w:t>
      </w:r>
      <w:r w:rsidR="00B77E2D" w:rsidRPr="00864629">
        <w:rPr>
          <w:iCs/>
        </w:rPr>
        <w:t xml:space="preserve"> holding deposit must be refunded if the landlord or agent imposes a requirement </w:t>
      </w:r>
      <w:r w:rsidR="00785D0C">
        <w:rPr>
          <w:iCs/>
        </w:rPr>
        <w:t xml:space="preserve">on a tenant or relevant person </w:t>
      </w:r>
      <w:r w:rsidR="007D6570" w:rsidRPr="00864629">
        <w:rPr>
          <w:iCs/>
        </w:rPr>
        <w:t xml:space="preserve">that breaches the ban </w:t>
      </w:r>
      <w:r w:rsidR="00B77E2D" w:rsidRPr="00864629">
        <w:rPr>
          <w:iCs/>
        </w:rPr>
        <w:t>or behaves in an unreasonable manner such that it would be unreasonable to expect the tenant to enter the tenancy</w:t>
      </w:r>
      <w:r w:rsidR="0025614D">
        <w:rPr>
          <w:iCs/>
        </w:rPr>
        <w:t>.</w:t>
      </w:r>
      <w:r w:rsidR="003E051C">
        <w:rPr>
          <w:iCs/>
        </w:rPr>
        <w:t xml:space="preserve"> </w:t>
      </w:r>
    </w:p>
    <w:p w14:paraId="78A9E4D1" w14:textId="77777777" w:rsidR="006937EA" w:rsidRDefault="006937EA" w:rsidP="00490271"/>
    <w:p w14:paraId="2B97C694" w14:textId="543D14C6" w:rsidR="006937EA" w:rsidRDefault="006937EA" w:rsidP="005926EA">
      <w:pPr>
        <w:pStyle w:val="NoSpacing"/>
        <w:numPr>
          <w:ilvl w:val="0"/>
          <w:numId w:val="13"/>
        </w:numPr>
      </w:pPr>
      <w:r>
        <w:t xml:space="preserve">Lords Amendments 15 to 18 would ensure the language in clause 11 is consistent and that all references to the date from which interest is paid refer instead to the day from which </w:t>
      </w:r>
      <w:r w:rsidR="00B1198B">
        <w:t>interest is paid.</w:t>
      </w:r>
    </w:p>
    <w:p w14:paraId="6FB09D64" w14:textId="77777777" w:rsidR="00BD166A" w:rsidRDefault="00BD166A" w:rsidP="00BD166A">
      <w:pPr>
        <w:pStyle w:val="NoSpacing"/>
      </w:pPr>
    </w:p>
    <w:p w14:paraId="137A1309" w14:textId="57C340C9" w:rsidR="00602D24" w:rsidRPr="00602D24" w:rsidRDefault="00602D24" w:rsidP="00B82DDD">
      <w:pPr>
        <w:pStyle w:val="ListParagraph"/>
        <w:numPr>
          <w:ilvl w:val="0"/>
          <w:numId w:val="13"/>
        </w:numPr>
        <w:spacing w:line="240" w:lineRule="auto"/>
        <w:rPr>
          <w:rFonts w:ascii="Calibri" w:eastAsiaTheme="minorHAnsi" w:hAnsi="Calibri" w:cs="Calibri"/>
          <w:color w:val="auto"/>
        </w:rPr>
      </w:pPr>
      <w:r>
        <w:t xml:space="preserve">Lords Amendments 21 to 23 and 27 would amend client money protection legislation. </w:t>
      </w:r>
      <w:r w:rsidRPr="00B82DDD">
        <w:rPr>
          <w:color w:val="auto"/>
        </w:rPr>
        <w:t xml:space="preserve">Amendment 21 includes a new enabling power </w:t>
      </w:r>
      <w:r w:rsidR="00B82DDD" w:rsidRPr="00B82DDD">
        <w:rPr>
          <w:color w:val="auto"/>
        </w:rPr>
        <w:t>to</w:t>
      </w:r>
      <w:r w:rsidRPr="00B82DDD">
        <w:rPr>
          <w:color w:val="auto"/>
        </w:rPr>
        <w:t xml:space="preserve"> confer a discretion on the </w:t>
      </w:r>
      <w:r w:rsidR="00B82DDD">
        <w:rPr>
          <w:color w:val="auto"/>
        </w:rPr>
        <w:t>Secretary of State</w:t>
      </w:r>
      <w:r w:rsidRPr="00B82DDD">
        <w:rPr>
          <w:color w:val="auto"/>
        </w:rPr>
        <w:t xml:space="preserve"> in the approval or designation of a </w:t>
      </w:r>
      <w:r w:rsidR="00B82DDD" w:rsidRPr="00B82DDD">
        <w:rPr>
          <w:color w:val="auto"/>
        </w:rPr>
        <w:t>client money protection scheme</w:t>
      </w:r>
      <w:r w:rsidRPr="00B82DDD">
        <w:rPr>
          <w:color w:val="auto"/>
        </w:rPr>
        <w:t xml:space="preserve">. </w:t>
      </w:r>
      <w:r w:rsidR="00B82DDD" w:rsidRPr="00B82DDD">
        <w:rPr>
          <w:color w:val="auto"/>
        </w:rPr>
        <w:t>Amendments 22 and 23 would clarify</w:t>
      </w:r>
      <w:r w:rsidRPr="00B82DDD">
        <w:rPr>
          <w:color w:val="auto"/>
        </w:rPr>
        <w:t xml:space="preserve"> that the definition of client money does not include any money that has already been protected through a Government approved tenancy deposit scheme</w:t>
      </w:r>
      <w:r w:rsidR="00B82DDD" w:rsidRPr="00B82DDD">
        <w:rPr>
          <w:color w:val="auto"/>
        </w:rPr>
        <w:t>, would allow</w:t>
      </w:r>
      <w:r w:rsidRPr="00B82DDD">
        <w:rPr>
          <w:color w:val="auto"/>
        </w:rPr>
        <w:t xml:space="preserve"> schemes to set limits per individual claimant and in aggregate up to such an amount that the Secretary of State considers appropriate and </w:t>
      </w:r>
      <w:r w:rsidR="00B82DDD" w:rsidRPr="00B82DDD">
        <w:rPr>
          <w:color w:val="auto"/>
        </w:rPr>
        <w:t>would allow</w:t>
      </w:r>
      <w:r w:rsidRPr="00B82DDD">
        <w:rPr>
          <w:color w:val="auto"/>
        </w:rPr>
        <w:t xml:space="preserve"> for </w:t>
      </w:r>
      <w:r w:rsidR="009F6801">
        <w:rPr>
          <w:color w:val="auto"/>
        </w:rPr>
        <w:t xml:space="preserve">the </w:t>
      </w:r>
      <w:r w:rsidRPr="00B82DDD">
        <w:rPr>
          <w:color w:val="auto"/>
        </w:rPr>
        <w:t>exclusion of risks</w:t>
      </w:r>
      <w:r w:rsidR="00B82DDD">
        <w:rPr>
          <w:color w:val="auto"/>
        </w:rPr>
        <w:t>.</w:t>
      </w:r>
    </w:p>
    <w:p w14:paraId="4506B8BA" w14:textId="77777777" w:rsidR="00BD166A" w:rsidRDefault="00BD166A" w:rsidP="00BD166A">
      <w:pPr>
        <w:pStyle w:val="NoSpacing"/>
      </w:pPr>
    </w:p>
    <w:p w14:paraId="7203F5F6" w14:textId="0EE03A76" w:rsidR="008B480F" w:rsidRDefault="00E25F29" w:rsidP="00F13EED">
      <w:pPr>
        <w:pStyle w:val="NoSpacing"/>
        <w:numPr>
          <w:ilvl w:val="0"/>
          <w:numId w:val="13"/>
        </w:numPr>
      </w:pPr>
      <w:r>
        <w:t>Lords Amendment</w:t>
      </w:r>
      <w:r w:rsidR="00586A54">
        <w:t>s</w:t>
      </w:r>
      <w:r>
        <w:t xml:space="preserve"> 24</w:t>
      </w:r>
      <w:r w:rsidR="00586A54">
        <w:t xml:space="preserve"> to 26</w:t>
      </w:r>
      <w:r>
        <w:t xml:space="preserve"> would exclude certain licences to occupy housing from the Bill</w:t>
      </w:r>
      <w:r w:rsidR="00586A54">
        <w:t xml:space="preserve"> </w:t>
      </w:r>
      <w:r>
        <w:t>where particular conditions surrounding the grant, renewal and continuation of that licence are met. These conditions would include a requirement for a charity or a community interest company to give advice or assistance to the licensee or licensor in connection with the grant, renewal, or continuation of the license and where the only consideration provided by the licensee is companionship or companionship and care or assistance, together with one or more payments in respect of council tax or utilities</w:t>
      </w:r>
      <w:r w:rsidR="00F13EED">
        <w:t>.</w:t>
      </w:r>
    </w:p>
    <w:p w14:paraId="4B2F7E02" w14:textId="77777777" w:rsidR="00F13EED" w:rsidRDefault="00F13EED" w:rsidP="00F13EED">
      <w:pPr>
        <w:pStyle w:val="NoSpacing"/>
      </w:pPr>
    </w:p>
    <w:p w14:paraId="0732C913" w14:textId="27FB21C5" w:rsidR="00490271" w:rsidRDefault="00E25F29" w:rsidP="005926EA">
      <w:pPr>
        <w:pStyle w:val="NoSpacing"/>
        <w:numPr>
          <w:ilvl w:val="0"/>
          <w:numId w:val="13"/>
        </w:numPr>
      </w:pPr>
      <w:r>
        <w:t xml:space="preserve">Lords Amendments 36 and 37 would </w:t>
      </w:r>
      <w:r w:rsidR="003A4CF2">
        <w:t xml:space="preserve">lower </w:t>
      </w:r>
      <w:bookmarkStart w:id="0" w:name="_Hlk534966727"/>
      <w:r>
        <w:t>the maximum amount of tenancy deposit that could be requested for properties</w:t>
      </w:r>
      <w:bookmarkEnd w:id="0"/>
      <w:r>
        <w:t xml:space="preserve"> with an annual rent of less than £50,000 </w:t>
      </w:r>
      <w:r w:rsidR="003A4CF2">
        <w:t>from six weeks’ rent to</w:t>
      </w:r>
      <w:r>
        <w:t xml:space="preserve"> five weeks' rent</w:t>
      </w:r>
      <w:r w:rsidR="007D6570">
        <w:t>. W</w:t>
      </w:r>
      <w:r w:rsidR="00785D0C">
        <w:t>here the annual rent is £50,000 or more</w:t>
      </w:r>
      <w:r w:rsidR="00A070D4">
        <w:t xml:space="preserve"> </w:t>
      </w:r>
      <w:r w:rsidR="00A070D4" w:rsidRPr="00A070D4">
        <w:t xml:space="preserve">the maximum amount of tenancy deposit that could be requested </w:t>
      </w:r>
      <w:r w:rsidR="00A070D4">
        <w:t xml:space="preserve">would </w:t>
      </w:r>
      <w:r w:rsidR="007D6570">
        <w:t>remain</w:t>
      </w:r>
      <w:r w:rsidR="00A070D4">
        <w:t xml:space="preserve"> six weeks’ rent</w:t>
      </w:r>
      <w:r>
        <w:t xml:space="preserve">. </w:t>
      </w:r>
    </w:p>
    <w:p w14:paraId="42588AEF" w14:textId="77777777" w:rsidR="00490271" w:rsidRDefault="00490271" w:rsidP="00490271">
      <w:pPr>
        <w:pStyle w:val="ListParagraph"/>
      </w:pPr>
    </w:p>
    <w:p w14:paraId="6D04315A" w14:textId="468001A2" w:rsidR="00D11EA0" w:rsidRDefault="00E25F29" w:rsidP="00D11EA0">
      <w:pPr>
        <w:pStyle w:val="NoSpacing"/>
        <w:numPr>
          <w:ilvl w:val="0"/>
          <w:numId w:val="13"/>
        </w:numPr>
      </w:pPr>
      <w:r>
        <w:t>Lords Amendments 42 to 47</w:t>
      </w:r>
      <w:r w:rsidR="00490271">
        <w:t xml:space="preserve"> relate to default payments</w:t>
      </w:r>
      <w:r w:rsidR="00D11EA0">
        <w:t xml:space="preserve"> and would </w:t>
      </w:r>
      <w:r w:rsidR="00A070D4">
        <w:t xml:space="preserve">provide </w:t>
      </w:r>
      <w:r>
        <w:t xml:space="preserve">that a landlord or agent can only charge a tenant a payment in the event of a default in the </w:t>
      </w:r>
      <w:r>
        <w:lastRenderedPageBreak/>
        <w:t xml:space="preserve">circumstances of the loss of a key, a lost security device to give access to </w:t>
      </w:r>
      <w:r w:rsidR="00A070D4">
        <w:t xml:space="preserve">the </w:t>
      </w:r>
      <w:r>
        <w:t>housing or for late payment of rent where that payment has been outstanding for 14 days or more. Lords Amendments 48</w:t>
      </w:r>
      <w:r w:rsidR="00D11EA0">
        <w:t xml:space="preserve"> </w:t>
      </w:r>
      <w:r>
        <w:t>would clarify that the Bill does not impact on a landlord or agent's right to recov</w:t>
      </w:r>
      <w:bookmarkStart w:id="1" w:name="_GoBack"/>
      <w:bookmarkEnd w:id="1"/>
      <w:r>
        <w:t xml:space="preserve">er damages for breach of contract of a tenancy agreement or agreement with the agent. </w:t>
      </w:r>
    </w:p>
    <w:p w14:paraId="54E64D45" w14:textId="77777777" w:rsidR="00D11EA0" w:rsidRDefault="00D11EA0" w:rsidP="00D11EA0">
      <w:pPr>
        <w:pStyle w:val="ListParagraph"/>
      </w:pPr>
    </w:p>
    <w:p w14:paraId="19DCD0CC" w14:textId="54EA5EB6" w:rsidR="00D11EA0" w:rsidRDefault="00E25F29" w:rsidP="005926EA">
      <w:pPr>
        <w:pStyle w:val="NoSpacing"/>
        <w:numPr>
          <w:ilvl w:val="0"/>
          <w:numId w:val="13"/>
        </w:numPr>
      </w:pPr>
      <w:r>
        <w:t xml:space="preserve">Lords Amendment </w:t>
      </w:r>
      <w:r w:rsidR="00A070D4">
        <w:t>49</w:t>
      </w:r>
      <w:r>
        <w:t xml:space="preserve"> would clarify that the definition of a television licence in paragraph 9(2) of Schedule 1 applies to the entire Bill.</w:t>
      </w:r>
    </w:p>
    <w:p w14:paraId="435B3315" w14:textId="77777777" w:rsidR="009F6801" w:rsidRDefault="009F6801" w:rsidP="009F6801">
      <w:pPr>
        <w:pStyle w:val="ListParagraph"/>
      </w:pPr>
    </w:p>
    <w:p w14:paraId="3E4049C7" w14:textId="272C4333" w:rsidR="009F6801" w:rsidRPr="009F6801" w:rsidRDefault="009F6801" w:rsidP="009F6801">
      <w:pPr>
        <w:pStyle w:val="ParaNumbered"/>
        <w:numPr>
          <w:ilvl w:val="0"/>
          <w:numId w:val="13"/>
        </w:numPr>
        <w:rPr>
          <w:rFonts w:ascii="Arial" w:hAnsi="Arial" w:cs="Arial"/>
          <w:sz w:val="22"/>
        </w:rPr>
      </w:pPr>
      <w:r w:rsidRPr="009F6801">
        <w:rPr>
          <w:rFonts w:ascii="Arial" w:hAnsi="Arial" w:cs="Arial"/>
          <w:sz w:val="22"/>
        </w:rPr>
        <w:t>Lords Amendment 55 would correct a reference to 'incorrect and misleading' to 'false and misleading' to align with other references in Schedule 2.</w:t>
      </w:r>
    </w:p>
    <w:p w14:paraId="4742DB34" w14:textId="77777777" w:rsidR="00D11EA0" w:rsidRDefault="00D11EA0" w:rsidP="00D11EA0">
      <w:pPr>
        <w:pStyle w:val="ListParagraph"/>
      </w:pPr>
    </w:p>
    <w:p w14:paraId="2BE5AEA7" w14:textId="77777777" w:rsidR="00E25F29" w:rsidRDefault="00F13EED" w:rsidP="00E25F29">
      <w:pPr>
        <w:pStyle w:val="NoSpacing"/>
        <w:numPr>
          <w:ilvl w:val="0"/>
          <w:numId w:val="13"/>
        </w:numPr>
      </w:pPr>
      <w:r>
        <w:t xml:space="preserve">Lords Amendment 60 </w:t>
      </w:r>
      <w:r w:rsidR="00E25F29">
        <w:t>would amend the title</w:t>
      </w:r>
      <w:r>
        <w:t xml:space="preserve"> of the Bill to </w:t>
      </w:r>
      <w:r w:rsidR="00E25F29">
        <w:t xml:space="preserve">reflect that the Bill not only amends the provisions of the Housing and Planning Act 2016 about client money protection schemes but makes further provisions about </w:t>
      </w:r>
      <w:r>
        <w:t>such</w:t>
      </w:r>
      <w:r w:rsidR="00E25F29">
        <w:t xml:space="preserve"> schemes</w:t>
      </w:r>
      <w:r w:rsidR="00F40884">
        <w:t>.</w:t>
      </w:r>
    </w:p>
    <w:p w14:paraId="0BB96D0E" w14:textId="77777777" w:rsidR="00F40884" w:rsidRDefault="00F40884" w:rsidP="00F40884"/>
    <w:p w14:paraId="63997059" w14:textId="77777777" w:rsidR="00F40884" w:rsidRDefault="00F40884" w:rsidP="00F40884">
      <w:pPr>
        <w:pStyle w:val="ListParagraph"/>
        <w:numPr>
          <w:ilvl w:val="0"/>
          <w:numId w:val="9"/>
        </w:numPr>
        <w:ind w:left="426"/>
      </w:pPr>
      <w:r>
        <w:t xml:space="preserve">There are no changes to the territorial application of the clauses in the Bill </w:t>
      </w:r>
      <w:proofErr w:type="gramStart"/>
      <w:r>
        <w:t>as a result of</w:t>
      </w:r>
      <w:proofErr w:type="gramEnd"/>
      <w:r>
        <w:t xml:space="preserve"> these amendments.</w:t>
      </w:r>
    </w:p>
    <w:p w14:paraId="1078045D" w14:textId="77777777" w:rsidR="00F40884" w:rsidRDefault="00F40884" w:rsidP="00F40884"/>
    <w:p w14:paraId="674C2B31" w14:textId="77777777" w:rsidR="00F40884" w:rsidRDefault="00F40884" w:rsidP="00F40884">
      <w:r>
        <w:t>The above assessment for amended clauses is presented in tabular form below.</w:t>
      </w:r>
    </w:p>
    <w:p w14:paraId="7021D49C" w14:textId="77777777" w:rsidR="00F40884" w:rsidRDefault="00F40884" w:rsidP="00F40884"/>
    <w:tbl>
      <w:tblPr>
        <w:tblW w:w="1062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1101"/>
        <w:gridCol w:w="992"/>
        <w:gridCol w:w="992"/>
        <w:gridCol w:w="992"/>
        <w:gridCol w:w="1363"/>
        <w:gridCol w:w="1363"/>
        <w:gridCol w:w="1363"/>
        <w:gridCol w:w="1361"/>
        <w:gridCol w:w="1100"/>
      </w:tblGrid>
      <w:tr w:rsidR="00F40884" w:rsidRPr="009A7FC7" w14:paraId="4A382D6E" w14:textId="77777777" w:rsidTr="00EE50A4">
        <w:trPr>
          <w:trHeight w:val="1153"/>
          <w:tblHeader/>
          <w:jc w:val="center"/>
        </w:trPr>
        <w:tc>
          <w:tcPr>
            <w:tcW w:w="1101" w:type="dxa"/>
            <w:shd w:val="clear" w:color="auto" w:fill="auto"/>
          </w:tcPr>
          <w:p w14:paraId="5CE64E65" w14:textId="77777777" w:rsidR="00F40884" w:rsidRPr="009A7FC7" w:rsidRDefault="00F40884" w:rsidP="00EE50A4">
            <w:pPr>
              <w:pStyle w:val="TTableText"/>
              <w:rPr>
                <w:rStyle w:val="TTableHeadings"/>
              </w:rPr>
            </w:pPr>
            <w:r w:rsidRPr="009A7FC7">
              <w:rPr>
                <w:rStyle w:val="TTableHeadings"/>
              </w:rPr>
              <w:t>Provision</w:t>
            </w:r>
          </w:p>
        </w:tc>
        <w:tc>
          <w:tcPr>
            <w:tcW w:w="992" w:type="dxa"/>
            <w:shd w:val="clear" w:color="auto" w:fill="auto"/>
          </w:tcPr>
          <w:p w14:paraId="0A5A5DEC" w14:textId="77777777" w:rsidR="00F40884" w:rsidRPr="009A7FC7" w:rsidRDefault="00F40884" w:rsidP="00EE50A4">
            <w:pPr>
              <w:pStyle w:val="TTableText"/>
              <w:rPr>
                <w:rStyle w:val="TTableHeadings"/>
              </w:rPr>
            </w:pPr>
            <w:r w:rsidRPr="009A7FC7">
              <w:rPr>
                <w:rStyle w:val="TTableHeadings"/>
              </w:rPr>
              <w:t>Extends to E &amp; W and applies to England?</w:t>
            </w:r>
          </w:p>
        </w:tc>
        <w:tc>
          <w:tcPr>
            <w:tcW w:w="992" w:type="dxa"/>
            <w:shd w:val="clear" w:color="auto" w:fill="auto"/>
          </w:tcPr>
          <w:p w14:paraId="47D1E96C" w14:textId="77777777" w:rsidR="00F40884" w:rsidRPr="009A7FC7" w:rsidRDefault="00F40884" w:rsidP="00EE50A4">
            <w:pPr>
              <w:pStyle w:val="TTableText"/>
              <w:rPr>
                <w:rStyle w:val="TTableHeadings"/>
              </w:rPr>
            </w:pPr>
            <w:r w:rsidRPr="009A7FC7">
              <w:rPr>
                <w:rStyle w:val="TTableHeadings"/>
              </w:rPr>
              <w:t>Extends to E &amp; W and applies to Wales?</w:t>
            </w:r>
          </w:p>
        </w:tc>
        <w:tc>
          <w:tcPr>
            <w:tcW w:w="992" w:type="dxa"/>
            <w:shd w:val="clear" w:color="auto" w:fill="auto"/>
          </w:tcPr>
          <w:p w14:paraId="5AF4A109" w14:textId="77777777" w:rsidR="00F40884" w:rsidRPr="009A7FC7" w:rsidRDefault="00F40884" w:rsidP="00EE50A4">
            <w:pPr>
              <w:pStyle w:val="TTableText"/>
              <w:rPr>
                <w:rStyle w:val="TTableHeadings"/>
              </w:rPr>
            </w:pPr>
            <w:r w:rsidRPr="009A7FC7">
              <w:rPr>
                <w:rStyle w:val="TTableHeadings"/>
              </w:rPr>
              <w:t>Extends and applies to Scotland?</w:t>
            </w:r>
          </w:p>
        </w:tc>
        <w:tc>
          <w:tcPr>
            <w:tcW w:w="1363" w:type="dxa"/>
            <w:shd w:val="clear" w:color="auto" w:fill="auto"/>
          </w:tcPr>
          <w:p w14:paraId="75D2B713" w14:textId="77777777" w:rsidR="00F40884" w:rsidRPr="009A7FC7" w:rsidRDefault="00F40884" w:rsidP="00EE50A4">
            <w:pPr>
              <w:pStyle w:val="TTableText"/>
              <w:rPr>
                <w:rStyle w:val="TTableHeadings"/>
              </w:rPr>
            </w:pPr>
            <w:r w:rsidRPr="009A7FC7">
              <w:rPr>
                <w:rStyle w:val="TTableHeadings"/>
              </w:rPr>
              <w:t>Extends and applies to Northern Ireland?</w:t>
            </w:r>
          </w:p>
        </w:tc>
        <w:tc>
          <w:tcPr>
            <w:tcW w:w="1363" w:type="dxa"/>
            <w:shd w:val="clear" w:color="auto" w:fill="auto"/>
          </w:tcPr>
          <w:p w14:paraId="2FC647D1" w14:textId="77777777" w:rsidR="00F40884" w:rsidRPr="009A7FC7" w:rsidRDefault="00F40884" w:rsidP="00EE50A4">
            <w:pPr>
              <w:pStyle w:val="TTableText"/>
              <w:rPr>
                <w:rStyle w:val="TTableHeadings"/>
              </w:rPr>
            </w:pPr>
            <w:r w:rsidRPr="009A7FC7">
              <w:rPr>
                <w:rStyle w:val="TTableHeadings"/>
              </w:rPr>
              <w:t>Would corresponding provision be within the competence of the National Assembly for Wales?</w:t>
            </w:r>
          </w:p>
        </w:tc>
        <w:tc>
          <w:tcPr>
            <w:tcW w:w="1363" w:type="dxa"/>
            <w:shd w:val="clear" w:color="auto" w:fill="auto"/>
          </w:tcPr>
          <w:p w14:paraId="64BDF6C3" w14:textId="77777777" w:rsidR="00F40884" w:rsidRPr="009A7FC7" w:rsidRDefault="00F40884" w:rsidP="00EE50A4">
            <w:pPr>
              <w:pStyle w:val="TTableText"/>
              <w:rPr>
                <w:rStyle w:val="TTableHeadings"/>
              </w:rPr>
            </w:pPr>
            <w:r w:rsidRPr="009A7FC7">
              <w:rPr>
                <w:rStyle w:val="TTableHeadings"/>
              </w:rPr>
              <w:t>Would corresponding provision be within the competence of the Scottish Parliament?</w:t>
            </w:r>
          </w:p>
        </w:tc>
        <w:tc>
          <w:tcPr>
            <w:tcW w:w="1361" w:type="dxa"/>
            <w:shd w:val="clear" w:color="auto" w:fill="auto"/>
          </w:tcPr>
          <w:p w14:paraId="66B08EDF" w14:textId="77777777" w:rsidR="00F40884" w:rsidRPr="009A7FC7" w:rsidRDefault="00F40884" w:rsidP="00EE50A4">
            <w:pPr>
              <w:pStyle w:val="TTableText"/>
              <w:rPr>
                <w:rStyle w:val="TTableHeadings"/>
              </w:rPr>
            </w:pPr>
            <w:r w:rsidRPr="009A7FC7">
              <w:rPr>
                <w:rStyle w:val="TTableHeadings"/>
              </w:rPr>
              <w:t>Would corresponding provision be within the competence of the Northern Ireland Assembly?</w:t>
            </w:r>
          </w:p>
        </w:tc>
        <w:tc>
          <w:tcPr>
            <w:tcW w:w="1100" w:type="dxa"/>
            <w:shd w:val="clear" w:color="auto" w:fill="auto"/>
          </w:tcPr>
          <w:p w14:paraId="1E6600C4" w14:textId="77777777" w:rsidR="00F40884" w:rsidRPr="009A7FC7" w:rsidRDefault="00F40884" w:rsidP="00EE50A4">
            <w:pPr>
              <w:pStyle w:val="TTableText"/>
              <w:rPr>
                <w:rStyle w:val="TTableHeadings"/>
              </w:rPr>
            </w:pPr>
            <w:r w:rsidRPr="009A7FC7">
              <w:rPr>
                <w:rStyle w:val="TTableHeadings"/>
              </w:rPr>
              <w:t>Legislative Consent Motion needed?</w:t>
            </w:r>
          </w:p>
        </w:tc>
      </w:tr>
      <w:tr w:rsidR="00F40884" w:rsidRPr="009A7FC7" w14:paraId="1FCD6BCC" w14:textId="77777777" w:rsidTr="00EE50A4">
        <w:trPr>
          <w:trHeight w:val="327"/>
          <w:jc w:val="center"/>
        </w:trPr>
        <w:tc>
          <w:tcPr>
            <w:tcW w:w="1101" w:type="dxa"/>
            <w:shd w:val="clear" w:color="auto" w:fill="auto"/>
            <w:vAlign w:val="center"/>
          </w:tcPr>
          <w:p w14:paraId="6833A0B6" w14:textId="77777777" w:rsidR="00F40884" w:rsidRPr="009A7FC7" w:rsidRDefault="00F40884" w:rsidP="00EE50A4">
            <w:pPr>
              <w:pStyle w:val="TTableText"/>
              <w:jc w:val="center"/>
            </w:pPr>
            <w:r w:rsidRPr="009A7FC7">
              <w:t>Clause</w:t>
            </w:r>
            <w:r>
              <w:t>s</w:t>
            </w:r>
            <w:r w:rsidRPr="009A7FC7">
              <w:t xml:space="preserve"> 1</w:t>
            </w:r>
            <w:r>
              <w:t xml:space="preserve"> to 33</w:t>
            </w:r>
          </w:p>
        </w:tc>
        <w:tc>
          <w:tcPr>
            <w:tcW w:w="992" w:type="dxa"/>
            <w:shd w:val="clear" w:color="auto" w:fill="auto"/>
            <w:vAlign w:val="center"/>
          </w:tcPr>
          <w:p w14:paraId="1FA95876" w14:textId="77777777" w:rsidR="00F40884" w:rsidRPr="009A7FC7" w:rsidRDefault="00F40884" w:rsidP="00EE50A4">
            <w:pPr>
              <w:pStyle w:val="TTableText"/>
              <w:jc w:val="center"/>
            </w:pPr>
            <w:r w:rsidRPr="009A7FC7">
              <w:t>Yes</w:t>
            </w:r>
          </w:p>
        </w:tc>
        <w:tc>
          <w:tcPr>
            <w:tcW w:w="992" w:type="dxa"/>
            <w:shd w:val="clear" w:color="auto" w:fill="auto"/>
            <w:vAlign w:val="center"/>
          </w:tcPr>
          <w:p w14:paraId="3EB36163" w14:textId="77777777" w:rsidR="00F40884" w:rsidRPr="009A7FC7" w:rsidRDefault="00F40884" w:rsidP="00EE50A4">
            <w:pPr>
              <w:pStyle w:val="TTableText"/>
              <w:jc w:val="center"/>
            </w:pPr>
            <w:r w:rsidRPr="009A7FC7">
              <w:t>No</w:t>
            </w:r>
          </w:p>
        </w:tc>
        <w:tc>
          <w:tcPr>
            <w:tcW w:w="992" w:type="dxa"/>
            <w:shd w:val="clear" w:color="auto" w:fill="auto"/>
            <w:vAlign w:val="center"/>
          </w:tcPr>
          <w:p w14:paraId="02ABE77D" w14:textId="77777777" w:rsidR="00F40884" w:rsidRPr="009A7FC7" w:rsidRDefault="00F40884" w:rsidP="00EE50A4">
            <w:pPr>
              <w:pStyle w:val="TTableText"/>
              <w:jc w:val="center"/>
            </w:pPr>
            <w:r w:rsidRPr="009A7FC7">
              <w:t>No</w:t>
            </w:r>
          </w:p>
        </w:tc>
        <w:tc>
          <w:tcPr>
            <w:tcW w:w="1363" w:type="dxa"/>
            <w:shd w:val="clear" w:color="auto" w:fill="auto"/>
            <w:vAlign w:val="center"/>
          </w:tcPr>
          <w:p w14:paraId="17DC55B1" w14:textId="77777777" w:rsidR="00F40884" w:rsidRPr="009A7FC7" w:rsidRDefault="00F40884" w:rsidP="00EE50A4">
            <w:pPr>
              <w:pStyle w:val="TTableText"/>
              <w:jc w:val="center"/>
            </w:pPr>
            <w:r w:rsidRPr="009A7FC7">
              <w:t>No</w:t>
            </w:r>
          </w:p>
        </w:tc>
        <w:tc>
          <w:tcPr>
            <w:tcW w:w="1363" w:type="dxa"/>
            <w:shd w:val="clear" w:color="auto" w:fill="auto"/>
            <w:vAlign w:val="center"/>
          </w:tcPr>
          <w:p w14:paraId="7AD03261" w14:textId="77777777" w:rsidR="00F40884" w:rsidRPr="009A7FC7" w:rsidRDefault="00F40884" w:rsidP="00EE50A4">
            <w:pPr>
              <w:pStyle w:val="TTableText"/>
              <w:jc w:val="center"/>
            </w:pPr>
            <w:r w:rsidRPr="009A7FC7">
              <w:t>Yes</w:t>
            </w:r>
          </w:p>
        </w:tc>
        <w:tc>
          <w:tcPr>
            <w:tcW w:w="1363" w:type="dxa"/>
            <w:shd w:val="clear" w:color="auto" w:fill="auto"/>
            <w:vAlign w:val="center"/>
          </w:tcPr>
          <w:p w14:paraId="2029A43B" w14:textId="77777777" w:rsidR="00F40884" w:rsidRPr="009A7FC7" w:rsidRDefault="00F40884" w:rsidP="00EE50A4">
            <w:pPr>
              <w:pStyle w:val="TTableText"/>
              <w:jc w:val="center"/>
            </w:pPr>
            <w:r w:rsidRPr="009A7FC7">
              <w:t>Yes</w:t>
            </w:r>
          </w:p>
        </w:tc>
        <w:tc>
          <w:tcPr>
            <w:tcW w:w="1361" w:type="dxa"/>
            <w:shd w:val="clear" w:color="auto" w:fill="auto"/>
            <w:vAlign w:val="center"/>
          </w:tcPr>
          <w:p w14:paraId="788E41F9" w14:textId="77777777" w:rsidR="00F40884" w:rsidRPr="009A7FC7" w:rsidRDefault="00F40884" w:rsidP="00EE50A4">
            <w:pPr>
              <w:pStyle w:val="TTableText"/>
              <w:jc w:val="center"/>
            </w:pPr>
            <w:r w:rsidRPr="009A7FC7">
              <w:t>Yes</w:t>
            </w:r>
          </w:p>
        </w:tc>
        <w:tc>
          <w:tcPr>
            <w:tcW w:w="1100" w:type="dxa"/>
            <w:shd w:val="clear" w:color="auto" w:fill="auto"/>
            <w:vAlign w:val="center"/>
          </w:tcPr>
          <w:p w14:paraId="0485E5CC" w14:textId="77777777" w:rsidR="00F40884" w:rsidRPr="009A7FC7" w:rsidRDefault="00F40884" w:rsidP="00EE50A4">
            <w:pPr>
              <w:pStyle w:val="TTableText"/>
              <w:jc w:val="center"/>
            </w:pPr>
            <w:r w:rsidRPr="009A7FC7">
              <w:t>No</w:t>
            </w:r>
          </w:p>
        </w:tc>
      </w:tr>
      <w:tr w:rsidR="00F40884" w:rsidRPr="009A7FC7" w14:paraId="05AA1F6D" w14:textId="77777777" w:rsidTr="00EE50A4">
        <w:trPr>
          <w:trHeight w:val="376"/>
          <w:jc w:val="center"/>
        </w:trPr>
        <w:tc>
          <w:tcPr>
            <w:tcW w:w="1101" w:type="dxa"/>
            <w:shd w:val="clear" w:color="auto" w:fill="auto"/>
            <w:vAlign w:val="center"/>
          </w:tcPr>
          <w:p w14:paraId="26AD3CCA" w14:textId="77777777" w:rsidR="00F40884" w:rsidRPr="009A7FC7" w:rsidRDefault="00F40884" w:rsidP="00EE50A4">
            <w:pPr>
              <w:spacing w:line="240" w:lineRule="auto"/>
              <w:jc w:val="center"/>
              <w:rPr>
                <w:sz w:val="16"/>
              </w:rPr>
            </w:pPr>
            <w:r w:rsidRPr="009A7FC7">
              <w:rPr>
                <w:sz w:val="16"/>
              </w:rPr>
              <w:t>Schedule</w:t>
            </w:r>
            <w:r>
              <w:rPr>
                <w:sz w:val="16"/>
              </w:rPr>
              <w:t>s</w:t>
            </w:r>
            <w:r w:rsidRPr="009A7FC7">
              <w:rPr>
                <w:sz w:val="16"/>
              </w:rPr>
              <w:t xml:space="preserve"> 1</w:t>
            </w:r>
            <w:r>
              <w:rPr>
                <w:sz w:val="16"/>
              </w:rPr>
              <w:t xml:space="preserve"> to 3</w:t>
            </w:r>
          </w:p>
        </w:tc>
        <w:tc>
          <w:tcPr>
            <w:tcW w:w="992" w:type="dxa"/>
            <w:shd w:val="clear" w:color="auto" w:fill="auto"/>
            <w:vAlign w:val="center"/>
          </w:tcPr>
          <w:p w14:paraId="5F01D664" w14:textId="77777777" w:rsidR="00F40884" w:rsidRPr="009A7FC7" w:rsidRDefault="00F40884" w:rsidP="00EE50A4">
            <w:pPr>
              <w:spacing w:line="240" w:lineRule="auto"/>
              <w:jc w:val="center"/>
              <w:rPr>
                <w:sz w:val="16"/>
              </w:rPr>
            </w:pPr>
            <w:r w:rsidRPr="009A7FC7">
              <w:rPr>
                <w:sz w:val="16"/>
              </w:rPr>
              <w:t>Yes</w:t>
            </w:r>
          </w:p>
        </w:tc>
        <w:tc>
          <w:tcPr>
            <w:tcW w:w="992" w:type="dxa"/>
            <w:shd w:val="clear" w:color="auto" w:fill="auto"/>
            <w:vAlign w:val="center"/>
          </w:tcPr>
          <w:p w14:paraId="648A9F54" w14:textId="77777777" w:rsidR="00F40884" w:rsidRPr="009A7FC7" w:rsidRDefault="00F40884" w:rsidP="00EE50A4">
            <w:pPr>
              <w:spacing w:line="240" w:lineRule="auto"/>
              <w:jc w:val="center"/>
              <w:rPr>
                <w:sz w:val="16"/>
              </w:rPr>
            </w:pPr>
            <w:r w:rsidRPr="009A7FC7">
              <w:rPr>
                <w:sz w:val="16"/>
              </w:rPr>
              <w:t>No</w:t>
            </w:r>
          </w:p>
        </w:tc>
        <w:tc>
          <w:tcPr>
            <w:tcW w:w="992" w:type="dxa"/>
            <w:shd w:val="clear" w:color="auto" w:fill="auto"/>
            <w:vAlign w:val="center"/>
          </w:tcPr>
          <w:p w14:paraId="350F5406" w14:textId="77777777" w:rsidR="00F40884" w:rsidRPr="009A7FC7" w:rsidRDefault="00F40884" w:rsidP="00EE50A4">
            <w:pPr>
              <w:spacing w:line="240" w:lineRule="auto"/>
              <w:jc w:val="center"/>
              <w:rPr>
                <w:sz w:val="16"/>
              </w:rPr>
            </w:pPr>
            <w:r w:rsidRPr="009A7FC7">
              <w:rPr>
                <w:sz w:val="16"/>
              </w:rPr>
              <w:t>No</w:t>
            </w:r>
          </w:p>
        </w:tc>
        <w:tc>
          <w:tcPr>
            <w:tcW w:w="1363" w:type="dxa"/>
            <w:shd w:val="clear" w:color="auto" w:fill="auto"/>
            <w:vAlign w:val="center"/>
          </w:tcPr>
          <w:p w14:paraId="28174359" w14:textId="77777777" w:rsidR="00F40884" w:rsidRPr="009A7FC7" w:rsidRDefault="00F40884" w:rsidP="00EE50A4">
            <w:pPr>
              <w:spacing w:line="240" w:lineRule="auto"/>
              <w:jc w:val="center"/>
              <w:rPr>
                <w:sz w:val="16"/>
              </w:rPr>
            </w:pPr>
            <w:r w:rsidRPr="009A7FC7">
              <w:rPr>
                <w:sz w:val="16"/>
              </w:rPr>
              <w:t>No</w:t>
            </w:r>
          </w:p>
        </w:tc>
        <w:tc>
          <w:tcPr>
            <w:tcW w:w="1363" w:type="dxa"/>
            <w:shd w:val="clear" w:color="auto" w:fill="auto"/>
            <w:vAlign w:val="center"/>
          </w:tcPr>
          <w:p w14:paraId="1F7F66A8" w14:textId="77777777" w:rsidR="00F40884" w:rsidRPr="009A7FC7" w:rsidRDefault="00F40884" w:rsidP="00EE50A4">
            <w:pPr>
              <w:spacing w:line="240" w:lineRule="auto"/>
              <w:jc w:val="center"/>
              <w:rPr>
                <w:sz w:val="16"/>
              </w:rPr>
            </w:pPr>
            <w:r w:rsidRPr="009A7FC7">
              <w:rPr>
                <w:sz w:val="16"/>
              </w:rPr>
              <w:t>Yes</w:t>
            </w:r>
          </w:p>
        </w:tc>
        <w:tc>
          <w:tcPr>
            <w:tcW w:w="1363" w:type="dxa"/>
            <w:shd w:val="clear" w:color="auto" w:fill="auto"/>
            <w:vAlign w:val="center"/>
          </w:tcPr>
          <w:p w14:paraId="7591ECC8" w14:textId="77777777" w:rsidR="00F40884" w:rsidRPr="009A7FC7" w:rsidRDefault="00F40884" w:rsidP="00EE50A4">
            <w:pPr>
              <w:spacing w:line="240" w:lineRule="auto"/>
              <w:jc w:val="center"/>
              <w:rPr>
                <w:sz w:val="16"/>
              </w:rPr>
            </w:pPr>
            <w:r w:rsidRPr="009A7FC7">
              <w:rPr>
                <w:sz w:val="16"/>
              </w:rPr>
              <w:t>Yes</w:t>
            </w:r>
          </w:p>
        </w:tc>
        <w:tc>
          <w:tcPr>
            <w:tcW w:w="1361" w:type="dxa"/>
            <w:shd w:val="clear" w:color="auto" w:fill="auto"/>
            <w:vAlign w:val="center"/>
          </w:tcPr>
          <w:p w14:paraId="7A35A5DF" w14:textId="77777777" w:rsidR="00F40884" w:rsidRPr="009A7FC7" w:rsidRDefault="00F40884" w:rsidP="00EE50A4">
            <w:pPr>
              <w:spacing w:line="240" w:lineRule="auto"/>
              <w:jc w:val="center"/>
              <w:rPr>
                <w:sz w:val="16"/>
              </w:rPr>
            </w:pPr>
            <w:r w:rsidRPr="009A7FC7">
              <w:rPr>
                <w:sz w:val="16"/>
              </w:rPr>
              <w:t>Yes</w:t>
            </w:r>
          </w:p>
        </w:tc>
        <w:tc>
          <w:tcPr>
            <w:tcW w:w="1100" w:type="dxa"/>
            <w:shd w:val="clear" w:color="auto" w:fill="auto"/>
            <w:vAlign w:val="center"/>
          </w:tcPr>
          <w:p w14:paraId="77294788" w14:textId="77777777" w:rsidR="00F40884" w:rsidRPr="009A7FC7" w:rsidRDefault="00F40884" w:rsidP="00EE50A4">
            <w:pPr>
              <w:spacing w:line="240" w:lineRule="auto"/>
              <w:jc w:val="center"/>
              <w:rPr>
                <w:sz w:val="16"/>
              </w:rPr>
            </w:pPr>
            <w:r w:rsidRPr="009A7FC7">
              <w:rPr>
                <w:sz w:val="16"/>
              </w:rPr>
              <w:t>No</w:t>
            </w:r>
          </w:p>
        </w:tc>
      </w:tr>
    </w:tbl>
    <w:p w14:paraId="6A84452D" w14:textId="77777777" w:rsidR="00F40884" w:rsidRDefault="00F40884" w:rsidP="00F40884">
      <w:pPr>
        <w:spacing w:after="200"/>
      </w:pPr>
    </w:p>
    <w:p w14:paraId="6F5ED278" w14:textId="77777777" w:rsidR="00F40884" w:rsidRDefault="00F40884" w:rsidP="00F40884">
      <w:pPr>
        <w:spacing w:after="200"/>
      </w:pPr>
    </w:p>
    <w:p w14:paraId="23BD40DA" w14:textId="77777777" w:rsidR="00F40884" w:rsidRDefault="00F40884" w:rsidP="00F40884">
      <w:pPr>
        <w:spacing w:after="200"/>
      </w:pPr>
      <w:r>
        <w:t>The above assessment for new clauses is presented in tabular form below.</w:t>
      </w:r>
    </w:p>
    <w:tbl>
      <w:tblPr>
        <w:tblStyle w:val="ENGeneralTable"/>
        <w:tblW w:w="10627" w:type="dxa"/>
        <w:jc w:val="center"/>
        <w:tblLayout w:type="fixed"/>
        <w:tblLook w:val="0000" w:firstRow="0" w:lastRow="0" w:firstColumn="0" w:lastColumn="0" w:noHBand="0" w:noVBand="0"/>
      </w:tblPr>
      <w:tblGrid>
        <w:gridCol w:w="1413"/>
        <w:gridCol w:w="992"/>
        <w:gridCol w:w="992"/>
        <w:gridCol w:w="993"/>
        <w:gridCol w:w="1050"/>
        <w:gridCol w:w="1363"/>
        <w:gridCol w:w="1363"/>
        <w:gridCol w:w="1361"/>
        <w:gridCol w:w="1100"/>
      </w:tblGrid>
      <w:tr w:rsidR="00F40884" w:rsidRPr="00CA4237" w14:paraId="7704A617" w14:textId="77777777" w:rsidTr="00EE50A4">
        <w:trPr>
          <w:trHeight w:val="1153"/>
          <w:tblHeader/>
          <w:jc w:val="center"/>
        </w:trPr>
        <w:tc>
          <w:tcPr>
            <w:tcW w:w="1413" w:type="dxa"/>
          </w:tcPr>
          <w:p w14:paraId="2E6DBD65" w14:textId="77777777" w:rsidR="00F40884" w:rsidRPr="00BC7958" w:rsidRDefault="00F40884" w:rsidP="00EE50A4">
            <w:pPr>
              <w:pStyle w:val="TTableText"/>
              <w:rPr>
                <w:rStyle w:val="TTableHeadings"/>
              </w:rPr>
            </w:pPr>
            <w:r>
              <w:rPr>
                <w:rStyle w:val="TTableHeadings"/>
              </w:rPr>
              <w:t>Provision</w:t>
            </w:r>
          </w:p>
        </w:tc>
        <w:tc>
          <w:tcPr>
            <w:tcW w:w="992" w:type="dxa"/>
          </w:tcPr>
          <w:p w14:paraId="43078922" w14:textId="77777777" w:rsidR="00F40884" w:rsidRPr="00BC7958" w:rsidRDefault="00F40884" w:rsidP="00EE50A4">
            <w:pPr>
              <w:pStyle w:val="TTableText"/>
              <w:rPr>
                <w:rStyle w:val="TTableHeadings"/>
              </w:rPr>
            </w:pPr>
            <w:r w:rsidRPr="00BC7958">
              <w:rPr>
                <w:rStyle w:val="TTableHeadings"/>
              </w:rPr>
              <w:t>Extends to E &amp; W and applies to England?</w:t>
            </w:r>
          </w:p>
        </w:tc>
        <w:tc>
          <w:tcPr>
            <w:tcW w:w="992" w:type="dxa"/>
          </w:tcPr>
          <w:p w14:paraId="1324B518" w14:textId="77777777" w:rsidR="00F40884" w:rsidRPr="00BC7958" w:rsidRDefault="00F40884" w:rsidP="00EE50A4">
            <w:pPr>
              <w:pStyle w:val="TTableText"/>
              <w:rPr>
                <w:rStyle w:val="TTableHeadings"/>
              </w:rPr>
            </w:pPr>
            <w:r w:rsidRPr="00BC7958">
              <w:rPr>
                <w:rStyle w:val="TTableHeadings"/>
              </w:rPr>
              <w:t>Extends to E &amp; W and applies to Wales?</w:t>
            </w:r>
          </w:p>
        </w:tc>
        <w:tc>
          <w:tcPr>
            <w:tcW w:w="993" w:type="dxa"/>
          </w:tcPr>
          <w:p w14:paraId="02442819" w14:textId="77777777" w:rsidR="00F40884" w:rsidRPr="00BC7958" w:rsidRDefault="00F40884" w:rsidP="00EE50A4">
            <w:pPr>
              <w:pStyle w:val="TTableText"/>
              <w:rPr>
                <w:rStyle w:val="TTableHeadings"/>
              </w:rPr>
            </w:pPr>
            <w:r w:rsidRPr="00BC7958">
              <w:rPr>
                <w:rStyle w:val="TTableHeadings"/>
              </w:rPr>
              <w:t>Extends and applies to Scotland?</w:t>
            </w:r>
          </w:p>
        </w:tc>
        <w:tc>
          <w:tcPr>
            <w:tcW w:w="1050" w:type="dxa"/>
          </w:tcPr>
          <w:p w14:paraId="0BC2FA69" w14:textId="77777777" w:rsidR="00F40884" w:rsidRPr="00BC7958" w:rsidRDefault="00F40884" w:rsidP="00EE50A4">
            <w:pPr>
              <w:pStyle w:val="TTableText"/>
              <w:rPr>
                <w:rStyle w:val="TTableHeadings"/>
              </w:rPr>
            </w:pPr>
            <w:r w:rsidRPr="00BC7958">
              <w:rPr>
                <w:rStyle w:val="TTableHeadings"/>
              </w:rPr>
              <w:t xml:space="preserve">Extends and applies to </w:t>
            </w:r>
            <w:r>
              <w:rPr>
                <w:rStyle w:val="TTableHeadings"/>
              </w:rPr>
              <w:t>Northern Ireland</w:t>
            </w:r>
            <w:r w:rsidRPr="00BC7958">
              <w:rPr>
                <w:rStyle w:val="TTableHeadings"/>
              </w:rPr>
              <w:t>?</w:t>
            </w:r>
          </w:p>
        </w:tc>
        <w:tc>
          <w:tcPr>
            <w:tcW w:w="1363" w:type="dxa"/>
          </w:tcPr>
          <w:p w14:paraId="520D51E2" w14:textId="77777777" w:rsidR="00F40884" w:rsidRPr="00BC7958" w:rsidRDefault="00F40884" w:rsidP="00EE50A4">
            <w:pPr>
              <w:pStyle w:val="TTableText"/>
              <w:rPr>
                <w:rStyle w:val="TTableHeadings"/>
              </w:rPr>
            </w:pPr>
            <w:r>
              <w:rPr>
                <w:rStyle w:val="TTableHeadings"/>
              </w:rPr>
              <w:t>Would corresponding provision be within the competence of the National Assembly for Wales</w:t>
            </w:r>
            <w:r w:rsidRPr="00BC7958">
              <w:rPr>
                <w:rStyle w:val="TTableHeadings"/>
              </w:rPr>
              <w:t>?</w:t>
            </w:r>
          </w:p>
        </w:tc>
        <w:tc>
          <w:tcPr>
            <w:tcW w:w="1363" w:type="dxa"/>
          </w:tcPr>
          <w:p w14:paraId="640B1D5D" w14:textId="77777777" w:rsidR="00F40884" w:rsidRPr="00BC7958" w:rsidRDefault="00F40884" w:rsidP="00EE50A4">
            <w:pPr>
              <w:pStyle w:val="TTableText"/>
              <w:rPr>
                <w:rStyle w:val="TTableHeadings"/>
              </w:rPr>
            </w:pPr>
            <w:r>
              <w:rPr>
                <w:rStyle w:val="TTableHeadings"/>
              </w:rPr>
              <w:t>Would corresponding provisi</w:t>
            </w:r>
            <w:r w:rsidRPr="00BC7958">
              <w:rPr>
                <w:rStyle w:val="TTableHeadings"/>
              </w:rPr>
              <w:t xml:space="preserve">on be within the competence of </w:t>
            </w:r>
            <w:r>
              <w:rPr>
                <w:rStyle w:val="TTableHeadings"/>
              </w:rPr>
              <w:t xml:space="preserve">the </w:t>
            </w:r>
            <w:r w:rsidRPr="00BC7958">
              <w:rPr>
                <w:rStyle w:val="TTableHeadings"/>
              </w:rPr>
              <w:t>Scottish Parliament?</w:t>
            </w:r>
          </w:p>
        </w:tc>
        <w:tc>
          <w:tcPr>
            <w:tcW w:w="1361" w:type="dxa"/>
          </w:tcPr>
          <w:p w14:paraId="19725446" w14:textId="77777777" w:rsidR="00F40884" w:rsidRPr="00BC7958" w:rsidRDefault="00F40884" w:rsidP="00EE50A4">
            <w:pPr>
              <w:pStyle w:val="TTableText"/>
              <w:rPr>
                <w:rStyle w:val="TTableHeadings"/>
              </w:rPr>
            </w:pPr>
            <w:r>
              <w:rPr>
                <w:rStyle w:val="TTableHeadings"/>
              </w:rPr>
              <w:t xml:space="preserve">Would corresponding provision be within the competence of the </w:t>
            </w:r>
            <w:r w:rsidRPr="00BC7958">
              <w:rPr>
                <w:rStyle w:val="TTableHeadings"/>
              </w:rPr>
              <w:t>N</w:t>
            </w:r>
            <w:r>
              <w:rPr>
                <w:rStyle w:val="TTableHeadings"/>
              </w:rPr>
              <w:t xml:space="preserve">orthern </w:t>
            </w:r>
            <w:r w:rsidRPr="00BC7958">
              <w:rPr>
                <w:rStyle w:val="TTableHeadings"/>
              </w:rPr>
              <w:t>I</w:t>
            </w:r>
            <w:r>
              <w:rPr>
                <w:rStyle w:val="TTableHeadings"/>
              </w:rPr>
              <w:t>reland</w:t>
            </w:r>
            <w:r w:rsidRPr="00BC7958">
              <w:rPr>
                <w:rStyle w:val="TTableHeadings"/>
              </w:rPr>
              <w:t xml:space="preserve"> Assembly?</w:t>
            </w:r>
          </w:p>
        </w:tc>
        <w:tc>
          <w:tcPr>
            <w:tcW w:w="1100" w:type="dxa"/>
          </w:tcPr>
          <w:p w14:paraId="5217D2F3" w14:textId="77777777" w:rsidR="00F40884" w:rsidRPr="00BC7958" w:rsidRDefault="00F40884" w:rsidP="00EE50A4">
            <w:pPr>
              <w:pStyle w:val="TTableText"/>
              <w:rPr>
                <w:rStyle w:val="TTableHeadings"/>
              </w:rPr>
            </w:pPr>
            <w:r w:rsidRPr="00BC7958">
              <w:rPr>
                <w:rStyle w:val="TTableHeadings"/>
              </w:rPr>
              <w:t>L</w:t>
            </w:r>
            <w:r>
              <w:rPr>
                <w:rStyle w:val="TTableHeadings"/>
              </w:rPr>
              <w:t>egislative Consent Motion needed</w:t>
            </w:r>
            <w:r w:rsidRPr="00BC7958">
              <w:rPr>
                <w:rStyle w:val="TTableHeadings"/>
              </w:rPr>
              <w:t>?</w:t>
            </w:r>
          </w:p>
        </w:tc>
      </w:tr>
      <w:tr w:rsidR="00F40884" w:rsidRPr="00CA4237" w14:paraId="0AB572FF" w14:textId="77777777" w:rsidTr="00EE50A4">
        <w:trPr>
          <w:trHeight w:val="376"/>
          <w:jc w:val="center"/>
        </w:trPr>
        <w:tc>
          <w:tcPr>
            <w:tcW w:w="1413" w:type="dxa"/>
          </w:tcPr>
          <w:p w14:paraId="0864BD31" w14:textId="77777777" w:rsidR="00F40884" w:rsidRDefault="00F40884" w:rsidP="00EE50A4">
            <w:pPr>
              <w:pStyle w:val="TTableText"/>
              <w:rPr>
                <w:lang w:val="en-GB"/>
              </w:rPr>
            </w:pPr>
            <w:r>
              <w:rPr>
                <w:lang w:val="en-GB"/>
              </w:rPr>
              <w:t>Client money protection schemes: approval and designation</w:t>
            </w:r>
          </w:p>
          <w:p w14:paraId="1BBAA598" w14:textId="77777777" w:rsidR="00F40884" w:rsidRPr="00CA4237" w:rsidRDefault="00F40884" w:rsidP="00EE50A4">
            <w:pPr>
              <w:pStyle w:val="TTableText"/>
              <w:rPr>
                <w:lang w:val="en-GB"/>
              </w:rPr>
            </w:pPr>
            <w:r>
              <w:rPr>
                <w:lang w:val="en-GB"/>
              </w:rPr>
              <w:lastRenderedPageBreak/>
              <w:t>After Clause 21</w:t>
            </w:r>
          </w:p>
        </w:tc>
        <w:tc>
          <w:tcPr>
            <w:tcW w:w="992" w:type="dxa"/>
          </w:tcPr>
          <w:p w14:paraId="626F72D0" w14:textId="77777777" w:rsidR="00F40884" w:rsidRDefault="00F40884" w:rsidP="00EE50A4">
            <w:pPr>
              <w:pStyle w:val="TTableText"/>
            </w:pPr>
          </w:p>
          <w:p w14:paraId="6894710C" w14:textId="77777777" w:rsidR="00F40884" w:rsidRPr="00D50344" w:rsidRDefault="00F40884" w:rsidP="00EE50A4">
            <w:pPr>
              <w:pStyle w:val="TTableText"/>
            </w:pPr>
            <w:r>
              <w:t>Yes</w:t>
            </w:r>
          </w:p>
        </w:tc>
        <w:tc>
          <w:tcPr>
            <w:tcW w:w="992" w:type="dxa"/>
          </w:tcPr>
          <w:p w14:paraId="21C1D13F" w14:textId="77777777" w:rsidR="00F40884" w:rsidRDefault="00F40884" w:rsidP="00EE50A4">
            <w:pPr>
              <w:pStyle w:val="TTableText"/>
            </w:pPr>
          </w:p>
          <w:p w14:paraId="23852957" w14:textId="77777777" w:rsidR="00F40884" w:rsidRPr="00D50344" w:rsidRDefault="00F40884" w:rsidP="00EE50A4">
            <w:pPr>
              <w:pStyle w:val="TTableText"/>
            </w:pPr>
            <w:r>
              <w:t>No</w:t>
            </w:r>
          </w:p>
        </w:tc>
        <w:tc>
          <w:tcPr>
            <w:tcW w:w="993" w:type="dxa"/>
          </w:tcPr>
          <w:p w14:paraId="468FC513" w14:textId="77777777" w:rsidR="00F40884" w:rsidRDefault="00F40884" w:rsidP="00EE50A4">
            <w:pPr>
              <w:pStyle w:val="TTableText"/>
            </w:pPr>
          </w:p>
          <w:p w14:paraId="148834E9" w14:textId="77777777" w:rsidR="00F40884" w:rsidRPr="00D50344" w:rsidRDefault="00F40884" w:rsidP="00EE50A4">
            <w:pPr>
              <w:pStyle w:val="TTableText"/>
            </w:pPr>
            <w:r>
              <w:t>No</w:t>
            </w:r>
          </w:p>
        </w:tc>
        <w:tc>
          <w:tcPr>
            <w:tcW w:w="1050" w:type="dxa"/>
          </w:tcPr>
          <w:p w14:paraId="48627B4D" w14:textId="77777777" w:rsidR="00F40884" w:rsidRDefault="00F40884" w:rsidP="00EE50A4">
            <w:pPr>
              <w:pStyle w:val="TTableText"/>
            </w:pPr>
          </w:p>
          <w:p w14:paraId="05211CB5" w14:textId="77777777" w:rsidR="00F40884" w:rsidRPr="00D50344" w:rsidRDefault="00F40884" w:rsidP="00EE50A4">
            <w:pPr>
              <w:pStyle w:val="TTableText"/>
            </w:pPr>
            <w:r>
              <w:t>No</w:t>
            </w:r>
          </w:p>
        </w:tc>
        <w:tc>
          <w:tcPr>
            <w:tcW w:w="1363" w:type="dxa"/>
          </w:tcPr>
          <w:p w14:paraId="6256F629" w14:textId="77777777" w:rsidR="00F40884" w:rsidRDefault="00F40884" w:rsidP="00EE50A4">
            <w:pPr>
              <w:pStyle w:val="TTableText"/>
            </w:pPr>
          </w:p>
          <w:p w14:paraId="3D2E7BC1" w14:textId="77777777" w:rsidR="00F40884" w:rsidRPr="00D50344" w:rsidRDefault="00F40884" w:rsidP="00EE50A4">
            <w:pPr>
              <w:pStyle w:val="TTableText"/>
            </w:pPr>
            <w:r>
              <w:t>Yes</w:t>
            </w:r>
          </w:p>
        </w:tc>
        <w:tc>
          <w:tcPr>
            <w:tcW w:w="1363" w:type="dxa"/>
          </w:tcPr>
          <w:p w14:paraId="3B4E746E" w14:textId="77777777" w:rsidR="00F40884" w:rsidRDefault="00F40884" w:rsidP="00EE50A4">
            <w:pPr>
              <w:pStyle w:val="TTableText"/>
            </w:pPr>
          </w:p>
          <w:p w14:paraId="4BD56738" w14:textId="77777777" w:rsidR="00F40884" w:rsidRPr="00D50344" w:rsidRDefault="00F40884" w:rsidP="00EE50A4">
            <w:pPr>
              <w:pStyle w:val="TTableText"/>
            </w:pPr>
            <w:r>
              <w:t>Yes</w:t>
            </w:r>
          </w:p>
        </w:tc>
        <w:tc>
          <w:tcPr>
            <w:tcW w:w="1361" w:type="dxa"/>
          </w:tcPr>
          <w:p w14:paraId="54E59F37" w14:textId="77777777" w:rsidR="00F40884" w:rsidRDefault="00F40884" w:rsidP="00EE50A4">
            <w:pPr>
              <w:pStyle w:val="TTableText"/>
            </w:pPr>
          </w:p>
          <w:p w14:paraId="0819F2F3" w14:textId="77777777" w:rsidR="00F40884" w:rsidRPr="00D50344" w:rsidRDefault="00F40884" w:rsidP="00EE50A4">
            <w:pPr>
              <w:pStyle w:val="TTableText"/>
            </w:pPr>
            <w:r>
              <w:t>Yes</w:t>
            </w:r>
          </w:p>
        </w:tc>
        <w:tc>
          <w:tcPr>
            <w:tcW w:w="1100" w:type="dxa"/>
          </w:tcPr>
          <w:p w14:paraId="668A1251" w14:textId="77777777" w:rsidR="00F40884" w:rsidRDefault="00F40884" w:rsidP="00EE50A4">
            <w:pPr>
              <w:pStyle w:val="TTableText"/>
            </w:pPr>
          </w:p>
          <w:p w14:paraId="59ED968D" w14:textId="77777777" w:rsidR="00F40884" w:rsidRPr="00D50344" w:rsidRDefault="00F40884" w:rsidP="00EE50A4">
            <w:pPr>
              <w:pStyle w:val="TTableText"/>
            </w:pPr>
            <w:r>
              <w:t>No</w:t>
            </w:r>
          </w:p>
        </w:tc>
      </w:tr>
      <w:tr w:rsidR="00F40884" w:rsidRPr="00CA4237" w14:paraId="20C90E35" w14:textId="77777777" w:rsidTr="00EE50A4">
        <w:trPr>
          <w:trHeight w:val="376"/>
          <w:jc w:val="center"/>
        </w:trPr>
        <w:tc>
          <w:tcPr>
            <w:tcW w:w="1413" w:type="dxa"/>
          </w:tcPr>
          <w:p w14:paraId="6E0956F5" w14:textId="77777777" w:rsidR="00F40884" w:rsidRDefault="00F40884" w:rsidP="00EE50A4">
            <w:pPr>
              <w:pStyle w:val="TTableText"/>
              <w:rPr>
                <w:lang w:val="en-GB"/>
              </w:rPr>
            </w:pPr>
            <w:r>
              <w:rPr>
                <w:lang w:val="en-GB"/>
              </w:rPr>
              <w:t>Client money protection schemes: requirement to belong to a scheme etc</w:t>
            </w:r>
          </w:p>
          <w:p w14:paraId="7759E94A" w14:textId="77777777" w:rsidR="00F40884" w:rsidRDefault="00F40884" w:rsidP="00EE50A4">
            <w:pPr>
              <w:pStyle w:val="TTableText"/>
              <w:rPr>
                <w:lang w:val="en-GB"/>
              </w:rPr>
            </w:pPr>
            <w:r>
              <w:rPr>
                <w:lang w:val="en-GB"/>
              </w:rPr>
              <w:t>After Clause 21</w:t>
            </w:r>
          </w:p>
        </w:tc>
        <w:tc>
          <w:tcPr>
            <w:tcW w:w="992" w:type="dxa"/>
          </w:tcPr>
          <w:p w14:paraId="4F57B87D" w14:textId="77777777" w:rsidR="00F40884" w:rsidRDefault="00F40884" w:rsidP="00EE50A4">
            <w:pPr>
              <w:pStyle w:val="TTableText"/>
            </w:pPr>
          </w:p>
          <w:p w14:paraId="734D6FF2" w14:textId="77777777" w:rsidR="00F40884" w:rsidRPr="00D50344" w:rsidRDefault="00F40884" w:rsidP="00EE50A4">
            <w:pPr>
              <w:pStyle w:val="TTableText"/>
            </w:pPr>
            <w:r>
              <w:t>Yes</w:t>
            </w:r>
          </w:p>
        </w:tc>
        <w:tc>
          <w:tcPr>
            <w:tcW w:w="992" w:type="dxa"/>
          </w:tcPr>
          <w:p w14:paraId="7CCC7D43" w14:textId="77777777" w:rsidR="00F40884" w:rsidRDefault="00F40884" w:rsidP="00EE50A4">
            <w:pPr>
              <w:pStyle w:val="TTableText"/>
            </w:pPr>
          </w:p>
          <w:p w14:paraId="4BEE7856" w14:textId="77777777" w:rsidR="00F40884" w:rsidRPr="00D50344" w:rsidRDefault="00F40884" w:rsidP="00EE50A4">
            <w:pPr>
              <w:pStyle w:val="TTableText"/>
            </w:pPr>
            <w:r>
              <w:t>No</w:t>
            </w:r>
          </w:p>
        </w:tc>
        <w:tc>
          <w:tcPr>
            <w:tcW w:w="993" w:type="dxa"/>
          </w:tcPr>
          <w:p w14:paraId="168B64F8" w14:textId="77777777" w:rsidR="00F40884" w:rsidRDefault="00F40884" w:rsidP="00EE50A4">
            <w:pPr>
              <w:pStyle w:val="TTableText"/>
            </w:pPr>
          </w:p>
          <w:p w14:paraId="7CAD3CE1" w14:textId="77777777" w:rsidR="00F40884" w:rsidRPr="00D50344" w:rsidRDefault="00F40884" w:rsidP="00EE50A4">
            <w:pPr>
              <w:pStyle w:val="TTableText"/>
            </w:pPr>
            <w:r>
              <w:t>No</w:t>
            </w:r>
          </w:p>
        </w:tc>
        <w:tc>
          <w:tcPr>
            <w:tcW w:w="1050" w:type="dxa"/>
          </w:tcPr>
          <w:p w14:paraId="1D058C2F" w14:textId="77777777" w:rsidR="00F40884" w:rsidRDefault="00F40884" w:rsidP="00EE50A4">
            <w:pPr>
              <w:pStyle w:val="TTableText"/>
            </w:pPr>
          </w:p>
          <w:p w14:paraId="78DFB812" w14:textId="77777777" w:rsidR="00F40884" w:rsidRPr="00D50344" w:rsidRDefault="00F40884" w:rsidP="00EE50A4">
            <w:pPr>
              <w:pStyle w:val="TTableText"/>
            </w:pPr>
            <w:r>
              <w:t>No</w:t>
            </w:r>
          </w:p>
        </w:tc>
        <w:tc>
          <w:tcPr>
            <w:tcW w:w="1363" w:type="dxa"/>
          </w:tcPr>
          <w:p w14:paraId="39A571F1" w14:textId="77777777" w:rsidR="00F40884" w:rsidRDefault="00F40884" w:rsidP="00EE50A4">
            <w:pPr>
              <w:pStyle w:val="TTableText"/>
            </w:pPr>
          </w:p>
          <w:p w14:paraId="1B10F781" w14:textId="77777777" w:rsidR="00F40884" w:rsidRPr="00D50344" w:rsidRDefault="00F40884" w:rsidP="00EE50A4">
            <w:pPr>
              <w:pStyle w:val="TTableText"/>
            </w:pPr>
            <w:r>
              <w:t>Yes</w:t>
            </w:r>
          </w:p>
        </w:tc>
        <w:tc>
          <w:tcPr>
            <w:tcW w:w="1363" w:type="dxa"/>
          </w:tcPr>
          <w:p w14:paraId="74F3D83E" w14:textId="77777777" w:rsidR="00F40884" w:rsidRDefault="00F40884" w:rsidP="00EE50A4">
            <w:pPr>
              <w:pStyle w:val="TTableText"/>
            </w:pPr>
          </w:p>
          <w:p w14:paraId="49BBAE32" w14:textId="77777777" w:rsidR="00F40884" w:rsidRPr="00D50344" w:rsidRDefault="00F40884" w:rsidP="00EE50A4">
            <w:pPr>
              <w:pStyle w:val="TTableText"/>
            </w:pPr>
            <w:r>
              <w:t>Yes</w:t>
            </w:r>
          </w:p>
        </w:tc>
        <w:tc>
          <w:tcPr>
            <w:tcW w:w="1361" w:type="dxa"/>
          </w:tcPr>
          <w:p w14:paraId="40168EC1" w14:textId="77777777" w:rsidR="00F40884" w:rsidRDefault="00F40884" w:rsidP="00EE50A4">
            <w:pPr>
              <w:pStyle w:val="TTableText"/>
            </w:pPr>
          </w:p>
          <w:p w14:paraId="3C6F4CBE" w14:textId="77777777" w:rsidR="00F40884" w:rsidRPr="00D50344" w:rsidRDefault="00F40884" w:rsidP="00EE50A4">
            <w:pPr>
              <w:pStyle w:val="TTableText"/>
            </w:pPr>
            <w:r>
              <w:t>Yes</w:t>
            </w:r>
          </w:p>
        </w:tc>
        <w:tc>
          <w:tcPr>
            <w:tcW w:w="1100" w:type="dxa"/>
          </w:tcPr>
          <w:p w14:paraId="14DFEB92" w14:textId="77777777" w:rsidR="00F40884" w:rsidRDefault="00F40884" w:rsidP="00EE50A4">
            <w:pPr>
              <w:pStyle w:val="TTableText"/>
            </w:pPr>
          </w:p>
          <w:p w14:paraId="6D5CEBA5" w14:textId="77777777" w:rsidR="00F40884" w:rsidRPr="00D50344" w:rsidRDefault="00F40884" w:rsidP="00EE50A4">
            <w:pPr>
              <w:pStyle w:val="TTableText"/>
            </w:pPr>
            <w:r>
              <w:t>No</w:t>
            </w:r>
          </w:p>
        </w:tc>
      </w:tr>
    </w:tbl>
    <w:p w14:paraId="3B8C8846" w14:textId="2569F863" w:rsidR="00F40884" w:rsidRPr="00D11EA0" w:rsidRDefault="00F40884" w:rsidP="00F40884">
      <w:pPr>
        <w:pStyle w:val="NoSpacing"/>
        <w:sectPr w:rsidR="00F40884" w:rsidRPr="00D11EA0">
          <w:pgSz w:w="11906" w:h="16838"/>
          <w:pgMar w:top="1440" w:right="1440" w:bottom="1440" w:left="1440" w:header="708" w:footer="708" w:gutter="0"/>
          <w:cols w:space="720"/>
        </w:sectPr>
      </w:pPr>
    </w:p>
    <w:p w14:paraId="10B040D3" w14:textId="77777777" w:rsidR="0097029E" w:rsidRDefault="0097029E"/>
    <w:sectPr w:rsidR="0097029E" w:rsidSect="00F82602">
      <w:footerReference w:type="default" r:id="rId12"/>
      <w:pgSz w:w="11909" w:h="16834"/>
      <w:pgMar w:top="1440" w:right="1136" w:bottom="1276" w:left="12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E0849" w14:textId="77777777" w:rsidR="00D25139" w:rsidRDefault="00D25139">
      <w:pPr>
        <w:spacing w:line="240" w:lineRule="auto"/>
      </w:pPr>
      <w:r>
        <w:separator/>
      </w:r>
    </w:p>
  </w:endnote>
  <w:endnote w:type="continuationSeparator" w:id="0">
    <w:p w14:paraId="2566C8B7" w14:textId="77777777" w:rsidR="00D25139" w:rsidRDefault="00D251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Linotype-Bold">
    <w:altName w:val="Palatino Linotype"/>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F7257" w14:textId="77777777" w:rsidR="00C86C77" w:rsidRDefault="000E3C62">
    <w:pPr>
      <w:jc w:val="center"/>
    </w:pPr>
    <w:r>
      <w:fldChar w:fldCharType="begin"/>
    </w:r>
    <w:r>
      <w:instrText>PAGE</w:instrText>
    </w:r>
    <w:r>
      <w:fldChar w:fldCharType="separate"/>
    </w:r>
    <w:r w:rsidR="00DA6B16">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E61DE" w14:textId="77777777" w:rsidR="00D25139" w:rsidRDefault="00D25139">
      <w:pPr>
        <w:spacing w:line="240" w:lineRule="auto"/>
      </w:pPr>
      <w:r>
        <w:separator/>
      </w:r>
    </w:p>
  </w:footnote>
  <w:footnote w:type="continuationSeparator" w:id="0">
    <w:p w14:paraId="2246335D" w14:textId="77777777" w:rsidR="00D25139" w:rsidRDefault="00D251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228C"/>
    <w:multiLevelType w:val="hybridMultilevel"/>
    <w:tmpl w:val="0C462D62"/>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 w15:restartNumberingAfterBreak="0">
    <w:nsid w:val="18ED7141"/>
    <w:multiLevelType w:val="hybridMultilevel"/>
    <w:tmpl w:val="E29C345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431F53"/>
    <w:multiLevelType w:val="hybridMultilevel"/>
    <w:tmpl w:val="F9663F7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8173C8E"/>
    <w:multiLevelType w:val="hybridMultilevel"/>
    <w:tmpl w:val="527A9504"/>
    <w:lvl w:ilvl="0" w:tplc="521A031C">
      <w:start w:val="1"/>
      <w:numFmt w:val="decimal"/>
      <w:pStyle w:val="ParaNumbered"/>
      <w:lvlText w:val="%1 "/>
      <w:lvlJc w:val="left"/>
      <w:pPr>
        <w:ind w:left="785"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0919AB"/>
    <w:multiLevelType w:val="hybridMultilevel"/>
    <w:tmpl w:val="DCBE02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E617D61"/>
    <w:multiLevelType w:val="hybridMultilevel"/>
    <w:tmpl w:val="F9885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AE3B86"/>
    <w:multiLevelType w:val="hybridMultilevel"/>
    <w:tmpl w:val="71765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C4233A"/>
    <w:multiLevelType w:val="hybridMultilevel"/>
    <w:tmpl w:val="994A1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9C7C2D"/>
    <w:multiLevelType w:val="hybridMultilevel"/>
    <w:tmpl w:val="55CE56E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6054DB"/>
    <w:multiLevelType w:val="hybridMultilevel"/>
    <w:tmpl w:val="1B84D600"/>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0" w15:restartNumberingAfterBreak="0">
    <w:nsid w:val="6ADB1061"/>
    <w:multiLevelType w:val="hybridMultilevel"/>
    <w:tmpl w:val="76DEA1E0"/>
    <w:lvl w:ilvl="0" w:tplc="6A06092A">
      <w:start w:val="1"/>
      <w:numFmt w:val="decimal"/>
      <w:lvlText w:val="%1 "/>
      <w:lvlJc w:val="left"/>
      <w:pPr>
        <w:ind w:left="720"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CFB3A5B"/>
    <w:multiLevelType w:val="hybridMultilevel"/>
    <w:tmpl w:val="F2BA7BAA"/>
    <w:lvl w:ilvl="0" w:tplc="977E3336">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92E34AA"/>
    <w:multiLevelType w:val="hybridMultilevel"/>
    <w:tmpl w:val="312E0E3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7A8A4868"/>
    <w:multiLevelType w:val="hybridMultilevel"/>
    <w:tmpl w:val="3C84201A"/>
    <w:lvl w:ilvl="0" w:tplc="E3BE7F9E">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9"/>
  </w:num>
  <w:num w:numId="4">
    <w:abstractNumId w:val="11"/>
  </w:num>
  <w:num w:numId="5">
    <w:abstractNumId w:val="1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1"/>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FB8"/>
    <w:rsid w:val="00001780"/>
    <w:rsid w:val="00004A3F"/>
    <w:rsid w:val="00013D89"/>
    <w:rsid w:val="0001522C"/>
    <w:rsid w:val="000247D4"/>
    <w:rsid w:val="000349A2"/>
    <w:rsid w:val="0004790D"/>
    <w:rsid w:val="0005594C"/>
    <w:rsid w:val="00066395"/>
    <w:rsid w:val="0006708A"/>
    <w:rsid w:val="0007229E"/>
    <w:rsid w:val="00086A66"/>
    <w:rsid w:val="00096656"/>
    <w:rsid w:val="000A0169"/>
    <w:rsid w:val="000A1D24"/>
    <w:rsid w:val="000B0555"/>
    <w:rsid w:val="000B0AA3"/>
    <w:rsid w:val="000B0DE4"/>
    <w:rsid w:val="000C4A0F"/>
    <w:rsid w:val="000C599F"/>
    <w:rsid w:val="000D2CCC"/>
    <w:rsid w:val="000E2204"/>
    <w:rsid w:val="000E3C62"/>
    <w:rsid w:val="000E3CCF"/>
    <w:rsid w:val="000E571C"/>
    <w:rsid w:val="000E75CE"/>
    <w:rsid w:val="00111341"/>
    <w:rsid w:val="0011681E"/>
    <w:rsid w:val="001354D6"/>
    <w:rsid w:val="00171B6E"/>
    <w:rsid w:val="0018031F"/>
    <w:rsid w:val="0018054D"/>
    <w:rsid w:val="001871A8"/>
    <w:rsid w:val="00187E0D"/>
    <w:rsid w:val="00190F0A"/>
    <w:rsid w:val="001A56EC"/>
    <w:rsid w:val="001A7962"/>
    <w:rsid w:val="001B2D13"/>
    <w:rsid w:val="001C3084"/>
    <w:rsid w:val="001C50B7"/>
    <w:rsid w:val="001C7473"/>
    <w:rsid w:val="001D153D"/>
    <w:rsid w:val="001E55A0"/>
    <w:rsid w:val="001E6581"/>
    <w:rsid w:val="00201572"/>
    <w:rsid w:val="0020303E"/>
    <w:rsid w:val="00203A61"/>
    <w:rsid w:val="002076F2"/>
    <w:rsid w:val="00220EC7"/>
    <w:rsid w:val="00222054"/>
    <w:rsid w:val="0025614D"/>
    <w:rsid w:val="002710E1"/>
    <w:rsid w:val="0029235F"/>
    <w:rsid w:val="00295C3E"/>
    <w:rsid w:val="002B0584"/>
    <w:rsid w:val="002B24DB"/>
    <w:rsid w:val="002C5241"/>
    <w:rsid w:val="002D0D09"/>
    <w:rsid w:val="002E7332"/>
    <w:rsid w:val="002F73ED"/>
    <w:rsid w:val="00307ED0"/>
    <w:rsid w:val="00312737"/>
    <w:rsid w:val="00330C00"/>
    <w:rsid w:val="0035153F"/>
    <w:rsid w:val="00354BFF"/>
    <w:rsid w:val="003577E3"/>
    <w:rsid w:val="0039052C"/>
    <w:rsid w:val="003A37E0"/>
    <w:rsid w:val="003A4CF2"/>
    <w:rsid w:val="003E051C"/>
    <w:rsid w:val="003E2262"/>
    <w:rsid w:val="0040470C"/>
    <w:rsid w:val="00404B3B"/>
    <w:rsid w:val="00405AA0"/>
    <w:rsid w:val="00424BD7"/>
    <w:rsid w:val="00436A09"/>
    <w:rsid w:val="004466A3"/>
    <w:rsid w:val="00447CC7"/>
    <w:rsid w:val="00451127"/>
    <w:rsid w:val="00466693"/>
    <w:rsid w:val="00471AFB"/>
    <w:rsid w:val="00490271"/>
    <w:rsid w:val="004A1B07"/>
    <w:rsid w:val="004A4669"/>
    <w:rsid w:val="004B5B4F"/>
    <w:rsid w:val="004D191E"/>
    <w:rsid w:val="00502E36"/>
    <w:rsid w:val="00521078"/>
    <w:rsid w:val="00527A71"/>
    <w:rsid w:val="00535DA1"/>
    <w:rsid w:val="00542EEE"/>
    <w:rsid w:val="00544815"/>
    <w:rsid w:val="005455FB"/>
    <w:rsid w:val="005466F4"/>
    <w:rsid w:val="00552DE4"/>
    <w:rsid w:val="00570F58"/>
    <w:rsid w:val="00586A54"/>
    <w:rsid w:val="005926EA"/>
    <w:rsid w:val="00596A78"/>
    <w:rsid w:val="005A1516"/>
    <w:rsid w:val="005C0DE3"/>
    <w:rsid w:val="005D189F"/>
    <w:rsid w:val="005D3902"/>
    <w:rsid w:val="005F39FD"/>
    <w:rsid w:val="005F456F"/>
    <w:rsid w:val="00602D24"/>
    <w:rsid w:val="006038FB"/>
    <w:rsid w:val="00606F3E"/>
    <w:rsid w:val="00620573"/>
    <w:rsid w:val="00652124"/>
    <w:rsid w:val="0065446D"/>
    <w:rsid w:val="00656711"/>
    <w:rsid w:val="00673EF0"/>
    <w:rsid w:val="00673F49"/>
    <w:rsid w:val="00674597"/>
    <w:rsid w:val="00684C61"/>
    <w:rsid w:val="006937EA"/>
    <w:rsid w:val="006A1174"/>
    <w:rsid w:val="006A16A7"/>
    <w:rsid w:val="006B163D"/>
    <w:rsid w:val="006B7805"/>
    <w:rsid w:val="006C1A23"/>
    <w:rsid w:val="006C1B15"/>
    <w:rsid w:val="006D37FD"/>
    <w:rsid w:val="006F0193"/>
    <w:rsid w:val="00710BE6"/>
    <w:rsid w:val="00730886"/>
    <w:rsid w:val="00743502"/>
    <w:rsid w:val="00753327"/>
    <w:rsid w:val="007633AF"/>
    <w:rsid w:val="00771423"/>
    <w:rsid w:val="0078104A"/>
    <w:rsid w:val="00785D0C"/>
    <w:rsid w:val="007A1D8D"/>
    <w:rsid w:val="007C5FB4"/>
    <w:rsid w:val="007C7D5F"/>
    <w:rsid w:val="007D6570"/>
    <w:rsid w:val="007F005A"/>
    <w:rsid w:val="00800F09"/>
    <w:rsid w:val="008056B1"/>
    <w:rsid w:val="00820CAD"/>
    <w:rsid w:val="00826F07"/>
    <w:rsid w:val="00830E7E"/>
    <w:rsid w:val="008631D1"/>
    <w:rsid w:val="00864629"/>
    <w:rsid w:val="00864D82"/>
    <w:rsid w:val="0088552D"/>
    <w:rsid w:val="00886A6B"/>
    <w:rsid w:val="008A7113"/>
    <w:rsid w:val="008B3D98"/>
    <w:rsid w:val="008B480F"/>
    <w:rsid w:val="008B74AE"/>
    <w:rsid w:val="008C3EBB"/>
    <w:rsid w:val="008D2EB3"/>
    <w:rsid w:val="008D362D"/>
    <w:rsid w:val="008E2983"/>
    <w:rsid w:val="008F2786"/>
    <w:rsid w:val="009159A9"/>
    <w:rsid w:val="00915E6B"/>
    <w:rsid w:val="00927E25"/>
    <w:rsid w:val="00932937"/>
    <w:rsid w:val="00934EBC"/>
    <w:rsid w:val="00943B60"/>
    <w:rsid w:val="00955A2A"/>
    <w:rsid w:val="00963281"/>
    <w:rsid w:val="0097029E"/>
    <w:rsid w:val="00982821"/>
    <w:rsid w:val="0098717C"/>
    <w:rsid w:val="00994096"/>
    <w:rsid w:val="0099638A"/>
    <w:rsid w:val="00996DBD"/>
    <w:rsid w:val="009A4456"/>
    <w:rsid w:val="009B27C6"/>
    <w:rsid w:val="009B734E"/>
    <w:rsid w:val="009E157E"/>
    <w:rsid w:val="009E1B0A"/>
    <w:rsid w:val="009E39A7"/>
    <w:rsid w:val="009F0872"/>
    <w:rsid w:val="009F3BA6"/>
    <w:rsid w:val="009F6801"/>
    <w:rsid w:val="009F680F"/>
    <w:rsid w:val="00A070D4"/>
    <w:rsid w:val="00A10617"/>
    <w:rsid w:val="00A24F22"/>
    <w:rsid w:val="00A37214"/>
    <w:rsid w:val="00A4231A"/>
    <w:rsid w:val="00A45616"/>
    <w:rsid w:val="00A50BA1"/>
    <w:rsid w:val="00A72B59"/>
    <w:rsid w:val="00A81DA5"/>
    <w:rsid w:val="00A9258A"/>
    <w:rsid w:val="00AA135A"/>
    <w:rsid w:val="00AC681D"/>
    <w:rsid w:val="00AD0C95"/>
    <w:rsid w:val="00AE2065"/>
    <w:rsid w:val="00AE3B96"/>
    <w:rsid w:val="00AF07EB"/>
    <w:rsid w:val="00AF2055"/>
    <w:rsid w:val="00AF768C"/>
    <w:rsid w:val="00B02D00"/>
    <w:rsid w:val="00B034C7"/>
    <w:rsid w:val="00B1198B"/>
    <w:rsid w:val="00B122E3"/>
    <w:rsid w:val="00B13061"/>
    <w:rsid w:val="00B330F6"/>
    <w:rsid w:val="00B663DA"/>
    <w:rsid w:val="00B77E2D"/>
    <w:rsid w:val="00B82DDD"/>
    <w:rsid w:val="00B84221"/>
    <w:rsid w:val="00BB1A8C"/>
    <w:rsid w:val="00BB3215"/>
    <w:rsid w:val="00BB4E30"/>
    <w:rsid w:val="00BB5601"/>
    <w:rsid w:val="00BC1741"/>
    <w:rsid w:val="00BC2A1B"/>
    <w:rsid w:val="00BC5202"/>
    <w:rsid w:val="00BD166A"/>
    <w:rsid w:val="00BD66FC"/>
    <w:rsid w:val="00BF0D12"/>
    <w:rsid w:val="00C12A93"/>
    <w:rsid w:val="00C26742"/>
    <w:rsid w:val="00C27EFA"/>
    <w:rsid w:val="00C364E8"/>
    <w:rsid w:val="00C43E8D"/>
    <w:rsid w:val="00C70C98"/>
    <w:rsid w:val="00C733BC"/>
    <w:rsid w:val="00C76D25"/>
    <w:rsid w:val="00C776CE"/>
    <w:rsid w:val="00C77861"/>
    <w:rsid w:val="00C83588"/>
    <w:rsid w:val="00CA3859"/>
    <w:rsid w:val="00D11EA0"/>
    <w:rsid w:val="00D25139"/>
    <w:rsid w:val="00D413A3"/>
    <w:rsid w:val="00D46E04"/>
    <w:rsid w:val="00D651CE"/>
    <w:rsid w:val="00D83DC1"/>
    <w:rsid w:val="00D92D58"/>
    <w:rsid w:val="00DA0B94"/>
    <w:rsid w:val="00DA6B16"/>
    <w:rsid w:val="00DB2A1A"/>
    <w:rsid w:val="00DB2B12"/>
    <w:rsid w:val="00DC2667"/>
    <w:rsid w:val="00DD42BB"/>
    <w:rsid w:val="00DE55BA"/>
    <w:rsid w:val="00DE5877"/>
    <w:rsid w:val="00DE7B6A"/>
    <w:rsid w:val="00DF0637"/>
    <w:rsid w:val="00E02DB4"/>
    <w:rsid w:val="00E25F29"/>
    <w:rsid w:val="00E26139"/>
    <w:rsid w:val="00E352C0"/>
    <w:rsid w:val="00E43995"/>
    <w:rsid w:val="00E721EE"/>
    <w:rsid w:val="00E91D70"/>
    <w:rsid w:val="00E91DC8"/>
    <w:rsid w:val="00E94FED"/>
    <w:rsid w:val="00EA4E96"/>
    <w:rsid w:val="00EA5662"/>
    <w:rsid w:val="00EB2D0E"/>
    <w:rsid w:val="00EC2990"/>
    <w:rsid w:val="00EE1D09"/>
    <w:rsid w:val="00EE340F"/>
    <w:rsid w:val="00EF58B1"/>
    <w:rsid w:val="00EF7045"/>
    <w:rsid w:val="00F13EED"/>
    <w:rsid w:val="00F23210"/>
    <w:rsid w:val="00F353B0"/>
    <w:rsid w:val="00F40884"/>
    <w:rsid w:val="00F43B32"/>
    <w:rsid w:val="00F44975"/>
    <w:rsid w:val="00F56C10"/>
    <w:rsid w:val="00F60029"/>
    <w:rsid w:val="00F6281A"/>
    <w:rsid w:val="00F63C0C"/>
    <w:rsid w:val="00F728FF"/>
    <w:rsid w:val="00F775FB"/>
    <w:rsid w:val="00F80527"/>
    <w:rsid w:val="00F82602"/>
    <w:rsid w:val="00F84738"/>
    <w:rsid w:val="00F87952"/>
    <w:rsid w:val="00F97C25"/>
    <w:rsid w:val="00FA04D1"/>
    <w:rsid w:val="00FA6872"/>
    <w:rsid w:val="00FA7168"/>
    <w:rsid w:val="00FB1539"/>
    <w:rsid w:val="00FB2593"/>
    <w:rsid w:val="00FC3C87"/>
    <w:rsid w:val="00FD1FB8"/>
    <w:rsid w:val="00FF3B9B"/>
    <w:rsid w:val="00FF48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0BD2D0"/>
  <w15:docId w15:val="{AF6E39B2-A8E8-4B2F-A086-464691CE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D1FB8"/>
    <w:pPr>
      <w:spacing w:after="0"/>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E25F2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25F2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25F2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ableHeadings">
    <w:name w:val="T: Table Headings"/>
    <w:basedOn w:val="DefaultParagraphFont"/>
    <w:qFormat/>
    <w:rsid w:val="000C4A0F"/>
    <w:rPr>
      <w:rFonts w:ascii="Arial" w:hAnsi="Arial" w:cs="PalatinoLinotype-Bold"/>
      <w:b/>
      <w:bCs/>
      <w:color w:val="000000"/>
      <w:sz w:val="16"/>
    </w:rPr>
  </w:style>
  <w:style w:type="character" w:customStyle="1" w:styleId="CDefault">
    <w:name w:val="C: Default"/>
    <w:basedOn w:val="DefaultParagraphFont"/>
    <w:uiPriority w:val="1"/>
    <w:qFormat/>
    <w:rsid w:val="000C4A0F"/>
  </w:style>
  <w:style w:type="paragraph" w:styleId="FootnoteText">
    <w:name w:val="footnote text"/>
    <w:aliases w:val="F: Footnote Text"/>
    <w:basedOn w:val="Normal"/>
    <w:link w:val="FootnoteTextChar"/>
    <w:uiPriority w:val="99"/>
    <w:unhideWhenUsed/>
    <w:qFormat/>
    <w:rsid w:val="00201572"/>
    <w:pPr>
      <w:spacing w:line="240" w:lineRule="auto"/>
    </w:pPr>
    <w:rPr>
      <w:rFonts w:asciiTheme="minorHAnsi" w:eastAsiaTheme="minorEastAsia" w:hAnsiTheme="minorHAnsi" w:cstheme="minorBidi"/>
      <w:color w:val="auto"/>
      <w:sz w:val="18"/>
      <w:szCs w:val="20"/>
    </w:rPr>
  </w:style>
  <w:style w:type="character" w:customStyle="1" w:styleId="FootnoteTextChar">
    <w:name w:val="Footnote Text Char"/>
    <w:aliases w:val="F: Footnote Text Char"/>
    <w:basedOn w:val="DefaultParagraphFont"/>
    <w:link w:val="FootnoteText"/>
    <w:uiPriority w:val="99"/>
    <w:rsid w:val="00201572"/>
    <w:rPr>
      <w:rFonts w:eastAsiaTheme="minorEastAsia"/>
      <w:sz w:val="18"/>
      <w:szCs w:val="20"/>
      <w:lang w:eastAsia="en-GB"/>
    </w:rPr>
  </w:style>
  <w:style w:type="paragraph" w:customStyle="1" w:styleId="ParaNumbered">
    <w:name w:val="Para: Numbered"/>
    <w:basedOn w:val="Normal"/>
    <w:link w:val="ParaNumberedChar"/>
    <w:qFormat/>
    <w:rsid w:val="00EA5662"/>
    <w:pPr>
      <w:widowControl w:val="0"/>
      <w:numPr>
        <w:numId w:val="1"/>
      </w:numPr>
      <w:tabs>
        <w:tab w:val="num" w:pos="360"/>
      </w:tabs>
      <w:suppressAutoHyphens/>
      <w:autoSpaceDE w:val="0"/>
      <w:autoSpaceDN w:val="0"/>
      <w:adjustRightInd w:val="0"/>
      <w:spacing w:after="150" w:line="200" w:lineRule="atLeast"/>
      <w:ind w:left="714" w:hanging="357"/>
      <w:textAlignment w:val="center"/>
    </w:pPr>
    <w:rPr>
      <w:rFonts w:ascii="Palatino Linotype" w:eastAsiaTheme="minorEastAsia" w:hAnsi="Palatino Linotype" w:cs="PalatinoLinotype-Roman"/>
      <w:sz w:val="20"/>
      <w:szCs w:val="24"/>
    </w:rPr>
  </w:style>
  <w:style w:type="character" w:customStyle="1" w:styleId="ParaNumberedChar">
    <w:name w:val="Para: Numbered Char"/>
    <w:basedOn w:val="DefaultParagraphFont"/>
    <w:link w:val="ParaNumbered"/>
    <w:rsid w:val="00EA5662"/>
    <w:rPr>
      <w:rFonts w:ascii="Palatino Linotype" w:eastAsiaTheme="minorEastAsia" w:hAnsi="Palatino Linotype" w:cs="PalatinoLinotype-Roman"/>
      <w:color w:val="000000"/>
      <w:sz w:val="20"/>
      <w:szCs w:val="24"/>
      <w:lang w:eastAsia="en-GB"/>
    </w:rPr>
  </w:style>
  <w:style w:type="paragraph" w:styleId="ListParagraph">
    <w:name w:val="List Paragraph"/>
    <w:aliases w:val="Dot pt,OBC Bullet,List Paragraph11,List Paragrap,Colorful List - Accent 12,Bullet Styl,Bullet,No Spacing11,L,Párrafo de lista,Recommendation,Recommendati,Recommendatio,List Paragraph3,List Paragra,Maire,List Paragraph12,Normal numbered"/>
    <w:basedOn w:val="Normal"/>
    <w:link w:val="ListParagraphChar"/>
    <w:uiPriority w:val="34"/>
    <w:qFormat/>
    <w:rsid w:val="00982821"/>
    <w:pPr>
      <w:ind w:left="720"/>
      <w:contextualSpacing/>
    </w:pPr>
  </w:style>
  <w:style w:type="character" w:styleId="Hyperlink">
    <w:name w:val="Hyperlink"/>
    <w:basedOn w:val="DefaultParagraphFont"/>
    <w:uiPriority w:val="99"/>
    <w:unhideWhenUsed/>
    <w:rsid w:val="009E157E"/>
    <w:rPr>
      <w:color w:val="0000FF" w:themeColor="hyperlink"/>
      <w:u w:val="single"/>
    </w:rPr>
  </w:style>
  <w:style w:type="character" w:styleId="CommentReference">
    <w:name w:val="annotation reference"/>
    <w:basedOn w:val="DefaultParagraphFont"/>
    <w:uiPriority w:val="99"/>
    <w:semiHidden/>
    <w:unhideWhenUsed/>
    <w:rsid w:val="00A72B59"/>
    <w:rPr>
      <w:sz w:val="16"/>
      <w:szCs w:val="16"/>
    </w:rPr>
  </w:style>
  <w:style w:type="paragraph" w:styleId="CommentText">
    <w:name w:val="annotation text"/>
    <w:basedOn w:val="Normal"/>
    <w:link w:val="CommentTextChar"/>
    <w:uiPriority w:val="99"/>
    <w:semiHidden/>
    <w:unhideWhenUsed/>
    <w:rsid w:val="00A72B59"/>
    <w:pPr>
      <w:spacing w:line="240" w:lineRule="auto"/>
    </w:pPr>
    <w:rPr>
      <w:sz w:val="20"/>
      <w:szCs w:val="20"/>
    </w:rPr>
  </w:style>
  <w:style w:type="character" w:customStyle="1" w:styleId="CommentTextChar">
    <w:name w:val="Comment Text Char"/>
    <w:basedOn w:val="DefaultParagraphFont"/>
    <w:link w:val="CommentText"/>
    <w:uiPriority w:val="99"/>
    <w:semiHidden/>
    <w:rsid w:val="00A72B59"/>
    <w:rPr>
      <w:rFonts w:ascii="Arial" w:eastAsia="Arial" w:hAnsi="Arial" w:cs="Arial"/>
      <w:color w:val="000000"/>
      <w:sz w:val="20"/>
      <w:szCs w:val="20"/>
      <w:lang w:eastAsia="en-GB"/>
    </w:rPr>
  </w:style>
  <w:style w:type="paragraph" w:styleId="BalloonText">
    <w:name w:val="Balloon Text"/>
    <w:basedOn w:val="Normal"/>
    <w:link w:val="BalloonTextChar"/>
    <w:uiPriority w:val="99"/>
    <w:semiHidden/>
    <w:unhideWhenUsed/>
    <w:rsid w:val="00A72B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B59"/>
    <w:rPr>
      <w:rFonts w:ascii="Tahoma" w:eastAsia="Arial" w:hAnsi="Tahoma" w:cs="Tahoma"/>
      <w:color w:val="000000"/>
      <w:sz w:val="16"/>
      <w:szCs w:val="16"/>
      <w:lang w:eastAsia="en-GB"/>
    </w:rPr>
  </w:style>
  <w:style w:type="paragraph" w:customStyle="1" w:styleId="TTableText">
    <w:name w:val="T: Table Text"/>
    <w:basedOn w:val="Normal"/>
    <w:qFormat/>
    <w:rsid w:val="00915E6B"/>
    <w:pPr>
      <w:widowControl w:val="0"/>
      <w:suppressAutoHyphens/>
      <w:autoSpaceDE w:val="0"/>
      <w:autoSpaceDN w:val="0"/>
      <w:adjustRightInd w:val="0"/>
      <w:spacing w:after="120" w:line="240" w:lineRule="atLeast"/>
      <w:textAlignment w:val="center"/>
    </w:pPr>
    <w:rPr>
      <w:rFonts w:eastAsiaTheme="minorEastAsia" w:cs="HelveticaNeue"/>
      <w:sz w:val="16"/>
      <w:szCs w:val="20"/>
      <w:lang w:val="en-US" w:eastAsia="en-US" w:bidi="en-US"/>
    </w:rPr>
  </w:style>
  <w:style w:type="table" w:customStyle="1" w:styleId="ENGeneralTable">
    <w:name w:val="EN General Table"/>
    <w:basedOn w:val="TableNormal"/>
    <w:uiPriority w:val="99"/>
    <w:qFormat/>
    <w:rsid w:val="00915E6B"/>
    <w:pPr>
      <w:spacing w:after="0" w:line="240" w:lineRule="auto"/>
    </w:pPr>
    <w:rPr>
      <w:rFonts w:ascii="Arial" w:eastAsiaTheme="minorEastAsia" w:hAnsi="Arial"/>
      <w:sz w:val="16"/>
      <w:lang w:val="en-US" w:bidi="en-US"/>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
    <w:tblStylePr w:type="firstRow">
      <w:rPr>
        <w:rFonts w:ascii="Arial" w:hAnsi="Arial"/>
        <w:b/>
        <w:sz w:val="16"/>
      </w:rPr>
    </w:tblStylePr>
  </w:style>
  <w:style w:type="paragraph" w:styleId="CommentSubject">
    <w:name w:val="annotation subject"/>
    <w:basedOn w:val="CommentText"/>
    <w:next w:val="CommentText"/>
    <w:link w:val="CommentSubjectChar"/>
    <w:uiPriority w:val="99"/>
    <w:semiHidden/>
    <w:unhideWhenUsed/>
    <w:rsid w:val="000A1D24"/>
    <w:rPr>
      <w:b/>
      <w:bCs/>
    </w:rPr>
  </w:style>
  <w:style w:type="character" w:customStyle="1" w:styleId="CommentSubjectChar">
    <w:name w:val="Comment Subject Char"/>
    <w:basedOn w:val="CommentTextChar"/>
    <w:link w:val="CommentSubject"/>
    <w:uiPriority w:val="99"/>
    <w:semiHidden/>
    <w:rsid w:val="000A1D24"/>
    <w:rPr>
      <w:rFonts w:ascii="Arial" w:eastAsia="Arial" w:hAnsi="Arial" w:cs="Arial"/>
      <w:b/>
      <w:bCs/>
      <w:color w:val="000000"/>
      <w:sz w:val="20"/>
      <w:szCs w:val="20"/>
      <w:lang w:eastAsia="en-GB"/>
    </w:rPr>
  </w:style>
  <w:style w:type="character" w:styleId="FootnoteReference">
    <w:name w:val="footnote reference"/>
    <w:basedOn w:val="DefaultParagraphFont"/>
    <w:uiPriority w:val="99"/>
    <w:semiHidden/>
    <w:unhideWhenUsed/>
    <w:rsid w:val="00596A78"/>
    <w:rPr>
      <w:vertAlign w:val="superscript"/>
    </w:rPr>
  </w:style>
  <w:style w:type="character" w:customStyle="1" w:styleId="HSubheading4Char">
    <w:name w:val="H: Subheading 4 Char"/>
    <w:basedOn w:val="DefaultParagraphFont"/>
    <w:link w:val="HSubheading4"/>
    <w:locked/>
    <w:rsid w:val="00E25F29"/>
    <w:rPr>
      <w:rFonts w:ascii="Palatino Linotype" w:eastAsiaTheme="majorEastAsia" w:hAnsi="Palatino Linotype" w:cstheme="majorBidi"/>
      <w:color w:val="0070C0"/>
      <w:sz w:val="24"/>
      <w:szCs w:val="24"/>
      <w:lang w:val="en-US" w:bidi="en-US"/>
    </w:rPr>
  </w:style>
  <w:style w:type="paragraph" w:customStyle="1" w:styleId="HSubheading4">
    <w:name w:val="H: Subheading 4"/>
    <w:basedOn w:val="Heading4"/>
    <w:next w:val="ParaNumbered"/>
    <w:link w:val="HSubheading4Char"/>
    <w:qFormat/>
    <w:rsid w:val="00E25F29"/>
    <w:pPr>
      <w:keepNext w:val="0"/>
      <w:keepLines w:val="0"/>
      <w:widowControl w:val="0"/>
      <w:suppressAutoHyphens/>
      <w:autoSpaceDE w:val="0"/>
      <w:autoSpaceDN w:val="0"/>
      <w:adjustRightInd w:val="0"/>
      <w:spacing w:before="0" w:line="240" w:lineRule="auto"/>
      <w:contextualSpacing/>
    </w:pPr>
    <w:rPr>
      <w:rFonts w:ascii="Palatino Linotype" w:hAnsi="Palatino Linotype"/>
      <w:i w:val="0"/>
      <w:iCs w:val="0"/>
      <w:color w:val="0070C0"/>
      <w:sz w:val="24"/>
      <w:szCs w:val="24"/>
      <w:lang w:val="en-US" w:eastAsia="en-US" w:bidi="en-US"/>
    </w:rPr>
  </w:style>
  <w:style w:type="character" w:customStyle="1" w:styleId="HSubheading3Char">
    <w:name w:val="H: Subheading 3 Char"/>
    <w:basedOn w:val="DefaultParagraphFont"/>
    <w:link w:val="HSubheading3"/>
    <w:locked/>
    <w:rsid w:val="00E25F29"/>
    <w:rPr>
      <w:rFonts w:ascii="Arial" w:eastAsiaTheme="majorEastAsia" w:hAnsi="Arial" w:cs="Arial"/>
      <w:b/>
      <w:bCs/>
      <w:color w:val="0070C0"/>
      <w:sz w:val="28"/>
      <w:szCs w:val="28"/>
      <w:lang w:val="en-US" w:bidi="en-US"/>
    </w:rPr>
  </w:style>
  <w:style w:type="paragraph" w:customStyle="1" w:styleId="HSubheading3">
    <w:name w:val="H: Subheading 3"/>
    <w:basedOn w:val="Heading3"/>
    <w:next w:val="ParaNumbered"/>
    <w:link w:val="HSubheading3Char"/>
    <w:qFormat/>
    <w:rsid w:val="00E25F29"/>
    <w:pPr>
      <w:keepNext w:val="0"/>
      <w:keepLines w:val="0"/>
      <w:widowControl w:val="0"/>
      <w:suppressAutoHyphens/>
      <w:autoSpaceDE w:val="0"/>
      <w:autoSpaceDN w:val="0"/>
      <w:adjustRightInd w:val="0"/>
      <w:spacing w:before="60" w:line="240" w:lineRule="auto"/>
      <w:contextualSpacing/>
    </w:pPr>
    <w:rPr>
      <w:rFonts w:ascii="Arial" w:hAnsi="Arial" w:cs="Arial"/>
      <w:b/>
      <w:bCs/>
      <w:color w:val="0070C0"/>
      <w:sz w:val="28"/>
      <w:szCs w:val="28"/>
      <w:lang w:val="en-US" w:eastAsia="en-US" w:bidi="en-US"/>
    </w:rPr>
  </w:style>
  <w:style w:type="character" w:customStyle="1" w:styleId="HSubheading2Char">
    <w:name w:val="H: Subheading 2 Char"/>
    <w:basedOn w:val="HSubheading3Char"/>
    <w:link w:val="HSubheading2"/>
    <w:locked/>
    <w:rsid w:val="00E25F29"/>
    <w:rPr>
      <w:rFonts w:ascii="Arial" w:eastAsiaTheme="majorEastAsia" w:hAnsi="Arial" w:cs="Arial"/>
      <w:b/>
      <w:bCs w:val="0"/>
      <w:color w:val="0070C0"/>
      <w:sz w:val="32"/>
      <w:szCs w:val="32"/>
      <w:lang w:val="en-US" w:bidi="en-US"/>
    </w:rPr>
  </w:style>
  <w:style w:type="paragraph" w:customStyle="1" w:styleId="HSubheading2">
    <w:name w:val="H: Subheading 2"/>
    <w:basedOn w:val="Heading2"/>
    <w:next w:val="ParaNumbered"/>
    <w:link w:val="HSubheading2Char"/>
    <w:qFormat/>
    <w:rsid w:val="00E25F29"/>
    <w:pPr>
      <w:keepNext w:val="0"/>
      <w:keepLines w:val="0"/>
      <w:widowControl w:val="0"/>
      <w:suppressAutoHyphens/>
      <w:autoSpaceDE w:val="0"/>
      <w:autoSpaceDN w:val="0"/>
      <w:adjustRightInd w:val="0"/>
      <w:spacing w:before="240" w:line="240" w:lineRule="auto"/>
      <w:contextualSpacing/>
    </w:pPr>
    <w:rPr>
      <w:rFonts w:ascii="Arial" w:hAnsi="Arial" w:cs="Arial"/>
      <w:b/>
      <w:color w:val="0070C0"/>
      <w:sz w:val="32"/>
      <w:szCs w:val="32"/>
      <w:lang w:val="en-US" w:eastAsia="en-US" w:bidi="en-US"/>
    </w:rPr>
  </w:style>
  <w:style w:type="character" w:customStyle="1" w:styleId="Heading4Char">
    <w:name w:val="Heading 4 Char"/>
    <w:basedOn w:val="DefaultParagraphFont"/>
    <w:link w:val="Heading4"/>
    <w:uiPriority w:val="9"/>
    <w:semiHidden/>
    <w:rsid w:val="00E25F29"/>
    <w:rPr>
      <w:rFonts w:asciiTheme="majorHAnsi" w:eastAsiaTheme="majorEastAsia" w:hAnsiTheme="majorHAnsi" w:cstheme="majorBidi"/>
      <w:i/>
      <w:iCs/>
      <w:color w:val="365F91" w:themeColor="accent1" w:themeShade="BF"/>
      <w:lang w:eastAsia="en-GB"/>
    </w:rPr>
  </w:style>
  <w:style w:type="character" w:customStyle="1" w:styleId="Heading3Char">
    <w:name w:val="Heading 3 Char"/>
    <w:basedOn w:val="DefaultParagraphFont"/>
    <w:link w:val="Heading3"/>
    <w:uiPriority w:val="9"/>
    <w:semiHidden/>
    <w:rsid w:val="00E25F29"/>
    <w:rPr>
      <w:rFonts w:asciiTheme="majorHAnsi" w:eastAsiaTheme="majorEastAsia" w:hAnsiTheme="majorHAnsi" w:cstheme="majorBidi"/>
      <w:color w:val="243F60" w:themeColor="accent1" w:themeShade="7F"/>
      <w:sz w:val="24"/>
      <w:szCs w:val="24"/>
      <w:lang w:eastAsia="en-GB"/>
    </w:rPr>
  </w:style>
  <w:style w:type="character" w:customStyle="1" w:styleId="Heading2Char">
    <w:name w:val="Heading 2 Char"/>
    <w:basedOn w:val="DefaultParagraphFont"/>
    <w:link w:val="Heading2"/>
    <w:uiPriority w:val="9"/>
    <w:semiHidden/>
    <w:rsid w:val="00E25F29"/>
    <w:rPr>
      <w:rFonts w:asciiTheme="majorHAnsi" w:eastAsiaTheme="majorEastAsia" w:hAnsiTheme="majorHAnsi" w:cstheme="majorBidi"/>
      <w:color w:val="365F91" w:themeColor="accent1" w:themeShade="BF"/>
      <w:sz w:val="26"/>
      <w:szCs w:val="26"/>
      <w:lang w:eastAsia="en-GB"/>
    </w:rPr>
  </w:style>
  <w:style w:type="paragraph" w:styleId="NoSpacing">
    <w:name w:val="No Spacing"/>
    <w:uiPriority w:val="1"/>
    <w:qFormat/>
    <w:rsid w:val="005926EA"/>
    <w:pPr>
      <w:spacing w:after="0" w:line="240" w:lineRule="auto"/>
    </w:pPr>
    <w:rPr>
      <w:rFonts w:ascii="Arial" w:eastAsia="Arial" w:hAnsi="Arial" w:cs="Arial"/>
      <w:color w:val="000000"/>
      <w:lang w:eastAsia="en-GB"/>
    </w:rPr>
  </w:style>
  <w:style w:type="character" w:customStyle="1" w:styleId="ListParagraphChar">
    <w:name w:val="List Paragraph Char"/>
    <w:aliases w:val="Dot pt Char,OBC Bullet Char,List Paragraph11 Char,List Paragrap Char,Colorful List - Accent 12 Char,Bullet Styl Char,Bullet Char,No Spacing11 Char,L Char,Párrafo de lista Char,Recommendation Char,Recommendati Char,Recommendatio Char"/>
    <w:basedOn w:val="DefaultParagraphFont"/>
    <w:link w:val="ListParagraph"/>
    <w:uiPriority w:val="34"/>
    <w:qFormat/>
    <w:locked/>
    <w:rsid w:val="00171B6E"/>
    <w:rPr>
      <w:rFonts w:ascii="Arial" w:eastAsia="Arial" w:hAnsi="Arial" w:cs="Arial"/>
      <w:color w:val="000000"/>
      <w:lang w:eastAsia="en-GB"/>
    </w:rPr>
  </w:style>
  <w:style w:type="character" w:customStyle="1" w:styleId="legaddition">
    <w:name w:val="legaddition"/>
    <w:basedOn w:val="DefaultParagraphFont"/>
    <w:rsid w:val="0011681E"/>
  </w:style>
  <w:style w:type="character" w:styleId="UnresolvedMention">
    <w:name w:val="Unresolved Mention"/>
    <w:basedOn w:val="DefaultParagraphFont"/>
    <w:uiPriority w:val="99"/>
    <w:semiHidden/>
    <w:unhideWhenUsed/>
    <w:rsid w:val="00B82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30337">
      <w:bodyDiv w:val="1"/>
      <w:marLeft w:val="0"/>
      <w:marRight w:val="0"/>
      <w:marTop w:val="0"/>
      <w:marBottom w:val="0"/>
      <w:divBdr>
        <w:top w:val="none" w:sz="0" w:space="0" w:color="auto"/>
        <w:left w:val="none" w:sz="0" w:space="0" w:color="auto"/>
        <w:bottom w:val="none" w:sz="0" w:space="0" w:color="auto"/>
        <w:right w:val="none" w:sz="0" w:space="0" w:color="auto"/>
      </w:divBdr>
    </w:div>
    <w:div w:id="427429301">
      <w:bodyDiv w:val="1"/>
      <w:marLeft w:val="0"/>
      <w:marRight w:val="0"/>
      <w:marTop w:val="0"/>
      <w:marBottom w:val="0"/>
      <w:divBdr>
        <w:top w:val="none" w:sz="0" w:space="0" w:color="auto"/>
        <w:left w:val="none" w:sz="0" w:space="0" w:color="auto"/>
        <w:bottom w:val="none" w:sz="0" w:space="0" w:color="auto"/>
        <w:right w:val="none" w:sz="0" w:space="0" w:color="auto"/>
      </w:divBdr>
    </w:div>
    <w:div w:id="825516519">
      <w:bodyDiv w:val="1"/>
      <w:marLeft w:val="0"/>
      <w:marRight w:val="0"/>
      <w:marTop w:val="0"/>
      <w:marBottom w:val="0"/>
      <w:divBdr>
        <w:top w:val="none" w:sz="0" w:space="0" w:color="auto"/>
        <w:left w:val="none" w:sz="0" w:space="0" w:color="auto"/>
        <w:bottom w:val="none" w:sz="0" w:space="0" w:color="auto"/>
        <w:right w:val="none" w:sz="0" w:space="0" w:color="auto"/>
      </w:divBdr>
    </w:div>
    <w:div w:id="1114865643">
      <w:bodyDiv w:val="1"/>
      <w:marLeft w:val="0"/>
      <w:marRight w:val="0"/>
      <w:marTop w:val="0"/>
      <w:marBottom w:val="0"/>
      <w:divBdr>
        <w:top w:val="none" w:sz="0" w:space="0" w:color="auto"/>
        <w:left w:val="none" w:sz="0" w:space="0" w:color="auto"/>
        <w:bottom w:val="none" w:sz="0" w:space="0" w:color="auto"/>
        <w:right w:val="none" w:sz="0" w:space="0" w:color="auto"/>
      </w:divBdr>
    </w:div>
    <w:div w:id="1470054779">
      <w:bodyDiv w:val="1"/>
      <w:marLeft w:val="0"/>
      <w:marRight w:val="0"/>
      <w:marTop w:val="0"/>
      <w:marBottom w:val="0"/>
      <w:divBdr>
        <w:top w:val="none" w:sz="0" w:space="0" w:color="auto"/>
        <w:left w:val="none" w:sz="0" w:space="0" w:color="auto"/>
        <w:bottom w:val="none" w:sz="0" w:space="0" w:color="auto"/>
        <w:right w:val="none" w:sz="0" w:space="0" w:color="auto"/>
      </w:divBdr>
    </w:div>
    <w:div w:id="1731883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214F6BCF7878446AAB88CEE5553F459" ma:contentTypeVersion="261" ma:contentTypeDescription="Create a new document." ma:contentTypeScope="" ma:versionID="076b1b57b0bbd5fd48d96dc76436a91c">
  <xsd:schema xmlns:xsd="http://www.w3.org/2001/XMLSchema" xmlns:xs="http://www.w3.org/2001/XMLSchema" xmlns:p="http://schemas.microsoft.com/office/2006/metadata/properties" xmlns:ns2="45e11828-0de0-4109-926d-f17a3193fde5" xmlns:ns3="4600776d-0a3c-44b4-bff2-0ceaafb13046" xmlns:ns4="fed3810e-94f1-46e9-99f3-e3287a26169c" targetNamespace="http://schemas.microsoft.com/office/2006/metadata/properties" ma:root="true" ma:fieldsID="fea5740bab7ef9778f2b08bc1230ba43" ns2:_="" ns3:_="" ns4:_="">
    <xsd:import namespace="45e11828-0de0-4109-926d-f17a3193fde5"/>
    <xsd:import namespace="4600776d-0a3c-44b4-bff2-0ceaafb13046"/>
    <xsd:import namespace="fed3810e-94f1-46e9-99f3-e3287a26169c"/>
    <xsd:element name="properties">
      <xsd:complexType>
        <xsd:sequence>
          <xsd:element name="documentManagement">
            <xsd:complexType>
              <xsd:all>
                <xsd:element ref="ns2:_dlc_DocId" minOccurs="0"/>
                <xsd:element ref="ns2:_dlc_DocIdUrl" minOccurs="0"/>
                <xsd:element ref="ns2:_dlc_DocIdPersistId" minOccurs="0"/>
                <xsd:element ref="ns3:c4838c65c76546ae93d5703426802f7f" minOccurs="0"/>
                <xsd:element ref="ns3:TaxCatchAll" minOccurs="0"/>
                <xsd:element ref="ns3:TaxCatchAllLabel" minOccurs="0"/>
                <xsd:element ref="ns3:j6c5b17cd04246da82e5604daf08bc68" minOccurs="0"/>
                <xsd:element ref="ns3:g3ef09377e3444258679b6035a1ff93a" minOccurs="0"/>
                <xsd:element ref="ns3:cd0fc526a5c840319a97fd94028e9904" minOccurs="0"/>
                <xsd:element ref="ns3:k5b153ee974a4a57a7568e533217f2cb" minOccurs="0"/>
                <xsd:element ref="ns3:TransfertoArchives" minOccurs="0"/>
                <xsd:element ref="ns3:RetentionTriggerDate" minOccurs="0"/>
                <xsd:element ref="ns3:RecordNumber" minOccurs="0"/>
                <xsd:element ref="ns4:MediaServiceMetadata" minOccurs="0"/>
                <xsd:element ref="ns4:MediaServiceFastMetadata" minOccurs="0"/>
                <xsd:element ref="ns4:MediaServiceDateTaken" minOccurs="0"/>
                <xsd:element ref="ns4:MediaServiceAutoTag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11828-0de0-4109-926d-f17a3193fd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c4838c65c76546ae93d5703426802f7f" ma:index="11" nillable="true" ma:taxonomy="true" ma:internalName="c4838c65c76546ae93d5703426802f7f" ma:taxonomyFieldName="RMKeyword1" ma:displayName="RM Keyword 1" ma:default=""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353e3b9-4a8a-46d6-b6b2-56592103fb2f}" ma:internalName="TaxCatchAll" ma:showField="CatchAllData" ma:web="45e11828-0de0-4109-926d-f17a3193fde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353e3b9-4a8a-46d6-b6b2-56592103fb2f}" ma:internalName="TaxCatchAllLabel" ma:readOnly="true" ma:showField="CatchAllDataLabel" ma:web="45e11828-0de0-4109-926d-f17a3193fde5">
      <xsd:complexType>
        <xsd:complexContent>
          <xsd:extension base="dms:MultiChoiceLookup">
            <xsd:sequence>
              <xsd:element name="Value" type="dms:Lookup" maxOccurs="unbounded" minOccurs="0" nillable="true"/>
            </xsd:sequence>
          </xsd:extension>
        </xsd:complexContent>
      </xsd:complexType>
    </xsd:element>
    <xsd:element name="j6c5b17cd04246da82e5604daf08bc68" ma:index="15" nillable="true" ma:taxonomy="true" ma:internalName="j6c5b17cd04246da82e5604daf08bc68" ma:taxonomyFieldName="RMKeyword2" ma:displayName="RM Keyword 2" ma:default="3;#Procedures And Guidance|ff371ca7-c6fe-44b5-885b-2b2af847cc2a"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17" nillable="true" ma:taxonomy="true" ma:internalName="g3ef09377e3444258679b6035a1ff93a" ma:taxonomyFieldName="RMKeyword3" ma:displayName="RM Keyword 3" ma:default=""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cd0fc526a5c840319a97fd94028e9904" ma:index="19" nillable="true" ma:taxonomy="true" ma:internalName="cd0fc526a5c840319a97fd94028e9904" ma:taxonomyFieldName="RMKeyword4" ma:displayName="RM Keyword 4" ma:default=""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k5b153ee974a4a57a7568e533217f2cb" ma:index="21" nillable="true" ma:taxonomy="true" ma:internalName="k5b153ee974a4a57a7568e533217f2cb" ma:taxonomyFieldName="ProtectiveMarking" ma:displayName="Protective Marking" ma:default=""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TransfertoArchives" ma:index="23" nillable="true" ma:displayName="Transfer to Archives" ma:default="1" ma:indexed="true" ma:internalName="TransfertoArchives">
      <xsd:simpleType>
        <xsd:restriction base="dms:Boolean"/>
      </xsd:simpleType>
    </xsd:element>
    <xsd:element name="RetentionTriggerDate" ma:index="24" nillable="true" ma:displayName="Retention Trigger Date" ma:format="DateOnly" ma:internalName="RetentionTriggerDate">
      <xsd:simpleType>
        <xsd:restriction base="dms:DateTime"/>
      </xsd:simpleType>
    </xsd:element>
    <xsd:element name="RecordNumber" ma:index="25" nillable="true" ma:displayName="Record Number" ma:indexed="true" ma:internalName="Record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d3810e-94f1-46e9-99f3-e3287a26169c"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5e11828-0de0-4109-926d-f17a3193fde5">WZJR2YFFEDEZ-1403967933-216463</_dlc_DocId>
    <c4838c65c76546ae93d5703426802f7f xmlns="4600776d-0a3c-44b4-bff2-0ceaafb13046">
      <Terms xmlns="http://schemas.microsoft.com/office/infopath/2007/PartnerControls">
        <TermInfo xmlns="http://schemas.microsoft.com/office/infopath/2007/PartnerControls">
          <TermName xmlns="http://schemas.microsoft.com/office/infopath/2007/PartnerControls">Legislation</TermName>
          <TermId xmlns="http://schemas.microsoft.com/office/infopath/2007/PartnerControls">1c6e38d0-71fa-4897-ac56-b98ca3d6866a</TermId>
        </TermInfo>
      </Terms>
    </c4838c65c76546ae93d5703426802f7f>
    <TaxCatchAll xmlns="4600776d-0a3c-44b4-bff2-0ceaafb13046">
      <Value>4</Value>
    </TaxCatchAll>
    <_dlc_DocIdUrl xmlns="45e11828-0de0-4109-926d-f17a3193fde5">
      <Url>https://hopuk.sharepoint.com/sites/hct-PBO/_layouts/15/DocIdRedir.aspx?ID=WZJR2YFFEDEZ-1403967933-216463</Url>
      <Description>WZJR2YFFEDEZ-1403967933-216463</Description>
    </_dlc_DocIdUrl>
    <RecordNumber xmlns="4600776d-0a3c-44b4-bff2-0ceaafb13046" xsi:nil="true"/>
    <g3ef09377e3444258679b6035a1ff93a xmlns="4600776d-0a3c-44b4-bff2-0ceaafb13046">
      <Terms xmlns="http://schemas.microsoft.com/office/infopath/2007/PartnerControls"/>
    </g3ef09377e3444258679b6035a1ff93a>
    <k5b153ee974a4a57a7568e533217f2cb xmlns="4600776d-0a3c-44b4-bff2-0ceaafb13046">
      <Terms xmlns="http://schemas.microsoft.com/office/infopath/2007/PartnerControls"/>
    </k5b153ee974a4a57a7568e533217f2cb>
    <j6c5b17cd04246da82e5604daf08bc68 xmlns="4600776d-0a3c-44b4-bff2-0ceaafb13046">
      <Terms xmlns="http://schemas.microsoft.com/office/infopath/2007/PartnerControls"/>
    </j6c5b17cd04246da82e5604daf08bc68>
    <TransfertoArchives xmlns="4600776d-0a3c-44b4-bff2-0ceaafb13046">true</TransfertoArchives>
    <cd0fc526a5c840319a97fd94028e9904 xmlns="4600776d-0a3c-44b4-bff2-0ceaafb13046">
      <Terms xmlns="http://schemas.microsoft.com/office/infopath/2007/PartnerControls"/>
    </cd0fc526a5c840319a97fd94028e9904>
    <RetentionTriggerDate xmlns="4600776d-0a3c-44b4-bff2-0ceaafb13046" xsi:nil="true"/>
    <_dlc_DocIdPersistId xmlns="45e11828-0de0-4109-926d-f17a3193fde5">false</_dlc_DocIdPersistId>
    <SharedWithUsers xmlns="45e11828-0de0-4109-926d-f17a3193fde5">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20D3E-FAE9-409F-8157-A4413E93BF71}">
  <ds:schemaRefs>
    <ds:schemaRef ds:uri="http://schemas.microsoft.com/sharepoint/events"/>
  </ds:schemaRefs>
</ds:datastoreItem>
</file>

<file path=customXml/itemProps2.xml><?xml version="1.0" encoding="utf-8"?>
<ds:datastoreItem xmlns:ds="http://schemas.openxmlformats.org/officeDocument/2006/customXml" ds:itemID="{58A15FCB-A27B-44D7-B229-0EB185EE5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11828-0de0-4109-926d-f17a3193fde5"/>
    <ds:schemaRef ds:uri="4600776d-0a3c-44b4-bff2-0ceaafb13046"/>
    <ds:schemaRef ds:uri="fed3810e-94f1-46e9-99f3-e3287a261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4E6A7B-B78D-4FE3-9512-57739748D340}">
  <ds:schemaRefs>
    <ds:schemaRef ds:uri="http://schemas.microsoft.com/office/2006/metadata/properties"/>
    <ds:schemaRef ds:uri="http://purl.org/dc/terms/"/>
    <ds:schemaRef ds:uri="4600776d-0a3c-44b4-bff2-0ceaafb13046"/>
    <ds:schemaRef ds:uri="http://schemas.openxmlformats.org/package/2006/metadata/core-properties"/>
    <ds:schemaRef ds:uri="http://schemas.microsoft.com/office/2006/documentManagement/types"/>
    <ds:schemaRef ds:uri="http://schemas.microsoft.com/office/infopath/2007/PartnerControls"/>
    <ds:schemaRef ds:uri="fed3810e-94f1-46e9-99f3-e3287a26169c"/>
    <ds:schemaRef ds:uri="http://purl.org/dc/elements/1.1/"/>
    <ds:schemaRef ds:uri="45e11828-0de0-4109-926d-f17a3193fde5"/>
    <ds:schemaRef ds:uri="http://www.w3.org/XML/1998/namespace"/>
    <ds:schemaRef ds:uri="http://purl.org/dc/dcmitype/"/>
  </ds:schemaRefs>
</ds:datastoreItem>
</file>

<file path=customXml/itemProps4.xml><?xml version="1.0" encoding="utf-8"?>
<ds:datastoreItem xmlns:ds="http://schemas.openxmlformats.org/officeDocument/2006/customXml" ds:itemID="{26990A00-F6E4-4029-915C-53B8B1449D05}">
  <ds:schemaRefs>
    <ds:schemaRef ds:uri="http://schemas.microsoft.com/sharepoint/v3/contenttype/forms"/>
  </ds:schemaRefs>
</ds:datastoreItem>
</file>

<file path=customXml/itemProps5.xml><?xml version="1.0" encoding="utf-8"?>
<ds:datastoreItem xmlns:ds="http://schemas.openxmlformats.org/officeDocument/2006/customXml" ds:itemID="{391CCBF8-99D5-4D2B-98A5-802E9A932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1203</Words>
  <Characters>6858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Harriett (MPST)</dc:creator>
  <dc:description/>
  <cp:lastModifiedBy>Rebecca Perks</cp:lastModifiedBy>
  <cp:revision>2</cp:revision>
  <cp:lastPrinted>2018-11-28T12:49:00Z</cp:lastPrinted>
  <dcterms:created xsi:type="dcterms:W3CDTF">2019-01-15T17:08:00Z</dcterms:created>
  <dcterms:modified xsi:type="dcterms:W3CDTF">2019-01-15T17:08:00Z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0x0101001214F6BCF7878446AAB88CEE5553F459</vt:lpwstr>
  </property>
  <property fmtid="{D5CDD505-2E9C-101B-9397-08002B2CF9AE}" pid="4" name="_dlc_DocIdItemGuid">
    <vt:lpwstr>a13eb11c-a2f2-47e7-95c1-38730a4c6b4c</vt:lpwstr>
  </property>
  <property fmtid="{D5CDD505-2E9C-101B-9397-08002B2CF9AE}" pid="5" name="RMKeyword1">
    <vt:lpwstr>4;#Legislation|1c6e38d0-71fa-4897-ac56-b98ca3d6866a</vt:lpwstr>
  </property>
  <property fmtid="{D5CDD505-2E9C-101B-9397-08002B2CF9AE}" pid="6" name="RMKeyword3">
    <vt:lpwstr/>
  </property>
  <property fmtid="{D5CDD505-2E9C-101B-9397-08002B2CF9AE}" pid="7" name="Order">
    <vt:r8>21646300</vt:r8>
  </property>
  <property fmtid="{D5CDD505-2E9C-101B-9397-08002B2CF9AE}" pid="8" name="Session No.">
    <vt:lpwstr>2017-19</vt:lpwstr>
  </property>
  <property fmtid="{D5CDD505-2E9C-101B-9397-08002B2CF9AE}" pid="9" name="ToExpanded">
    <vt:lpwstr/>
  </property>
  <property fmtid="{D5CDD505-2E9C-101B-9397-08002B2CF9AE}" pid="10" name="SPIREFolderName">
    <vt:lpwstr/>
  </property>
  <property fmtid="{D5CDD505-2E9C-101B-9397-08002B2CF9AE}" pid="11" name="From1">
    <vt:lpwstr/>
  </property>
  <property fmtid="{D5CDD505-2E9C-101B-9397-08002B2CF9AE}" pid="12" name="CCExpanded">
    <vt:lpwstr/>
  </property>
  <property fmtid="{D5CDD505-2E9C-101B-9397-08002B2CF9AE}" pid="13" name="xd_ProgID">
    <vt:lpwstr/>
  </property>
  <property fmtid="{D5CDD505-2E9C-101B-9397-08002B2CF9AE}" pid="14" name="SPIREDefaultLockFileName">
    <vt:lpwstr/>
  </property>
  <property fmtid="{D5CDD505-2E9C-101B-9397-08002B2CF9AE}" pid="15" name="RMKeyword4">
    <vt:lpwstr/>
  </property>
  <property fmtid="{D5CDD505-2E9C-101B-9397-08002B2CF9AE}" pid="16" name="PublicAccessClosurePeriod">
    <vt:lpwstr/>
  </property>
  <property fmtid="{D5CDD505-2E9C-101B-9397-08002B2CF9AE}" pid="17" name="ComplianceAssetId">
    <vt:lpwstr/>
  </property>
  <property fmtid="{D5CDD505-2E9C-101B-9397-08002B2CF9AE}" pid="18" name="TemplateUrl">
    <vt:lpwstr/>
  </property>
  <property fmtid="{D5CDD505-2E9C-101B-9397-08002B2CF9AE}" pid="19" name="CC">
    <vt:lpwstr/>
  </property>
  <property fmtid="{D5CDD505-2E9C-101B-9397-08002B2CF9AE}" pid="20" name="SPIREOwner">
    <vt:lpwstr/>
  </property>
  <property fmtid="{D5CDD505-2E9C-101B-9397-08002B2CF9AE}" pid="21" name="ConversationTopic">
    <vt:lpwstr/>
  </property>
  <property fmtid="{D5CDD505-2E9C-101B-9397-08002B2CF9AE}" pid="22" name="SPIREFolderRestrictedAccess">
    <vt:lpwstr/>
  </property>
  <property fmtid="{D5CDD505-2E9C-101B-9397-08002B2CF9AE}" pid="23" name="To">
    <vt:lpwstr/>
  </property>
  <property fmtid="{D5CDD505-2E9C-101B-9397-08002B2CF9AE}" pid="24" name="RMKeyword2">
    <vt:lpwstr/>
  </property>
  <property fmtid="{D5CDD505-2E9C-101B-9397-08002B2CF9AE}" pid="25" name="ArchivalTransferPublicAccess">
    <vt:lpwstr/>
  </property>
  <property fmtid="{D5CDD505-2E9C-101B-9397-08002B2CF9AE}" pid="26" name="SPIREDisposalSchedule">
    <vt:lpwstr/>
  </property>
  <property fmtid="{D5CDD505-2E9C-101B-9397-08002B2CF9AE}" pid="27" name="HasAttachments">
    <vt:bool>false</vt:bool>
  </property>
  <property fmtid="{D5CDD505-2E9C-101B-9397-08002B2CF9AE}" pid="28" name="SPIREDisposalHold">
    <vt:lpwstr/>
  </property>
  <property fmtid="{D5CDD505-2E9C-101B-9397-08002B2CF9AE}" pid="29" name="BCCExpanded">
    <vt:lpwstr/>
  </property>
  <property fmtid="{D5CDD505-2E9C-101B-9397-08002B2CF9AE}" pid="30" name="SPIREGlobalID">
    <vt:lpwstr/>
  </property>
  <property fmtid="{D5CDD505-2E9C-101B-9397-08002B2CF9AE}" pid="31" name="Mimetype">
    <vt:lpwstr/>
  </property>
  <property fmtid="{D5CDD505-2E9C-101B-9397-08002B2CF9AE}" pid="32" name="MessageClass">
    <vt:lpwstr/>
  </property>
  <property fmtid="{D5CDD505-2E9C-101B-9397-08002B2CF9AE}" pid="33" name="ConversationID">
    <vt:lpwstr/>
  </property>
  <property fmtid="{D5CDD505-2E9C-101B-9397-08002B2CF9AE}" pid="34" name="Submitter">
    <vt:lpwstr/>
  </property>
  <property fmtid="{D5CDD505-2E9C-101B-9397-08002B2CF9AE}" pid="35" name="Fingerprint">
    <vt:lpwstr/>
  </property>
  <property fmtid="{D5CDD505-2E9C-101B-9397-08002B2CF9AE}" pid="36" name="SPIREDeclaredBy">
    <vt:lpwstr/>
  </property>
  <property fmtid="{D5CDD505-2E9C-101B-9397-08002B2CF9AE}" pid="37" name="ProtectiveMarking">
    <vt:lpwstr/>
  </property>
  <property fmtid="{D5CDD505-2E9C-101B-9397-08002B2CF9AE}" pid="38" name="URL">
    <vt:lpwstr/>
  </property>
  <property fmtid="{D5CDD505-2E9C-101B-9397-08002B2CF9AE}" pid="39" name="SentOnBehalfOf">
    <vt:lpwstr/>
  </property>
  <property fmtid="{D5CDD505-2E9C-101B-9397-08002B2CF9AE}" pid="40" name="SPIREFolderLocation">
    <vt:lpwstr/>
  </property>
  <property fmtid="{D5CDD505-2E9C-101B-9397-08002B2CF9AE}" pid="41" name="xd_Signature">
    <vt:bool>false</vt:bool>
  </property>
  <property fmtid="{D5CDD505-2E9C-101B-9397-08002B2CF9AE}" pid="42" name="BCC">
    <vt:lpwstr/>
  </property>
</Properties>
</file>