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2B13" w14:textId="77777777" w:rsidR="001D429C" w:rsidRPr="00FD7C20" w:rsidRDefault="00700D33" w:rsidP="001D429C">
      <w:pPr>
        <w:jc w:val="center"/>
        <w:rPr>
          <w:rFonts w:ascii="Arial" w:hAnsi="Arial" w:cs="Arial"/>
          <w:b/>
          <w:color w:val="006699"/>
          <w:sz w:val="28"/>
        </w:rPr>
      </w:pPr>
      <w:r>
        <w:rPr>
          <w:rFonts w:ascii="Arial" w:hAnsi="Arial" w:cs="Arial"/>
          <w:b/>
          <w:color w:val="006699"/>
          <w:sz w:val="28"/>
        </w:rPr>
        <w:t>Facts</w:t>
      </w:r>
      <w:r w:rsidR="001D429C" w:rsidRPr="00FD7C20">
        <w:rPr>
          <w:rFonts w:ascii="Arial" w:hAnsi="Arial" w:cs="Arial"/>
          <w:b/>
          <w:color w:val="006699"/>
          <w:sz w:val="28"/>
        </w:rPr>
        <w:t xml:space="preserve">heet: </w:t>
      </w:r>
      <w:r w:rsidR="008235A9">
        <w:rPr>
          <w:rFonts w:ascii="Arial" w:hAnsi="Arial" w:cs="Arial"/>
          <w:b/>
          <w:color w:val="006699"/>
          <w:sz w:val="28"/>
        </w:rPr>
        <w:t>Academy sector accounts</w:t>
      </w:r>
      <w:r w:rsidR="00E02A97">
        <w:rPr>
          <w:rFonts w:ascii="Arial" w:hAnsi="Arial" w:cs="Arial"/>
          <w:b/>
          <w:color w:val="006699"/>
          <w:sz w:val="28"/>
        </w:rPr>
        <w:t xml:space="preserve"> 2016 to 2017</w:t>
      </w:r>
    </w:p>
    <w:p w14:paraId="0ADB2F0E" w14:textId="77777777" w:rsidR="001D429C" w:rsidRPr="00FD7C20" w:rsidRDefault="001D429C" w:rsidP="001D429C">
      <w:pPr>
        <w:rPr>
          <w:rFonts w:ascii="Arial" w:hAnsi="Arial" w:cs="Arial"/>
          <w:color w:val="006699"/>
          <w:sz w:val="24"/>
          <w:szCs w:val="24"/>
        </w:rPr>
      </w:pPr>
    </w:p>
    <w:p w14:paraId="15A8D393" w14:textId="77777777" w:rsidR="001D429C" w:rsidRPr="00FD7C20" w:rsidRDefault="001D429C" w:rsidP="001D429C">
      <w:pPr>
        <w:rPr>
          <w:rFonts w:ascii="Arial" w:hAnsi="Arial" w:cs="Arial"/>
          <w:b/>
          <w:color w:val="006699"/>
          <w:sz w:val="24"/>
          <w:szCs w:val="24"/>
        </w:rPr>
      </w:pPr>
      <w:r w:rsidRPr="00FD7C20">
        <w:rPr>
          <w:rFonts w:ascii="Arial" w:hAnsi="Arial" w:cs="Arial"/>
          <w:b/>
          <w:color w:val="006699"/>
          <w:sz w:val="24"/>
          <w:szCs w:val="24"/>
        </w:rPr>
        <w:t>Summary</w:t>
      </w:r>
    </w:p>
    <w:p w14:paraId="08C97DAE" w14:textId="77777777" w:rsidR="00A24939" w:rsidRDefault="00A24939" w:rsidP="00A249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Following the publication of the academies </w:t>
      </w:r>
      <w:hyperlink r:id="rId5" w:history="1">
        <w:r w:rsidR="00651C1C" w:rsidRPr="001D5886">
          <w:rPr>
            <w:rStyle w:val="Hyperlink"/>
            <w:rFonts w:ascii="Arial" w:hAnsi="Arial" w:cs="Arial"/>
            <w:sz w:val="24"/>
          </w:rPr>
          <w:t xml:space="preserve">sector </w:t>
        </w:r>
        <w:r w:rsidRPr="001D5886">
          <w:rPr>
            <w:rStyle w:val="Hyperlink"/>
            <w:rFonts w:ascii="Arial" w:hAnsi="Arial" w:cs="Arial"/>
            <w:sz w:val="24"/>
          </w:rPr>
          <w:t>annual report and account</w:t>
        </w:r>
        <w:r w:rsidR="001D5886">
          <w:rPr>
            <w:rStyle w:val="Hyperlink"/>
            <w:rFonts w:ascii="Arial" w:hAnsi="Arial" w:cs="Arial"/>
            <w:sz w:val="24"/>
          </w:rPr>
          <w:t>s (SARA): 2016 to 2017</w:t>
        </w:r>
      </w:hyperlink>
      <w:r w:rsidR="00B330C0">
        <w:rPr>
          <w:rFonts w:ascii="Arial" w:hAnsi="Arial" w:cs="Arial"/>
          <w:sz w:val="24"/>
        </w:rPr>
        <w:t xml:space="preserve"> </w:t>
      </w:r>
      <w:r w:rsidR="000E3B32">
        <w:rPr>
          <w:rFonts w:ascii="Arial" w:hAnsi="Arial" w:cs="Arial"/>
          <w:sz w:val="24"/>
        </w:rPr>
        <w:t>on November 6</w:t>
      </w:r>
      <w:r w:rsidR="000E3B32" w:rsidRPr="000E3B32">
        <w:rPr>
          <w:rFonts w:ascii="Arial" w:hAnsi="Arial" w:cs="Arial"/>
          <w:sz w:val="24"/>
          <w:vertAlign w:val="superscript"/>
        </w:rPr>
        <w:t>th</w:t>
      </w:r>
      <w:r w:rsidR="000E3B32">
        <w:rPr>
          <w:rFonts w:ascii="Arial" w:hAnsi="Arial" w:cs="Arial"/>
          <w:sz w:val="24"/>
        </w:rPr>
        <w:t xml:space="preserve"> 2018</w:t>
      </w:r>
      <w:r>
        <w:rPr>
          <w:rFonts w:ascii="Arial" w:hAnsi="Arial" w:cs="Arial"/>
          <w:sz w:val="24"/>
        </w:rPr>
        <w:t>, t</w:t>
      </w:r>
      <w:r w:rsidR="00D82C5D">
        <w:rPr>
          <w:rFonts w:ascii="Arial" w:hAnsi="Arial" w:cs="Arial"/>
          <w:sz w:val="24"/>
        </w:rPr>
        <w:t>his fact</w:t>
      </w:r>
      <w:r w:rsidRPr="009B7759">
        <w:rPr>
          <w:rFonts w:ascii="Arial" w:hAnsi="Arial" w:cs="Arial"/>
          <w:sz w:val="24"/>
        </w:rPr>
        <w:t xml:space="preserve">sheet </w:t>
      </w:r>
      <w:r>
        <w:rPr>
          <w:rFonts w:ascii="Arial" w:hAnsi="Arial" w:cs="Arial"/>
          <w:sz w:val="24"/>
        </w:rPr>
        <w:t xml:space="preserve">explains </w:t>
      </w:r>
      <w:r w:rsidR="00640806">
        <w:rPr>
          <w:rFonts w:ascii="Arial" w:hAnsi="Arial" w:cs="Arial"/>
          <w:sz w:val="24"/>
        </w:rPr>
        <w:t xml:space="preserve">what </w:t>
      </w:r>
      <w:r w:rsidR="005F2CB6">
        <w:rPr>
          <w:rFonts w:ascii="Arial" w:hAnsi="Arial" w:cs="Arial"/>
          <w:sz w:val="24"/>
        </w:rPr>
        <w:t xml:space="preserve">the latest position on </w:t>
      </w:r>
      <w:r w:rsidR="000C2CC1">
        <w:rPr>
          <w:rFonts w:ascii="Arial" w:hAnsi="Arial" w:cs="Arial"/>
          <w:sz w:val="24"/>
        </w:rPr>
        <w:t xml:space="preserve">trust </w:t>
      </w:r>
      <w:r w:rsidR="00640806">
        <w:rPr>
          <w:rFonts w:ascii="Arial" w:hAnsi="Arial" w:cs="Arial"/>
          <w:sz w:val="24"/>
        </w:rPr>
        <w:t xml:space="preserve">revenue deficits, </w:t>
      </w:r>
      <w:r>
        <w:rPr>
          <w:rFonts w:ascii="Arial" w:hAnsi="Arial" w:cs="Arial"/>
          <w:sz w:val="24"/>
        </w:rPr>
        <w:t>the difference between income and expenditure for the sector</w:t>
      </w:r>
      <w:r w:rsidR="001F645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</w:t>
      </w:r>
      <w:r w:rsidR="007D092E">
        <w:rPr>
          <w:rFonts w:ascii="Arial" w:hAnsi="Arial" w:cs="Arial"/>
          <w:sz w:val="24"/>
          <w:szCs w:val="24"/>
        </w:rPr>
        <w:t>the reduction in net assets compared to the previous year.</w:t>
      </w:r>
    </w:p>
    <w:p w14:paraId="34E7366E" w14:textId="77777777" w:rsidR="007D092E" w:rsidRDefault="007D092E" w:rsidP="00B330C0">
      <w:pPr>
        <w:rPr>
          <w:rFonts w:ascii="Arial" w:hAnsi="Arial" w:cs="Arial"/>
          <w:sz w:val="24"/>
          <w:szCs w:val="24"/>
        </w:rPr>
      </w:pPr>
    </w:p>
    <w:p w14:paraId="251FF8F9" w14:textId="77777777" w:rsidR="00B330C0" w:rsidRPr="00531155" w:rsidRDefault="006213E1" w:rsidP="00B330C0">
      <w:pPr>
        <w:rPr>
          <w:rFonts w:ascii="Arial" w:hAnsi="Arial" w:cs="Arial"/>
          <w:b/>
          <w:color w:val="006699"/>
          <w:sz w:val="24"/>
          <w:szCs w:val="24"/>
        </w:rPr>
      </w:pPr>
      <w:r w:rsidRPr="00531155">
        <w:rPr>
          <w:rFonts w:ascii="Arial" w:hAnsi="Arial" w:cs="Arial"/>
          <w:b/>
          <w:color w:val="006699"/>
          <w:sz w:val="24"/>
          <w:szCs w:val="24"/>
        </w:rPr>
        <w:t xml:space="preserve">What </w:t>
      </w:r>
      <w:r w:rsidR="004534F0" w:rsidRPr="00531155">
        <w:rPr>
          <w:rFonts w:ascii="Arial" w:hAnsi="Arial" w:cs="Arial"/>
          <w:b/>
          <w:color w:val="006699"/>
          <w:sz w:val="24"/>
          <w:szCs w:val="24"/>
        </w:rPr>
        <w:t xml:space="preserve">does the SARA tell us about </w:t>
      </w:r>
      <w:r w:rsidR="00884E9E" w:rsidRPr="00531155">
        <w:rPr>
          <w:rFonts w:ascii="Arial" w:hAnsi="Arial" w:cs="Arial"/>
          <w:b/>
          <w:color w:val="006699"/>
          <w:sz w:val="24"/>
          <w:szCs w:val="24"/>
        </w:rPr>
        <w:t xml:space="preserve">trust revenue </w:t>
      </w:r>
      <w:r w:rsidR="004534F0" w:rsidRPr="00531155">
        <w:rPr>
          <w:rFonts w:ascii="Arial" w:hAnsi="Arial" w:cs="Arial"/>
          <w:b/>
          <w:color w:val="006699"/>
          <w:sz w:val="24"/>
          <w:szCs w:val="24"/>
        </w:rPr>
        <w:t>deficits?</w:t>
      </w:r>
    </w:p>
    <w:p w14:paraId="569F2838" w14:textId="3857ACBF" w:rsidR="00680E6D" w:rsidRDefault="008C357A" w:rsidP="00680E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0E6D">
        <w:rPr>
          <w:rFonts w:ascii="Arial" w:hAnsi="Arial" w:cs="Arial"/>
          <w:sz w:val="24"/>
          <w:szCs w:val="24"/>
        </w:rPr>
        <w:t>We trust schools to manage their own budgets and the vast majority are operating with a cumulative surplus, with only a sma</w:t>
      </w:r>
      <w:r w:rsidR="00D82C5D" w:rsidRPr="00680E6D">
        <w:rPr>
          <w:rFonts w:ascii="Arial" w:hAnsi="Arial" w:cs="Arial"/>
          <w:sz w:val="24"/>
          <w:szCs w:val="24"/>
        </w:rPr>
        <w:t xml:space="preserve">ll percentage having a deficit. </w:t>
      </w:r>
      <w:r w:rsidR="00680E6D" w:rsidRPr="00680E6D">
        <w:rPr>
          <w:rFonts w:ascii="Arial" w:hAnsi="Arial" w:cs="Arial"/>
          <w:sz w:val="24"/>
          <w:szCs w:val="24"/>
        </w:rPr>
        <w:t>As published in the SARA, the latest figures show that 94</w:t>
      </w:r>
      <w:r w:rsidR="003A6E9D">
        <w:rPr>
          <w:rFonts w:ascii="Arial" w:hAnsi="Arial" w:cs="Arial"/>
          <w:sz w:val="24"/>
          <w:szCs w:val="24"/>
        </w:rPr>
        <w:t>.1</w:t>
      </w:r>
      <w:r w:rsidR="00680E6D" w:rsidRPr="00680E6D">
        <w:rPr>
          <w:rFonts w:ascii="Arial" w:hAnsi="Arial" w:cs="Arial"/>
          <w:sz w:val="24"/>
          <w:szCs w:val="24"/>
        </w:rPr>
        <w:t>% of academy trusts are reporting a cumulative surplus or breaking even, with total</w:t>
      </w:r>
      <w:bookmarkStart w:id="0" w:name="_GoBack"/>
      <w:bookmarkEnd w:id="0"/>
      <w:r w:rsidR="00680E6D" w:rsidRPr="00680E6D">
        <w:rPr>
          <w:rFonts w:ascii="Arial" w:hAnsi="Arial" w:cs="Arial"/>
          <w:sz w:val="24"/>
          <w:szCs w:val="24"/>
        </w:rPr>
        <w:t xml:space="preserve"> surpluses of £2.</w:t>
      </w:r>
      <w:r w:rsidR="003A6E9D">
        <w:rPr>
          <w:rFonts w:ascii="Arial" w:hAnsi="Arial" w:cs="Arial"/>
          <w:sz w:val="24"/>
          <w:szCs w:val="24"/>
        </w:rPr>
        <w:t>4</w:t>
      </w:r>
      <w:r w:rsidR="003A6E9D" w:rsidRPr="00680E6D">
        <w:rPr>
          <w:rFonts w:ascii="Arial" w:hAnsi="Arial" w:cs="Arial"/>
          <w:sz w:val="24"/>
          <w:szCs w:val="24"/>
        </w:rPr>
        <w:t xml:space="preserve"> </w:t>
      </w:r>
      <w:r w:rsidR="00680E6D" w:rsidRPr="00680E6D">
        <w:rPr>
          <w:rFonts w:ascii="Arial" w:hAnsi="Arial" w:cs="Arial"/>
          <w:sz w:val="24"/>
          <w:szCs w:val="24"/>
        </w:rPr>
        <w:t xml:space="preserve">billion, against </w:t>
      </w:r>
      <w:r w:rsidR="003A6E9D">
        <w:rPr>
          <w:rFonts w:ascii="Arial" w:hAnsi="Arial" w:cs="Arial"/>
          <w:sz w:val="24"/>
          <w:szCs w:val="24"/>
        </w:rPr>
        <w:t>5.9</w:t>
      </w:r>
      <w:r w:rsidR="00680E6D" w:rsidRPr="00680E6D">
        <w:rPr>
          <w:rFonts w:ascii="Arial" w:hAnsi="Arial" w:cs="Arial"/>
          <w:sz w:val="24"/>
          <w:szCs w:val="24"/>
        </w:rPr>
        <w:t xml:space="preserve">% of trusts reporting a </w:t>
      </w:r>
      <w:r w:rsidR="002C2994">
        <w:rPr>
          <w:rFonts w:ascii="Arial" w:hAnsi="Arial" w:cs="Arial"/>
          <w:sz w:val="24"/>
          <w:szCs w:val="24"/>
        </w:rPr>
        <w:t xml:space="preserve">cumulative </w:t>
      </w:r>
      <w:r w:rsidR="00680E6D" w:rsidRPr="00680E6D">
        <w:rPr>
          <w:rFonts w:ascii="Arial" w:hAnsi="Arial" w:cs="Arial"/>
          <w:sz w:val="24"/>
          <w:szCs w:val="24"/>
        </w:rPr>
        <w:t xml:space="preserve">deficit, with a total </w:t>
      </w:r>
      <w:r w:rsidR="002C2994">
        <w:rPr>
          <w:rFonts w:ascii="Arial" w:hAnsi="Arial" w:cs="Arial"/>
          <w:sz w:val="24"/>
          <w:szCs w:val="24"/>
        </w:rPr>
        <w:t xml:space="preserve">cumulative </w:t>
      </w:r>
      <w:r w:rsidR="00680E6D" w:rsidRPr="00680E6D">
        <w:rPr>
          <w:rFonts w:ascii="Arial" w:hAnsi="Arial" w:cs="Arial"/>
          <w:sz w:val="24"/>
          <w:szCs w:val="24"/>
        </w:rPr>
        <w:t>deficit figure of £65 million.</w:t>
      </w:r>
    </w:p>
    <w:p w14:paraId="32D6DC4A" w14:textId="77777777" w:rsidR="00680E6D" w:rsidRDefault="00680E6D" w:rsidP="008C357A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sz w:val="24"/>
          <w:szCs w:val="24"/>
        </w:rPr>
      </w:pPr>
    </w:p>
    <w:p w14:paraId="77CDC498" w14:textId="77777777" w:rsidR="008C357A" w:rsidRPr="00531155" w:rsidRDefault="001B14C7" w:rsidP="00531155">
      <w:pPr>
        <w:rPr>
          <w:rFonts w:ascii="Arial" w:hAnsi="Arial" w:cs="Arial"/>
          <w:b/>
          <w:color w:val="006699"/>
          <w:sz w:val="24"/>
          <w:szCs w:val="24"/>
        </w:rPr>
      </w:pPr>
      <w:r w:rsidRPr="00531155">
        <w:rPr>
          <w:rFonts w:ascii="Arial" w:hAnsi="Arial" w:cs="Arial"/>
          <w:b/>
          <w:color w:val="006699"/>
          <w:sz w:val="24"/>
          <w:szCs w:val="24"/>
        </w:rPr>
        <w:t xml:space="preserve">Does the SARA show the academy sector </w:t>
      </w:r>
      <w:r w:rsidR="00A37850" w:rsidRPr="00531155">
        <w:rPr>
          <w:rFonts w:ascii="Arial" w:hAnsi="Arial" w:cs="Arial"/>
          <w:b/>
          <w:color w:val="006699"/>
          <w:sz w:val="24"/>
          <w:szCs w:val="24"/>
        </w:rPr>
        <w:t xml:space="preserve">is </w:t>
      </w:r>
      <w:r w:rsidRPr="00531155">
        <w:rPr>
          <w:rFonts w:ascii="Arial" w:hAnsi="Arial" w:cs="Arial"/>
          <w:b/>
          <w:color w:val="006699"/>
          <w:sz w:val="24"/>
          <w:szCs w:val="24"/>
        </w:rPr>
        <w:t xml:space="preserve">operating with </w:t>
      </w:r>
      <w:r w:rsidR="00100435" w:rsidRPr="00531155">
        <w:rPr>
          <w:rFonts w:ascii="Arial" w:hAnsi="Arial" w:cs="Arial"/>
          <w:b/>
          <w:color w:val="006699"/>
          <w:sz w:val="24"/>
          <w:szCs w:val="24"/>
        </w:rPr>
        <w:t>a £2.3bn shortfall?</w:t>
      </w:r>
    </w:p>
    <w:p w14:paraId="2BFBE086" w14:textId="77777777" w:rsidR="00862195" w:rsidRDefault="009414E1" w:rsidP="00E052A3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SARA shows</w:t>
      </w:r>
      <w:r w:rsidR="00B85647" w:rsidRPr="00E052A3">
        <w:rPr>
          <w:rFonts w:ascii="Arial" w:hAnsi="Arial" w:cs="Arial"/>
          <w:bCs/>
          <w:iCs/>
          <w:sz w:val="24"/>
          <w:szCs w:val="24"/>
        </w:rPr>
        <w:t xml:space="preserve"> that f</w:t>
      </w:r>
      <w:r w:rsidR="00862195" w:rsidRPr="00E052A3">
        <w:rPr>
          <w:rFonts w:ascii="Arial" w:hAnsi="Arial" w:cs="Arial"/>
          <w:bCs/>
          <w:iCs/>
          <w:sz w:val="24"/>
          <w:szCs w:val="24"/>
        </w:rPr>
        <w:t xml:space="preserve">or the </w:t>
      </w:r>
      <w:r w:rsidR="00B85647" w:rsidRPr="00E052A3">
        <w:rPr>
          <w:rFonts w:ascii="Arial" w:hAnsi="Arial" w:cs="Arial"/>
          <w:bCs/>
          <w:iCs/>
          <w:sz w:val="24"/>
          <w:szCs w:val="24"/>
        </w:rPr>
        <w:t xml:space="preserve">academic </w:t>
      </w:r>
      <w:r w:rsidR="00862195" w:rsidRPr="00E052A3">
        <w:rPr>
          <w:rFonts w:ascii="Arial" w:hAnsi="Arial" w:cs="Arial"/>
          <w:bCs/>
          <w:iCs/>
          <w:sz w:val="24"/>
          <w:szCs w:val="24"/>
        </w:rPr>
        <w:t xml:space="preserve">year ending 31 August 2017, the academy sector received £22.5 billion </w:t>
      </w:r>
      <w:r w:rsidR="009C4F00">
        <w:rPr>
          <w:rFonts w:ascii="Arial" w:hAnsi="Arial" w:cs="Arial"/>
          <w:bCs/>
          <w:iCs/>
          <w:sz w:val="24"/>
          <w:szCs w:val="24"/>
        </w:rPr>
        <w:t xml:space="preserve">in </w:t>
      </w:r>
      <w:r w:rsidR="00862195" w:rsidRPr="00E052A3">
        <w:rPr>
          <w:rFonts w:ascii="Arial" w:hAnsi="Arial" w:cs="Arial"/>
          <w:bCs/>
          <w:iCs/>
          <w:sz w:val="24"/>
          <w:szCs w:val="24"/>
        </w:rPr>
        <w:t>income (2015/16: £20.5 billion) and spent £24.8 billion (2015/16: £20.0 billion).</w:t>
      </w:r>
    </w:p>
    <w:p w14:paraId="78E13E55" w14:textId="77777777" w:rsidR="00531155" w:rsidRPr="00E052A3" w:rsidRDefault="00531155" w:rsidP="00531155">
      <w:pPr>
        <w:pStyle w:val="ListParagraph"/>
        <w:spacing w:line="264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42131EB" w14:textId="772E5A45" w:rsidR="008C357A" w:rsidRDefault="001B7D1F" w:rsidP="00E052A3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bCs/>
          <w:sz w:val="24"/>
          <w:szCs w:val="24"/>
        </w:rPr>
      </w:pPr>
      <w:r w:rsidRPr="00E052A3">
        <w:rPr>
          <w:rFonts w:ascii="Arial" w:hAnsi="Arial" w:cs="Arial"/>
          <w:bCs/>
          <w:sz w:val="24"/>
          <w:szCs w:val="24"/>
        </w:rPr>
        <w:t xml:space="preserve">This </w:t>
      </w:r>
      <w:r w:rsidR="008C357A" w:rsidRPr="00E052A3">
        <w:rPr>
          <w:rFonts w:ascii="Arial" w:hAnsi="Arial" w:cs="Arial"/>
          <w:bCs/>
          <w:sz w:val="24"/>
          <w:szCs w:val="24"/>
        </w:rPr>
        <w:t xml:space="preserve">shortfall </w:t>
      </w:r>
      <w:r w:rsidR="00C7541C" w:rsidRPr="00E052A3">
        <w:rPr>
          <w:rFonts w:ascii="Arial" w:hAnsi="Arial" w:cs="Arial"/>
          <w:bCs/>
          <w:sz w:val="24"/>
          <w:szCs w:val="24"/>
        </w:rPr>
        <w:t>of £</w:t>
      </w:r>
      <w:r w:rsidR="002C2994">
        <w:rPr>
          <w:rFonts w:ascii="Arial" w:hAnsi="Arial" w:cs="Arial"/>
          <w:bCs/>
          <w:sz w:val="24"/>
          <w:szCs w:val="24"/>
        </w:rPr>
        <w:t>2.3</w:t>
      </w:r>
      <w:r w:rsidR="00C7541C" w:rsidRPr="00E052A3">
        <w:rPr>
          <w:rFonts w:ascii="Arial" w:hAnsi="Arial" w:cs="Arial"/>
          <w:bCs/>
          <w:sz w:val="24"/>
          <w:szCs w:val="24"/>
        </w:rPr>
        <w:t xml:space="preserve"> billion </w:t>
      </w:r>
      <w:proofErr w:type="gramStart"/>
      <w:r w:rsidR="00C65DAD">
        <w:rPr>
          <w:rFonts w:ascii="Arial" w:hAnsi="Arial" w:cs="Arial"/>
          <w:bCs/>
          <w:sz w:val="24"/>
          <w:szCs w:val="24"/>
        </w:rPr>
        <w:t>wa</w:t>
      </w:r>
      <w:r w:rsidR="008C357A" w:rsidRPr="00E052A3">
        <w:rPr>
          <w:rFonts w:ascii="Arial" w:hAnsi="Arial" w:cs="Arial"/>
          <w:bCs/>
          <w:sz w:val="24"/>
          <w:szCs w:val="24"/>
        </w:rPr>
        <w:t>s driven</w:t>
      </w:r>
      <w:proofErr w:type="gramEnd"/>
      <w:r w:rsidR="008C357A" w:rsidRPr="00E052A3">
        <w:rPr>
          <w:rFonts w:ascii="Arial" w:hAnsi="Arial" w:cs="Arial"/>
          <w:bCs/>
          <w:sz w:val="24"/>
          <w:szCs w:val="24"/>
        </w:rPr>
        <w:t xml:space="preserve"> by an increase in </w:t>
      </w:r>
      <w:r w:rsidR="001E1E3D" w:rsidRPr="00E052A3">
        <w:rPr>
          <w:rFonts w:ascii="Arial" w:hAnsi="Arial" w:cs="Arial"/>
          <w:bCs/>
          <w:sz w:val="24"/>
          <w:szCs w:val="24"/>
        </w:rPr>
        <w:t xml:space="preserve">asset </w:t>
      </w:r>
      <w:r w:rsidR="008C357A" w:rsidRPr="00E052A3">
        <w:rPr>
          <w:rFonts w:ascii="Arial" w:hAnsi="Arial" w:cs="Arial"/>
          <w:bCs/>
          <w:sz w:val="24"/>
          <w:szCs w:val="24"/>
        </w:rPr>
        <w:t>impairment charges, which are</w:t>
      </w:r>
      <w:r w:rsidR="00190DDF" w:rsidRPr="00E052A3">
        <w:rPr>
          <w:rFonts w:ascii="Arial" w:hAnsi="Arial" w:cs="Arial"/>
          <w:bCs/>
          <w:sz w:val="24"/>
          <w:szCs w:val="24"/>
        </w:rPr>
        <w:t xml:space="preserve"> </w:t>
      </w:r>
      <w:r w:rsidR="008C357A" w:rsidRPr="00E052A3">
        <w:rPr>
          <w:rFonts w:ascii="Arial" w:hAnsi="Arial" w:cs="Arial"/>
          <w:bCs/>
          <w:sz w:val="24"/>
          <w:szCs w:val="24"/>
        </w:rPr>
        <w:t>non-cash changes to the value of land and buildings</w:t>
      </w:r>
      <w:r w:rsidR="002C2994">
        <w:rPr>
          <w:rFonts w:ascii="Arial" w:hAnsi="Arial" w:cs="Arial"/>
          <w:bCs/>
          <w:sz w:val="24"/>
          <w:szCs w:val="24"/>
        </w:rPr>
        <w:t>.</w:t>
      </w:r>
      <w:r w:rsidR="008C357A" w:rsidRPr="00E052A3">
        <w:rPr>
          <w:rFonts w:ascii="Arial" w:hAnsi="Arial" w:cs="Arial"/>
          <w:bCs/>
          <w:sz w:val="24"/>
          <w:szCs w:val="24"/>
        </w:rPr>
        <w:t xml:space="preserve"> </w:t>
      </w:r>
      <w:r w:rsidR="002C2994">
        <w:rPr>
          <w:rFonts w:ascii="Arial" w:hAnsi="Arial" w:cs="Arial"/>
          <w:bCs/>
          <w:sz w:val="24"/>
          <w:szCs w:val="24"/>
        </w:rPr>
        <w:t>A</w:t>
      </w:r>
      <w:r w:rsidR="002C2994" w:rsidRPr="00E052A3">
        <w:rPr>
          <w:rFonts w:ascii="Arial" w:hAnsi="Arial" w:cs="Arial"/>
          <w:bCs/>
          <w:sz w:val="24"/>
          <w:szCs w:val="24"/>
        </w:rPr>
        <w:t xml:space="preserve">cademies </w:t>
      </w:r>
      <w:r w:rsidR="008C357A" w:rsidRPr="00E052A3">
        <w:rPr>
          <w:rFonts w:ascii="Arial" w:hAnsi="Arial" w:cs="Arial"/>
          <w:bCs/>
          <w:sz w:val="24"/>
          <w:szCs w:val="24"/>
        </w:rPr>
        <w:t>do not have to spend money on impairment charges.</w:t>
      </w:r>
    </w:p>
    <w:p w14:paraId="38850C11" w14:textId="77777777" w:rsidR="00531155" w:rsidRPr="00531155" w:rsidRDefault="00531155" w:rsidP="0053115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32CC037" w14:textId="77777777" w:rsidR="00CC62AA" w:rsidRPr="00CC62AA" w:rsidRDefault="00CC62AA" w:rsidP="00CC62AA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bCs/>
          <w:sz w:val="24"/>
          <w:szCs w:val="24"/>
        </w:rPr>
      </w:pPr>
      <w:r w:rsidRPr="00CC62AA">
        <w:rPr>
          <w:rFonts w:ascii="Arial" w:hAnsi="Arial" w:cs="Arial"/>
          <w:bCs/>
          <w:sz w:val="24"/>
          <w:szCs w:val="24"/>
        </w:rPr>
        <w:t>The net cumulative revenue reserves of the sector have seen an increase from £2.1bn to £2.3bn.</w:t>
      </w:r>
      <w:r>
        <w:rPr>
          <w:rFonts w:ascii="Arial" w:hAnsi="Arial" w:cs="Arial"/>
          <w:bCs/>
          <w:sz w:val="24"/>
          <w:szCs w:val="24"/>
        </w:rPr>
        <w:t xml:space="preserve"> This is a much truer </w:t>
      </w:r>
      <w:r w:rsidRPr="00CC62AA">
        <w:rPr>
          <w:rFonts w:ascii="Arial" w:hAnsi="Arial" w:cs="Arial"/>
          <w:bCs/>
          <w:sz w:val="24"/>
          <w:szCs w:val="24"/>
        </w:rPr>
        <w:t xml:space="preserve">measure of </w:t>
      </w:r>
      <w:r>
        <w:rPr>
          <w:rFonts w:ascii="Arial" w:hAnsi="Arial" w:cs="Arial"/>
          <w:bCs/>
          <w:sz w:val="24"/>
          <w:szCs w:val="24"/>
        </w:rPr>
        <w:t xml:space="preserve">the sector’s </w:t>
      </w:r>
      <w:r w:rsidRPr="00CC62AA">
        <w:rPr>
          <w:rFonts w:ascii="Arial" w:hAnsi="Arial" w:cs="Arial"/>
          <w:bCs/>
          <w:sz w:val="24"/>
          <w:szCs w:val="24"/>
        </w:rPr>
        <w:t>financial health</w:t>
      </w:r>
      <w:r w:rsidR="007862FB">
        <w:rPr>
          <w:rFonts w:ascii="Arial" w:hAnsi="Arial" w:cs="Arial"/>
          <w:bCs/>
          <w:sz w:val="24"/>
          <w:szCs w:val="24"/>
        </w:rPr>
        <w:t xml:space="preserve"> than</w:t>
      </w:r>
      <w:r w:rsidRPr="00CC62A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7862FB">
        <w:rPr>
          <w:rFonts w:ascii="Arial" w:hAnsi="Arial" w:cs="Arial"/>
          <w:bCs/>
          <w:sz w:val="24"/>
          <w:szCs w:val="24"/>
        </w:rPr>
        <w:t>n-year spend</w:t>
      </w:r>
      <w:r w:rsidR="003E7146">
        <w:rPr>
          <w:rFonts w:ascii="Arial" w:hAnsi="Arial" w:cs="Arial"/>
          <w:bCs/>
          <w:sz w:val="24"/>
          <w:szCs w:val="24"/>
        </w:rPr>
        <w:t>.</w:t>
      </w:r>
    </w:p>
    <w:p w14:paraId="46D6E83B" w14:textId="77777777" w:rsidR="001272D4" w:rsidRDefault="001272D4" w:rsidP="00CD2008">
      <w:pPr>
        <w:spacing w:line="264" w:lineRule="auto"/>
        <w:rPr>
          <w:rFonts w:ascii="Arial" w:hAnsi="Arial" w:cs="Arial"/>
          <w:bCs/>
          <w:sz w:val="24"/>
          <w:szCs w:val="24"/>
        </w:rPr>
      </w:pPr>
    </w:p>
    <w:p w14:paraId="3D97E8A4" w14:textId="5279A8DD" w:rsidR="001272D4" w:rsidRPr="00531155" w:rsidRDefault="001272D4" w:rsidP="00531155">
      <w:pPr>
        <w:rPr>
          <w:rFonts w:ascii="Arial" w:hAnsi="Arial" w:cs="Arial"/>
          <w:b/>
          <w:color w:val="006699"/>
          <w:sz w:val="24"/>
          <w:szCs w:val="24"/>
        </w:rPr>
      </w:pPr>
      <w:r w:rsidRPr="00531155">
        <w:rPr>
          <w:rFonts w:ascii="Arial" w:hAnsi="Arial" w:cs="Arial"/>
          <w:b/>
          <w:color w:val="006699"/>
          <w:sz w:val="24"/>
          <w:szCs w:val="24"/>
        </w:rPr>
        <w:t xml:space="preserve">Why have the net assets of the academy sector reduced by </w:t>
      </w:r>
      <w:r w:rsidR="00BE29D6">
        <w:rPr>
          <w:rFonts w:ascii="Arial" w:hAnsi="Arial" w:cs="Arial"/>
          <w:b/>
          <w:color w:val="006699"/>
          <w:sz w:val="24"/>
          <w:szCs w:val="24"/>
        </w:rPr>
        <w:t>c.</w:t>
      </w:r>
      <w:r w:rsidRPr="00531155">
        <w:rPr>
          <w:rFonts w:ascii="Arial" w:hAnsi="Arial" w:cs="Arial"/>
          <w:b/>
          <w:color w:val="006699"/>
          <w:sz w:val="24"/>
          <w:szCs w:val="24"/>
        </w:rPr>
        <w:t>£1bn in the SARA?</w:t>
      </w:r>
    </w:p>
    <w:p w14:paraId="07C4A0D1" w14:textId="5C386377" w:rsidR="00D32F77" w:rsidRDefault="00C427B8" w:rsidP="00961C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427B8">
        <w:rPr>
          <w:rFonts w:ascii="Arial" w:hAnsi="Arial" w:cs="Arial"/>
        </w:rPr>
        <w:t xml:space="preserve">The net assets of the sector </w:t>
      </w:r>
      <w:r w:rsidR="00083550">
        <w:rPr>
          <w:rFonts w:ascii="Arial" w:hAnsi="Arial" w:cs="Arial"/>
        </w:rPr>
        <w:t xml:space="preserve">recognised in the accounts </w:t>
      </w:r>
      <w:r w:rsidRPr="00C427B8">
        <w:rPr>
          <w:rFonts w:ascii="Arial" w:hAnsi="Arial" w:cs="Arial"/>
        </w:rPr>
        <w:t>reduced</w:t>
      </w:r>
      <w:r>
        <w:rPr>
          <w:rFonts w:ascii="Arial" w:hAnsi="Arial" w:cs="Arial"/>
        </w:rPr>
        <w:t xml:space="preserve"> </w:t>
      </w:r>
      <w:r w:rsidRPr="00C427B8">
        <w:rPr>
          <w:rFonts w:ascii="Arial" w:hAnsi="Arial" w:cs="Arial"/>
        </w:rPr>
        <w:t>to £42.</w:t>
      </w:r>
      <w:r w:rsidR="002C2994">
        <w:rPr>
          <w:rFonts w:ascii="Arial" w:hAnsi="Arial" w:cs="Arial"/>
        </w:rPr>
        <w:t>6</w:t>
      </w:r>
      <w:r w:rsidR="002C2994" w:rsidRPr="00C427B8">
        <w:rPr>
          <w:rFonts w:ascii="Arial" w:hAnsi="Arial" w:cs="Arial"/>
        </w:rPr>
        <w:t xml:space="preserve"> </w:t>
      </w:r>
      <w:r w:rsidRPr="00C427B8">
        <w:rPr>
          <w:rFonts w:ascii="Arial" w:hAnsi="Arial" w:cs="Arial"/>
        </w:rPr>
        <w:t>billion as at 31 August 2017 (compared to £43.</w:t>
      </w:r>
      <w:r w:rsidR="002C2994">
        <w:rPr>
          <w:rFonts w:ascii="Arial" w:hAnsi="Arial" w:cs="Arial"/>
        </w:rPr>
        <w:t>5</w:t>
      </w:r>
      <w:r w:rsidR="002C2994" w:rsidRPr="00C427B8">
        <w:rPr>
          <w:rFonts w:ascii="Arial" w:hAnsi="Arial" w:cs="Arial"/>
        </w:rPr>
        <w:t xml:space="preserve"> </w:t>
      </w:r>
      <w:r w:rsidRPr="00C427B8">
        <w:rPr>
          <w:rFonts w:ascii="Arial" w:hAnsi="Arial" w:cs="Arial"/>
        </w:rPr>
        <w:t>billion at 31 August 2016).</w:t>
      </w:r>
    </w:p>
    <w:p w14:paraId="1D5A1F1C" w14:textId="77777777" w:rsidR="00531155" w:rsidRDefault="00531155" w:rsidP="00531155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25683CF5" w14:textId="7A4CBC2C" w:rsidR="008C357A" w:rsidRDefault="006F7D28" w:rsidP="00961C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8C357A">
        <w:rPr>
          <w:rFonts w:ascii="Arial" w:hAnsi="Arial" w:cs="Arial"/>
        </w:rPr>
        <w:t xml:space="preserve">To ensure continued financial transparency of academies, </w:t>
      </w:r>
      <w:r w:rsidR="0065274F">
        <w:rPr>
          <w:rFonts w:ascii="Arial" w:hAnsi="Arial" w:cs="Arial"/>
        </w:rPr>
        <w:t xml:space="preserve">the Department </w:t>
      </w:r>
      <w:r w:rsidRPr="008C357A">
        <w:rPr>
          <w:rFonts w:ascii="Arial" w:hAnsi="Arial" w:cs="Arial"/>
        </w:rPr>
        <w:t xml:space="preserve">collected data for the first time this year from every academy on how their land and buildings </w:t>
      </w:r>
      <w:proofErr w:type="gramStart"/>
      <w:r w:rsidRPr="008C357A">
        <w:rPr>
          <w:rFonts w:ascii="Arial" w:hAnsi="Arial" w:cs="Arial"/>
        </w:rPr>
        <w:t>are owned</w:t>
      </w:r>
      <w:proofErr w:type="gramEnd"/>
      <w:r w:rsidRPr="008C35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7DE5" w:rsidRPr="00367DE5">
        <w:rPr>
          <w:rFonts w:ascii="Arial" w:hAnsi="Arial" w:cs="Arial"/>
        </w:rPr>
        <w:t>The primary driver</w:t>
      </w:r>
      <w:r w:rsidR="00367DE5">
        <w:rPr>
          <w:rFonts w:ascii="Arial" w:hAnsi="Arial" w:cs="Arial"/>
        </w:rPr>
        <w:t xml:space="preserve"> </w:t>
      </w:r>
      <w:r w:rsidR="00367DE5" w:rsidRPr="00367DE5">
        <w:rPr>
          <w:rFonts w:ascii="Arial" w:hAnsi="Arial" w:cs="Arial"/>
        </w:rPr>
        <w:t xml:space="preserve">of </w:t>
      </w:r>
      <w:r w:rsidR="00F42416">
        <w:rPr>
          <w:rFonts w:ascii="Arial" w:hAnsi="Arial" w:cs="Arial"/>
        </w:rPr>
        <w:t xml:space="preserve">the </w:t>
      </w:r>
      <w:r w:rsidR="00367DE5" w:rsidRPr="00367DE5">
        <w:rPr>
          <w:rFonts w:ascii="Arial" w:hAnsi="Arial" w:cs="Arial"/>
        </w:rPr>
        <w:t xml:space="preserve">reduction </w:t>
      </w:r>
      <w:r w:rsidR="00F42416">
        <w:rPr>
          <w:rFonts w:ascii="Arial" w:hAnsi="Arial" w:cs="Arial"/>
        </w:rPr>
        <w:t xml:space="preserve">in net assets for the sector </w:t>
      </w:r>
      <w:r w:rsidR="0064614D">
        <w:rPr>
          <w:rFonts w:ascii="Arial" w:hAnsi="Arial" w:cs="Arial"/>
        </w:rPr>
        <w:t>wa</w:t>
      </w:r>
      <w:r w:rsidR="00367DE5" w:rsidRPr="00367DE5">
        <w:rPr>
          <w:rFonts w:ascii="Arial" w:hAnsi="Arial" w:cs="Arial"/>
        </w:rPr>
        <w:t xml:space="preserve">s </w:t>
      </w:r>
      <w:r w:rsidR="002C2994">
        <w:rPr>
          <w:rFonts w:ascii="Arial" w:hAnsi="Arial" w:cs="Arial"/>
        </w:rPr>
        <w:t xml:space="preserve">therefore </w:t>
      </w:r>
      <w:r w:rsidR="00367DE5" w:rsidRPr="00367DE5">
        <w:rPr>
          <w:rFonts w:ascii="Arial" w:hAnsi="Arial" w:cs="Arial"/>
        </w:rPr>
        <w:t>the Department’s decision to de-recognise land and buildings from which academies</w:t>
      </w:r>
      <w:r w:rsidR="00F3008F">
        <w:rPr>
          <w:rFonts w:ascii="Arial" w:hAnsi="Arial" w:cs="Arial"/>
        </w:rPr>
        <w:t xml:space="preserve"> </w:t>
      </w:r>
      <w:r w:rsidR="00367DE5" w:rsidRPr="00367DE5">
        <w:rPr>
          <w:rFonts w:ascii="Arial" w:hAnsi="Arial" w:cs="Arial"/>
        </w:rPr>
        <w:t>operate, where DfE judged the relevant academy not to have control of these assets</w:t>
      </w:r>
      <w:r w:rsidR="000F4E90">
        <w:rPr>
          <w:rFonts w:ascii="Arial" w:hAnsi="Arial" w:cs="Arial"/>
        </w:rPr>
        <w:t xml:space="preserve">, </w:t>
      </w:r>
      <w:proofErr w:type="gramStart"/>
      <w:r w:rsidR="000F4E90">
        <w:rPr>
          <w:rFonts w:ascii="Arial" w:hAnsi="Arial" w:cs="Arial"/>
        </w:rPr>
        <w:t>on the basis of</w:t>
      </w:r>
      <w:proofErr w:type="gramEnd"/>
      <w:r w:rsidR="000F4E90">
        <w:rPr>
          <w:rFonts w:ascii="Arial" w:hAnsi="Arial" w:cs="Arial"/>
        </w:rPr>
        <w:t xml:space="preserve"> the data collection</w:t>
      </w:r>
      <w:r w:rsidR="00367DE5" w:rsidRPr="00367DE5">
        <w:rPr>
          <w:rFonts w:ascii="Arial" w:hAnsi="Arial" w:cs="Arial"/>
        </w:rPr>
        <w:t>. This de</w:t>
      </w:r>
      <w:r w:rsidR="002C2994">
        <w:rPr>
          <w:rFonts w:ascii="Arial" w:hAnsi="Arial" w:cs="Arial"/>
        </w:rPr>
        <w:t>-</w:t>
      </w:r>
      <w:r w:rsidR="00367DE5" w:rsidRPr="00367DE5">
        <w:rPr>
          <w:rFonts w:ascii="Arial" w:hAnsi="Arial" w:cs="Arial"/>
        </w:rPr>
        <w:t>recognition</w:t>
      </w:r>
      <w:r w:rsidR="00F752B8">
        <w:rPr>
          <w:rFonts w:ascii="Arial" w:hAnsi="Arial" w:cs="Arial"/>
        </w:rPr>
        <w:t xml:space="preserve"> </w:t>
      </w:r>
      <w:r w:rsidR="00367DE5" w:rsidRPr="00367DE5">
        <w:rPr>
          <w:rFonts w:ascii="Arial" w:hAnsi="Arial" w:cs="Arial"/>
        </w:rPr>
        <w:t>led to a reduction in net assets of £8.</w:t>
      </w:r>
      <w:r w:rsidR="002C2994">
        <w:rPr>
          <w:rFonts w:ascii="Arial" w:hAnsi="Arial" w:cs="Arial"/>
        </w:rPr>
        <w:t>4</w:t>
      </w:r>
      <w:r w:rsidR="002C2994" w:rsidRPr="00367DE5">
        <w:rPr>
          <w:rFonts w:ascii="Arial" w:hAnsi="Arial" w:cs="Arial"/>
        </w:rPr>
        <w:t xml:space="preserve"> </w:t>
      </w:r>
      <w:r w:rsidR="00367DE5" w:rsidRPr="00367DE5">
        <w:rPr>
          <w:rFonts w:ascii="Arial" w:hAnsi="Arial" w:cs="Arial"/>
        </w:rPr>
        <w:t>billion.</w:t>
      </w:r>
    </w:p>
    <w:p w14:paraId="2AF736EE" w14:textId="77777777" w:rsidR="00531155" w:rsidRDefault="00531155" w:rsidP="00531155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69031D94" w14:textId="77777777" w:rsidR="00A96523" w:rsidRDefault="008C357A" w:rsidP="00961C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8C357A">
        <w:rPr>
          <w:rFonts w:ascii="Arial" w:hAnsi="Arial" w:cs="Arial"/>
        </w:rPr>
        <w:lastRenderedPageBreak/>
        <w:t>T</w:t>
      </w:r>
      <w:r w:rsidR="00C047CE">
        <w:rPr>
          <w:rFonts w:ascii="Arial" w:hAnsi="Arial" w:cs="Arial"/>
        </w:rPr>
        <w:t>hese are no</w:t>
      </w:r>
      <w:r w:rsidR="00E93346">
        <w:rPr>
          <w:rFonts w:ascii="Arial" w:hAnsi="Arial" w:cs="Arial"/>
        </w:rPr>
        <w:t xml:space="preserve">n-cash changes, and do not mean </w:t>
      </w:r>
      <w:r w:rsidRPr="008C357A">
        <w:rPr>
          <w:rFonts w:ascii="Arial" w:hAnsi="Arial" w:cs="Arial"/>
        </w:rPr>
        <w:t xml:space="preserve">the value of their assets </w:t>
      </w:r>
      <w:r w:rsidR="001B5644">
        <w:rPr>
          <w:rFonts w:ascii="Arial" w:hAnsi="Arial" w:cs="Arial"/>
        </w:rPr>
        <w:t>have decreased</w:t>
      </w:r>
      <w:r w:rsidR="00A96523">
        <w:rPr>
          <w:rFonts w:ascii="Arial" w:hAnsi="Arial" w:cs="Arial"/>
        </w:rPr>
        <w:t>.</w:t>
      </w:r>
    </w:p>
    <w:p w14:paraId="37929DCB" w14:textId="77777777" w:rsidR="00A96523" w:rsidRDefault="00A96523" w:rsidP="00A96523">
      <w:pPr>
        <w:pStyle w:val="ListParagraph"/>
        <w:rPr>
          <w:rFonts w:ascii="Arial" w:hAnsi="Arial" w:cs="Arial"/>
        </w:rPr>
      </w:pPr>
    </w:p>
    <w:p w14:paraId="0EBC4539" w14:textId="6CDBCC0F" w:rsidR="00D1155A" w:rsidRPr="00160097" w:rsidRDefault="008C357A" w:rsidP="0016009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8C357A">
        <w:rPr>
          <w:rFonts w:ascii="Arial" w:hAnsi="Arial" w:cs="Arial"/>
        </w:rPr>
        <w:t xml:space="preserve">Excluding this decision, the </w:t>
      </w:r>
      <w:proofErr w:type="gramStart"/>
      <w:r w:rsidRPr="008C357A">
        <w:rPr>
          <w:rFonts w:ascii="Arial" w:hAnsi="Arial" w:cs="Arial"/>
        </w:rPr>
        <w:t>sector’s</w:t>
      </w:r>
      <w:proofErr w:type="gramEnd"/>
      <w:r w:rsidRPr="008C357A">
        <w:rPr>
          <w:rFonts w:ascii="Arial" w:hAnsi="Arial" w:cs="Arial"/>
        </w:rPr>
        <w:t xml:space="preserve"> recognised net assets would have increased </w:t>
      </w:r>
      <w:r w:rsidR="002C2994">
        <w:rPr>
          <w:rFonts w:ascii="Arial" w:hAnsi="Arial" w:cs="Arial"/>
        </w:rPr>
        <w:t>significantly</w:t>
      </w:r>
      <w:r w:rsidR="006A56AD">
        <w:rPr>
          <w:rFonts w:ascii="Arial" w:hAnsi="Arial" w:cs="Arial"/>
        </w:rPr>
        <w:t>,</w:t>
      </w:r>
      <w:r w:rsidR="006A56AD" w:rsidRPr="006A56AD">
        <w:rPr>
          <w:rFonts w:ascii="Arial" w:hAnsi="Arial" w:cs="Arial"/>
        </w:rPr>
        <w:t xml:space="preserve"> reflecting the overall increase in the size of the sector</w:t>
      </w:r>
      <w:r w:rsidR="006A56AD">
        <w:rPr>
          <w:rFonts w:ascii="Arial" w:hAnsi="Arial" w:cs="Arial"/>
        </w:rPr>
        <w:t>.</w:t>
      </w:r>
    </w:p>
    <w:p w14:paraId="67B85254" w14:textId="77777777" w:rsidR="00D1155A" w:rsidRPr="008C357A" w:rsidRDefault="00D1155A" w:rsidP="00720990">
      <w:pPr>
        <w:rPr>
          <w:sz w:val="24"/>
          <w:szCs w:val="24"/>
        </w:rPr>
      </w:pPr>
    </w:p>
    <w:sectPr w:rsidR="00D1155A" w:rsidRPr="008C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2DF5"/>
    <w:multiLevelType w:val="hybridMultilevel"/>
    <w:tmpl w:val="CD1AF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13F1A"/>
    <w:multiLevelType w:val="hybridMultilevel"/>
    <w:tmpl w:val="2A324A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627763"/>
    <w:multiLevelType w:val="hybridMultilevel"/>
    <w:tmpl w:val="78F6E1C6"/>
    <w:lvl w:ilvl="0" w:tplc="1414981A">
      <w:numFmt w:val="bullet"/>
      <w:lvlText w:val="•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D1"/>
    <w:rsid w:val="00005A5E"/>
    <w:rsid w:val="00013C01"/>
    <w:rsid w:val="0002100C"/>
    <w:rsid w:val="00083550"/>
    <w:rsid w:val="00083E4F"/>
    <w:rsid w:val="000908A2"/>
    <w:rsid w:val="000B4ACA"/>
    <w:rsid w:val="000C2CC1"/>
    <w:rsid w:val="000D4AA6"/>
    <w:rsid w:val="000E3B32"/>
    <w:rsid w:val="000F4E90"/>
    <w:rsid w:val="00100435"/>
    <w:rsid w:val="00123246"/>
    <w:rsid w:val="001272D4"/>
    <w:rsid w:val="001328B9"/>
    <w:rsid w:val="00135B2D"/>
    <w:rsid w:val="00160097"/>
    <w:rsid w:val="00190DDF"/>
    <w:rsid w:val="001B14C7"/>
    <w:rsid w:val="001B5644"/>
    <w:rsid w:val="001B7D1F"/>
    <w:rsid w:val="001D429C"/>
    <w:rsid w:val="001D5886"/>
    <w:rsid w:val="001E1E3D"/>
    <w:rsid w:val="001F6454"/>
    <w:rsid w:val="00286931"/>
    <w:rsid w:val="002C2994"/>
    <w:rsid w:val="002C2C24"/>
    <w:rsid w:val="002F31D1"/>
    <w:rsid w:val="0033452E"/>
    <w:rsid w:val="00362E12"/>
    <w:rsid w:val="00367DE5"/>
    <w:rsid w:val="00397C42"/>
    <w:rsid w:val="003A6E9D"/>
    <w:rsid w:val="003B32D2"/>
    <w:rsid w:val="003E4664"/>
    <w:rsid w:val="003E7146"/>
    <w:rsid w:val="0041565C"/>
    <w:rsid w:val="004534F0"/>
    <w:rsid w:val="00483B36"/>
    <w:rsid w:val="004C72EC"/>
    <w:rsid w:val="004E360E"/>
    <w:rsid w:val="004F18A7"/>
    <w:rsid w:val="004F5618"/>
    <w:rsid w:val="00525E5E"/>
    <w:rsid w:val="00531155"/>
    <w:rsid w:val="005435BC"/>
    <w:rsid w:val="005E781E"/>
    <w:rsid w:val="005F2CB6"/>
    <w:rsid w:val="006213E1"/>
    <w:rsid w:val="00632582"/>
    <w:rsid w:val="00640806"/>
    <w:rsid w:val="0064614D"/>
    <w:rsid w:val="00651C1C"/>
    <w:rsid w:val="0065274F"/>
    <w:rsid w:val="00676AAE"/>
    <w:rsid w:val="00680E6D"/>
    <w:rsid w:val="006A56AD"/>
    <w:rsid w:val="006C7B5C"/>
    <w:rsid w:val="006F7D28"/>
    <w:rsid w:val="00700D33"/>
    <w:rsid w:val="00705C5E"/>
    <w:rsid w:val="00720990"/>
    <w:rsid w:val="0072342A"/>
    <w:rsid w:val="00726FAF"/>
    <w:rsid w:val="007468ED"/>
    <w:rsid w:val="00775DDD"/>
    <w:rsid w:val="007862FB"/>
    <w:rsid w:val="007D092E"/>
    <w:rsid w:val="008235A9"/>
    <w:rsid w:val="00834B91"/>
    <w:rsid w:val="00862195"/>
    <w:rsid w:val="008830B5"/>
    <w:rsid w:val="00884E9E"/>
    <w:rsid w:val="008850B2"/>
    <w:rsid w:val="008B3D64"/>
    <w:rsid w:val="008C357A"/>
    <w:rsid w:val="008E6168"/>
    <w:rsid w:val="009332E9"/>
    <w:rsid w:val="009414E1"/>
    <w:rsid w:val="00961CC3"/>
    <w:rsid w:val="009C4F00"/>
    <w:rsid w:val="009F1AAC"/>
    <w:rsid w:val="00A24939"/>
    <w:rsid w:val="00A37850"/>
    <w:rsid w:val="00A3795C"/>
    <w:rsid w:val="00A96523"/>
    <w:rsid w:val="00AA69CC"/>
    <w:rsid w:val="00AC6190"/>
    <w:rsid w:val="00AE34DA"/>
    <w:rsid w:val="00AE526C"/>
    <w:rsid w:val="00B054C8"/>
    <w:rsid w:val="00B32BA9"/>
    <w:rsid w:val="00B330C0"/>
    <w:rsid w:val="00B85647"/>
    <w:rsid w:val="00BD12CB"/>
    <w:rsid w:val="00BE29D6"/>
    <w:rsid w:val="00C047CE"/>
    <w:rsid w:val="00C120C8"/>
    <w:rsid w:val="00C427B8"/>
    <w:rsid w:val="00C65DAD"/>
    <w:rsid w:val="00C7541C"/>
    <w:rsid w:val="00C75B4B"/>
    <w:rsid w:val="00C850F0"/>
    <w:rsid w:val="00CC62AA"/>
    <w:rsid w:val="00CD2008"/>
    <w:rsid w:val="00CF7F3A"/>
    <w:rsid w:val="00D1155A"/>
    <w:rsid w:val="00D32F77"/>
    <w:rsid w:val="00D35D9F"/>
    <w:rsid w:val="00D470E1"/>
    <w:rsid w:val="00D82C5D"/>
    <w:rsid w:val="00DF0EEA"/>
    <w:rsid w:val="00E02A97"/>
    <w:rsid w:val="00E052A3"/>
    <w:rsid w:val="00E1229A"/>
    <w:rsid w:val="00E16C65"/>
    <w:rsid w:val="00E421C4"/>
    <w:rsid w:val="00E532AE"/>
    <w:rsid w:val="00E7218B"/>
    <w:rsid w:val="00E77907"/>
    <w:rsid w:val="00E93346"/>
    <w:rsid w:val="00E93D95"/>
    <w:rsid w:val="00EE339C"/>
    <w:rsid w:val="00EF6C96"/>
    <w:rsid w:val="00F3008F"/>
    <w:rsid w:val="00F42416"/>
    <w:rsid w:val="00F752B8"/>
    <w:rsid w:val="00FA4009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2C19"/>
  <w15:chartTrackingRefBased/>
  <w15:docId w15:val="{D1C43192-F9BF-4DEA-AECB-C69EC2C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229A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Dot pt Char,List Paragraph1 Char,No Spacing1 Char,List Paragraph Char Char Char Char,Indicator Text Char,Colorful List - Accent 11 Char,Numbered Para 1 Char,Bullet Points Char,MAIN CONTENT Char,OBC Bullet Char"/>
    <w:basedOn w:val="DefaultParagraphFont"/>
    <w:link w:val="ListParagraph"/>
    <w:uiPriority w:val="34"/>
    <w:qFormat/>
    <w:locked/>
    <w:rsid w:val="00A24939"/>
    <w:rPr>
      <w:rFonts w:ascii="Calibri" w:hAnsi="Calibri" w:cs="Calibri"/>
    </w:rPr>
  </w:style>
  <w:style w:type="paragraph" w:styleId="ListParagraph">
    <w:name w:val="List Paragraph"/>
    <w:aliases w:val="F5 List Paragraph,Dot pt,List Paragraph1,No Spacing1,List Paragraph Char Char Char,Indicator Text,Colorful List - Accent 11,Numbered Para 1,Bullet Points,MAIN CONTENT,List Paragraph2,Normal numbered,List Paragraph11,OBC Bullet,Bullet 1,L"/>
    <w:basedOn w:val="Normal"/>
    <w:link w:val="ListParagraphChar"/>
    <w:uiPriority w:val="34"/>
    <w:qFormat/>
    <w:rsid w:val="00A24939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2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939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939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39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6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academies-consolidated-annual-report-and-accounts-2016-to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Joanna</dc:creator>
  <cp:keywords/>
  <dc:description/>
  <cp:lastModifiedBy>TANG, Joanna</cp:lastModifiedBy>
  <cp:revision>113</cp:revision>
  <dcterms:created xsi:type="dcterms:W3CDTF">2018-11-26T17:20:00Z</dcterms:created>
  <dcterms:modified xsi:type="dcterms:W3CDTF">2018-11-28T10:27:00Z</dcterms:modified>
</cp:coreProperties>
</file>