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7C6FC" w14:textId="77777777" w:rsidR="00943B60" w:rsidRDefault="00466693" w:rsidP="00943B60">
      <w:pPr>
        <w:jc w:val="center"/>
      </w:pPr>
      <w:bookmarkStart w:id="0" w:name="_GoBack"/>
      <w:bookmarkEnd w:id="0"/>
      <w:r>
        <w:rPr>
          <w:rFonts w:ascii="Calibri" w:eastAsia="Calibri" w:hAnsi="Calibri" w:cs="Calibri"/>
          <w:b/>
          <w:sz w:val="28"/>
          <w:szCs w:val="28"/>
        </w:rPr>
        <w:t>Ivory Bill</w:t>
      </w:r>
      <w:r w:rsidR="00943B60">
        <w:rPr>
          <w:rFonts w:ascii="Calibri" w:eastAsia="Calibri" w:hAnsi="Calibri" w:cs="Calibri"/>
          <w:b/>
          <w:sz w:val="28"/>
          <w:szCs w:val="28"/>
        </w:rPr>
        <w:t xml:space="preserve"> – Analysis on the application of Standing Order No.</w:t>
      </w:r>
      <w:r w:rsidR="00FB1539">
        <w:rPr>
          <w:rFonts w:ascii="Calibri" w:eastAsia="Calibri" w:hAnsi="Calibri" w:cs="Calibri"/>
          <w:b/>
          <w:sz w:val="28"/>
          <w:szCs w:val="28"/>
        </w:rPr>
        <w:t xml:space="preserve">83O </w:t>
      </w:r>
      <w:r w:rsidR="00943B60">
        <w:rPr>
          <w:rFonts w:ascii="Calibri" w:eastAsia="Calibri" w:hAnsi="Calibri" w:cs="Calibri"/>
          <w:b/>
          <w:sz w:val="28"/>
          <w:szCs w:val="28"/>
        </w:rPr>
        <w:t xml:space="preserve">of the Standing Orders of the House of Commons relating to Public Business in respect of Government amendments </w:t>
      </w:r>
      <w:r w:rsidR="008D2EB3">
        <w:rPr>
          <w:rFonts w:ascii="Calibri" w:eastAsia="Calibri" w:hAnsi="Calibri" w:cs="Calibri"/>
          <w:b/>
          <w:sz w:val="28"/>
          <w:szCs w:val="28"/>
        </w:rPr>
        <w:t>made in the House of Lords</w:t>
      </w:r>
    </w:p>
    <w:p w14:paraId="5599B173" w14:textId="77777777" w:rsidR="00FD1FB8" w:rsidRDefault="00FD1FB8" w:rsidP="00FD1FB8">
      <w:pPr>
        <w:jc w:val="center"/>
      </w:pPr>
    </w:p>
    <w:p w14:paraId="04396505" w14:textId="77777777" w:rsidR="00466693" w:rsidRDefault="008D2EB3" w:rsidP="00FD1FB8">
      <w:pPr>
        <w:rPr>
          <w:b/>
          <w:i/>
          <w:sz w:val="24"/>
          <w:szCs w:val="24"/>
        </w:rPr>
      </w:pPr>
      <w:r>
        <w:rPr>
          <w:b/>
          <w:i/>
          <w:sz w:val="24"/>
          <w:szCs w:val="24"/>
        </w:rPr>
        <w:t>Commons consideration of Lords’</w:t>
      </w:r>
      <w:r w:rsidR="00943B60">
        <w:rPr>
          <w:b/>
          <w:i/>
          <w:sz w:val="24"/>
          <w:szCs w:val="24"/>
        </w:rPr>
        <w:t xml:space="preserve"> amendments</w:t>
      </w:r>
      <w:r>
        <w:rPr>
          <w:b/>
          <w:i/>
          <w:sz w:val="24"/>
          <w:szCs w:val="24"/>
        </w:rPr>
        <w:t xml:space="preserve"> stage</w:t>
      </w:r>
    </w:p>
    <w:p w14:paraId="28E514EF" w14:textId="77777777" w:rsidR="00FD1FB8" w:rsidRDefault="00FD1FB8" w:rsidP="00FD1FB8">
      <w:r>
        <w:t xml:space="preserve"> </w:t>
      </w:r>
    </w:p>
    <w:p w14:paraId="7760DD6D" w14:textId="77777777" w:rsidR="00FD1FB8" w:rsidRDefault="00FD1FB8" w:rsidP="00FD1FB8">
      <w:r>
        <w:t xml:space="preserve">The following is the Department’s assessment of the Bill and </w:t>
      </w:r>
      <w:r w:rsidR="007F005A">
        <w:t xml:space="preserve">of </w:t>
      </w:r>
      <w:r>
        <w:t xml:space="preserve">Government amendments </w:t>
      </w:r>
      <w:r w:rsidR="008D2EB3">
        <w:t>made in the House of Lords for consideration by the House of Commons</w:t>
      </w:r>
      <w:r w:rsidR="00C77861">
        <w:t>.</w:t>
      </w:r>
    </w:p>
    <w:p w14:paraId="5A1B9F2C" w14:textId="77777777" w:rsidR="00FD1FB8" w:rsidRDefault="00FD1FB8" w:rsidP="00FD1FB8"/>
    <w:p w14:paraId="70B64F7F" w14:textId="77777777" w:rsidR="00FD1FB8" w:rsidRDefault="00FD1FB8" w:rsidP="00FD1FB8">
      <w:r>
        <w:rPr>
          <w:i/>
          <w:u w:val="single"/>
        </w:rPr>
        <w:t>Territorial application</w:t>
      </w:r>
      <w:r w:rsidR="00596A78">
        <w:rPr>
          <w:rStyle w:val="FootnoteReference"/>
          <w:i/>
          <w:u w:val="single"/>
        </w:rPr>
        <w:footnoteReference w:id="1"/>
      </w:r>
    </w:p>
    <w:p w14:paraId="1D14A649" w14:textId="77777777" w:rsidR="00FD1FB8" w:rsidRDefault="00FD1FB8" w:rsidP="00FD1FB8"/>
    <w:p w14:paraId="3C3C0EC5" w14:textId="77777777" w:rsidR="00FD1FB8" w:rsidRDefault="00915E6B" w:rsidP="00915E6B">
      <w:pPr>
        <w:pStyle w:val="ListParagraph"/>
        <w:numPr>
          <w:ilvl w:val="0"/>
          <w:numId w:val="9"/>
        </w:numPr>
        <w:ind w:left="360"/>
      </w:pPr>
      <w:r>
        <w:t xml:space="preserve"> </w:t>
      </w:r>
      <w:r w:rsidR="00466693">
        <w:t>T</w:t>
      </w:r>
      <w:r w:rsidR="00FD1FB8">
        <w:t xml:space="preserve">he </w:t>
      </w:r>
      <w:r w:rsidR="006A1174">
        <w:t xml:space="preserve">Government </w:t>
      </w:r>
      <w:r w:rsidR="00FD1FB8" w:rsidRPr="00222054">
        <w:t>amendments</w:t>
      </w:r>
      <w:r w:rsidR="00FD1FB8">
        <w:t xml:space="preserve"> </w:t>
      </w:r>
      <w:r w:rsidR="00AA135A">
        <w:t xml:space="preserve">made </w:t>
      </w:r>
      <w:r w:rsidR="00FD1FB8">
        <w:t xml:space="preserve">at </w:t>
      </w:r>
      <w:r w:rsidR="00943B60">
        <w:t>Report</w:t>
      </w:r>
      <w:r w:rsidR="00FD1FB8">
        <w:t xml:space="preserve"> Stage </w:t>
      </w:r>
      <w:r w:rsidR="00AA135A">
        <w:t xml:space="preserve">in the House of Lords </w:t>
      </w:r>
      <w:r w:rsidR="00FD1FB8">
        <w:t>apply as follows</w:t>
      </w:r>
      <w:r w:rsidR="00FD1FB8" w:rsidRPr="00915E6B">
        <w:rPr>
          <w:b/>
        </w:rPr>
        <w:t>:</w:t>
      </w:r>
    </w:p>
    <w:p w14:paraId="670F63A5" w14:textId="77777777" w:rsidR="00466693" w:rsidRDefault="00F80527" w:rsidP="00915E6B">
      <w:pPr>
        <w:pStyle w:val="ListParagraph"/>
        <w:numPr>
          <w:ilvl w:val="0"/>
          <w:numId w:val="2"/>
        </w:numPr>
        <w:ind w:left="852"/>
      </w:pPr>
      <w:r>
        <w:t xml:space="preserve">Lords </w:t>
      </w:r>
      <w:r w:rsidR="00466693">
        <w:t xml:space="preserve">Amendments 1 </w:t>
      </w:r>
      <w:r w:rsidR="008D2EB3">
        <w:t>to</w:t>
      </w:r>
      <w:r w:rsidR="00466693">
        <w:t xml:space="preserve"> </w:t>
      </w:r>
      <w:r w:rsidR="008D2EB3">
        <w:t>4</w:t>
      </w:r>
      <w:r w:rsidR="00466693">
        <w:t xml:space="preserve"> amend Clause </w:t>
      </w:r>
      <w:r w:rsidR="008D2EB3">
        <w:t>2</w:t>
      </w:r>
      <w:r w:rsidR="00466693">
        <w:t xml:space="preserve"> which extends and applies to the United Kingdom; </w:t>
      </w:r>
    </w:p>
    <w:p w14:paraId="546EA71A" w14:textId="77777777" w:rsidR="008D2EB3" w:rsidRDefault="00F80527" w:rsidP="00915E6B">
      <w:pPr>
        <w:pStyle w:val="ListParagraph"/>
        <w:numPr>
          <w:ilvl w:val="0"/>
          <w:numId w:val="2"/>
        </w:numPr>
        <w:ind w:left="852"/>
      </w:pPr>
      <w:r>
        <w:t xml:space="preserve">Lords </w:t>
      </w:r>
      <w:r w:rsidR="00466693">
        <w:t xml:space="preserve">Amendments </w:t>
      </w:r>
      <w:r w:rsidR="008D2EB3">
        <w:t>5 and 6</w:t>
      </w:r>
      <w:r w:rsidR="00466693">
        <w:t xml:space="preserve"> amend Clause </w:t>
      </w:r>
      <w:r w:rsidR="008D2EB3">
        <w:t>3</w:t>
      </w:r>
      <w:r w:rsidR="00466693">
        <w:t xml:space="preserve"> which extends and applies to the United Kingdom</w:t>
      </w:r>
      <w:r w:rsidR="008D2EB3">
        <w:t>;</w:t>
      </w:r>
    </w:p>
    <w:p w14:paraId="340D7B72" w14:textId="77777777" w:rsidR="008D2EB3" w:rsidRDefault="00F80527" w:rsidP="00915E6B">
      <w:pPr>
        <w:pStyle w:val="ListParagraph"/>
        <w:numPr>
          <w:ilvl w:val="0"/>
          <w:numId w:val="2"/>
        </w:numPr>
        <w:ind w:left="852"/>
      </w:pPr>
      <w:r>
        <w:t xml:space="preserve">Lords </w:t>
      </w:r>
      <w:r w:rsidR="008D2EB3">
        <w:t>Amendments 7 to 9 amend Clause 4 which extends and applies to the United Kingdom;</w:t>
      </w:r>
    </w:p>
    <w:p w14:paraId="04458694" w14:textId="77777777" w:rsidR="008D2EB3" w:rsidRDefault="00F80527" w:rsidP="00915E6B">
      <w:pPr>
        <w:pStyle w:val="ListParagraph"/>
        <w:numPr>
          <w:ilvl w:val="0"/>
          <w:numId w:val="2"/>
        </w:numPr>
        <w:ind w:left="852"/>
      </w:pPr>
      <w:r>
        <w:t xml:space="preserve">Lords </w:t>
      </w:r>
      <w:r w:rsidR="008D2EB3">
        <w:t>Amendments 10 to 14 amend Clause 5 which extends and applies to the United Kingdom;</w:t>
      </w:r>
    </w:p>
    <w:p w14:paraId="7A489E26" w14:textId="77777777" w:rsidR="008D2EB3" w:rsidRDefault="00F80527" w:rsidP="00915E6B">
      <w:pPr>
        <w:pStyle w:val="ListParagraph"/>
        <w:numPr>
          <w:ilvl w:val="0"/>
          <w:numId w:val="2"/>
        </w:numPr>
        <w:ind w:left="852"/>
      </w:pPr>
      <w:r>
        <w:t xml:space="preserve">Lords </w:t>
      </w:r>
      <w:r w:rsidR="008D2EB3">
        <w:t xml:space="preserve">Amendments 15 </w:t>
      </w:r>
      <w:r w:rsidR="008F2786">
        <w:t>to 17</w:t>
      </w:r>
      <w:r w:rsidR="008D2EB3">
        <w:t xml:space="preserve"> amend Clause 9 which extends and applies to the United Kingdom;</w:t>
      </w:r>
    </w:p>
    <w:p w14:paraId="4EE81575" w14:textId="77777777" w:rsidR="00DE7B6A" w:rsidRDefault="00F80527" w:rsidP="00915E6B">
      <w:pPr>
        <w:pStyle w:val="ListParagraph"/>
        <w:numPr>
          <w:ilvl w:val="0"/>
          <w:numId w:val="2"/>
        </w:numPr>
        <w:ind w:left="852"/>
      </w:pPr>
      <w:r>
        <w:t xml:space="preserve">Lords </w:t>
      </w:r>
      <w:r w:rsidR="008D2EB3">
        <w:t xml:space="preserve">Amendments </w:t>
      </w:r>
      <w:r w:rsidR="00DE7B6A">
        <w:t>1</w:t>
      </w:r>
      <w:r w:rsidR="008F2786">
        <w:t>8</w:t>
      </w:r>
      <w:r w:rsidR="00DE7B6A">
        <w:t xml:space="preserve"> and 1</w:t>
      </w:r>
      <w:r w:rsidR="008F2786">
        <w:t>9</w:t>
      </w:r>
      <w:r w:rsidR="00DE7B6A">
        <w:t xml:space="preserve"> amend Clause 10 which extends and applies to the United Kingdom;</w:t>
      </w:r>
    </w:p>
    <w:p w14:paraId="388C1ADF" w14:textId="77777777" w:rsidR="00DE7B6A" w:rsidRDefault="00F80527" w:rsidP="00915E6B">
      <w:pPr>
        <w:pStyle w:val="ListParagraph"/>
        <w:numPr>
          <w:ilvl w:val="0"/>
          <w:numId w:val="2"/>
        </w:numPr>
        <w:ind w:left="852"/>
      </w:pPr>
      <w:r>
        <w:t xml:space="preserve">Lords </w:t>
      </w:r>
      <w:r w:rsidR="00DE7B6A">
        <w:t xml:space="preserve">Amendment </w:t>
      </w:r>
      <w:r w:rsidR="008F2786">
        <w:t>20</w:t>
      </w:r>
      <w:r w:rsidR="00DE7B6A">
        <w:t xml:space="preserve"> amends Clause 11 which extends and applies to the United Kingdom;</w:t>
      </w:r>
    </w:p>
    <w:p w14:paraId="71EFB008" w14:textId="77777777" w:rsidR="001354D6" w:rsidRDefault="00F80527" w:rsidP="00915E6B">
      <w:pPr>
        <w:pStyle w:val="ListParagraph"/>
        <w:numPr>
          <w:ilvl w:val="0"/>
          <w:numId w:val="2"/>
        </w:numPr>
        <w:ind w:left="852"/>
      </w:pPr>
      <w:r>
        <w:t xml:space="preserve">Lords </w:t>
      </w:r>
      <w:r w:rsidR="00DE7B6A">
        <w:t>Amendments 2</w:t>
      </w:r>
      <w:r w:rsidR="008F2786">
        <w:t>1 and 22</w:t>
      </w:r>
      <w:r w:rsidR="001354D6">
        <w:t xml:space="preserve"> amend Clause 15 which extends and applies to the United Kingdom;</w:t>
      </w:r>
    </w:p>
    <w:p w14:paraId="134106A4" w14:textId="77777777" w:rsidR="001354D6" w:rsidRDefault="00F80527" w:rsidP="00915E6B">
      <w:pPr>
        <w:pStyle w:val="ListParagraph"/>
        <w:numPr>
          <w:ilvl w:val="0"/>
          <w:numId w:val="2"/>
        </w:numPr>
        <w:ind w:left="852"/>
      </w:pPr>
      <w:r>
        <w:t xml:space="preserve">Lords </w:t>
      </w:r>
      <w:r w:rsidR="001354D6">
        <w:t xml:space="preserve">Amendments </w:t>
      </w:r>
      <w:r w:rsidR="008F2786">
        <w:t>23 and 24</w:t>
      </w:r>
      <w:r w:rsidR="001354D6">
        <w:t xml:space="preserve"> amend Clause 16 which extends and applies to the United Kingdom;</w:t>
      </w:r>
    </w:p>
    <w:p w14:paraId="40A86C10" w14:textId="77777777" w:rsidR="001354D6" w:rsidRDefault="00F80527" w:rsidP="00915E6B">
      <w:pPr>
        <w:pStyle w:val="ListParagraph"/>
        <w:numPr>
          <w:ilvl w:val="0"/>
          <w:numId w:val="2"/>
        </w:numPr>
        <w:ind w:left="852"/>
      </w:pPr>
      <w:r>
        <w:t xml:space="preserve">Lords </w:t>
      </w:r>
      <w:r w:rsidR="001354D6">
        <w:t>Amendment 2</w:t>
      </w:r>
      <w:r w:rsidR="008F2786">
        <w:t>5</w:t>
      </w:r>
      <w:r w:rsidR="001354D6">
        <w:t xml:space="preserve"> removes Clause 17 which extends and applies to the United Kingdom;</w:t>
      </w:r>
    </w:p>
    <w:p w14:paraId="18467B48" w14:textId="77777777" w:rsidR="001354D6" w:rsidRDefault="00F80527" w:rsidP="00915E6B">
      <w:pPr>
        <w:pStyle w:val="ListParagraph"/>
        <w:numPr>
          <w:ilvl w:val="0"/>
          <w:numId w:val="2"/>
        </w:numPr>
        <w:ind w:left="852"/>
      </w:pPr>
      <w:r>
        <w:t xml:space="preserve">Lords </w:t>
      </w:r>
      <w:r w:rsidR="008F2786">
        <w:t>Amendments 26 to 32</w:t>
      </w:r>
      <w:r w:rsidR="001354D6">
        <w:t xml:space="preserve"> amend Clause 18 which extends and applies to the United Kingdom</w:t>
      </w:r>
      <w:r w:rsidR="008D362D">
        <w:t xml:space="preserve">, </w:t>
      </w:r>
    </w:p>
    <w:p w14:paraId="62F427FC" w14:textId="77777777" w:rsidR="001354D6" w:rsidRDefault="00F80527" w:rsidP="00915E6B">
      <w:pPr>
        <w:pStyle w:val="ListParagraph"/>
        <w:numPr>
          <w:ilvl w:val="0"/>
          <w:numId w:val="2"/>
        </w:numPr>
        <w:ind w:left="852"/>
      </w:pPr>
      <w:r>
        <w:t xml:space="preserve">Lords </w:t>
      </w:r>
      <w:r w:rsidR="008F2786">
        <w:t>Amendments 33 to 37</w:t>
      </w:r>
      <w:r w:rsidR="001354D6">
        <w:t xml:space="preserve"> amend Clause 19 which extends and applies to the United Kingdom</w:t>
      </w:r>
      <w:r w:rsidR="004A4669" w:rsidRPr="004A4669">
        <w:t xml:space="preserve"> </w:t>
      </w:r>
      <w:r w:rsidR="004A4669">
        <w:t>except sections 19(7) and (8) which extend to England and Wales and Northern Ireland;</w:t>
      </w:r>
    </w:p>
    <w:p w14:paraId="4BAEDC8B" w14:textId="77777777" w:rsidR="001354D6" w:rsidRDefault="00F80527" w:rsidP="00F531AD">
      <w:pPr>
        <w:pStyle w:val="ListParagraph"/>
        <w:numPr>
          <w:ilvl w:val="0"/>
          <w:numId w:val="2"/>
        </w:numPr>
        <w:ind w:left="852"/>
      </w:pPr>
      <w:r>
        <w:t xml:space="preserve">Lords </w:t>
      </w:r>
      <w:r w:rsidR="008F2786">
        <w:t>Amendments 38 to 41</w:t>
      </w:r>
      <w:r w:rsidR="001354D6">
        <w:t xml:space="preserve"> amend Clause 20 which extends and applies to the United Kingdom;</w:t>
      </w:r>
    </w:p>
    <w:p w14:paraId="0E4F8CDA" w14:textId="77777777" w:rsidR="00886A6B" w:rsidRDefault="00F80527" w:rsidP="00915E6B">
      <w:pPr>
        <w:pStyle w:val="ListParagraph"/>
        <w:numPr>
          <w:ilvl w:val="0"/>
          <w:numId w:val="2"/>
        </w:numPr>
        <w:ind w:left="852"/>
      </w:pPr>
      <w:r>
        <w:t xml:space="preserve">Lords </w:t>
      </w:r>
      <w:r w:rsidR="008F2786">
        <w:t>Amendments 42 and 43</w:t>
      </w:r>
      <w:r w:rsidR="001354D6">
        <w:t xml:space="preserve"> amend Clause 21 </w:t>
      </w:r>
      <w:r w:rsidR="00886A6B">
        <w:t>which extends and applies to the United Kingdom;</w:t>
      </w:r>
    </w:p>
    <w:p w14:paraId="1CDB3E32" w14:textId="77777777" w:rsidR="00886A6B" w:rsidRDefault="00F80527" w:rsidP="00915E6B">
      <w:pPr>
        <w:pStyle w:val="ListParagraph"/>
        <w:numPr>
          <w:ilvl w:val="0"/>
          <w:numId w:val="2"/>
        </w:numPr>
        <w:ind w:left="852"/>
      </w:pPr>
      <w:r>
        <w:lastRenderedPageBreak/>
        <w:t xml:space="preserve">Lords </w:t>
      </w:r>
      <w:r w:rsidR="008F2786">
        <w:t>Amendments 43 and 45</w:t>
      </w:r>
      <w:r w:rsidR="00886A6B">
        <w:t xml:space="preserve"> amend Clause 22 which extend and applies to the United Kingdom;</w:t>
      </w:r>
    </w:p>
    <w:p w14:paraId="21EDC414" w14:textId="77777777" w:rsidR="00886A6B" w:rsidRDefault="00F80527" w:rsidP="00915E6B">
      <w:pPr>
        <w:pStyle w:val="ListParagraph"/>
        <w:numPr>
          <w:ilvl w:val="0"/>
          <w:numId w:val="2"/>
        </w:numPr>
        <w:ind w:left="852"/>
      </w:pPr>
      <w:r>
        <w:t xml:space="preserve">Lords </w:t>
      </w:r>
      <w:r w:rsidR="008F2786">
        <w:t>Amendments 46 and 47</w:t>
      </w:r>
      <w:r w:rsidR="00886A6B">
        <w:t xml:space="preserve"> insert two new clauses after Clause 22 </w:t>
      </w:r>
      <w:r w:rsidR="0078104A">
        <w:t xml:space="preserve">on the powers of accredited civilian officers </w:t>
      </w:r>
      <w:r w:rsidR="00886A6B">
        <w:t xml:space="preserve">which will </w:t>
      </w:r>
      <w:r w:rsidR="0078104A">
        <w:t xml:space="preserve">both </w:t>
      </w:r>
      <w:r w:rsidR="00886A6B">
        <w:t>extend and apply to the United Kingdom;</w:t>
      </w:r>
    </w:p>
    <w:p w14:paraId="39880AC8" w14:textId="77777777" w:rsidR="00886A6B" w:rsidRDefault="00F80527" w:rsidP="00915E6B">
      <w:pPr>
        <w:pStyle w:val="ListParagraph"/>
        <w:numPr>
          <w:ilvl w:val="0"/>
          <w:numId w:val="2"/>
        </w:numPr>
        <w:ind w:left="852"/>
      </w:pPr>
      <w:r>
        <w:t xml:space="preserve">Lords </w:t>
      </w:r>
      <w:r w:rsidR="00886A6B">
        <w:t>Amendments 4</w:t>
      </w:r>
      <w:r w:rsidR="008F2786">
        <w:t>8</w:t>
      </w:r>
      <w:r w:rsidR="004466A3">
        <w:t xml:space="preserve"> to 53</w:t>
      </w:r>
      <w:r w:rsidR="00886A6B">
        <w:t xml:space="preserve"> amend Clause 23 </w:t>
      </w:r>
      <w:r w:rsidR="004466A3">
        <w:t>to Clause 28</w:t>
      </w:r>
      <w:r w:rsidR="00886A6B">
        <w:t xml:space="preserve"> respectively. </w:t>
      </w:r>
      <w:r w:rsidR="004466A3">
        <w:t xml:space="preserve">All these </w:t>
      </w:r>
      <w:r w:rsidR="00886A6B">
        <w:t>clauses extend and apply to the United Kingdom;</w:t>
      </w:r>
    </w:p>
    <w:p w14:paraId="33127A7E" w14:textId="77777777" w:rsidR="0078104A" w:rsidRDefault="00F80527" w:rsidP="00915E6B">
      <w:pPr>
        <w:pStyle w:val="ListParagraph"/>
        <w:numPr>
          <w:ilvl w:val="0"/>
          <w:numId w:val="2"/>
        </w:numPr>
        <w:ind w:left="852"/>
      </w:pPr>
      <w:r>
        <w:t xml:space="preserve">Lords </w:t>
      </w:r>
      <w:r w:rsidR="000E571C" w:rsidRPr="00656711">
        <w:t xml:space="preserve">Amendment </w:t>
      </w:r>
      <w:r w:rsidR="001A7962" w:rsidRPr="00656711">
        <w:t>54</w:t>
      </w:r>
      <w:r w:rsidR="000E571C" w:rsidRPr="00656711">
        <w:t xml:space="preserve"> inserts a new clause after Clause 33 on contracts of insurance</w:t>
      </w:r>
      <w:r w:rsidR="0078104A" w:rsidRPr="00656711">
        <w:t xml:space="preserve"> which</w:t>
      </w:r>
      <w:r w:rsidR="0078104A">
        <w:t xml:space="preserve"> extends and applies to the United Kingdom;</w:t>
      </w:r>
    </w:p>
    <w:p w14:paraId="66F1F376" w14:textId="77777777" w:rsidR="0078104A" w:rsidRDefault="00F80527" w:rsidP="00915E6B">
      <w:pPr>
        <w:pStyle w:val="ListParagraph"/>
        <w:numPr>
          <w:ilvl w:val="0"/>
          <w:numId w:val="2"/>
        </w:numPr>
        <w:ind w:left="852"/>
      </w:pPr>
      <w:r>
        <w:t xml:space="preserve">Lords </w:t>
      </w:r>
      <w:r w:rsidR="0078104A">
        <w:t xml:space="preserve">Amendments </w:t>
      </w:r>
      <w:r w:rsidR="0078104A" w:rsidRPr="00656711">
        <w:t>5</w:t>
      </w:r>
      <w:r w:rsidR="001A7962" w:rsidRPr="00656711">
        <w:t>5</w:t>
      </w:r>
      <w:r w:rsidR="0078104A" w:rsidRPr="00656711">
        <w:t xml:space="preserve"> to 5</w:t>
      </w:r>
      <w:r w:rsidR="001A7962" w:rsidRPr="00656711">
        <w:t>7</w:t>
      </w:r>
      <w:r w:rsidR="0078104A">
        <w:t xml:space="preserve"> amend Clause 35 which extends and applies to the United Kingdom;</w:t>
      </w:r>
    </w:p>
    <w:p w14:paraId="6B15DED7" w14:textId="77777777" w:rsidR="0078104A" w:rsidRDefault="00F80527" w:rsidP="00915E6B">
      <w:pPr>
        <w:pStyle w:val="ListParagraph"/>
        <w:numPr>
          <w:ilvl w:val="0"/>
          <w:numId w:val="2"/>
        </w:numPr>
        <w:ind w:left="852"/>
      </w:pPr>
      <w:r>
        <w:t xml:space="preserve">Lords </w:t>
      </w:r>
      <w:r w:rsidR="0078104A">
        <w:t xml:space="preserve">Amendments </w:t>
      </w:r>
      <w:r w:rsidR="0078104A" w:rsidRPr="00656711">
        <w:t>5</w:t>
      </w:r>
      <w:r w:rsidR="001A7962" w:rsidRPr="00656711">
        <w:t>8</w:t>
      </w:r>
      <w:r w:rsidR="0078104A" w:rsidRPr="00656711">
        <w:t xml:space="preserve"> to 6</w:t>
      </w:r>
      <w:r w:rsidR="001A7962" w:rsidRPr="00656711">
        <w:t>1</w:t>
      </w:r>
      <w:r w:rsidR="0078104A">
        <w:t xml:space="preserve"> amend Clause 36 which extends and applies to the United Kingdom;</w:t>
      </w:r>
    </w:p>
    <w:p w14:paraId="4112CA4D" w14:textId="77777777" w:rsidR="0078104A" w:rsidRDefault="00F80527" w:rsidP="00915E6B">
      <w:pPr>
        <w:pStyle w:val="ListParagraph"/>
        <w:numPr>
          <w:ilvl w:val="0"/>
          <w:numId w:val="2"/>
        </w:numPr>
        <w:ind w:left="852"/>
      </w:pPr>
      <w:r>
        <w:t xml:space="preserve">Lords </w:t>
      </w:r>
      <w:r w:rsidR="0078104A">
        <w:t xml:space="preserve">Amendments </w:t>
      </w:r>
      <w:r w:rsidR="0078104A" w:rsidRPr="00656711">
        <w:t>6</w:t>
      </w:r>
      <w:r w:rsidR="001A7962" w:rsidRPr="00656711">
        <w:t>2</w:t>
      </w:r>
      <w:r w:rsidR="0078104A" w:rsidRPr="00656711">
        <w:t xml:space="preserve"> to 6</w:t>
      </w:r>
      <w:r w:rsidR="001A7962" w:rsidRPr="00656711">
        <w:t>6</w:t>
      </w:r>
      <w:r w:rsidR="0078104A">
        <w:t xml:space="preserve"> amend Clause 37 which extends and applies to the United Kingdom; </w:t>
      </w:r>
    </w:p>
    <w:p w14:paraId="08E7D0E8" w14:textId="77777777" w:rsidR="0078104A" w:rsidRDefault="00F80527" w:rsidP="00915E6B">
      <w:pPr>
        <w:pStyle w:val="ListParagraph"/>
        <w:numPr>
          <w:ilvl w:val="0"/>
          <w:numId w:val="2"/>
        </w:numPr>
        <w:ind w:left="852"/>
      </w:pPr>
      <w:r>
        <w:t xml:space="preserve">Lords </w:t>
      </w:r>
      <w:r w:rsidR="0078104A">
        <w:t xml:space="preserve">Amendments </w:t>
      </w:r>
      <w:r w:rsidR="0078104A" w:rsidRPr="00656711">
        <w:t>6</w:t>
      </w:r>
      <w:r w:rsidR="001A7962" w:rsidRPr="00656711">
        <w:t>7 to 73</w:t>
      </w:r>
      <w:r w:rsidR="0078104A">
        <w:t xml:space="preserve"> amend Schedule 1 which extends and applies to the United Kingdom; and</w:t>
      </w:r>
    </w:p>
    <w:p w14:paraId="4045FB18" w14:textId="77777777" w:rsidR="00A10617" w:rsidRDefault="00F80527" w:rsidP="00915E6B">
      <w:pPr>
        <w:pStyle w:val="ListParagraph"/>
        <w:numPr>
          <w:ilvl w:val="0"/>
          <w:numId w:val="2"/>
        </w:numPr>
        <w:ind w:left="852"/>
      </w:pPr>
      <w:r>
        <w:t xml:space="preserve">Lords </w:t>
      </w:r>
      <w:r w:rsidR="0078104A">
        <w:t xml:space="preserve">Amendments </w:t>
      </w:r>
      <w:r w:rsidR="0078104A" w:rsidRPr="00656711">
        <w:t>7</w:t>
      </w:r>
      <w:r w:rsidR="001A7962" w:rsidRPr="00656711">
        <w:t>4</w:t>
      </w:r>
      <w:r w:rsidR="0078104A" w:rsidRPr="00656711">
        <w:t xml:space="preserve"> to 7</w:t>
      </w:r>
      <w:r w:rsidR="001A7962" w:rsidRPr="00656711">
        <w:t>8</w:t>
      </w:r>
      <w:r w:rsidR="0078104A">
        <w:t xml:space="preserve"> amend Schedule 2 which extends</w:t>
      </w:r>
      <w:r w:rsidR="0018031F">
        <w:t xml:space="preserve"> and applies</w:t>
      </w:r>
      <w:r w:rsidR="0078104A">
        <w:t xml:space="preserve"> </w:t>
      </w:r>
      <w:r w:rsidR="008D362D">
        <w:t>to England and Wales and Northern Ireland</w:t>
      </w:r>
      <w:r w:rsidR="0078104A">
        <w:t xml:space="preserve">.  </w:t>
      </w:r>
      <w:r w:rsidR="00466693">
        <w:t xml:space="preserve"> </w:t>
      </w:r>
    </w:p>
    <w:p w14:paraId="57BEA501" w14:textId="77777777" w:rsidR="00684C61" w:rsidRDefault="00684C61" w:rsidP="00684C61">
      <w:pPr>
        <w:pStyle w:val="ListParagraph"/>
        <w:ind w:left="1080"/>
      </w:pPr>
    </w:p>
    <w:p w14:paraId="47CCF6AC" w14:textId="77777777" w:rsidR="00B02D00" w:rsidRDefault="00652124" w:rsidP="00F82602">
      <w:pPr>
        <w:pStyle w:val="ListParagraph"/>
        <w:numPr>
          <w:ilvl w:val="0"/>
          <w:numId w:val="9"/>
        </w:numPr>
        <w:ind w:left="426"/>
      </w:pPr>
      <w:r>
        <w:t xml:space="preserve">The above clause numbers are those included in the Bill as introduced into the Lords. </w:t>
      </w:r>
      <w:r w:rsidR="00B02D00">
        <w:t xml:space="preserve">The above Lords </w:t>
      </w:r>
      <w:r w:rsidR="00F80527">
        <w:t xml:space="preserve">Amendments </w:t>
      </w:r>
      <w:r w:rsidR="00B02D00">
        <w:t>can be summarised as follows:</w:t>
      </w:r>
    </w:p>
    <w:p w14:paraId="1D200020" w14:textId="77777777" w:rsidR="00B02D00" w:rsidRDefault="00B02D00" w:rsidP="00B02D00">
      <w:pPr>
        <w:ind w:left="66"/>
      </w:pPr>
    </w:p>
    <w:p w14:paraId="6FB184B8" w14:textId="77777777" w:rsidR="00B02D00" w:rsidRDefault="00C776CE" w:rsidP="005D2876">
      <w:pPr>
        <w:pStyle w:val="ListParagraph"/>
        <w:numPr>
          <w:ilvl w:val="0"/>
          <w:numId w:val="10"/>
        </w:numPr>
      </w:pPr>
      <w:r>
        <w:t xml:space="preserve">Lords </w:t>
      </w:r>
      <w:r w:rsidR="00B02D00">
        <w:t xml:space="preserve">Amendments 1, 5, 8 and 18 replace powers to publish guidance with powers to make regulations. </w:t>
      </w:r>
      <w:r w:rsidR="00295C3E">
        <w:t>Amendments 7 and 20 remove powers to make guidance on the ways that applications may be made for exemption certificate</w:t>
      </w:r>
      <w:r w:rsidR="00F6281A">
        <w:t>s</w:t>
      </w:r>
      <w:r w:rsidR="00295C3E">
        <w:t xml:space="preserve"> and </w:t>
      </w:r>
      <w:r w:rsidR="00F6281A">
        <w:t>to register exempted ivory items</w:t>
      </w:r>
      <w:r w:rsidR="00295C3E">
        <w:t xml:space="preserve">. </w:t>
      </w:r>
      <w:r w:rsidR="00B02D00">
        <w:t xml:space="preserve">Lords Amendment 66 </w:t>
      </w:r>
      <w:r w:rsidR="00F6281A">
        <w:t>would remove</w:t>
      </w:r>
      <w:r w:rsidR="00B02D00">
        <w:t xml:space="preserve"> a duty to publish the above mentioned guidance.</w:t>
      </w:r>
    </w:p>
    <w:p w14:paraId="083D706C" w14:textId="77777777" w:rsidR="00295C3E" w:rsidRDefault="00295C3E" w:rsidP="00295C3E">
      <w:pPr>
        <w:pStyle w:val="ListParagraph"/>
      </w:pPr>
    </w:p>
    <w:p w14:paraId="380E902A" w14:textId="77777777" w:rsidR="00295C3E" w:rsidRDefault="00C776CE" w:rsidP="00295C3E">
      <w:pPr>
        <w:pStyle w:val="ListParagraph"/>
        <w:numPr>
          <w:ilvl w:val="0"/>
          <w:numId w:val="10"/>
        </w:numPr>
        <w:spacing w:before="240"/>
      </w:pPr>
      <w:r>
        <w:t xml:space="preserve">Lords </w:t>
      </w:r>
      <w:r w:rsidR="00B02D00">
        <w:t>Amendments 2</w:t>
      </w:r>
      <w:r w:rsidR="0088552D">
        <w:t xml:space="preserve"> to 4,</w:t>
      </w:r>
      <w:r w:rsidR="00187E0D">
        <w:t xml:space="preserve"> 6, 9, </w:t>
      </w:r>
      <w:r w:rsidR="0088552D">
        <w:t xml:space="preserve">12, </w:t>
      </w:r>
      <w:r w:rsidR="00187E0D">
        <w:t>16</w:t>
      </w:r>
      <w:r w:rsidR="00AD0C95">
        <w:t xml:space="preserve"> and </w:t>
      </w:r>
      <w:r w:rsidR="00187E0D">
        <w:t>19</w:t>
      </w:r>
      <w:r w:rsidR="00096656">
        <w:t xml:space="preserve"> </w:t>
      </w:r>
      <w:r w:rsidR="00187E0D">
        <w:t xml:space="preserve">replace </w:t>
      </w:r>
      <w:r w:rsidR="00096656">
        <w:t>“Secretary of State” with “the appropriate national authority”</w:t>
      </w:r>
      <w:r w:rsidR="00F6281A">
        <w:t xml:space="preserve"> and</w:t>
      </w:r>
      <w:r w:rsidR="00096656">
        <w:t xml:space="preserve"> </w:t>
      </w:r>
      <w:r w:rsidR="00F6281A">
        <w:t xml:space="preserve">Lords </w:t>
      </w:r>
      <w:r w:rsidR="00096656">
        <w:t xml:space="preserve">Amendment 62 inserts a definition of the appropriate national authority. The effect of these amendments </w:t>
      </w:r>
      <w:r w:rsidR="00F6281A">
        <w:t>would be</w:t>
      </w:r>
      <w:r w:rsidR="00096656">
        <w:t xml:space="preserve"> that the Secretary of State </w:t>
      </w:r>
      <w:r w:rsidR="00F6281A">
        <w:t xml:space="preserve">could </w:t>
      </w:r>
      <w:r w:rsidR="00096656">
        <w:t xml:space="preserve">make regulations applying to Wales, Scotland and </w:t>
      </w:r>
      <w:r w:rsidR="0099638A">
        <w:t>Northern Ireland</w:t>
      </w:r>
      <w:r w:rsidR="00096656">
        <w:t xml:space="preserve"> with the consent of the Welsh Ministers, Scottish Ministers or the Department of</w:t>
      </w:r>
      <w:r w:rsidR="00295C3E">
        <w:t xml:space="preserve"> Agriculture, Environment and Rural Affairs in Northern Ireland.</w:t>
      </w:r>
      <w:r w:rsidR="00096656">
        <w:t xml:space="preserve"> </w:t>
      </w:r>
      <w:r w:rsidR="00436A09">
        <w:t>These bodies would be</w:t>
      </w:r>
      <w:r w:rsidR="00295C3E">
        <w:t xml:space="preserve"> able to make their own regulations</w:t>
      </w:r>
      <w:r w:rsidR="00436A09">
        <w:t>, for example of they did not give their consent for the Secretary of State to do so</w:t>
      </w:r>
      <w:r w:rsidR="00295C3E">
        <w:t xml:space="preserve">. </w:t>
      </w:r>
      <w:r w:rsidR="00096656">
        <w:t xml:space="preserve">Amendments </w:t>
      </w:r>
      <w:r w:rsidR="000A0169">
        <w:t>59</w:t>
      </w:r>
      <w:r w:rsidR="009E1B0A">
        <w:t xml:space="preserve"> to 73</w:t>
      </w:r>
      <w:r w:rsidR="0018054D">
        <w:t xml:space="preserve"> </w:t>
      </w:r>
      <w:r w:rsidR="00096656">
        <w:t xml:space="preserve">make </w:t>
      </w:r>
      <w:r w:rsidR="0018054D">
        <w:t xml:space="preserve">amendments </w:t>
      </w:r>
      <w:r w:rsidR="008A7113">
        <w:t xml:space="preserve">to the Bill </w:t>
      </w:r>
      <w:r w:rsidR="0018054D">
        <w:t>consequential to these changes</w:t>
      </w:r>
      <w:r w:rsidR="00295C3E">
        <w:t>.</w:t>
      </w:r>
    </w:p>
    <w:p w14:paraId="21BD6630" w14:textId="77777777" w:rsidR="0099638A" w:rsidRDefault="0099638A" w:rsidP="0099638A">
      <w:pPr>
        <w:pStyle w:val="ListParagraph"/>
      </w:pPr>
    </w:p>
    <w:p w14:paraId="7A060B7D" w14:textId="77777777" w:rsidR="0099638A" w:rsidRDefault="00C776CE" w:rsidP="00295C3E">
      <w:pPr>
        <w:pStyle w:val="ListParagraph"/>
        <w:numPr>
          <w:ilvl w:val="0"/>
          <w:numId w:val="10"/>
        </w:numPr>
        <w:spacing w:before="240"/>
      </w:pPr>
      <w:r>
        <w:t xml:space="preserve">Lords </w:t>
      </w:r>
      <w:r w:rsidR="0088552D">
        <w:t>Amendments 10 provides that the First-tier Tribunal will hear appeals against decisions to refuse or revoke exemption certificates. Amendment 11 sets out the grounds on which an appeal may be made and the powers of the Tribunal on appeal.</w:t>
      </w:r>
      <w:r>
        <w:t xml:space="preserve"> Amendments 13 and 14</w:t>
      </w:r>
      <w:r w:rsidR="0088552D">
        <w:t xml:space="preserve"> </w:t>
      </w:r>
      <w:r>
        <w:t>make consequential changes to powers to make regulations about appeals.</w:t>
      </w:r>
    </w:p>
    <w:p w14:paraId="54F3A243" w14:textId="77777777" w:rsidR="00C776CE" w:rsidRDefault="00C776CE" w:rsidP="00C776CE">
      <w:pPr>
        <w:pStyle w:val="ListParagraph"/>
      </w:pPr>
    </w:p>
    <w:p w14:paraId="21A4B4E4" w14:textId="77777777" w:rsidR="00C776CE" w:rsidRDefault="00C776CE" w:rsidP="00295C3E">
      <w:pPr>
        <w:pStyle w:val="ListParagraph"/>
        <w:numPr>
          <w:ilvl w:val="0"/>
          <w:numId w:val="10"/>
        </w:numPr>
        <w:spacing w:before="240"/>
      </w:pPr>
      <w:r>
        <w:t>Lo</w:t>
      </w:r>
      <w:r w:rsidR="00F6281A">
        <w:t xml:space="preserve">rds Amendment 15 would replace Museums Gallery Scotland with the Scottish Ministers as the body responsible for making or arranging </w:t>
      </w:r>
      <w:r w:rsidR="008A7113">
        <w:t xml:space="preserve">publication of </w:t>
      </w:r>
      <w:r w:rsidR="00F6281A">
        <w:t xml:space="preserve">a list of accredited museums in Scotland. Amendment </w:t>
      </w:r>
      <w:r w:rsidR="00596A78">
        <w:t>17</w:t>
      </w:r>
      <w:r w:rsidR="00F6281A">
        <w:t xml:space="preserve"> makes a consequential change reflecting the new numbering of subsections in clause 9.   </w:t>
      </w:r>
    </w:p>
    <w:p w14:paraId="46BC4C6B" w14:textId="77777777" w:rsidR="00596A78" w:rsidRDefault="00596A78" w:rsidP="00596A78">
      <w:pPr>
        <w:pStyle w:val="ListParagraph"/>
      </w:pPr>
    </w:p>
    <w:p w14:paraId="40CC8A8D" w14:textId="77777777" w:rsidR="009E1B0A" w:rsidRDefault="00596A78" w:rsidP="00295C3E">
      <w:pPr>
        <w:pStyle w:val="ListParagraph"/>
        <w:numPr>
          <w:ilvl w:val="0"/>
          <w:numId w:val="10"/>
        </w:numPr>
        <w:spacing w:before="240"/>
      </w:pPr>
      <w:r>
        <w:t>Lords Amendment 25 would remove</w:t>
      </w:r>
      <w:r w:rsidR="00B13061">
        <w:t xml:space="preserve"> clause 17 </w:t>
      </w:r>
      <w:r w:rsidR="0004790D">
        <w:t xml:space="preserve">which </w:t>
      </w:r>
      <w:r w:rsidR="008A7113">
        <w:t xml:space="preserve">would </w:t>
      </w:r>
      <w:r w:rsidR="0004790D">
        <w:t xml:space="preserve">be replaced </w:t>
      </w:r>
      <w:r w:rsidR="00B13061">
        <w:t>by two new clauses that would be inserted by Lords Amendments 46 and 47 concerning the powers of accredited civilian officers.</w:t>
      </w:r>
      <w:r w:rsidR="0004790D">
        <w:t xml:space="preserve"> Certain powers of accredited civilian officers to enter and search premises</w:t>
      </w:r>
      <w:r w:rsidR="0018054D">
        <w:t xml:space="preserve"> would be limited</w:t>
      </w:r>
      <w:r w:rsidR="0004790D">
        <w:t xml:space="preserve"> and </w:t>
      </w:r>
      <w:r w:rsidR="0018054D">
        <w:t>their powers to search vehicles, vessels and aircraft and apply</w:t>
      </w:r>
      <w:r w:rsidR="0004790D">
        <w:t xml:space="preserve"> for search warrants</w:t>
      </w:r>
      <w:r w:rsidR="0018054D">
        <w:t xml:space="preserve"> would be removed.</w:t>
      </w:r>
      <w:r w:rsidR="0004790D">
        <w:t xml:space="preserve"> </w:t>
      </w:r>
      <w:r>
        <w:t>Amendments 21 to 24,</w:t>
      </w:r>
      <w:r w:rsidR="00B13061">
        <w:t xml:space="preserve"> 26 to 45, 48 to 53, 58</w:t>
      </w:r>
      <w:r w:rsidR="0018054D">
        <w:t xml:space="preserve"> and </w:t>
      </w:r>
      <w:r w:rsidR="009E1B0A">
        <w:t>74</w:t>
      </w:r>
      <w:r w:rsidR="0018054D">
        <w:t xml:space="preserve"> to 78 </w:t>
      </w:r>
      <w:r w:rsidR="000A0169">
        <w:t xml:space="preserve">would </w:t>
      </w:r>
      <w:r w:rsidR="0018054D">
        <w:t xml:space="preserve">make changes consequential to </w:t>
      </w:r>
      <w:r w:rsidR="009E1B0A">
        <w:t>the removal of the above powers.</w:t>
      </w:r>
    </w:p>
    <w:p w14:paraId="01EC095C" w14:textId="77777777" w:rsidR="009E1B0A" w:rsidRDefault="009E1B0A" w:rsidP="009E1B0A">
      <w:pPr>
        <w:pStyle w:val="ListParagraph"/>
      </w:pPr>
    </w:p>
    <w:p w14:paraId="572FC27F" w14:textId="77777777" w:rsidR="00596A78" w:rsidRDefault="008A7113" w:rsidP="00295C3E">
      <w:pPr>
        <w:pStyle w:val="ListParagraph"/>
        <w:numPr>
          <w:ilvl w:val="0"/>
          <w:numId w:val="10"/>
        </w:numPr>
        <w:spacing w:before="240"/>
      </w:pPr>
      <w:r>
        <w:t>Lords Amendment 54 inserts a new clause which would provide that the prohibition on dealings in ivory would not apply to a transaction under an insurance policy that is in force at the time of commencement. It would also ensure that the acquisition or disposal of an ivory item by a regulated insurer as the result of standards insurance activities will not be covered by the prohibition.</w:t>
      </w:r>
      <w:r w:rsidR="000A0169">
        <w:t xml:space="preserve"> </w:t>
      </w:r>
      <w:r w:rsidR="0018054D">
        <w:t xml:space="preserve"> </w:t>
      </w:r>
      <w:r w:rsidR="00596A78">
        <w:t xml:space="preserve"> </w:t>
      </w:r>
    </w:p>
    <w:p w14:paraId="5E456531" w14:textId="77777777" w:rsidR="0099638A" w:rsidRDefault="0099638A" w:rsidP="0099638A">
      <w:pPr>
        <w:pStyle w:val="ListParagraph"/>
      </w:pPr>
    </w:p>
    <w:p w14:paraId="2747FE97" w14:textId="77777777" w:rsidR="00FD1FB8" w:rsidRDefault="00963281" w:rsidP="00F82602">
      <w:pPr>
        <w:pStyle w:val="ListParagraph"/>
        <w:numPr>
          <w:ilvl w:val="0"/>
          <w:numId w:val="9"/>
        </w:numPr>
        <w:ind w:left="426"/>
      </w:pPr>
      <w:r>
        <w:t>There are no c</w:t>
      </w:r>
      <w:r w:rsidR="00FD1FB8">
        <w:t xml:space="preserve">hanges to </w:t>
      </w:r>
      <w:r>
        <w:t xml:space="preserve">the </w:t>
      </w:r>
      <w:r w:rsidR="00FD1FB8">
        <w:t xml:space="preserve">territorial application </w:t>
      </w:r>
      <w:r>
        <w:t xml:space="preserve">of the clauses in the Bill </w:t>
      </w:r>
      <w:r w:rsidR="00FD1FB8">
        <w:t xml:space="preserve">as a result of </w:t>
      </w:r>
      <w:r>
        <w:t>these amendments.</w:t>
      </w:r>
    </w:p>
    <w:p w14:paraId="0FFEAF04" w14:textId="77777777" w:rsidR="00FD1FB8" w:rsidRDefault="00FD1FB8" w:rsidP="00FD1FB8"/>
    <w:p w14:paraId="388CDCDC" w14:textId="77777777" w:rsidR="00FD1FB8" w:rsidRDefault="00FD1FB8" w:rsidP="00FD1FB8">
      <w:r>
        <w:t xml:space="preserve">The above assessment </w:t>
      </w:r>
      <w:r w:rsidR="00652124">
        <w:t xml:space="preserve">for amended clauses </w:t>
      </w:r>
      <w:r>
        <w:t>is presented in tabular form below.</w:t>
      </w:r>
    </w:p>
    <w:p w14:paraId="0F01A470" w14:textId="77777777" w:rsidR="008A7113" w:rsidRDefault="008A7113" w:rsidP="00FD1FB8"/>
    <w:tbl>
      <w:tblPr>
        <w:tblStyle w:val="ENGeneralTable"/>
        <w:tblW w:w="10627" w:type="dxa"/>
        <w:jc w:val="center"/>
        <w:tblLayout w:type="fixed"/>
        <w:tblLook w:val="0000" w:firstRow="0" w:lastRow="0" w:firstColumn="0" w:lastColumn="0" w:noHBand="0" w:noVBand="0"/>
      </w:tblPr>
      <w:tblGrid>
        <w:gridCol w:w="1413"/>
        <w:gridCol w:w="992"/>
        <w:gridCol w:w="992"/>
        <w:gridCol w:w="993"/>
        <w:gridCol w:w="1050"/>
        <w:gridCol w:w="1363"/>
        <w:gridCol w:w="1363"/>
        <w:gridCol w:w="1361"/>
        <w:gridCol w:w="1100"/>
      </w:tblGrid>
      <w:tr w:rsidR="00915E6B" w:rsidRPr="00CA4237" w14:paraId="7DC304F1" w14:textId="77777777" w:rsidTr="00B9545F">
        <w:trPr>
          <w:trHeight w:val="1153"/>
          <w:tblHeader/>
          <w:jc w:val="center"/>
        </w:trPr>
        <w:tc>
          <w:tcPr>
            <w:tcW w:w="1413" w:type="dxa"/>
          </w:tcPr>
          <w:p w14:paraId="4D0E1F39" w14:textId="77777777" w:rsidR="00915E6B" w:rsidRPr="00BC7958" w:rsidRDefault="00915E6B" w:rsidP="00B9545F">
            <w:pPr>
              <w:pStyle w:val="TTableText"/>
              <w:rPr>
                <w:rStyle w:val="TTableHeadings"/>
              </w:rPr>
            </w:pPr>
            <w:r>
              <w:rPr>
                <w:rStyle w:val="TTableHeadings"/>
              </w:rPr>
              <w:t>Provision</w:t>
            </w:r>
          </w:p>
        </w:tc>
        <w:tc>
          <w:tcPr>
            <w:tcW w:w="992" w:type="dxa"/>
          </w:tcPr>
          <w:p w14:paraId="31D0B2F0" w14:textId="77777777" w:rsidR="00915E6B" w:rsidRPr="00BC7958" w:rsidRDefault="00915E6B" w:rsidP="00B9545F">
            <w:pPr>
              <w:pStyle w:val="TTableText"/>
              <w:rPr>
                <w:rStyle w:val="TTableHeadings"/>
              </w:rPr>
            </w:pPr>
            <w:r w:rsidRPr="00BC7958">
              <w:rPr>
                <w:rStyle w:val="TTableHeadings"/>
              </w:rPr>
              <w:t>Extends to E &amp; W and applies to England?</w:t>
            </w:r>
          </w:p>
        </w:tc>
        <w:tc>
          <w:tcPr>
            <w:tcW w:w="992" w:type="dxa"/>
          </w:tcPr>
          <w:p w14:paraId="2E6D63E0" w14:textId="77777777" w:rsidR="00915E6B" w:rsidRPr="00BC7958" w:rsidRDefault="00915E6B" w:rsidP="00B9545F">
            <w:pPr>
              <w:pStyle w:val="TTableText"/>
              <w:rPr>
                <w:rStyle w:val="TTableHeadings"/>
              </w:rPr>
            </w:pPr>
            <w:r w:rsidRPr="00BC7958">
              <w:rPr>
                <w:rStyle w:val="TTableHeadings"/>
              </w:rPr>
              <w:t>Extends to E &amp; W and applies to Wales?</w:t>
            </w:r>
          </w:p>
        </w:tc>
        <w:tc>
          <w:tcPr>
            <w:tcW w:w="993" w:type="dxa"/>
          </w:tcPr>
          <w:p w14:paraId="359D552D" w14:textId="77777777" w:rsidR="00915E6B" w:rsidRPr="00BC7958" w:rsidRDefault="00915E6B" w:rsidP="00B9545F">
            <w:pPr>
              <w:pStyle w:val="TTableText"/>
              <w:rPr>
                <w:rStyle w:val="TTableHeadings"/>
              </w:rPr>
            </w:pPr>
            <w:r w:rsidRPr="00BC7958">
              <w:rPr>
                <w:rStyle w:val="TTableHeadings"/>
              </w:rPr>
              <w:t>Extends and applies to Scotland?</w:t>
            </w:r>
          </w:p>
        </w:tc>
        <w:tc>
          <w:tcPr>
            <w:tcW w:w="1050" w:type="dxa"/>
          </w:tcPr>
          <w:p w14:paraId="6FD98027" w14:textId="77777777" w:rsidR="00915E6B" w:rsidRPr="00BC7958" w:rsidRDefault="00915E6B" w:rsidP="00B9545F">
            <w:pPr>
              <w:pStyle w:val="TTableText"/>
              <w:rPr>
                <w:rStyle w:val="TTableHeadings"/>
              </w:rPr>
            </w:pPr>
            <w:r w:rsidRPr="00BC7958">
              <w:rPr>
                <w:rStyle w:val="TTableHeadings"/>
              </w:rPr>
              <w:t xml:space="preserve">Extends and applies to </w:t>
            </w:r>
            <w:r>
              <w:rPr>
                <w:rStyle w:val="TTableHeadings"/>
              </w:rPr>
              <w:t>Northern Ireland</w:t>
            </w:r>
            <w:r w:rsidRPr="00BC7958">
              <w:rPr>
                <w:rStyle w:val="TTableHeadings"/>
              </w:rPr>
              <w:t>?</w:t>
            </w:r>
          </w:p>
        </w:tc>
        <w:tc>
          <w:tcPr>
            <w:tcW w:w="1363" w:type="dxa"/>
          </w:tcPr>
          <w:p w14:paraId="06164C16" w14:textId="77777777" w:rsidR="00915E6B" w:rsidRPr="00BC7958" w:rsidRDefault="00915E6B" w:rsidP="00B9545F">
            <w:pPr>
              <w:pStyle w:val="TTableText"/>
              <w:rPr>
                <w:rStyle w:val="TTableHeadings"/>
              </w:rPr>
            </w:pPr>
            <w:r>
              <w:rPr>
                <w:rStyle w:val="TTableHeadings"/>
              </w:rPr>
              <w:t>Would corresponding provision be within the competence of the National Assembly for Wales</w:t>
            </w:r>
            <w:r w:rsidRPr="00BC7958">
              <w:rPr>
                <w:rStyle w:val="TTableHeadings"/>
              </w:rPr>
              <w:t>?</w:t>
            </w:r>
          </w:p>
        </w:tc>
        <w:tc>
          <w:tcPr>
            <w:tcW w:w="1363" w:type="dxa"/>
          </w:tcPr>
          <w:p w14:paraId="20719B78" w14:textId="77777777" w:rsidR="00915E6B" w:rsidRPr="00BC7958" w:rsidRDefault="00915E6B" w:rsidP="00B9545F">
            <w:pPr>
              <w:pStyle w:val="TTableText"/>
              <w:rPr>
                <w:rStyle w:val="TTableHeadings"/>
              </w:rPr>
            </w:pPr>
            <w:r>
              <w:rPr>
                <w:rStyle w:val="TTableHeadings"/>
              </w:rPr>
              <w:t>Would corresponding provisi</w:t>
            </w:r>
            <w:r w:rsidRPr="00BC7958">
              <w:rPr>
                <w:rStyle w:val="TTableHeadings"/>
              </w:rPr>
              <w:t xml:space="preserve">on be within the competence of </w:t>
            </w:r>
            <w:r>
              <w:rPr>
                <w:rStyle w:val="TTableHeadings"/>
              </w:rPr>
              <w:t xml:space="preserve">the </w:t>
            </w:r>
            <w:r w:rsidRPr="00BC7958">
              <w:rPr>
                <w:rStyle w:val="TTableHeadings"/>
              </w:rPr>
              <w:t>Scottish Parliament?</w:t>
            </w:r>
          </w:p>
        </w:tc>
        <w:tc>
          <w:tcPr>
            <w:tcW w:w="1361" w:type="dxa"/>
          </w:tcPr>
          <w:p w14:paraId="41661C44" w14:textId="77777777" w:rsidR="00915E6B" w:rsidRPr="00BC7958" w:rsidRDefault="00915E6B" w:rsidP="00B9545F">
            <w:pPr>
              <w:pStyle w:val="TTableText"/>
              <w:rPr>
                <w:rStyle w:val="TTableHeadings"/>
              </w:rPr>
            </w:pPr>
            <w:r>
              <w:rPr>
                <w:rStyle w:val="TTableHeadings"/>
              </w:rPr>
              <w:t xml:space="preserve">Would corresponding provision be within the competence of the </w:t>
            </w:r>
            <w:r w:rsidRPr="00BC7958">
              <w:rPr>
                <w:rStyle w:val="TTableHeadings"/>
              </w:rPr>
              <w:t>N</w:t>
            </w:r>
            <w:r>
              <w:rPr>
                <w:rStyle w:val="TTableHeadings"/>
              </w:rPr>
              <w:t xml:space="preserve">orthern </w:t>
            </w:r>
            <w:r w:rsidRPr="00BC7958">
              <w:rPr>
                <w:rStyle w:val="TTableHeadings"/>
              </w:rPr>
              <w:t>I</w:t>
            </w:r>
            <w:r>
              <w:rPr>
                <w:rStyle w:val="TTableHeadings"/>
              </w:rPr>
              <w:t>reland</w:t>
            </w:r>
            <w:r w:rsidRPr="00BC7958">
              <w:rPr>
                <w:rStyle w:val="TTableHeadings"/>
              </w:rPr>
              <w:t xml:space="preserve"> Assembly?</w:t>
            </w:r>
          </w:p>
        </w:tc>
        <w:tc>
          <w:tcPr>
            <w:tcW w:w="1100" w:type="dxa"/>
          </w:tcPr>
          <w:p w14:paraId="05573619" w14:textId="77777777" w:rsidR="00915E6B" w:rsidRPr="00BC7958" w:rsidRDefault="00915E6B" w:rsidP="00B9545F">
            <w:pPr>
              <w:pStyle w:val="TTableText"/>
              <w:rPr>
                <w:rStyle w:val="TTableHeadings"/>
              </w:rPr>
            </w:pPr>
            <w:r w:rsidRPr="00BC7958">
              <w:rPr>
                <w:rStyle w:val="TTableHeadings"/>
              </w:rPr>
              <w:t>L</w:t>
            </w:r>
            <w:r>
              <w:rPr>
                <w:rStyle w:val="TTableHeadings"/>
              </w:rPr>
              <w:t>egislative Consent Motion needed</w:t>
            </w:r>
            <w:r w:rsidRPr="00BC7958">
              <w:rPr>
                <w:rStyle w:val="TTableHeadings"/>
              </w:rPr>
              <w:t>?</w:t>
            </w:r>
          </w:p>
        </w:tc>
      </w:tr>
      <w:tr w:rsidR="00915E6B" w:rsidRPr="00CA4237" w14:paraId="62451650" w14:textId="77777777" w:rsidTr="00B9545F">
        <w:trPr>
          <w:trHeight w:val="376"/>
          <w:jc w:val="center"/>
        </w:trPr>
        <w:tc>
          <w:tcPr>
            <w:tcW w:w="1413" w:type="dxa"/>
          </w:tcPr>
          <w:p w14:paraId="3DA183AB" w14:textId="77777777" w:rsidR="00915E6B" w:rsidRPr="00CA4237" w:rsidRDefault="00915E6B" w:rsidP="00B9545F">
            <w:pPr>
              <w:pStyle w:val="TTableText"/>
              <w:rPr>
                <w:lang w:val="en-GB"/>
              </w:rPr>
            </w:pPr>
            <w:r>
              <w:rPr>
                <w:lang w:val="en-GB"/>
              </w:rPr>
              <w:t>Prohibition</w:t>
            </w:r>
          </w:p>
          <w:p w14:paraId="7845032C" w14:textId="77777777" w:rsidR="00915E6B" w:rsidRPr="00CA4237" w:rsidRDefault="00915E6B" w:rsidP="00B9545F">
            <w:pPr>
              <w:pStyle w:val="TTableText"/>
              <w:rPr>
                <w:lang w:val="en-GB"/>
              </w:rPr>
            </w:pPr>
            <w:r w:rsidRPr="00CA4237">
              <w:rPr>
                <w:lang w:val="en-GB"/>
              </w:rPr>
              <w:t>Clause 1</w:t>
            </w:r>
          </w:p>
        </w:tc>
        <w:tc>
          <w:tcPr>
            <w:tcW w:w="992" w:type="dxa"/>
          </w:tcPr>
          <w:p w14:paraId="0A9796D7" w14:textId="77777777" w:rsidR="00915E6B" w:rsidRDefault="00915E6B" w:rsidP="00B9545F">
            <w:pPr>
              <w:pStyle w:val="TTableText"/>
            </w:pPr>
          </w:p>
          <w:p w14:paraId="7482604A" w14:textId="77777777" w:rsidR="00915E6B" w:rsidRPr="00D50344" w:rsidRDefault="00915E6B" w:rsidP="00B9545F">
            <w:pPr>
              <w:pStyle w:val="TTableText"/>
            </w:pPr>
            <w:r>
              <w:t>Yes</w:t>
            </w:r>
          </w:p>
        </w:tc>
        <w:tc>
          <w:tcPr>
            <w:tcW w:w="992" w:type="dxa"/>
          </w:tcPr>
          <w:p w14:paraId="48B4DAD6" w14:textId="77777777" w:rsidR="00915E6B" w:rsidRDefault="00915E6B" w:rsidP="00B9545F">
            <w:pPr>
              <w:pStyle w:val="TTableText"/>
            </w:pPr>
          </w:p>
          <w:p w14:paraId="5D3C2991" w14:textId="77777777" w:rsidR="00915E6B" w:rsidRPr="00D50344" w:rsidRDefault="00915E6B" w:rsidP="00B9545F">
            <w:pPr>
              <w:pStyle w:val="TTableText"/>
            </w:pPr>
            <w:r>
              <w:t>Yes</w:t>
            </w:r>
          </w:p>
        </w:tc>
        <w:tc>
          <w:tcPr>
            <w:tcW w:w="993" w:type="dxa"/>
          </w:tcPr>
          <w:p w14:paraId="68139A1B" w14:textId="77777777" w:rsidR="00915E6B" w:rsidRDefault="00915E6B" w:rsidP="00B9545F">
            <w:pPr>
              <w:pStyle w:val="TTableText"/>
            </w:pPr>
          </w:p>
          <w:p w14:paraId="530BF65E" w14:textId="77777777" w:rsidR="00915E6B" w:rsidRPr="00D50344" w:rsidRDefault="00915E6B" w:rsidP="00B9545F">
            <w:pPr>
              <w:pStyle w:val="TTableText"/>
            </w:pPr>
            <w:r>
              <w:t>Yes</w:t>
            </w:r>
          </w:p>
        </w:tc>
        <w:tc>
          <w:tcPr>
            <w:tcW w:w="1050" w:type="dxa"/>
          </w:tcPr>
          <w:p w14:paraId="0CF757F5" w14:textId="77777777" w:rsidR="00915E6B" w:rsidRDefault="00915E6B" w:rsidP="00B9545F">
            <w:pPr>
              <w:pStyle w:val="TTableText"/>
            </w:pPr>
          </w:p>
          <w:p w14:paraId="07F60363" w14:textId="77777777" w:rsidR="00915E6B" w:rsidRPr="00D50344" w:rsidRDefault="00915E6B" w:rsidP="00B9545F">
            <w:pPr>
              <w:pStyle w:val="TTableText"/>
            </w:pPr>
            <w:r>
              <w:t>Yes</w:t>
            </w:r>
          </w:p>
        </w:tc>
        <w:tc>
          <w:tcPr>
            <w:tcW w:w="1363" w:type="dxa"/>
          </w:tcPr>
          <w:p w14:paraId="03EC94FB" w14:textId="77777777" w:rsidR="00915E6B" w:rsidRDefault="00915E6B" w:rsidP="00B9545F">
            <w:pPr>
              <w:pStyle w:val="TTableText"/>
            </w:pPr>
          </w:p>
          <w:p w14:paraId="261C1483" w14:textId="77777777" w:rsidR="00915E6B" w:rsidRPr="00D50344" w:rsidRDefault="00915E6B" w:rsidP="00B9545F">
            <w:pPr>
              <w:pStyle w:val="TTableText"/>
            </w:pPr>
            <w:r>
              <w:t>N/A</w:t>
            </w:r>
          </w:p>
        </w:tc>
        <w:tc>
          <w:tcPr>
            <w:tcW w:w="1363" w:type="dxa"/>
          </w:tcPr>
          <w:p w14:paraId="1E4BA954" w14:textId="77777777" w:rsidR="00915E6B" w:rsidRDefault="00915E6B" w:rsidP="00B9545F">
            <w:pPr>
              <w:pStyle w:val="TTableText"/>
            </w:pPr>
          </w:p>
          <w:p w14:paraId="57ABB6C8" w14:textId="77777777" w:rsidR="00915E6B" w:rsidRPr="00D50344" w:rsidRDefault="00915E6B" w:rsidP="00B9545F">
            <w:pPr>
              <w:pStyle w:val="TTableText"/>
            </w:pPr>
            <w:r>
              <w:t>N/A</w:t>
            </w:r>
          </w:p>
        </w:tc>
        <w:tc>
          <w:tcPr>
            <w:tcW w:w="1361" w:type="dxa"/>
          </w:tcPr>
          <w:p w14:paraId="71900A7E" w14:textId="77777777" w:rsidR="00915E6B" w:rsidRDefault="00915E6B" w:rsidP="00B9545F">
            <w:pPr>
              <w:pStyle w:val="TTableText"/>
            </w:pPr>
          </w:p>
          <w:p w14:paraId="3DEF7CEF" w14:textId="77777777" w:rsidR="00915E6B" w:rsidRPr="00D50344" w:rsidRDefault="00915E6B" w:rsidP="00B9545F">
            <w:pPr>
              <w:pStyle w:val="TTableText"/>
            </w:pPr>
            <w:r>
              <w:t>N/A</w:t>
            </w:r>
          </w:p>
        </w:tc>
        <w:tc>
          <w:tcPr>
            <w:tcW w:w="1100" w:type="dxa"/>
          </w:tcPr>
          <w:p w14:paraId="2798ABBA" w14:textId="77777777" w:rsidR="00915E6B" w:rsidRDefault="00915E6B" w:rsidP="00B9545F">
            <w:pPr>
              <w:pStyle w:val="TTableText"/>
            </w:pPr>
          </w:p>
          <w:p w14:paraId="2700BC50" w14:textId="77777777" w:rsidR="00915E6B" w:rsidRPr="00D50344" w:rsidRDefault="00652124" w:rsidP="00B9545F">
            <w:pPr>
              <w:pStyle w:val="TTableText"/>
            </w:pPr>
            <w:r>
              <w:t>Yes (W, S and NI)</w:t>
            </w:r>
          </w:p>
        </w:tc>
      </w:tr>
      <w:tr w:rsidR="00915E6B" w:rsidRPr="00CA4237" w14:paraId="6B028271" w14:textId="77777777" w:rsidTr="00B9545F">
        <w:trPr>
          <w:trHeight w:val="376"/>
          <w:jc w:val="center"/>
        </w:trPr>
        <w:tc>
          <w:tcPr>
            <w:tcW w:w="1413" w:type="dxa"/>
          </w:tcPr>
          <w:p w14:paraId="0F75DF52" w14:textId="77777777" w:rsidR="00915E6B" w:rsidRDefault="00915E6B" w:rsidP="00B9545F">
            <w:pPr>
              <w:pStyle w:val="TTableText"/>
            </w:pPr>
            <w:r w:rsidRPr="00D50344">
              <w:t>Exemption for outstandingly valuable and important pre-1918 items</w:t>
            </w:r>
          </w:p>
          <w:p w14:paraId="3805019D" w14:textId="77777777" w:rsidR="00915E6B" w:rsidRDefault="00915E6B" w:rsidP="00B9545F">
            <w:pPr>
              <w:pStyle w:val="TTableText"/>
              <w:rPr>
                <w:lang w:val="en-GB"/>
              </w:rPr>
            </w:pPr>
            <w:r w:rsidRPr="00CA4237">
              <w:rPr>
                <w:lang w:val="en-GB"/>
              </w:rPr>
              <w:t>Clause</w:t>
            </w:r>
            <w:r>
              <w:rPr>
                <w:lang w:val="en-GB"/>
              </w:rPr>
              <w:t>s 2-</w:t>
            </w:r>
            <w:r w:rsidRPr="00CA4237">
              <w:rPr>
                <w:lang w:val="en-GB"/>
              </w:rPr>
              <w:t>5</w:t>
            </w:r>
          </w:p>
          <w:p w14:paraId="331BC00C" w14:textId="77777777" w:rsidR="00F97C25" w:rsidRPr="00CA4237" w:rsidRDefault="00F97C25" w:rsidP="00B9545F">
            <w:pPr>
              <w:pStyle w:val="TTableText"/>
              <w:rPr>
                <w:lang w:val="en-GB"/>
              </w:rPr>
            </w:pPr>
          </w:p>
        </w:tc>
        <w:tc>
          <w:tcPr>
            <w:tcW w:w="992" w:type="dxa"/>
          </w:tcPr>
          <w:p w14:paraId="4AA3684C" w14:textId="77777777" w:rsidR="00915E6B" w:rsidRDefault="00915E6B" w:rsidP="00B9545F">
            <w:pPr>
              <w:pStyle w:val="TTableText"/>
            </w:pPr>
          </w:p>
          <w:p w14:paraId="79E50093" w14:textId="77777777" w:rsidR="00915E6B" w:rsidRPr="00CA4237" w:rsidRDefault="00915E6B" w:rsidP="00B9545F">
            <w:pPr>
              <w:pStyle w:val="TTableText"/>
              <w:rPr>
                <w:lang w:val="en-GB"/>
              </w:rPr>
            </w:pPr>
            <w:r>
              <w:t>Yes</w:t>
            </w:r>
          </w:p>
        </w:tc>
        <w:tc>
          <w:tcPr>
            <w:tcW w:w="992" w:type="dxa"/>
          </w:tcPr>
          <w:p w14:paraId="615406DB" w14:textId="77777777" w:rsidR="00915E6B" w:rsidRDefault="00915E6B" w:rsidP="00B9545F">
            <w:pPr>
              <w:pStyle w:val="TTableText"/>
            </w:pPr>
          </w:p>
          <w:p w14:paraId="6F97D859" w14:textId="77777777" w:rsidR="00915E6B" w:rsidRPr="00CA4237" w:rsidRDefault="00915E6B" w:rsidP="00B9545F">
            <w:pPr>
              <w:pStyle w:val="TTableText"/>
              <w:rPr>
                <w:lang w:val="en-GB"/>
              </w:rPr>
            </w:pPr>
            <w:r>
              <w:t>Yes</w:t>
            </w:r>
          </w:p>
        </w:tc>
        <w:tc>
          <w:tcPr>
            <w:tcW w:w="993" w:type="dxa"/>
          </w:tcPr>
          <w:p w14:paraId="2F53B18A" w14:textId="77777777" w:rsidR="00915E6B" w:rsidRDefault="00915E6B" w:rsidP="00B9545F">
            <w:pPr>
              <w:pStyle w:val="TTableText"/>
            </w:pPr>
          </w:p>
          <w:p w14:paraId="38CEC17E" w14:textId="77777777" w:rsidR="00915E6B" w:rsidRPr="00CA4237" w:rsidRDefault="00915E6B" w:rsidP="00B9545F">
            <w:pPr>
              <w:pStyle w:val="TTableText"/>
              <w:rPr>
                <w:lang w:val="en-GB"/>
              </w:rPr>
            </w:pPr>
            <w:r>
              <w:t>Yes</w:t>
            </w:r>
          </w:p>
        </w:tc>
        <w:tc>
          <w:tcPr>
            <w:tcW w:w="1050" w:type="dxa"/>
          </w:tcPr>
          <w:p w14:paraId="6EE1C7C0" w14:textId="77777777" w:rsidR="00915E6B" w:rsidRDefault="00915E6B" w:rsidP="00B9545F">
            <w:pPr>
              <w:pStyle w:val="TTableText"/>
            </w:pPr>
          </w:p>
          <w:p w14:paraId="66B90DCE" w14:textId="77777777" w:rsidR="00915E6B" w:rsidRPr="00CA4237" w:rsidRDefault="00915E6B" w:rsidP="00B9545F">
            <w:pPr>
              <w:pStyle w:val="TTableText"/>
              <w:rPr>
                <w:lang w:val="en-GB"/>
              </w:rPr>
            </w:pPr>
            <w:r>
              <w:t>Yes</w:t>
            </w:r>
          </w:p>
        </w:tc>
        <w:tc>
          <w:tcPr>
            <w:tcW w:w="1363" w:type="dxa"/>
          </w:tcPr>
          <w:p w14:paraId="645377D1" w14:textId="77777777" w:rsidR="00915E6B" w:rsidRDefault="00915E6B" w:rsidP="00B9545F">
            <w:pPr>
              <w:pStyle w:val="TTableText"/>
            </w:pPr>
          </w:p>
          <w:p w14:paraId="712880E9" w14:textId="77777777" w:rsidR="00915E6B" w:rsidRPr="00CA4237" w:rsidRDefault="00915E6B" w:rsidP="00B9545F">
            <w:pPr>
              <w:pStyle w:val="TTableText"/>
              <w:rPr>
                <w:lang w:val="en-GB"/>
              </w:rPr>
            </w:pPr>
            <w:r>
              <w:t>N/A</w:t>
            </w:r>
          </w:p>
        </w:tc>
        <w:tc>
          <w:tcPr>
            <w:tcW w:w="1363" w:type="dxa"/>
          </w:tcPr>
          <w:p w14:paraId="39E671BE" w14:textId="77777777" w:rsidR="00915E6B" w:rsidRDefault="00915E6B" w:rsidP="00B9545F">
            <w:pPr>
              <w:pStyle w:val="TTableText"/>
            </w:pPr>
          </w:p>
          <w:p w14:paraId="58A64CAE" w14:textId="77777777" w:rsidR="00915E6B" w:rsidRPr="00CA4237" w:rsidRDefault="00915E6B" w:rsidP="00B9545F">
            <w:pPr>
              <w:pStyle w:val="TTableText"/>
              <w:rPr>
                <w:lang w:val="en-GB"/>
              </w:rPr>
            </w:pPr>
            <w:r>
              <w:t>N/A</w:t>
            </w:r>
          </w:p>
        </w:tc>
        <w:tc>
          <w:tcPr>
            <w:tcW w:w="1361" w:type="dxa"/>
          </w:tcPr>
          <w:p w14:paraId="7ED89410" w14:textId="77777777" w:rsidR="00915E6B" w:rsidRDefault="00915E6B" w:rsidP="00B9545F">
            <w:pPr>
              <w:pStyle w:val="TTableText"/>
            </w:pPr>
          </w:p>
          <w:p w14:paraId="55B51662" w14:textId="77777777" w:rsidR="00915E6B" w:rsidRPr="00CA4237" w:rsidRDefault="00915E6B" w:rsidP="00B9545F">
            <w:pPr>
              <w:pStyle w:val="TTableText"/>
              <w:rPr>
                <w:lang w:val="en-GB"/>
              </w:rPr>
            </w:pPr>
            <w:r>
              <w:t>N/A</w:t>
            </w:r>
          </w:p>
        </w:tc>
        <w:tc>
          <w:tcPr>
            <w:tcW w:w="1100" w:type="dxa"/>
          </w:tcPr>
          <w:p w14:paraId="1F288F16" w14:textId="77777777" w:rsidR="00915E6B" w:rsidRDefault="00915E6B" w:rsidP="00B9545F">
            <w:pPr>
              <w:pStyle w:val="TTableText"/>
            </w:pPr>
          </w:p>
          <w:p w14:paraId="7205FE87" w14:textId="77777777" w:rsidR="00915E6B" w:rsidRPr="00CA4237" w:rsidRDefault="00652124" w:rsidP="00B9545F">
            <w:pPr>
              <w:pStyle w:val="TTableText"/>
              <w:rPr>
                <w:lang w:val="en-GB"/>
              </w:rPr>
            </w:pPr>
            <w:r>
              <w:t>Yes (W, S and NI)</w:t>
            </w:r>
          </w:p>
        </w:tc>
      </w:tr>
      <w:tr w:rsidR="00915E6B" w:rsidRPr="00CA4237" w14:paraId="706E5A36" w14:textId="77777777" w:rsidTr="00B9545F">
        <w:trPr>
          <w:trHeight w:val="376"/>
          <w:jc w:val="center"/>
        </w:trPr>
        <w:tc>
          <w:tcPr>
            <w:tcW w:w="1413" w:type="dxa"/>
          </w:tcPr>
          <w:p w14:paraId="5A531D90" w14:textId="77777777" w:rsidR="00915E6B" w:rsidRDefault="00915E6B" w:rsidP="00B9545F">
            <w:pPr>
              <w:pStyle w:val="TTableText"/>
              <w:rPr>
                <w:lang w:val="en-GB"/>
              </w:rPr>
            </w:pPr>
            <w:r>
              <w:rPr>
                <w:lang w:val="en-GB"/>
              </w:rPr>
              <w:t>Other exemptions</w:t>
            </w:r>
          </w:p>
          <w:p w14:paraId="41A20889" w14:textId="77777777" w:rsidR="00915E6B" w:rsidRDefault="00915E6B" w:rsidP="00B9545F">
            <w:pPr>
              <w:pStyle w:val="TTableText"/>
              <w:rPr>
                <w:lang w:val="en-GB"/>
              </w:rPr>
            </w:pPr>
            <w:r>
              <w:rPr>
                <w:lang w:val="en-GB"/>
              </w:rPr>
              <w:t xml:space="preserve">Clauses 6-11 </w:t>
            </w:r>
          </w:p>
        </w:tc>
        <w:tc>
          <w:tcPr>
            <w:tcW w:w="992" w:type="dxa"/>
          </w:tcPr>
          <w:p w14:paraId="002E46D7" w14:textId="77777777" w:rsidR="00915E6B" w:rsidRDefault="00915E6B" w:rsidP="00B9545F">
            <w:pPr>
              <w:pStyle w:val="TTableText"/>
            </w:pPr>
          </w:p>
          <w:p w14:paraId="0A605C22" w14:textId="77777777" w:rsidR="00915E6B" w:rsidRDefault="00915E6B" w:rsidP="00B9545F">
            <w:pPr>
              <w:pStyle w:val="TTableText"/>
            </w:pPr>
            <w:r>
              <w:t>Yes</w:t>
            </w:r>
          </w:p>
        </w:tc>
        <w:tc>
          <w:tcPr>
            <w:tcW w:w="992" w:type="dxa"/>
          </w:tcPr>
          <w:p w14:paraId="2DBB3668" w14:textId="77777777" w:rsidR="00915E6B" w:rsidRDefault="00915E6B" w:rsidP="00B9545F">
            <w:pPr>
              <w:pStyle w:val="TTableText"/>
            </w:pPr>
          </w:p>
          <w:p w14:paraId="02230287" w14:textId="77777777" w:rsidR="00915E6B" w:rsidRDefault="00915E6B" w:rsidP="00B9545F">
            <w:pPr>
              <w:pStyle w:val="TTableText"/>
            </w:pPr>
            <w:r>
              <w:t>Yes</w:t>
            </w:r>
          </w:p>
        </w:tc>
        <w:tc>
          <w:tcPr>
            <w:tcW w:w="993" w:type="dxa"/>
          </w:tcPr>
          <w:p w14:paraId="1424959A" w14:textId="77777777" w:rsidR="00915E6B" w:rsidRDefault="00915E6B" w:rsidP="00B9545F">
            <w:pPr>
              <w:pStyle w:val="TTableText"/>
            </w:pPr>
          </w:p>
          <w:p w14:paraId="5A8BF8A5" w14:textId="77777777" w:rsidR="00915E6B" w:rsidRDefault="00915E6B" w:rsidP="00B9545F">
            <w:pPr>
              <w:pStyle w:val="TTableText"/>
            </w:pPr>
            <w:r>
              <w:t>Yes</w:t>
            </w:r>
          </w:p>
        </w:tc>
        <w:tc>
          <w:tcPr>
            <w:tcW w:w="1050" w:type="dxa"/>
          </w:tcPr>
          <w:p w14:paraId="46CEB3E9" w14:textId="77777777" w:rsidR="00915E6B" w:rsidRDefault="00915E6B" w:rsidP="00B9545F">
            <w:pPr>
              <w:pStyle w:val="TTableText"/>
            </w:pPr>
          </w:p>
          <w:p w14:paraId="02D8CB43" w14:textId="77777777" w:rsidR="00915E6B" w:rsidRDefault="00915E6B" w:rsidP="00B9545F">
            <w:pPr>
              <w:pStyle w:val="TTableText"/>
            </w:pPr>
            <w:r>
              <w:t>Yes</w:t>
            </w:r>
          </w:p>
        </w:tc>
        <w:tc>
          <w:tcPr>
            <w:tcW w:w="1363" w:type="dxa"/>
          </w:tcPr>
          <w:p w14:paraId="51FA861B" w14:textId="77777777" w:rsidR="00915E6B" w:rsidRDefault="00915E6B" w:rsidP="00B9545F">
            <w:pPr>
              <w:pStyle w:val="TTableText"/>
            </w:pPr>
          </w:p>
          <w:p w14:paraId="12F79F91" w14:textId="77777777" w:rsidR="00915E6B" w:rsidRDefault="00915E6B" w:rsidP="00B9545F">
            <w:pPr>
              <w:pStyle w:val="TTableText"/>
            </w:pPr>
            <w:r>
              <w:t>N/A</w:t>
            </w:r>
          </w:p>
        </w:tc>
        <w:tc>
          <w:tcPr>
            <w:tcW w:w="1363" w:type="dxa"/>
          </w:tcPr>
          <w:p w14:paraId="40B13B6B" w14:textId="77777777" w:rsidR="00915E6B" w:rsidRDefault="00915E6B" w:rsidP="00B9545F">
            <w:pPr>
              <w:pStyle w:val="TTableText"/>
            </w:pPr>
          </w:p>
          <w:p w14:paraId="6A41451F" w14:textId="77777777" w:rsidR="00915E6B" w:rsidRDefault="00915E6B" w:rsidP="00B9545F">
            <w:pPr>
              <w:pStyle w:val="TTableText"/>
            </w:pPr>
            <w:r>
              <w:t>N/A</w:t>
            </w:r>
          </w:p>
        </w:tc>
        <w:tc>
          <w:tcPr>
            <w:tcW w:w="1361" w:type="dxa"/>
          </w:tcPr>
          <w:p w14:paraId="65059A84" w14:textId="77777777" w:rsidR="00915E6B" w:rsidRDefault="00915E6B" w:rsidP="00B9545F">
            <w:pPr>
              <w:pStyle w:val="TTableText"/>
            </w:pPr>
          </w:p>
          <w:p w14:paraId="23059525" w14:textId="77777777" w:rsidR="00915E6B" w:rsidRDefault="00915E6B" w:rsidP="00B9545F">
            <w:pPr>
              <w:pStyle w:val="TTableText"/>
            </w:pPr>
            <w:r>
              <w:t>N/A</w:t>
            </w:r>
          </w:p>
        </w:tc>
        <w:tc>
          <w:tcPr>
            <w:tcW w:w="1100" w:type="dxa"/>
          </w:tcPr>
          <w:p w14:paraId="28376218" w14:textId="77777777" w:rsidR="00915E6B" w:rsidRDefault="00915E6B" w:rsidP="00B9545F">
            <w:pPr>
              <w:pStyle w:val="TTableText"/>
            </w:pPr>
          </w:p>
          <w:p w14:paraId="6FBAE84A" w14:textId="77777777" w:rsidR="00915E6B" w:rsidRDefault="00652124" w:rsidP="00B9545F">
            <w:pPr>
              <w:pStyle w:val="TTableText"/>
            </w:pPr>
            <w:r>
              <w:t>Yes (W, S and NI)</w:t>
            </w:r>
          </w:p>
        </w:tc>
      </w:tr>
      <w:tr w:rsidR="00915E6B" w:rsidRPr="00CA4237" w14:paraId="70248EAD" w14:textId="77777777" w:rsidTr="00B9545F">
        <w:trPr>
          <w:trHeight w:val="376"/>
          <w:jc w:val="center"/>
        </w:trPr>
        <w:tc>
          <w:tcPr>
            <w:tcW w:w="1413" w:type="dxa"/>
          </w:tcPr>
          <w:p w14:paraId="5487C938" w14:textId="77777777" w:rsidR="00915E6B" w:rsidRDefault="00915E6B" w:rsidP="00B9545F">
            <w:pPr>
              <w:pStyle w:val="TTableText"/>
              <w:rPr>
                <w:lang w:val="en-GB"/>
              </w:rPr>
            </w:pPr>
            <w:r>
              <w:rPr>
                <w:lang w:val="en-GB"/>
              </w:rPr>
              <w:t>Criminal and civil sanctions</w:t>
            </w:r>
          </w:p>
          <w:p w14:paraId="783F5011" w14:textId="77777777" w:rsidR="00915E6B" w:rsidRDefault="00915E6B" w:rsidP="00B9545F">
            <w:pPr>
              <w:pStyle w:val="TTableText"/>
              <w:rPr>
                <w:lang w:val="en-GB"/>
              </w:rPr>
            </w:pPr>
            <w:r>
              <w:rPr>
                <w:lang w:val="en-GB"/>
              </w:rPr>
              <w:t>Clauses 12-13</w:t>
            </w:r>
          </w:p>
        </w:tc>
        <w:tc>
          <w:tcPr>
            <w:tcW w:w="992" w:type="dxa"/>
          </w:tcPr>
          <w:p w14:paraId="2FEF9D81" w14:textId="77777777" w:rsidR="00915E6B" w:rsidRDefault="00915E6B" w:rsidP="00B9545F">
            <w:pPr>
              <w:pStyle w:val="TTableText"/>
            </w:pPr>
          </w:p>
          <w:p w14:paraId="167A251F" w14:textId="77777777" w:rsidR="00915E6B" w:rsidRDefault="00915E6B" w:rsidP="00B9545F">
            <w:pPr>
              <w:pStyle w:val="TTableText"/>
            </w:pPr>
            <w:r>
              <w:t>Yes</w:t>
            </w:r>
          </w:p>
        </w:tc>
        <w:tc>
          <w:tcPr>
            <w:tcW w:w="992" w:type="dxa"/>
          </w:tcPr>
          <w:p w14:paraId="66EEE622" w14:textId="77777777" w:rsidR="00915E6B" w:rsidRDefault="00915E6B" w:rsidP="00B9545F">
            <w:pPr>
              <w:pStyle w:val="TTableText"/>
            </w:pPr>
          </w:p>
          <w:p w14:paraId="75FF9851" w14:textId="77777777" w:rsidR="00915E6B" w:rsidRDefault="00915E6B" w:rsidP="00B9545F">
            <w:pPr>
              <w:pStyle w:val="TTableText"/>
            </w:pPr>
            <w:r>
              <w:t>Yes</w:t>
            </w:r>
          </w:p>
        </w:tc>
        <w:tc>
          <w:tcPr>
            <w:tcW w:w="993" w:type="dxa"/>
          </w:tcPr>
          <w:p w14:paraId="69833FD4" w14:textId="77777777" w:rsidR="00915E6B" w:rsidRDefault="00915E6B" w:rsidP="00B9545F">
            <w:pPr>
              <w:pStyle w:val="TTableText"/>
            </w:pPr>
          </w:p>
          <w:p w14:paraId="6B349123" w14:textId="77777777" w:rsidR="00915E6B" w:rsidRDefault="00915E6B" w:rsidP="00B9545F">
            <w:pPr>
              <w:pStyle w:val="TTableText"/>
            </w:pPr>
            <w:r>
              <w:t>Yes</w:t>
            </w:r>
          </w:p>
        </w:tc>
        <w:tc>
          <w:tcPr>
            <w:tcW w:w="1050" w:type="dxa"/>
          </w:tcPr>
          <w:p w14:paraId="5AB0E5D9" w14:textId="77777777" w:rsidR="00915E6B" w:rsidRDefault="00915E6B" w:rsidP="00B9545F">
            <w:pPr>
              <w:pStyle w:val="TTableText"/>
            </w:pPr>
          </w:p>
          <w:p w14:paraId="4F6E92AB" w14:textId="77777777" w:rsidR="00915E6B" w:rsidRDefault="00915E6B" w:rsidP="00B9545F">
            <w:pPr>
              <w:pStyle w:val="TTableText"/>
            </w:pPr>
            <w:r>
              <w:t>Yes</w:t>
            </w:r>
          </w:p>
        </w:tc>
        <w:tc>
          <w:tcPr>
            <w:tcW w:w="1363" w:type="dxa"/>
          </w:tcPr>
          <w:p w14:paraId="5FFD85FB" w14:textId="77777777" w:rsidR="00915E6B" w:rsidRDefault="00915E6B" w:rsidP="00B9545F">
            <w:pPr>
              <w:pStyle w:val="TTableText"/>
            </w:pPr>
          </w:p>
          <w:p w14:paraId="1C09E28D" w14:textId="77777777" w:rsidR="00915E6B" w:rsidRDefault="00915E6B" w:rsidP="00B9545F">
            <w:pPr>
              <w:pStyle w:val="TTableText"/>
            </w:pPr>
            <w:r>
              <w:t>N/A</w:t>
            </w:r>
          </w:p>
        </w:tc>
        <w:tc>
          <w:tcPr>
            <w:tcW w:w="1363" w:type="dxa"/>
          </w:tcPr>
          <w:p w14:paraId="4244F212" w14:textId="77777777" w:rsidR="00915E6B" w:rsidRDefault="00915E6B" w:rsidP="00B9545F">
            <w:pPr>
              <w:pStyle w:val="TTableText"/>
            </w:pPr>
          </w:p>
          <w:p w14:paraId="6A0774E1" w14:textId="77777777" w:rsidR="00915E6B" w:rsidRDefault="00915E6B" w:rsidP="00B9545F">
            <w:pPr>
              <w:pStyle w:val="TTableText"/>
            </w:pPr>
            <w:r>
              <w:t>N/A</w:t>
            </w:r>
          </w:p>
        </w:tc>
        <w:tc>
          <w:tcPr>
            <w:tcW w:w="1361" w:type="dxa"/>
          </w:tcPr>
          <w:p w14:paraId="3B1BBB7F" w14:textId="77777777" w:rsidR="00915E6B" w:rsidRDefault="00915E6B" w:rsidP="00B9545F">
            <w:pPr>
              <w:pStyle w:val="TTableText"/>
            </w:pPr>
          </w:p>
          <w:p w14:paraId="31F4D639" w14:textId="77777777" w:rsidR="00915E6B" w:rsidRDefault="00915E6B" w:rsidP="00B9545F">
            <w:pPr>
              <w:pStyle w:val="TTableText"/>
            </w:pPr>
            <w:r>
              <w:t>N/A</w:t>
            </w:r>
          </w:p>
        </w:tc>
        <w:tc>
          <w:tcPr>
            <w:tcW w:w="1100" w:type="dxa"/>
          </w:tcPr>
          <w:p w14:paraId="18CB0F71" w14:textId="77777777" w:rsidR="00915E6B" w:rsidRDefault="00915E6B" w:rsidP="00B9545F">
            <w:pPr>
              <w:pStyle w:val="TTableText"/>
            </w:pPr>
          </w:p>
          <w:p w14:paraId="411C2782" w14:textId="77777777" w:rsidR="00915E6B" w:rsidRDefault="00652124" w:rsidP="00B9545F">
            <w:pPr>
              <w:pStyle w:val="TTableText"/>
            </w:pPr>
            <w:r>
              <w:t>Yes (W, S and NI)</w:t>
            </w:r>
          </w:p>
        </w:tc>
      </w:tr>
      <w:tr w:rsidR="00915E6B" w:rsidRPr="00CA4237" w14:paraId="34CD0602" w14:textId="77777777" w:rsidTr="00B9545F">
        <w:trPr>
          <w:trHeight w:val="376"/>
          <w:jc w:val="center"/>
        </w:trPr>
        <w:tc>
          <w:tcPr>
            <w:tcW w:w="1413" w:type="dxa"/>
          </w:tcPr>
          <w:p w14:paraId="458264A1" w14:textId="77777777" w:rsidR="00915E6B" w:rsidRDefault="00915E6B" w:rsidP="00B9545F">
            <w:pPr>
              <w:pStyle w:val="TTableText"/>
              <w:rPr>
                <w:lang w:val="en-GB"/>
              </w:rPr>
            </w:pPr>
            <w:r>
              <w:rPr>
                <w:lang w:val="en-GB"/>
              </w:rPr>
              <w:t>Powers of entry, search and seizure</w:t>
            </w:r>
          </w:p>
          <w:p w14:paraId="365B4FFA" w14:textId="77777777" w:rsidR="00915E6B" w:rsidRDefault="00915E6B" w:rsidP="004A4669">
            <w:pPr>
              <w:pStyle w:val="TTableText"/>
              <w:rPr>
                <w:lang w:val="en-GB"/>
              </w:rPr>
            </w:pPr>
            <w:r>
              <w:rPr>
                <w:lang w:val="en-GB"/>
              </w:rPr>
              <w:t>Clauses 14-</w:t>
            </w:r>
            <w:r w:rsidR="006B163D">
              <w:rPr>
                <w:lang w:val="en-GB"/>
              </w:rPr>
              <w:t>1</w:t>
            </w:r>
            <w:r w:rsidR="004A4669">
              <w:rPr>
                <w:lang w:val="en-GB"/>
              </w:rPr>
              <w:t>8</w:t>
            </w:r>
          </w:p>
        </w:tc>
        <w:tc>
          <w:tcPr>
            <w:tcW w:w="992" w:type="dxa"/>
          </w:tcPr>
          <w:p w14:paraId="6817FB57" w14:textId="77777777" w:rsidR="00915E6B" w:rsidRDefault="00915E6B" w:rsidP="00B9545F">
            <w:pPr>
              <w:pStyle w:val="TTableText"/>
            </w:pPr>
          </w:p>
          <w:p w14:paraId="7B122A6B" w14:textId="77777777" w:rsidR="00915E6B" w:rsidRDefault="00915E6B" w:rsidP="00B9545F">
            <w:pPr>
              <w:pStyle w:val="TTableText"/>
            </w:pPr>
            <w:r>
              <w:t>Yes</w:t>
            </w:r>
          </w:p>
        </w:tc>
        <w:tc>
          <w:tcPr>
            <w:tcW w:w="992" w:type="dxa"/>
          </w:tcPr>
          <w:p w14:paraId="02F247B5" w14:textId="77777777" w:rsidR="00915E6B" w:rsidRDefault="00915E6B" w:rsidP="00B9545F">
            <w:pPr>
              <w:pStyle w:val="TTableText"/>
            </w:pPr>
          </w:p>
          <w:p w14:paraId="23B58F8C" w14:textId="77777777" w:rsidR="00915E6B" w:rsidRDefault="00915E6B" w:rsidP="00B9545F">
            <w:pPr>
              <w:pStyle w:val="TTableText"/>
            </w:pPr>
            <w:r>
              <w:t>Yes</w:t>
            </w:r>
          </w:p>
        </w:tc>
        <w:tc>
          <w:tcPr>
            <w:tcW w:w="993" w:type="dxa"/>
          </w:tcPr>
          <w:p w14:paraId="0750A876" w14:textId="77777777" w:rsidR="00915E6B" w:rsidRDefault="00915E6B" w:rsidP="00B9545F">
            <w:pPr>
              <w:pStyle w:val="TTableText"/>
            </w:pPr>
          </w:p>
          <w:p w14:paraId="3C5B5CA2" w14:textId="77777777" w:rsidR="00915E6B" w:rsidRDefault="00915E6B" w:rsidP="00B9545F">
            <w:pPr>
              <w:pStyle w:val="TTableText"/>
            </w:pPr>
            <w:r>
              <w:t>Yes</w:t>
            </w:r>
          </w:p>
        </w:tc>
        <w:tc>
          <w:tcPr>
            <w:tcW w:w="1050" w:type="dxa"/>
          </w:tcPr>
          <w:p w14:paraId="17FD7B4F" w14:textId="77777777" w:rsidR="00915E6B" w:rsidRDefault="00915E6B" w:rsidP="00B9545F">
            <w:pPr>
              <w:pStyle w:val="TTableText"/>
            </w:pPr>
          </w:p>
          <w:p w14:paraId="727051F9" w14:textId="77777777" w:rsidR="00915E6B" w:rsidRDefault="00915E6B" w:rsidP="00B9545F">
            <w:pPr>
              <w:pStyle w:val="TTableText"/>
            </w:pPr>
            <w:r>
              <w:t>Yes</w:t>
            </w:r>
          </w:p>
        </w:tc>
        <w:tc>
          <w:tcPr>
            <w:tcW w:w="1363" w:type="dxa"/>
          </w:tcPr>
          <w:p w14:paraId="5A05BA36" w14:textId="77777777" w:rsidR="00915E6B" w:rsidRDefault="00915E6B" w:rsidP="00B9545F">
            <w:pPr>
              <w:pStyle w:val="TTableText"/>
            </w:pPr>
          </w:p>
          <w:p w14:paraId="28C59418" w14:textId="77777777" w:rsidR="00915E6B" w:rsidRDefault="00915E6B" w:rsidP="00B9545F">
            <w:pPr>
              <w:pStyle w:val="TTableText"/>
            </w:pPr>
            <w:r>
              <w:t>N/A</w:t>
            </w:r>
          </w:p>
        </w:tc>
        <w:tc>
          <w:tcPr>
            <w:tcW w:w="1363" w:type="dxa"/>
          </w:tcPr>
          <w:p w14:paraId="3ECF1477" w14:textId="77777777" w:rsidR="00915E6B" w:rsidRDefault="00915E6B" w:rsidP="00B9545F">
            <w:pPr>
              <w:pStyle w:val="TTableText"/>
            </w:pPr>
          </w:p>
          <w:p w14:paraId="2950F877" w14:textId="77777777" w:rsidR="00915E6B" w:rsidRDefault="00915E6B" w:rsidP="00B9545F">
            <w:pPr>
              <w:pStyle w:val="TTableText"/>
            </w:pPr>
            <w:r>
              <w:t>N/A</w:t>
            </w:r>
          </w:p>
        </w:tc>
        <w:tc>
          <w:tcPr>
            <w:tcW w:w="1361" w:type="dxa"/>
          </w:tcPr>
          <w:p w14:paraId="2258C1E7" w14:textId="77777777" w:rsidR="00915E6B" w:rsidRDefault="00915E6B" w:rsidP="00B9545F">
            <w:pPr>
              <w:pStyle w:val="TTableText"/>
            </w:pPr>
          </w:p>
          <w:p w14:paraId="42137822" w14:textId="77777777" w:rsidR="00915E6B" w:rsidRDefault="00915E6B" w:rsidP="00B9545F">
            <w:pPr>
              <w:pStyle w:val="TTableText"/>
            </w:pPr>
            <w:r>
              <w:t>N/A</w:t>
            </w:r>
          </w:p>
        </w:tc>
        <w:tc>
          <w:tcPr>
            <w:tcW w:w="1100" w:type="dxa"/>
          </w:tcPr>
          <w:p w14:paraId="7FF4998C" w14:textId="77777777" w:rsidR="00915E6B" w:rsidRDefault="00915E6B" w:rsidP="00B9545F">
            <w:pPr>
              <w:pStyle w:val="TTableText"/>
            </w:pPr>
          </w:p>
          <w:p w14:paraId="65B390F5" w14:textId="77777777" w:rsidR="00915E6B" w:rsidRDefault="00652124" w:rsidP="00B9545F">
            <w:pPr>
              <w:pStyle w:val="TTableText"/>
            </w:pPr>
            <w:r>
              <w:t>Yes (W, S and NI)</w:t>
            </w:r>
          </w:p>
        </w:tc>
      </w:tr>
      <w:tr w:rsidR="006B163D" w:rsidRPr="00CA4237" w14:paraId="69893CA3" w14:textId="77777777" w:rsidTr="00B9545F">
        <w:trPr>
          <w:trHeight w:val="376"/>
          <w:jc w:val="center"/>
        </w:trPr>
        <w:tc>
          <w:tcPr>
            <w:tcW w:w="1413" w:type="dxa"/>
          </w:tcPr>
          <w:p w14:paraId="386C4FFF" w14:textId="77777777" w:rsidR="006B163D" w:rsidRDefault="006B163D" w:rsidP="00B9545F">
            <w:pPr>
              <w:pStyle w:val="TTableText"/>
            </w:pPr>
            <w:r>
              <w:lastRenderedPageBreak/>
              <w:t>Warrants authorising entry and search of premises</w:t>
            </w:r>
          </w:p>
          <w:p w14:paraId="2E45B83D" w14:textId="77777777" w:rsidR="006B163D" w:rsidRPr="00F11012" w:rsidRDefault="006B163D" w:rsidP="004A4669">
            <w:pPr>
              <w:pStyle w:val="TTableText"/>
            </w:pPr>
            <w:r>
              <w:t>Clause 1</w:t>
            </w:r>
            <w:r w:rsidR="004A4669">
              <w:t>9</w:t>
            </w:r>
          </w:p>
        </w:tc>
        <w:tc>
          <w:tcPr>
            <w:tcW w:w="992" w:type="dxa"/>
          </w:tcPr>
          <w:p w14:paraId="43B9C464" w14:textId="77777777" w:rsidR="006B163D" w:rsidRDefault="006B163D" w:rsidP="00B9545F">
            <w:pPr>
              <w:pStyle w:val="TTableText"/>
            </w:pPr>
          </w:p>
          <w:p w14:paraId="48B00E10" w14:textId="77777777" w:rsidR="006B163D" w:rsidRDefault="006B163D" w:rsidP="00B9545F">
            <w:pPr>
              <w:pStyle w:val="TTableText"/>
            </w:pPr>
            <w:r>
              <w:t>Yes</w:t>
            </w:r>
          </w:p>
        </w:tc>
        <w:tc>
          <w:tcPr>
            <w:tcW w:w="992" w:type="dxa"/>
          </w:tcPr>
          <w:p w14:paraId="25185E92" w14:textId="77777777" w:rsidR="006B163D" w:rsidRDefault="006B163D" w:rsidP="00B9545F">
            <w:pPr>
              <w:pStyle w:val="TTableText"/>
            </w:pPr>
          </w:p>
          <w:p w14:paraId="32F0C9F3" w14:textId="77777777" w:rsidR="006B163D" w:rsidRDefault="006B163D" w:rsidP="00B9545F">
            <w:pPr>
              <w:pStyle w:val="TTableText"/>
            </w:pPr>
            <w:r>
              <w:t>Yes</w:t>
            </w:r>
          </w:p>
          <w:p w14:paraId="5A8050FC" w14:textId="77777777" w:rsidR="006B163D" w:rsidRDefault="006B163D" w:rsidP="00B9545F">
            <w:pPr>
              <w:pStyle w:val="TTableText"/>
            </w:pPr>
          </w:p>
        </w:tc>
        <w:tc>
          <w:tcPr>
            <w:tcW w:w="993" w:type="dxa"/>
          </w:tcPr>
          <w:p w14:paraId="07AFA7FF" w14:textId="77777777" w:rsidR="006B163D" w:rsidRDefault="006B163D" w:rsidP="00B9545F">
            <w:pPr>
              <w:pStyle w:val="TTableText"/>
            </w:pPr>
          </w:p>
          <w:p w14:paraId="78CC89F2" w14:textId="77777777" w:rsidR="006B163D" w:rsidRDefault="006B163D" w:rsidP="00B9545F">
            <w:pPr>
              <w:pStyle w:val="TTableText"/>
            </w:pPr>
            <w:r>
              <w:t>In part</w:t>
            </w:r>
          </w:p>
          <w:p w14:paraId="59D4FE7A" w14:textId="77777777" w:rsidR="006B163D" w:rsidRDefault="006B163D" w:rsidP="00B9545F">
            <w:pPr>
              <w:pStyle w:val="TTableText"/>
            </w:pPr>
          </w:p>
        </w:tc>
        <w:tc>
          <w:tcPr>
            <w:tcW w:w="1050" w:type="dxa"/>
          </w:tcPr>
          <w:p w14:paraId="5B336802" w14:textId="77777777" w:rsidR="006B163D" w:rsidRDefault="006B163D" w:rsidP="00B9545F">
            <w:pPr>
              <w:pStyle w:val="TTableText"/>
            </w:pPr>
          </w:p>
          <w:p w14:paraId="5E29FED3" w14:textId="77777777" w:rsidR="006B163D" w:rsidRDefault="006B163D" w:rsidP="00B9545F">
            <w:pPr>
              <w:pStyle w:val="TTableText"/>
            </w:pPr>
            <w:r>
              <w:t>Yes</w:t>
            </w:r>
          </w:p>
        </w:tc>
        <w:tc>
          <w:tcPr>
            <w:tcW w:w="1363" w:type="dxa"/>
          </w:tcPr>
          <w:p w14:paraId="0C21C64A" w14:textId="77777777" w:rsidR="006B163D" w:rsidRDefault="006B163D" w:rsidP="00B9545F">
            <w:pPr>
              <w:pStyle w:val="TTableText"/>
            </w:pPr>
          </w:p>
          <w:p w14:paraId="06C0AC00" w14:textId="77777777" w:rsidR="006B163D" w:rsidRDefault="006B163D" w:rsidP="00B9545F">
            <w:pPr>
              <w:pStyle w:val="TTableText"/>
            </w:pPr>
            <w:r>
              <w:t>N/A</w:t>
            </w:r>
          </w:p>
        </w:tc>
        <w:tc>
          <w:tcPr>
            <w:tcW w:w="1363" w:type="dxa"/>
          </w:tcPr>
          <w:p w14:paraId="2893286F" w14:textId="77777777" w:rsidR="006B163D" w:rsidRDefault="006B163D" w:rsidP="00B9545F">
            <w:pPr>
              <w:pStyle w:val="TTableText"/>
            </w:pPr>
          </w:p>
          <w:p w14:paraId="3082F926" w14:textId="77777777" w:rsidR="006B163D" w:rsidRDefault="006B163D" w:rsidP="00B9545F">
            <w:pPr>
              <w:pStyle w:val="TTableText"/>
            </w:pPr>
            <w:r>
              <w:t>N/A</w:t>
            </w:r>
          </w:p>
        </w:tc>
        <w:tc>
          <w:tcPr>
            <w:tcW w:w="1361" w:type="dxa"/>
          </w:tcPr>
          <w:p w14:paraId="2B9D03F1" w14:textId="77777777" w:rsidR="006B163D" w:rsidRDefault="006B163D" w:rsidP="00B9545F">
            <w:pPr>
              <w:pStyle w:val="TTableText"/>
            </w:pPr>
          </w:p>
          <w:p w14:paraId="41AD05EC" w14:textId="77777777" w:rsidR="006B163D" w:rsidRDefault="006B163D" w:rsidP="00B9545F">
            <w:pPr>
              <w:pStyle w:val="TTableText"/>
            </w:pPr>
            <w:r>
              <w:t>N/A</w:t>
            </w:r>
          </w:p>
        </w:tc>
        <w:tc>
          <w:tcPr>
            <w:tcW w:w="1100" w:type="dxa"/>
          </w:tcPr>
          <w:p w14:paraId="25C9129E" w14:textId="77777777" w:rsidR="006B163D" w:rsidRDefault="006B163D" w:rsidP="00B9545F">
            <w:pPr>
              <w:pStyle w:val="TTableText"/>
            </w:pPr>
          </w:p>
          <w:p w14:paraId="2DDBEFBF" w14:textId="77777777" w:rsidR="006B163D" w:rsidRDefault="006B163D" w:rsidP="00B9545F">
            <w:pPr>
              <w:pStyle w:val="TTableText"/>
            </w:pPr>
            <w:r>
              <w:t>Yes (W, S, NI)</w:t>
            </w:r>
          </w:p>
        </w:tc>
      </w:tr>
      <w:tr w:rsidR="006F0193" w:rsidRPr="00CA4237" w14:paraId="3C8E7690" w14:textId="77777777" w:rsidTr="00B9545F">
        <w:trPr>
          <w:trHeight w:val="376"/>
          <w:jc w:val="center"/>
        </w:trPr>
        <w:tc>
          <w:tcPr>
            <w:tcW w:w="1413" w:type="dxa"/>
          </w:tcPr>
          <w:p w14:paraId="50E839A4" w14:textId="77777777" w:rsidR="006F0193" w:rsidRDefault="006F0193" w:rsidP="00B9545F">
            <w:pPr>
              <w:pStyle w:val="TTableText"/>
            </w:pPr>
            <w:r>
              <w:t>Further provisions about searches, etc</w:t>
            </w:r>
          </w:p>
          <w:p w14:paraId="77F82F27" w14:textId="77777777" w:rsidR="006F0193" w:rsidRPr="00F11012" w:rsidRDefault="006F0193" w:rsidP="004A4669">
            <w:pPr>
              <w:pStyle w:val="TTableText"/>
            </w:pPr>
            <w:r>
              <w:t xml:space="preserve">Clauses </w:t>
            </w:r>
            <w:r w:rsidR="004A4669">
              <w:t>20</w:t>
            </w:r>
            <w:r>
              <w:t>-27</w:t>
            </w:r>
          </w:p>
        </w:tc>
        <w:tc>
          <w:tcPr>
            <w:tcW w:w="992" w:type="dxa"/>
          </w:tcPr>
          <w:p w14:paraId="0735DE90" w14:textId="77777777" w:rsidR="006F0193" w:rsidRDefault="006F0193" w:rsidP="00B9545F">
            <w:pPr>
              <w:pStyle w:val="TTableText"/>
            </w:pPr>
          </w:p>
          <w:p w14:paraId="38A7E34D" w14:textId="77777777" w:rsidR="006F0193" w:rsidRDefault="006F0193" w:rsidP="00B9545F">
            <w:pPr>
              <w:pStyle w:val="TTableText"/>
            </w:pPr>
            <w:r>
              <w:t>Yes</w:t>
            </w:r>
          </w:p>
        </w:tc>
        <w:tc>
          <w:tcPr>
            <w:tcW w:w="992" w:type="dxa"/>
          </w:tcPr>
          <w:p w14:paraId="1BC7C22A" w14:textId="77777777" w:rsidR="006F0193" w:rsidRDefault="006F0193" w:rsidP="00B9545F">
            <w:pPr>
              <w:pStyle w:val="TTableText"/>
            </w:pPr>
          </w:p>
          <w:p w14:paraId="597079C8" w14:textId="77777777" w:rsidR="006F0193" w:rsidRDefault="006F0193" w:rsidP="00B9545F">
            <w:pPr>
              <w:pStyle w:val="TTableText"/>
            </w:pPr>
            <w:r>
              <w:t>Yes</w:t>
            </w:r>
          </w:p>
        </w:tc>
        <w:tc>
          <w:tcPr>
            <w:tcW w:w="993" w:type="dxa"/>
          </w:tcPr>
          <w:p w14:paraId="4AFCD428" w14:textId="77777777" w:rsidR="006F0193" w:rsidRDefault="006F0193" w:rsidP="00B9545F">
            <w:pPr>
              <w:pStyle w:val="TTableText"/>
            </w:pPr>
          </w:p>
          <w:p w14:paraId="6063EEF3" w14:textId="77777777" w:rsidR="006F0193" w:rsidRDefault="006F0193" w:rsidP="00B9545F">
            <w:pPr>
              <w:pStyle w:val="TTableText"/>
            </w:pPr>
            <w:r>
              <w:t>Yes</w:t>
            </w:r>
          </w:p>
        </w:tc>
        <w:tc>
          <w:tcPr>
            <w:tcW w:w="1050" w:type="dxa"/>
          </w:tcPr>
          <w:p w14:paraId="74D2DA1C" w14:textId="77777777" w:rsidR="006F0193" w:rsidRDefault="006F0193" w:rsidP="00B9545F">
            <w:pPr>
              <w:pStyle w:val="TTableText"/>
            </w:pPr>
          </w:p>
          <w:p w14:paraId="58064B59" w14:textId="77777777" w:rsidR="006F0193" w:rsidRDefault="006F0193" w:rsidP="00B9545F">
            <w:pPr>
              <w:pStyle w:val="TTableText"/>
            </w:pPr>
            <w:r>
              <w:t>Yes</w:t>
            </w:r>
          </w:p>
        </w:tc>
        <w:tc>
          <w:tcPr>
            <w:tcW w:w="1363" w:type="dxa"/>
          </w:tcPr>
          <w:p w14:paraId="048573D2" w14:textId="77777777" w:rsidR="006F0193" w:rsidRDefault="006F0193" w:rsidP="00B9545F">
            <w:pPr>
              <w:pStyle w:val="TTableText"/>
            </w:pPr>
          </w:p>
          <w:p w14:paraId="0EB8F4A4" w14:textId="77777777" w:rsidR="006F0193" w:rsidRDefault="006F0193" w:rsidP="00B9545F">
            <w:pPr>
              <w:pStyle w:val="TTableText"/>
            </w:pPr>
            <w:r>
              <w:t>N/A</w:t>
            </w:r>
          </w:p>
        </w:tc>
        <w:tc>
          <w:tcPr>
            <w:tcW w:w="1363" w:type="dxa"/>
          </w:tcPr>
          <w:p w14:paraId="688DF7A4" w14:textId="77777777" w:rsidR="006F0193" w:rsidRDefault="006F0193" w:rsidP="00B9545F">
            <w:pPr>
              <w:pStyle w:val="TTableText"/>
            </w:pPr>
          </w:p>
          <w:p w14:paraId="29623408" w14:textId="77777777" w:rsidR="006F0193" w:rsidRDefault="006F0193" w:rsidP="00B9545F">
            <w:pPr>
              <w:pStyle w:val="TTableText"/>
            </w:pPr>
            <w:r>
              <w:t>N/A</w:t>
            </w:r>
          </w:p>
        </w:tc>
        <w:tc>
          <w:tcPr>
            <w:tcW w:w="1361" w:type="dxa"/>
          </w:tcPr>
          <w:p w14:paraId="3772EE80" w14:textId="77777777" w:rsidR="006F0193" w:rsidRDefault="006F0193" w:rsidP="00B9545F">
            <w:pPr>
              <w:pStyle w:val="TTableText"/>
            </w:pPr>
          </w:p>
          <w:p w14:paraId="4F3464F0" w14:textId="77777777" w:rsidR="006F0193" w:rsidRDefault="006F0193" w:rsidP="00B9545F">
            <w:pPr>
              <w:pStyle w:val="TTableText"/>
            </w:pPr>
            <w:r>
              <w:t>N/A</w:t>
            </w:r>
          </w:p>
        </w:tc>
        <w:tc>
          <w:tcPr>
            <w:tcW w:w="1100" w:type="dxa"/>
          </w:tcPr>
          <w:p w14:paraId="28112D1F" w14:textId="77777777" w:rsidR="006F0193" w:rsidRDefault="006F0193" w:rsidP="00B9545F">
            <w:pPr>
              <w:pStyle w:val="TTableText"/>
            </w:pPr>
          </w:p>
          <w:p w14:paraId="35FCC140" w14:textId="77777777" w:rsidR="006F0193" w:rsidRDefault="006F0193" w:rsidP="00B9545F">
            <w:pPr>
              <w:pStyle w:val="TTableText"/>
            </w:pPr>
            <w:r>
              <w:t>Yes (W, S, NI)</w:t>
            </w:r>
          </w:p>
        </w:tc>
      </w:tr>
      <w:tr w:rsidR="00915E6B" w:rsidRPr="00CA4237" w14:paraId="45EA5C99" w14:textId="77777777" w:rsidTr="00B9545F">
        <w:trPr>
          <w:trHeight w:val="376"/>
          <w:jc w:val="center"/>
        </w:trPr>
        <w:tc>
          <w:tcPr>
            <w:tcW w:w="1413" w:type="dxa"/>
          </w:tcPr>
          <w:p w14:paraId="406742A3" w14:textId="77777777" w:rsidR="00915E6B" w:rsidRDefault="00915E6B" w:rsidP="00B9545F">
            <w:pPr>
              <w:pStyle w:val="TTableText"/>
            </w:pPr>
            <w:r w:rsidRPr="00F11012">
              <w:t>Retention and disposal or return of items</w:t>
            </w:r>
          </w:p>
          <w:p w14:paraId="54743643" w14:textId="77777777" w:rsidR="00915E6B" w:rsidRPr="00F11012" w:rsidRDefault="00915E6B" w:rsidP="00B9545F">
            <w:pPr>
              <w:pStyle w:val="TTableText"/>
            </w:pPr>
            <w:r>
              <w:t>Clauses 28-32</w:t>
            </w:r>
          </w:p>
        </w:tc>
        <w:tc>
          <w:tcPr>
            <w:tcW w:w="992" w:type="dxa"/>
          </w:tcPr>
          <w:p w14:paraId="09529A62" w14:textId="77777777" w:rsidR="00915E6B" w:rsidRDefault="00915E6B" w:rsidP="00B9545F">
            <w:pPr>
              <w:pStyle w:val="TTableText"/>
            </w:pPr>
          </w:p>
          <w:p w14:paraId="40F9669C" w14:textId="77777777" w:rsidR="00915E6B" w:rsidRDefault="00915E6B" w:rsidP="00B9545F">
            <w:pPr>
              <w:pStyle w:val="TTableText"/>
            </w:pPr>
            <w:r>
              <w:t>Yes</w:t>
            </w:r>
          </w:p>
        </w:tc>
        <w:tc>
          <w:tcPr>
            <w:tcW w:w="992" w:type="dxa"/>
          </w:tcPr>
          <w:p w14:paraId="3AE253AD" w14:textId="77777777" w:rsidR="00915E6B" w:rsidRDefault="00915E6B" w:rsidP="00B9545F">
            <w:pPr>
              <w:pStyle w:val="TTableText"/>
            </w:pPr>
          </w:p>
          <w:p w14:paraId="17B0E7FF" w14:textId="77777777" w:rsidR="00915E6B" w:rsidRDefault="00915E6B" w:rsidP="00B9545F">
            <w:pPr>
              <w:pStyle w:val="TTableText"/>
            </w:pPr>
            <w:r>
              <w:t>Yes</w:t>
            </w:r>
          </w:p>
        </w:tc>
        <w:tc>
          <w:tcPr>
            <w:tcW w:w="993" w:type="dxa"/>
          </w:tcPr>
          <w:p w14:paraId="78C0D46F" w14:textId="77777777" w:rsidR="00915E6B" w:rsidRDefault="00915E6B" w:rsidP="00B9545F">
            <w:pPr>
              <w:pStyle w:val="TTableText"/>
            </w:pPr>
          </w:p>
          <w:p w14:paraId="18A2AC60" w14:textId="77777777" w:rsidR="00915E6B" w:rsidRDefault="00915E6B" w:rsidP="00B9545F">
            <w:pPr>
              <w:pStyle w:val="TTableText"/>
            </w:pPr>
            <w:r>
              <w:t>Yes</w:t>
            </w:r>
          </w:p>
        </w:tc>
        <w:tc>
          <w:tcPr>
            <w:tcW w:w="1050" w:type="dxa"/>
          </w:tcPr>
          <w:p w14:paraId="33BB90B4" w14:textId="77777777" w:rsidR="00915E6B" w:rsidRDefault="00915E6B" w:rsidP="00B9545F">
            <w:pPr>
              <w:pStyle w:val="TTableText"/>
            </w:pPr>
          </w:p>
          <w:p w14:paraId="3DAB1B36" w14:textId="77777777" w:rsidR="00915E6B" w:rsidRDefault="00915E6B" w:rsidP="00B9545F">
            <w:pPr>
              <w:pStyle w:val="TTableText"/>
            </w:pPr>
            <w:r>
              <w:t>Yes</w:t>
            </w:r>
          </w:p>
        </w:tc>
        <w:tc>
          <w:tcPr>
            <w:tcW w:w="1363" w:type="dxa"/>
          </w:tcPr>
          <w:p w14:paraId="683FCDF1" w14:textId="77777777" w:rsidR="00915E6B" w:rsidRDefault="00915E6B" w:rsidP="00B9545F">
            <w:pPr>
              <w:pStyle w:val="TTableText"/>
            </w:pPr>
          </w:p>
          <w:p w14:paraId="72CC82E5" w14:textId="77777777" w:rsidR="00915E6B" w:rsidRDefault="00915E6B" w:rsidP="00B9545F">
            <w:pPr>
              <w:pStyle w:val="TTableText"/>
            </w:pPr>
            <w:r>
              <w:t>N/A</w:t>
            </w:r>
          </w:p>
        </w:tc>
        <w:tc>
          <w:tcPr>
            <w:tcW w:w="1363" w:type="dxa"/>
          </w:tcPr>
          <w:p w14:paraId="2AC67E0F" w14:textId="77777777" w:rsidR="00915E6B" w:rsidRDefault="00915E6B" w:rsidP="00B9545F">
            <w:pPr>
              <w:pStyle w:val="TTableText"/>
            </w:pPr>
          </w:p>
          <w:p w14:paraId="1BDECA76" w14:textId="77777777" w:rsidR="00915E6B" w:rsidRDefault="00915E6B" w:rsidP="00B9545F">
            <w:pPr>
              <w:pStyle w:val="TTableText"/>
            </w:pPr>
            <w:r>
              <w:t>N/A</w:t>
            </w:r>
          </w:p>
        </w:tc>
        <w:tc>
          <w:tcPr>
            <w:tcW w:w="1361" w:type="dxa"/>
          </w:tcPr>
          <w:p w14:paraId="4D09CF82" w14:textId="77777777" w:rsidR="00915E6B" w:rsidRDefault="00915E6B" w:rsidP="00B9545F">
            <w:pPr>
              <w:pStyle w:val="TTableText"/>
            </w:pPr>
          </w:p>
          <w:p w14:paraId="0C6A8260" w14:textId="77777777" w:rsidR="00915E6B" w:rsidRDefault="00915E6B" w:rsidP="00B9545F">
            <w:pPr>
              <w:pStyle w:val="TTableText"/>
            </w:pPr>
            <w:r>
              <w:t>N/A</w:t>
            </w:r>
          </w:p>
        </w:tc>
        <w:tc>
          <w:tcPr>
            <w:tcW w:w="1100" w:type="dxa"/>
          </w:tcPr>
          <w:p w14:paraId="6D184FAD" w14:textId="77777777" w:rsidR="00915E6B" w:rsidRDefault="00915E6B" w:rsidP="00B9545F">
            <w:pPr>
              <w:pStyle w:val="TTableText"/>
            </w:pPr>
          </w:p>
          <w:p w14:paraId="58B57F88" w14:textId="77777777" w:rsidR="00915E6B" w:rsidRDefault="00652124" w:rsidP="00B9545F">
            <w:pPr>
              <w:pStyle w:val="TTableText"/>
            </w:pPr>
            <w:r>
              <w:t>Yes (W, S and NI)</w:t>
            </w:r>
          </w:p>
        </w:tc>
      </w:tr>
      <w:tr w:rsidR="00915E6B" w:rsidRPr="00CA4237" w14:paraId="063DBE5D" w14:textId="77777777" w:rsidTr="00B9545F">
        <w:trPr>
          <w:trHeight w:val="376"/>
          <w:jc w:val="center"/>
        </w:trPr>
        <w:tc>
          <w:tcPr>
            <w:tcW w:w="1413" w:type="dxa"/>
          </w:tcPr>
          <w:p w14:paraId="4AEF2B67" w14:textId="77777777" w:rsidR="00915E6B" w:rsidRDefault="00915E6B" w:rsidP="00B9545F">
            <w:pPr>
              <w:pStyle w:val="TTableText"/>
              <w:rPr>
                <w:lang w:val="en-GB"/>
              </w:rPr>
            </w:pPr>
            <w:r>
              <w:rPr>
                <w:lang w:val="en-GB"/>
              </w:rPr>
              <w:t>General</w:t>
            </w:r>
          </w:p>
          <w:p w14:paraId="5460F5BE" w14:textId="77777777" w:rsidR="00915E6B" w:rsidRDefault="00915E6B" w:rsidP="00B9545F">
            <w:pPr>
              <w:pStyle w:val="TTableText"/>
              <w:rPr>
                <w:lang w:val="en-GB"/>
              </w:rPr>
            </w:pPr>
            <w:r>
              <w:rPr>
                <w:lang w:val="en-GB"/>
              </w:rPr>
              <w:t>Clauses 33-42</w:t>
            </w:r>
          </w:p>
        </w:tc>
        <w:tc>
          <w:tcPr>
            <w:tcW w:w="992" w:type="dxa"/>
          </w:tcPr>
          <w:p w14:paraId="26C0665F" w14:textId="77777777" w:rsidR="00915E6B" w:rsidRDefault="00915E6B" w:rsidP="00B9545F">
            <w:pPr>
              <w:pStyle w:val="TTableText"/>
            </w:pPr>
          </w:p>
          <w:p w14:paraId="3E241704" w14:textId="77777777" w:rsidR="00915E6B" w:rsidRDefault="00915E6B" w:rsidP="00B9545F">
            <w:pPr>
              <w:pStyle w:val="TTableText"/>
            </w:pPr>
            <w:r>
              <w:t>Yes</w:t>
            </w:r>
          </w:p>
        </w:tc>
        <w:tc>
          <w:tcPr>
            <w:tcW w:w="992" w:type="dxa"/>
          </w:tcPr>
          <w:p w14:paraId="0993B964" w14:textId="77777777" w:rsidR="00915E6B" w:rsidRDefault="00915E6B" w:rsidP="00B9545F">
            <w:pPr>
              <w:pStyle w:val="TTableText"/>
            </w:pPr>
          </w:p>
          <w:p w14:paraId="033BE901" w14:textId="77777777" w:rsidR="00915E6B" w:rsidRDefault="00915E6B" w:rsidP="00B9545F">
            <w:pPr>
              <w:pStyle w:val="TTableText"/>
            </w:pPr>
            <w:r>
              <w:t>Yes</w:t>
            </w:r>
          </w:p>
        </w:tc>
        <w:tc>
          <w:tcPr>
            <w:tcW w:w="993" w:type="dxa"/>
          </w:tcPr>
          <w:p w14:paraId="2C667D44" w14:textId="77777777" w:rsidR="00915E6B" w:rsidRDefault="00915E6B" w:rsidP="00B9545F">
            <w:pPr>
              <w:pStyle w:val="TTableText"/>
            </w:pPr>
          </w:p>
          <w:p w14:paraId="72E0727E" w14:textId="77777777" w:rsidR="00915E6B" w:rsidRDefault="00915E6B" w:rsidP="00B9545F">
            <w:pPr>
              <w:pStyle w:val="TTableText"/>
            </w:pPr>
            <w:r>
              <w:t>Yes</w:t>
            </w:r>
          </w:p>
        </w:tc>
        <w:tc>
          <w:tcPr>
            <w:tcW w:w="1050" w:type="dxa"/>
          </w:tcPr>
          <w:p w14:paraId="279545FC" w14:textId="77777777" w:rsidR="00915E6B" w:rsidRDefault="00915E6B" w:rsidP="00B9545F">
            <w:pPr>
              <w:pStyle w:val="TTableText"/>
            </w:pPr>
          </w:p>
          <w:p w14:paraId="24AA91EA" w14:textId="77777777" w:rsidR="00915E6B" w:rsidRDefault="00915E6B" w:rsidP="00B9545F">
            <w:pPr>
              <w:pStyle w:val="TTableText"/>
            </w:pPr>
            <w:r>
              <w:t>Yes</w:t>
            </w:r>
          </w:p>
        </w:tc>
        <w:tc>
          <w:tcPr>
            <w:tcW w:w="1363" w:type="dxa"/>
          </w:tcPr>
          <w:p w14:paraId="3EAC8EC8" w14:textId="77777777" w:rsidR="00915E6B" w:rsidRDefault="00915E6B" w:rsidP="00B9545F">
            <w:pPr>
              <w:pStyle w:val="TTableText"/>
            </w:pPr>
          </w:p>
          <w:p w14:paraId="7CEE6126" w14:textId="77777777" w:rsidR="00915E6B" w:rsidRDefault="00915E6B" w:rsidP="00B9545F">
            <w:pPr>
              <w:pStyle w:val="TTableText"/>
            </w:pPr>
            <w:r>
              <w:t>N/A</w:t>
            </w:r>
          </w:p>
        </w:tc>
        <w:tc>
          <w:tcPr>
            <w:tcW w:w="1363" w:type="dxa"/>
          </w:tcPr>
          <w:p w14:paraId="6011EE7B" w14:textId="77777777" w:rsidR="00915E6B" w:rsidRDefault="00915E6B" w:rsidP="00B9545F">
            <w:pPr>
              <w:pStyle w:val="TTableText"/>
            </w:pPr>
          </w:p>
          <w:p w14:paraId="2AF6D24E" w14:textId="77777777" w:rsidR="00915E6B" w:rsidRDefault="00915E6B" w:rsidP="00B9545F">
            <w:pPr>
              <w:pStyle w:val="TTableText"/>
            </w:pPr>
            <w:r>
              <w:t>N/A</w:t>
            </w:r>
          </w:p>
        </w:tc>
        <w:tc>
          <w:tcPr>
            <w:tcW w:w="1361" w:type="dxa"/>
          </w:tcPr>
          <w:p w14:paraId="59EECA35" w14:textId="77777777" w:rsidR="00915E6B" w:rsidRDefault="00915E6B" w:rsidP="00B9545F">
            <w:pPr>
              <w:pStyle w:val="TTableText"/>
            </w:pPr>
          </w:p>
          <w:p w14:paraId="38D04538" w14:textId="77777777" w:rsidR="00915E6B" w:rsidRDefault="00915E6B" w:rsidP="00B9545F">
            <w:pPr>
              <w:pStyle w:val="TTableText"/>
            </w:pPr>
            <w:r>
              <w:t>N/A</w:t>
            </w:r>
          </w:p>
        </w:tc>
        <w:tc>
          <w:tcPr>
            <w:tcW w:w="1100" w:type="dxa"/>
          </w:tcPr>
          <w:p w14:paraId="28FC59C0" w14:textId="77777777" w:rsidR="00915E6B" w:rsidRDefault="00915E6B" w:rsidP="00B9545F">
            <w:pPr>
              <w:pStyle w:val="TTableText"/>
            </w:pPr>
          </w:p>
          <w:p w14:paraId="740BDD82" w14:textId="77777777" w:rsidR="00915E6B" w:rsidRDefault="00652124" w:rsidP="00B9545F">
            <w:pPr>
              <w:pStyle w:val="TTableText"/>
            </w:pPr>
            <w:r>
              <w:t>Yes (W, S and NI)</w:t>
            </w:r>
          </w:p>
        </w:tc>
      </w:tr>
      <w:tr w:rsidR="00915E6B" w:rsidRPr="00CA4237" w14:paraId="3135B57C" w14:textId="77777777" w:rsidTr="00B9545F">
        <w:trPr>
          <w:trHeight w:val="376"/>
          <w:jc w:val="center"/>
        </w:trPr>
        <w:tc>
          <w:tcPr>
            <w:tcW w:w="1413" w:type="dxa"/>
          </w:tcPr>
          <w:p w14:paraId="09BCAC43" w14:textId="77777777" w:rsidR="00915E6B" w:rsidRDefault="00915E6B" w:rsidP="00B9545F">
            <w:pPr>
              <w:pStyle w:val="TTableText"/>
              <w:rPr>
                <w:lang w:val="en-GB"/>
              </w:rPr>
            </w:pPr>
            <w:r>
              <w:rPr>
                <w:lang w:val="en-GB"/>
              </w:rPr>
              <w:t>Schedule 1</w:t>
            </w:r>
          </w:p>
        </w:tc>
        <w:tc>
          <w:tcPr>
            <w:tcW w:w="992" w:type="dxa"/>
            <w:vAlign w:val="center"/>
          </w:tcPr>
          <w:p w14:paraId="26293BD7" w14:textId="77777777" w:rsidR="00915E6B" w:rsidRPr="00F11012" w:rsidRDefault="00915E6B" w:rsidP="00B9545F">
            <w:pPr>
              <w:pStyle w:val="TTableText"/>
            </w:pPr>
            <w:r w:rsidRPr="00F11012">
              <w:t>Yes</w:t>
            </w:r>
          </w:p>
        </w:tc>
        <w:tc>
          <w:tcPr>
            <w:tcW w:w="992" w:type="dxa"/>
            <w:vAlign w:val="center"/>
          </w:tcPr>
          <w:p w14:paraId="16E9751C" w14:textId="77777777" w:rsidR="00915E6B" w:rsidRPr="00F11012" w:rsidRDefault="00915E6B" w:rsidP="00B9545F">
            <w:pPr>
              <w:pStyle w:val="TTableText"/>
            </w:pPr>
            <w:r w:rsidRPr="00F11012">
              <w:t>Yes</w:t>
            </w:r>
          </w:p>
        </w:tc>
        <w:tc>
          <w:tcPr>
            <w:tcW w:w="993" w:type="dxa"/>
            <w:vAlign w:val="center"/>
          </w:tcPr>
          <w:p w14:paraId="153E6A06" w14:textId="77777777" w:rsidR="00915E6B" w:rsidRPr="00F11012" w:rsidRDefault="00915E6B" w:rsidP="00B9545F">
            <w:pPr>
              <w:pStyle w:val="TTableText"/>
            </w:pPr>
            <w:r w:rsidRPr="00F11012">
              <w:t>Yes</w:t>
            </w:r>
          </w:p>
        </w:tc>
        <w:tc>
          <w:tcPr>
            <w:tcW w:w="1050" w:type="dxa"/>
            <w:vAlign w:val="center"/>
          </w:tcPr>
          <w:p w14:paraId="16761A29" w14:textId="77777777" w:rsidR="00915E6B" w:rsidRPr="00F11012" w:rsidRDefault="00915E6B" w:rsidP="00B9545F">
            <w:pPr>
              <w:pStyle w:val="TTableText"/>
            </w:pPr>
            <w:r w:rsidRPr="00F11012">
              <w:t>Yes</w:t>
            </w:r>
          </w:p>
        </w:tc>
        <w:tc>
          <w:tcPr>
            <w:tcW w:w="1363" w:type="dxa"/>
            <w:vAlign w:val="center"/>
          </w:tcPr>
          <w:p w14:paraId="4BD6504A" w14:textId="77777777" w:rsidR="00915E6B" w:rsidRPr="00F11012" w:rsidRDefault="00915E6B" w:rsidP="00B9545F">
            <w:pPr>
              <w:pStyle w:val="TTableText"/>
            </w:pPr>
            <w:r w:rsidRPr="00F11012">
              <w:t>N/A</w:t>
            </w:r>
          </w:p>
        </w:tc>
        <w:tc>
          <w:tcPr>
            <w:tcW w:w="1363" w:type="dxa"/>
            <w:vAlign w:val="center"/>
          </w:tcPr>
          <w:p w14:paraId="77D305F7" w14:textId="77777777" w:rsidR="00915E6B" w:rsidRPr="00F11012" w:rsidRDefault="00915E6B" w:rsidP="00B9545F">
            <w:pPr>
              <w:pStyle w:val="TTableText"/>
            </w:pPr>
            <w:r w:rsidRPr="00F11012">
              <w:t>N/A</w:t>
            </w:r>
          </w:p>
        </w:tc>
        <w:tc>
          <w:tcPr>
            <w:tcW w:w="1361" w:type="dxa"/>
            <w:vAlign w:val="center"/>
          </w:tcPr>
          <w:p w14:paraId="7598C1D3" w14:textId="77777777" w:rsidR="00915E6B" w:rsidRPr="00F11012" w:rsidRDefault="00915E6B" w:rsidP="00B9545F">
            <w:pPr>
              <w:pStyle w:val="TTableText"/>
            </w:pPr>
            <w:r w:rsidRPr="00F11012">
              <w:t>N/A</w:t>
            </w:r>
          </w:p>
        </w:tc>
        <w:tc>
          <w:tcPr>
            <w:tcW w:w="1100" w:type="dxa"/>
            <w:vAlign w:val="center"/>
          </w:tcPr>
          <w:p w14:paraId="0050A77A" w14:textId="77777777" w:rsidR="00915E6B" w:rsidRPr="00F11012" w:rsidRDefault="00652124" w:rsidP="00B9545F">
            <w:pPr>
              <w:pStyle w:val="TTableText"/>
            </w:pPr>
            <w:r>
              <w:t>Yes (W, S and NI)</w:t>
            </w:r>
          </w:p>
        </w:tc>
      </w:tr>
      <w:tr w:rsidR="00915E6B" w:rsidRPr="00CA4237" w14:paraId="41C617C1" w14:textId="77777777" w:rsidTr="00B9545F">
        <w:trPr>
          <w:trHeight w:val="376"/>
          <w:jc w:val="center"/>
        </w:trPr>
        <w:tc>
          <w:tcPr>
            <w:tcW w:w="1413" w:type="dxa"/>
          </w:tcPr>
          <w:p w14:paraId="7480186F" w14:textId="77777777" w:rsidR="00915E6B" w:rsidRDefault="00915E6B" w:rsidP="00B9545F">
            <w:pPr>
              <w:pStyle w:val="TTableText"/>
              <w:rPr>
                <w:lang w:val="en-GB"/>
              </w:rPr>
            </w:pPr>
            <w:r>
              <w:rPr>
                <w:lang w:val="en-GB"/>
              </w:rPr>
              <w:t>Schedule 2</w:t>
            </w:r>
          </w:p>
        </w:tc>
        <w:tc>
          <w:tcPr>
            <w:tcW w:w="992" w:type="dxa"/>
            <w:vAlign w:val="center"/>
          </w:tcPr>
          <w:p w14:paraId="71364000" w14:textId="77777777" w:rsidR="00915E6B" w:rsidRPr="00F11012" w:rsidRDefault="00915E6B" w:rsidP="00B9545F">
            <w:pPr>
              <w:pStyle w:val="TTableText"/>
            </w:pPr>
            <w:r>
              <w:t>Yes</w:t>
            </w:r>
          </w:p>
        </w:tc>
        <w:tc>
          <w:tcPr>
            <w:tcW w:w="992" w:type="dxa"/>
            <w:vAlign w:val="center"/>
          </w:tcPr>
          <w:p w14:paraId="49422C92" w14:textId="77777777" w:rsidR="00915E6B" w:rsidRPr="00F11012" w:rsidRDefault="00915E6B" w:rsidP="00B9545F">
            <w:pPr>
              <w:pStyle w:val="TTableText"/>
            </w:pPr>
            <w:r>
              <w:t>Yes</w:t>
            </w:r>
          </w:p>
        </w:tc>
        <w:tc>
          <w:tcPr>
            <w:tcW w:w="993" w:type="dxa"/>
            <w:vAlign w:val="center"/>
          </w:tcPr>
          <w:p w14:paraId="0AB4BE86" w14:textId="77777777" w:rsidR="00915E6B" w:rsidRPr="00F11012" w:rsidRDefault="006F0193" w:rsidP="00B9545F">
            <w:pPr>
              <w:pStyle w:val="TTableText"/>
            </w:pPr>
            <w:r>
              <w:t>No</w:t>
            </w:r>
          </w:p>
        </w:tc>
        <w:tc>
          <w:tcPr>
            <w:tcW w:w="1050" w:type="dxa"/>
            <w:vAlign w:val="center"/>
          </w:tcPr>
          <w:p w14:paraId="52FDDA38" w14:textId="77777777" w:rsidR="00915E6B" w:rsidRPr="00F11012" w:rsidRDefault="00915E6B" w:rsidP="00B9545F">
            <w:pPr>
              <w:pStyle w:val="TTableText"/>
            </w:pPr>
            <w:r>
              <w:t>Yes</w:t>
            </w:r>
          </w:p>
        </w:tc>
        <w:tc>
          <w:tcPr>
            <w:tcW w:w="1363" w:type="dxa"/>
            <w:vAlign w:val="center"/>
          </w:tcPr>
          <w:p w14:paraId="6FA97161" w14:textId="77777777" w:rsidR="00915E6B" w:rsidRPr="00F11012" w:rsidRDefault="00915E6B" w:rsidP="00B9545F">
            <w:pPr>
              <w:pStyle w:val="TTableText"/>
            </w:pPr>
            <w:r>
              <w:t>N/A</w:t>
            </w:r>
          </w:p>
        </w:tc>
        <w:tc>
          <w:tcPr>
            <w:tcW w:w="1363" w:type="dxa"/>
            <w:vAlign w:val="center"/>
          </w:tcPr>
          <w:p w14:paraId="526F8AAD" w14:textId="77777777" w:rsidR="00915E6B" w:rsidRPr="00F11012" w:rsidRDefault="00915E6B" w:rsidP="00B9545F">
            <w:pPr>
              <w:pStyle w:val="TTableText"/>
            </w:pPr>
            <w:r>
              <w:t>N/A</w:t>
            </w:r>
          </w:p>
        </w:tc>
        <w:tc>
          <w:tcPr>
            <w:tcW w:w="1361" w:type="dxa"/>
            <w:vAlign w:val="center"/>
          </w:tcPr>
          <w:p w14:paraId="1C27F32E" w14:textId="77777777" w:rsidR="00915E6B" w:rsidRPr="00F11012" w:rsidRDefault="00915E6B" w:rsidP="00B9545F">
            <w:pPr>
              <w:pStyle w:val="TTableText"/>
            </w:pPr>
            <w:r>
              <w:t>N/A</w:t>
            </w:r>
          </w:p>
        </w:tc>
        <w:tc>
          <w:tcPr>
            <w:tcW w:w="1100" w:type="dxa"/>
            <w:vAlign w:val="center"/>
          </w:tcPr>
          <w:p w14:paraId="43A8E781" w14:textId="77777777" w:rsidR="00915E6B" w:rsidRPr="00F11012" w:rsidRDefault="006F0193" w:rsidP="006F0193">
            <w:pPr>
              <w:pStyle w:val="TTableText"/>
            </w:pPr>
            <w:r>
              <w:t xml:space="preserve">Yes (W </w:t>
            </w:r>
            <w:r w:rsidR="00652124">
              <w:t>and NI)</w:t>
            </w:r>
          </w:p>
        </w:tc>
      </w:tr>
    </w:tbl>
    <w:p w14:paraId="678A236C" w14:textId="77777777" w:rsidR="00F82602" w:rsidRDefault="00F82602">
      <w:pPr>
        <w:spacing w:after="200"/>
      </w:pPr>
    </w:p>
    <w:p w14:paraId="397DDE0C" w14:textId="77777777" w:rsidR="00F43B32" w:rsidRDefault="00F43B32">
      <w:pPr>
        <w:spacing w:after="200"/>
      </w:pPr>
    </w:p>
    <w:p w14:paraId="2CBC36D8" w14:textId="77777777" w:rsidR="00652124" w:rsidRDefault="00652124">
      <w:pPr>
        <w:spacing w:after="200"/>
      </w:pPr>
      <w:r>
        <w:t>The above assessment for new clauses is presented in tabular form below</w:t>
      </w:r>
      <w:r w:rsidR="006F0193">
        <w:t>.</w:t>
      </w:r>
    </w:p>
    <w:tbl>
      <w:tblPr>
        <w:tblStyle w:val="ENGeneralTable"/>
        <w:tblW w:w="10627" w:type="dxa"/>
        <w:jc w:val="center"/>
        <w:tblLayout w:type="fixed"/>
        <w:tblLook w:val="0000" w:firstRow="0" w:lastRow="0" w:firstColumn="0" w:lastColumn="0" w:noHBand="0" w:noVBand="0"/>
      </w:tblPr>
      <w:tblGrid>
        <w:gridCol w:w="1413"/>
        <w:gridCol w:w="992"/>
        <w:gridCol w:w="992"/>
        <w:gridCol w:w="993"/>
        <w:gridCol w:w="1050"/>
        <w:gridCol w:w="1363"/>
        <w:gridCol w:w="1363"/>
        <w:gridCol w:w="1361"/>
        <w:gridCol w:w="1100"/>
      </w:tblGrid>
      <w:tr w:rsidR="00652124" w:rsidRPr="00CA4237" w14:paraId="07F1B560" w14:textId="77777777" w:rsidTr="00DF49F8">
        <w:trPr>
          <w:trHeight w:val="1153"/>
          <w:tblHeader/>
          <w:jc w:val="center"/>
        </w:trPr>
        <w:tc>
          <w:tcPr>
            <w:tcW w:w="1413" w:type="dxa"/>
          </w:tcPr>
          <w:p w14:paraId="4B90D70F" w14:textId="77777777" w:rsidR="00652124" w:rsidRPr="00BC7958" w:rsidRDefault="00652124" w:rsidP="00DF49F8">
            <w:pPr>
              <w:pStyle w:val="TTableText"/>
              <w:rPr>
                <w:rStyle w:val="TTableHeadings"/>
              </w:rPr>
            </w:pPr>
            <w:r>
              <w:rPr>
                <w:rStyle w:val="TTableHeadings"/>
              </w:rPr>
              <w:t>Provision</w:t>
            </w:r>
          </w:p>
        </w:tc>
        <w:tc>
          <w:tcPr>
            <w:tcW w:w="992" w:type="dxa"/>
          </w:tcPr>
          <w:p w14:paraId="0E972515" w14:textId="77777777" w:rsidR="00652124" w:rsidRPr="00BC7958" w:rsidRDefault="00652124" w:rsidP="00DF49F8">
            <w:pPr>
              <w:pStyle w:val="TTableText"/>
              <w:rPr>
                <w:rStyle w:val="TTableHeadings"/>
              </w:rPr>
            </w:pPr>
            <w:r w:rsidRPr="00BC7958">
              <w:rPr>
                <w:rStyle w:val="TTableHeadings"/>
              </w:rPr>
              <w:t>Extends to E &amp; W and applies to England?</w:t>
            </w:r>
          </w:p>
        </w:tc>
        <w:tc>
          <w:tcPr>
            <w:tcW w:w="992" w:type="dxa"/>
          </w:tcPr>
          <w:p w14:paraId="577646CF" w14:textId="77777777" w:rsidR="00652124" w:rsidRPr="00BC7958" w:rsidRDefault="00652124" w:rsidP="00DF49F8">
            <w:pPr>
              <w:pStyle w:val="TTableText"/>
              <w:rPr>
                <w:rStyle w:val="TTableHeadings"/>
              </w:rPr>
            </w:pPr>
            <w:r w:rsidRPr="00BC7958">
              <w:rPr>
                <w:rStyle w:val="TTableHeadings"/>
              </w:rPr>
              <w:t>Extends to E &amp; W and applies to Wales?</w:t>
            </w:r>
          </w:p>
        </w:tc>
        <w:tc>
          <w:tcPr>
            <w:tcW w:w="993" w:type="dxa"/>
          </w:tcPr>
          <w:p w14:paraId="6F87452B" w14:textId="77777777" w:rsidR="00652124" w:rsidRPr="00BC7958" w:rsidRDefault="00652124" w:rsidP="00DF49F8">
            <w:pPr>
              <w:pStyle w:val="TTableText"/>
              <w:rPr>
                <w:rStyle w:val="TTableHeadings"/>
              </w:rPr>
            </w:pPr>
            <w:r w:rsidRPr="00BC7958">
              <w:rPr>
                <w:rStyle w:val="TTableHeadings"/>
              </w:rPr>
              <w:t>Extends and applies to Scotland?</w:t>
            </w:r>
          </w:p>
        </w:tc>
        <w:tc>
          <w:tcPr>
            <w:tcW w:w="1050" w:type="dxa"/>
          </w:tcPr>
          <w:p w14:paraId="337577E3" w14:textId="77777777" w:rsidR="00652124" w:rsidRPr="00BC7958" w:rsidRDefault="00652124" w:rsidP="00DF49F8">
            <w:pPr>
              <w:pStyle w:val="TTableText"/>
              <w:rPr>
                <w:rStyle w:val="TTableHeadings"/>
              </w:rPr>
            </w:pPr>
            <w:r w:rsidRPr="00BC7958">
              <w:rPr>
                <w:rStyle w:val="TTableHeadings"/>
              </w:rPr>
              <w:t xml:space="preserve">Extends and applies to </w:t>
            </w:r>
            <w:r>
              <w:rPr>
                <w:rStyle w:val="TTableHeadings"/>
              </w:rPr>
              <w:t>Northern Ireland</w:t>
            </w:r>
            <w:r w:rsidRPr="00BC7958">
              <w:rPr>
                <w:rStyle w:val="TTableHeadings"/>
              </w:rPr>
              <w:t>?</w:t>
            </w:r>
          </w:p>
        </w:tc>
        <w:tc>
          <w:tcPr>
            <w:tcW w:w="1363" w:type="dxa"/>
          </w:tcPr>
          <w:p w14:paraId="3C84FD48" w14:textId="77777777" w:rsidR="00652124" w:rsidRPr="00BC7958" w:rsidRDefault="00652124" w:rsidP="00DF49F8">
            <w:pPr>
              <w:pStyle w:val="TTableText"/>
              <w:rPr>
                <w:rStyle w:val="TTableHeadings"/>
              </w:rPr>
            </w:pPr>
            <w:r>
              <w:rPr>
                <w:rStyle w:val="TTableHeadings"/>
              </w:rPr>
              <w:t>Would corresponding provision be within the competence of the National Assembly for Wales</w:t>
            </w:r>
            <w:r w:rsidRPr="00BC7958">
              <w:rPr>
                <w:rStyle w:val="TTableHeadings"/>
              </w:rPr>
              <w:t>?</w:t>
            </w:r>
          </w:p>
        </w:tc>
        <w:tc>
          <w:tcPr>
            <w:tcW w:w="1363" w:type="dxa"/>
          </w:tcPr>
          <w:p w14:paraId="54F58760" w14:textId="77777777" w:rsidR="00652124" w:rsidRPr="00BC7958" w:rsidRDefault="00652124" w:rsidP="00DF49F8">
            <w:pPr>
              <w:pStyle w:val="TTableText"/>
              <w:rPr>
                <w:rStyle w:val="TTableHeadings"/>
              </w:rPr>
            </w:pPr>
            <w:r>
              <w:rPr>
                <w:rStyle w:val="TTableHeadings"/>
              </w:rPr>
              <w:t>Would corresponding provisi</w:t>
            </w:r>
            <w:r w:rsidRPr="00BC7958">
              <w:rPr>
                <w:rStyle w:val="TTableHeadings"/>
              </w:rPr>
              <w:t xml:space="preserve">on be within the competence of </w:t>
            </w:r>
            <w:r>
              <w:rPr>
                <w:rStyle w:val="TTableHeadings"/>
              </w:rPr>
              <w:t xml:space="preserve">the </w:t>
            </w:r>
            <w:r w:rsidRPr="00BC7958">
              <w:rPr>
                <w:rStyle w:val="TTableHeadings"/>
              </w:rPr>
              <w:t>Scottish Parliament?</w:t>
            </w:r>
          </w:p>
        </w:tc>
        <w:tc>
          <w:tcPr>
            <w:tcW w:w="1361" w:type="dxa"/>
          </w:tcPr>
          <w:p w14:paraId="6A574E01" w14:textId="77777777" w:rsidR="00652124" w:rsidRPr="00BC7958" w:rsidRDefault="00652124" w:rsidP="00DF49F8">
            <w:pPr>
              <w:pStyle w:val="TTableText"/>
              <w:rPr>
                <w:rStyle w:val="TTableHeadings"/>
              </w:rPr>
            </w:pPr>
            <w:r>
              <w:rPr>
                <w:rStyle w:val="TTableHeadings"/>
              </w:rPr>
              <w:t xml:space="preserve">Would corresponding provision be within the competence of the </w:t>
            </w:r>
            <w:r w:rsidRPr="00BC7958">
              <w:rPr>
                <w:rStyle w:val="TTableHeadings"/>
              </w:rPr>
              <w:t>N</w:t>
            </w:r>
            <w:r>
              <w:rPr>
                <w:rStyle w:val="TTableHeadings"/>
              </w:rPr>
              <w:t xml:space="preserve">orthern </w:t>
            </w:r>
            <w:r w:rsidRPr="00BC7958">
              <w:rPr>
                <w:rStyle w:val="TTableHeadings"/>
              </w:rPr>
              <w:t>I</w:t>
            </w:r>
            <w:r>
              <w:rPr>
                <w:rStyle w:val="TTableHeadings"/>
              </w:rPr>
              <w:t>reland</w:t>
            </w:r>
            <w:r w:rsidRPr="00BC7958">
              <w:rPr>
                <w:rStyle w:val="TTableHeadings"/>
              </w:rPr>
              <w:t xml:space="preserve"> Assembly?</w:t>
            </w:r>
          </w:p>
        </w:tc>
        <w:tc>
          <w:tcPr>
            <w:tcW w:w="1100" w:type="dxa"/>
          </w:tcPr>
          <w:p w14:paraId="32587E4A" w14:textId="77777777" w:rsidR="00652124" w:rsidRPr="00BC7958" w:rsidRDefault="00652124" w:rsidP="00DF49F8">
            <w:pPr>
              <w:pStyle w:val="TTableText"/>
              <w:rPr>
                <w:rStyle w:val="TTableHeadings"/>
              </w:rPr>
            </w:pPr>
            <w:r w:rsidRPr="00BC7958">
              <w:rPr>
                <w:rStyle w:val="TTableHeadings"/>
              </w:rPr>
              <w:t>L</w:t>
            </w:r>
            <w:r>
              <w:rPr>
                <w:rStyle w:val="TTableHeadings"/>
              </w:rPr>
              <w:t>egislative Consent Motion needed</w:t>
            </w:r>
            <w:r w:rsidRPr="00BC7958">
              <w:rPr>
                <w:rStyle w:val="TTableHeadings"/>
              </w:rPr>
              <w:t>?</w:t>
            </w:r>
          </w:p>
        </w:tc>
      </w:tr>
      <w:tr w:rsidR="00652124" w:rsidRPr="00CA4237" w14:paraId="3905FA42" w14:textId="77777777" w:rsidTr="00DF49F8">
        <w:trPr>
          <w:trHeight w:val="376"/>
          <w:jc w:val="center"/>
        </w:trPr>
        <w:tc>
          <w:tcPr>
            <w:tcW w:w="1413" w:type="dxa"/>
          </w:tcPr>
          <w:p w14:paraId="5EC7EB35" w14:textId="77777777" w:rsidR="00652124" w:rsidRDefault="00652124" w:rsidP="00DF49F8">
            <w:pPr>
              <w:pStyle w:val="TTableText"/>
              <w:rPr>
                <w:lang w:val="en-GB"/>
              </w:rPr>
            </w:pPr>
            <w:r>
              <w:rPr>
                <w:lang w:val="en-GB"/>
              </w:rPr>
              <w:t>Accredited civilian officers: powers of entry</w:t>
            </w:r>
          </w:p>
          <w:p w14:paraId="36972719" w14:textId="77777777" w:rsidR="00652124" w:rsidRPr="00CA4237" w:rsidRDefault="00652124" w:rsidP="00DF49F8">
            <w:pPr>
              <w:pStyle w:val="TTableText"/>
              <w:rPr>
                <w:lang w:val="en-GB"/>
              </w:rPr>
            </w:pPr>
            <w:r>
              <w:rPr>
                <w:lang w:val="en-GB"/>
              </w:rPr>
              <w:t>After Clause 22</w:t>
            </w:r>
          </w:p>
        </w:tc>
        <w:tc>
          <w:tcPr>
            <w:tcW w:w="992" w:type="dxa"/>
          </w:tcPr>
          <w:p w14:paraId="5FC3B190" w14:textId="77777777" w:rsidR="00652124" w:rsidRDefault="00652124" w:rsidP="00DF49F8">
            <w:pPr>
              <w:pStyle w:val="TTableText"/>
            </w:pPr>
          </w:p>
          <w:p w14:paraId="717FC617" w14:textId="77777777" w:rsidR="00652124" w:rsidRPr="00D50344" w:rsidRDefault="00652124" w:rsidP="00DF49F8">
            <w:pPr>
              <w:pStyle w:val="TTableText"/>
            </w:pPr>
            <w:r>
              <w:t>Yes</w:t>
            </w:r>
          </w:p>
        </w:tc>
        <w:tc>
          <w:tcPr>
            <w:tcW w:w="992" w:type="dxa"/>
          </w:tcPr>
          <w:p w14:paraId="4DDF45F5" w14:textId="77777777" w:rsidR="00652124" w:rsidRDefault="00652124" w:rsidP="00DF49F8">
            <w:pPr>
              <w:pStyle w:val="TTableText"/>
            </w:pPr>
          </w:p>
          <w:p w14:paraId="098BAD89" w14:textId="77777777" w:rsidR="00652124" w:rsidRPr="00D50344" w:rsidRDefault="00652124" w:rsidP="00DF49F8">
            <w:pPr>
              <w:pStyle w:val="TTableText"/>
            </w:pPr>
            <w:r>
              <w:t>Yes</w:t>
            </w:r>
          </w:p>
        </w:tc>
        <w:tc>
          <w:tcPr>
            <w:tcW w:w="993" w:type="dxa"/>
          </w:tcPr>
          <w:p w14:paraId="4E8D18F7" w14:textId="77777777" w:rsidR="00652124" w:rsidRDefault="00652124" w:rsidP="00DF49F8">
            <w:pPr>
              <w:pStyle w:val="TTableText"/>
            </w:pPr>
          </w:p>
          <w:p w14:paraId="16039E6A" w14:textId="77777777" w:rsidR="00652124" w:rsidRPr="00D50344" w:rsidRDefault="00652124" w:rsidP="00DF49F8">
            <w:pPr>
              <w:pStyle w:val="TTableText"/>
            </w:pPr>
            <w:r>
              <w:t>Yes</w:t>
            </w:r>
          </w:p>
        </w:tc>
        <w:tc>
          <w:tcPr>
            <w:tcW w:w="1050" w:type="dxa"/>
          </w:tcPr>
          <w:p w14:paraId="23E10474" w14:textId="77777777" w:rsidR="00652124" w:rsidRDefault="00652124" w:rsidP="00DF49F8">
            <w:pPr>
              <w:pStyle w:val="TTableText"/>
            </w:pPr>
          </w:p>
          <w:p w14:paraId="0A74959C" w14:textId="77777777" w:rsidR="00652124" w:rsidRPr="00D50344" w:rsidRDefault="00652124" w:rsidP="00DF49F8">
            <w:pPr>
              <w:pStyle w:val="TTableText"/>
            </w:pPr>
            <w:r>
              <w:t>Yes</w:t>
            </w:r>
          </w:p>
        </w:tc>
        <w:tc>
          <w:tcPr>
            <w:tcW w:w="1363" w:type="dxa"/>
          </w:tcPr>
          <w:p w14:paraId="359C2F61" w14:textId="77777777" w:rsidR="00652124" w:rsidRDefault="00652124" w:rsidP="00DF49F8">
            <w:pPr>
              <w:pStyle w:val="TTableText"/>
            </w:pPr>
          </w:p>
          <w:p w14:paraId="43D26E6F" w14:textId="77777777" w:rsidR="00652124" w:rsidRPr="00D50344" w:rsidRDefault="00652124" w:rsidP="00DF49F8">
            <w:pPr>
              <w:pStyle w:val="TTableText"/>
            </w:pPr>
            <w:r>
              <w:t>N/A</w:t>
            </w:r>
          </w:p>
        </w:tc>
        <w:tc>
          <w:tcPr>
            <w:tcW w:w="1363" w:type="dxa"/>
          </w:tcPr>
          <w:p w14:paraId="7AE37C20" w14:textId="77777777" w:rsidR="00652124" w:rsidRDefault="00652124" w:rsidP="00DF49F8">
            <w:pPr>
              <w:pStyle w:val="TTableText"/>
            </w:pPr>
          </w:p>
          <w:p w14:paraId="041DD5BC" w14:textId="77777777" w:rsidR="00652124" w:rsidRPr="00D50344" w:rsidRDefault="00652124" w:rsidP="00DF49F8">
            <w:pPr>
              <w:pStyle w:val="TTableText"/>
            </w:pPr>
            <w:r>
              <w:t>N/A</w:t>
            </w:r>
          </w:p>
        </w:tc>
        <w:tc>
          <w:tcPr>
            <w:tcW w:w="1361" w:type="dxa"/>
          </w:tcPr>
          <w:p w14:paraId="079D3563" w14:textId="77777777" w:rsidR="00652124" w:rsidRDefault="00652124" w:rsidP="00DF49F8">
            <w:pPr>
              <w:pStyle w:val="TTableText"/>
            </w:pPr>
          </w:p>
          <w:p w14:paraId="3515D143" w14:textId="77777777" w:rsidR="00652124" w:rsidRPr="00D50344" w:rsidRDefault="00652124" w:rsidP="00DF49F8">
            <w:pPr>
              <w:pStyle w:val="TTableText"/>
            </w:pPr>
            <w:r>
              <w:t>N/A</w:t>
            </w:r>
          </w:p>
        </w:tc>
        <w:tc>
          <w:tcPr>
            <w:tcW w:w="1100" w:type="dxa"/>
          </w:tcPr>
          <w:p w14:paraId="2109B6F5" w14:textId="77777777" w:rsidR="00652124" w:rsidRDefault="00652124" w:rsidP="00DF49F8">
            <w:pPr>
              <w:pStyle w:val="TTableText"/>
            </w:pPr>
          </w:p>
          <w:p w14:paraId="0CBC90A6" w14:textId="77777777" w:rsidR="00652124" w:rsidRPr="00D50344" w:rsidRDefault="00652124" w:rsidP="00DF49F8">
            <w:pPr>
              <w:pStyle w:val="TTableText"/>
            </w:pPr>
            <w:r>
              <w:t>Yes (W, S and NI)</w:t>
            </w:r>
          </w:p>
        </w:tc>
      </w:tr>
      <w:tr w:rsidR="00652124" w:rsidRPr="00CA4237" w14:paraId="39C13E46" w14:textId="77777777" w:rsidTr="00DF49F8">
        <w:trPr>
          <w:trHeight w:val="376"/>
          <w:jc w:val="center"/>
        </w:trPr>
        <w:tc>
          <w:tcPr>
            <w:tcW w:w="1413" w:type="dxa"/>
          </w:tcPr>
          <w:p w14:paraId="355E9A88" w14:textId="77777777" w:rsidR="00652124" w:rsidRDefault="000A1D24" w:rsidP="00DF49F8">
            <w:pPr>
              <w:pStyle w:val="TTableText"/>
              <w:rPr>
                <w:lang w:val="en-GB"/>
              </w:rPr>
            </w:pPr>
            <w:r>
              <w:rPr>
                <w:lang w:val="en-GB"/>
              </w:rPr>
              <w:t>Other powers of accredited civilian officers</w:t>
            </w:r>
          </w:p>
          <w:p w14:paraId="095B241C" w14:textId="77777777" w:rsidR="000A1D24" w:rsidRDefault="000A1D24" w:rsidP="00DF49F8">
            <w:pPr>
              <w:pStyle w:val="TTableText"/>
              <w:rPr>
                <w:lang w:val="en-GB"/>
              </w:rPr>
            </w:pPr>
            <w:r>
              <w:rPr>
                <w:lang w:val="en-GB"/>
              </w:rPr>
              <w:t>After Clause 22</w:t>
            </w:r>
          </w:p>
        </w:tc>
        <w:tc>
          <w:tcPr>
            <w:tcW w:w="992" w:type="dxa"/>
          </w:tcPr>
          <w:p w14:paraId="0884EB57" w14:textId="77777777" w:rsidR="00652124" w:rsidRDefault="00652124" w:rsidP="00DF49F8">
            <w:pPr>
              <w:pStyle w:val="TTableText"/>
            </w:pPr>
          </w:p>
          <w:p w14:paraId="6E451FAD" w14:textId="77777777" w:rsidR="000A1D24" w:rsidRDefault="000A1D24" w:rsidP="00DF49F8">
            <w:pPr>
              <w:pStyle w:val="TTableText"/>
            </w:pPr>
            <w:r>
              <w:t>Yes</w:t>
            </w:r>
          </w:p>
        </w:tc>
        <w:tc>
          <w:tcPr>
            <w:tcW w:w="992" w:type="dxa"/>
          </w:tcPr>
          <w:p w14:paraId="6CDD1D17" w14:textId="77777777" w:rsidR="000A1D24" w:rsidRDefault="000A1D24" w:rsidP="00DF49F8">
            <w:pPr>
              <w:pStyle w:val="TTableText"/>
            </w:pPr>
          </w:p>
          <w:p w14:paraId="79B1F543" w14:textId="77777777" w:rsidR="00652124" w:rsidRDefault="000A1D24" w:rsidP="00DF49F8">
            <w:pPr>
              <w:pStyle w:val="TTableText"/>
            </w:pPr>
            <w:r>
              <w:t>Yes</w:t>
            </w:r>
          </w:p>
        </w:tc>
        <w:tc>
          <w:tcPr>
            <w:tcW w:w="993" w:type="dxa"/>
          </w:tcPr>
          <w:p w14:paraId="3B1AF98F" w14:textId="77777777" w:rsidR="000A1D24" w:rsidRDefault="000A1D24" w:rsidP="00DF49F8">
            <w:pPr>
              <w:pStyle w:val="TTableText"/>
            </w:pPr>
          </w:p>
          <w:p w14:paraId="14E4C449" w14:textId="77777777" w:rsidR="00652124" w:rsidRDefault="000A1D24" w:rsidP="00DF49F8">
            <w:pPr>
              <w:pStyle w:val="TTableText"/>
            </w:pPr>
            <w:r>
              <w:t>Yes</w:t>
            </w:r>
          </w:p>
        </w:tc>
        <w:tc>
          <w:tcPr>
            <w:tcW w:w="1050" w:type="dxa"/>
          </w:tcPr>
          <w:p w14:paraId="274AD620" w14:textId="77777777" w:rsidR="00652124" w:rsidRDefault="00652124" w:rsidP="00DF49F8">
            <w:pPr>
              <w:pStyle w:val="TTableText"/>
            </w:pPr>
          </w:p>
          <w:p w14:paraId="7D05468A" w14:textId="77777777" w:rsidR="000A1D24" w:rsidRDefault="000A1D24" w:rsidP="00DF49F8">
            <w:pPr>
              <w:pStyle w:val="TTableText"/>
            </w:pPr>
            <w:r>
              <w:t>Yes</w:t>
            </w:r>
          </w:p>
        </w:tc>
        <w:tc>
          <w:tcPr>
            <w:tcW w:w="1363" w:type="dxa"/>
          </w:tcPr>
          <w:p w14:paraId="4E700FD2" w14:textId="77777777" w:rsidR="00652124" w:rsidRDefault="00652124" w:rsidP="00DF49F8">
            <w:pPr>
              <w:pStyle w:val="TTableText"/>
            </w:pPr>
          </w:p>
          <w:p w14:paraId="3C1BD683" w14:textId="77777777" w:rsidR="000A1D24" w:rsidRDefault="000A1D24" w:rsidP="00DF49F8">
            <w:pPr>
              <w:pStyle w:val="TTableText"/>
            </w:pPr>
            <w:r>
              <w:t>N/A</w:t>
            </w:r>
          </w:p>
        </w:tc>
        <w:tc>
          <w:tcPr>
            <w:tcW w:w="1363" w:type="dxa"/>
          </w:tcPr>
          <w:p w14:paraId="130136A9" w14:textId="77777777" w:rsidR="00652124" w:rsidRDefault="00652124" w:rsidP="00DF49F8">
            <w:pPr>
              <w:pStyle w:val="TTableText"/>
            </w:pPr>
          </w:p>
          <w:p w14:paraId="309AA76B" w14:textId="77777777" w:rsidR="000A1D24" w:rsidRDefault="000A1D24" w:rsidP="00DF49F8">
            <w:pPr>
              <w:pStyle w:val="TTableText"/>
            </w:pPr>
            <w:r>
              <w:t>N/A</w:t>
            </w:r>
          </w:p>
        </w:tc>
        <w:tc>
          <w:tcPr>
            <w:tcW w:w="1361" w:type="dxa"/>
          </w:tcPr>
          <w:p w14:paraId="38158C4A" w14:textId="77777777" w:rsidR="00652124" w:rsidRDefault="00652124" w:rsidP="00DF49F8">
            <w:pPr>
              <w:pStyle w:val="TTableText"/>
            </w:pPr>
          </w:p>
          <w:p w14:paraId="2DB3B33F" w14:textId="77777777" w:rsidR="000A1D24" w:rsidRDefault="000A1D24" w:rsidP="00DF49F8">
            <w:pPr>
              <w:pStyle w:val="TTableText"/>
            </w:pPr>
            <w:r>
              <w:t>N/A</w:t>
            </w:r>
          </w:p>
        </w:tc>
        <w:tc>
          <w:tcPr>
            <w:tcW w:w="1100" w:type="dxa"/>
          </w:tcPr>
          <w:p w14:paraId="61F052D9" w14:textId="77777777" w:rsidR="00652124" w:rsidRDefault="00652124" w:rsidP="00DF49F8">
            <w:pPr>
              <w:pStyle w:val="TTableText"/>
            </w:pPr>
          </w:p>
          <w:p w14:paraId="5BA73C4D" w14:textId="77777777" w:rsidR="000A1D24" w:rsidRDefault="000A1D24" w:rsidP="00DF49F8">
            <w:pPr>
              <w:pStyle w:val="TTableText"/>
            </w:pPr>
            <w:r>
              <w:t>Yes (W, S, NI)</w:t>
            </w:r>
          </w:p>
        </w:tc>
      </w:tr>
      <w:tr w:rsidR="00F97C25" w:rsidRPr="00CA4237" w14:paraId="301375C1" w14:textId="77777777" w:rsidTr="00DF49F8">
        <w:trPr>
          <w:trHeight w:val="376"/>
          <w:jc w:val="center"/>
        </w:trPr>
        <w:tc>
          <w:tcPr>
            <w:tcW w:w="1413" w:type="dxa"/>
          </w:tcPr>
          <w:p w14:paraId="457ED746" w14:textId="77777777" w:rsidR="00F97C25" w:rsidRDefault="00F97C25" w:rsidP="00DF49F8">
            <w:pPr>
              <w:pStyle w:val="TTableText"/>
              <w:rPr>
                <w:lang w:val="en-GB"/>
              </w:rPr>
            </w:pPr>
            <w:r>
              <w:rPr>
                <w:lang w:val="en-GB"/>
              </w:rPr>
              <w:lastRenderedPageBreak/>
              <w:t>Contracts of insurance</w:t>
            </w:r>
          </w:p>
          <w:p w14:paraId="2E157C16" w14:textId="77777777" w:rsidR="00F97C25" w:rsidRDefault="00F97C25" w:rsidP="00DF49F8">
            <w:pPr>
              <w:pStyle w:val="TTableText"/>
              <w:rPr>
                <w:lang w:val="en-GB"/>
              </w:rPr>
            </w:pPr>
            <w:r>
              <w:rPr>
                <w:lang w:val="en-GB"/>
              </w:rPr>
              <w:t>After Clause 33</w:t>
            </w:r>
          </w:p>
        </w:tc>
        <w:tc>
          <w:tcPr>
            <w:tcW w:w="992" w:type="dxa"/>
          </w:tcPr>
          <w:p w14:paraId="094621CD" w14:textId="77777777" w:rsidR="00F97C25" w:rsidRDefault="00F97C25" w:rsidP="00DF49F8">
            <w:pPr>
              <w:pStyle w:val="TTableText"/>
            </w:pPr>
          </w:p>
          <w:p w14:paraId="628B65BA" w14:textId="77777777" w:rsidR="00F97C25" w:rsidRDefault="00F97C25" w:rsidP="00DF49F8">
            <w:pPr>
              <w:pStyle w:val="TTableText"/>
            </w:pPr>
            <w:r>
              <w:t>Yes</w:t>
            </w:r>
          </w:p>
        </w:tc>
        <w:tc>
          <w:tcPr>
            <w:tcW w:w="992" w:type="dxa"/>
          </w:tcPr>
          <w:p w14:paraId="18CA6983" w14:textId="77777777" w:rsidR="00F97C25" w:rsidRDefault="00F97C25" w:rsidP="00DF49F8">
            <w:pPr>
              <w:pStyle w:val="TTableText"/>
            </w:pPr>
          </w:p>
          <w:p w14:paraId="283E915F" w14:textId="77777777" w:rsidR="00F97C25" w:rsidRDefault="00F97C25" w:rsidP="00DF49F8">
            <w:pPr>
              <w:pStyle w:val="TTableText"/>
            </w:pPr>
            <w:r>
              <w:t>Yes</w:t>
            </w:r>
          </w:p>
        </w:tc>
        <w:tc>
          <w:tcPr>
            <w:tcW w:w="993" w:type="dxa"/>
          </w:tcPr>
          <w:p w14:paraId="035BA7A2" w14:textId="77777777" w:rsidR="00F97C25" w:rsidRDefault="00F97C25" w:rsidP="00DF49F8">
            <w:pPr>
              <w:pStyle w:val="TTableText"/>
            </w:pPr>
          </w:p>
          <w:p w14:paraId="6E3A9537" w14:textId="77777777" w:rsidR="00F97C25" w:rsidRDefault="00F97C25" w:rsidP="00DF49F8">
            <w:pPr>
              <w:pStyle w:val="TTableText"/>
            </w:pPr>
            <w:r>
              <w:t>Yes</w:t>
            </w:r>
          </w:p>
        </w:tc>
        <w:tc>
          <w:tcPr>
            <w:tcW w:w="1050" w:type="dxa"/>
          </w:tcPr>
          <w:p w14:paraId="587B54FE" w14:textId="77777777" w:rsidR="00F97C25" w:rsidRDefault="00F97C25" w:rsidP="00DF49F8">
            <w:pPr>
              <w:pStyle w:val="TTableText"/>
            </w:pPr>
          </w:p>
          <w:p w14:paraId="0E78716A" w14:textId="77777777" w:rsidR="00F97C25" w:rsidRDefault="00F97C25" w:rsidP="00DF49F8">
            <w:pPr>
              <w:pStyle w:val="TTableText"/>
            </w:pPr>
            <w:r>
              <w:t>Yes</w:t>
            </w:r>
          </w:p>
        </w:tc>
        <w:tc>
          <w:tcPr>
            <w:tcW w:w="1363" w:type="dxa"/>
          </w:tcPr>
          <w:p w14:paraId="3DA39A84" w14:textId="77777777" w:rsidR="00F97C25" w:rsidRDefault="00F97C25" w:rsidP="00F97C25">
            <w:pPr>
              <w:pStyle w:val="TTableText"/>
            </w:pPr>
          </w:p>
          <w:p w14:paraId="486B9DD5" w14:textId="77777777" w:rsidR="00F97C25" w:rsidRDefault="00F97C25" w:rsidP="00F97C25">
            <w:pPr>
              <w:pStyle w:val="TTableText"/>
            </w:pPr>
            <w:r>
              <w:t>N/A</w:t>
            </w:r>
          </w:p>
        </w:tc>
        <w:tc>
          <w:tcPr>
            <w:tcW w:w="1363" w:type="dxa"/>
          </w:tcPr>
          <w:p w14:paraId="6392D316" w14:textId="77777777" w:rsidR="00F97C25" w:rsidRDefault="00F97C25" w:rsidP="00DF49F8">
            <w:pPr>
              <w:pStyle w:val="TTableText"/>
            </w:pPr>
          </w:p>
          <w:p w14:paraId="12B8E39D" w14:textId="77777777" w:rsidR="00F97C25" w:rsidRDefault="00F97C25" w:rsidP="00DF49F8">
            <w:pPr>
              <w:pStyle w:val="TTableText"/>
            </w:pPr>
            <w:r>
              <w:t>N/A</w:t>
            </w:r>
          </w:p>
        </w:tc>
        <w:tc>
          <w:tcPr>
            <w:tcW w:w="1361" w:type="dxa"/>
          </w:tcPr>
          <w:p w14:paraId="5A00B1BC" w14:textId="77777777" w:rsidR="00F97C25" w:rsidRDefault="00F97C25" w:rsidP="00DF49F8">
            <w:pPr>
              <w:pStyle w:val="TTableText"/>
            </w:pPr>
          </w:p>
          <w:p w14:paraId="67AF5FDF" w14:textId="77777777" w:rsidR="00F97C25" w:rsidRDefault="00F97C25" w:rsidP="00DF49F8">
            <w:pPr>
              <w:pStyle w:val="TTableText"/>
            </w:pPr>
            <w:r>
              <w:t>N/A</w:t>
            </w:r>
          </w:p>
        </w:tc>
        <w:tc>
          <w:tcPr>
            <w:tcW w:w="1100" w:type="dxa"/>
          </w:tcPr>
          <w:p w14:paraId="4DFDE167" w14:textId="77777777" w:rsidR="00F97C25" w:rsidRDefault="00F97C25" w:rsidP="00DF49F8">
            <w:pPr>
              <w:pStyle w:val="TTableText"/>
            </w:pPr>
          </w:p>
          <w:p w14:paraId="1FBCFBC5" w14:textId="77777777" w:rsidR="00F97C25" w:rsidRDefault="00F82602" w:rsidP="00DF49F8">
            <w:pPr>
              <w:pStyle w:val="TTableText"/>
            </w:pPr>
            <w:r>
              <w:t>No</w:t>
            </w:r>
          </w:p>
        </w:tc>
      </w:tr>
    </w:tbl>
    <w:p w14:paraId="75994800" w14:textId="77777777" w:rsidR="007633AF" w:rsidRDefault="007633AF">
      <w:pPr>
        <w:spacing w:after="200"/>
      </w:pPr>
    </w:p>
    <w:p w14:paraId="146C0E81" w14:textId="77777777" w:rsidR="00F728FF" w:rsidRDefault="00F728FF" w:rsidP="00FD1FB8"/>
    <w:p w14:paraId="107530ED" w14:textId="77777777" w:rsidR="00FD1FB8" w:rsidRDefault="00FD1FB8" w:rsidP="00FD1FB8"/>
    <w:p w14:paraId="7AE2A134" w14:textId="77777777" w:rsidR="0097029E" w:rsidRDefault="0097029E"/>
    <w:sectPr w:rsidR="0097029E" w:rsidSect="00F82602">
      <w:footerReference w:type="default" r:id="rId12"/>
      <w:pgSz w:w="11909" w:h="16834"/>
      <w:pgMar w:top="1440" w:right="1136" w:bottom="1276"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8DFD8" w14:textId="77777777" w:rsidR="00FA7168" w:rsidRDefault="00FA7168">
      <w:pPr>
        <w:spacing w:line="240" w:lineRule="auto"/>
      </w:pPr>
      <w:r>
        <w:separator/>
      </w:r>
    </w:p>
  </w:endnote>
  <w:endnote w:type="continuationSeparator" w:id="0">
    <w:p w14:paraId="6751A336" w14:textId="77777777" w:rsidR="00FA7168" w:rsidRDefault="00FA7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E769" w14:textId="77777777" w:rsidR="00C86C77" w:rsidRDefault="000E3C62">
    <w:pPr>
      <w:jc w:val="center"/>
    </w:pPr>
    <w:r>
      <w:fldChar w:fldCharType="begin"/>
    </w:r>
    <w:r>
      <w:instrText>PAGE</w:instrText>
    </w:r>
    <w:r>
      <w:fldChar w:fldCharType="separate"/>
    </w:r>
    <w:r w:rsidR="00E3562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D7DA8" w14:textId="77777777" w:rsidR="00FA7168" w:rsidRDefault="00FA7168">
      <w:pPr>
        <w:spacing w:line="240" w:lineRule="auto"/>
      </w:pPr>
      <w:r>
        <w:separator/>
      </w:r>
    </w:p>
  </w:footnote>
  <w:footnote w:type="continuationSeparator" w:id="0">
    <w:p w14:paraId="638A2A3C" w14:textId="77777777" w:rsidR="00FA7168" w:rsidRDefault="00FA7168">
      <w:pPr>
        <w:spacing w:line="240" w:lineRule="auto"/>
      </w:pPr>
      <w:r>
        <w:continuationSeparator/>
      </w:r>
    </w:p>
  </w:footnote>
  <w:footnote w:id="1">
    <w:p w14:paraId="4B098E99" w14:textId="77777777" w:rsidR="00596A78" w:rsidRDefault="00596A78">
      <w:pPr>
        <w:pStyle w:val="FootnoteText"/>
      </w:pPr>
      <w:r>
        <w:rPr>
          <w:rStyle w:val="FootnoteReference"/>
        </w:rPr>
        <w:footnoteRef/>
      </w:r>
      <w:r>
        <w:t xml:space="preserve"> </w:t>
      </w:r>
      <w:r>
        <w:rPr>
          <w:sz w:val="20"/>
        </w:rPr>
        <w:t>References in this statement to a provision being within the legislative competence of the Scottish Parliament, the National Assembly for Wales or the Northern Ireland Assembly are to the provision being within the legislative competence of the relevant devolved legislature for the purposes of Standing Order No. 83J of the Standing Orders of the House of Commons relating to Public Business.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28C"/>
    <w:multiLevelType w:val="hybridMultilevel"/>
    <w:tmpl w:val="0C462D6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 w15:restartNumberingAfterBreak="0">
    <w:nsid w:val="18ED7141"/>
    <w:multiLevelType w:val="hybridMultilevel"/>
    <w:tmpl w:val="1562C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73C8E"/>
    <w:multiLevelType w:val="hybridMultilevel"/>
    <w:tmpl w:val="527A9504"/>
    <w:lvl w:ilvl="0" w:tplc="521A031C">
      <w:start w:val="1"/>
      <w:numFmt w:val="decimal"/>
      <w:pStyle w:val="ParaNumbered"/>
      <w:lvlText w:val="%1 "/>
      <w:lvlJc w:val="left"/>
      <w:pPr>
        <w:ind w:left="785"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919AB"/>
    <w:multiLevelType w:val="hybridMultilevel"/>
    <w:tmpl w:val="DCBE0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617D61"/>
    <w:multiLevelType w:val="hybridMultilevel"/>
    <w:tmpl w:val="F9885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4233A"/>
    <w:multiLevelType w:val="hybridMultilevel"/>
    <w:tmpl w:val="994A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9C7C2D"/>
    <w:multiLevelType w:val="hybridMultilevel"/>
    <w:tmpl w:val="55CE56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054DB"/>
    <w:multiLevelType w:val="hybridMultilevel"/>
    <w:tmpl w:val="1B84D60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6CFB3A5B"/>
    <w:multiLevelType w:val="hybridMultilevel"/>
    <w:tmpl w:val="F2BA7BAA"/>
    <w:lvl w:ilvl="0" w:tplc="977E333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8A4868"/>
    <w:multiLevelType w:val="hybridMultilevel"/>
    <w:tmpl w:val="3C84201A"/>
    <w:lvl w:ilvl="0" w:tplc="E3BE7F9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B8"/>
    <w:rsid w:val="00001780"/>
    <w:rsid w:val="00013D89"/>
    <w:rsid w:val="0001522C"/>
    <w:rsid w:val="000247D4"/>
    <w:rsid w:val="000349A2"/>
    <w:rsid w:val="0004790D"/>
    <w:rsid w:val="0005594C"/>
    <w:rsid w:val="0007229E"/>
    <w:rsid w:val="00086A66"/>
    <w:rsid w:val="00096656"/>
    <w:rsid w:val="000A0169"/>
    <w:rsid w:val="000A1D24"/>
    <w:rsid w:val="000B0DE4"/>
    <w:rsid w:val="000C4A0F"/>
    <w:rsid w:val="000D2CCC"/>
    <w:rsid w:val="000E2204"/>
    <w:rsid w:val="000E3C62"/>
    <w:rsid w:val="000E3CCF"/>
    <w:rsid w:val="000E571C"/>
    <w:rsid w:val="000E75CE"/>
    <w:rsid w:val="00111341"/>
    <w:rsid w:val="001354D6"/>
    <w:rsid w:val="0018031F"/>
    <w:rsid w:val="0018054D"/>
    <w:rsid w:val="00187E0D"/>
    <w:rsid w:val="00190F0A"/>
    <w:rsid w:val="001A56EC"/>
    <w:rsid w:val="001A7962"/>
    <w:rsid w:val="001C50B7"/>
    <w:rsid w:val="001D153D"/>
    <w:rsid w:val="001E6581"/>
    <w:rsid w:val="00201572"/>
    <w:rsid w:val="0020303E"/>
    <w:rsid w:val="002076F2"/>
    <w:rsid w:val="00220EC7"/>
    <w:rsid w:val="00222054"/>
    <w:rsid w:val="002710E1"/>
    <w:rsid w:val="00295C3E"/>
    <w:rsid w:val="002B24DB"/>
    <w:rsid w:val="002C5241"/>
    <w:rsid w:val="002D0D09"/>
    <w:rsid w:val="002E7332"/>
    <w:rsid w:val="00312737"/>
    <w:rsid w:val="0035153F"/>
    <w:rsid w:val="00354BFF"/>
    <w:rsid w:val="0039052C"/>
    <w:rsid w:val="003A37E0"/>
    <w:rsid w:val="0040470C"/>
    <w:rsid w:val="00404B3B"/>
    <w:rsid w:val="00424BD7"/>
    <w:rsid w:val="00436A09"/>
    <w:rsid w:val="004466A3"/>
    <w:rsid w:val="00447CC7"/>
    <w:rsid w:val="00451127"/>
    <w:rsid w:val="00466693"/>
    <w:rsid w:val="004A1B07"/>
    <w:rsid w:val="004A4669"/>
    <w:rsid w:val="004B5B4F"/>
    <w:rsid w:val="00502E36"/>
    <w:rsid w:val="00521078"/>
    <w:rsid w:val="00535DA1"/>
    <w:rsid w:val="00542EEE"/>
    <w:rsid w:val="00544815"/>
    <w:rsid w:val="005455FB"/>
    <w:rsid w:val="005466F4"/>
    <w:rsid w:val="00552DE4"/>
    <w:rsid w:val="00570F58"/>
    <w:rsid w:val="00596A78"/>
    <w:rsid w:val="005C0DE3"/>
    <w:rsid w:val="005D3902"/>
    <w:rsid w:val="006038FB"/>
    <w:rsid w:val="00606F3E"/>
    <w:rsid w:val="00652124"/>
    <w:rsid w:val="0065446D"/>
    <w:rsid w:val="00656711"/>
    <w:rsid w:val="00673EF0"/>
    <w:rsid w:val="00673F49"/>
    <w:rsid w:val="00674597"/>
    <w:rsid w:val="00684C61"/>
    <w:rsid w:val="006A1174"/>
    <w:rsid w:val="006A16A7"/>
    <w:rsid w:val="006B163D"/>
    <w:rsid w:val="006B7805"/>
    <w:rsid w:val="006C1A23"/>
    <w:rsid w:val="006F0193"/>
    <w:rsid w:val="00743502"/>
    <w:rsid w:val="00753327"/>
    <w:rsid w:val="007633AF"/>
    <w:rsid w:val="0078104A"/>
    <w:rsid w:val="007C5FB4"/>
    <w:rsid w:val="007C7D5F"/>
    <w:rsid w:val="007F005A"/>
    <w:rsid w:val="00800F09"/>
    <w:rsid w:val="00826F07"/>
    <w:rsid w:val="00830E7E"/>
    <w:rsid w:val="00864D82"/>
    <w:rsid w:val="0088552D"/>
    <w:rsid w:val="00886A6B"/>
    <w:rsid w:val="008A7113"/>
    <w:rsid w:val="008D2EB3"/>
    <w:rsid w:val="008D362D"/>
    <w:rsid w:val="008F2786"/>
    <w:rsid w:val="009159A9"/>
    <w:rsid w:val="00915E6B"/>
    <w:rsid w:val="00934EBC"/>
    <w:rsid w:val="00943B60"/>
    <w:rsid w:val="00955A2A"/>
    <w:rsid w:val="00963281"/>
    <w:rsid w:val="0097029E"/>
    <w:rsid w:val="00982821"/>
    <w:rsid w:val="00994096"/>
    <w:rsid w:val="0099638A"/>
    <w:rsid w:val="00996DBD"/>
    <w:rsid w:val="009A4456"/>
    <w:rsid w:val="009B27C6"/>
    <w:rsid w:val="009B734E"/>
    <w:rsid w:val="009E157E"/>
    <w:rsid w:val="009E1B0A"/>
    <w:rsid w:val="009F0872"/>
    <w:rsid w:val="009F3BA6"/>
    <w:rsid w:val="00A10617"/>
    <w:rsid w:val="00A24F22"/>
    <w:rsid w:val="00A37214"/>
    <w:rsid w:val="00A4231A"/>
    <w:rsid w:val="00A45616"/>
    <w:rsid w:val="00A50BA1"/>
    <w:rsid w:val="00A72B59"/>
    <w:rsid w:val="00A81DA5"/>
    <w:rsid w:val="00AA135A"/>
    <w:rsid w:val="00AC681D"/>
    <w:rsid w:val="00AD0C95"/>
    <w:rsid w:val="00AE2065"/>
    <w:rsid w:val="00AF2055"/>
    <w:rsid w:val="00AF768C"/>
    <w:rsid w:val="00B02D00"/>
    <w:rsid w:val="00B034C7"/>
    <w:rsid w:val="00B122E3"/>
    <w:rsid w:val="00B13061"/>
    <w:rsid w:val="00BB1A8C"/>
    <w:rsid w:val="00BB3215"/>
    <w:rsid w:val="00BB4E30"/>
    <w:rsid w:val="00BB5601"/>
    <w:rsid w:val="00BC1741"/>
    <w:rsid w:val="00BC5202"/>
    <w:rsid w:val="00BD66FC"/>
    <w:rsid w:val="00BF0D12"/>
    <w:rsid w:val="00C12A93"/>
    <w:rsid w:val="00C26742"/>
    <w:rsid w:val="00C70C98"/>
    <w:rsid w:val="00C733BC"/>
    <w:rsid w:val="00C76D25"/>
    <w:rsid w:val="00C776CE"/>
    <w:rsid w:val="00C77861"/>
    <w:rsid w:val="00CA3859"/>
    <w:rsid w:val="00D46E04"/>
    <w:rsid w:val="00D83DC1"/>
    <w:rsid w:val="00DA6B16"/>
    <w:rsid w:val="00DB2B12"/>
    <w:rsid w:val="00DD42BB"/>
    <w:rsid w:val="00DE55BA"/>
    <w:rsid w:val="00DE5877"/>
    <w:rsid w:val="00DE7B6A"/>
    <w:rsid w:val="00DF0637"/>
    <w:rsid w:val="00E02DB4"/>
    <w:rsid w:val="00E26139"/>
    <w:rsid w:val="00E352C0"/>
    <w:rsid w:val="00E35627"/>
    <w:rsid w:val="00E43995"/>
    <w:rsid w:val="00E91D70"/>
    <w:rsid w:val="00E94FED"/>
    <w:rsid w:val="00EA4E96"/>
    <w:rsid w:val="00EA5662"/>
    <w:rsid w:val="00EB2D0E"/>
    <w:rsid w:val="00EE1D09"/>
    <w:rsid w:val="00EE340F"/>
    <w:rsid w:val="00EF58B1"/>
    <w:rsid w:val="00EF7045"/>
    <w:rsid w:val="00F23210"/>
    <w:rsid w:val="00F353B0"/>
    <w:rsid w:val="00F43B32"/>
    <w:rsid w:val="00F44975"/>
    <w:rsid w:val="00F56C10"/>
    <w:rsid w:val="00F60029"/>
    <w:rsid w:val="00F6281A"/>
    <w:rsid w:val="00F63C0C"/>
    <w:rsid w:val="00F728FF"/>
    <w:rsid w:val="00F775FB"/>
    <w:rsid w:val="00F80527"/>
    <w:rsid w:val="00F82602"/>
    <w:rsid w:val="00F87952"/>
    <w:rsid w:val="00F97C25"/>
    <w:rsid w:val="00FA04D1"/>
    <w:rsid w:val="00FA6872"/>
    <w:rsid w:val="00FA7168"/>
    <w:rsid w:val="00FB1539"/>
    <w:rsid w:val="00FD1FB8"/>
    <w:rsid w:val="00FF3B9B"/>
    <w:rsid w:val="00FF4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40DF"/>
  <w15:docId w15:val="{AF6E39B2-A8E8-4B2F-A086-464691CE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1FB8"/>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ableHeadings">
    <w:name w:val="T: Table Headings"/>
    <w:basedOn w:val="DefaultParagraphFont"/>
    <w:qFormat/>
    <w:rsid w:val="000C4A0F"/>
    <w:rPr>
      <w:rFonts w:ascii="Arial" w:hAnsi="Arial" w:cs="PalatinoLinotype-Bold"/>
      <w:b/>
      <w:bCs/>
      <w:color w:val="000000"/>
      <w:sz w:val="16"/>
    </w:rPr>
  </w:style>
  <w:style w:type="character" w:customStyle="1" w:styleId="CDefault">
    <w:name w:val="C: Default"/>
    <w:basedOn w:val="DefaultParagraphFont"/>
    <w:uiPriority w:val="1"/>
    <w:qFormat/>
    <w:rsid w:val="000C4A0F"/>
  </w:style>
  <w:style w:type="paragraph" w:styleId="FootnoteText">
    <w:name w:val="footnote text"/>
    <w:aliases w:val="F: Footnote Text"/>
    <w:basedOn w:val="Normal"/>
    <w:link w:val="FootnoteTextChar"/>
    <w:uiPriority w:val="99"/>
    <w:unhideWhenUsed/>
    <w:qFormat/>
    <w:rsid w:val="00201572"/>
    <w:pPr>
      <w:spacing w:line="240" w:lineRule="auto"/>
    </w:pPr>
    <w:rPr>
      <w:rFonts w:asciiTheme="minorHAnsi" w:eastAsiaTheme="minorEastAsia" w:hAnsiTheme="minorHAnsi" w:cstheme="minorBidi"/>
      <w:color w:val="auto"/>
      <w:sz w:val="18"/>
      <w:szCs w:val="20"/>
    </w:rPr>
  </w:style>
  <w:style w:type="character" w:customStyle="1" w:styleId="FootnoteTextChar">
    <w:name w:val="Footnote Text Char"/>
    <w:aliases w:val="F: Footnote Text Char"/>
    <w:basedOn w:val="DefaultParagraphFont"/>
    <w:link w:val="FootnoteText"/>
    <w:uiPriority w:val="99"/>
    <w:rsid w:val="00201572"/>
    <w:rPr>
      <w:rFonts w:eastAsiaTheme="minorEastAsia"/>
      <w:sz w:val="18"/>
      <w:szCs w:val="20"/>
      <w:lang w:eastAsia="en-GB"/>
    </w:rPr>
  </w:style>
  <w:style w:type="paragraph" w:customStyle="1" w:styleId="ParaNumbered">
    <w:name w:val="Para: Numbered"/>
    <w:basedOn w:val="Normal"/>
    <w:link w:val="ParaNumberedChar"/>
    <w:qFormat/>
    <w:rsid w:val="00EA5662"/>
    <w:pPr>
      <w:widowControl w:val="0"/>
      <w:numPr>
        <w:numId w:val="1"/>
      </w:numPr>
      <w:tabs>
        <w:tab w:val="num" w:pos="360"/>
      </w:tabs>
      <w:suppressAutoHyphens/>
      <w:autoSpaceDE w:val="0"/>
      <w:autoSpaceDN w:val="0"/>
      <w:adjustRightInd w:val="0"/>
      <w:spacing w:after="150" w:line="200" w:lineRule="atLeast"/>
      <w:ind w:left="714" w:hanging="357"/>
      <w:textAlignment w:val="center"/>
    </w:pPr>
    <w:rPr>
      <w:rFonts w:ascii="Palatino Linotype" w:eastAsiaTheme="minorEastAsia" w:hAnsi="Palatino Linotype" w:cs="PalatinoLinotype-Roman"/>
      <w:sz w:val="20"/>
      <w:szCs w:val="24"/>
    </w:rPr>
  </w:style>
  <w:style w:type="character" w:customStyle="1" w:styleId="ParaNumberedChar">
    <w:name w:val="Para: Numbered Char"/>
    <w:basedOn w:val="DefaultParagraphFont"/>
    <w:link w:val="ParaNumbered"/>
    <w:rsid w:val="00EA5662"/>
    <w:rPr>
      <w:rFonts w:ascii="Palatino Linotype" w:eastAsiaTheme="minorEastAsia" w:hAnsi="Palatino Linotype" w:cs="PalatinoLinotype-Roman"/>
      <w:color w:val="000000"/>
      <w:sz w:val="20"/>
      <w:szCs w:val="24"/>
      <w:lang w:eastAsia="en-GB"/>
    </w:rPr>
  </w:style>
  <w:style w:type="paragraph" w:styleId="ListParagraph">
    <w:name w:val="List Paragraph"/>
    <w:basedOn w:val="Normal"/>
    <w:uiPriority w:val="34"/>
    <w:qFormat/>
    <w:rsid w:val="00982821"/>
    <w:pPr>
      <w:ind w:left="720"/>
      <w:contextualSpacing/>
    </w:pPr>
  </w:style>
  <w:style w:type="character" w:styleId="Hyperlink">
    <w:name w:val="Hyperlink"/>
    <w:basedOn w:val="DefaultParagraphFont"/>
    <w:uiPriority w:val="99"/>
    <w:unhideWhenUsed/>
    <w:rsid w:val="009E157E"/>
    <w:rPr>
      <w:color w:val="0000FF" w:themeColor="hyperlink"/>
      <w:u w:val="single"/>
    </w:rPr>
  </w:style>
  <w:style w:type="character" w:styleId="CommentReference">
    <w:name w:val="annotation reference"/>
    <w:basedOn w:val="DefaultParagraphFont"/>
    <w:uiPriority w:val="99"/>
    <w:semiHidden/>
    <w:unhideWhenUsed/>
    <w:rsid w:val="00A72B59"/>
    <w:rPr>
      <w:sz w:val="16"/>
      <w:szCs w:val="16"/>
    </w:rPr>
  </w:style>
  <w:style w:type="paragraph" w:styleId="CommentText">
    <w:name w:val="annotation text"/>
    <w:basedOn w:val="Normal"/>
    <w:link w:val="CommentTextChar"/>
    <w:uiPriority w:val="99"/>
    <w:semiHidden/>
    <w:unhideWhenUsed/>
    <w:rsid w:val="00A72B59"/>
    <w:pPr>
      <w:spacing w:line="240" w:lineRule="auto"/>
    </w:pPr>
    <w:rPr>
      <w:sz w:val="20"/>
      <w:szCs w:val="20"/>
    </w:rPr>
  </w:style>
  <w:style w:type="character" w:customStyle="1" w:styleId="CommentTextChar">
    <w:name w:val="Comment Text Char"/>
    <w:basedOn w:val="DefaultParagraphFont"/>
    <w:link w:val="CommentText"/>
    <w:uiPriority w:val="99"/>
    <w:semiHidden/>
    <w:rsid w:val="00A72B59"/>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A72B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59"/>
    <w:rPr>
      <w:rFonts w:ascii="Tahoma" w:eastAsia="Arial" w:hAnsi="Tahoma" w:cs="Tahoma"/>
      <w:color w:val="000000"/>
      <w:sz w:val="16"/>
      <w:szCs w:val="16"/>
      <w:lang w:eastAsia="en-GB"/>
    </w:rPr>
  </w:style>
  <w:style w:type="paragraph" w:customStyle="1" w:styleId="TTableText">
    <w:name w:val="T: Table Text"/>
    <w:basedOn w:val="Normal"/>
    <w:qFormat/>
    <w:rsid w:val="00915E6B"/>
    <w:pPr>
      <w:widowControl w:val="0"/>
      <w:suppressAutoHyphens/>
      <w:autoSpaceDE w:val="0"/>
      <w:autoSpaceDN w:val="0"/>
      <w:adjustRightInd w:val="0"/>
      <w:spacing w:after="120" w:line="240" w:lineRule="atLeast"/>
      <w:textAlignment w:val="center"/>
    </w:pPr>
    <w:rPr>
      <w:rFonts w:eastAsiaTheme="minorEastAsia" w:cs="HelveticaNeue"/>
      <w:sz w:val="16"/>
      <w:szCs w:val="20"/>
      <w:lang w:val="en-US" w:eastAsia="en-US" w:bidi="en-US"/>
    </w:rPr>
  </w:style>
  <w:style w:type="table" w:customStyle="1" w:styleId="ENGeneralTable">
    <w:name w:val="EN General Table"/>
    <w:basedOn w:val="TableNormal"/>
    <w:uiPriority w:val="99"/>
    <w:qFormat/>
    <w:rsid w:val="00915E6B"/>
    <w:pPr>
      <w:spacing w:after="0" w:line="240" w:lineRule="auto"/>
    </w:pPr>
    <w:rPr>
      <w:rFonts w:ascii="Arial" w:eastAsiaTheme="minorEastAsia" w:hAnsi="Arial"/>
      <w:sz w:val="16"/>
      <w:lang w:val="en-US" w:bidi="en-US"/>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rFonts w:ascii="Arial" w:hAnsi="Arial"/>
        <w:b/>
        <w:sz w:val="16"/>
      </w:rPr>
    </w:tblStylePr>
  </w:style>
  <w:style w:type="paragraph" w:styleId="CommentSubject">
    <w:name w:val="annotation subject"/>
    <w:basedOn w:val="CommentText"/>
    <w:next w:val="CommentText"/>
    <w:link w:val="CommentSubjectChar"/>
    <w:uiPriority w:val="99"/>
    <w:semiHidden/>
    <w:unhideWhenUsed/>
    <w:rsid w:val="000A1D24"/>
    <w:rPr>
      <w:b/>
      <w:bCs/>
    </w:rPr>
  </w:style>
  <w:style w:type="character" w:customStyle="1" w:styleId="CommentSubjectChar">
    <w:name w:val="Comment Subject Char"/>
    <w:basedOn w:val="CommentTextChar"/>
    <w:link w:val="CommentSubject"/>
    <w:uiPriority w:val="99"/>
    <w:semiHidden/>
    <w:rsid w:val="000A1D24"/>
    <w:rPr>
      <w:rFonts w:ascii="Arial" w:eastAsia="Arial" w:hAnsi="Arial" w:cs="Arial"/>
      <w:b/>
      <w:bCs/>
      <w:color w:val="000000"/>
      <w:sz w:val="20"/>
      <w:szCs w:val="20"/>
      <w:lang w:eastAsia="en-GB"/>
    </w:rPr>
  </w:style>
  <w:style w:type="character" w:styleId="FootnoteReference">
    <w:name w:val="footnote reference"/>
    <w:basedOn w:val="DefaultParagraphFont"/>
    <w:uiPriority w:val="99"/>
    <w:semiHidden/>
    <w:unhideWhenUsed/>
    <w:rsid w:val="00596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0337">
      <w:bodyDiv w:val="1"/>
      <w:marLeft w:val="0"/>
      <w:marRight w:val="0"/>
      <w:marTop w:val="0"/>
      <w:marBottom w:val="0"/>
      <w:divBdr>
        <w:top w:val="none" w:sz="0" w:space="0" w:color="auto"/>
        <w:left w:val="none" w:sz="0" w:space="0" w:color="auto"/>
        <w:bottom w:val="none" w:sz="0" w:space="0" w:color="auto"/>
        <w:right w:val="none" w:sz="0" w:space="0" w:color="auto"/>
      </w:divBdr>
    </w:div>
    <w:div w:id="825516519">
      <w:bodyDiv w:val="1"/>
      <w:marLeft w:val="0"/>
      <w:marRight w:val="0"/>
      <w:marTop w:val="0"/>
      <w:marBottom w:val="0"/>
      <w:divBdr>
        <w:top w:val="none" w:sz="0" w:space="0" w:color="auto"/>
        <w:left w:val="none" w:sz="0" w:space="0" w:color="auto"/>
        <w:bottom w:val="none" w:sz="0" w:space="0" w:color="auto"/>
        <w:right w:val="none" w:sz="0" w:space="0" w:color="auto"/>
      </w:divBdr>
    </w:div>
    <w:div w:id="147005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Long" ma:contentTypeID="0x010100672A3FCA98991645BE083C320B7539B7020201007DE6C4D5F946954EB6E012FECE30763D" ma:contentTypeVersion="2" ma:contentTypeDescription="Long retention. Review 7 years after last modified." ma:contentTypeScope="" ma:versionID="7412ccc851a03d5375b10b15ce787661">
  <xsd:schema xmlns:xsd="http://www.w3.org/2001/XMLSchema" xmlns:xs="http://www.w3.org/2001/XMLSchema" xmlns:p="http://schemas.microsoft.com/office/2006/metadata/properties" xmlns:ns2="41b3ec6c-eebd-4435-b1cb-6f93f025f7d1" targetNamespace="http://schemas.microsoft.com/office/2006/metadata/properties" ma:root="true" ma:fieldsID="8417bef416df94e2a3b7ee2482adc954"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MigrationSource" minOccurs="0"/>
                <xsd:element ref="ns2:Subject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MigrationSource" ma:index="14" nillable="true" ma:displayName="MigrationSource" ma:description="Migration Source file path or Team Site" ma:hidden="true" ma:internalName="MigrationSource" ma:readOnly="false">
      <xsd:simpleType>
        <xsd:restriction base="dms:Text">
          <xsd:maxLength value="255"/>
        </xsd:restriction>
      </xsd:simpleType>
    </xsd:element>
    <xsd:element name="SubjectArea" ma:index="15" nillable="true" ma:displayName="SubjectArea" ma:description="Subject matter of site and document. Defined at Team Site level." ma:hidden="true" ma:internalName="SubjectArea"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abd5ee-c98c-4a9b-aa64-c82fd249b873" ContentTypeId="0x010100672A3FCA98991645BE083C320B7539B70202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dlc_EmailReceivedUTC xmlns="41b3ec6c-eebd-4435-b1cb-6f93f025f7d1" xsi:nil="true"/>
    <dlc_EmailFrom xmlns="41b3ec6c-eebd-4435-b1cb-6f93f025f7d1" xsi:nil="true"/>
    <SubjectArea xmlns="41b3ec6c-eebd-4435-b1cb-6f93f025f7d1" xsi:nil="true"/>
    <dlc_EmailCC xmlns="41b3ec6c-eebd-4435-b1cb-6f93f025f7d1" xsi:nil="true"/>
    <MigrationSource xmlns="41b3ec6c-eebd-4435-b1cb-6f93f025f7d1" xsi:nil="true"/>
    <dlc_EmailSubject xmlns="41b3ec6c-eebd-4435-b1cb-6f93f025f7d1" xsi:nil="true"/>
    <dlc_EmailTo xmlns="41b3ec6c-eebd-4435-b1cb-6f93f025f7d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A03A-97CE-4800-BD8A-E12CC717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8531C-0A98-497A-8B23-81368D3D8804}">
  <ds:schemaRefs>
    <ds:schemaRef ds:uri="Microsoft.SharePoint.Taxonomy.ContentTypeSync"/>
  </ds:schemaRefs>
</ds:datastoreItem>
</file>

<file path=customXml/itemProps3.xml><?xml version="1.0" encoding="utf-8"?>
<ds:datastoreItem xmlns:ds="http://schemas.openxmlformats.org/officeDocument/2006/customXml" ds:itemID="{F046ABA5-6516-4641-9880-AC5AD005CDF9}">
  <ds:schemaRefs>
    <ds:schemaRef ds:uri="http://schemas.microsoft.com/sharepoint/v3/contenttype/forms"/>
  </ds:schemaRefs>
</ds:datastoreItem>
</file>

<file path=customXml/itemProps4.xml><?xml version="1.0" encoding="utf-8"?>
<ds:datastoreItem xmlns:ds="http://schemas.openxmlformats.org/officeDocument/2006/customXml" ds:itemID="{804DFEE2-D926-478F-8BE0-D9576229BDD1}">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41b3ec6c-eebd-4435-b1cb-6f93f025f7d1"/>
  </ds:schemaRefs>
</ds:datastoreItem>
</file>

<file path=customXml/itemProps5.xml><?xml version="1.0" encoding="utf-8"?>
<ds:datastoreItem xmlns:ds="http://schemas.openxmlformats.org/officeDocument/2006/customXml" ds:itemID="{2507F86D-2A23-47CD-B56A-384940B2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687039DB</Template>
  <TotalTime>2</TotalTime>
  <Pages>10</Pages>
  <Words>1214</Words>
  <Characters>6922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Harriett (MPST)</dc:creator>
  <cp:lastModifiedBy>Tomlinson, Iain</cp:lastModifiedBy>
  <cp:revision>2</cp:revision>
  <cp:lastPrinted>2016-03-07T09:16:00Z</cp:lastPrinted>
  <dcterms:created xsi:type="dcterms:W3CDTF">2018-11-26T16:47:00Z</dcterms:created>
  <dcterms:modified xsi:type="dcterms:W3CDTF">2018-11-26T16:47:00Z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0x010100672A3FCA98991645BE083C320B7539B7020201007DE6C4D5F946954EB6E012FECE30763D</vt:lpwstr>
  </property>
  <property fmtid="{D5CDD505-2E9C-101B-9397-08002B2CF9AE}" pid="9" name="_dlc_policyId">
    <vt:lpwstr/>
  </property>
  <property fmtid="{D5CDD505-2E9C-101B-9397-08002B2CF9AE}" pid="10" name="ItemRetentionFormula">
    <vt:lpwstr/>
  </property>
</Properties>
</file>