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65D" w:rsidRPr="00E82C00" w:rsidRDefault="008D265D" w:rsidP="008D265D">
      <w:pPr>
        <w:contextualSpacing/>
        <w:rPr>
          <w:b/>
          <w:color w:val="002060"/>
          <w:sz w:val="36"/>
          <w:szCs w:val="22"/>
        </w:rPr>
      </w:pPr>
      <w:bookmarkStart w:id="0" w:name="_GoBack"/>
      <w:bookmarkEnd w:id="0"/>
      <w:r w:rsidRPr="00E82C00">
        <w:rPr>
          <w:b/>
          <w:color w:val="002060"/>
          <w:sz w:val="36"/>
          <w:szCs w:val="22"/>
        </w:rPr>
        <w:t>SUMMARY OF ADVISORY CODE OF PRACTICE</w:t>
      </w:r>
    </w:p>
    <w:p w:rsidR="008D265D" w:rsidRPr="00E64ED4" w:rsidRDefault="008D265D" w:rsidP="008D265D">
      <w:pPr>
        <w:contextualSpacing/>
        <w:rPr>
          <w:szCs w:val="22"/>
        </w:rPr>
      </w:pPr>
    </w:p>
    <w:p w:rsidR="008D265D" w:rsidRPr="00E64ED4" w:rsidRDefault="008D265D" w:rsidP="008D265D">
      <w:pPr>
        <w:contextualSpacing/>
        <w:rPr>
          <w:szCs w:val="22"/>
        </w:rPr>
      </w:pPr>
    </w:p>
    <w:p w:rsidR="001A76AA" w:rsidRDefault="00E82C00" w:rsidP="008D265D">
      <w:pPr>
        <w:contextualSpacing/>
        <w:rPr>
          <w:szCs w:val="22"/>
        </w:rPr>
      </w:pPr>
      <w:r>
        <w:rPr>
          <w:szCs w:val="22"/>
        </w:rPr>
        <w:t>This Advisory Code was developed by a working g</w:t>
      </w:r>
      <w:r w:rsidR="008D265D" w:rsidRPr="00E64ED4">
        <w:rPr>
          <w:szCs w:val="22"/>
        </w:rPr>
        <w:t xml:space="preserve">roup comprised of industry representatives and consumer groups. </w:t>
      </w:r>
      <w:r w:rsidR="00300974">
        <w:rPr>
          <w:szCs w:val="22"/>
        </w:rPr>
        <w:t xml:space="preserve">This summary provides a brief description of each section presented in the Advisory Code of Practice and major points to note. </w:t>
      </w:r>
      <w:r w:rsidR="008D265D" w:rsidRPr="00E64ED4">
        <w:rPr>
          <w:szCs w:val="22"/>
        </w:rPr>
        <w:t xml:space="preserve">Further definitions of terms and actions will be further explored in the final product, for instance defining what actually constitute the act of “parking”. </w:t>
      </w:r>
    </w:p>
    <w:p w:rsidR="001A76AA" w:rsidRDefault="001A76AA" w:rsidP="008D265D">
      <w:pPr>
        <w:contextualSpacing/>
        <w:rPr>
          <w:szCs w:val="22"/>
        </w:rPr>
      </w:pPr>
    </w:p>
    <w:p w:rsidR="008D265D" w:rsidRDefault="008D265D" w:rsidP="008D265D">
      <w:pPr>
        <w:contextualSpacing/>
        <w:rPr>
          <w:szCs w:val="22"/>
        </w:rPr>
      </w:pPr>
      <w:r w:rsidRPr="00E64ED4">
        <w:rPr>
          <w:szCs w:val="22"/>
        </w:rPr>
        <w:t>The legal precedents for much of the code are founded in Schedule 4 Protection of Freedoms Act 2012 (POFA)</w:t>
      </w:r>
      <w:r w:rsidR="00E82C00">
        <w:rPr>
          <w:szCs w:val="22"/>
        </w:rPr>
        <w:t>,</w:t>
      </w:r>
      <w:r w:rsidRPr="00E64ED4">
        <w:rPr>
          <w:szCs w:val="22"/>
        </w:rPr>
        <w:t xml:space="preserve"> which </w:t>
      </w:r>
      <w:r w:rsidR="00E82C00">
        <w:rPr>
          <w:szCs w:val="22"/>
        </w:rPr>
        <w:t xml:space="preserve">largely banned wheel clamping </w:t>
      </w:r>
      <w:r w:rsidRPr="00E64ED4">
        <w:rPr>
          <w:szCs w:val="22"/>
        </w:rPr>
        <w:t>established the principle of Keeper Liability.</w:t>
      </w:r>
    </w:p>
    <w:p w:rsidR="0048600A" w:rsidRDefault="0048600A" w:rsidP="008D265D">
      <w:pPr>
        <w:contextualSpacing/>
        <w:rPr>
          <w:szCs w:val="22"/>
        </w:rPr>
      </w:pPr>
    </w:p>
    <w:p w:rsidR="0048600A" w:rsidRDefault="0092224F" w:rsidP="008D265D">
      <w:pPr>
        <w:contextualSpacing/>
        <w:rPr>
          <w:szCs w:val="22"/>
        </w:rPr>
      </w:pPr>
      <w:r>
        <w:rPr>
          <w:szCs w:val="22"/>
        </w:rPr>
        <w:t xml:space="preserve">These are high level principles for the Code of Practice. A full version of the Code of Practice will be developed in consultation with stakeholders after the Bill attains Royal Assent. </w:t>
      </w:r>
    </w:p>
    <w:p w:rsidR="00E82C00" w:rsidRPr="00E64ED4" w:rsidRDefault="00E82C00" w:rsidP="008D265D">
      <w:pPr>
        <w:contextualSpacing/>
        <w:rPr>
          <w:szCs w:val="22"/>
        </w:rPr>
      </w:pPr>
    </w:p>
    <w:p w:rsidR="008D265D" w:rsidRPr="00E64ED4" w:rsidRDefault="008D265D" w:rsidP="008D265D">
      <w:pPr>
        <w:spacing w:after="160"/>
        <w:rPr>
          <w:rFonts w:eastAsia="Calibri"/>
          <w:szCs w:val="22"/>
        </w:rPr>
      </w:pPr>
      <w:r w:rsidRPr="00E64ED4">
        <w:rPr>
          <w:rFonts w:eastAsia="Calibri"/>
          <w:b/>
          <w:szCs w:val="22"/>
        </w:rPr>
        <w:t>Contents</w:t>
      </w:r>
    </w:p>
    <w:p w:rsidR="001306F3" w:rsidRDefault="00300974" w:rsidP="001306F3">
      <w:pPr>
        <w:numPr>
          <w:ilvl w:val="0"/>
          <w:numId w:val="1"/>
        </w:numPr>
        <w:spacing w:after="160"/>
        <w:contextualSpacing/>
        <w:rPr>
          <w:rFonts w:eastAsia="Calibri"/>
          <w:szCs w:val="22"/>
        </w:rPr>
      </w:pPr>
      <w:r>
        <w:rPr>
          <w:rFonts w:eastAsia="Calibri"/>
          <w:szCs w:val="22"/>
        </w:rPr>
        <w:t xml:space="preserve">Purpose </w:t>
      </w:r>
    </w:p>
    <w:p w:rsidR="001306F3" w:rsidRDefault="001306F3" w:rsidP="001306F3">
      <w:pPr>
        <w:spacing w:after="160"/>
        <w:ind w:left="720"/>
        <w:contextualSpacing/>
        <w:rPr>
          <w:rFonts w:eastAsia="Calibri"/>
          <w:szCs w:val="22"/>
        </w:rPr>
      </w:pPr>
    </w:p>
    <w:p w:rsidR="00300974" w:rsidRPr="001306F3" w:rsidRDefault="00300974" w:rsidP="001306F3">
      <w:pPr>
        <w:numPr>
          <w:ilvl w:val="1"/>
          <w:numId w:val="1"/>
        </w:numPr>
        <w:spacing w:after="160"/>
        <w:contextualSpacing/>
        <w:rPr>
          <w:rFonts w:eastAsia="Calibri"/>
          <w:szCs w:val="22"/>
        </w:rPr>
      </w:pPr>
      <w:r w:rsidRPr="001306F3">
        <w:rPr>
          <w:rFonts w:eastAsia="Calibri"/>
          <w:szCs w:val="22"/>
        </w:rPr>
        <w:t xml:space="preserve"> Through providing a clear set of standard terms and obligations for the management and restriction of the parking of motor vehicles on private land the Code will promote good quality service to consumers, provide clarity of the obligations and expectations of all parties, and to ensure that the obligations for enforcement and appeal processes are fair, consistent, and proportionate</w:t>
      </w:r>
    </w:p>
    <w:p w:rsidR="00300974" w:rsidRDefault="00300974" w:rsidP="00300974">
      <w:pPr>
        <w:spacing w:after="160"/>
        <w:ind w:left="720"/>
        <w:contextualSpacing/>
        <w:rPr>
          <w:rFonts w:eastAsia="Calibri"/>
          <w:szCs w:val="22"/>
        </w:rPr>
      </w:pPr>
    </w:p>
    <w:p w:rsidR="001306F3" w:rsidRDefault="00300974" w:rsidP="00300974">
      <w:pPr>
        <w:numPr>
          <w:ilvl w:val="0"/>
          <w:numId w:val="1"/>
        </w:numPr>
        <w:spacing w:after="160"/>
        <w:contextualSpacing/>
        <w:rPr>
          <w:rFonts w:eastAsia="Calibri"/>
          <w:szCs w:val="22"/>
        </w:rPr>
      </w:pPr>
      <w:r w:rsidRPr="00300974">
        <w:rPr>
          <w:rFonts w:eastAsia="Calibri"/>
          <w:szCs w:val="22"/>
        </w:rPr>
        <w:t>Construction</w:t>
      </w:r>
      <w:r>
        <w:rPr>
          <w:rFonts w:eastAsia="Calibri"/>
          <w:szCs w:val="22"/>
        </w:rPr>
        <w:t xml:space="preserve"> </w:t>
      </w:r>
    </w:p>
    <w:p w:rsidR="001306F3" w:rsidRDefault="001306F3" w:rsidP="001306F3">
      <w:pPr>
        <w:spacing w:after="160"/>
        <w:ind w:left="720"/>
        <w:contextualSpacing/>
        <w:rPr>
          <w:rFonts w:eastAsia="Calibri"/>
          <w:szCs w:val="22"/>
        </w:rPr>
      </w:pPr>
    </w:p>
    <w:p w:rsidR="00300974" w:rsidRDefault="00300974" w:rsidP="001306F3">
      <w:pPr>
        <w:numPr>
          <w:ilvl w:val="1"/>
          <w:numId w:val="1"/>
        </w:numPr>
        <w:spacing w:after="160"/>
        <w:contextualSpacing/>
        <w:rPr>
          <w:rFonts w:eastAsia="Calibri"/>
          <w:szCs w:val="22"/>
        </w:rPr>
      </w:pPr>
      <w:r>
        <w:rPr>
          <w:rFonts w:eastAsia="Calibri"/>
          <w:szCs w:val="22"/>
        </w:rPr>
        <w:t xml:space="preserve"> Outlines the principles that:</w:t>
      </w:r>
    </w:p>
    <w:p w:rsidR="00300974" w:rsidRDefault="00300974" w:rsidP="00300974">
      <w:pPr>
        <w:spacing w:after="160"/>
        <w:ind w:left="720"/>
        <w:contextualSpacing/>
        <w:rPr>
          <w:rFonts w:eastAsia="Calibri"/>
          <w:szCs w:val="22"/>
        </w:rPr>
      </w:pPr>
    </w:p>
    <w:p w:rsidR="00300974" w:rsidRDefault="00300974" w:rsidP="001306F3">
      <w:pPr>
        <w:numPr>
          <w:ilvl w:val="2"/>
          <w:numId w:val="1"/>
        </w:numPr>
        <w:spacing w:after="160"/>
        <w:contextualSpacing/>
        <w:rPr>
          <w:rFonts w:eastAsia="Calibri"/>
          <w:szCs w:val="22"/>
        </w:rPr>
      </w:pPr>
      <w:r>
        <w:rPr>
          <w:rFonts w:eastAsia="Calibri"/>
          <w:szCs w:val="22"/>
        </w:rPr>
        <w:t xml:space="preserve">to access the </w:t>
      </w:r>
      <w:r w:rsidRPr="00300974">
        <w:rPr>
          <w:rFonts w:eastAsia="Calibri"/>
          <w:szCs w:val="22"/>
        </w:rPr>
        <w:t>Driver and Vehicle Licensing Agency’s (DVLA)</w:t>
      </w:r>
      <w:r>
        <w:rPr>
          <w:rFonts w:eastAsia="Calibri"/>
          <w:szCs w:val="22"/>
        </w:rPr>
        <w:t xml:space="preserve"> vehicle record that operators must be a member of an</w:t>
      </w:r>
      <w:r w:rsidR="003B70FC">
        <w:rPr>
          <w:rFonts w:eastAsia="Calibri"/>
          <w:szCs w:val="22"/>
        </w:rPr>
        <w:t xml:space="preserve"> accredited parking association;</w:t>
      </w:r>
    </w:p>
    <w:p w:rsidR="00300974" w:rsidRDefault="00300974" w:rsidP="001306F3">
      <w:pPr>
        <w:numPr>
          <w:ilvl w:val="2"/>
          <w:numId w:val="1"/>
        </w:numPr>
        <w:spacing w:after="160"/>
        <w:contextualSpacing/>
        <w:rPr>
          <w:rFonts w:eastAsia="Calibri"/>
          <w:szCs w:val="22"/>
        </w:rPr>
      </w:pPr>
      <w:r>
        <w:rPr>
          <w:rFonts w:eastAsia="Calibri"/>
          <w:szCs w:val="22"/>
        </w:rPr>
        <w:t xml:space="preserve">that inability to follow this code will lead to the denial of the access to the DVLA </w:t>
      </w:r>
      <w:r w:rsidR="003B70FC">
        <w:rPr>
          <w:rFonts w:eastAsia="Calibri"/>
          <w:szCs w:val="22"/>
        </w:rPr>
        <w:t>vehicle record;</w:t>
      </w:r>
    </w:p>
    <w:p w:rsidR="00300974" w:rsidRDefault="00300974" w:rsidP="001306F3">
      <w:pPr>
        <w:numPr>
          <w:ilvl w:val="2"/>
          <w:numId w:val="1"/>
        </w:numPr>
        <w:spacing w:after="160"/>
        <w:contextualSpacing/>
        <w:rPr>
          <w:rFonts w:eastAsia="Calibri"/>
          <w:szCs w:val="22"/>
        </w:rPr>
      </w:pPr>
      <w:r>
        <w:rPr>
          <w:rFonts w:eastAsia="Calibri"/>
          <w:szCs w:val="22"/>
        </w:rPr>
        <w:t>That the Secretary of State will accredit parking associations only if satisfied that they have the capability to assess compliance with and enforce the code</w:t>
      </w:r>
      <w:r w:rsidR="003B70FC">
        <w:rPr>
          <w:rFonts w:eastAsia="Calibri"/>
          <w:szCs w:val="22"/>
        </w:rPr>
        <w:t>;</w:t>
      </w:r>
    </w:p>
    <w:p w:rsidR="0092224F" w:rsidRDefault="00300974" w:rsidP="001306F3">
      <w:pPr>
        <w:numPr>
          <w:ilvl w:val="2"/>
          <w:numId w:val="1"/>
        </w:numPr>
        <w:spacing w:after="160"/>
        <w:contextualSpacing/>
        <w:rPr>
          <w:rFonts w:eastAsia="Calibri"/>
          <w:szCs w:val="22"/>
        </w:rPr>
      </w:pPr>
      <w:r>
        <w:rPr>
          <w:rFonts w:eastAsia="Calibri"/>
          <w:szCs w:val="22"/>
        </w:rPr>
        <w:t xml:space="preserve">That the parking </w:t>
      </w:r>
      <w:r w:rsidR="003B70FC">
        <w:rPr>
          <w:rFonts w:eastAsia="Calibri"/>
          <w:szCs w:val="22"/>
        </w:rPr>
        <w:t xml:space="preserve">associations and operators will, in turn, </w:t>
      </w:r>
      <w:r>
        <w:rPr>
          <w:rFonts w:eastAsia="Calibri"/>
          <w:szCs w:val="22"/>
        </w:rPr>
        <w:t xml:space="preserve">be audited </w:t>
      </w:r>
      <w:r w:rsidR="0092224F">
        <w:rPr>
          <w:rFonts w:eastAsia="Calibri"/>
          <w:szCs w:val="22"/>
        </w:rPr>
        <w:t xml:space="preserve">to show they are compliant with the Code of Practice. </w:t>
      </w:r>
    </w:p>
    <w:p w:rsidR="0092224F" w:rsidRDefault="0092224F" w:rsidP="002474C2">
      <w:pPr>
        <w:spacing w:after="160"/>
        <w:ind w:left="1800"/>
        <w:contextualSpacing/>
        <w:rPr>
          <w:rFonts w:eastAsia="Calibri"/>
          <w:szCs w:val="22"/>
        </w:rPr>
      </w:pPr>
    </w:p>
    <w:p w:rsidR="00300974" w:rsidRDefault="00300974" w:rsidP="002474C2">
      <w:pPr>
        <w:spacing w:after="160"/>
        <w:ind w:left="1800"/>
        <w:contextualSpacing/>
        <w:rPr>
          <w:rFonts w:eastAsia="Calibri"/>
          <w:szCs w:val="22"/>
        </w:rPr>
      </w:pPr>
    </w:p>
    <w:p w:rsidR="00300974" w:rsidRDefault="00300974" w:rsidP="00300974">
      <w:pPr>
        <w:spacing w:after="160"/>
        <w:ind w:left="720"/>
        <w:contextualSpacing/>
        <w:rPr>
          <w:rFonts w:eastAsia="Calibri"/>
          <w:szCs w:val="22"/>
        </w:rPr>
      </w:pPr>
    </w:p>
    <w:p w:rsidR="001306F3" w:rsidRDefault="008D265D" w:rsidP="008D265D">
      <w:pPr>
        <w:numPr>
          <w:ilvl w:val="0"/>
          <w:numId w:val="1"/>
        </w:numPr>
        <w:spacing w:after="160"/>
        <w:contextualSpacing/>
        <w:rPr>
          <w:rFonts w:eastAsia="Calibri"/>
          <w:szCs w:val="22"/>
        </w:rPr>
      </w:pPr>
      <w:r w:rsidRPr="00E64ED4">
        <w:rPr>
          <w:rFonts w:eastAsia="Calibri"/>
          <w:szCs w:val="22"/>
        </w:rPr>
        <w:t>Accreditation of Parking Association</w:t>
      </w:r>
      <w:r w:rsidR="00300974">
        <w:rPr>
          <w:rFonts w:eastAsia="Calibri"/>
          <w:szCs w:val="22"/>
        </w:rPr>
        <w:t>s</w:t>
      </w:r>
      <w:r w:rsidR="001306F3">
        <w:rPr>
          <w:rFonts w:eastAsia="Calibri"/>
          <w:szCs w:val="22"/>
        </w:rPr>
        <w:t xml:space="preserve"> </w:t>
      </w:r>
    </w:p>
    <w:p w:rsidR="001306F3" w:rsidRDefault="001306F3" w:rsidP="001306F3">
      <w:pPr>
        <w:spacing w:after="160"/>
        <w:ind w:left="720"/>
        <w:contextualSpacing/>
        <w:rPr>
          <w:rFonts w:eastAsia="Calibri"/>
          <w:szCs w:val="22"/>
        </w:rPr>
      </w:pPr>
    </w:p>
    <w:p w:rsidR="003B70FC" w:rsidRDefault="008D265D" w:rsidP="001306F3">
      <w:pPr>
        <w:numPr>
          <w:ilvl w:val="1"/>
          <w:numId w:val="1"/>
        </w:numPr>
        <w:spacing w:after="160"/>
        <w:contextualSpacing/>
        <w:rPr>
          <w:rFonts w:eastAsia="Calibri"/>
          <w:szCs w:val="22"/>
        </w:rPr>
      </w:pPr>
      <w:r w:rsidRPr="00E64ED4">
        <w:rPr>
          <w:rFonts w:eastAsia="Calibri"/>
          <w:szCs w:val="22"/>
        </w:rPr>
        <w:t>This section provides the process for accrediting future Accredited Parking Associations, currently referred to as Accredited Trade Associations. It also covers</w:t>
      </w:r>
      <w:r w:rsidR="003B70FC">
        <w:rPr>
          <w:rFonts w:eastAsia="Calibri"/>
          <w:szCs w:val="22"/>
        </w:rPr>
        <w:t>:</w:t>
      </w:r>
    </w:p>
    <w:p w:rsidR="003B70FC" w:rsidRDefault="003B70FC" w:rsidP="003B70FC">
      <w:pPr>
        <w:spacing w:after="160"/>
        <w:ind w:left="720"/>
        <w:contextualSpacing/>
        <w:rPr>
          <w:rFonts w:eastAsia="Calibri"/>
          <w:szCs w:val="22"/>
        </w:rPr>
      </w:pPr>
    </w:p>
    <w:p w:rsidR="003B70FC" w:rsidRDefault="003B70FC" w:rsidP="001306F3">
      <w:pPr>
        <w:numPr>
          <w:ilvl w:val="2"/>
          <w:numId w:val="1"/>
        </w:numPr>
        <w:spacing w:after="160"/>
        <w:contextualSpacing/>
        <w:rPr>
          <w:rFonts w:eastAsia="Calibri"/>
          <w:szCs w:val="22"/>
        </w:rPr>
      </w:pPr>
      <w:r>
        <w:rPr>
          <w:rFonts w:eastAsia="Calibri"/>
          <w:szCs w:val="22"/>
        </w:rPr>
        <w:t xml:space="preserve">the purpose of the Associations </w:t>
      </w:r>
    </w:p>
    <w:p w:rsidR="003B70FC" w:rsidRPr="0092224F" w:rsidRDefault="003B70FC">
      <w:pPr>
        <w:numPr>
          <w:ilvl w:val="3"/>
          <w:numId w:val="1"/>
        </w:numPr>
        <w:spacing w:after="160"/>
        <w:contextualSpacing/>
        <w:rPr>
          <w:rFonts w:eastAsia="Calibri"/>
          <w:szCs w:val="22"/>
        </w:rPr>
      </w:pPr>
      <w:r>
        <w:rPr>
          <w:rFonts w:eastAsia="Calibri"/>
          <w:szCs w:val="22"/>
        </w:rPr>
        <w:t xml:space="preserve">to monitor </w:t>
      </w:r>
      <w:r w:rsidRPr="003B70FC">
        <w:rPr>
          <w:rFonts w:eastAsia="Calibri"/>
          <w:szCs w:val="22"/>
        </w:rPr>
        <w:t>it</w:t>
      </w:r>
      <w:r>
        <w:rPr>
          <w:rFonts w:eastAsia="Calibri"/>
          <w:szCs w:val="22"/>
        </w:rPr>
        <w:t xml:space="preserve">s members’ compliance with the </w:t>
      </w:r>
      <w:r w:rsidRPr="003B70FC">
        <w:rPr>
          <w:rFonts w:eastAsia="Calibri"/>
          <w:szCs w:val="22"/>
        </w:rPr>
        <w:t>Code, taking action as necessary to</w:t>
      </w:r>
      <w:r w:rsidR="0092224F">
        <w:rPr>
          <w:rFonts w:eastAsia="Calibri"/>
          <w:szCs w:val="22"/>
        </w:rPr>
        <w:t xml:space="preserve"> investigate alleged breaches of the Code and</w:t>
      </w:r>
      <w:r w:rsidRPr="003B70FC">
        <w:rPr>
          <w:rFonts w:eastAsia="Calibri"/>
          <w:szCs w:val="22"/>
        </w:rPr>
        <w:t xml:space="preserve"> suspend</w:t>
      </w:r>
      <w:r w:rsidR="0092224F">
        <w:rPr>
          <w:rFonts w:eastAsia="Calibri"/>
          <w:szCs w:val="22"/>
        </w:rPr>
        <w:t>ing</w:t>
      </w:r>
      <w:r w:rsidRPr="003B70FC">
        <w:rPr>
          <w:rFonts w:eastAsia="Calibri"/>
          <w:szCs w:val="22"/>
        </w:rPr>
        <w:t xml:space="preserve"> or expel</w:t>
      </w:r>
      <w:r w:rsidR="0092224F">
        <w:rPr>
          <w:rFonts w:eastAsia="Calibri"/>
          <w:szCs w:val="22"/>
        </w:rPr>
        <w:t xml:space="preserve">ling members </w:t>
      </w:r>
      <w:r w:rsidRPr="003B70FC">
        <w:rPr>
          <w:rFonts w:eastAsia="Calibri"/>
          <w:szCs w:val="22"/>
        </w:rPr>
        <w:t>in the event of the Code being breached</w:t>
      </w:r>
    </w:p>
    <w:p w:rsidR="008D265D" w:rsidRPr="00E64ED4" w:rsidRDefault="008D265D" w:rsidP="001306F3">
      <w:pPr>
        <w:numPr>
          <w:ilvl w:val="2"/>
          <w:numId w:val="1"/>
        </w:numPr>
        <w:spacing w:after="160"/>
        <w:contextualSpacing/>
        <w:rPr>
          <w:rFonts w:eastAsia="Calibri"/>
          <w:szCs w:val="22"/>
        </w:rPr>
      </w:pPr>
      <w:r w:rsidRPr="00E64ED4">
        <w:rPr>
          <w:rFonts w:eastAsia="Calibri"/>
          <w:szCs w:val="22"/>
        </w:rPr>
        <w:t xml:space="preserve">their </w:t>
      </w:r>
      <w:r w:rsidR="003B70FC">
        <w:rPr>
          <w:rFonts w:eastAsia="Calibri"/>
          <w:szCs w:val="22"/>
        </w:rPr>
        <w:t xml:space="preserve">wider </w:t>
      </w:r>
      <w:r w:rsidRPr="00E64ED4">
        <w:rPr>
          <w:rFonts w:eastAsia="Calibri"/>
          <w:szCs w:val="22"/>
        </w:rPr>
        <w:t>obligations, for instance annual reporting</w:t>
      </w:r>
      <w:r w:rsidR="003B70FC">
        <w:rPr>
          <w:rFonts w:eastAsia="Calibri"/>
          <w:szCs w:val="22"/>
        </w:rPr>
        <w:t xml:space="preserve"> on their activities</w:t>
      </w:r>
      <w:r w:rsidRPr="00E64ED4">
        <w:rPr>
          <w:rFonts w:eastAsia="Calibri"/>
          <w:szCs w:val="22"/>
        </w:rPr>
        <w:t>.</w:t>
      </w:r>
    </w:p>
    <w:p w:rsidR="008D265D" w:rsidRPr="00E64ED4" w:rsidRDefault="008D265D" w:rsidP="008D265D">
      <w:pPr>
        <w:spacing w:after="160"/>
        <w:ind w:left="720"/>
        <w:contextualSpacing/>
        <w:rPr>
          <w:rFonts w:eastAsia="Calibri"/>
          <w:szCs w:val="22"/>
        </w:rPr>
      </w:pPr>
    </w:p>
    <w:p w:rsidR="001306F3" w:rsidRDefault="008D265D" w:rsidP="001306F3">
      <w:pPr>
        <w:numPr>
          <w:ilvl w:val="0"/>
          <w:numId w:val="1"/>
        </w:numPr>
        <w:spacing w:after="160"/>
        <w:contextualSpacing/>
        <w:rPr>
          <w:rFonts w:eastAsia="Calibri"/>
          <w:szCs w:val="22"/>
        </w:rPr>
      </w:pPr>
      <w:r w:rsidRPr="00E64ED4">
        <w:rPr>
          <w:rFonts w:eastAsia="Calibri"/>
          <w:szCs w:val="22"/>
        </w:rPr>
        <w:t xml:space="preserve">Requirements for the conduct </w:t>
      </w:r>
      <w:r w:rsidR="001306F3">
        <w:rPr>
          <w:rFonts w:eastAsia="Calibri"/>
          <w:szCs w:val="22"/>
        </w:rPr>
        <w:t xml:space="preserve">of private parking management </w:t>
      </w:r>
    </w:p>
    <w:p w:rsidR="001306F3" w:rsidRDefault="001306F3" w:rsidP="001306F3">
      <w:pPr>
        <w:spacing w:after="160"/>
        <w:ind w:left="720"/>
        <w:contextualSpacing/>
        <w:rPr>
          <w:rFonts w:eastAsia="Calibri"/>
          <w:szCs w:val="22"/>
        </w:rPr>
      </w:pPr>
    </w:p>
    <w:p w:rsidR="003B70FC" w:rsidRPr="001306F3" w:rsidRDefault="008D265D" w:rsidP="001306F3">
      <w:pPr>
        <w:numPr>
          <w:ilvl w:val="1"/>
          <w:numId w:val="1"/>
        </w:numPr>
        <w:spacing w:after="160"/>
        <w:contextualSpacing/>
        <w:rPr>
          <w:rFonts w:eastAsia="Calibri"/>
          <w:szCs w:val="22"/>
        </w:rPr>
      </w:pPr>
      <w:r w:rsidRPr="001306F3">
        <w:rPr>
          <w:rFonts w:eastAsia="Calibri"/>
          <w:szCs w:val="22"/>
        </w:rPr>
        <w:t>This section provides for the various obligations for the operation and management of private car park</w:t>
      </w:r>
      <w:r w:rsidR="003B70FC" w:rsidRPr="001306F3">
        <w:rPr>
          <w:rFonts w:eastAsia="Calibri"/>
          <w:szCs w:val="22"/>
        </w:rPr>
        <w:t>s. This includes standards for:</w:t>
      </w:r>
    </w:p>
    <w:p w:rsidR="003B70FC" w:rsidRDefault="003B70FC" w:rsidP="003B70FC">
      <w:pPr>
        <w:spacing w:after="160"/>
        <w:ind w:left="720"/>
        <w:contextualSpacing/>
        <w:rPr>
          <w:rFonts w:eastAsia="Calibri"/>
          <w:szCs w:val="22"/>
        </w:rPr>
      </w:pPr>
    </w:p>
    <w:p w:rsidR="003B70FC" w:rsidRDefault="001306F3" w:rsidP="001306F3">
      <w:pPr>
        <w:numPr>
          <w:ilvl w:val="2"/>
          <w:numId w:val="1"/>
        </w:numPr>
        <w:spacing w:after="160"/>
        <w:contextualSpacing/>
        <w:rPr>
          <w:rFonts w:eastAsia="Calibri"/>
          <w:szCs w:val="22"/>
        </w:rPr>
      </w:pPr>
      <w:r>
        <w:rPr>
          <w:rFonts w:eastAsia="Calibri"/>
          <w:szCs w:val="22"/>
        </w:rPr>
        <w:t>t</w:t>
      </w:r>
      <w:r w:rsidR="003B70FC">
        <w:rPr>
          <w:rFonts w:eastAsia="Calibri"/>
          <w:szCs w:val="22"/>
        </w:rPr>
        <w:t xml:space="preserve">he </w:t>
      </w:r>
      <w:r w:rsidR="008D265D" w:rsidRPr="00E64ED4">
        <w:rPr>
          <w:rFonts w:eastAsia="Calibri"/>
          <w:szCs w:val="22"/>
        </w:rPr>
        <w:t xml:space="preserve">equipment and technology used; </w:t>
      </w:r>
    </w:p>
    <w:p w:rsidR="003B70FC" w:rsidRDefault="008D265D" w:rsidP="001306F3">
      <w:pPr>
        <w:numPr>
          <w:ilvl w:val="2"/>
          <w:numId w:val="1"/>
        </w:numPr>
        <w:spacing w:after="160"/>
        <w:contextualSpacing/>
        <w:rPr>
          <w:rFonts w:eastAsia="Calibri"/>
          <w:szCs w:val="22"/>
        </w:rPr>
      </w:pPr>
      <w:r w:rsidRPr="00E64ED4">
        <w:rPr>
          <w:rFonts w:eastAsia="Calibri"/>
          <w:szCs w:val="22"/>
        </w:rPr>
        <w:t>clear signage</w:t>
      </w:r>
      <w:r w:rsidR="001306F3">
        <w:rPr>
          <w:rFonts w:eastAsia="Calibri"/>
          <w:szCs w:val="22"/>
        </w:rPr>
        <w:t xml:space="preserve"> and surface markings</w:t>
      </w:r>
      <w:r w:rsidRPr="00E64ED4">
        <w:rPr>
          <w:rFonts w:eastAsia="Calibri"/>
          <w:szCs w:val="22"/>
        </w:rPr>
        <w:t xml:space="preserve">; </w:t>
      </w:r>
    </w:p>
    <w:p w:rsidR="001306F3" w:rsidRDefault="001306F3" w:rsidP="001306F3">
      <w:pPr>
        <w:numPr>
          <w:ilvl w:val="2"/>
          <w:numId w:val="1"/>
        </w:numPr>
        <w:spacing w:after="160"/>
        <w:contextualSpacing/>
        <w:rPr>
          <w:rFonts w:eastAsia="Calibri"/>
          <w:szCs w:val="22"/>
        </w:rPr>
      </w:pPr>
      <w:r>
        <w:rPr>
          <w:rFonts w:eastAsia="Calibri"/>
          <w:szCs w:val="22"/>
        </w:rPr>
        <w:t>clear and accessible displays of the terms and conditions;</w:t>
      </w:r>
    </w:p>
    <w:p w:rsidR="003B70FC" w:rsidRDefault="003B70FC" w:rsidP="001306F3">
      <w:pPr>
        <w:numPr>
          <w:ilvl w:val="2"/>
          <w:numId w:val="1"/>
        </w:numPr>
        <w:spacing w:after="160"/>
        <w:contextualSpacing/>
        <w:rPr>
          <w:rFonts w:eastAsia="Calibri"/>
          <w:szCs w:val="22"/>
        </w:rPr>
      </w:pPr>
      <w:r>
        <w:rPr>
          <w:rFonts w:eastAsia="Calibri"/>
          <w:szCs w:val="22"/>
        </w:rPr>
        <w:t>easy and accessible methods of payment</w:t>
      </w:r>
      <w:r w:rsidR="008D265D" w:rsidRPr="00E64ED4">
        <w:rPr>
          <w:rFonts w:eastAsia="Calibri"/>
          <w:szCs w:val="22"/>
        </w:rPr>
        <w:t xml:space="preserve">; </w:t>
      </w:r>
    </w:p>
    <w:p w:rsidR="003B70FC" w:rsidRDefault="008D265D" w:rsidP="001306F3">
      <w:pPr>
        <w:numPr>
          <w:ilvl w:val="2"/>
          <w:numId w:val="1"/>
        </w:numPr>
        <w:spacing w:after="160"/>
        <w:contextualSpacing/>
        <w:rPr>
          <w:rFonts w:eastAsia="Calibri"/>
          <w:szCs w:val="22"/>
        </w:rPr>
      </w:pPr>
      <w:r w:rsidRPr="00E64ED4">
        <w:rPr>
          <w:rFonts w:eastAsia="Calibri"/>
          <w:szCs w:val="22"/>
        </w:rPr>
        <w:t xml:space="preserve">disabled access; </w:t>
      </w:r>
    </w:p>
    <w:p w:rsidR="001306F3" w:rsidRDefault="001306F3" w:rsidP="001306F3">
      <w:pPr>
        <w:numPr>
          <w:ilvl w:val="2"/>
          <w:numId w:val="1"/>
        </w:numPr>
        <w:spacing w:after="160"/>
        <w:contextualSpacing/>
        <w:rPr>
          <w:rFonts w:eastAsia="Calibri"/>
          <w:szCs w:val="22"/>
        </w:rPr>
      </w:pPr>
      <w:r>
        <w:rPr>
          <w:rFonts w:eastAsia="Calibri"/>
          <w:szCs w:val="22"/>
        </w:rPr>
        <w:t>duties for holding sub-contractors to the same standards;</w:t>
      </w:r>
    </w:p>
    <w:p w:rsidR="001306F3" w:rsidRDefault="001306F3" w:rsidP="001306F3">
      <w:pPr>
        <w:numPr>
          <w:ilvl w:val="2"/>
          <w:numId w:val="1"/>
        </w:numPr>
        <w:spacing w:after="160"/>
        <w:contextualSpacing/>
        <w:rPr>
          <w:rFonts w:eastAsia="Calibri"/>
          <w:szCs w:val="22"/>
        </w:rPr>
      </w:pPr>
      <w:r>
        <w:rPr>
          <w:rFonts w:eastAsia="Calibri"/>
          <w:szCs w:val="22"/>
        </w:rPr>
        <w:t>consideration periods to allow motorists sufficient time to decide whether they would like to park;</w:t>
      </w:r>
      <w:r w:rsidR="001A76AA">
        <w:rPr>
          <w:rFonts w:eastAsia="Calibri"/>
          <w:szCs w:val="22"/>
        </w:rPr>
        <w:t xml:space="preserve"> and</w:t>
      </w:r>
    </w:p>
    <w:p w:rsidR="008D265D" w:rsidRPr="00E64ED4" w:rsidRDefault="008D265D" w:rsidP="001306F3">
      <w:pPr>
        <w:numPr>
          <w:ilvl w:val="2"/>
          <w:numId w:val="1"/>
        </w:numPr>
        <w:spacing w:after="160"/>
        <w:contextualSpacing/>
        <w:rPr>
          <w:rFonts w:eastAsia="Calibri"/>
          <w:szCs w:val="22"/>
        </w:rPr>
      </w:pPr>
      <w:r w:rsidRPr="00E64ED4">
        <w:rPr>
          <w:rFonts w:eastAsia="Calibri"/>
          <w:szCs w:val="22"/>
        </w:rPr>
        <w:t>grace periods</w:t>
      </w:r>
      <w:r w:rsidR="003B70FC">
        <w:rPr>
          <w:rFonts w:eastAsia="Calibri"/>
          <w:szCs w:val="22"/>
        </w:rPr>
        <w:t xml:space="preserve"> to all</w:t>
      </w:r>
      <w:r w:rsidR="001306F3">
        <w:rPr>
          <w:rFonts w:eastAsia="Calibri"/>
          <w:szCs w:val="22"/>
        </w:rPr>
        <w:t>ow motorists time to pay and leave the car park</w:t>
      </w:r>
      <w:r w:rsidRPr="00E64ED4">
        <w:rPr>
          <w:rFonts w:eastAsia="Calibri"/>
          <w:szCs w:val="22"/>
        </w:rPr>
        <w:t>.</w:t>
      </w:r>
    </w:p>
    <w:p w:rsidR="008D265D" w:rsidRPr="00E64ED4" w:rsidRDefault="008D265D" w:rsidP="008D265D">
      <w:pPr>
        <w:spacing w:after="160"/>
        <w:ind w:left="720"/>
        <w:contextualSpacing/>
        <w:rPr>
          <w:rFonts w:eastAsia="Calibri"/>
          <w:szCs w:val="22"/>
        </w:rPr>
      </w:pPr>
    </w:p>
    <w:p w:rsidR="001306F3" w:rsidRDefault="001306F3" w:rsidP="008D265D">
      <w:pPr>
        <w:numPr>
          <w:ilvl w:val="0"/>
          <w:numId w:val="1"/>
        </w:numPr>
        <w:spacing w:after="160"/>
        <w:contextualSpacing/>
        <w:rPr>
          <w:rFonts w:eastAsia="Calibri"/>
          <w:szCs w:val="22"/>
        </w:rPr>
      </w:pPr>
      <w:r>
        <w:rPr>
          <w:rFonts w:eastAsia="Calibri"/>
          <w:szCs w:val="22"/>
        </w:rPr>
        <w:t xml:space="preserve">Parking Charges </w:t>
      </w:r>
    </w:p>
    <w:p w:rsidR="001306F3" w:rsidRDefault="001306F3" w:rsidP="001306F3">
      <w:pPr>
        <w:spacing w:after="160"/>
        <w:ind w:left="720"/>
        <w:contextualSpacing/>
        <w:rPr>
          <w:rFonts w:eastAsia="Calibri"/>
          <w:szCs w:val="22"/>
        </w:rPr>
      </w:pPr>
    </w:p>
    <w:p w:rsidR="008D265D" w:rsidRPr="005B5D8B" w:rsidRDefault="008D265D" w:rsidP="005B5D8B">
      <w:pPr>
        <w:numPr>
          <w:ilvl w:val="1"/>
          <w:numId w:val="1"/>
        </w:numPr>
        <w:spacing w:after="160"/>
        <w:contextualSpacing/>
        <w:rPr>
          <w:rFonts w:eastAsia="Calibri"/>
          <w:szCs w:val="22"/>
        </w:rPr>
      </w:pPr>
      <w:r w:rsidRPr="00E64ED4">
        <w:rPr>
          <w:rFonts w:eastAsia="Calibri"/>
          <w:szCs w:val="22"/>
        </w:rPr>
        <w:t>This covers the levels of charges allowed for breaches of the terms and conditions.</w:t>
      </w:r>
      <w:r w:rsidR="001306F3">
        <w:rPr>
          <w:rFonts w:eastAsia="Calibri"/>
          <w:szCs w:val="22"/>
        </w:rPr>
        <w:t xml:space="preserve"> This is distinct to the </w:t>
      </w:r>
      <w:r w:rsidR="001306F3" w:rsidRPr="001306F3">
        <w:rPr>
          <w:rFonts w:eastAsia="Calibri"/>
          <w:i/>
          <w:szCs w:val="22"/>
        </w:rPr>
        <w:t>tariff</w:t>
      </w:r>
      <w:r w:rsidR="001306F3">
        <w:rPr>
          <w:rFonts w:eastAsia="Calibri"/>
          <w:szCs w:val="22"/>
        </w:rPr>
        <w:t xml:space="preserve">, which is the rate paid to park. </w:t>
      </w:r>
    </w:p>
    <w:p w:rsidR="008D265D" w:rsidRPr="00E64ED4" w:rsidRDefault="008D265D" w:rsidP="008D265D">
      <w:pPr>
        <w:spacing w:after="160"/>
        <w:ind w:left="720"/>
        <w:contextualSpacing/>
        <w:rPr>
          <w:rFonts w:eastAsia="Calibri"/>
          <w:szCs w:val="22"/>
        </w:rPr>
      </w:pPr>
    </w:p>
    <w:p w:rsidR="001306F3" w:rsidRDefault="005B5D8B" w:rsidP="008D265D">
      <w:pPr>
        <w:numPr>
          <w:ilvl w:val="0"/>
          <w:numId w:val="1"/>
        </w:numPr>
        <w:spacing w:after="160"/>
        <w:contextualSpacing/>
        <w:rPr>
          <w:rFonts w:eastAsia="Calibri"/>
          <w:szCs w:val="22"/>
        </w:rPr>
      </w:pPr>
      <w:r>
        <w:rPr>
          <w:rFonts w:eastAsia="Calibri"/>
          <w:szCs w:val="22"/>
        </w:rPr>
        <w:t xml:space="preserve">The </w:t>
      </w:r>
      <w:r w:rsidR="001306F3">
        <w:rPr>
          <w:rFonts w:eastAsia="Calibri"/>
          <w:szCs w:val="22"/>
        </w:rPr>
        <w:t xml:space="preserve">Parking </w:t>
      </w:r>
      <w:r>
        <w:rPr>
          <w:rFonts w:eastAsia="Calibri"/>
          <w:szCs w:val="22"/>
        </w:rPr>
        <w:t xml:space="preserve">Charge </w:t>
      </w:r>
      <w:r w:rsidR="001306F3">
        <w:rPr>
          <w:rFonts w:eastAsia="Calibri"/>
          <w:szCs w:val="22"/>
        </w:rPr>
        <w:t xml:space="preserve">Notice </w:t>
      </w:r>
    </w:p>
    <w:p w:rsidR="001306F3" w:rsidRDefault="001306F3" w:rsidP="001306F3">
      <w:pPr>
        <w:spacing w:after="160"/>
        <w:ind w:left="720"/>
        <w:contextualSpacing/>
        <w:rPr>
          <w:rFonts w:eastAsia="Calibri"/>
          <w:szCs w:val="22"/>
        </w:rPr>
      </w:pPr>
    </w:p>
    <w:p w:rsidR="008D265D" w:rsidRDefault="001306F3" w:rsidP="001306F3">
      <w:pPr>
        <w:numPr>
          <w:ilvl w:val="1"/>
          <w:numId w:val="1"/>
        </w:numPr>
        <w:spacing w:after="160"/>
        <w:contextualSpacing/>
        <w:rPr>
          <w:rFonts w:eastAsia="Calibri"/>
          <w:szCs w:val="22"/>
        </w:rPr>
      </w:pPr>
      <w:r>
        <w:rPr>
          <w:rFonts w:eastAsia="Calibri"/>
          <w:szCs w:val="22"/>
        </w:rPr>
        <w:t>C</w:t>
      </w:r>
      <w:r w:rsidR="008D265D" w:rsidRPr="00E64ED4">
        <w:rPr>
          <w:rFonts w:eastAsia="Calibri"/>
          <w:szCs w:val="22"/>
        </w:rPr>
        <w:t>overs the formatting</w:t>
      </w:r>
      <w:r>
        <w:rPr>
          <w:rFonts w:eastAsia="Calibri"/>
          <w:szCs w:val="22"/>
        </w:rPr>
        <w:t xml:space="preserve"> and content</w:t>
      </w:r>
      <w:r w:rsidR="001A2F50">
        <w:rPr>
          <w:rFonts w:eastAsia="Calibri"/>
          <w:szCs w:val="22"/>
        </w:rPr>
        <w:t xml:space="preserve"> of the c</w:t>
      </w:r>
      <w:r w:rsidR="008D265D" w:rsidRPr="00E64ED4">
        <w:rPr>
          <w:rFonts w:eastAsia="Calibri"/>
          <w:szCs w:val="22"/>
        </w:rPr>
        <w:t xml:space="preserve">harge </w:t>
      </w:r>
      <w:r w:rsidR="001A2F50">
        <w:rPr>
          <w:rFonts w:eastAsia="Calibri"/>
          <w:szCs w:val="22"/>
        </w:rPr>
        <w:t>n</w:t>
      </w:r>
      <w:r w:rsidR="008D265D" w:rsidRPr="00E64ED4">
        <w:rPr>
          <w:rFonts w:eastAsia="Calibri"/>
          <w:szCs w:val="22"/>
        </w:rPr>
        <w:t>otice</w:t>
      </w:r>
      <w:r w:rsidR="005B5D8B">
        <w:rPr>
          <w:rFonts w:eastAsia="Calibri"/>
          <w:szCs w:val="22"/>
        </w:rPr>
        <w:t>, including what a charge from a private parking company should be called</w:t>
      </w:r>
      <w:r w:rsidR="008D265D" w:rsidRPr="00E64ED4">
        <w:rPr>
          <w:rFonts w:eastAsia="Calibri"/>
          <w:szCs w:val="22"/>
        </w:rPr>
        <w:t xml:space="preserve">. </w:t>
      </w:r>
      <w:r w:rsidR="005B5D8B">
        <w:rPr>
          <w:rFonts w:eastAsia="Calibri"/>
          <w:szCs w:val="22"/>
        </w:rPr>
        <w:t xml:space="preserve"> The notice</w:t>
      </w:r>
      <w:r w:rsidR="001A2F50">
        <w:rPr>
          <w:rFonts w:eastAsia="Calibri"/>
          <w:szCs w:val="22"/>
        </w:rPr>
        <w:t xml:space="preserve"> must not be presented in a way so that it can be confused with a </w:t>
      </w:r>
      <w:r w:rsidR="005B5D8B">
        <w:rPr>
          <w:rFonts w:eastAsia="Calibri"/>
          <w:szCs w:val="22"/>
        </w:rPr>
        <w:t xml:space="preserve">Local Authority parking notice, </w:t>
      </w:r>
      <w:r w:rsidR="001A2F50">
        <w:rPr>
          <w:rFonts w:eastAsia="Calibri"/>
          <w:szCs w:val="22"/>
        </w:rPr>
        <w:t>or use threatening</w:t>
      </w:r>
      <w:r w:rsidR="005B5D8B">
        <w:rPr>
          <w:rFonts w:eastAsia="Calibri"/>
          <w:szCs w:val="22"/>
        </w:rPr>
        <w:t xml:space="preserve"> or </w:t>
      </w:r>
      <w:r w:rsidR="001A2F50">
        <w:rPr>
          <w:rFonts w:eastAsia="Calibri"/>
          <w:szCs w:val="22"/>
        </w:rPr>
        <w:t>legal</w:t>
      </w:r>
      <w:r w:rsidR="005B5D8B">
        <w:rPr>
          <w:rFonts w:eastAsia="Calibri"/>
          <w:szCs w:val="22"/>
        </w:rPr>
        <w:t>istic</w:t>
      </w:r>
      <w:r w:rsidR="001A2F50">
        <w:rPr>
          <w:rFonts w:eastAsia="Calibri"/>
          <w:szCs w:val="22"/>
        </w:rPr>
        <w:t xml:space="preserve"> la</w:t>
      </w:r>
      <w:r w:rsidR="005B5D8B">
        <w:rPr>
          <w:rFonts w:eastAsia="Calibri"/>
          <w:szCs w:val="22"/>
        </w:rPr>
        <w:t>nguage</w:t>
      </w:r>
      <w:r w:rsidR="001A2F50" w:rsidRPr="005B5D8B">
        <w:rPr>
          <w:rFonts w:eastAsia="Calibri"/>
          <w:szCs w:val="22"/>
          <w:u w:val="single"/>
        </w:rPr>
        <w:t>.</w:t>
      </w:r>
      <w:r w:rsidR="005B5D8B" w:rsidRPr="005B5D8B">
        <w:rPr>
          <w:rFonts w:eastAsia="Calibri"/>
          <w:szCs w:val="22"/>
          <w:u w:val="single"/>
        </w:rPr>
        <w:t xml:space="preserve"> It must not be designed to appear as though it </w:t>
      </w:r>
      <w:proofErr w:type="gramStart"/>
      <w:r w:rsidR="005B5D8B" w:rsidRPr="005B5D8B">
        <w:rPr>
          <w:rFonts w:eastAsia="Calibri"/>
          <w:szCs w:val="22"/>
          <w:u w:val="single"/>
        </w:rPr>
        <w:t>is  from</w:t>
      </w:r>
      <w:proofErr w:type="gramEnd"/>
      <w:r w:rsidR="005B5D8B" w:rsidRPr="005B5D8B">
        <w:rPr>
          <w:rFonts w:eastAsia="Calibri"/>
          <w:szCs w:val="22"/>
          <w:u w:val="single"/>
        </w:rPr>
        <w:t xml:space="preserve"> another organisation</w:t>
      </w:r>
      <w:r w:rsidR="005B5D8B">
        <w:rPr>
          <w:rFonts w:eastAsia="Calibri"/>
          <w:szCs w:val="22"/>
          <w:u w:val="single"/>
        </w:rPr>
        <w:t xml:space="preserve">, including appearing to come from a </w:t>
      </w:r>
      <w:r w:rsidR="00DF24FE">
        <w:rPr>
          <w:rFonts w:eastAsia="Calibri"/>
          <w:szCs w:val="22"/>
          <w:u w:val="single"/>
        </w:rPr>
        <w:t>solicitor</w:t>
      </w:r>
      <w:r w:rsidR="005B5D8B">
        <w:rPr>
          <w:rFonts w:eastAsia="Calibri"/>
          <w:szCs w:val="22"/>
          <w:u w:val="single"/>
        </w:rPr>
        <w:t xml:space="preserve">. </w:t>
      </w:r>
    </w:p>
    <w:p w:rsidR="001A2F50" w:rsidRDefault="001A2F50" w:rsidP="008D265D">
      <w:pPr>
        <w:numPr>
          <w:ilvl w:val="1"/>
          <w:numId w:val="1"/>
        </w:numPr>
        <w:spacing w:after="160"/>
        <w:ind w:left="720"/>
        <w:contextualSpacing/>
        <w:rPr>
          <w:rFonts w:eastAsia="Calibri"/>
          <w:szCs w:val="22"/>
        </w:rPr>
      </w:pPr>
      <w:r>
        <w:rPr>
          <w:rFonts w:eastAsia="Calibri"/>
          <w:szCs w:val="22"/>
        </w:rPr>
        <w:lastRenderedPageBreak/>
        <w:t xml:space="preserve">It provides a list of information that must be included in all </w:t>
      </w:r>
      <w:r w:rsidR="005B5D8B">
        <w:rPr>
          <w:rFonts w:eastAsia="Calibri"/>
          <w:szCs w:val="22"/>
        </w:rPr>
        <w:t>notices</w:t>
      </w:r>
      <w:r>
        <w:rPr>
          <w:rFonts w:eastAsia="Calibri"/>
          <w:szCs w:val="22"/>
        </w:rPr>
        <w:t xml:space="preserve"> issued. </w:t>
      </w:r>
      <w:r w:rsidR="00B85DEE">
        <w:rPr>
          <w:rFonts w:eastAsia="Calibri"/>
          <w:szCs w:val="22"/>
        </w:rPr>
        <w:t>This could include</w:t>
      </w:r>
      <w:r>
        <w:rPr>
          <w:rFonts w:eastAsia="Calibri"/>
          <w:szCs w:val="22"/>
        </w:rPr>
        <w:t>:</w:t>
      </w:r>
    </w:p>
    <w:p w:rsidR="001A2F50" w:rsidRDefault="001A2F50" w:rsidP="001A2F50">
      <w:pPr>
        <w:numPr>
          <w:ilvl w:val="2"/>
          <w:numId w:val="1"/>
        </w:numPr>
        <w:spacing w:after="160"/>
        <w:contextualSpacing/>
        <w:rPr>
          <w:rFonts w:eastAsia="Calibri"/>
          <w:szCs w:val="22"/>
        </w:rPr>
      </w:pPr>
      <w:r w:rsidRPr="001A2F50">
        <w:rPr>
          <w:rFonts w:eastAsia="Calibri"/>
          <w:szCs w:val="22"/>
        </w:rPr>
        <w:t>Contact details</w:t>
      </w:r>
      <w:r>
        <w:rPr>
          <w:rFonts w:eastAsia="Calibri"/>
          <w:szCs w:val="22"/>
        </w:rPr>
        <w:t xml:space="preserve"> of the operator;</w:t>
      </w:r>
    </w:p>
    <w:p w:rsidR="001A2F50" w:rsidRDefault="001A2F50" w:rsidP="001A2F50">
      <w:pPr>
        <w:numPr>
          <w:ilvl w:val="2"/>
          <w:numId w:val="1"/>
        </w:numPr>
        <w:spacing w:after="160"/>
        <w:contextualSpacing/>
        <w:rPr>
          <w:rFonts w:eastAsia="Calibri"/>
          <w:szCs w:val="22"/>
        </w:rPr>
      </w:pPr>
      <w:r>
        <w:rPr>
          <w:rFonts w:eastAsia="Calibri"/>
          <w:szCs w:val="22"/>
        </w:rPr>
        <w:t>information about the challenge and appeals processes;</w:t>
      </w:r>
    </w:p>
    <w:p w:rsidR="001A2F50" w:rsidRDefault="001A2F50" w:rsidP="001A2F50">
      <w:pPr>
        <w:numPr>
          <w:ilvl w:val="2"/>
          <w:numId w:val="1"/>
        </w:numPr>
        <w:spacing w:after="160"/>
        <w:contextualSpacing/>
        <w:rPr>
          <w:rFonts w:eastAsia="Calibri"/>
          <w:szCs w:val="22"/>
        </w:rPr>
      </w:pPr>
      <w:r>
        <w:rPr>
          <w:rFonts w:eastAsia="Calibri"/>
          <w:szCs w:val="22"/>
        </w:rPr>
        <w:t>timescales for payment and for appeals;</w:t>
      </w:r>
    </w:p>
    <w:p w:rsidR="008D265D" w:rsidRDefault="001A2F50" w:rsidP="001A2F50">
      <w:pPr>
        <w:numPr>
          <w:ilvl w:val="2"/>
          <w:numId w:val="1"/>
        </w:numPr>
        <w:spacing w:after="160"/>
        <w:contextualSpacing/>
        <w:rPr>
          <w:rFonts w:eastAsia="Calibri"/>
          <w:szCs w:val="22"/>
        </w:rPr>
      </w:pPr>
      <w:r>
        <w:rPr>
          <w:rFonts w:eastAsia="Calibri"/>
          <w:szCs w:val="22"/>
        </w:rPr>
        <w:t>and the details of the breach of contract.</w:t>
      </w:r>
    </w:p>
    <w:p w:rsidR="001A2F50" w:rsidRPr="001A2F50" w:rsidRDefault="001A2F50" w:rsidP="001A2F50">
      <w:pPr>
        <w:spacing w:after="160"/>
        <w:ind w:left="720"/>
        <w:contextualSpacing/>
        <w:rPr>
          <w:rFonts w:eastAsia="Calibri"/>
          <w:szCs w:val="22"/>
        </w:rPr>
      </w:pPr>
    </w:p>
    <w:p w:rsidR="001A2F50" w:rsidRDefault="001A2F50" w:rsidP="008D265D">
      <w:pPr>
        <w:numPr>
          <w:ilvl w:val="0"/>
          <w:numId w:val="1"/>
        </w:numPr>
        <w:spacing w:after="160"/>
        <w:contextualSpacing/>
        <w:rPr>
          <w:rFonts w:eastAsia="Calibri"/>
          <w:szCs w:val="22"/>
        </w:rPr>
      </w:pPr>
      <w:r>
        <w:rPr>
          <w:rFonts w:eastAsia="Calibri"/>
          <w:szCs w:val="22"/>
        </w:rPr>
        <w:t xml:space="preserve">Recovery of Parking Charges </w:t>
      </w:r>
    </w:p>
    <w:p w:rsidR="001A2F50" w:rsidRDefault="001A2F50" w:rsidP="001A2F50">
      <w:pPr>
        <w:spacing w:after="160"/>
        <w:ind w:left="720"/>
        <w:contextualSpacing/>
        <w:rPr>
          <w:rFonts w:eastAsia="Calibri"/>
          <w:szCs w:val="22"/>
        </w:rPr>
      </w:pPr>
    </w:p>
    <w:p w:rsidR="001A76AA" w:rsidRDefault="008D265D" w:rsidP="001A2F50">
      <w:pPr>
        <w:numPr>
          <w:ilvl w:val="1"/>
          <w:numId w:val="1"/>
        </w:numPr>
        <w:spacing w:after="160"/>
        <w:contextualSpacing/>
        <w:rPr>
          <w:rFonts w:eastAsia="Calibri"/>
          <w:szCs w:val="22"/>
        </w:rPr>
      </w:pPr>
      <w:r w:rsidRPr="00E64ED4">
        <w:rPr>
          <w:rFonts w:eastAsia="Calibri"/>
          <w:szCs w:val="22"/>
        </w:rPr>
        <w:t>This section sets out the overall process to operators wishing to recover parking charges</w:t>
      </w:r>
      <w:r w:rsidR="005B5D8B">
        <w:rPr>
          <w:rFonts w:eastAsia="Calibri"/>
          <w:szCs w:val="22"/>
        </w:rPr>
        <w:t xml:space="preserve">, </w:t>
      </w:r>
      <w:r w:rsidR="005B5D8B" w:rsidRPr="001A76AA">
        <w:rPr>
          <w:rFonts w:eastAsia="Calibri"/>
          <w:szCs w:val="22"/>
        </w:rPr>
        <w:t>including</w:t>
      </w:r>
      <w:r w:rsidR="001A76AA" w:rsidRPr="001A76AA">
        <w:rPr>
          <w:rFonts w:eastAsia="Calibri"/>
          <w:szCs w:val="22"/>
        </w:rPr>
        <w:t xml:space="preserve"> reference to</w:t>
      </w:r>
      <w:r w:rsidR="005B5D8B" w:rsidRPr="001A76AA">
        <w:rPr>
          <w:rFonts w:eastAsia="Calibri"/>
          <w:szCs w:val="22"/>
        </w:rPr>
        <w:t xml:space="preserve"> the appropriate processes for passing a ticket to a debt collection agency working on behalf of a private parking operator</w:t>
      </w:r>
      <w:r w:rsidR="001A76AA" w:rsidRPr="001A76AA">
        <w:rPr>
          <w:rFonts w:eastAsia="Calibri"/>
          <w:szCs w:val="22"/>
        </w:rPr>
        <w:t>, which will are detailed in Section 10</w:t>
      </w:r>
      <w:r w:rsidR="005B5D8B" w:rsidRPr="001A76AA">
        <w:rPr>
          <w:rFonts w:eastAsia="Calibri"/>
          <w:szCs w:val="22"/>
        </w:rPr>
        <w:t>.</w:t>
      </w:r>
      <w:r w:rsidR="005B5D8B">
        <w:rPr>
          <w:rFonts w:eastAsia="Calibri"/>
          <w:szCs w:val="22"/>
        </w:rPr>
        <w:t xml:space="preserve"> </w:t>
      </w:r>
      <w:r w:rsidRPr="00E64ED4">
        <w:rPr>
          <w:rFonts w:eastAsia="Calibri"/>
          <w:szCs w:val="22"/>
        </w:rPr>
        <w:t xml:space="preserve"> </w:t>
      </w:r>
    </w:p>
    <w:p w:rsidR="008D265D" w:rsidRPr="00E64ED4" w:rsidRDefault="008D265D" w:rsidP="001A2F50">
      <w:pPr>
        <w:numPr>
          <w:ilvl w:val="1"/>
          <w:numId w:val="1"/>
        </w:numPr>
        <w:spacing w:after="160"/>
        <w:contextualSpacing/>
        <w:rPr>
          <w:rFonts w:eastAsia="Calibri"/>
          <w:szCs w:val="22"/>
        </w:rPr>
      </w:pPr>
      <w:r w:rsidRPr="00E64ED4">
        <w:rPr>
          <w:rFonts w:eastAsia="Calibri"/>
          <w:szCs w:val="22"/>
        </w:rPr>
        <w:t>This includes a timeline for issuing a Notice to Keeper and references to the various legal obligations under the Protection of Freedom Act 2012.</w:t>
      </w:r>
      <w:r w:rsidR="003C6421">
        <w:rPr>
          <w:rFonts w:eastAsia="Calibri"/>
          <w:szCs w:val="22"/>
        </w:rPr>
        <w:t xml:space="preserve"> </w:t>
      </w:r>
    </w:p>
    <w:p w:rsidR="008D265D" w:rsidRPr="00E64ED4" w:rsidRDefault="008D265D" w:rsidP="008D265D">
      <w:pPr>
        <w:spacing w:after="160"/>
        <w:ind w:left="720"/>
        <w:contextualSpacing/>
        <w:rPr>
          <w:rFonts w:eastAsia="Calibri"/>
          <w:szCs w:val="22"/>
        </w:rPr>
      </w:pPr>
    </w:p>
    <w:p w:rsidR="003C6421" w:rsidRPr="003C6421" w:rsidRDefault="003C6421" w:rsidP="008D265D">
      <w:pPr>
        <w:numPr>
          <w:ilvl w:val="0"/>
          <w:numId w:val="1"/>
        </w:numPr>
        <w:spacing w:after="160"/>
        <w:contextualSpacing/>
        <w:rPr>
          <w:rFonts w:eastAsia="Calibri"/>
          <w:color w:val="000000"/>
          <w:szCs w:val="22"/>
        </w:rPr>
      </w:pPr>
      <w:r>
        <w:rPr>
          <w:rFonts w:eastAsia="Calibri"/>
          <w:szCs w:val="22"/>
        </w:rPr>
        <w:t xml:space="preserve">Dispute Resolution and Appeals </w:t>
      </w:r>
    </w:p>
    <w:p w:rsidR="003C6421" w:rsidRPr="003C6421" w:rsidRDefault="003C6421" w:rsidP="003C6421">
      <w:pPr>
        <w:spacing w:after="160"/>
        <w:ind w:left="1080"/>
        <w:contextualSpacing/>
        <w:rPr>
          <w:rFonts w:eastAsia="Calibri"/>
          <w:color w:val="000000"/>
          <w:szCs w:val="22"/>
        </w:rPr>
      </w:pPr>
    </w:p>
    <w:p w:rsidR="006B2E28" w:rsidRPr="006B2E28" w:rsidRDefault="003C6421" w:rsidP="003C6421">
      <w:pPr>
        <w:numPr>
          <w:ilvl w:val="1"/>
          <w:numId w:val="1"/>
        </w:numPr>
        <w:spacing w:after="160"/>
        <w:contextualSpacing/>
        <w:rPr>
          <w:rFonts w:eastAsia="Calibri"/>
          <w:color w:val="000000"/>
          <w:szCs w:val="22"/>
        </w:rPr>
      </w:pPr>
      <w:r>
        <w:rPr>
          <w:rFonts w:eastAsia="Calibri"/>
          <w:szCs w:val="22"/>
        </w:rPr>
        <w:t>O</w:t>
      </w:r>
      <w:r w:rsidR="008D265D" w:rsidRPr="00E64ED4">
        <w:rPr>
          <w:rFonts w:eastAsia="Calibri"/>
          <w:szCs w:val="22"/>
        </w:rPr>
        <w:t>utlines the requirement for operators to provide an initial challenge process for motorists wishing to chall</w:t>
      </w:r>
      <w:r w:rsidR="006B2E28">
        <w:rPr>
          <w:rFonts w:eastAsia="Calibri"/>
          <w:szCs w:val="22"/>
        </w:rPr>
        <w:t xml:space="preserve">enge </w:t>
      </w:r>
      <w:r w:rsidR="005B5D8B">
        <w:rPr>
          <w:rFonts w:eastAsia="Calibri"/>
          <w:szCs w:val="22"/>
        </w:rPr>
        <w:t>a notice</w:t>
      </w:r>
      <w:r w:rsidR="006B2E28">
        <w:rPr>
          <w:rFonts w:eastAsia="Calibri"/>
          <w:szCs w:val="22"/>
        </w:rPr>
        <w:t xml:space="preserve"> issued. This includes:</w:t>
      </w:r>
    </w:p>
    <w:p w:rsidR="006B2E28" w:rsidRPr="006B2E28" w:rsidRDefault="008D265D" w:rsidP="006B2E28">
      <w:pPr>
        <w:numPr>
          <w:ilvl w:val="2"/>
          <w:numId w:val="1"/>
        </w:numPr>
        <w:spacing w:after="160"/>
        <w:contextualSpacing/>
        <w:rPr>
          <w:rFonts w:eastAsia="Calibri"/>
          <w:color w:val="000000"/>
          <w:szCs w:val="22"/>
        </w:rPr>
      </w:pPr>
      <w:r w:rsidRPr="006B2E28">
        <w:rPr>
          <w:rFonts w:eastAsia="Calibri"/>
          <w:szCs w:val="22"/>
        </w:rPr>
        <w:t>allowing a minim</w:t>
      </w:r>
      <w:r w:rsidR="005B5D8B">
        <w:rPr>
          <w:rFonts w:eastAsia="Calibri"/>
          <w:szCs w:val="22"/>
        </w:rPr>
        <w:t>um timescale</w:t>
      </w:r>
      <w:r w:rsidR="006B2E28">
        <w:rPr>
          <w:rFonts w:eastAsia="Calibri"/>
          <w:szCs w:val="22"/>
        </w:rPr>
        <w:t xml:space="preserve"> to lodge a challenge;</w:t>
      </w:r>
    </w:p>
    <w:p w:rsidR="006B2E28" w:rsidRPr="006B2E28" w:rsidRDefault="008D265D" w:rsidP="006B2E28">
      <w:pPr>
        <w:numPr>
          <w:ilvl w:val="2"/>
          <w:numId w:val="1"/>
        </w:numPr>
        <w:spacing w:after="160"/>
        <w:contextualSpacing/>
        <w:rPr>
          <w:rFonts w:eastAsia="Calibri"/>
          <w:color w:val="000000"/>
          <w:szCs w:val="22"/>
        </w:rPr>
      </w:pPr>
      <w:r w:rsidRPr="006B2E28">
        <w:rPr>
          <w:rFonts w:eastAsia="Calibri"/>
          <w:szCs w:val="22"/>
        </w:rPr>
        <w:t>acknowledging receipt o</w:t>
      </w:r>
      <w:r w:rsidR="005B5D8B">
        <w:rPr>
          <w:rFonts w:eastAsia="Calibri"/>
          <w:szCs w:val="22"/>
        </w:rPr>
        <w:t>f the challenge within an appropriate timescale</w:t>
      </w:r>
      <w:r w:rsidR="006B2E28">
        <w:rPr>
          <w:rFonts w:eastAsia="Calibri"/>
          <w:szCs w:val="22"/>
        </w:rPr>
        <w:t>;</w:t>
      </w:r>
    </w:p>
    <w:p w:rsidR="006B2E28" w:rsidRPr="006B2E28" w:rsidRDefault="008D265D" w:rsidP="006B2E28">
      <w:pPr>
        <w:numPr>
          <w:ilvl w:val="2"/>
          <w:numId w:val="1"/>
        </w:numPr>
        <w:spacing w:after="160"/>
        <w:contextualSpacing/>
        <w:rPr>
          <w:rFonts w:eastAsia="Calibri"/>
          <w:color w:val="000000"/>
          <w:szCs w:val="22"/>
        </w:rPr>
      </w:pPr>
      <w:r w:rsidRPr="006B2E28">
        <w:rPr>
          <w:rFonts w:eastAsia="Calibri"/>
          <w:szCs w:val="22"/>
        </w:rPr>
        <w:t>consid</w:t>
      </w:r>
      <w:r w:rsidR="006B2E28">
        <w:rPr>
          <w:rFonts w:eastAsia="Calibri"/>
          <w:szCs w:val="22"/>
        </w:rPr>
        <w:t>ering mitigating circumstances;</w:t>
      </w:r>
    </w:p>
    <w:p w:rsidR="006B2E28" w:rsidRPr="006B2E28" w:rsidRDefault="008D265D" w:rsidP="006B2E28">
      <w:pPr>
        <w:numPr>
          <w:ilvl w:val="2"/>
          <w:numId w:val="1"/>
        </w:numPr>
        <w:spacing w:after="160"/>
        <w:contextualSpacing/>
        <w:rPr>
          <w:rFonts w:eastAsia="Calibri"/>
          <w:color w:val="000000"/>
          <w:szCs w:val="22"/>
        </w:rPr>
      </w:pPr>
      <w:r w:rsidRPr="006B2E28">
        <w:rPr>
          <w:rFonts w:eastAsia="Calibri"/>
          <w:szCs w:val="22"/>
        </w:rPr>
        <w:t>extension of the discounted payment pe</w:t>
      </w:r>
      <w:r w:rsidR="006B2E28">
        <w:rPr>
          <w:rFonts w:eastAsia="Calibri"/>
          <w:szCs w:val="22"/>
        </w:rPr>
        <w:t>riod if a challenge is refused;</w:t>
      </w:r>
    </w:p>
    <w:p w:rsidR="008D265D" w:rsidRPr="006B2E28" w:rsidRDefault="008D265D" w:rsidP="006B2E28">
      <w:pPr>
        <w:numPr>
          <w:ilvl w:val="2"/>
          <w:numId w:val="1"/>
        </w:numPr>
        <w:spacing w:after="160"/>
        <w:contextualSpacing/>
        <w:rPr>
          <w:rFonts w:eastAsia="Calibri"/>
          <w:color w:val="000000"/>
          <w:szCs w:val="22"/>
        </w:rPr>
      </w:pPr>
      <w:r w:rsidRPr="006B2E28">
        <w:rPr>
          <w:rFonts w:eastAsia="Calibri"/>
          <w:szCs w:val="22"/>
        </w:rPr>
        <w:t>and next steps after upholding or dismissing a challenge.</w:t>
      </w:r>
    </w:p>
    <w:p w:rsidR="008D265D" w:rsidRPr="00E64ED4" w:rsidRDefault="008D265D" w:rsidP="008D265D">
      <w:pPr>
        <w:spacing w:after="160"/>
        <w:ind w:left="720"/>
        <w:contextualSpacing/>
        <w:rPr>
          <w:rFonts w:eastAsia="Calibri"/>
          <w:color w:val="000000"/>
          <w:szCs w:val="22"/>
        </w:rPr>
      </w:pPr>
    </w:p>
    <w:p w:rsidR="006B2E28" w:rsidRDefault="006B2E28" w:rsidP="008D265D">
      <w:pPr>
        <w:numPr>
          <w:ilvl w:val="0"/>
          <w:numId w:val="1"/>
        </w:numPr>
        <w:spacing w:after="160"/>
        <w:contextualSpacing/>
        <w:rPr>
          <w:rFonts w:eastAsia="Calibri"/>
          <w:color w:val="000000"/>
          <w:szCs w:val="22"/>
        </w:rPr>
      </w:pPr>
      <w:r>
        <w:rPr>
          <w:rFonts w:eastAsia="Calibri"/>
          <w:color w:val="000000"/>
          <w:szCs w:val="22"/>
        </w:rPr>
        <w:t xml:space="preserve">Independent Appeals Service </w:t>
      </w:r>
    </w:p>
    <w:p w:rsidR="00671492" w:rsidRDefault="00671492" w:rsidP="00671492">
      <w:pPr>
        <w:spacing w:after="160"/>
        <w:ind w:left="720"/>
        <w:contextualSpacing/>
        <w:rPr>
          <w:rFonts w:eastAsia="Calibri"/>
          <w:color w:val="000000"/>
          <w:szCs w:val="22"/>
        </w:rPr>
      </w:pPr>
    </w:p>
    <w:p w:rsidR="00671492" w:rsidRDefault="006B2E28" w:rsidP="006B2E28">
      <w:pPr>
        <w:numPr>
          <w:ilvl w:val="1"/>
          <w:numId w:val="1"/>
        </w:numPr>
        <w:spacing w:after="160"/>
        <w:contextualSpacing/>
        <w:rPr>
          <w:rFonts w:eastAsia="Calibri"/>
          <w:color w:val="000000"/>
          <w:szCs w:val="22"/>
        </w:rPr>
      </w:pPr>
      <w:r>
        <w:rPr>
          <w:rFonts w:eastAsia="Calibri"/>
          <w:color w:val="000000"/>
          <w:szCs w:val="22"/>
        </w:rPr>
        <w:t>O</w:t>
      </w:r>
      <w:r w:rsidR="008D265D" w:rsidRPr="00E64ED4">
        <w:rPr>
          <w:rFonts w:eastAsia="Calibri"/>
          <w:color w:val="000000"/>
          <w:szCs w:val="22"/>
        </w:rPr>
        <w:t>utlines the obligation on the Accredited Parking Associations to provide an independent adjudication for motorists wishing to appeal the decision made on their initial challenge to the parking operator.</w:t>
      </w:r>
      <w:r w:rsidR="00671492">
        <w:rPr>
          <w:rFonts w:eastAsia="Calibri"/>
          <w:color w:val="000000"/>
          <w:szCs w:val="22"/>
        </w:rPr>
        <w:t xml:space="preserve"> The appeals services must be open to audit by the Scrutiny and Standards Body.</w:t>
      </w:r>
    </w:p>
    <w:p w:rsidR="00671492" w:rsidRDefault="00671492" w:rsidP="00671492">
      <w:pPr>
        <w:spacing w:after="160"/>
        <w:ind w:left="1080"/>
        <w:contextualSpacing/>
        <w:rPr>
          <w:rFonts w:eastAsia="Calibri"/>
          <w:color w:val="000000"/>
          <w:szCs w:val="22"/>
        </w:rPr>
      </w:pPr>
    </w:p>
    <w:p w:rsidR="006B2E28" w:rsidRDefault="00671492" w:rsidP="006B2E28">
      <w:pPr>
        <w:numPr>
          <w:ilvl w:val="1"/>
          <w:numId w:val="1"/>
        </w:numPr>
        <w:spacing w:after="160"/>
        <w:contextualSpacing/>
        <w:rPr>
          <w:rFonts w:eastAsia="Calibri"/>
          <w:color w:val="000000"/>
          <w:szCs w:val="22"/>
        </w:rPr>
      </w:pPr>
      <w:r>
        <w:rPr>
          <w:rFonts w:eastAsia="Calibri"/>
          <w:color w:val="000000"/>
          <w:szCs w:val="22"/>
        </w:rPr>
        <w:t>There would also be a requirement for the appeals services to publish annual reports detailing information on the number of appeals seen and the number upheld/refused etc.</w:t>
      </w:r>
    </w:p>
    <w:p w:rsidR="00671492" w:rsidRDefault="00671492" w:rsidP="00671492">
      <w:pPr>
        <w:spacing w:after="160"/>
        <w:ind w:left="1080"/>
        <w:contextualSpacing/>
        <w:rPr>
          <w:rFonts w:eastAsia="Calibri"/>
          <w:color w:val="000000"/>
          <w:szCs w:val="22"/>
        </w:rPr>
      </w:pPr>
    </w:p>
    <w:p w:rsidR="008D265D" w:rsidRPr="00E64ED4" w:rsidRDefault="00671492" w:rsidP="006B2E28">
      <w:pPr>
        <w:numPr>
          <w:ilvl w:val="1"/>
          <w:numId w:val="1"/>
        </w:numPr>
        <w:spacing w:after="160"/>
        <w:contextualSpacing/>
        <w:rPr>
          <w:rFonts w:eastAsia="Calibri"/>
          <w:color w:val="000000"/>
          <w:szCs w:val="22"/>
        </w:rPr>
      </w:pPr>
      <w:r>
        <w:rPr>
          <w:rFonts w:eastAsia="Calibri"/>
          <w:color w:val="000000"/>
          <w:szCs w:val="22"/>
        </w:rPr>
        <w:t>The section</w:t>
      </w:r>
      <w:r w:rsidR="008D265D" w:rsidRPr="00E64ED4">
        <w:rPr>
          <w:rFonts w:eastAsia="Calibri"/>
          <w:color w:val="000000"/>
          <w:szCs w:val="22"/>
        </w:rPr>
        <w:t xml:space="preserve"> also provides a non-exhaustive list of plausible mitigating circumstances </w:t>
      </w:r>
      <w:r w:rsidR="0092224F">
        <w:rPr>
          <w:rFonts w:eastAsia="Calibri"/>
          <w:color w:val="000000"/>
          <w:szCs w:val="22"/>
        </w:rPr>
        <w:t xml:space="preserve">that should be taken into account by an appeals service </w:t>
      </w:r>
      <w:r w:rsidR="008D265D" w:rsidRPr="00E64ED4">
        <w:rPr>
          <w:rFonts w:eastAsia="Calibri"/>
          <w:color w:val="000000"/>
          <w:szCs w:val="22"/>
        </w:rPr>
        <w:t>(e.g. miss-typing vehicle registration or medical emergencies).</w:t>
      </w:r>
    </w:p>
    <w:p w:rsidR="008D265D" w:rsidRDefault="008D265D" w:rsidP="008D265D">
      <w:pPr>
        <w:spacing w:after="160"/>
        <w:ind w:left="720"/>
        <w:contextualSpacing/>
        <w:rPr>
          <w:rFonts w:eastAsia="Calibri"/>
          <w:color w:val="000000"/>
          <w:szCs w:val="22"/>
        </w:rPr>
      </w:pPr>
    </w:p>
    <w:p w:rsidR="00B85DEE" w:rsidRPr="00E64ED4" w:rsidRDefault="00B85DEE" w:rsidP="008D265D">
      <w:pPr>
        <w:spacing w:after="160"/>
        <w:ind w:left="720"/>
        <w:contextualSpacing/>
        <w:rPr>
          <w:rFonts w:eastAsia="Calibri"/>
          <w:color w:val="000000"/>
          <w:szCs w:val="22"/>
        </w:rPr>
      </w:pPr>
    </w:p>
    <w:p w:rsidR="00671492" w:rsidRPr="0092224F" w:rsidRDefault="00671492" w:rsidP="002474C2">
      <w:pPr>
        <w:numPr>
          <w:ilvl w:val="0"/>
          <w:numId w:val="1"/>
        </w:numPr>
        <w:spacing w:after="160"/>
        <w:contextualSpacing/>
        <w:rPr>
          <w:rFonts w:eastAsia="Calibri"/>
          <w:color w:val="000000"/>
          <w:szCs w:val="22"/>
        </w:rPr>
      </w:pPr>
      <w:r>
        <w:rPr>
          <w:rFonts w:eastAsia="Calibri"/>
          <w:color w:val="000000"/>
          <w:szCs w:val="22"/>
        </w:rPr>
        <w:lastRenderedPageBreak/>
        <w:t xml:space="preserve">Debt and debt collection </w:t>
      </w:r>
    </w:p>
    <w:p w:rsidR="005B5D8B" w:rsidRDefault="008D265D" w:rsidP="00671492">
      <w:pPr>
        <w:numPr>
          <w:ilvl w:val="1"/>
          <w:numId w:val="1"/>
        </w:numPr>
        <w:spacing w:after="160"/>
        <w:contextualSpacing/>
        <w:rPr>
          <w:rFonts w:eastAsia="Calibri"/>
          <w:color w:val="000000"/>
          <w:szCs w:val="22"/>
        </w:rPr>
      </w:pPr>
      <w:r w:rsidRPr="00E64ED4">
        <w:rPr>
          <w:rFonts w:eastAsia="Calibri"/>
          <w:color w:val="000000"/>
          <w:szCs w:val="22"/>
        </w:rPr>
        <w:t xml:space="preserve"> This section provides the principles for operators wishing to use debt collectors, sometimes called “Enforcement Agents” or “Bailiffs”. </w:t>
      </w:r>
    </w:p>
    <w:p w:rsidR="005B5D8B" w:rsidRDefault="008D265D" w:rsidP="00671492">
      <w:pPr>
        <w:numPr>
          <w:ilvl w:val="1"/>
          <w:numId w:val="1"/>
        </w:numPr>
        <w:spacing w:after="160"/>
        <w:contextualSpacing/>
        <w:rPr>
          <w:rFonts w:eastAsia="Calibri"/>
          <w:color w:val="000000"/>
          <w:szCs w:val="22"/>
        </w:rPr>
      </w:pPr>
      <w:r w:rsidRPr="00E64ED4">
        <w:rPr>
          <w:rFonts w:eastAsia="Calibri"/>
          <w:color w:val="000000"/>
          <w:szCs w:val="22"/>
        </w:rPr>
        <w:t xml:space="preserve">It explicitly states that </w:t>
      </w:r>
      <w:r w:rsidR="005B5D8B">
        <w:rPr>
          <w:rFonts w:eastAsia="Calibri"/>
          <w:color w:val="000000"/>
          <w:szCs w:val="22"/>
        </w:rPr>
        <w:t>operators can NOT sell</w:t>
      </w:r>
      <w:r w:rsidRPr="00E64ED4">
        <w:rPr>
          <w:rFonts w:eastAsia="Calibri"/>
          <w:color w:val="000000"/>
          <w:szCs w:val="22"/>
        </w:rPr>
        <w:t xml:space="preserve"> </w:t>
      </w:r>
      <w:r w:rsidR="005B5D8B">
        <w:rPr>
          <w:rFonts w:eastAsia="Calibri"/>
          <w:color w:val="000000"/>
          <w:szCs w:val="22"/>
        </w:rPr>
        <w:t xml:space="preserve">parking </w:t>
      </w:r>
      <w:r w:rsidRPr="00E64ED4">
        <w:rPr>
          <w:rFonts w:eastAsia="Calibri"/>
          <w:color w:val="000000"/>
          <w:szCs w:val="22"/>
        </w:rPr>
        <w:t>debt</w:t>
      </w:r>
      <w:r w:rsidR="005B5D8B">
        <w:rPr>
          <w:rFonts w:eastAsia="Calibri"/>
          <w:color w:val="000000"/>
          <w:szCs w:val="22"/>
        </w:rPr>
        <w:t>s</w:t>
      </w:r>
      <w:r w:rsidRPr="00E64ED4">
        <w:rPr>
          <w:rFonts w:eastAsia="Calibri"/>
          <w:color w:val="000000"/>
          <w:szCs w:val="22"/>
        </w:rPr>
        <w:t xml:space="preserve"> to a third party</w:t>
      </w:r>
      <w:r w:rsidR="005B5D8B">
        <w:rPr>
          <w:rFonts w:eastAsia="Calibri"/>
          <w:color w:val="000000"/>
          <w:szCs w:val="22"/>
        </w:rPr>
        <w:t xml:space="preserve"> </w:t>
      </w:r>
      <w:r w:rsidRPr="00E64ED4">
        <w:rPr>
          <w:rFonts w:eastAsia="Calibri"/>
          <w:color w:val="000000"/>
          <w:szCs w:val="22"/>
        </w:rPr>
        <w:t xml:space="preserve">as this </w:t>
      </w:r>
      <w:r w:rsidR="0092224F">
        <w:rPr>
          <w:rFonts w:eastAsia="Calibri"/>
          <w:color w:val="000000"/>
          <w:szCs w:val="22"/>
        </w:rPr>
        <w:t>is</w:t>
      </w:r>
      <w:r w:rsidRPr="00E64ED4">
        <w:rPr>
          <w:rFonts w:eastAsia="Calibri"/>
          <w:color w:val="000000"/>
          <w:szCs w:val="22"/>
        </w:rPr>
        <w:t xml:space="preserve"> in breach of the DVLA’s data protection policies.</w:t>
      </w:r>
      <w:r w:rsidR="00671492">
        <w:rPr>
          <w:rFonts w:eastAsia="Calibri"/>
          <w:color w:val="000000"/>
          <w:szCs w:val="22"/>
        </w:rPr>
        <w:t xml:space="preserve"> </w:t>
      </w:r>
    </w:p>
    <w:p w:rsidR="00671492" w:rsidRPr="005B5D8B" w:rsidRDefault="00671492" w:rsidP="005B5D8B">
      <w:pPr>
        <w:numPr>
          <w:ilvl w:val="1"/>
          <w:numId w:val="1"/>
        </w:numPr>
        <w:spacing w:after="160"/>
        <w:contextualSpacing/>
        <w:rPr>
          <w:rFonts w:eastAsia="Calibri"/>
          <w:color w:val="000000"/>
          <w:szCs w:val="22"/>
        </w:rPr>
      </w:pPr>
      <w:r>
        <w:rPr>
          <w:rFonts w:eastAsia="Calibri"/>
          <w:color w:val="000000"/>
          <w:szCs w:val="22"/>
        </w:rPr>
        <w:t>It will be the operators’ responsibility to ensure the debt collectors act</w:t>
      </w:r>
      <w:r w:rsidR="0092224F">
        <w:rPr>
          <w:rFonts w:eastAsia="Calibri"/>
          <w:color w:val="000000"/>
          <w:szCs w:val="22"/>
        </w:rPr>
        <w:t>ing on behalf of private parking operators act</w:t>
      </w:r>
      <w:r>
        <w:rPr>
          <w:rFonts w:eastAsia="Calibri"/>
          <w:color w:val="000000"/>
          <w:szCs w:val="22"/>
        </w:rPr>
        <w:t xml:space="preserve"> in accordance with the code.</w:t>
      </w:r>
      <w:r w:rsidR="005B5D8B">
        <w:rPr>
          <w:rFonts w:eastAsia="Calibri"/>
          <w:color w:val="000000"/>
          <w:szCs w:val="22"/>
        </w:rPr>
        <w:t xml:space="preserve"> </w:t>
      </w:r>
      <w:r w:rsidR="005B5D8B" w:rsidRPr="005B5D8B">
        <w:rPr>
          <w:rFonts w:eastAsia="Calibri"/>
          <w:color w:val="000000"/>
          <w:szCs w:val="22"/>
          <w:u w:val="single"/>
        </w:rPr>
        <w:t>Aggressive or intimidating debt collection practices will not be tolerated.</w:t>
      </w:r>
      <w:r w:rsidR="005B5D8B">
        <w:rPr>
          <w:rFonts w:eastAsia="Calibri"/>
          <w:color w:val="000000"/>
          <w:szCs w:val="22"/>
        </w:rPr>
        <w:t xml:space="preserve">  </w:t>
      </w:r>
    </w:p>
    <w:p w:rsidR="00671492" w:rsidRPr="00E64ED4" w:rsidRDefault="005B5D8B" w:rsidP="00671492">
      <w:pPr>
        <w:numPr>
          <w:ilvl w:val="1"/>
          <w:numId w:val="1"/>
        </w:numPr>
        <w:spacing w:after="160"/>
        <w:contextualSpacing/>
        <w:rPr>
          <w:rFonts w:eastAsia="Calibri"/>
          <w:color w:val="000000"/>
          <w:szCs w:val="22"/>
        </w:rPr>
      </w:pPr>
      <w:r>
        <w:rPr>
          <w:rFonts w:eastAsia="Calibri"/>
          <w:color w:val="000000"/>
          <w:szCs w:val="22"/>
        </w:rPr>
        <w:t>Operators should</w:t>
      </w:r>
      <w:r w:rsidR="00671492">
        <w:rPr>
          <w:rFonts w:eastAsia="Calibri"/>
          <w:color w:val="000000"/>
          <w:szCs w:val="22"/>
        </w:rPr>
        <w:t xml:space="preserve"> take reasonable </w:t>
      </w:r>
      <w:r>
        <w:rPr>
          <w:rFonts w:eastAsia="Calibri"/>
          <w:color w:val="000000"/>
          <w:szCs w:val="22"/>
        </w:rPr>
        <w:t>steps</w:t>
      </w:r>
      <w:r w:rsidR="00671492">
        <w:rPr>
          <w:rFonts w:eastAsia="Calibri"/>
          <w:color w:val="000000"/>
          <w:szCs w:val="22"/>
        </w:rPr>
        <w:t xml:space="preserve"> to ensure that the Motorist’s details are still correct</w:t>
      </w:r>
      <w:r>
        <w:rPr>
          <w:rFonts w:eastAsia="Calibri"/>
          <w:color w:val="000000"/>
          <w:szCs w:val="22"/>
        </w:rPr>
        <w:t xml:space="preserve"> if some time has passed</w:t>
      </w:r>
      <w:r w:rsidR="00671492">
        <w:rPr>
          <w:rFonts w:eastAsia="Calibri"/>
          <w:color w:val="000000"/>
          <w:szCs w:val="22"/>
        </w:rPr>
        <w:t xml:space="preserve"> before</w:t>
      </w:r>
      <w:r>
        <w:rPr>
          <w:rFonts w:eastAsia="Calibri"/>
          <w:color w:val="000000"/>
          <w:szCs w:val="22"/>
        </w:rPr>
        <w:t xml:space="preserve"> they issue</w:t>
      </w:r>
      <w:r w:rsidR="00671492">
        <w:rPr>
          <w:rFonts w:eastAsia="Calibri"/>
          <w:color w:val="000000"/>
          <w:szCs w:val="22"/>
        </w:rPr>
        <w:t xml:space="preserve"> a Letter Before Claim.</w:t>
      </w:r>
    </w:p>
    <w:p w:rsidR="008D265D" w:rsidRPr="00E64ED4" w:rsidRDefault="008D265D" w:rsidP="008D265D">
      <w:pPr>
        <w:spacing w:after="160"/>
        <w:ind w:left="720"/>
        <w:contextualSpacing/>
        <w:rPr>
          <w:rFonts w:eastAsia="Calibri"/>
          <w:color w:val="000000"/>
          <w:szCs w:val="22"/>
        </w:rPr>
      </w:pPr>
    </w:p>
    <w:p w:rsidR="00671492" w:rsidRPr="0092224F" w:rsidRDefault="008D265D" w:rsidP="002474C2">
      <w:pPr>
        <w:numPr>
          <w:ilvl w:val="0"/>
          <w:numId w:val="1"/>
        </w:numPr>
        <w:spacing w:after="160"/>
        <w:contextualSpacing/>
        <w:rPr>
          <w:rFonts w:eastAsia="Calibri"/>
          <w:color w:val="000000"/>
          <w:szCs w:val="22"/>
        </w:rPr>
      </w:pPr>
      <w:r w:rsidRPr="00E64ED4">
        <w:rPr>
          <w:rFonts w:eastAsia="Calibri"/>
          <w:color w:val="000000"/>
          <w:szCs w:val="22"/>
        </w:rPr>
        <w:t>Authority to op</w:t>
      </w:r>
      <w:r w:rsidR="00671492">
        <w:rPr>
          <w:rFonts w:eastAsia="Calibri"/>
          <w:color w:val="000000"/>
          <w:szCs w:val="22"/>
        </w:rPr>
        <w:t xml:space="preserve">erate on behalf of Landowners </w:t>
      </w:r>
    </w:p>
    <w:p w:rsidR="008D265D" w:rsidRPr="00E64ED4" w:rsidRDefault="008D265D" w:rsidP="00671492">
      <w:pPr>
        <w:numPr>
          <w:ilvl w:val="1"/>
          <w:numId w:val="1"/>
        </w:numPr>
        <w:spacing w:after="160"/>
        <w:contextualSpacing/>
        <w:rPr>
          <w:rFonts w:eastAsia="Calibri"/>
          <w:color w:val="000000"/>
          <w:szCs w:val="22"/>
        </w:rPr>
      </w:pPr>
      <w:r w:rsidRPr="00E64ED4">
        <w:rPr>
          <w:rFonts w:eastAsia="Calibri"/>
          <w:color w:val="000000"/>
          <w:szCs w:val="22"/>
        </w:rPr>
        <w:t>This outlines the need for operators to engage with the landowners of the car park, if they are not the landowners themselves, to get their explicit authorisation/input on the way the car park is managed. For context, a number of landowners wash their hands of responsibility for the conduct of the operators on their land.</w:t>
      </w:r>
    </w:p>
    <w:p w:rsidR="008D265D" w:rsidRPr="00E64ED4" w:rsidRDefault="008D265D" w:rsidP="008D265D">
      <w:pPr>
        <w:spacing w:after="160"/>
        <w:ind w:left="720"/>
        <w:contextualSpacing/>
        <w:rPr>
          <w:rFonts w:eastAsia="Calibri"/>
          <w:color w:val="000000"/>
          <w:szCs w:val="22"/>
        </w:rPr>
      </w:pPr>
    </w:p>
    <w:p w:rsidR="00671492" w:rsidRPr="0092224F" w:rsidRDefault="008D265D" w:rsidP="002474C2">
      <w:pPr>
        <w:numPr>
          <w:ilvl w:val="0"/>
          <w:numId w:val="1"/>
        </w:numPr>
        <w:spacing w:after="160"/>
        <w:contextualSpacing/>
        <w:rPr>
          <w:rFonts w:eastAsia="Calibri"/>
          <w:szCs w:val="22"/>
        </w:rPr>
      </w:pPr>
      <w:bookmarkStart w:id="1" w:name="_Hlk509943604"/>
      <w:r w:rsidRPr="00E64ED4">
        <w:rPr>
          <w:rFonts w:eastAsia="Calibri"/>
          <w:szCs w:val="22"/>
        </w:rPr>
        <w:t>Complaint</w:t>
      </w:r>
      <w:r w:rsidR="00671492">
        <w:rPr>
          <w:rFonts w:eastAsia="Calibri"/>
          <w:szCs w:val="22"/>
        </w:rPr>
        <w:t xml:space="preserve">s handling </w:t>
      </w:r>
    </w:p>
    <w:p w:rsidR="00671492" w:rsidRDefault="008D265D" w:rsidP="005B5D8B">
      <w:pPr>
        <w:numPr>
          <w:ilvl w:val="1"/>
          <w:numId w:val="1"/>
        </w:numPr>
        <w:spacing w:after="160"/>
        <w:contextualSpacing/>
        <w:rPr>
          <w:rFonts w:eastAsia="Calibri"/>
          <w:szCs w:val="22"/>
        </w:rPr>
      </w:pPr>
      <w:r w:rsidRPr="00E64ED4">
        <w:rPr>
          <w:rFonts w:eastAsia="Calibri"/>
          <w:szCs w:val="22"/>
        </w:rPr>
        <w:t xml:space="preserve">This section outlines the process for parking operators and the Accredited Parking Associations for handling complaints, as opposed to specific appeals. </w:t>
      </w:r>
    </w:p>
    <w:p w:rsidR="005B5D8B" w:rsidRPr="005B5D8B" w:rsidRDefault="005B5D8B" w:rsidP="005B5D8B">
      <w:pPr>
        <w:spacing w:after="160"/>
        <w:ind w:left="1080"/>
        <w:contextualSpacing/>
        <w:rPr>
          <w:rFonts w:eastAsia="Calibri"/>
          <w:szCs w:val="22"/>
        </w:rPr>
      </w:pPr>
    </w:p>
    <w:p w:rsidR="00671492" w:rsidRPr="00E64ED4" w:rsidRDefault="00671492" w:rsidP="00671492">
      <w:pPr>
        <w:numPr>
          <w:ilvl w:val="1"/>
          <w:numId w:val="1"/>
        </w:numPr>
        <w:spacing w:after="160"/>
        <w:contextualSpacing/>
        <w:rPr>
          <w:rFonts w:eastAsia="Calibri"/>
          <w:szCs w:val="22"/>
        </w:rPr>
      </w:pPr>
      <w:r>
        <w:rPr>
          <w:rFonts w:eastAsia="Calibri"/>
          <w:szCs w:val="22"/>
        </w:rPr>
        <w:t xml:space="preserve">There </w:t>
      </w:r>
      <w:r w:rsidR="00B85DEE">
        <w:rPr>
          <w:rFonts w:eastAsia="Calibri"/>
          <w:szCs w:val="22"/>
        </w:rPr>
        <w:t>sh</w:t>
      </w:r>
      <w:r>
        <w:rPr>
          <w:rFonts w:eastAsia="Calibri"/>
          <w:szCs w:val="22"/>
        </w:rPr>
        <w:t xml:space="preserve">ould be a requirement to issue an acknowledgement or full response to a complaint </w:t>
      </w:r>
      <w:r w:rsidR="005B5D8B">
        <w:rPr>
          <w:rFonts w:eastAsia="Calibri"/>
          <w:szCs w:val="22"/>
        </w:rPr>
        <w:t xml:space="preserve">in a timely manner, and provide a clear response to any complaint within an appropriate timescale. </w:t>
      </w:r>
    </w:p>
    <w:p w:rsidR="008D265D" w:rsidRPr="00E64ED4" w:rsidRDefault="008D265D" w:rsidP="008D265D">
      <w:pPr>
        <w:spacing w:after="160"/>
        <w:ind w:left="720"/>
        <w:contextualSpacing/>
        <w:rPr>
          <w:rFonts w:eastAsia="Calibri"/>
          <w:szCs w:val="22"/>
        </w:rPr>
      </w:pPr>
    </w:p>
    <w:p w:rsidR="00671492" w:rsidRPr="0092224F" w:rsidRDefault="008D265D" w:rsidP="002474C2">
      <w:pPr>
        <w:numPr>
          <w:ilvl w:val="0"/>
          <w:numId w:val="1"/>
        </w:numPr>
        <w:spacing w:after="160"/>
        <w:contextualSpacing/>
        <w:rPr>
          <w:rFonts w:eastAsia="Calibri"/>
          <w:szCs w:val="22"/>
        </w:rPr>
      </w:pPr>
      <w:r w:rsidRPr="00E64ED4">
        <w:rPr>
          <w:rFonts w:eastAsia="Calibri"/>
          <w:szCs w:val="22"/>
        </w:rPr>
        <w:t>Audit of Accredit</w:t>
      </w:r>
      <w:r w:rsidR="00671492">
        <w:rPr>
          <w:rFonts w:eastAsia="Calibri"/>
          <w:szCs w:val="22"/>
        </w:rPr>
        <w:t xml:space="preserve">ed Parking Association members </w:t>
      </w:r>
    </w:p>
    <w:p w:rsidR="008D265D" w:rsidRPr="003760EC" w:rsidRDefault="008D265D" w:rsidP="00671492">
      <w:pPr>
        <w:numPr>
          <w:ilvl w:val="1"/>
          <w:numId w:val="1"/>
        </w:numPr>
        <w:spacing w:after="160"/>
        <w:contextualSpacing/>
        <w:rPr>
          <w:rFonts w:eastAsia="Calibri"/>
          <w:szCs w:val="22"/>
        </w:rPr>
      </w:pPr>
      <w:r w:rsidRPr="00E64ED4">
        <w:rPr>
          <w:rFonts w:eastAsia="Calibri"/>
          <w:szCs w:val="22"/>
        </w:rPr>
        <w:t xml:space="preserve">This outlines the obligations on Accredited Parking Associations to audit their members’ processes and code compliance; this is distinct from the auditing </w:t>
      </w:r>
      <w:r w:rsidR="00966681">
        <w:rPr>
          <w:rFonts w:eastAsia="Calibri"/>
          <w:szCs w:val="22"/>
        </w:rPr>
        <w:t xml:space="preserve">that the Scrutiny </w:t>
      </w:r>
      <w:r w:rsidRPr="00E64ED4">
        <w:rPr>
          <w:rFonts w:eastAsia="Calibri"/>
          <w:szCs w:val="22"/>
        </w:rPr>
        <w:t>Body will conduct upon the Associations and operators.</w:t>
      </w:r>
      <w:r w:rsidRPr="00E64ED4">
        <w:rPr>
          <w:rFonts w:eastAsia="Calibri"/>
          <w:color w:val="000000"/>
          <w:szCs w:val="22"/>
        </w:rPr>
        <w:t xml:space="preserve"> This will </w:t>
      </w:r>
      <w:r w:rsidR="00671492">
        <w:rPr>
          <w:rFonts w:eastAsia="Calibri"/>
          <w:color w:val="000000"/>
          <w:szCs w:val="22"/>
        </w:rPr>
        <w:t xml:space="preserve">also </w:t>
      </w:r>
      <w:r w:rsidRPr="00E64ED4">
        <w:rPr>
          <w:rFonts w:eastAsia="Calibri"/>
          <w:color w:val="000000"/>
          <w:szCs w:val="22"/>
        </w:rPr>
        <w:t>work in tandem to the DVLA’s own auditing of data compliance which they are r</w:t>
      </w:r>
      <w:r w:rsidR="00671492">
        <w:rPr>
          <w:rFonts w:eastAsia="Calibri"/>
          <w:color w:val="000000"/>
          <w:szCs w:val="22"/>
        </w:rPr>
        <w:t>equired to do as owners of data under data protection laws.</w:t>
      </w:r>
    </w:p>
    <w:p w:rsidR="003760EC" w:rsidRPr="003760EC" w:rsidRDefault="003760EC" w:rsidP="003760EC">
      <w:pPr>
        <w:spacing w:after="160"/>
        <w:ind w:left="1080"/>
        <w:contextualSpacing/>
        <w:rPr>
          <w:rFonts w:eastAsia="Calibri"/>
          <w:szCs w:val="22"/>
        </w:rPr>
      </w:pPr>
    </w:p>
    <w:p w:rsidR="003760EC" w:rsidRPr="00E64ED4" w:rsidRDefault="003760EC" w:rsidP="00671492">
      <w:pPr>
        <w:numPr>
          <w:ilvl w:val="1"/>
          <w:numId w:val="1"/>
        </w:numPr>
        <w:spacing w:after="160"/>
        <w:contextualSpacing/>
        <w:rPr>
          <w:rFonts w:eastAsia="Calibri"/>
          <w:szCs w:val="22"/>
        </w:rPr>
      </w:pPr>
      <w:r>
        <w:rPr>
          <w:rFonts w:eastAsia="Calibri"/>
          <w:color w:val="000000"/>
          <w:szCs w:val="22"/>
        </w:rPr>
        <w:t xml:space="preserve">An audit must be completed before an operator may join a Parking Association and compliance must be demonstrated. Parking Associations must also conduct adequate on-going monitoring of code compliance, including of technology. </w:t>
      </w:r>
    </w:p>
    <w:p w:rsidR="008D265D" w:rsidRDefault="008D265D" w:rsidP="008D265D">
      <w:pPr>
        <w:spacing w:after="160"/>
        <w:ind w:left="720"/>
        <w:contextualSpacing/>
        <w:rPr>
          <w:rFonts w:eastAsia="Calibri"/>
          <w:szCs w:val="22"/>
        </w:rPr>
      </w:pPr>
      <w:r w:rsidRPr="00E64ED4">
        <w:rPr>
          <w:rFonts w:eastAsia="Calibri"/>
          <w:szCs w:val="22"/>
        </w:rPr>
        <w:t xml:space="preserve"> </w:t>
      </w:r>
    </w:p>
    <w:p w:rsidR="0092224F" w:rsidRDefault="0092224F" w:rsidP="008D265D">
      <w:pPr>
        <w:spacing w:after="160"/>
        <w:ind w:left="720"/>
        <w:contextualSpacing/>
        <w:rPr>
          <w:rFonts w:eastAsia="Calibri"/>
          <w:szCs w:val="22"/>
        </w:rPr>
      </w:pPr>
    </w:p>
    <w:p w:rsidR="00966681" w:rsidRDefault="00966681" w:rsidP="008D265D">
      <w:pPr>
        <w:spacing w:after="160"/>
        <w:ind w:left="720"/>
        <w:contextualSpacing/>
        <w:rPr>
          <w:rFonts w:eastAsia="Calibri"/>
          <w:szCs w:val="22"/>
        </w:rPr>
      </w:pPr>
    </w:p>
    <w:p w:rsidR="00966681" w:rsidRDefault="00966681" w:rsidP="008D265D">
      <w:pPr>
        <w:spacing w:after="160"/>
        <w:ind w:left="720"/>
        <w:contextualSpacing/>
        <w:rPr>
          <w:rFonts w:eastAsia="Calibri"/>
          <w:szCs w:val="22"/>
        </w:rPr>
      </w:pPr>
    </w:p>
    <w:p w:rsidR="0092224F" w:rsidRPr="00E64ED4" w:rsidRDefault="0092224F" w:rsidP="008D265D">
      <w:pPr>
        <w:spacing w:after="160"/>
        <w:ind w:left="720"/>
        <w:contextualSpacing/>
        <w:rPr>
          <w:rFonts w:eastAsia="Calibri"/>
          <w:szCs w:val="22"/>
        </w:rPr>
      </w:pPr>
    </w:p>
    <w:bookmarkEnd w:id="1"/>
    <w:p w:rsidR="003760EC" w:rsidRPr="0092224F" w:rsidRDefault="003760EC" w:rsidP="002474C2">
      <w:pPr>
        <w:numPr>
          <w:ilvl w:val="0"/>
          <w:numId w:val="1"/>
        </w:numPr>
        <w:spacing w:after="160"/>
        <w:contextualSpacing/>
        <w:rPr>
          <w:rFonts w:eastAsia="Calibri"/>
          <w:color w:val="000000"/>
          <w:szCs w:val="22"/>
        </w:rPr>
      </w:pPr>
      <w:r>
        <w:rPr>
          <w:rFonts w:eastAsia="Calibri"/>
          <w:color w:val="000000"/>
          <w:szCs w:val="22"/>
        </w:rPr>
        <w:t xml:space="preserve">Insurance </w:t>
      </w:r>
    </w:p>
    <w:p w:rsidR="008D265D" w:rsidRPr="003760EC" w:rsidRDefault="008D265D" w:rsidP="003760EC">
      <w:pPr>
        <w:numPr>
          <w:ilvl w:val="1"/>
          <w:numId w:val="1"/>
        </w:numPr>
        <w:spacing w:after="160"/>
        <w:contextualSpacing/>
        <w:rPr>
          <w:rFonts w:eastAsia="Calibri"/>
          <w:color w:val="000000"/>
          <w:szCs w:val="22"/>
        </w:rPr>
      </w:pPr>
      <w:r w:rsidRPr="003760EC">
        <w:rPr>
          <w:rFonts w:eastAsia="Calibri"/>
          <w:color w:val="000000"/>
          <w:szCs w:val="22"/>
        </w:rPr>
        <w:t xml:space="preserve">This outlines the requirements on parking operators to have </w:t>
      </w:r>
      <w:r w:rsidR="00B85DEE">
        <w:rPr>
          <w:rFonts w:eastAsia="Calibri"/>
          <w:color w:val="000000"/>
          <w:szCs w:val="22"/>
        </w:rPr>
        <w:t>appropriate levels of insurance.</w:t>
      </w:r>
      <w:r w:rsidR="00B85DEE" w:rsidRPr="003760EC">
        <w:rPr>
          <w:rFonts w:eastAsia="Calibri"/>
          <w:color w:val="000000"/>
          <w:szCs w:val="22"/>
        </w:rPr>
        <w:t xml:space="preserve"> </w:t>
      </w:r>
    </w:p>
    <w:p w:rsidR="008D265D" w:rsidRPr="00E64ED4" w:rsidRDefault="008D265D" w:rsidP="008D265D">
      <w:pPr>
        <w:spacing w:after="160"/>
        <w:ind w:left="720"/>
        <w:contextualSpacing/>
        <w:rPr>
          <w:rFonts w:eastAsia="Calibri"/>
          <w:color w:val="000000"/>
          <w:szCs w:val="22"/>
        </w:rPr>
      </w:pPr>
      <w:r w:rsidRPr="00E64ED4">
        <w:rPr>
          <w:rFonts w:eastAsia="Calibri"/>
          <w:color w:val="000000"/>
          <w:szCs w:val="22"/>
        </w:rPr>
        <w:t xml:space="preserve"> </w:t>
      </w:r>
    </w:p>
    <w:p w:rsidR="003760EC" w:rsidRPr="0092224F" w:rsidRDefault="008D265D" w:rsidP="002474C2">
      <w:pPr>
        <w:numPr>
          <w:ilvl w:val="0"/>
          <w:numId w:val="1"/>
        </w:numPr>
        <w:spacing w:after="160"/>
        <w:contextualSpacing/>
        <w:rPr>
          <w:rFonts w:eastAsia="Calibri"/>
          <w:color w:val="000000"/>
          <w:szCs w:val="22"/>
        </w:rPr>
      </w:pPr>
      <w:r w:rsidRPr="00E64ED4">
        <w:rPr>
          <w:rFonts w:eastAsia="Calibri"/>
          <w:color w:val="000000"/>
          <w:szCs w:val="22"/>
        </w:rPr>
        <w:t xml:space="preserve">Sanctions and suspensions </w:t>
      </w:r>
    </w:p>
    <w:p w:rsidR="001A76AA" w:rsidRDefault="008D265D" w:rsidP="003760EC">
      <w:pPr>
        <w:numPr>
          <w:ilvl w:val="1"/>
          <w:numId w:val="1"/>
        </w:numPr>
        <w:spacing w:after="160"/>
        <w:contextualSpacing/>
        <w:rPr>
          <w:rFonts w:eastAsia="Calibri"/>
          <w:color w:val="000000"/>
          <w:szCs w:val="22"/>
        </w:rPr>
      </w:pPr>
      <w:r w:rsidRPr="00E64ED4">
        <w:rPr>
          <w:rFonts w:eastAsia="Calibri"/>
          <w:color w:val="000000"/>
          <w:szCs w:val="22"/>
        </w:rPr>
        <w:t xml:space="preserve">This covers the sanctions and suspension process Accredited Parking Associations will follow when disciplining their operators. </w:t>
      </w:r>
    </w:p>
    <w:p w:rsidR="003760EC" w:rsidRPr="00B85DEE" w:rsidRDefault="003760EC" w:rsidP="00B85DEE">
      <w:pPr>
        <w:numPr>
          <w:ilvl w:val="1"/>
          <w:numId w:val="1"/>
        </w:numPr>
        <w:spacing w:after="160"/>
        <w:contextualSpacing/>
        <w:rPr>
          <w:rFonts w:eastAsia="Calibri"/>
          <w:color w:val="000000"/>
          <w:szCs w:val="22"/>
        </w:rPr>
      </w:pPr>
      <w:r>
        <w:rPr>
          <w:rFonts w:eastAsia="Calibri"/>
          <w:color w:val="000000"/>
          <w:szCs w:val="22"/>
        </w:rPr>
        <w:t>There</w:t>
      </w:r>
      <w:r w:rsidR="001A76AA">
        <w:rPr>
          <w:rFonts w:eastAsia="Calibri"/>
          <w:color w:val="000000"/>
          <w:szCs w:val="22"/>
        </w:rPr>
        <w:t xml:space="preserve"> will be a sanction scheme which</w:t>
      </w:r>
      <w:r w:rsidR="008D265D" w:rsidRPr="00E64ED4">
        <w:rPr>
          <w:rFonts w:eastAsia="Calibri"/>
          <w:color w:val="000000"/>
          <w:szCs w:val="22"/>
        </w:rPr>
        <w:t xml:space="preserve"> requires the Associations to liaise closely with the DVLA to ensure suspended operators are promptly denied access to DVLA data.</w:t>
      </w:r>
      <w:r>
        <w:rPr>
          <w:rFonts w:eastAsia="Calibri"/>
          <w:color w:val="000000"/>
          <w:szCs w:val="22"/>
        </w:rPr>
        <w:t xml:space="preserve"> </w:t>
      </w:r>
    </w:p>
    <w:p w:rsidR="008D265D" w:rsidRPr="00E64ED4" w:rsidRDefault="003760EC" w:rsidP="003760EC">
      <w:pPr>
        <w:numPr>
          <w:ilvl w:val="1"/>
          <w:numId w:val="1"/>
        </w:numPr>
        <w:spacing w:after="160"/>
        <w:contextualSpacing/>
        <w:rPr>
          <w:rFonts w:eastAsia="Calibri"/>
          <w:color w:val="000000"/>
          <w:szCs w:val="22"/>
        </w:rPr>
      </w:pPr>
      <w:r>
        <w:rPr>
          <w:rFonts w:eastAsia="Calibri"/>
          <w:color w:val="000000"/>
          <w:szCs w:val="22"/>
        </w:rPr>
        <w:t xml:space="preserve">As a result of the DVLA’s </w:t>
      </w:r>
      <w:r w:rsidR="008D265D" w:rsidRPr="00E64ED4">
        <w:rPr>
          <w:rFonts w:eastAsia="Calibri"/>
          <w:color w:val="000000"/>
          <w:szCs w:val="22"/>
        </w:rPr>
        <w:t>auditing</w:t>
      </w:r>
      <w:r>
        <w:rPr>
          <w:rFonts w:eastAsia="Calibri"/>
          <w:color w:val="000000"/>
          <w:szCs w:val="22"/>
        </w:rPr>
        <w:t xml:space="preserve"> of data protection</w:t>
      </w:r>
      <w:r w:rsidR="008D265D" w:rsidRPr="00E64ED4">
        <w:rPr>
          <w:rFonts w:eastAsia="Calibri"/>
          <w:color w:val="000000"/>
          <w:szCs w:val="22"/>
        </w:rPr>
        <w:t>, the DVLA may suspend an operator’s access to DVLA data pending confirmation that the requisite correction have been made.</w:t>
      </w:r>
    </w:p>
    <w:p w:rsidR="008D265D" w:rsidRPr="00E64ED4" w:rsidRDefault="008D265D" w:rsidP="008D265D">
      <w:pPr>
        <w:spacing w:after="160"/>
        <w:ind w:left="720"/>
        <w:contextualSpacing/>
        <w:rPr>
          <w:rFonts w:eastAsia="Calibri"/>
          <w:color w:val="000000"/>
          <w:szCs w:val="22"/>
        </w:rPr>
      </w:pPr>
    </w:p>
    <w:p w:rsidR="003760EC" w:rsidRPr="0092224F" w:rsidRDefault="008D265D" w:rsidP="002474C2">
      <w:pPr>
        <w:numPr>
          <w:ilvl w:val="0"/>
          <w:numId w:val="1"/>
        </w:numPr>
        <w:spacing w:after="160"/>
        <w:contextualSpacing/>
        <w:rPr>
          <w:rFonts w:eastAsia="Calibri"/>
          <w:szCs w:val="22"/>
        </w:rPr>
      </w:pPr>
      <w:r w:rsidRPr="00E64ED4">
        <w:rPr>
          <w:rFonts w:eastAsia="Calibri"/>
          <w:szCs w:val="22"/>
        </w:rPr>
        <w:t>Transfer/Termination of membership between Ac</w:t>
      </w:r>
      <w:r w:rsidR="003760EC">
        <w:rPr>
          <w:rFonts w:eastAsia="Calibri"/>
          <w:szCs w:val="22"/>
        </w:rPr>
        <w:t xml:space="preserve">credited Parking Associations </w:t>
      </w:r>
    </w:p>
    <w:p w:rsidR="008D265D" w:rsidRPr="00E64ED4" w:rsidRDefault="008D265D" w:rsidP="003760EC">
      <w:pPr>
        <w:numPr>
          <w:ilvl w:val="1"/>
          <w:numId w:val="1"/>
        </w:numPr>
        <w:spacing w:after="160"/>
        <w:contextualSpacing/>
        <w:rPr>
          <w:rFonts w:eastAsia="Calibri"/>
          <w:szCs w:val="22"/>
        </w:rPr>
      </w:pPr>
      <w:r w:rsidRPr="00E64ED4">
        <w:rPr>
          <w:rFonts w:eastAsia="Calibri"/>
          <w:szCs w:val="22"/>
        </w:rPr>
        <w:t>T</w:t>
      </w:r>
      <w:r w:rsidR="003760EC">
        <w:rPr>
          <w:rFonts w:eastAsia="Calibri"/>
          <w:szCs w:val="22"/>
        </w:rPr>
        <w:t xml:space="preserve">here would be an obligation for </w:t>
      </w:r>
      <w:r w:rsidRPr="00E64ED4">
        <w:rPr>
          <w:rFonts w:eastAsia="Calibri"/>
          <w:szCs w:val="22"/>
        </w:rPr>
        <w:t xml:space="preserve">Accredited Parking Associations to investigate and liaise with other Parking Associations when an operator wishes to transfer from one </w:t>
      </w:r>
      <w:r w:rsidR="003760EC">
        <w:rPr>
          <w:rFonts w:eastAsia="Calibri"/>
          <w:szCs w:val="22"/>
        </w:rPr>
        <w:t>A</w:t>
      </w:r>
      <w:r w:rsidRPr="00E64ED4">
        <w:rPr>
          <w:rFonts w:eastAsia="Calibri"/>
          <w:szCs w:val="22"/>
        </w:rPr>
        <w:t>ssociation to another. This is to prevent an operator from being suspended and simply switching membership in order to avoid the sanctions.</w:t>
      </w:r>
      <w:r w:rsidR="003760EC">
        <w:rPr>
          <w:rFonts w:eastAsia="Calibri"/>
          <w:szCs w:val="22"/>
        </w:rPr>
        <w:t xml:space="preserve"> Parking Associations would also have to notify the DVLA and the Scrutiny and Standards Body.</w:t>
      </w:r>
    </w:p>
    <w:p w:rsidR="008D265D" w:rsidRPr="00E64ED4" w:rsidRDefault="008D265D" w:rsidP="008D265D">
      <w:pPr>
        <w:spacing w:after="160"/>
        <w:ind w:left="720"/>
        <w:contextualSpacing/>
        <w:rPr>
          <w:rFonts w:eastAsia="Calibri"/>
          <w:szCs w:val="22"/>
        </w:rPr>
      </w:pPr>
    </w:p>
    <w:p w:rsidR="003760EC" w:rsidRPr="0092224F" w:rsidRDefault="001A76AA" w:rsidP="002474C2">
      <w:pPr>
        <w:numPr>
          <w:ilvl w:val="0"/>
          <w:numId w:val="1"/>
        </w:numPr>
        <w:spacing w:after="160"/>
        <w:contextualSpacing/>
        <w:rPr>
          <w:rFonts w:eastAsia="Calibri"/>
          <w:szCs w:val="22"/>
        </w:rPr>
      </w:pPr>
      <w:r>
        <w:rPr>
          <w:rFonts w:eastAsia="Calibri"/>
          <w:szCs w:val="22"/>
        </w:rPr>
        <w:t>Scrutiny</w:t>
      </w:r>
      <w:r w:rsidR="003760EC">
        <w:rPr>
          <w:rFonts w:eastAsia="Calibri"/>
          <w:szCs w:val="22"/>
        </w:rPr>
        <w:t xml:space="preserve"> Body </w:t>
      </w:r>
    </w:p>
    <w:p w:rsidR="001A76AA" w:rsidRDefault="008D265D" w:rsidP="003760EC">
      <w:pPr>
        <w:numPr>
          <w:ilvl w:val="1"/>
          <w:numId w:val="1"/>
        </w:numPr>
        <w:spacing w:after="160"/>
        <w:contextualSpacing/>
        <w:rPr>
          <w:rFonts w:eastAsia="Calibri"/>
          <w:szCs w:val="22"/>
        </w:rPr>
      </w:pPr>
      <w:r w:rsidRPr="00E64ED4">
        <w:rPr>
          <w:rFonts w:eastAsia="Calibri"/>
          <w:szCs w:val="22"/>
        </w:rPr>
        <w:t>This section outlines the duties and functio</w:t>
      </w:r>
      <w:r w:rsidR="001A76AA">
        <w:rPr>
          <w:rFonts w:eastAsia="Calibri"/>
          <w:szCs w:val="22"/>
        </w:rPr>
        <w:t>ns of the Scrutiny</w:t>
      </w:r>
      <w:r w:rsidRPr="00E64ED4">
        <w:rPr>
          <w:rFonts w:eastAsia="Calibri"/>
          <w:szCs w:val="22"/>
        </w:rPr>
        <w:t xml:space="preserve"> Body. </w:t>
      </w:r>
    </w:p>
    <w:p w:rsidR="008D265D" w:rsidRPr="00E64ED4" w:rsidRDefault="008D265D" w:rsidP="003760EC">
      <w:pPr>
        <w:numPr>
          <w:ilvl w:val="1"/>
          <w:numId w:val="1"/>
        </w:numPr>
        <w:spacing w:after="160"/>
        <w:contextualSpacing/>
        <w:rPr>
          <w:rFonts w:eastAsia="Calibri"/>
          <w:szCs w:val="22"/>
        </w:rPr>
      </w:pPr>
      <w:r w:rsidRPr="00E64ED4">
        <w:rPr>
          <w:rFonts w:eastAsia="Calibri"/>
          <w:szCs w:val="22"/>
        </w:rPr>
        <w:t xml:space="preserve">The body will conduct the auditing of the Parking Associations and Parking Operators. It will </w:t>
      </w:r>
      <w:r w:rsidR="001A76AA">
        <w:rPr>
          <w:rFonts w:eastAsia="Calibri"/>
          <w:szCs w:val="22"/>
        </w:rPr>
        <w:t xml:space="preserve">report publically on its activities, </w:t>
      </w:r>
      <w:r w:rsidR="00963F36" w:rsidRPr="00E64ED4">
        <w:rPr>
          <w:rFonts w:eastAsia="Calibri"/>
          <w:szCs w:val="22"/>
        </w:rPr>
        <w:t xml:space="preserve">to include </w:t>
      </w:r>
      <w:r w:rsidR="00963F36">
        <w:rPr>
          <w:rFonts w:eastAsia="Calibri"/>
          <w:szCs w:val="22"/>
        </w:rPr>
        <w:t>an annual report on its actions, and</w:t>
      </w:r>
      <w:r w:rsidR="001A76AA">
        <w:rPr>
          <w:rFonts w:eastAsia="Calibri"/>
          <w:szCs w:val="22"/>
        </w:rPr>
        <w:t xml:space="preserve"> how</w:t>
      </w:r>
      <w:r w:rsidR="00963F36">
        <w:rPr>
          <w:rFonts w:eastAsia="Calibri"/>
          <w:szCs w:val="22"/>
        </w:rPr>
        <w:t xml:space="preserve"> funding through the Levy</w:t>
      </w:r>
      <w:r w:rsidR="001A76AA">
        <w:rPr>
          <w:rFonts w:eastAsia="Calibri"/>
          <w:szCs w:val="22"/>
        </w:rPr>
        <w:t xml:space="preserve"> is used</w:t>
      </w:r>
      <w:r w:rsidR="00963F36">
        <w:rPr>
          <w:rFonts w:eastAsia="Calibri"/>
          <w:szCs w:val="22"/>
        </w:rPr>
        <w:t>.</w:t>
      </w:r>
    </w:p>
    <w:p w:rsidR="008D265D" w:rsidRPr="00E64ED4" w:rsidRDefault="008D265D" w:rsidP="008D265D">
      <w:pPr>
        <w:spacing w:after="160"/>
        <w:ind w:left="720"/>
        <w:contextualSpacing/>
        <w:rPr>
          <w:rFonts w:eastAsia="Calibri"/>
          <w:szCs w:val="22"/>
        </w:rPr>
      </w:pPr>
    </w:p>
    <w:p w:rsidR="003760EC" w:rsidRDefault="003760EC" w:rsidP="003760EC">
      <w:pPr>
        <w:numPr>
          <w:ilvl w:val="0"/>
          <w:numId w:val="1"/>
        </w:numPr>
        <w:spacing w:after="160"/>
        <w:contextualSpacing/>
        <w:rPr>
          <w:rFonts w:eastAsia="Calibri"/>
          <w:color w:val="000000"/>
          <w:szCs w:val="22"/>
        </w:rPr>
      </w:pPr>
      <w:r>
        <w:rPr>
          <w:rFonts w:eastAsia="Calibri"/>
          <w:color w:val="000000"/>
          <w:szCs w:val="22"/>
        </w:rPr>
        <w:t xml:space="preserve">Professional Standards </w:t>
      </w:r>
    </w:p>
    <w:p w:rsidR="003760EC" w:rsidRDefault="003760EC" w:rsidP="003760EC">
      <w:pPr>
        <w:spacing w:after="160"/>
        <w:ind w:left="720"/>
        <w:contextualSpacing/>
        <w:rPr>
          <w:rFonts w:eastAsia="Calibri"/>
          <w:color w:val="000000"/>
          <w:szCs w:val="22"/>
        </w:rPr>
      </w:pPr>
    </w:p>
    <w:p w:rsidR="00963F36" w:rsidRDefault="00963F36" w:rsidP="00963F36">
      <w:pPr>
        <w:numPr>
          <w:ilvl w:val="1"/>
          <w:numId w:val="1"/>
        </w:numPr>
        <w:spacing w:after="160"/>
        <w:contextualSpacing/>
        <w:rPr>
          <w:rFonts w:eastAsia="Calibri"/>
          <w:color w:val="000000"/>
          <w:szCs w:val="22"/>
        </w:rPr>
      </w:pPr>
      <w:r>
        <w:rPr>
          <w:rFonts w:eastAsia="Calibri"/>
          <w:color w:val="000000"/>
          <w:szCs w:val="22"/>
        </w:rPr>
        <w:t>T</w:t>
      </w:r>
      <w:r w:rsidR="008D265D" w:rsidRPr="003760EC">
        <w:rPr>
          <w:rFonts w:eastAsia="Calibri"/>
          <w:color w:val="000000"/>
          <w:szCs w:val="22"/>
        </w:rPr>
        <w:t>he Parking Associations and Parking Operators must uphold</w:t>
      </w:r>
      <w:r>
        <w:rPr>
          <w:rFonts w:eastAsia="Calibri"/>
          <w:color w:val="000000"/>
          <w:szCs w:val="22"/>
        </w:rPr>
        <w:t xml:space="preserve"> a professional standard of behaviour</w:t>
      </w:r>
      <w:r w:rsidR="008D265D" w:rsidRPr="003760EC">
        <w:rPr>
          <w:rFonts w:eastAsia="Calibri"/>
          <w:color w:val="000000"/>
          <w:szCs w:val="22"/>
        </w:rPr>
        <w:t xml:space="preserve">. Standards include having parking attendants complete </w:t>
      </w:r>
      <w:r w:rsidR="0092224F">
        <w:rPr>
          <w:rFonts w:eastAsia="Calibri"/>
          <w:color w:val="000000"/>
          <w:szCs w:val="22"/>
        </w:rPr>
        <w:t xml:space="preserve">appropriate professional </w:t>
      </w:r>
      <w:r w:rsidR="008D265D" w:rsidRPr="003760EC">
        <w:rPr>
          <w:rFonts w:eastAsia="Calibri"/>
          <w:color w:val="000000"/>
          <w:szCs w:val="22"/>
        </w:rPr>
        <w:t>training</w:t>
      </w:r>
      <w:r w:rsidR="0092224F">
        <w:rPr>
          <w:rFonts w:eastAsia="Calibri"/>
          <w:color w:val="000000"/>
          <w:szCs w:val="22"/>
        </w:rPr>
        <w:t xml:space="preserve"> which is regularly refreshed,</w:t>
      </w:r>
      <w:r w:rsidR="008D265D" w:rsidRPr="003760EC">
        <w:rPr>
          <w:rFonts w:eastAsia="Calibri"/>
          <w:color w:val="000000"/>
          <w:szCs w:val="22"/>
        </w:rPr>
        <w:t xml:space="preserve"> and that attendants should wear an appropriate</w:t>
      </w:r>
      <w:r>
        <w:rPr>
          <w:rFonts w:eastAsia="Calibri"/>
          <w:color w:val="000000"/>
          <w:szCs w:val="22"/>
        </w:rPr>
        <w:t xml:space="preserve"> uniform and identification. </w:t>
      </w:r>
    </w:p>
    <w:p w:rsidR="00963F36" w:rsidRDefault="00963F36" w:rsidP="00963F36">
      <w:pPr>
        <w:spacing w:after="160"/>
        <w:ind w:left="1080"/>
        <w:contextualSpacing/>
        <w:rPr>
          <w:rFonts w:eastAsia="Calibri"/>
          <w:color w:val="000000"/>
          <w:szCs w:val="22"/>
        </w:rPr>
      </w:pPr>
    </w:p>
    <w:p w:rsidR="00963F36" w:rsidRPr="00963F36" w:rsidRDefault="00963F36" w:rsidP="00963F36">
      <w:pPr>
        <w:numPr>
          <w:ilvl w:val="1"/>
          <w:numId w:val="1"/>
        </w:numPr>
        <w:spacing w:after="160"/>
        <w:contextualSpacing/>
        <w:rPr>
          <w:rFonts w:eastAsia="Calibri"/>
          <w:color w:val="000000"/>
          <w:szCs w:val="22"/>
        </w:rPr>
      </w:pPr>
      <w:r>
        <w:rPr>
          <w:rFonts w:eastAsia="Calibri"/>
          <w:color w:val="000000"/>
          <w:szCs w:val="22"/>
        </w:rPr>
        <w:t>The Code would</w:t>
      </w:r>
      <w:r w:rsidR="008D265D" w:rsidRPr="003760EC">
        <w:rPr>
          <w:rFonts w:eastAsia="Calibri"/>
          <w:color w:val="000000"/>
          <w:szCs w:val="22"/>
        </w:rPr>
        <w:t xml:space="preserve"> also explicitly rule out the adoption of incentive schemes for volume of</w:t>
      </w:r>
      <w:r>
        <w:rPr>
          <w:rFonts w:eastAsia="Calibri"/>
          <w:color w:val="000000"/>
          <w:szCs w:val="22"/>
        </w:rPr>
        <w:t xml:space="preserve"> Private Parking Notices issued and the use of predatory or misleading tactics.</w:t>
      </w:r>
    </w:p>
    <w:p w:rsidR="008D265D" w:rsidRPr="00E64ED4" w:rsidRDefault="008D265D" w:rsidP="008D265D">
      <w:pPr>
        <w:spacing w:after="160"/>
        <w:ind w:left="720"/>
        <w:contextualSpacing/>
        <w:rPr>
          <w:rFonts w:eastAsia="Calibri"/>
          <w:color w:val="000000"/>
          <w:szCs w:val="22"/>
        </w:rPr>
      </w:pPr>
    </w:p>
    <w:p w:rsidR="00963F36" w:rsidRDefault="008D265D" w:rsidP="00963F36">
      <w:pPr>
        <w:numPr>
          <w:ilvl w:val="0"/>
          <w:numId w:val="1"/>
        </w:numPr>
        <w:spacing w:after="160"/>
        <w:contextualSpacing/>
        <w:rPr>
          <w:rFonts w:eastAsia="Calibri"/>
          <w:color w:val="000000"/>
          <w:szCs w:val="22"/>
        </w:rPr>
      </w:pPr>
      <w:r w:rsidRPr="00E64ED4">
        <w:rPr>
          <w:rFonts w:eastAsia="Calibri"/>
          <w:color w:val="000000"/>
          <w:szCs w:val="22"/>
        </w:rPr>
        <w:t xml:space="preserve">The Equality Act 2010 </w:t>
      </w:r>
    </w:p>
    <w:p w:rsidR="00963F36" w:rsidRDefault="00963F36" w:rsidP="00963F36">
      <w:pPr>
        <w:spacing w:after="160"/>
        <w:ind w:left="720"/>
        <w:contextualSpacing/>
        <w:rPr>
          <w:rFonts w:eastAsia="Calibri"/>
          <w:color w:val="000000"/>
          <w:szCs w:val="22"/>
        </w:rPr>
      </w:pPr>
    </w:p>
    <w:p w:rsidR="008D265D" w:rsidRPr="00963F36" w:rsidRDefault="00963F36" w:rsidP="00963F36">
      <w:pPr>
        <w:numPr>
          <w:ilvl w:val="1"/>
          <w:numId w:val="1"/>
        </w:numPr>
        <w:spacing w:after="160"/>
        <w:contextualSpacing/>
        <w:rPr>
          <w:rFonts w:eastAsia="Calibri"/>
          <w:color w:val="000000"/>
          <w:szCs w:val="22"/>
        </w:rPr>
      </w:pPr>
      <w:r>
        <w:rPr>
          <w:rFonts w:eastAsia="Calibri"/>
          <w:color w:val="000000"/>
          <w:szCs w:val="22"/>
        </w:rPr>
        <w:lastRenderedPageBreak/>
        <w:t>P</w:t>
      </w:r>
      <w:r w:rsidR="008D265D" w:rsidRPr="00963F36">
        <w:rPr>
          <w:rFonts w:eastAsia="Calibri"/>
          <w:color w:val="000000"/>
          <w:szCs w:val="22"/>
        </w:rPr>
        <w:t xml:space="preserve">arking operators and landowners </w:t>
      </w:r>
      <w:r>
        <w:rPr>
          <w:rFonts w:eastAsia="Calibri"/>
          <w:color w:val="000000"/>
          <w:szCs w:val="22"/>
        </w:rPr>
        <w:t xml:space="preserve">are obligated </w:t>
      </w:r>
      <w:r w:rsidR="008D265D" w:rsidRPr="00963F36">
        <w:rPr>
          <w:rFonts w:eastAsia="Calibri"/>
          <w:color w:val="000000"/>
          <w:szCs w:val="22"/>
        </w:rPr>
        <w:t xml:space="preserve">to make “reasonable adjustments” to prevent discrimination under the Equality Act 2010. It gives a non-exhaustive list of adjustments, including lowered payment machines and adopting the Blue Badge scheme. </w:t>
      </w:r>
    </w:p>
    <w:p w:rsidR="008D265D" w:rsidRPr="00E64ED4" w:rsidRDefault="008D265D" w:rsidP="008D265D">
      <w:pPr>
        <w:spacing w:after="160"/>
        <w:ind w:left="720"/>
        <w:contextualSpacing/>
        <w:rPr>
          <w:rFonts w:eastAsia="Calibri"/>
          <w:color w:val="000000"/>
          <w:szCs w:val="22"/>
        </w:rPr>
      </w:pPr>
    </w:p>
    <w:p w:rsidR="003760EC" w:rsidRPr="003760EC" w:rsidRDefault="003760EC" w:rsidP="008D265D">
      <w:pPr>
        <w:numPr>
          <w:ilvl w:val="0"/>
          <w:numId w:val="1"/>
        </w:numPr>
        <w:spacing w:after="160"/>
        <w:contextualSpacing/>
        <w:rPr>
          <w:rFonts w:eastAsia="Calibri"/>
          <w:color w:val="000000"/>
          <w:szCs w:val="22"/>
        </w:rPr>
      </w:pPr>
      <w:r>
        <w:rPr>
          <w:rFonts w:eastAsia="Calibri"/>
          <w:szCs w:val="22"/>
        </w:rPr>
        <w:t xml:space="preserve">Definitions </w:t>
      </w:r>
    </w:p>
    <w:p w:rsidR="003760EC" w:rsidRPr="003760EC" w:rsidRDefault="003760EC" w:rsidP="003760EC">
      <w:pPr>
        <w:spacing w:after="160"/>
        <w:ind w:left="720"/>
        <w:contextualSpacing/>
        <w:rPr>
          <w:rFonts w:eastAsia="Calibri"/>
          <w:color w:val="000000"/>
          <w:szCs w:val="22"/>
        </w:rPr>
      </w:pPr>
    </w:p>
    <w:p w:rsidR="008D265D" w:rsidRPr="003760EC" w:rsidRDefault="00963F36" w:rsidP="003760EC">
      <w:pPr>
        <w:numPr>
          <w:ilvl w:val="1"/>
          <w:numId w:val="1"/>
        </w:numPr>
        <w:spacing w:after="160"/>
        <w:contextualSpacing/>
        <w:rPr>
          <w:rFonts w:eastAsia="Calibri"/>
          <w:color w:val="000000"/>
          <w:szCs w:val="22"/>
        </w:rPr>
      </w:pPr>
      <w:r>
        <w:rPr>
          <w:rFonts w:eastAsia="Calibri"/>
          <w:szCs w:val="22"/>
        </w:rPr>
        <w:t xml:space="preserve">Provide a </w:t>
      </w:r>
      <w:r w:rsidR="008D265D" w:rsidRPr="00E64ED4">
        <w:rPr>
          <w:rFonts w:eastAsia="Calibri"/>
          <w:szCs w:val="22"/>
        </w:rPr>
        <w:t>list of definitions and terms</w:t>
      </w:r>
    </w:p>
    <w:p w:rsidR="003760EC" w:rsidRPr="00E64ED4" w:rsidRDefault="003760EC" w:rsidP="003760EC">
      <w:pPr>
        <w:spacing w:after="160"/>
        <w:ind w:left="1080"/>
        <w:contextualSpacing/>
        <w:rPr>
          <w:rFonts w:eastAsia="Calibri"/>
          <w:color w:val="000000"/>
          <w:szCs w:val="22"/>
        </w:rPr>
      </w:pPr>
    </w:p>
    <w:p w:rsidR="008D265D" w:rsidRPr="00E64ED4" w:rsidRDefault="008D265D" w:rsidP="00C05E9D">
      <w:pPr>
        <w:numPr>
          <w:ilvl w:val="0"/>
          <w:numId w:val="1"/>
        </w:numPr>
        <w:spacing w:after="160"/>
        <w:contextualSpacing/>
        <w:rPr>
          <w:rFonts w:eastAsia="Calibri"/>
          <w:szCs w:val="22"/>
        </w:rPr>
      </w:pPr>
      <w:r w:rsidRPr="00E64ED4">
        <w:rPr>
          <w:rFonts w:eastAsia="Calibri"/>
          <w:szCs w:val="22"/>
        </w:rPr>
        <w:t>The Code of Practice will also provide templates and guidelines to operators that are meant to demonstrate the intent whilst not being prescriptive and constraining private industry.</w:t>
      </w:r>
    </w:p>
    <w:p w:rsidR="00963F36" w:rsidRDefault="008D265D" w:rsidP="00963F36">
      <w:pPr>
        <w:spacing w:after="160"/>
        <w:rPr>
          <w:rFonts w:eastAsia="Calibri"/>
          <w:szCs w:val="22"/>
        </w:rPr>
      </w:pPr>
      <w:r w:rsidRPr="00E64ED4">
        <w:rPr>
          <w:rFonts w:eastAsia="Calibri"/>
          <w:szCs w:val="22"/>
        </w:rPr>
        <w:tab/>
        <w:t xml:space="preserve"> </w:t>
      </w:r>
    </w:p>
    <w:p w:rsidR="008D265D" w:rsidRPr="00E64ED4" w:rsidRDefault="008D265D" w:rsidP="00963F36">
      <w:pPr>
        <w:spacing w:after="160"/>
        <w:ind w:firstLine="720"/>
        <w:rPr>
          <w:rFonts w:eastAsia="Calibri"/>
          <w:szCs w:val="22"/>
        </w:rPr>
      </w:pPr>
      <w:r w:rsidRPr="00E64ED4">
        <w:rPr>
          <w:rFonts w:eastAsia="Calibri"/>
          <w:szCs w:val="22"/>
        </w:rPr>
        <w:t xml:space="preserve">Annex A Landowner </w:t>
      </w:r>
      <w:r w:rsidR="003760EC">
        <w:rPr>
          <w:rFonts w:eastAsia="Calibri"/>
          <w:szCs w:val="22"/>
        </w:rPr>
        <w:t>n</w:t>
      </w:r>
      <w:r w:rsidRPr="00E64ED4">
        <w:rPr>
          <w:rFonts w:eastAsia="Calibri"/>
          <w:szCs w:val="22"/>
        </w:rPr>
        <w:t xml:space="preserve">otice template </w:t>
      </w:r>
    </w:p>
    <w:p w:rsidR="008D265D" w:rsidRPr="00E64ED4" w:rsidRDefault="008D265D" w:rsidP="008D265D">
      <w:pPr>
        <w:spacing w:after="160"/>
        <w:ind w:firstLine="720"/>
        <w:rPr>
          <w:rFonts w:eastAsia="Calibri"/>
          <w:szCs w:val="22"/>
        </w:rPr>
      </w:pPr>
      <w:r w:rsidRPr="00E64ED4">
        <w:rPr>
          <w:rFonts w:eastAsia="Calibri"/>
          <w:szCs w:val="22"/>
        </w:rPr>
        <w:t>Annex B Private Parking Notice (PPN) template</w:t>
      </w:r>
    </w:p>
    <w:p w:rsidR="008D265D" w:rsidRPr="00E64ED4" w:rsidRDefault="003760EC" w:rsidP="008D265D">
      <w:pPr>
        <w:spacing w:after="160"/>
        <w:ind w:firstLine="720"/>
        <w:rPr>
          <w:rFonts w:eastAsia="Calibri"/>
          <w:szCs w:val="22"/>
        </w:rPr>
      </w:pPr>
      <w:r>
        <w:rPr>
          <w:rFonts w:eastAsia="Calibri"/>
          <w:szCs w:val="22"/>
        </w:rPr>
        <w:t>Annex C Standard parking s</w:t>
      </w:r>
      <w:r w:rsidR="008D265D" w:rsidRPr="00E64ED4">
        <w:rPr>
          <w:rFonts w:eastAsia="Calibri"/>
          <w:szCs w:val="22"/>
        </w:rPr>
        <w:t>pace guidelines</w:t>
      </w:r>
    </w:p>
    <w:p w:rsidR="008D265D" w:rsidRPr="00E64ED4" w:rsidRDefault="008D265D" w:rsidP="008D265D">
      <w:pPr>
        <w:spacing w:after="160"/>
        <w:ind w:firstLine="720"/>
        <w:rPr>
          <w:rFonts w:eastAsia="Calibri"/>
          <w:szCs w:val="22"/>
        </w:rPr>
      </w:pPr>
      <w:r w:rsidRPr="00E64ED4">
        <w:rPr>
          <w:rFonts w:eastAsia="Calibri"/>
          <w:szCs w:val="22"/>
        </w:rPr>
        <w:t>Annex D Appeals and complaints flowcharts</w:t>
      </w:r>
    </w:p>
    <w:p w:rsidR="0056292B" w:rsidRDefault="0056292B"/>
    <w:sectPr w:rsidR="0056292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2E7" w:rsidRDefault="00E422E7" w:rsidP="009610AA">
      <w:pPr>
        <w:spacing w:after="0" w:line="240" w:lineRule="auto"/>
      </w:pPr>
      <w:r>
        <w:separator/>
      </w:r>
    </w:p>
  </w:endnote>
  <w:endnote w:type="continuationSeparator" w:id="0">
    <w:p w:rsidR="00E422E7" w:rsidRDefault="00E422E7" w:rsidP="00961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0AA" w:rsidRDefault="009610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0AA" w:rsidRDefault="009610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0AA" w:rsidRDefault="009610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2E7" w:rsidRDefault="00E422E7" w:rsidP="009610AA">
      <w:pPr>
        <w:spacing w:after="0" w:line="240" w:lineRule="auto"/>
      </w:pPr>
      <w:r>
        <w:separator/>
      </w:r>
    </w:p>
  </w:footnote>
  <w:footnote w:type="continuationSeparator" w:id="0">
    <w:p w:rsidR="00E422E7" w:rsidRDefault="00E422E7" w:rsidP="00961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0AA" w:rsidRDefault="009610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0AA" w:rsidRDefault="009610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0AA" w:rsidRDefault="009610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D854DF"/>
    <w:multiLevelType w:val="hybridMultilevel"/>
    <w:tmpl w:val="21E0E41A"/>
    <w:lvl w:ilvl="0" w:tplc="AAFC0CB0">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10AA"/>
    <w:rsid w:val="001306F3"/>
    <w:rsid w:val="001A2F50"/>
    <w:rsid w:val="001A76AA"/>
    <w:rsid w:val="0020090C"/>
    <w:rsid w:val="002474C2"/>
    <w:rsid w:val="002D3425"/>
    <w:rsid w:val="00300974"/>
    <w:rsid w:val="003760EC"/>
    <w:rsid w:val="003B70FC"/>
    <w:rsid w:val="003C6421"/>
    <w:rsid w:val="00476C67"/>
    <w:rsid w:val="0048600A"/>
    <w:rsid w:val="005511C7"/>
    <w:rsid w:val="0056292B"/>
    <w:rsid w:val="005B5D8B"/>
    <w:rsid w:val="00627F12"/>
    <w:rsid w:val="00671492"/>
    <w:rsid w:val="006B2E28"/>
    <w:rsid w:val="008D265D"/>
    <w:rsid w:val="0092224F"/>
    <w:rsid w:val="009610AA"/>
    <w:rsid w:val="00963F36"/>
    <w:rsid w:val="00966681"/>
    <w:rsid w:val="00A410F9"/>
    <w:rsid w:val="00B85DEE"/>
    <w:rsid w:val="00C05E9D"/>
    <w:rsid w:val="00DF24FE"/>
    <w:rsid w:val="00E422E7"/>
    <w:rsid w:val="00E82C00"/>
    <w:rsid w:val="00F71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3FC593"/>
  <w15:docId w15:val="{09C24C44-1FBB-4BD3-B916-39B862670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265D"/>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0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0AA"/>
  </w:style>
  <w:style w:type="paragraph" w:styleId="Footer">
    <w:name w:val="footer"/>
    <w:basedOn w:val="Normal"/>
    <w:link w:val="FooterChar"/>
    <w:uiPriority w:val="99"/>
    <w:unhideWhenUsed/>
    <w:rsid w:val="009610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0AA"/>
  </w:style>
  <w:style w:type="paragraph" w:styleId="BalloonText">
    <w:name w:val="Balloon Text"/>
    <w:basedOn w:val="Normal"/>
    <w:link w:val="BalloonTextChar"/>
    <w:uiPriority w:val="99"/>
    <w:semiHidden/>
    <w:unhideWhenUsed/>
    <w:rsid w:val="00C05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E9D"/>
    <w:rPr>
      <w:rFonts w:ascii="Tahoma" w:hAnsi="Tahoma" w:cs="Tahoma"/>
      <w:sz w:val="16"/>
      <w:szCs w:val="16"/>
    </w:rPr>
  </w:style>
  <w:style w:type="character" w:styleId="CommentReference">
    <w:name w:val="annotation reference"/>
    <w:basedOn w:val="DefaultParagraphFont"/>
    <w:uiPriority w:val="99"/>
    <w:semiHidden/>
    <w:unhideWhenUsed/>
    <w:rsid w:val="00DF24FE"/>
    <w:rPr>
      <w:sz w:val="16"/>
      <w:szCs w:val="16"/>
    </w:rPr>
  </w:style>
  <w:style w:type="paragraph" w:styleId="CommentText">
    <w:name w:val="annotation text"/>
    <w:basedOn w:val="Normal"/>
    <w:link w:val="CommentTextChar"/>
    <w:uiPriority w:val="99"/>
    <w:semiHidden/>
    <w:unhideWhenUsed/>
    <w:rsid w:val="00DF24FE"/>
    <w:pPr>
      <w:spacing w:line="240" w:lineRule="auto"/>
    </w:pPr>
    <w:rPr>
      <w:sz w:val="20"/>
      <w:szCs w:val="20"/>
    </w:rPr>
  </w:style>
  <w:style w:type="character" w:customStyle="1" w:styleId="CommentTextChar">
    <w:name w:val="Comment Text Char"/>
    <w:basedOn w:val="DefaultParagraphFont"/>
    <w:link w:val="CommentText"/>
    <w:uiPriority w:val="99"/>
    <w:semiHidden/>
    <w:rsid w:val="00DF24F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F24FE"/>
    <w:rPr>
      <w:b/>
      <w:bCs/>
    </w:rPr>
  </w:style>
  <w:style w:type="character" w:customStyle="1" w:styleId="CommentSubjectChar">
    <w:name w:val="Comment Subject Char"/>
    <w:basedOn w:val="CommentTextChar"/>
    <w:link w:val="CommentSubject"/>
    <w:uiPriority w:val="99"/>
    <w:semiHidden/>
    <w:rsid w:val="00DF24FE"/>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A4D2CAC461CC4E92DEEC2BC5169065" ma:contentTypeVersion="6" ma:contentTypeDescription="Create a new document." ma:contentTypeScope="" ma:versionID="b551ccea32987ab78cf05fa1c59df5b8">
  <xsd:schema xmlns:xsd="http://www.w3.org/2001/XMLSchema" xmlns:xs="http://www.w3.org/2001/XMLSchema" xmlns:p="http://schemas.microsoft.com/office/2006/metadata/properties" xmlns:ns2="4246bec0-d529-478b-b4aa-e80edf7f534d" targetNamespace="http://schemas.microsoft.com/office/2006/metadata/properties" ma:root="true" ma:fieldsID="01c21bf270ec6220225eac2179945516" ns2:_="">
    <xsd:import namespace="4246bec0-d529-478b-b4aa-e80edf7f53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6bec0-d529-478b-b4aa-e80edf7f53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57D89766-4577-4130-8BA5-8C13EBA8E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6bec0-d529-478b-b4aa-e80edf7f5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A16C32-FFCB-4B54-9957-FC9CC987DFBF}">
  <ds:schemaRefs>
    <ds:schemaRef ds:uri="http://schemas.microsoft.com/sharepoint/v3/contenttype/forms"/>
  </ds:schemaRefs>
</ds:datastoreItem>
</file>

<file path=customXml/itemProps3.xml><?xml version="1.0" encoding="utf-8"?>
<ds:datastoreItem xmlns:ds="http://schemas.openxmlformats.org/officeDocument/2006/customXml" ds:itemID="{C3A66772-6BB1-4606-AC89-1B224D5F50D1}">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246bec0-d529-478b-b4aa-e80edf7f534d"/>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93CBFD8A-2894-4668-ADDA-702592C73EB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586997A4.dotm</Template>
  <TotalTime>0</TotalTime>
  <Pages>6</Pages>
  <Words>1504</Words>
  <Characters>8578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Spearing</dc:creator>
  <cp:lastModifiedBy>CATHERALL, Claire</cp:lastModifiedBy>
  <cp:revision>2</cp:revision>
  <cp:lastPrinted>2018-07-12T10:51:00Z</cp:lastPrinted>
  <dcterms:created xsi:type="dcterms:W3CDTF">2018-11-30T15:10:00Z</dcterms:created>
  <dcterms:modified xsi:type="dcterms:W3CDTF">2018-11-30T15:10:00Z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50dd4e88-2da6-4de2-b81f-2f56a7a9a831</vt:lpwstr>
  </property>
  <property fmtid="{D5CDD505-2E9C-101B-9397-08002B2CF9AE}" pid="3" name="bjSaver">
    <vt:lpwstr>BHKc6P3SEIqU6qDuhgwFihUO8aZW5raT</vt:lpwstr>
  </property>
  <property fmtid="{D5CDD505-2E9C-101B-9397-08002B2CF9AE}" pid="4" name="bjDocumentSecurityLabel">
    <vt:lpwstr>No Marking</vt:lpwstr>
  </property>
  <property fmtid="{D5CDD505-2E9C-101B-9397-08002B2CF9AE}" pid="5" name="ContentTypeId">
    <vt:lpwstr>0x01010005A4D2CAC461CC4E92DEEC2BC5169065</vt:lpwstr>
  </property>
  <property fmtid="{D5CDD505-2E9C-101B-9397-08002B2CF9AE}" pid="6" name="Order">
    <vt:r8>100</vt:r8>
  </property>
</Properties>
</file>