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DE662" w14:textId="43CD3D26" w:rsidR="00C17AA8" w:rsidRPr="00C17AA8" w:rsidRDefault="00C17AA8" w:rsidP="00C17AA8">
      <w:pPr>
        <w:rPr>
          <w:rFonts w:ascii="Times" w:hAnsi="Times" w:cs="Times New Roman"/>
          <w:sz w:val="20"/>
          <w:szCs w:val="20"/>
        </w:rPr>
      </w:pPr>
      <w:bookmarkStart w:id="0" w:name="_GoBack"/>
      <w:bookmarkEnd w:id="0"/>
      <w:r w:rsidRPr="00C17AA8">
        <w:rPr>
          <w:rFonts w:ascii="Calibri" w:hAnsi="Calibri" w:cs="Times New Roman"/>
          <w:b/>
          <w:bCs/>
          <w:color w:val="000000"/>
          <w:sz w:val="28"/>
          <w:szCs w:val="28"/>
        </w:rPr>
        <w:t>Memorandum for Public Bill Committee on the applic</w:t>
      </w:r>
      <w:r w:rsidR="00E77F13">
        <w:rPr>
          <w:rFonts w:ascii="Calibri" w:hAnsi="Calibri" w:cs="Times New Roman"/>
          <w:b/>
          <w:bCs/>
          <w:color w:val="000000"/>
          <w:sz w:val="28"/>
          <w:szCs w:val="28"/>
        </w:rPr>
        <w:t xml:space="preserve">ation of Standing Order No. 83O </w:t>
      </w:r>
      <w:r w:rsidRPr="00C17AA8">
        <w:rPr>
          <w:rFonts w:ascii="Calibri" w:hAnsi="Calibri" w:cs="Times New Roman"/>
          <w:b/>
          <w:bCs/>
          <w:color w:val="000000"/>
          <w:sz w:val="28"/>
          <w:szCs w:val="28"/>
        </w:rPr>
        <w:t>of the Standing Orders of the House of Commons relat</w:t>
      </w:r>
      <w:r w:rsidR="00907927">
        <w:rPr>
          <w:rFonts w:ascii="Calibri" w:hAnsi="Calibri" w:cs="Times New Roman"/>
          <w:b/>
          <w:bCs/>
          <w:color w:val="000000"/>
          <w:sz w:val="28"/>
          <w:szCs w:val="28"/>
        </w:rPr>
        <w:t xml:space="preserve">ing to Public Business to the </w:t>
      </w:r>
      <w:r w:rsidR="003218D9">
        <w:rPr>
          <w:rFonts w:ascii="Calibri" w:hAnsi="Calibri" w:cs="Times New Roman"/>
          <w:b/>
          <w:bCs/>
          <w:color w:val="000000"/>
          <w:sz w:val="28"/>
          <w:szCs w:val="28"/>
        </w:rPr>
        <w:t>Ratings (Property in Common Occupation) and Council Tax (Empty Dwellings)</w:t>
      </w:r>
      <w:r w:rsidR="00907927">
        <w:rPr>
          <w:rFonts w:ascii="Calibri" w:hAnsi="Calibri" w:cs="Times New Roman"/>
          <w:b/>
          <w:bCs/>
          <w:color w:val="000000"/>
          <w:sz w:val="28"/>
          <w:szCs w:val="28"/>
        </w:rPr>
        <w:t xml:space="preserve"> Bill as amended.</w:t>
      </w:r>
    </w:p>
    <w:p w14:paraId="512BF226" w14:textId="77777777" w:rsidR="00C17AA8" w:rsidRPr="00C17AA8" w:rsidRDefault="00C17AA8" w:rsidP="00C17AA8">
      <w:pPr>
        <w:rPr>
          <w:rFonts w:ascii="Times" w:eastAsia="Times New Roman" w:hAnsi="Times" w:cs="Times New Roman"/>
          <w:sz w:val="20"/>
          <w:szCs w:val="20"/>
        </w:rPr>
      </w:pPr>
    </w:p>
    <w:p w14:paraId="1DF56CF4" w14:textId="15A86E7C" w:rsidR="00C17AA8" w:rsidRPr="00C17AA8" w:rsidRDefault="008366FF" w:rsidP="00C17AA8">
      <w:pPr>
        <w:rPr>
          <w:rFonts w:ascii="Times" w:hAnsi="Times" w:cs="Times New Roman"/>
          <w:sz w:val="20"/>
          <w:szCs w:val="20"/>
        </w:rPr>
      </w:pPr>
      <w:r>
        <w:rPr>
          <w:rFonts w:ascii="Arial" w:hAnsi="Arial" w:cs="Arial"/>
          <w:b/>
          <w:bCs/>
          <w:i/>
          <w:iCs/>
          <w:color w:val="000000"/>
        </w:rPr>
        <w:t xml:space="preserve">Commons Consideration </w:t>
      </w:r>
      <w:r w:rsidR="00907927">
        <w:rPr>
          <w:rFonts w:ascii="Arial" w:hAnsi="Arial" w:cs="Arial"/>
          <w:b/>
          <w:bCs/>
          <w:i/>
          <w:iCs/>
          <w:color w:val="000000"/>
        </w:rPr>
        <w:t>of Lords</w:t>
      </w:r>
      <w:r w:rsidR="00C17AA8" w:rsidRPr="00C17AA8">
        <w:rPr>
          <w:rFonts w:ascii="Arial" w:hAnsi="Arial" w:cs="Arial"/>
          <w:b/>
          <w:bCs/>
          <w:i/>
          <w:iCs/>
          <w:color w:val="000000"/>
        </w:rPr>
        <w:t xml:space="preserve"> amendments</w:t>
      </w:r>
    </w:p>
    <w:p w14:paraId="6B619B9D" w14:textId="77777777" w:rsidR="00C17AA8" w:rsidRPr="00C17AA8" w:rsidRDefault="00C17AA8" w:rsidP="00C17AA8">
      <w:pPr>
        <w:rPr>
          <w:rFonts w:ascii="Times" w:eastAsia="Times New Roman" w:hAnsi="Times" w:cs="Times New Roman"/>
          <w:sz w:val="20"/>
          <w:szCs w:val="20"/>
        </w:rPr>
      </w:pPr>
    </w:p>
    <w:p w14:paraId="1A9BC11C" w14:textId="3567732B" w:rsidR="00C17AA8" w:rsidRPr="00F730B3" w:rsidRDefault="00C17AA8" w:rsidP="007B77D9">
      <w:pPr>
        <w:pStyle w:val="ListParagraph"/>
        <w:numPr>
          <w:ilvl w:val="0"/>
          <w:numId w:val="1"/>
        </w:numPr>
        <w:rPr>
          <w:rFonts w:ascii="Times" w:hAnsi="Times" w:cs="Times New Roman"/>
          <w:sz w:val="20"/>
          <w:szCs w:val="20"/>
        </w:rPr>
      </w:pPr>
      <w:r w:rsidRPr="00464684">
        <w:rPr>
          <w:rFonts w:ascii="Arial" w:hAnsi="Arial" w:cs="Arial"/>
          <w:color w:val="000000"/>
          <w:sz w:val="22"/>
          <w:szCs w:val="22"/>
        </w:rPr>
        <w:t xml:space="preserve">The following is </w:t>
      </w:r>
      <w:r w:rsidR="00907927" w:rsidRPr="00464684">
        <w:rPr>
          <w:rFonts w:ascii="Arial" w:hAnsi="Arial" w:cs="Arial"/>
          <w:color w:val="000000"/>
          <w:sz w:val="22"/>
          <w:szCs w:val="22"/>
        </w:rPr>
        <w:t xml:space="preserve">the Department’s assessment of </w:t>
      </w:r>
      <w:r w:rsidRPr="00464684">
        <w:rPr>
          <w:rFonts w:ascii="Arial" w:hAnsi="Arial" w:cs="Arial"/>
          <w:color w:val="000000"/>
          <w:sz w:val="22"/>
          <w:szCs w:val="22"/>
        </w:rPr>
        <w:t xml:space="preserve">the amendments to the </w:t>
      </w:r>
      <w:r w:rsidR="007B77D9" w:rsidRPr="007B77D9">
        <w:rPr>
          <w:rFonts w:ascii="Arial" w:hAnsi="Arial" w:cs="Arial"/>
          <w:bCs/>
          <w:color w:val="000000"/>
          <w:sz w:val="22"/>
          <w:szCs w:val="22"/>
        </w:rPr>
        <w:t xml:space="preserve">Ratings (Property in Common Occupation) and Council Tax (Empty Dwellings) Bill </w:t>
      </w:r>
      <w:r w:rsidRPr="00464684">
        <w:rPr>
          <w:rFonts w:ascii="Arial" w:hAnsi="Arial" w:cs="Arial"/>
          <w:color w:val="000000"/>
          <w:sz w:val="22"/>
          <w:szCs w:val="22"/>
        </w:rPr>
        <w:t xml:space="preserve">made </w:t>
      </w:r>
      <w:r w:rsidR="00907927" w:rsidRPr="00464684">
        <w:rPr>
          <w:rFonts w:ascii="Arial" w:hAnsi="Arial" w:cs="Arial"/>
          <w:color w:val="000000"/>
          <w:sz w:val="22"/>
          <w:szCs w:val="22"/>
        </w:rPr>
        <w:t xml:space="preserve">during the Bill’s </w:t>
      </w:r>
      <w:r w:rsidR="0079137D" w:rsidRPr="00464684">
        <w:rPr>
          <w:rFonts w:ascii="Arial" w:hAnsi="Arial" w:cs="Arial"/>
          <w:color w:val="000000"/>
          <w:sz w:val="22"/>
          <w:szCs w:val="22"/>
        </w:rPr>
        <w:t>passage</w:t>
      </w:r>
      <w:r w:rsidR="00907927" w:rsidRPr="00464684">
        <w:rPr>
          <w:rFonts w:ascii="Arial" w:hAnsi="Arial" w:cs="Arial"/>
          <w:color w:val="000000"/>
          <w:sz w:val="22"/>
          <w:szCs w:val="22"/>
        </w:rPr>
        <w:t xml:space="preserve"> through the House of L</w:t>
      </w:r>
      <w:r w:rsidR="0079137D" w:rsidRPr="00464684">
        <w:rPr>
          <w:rFonts w:ascii="Arial" w:hAnsi="Arial" w:cs="Arial"/>
          <w:color w:val="000000"/>
          <w:sz w:val="22"/>
          <w:szCs w:val="22"/>
        </w:rPr>
        <w:t>ords.</w:t>
      </w:r>
    </w:p>
    <w:p w14:paraId="15C77A60" w14:textId="77777777" w:rsidR="00F730B3" w:rsidRDefault="00F730B3" w:rsidP="00F730B3">
      <w:pPr>
        <w:rPr>
          <w:rFonts w:ascii="Times" w:hAnsi="Times" w:cs="Times New Roman"/>
          <w:sz w:val="20"/>
          <w:szCs w:val="20"/>
        </w:rPr>
      </w:pPr>
    </w:p>
    <w:p w14:paraId="1321C359" w14:textId="77777777" w:rsidR="00F730B3" w:rsidRPr="00C17AA8" w:rsidRDefault="00F730B3" w:rsidP="00F730B3">
      <w:pPr>
        <w:rPr>
          <w:rFonts w:ascii="Times" w:hAnsi="Times" w:cs="Times New Roman"/>
          <w:sz w:val="20"/>
          <w:szCs w:val="20"/>
        </w:rPr>
      </w:pPr>
      <w:r w:rsidRPr="00C17AA8">
        <w:rPr>
          <w:rFonts w:ascii="Arial" w:hAnsi="Arial" w:cs="Arial"/>
          <w:color w:val="000000"/>
          <w:sz w:val="22"/>
          <w:szCs w:val="22"/>
          <w:u w:val="single"/>
        </w:rPr>
        <w:t>Summary</w:t>
      </w:r>
      <w:r>
        <w:rPr>
          <w:rFonts w:ascii="Arial" w:hAnsi="Arial" w:cs="Arial"/>
          <w:color w:val="000000"/>
          <w:sz w:val="22"/>
          <w:szCs w:val="22"/>
          <w:u w:val="single"/>
        </w:rPr>
        <w:t xml:space="preserve"> and Territorial Extent of the Bill</w:t>
      </w:r>
    </w:p>
    <w:p w14:paraId="094D4E7B" w14:textId="77777777" w:rsidR="00F730B3" w:rsidRPr="00F730B3" w:rsidRDefault="00F730B3" w:rsidP="00F730B3">
      <w:pPr>
        <w:rPr>
          <w:rFonts w:ascii="Times" w:hAnsi="Times" w:cs="Times New Roman"/>
          <w:sz w:val="20"/>
          <w:szCs w:val="20"/>
        </w:rPr>
      </w:pPr>
    </w:p>
    <w:p w14:paraId="60FFD3A5" w14:textId="6AAF3892" w:rsidR="00C17AA8" w:rsidRPr="00F730B3" w:rsidRDefault="00637AD7" w:rsidP="00C17AA8">
      <w:pPr>
        <w:pStyle w:val="ListParagraph"/>
        <w:numPr>
          <w:ilvl w:val="0"/>
          <w:numId w:val="1"/>
        </w:numPr>
        <w:rPr>
          <w:rFonts w:ascii="Times" w:hAnsi="Times" w:cs="Times New Roman"/>
          <w:sz w:val="20"/>
          <w:szCs w:val="20"/>
        </w:rPr>
      </w:pPr>
      <w:r w:rsidRPr="00F730B3">
        <w:rPr>
          <w:rFonts w:ascii="Arial" w:hAnsi="Arial" w:cs="Arial"/>
          <w:color w:val="000000"/>
          <w:sz w:val="22"/>
          <w:szCs w:val="22"/>
        </w:rPr>
        <w:t>The Bill’s</w:t>
      </w:r>
      <w:r w:rsidR="006D2A26" w:rsidRPr="00F730B3">
        <w:rPr>
          <w:rFonts w:ascii="Arial" w:hAnsi="Arial" w:cs="Arial"/>
          <w:color w:val="000000"/>
          <w:sz w:val="22"/>
          <w:szCs w:val="22"/>
        </w:rPr>
        <w:t xml:space="preserve"> territorial application has not been altered by any of the amendments made to</w:t>
      </w:r>
      <w:r w:rsidRPr="00F730B3">
        <w:rPr>
          <w:rFonts w:ascii="Arial" w:hAnsi="Arial" w:cs="Arial"/>
          <w:color w:val="000000"/>
          <w:sz w:val="22"/>
          <w:szCs w:val="22"/>
        </w:rPr>
        <w:t xml:space="preserve"> the Bill in the House of Lords</w:t>
      </w:r>
      <w:r w:rsidR="0057323B">
        <w:rPr>
          <w:rStyle w:val="FootnoteReference"/>
          <w:rFonts w:ascii="Arial" w:hAnsi="Arial" w:cs="Arial"/>
          <w:color w:val="000000"/>
          <w:sz w:val="22"/>
          <w:szCs w:val="22"/>
        </w:rPr>
        <w:footnoteReference w:id="1"/>
      </w:r>
      <w:r w:rsidRPr="00F730B3">
        <w:rPr>
          <w:rFonts w:ascii="Arial" w:hAnsi="Arial" w:cs="Arial"/>
          <w:color w:val="000000"/>
          <w:sz w:val="22"/>
          <w:szCs w:val="22"/>
        </w:rPr>
        <w:t>.</w:t>
      </w:r>
    </w:p>
    <w:p w14:paraId="6A743A93" w14:textId="77777777" w:rsidR="00F730B3" w:rsidRPr="00E62840" w:rsidRDefault="00F730B3" w:rsidP="00E62840">
      <w:pPr>
        <w:rPr>
          <w:rFonts w:ascii="Arial" w:hAnsi="Arial" w:cs="Arial"/>
          <w:color w:val="000000"/>
          <w:sz w:val="22"/>
          <w:szCs w:val="22"/>
        </w:rPr>
      </w:pPr>
    </w:p>
    <w:p w14:paraId="07F819E8" w14:textId="6E45CBBE" w:rsidR="00F730B3" w:rsidRPr="00F730B3" w:rsidRDefault="00F730B3" w:rsidP="00F730B3">
      <w:pPr>
        <w:rPr>
          <w:rFonts w:ascii="Arial" w:hAnsi="Arial" w:cs="Arial"/>
          <w:color w:val="000000"/>
          <w:sz w:val="22"/>
          <w:szCs w:val="22"/>
          <w:u w:val="single"/>
        </w:rPr>
      </w:pPr>
      <w:r w:rsidRPr="00F730B3">
        <w:rPr>
          <w:rFonts w:ascii="Arial" w:hAnsi="Arial" w:cs="Arial"/>
          <w:iCs/>
          <w:color w:val="000000"/>
          <w:sz w:val="22"/>
          <w:szCs w:val="22"/>
          <w:u w:val="single"/>
        </w:rPr>
        <w:t>Territorial application</w:t>
      </w:r>
    </w:p>
    <w:p w14:paraId="5406A076" w14:textId="77777777" w:rsidR="00F730B3" w:rsidRPr="00F730B3" w:rsidRDefault="00F730B3" w:rsidP="00F730B3">
      <w:pPr>
        <w:pStyle w:val="ListParagraph"/>
        <w:ind w:left="360"/>
        <w:rPr>
          <w:rFonts w:ascii="Times" w:hAnsi="Times" w:cs="Times New Roman"/>
          <w:sz w:val="20"/>
          <w:szCs w:val="20"/>
        </w:rPr>
      </w:pPr>
    </w:p>
    <w:p w14:paraId="40985E12" w14:textId="411D3091" w:rsidR="00151636" w:rsidRPr="0057323B" w:rsidRDefault="00151636" w:rsidP="00151636">
      <w:pPr>
        <w:pStyle w:val="ListParagraph"/>
        <w:numPr>
          <w:ilvl w:val="0"/>
          <w:numId w:val="1"/>
        </w:numPr>
        <w:rPr>
          <w:rFonts w:ascii="Times" w:hAnsi="Times" w:cs="Times New Roman"/>
          <w:sz w:val="20"/>
          <w:szCs w:val="20"/>
        </w:rPr>
      </w:pPr>
      <w:r w:rsidRPr="00151636">
        <w:rPr>
          <w:rFonts w:ascii="Arial" w:hAnsi="Arial" w:cs="Arial"/>
          <w:sz w:val="22"/>
          <w:szCs w:val="22"/>
        </w:rPr>
        <w:t>The Bill extends to England and Wales and applies to England only.</w:t>
      </w:r>
    </w:p>
    <w:p w14:paraId="35384DFC" w14:textId="7DF46EE0" w:rsidR="0057323B" w:rsidRDefault="0057323B" w:rsidP="0057323B">
      <w:pPr>
        <w:rPr>
          <w:rFonts w:ascii="Times" w:hAnsi="Times" w:cs="Times New Roman"/>
          <w:sz w:val="20"/>
          <w:szCs w:val="20"/>
        </w:rPr>
      </w:pPr>
    </w:p>
    <w:p w14:paraId="254E8F5F" w14:textId="300E941B" w:rsidR="0057323B" w:rsidRPr="0057323B" w:rsidRDefault="0057323B" w:rsidP="0057323B">
      <w:pPr>
        <w:rPr>
          <w:rFonts w:ascii="Times" w:hAnsi="Times" w:cs="Times New Roman"/>
          <w:sz w:val="20"/>
          <w:szCs w:val="20"/>
          <w:u w:val="single"/>
        </w:rPr>
      </w:pPr>
      <w:r>
        <w:rPr>
          <w:rFonts w:ascii="Arial" w:hAnsi="Arial" w:cs="Arial"/>
          <w:color w:val="000000"/>
          <w:sz w:val="22"/>
          <w:szCs w:val="22"/>
          <w:u w:val="single"/>
        </w:rPr>
        <w:t>Minor or consequential effects</w:t>
      </w:r>
      <w:r>
        <w:rPr>
          <w:rStyle w:val="FootnoteReference"/>
          <w:rFonts w:ascii="Arial" w:hAnsi="Arial" w:cs="Arial"/>
          <w:color w:val="000000"/>
          <w:sz w:val="22"/>
          <w:szCs w:val="22"/>
          <w:u w:val="single"/>
        </w:rPr>
        <w:footnoteReference w:id="2"/>
      </w:r>
    </w:p>
    <w:p w14:paraId="7C5002F5" w14:textId="77777777" w:rsidR="00D67A00" w:rsidRPr="00D67A00" w:rsidRDefault="00D67A00" w:rsidP="00D67A00">
      <w:pPr>
        <w:rPr>
          <w:rFonts w:ascii="Times" w:hAnsi="Times" w:cs="Times New Roman"/>
          <w:sz w:val="20"/>
          <w:szCs w:val="20"/>
        </w:rPr>
      </w:pPr>
    </w:p>
    <w:p w14:paraId="248E7A46" w14:textId="2CF87E67" w:rsidR="00D67A00" w:rsidRPr="0057323B" w:rsidRDefault="00D67A00" w:rsidP="00D67A00">
      <w:pPr>
        <w:pStyle w:val="ListParagraph"/>
        <w:numPr>
          <w:ilvl w:val="0"/>
          <w:numId w:val="1"/>
        </w:numPr>
        <w:rPr>
          <w:rFonts w:ascii="Times" w:hAnsi="Times" w:cs="Times New Roman"/>
          <w:sz w:val="20"/>
          <w:szCs w:val="20"/>
        </w:rPr>
      </w:pPr>
      <w:r>
        <w:rPr>
          <w:rFonts w:ascii="Arial" w:hAnsi="Arial" w:cs="Arial"/>
          <w:sz w:val="22"/>
          <w:szCs w:val="22"/>
        </w:rPr>
        <w:t>There are no minor or consequential effects.</w:t>
      </w:r>
    </w:p>
    <w:p w14:paraId="0C0DD2F0" w14:textId="77777777" w:rsidR="00D67A00" w:rsidRDefault="00D67A00" w:rsidP="00E62840">
      <w:pPr>
        <w:pStyle w:val="ListParagraph"/>
        <w:ind w:left="360"/>
        <w:rPr>
          <w:rFonts w:ascii="Arial" w:hAnsi="Arial" w:cs="Arial"/>
          <w:sz w:val="22"/>
          <w:szCs w:val="22"/>
        </w:rPr>
      </w:pPr>
    </w:p>
    <w:p w14:paraId="56BC897B" w14:textId="77777777" w:rsidR="00B976D2" w:rsidRPr="00B976D2" w:rsidRDefault="00B976D2" w:rsidP="00B976D2">
      <w:pPr>
        <w:rPr>
          <w:rFonts w:ascii="Arial" w:hAnsi="Arial" w:cs="Arial"/>
          <w:iCs/>
          <w:sz w:val="22"/>
          <w:szCs w:val="22"/>
          <w:u w:val="single"/>
        </w:rPr>
      </w:pPr>
      <w:r w:rsidRPr="00B976D2">
        <w:rPr>
          <w:rFonts w:ascii="Arial" w:hAnsi="Arial" w:cs="Arial"/>
          <w:iCs/>
          <w:sz w:val="22"/>
          <w:szCs w:val="22"/>
          <w:u w:val="single"/>
        </w:rPr>
        <w:t>Subject matter and legislative competence of devolved legislatures</w:t>
      </w:r>
    </w:p>
    <w:p w14:paraId="6930B9E0" w14:textId="77777777" w:rsidR="00B976D2" w:rsidRPr="007B77D9" w:rsidRDefault="00B976D2" w:rsidP="007B77D9">
      <w:pPr>
        <w:rPr>
          <w:rFonts w:ascii="Times" w:hAnsi="Times" w:cs="Times New Roman"/>
          <w:sz w:val="20"/>
          <w:szCs w:val="20"/>
        </w:rPr>
      </w:pPr>
    </w:p>
    <w:p w14:paraId="7EE9D273" w14:textId="42059CC8" w:rsidR="007B77D9" w:rsidRPr="007B77D9" w:rsidRDefault="000D1AA0" w:rsidP="007B77D9">
      <w:pPr>
        <w:pStyle w:val="ListParagraph"/>
        <w:numPr>
          <w:ilvl w:val="0"/>
          <w:numId w:val="1"/>
        </w:numPr>
        <w:rPr>
          <w:rFonts w:ascii="Arial" w:hAnsi="Arial" w:cs="Arial"/>
          <w:sz w:val="22"/>
          <w:szCs w:val="22"/>
        </w:rPr>
      </w:pPr>
      <w:r>
        <w:rPr>
          <w:rFonts w:ascii="Arial" w:hAnsi="Arial" w:cs="Arial"/>
          <w:sz w:val="22"/>
          <w:szCs w:val="22"/>
        </w:rPr>
        <w:t>All Clauses make</w:t>
      </w:r>
      <w:r w:rsidR="007B77D9" w:rsidRPr="007B77D9">
        <w:rPr>
          <w:rFonts w:ascii="Arial" w:hAnsi="Arial" w:cs="Arial"/>
          <w:sz w:val="22"/>
          <w:szCs w:val="22"/>
        </w:rPr>
        <w:t xml:space="preserve"> provision in relation to local government finance (non-domestic rating and council tax). Local government finance is a devolved matter in Scotland, Wales and Northern Ireland. Local taxes to fund local authority expenditure are exceptions to the fiscal, economic and monetary policy reservation by virtue of Section A1 of Part 2 of Schedule 7A to t</w:t>
      </w:r>
      <w:r w:rsidR="007B77D9">
        <w:rPr>
          <w:rFonts w:ascii="Arial" w:hAnsi="Arial" w:cs="Arial"/>
          <w:sz w:val="22"/>
          <w:szCs w:val="22"/>
        </w:rPr>
        <w:t>he Government of Wales Act 2006</w:t>
      </w:r>
      <w:r w:rsidR="0057323B">
        <w:rPr>
          <w:rStyle w:val="FootnoteReference"/>
          <w:rFonts w:ascii="Arial" w:hAnsi="Arial" w:cs="Arial"/>
          <w:sz w:val="22"/>
          <w:szCs w:val="22"/>
        </w:rPr>
        <w:footnoteReference w:id="3"/>
      </w:r>
      <w:r w:rsidR="007B77D9" w:rsidRPr="007B77D9">
        <w:rPr>
          <w:rFonts w:ascii="Arial" w:hAnsi="Arial" w:cs="Arial"/>
          <w:sz w:val="22"/>
          <w:szCs w:val="22"/>
        </w:rPr>
        <w:t>. Local taxes to fund local authority expenditure are exceptions to the fiscal, economic and monetary policy reservation by virtue of Section A1 of Part 2 of Schedule 5 to the Scotland Act 1998. Local government finance is not an excepted or reserved matter in Schedule 2 or 3 of the Northern Ireland Act 1998. The Scottish Parliament, the National Assembly for Wales and the Northern Ireland Assembly could therefore make corresponding provision in respect of these measures.</w:t>
      </w:r>
    </w:p>
    <w:p w14:paraId="63670916" w14:textId="77777777" w:rsidR="00F730B3" w:rsidRDefault="00F730B3" w:rsidP="00F730B3">
      <w:pPr>
        <w:rPr>
          <w:rFonts w:ascii="Times" w:hAnsi="Times" w:cs="Times New Roman"/>
          <w:sz w:val="20"/>
          <w:szCs w:val="20"/>
        </w:rPr>
      </w:pPr>
    </w:p>
    <w:p w14:paraId="5415FB40" w14:textId="77777777" w:rsidR="00D67A00" w:rsidRDefault="00D67A00" w:rsidP="00F730B3">
      <w:pPr>
        <w:rPr>
          <w:rFonts w:ascii="Times" w:hAnsi="Times" w:cs="Times New Roman"/>
          <w:sz w:val="20"/>
          <w:szCs w:val="20"/>
        </w:rPr>
      </w:pPr>
    </w:p>
    <w:p w14:paraId="6A54AB2D" w14:textId="77777777" w:rsidR="00D67A00" w:rsidRDefault="00D67A00" w:rsidP="00F730B3">
      <w:pPr>
        <w:rPr>
          <w:rFonts w:ascii="Times" w:hAnsi="Times" w:cs="Times New Roman"/>
          <w:sz w:val="20"/>
          <w:szCs w:val="20"/>
        </w:rPr>
      </w:pPr>
    </w:p>
    <w:p w14:paraId="4D37D0E3" w14:textId="77777777" w:rsidR="00D67A00" w:rsidRDefault="00D67A00" w:rsidP="00F730B3">
      <w:pPr>
        <w:rPr>
          <w:rFonts w:ascii="Times" w:hAnsi="Times" w:cs="Times New Roman"/>
          <w:sz w:val="20"/>
          <w:szCs w:val="20"/>
        </w:rPr>
      </w:pPr>
    </w:p>
    <w:p w14:paraId="0824C5DC" w14:textId="2C4C5296" w:rsidR="00F730B3" w:rsidRPr="00B976D2" w:rsidRDefault="00B976D2" w:rsidP="00F730B3">
      <w:pPr>
        <w:rPr>
          <w:rFonts w:ascii="Arial" w:hAnsi="Arial" w:cs="Arial"/>
          <w:sz w:val="22"/>
          <w:szCs w:val="22"/>
        </w:rPr>
      </w:pPr>
      <w:r w:rsidRPr="00B976D2">
        <w:rPr>
          <w:rFonts w:ascii="Arial" w:hAnsi="Arial" w:cs="Arial"/>
          <w:sz w:val="22"/>
          <w:szCs w:val="22"/>
        </w:rPr>
        <w:lastRenderedPageBreak/>
        <w:t>The above assessment is presented in tabular form below.</w:t>
      </w:r>
    </w:p>
    <w:p w14:paraId="264815FA" w14:textId="77777777" w:rsidR="00F730B3" w:rsidRPr="00F730B3" w:rsidRDefault="00F730B3" w:rsidP="00F730B3">
      <w:pPr>
        <w:pStyle w:val="ListParagraph"/>
        <w:ind w:left="360"/>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17"/>
        <w:gridCol w:w="908"/>
        <w:gridCol w:w="797"/>
        <w:gridCol w:w="915"/>
        <w:gridCol w:w="845"/>
        <w:gridCol w:w="1312"/>
        <w:gridCol w:w="1297"/>
        <w:gridCol w:w="1309"/>
      </w:tblGrid>
      <w:tr w:rsidR="00C17AA8" w:rsidRPr="00C17AA8" w14:paraId="6DC41D83" w14:textId="77777777" w:rsidTr="007B77D9">
        <w:tc>
          <w:tcPr>
            <w:tcW w:w="1116" w:type="dxa"/>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4F25D740" w14:textId="77777777" w:rsidR="00C17AA8" w:rsidRPr="007B77D9" w:rsidRDefault="00C17AA8" w:rsidP="00C17AA8">
            <w:pPr>
              <w:spacing w:line="0" w:lineRule="atLeast"/>
              <w:rPr>
                <w:rFonts w:ascii="Times" w:hAnsi="Times" w:cs="Times New Roman"/>
                <w:sz w:val="14"/>
                <w:szCs w:val="14"/>
              </w:rPr>
            </w:pPr>
            <w:r w:rsidRPr="007B77D9">
              <w:rPr>
                <w:rFonts w:ascii="Arial" w:hAnsi="Arial" w:cs="Arial"/>
                <w:b/>
                <w:bCs/>
                <w:color w:val="000000"/>
                <w:sz w:val="14"/>
                <w:szCs w:val="14"/>
              </w:rPr>
              <w:t>Provision</w:t>
            </w:r>
          </w:p>
        </w:tc>
        <w:tc>
          <w:tcPr>
            <w:tcW w:w="908" w:type="dxa"/>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79BF82B9" w14:textId="77777777" w:rsidR="00C17AA8" w:rsidRPr="007B77D9" w:rsidRDefault="00C17AA8" w:rsidP="00C17AA8">
            <w:pPr>
              <w:spacing w:line="0" w:lineRule="atLeast"/>
              <w:rPr>
                <w:rFonts w:ascii="Times" w:hAnsi="Times" w:cs="Times New Roman"/>
                <w:sz w:val="14"/>
                <w:szCs w:val="14"/>
              </w:rPr>
            </w:pPr>
            <w:r w:rsidRPr="007B77D9">
              <w:rPr>
                <w:rFonts w:ascii="Arial" w:hAnsi="Arial" w:cs="Arial"/>
                <w:b/>
                <w:bCs/>
                <w:color w:val="000000"/>
                <w:sz w:val="14"/>
                <w:szCs w:val="14"/>
              </w:rPr>
              <w:t>Extends to E &amp; W and applies to England?</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4306DE94" w14:textId="77777777" w:rsidR="00C17AA8" w:rsidRPr="007B77D9" w:rsidRDefault="00C17AA8" w:rsidP="00C17AA8">
            <w:pPr>
              <w:spacing w:line="0" w:lineRule="atLeast"/>
              <w:rPr>
                <w:rFonts w:ascii="Times" w:hAnsi="Times" w:cs="Times New Roman"/>
                <w:sz w:val="14"/>
                <w:szCs w:val="14"/>
              </w:rPr>
            </w:pPr>
            <w:r w:rsidRPr="007B77D9">
              <w:rPr>
                <w:rFonts w:ascii="Arial" w:hAnsi="Arial" w:cs="Arial"/>
                <w:b/>
                <w:bCs/>
                <w:color w:val="000000"/>
                <w:sz w:val="14"/>
                <w:szCs w:val="14"/>
              </w:rPr>
              <w:t>Extends to E &amp; W and applies to Wales?</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7995B8D7" w14:textId="77777777" w:rsidR="00C17AA8" w:rsidRPr="007B77D9" w:rsidRDefault="00C17AA8" w:rsidP="00C17AA8">
            <w:pPr>
              <w:spacing w:line="0" w:lineRule="atLeast"/>
              <w:rPr>
                <w:rFonts w:ascii="Times" w:hAnsi="Times" w:cs="Times New Roman"/>
                <w:sz w:val="14"/>
                <w:szCs w:val="14"/>
              </w:rPr>
            </w:pPr>
            <w:r w:rsidRPr="007B77D9">
              <w:rPr>
                <w:rFonts w:ascii="Arial" w:hAnsi="Arial" w:cs="Arial"/>
                <w:b/>
                <w:bCs/>
                <w:color w:val="000000"/>
                <w:sz w:val="14"/>
                <w:szCs w:val="14"/>
              </w:rPr>
              <w:t>Extends and applies to Scotland?</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7FE11194" w14:textId="77777777" w:rsidR="00C17AA8" w:rsidRPr="007B77D9" w:rsidRDefault="00C17AA8" w:rsidP="00C17AA8">
            <w:pPr>
              <w:spacing w:line="0" w:lineRule="atLeast"/>
              <w:rPr>
                <w:rFonts w:ascii="Times" w:hAnsi="Times" w:cs="Times New Roman"/>
                <w:sz w:val="14"/>
                <w:szCs w:val="14"/>
              </w:rPr>
            </w:pPr>
            <w:r w:rsidRPr="007B77D9">
              <w:rPr>
                <w:rFonts w:ascii="Arial" w:hAnsi="Arial" w:cs="Arial"/>
                <w:b/>
                <w:bCs/>
                <w:color w:val="000000"/>
                <w:sz w:val="14"/>
                <w:szCs w:val="14"/>
              </w:rPr>
              <w:t>Extends and Applies to Northern Ireland?</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786C562B" w14:textId="77777777" w:rsidR="00C17AA8" w:rsidRPr="007B77D9" w:rsidRDefault="00C17AA8" w:rsidP="00C17AA8">
            <w:pPr>
              <w:rPr>
                <w:rFonts w:ascii="Times" w:hAnsi="Times" w:cs="Times New Roman"/>
                <w:sz w:val="14"/>
                <w:szCs w:val="14"/>
              </w:rPr>
            </w:pPr>
            <w:r w:rsidRPr="007B77D9">
              <w:rPr>
                <w:rFonts w:ascii="Arial" w:hAnsi="Arial" w:cs="Arial"/>
                <w:b/>
                <w:bCs/>
                <w:color w:val="000000"/>
                <w:sz w:val="14"/>
                <w:szCs w:val="14"/>
              </w:rPr>
              <w:t>Would corresponding provision be within the competence of the National Assembly for Wales?</w:t>
            </w:r>
          </w:p>
          <w:p w14:paraId="6F32B61D" w14:textId="77777777" w:rsidR="00C17AA8" w:rsidRPr="007B77D9" w:rsidRDefault="00C17AA8" w:rsidP="00C17AA8">
            <w:pPr>
              <w:spacing w:line="0" w:lineRule="atLeast"/>
              <w:rPr>
                <w:rFonts w:ascii="Times" w:eastAsia="Times New Roman" w:hAnsi="Times" w:cs="Times New Roman"/>
                <w:sz w:val="14"/>
                <w:szCs w:val="14"/>
              </w:rPr>
            </w:pP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0781788A" w14:textId="77777777" w:rsidR="00C17AA8" w:rsidRPr="007B77D9" w:rsidRDefault="00C17AA8" w:rsidP="00C17AA8">
            <w:pPr>
              <w:spacing w:line="0" w:lineRule="atLeast"/>
              <w:rPr>
                <w:rFonts w:ascii="Times" w:hAnsi="Times" w:cs="Times New Roman"/>
                <w:sz w:val="14"/>
                <w:szCs w:val="14"/>
              </w:rPr>
            </w:pPr>
            <w:r w:rsidRPr="007B77D9">
              <w:rPr>
                <w:rFonts w:ascii="Arial" w:hAnsi="Arial" w:cs="Arial"/>
                <w:b/>
                <w:bCs/>
                <w:color w:val="000000"/>
                <w:sz w:val="14"/>
                <w:szCs w:val="14"/>
              </w:rPr>
              <w:t>Would corresponding provision be within the competence of the Scottish Parliament?</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0CF9FF4E" w14:textId="77777777" w:rsidR="00C17AA8" w:rsidRPr="007B77D9" w:rsidRDefault="00C17AA8" w:rsidP="00C17AA8">
            <w:pPr>
              <w:spacing w:line="0" w:lineRule="atLeast"/>
              <w:rPr>
                <w:rFonts w:ascii="Times" w:hAnsi="Times" w:cs="Times New Roman"/>
                <w:sz w:val="14"/>
                <w:szCs w:val="14"/>
              </w:rPr>
            </w:pPr>
            <w:r w:rsidRPr="007B77D9">
              <w:rPr>
                <w:rFonts w:ascii="Arial" w:hAnsi="Arial" w:cs="Arial"/>
                <w:b/>
                <w:bCs/>
                <w:color w:val="000000"/>
                <w:sz w:val="14"/>
                <w:szCs w:val="14"/>
              </w:rPr>
              <w:t>Would corresponding provision be within the competence of the Northern Ireland Assembly?</w:t>
            </w:r>
          </w:p>
        </w:tc>
      </w:tr>
      <w:tr w:rsidR="00C17AA8" w:rsidRPr="00C17AA8" w14:paraId="1ABE2581" w14:textId="77777777" w:rsidTr="007B77D9">
        <w:tc>
          <w:tcPr>
            <w:tcW w:w="1116" w:type="dxa"/>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168C846D" w14:textId="1E89B27E" w:rsidR="00C17AA8" w:rsidRPr="007B77D9" w:rsidRDefault="0040690B" w:rsidP="007E38B6">
            <w:pPr>
              <w:spacing w:line="0" w:lineRule="atLeast"/>
              <w:rPr>
                <w:rFonts w:ascii="Times" w:hAnsi="Times" w:cs="Times New Roman"/>
                <w:sz w:val="14"/>
                <w:szCs w:val="14"/>
              </w:rPr>
            </w:pPr>
            <w:r w:rsidRPr="007B77D9">
              <w:rPr>
                <w:rFonts w:ascii="Arial" w:hAnsi="Arial" w:cs="Arial"/>
                <w:color w:val="000000"/>
                <w:sz w:val="14"/>
                <w:szCs w:val="14"/>
              </w:rPr>
              <w:t xml:space="preserve">House of Lords Amendment </w:t>
            </w:r>
            <w:r w:rsidR="007B77D9" w:rsidRPr="007B77D9">
              <w:rPr>
                <w:rFonts w:ascii="Arial" w:hAnsi="Arial" w:cs="Arial"/>
                <w:color w:val="000000"/>
                <w:sz w:val="14"/>
                <w:szCs w:val="14"/>
              </w:rPr>
              <w:t>1</w:t>
            </w:r>
          </w:p>
        </w:tc>
        <w:tc>
          <w:tcPr>
            <w:tcW w:w="908" w:type="dxa"/>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1E07D937" w14:textId="3625D6B5" w:rsidR="00C17AA8" w:rsidRPr="007B77D9" w:rsidRDefault="0040690B" w:rsidP="00C17AA8">
            <w:pPr>
              <w:spacing w:line="0" w:lineRule="atLeast"/>
              <w:rPr>
                <w:rFonts w:ascii="Times" w:hAnsi="Times" w:cs="Times New Roman"/>
                <w:sz w:val="14"/>
                <w:szCs w:val="14"/>
              </w:rPr>
            </w:pPr>
            <w:r w:rsidRPr="007B77D9">
              <w:rPr>
                <w:rFonts w:ascii="Arial" w:hAnsi="Arial" w:cs="Arial"/>
                <w:color w:val="000000"/>
                <w:sz w:val="14"/>
                <w:szCs w:val="14"/>
              </w:rPr>
              <w:t>Yes</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3DD09F6D" w14:textId="4103F251" w:rsidR="00C17AA8" w:rsidRPr="007B77D9" w:rsidRDefault="007B77D9" w:rsidP="00C17AA8">
            <w:pPr>
              <w:spacing w:line="0" w:lineRule="atLeast"/>
              <w:rPr>
                <w:rFonts w:ascii="Times" w:hAnsi="Times" w:cs="Times New Roman"/>
                <w:sz w:val="14"/>
                <w:szCs w:val="14"/>
              </w:rPr>
            </w:pPr>
            <w:r w:rsidRPr="007B77D9">
              <w:rPr>
                <w:rFonts w:ascii="Arial" w:hAnsi="Arial" w:cs="Arial"/>
                <w:color w:val="000000"/>
                <w:sz w:val="14"/>
                <w:szCs w:val="14"/>
              </w:rPr>
              <w:t>No</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0059B3C6" w14:textId="212A2418" w:rsidR="00C17AA8" w:rsidRPr="007B77D9" w:rsidRDefault="0040690B" w:rsidP="00C17AA8">
            <w:pPr>
              <w:spacing w:line="0" w:lineRule="atLeast"/>
              <w:rPr>
                <w:rFonts w:ascii="Times" w:hAnsi="Times" w:cs="Times New Roman"/>
                <w:sz w:val="14"/>
                <w:szCs w:val="14"/>
              </w:rPr>
            </w:pPr>
            <w:r w:rsidRPr="007B77D9">
              <w:rPr>
                <w:rFonts w:ascii="Arial" w:hAnsi="Arial" w:cs="Arial"/>
                <w:color w:val="000000"/>
                <w:sz w:val="14"/>
                <w:szCs w:val="14"/>
              </w:rPr>
              <w:t>No</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4236C6CF" w14:textId="17182A4D" w:rsidR="00C17AA8" w:rsidRPr="007B77D9" w:rsidRDefault="0040690B" w:rsidP="00C17AA8">
            <w:pPr>
              <w:spacing w:line="0" w:lineRule="atLeast"/>
              <w:rPr>
                <w:rFonts w:ascii="Times" w:hAnsi="Times" w:cs="Times New Roman"/>
                <w:sz w:val="14"/>
                <w:szCs w:val="14"/>
              </w:rPr>
            </w:pPr>
            <w:r w:rsidRPr="007B77D9">
              <w:rPr>
                <w:rFonts w:ascii="Arial" w:hAnsi="Arial" w:cs="Arial"/>
                <w:color w:val="000000"/>
                <w:sz w:val="14"/>
                <w:szCs w:val="14"/>
              </w:rPr>
              <w:t>No</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514C1DC5" w14:textId="2C39410F" w:rsidR="00C17AA8" w:rsidRPr="007B77D9" w:rsidRDefault="0040690B" w:rsidP="00C17AA8">
            <w:pPr>
              <w:rPr>
                <w:rFonts w:ascii="Times" w:hAnsi="Times" w:cs="Times New Roman"/>
                <w:sz w:val="14"/>
                <w:szCs w:val="14"/>
              </w:rPr>
            </w:pPr>
            <w:r w:rsidRPr="007B77D9">
              <w:rPr>
                <w:rFonts w:ascii="Arial" w:hAnsi="Arial" w:cs="Arial"/>
                <w:color w:val="000000"/>
                <w:sz w:val="14"/>
                <w:szCs w:val="14"/>
              </w:rPr>
              <w:t>Yes</w:t>
            </w:r>
          </w:p>
          <w:p w14:paraId="701F0267" w14:textId="77777777" w:rsidR="00C17AA8" w:rsidRPr="007B77D9" w:rsidRDefault="00C17AA8" w:rsidP="00C17AA8">
            <w:pPr>
              <w:spacing w:line="0" w:lineRule="atLeast"/>
              <w:rPr>
                <w:rFonts w:ascii="Times" w:eastAsia="Times New Roman" w:hAnsi="Times" w:cs="Times New Roman"/>
                <w:sz w:val="14"/>
                <w:szCs w:val="14"/>
              </w:rPr>
            </w:pP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045F1A69" w14:textId="7EA1E2CB" w:rsidR="00C17AA8" w:rsidRPr="007B77D9" w:rsidRDefault="0040690B" w:rsidP="00C17AA8">
            <w:pPr>
              <w:spacing w:line="0" w:lineRule="atLeast"/>
              <w:rPr>
                <w:rFonts w:ascii="Times" w:hAnsi="Times" w:cs="Times New Roman"/>
                <w:sz w:val="14"/>
                <w:szCs w:val="14"/>
              </w:rPr>
            </w:pPr>
            <w:r w:rsidRPr="007B77D9">
              <w:rPr>
                <w:rFonts w:ascii="Arial" w:hAnsi="Arial" w:cs="Arial"/>
                <w:color w:val="000000"/>
                <w:sz w:val="14"/>
                <w:szCs w:val="14"/>
              </w:rPr>
              <w:t>Yes</w:t>
            </w:r>
          </w:p>
        </w:tc>
        <w:tc>
          <w:tcPr>
            <w:tcW w:w="0" w:type="auto"/>
            <w:tcBorders>
              <w:top w:val="single" w:sz="8" w:space="0" w:color="0070C0"/>
              <w:left w:val="single" w:sz="8" w:space="0" w:color="0070C0"/>
              <w:bottom w:val="single" w:sz="8" w:space="0" w:color="0070C0"/>
              <w:right w:val="single" w:sz="8" w:space="0" w:color="0070C0"/>
            </w:tcBorders>
            <w:tcMar>
              <w:top w:w="100" w:type="dxa"/>
              <w:left w:w="100" w:type="dxa"/>
              <w:bottom w:w="100" w:type="dxa"/>
              <w:right w:w="100" w:type="dxa"/>
            </w:tcMar>
            <w:hideMark/>
          </w:tcPr>
          <w:p w14:paraId="33212CBD" w14:textId="7D8255A1" w:rsidR="00C17AA8" w:rsidRPr="007B77D9" w:rsidRDefault="0040690B" w:rsidP="00C17AA8">
            <w:pPr>
              <w:spacing w:line="0" w:lineRule="atLeast"/>
              <w:rPr>
                <w:rFonts w:ascii="Times" w:hAnsi="Times" w:cs="Times New Roman"/>
                <w:sz w:val="14"/>
                <w:szCs w:val="14"/>
              </w:rPr>
            </w:pPr>
            <w:r w:rsidRPr="007B77D9">
              <w:rPr>
                <w:rFonts w:ascii="Arial" w:hAnsi="Arial" w:cs="Arial"/>
                <w:color w:val="000000"/>
                <w:sz w:val="14"/>
                <w:szCs w:val="14"/>
              </w:rPr>
              <w:t>Yes</w:t>
            </w:r>
          </w:p>
        </w:tc>
      </w:tr>
    </w:tbl>
    <w:p w14:paraId="0B26C35B" w14:textId="77777777" w:rsidR="00C17AA8" w:rsidRPr="00C17AA8" w:rsidRDefault="00C17AA8" w:rsidP="00C17AA8">
      <w:pPr>
        <w:spacing w:after="240"/>
        <w:rPr>
          <w:rFonts w:ascii="Times" w:eastAsia="Times New Roman" w:hAnsi="Times" w:cs="Times New Roman"/>
          <w:sz w:val="20"/>
          <w:szCs w:val="20"/>
        </w:rPr>
      </w:pPr>
    </w:p>
    <w:p w14:paraId="2F5C0D66" w14:textId="77777777" w:rsidR="00EE5438" w:rsidRDefault="00EE5438"/>
    <w:sectPr w:rsidR="00EE5438" w:rsidSect="008A6B58">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87A46" w14:textId="77777777" w:rsidR="00CD127D" w:rsidRDefault="00CD127D" w:rsidP="00907927">
      <w:r>
        <w:separator/>
      </w:r>
    </w:p>
  </w:endnote>
  <w:endnote w:type="continuationSeparator" w:id="0">
    <w:p w14:paraId="0B1BB50F" w14:textId="77777777" w:rsidR="00CD127D" w:rsidRDefault="00CD127D" w:rsidP="0090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2AE6" w14:textId="77777777" w:rsidR="00907927" w:rsidRDefault="00907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5CA59" w14:textId="77777777" w:rsidR="00907927" w:rsidRDefault="00907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BA0E" w14:textId="77777777" w:rsidR="00907927" w:rsidRDefault="00907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294C5" w14:textId="77777777" w:rsidR="00CD127D" w:rsidRDefault="00CD127D" w:rsidP="00907927">
      <w:r>
        <w:separator/>
      </w:r>
    </w:p>
  </w:footnote>
  <w:footnote w:type="continuationSeparator" w:id="0">
    <w:p w14:paraId="5B1FE764" w14:textId="77777777" w:rsidR="00CD127D" w:rsidRDefault="00CD127D" w:rsidP="00907927">
      <w:r>
        <w:continuationSeparator/>
      </w:r>
    </w:p>
  </w:footnote>
  <w:footnote w:id="1">
    <w:p w14:paraId="48F021F1" w14:textId="48EA1E6A" w:rsidR="0057323B" w:rsidRPr="00D67A00" w:rsidRDefault="0057323B">
      <w:pPr>
        <w:pStyle w:val="FootnoteText"/>
        <w:rPr>
          <w:rFonts w:ascii="Arial" w:hAnsi="Arial" w:cs="Arial"/>
        </w:rPr>
      </w:pPr>
      <w:r w:rsidRPr="00D67A00">
        <w:rPr>
          <w:rStyle w:val="FootnoteReference"/>
          <w:rFonts w:ascii="Arial" w:hAnsi="Arial" w:cs="Arial"/>
        </w:rPr>
        <w:footnoteRef/>
      </w:r>
      <w:r w:rsidRPr="00D67A00">
        <w:rPr>
          <w:rFonts w:ascii="Arial" w:hAnsi="Arial" w:cs="Arial"/>
        </w:rPr>
        <w:t xml:space="preserve"> </w:t>
      </w:r>
      <w:r w:rsidRPr="0057323B">
        <w:rPr>
          <w:rFonts w:ascii="Arial" w:hAnsi="Arial" w:cs="Arial"/>
          <w:color w:val="000000"/>
        </w:rPr>
        <w:t>References in this statement to a provision being within the legislative competence of the Scottish Parliament, the National Assembly for Wales or the Northern Ireland Assembly are to the provision being within the legislative competence of the relevant devolved legislature for the purposes of Standing Order No. 83J of the Standing Orders of the House of Commons relating to Public Business.</w:t>
      </w:r>
    </w:p>
  </w:footnote>
  <w:footnote w:id="2">
    <w:p w14:paraId="3A549C29" w14:textId="71E77BED" w:rsidR="0057323B" w:rsidRPr="00D67A00" w:rsidRDefault="0057323B">
      <w:pPr>
        <w:pStyle w:val="FootnoteText"/>
        <w:rPr>
          <w:rFonts w:ascii="Arial" w:hAnsi="Arial" w:cs="Arial"/>
        </w:rPr>
      </w:pPr>
      <w:r w:rsidRPr="00D67A00">
        <w:rPr>
          <w:rStyle w:val="FootnoteReference"/>
          <w:rFonts w:ascii="Arial" w:hAnsi="Arial" w:cs="Arial"/>
        </w:rPr>
        <w:footnoteRef/>
      </w:r>
      <w:r w:rsidRPr="00D67A00">
        <w:rPr>
          <w:rFonts w:ascii="Arial" w:hAnsi="Arial" w:cs="Arial"/>
        </w:rPr>
        <w:t xml:space="preserve"> </w:t>
      </w:r>
      <w:r w:rsidRPr="00D67A00">
        <w:rPr>
          <w:rFonts w:ascii="Arial" w:hAnsi="Arial" w:cs="Arial"/>
          <w:color w:val="000000"/>
        </w:rPr>
        <w:t>References in this statement to an effect of a provision being minor or consequential are to its being minor or consequential for the purposes of Standing Order No. 83J of the Standing Orders of the House of Commons relating to Public Business.</w:t>
      </w:r>
    </w:p>
  </w:footnote>
  <w:footnote w:id="3">
    <w:p w14:paraId="0CB6E35B" w14:textId="77777777" w:rsidR="0057323B" w:rsidRPr="0057323B" w:rsidRDefault="0057323B" w:rsidP="0057323B">
      <w:pPr>
        <w:rPr>
          <w:rFonts w:ascii="Arial" w:hAnsi="Arial" w:cs="Arial"/>
          <w:color w:val="000000"/>
          <w:sz w:val="20"/>
          <w:szCs w:val="20"/>
        </w:rPr>
      </w:pPr>
      <w:r w:rsidRPr="00D67A00">
        <w:rPr>
          <w:rStyle w:val="FootnoteReference"/>
          <w:rFonts w:ascii="Arial" w:hAnsi="Arial" w:cs="Arial"/>
          <w:sz w:val="20"/>
          <w:szCs w:val="20"/>
        </w:rPr>
        <w:footnoteRef/>
      </w:r>
      <w:r w:rsidRPr="00D67A00">
        <w:rPr>
          <w:rFonts w:ascii="Arial" w:hAnsi="Arial" w:cs="Arial"/>
          <w:sz w:val="20"/>
          <w:szCs w:val="20"/>
        </w:rPr>
        <w:t xml:space="preserve"> </w:t>
      </w:r>
      <w:r w:rsidRPr="0057323B">
        <w:rPr>
          <w:rFonts w:ascii="Arial" w:hAnsi="Arial" w:cs="Arial"/>
          <w:sz w:val="20"/>
          <w:szCs w:val="20"/>
        </w:rPr>
        <w:t>This amendment to the Government of Wales Act 2006 by the Wales Act 2017 comes into force on 1 April 2018. See the Wales Act 2017 (Commencement No. 4) Regulations 2017/1179.</w:t>
      </w:r>
    </w:p>
    <w:p w14:paraId="100190A3" w14:textId="24B9F348" w:rsidR="0057323B" w:rsidRDefault="005732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EF032" w14:textId="77777777" w:rsidR="00907927" w:rsidRDefault="00907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4D78" w14:textId="77777777" w:rsidR="00907927" w:rsidRDefault="009079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C16C" w14:textId="77777777" w:rsidR="00907927" w:rsidRDefault="00907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09D3"/>
    <w:multiLevelType w:val="hybridMultilevel"/>
    <w:tmpl w:val="0B1CA95C"/>
    <w:lvl w:ilvl="0" w:tplc="B74C7C60">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Vallis">
    <w15:presenceInfo w15:providerId="None" w15:userId="Jennifer Val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A8"/>
    <w:rsid w:val="000D1AA0"/>
    <w:rsid w:val="00151636"/>
    <w:rsid w:val="003218D9"/>
    <w:rsid w:val="003A3351"/>
    <w:rsid w:val="0040690B"/>
    <w:rsid w:val="00464684"/>
    <w:rsid w:val="0057323B"/>
    <w:rsid w:val="00637AD7"/>
    <w:rsid w:val="006D2A26"/>
    <w:rsid w:val="0079137D"/>
    <w:rsid w:val="007B77D9"/>
    <w:rsid w:val="007E38B6"/>
    <w:rsid w:val="008366FF"/>
    <w:rsid w:val="00847A43"/>
    <w:rsid w:val="008A6B58"/>
    <w:rsid w:val="00907927"/>
    <w:rsid w:val="0092771E"/>
    <w:rsid w:val="00A142CF"/>
    <w:rsid w:val="00B976D2"/>
    <w:rsid w:val="00C1208C"/>
    <w:rsid w:val="00C17AA8"/>
    <w:rsid w:val="00C31444"/>
    <w:rsid w:val="00CB5424"/>
    <w:rsid w:val="00CD127D"/>
    <w:rsid w:val="00D30CA6"/>
    <w:rsid w:val="00D67A00"/>
    <w:rsid w:val="00D71B94"/>
    <w:rsid w:val="00D84847"/>
    <w:rsid w:val="00E62840"/>
    <w:rsid w:val="00E648EB"/>
    <w:rsid w:val="00E77F13"/>
    <w:rsid w:val="00EE5438"/>
    <w:rsid w:val="00F730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BAE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A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AA8"/>
    <w:rPr>
      <w:rFonts w:ascii="Times" w:hAnsi="Times"/>
      <w:b/>
      <w:bCs/>
      <w:kern w:val="36"/>
      <w:sz w:val="48"/>
      <w:szCs w:val="48"/>
    </w:rPr>
  </w:style>
  <w:style w:type="paragraph" w:styleId="NormalWeb">
    <w:name w:val="Normal (Web)"/>
    <w:basedOn w:val="Normal"/>
    <w:uiPriority w:val="99"/>
    <w:unhideWhenUsed/>
    <w:rsid w:val="00C17AA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07927"/>
    <w:pPr>
      <w:tabs>
        <w:tab w:val="center" w:pos="4513"/>
        <w:tab w:val="right" w:pos="9026"/>
      </w:tabs>
    </w:pPr>
  </w:style>
  <w:style w:type="character" w:customStyle="1" w:styleId="HeaderChar">
    <w:name w:val="Header Char"/>
    <w:basedOn w:val="DefaultParagraphFont"/>
    <w:link w:val="Header"/>
    <w:uiPriority w:val="99"/>
    <w:rsid w:val="00907927"/>
  </w:style>
  <w:style w:type="paragraph" w:styleId="Footer">
    <w:name w:val="footer"/>
    <w:basedOn w:val="Normal"/>
    <w:link w:val="FooterChar"/>
    <w:uiPriority w:val="99"/>
    <w:unhideWhenUsed/>
    <w:rsid w:val="00907927"/>
    <w:pPr>
      <w:tabs>
        <w:tab w:val="center" w:pos="4513"/>
        <w:tab w:val="right" w:pos="9026"/>
      </w:tabs>
    </w:pPr>
  </w:style>
  <w:style w:type="character" w:customStyle="1" w:styleId="FooterChar">
    <w:name w:val="Footer Char"/>
    <w:basedOn w:val="DefaultParagraphFont"/>
    <w:link w:val="Footer"/>
    <w:uiPriority w:val="99"/>
    <w:rsid w:val="00907927"/>
  </w:style>
  <w:style w:type="character" w:styleId="CommentReference">
    <w:name w:val="annotation reference"/>
    <w:basedOn w:val="DefaultParagraphFont"/>
    <w:uiPriority w:val="99"/>
    <w:semiHidden/>
    <w:unhideWhenUsed/>
    <w:rsid w:val="006D2A26"/>
    <w:rPr>
      <w:sz w:val="16"/>
      <w:szCs w:val="16"/>
    </w:rPr>
  </w:style>
  <w:style w:type="paragraph" w:styleId="CommentText">
    <w:name w:val="annotation text"/>
    <w:basedOn w:val="Normal"/>
    <w:link w:val="CommentTextChar"/>
    <w:uiPriority w:val="99"/>
    <w:semiHidden/>
    <w:unhideWhenUsed/>
    <w:rsid w:val="006D2A26"/>
    <w:rPr>
      <w:sz w:val="20"/>
      <w:szCs w:val="20"/>
    </w:rPr>
  </w:style>
  <w:style w:type="character" w:customStyle="1" w:styleId="CommentTextChar">
    <w:name w:val="Comment Text Char"/>
    <w:basedOn w:val="DefaultParagraphFont"/>
    <w:link w:val="CommentText"/>
    <w:uiPriority w:val="99"/>
    <w:semiHidden/>
    <w:rsid w:val="006D2A26"/>
    <w:rPr>
      <w:sz w:val="20"/>
      <w:szCs w:val="20"/>
    </w:rPr>
  </w:style>
  <w:style w:type="paragraph" w:styleId="CommentSubject">
    <w:name w:val="annotation subject"/>
    <w:basedOn w:val="CommentText"/>
    <w:next w:val="CommentText"/>
    <w:link w:val="CommentSubjectChar"/>
    <w:uiPriority w:val="99"/>
    <w:semiHidden/>
    <w:unhideWhenUsed/>
    <w:rsid w:val="006D2A26"/>
    <w:rPr>
      <w:b/>
      <w:bCs/>
    </w:rPr>
  </w:style>
  <w:style w:type="character" w:customStyle="1" w:styleId="CommentSubjectChar">
    <w:name w:val="Comment Subject Char"/>
    <w:basedOn w:val="CommentTextChar"/>
    <w:link w:val="CommentSubject"/>
    <w:uiPriority w:val="99"/>
    <w:semiHidden/>
    <w:rsid w:val="006D2A26"/>
    <w:rPr>
      <w:b/>
      <w:bCs/>
      <w:sz w:val="20"/>
      <w:szCs w:val="20"/>
    </w:rPr>
  </w:style>
  <w:style w:type="paragraph" w:styleId="BalloonText">
    <w:name w:val="Balloon Text"/>
    <w:basedOn w:val="Normal"/>
    <w:link w:val="BalloonTextChar"/>
    <w:uiPriority w:val="99"/>
    <w:semiHidden/>
    <w:unhideWhenUsed/>
    <w:rsid w:val="006D2A26"/>
    <w:rPr>
      <w:rFonts w:ascii="Tahoma" w:hAnsi="Tahoma" w:cs="Tahoma"/>
      <w:sz w:val="16"/>
      <w:szCs w:val="16"/>
    </w:rPr>
  </w:style>
  <w:style w:type="character" w:customStyle="1" w:styleId="BalloonTextChar">
    <w:name w:val="Balloon Text Char"/>
    <w:basedOn w:val="DefaultParagraphFont"/>
    <w:link w:val="BalloonText"/>
    <w:uiPriority w:val="99"/>
    <w:semiHidden/>
    <w:rsid w:val="006D2A26"/>
    <w:rPr>
      <w:rFonts w:ascii="Tahoma" w:hAnsi="Tahoma" w:cs="Tahoma"/>
      <w:sz w:val="16"/>
      <w:szCs w:val="16"/>
    </w:rPr>
  </w:style>
  <w:style w:type="paragraph" w:styleId="FootnoteText">
    <w:name w:val="footnote text"/>
    <w:basedOn w:val="Normal"/>
    <w:link w:val="FootnoteTextChar"/>
    <w:uiPriority w:val="99"/>
    <w:semiHidden/>
    <w:unhideWhenUsed/>
    <w:rsid w:val="00637AD7"/>
    <w:rPr>
      <w:sz w:val="20"/>
      <w:szCs w:val="20"/>
    </w:rPr>
  </w:style>
  <w:style w:type="character" w:customStyle="1" w:styleId="FootnoteTextChar">
    <w:name w:val="Footnote Text Char"/>
    <w:basedOn w:val="DefaultParagraphFont"/>
    <w:link w:val="FootnoteText"/>
    <w:uiPriority w:val="99"/>
    <w:semiHidden/>
    <w:rsid w:val="00637AD7"/>
    <w:rPr>
      <w:sz w:val="20"/>
      <w:szCs w:val="20"/>
    </w:rPr>
  </w:style>
  <w:style w:type="character" w:styleId="FootnoteReference">
    <w:name w:val="footnote reference"/>
    <w:basedOn w:val="DefaultParagraphFont"/>
    <w:uiPriority w:val="99"/>
    <w:unhideWhenUsed/>
    <w:qFormat/>
    <w:rsid w:val="00637AD7"/>
    <w:rPr>
      <w:vertAlign w:val="superscript"/>
    </w:rPr>
  </w:style>
  <w:style w:type="paragraph" w:styleId="ListParagraph">
    <w:name w:val="List Paragraph"/>
    <w:basedOn w:val="Normal"/>
    <w:uiPriority w:val="34"/>
    <w:qFormat/>
    <w:rsid w:val="00464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A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AA8"/>
    <w:rPr>
      <w:rFonts w:ascii="Times" w:hAnsi="Times"/>
      <w:b/>
      <w:bCs/>
      <w:kern w:val="36"/>
      <w:sz w:val="48"/>
      <w:szCs w:val="48"/>
    </w:rPr>
  </w:style>
  <w:style w:type="paragraph" w:styleId="NormalWeb">
    <w:name w:val="Normal (Web)"/>
    <w:basedOn w:val="Normal"/>
    <w:uiPriority w:val="99"/>
    <w:unhideWhenUsed/>
    <w:rsid w:val="00C17AA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07927"/>
    <w:pPr>
      <w:tabs>
        <w:tab w:val="center" w:pos="4513"/>
        <w:tab w:val="right" w:pos="9026"/>
      </w:tabs>
    </w:pPr>
  </w:style>
  <w:style w:type="character" w:customStyle="1" w:styleId="HeaderChar">
    <w:name w:val="Header Char"/>
    <w:basedOn w:val="DefaultParagraphFont"/>
    <w:link w:val="Header"/>
    <w:uiPriority w:val="99"/>
    <w:rsid w:val="00907927"/>
  </w:style>
  <w:style w:type="paragraph" w:styleId="Footer">
    <w:name w:val="footer"/>
    <w:basedOn w:val="Normal"/>
    <w:link w:val="FooterChar"/>
    <w:uiPriority w:val="99"/>
    <w:unhideWhenUsed/>
    <w:rsid w:val="00907927"/>
    <w:pPr>
      <w:tabs>
        <w:tab w:val="center" w:pos="4513"/>
        <w:tab w:val="right" w:pos="9026"/>
      </w:tabs>
    </w:pPr>
  </w:style>
  <w:style w:type="character" w:customStyle="1" w:styleId="FooterChar">
    <w:name w:val="Footer Char"/>
    <w:basedOn w:val="DefaultParagraphFont"/>
    <w:link w:val="Footer"/>
    <w:uiPriority w:val="99"/>
    <w:rsid w:val="00907927"/>
  </w:style>
  <w:style w:type="character" w:styleId="CommentReference">
    <w:name w:val="annotation reference"/>
    <w:basedOn w:val="DefaultParagraphFont"/>
    <w:uiPriority w:val="99"/>
    <w:semiHidden/>
    <w:unhideWhenUsed/>
    <w:rsid w:val="006D2A26"/>
    <w:rPr>
      <w:sz w:val="16"/>
      <w:szCs w:val="16"/>
    </w:rPr>
  </w:style>
  <w:style w:type="paragraph" w:styleId="CommentText">
    <w:name w:val="annotation text"/>
    <w:basedOn w:val="Normal"/>
    <w:link w:val="CommentTextChar"/>
    <w:uiPriority w:val="99"/>
    <w:semiHidden/>
    <w:unhideWhenUsed/>
    <w:rsid w:val="006D2A26"/>
    <w:rPr>
      <w:sz w:val="20"/>
      <w:szCs w:val="20"/>
    </w:rPr>
  </w:style>
  <w:style w:type="character" w:customStyle="1" w:styleId="CommentTextChar">
    <w:name w:val="Comment Text Char"/>
    <w:basedOn w:val="DefaultParagraphFont"/>
    <w:link w:val="CommentText"/>
    <w:uiPriority w:val="99"/>
    <w:semiHidden/>
    <w:rsid w:val="006D2A26"/>
    <w:rPr>
      <w:sz w:val="20"/>
      <w:szCs w:val="20"/>
    </w:rPr>
  </w:style>
  <w:style w:type="paragraph" w:styleId="CommentSubject">
    <w:name w:val="annotation subject"/>
    <w:basedOn w:val="CommentText"/>
    <w:next w:val="CommentText"/>
    <w:link w:val="CommentSubjectChar"/>
    <w:uiPriority w:val="99"/>
    <w:semiHidden/>
    <w:unhideWhenUsed/>
    <w:rsid w:val="006D2A26"/>
    <w:rPr>
      <w:b/>
      <w:bCs/>
    </w:rPr>
  </w:style>
  <w:style w:type="character" w:customStyle="1" w:styleId="CommentSubjectChar">
    <w:name w:val="Comment Subject Char"/>
    <w:basedOn w:val="CommentTextChar"/>
    <w:link w:val="CommentSubject"/>
    <w:uiPriority w:val="99"/>
    <w:semiHidden/>
    <w:rsid w:val="006D2A26"/>
    <w:rPr>
      <w:b/>
      <w:bCs/>
      <w:sz w:val="20"/>
      <w:szCs w:val="20"/>
    </w:rPr>
  </w:style>
  <w:style w:type="paragraph" w:styleId="BalloonText">
    <w:name w:val="Balloon Text"/>
    <w:basedOn w:val="Normal"/>
    <w:link w:val="BalloonTextChar"/>
    <w:uiPriority w:val="99"/>
    <w:semiHidden/>
    <w:unhideWhenUsed/>
    <w:rsid w:val="006D2A26"/>
    <w:rPr>
      <w:rFonts w:ascii="Tahoma" w:hAnsi="Tahoma" w:cs="Tahoma"/>
      <w:sz w:val="16"/>
      <w:szCs w:val="16"/>
    </w:rPr>
  </w:style>
  <w:style w:type="character" w:customStyle="1" w:styleId="BalloonTextChar">
    <w:name w:val="Balloon Text Char"/>
    <w:basedOn w:val="DefaultParagraphFont"/>
    <w:link w:val="BalloonText"/>
    <w:uiPriority w:val="99"/>
    <w:semiHidden/>
    <w:rsid w:val="006D2A26"/>
    <w:rPr>
      <w:rFonts w:ascii="Tahoma" w:hAnsi="Tahoma" w:cs="Tahoma"/>
      <w:sz w:val="16"/>
      <w:szCs w:val="16"/>
    </w:rPr>
  </w:style>
  <w:style w:type="paragraph" w:styleId="FootnoteText">
    <w:name w:val="footnote text"/>
    <w:basedOn w:val="Normal"/>
    <w:link w:val="FootnoteTextChar"/>
    <w:uiPriority w:val="99"/>
    <w:semiHidden/>
    <w:unhideWhenUsed/>
    <w:rsid w:val="00637AD7"/>
    <w:rPr>
      <w:sz w:val="20"/>
      <w:szCs w:val="20"/>
    </w:rPr>
  </w:style>
  <w:style w:type="character" w:customStyle="1" w:styleId="FootnoteTextChar">
    <w:name w:val="Footnote Text Char"/>
    <w:basedOn w:val="DefaultParagraphFont"/>
    <w:link w:val="FootnoteText"/>
    <w:uiPriority w:val="99"/>
    <w:semiHidden/>
    <w:rsid w:val="00637AD7"/>
    <w:rPr>
      <w:sz w:val="20"/>
      <w:szCs w:val="20"/>
    </w:rPr>
  </w:style>
  <w:style w:type="character" w:styleId="FootnoteReference">
    <w:name w:val="footnote reference"/>
    <w:basedOn w:val="DefaultParagraphFont"/>
    <w:uiPriority w:val="99"/>
    <w:unhideWhenUsed/>
    <w:qFormat/>
    <w:rsid w:val="00637AD7"/>
    <w:rPr>
      <w:vertAlign w:val="superscript"/>
    </w:rPr>
  </w:style>
  <w:style w:type="paragraph" w:styleId="ListParagraph">
    <w:name w:val="List Paragraph"/>
    <w:basedOn w:val="Normal"/>
    <w:uiPriority w:val="34"/>
    <w:qFormat/>
    <w:rsid w:val="0046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5257">
      <w:bodyDiv w:val="1"/>
      <w:marLeft w:val="0"/>
      <w:marRight w:val="0"/>
      <w:marTop w:val="0"/>
      <w:marBottom w:val="0"/>
      <w:divBdr>
        <w:top w:val="none" w:sz="0" w:space="0" w:color="auto"/>
        <w:left w:val="none" w:sz="0" w:space="0" w:color="auto"/>
        <w:bottom w:val="none" w:sz="0" w:space="0" w:color="auto"/>
        <w:right w:val="none" w:sz="0" w:space="0" w:color="auto"/>
      </w:divBdr>
      <w:divsChild>
        <w:div w:id="1730180417">
          <w:marLeft w:val="-63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DABF-E7D9-4F8A-896E-B6E6812B0E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A28008-BB4C-4B1D-8D77-5B1D20BF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aatac1</cp:lastModifiedBy>
  <cp:revision>2</cp:revision>
  <dcterms:created xsi:type="dcterms:W3CDTF">2018-08-31T17:46:00Z</dcterms:created>
  <dcterms:modified xsi:type="dcterms:W3CDTF">2018-08-31T17:46:00Z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65bd28bd-8caa-4bf7-ac7c-86e0e716e196</vt:lpwstr>
  </property>
  <property fmtid="{D5CDD505-2E9C-101B-9397-08002B2CF9AE}" pid="3" name="bjSaver">
    <vt:lpwstr>ENXZPoP1kcGG5dWvxtgXTGq2MOFOz+mL</vt:lpwstr>
  </property>
  <property fmtid="{D5CDD505-2E9C-101B-9397-08002B2CF9AE}" pid="4" name="bjDocumentSecurityLabel">
    <vt:lpwstr>No Marking</vt:lpwstr>
  </property>
</Properties>
</file>