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09A43" w14:textId="77777777" w:rsidR="00FD7372" w:rsidRPr="002C0578" w:rsidRDefault="000841C2" w:rsidP="00FD7372">
      <w:pPr>
        <w:pStyle w:val="ParaNumbered"/>
        <w:numPr>
          <w:ilvl w:val="0"/>
          <w:numId w:val="0"/>
        </w:numPr>
        <w:shd w:val="clear" w:color="auto" w:fill="FFFFFF" w:themeFill="background1"/>
        <w:spacing w:after="240" w:line="240" w:lineRule="auto"/>
        <w:ind w:left="360"/>
        <w:rPr>
          <w:rFonts w:cs="Times New Roman"/>
          <w:b/>
          <w:sz w:val="32"/>
          <w:szCs w:val="32"/>
        </w:rPr>
      </w:pPr>
      <w:bookmarkStart w:id="0" w:name="_Toc512321049"/>
      <w:r w:rsidRPr="002C0578">
        <w:rPr>
          <w:rFonts w:cs="Times New Roman"/>
          <w:b/>
          <w:sz w:val="32"/>
          <w:szCs w:val="32"/>
        </w:rPr>
        <w:t>Tenant Fees Bill</w:t>
      </w:r>
    </w:p>
    <w:p w14:paraId="11CAD31C" w14:textId="77777777" w:rsidR="006C08BB" w:rsidRPr="00FD7372" w:rsidRDefault="000841C2" w:rsidP="00FD7372">
      <w:pPr>
        <w:pStyle w:val="ParaNumbered"/>
        <w:numPr>
          <w:ilvl w:val="0"/>
          <w:numId w:val="0"/>
        </w:numPr>
        <w:shd w:val="clear" w:color="auto" w:fill="FFFFFF" w:themeFill="background1"/>
        <w:spacing w:after="240" w:line="240" w:lineRule="auto"/>
        <w:ind w:left="360"/>
        <w:rPr>
          <w:rFonts w:cs="Times New Roman"/>
          <w:sz w:val="32"/>
          <w:szCs w:val="32"/>
        </w:rPr>
      </w:pPr>
      <w:r w:rsidRPr="00FD7372">
        <w:rPr>
          <w:rFonts w:cs="Times New Roman"/>
          <w:b/>
          <w:szCs w:val="20"/>
        </w:rPr>
        <w:t>Analysis on the application of Standing Order No 83L of the Standing Orders of the House of Commons relating to Public Business in re</w:t>
      </w:r>
      <w:r w:rsidR="005C6F2C" w:rsidRPr="00FD7372">
        <w:rPr>
          <w:rFonts w:cs="Times New Roman"/>
          <w:b/>
          <w:szCs w:val="20"/>
        </w:rPr>
        <w:t>sp</w:t>
      </w:r>
      <w:r w:rsidRPr="00FD7372">
        <w:rPr>
          <w:rFonts w:cs="Times New Roman"/>
          <w:b/>
          <w:szCs w:val="20"/>
        </w:rPr>
        <w:t>ect of Government Amendments tabled at Report stage</w:t>
      </w:r>
      <w:r w:rsidRPr="00FD7372">
        <w:rPr>
          <w:rFonts w:cs="Times New Roman"/>
          <w:szCs w:val="20"/>
        </w:rPr>
        <w:t xml:space="preserve">.  </w:t>
      </w:r>
    </w:p>
    <w:p w14:paraId="2D1199B0" w14:textId="77777777" w:rsidR="00FB70F1" w:rsidRPr="00FD7372" w:rsidRDefault="00FD7372" w:rsidP="00FD7372">
      <w:pPr>
        <w:pStyle w:val="ParaNumbered"/>
        <w:numPr>
          <w:ilvl w:val="0"/>
          <w:numId w:val="0"/>
        </w:numPr>
        <w:shd w:val="clear" w:color="auto" w:fill="FFFFFF" w:themeFill="background1"/>
        <w:spacing w:after="240" w:line="240" w:lineRule="auto"/>
        <w:ind w:left="360"/>
        <w:rPr>
          <w:rFonts w:cs="Times New Roman"/>
          <w:b/>
          <w:i/>
          <w:szCs w:val="20"/>
        </w:rPr>
      </w:pPr>
      <w:r>
        <w:rPr>
          <w:rFonts w:cs="Times New Roman"/>
          <w:b/>
          <w:i/>
          <w:szCs w:val="20"/>
        </w:rPr>
        <w:t xml:space="preserve">Commons </w:t>
      </w:r>
      <w:r w:rsidR="00A16557" w:rsidRPr="00FD7372">
        <w:rPr>
          <w:rFonts w:cs="Times New Roman"/>
          <w:b/>
          <w:i/>
          <w:szCs w:val="20"/>
        </w:rPr>
        <w:t>Report stage a</w:t>
      </w:r>
      <w:r w:rsidR="000841C2" w:rsidRPr="00FD7372">
        <w:rPr>
          <w:rFonts w:cs="Times New Roman"/>
          <w:b/>
          <w:i/>
          <w:szCs w:val="20"/>
        </w:rPr>
        <w:t>mendments</w:t>
      </w:r>
    </w:p>
    <w:p w14:paraId="1741B77A" w14:textId="2AEEE313" w:rsidR="000841C2" w:rsidRDefault="00FB70F1" w:rsidP="00FD7372">
      <w:pPr>
        <w:pStyle w:val="ParaNumbered"/>
        <w:numPr>
          <w:ilvl w:val="0"/>
          <w:numId w:val="0"/>
        </w:numPr>
        <w:shd w:val="clear" w:color="auto" w:fill="FFFFFF" w:themeFill="background1"/>
        <w:spacing w:after="240" w:line="240" w:lineRule="auto"/>
        <w:ind w:left="360"/>
        <w:rPr>
          <w:rFonts w:cs="Times New Roman"/>
          <w:szCs w:val="20"/>
        </w:rPr>
      </w:pPr>
      <w:r w:rsidRPr="00FD7372">
        <w:rPr>
          <w:rFonts w:cs="Times New Roman"/>
          <w:szCs w:val="20"/>
        </w:rPr>
        <w:t xml:space="preserve">The following is the </w:t>
      </w:r>
      <w:r w:rsidR="002C0578">
        <w:rPr>
          <w:rFonts w:cs="Times New Roman"/>
          <w:szCs w:val="20"/>
        </w:rPr>
        <w:t>Department’s assessment of the T</w:t>
      </w:r>
      <w:r w:rsidRPr="00FD7372">
        <w:rPr>
          <w:rFonts w:cs="Times New Roman"/>
          <w:szCs w:val="20"/>
        </w:rPr>
        <w:t>enant Fees Bill and Government amendments tabled to the Bill for consideration</w:t>
      </w:r>
      <w:r w:rsidR="00A16557" w:rsidRPr="00FD7372">
        <w:rPr>
          <w:rFonts w:cs="Times New Roman"/>
          <w:szCs w:val="20"/>
        </w:rPr>
        <w:t xml:space="preserve"> at Report Stage</w:t>
      </w:r>
      <w:bookmarkEnd w:id="0"/>
      <w:r w:rsidR="000841C2" w:rsidRPr="002C0578">
        <w:rPr>
          <w:rStyle w:val="FootnoteReference"/>
          <w:rFonts w:asciiTheme="minorHAnsi" w:hAnsiTheme="minorHAnsi" w:cstheme="minorBidi"/>
          <w:color w:val="auto"/>
          <w:sz w:val="18"/>
        </w:rPr>
        <w:footnoteReference w:id="1"/>
      </w:r>
      <w:r w:rsidR="00694D7E">
        <w:rPr>
          <w:rFonts w:cs="Times New Roman"/>
          <w:szCs w:val="20"/>
        </w:rPr>
        <w:t>.</w:t>
      </w:r>
    </w:p>
    <w:p w14:paraId="4F28822F" w14:textId="77777777" w:rsidR="00FD7372" w:rsidRDefault="00FD7372" w:rsidP="00FD7372">
      <w:pPr>
        <w:pStyle w:val="ParaNumbered"/>
        <w:numPr>
          <w:ilvl w:val="0"/>
          <w:numId w:val="0"/>
        </w:numPr>
        <w:shd w:val="clear" w:color="auto" w:fill="FFFFFF" w:themeFill="background1"/>
        <w:spacing w:after="240" w:line="240" w:lineRule="auto"/>
        <w:ind w:left="360"/>
        <w:rPr>
          <w:rFonts w:cs="Times New Roman"/>
          <w:szCs w:val="20"/>
          <w:u w:val="single"/>
        </w:rPr>
      </w:pPr>
      <w:r w:rsidRPr="00FD7372">
        <w:rPr>
          <w:rFonts w:cs="Times New Roman"/>
          <w:szCs w:val="20"/>
          <w:u w:val="single"/>
        </w:rPr>
        <w:t>Summary</w:t>
      </w:r>
    </w:p>
    <w:p w14:paraId="0698F65F" w14:textId="77777777" w:rsidR="00A80704" w:rsidRDefault="00A80704" w:rsidP="00A80704">
      <w:pPr>
        <w:pStyle w:val="ParaNumbered"/>
      </w:pPr>
      <w:r>
        <w:t>The subject matter of this Bill is housing – a devolved matter in Scotland, Wales and Northern Ireland and the Bill is of application only in relation to housing in England.</w:t>
      </w:r>
    </w:p>
    <w:p w14:paraId="3530455F" w14:textId="59CF01FE" w:rsidR="00A80704" w:rsidRDefault="00A80704" w:rsidP="00A80704">
      <w:pPr>
        <w:pStyle w:val="ParaNumbered"/>
      </w:pPr>
      <w:r w:rsidRPr="000F7D33">
        <w:t xml:space="preserve">The territorial extent of the majority of the Bill is England and Wales, with the exception of the amendments to Schedule 5 of the Consumer Rights Act 2015 made by </w:t>
      </w:r>
      <w:r>
        <w:t>sections 6(6), 7(4) and 24(10</w:t>
      </w:r>
      <w:r w:rsidRPr="000F7D33">
        <w:t>)</w:t>
      </w:r>
      <w:r w:rsidR="007C3980">
        <w:t>.</w:t>
      </w:r>
    </w:p>
    <w:p w14:paraId="20F99C7C" w14:textId="735A3336" w:rsidR="00516EE7" w:rsidRPr="00D63EEA" w:rsidRDefault="00516EE7" w:rsidP="00A80704">
      <w:pPr>
        <w:pStyle w:val="ParaNumbered"/>
      </w:pPr>
      <w:r>
        <w:t>The</w:t>
      </w:r>
      <w:r w:rsidRPr="00D63EEA">
        <w:t xml:space="preserve"> </w:t>
      </w:r>
      <w:r>
        <w:t xml:space="preserve">amendments to </w:t>
      </w:r>
      <w:r w:rsidRPr="00660C4F">
        <w:rPr>
          <w:color w:val="auto"/>
        </w:rPr>
        <w:t>the Consumer Rights Act 2015 made by clauses 18 to 20 have a minor/consequential effect in relation to Wales as pursuant to section 87(4) of that Act a local weights and measures authority in Wales may take enforcement action in respect of a breach which occurs in England.</w:t>
      </w:r>
    </w:p>
    <w:p w14:paraId="4F36E865" w14:textId="081AC70E" w:rsidR="004A3CB4" w:rsidRPr="00694D7E" w:rsidRDefault="00516EE7" w:rsidP="00694D7E">
      <w:pPr>
        <w:pStyle w:val="ParaNumbered"/>
      </w:pPr>
      <w:r>
        <w:t>In the UK Government’s view all of the provisions of the Bill would be within the legislative competence of the National Assembly for Wales, the Scottish Parliament or the Northern Ireland Assembly</w:t>
      </w:r>
      <w:r w:rsidRPr="000E72EE">
        <w:t>.</w:t>
      </w:r>
    </w:p>
    <w:p w14:paraId="60172E1F" w14:textId="77777777" w:rsidR="00FD7372" w:rsidRPr="00FD7372" w:rsidRDefault="00FD7372" w:rsidP="00FD7372">
      <w:pPr>
        <w:pStyle w:val="ParaNumbered"/>
        <w:numPr>
          <w:ilvl w:val="0"/>
          <w:numId w:val="0"/>
        </w:numPr>
        <w:shd w:val="clear" w:color="auto" w:fill="FFFFFF" w:themeFill="background1"/>
        <w:spacing w:after="240" w:line="240" w:lineRule="auto"/>
        <w:ind w:left="360"/>
        <w:rPr>
          <w:rFonts w:cs="Times New Roman"/>
          <w:szCs w:val="20"/>
        </w:rPr>
      </w:pPr>
      <w:r>
        <w:rPr>
          <w:rFonts w:cs="Times New Roman"/>
          <w:szCs w:val="20"/>
        </w:rPr>
        <w:t>The above assessment is represented in tabular form below.</w:t>
      </w:r>
    </w:p>
    <w:tbl>
      <w:tblPr>
        <w:tblStyle w:val="ENGeneralTable"/>
        <w:tblW w:w="10627" w:type="dxa"/>
        <w:jc w:val="center"/>
        <w:tblLayout w:type="fixed"/>
        <w:tblLook w:val="0000" w:firstRow="0" w:lastRow="0" w:firstColumn="0" w:lastColumn="0" w:noHBand="0" w:noVBand="0"/>
      </w:tblPr>
      <w:tblGrid>
        <w:gridCol w:w="1085"/>
        <w:gridCol w:w="1008"/>
        <w:gridCol w:w="992"/>
        <w:gridCol w:w="992"/>
        <w:gridCol w:w="1363"/>
        <w:gridCol w:w="1363"/>
        <w:gridCol w:w="1363"/>
        <w:gridCol w:w="1361"/>
        <w:gridCol w:w="1100"/>
      </w:tblGrid>
      <w:tr w:rsidR="000841C2" w:rsidRPr="00CA4237" w14:paraId="6A336B36" w14:textId="77777777" w:rsidTr="004843BC">
        <w:trPr>
          <w:trHeight w:val="1153"/>
          <w:tblHeader/>
          <w:jc w:val="center"/>
        </w:trPr>
        <w:tc>
          <w:tcPr>
            <w:tcW w:w="1085" w:type="dxa"/>
          </w:tcPr>
          <w:p w14:paraId="74514E6C" w14:textId="77777777" w:rsidR="000841C2" w:rsidRPr="00BC7958" w:rsidRDefault="000841C2" w:rsidP="00B12E12">
            <w:pPr>
              <w:pStyle w:val="TTableText"/>
              <w:rPr>
                <w:rStyle w:val="TTableHeadings"/>
              </w:rPr>
            </w:pPr>
            <w:r>
              <w:rPr>
                <w:rStyle w:val="TTableHeadings"/>
              </w:rPr>
              <w:t>Provision</w:t>
            </w:r>
          </w:p>
        </w:tc>
        <w:tc>
          <w:tcPr>
            <w:tcW w:w="1008" w:type="dxa"/>
          </w:tcPr>
          <w:p w14:paraId="6E3A8C67" w14:textId="77777777" w:rsidR="000841C2" w:rsidRPr="00BC7958" w:rsidRDefault="000841C2" w:rsidP="00B12E12">
            <w:pPr>
              <w:pStyle w:val="TTableText"/>
              <w:rPr>
                <w:rStyle w:val="TTableHeadings"/>
              </w:rPr>
            </w:pPr>
            <w:r w:rsidRPr="00BC7958">
              <w:rPr>
                <w:rStyle w:val="TTableHeadings"/>
              </w:rPr>
              <w:t>Extends to E &amp; W and applies to England?</w:t>
            </w:r>
          </w:p>
        </w:tc>
        <w:tc>
          <w:tcPr>
            <w:tcW w:w="992" w:type="dxa"/>
          </w:tcPr>
          <w:p w14:paraId="57293F55" w14:textId="77777777" w:rsidR="000841C2" w:rsidRPr="00BC7958" w:rsidRDefault="000841C2" w:rsidP="00B12E12">
            <w:pPr>
              <w:pStyle w:val="TTableText"/>
              <w:rPr>
                <w:rStyle w:val="TTableHeadings"/>
              </w:rPr>
            </w:pPr>
            <w:r w:rsidRPr="00BC7958">
              <w:rPr>
                <w:rStyle w:val="TTableHeadings"/>
              </w:rPr>
              <w:t>Extends to E &amp; W and applies to Wales?</w:t>
            </w:r>
          </w:p>
        </w:tc>
        <w:tc>
          <w:tcPr>
            <w:tcW w:w="992" w:type="dxa"/>
          </w:tcPr>
          <w:p w14:paraId="646F79B7" w14:textId="77777777" w:rsidR="000841C2" w:rsidRPr="00BC7958" w:rsidRDefault="000841C2" w:rsidP="00B12E12">
            <w:pPr>
              <w:pStyle w:val="TTableText"/>
              <w:rPr>
                <w:rStyle w:val="TTableHeadings"/>
              </w:rPr>
            </w:pPr>
            <w:r w:rsidRPr="00BC7958">
              <w:rPr>
                <w:rStyle w:val="TTableHeadings"/>
              </w:rPr>
              <w:t>Extends and applies to Scotland?</w:t>
            </w:r>
          </w:p>
        </w:tc>
        <w:tc>
          <w:tcPr>
            <w:tcW w:w="1363" w:type="dxa"/>
          </w:tcPr>
          <w:p w14:paraId="239D5985" w14:textId="77777777" w:rsidR="000841C2" w:rsidRPr="00BC7958" w:rsidRDefault="000841C2" w:rsidP="00B12E12">
            <w:pPr>
              <w:pStyle w:val="TTableText"/>
              <w:rPr>
                <w:rStyle w:val="TTableHeadings"/>
              </w:rPr>
            </w:pPr>
            <w:r w:rsidRPr="00BC7958">
              <w:rPr>
                <w:rStyle w:val="TTableHeadings"/>
              </w:rPr>
              <w:t xml:space="preserve">Extends and applies to </w:t>
            </w:r>
            <w:r>
              <w:rPr>
                <w:rStyle w:val="TTableHeadings"/>
              </w:rPr>
              <w:t>Northern Ireland</w:t>
            </w:r>
            <w:r w:rsidRPr="00BC7958">
              <w:rPr>
                <w:rStyle w:val="TTableHeadings"/>
              </w:rPr>
              <w:t>?</w:t>
            </w:r>
          </w:p>
        </w:tc>
        <w:tc>
          <w:tcPr>
            <w:tcW w:w="1363" w:type="dxa"/>
          </w:tcPr>
          <w:p w14:paraId="667FF657" w14:textId="77777777" w:rsidR="000841C2" w:rsidRPr="00BC7958" w:rsidRDefault="000841C2" w:rsidP="00B12E12">
            <w:pPr>
              <w:pStyle w:val="TTableText"/>
              <w:rPr>
                <w:rStyle w:val="TTableHeadings"/>
              </w:rPr>
            </w:pPr>
            <w:r>
              <w:rPr>
                <w:rStyle w:val="TTableHeadings"/>
              </w:rPr>
              <w:t>Would corresponding provision be within the competence of the National Assembly for Wales</w:t>
            </w:r>
            <w:r w:rsidRPr="00BC7958">
              <w:rPr>
                <w:rStyle w:val="TTableHeadings"/>
              </w:rPr>
              <w:t>?</w:t>
            </w:r>
          </w:p>
        </w:tc>
        <w:tc>
          <w:tcPr>
            <w:tcW w:w="1363" w:type="dxa"/>
          </w:tcPr>
          <w:p w14:paraId="561A5C31" w14:textId="77777777" w:rsidR="000841C2" w:rsidRPr="00BC7958" w:rsidRDefault="000841C2" w:rsidP="00B12E12">
            <w:pPr>
              <w:pStyle w:val="TTableText"/>
              <w:rPr>
                <w:rStyle w:val="TTableHeadings"/>
              </w:rPr>
            </w:pPr>
            <w:r>
              <w:rPr>
                <w:rStyle w:val="TTableHeadings"/>
              </w:rPr>
              <w:t>Would corresponding provisi</w:t>
            </w:r>
            <w:r w:rsidRPr="00BC7958">
              <w:rPr>
                <w:rStyle w:val="TTableHeadings"/>
              </w:rPr>
              <w:t xml:space="preserve">on be within the competence of </w:t>
            </w:r>
            <w:r>
              <w:rPr>
                <w:rStyle w:val="TTableHeadings"/>
              </w:rPr>
              <w:t xml:space="preserve">the </w:t>
            </w:r>
            <w:r w:rsidRPr="00BC7958">
              <w:rPr>
                <w:rStyle w:val="TTableHeadings"/>
              </w:rPr>
              <w:t>Scottish Parliament?</w:t>
            </w:r>
          </w:p>
        </w:tc>
        <w:tc>
          <w:tcPr>
            <w:tcW w:w="1361" w:type="dxa"/>
          </w:tcPr>
          <w:p w14:paraId="4C4FB5EB" w14:textId="77777777" w:rsidR="000841C2" w:rsidRPr="00BC7958" w:rsidRDefault="000841C2" w:rsidP="00B12E12">
            <w:pPr>
              <w:pStyle w:val="TTableText"/>
              <w:rPr>
                <w:rStyle w:val="TTableHeadings"/>
              </w:rPr>
            </w:pPr>
            <w:r>
              <w:rPr>
                <w:rStyle w:val="TTableHeadings"/>
              </w:rPr>
              <w:t xml:space="preserve">Would corresponding provision be within the competence of the </w:t>
            </w:r>
            <w:r w:rsidRPr="00BC7958">
              <w:rPr>
                <w:rStyle w:val="TTableHeadings"/>
              </w:rPr>
              <w:t>N</w:t>
            </w:r>
            <w:r>
              <w:rPr>
                <w:rStyle w:val="TTableHeadings"/>
              </w:rPr>
              <w:t xml:space="preserve">orthern </w:t>
            </w:r>
            <w:r w:rsidRPr="00BC7958">
              <w:rPr>
                <w:rStyle w:val="TTableHeadings"/>
              </w:rPr>
              <w:t>I</w:t>
            </w:r>
            <w:r>
              <w:rPr>
                <w:rStyle w:val="TTableHeadings"/>
              </w:rPr>
              <w:t>reland</w:t>
            </w:r>
            <w:r w:rsidRPr="00BC7958">
              <w:rPr>
                <w:rStyle w:val="TTableHeadings"/>
              </w:rPr>
              <w:t xml:space="preserve"> Assembly?</w:t>
            </w:r>
          </w:p>
        </w:tc>
        <w:tc>
          <w:tcPr>
            <w:tcW w:w="1100" w:type="dxa"/>
          </w:tcPr>
          <w:p w14:paraId="2902C45A" w14:textId="77777777" w:rsidR="000841C2" w:rsidRPr="00BC7958" w:rsidRDefault="000841C2" w:rsidP="00B12E12">
            <w:pPr>
              <w:pStyle w:val="TTableText"/>
              <w:rPr>
                <w:rStyle w:val="TTableHeadings"/>
              </w:rPr>
            </w:pPr>
            <w:r w:rsidRPr="00BC7958">
              <w:rPr>
                <w:rStyle w:val="TTableHeadings"/>
              </w:rPr>
              <w:t>L</w:t>
            </w:r>
            <w:r>
              <w:rPr>
                <w:rStyle w:val="TTableHeadings"/>
              </w:rPr>
              <w:t>egislative Consent Motion needed</w:t>
            </w:r>
            <w:r w:rsidRPr="00BC7958">
              <w:rPr>
                <w:rStyle w:val="TTableHeadings"/>
              </w:rPr>
              <w:t>?</w:t>
            </w:r>
          </w:p>
        </w:tc>
      </w:tr>
      <w:tr w:rsidR="000841C2" w:rsidRPr="00CA4237" w14:paraId="06C7D377" w14:textId="77777777" w:rsidTr="00A400FA">
        <w:trPr>
          <w:trHeight w:val="928"/>
          <w:jc w:val="center"/>
        </w:trPr>
        <w:tc>
          <w:tcPr>
            <w:tcW w:w="1085" w:type="dxa"/>
          </w:tcPr>
          <w:p w14:paraId="51A4F180" w14:textId="77777777" w:rsidR="000841C2" w:rsidRPr="00CA4237" w:rsidRDefault="00855410" w:rsidP="00A400FA">
            <w:pPr>
              <w:pStyle w:val="TTableText"/>
            </w:pPr>
            <w:r>
              <w:t xml:space="preserve">Part 1 </w:t>
            </w:r>
            <w:r w:rsidR="00256075">
              <w:t>(Clauses 1- 5)</w:t>
            </w:r>
          </w:p>
        </w:tc>
        <w:tc>
          <w:tcPr>
            <w:tcW w:w="1008" w:type="dxa"/>
          </w:tcPr>
          <w:p w14:paraId="3FD19125" w14:textId="77777777" w:rsidR="000841C2" w:rsidRPr="00CA4237" w:rsidRDefault="000841C2" w:rsidP="00623BAF">
            <w:pPr>
              <w:pStyle w:val="TTableText"/>
              <w:jc w:val="center"/>
            </w:pPr>
            <w:r>
              <w:t>Yes</w:t>
            </w:r>
          </w:p>
        </w:tc>
        <w:tc>
          <w:tcPr>
            <w:tcW w:w="992" w:type="dxa"/>
          </w:tcPr>
          <w:p w14:paraId="65BA0385" w14:textId="77777777" w:rsidR="000841C2" w:rsidRPr="00CA4237" w:rsidRDefault="000841C2" w:rsidP="00623BAF">
            <w:pPr>
              <w:pStyle w:val="TTableText"/>
              <w:jc w:val="center"/>
            </w:pPr>
            <w:r>
              <w:t>No</w:t>
            </w:r>
          </w:p>
        </w:tc>
        <w:tc>
          <w:tcPr>
            <w:tcW w:w="992" w:type="dxa"/>
          </w:tcPr>
          <w:p w14:paraId="2C25DF4F" w14:textId="77777777" w:rsidR="000841C2" w:rsidRPr="00CA4237" w:rsidRDefault="000841C2" w:rsidP="00623BAF">
            <w:pPr>
              <w:pStyle w:val="TTableText"/>
              <w:jc w:val="center"/>
            </w:pPr>
            <w:r>
              <w:t>No</w:t>
            </w:r>
          </w:p>
        </w:tc>
        <w:tc>
          <w:tcPr>
            <w:tcW w:w="1363" w:type="dxa"/>
          </w:tcPr>
          <w:p w14:paraId="43F492F2" w14:textId="77777777" w:rsidR="000841C2" w:rsidRPr="00CA4237" w:rsidRDefault="000841C2" w:rsidP="00623BAF">
            <w:pPr>
              <w:pStyle w:val="TTableText"/>
              <w:jc w:val="center"/>
            </w:pPr>
            <w:r>
              <w:t>No</w:t>
            </w:r>
          </w:p>
        </w:tc>
        <w:tc>
          <w:tcPr>
            <w:tcW w:w="1363" w:type="dxa"/>
          </w:tcPr>
          <w:p w14:paraId="18B61F10" w14:textId="77777777" w:rsidR="000841C2" w:rsidRPr="00CA4237" w:rsidRDefault="000841C2" w:rsidP="00623BAF">
            <w:pPr>
              <w:pStyle w:val="TTableText"/>
              <w:jc w:val="center"/>
            </w:pPr>
            <w:r>
              <w:t>Yes</w:t>
            </w:r>
          </w:p>
        </w:tc>
        <w:tc>
          <w:tcPr>
            <w:tcW w:w="1363" w:type="dxa"/>
          </w:tcPr>
          <w:p w14:paraId="1DD277CA" w14:textId="77777777" w:rsidR="000841C2" w:rsidRPr="00CA4237" w:rsidRDefault="000841C2" w:rsidP="00623BAF">
            <w:pPr>
              <w:pStyle w:val="TTableText"/>
              <w:jc w:val="center"/>
            </w:pPr>
            <w:r>
              <w:t>Yes</w:t>
            </w:r>
          </w:p>
        </w:tc>
        <w:tc>
          <w:tcPr>
            <w:tcW w:w="1361" w:type="dxa"/>
          </w:tcPr>
          <w:p w14:paraId="2E4A4518" w14:textId="77777777" w:rsidR="000841C2" w:rsidRPr="00CA4237" w:rsidRDefault="000841C2" w:rsidP="00623BAF">
            <w:pPr>
              <w:pStyle w:val="TTableText"/>
              <w:jc w:val="center"/>
            </w:pPr>
            <w:r>
              <w:t>Yes</w:t>
            </w:r>
          </w:p>
        </w:tc>
        <w:tc>
          <w:tcPr>
            <w:tcW w:w="1100" w:type="dxa"/>
          </w:tcPr>
          <w:p w14:paraId="724972D9" w14:textId="77777777" w:rsidR="000841C2" w:rsidRPr="00CA4237" w:rsidRDefault="000841C2" w:rsidP="00623BAF">
            <w:pPr>
              <w:pStyle w:val="TTableText"/>
              <w:jc w:val="center"/>
            </w:pPr>
            <w:r>
              <w:t>No</w:t>
            </w:r>
          </w:p>
        </w:tc>
      </w:tr>
      <w:tr w:rsidR="000841C2" w:rsidRPr="00CA4237" w14:paraId="486E3F1B" w14:textId="77777777" w:rsidTr="004843BC">
        <w:trPr>
          <w:trHeight w:val="376"/>
          <w:jc w:val="center"/>
        </w:trPr>
        <w:tc>
          <w:tcPr>
            <w:tcW w:w="1085" w:type="dxa"/>
          </w:tcPr>
          <w:p w14:paraId="3B082D9C" w14:textId="77777777" w:rsidR="00A400FA" w:rsidRDefault="00855410" w:rsidP="00256075">
            <w:pPr>
              <w:pStyle w:val="TTableText"/>
            </w:pPr>
            <w:r>
              <w:t>Part 2</w:t>
            </w:r>
          </w:p>
          <w:p w14:paraId="43CA880C" w14:textId="3F4283E3" w:rsidR="000841C2" w:rsidRPr="00B50F7C" w:rsidRDefault="00256075" w:rsidP="00F73D84">
            <w:pPr>
              <w:pStyle w:val="TTableText"/>
            </w:pPr>
            <w:r>
              <w:t xml:space="preserve">(Clauses 6 </w:t>
            </w:r>
            <w:r w:rsidR="00A80704">
              <w:t>–</w:t>
            </w:r>
            <w:r>
              <w:t xml:space="preserve"> 1</w:t>
            </w:r>
            <w:r w:rsidR="004A6904">
              <w:t>7</w:t>
            </w:r>
            <w:r>
              <w:t>)</w:t>
            </w:r>
          </w:p>
        </w:tc>
        <w:tc>
          <w:tcPr>
            <w:tcW w:w="1008" w:type="dxa"/>
          </w:tcPr>
          <w:p w14:paraId="4BD20E0C" w14:textId="77777777" w:rsidR="000841C2" w:rsidRPr="009C0416" w:rsidRDefault="000841C2" w:rsidP="00623BAF">
            <w:pPr>
              <w:pStyle w:val="TTableText"/>
              <w:jc w:val="center"/>
            </w:pPr>
            <w:r w:rsidRPr="009C0416">
              <w:t>Yes</w:t>
            </w:r>
          </w:p>
        </w:tc>
        <w:tc>
          <w:tcPr>
            <w:tcW w:w="992" w:type="dxa"/>
          </w:tcPr>
          <w:p w14:paraId="5471CC75" w14:textId="77777777" w:rsidR="000841C2" w:rsidRPr="00105FE3" w:rsidRDefault="000841C2" w:rsidP="00623BAF">
            <w:pPr>
              <w:pStyle w:val="TTableText"/>
              <w:jc w:val="center"/>
            </w:pPr>
            <w:r w:rsidRPr="00105FE3">
              <w:t>No</w:t>
            </w:r>
          </w:p>
        </w:tc>
        <w:tc>
          <w:tcPr>
            <w:tcW w:w="992" w:type="dxa"/>
          </w:tcPr>
          <w:p w14:paraId="2CBD8623" w14:textId="77777777" w:rsidR="000841C2" w:rsidRPr="0002237D" w:rsidRDefault="000841C2" w:rsidP="00623BAF">
            <w:pPr>
              <w:pStyle w:val="TTableText"/>
              <w:jc w:val="center"/>
            </w:pPr>
            <w:r w:rsidRPr="0002237D">
              <w:t>No</w:t>
            </w:r>
          </w:p>
        </w:tc>
        <w:tc>
          <w:tcPr>
            <w:tcW w:w="1363" w:type="dxa"/>
          </w:tcPr>
          <w:p w14:paraId="7DCFBA30" w14:textId="77777777" w:rsidR="000841C2" w:rsidRPr="003209DC" w:rsidRDefault="000841C2" w:rsidP="00623BAF">
            <w:pPr>
              <w:pStyle w:val="TTableText"/>
              <w:jc w:val="center"/>
            </w:pPr>
            <w:r w:rsidRPr="003209DC">
              <w:t>No</w:t>
            </w:r>
          </w:p>
        </w:tc>
        <w:tc>
          <w:tcPr>
            <w:tcW w:w="1363" w:type="dxa"/>
          </w:tcPr>
          <w:p w14:paraId="2526BC99" w14:textId="77777777" w:rsidR="000841C2" w:rsidRPr="00A011D7" w:rsidRDefault="000841C2" w:rsidP="00623BAF">
            <w:pPr>
              <w:pStyle w:val="TTableText"/>
              <w:jc w:val="center"/>
            </w:pPr>
            <w:r w:rsidRPr="00A011D7">
              <w:t>Yes</w:t>
            </w:r>
          </w:p>
        </w:tc>
        <w:tc>
          <w:tcPr>
            <w:tcW w:w="1363" w:type="dxa"/>
          </w:tcPr>
          <w:p w14:paraId="5A1E087B" w14:textId="77777777" w:rsidR="000841C2" w:rsidRPr="00C0030D" w:rsidRDefault="000841C2" w:rsidP="00623BAF">
            <w:pPr>
              <w:pStyle w:val="TTableText"/>
              <w:jc w:val="center"/>
            </w:pPr>
            <w:r w:rsidRPr="00C0030D">
              <w:t>Yes</w:t>
            </w:r>
          </w:p>
        </w:tc>
        <w:tc>
          <w:tcPr>
            <w:tcW w:w="1361" w:type="dxa"/>
          </w:tcPr>
          <w:p w14:paraId="4D383ACA" w14:textId="77777777" w:rsidR="000841C2" w:rsidRPr="00D87190" w:rsidRDefault="000841C2" w:rsidP="00623BAF">
            <w:pPr>
              <w:pStyle w:val="TTableText"/>
              <w:jc w:val="center"/>
            </w:pPr>
            <w:r w:rsidRPr="00D87190">
              <w:t>Yes</w:t>
            </w:r>
          </w:p>
        </w:tc>
        <w:tc>
          <w:tcPr>
            <w:tcW w:w="1100" w:type="dxa"/>
          </w:tcPr>
          <w:p w14:paraId="013424A3" w14:textId="77777777" w:rsidR="000841C2" w:rsidRPr="00CD5831" w:rsidRDefault="000841C2" w:rsidP="00623BAF">
            <w:pPr>
              <w:pStyle w:val="TTableText"/>
              <w:jc w:val="center"/>
            </w:pPr>
            <w:r w:rsidRPr="00CD5831">
              <w:t>No</w:t>
            </w:r>
          </w:p>
        </w:tc>
      </w:tr>
      <w:tr w:rsidR="00A80704" w:rsidRPr="00CA4237" w14:paraId="45C3B6C5" w14:textId="77777777" w:rsidTr="004843BC">
        <w:trPr>
          <w:trHeight w:val="376"/>
          <w:jc w:val="center"/>
        </w:trPr>
        <w:tc>
          <w:tcPr>
            <w:tcW w:w="1085" w:type="dxa"/>
            <w:vAlign w:val="center"/>
          </w:tcPr>
          <w:p w14:paraId="4877C9FF" w14:textId="77777777" w:rsidR="00A80704" w:rsidRDefault="00A80704" w:rsidP="004843BC">
            <w:pPr>
              <w:pStyle w:val="TTableText"/>
            </w:pPr>
            <w:r>
              <w:t>Part 3</w:t>
            </w:r>
          </w:p>
          <w:p w14:paraId="368D231D" w14:textId="77777777" w:rsidR="00A80704" w:rsidRPr="00F51961" w:rsidRDefault="00A80704" w:rsidP="004843BC">
            <w:pPr>
              <w:pStyle w:val="TTableText"/>
            </w:pPr>
            <w:r>
              <w:t xml:space="preserve">(Clauses </w:t>
            </w:r>
            <w:r>
              <w:lastRenderedPageBreak/>
              <w:t>18- 20</w:t>
            </w:r>
          </w:p>
        </w:tc>
        <w:tc>
          <w:tcPr>
            <w:tcW w:w="1008" w:type="dxa"/>
          </w:tcPr>
          <w:p w14:paraId="5F88E374" w14:textId="77777777" w:rsidR="00A80704" w:rsidRPr="00D611F8" w:rsidRDefault="00A80704" w:rsidP="00623BAF">
            <w:pPr>
              <w:pStyle w:val="TTableText"/>
              <w:jc w:val="center"/>
            </w:pPr>
            <w:r w:rsidRPr="00D611F8">
              <w:lastRenderedPageBreak/>
              <w:t>Yes</w:t>
            </w:r>
          </w:p>
        </w:tc>
        <w:tc>
          <w:tcPr>
            <w:tcW w:w="992" w:type="dxa"/>
          </w:tcPr>
          <w:p w14:paraId="218AC3C4" w14:textId="77777777" w:rsidR="00A80704" w:rsidRDefault="00A80704" w:rsidP="00623BAF">
            <w:pPr>
              <w:pStyle w:val="TTableText"/>
              <w:jc w:val="center"/>
            </w:pPr>
            <w:r>
              <w:t>No</w:t>
            </w:r>
          </w:p>
        </w:tc>
        <w:tc>
          <w:tcPr>
            <w:tcW w:w="992" w:type="dxa"/>
          </w:tcPr>
          <w:p w14:paraId="6384FBE2" w14:textId="77777777" w:rsidR="00A80704" w:rsidRPr="00596967" w:rsidRDefault="00A80704" w:rsidP="00623BAF">
            <w:pPr>
              <w:pStyle w:val="TTableText"/>
              <w:jc w:val="center"/>
            </w:pPr>
            <w:r w:rsidRPr="00596967">
              <w:t>No</w:t>
            </w:r>
          </w:p>
        </w:tc>
        <w:tc>
          <w:tcPr>
            <w:tcW w:w="1363" w:type="dxa"/>
          </w:tcPr>
          <w:p w14:paraId="7FC00A74" w14:textId="77777777" w:rsidR="00A80704" w:rsidRPr="00CF6758" w:rsidRDefault="00A80704" w:rsidP="00623BAF">
            <w:pPr>
              <w:pStyle w:val="TTableText"/>
              <w:jc w:val="center"/>
            </w:pPr>
            <w:r w:rsidRPr="00CF6758">
              <w:t>No</w:t>
            </w:r>
          </w:p>
        </w:tc>
        <w:tc>
          <w:tcPr>
            <w:tcW w:w="1363" w:type="dxa"/>
          </w:tcPr>
          <w:p w14:paraId="055DFFED" w14:textId="77777777" w:rsidR="00A80704" w:rsidRPr="00F87DCA" w:rsidRDefault="00A80704" w:rsidP="00623BAF">
            <w:pPr>
              <w:pStyle w:val="TTableText"/>
              <w:jc w:val="center"/>
            </w:pPr>
            <w:r w:rsidRPr="00F87DCA">
              <w:t>Yes</w:t>
            </w:r>
          </w:p>
        </w:tc>
        <w:tc>
          <w:tcPr>
            <w:tcW w:w="1363" w:type="dxa"/>
          </w:tcPr>
          <w:p w14:paraId="022FDD46" w14:textId="77777777" w:rsidR="00A80704" w:rsidRPr="00F87DCA" w:rsidRDefault="00A80704" w:rsidP="00623BAF">
            <w:pPr>
              <w:pStyle w:val="TTableText"/>
              <w:jc w:val="center"/>
            </w:pPr>
            <w:r w:rsidRPr="00F87DCA">
              <w:t>Yes</w:t>
            </w:r>
          </w:p>
        </w:tc>
        <w:tc>
          <w:tcPr>
            <w:tcW w:w="1361" w:type="dxa"/>
          </w:tcPr>
          <w:p w14:paraId="0148866C" w14:textId="77777777" w:rsidR="00A80704" w:rsidRPr="00F87DCA" w:rsidRDefault="00A80704" w:rsidP="00623BAF">
            <w:pPr>
              <w:pStyle w:val="TTableText"/>
              <w:jc w:val="center"/>
            </w:pPr>
            <w:r w:rsidRPr="00F87DCA">
              <w:t>Yes</w:t>
            </w:r>
          </w:p>
        </w:tc>
        <w:tc>
          <w:tcPr>
            <w:tcW w:w="1100" w:type="dxa"/>
          </w:tcPr>
          <w:p w14:paraId="5659955B" w14:textId="77777777" w:rsidR="00A80704" w:rsidRDefault="00A80704" w:rsidP="00623BAF">
            <w:pPr>
              <w:pStyle w:val="TTableText"/>
              <w:jc w:val="center"/>
            </w:pPr>
            <w:r>
              <w:t>No</w:t>
            </w:r>
          </w:p>
        </w:tc>
      </w:tr>
      <w:tr w:rsidR="00A80704" w:rsidRPr="00CA4237" w14:paraId="15C8D274" w14:textId="77777777" w:rsidTr="004843BC">
        <w:trPr>
          <w:trHeight w:val="376"/>
          <w:jc w:val="center"/>
        </w:trPr>
        <w:tc>
          <w:tcPr>
            <w:tcW w:w="1085" w:type="dxa"/>
            <w:vAlign w:val="center"/>
          </w:tcPr>
          <w:p w14:paraId="00476DD3" w14:textId="77777777" w:rsidR="00A80704" w:rsidRDefault="00A80704" w:rsidP="004843BC">
            <w:pPr>
              <w:pStyle w:val="TTableText"/>
            </w:pPr>
            <w:r>
              <w:lastRenderedPageBreak/>
              <w:t>Part 4</w:t>
            </w:r>
          </w:p>
          <w:p w14:paraId="4F4CEB5A" w14:textId="77777777" w:rsidR="00A80704" w:rsidRPr="00523686" w:rsidRDefault="00A80704" w:rsidP="00A400FA">
            <w:pPr>
              <w:pStyle w:val="TTableText"/>
            </w:pPr>
            <w:r>
              <w:t>(Clause 21)</w:t>
            </w:r>
          </w:p>
        </w:tc>
        <w:tc>
          <w:tcPr>
            <w:tcW w:w="1008" w:type="dxa"/>
            <w:vAlign w:val="center"/>
          </w:tcPr>
          <w:p w14:paraId="54EDC246" w14:textId="77777777" w:rsidR="00A80704" w:rsidRPr="003C1D20" w:rsidRDefault="00A80704" w:rsidP="00623BAF">
            <w:pPr>
              <w:pStyle w:val="TTableText"/>
              <w:jc w:val="center"/>
            </w:pPr>
            <w:r w:rsidRPr="003C1D20">
              <w:t>Yes</w:t>
            </w:r>
          </w:p>
        </w:tc>
        <w:tc>
          <w:tcPr>
            <w:tcW w:w="992" w:type="dxa"/>
            <w:vAlign w:val="center"/>
          </w:tcPr>
          <w:p w14:paraId="4042D2D8" w14:textId="77777777" w:rsidR="00A80704" w:rsidRPr="0093013B" w:rsidRDefault="00A80704" w:rsidP="00623BAF">
            <w:pPr>
              <w:pStyle w:val="TTableText"/>
              <w:jc w:val="center"/>
            </w:pPr>
            <w:r w:rsidRPr="0093013B">
              <w:t>No</w:t>
            </w:r>
          </w:p>
        </w:tc>
        <w:tc>
          <w:tcPr>
            <w:tcW w:w="992" w:type="dxa"/>
            <w:vAlign w:val="center"/>
          </w:tcPr>
          <w:p w14:paraId="5E9F7305" w14:textId="77777777" w:rsidR="00A80704" w:rsidRPr="00FA12A2" w:rsidRDefault="00A80704" w:rsidP="00623BAF">
            <w:pPr>
              <w:pStyle w:val="TTableText"/>
              <w:jc w:val="center"/>
            </w:pPr>
            <w:r w:rsidRPr="00FA12A2">
              <w:t>No</w:t>
            </w:r>
          </w:p>
        </w:tc>
        <w:tc>
          <w:tcPr>
            <w:tcW w:w="1363" w:type="dxa"/>
            <w:vAlign w:val="center"/>
          </w:tcPr>
          <w:p w14:paraId="260C7CC1" w14:textId="77777777" w:rsidR="00A80704" w:rsidRPr="00E9152E" w:rsidRDefault="00A80704" w:rsidP="00623BAF">
            <w:pPr>
              <w:pStyle w:val="TTableText"/>
              <w:jc w:val="center"/>
            </w:pPr>
            <w:r w:rsidRPr="00E9152E">
              <w:t>No</w:t>
            </w:r>
          </w:p>
        </w:tc>
        <w:tc>
          <w:tcPr>
            <w:tcW w:w="1363" w:type="dxa"/>
            <w:vAlign w:val="center"/>
          </w:tcPr>
          <w:p w14:paraId="481ACE35" w14:textId="77777777" w:rsidR="00A80704" w:rsidRPr="00F87DCA" w:rsidRDefault="00A80704" w:rsidP="00623BAF">
            <w:pPr>
              <w:pStyle w:val="TTableText"/>
              <w:jc w:val="center"/>
            </w:pPr>
            <w:r w:rsidRPr="00F87DCA">
              <w:t>Yes</w:t>
            </w:r>
          </w:p>
        </w:tc>
        <w:tc>
          <w:tcPr>
            <w:tcW w:w="1363" w:type="dxa"/>
            <w:vAlign w:val="center"/>
          </w:tcPr>
          <w:p w14:paraId="476595C7" w14:textId="77777777" w:rsidR="00A80704" w:rsidRPr="0049427D" w:rsidRDefault="00A80704" w:rsidP="00623BAF">
            <w:pPr>
              <w:pStyle w:val="TTableText"/>
              <w:jc w:val="center"/>
            </w:pPr>
            <w:r w:rsidRPr="0049427D">
              <w:t>Yes</w:t>
            </w:r>
          </w:p>
        </w:tc>
        <w:tc>
          <w:tcPr>
            <w:tcW w:w="1361" w:type="dxa"/>
            <w:vAlign w:val="center"/>
          </w:tcPr>
          <w:p w14:paraId="1F2FDAEC" w14:textId="77777777" w:rsidR="00A80704" w:rsidRPr="00E80F84" w:rsidRDefault="00A80704" w:rsidP="00623BAF">
            <w:pPr>
              <w:pStyle w:val="TTableText"/>
              <w:jc w:val="center"/>
            </w:pPr>
            <w:r w:rsidRPr="00E80F84">
              <w:t>Yes</w:t>
            </w:r>
          </w:p>
        </w:tc>
        <w:tc>
          <w:tcPr>
            <w:tcW w:w="1100" w:type="dxa"/>
            <w:vAlign w:val="center"/>
          </w:tcPr>
          <w:p w14:paraId="09EE4B3B" w14:textId="77777777" w:rsidR="00A80704" w:rsidRPr="008B698C" w:rsidRDefault="00A80704" w:rsidP="00623BAF">
            <w:pPr>
              <w:pStyle w:val="TTableText"/>
              <w:jc w:val="center"/>
            </w:pPr>
            <w:r w:rsidRPr="008B698C">
              <w:t>No</w:t>
            </w:r>
          </w:p>
        </w:tc>
      </w:tr>
      <w:tr w:rsidR="00A80704" w:rsidRPr="00CA4237" w14:paraId="25BE8D33" w14:textId="77777777" w:rsidTr="004843BC">
        <w:trPr>
          <w:trHeight w:val="376"/>
          <w:jc w:val="center"/>
        </w:trPr>
        <w:tc>
          <w:tcPr>
            <w:tcW w:w="1085" w:type="dxa"/>
            <w:vAlign w:val="center"/>
          </w:tcPr>
          <w:p w14:paraId="543E7293" w14:textId="77777777" w:rsidR="00A80704" w:rsidRDefault="00A80704" w:rsidP="004843BC">
            <w:pPr>
              <w:pStyle w:val="TTableText"/>
            </w:pPr>
            <w:r>
              <w:t>Part 5</w:t>
            </w:r>
          </w:p>
          <w:p w14:paraId="7ABE4159" w14:textId="5FB99D6E" w:rsidR="00A80704" w:rsidRPr="00523686" w:rsidRDefault="00A80704" w:rsidP="004843BC">
            <w:pPr>
              <w:pStyle w:val="TTableText"/>
            </w:pPr>
            <w:r>
              <w:t>(</w:t>
            </w:r>
            <w:r w:rsidRPr="00523686">
              <w:t>Clause</w:t>
            </w:r>
            <w:r>
              <w:t>s</w:t>
            </w:r>
            <w:r w:rsidRPr="00523686">
              <w:t xml:space="preserve"> </w:t>
            </w:r>
            <w:r>
              <w:t>22-24 )</w:t>
            </w:r>
          </w:p>
        </w:tc>
        <w:tc>
          <w:tcPr>
            <w:tcW w:w="1008" w:type="dxa"/>
            <w:vAlign w:val="center"/>
          </w:tcPr>
          <w:p w14:paraId="6FDDEC44" w14:textId="77777777" w:rsidR="00A80704" w:rsidRPr="003C1D20" w:rsidRDefault="00A80704" w:rsidP="00623BAF">
            <w:pPr>
              <w:pStyle w:val="TTableText"/>
              <w:jc w:val="center"/>
            </w:pPr>
            <w:r w:rsidRPr="003C1D20">
              <w:t>Yes</w:t>
            </w:r>
          </w:p>
        </w:tc>
        <w:tc>
          <w:tcPr>
            <w:tcW w:w="992" w:type="dxa"/>
            <w:vAlign w:val="center"/>
          </w:tcPr>
          <w:p w14:paraId="2FBDCD23" w14:textId="77777777" w:rsidR="00A80704" w:rsidRPr="0093013B" w:rsidRDefault="00A80704" w:rsidP="00B12E12">
            <w:pPr>
              <w:pStyle w:val="TTableText"/>
              <w:jc w:val="center"/>
            </w:pPr>
            <w:r>
              <w:t>No</w:t>
            </w:r>
          </w:p>
        </w:tc>
        <w:tc>
          <w:tcPr>
            <w:tcW w:w="992" w:type="dxa"/>
            <w:vAlign w:val="center"/>
          </w:tcPr>
          <w:p w14:paraId="1F7388DD" w14:textId="77777777" w:rsidR="00A80704" w:rsidRPr="00FA12A2" w:rsidRDefault="00A80704" w:rsidP="00623BAF">
            <w:pPr>
              <w:pStyle w:val="TTableText"/>
              <w:jc w:val="center"/>
            </w:pPr>
            <w:r w:rsidRPr="00FA12A2">
              <w:t>No</w:t>
            </w:r>
          </w:p>
        </w:tc>
        <w:tc>
          <w:tcPr>
            <w:tcW w:w="1363" w:type="dxa"/>
            <w:vAlign w:val="center"/>
          </w:tcPr>
          <w:p w14:paraId="2E565543" w14:textId="77777777" w:rsidR="00A80704" w:rsidRPr="00E9152E" w:rsidRDefault="00A80704" w:rsidP="00B12E12">
            <w:pPr>
              <w:pStyle w:val="TTableText"/>
              <w:jc w:val="center"/>
            </w:pPr>
            <w:r w:rsidRPr="00E9152E">
              <w:t>No</w:t>
            </w:r>
          </w:p>
        </w:tc>
        <w:tc>
          <w:tcPr>
            <w:tcW w:w="1363" w:type="dxa"/>
            <w:vAlign w:val="center"/>
          </w:tcPr>
          <w:p w14:paraId="4111B00D" w14:textId="77777777" w:rsidR="00A80704" w:rsidRPr="00F87DCA" w:rsidRDefault="00A80704" w:rsidP="00B12E12">
            <w:pPr>
              <w:pStyle w:val="TTableText"/>
              <w:jc w:val="center"/>
            </w:pPr>
            <w:r w:rsidRPr="00F87DCA">
              <w:t>Yes</w:t>
            </w:r>
          </w:p>
        </w:tc>
        <w:tc>
          <w:tcPr>
            <w:tcW w:w="1363" w:type="dxa"/>
            <w:vAlign w:val="center"/>
          </w:tcPr>
          <w:p w14:paraId="5E9BABDA" w14:textId="77777777" w:rsidR="00A80704" w:rsidRPr="0049427D" w:rsidRDefault="00A80704" w:rsidP="00623BAF">
            <w:pPr>
              <w:pStyle w:val="TTableText"/>
              <w:jc w:val="center"/>
            </w:pPr>
            <w:r w:rsidRPr="0049427D">
              <w:t>Yes</w:t>
            </w:r>
          </w:p>
        </w:tc>
        <w:tc>
          <w:tcPr>
            <w:tcW w:w="1361" w:type="dxa"/>
            <w:vAlign w:val="center"/>
          </w:tcPr>
          <w:p w14:paraId="151CAED4" w14:textId="77777777" w:rsidR="00A80704" w:rsidRPr="00E80F84" w:rsidRDefault="00A80704" w:rsidP="00623BAF">
            <w:pPr>
              <w:pStyle w:val="TTableText"/>
              <w:jc w:val="center"/>
            </w:pPr>
            <w:r w:rsidRPr="00E80F84">
              <w:t>Yes</w:t>
            </w:r>
          </w:p>
        </w:tc>
        <w:tc>
          <w:tcPr>
            <w:tcW w:w="1100" w:type="dxa"/>
            <w:vAlign w:val="center"/>
          </w:tcPr>
          <w:p w14:paraId="086BAC52" w14:textId="77777777" w:rsidR="00A80704" w:rsidRPr="008B698C" w:rsidRDefault="00A80704" w:rsidP="00623BAF">
            <w:pPr>
              <w:pStyle w:val="TTableText"/>
              <w:jc w:val="center"/>
            </w:pPr>
            <w:r>
              <w:t>No</w:t>
            </w:r>
          </w:p>
        </w:tc>
      </w:tr>
      <w:tr w:rsidR="00A80704" w:rsidRPr="00CA4237" w14:paraId="3B28D294" w14:textId="77777777" w:rsidTr="004843BC">
        <w:trPr>
          <w:trHeight w:val="376"/>
          <w:jc w:val="center"/>
        </w:trPr>
        <w:tc>
          <w:tcPr>
            <w:tcW w:w="1085" w:type="dxa"/>
            <w:vAlign w:val="center"/>
          </w:tcPr>
          <w:p w14:paraId="1A3B94FA" w14:textId="77777777" w:rsidR="00A80704" w:rsidRPr="00523686" w:rsidRDefault="00A80704" w:rsidP="004843BC">
            <w:pPr>
              <w:pStyle w:val="TTableText"/>
            </w:pPr>
            <w:r>
              <w:t>Part 6 (</w:t>
            </w:r>
            <w:r w:rsidRPr="00523686">
              <w:t>Clause</w:t>
            </w:r>
            <w:r>
              <w:t>s</w:t>
            </w:r>
            <w:r w:rsidRPr="00523686">
              <w:t xml:space="preserve"> 2</w:t>
            </w:r>
            <w:r>
              <w:t>5-26)</w:t>
            </w:r>
          </w:p>
        </w:tc>
        <w:tc>
          <w:tcPr>
            <w:tcW w:w="1008" w:type="dxa"/>
            <w:vAlign w:val="center"/>
          </w:tcPr>
          <w:p w14:paraId="7ACEFE2D" w14:textId="77777777" w:rsidR="00A80704" w:rsidRPr="003C1D20" w:rsidRDefault="00A80704" w:rsidP="00623BAF">
            <w:pPr>
              <w:pStyle w:val="TTableText"/>
              <w:jc w:val="center"/>
            </w:pPr>
            <w:r w:rsidRPr="003C1D20">
              <w:t>Yes</w:t>
            </w:r>
          </w:p>
        </w:tc>
        <w:tc>
          <w:tcPr>
            <w:tcW w:w="992" w:type="dxa"/>
            <w:vAlign w:val="center"/>
          </w:tcPr>
          <w:p w14:paraId="71FA0FDD" w14:textId="77777777" w:rsidR="00A80704" w:rsidRPr="0093013B" w:rsidRDefault="00A80704" w:rsidP="00B12E12">
            <w:pPr>
              <w:pStyle w:val="TTableText"/>
              <w:jc w:val="center"/>
            </w:pPr>
            <w:r>
              <w:t>No</w:t>
            </w:r>
          </w:p>
        </w:tc>
        <w:tc>
          <w:tcPr>
            <w:tcW w:w="992" w:type="dxa"/>
            <w:vAlign w:val="center"/>
          </w:tcPr>
          <w:p w14:paraId="213F7385" w14:textId="77777777" w:rsidR="00A80704" w:rsidRPr="00FA12A2" w:rsidRDefault="00A80704" w:rsidP="00B12E12">
            <w:pPr>
              <w:pStyle w:val="TTableText"/>
              <w:jc w:val="center"/>
            </w:pPr>
            <w:r>
              <w:t>No</w:t>
            </w:r>
          </w:p>
        </w:tc>
        <w:tc>
          <w:tcPr>
            <w:tcW w:w="1363" w:type="dxa"/>
            <w:vAlign w:val="center"/>
          </w:tcPr>
          <w:p w14:paraId="1A3F6DE4" w14:textId="77777777" w:rsidR="00A80704" w:rsidRPr="00E9152E" w:rsidRDefault="00A80704" w:rsidP="00B12E12">
            <w:pPr>
              <w:pStyle w:val="TTableText"/>
              <w:jc w:val="center"/>
            </w:pPr>
            <w:r>
              <w:t>No</w:t>
            </w:r>
          </w:p>
        </w:tc>
        <w:tc>
          <w:tcPr>
            <w:tcW w:w="1363" w:type="dxa"/>
            <w:vAlign w:val="center"/>
          </w:tcPr>
          <w:p w14:paraId="0E677CA1" w14:textId="77777777" w:rsidR="00A80704" w:rsidRPr="00F87DCA" w:rsidRDefault="00A80704" w:rsidP="00B12E12">
            <w:pPr>
              <w:pStyle w:val="TTableText"/>
              <w:jc w:val="center"/>
            </w:pPr>
            <w:r w:rsidRPr="00F87DCA">
              <w:t>Yes</w:t>
            </w:r>
          </w:p>
        </w:tc>
        <w:tc>
          <w:tcPr>
            <w:tcW w:w="1363" w:type="dxa"/>
            <w:vAlign w:val="center"/>
          </w:tcPr>
          <w:p w14:paraId="3324D3D4" w14:textId="77777777" w:rsidR="00A80704" w:rsidRPr="0049427D" w:rsidRDefault="00A80704" w:rsidP="00623BAF">
            <w:pPr>
              <w:pStyle w:val="TTableText"/>
              <w:jc w:val="center"/>
            </w:pPr>
            <w:r w:rsidRPr="0049427D">
              <w:t>Yes</w:t>
            </w:r>
          </w:p>
        </w:tc>
        <w:tc>
          <w:tcPr>
            <w:tcW w:w="1361" w:type="dxa"/>
            <w:vAlign w:val="center"/>
          </w:tcPr>
          <w:p w14:paraId="26DF2D5B" w14:textId="77777777" w:rsidR="00A80704" w:rsidRPr="00E80F84" w:rsidRDefault="00A80704" w:rsidP="00B12E12">
            <w:pPr>
              <w:pStyle w:val="TTableText"/>
              <w:jc w:val="center"/>
            </w:pPr>
            <w:r w:rsidRPr="00E80F84">
              <w:t>Yes</w:t>
            </w:r>
          </w:p>
        </w:tc>
        <w:tc>
          <w:tcPr>
            <w:tcW w:w="1100" w:type="dxa"/>
            <w:vAlign w:val="center"/>
          </w:tcPr>
          <w:p w14:paraId="5ADBBE85" w14:textId="77777777" w:rsidR="00A80704" w:rsidRPr="008B698C" w:rsidRDefault="00A80704" w:rsidP="00B12E12">
            <w:pPr>
              <w:pStyle w:val="TTableText"/>
              <w:jc w:val="center"/>
            </w:pPr>
            <w:r>
              <w:t>No</w:t>
            </w:r>
          </w:p>
        </w:tc>
      </w:tr>
      <w:tr w:rsidR="00A80704" w:rsidRPr="00CA4237" w14:paraId="443644D6" w14:textId="77777777" w:rsidTr="004843BC">
        <w:trPr>
          <w:trHeight w:val="376"/>
          <w:jc w:val="center"/>
        </w:trPr>
        <w:tc>
          <w:tcPr>
            <w:tcW w:w="1085" w:type="dxa"/>
            <w:vAlign w:val="center"/>
          </w:tcPr>
          <w:p w14:paraId="28233E93" w14:textId="77777777" w:rsidR="00A80704" w:rsidRDefault="00A80704" w:rsidP="00A400FA">
            <w:pPr>
              <w:pStyle w:val="TTableText"/>
            </w:pPr>
            <w:r>
              <w:t xml:space="preserve">Part 7 </w:t>
            </w:r>
          </w:p>
          <w:p w14:paraId="6B2459D4" w14:textId="77777777" w:rsidR="00A80704" w:rsidRDefault="00A80704" w:rsidP="00A400FA">
            <w:pPr>
              <w:pStyle w:val="TTableText"/>
            </w:pPr>
            <w:r>
              <w:t>(</w:t>
            </w:r>
            <w:r w:rsidRPr="00523686">
              <w:t>Clause</w:t>
            </w:r>
            <w:r>
              <w:t>s</w:t>
            </w:r>
            <w:r w:rsidRPr="00523686">
              <w:t xml:space="preserve"> 2</w:t>
            </w:r>
            <w:r>
              <w:t>7- 33)</w:t>
            </w:r>
          </w:p>
        </w:tc>
        <w:tc>
          <w:tcPr>
            <w:tcW w:w="1008" w:type="dxa"/>
            <w:vAlign w:val="center"/>
          </w:tcPr>
          <w:p w14:paraId="6C96FE58" w14:textId="77777777" w:rsidR="00A80704" w:rsidRDefault="00A80704" w:rsidP="00623BAF">
            <w:pPr>
              <w:pStyle w:val="TTableText"/>
              <w:jc w:val="center"/>
            </w:pPr>
            <w:r w:rsidRPr="003C1D20">
              <w:t>Yes</w:t>
            </w:r>
          </w:p>
        </w:tc>
        <w:tc>
          <w:tcPr>
            <w:tcW w:w="992" w:type="dxa"/>
            <w:vAlign w:val="center"/>
          </w:tcPr>
          <w:p w14:paraId="77A85832" w14:textId="77777777" w:rsidR="00A80704" w:rsidRDefault="00A80704" w:rsidP="00F73D84">
            <w:pPr>
              <w:pStyle w:val="TTableText"/>
              <w:jc w:val="center"/>
            </w:pPr>
            <w:r>
              <w:t>No</w:t>
            </w:r>
          </w:p>
        </w:tc>
        <w:tc>
          <w:tcPr>
            <w:tcW w:w="992" w:type="dxa"/>
            <w:vAlign w:val="center"/>
          </w:tcPr>
          <w:p w14:paraId="104C7B77" w14:textId="77777777" w:rsidR="00A80704" w:rsidRDefault="00A80704" w:rsidP="00F73D84">
            <w:pPr>
              <w:pStyle w:val="TTableText"/>
              <w:jc w:val="center"/>
            </w:pPr>
            <w:r>
              <w:t>No</w:t>
            </w:r>
          </w:p>
        </w:tc>
        <w:tc>
          <w:tcPr>
            <w:tcW w:w="1363" w:type="dxa"/>
            <w:vAlign w:val="center"/>
          </w:tcPr>
          <w:p w14:paraId="61293D19" w14:textId="77777777" w:rsidR="00A80704" w:rsidRDefault="00A80704" w:rsidP="00F73D84">
            <w:pPr>
              <w:pStyle w:val="TTableText"/>
              <w:jc w:val="center"/>
            </w:pPr>
            <w:r>
              <w:t>No</w:t>
            </w:r>
          </w:p>
        </w:tc>
        <w:tc>
          <w:tcPr>
            <w:tcW w:w="1363" w:type="dxa"/>
            <w:vAlign w:val="center"/>
          </w:tcPr>
          <w:p w14:paraId="0619E31E" w14:textId="77777777" w:rsidR="00A80704" w:rsidRDefault="00A80704" w:rsidP="00F73D84">
            <w:pPr>
              <w:pStyle w:val="TTableText"/>
              <w:jc w:val="center"/>
            </w:pPr>
            <w:r w:rsidRPr="00F87DCA">
              <w:t>Yes</w:t>
            </w:r>
          </w:p>
        </w:tc>
        <w:tc>
          <w:tcPr>
            <w:tcW w:w="1363" w:type="dxa"/>
            <w:vAlign w:val="center"/>
          </w:tcPr>
          <w:p w14:paraId="2A2AB31E" w14:textId="77777777" w:rsidR="00A80704" w:rsidRDefault="00A80704" w:rsidP="00623BAF">
            <w:pPr>
              <w:pStyle w:val="TTableText"/>
              <w:jc w:val="center"/>
            </w:pPr>
            <w:r w:rsidRPr="0049427D">
              <w:t>Yes</w:t>
            </w:r>
          </w:p>
        </w:tc>
        <w:tc>
          <w:tcPr>
            <w:tcW w:w="1361" w:type="dxa"/>
            <w:vAlign w:val="center"/>
          </w:tcPr>
          <w:p w14:paraId="432648BC" w14:textId="77777777" w:rsidR="00A80704" w:rsidRDefault="00A80704" w:rsidP="00F73D84">
            <w:pPr>
              <w:pStyle w:val="TTableText"/>
              <w:jc w:val="center"/>
            </w:pPr>
            <w:r w:rsidRPr="00E80F84">
              <w:t>Yes</w:t>
            </w:r>
          </w:p>
        </w:tc>
        <w:tc>
          <w:tcPr>
            <w:tcW w:w="1100" w:type="dxa"/>
            <w:vAlign w:val="center"/>
          </w:tcPr>
          <w:p w14:paraId="2EC12F09" w14:textId="77777777" w:rsidR="00A80704" w:rsidRDefault="00A80704" w:rsidP="00F73D84">
            <w:pPr>
              <w:pStyle w:val="TTableText"/>
              <w:jc w:val="center"/>
            </w:pPr>
            <w:r>
              <w:t>No</w:t>
            </w:r>
          </w:p>
        </w:tc>
      </w:tr>
      <w:tr w:rsidR="00A80704" w:rsidRPr="00CA4237" w14:paraId="0457605D" w14:textId="77777777" w:rsidTr="004843BC">
        <w:trPr>
          <w:trHeight w:val="587"/>
          <w:jc w:val="center"/>
        </w:trPr>
        <w:tc>
          <w:tcPr>
            <w:tcW w:w="1085" w:type="dxa"/>
            <w:vAlign w:val="center"/>
          </w:tcPr>
          <w:p w14:paraId="70FB940A" w14:textId="77777777" w:rsidR="00A80704" w:rsidRDefault="00A80704" w:rsidP="00F73D84">
            <w:pPr>
              <w:pStyle w:val="TTableText"/>
              <w:jc w:val="center"/>
            </w:pPr>
            <w:r>
              <w:t>Schedules</w:t>
            </w:r>
          </w:p>
          <w:p w14:paraId="7E6B3CB7" w14:textId="77777777" w:rsidR="00A80704" w:rsidRDefault="00A80704" w:rsidP="00F73D84">
            <w:pPr>
              <w:pStyle w:val="TTableText"/>
              <w:jc w:val="center"/>
            </w:pPr>
            <w:r>
              <w:t>1-3</w:t>
            </w:r>
          </w:p>
        </w:tc>
        <w:tc>
          <w:tcPr>
            <w:tcW w:w="1008" w:type="dxa"/>
            <w:vAlign w:val="center"/>
          </w:tcPr>
          <w:p w14:paraId="730526B2" w14:textId="77777777" w:rsidR="00A80704" w:rsidRDefault="00A80704" w:rsidP="00F73D84">
            <w:pPr>
              <w:pStyle w:val="TTableText"/>
              <w:jc w:val="center"/>
            </w:pPr>
            <w:r>
              <w:t>Yes</w:t>
            </w:r>
          </w:p>
        </w:tc>
        <w:tc>
          <w:tcPr>
            <w:tcW w:w="992" w:type="dxa"/>
            <w:vAlign w:val="center"/>
          </w:tcPr>
          <w:p w14:paraId="27AA825C" w14:textId="77777777" w:rsidR="00A80704" w:rsidRDefault="00A80704" w:rsidP="00F73D84">
            <w:pPr>
              <w:pStyle w:val="TTableText"/>
              <w:jc w:val="center"/>
            </w:pPr>
            <w:r>
              <w:t>No</w:t>
            </w:r>
          </w:p>
        </w:tc>
        <w:tc>
          <w:tcPr>
            <w:tcW w:w="992" w:type="dxa"/>
            <w:vAlign w:val="center"/>
          </w:tcPr>
          <w:p w14:paraId="5357DB76" w14:textId="77777777" w:rsidR="00A80704" w:rsidRDefault="00A80704" w:rsidP="00F73D84">
            <w:pPr>
              <w:pStyle w:val="TTableText"/>
              <w:jc w:val="center"/>
            </w:pPr>
            <w:r>
              <w:t>No</w:t>
            </w:r>
          </w:p>
        </w:tc>
        <w:tc>
          <w:tcPr>
            <w:tcW w:w="1363" w:type="dxa"/>
            <w:vAlign w:val="center"/>
          </w:tcPr>
          <w:p w14:paraId="6C8B281D" w14:textId="77777777" w:rsidR="00A80704" w:rsidRDefault="00A80704" w:rsidP="00F73D84">
            <w:pPr>
              <w:pStyle w:val="TTableText"/>
              <w:jc w:val="center"/>
            </w:pPr>
            <w:r>
              <w:t>No</w:t>
            </w:r>
          </w:p>
        </w:tc>
        <w:tc>
          <w:tcPr>
            <w:tcW w:w="1363" w:type="dxa"/>
            <w:vAlign w:val="center"/>
          </w:tcPr>
          <w:p w14:paraId="318ED01B" w14:textId="77777777" w:rsidR="00A80704" w:rsidRDefault="00A80704" w:rsidP="00F73D84">
            <w:pPr>
              <w:pStyle w:val="TTableText"/>
              <w:jc w:val="center"/>
            </w:pPr>
            <w:r>
              <w:t>Yes</w:t>
            </w:r>
          </w:p>
        </w:tc>
        <w:tc>
          <w:tcPr>
            <w:tcW w:w="1363" w:type="dxa"/>
            <w:vAlign w:val="center"/>
          </w:tcPr>
          <w:p w14:paraId="4ED2611E" w14:textId="77777777" w:rsidR="00A80704" w:rsidRDefault="00A80704" w:rsidP="00F73D84">
            <w:pPr>
              <w:pStyle w:val="TTableText"/>
              <w:jc w:val="center"/>
            </w:pPr>
            <w:r>
              <w:t>Yes</w:t>
            </w:r>
          </w:p>
        </w:tc>
        <w:tc>
          <w:tcPr>
            <w:tcW w:w="1361" w:type="dxa"/>
            <w:vAlign w:val="center"/>
          </w:tcPr>
          <w:p w14:paraId="77E49669" w14:textId="77777777" w:rsidR="00A80704" w:rsidRDefault="00A80704" w:rsidP="00F73D84">
            <w:pPr>
              <w:pStyle w:val="TTableText"/>
              <w:jc w:val="center"/>
            </w:pPr>
            <w:r>
              <w:t>Yes</w:t>
            </w:r>
          </w:p>
        </w:tc>
        <w:tc>
          <w:tcPr>
            <w:tcW w:w="1100" w:type="dxa"/>
            <w:vAlign w:val="center"/>
          </w:tcPr>
          <w:p w14:paraId="176B242C" w14:textId="77777777" w:rsidR="00A80704" w:rsidRDefault="00A80704" w:rsidP="00F73D84">
            <w:pPr>
              <w:pStyle w:val="TTableText"/>
              <w:jc w:val="center"/>
            </w:pPr>
            <w:r>
              <w:t>No</w:t>
            </w:r>
          </w:p>
        </w:tc>
      </w:tr>
    </w:tbl>
    <w:p w14:paraId="271881FD" w14:textId="77777777" w:rsidR="000841C2" w:rsidRPr="00256075" w:rsidRDefault="000841C2" w:rsidP="00F73D84">
      <w:pPr>
        <w:pStyle w:val="TTableText"/>
        <w:jc w:val="center"/>
        <w:rPr>
          <w:b/>
          <w:u w:val="single"/>
        </w:rPr>
      </w:pPr>
    </w:p>
    <w:p w14:paraId="723F9535" w14:textId="77777777" w:rsidR="00256075" w:rsidRDefault="00256075" w:rsidP="00256075">
      <w:pPr>
        <w:pStyle w:val="ParaNumbered"/>
        <w:numPr>
          <w:ilvl w:val="0"/>
          <w:numId w:val="0"/>
        </w:numPr>
        <w:shd w:val="clear" w:color="auto" w:fill="FFFFFF" w:themeFill="background1"/>
        <w:spacing w:after="240" w:line="240" w:lineRule="auto"/>
        <w:ind w:left="360"/>
        <w:rPr>
          <w:rFonts w:cs="Arial"/>
          <w:b/>
          <w:i/>
          <w:szCs w:val="20"/>
          <w:u w:val="single"/>
        </w:rPr>
      </w:pPr>
      <w:r w:rsidRPr="00256075">
        <w:rPr>
          <w:rFonts w:cs="Arial"/>
          <w:b/>
          <w:i/>
          <w:szCs w:val="20"/>
          <w:u w:val="single"/>
        </w:rPr>
        <w:t>Territorial application</w:t>
      </w:r>
    </w:p>
    <w:p w14:paraId="0C4C0B57" w14:textId="027B5B15" w:rsidR="00256075" w:rsidRPr="00CC49E5" w:rsidRDefault="00FD7372" w:rsidP="00FD7372">
      <w:pPr>
        <w:pStyle w:val="ParaNumbered"/>
        <w:shd w:val="clear" w:color="auto" w:fill="FFFFFF" w:themeFill="background1"/>
        <w:spacing w:after="240" w:line="240" w:lineRule="auto"/>
        <w:rPr>
          <w:rFonts w:cs="Arial"/>
          <w:szCs w:val="20"/>
        </w:rPr>
      </w:pPr>
      <w:r w:rsidRPr="00CC49E5">
        <w:rPr>
          <w:rFonts w:cs="Arial"/>
          <w:szCs w:val="20"/>
        </w:rPr>
        <w:t xml:space="preserve">The Government amendments tabled at Report stage do not change the territorial application of the Tenant Fees Bill. </w:t>
      </w:r>
      <w:r w:rsidR="00723196" w:rsidRPr="00723196">
        <w:t xml:space="preserve"> </w:t>
      </w:r>
      <w:r w:rsidR="00723196" w:rsidRPr="00D63EEA">
        <w:t xml:space="preserve">The </w:t>
      </w:r>
      <w:r w:rsidR="00723196">
        <w:t xml:space="preserve">territorial extent of the amendments is England and Wales, but </w:t>
      </w:r>
      <w:r w:rsidR="008234BE">
        <w:t>these</w:t>
      </w:r>
      <w:r w:rsidR="00723196">
        <w:t xml:space="preserve"> apply in relation to housing in England only. </w:t>
      </w:r>
    </w:p>
    <w:p w14:paraId="64E614C1" w14:textId="3416C733" w:rsidR="004A6904" w:rsidRDefault="0059531E" w:rsidP="004A6904">
      <w:pPr>
        <w:pStyle w:val="ParaNumbered"/>
      </w:pPr>
      <w:r w:rsidRPr="00CC49E5">
        <w:t>The territorial extent of this Bill is</w:t>
      </w:r>
      <w:r w:rsidR="002065FC" w:rsidRPr="00CC49E5">
        <w:t xml:space="preserve"> majority</w:t>
      </w:r>
      <w:r w:rsidR="00FF27C8" w:rsidRPr="00C931CE">
        <w:t xml:space="preserve"> </w:t>
      </w:r>
      <w:r w:rsidRPr="00CC49E5">
        <w:t>England and Wales</w:t>
      </w:r>
      <w:r w:rsidR="003A7718" w:rsidRPr="00CC49E5">
        <w:t>, with the exception of the amendments to schedule 5</w:t>
      </w:r>
      <w:r w:rsidR="004A6904">
        <w:t xml:space="preserve"> </w:t>
      </w:r>
      <w:r w:rsidR="004A6904" w:rsidRPr="000F7D33">
        <w:t xml:space="preserve">of the Consumer Rights Act 2015 made by </w:t>
      </w:r>
      <w:r w:rsidR="004A6904">
        <w:t>sections 6(6), 7(4) and 24(10</w:t>
      </w:r>
      <w:r w:rsidR="004A6904" w:rsidRPr="000F7D33">
        <w:t>)</w:t>
      </w:r>
      <w:r w:rsidR="00694D7E">
        <w:t xml:space="preserve"> </w:t>
      </w:r>
      <w:r w:rsidR="003A6C61" w:rsidRPr="00C931CE">
        <w:t xml:space="preserve">and </w:t>
      </w:r>
      <w:r w:rsidR="004020B9">
        <w:t xml:space="preserve">the amendments made by clauses 18 to 20 to </w:t>
      </w:r>
      <w:r w:rsidR="003A6C61" w:rsidRPr="00C931CE">
        <w:t>Chapter 3 of Part 3</w:t>
      </w:r>
      <w:r w:rsidR="00FF27C8" w:rsidRPr="00C931CE">
        <w:t xml:space="preserve">. </w:t>
      </w:r>
      <w:r w:rsidR="003A6C61" w:rsidRPr="00CC49E5">
        <w:t>Schedule 5 has a UK wide extent. Chapter 3 of Part 3 of the Consumer Rights Act 2015 extends to and applies in England and Wales</w:t>
      </w:r>
      <w:r w:rsidR="007C3980">
        <w:t>.</w:t>
      </w:r>
      <w:r w:rsidR="003A6C61" w:rsidRPr="00CC49E5">
        <w:t xml:space="preserve"> </w:t>
      </w:r>
    </w:p>
    <w:p w14:paraId="69B72FCA" w14:textId="557BBBA7" w:rsidR="004A6904" w:rsidRPr="00D63EEA" w:rsidRDefault="004A6904" w:rsidP="004A6904">
      <w:pPr>
        <w:pStyle w:val="ParaNumbered"/>
      </w:pPr>
      <w:r w:rsidRPr="00D173FE">
        <w:t>Sections 6(6)</w:t>
      </w:r>
      <w:r>
        <w:t>, 7(4</w:t>
      </w:r>
      <w:r w:rsidRPr="00D173FE">
        <w:t xml:space="preserve">) and </w:t>
      </w:r>
      <w:r>
        <w:t>24(10</w:t>
      </w:r>
      <w:r w:rsidRPr="00D173FE">
        <w:t>) have the effect of extending the investigatory powers set out in Schedule 5 of that Act to the duties and powers to</w:t>
      </w:r>
      <w:r>
        <w:t xml:space="preserve"> enforce under sections 6, 7 and 24</w:t>
      </w:r>
      <w:r w:rsidRPr="00D173FE">
        <w:t xml:space="preserve"> of the Bill.</w:t>
      </w:r>
      <w:r>
        <w:t xml:space="preserve"> </w:t>
      </w:r>
      <w:r w:rsidRPr="00D173FE">
        <w:t>Schedule 5 has UK-wide extent, although the enforcement duties a</w:t>
      </w:r>
      <w:r>
        <w:t>nd powers under section 6, 7 and 24</w:t>
      </w:r>
      <w:r w:rsidRPr="00D173FE">
        <w:t xml:space="preserve"> apply only to </w:t>
      </w:r>
      <w:r>
        <w:t>trading standards</w:t>
      </w:r>
      <w:r w:rsidRPr="00D173FE">
        <w:t xml:space="preserve"> authorities </w:t>
      </w:r>
      <w:r>
        <w:t>or district councils</w:t>
      </w:r>
      <w:r w:rsidRPr="00D173FE">
        <w:t xml:space="preserve"> in England or the Secretary of State in relation to housing in England</w:t>
      </w:r>
      <w:r>
        <w:t>. The</w:t>
      </w:r>
      <w:r w:rsidRPr="00D63EEA">
        <w:t xml:space="preserve"> </w:t>
      </w:r>
      <w:r>
        <w:t xml:space="preserve">amendments to </w:t>
      </w:r>
      <w:r w:rsidRPr="00660C4F">
        <w:rPr>
          <w:color w:val="auto"/>
        </w:rPr>
        <w:t>the Consumer Rights Act 2015 made by clauses 18 to 20 have a minor/consequential effect in relation to Wales as pursuant to section 87(4) of that Act a local weights and measures authority in Wales may take enforcement action in respect of a breach which occurs in England.</w:t>
      </w:r>
    </w:p>
    <w:p w14:paraId="33B14601" w14:textId="77777777" w:rsidR="004A6904" w:rsidRPr="006921B6" w:rsidRDefault="004A6904" w:rsidP="004A6904">
      <w:pPr>
        <w:pStyle w:val="ParaNumbered"/>
      </w:pPr>
      <w:r>
        <w:t>In the UK Government’s view all of the provisions of the Bill would be within the legislative competence of the National Assembly for Wales, the Scottish Parliament or the Northern Ireland Assembly</w:t>
      </w:r>
      <w:r w:rsidRPr="000E72EE">
        <w:t>.</w:t>
      </w:r>
    </w:p>
    <w:p w14:paraId="5C5BD076" w14:textId="758C5B6A" w:rsidR="00FF27C8" w:rsidRPr="00CC49E5" w:rsidRDefault="00FF27C8" w:rsidP="00694D7E">
      <w:pPr>
        <w:pStyle w:val="ParaNumbered"/>
        <w:numPr>
          <w:ilvl w:val="0"/>
          <w:numId w:val="0"/>
        </w:numPr>
        <w:ind w:left="720"/>
      </w:pPr>
    </w:p>
    <w:p w14:paraId="66F97287" w14:textId="77777777" w:rsidR="00C41FEA" w:rsidRDefault="0059531E" w:rsidP="00C931CE">
      <w:pPr>
        <w:pStyle w:val="ParaNumbered"/>
      </w:pPr>
      <w:r w:rsidRPr="00CC49E5">
        <w:lastRenderedPageBreak/>
        <w:t>The Bill will apply in relation to housing in England only.</w:t>
      </w:r>
      <w:r w:rsidR="00C931CE" w:rsidRPr="00CC49E5">
        <w:t xml:space="preserve"> </w:t>
      </w:r>
    </w:p>
    <w:p w14:paraId="468BEEA4" w14:textId="44F4A8D5" w:rsidR="00C41FEA" w:rsidRPr="000D75AE" w:rsidRDefault="00C41FEA" w:rsidP="00694D7E">
      <w:pPr>
        <w:pStyle w:val="ParaNumbered"/>
        <w:numPr>
          <w:ilvl w:val="0"/>
          <w:numId w:val="0"/>
        </w:numPr>
        <w:ind w:firstLine="360"/>
        <w:rPr>
          <w:b/>
          <w:i/>
          <w:u w:val="single"/>
        </w:rPr>
      </w:pPr>
      <w:r w:rsidRPr="000D75AE">
        <w:rPr>
          <w:b/>
          <w:i/>
          <w:u w:val="single"/>
        </w:rPr>
        <w:t>Subject matter and legislative competence of devolved legislatures</w:t>
      </w:r>
    </w:p>
    <w:p w14:paraId="49592020" w14:textId="0AAB8DDF" w:rsidR="0059531E" w:rsidRPr="00CC49E5" w:rsidRDefault="00C931CE" w:rsidP="00C931CE">
      <w:pPr>
        <w:pStyle w:val="ParaNumbered"/>
      </w:pPr>
      <w:r w:rsidRPr="00CC49E5">
        <w:t xml:space="preserve"> Housing is</w:t>
      </w:r>
      <w:r w:rsidR="00FF27C8" w:rsidRPr="00CC49E5">
        <w:t xml:space="preserve"> a devolved matter in relation to Scotland, Wales and Northern Ireland. In the UK Government’s view all of the provisions of the Bill would be within the legislative competence of the National Assembly for Wales, th</w:t>
      </w:r>
      <w:bookmarkStart w:id="1" w:name="_GoBack"/>
      <w:bookmarkEnd w:id="1"/>
      <w:r w:rsidR="00FF27C8" w:rsidRPr="00CC49E5">
        <w:t xml:space="preserve">e Scottish Parliament or the Northern Ireland Assembly. </w:t>
      </w:r>
    </w:p>
    <w:p w14:paraId="7B323C9F" w14:textId="494C6518" w:rsidR="000841C2" w:rsidRPr="0008618C" w:rsidRDefault="000841C2" w:rsidP="000841C2">
      <w:pPr>
        <w:pStyle w:val="ParaNumbered"/>
        <w:shd w:val="clear" w:color="auto" w:fill="FFFFFF" w:themeFill="background1"/>
        <w:spacing w:after="240" w:line="240" w:lineRule="auto"/>
        <w:rPr>
          <w:rFonts w:cs="Arial"/>
          <w:i/>
          <w:szCs w:val="20"/>
        </w:rPr>
      </w:pPr>
      <w:r w:rsidRPr="0008618C">
        <w:rPr>
          <w:rFonts w:cs="Times New Roman"/>
          <w:szCs w:val="20"/>
        </w:rPr>
        <w:t xml:space="preserve">Housing is not a reserved matter under Schedule 5 </w:t>
      </w:r>
      <w:r>
        <w:rPr>
          <w:rFonts w:cs="Arial"/>
          <w:szCs w:val="20"/>
        </w:rPr>
        <w:t>to</w:t>
      </w:r>
      <w:r w:rsidRPr="0008618C">
        <w:rPr>
          <w:rFonts w:cs="Arial"/>
          <w:szCs w:val="20"/>
        </w:rPr>
        <w:t xml:space="preserve"> the Scotland Act 1998</w:t>
      </w:r>
      <w:r w:rsidRPr="0008618C">
        <w:rPr>
          <w:rFonts w:cs="Times New Roman"/>
          <w:szCs w:val="20"/>
        </w:rPr>
        <w:t xml:space="preserve">. The Scottish </w:t>
      </w:r>
      <w:r>
        <w:rPr>
          <w:rFonts w:cs="Times New Roman"/>
          <w:szCs w:val="20"/>
        </w:rPr>
        <w:t>Parliament</w:t>
      </w:r>
      <w:r w:rsidRPr="0008618C">
        <w:rPr>
          <w:rFonts w:cs="Times New Roman"/>
          <w:szCs w:val="20"/>
        </w:rPr>
        <w:t xml:space="preserve"> has competence over housing in Scotland</w:t>
      </w:r>
      <w:r>
        <w:rPr>
          <w:rFonts w:cs="Times New Roman"/>
          <w:szCs w:val="20"/>
        </w:rPr>
        <w:t>.</w:t>
      </w:r>
      <w:r w:rsidRPr="0008618C">
        <w:rPr>
          <w:rFonts w:cs="Times New Roman"/>
          <w:szCs w:val="20"/>
        </w:rPr>
        <w:t xml:space="preserve"> </w:t>
      </w:r>
      <w:r>
        <w:rPr>
          <w:rFonts w:cs="Times New Roman"/>
          <w:szCs w:val="20"/>
        </w:rPr>
        <w:t>F</w:t>
      </w:r>
      <w:r w:rsidRPr="0008618C">
        <w:rPr>
          <w:rFonts w:cs="Times New Roman"/>
          <w:szCs w:val="20"/>
        </w:rPr>
        <w:t>or example, t</w:t>
      </w:r>
      <w:r w:rsidRPr="0008618C">
        <w:rPr>
          <w:rFonts w:cs="Arial"/>
          <w:szCs w:val="20"/>
        </w:rPr>
        <w:t>he Private Rented Housing (Scotland) Act 2011 bans letting fees in Scotland (see s.32)</w:t>
      </w:r>
      <w:r w:rsidR="00D61966" w:rsidRPr="0008618C" w:rsidDel="00D61966">
        <w:rPr>
          <w:rFonts w:cs="Arial"/>
          <w:szCs w:val="20"/>
        </w:rPr>
        <w:t xml:space="preserve"> </w:t>
      </w:r>
      <w:r w:rsidR="00D61966">
        <w:rPr>
          <w:rFonts w:cs="Arial"/>
          <w:szCs w:val="20"/>
        </w:rPr>
        <w:t xml:space="preserve">and </w:t>
      </w:r>
      <w:r w:rsidR="00537772">
        <w:rPr>
          <w:rFonts w:cs="Arial"/>
          <w:szCs w:val="20"/>
        </w:rPr>
        <w:t xml:space="preserve">amongst other things </w:t>
      </w:r>
      <w:r w:rsidR="00D61966">
        <w:rPr>
          <w:rFonts w:cs="Arial"/>
          <w:szCs w:val="20"/>
        </w:rPr>
        <w:t>imposes several requirements on landlords</w:t>
      </w:r>
      <w:r w:rsidR="00537772">
        <w:rPr>
          <w:rFonts w:cs="Arial"/>
          <w:szCs w:val="20"/>
        </w:rPr>
        <w:t xml:space="preserve"> (see part 4)</w:t>
      </w:r>
      <w:r w:rsidR="00D61966">
        <w:rPr>
          <w:rFonts w:cs="Arial"/>
          <w:szCs w:val="20"/>
        </w:rPr>
        <w:t>.</w:t>
      </w:r>
    </w:p>
    <w:p w14:paraId="45155237" w14:textId="78950DC1" w:rsidR="00AB03FC" w:rsidRPr="00AB03FC" w:rsidRDefault="000841C2" w:rsidP="00694D7E">
      <w:pPr>
        <w:pStyle w:val="ParaNumbered"/>
        <w:shd w:val="clear" w:color="auto" w:fill="FFFFFF" w:themeFill="background1"/>
        <w:spacing w:after="240" w:line="240" w:lineRule="auto"/>
        <w:rPr>
          <w:i/>
        </w:rPr>
      </w:pPr>
      <w:r w:rsidRPr="0008618C">
        <w:t xml:space="preserve">Housing is within the legislative competence of the </w:t>
      </w:r>
      <w:r>
        <w:t xml:space="preserve">National </w:t>
      </w:r>
      <w:r w:rsidRPr="0008618C">
        <w:t xml:space="preserve">Assembly </w:t>
      </w:r>
      <w:r>
        <w:t xml:space="preserve">for Wales </w:t>
      </w:r>
      <w:r w:rsidRPr="0008618C">
        <w:t xml:space="preserve">as it is listed under Part 1 of Schedule 7 to the Government of Wales Act 2006. Part One of the Housing (Wales) Act 2014, which came into force in November 2015, requires amongst other things letting agents in Wales to be licensed. </w:t>
      </w:r>
    </w:p>
    <w:p w14:paraId="7FEA2335" w14:textId="25289F00" w:rsidR="00FE23DE" w:rsidRDefault="000841C2" w:rsidP="00256075">
      <w:pPr>
        <w:pStyle w:val="ParaNumbered"/>
      </w:pPr>
      <w:r w:rsidRPr="00256075">
        <w:t>Housing is within the legislative competence of the Northern Ireland Assembly as it is neither reserved under Schedule 3 to the Northern Ireland Act 1998 or ex</w:t>
      </w:r>
      <w:r w:rsidR="00F71D4E">
        <w:t>cepted</w:t>
      </w:r>
      <w:r w:rsidRPr="00256075">
        <w:t xml:space="preserve"> under Schedule 2 to that Act. The Rent (Northern Ireland) Order 1978 and the Private Tenancies (Northern Ireland) Order 2006 set out the law on the current regulation of the private rented sector and provide councils with powers to enforce the legislation. In 2013 the requirement for landlords to protect their tenants’ deposits in a Tenancy Deposit Scheme was added to the Private Tenancies (Northern Ireland) Order 2006. Further, in 2014, the Landlord Registration Scheme was added through the Landlord Registration Regulations 2014.</w:t>
      </w:r>
    </w:p>
    <w:p w14:paraId="545596FF" w14:textId="77777777" w:rsidR="0059531E" w:rsidRPr="00056850" w:rsidRDefault="0059531E" w:rsidP="002C0578">
      <w:pPr>
        <w:pStyle w:val="ParaNumbered"/>
        <w:numPr>
          <w:ilvl w:val="0"/>
          <w:numId w:val="0"/>
        </w:numPr>
        <w:ind w:left="720" w:hanging="360"/>
      </w:pPr>
    </w:p>
    <w:sectPr w:rsidR="0059531E" w:rsidRPr="0005685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8EA075" w15:done="0"/>
  <w15:commentEx w15:paraId="64AE90F4" w15:done="0"/>
  <w15:commentEx w15:paraId="17FBC293" w15:done="0"/>
  <w15:commentEx w15:paraId="057F05DE" w15:done="0"/>
  <w15:commentEx w15:paraId="306444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B970E" w14:textId="77777777" w:rsidR="00E830CF" w:rsidRDefault="00E830CF" w:rsidP="00056850">
      <w:pPr>
        <w:spacing w:after="0" w:line="240" w:lineRule="auto"/>
      </w:pPr>
      <w:r>
        <w:separator/>
      </w:r>
    </w:p>
  </w:endnote>
  <w:endnote w:type="continuationSeparator" w:id="0">
    <w:p w14:paraId="0472E99E" w14:textId="77777777" w:rsidR="00E830CF" w:rsidRDefault="00E830CF"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EED5F" w14:textId="77777777"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418D5" w14:textId="77777777"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E2F8" w14:textId="77777777"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1E49A" w14:textId="77777777" w:rsidR="00E830CF" w:rsidRDefault="00E830CF" w:rsidP="00056850">
      <w:pPr>
        <w:spacing w:after="0" w:line="240" w:lineRule="auto"/>
      </w:pPr>
      <w:r>
        <w:separator/>
      </w:r>
    </w:p>
  </w:footnote>
  <w:footnote w:type="continuationSeparator" w:id="0">
    <w:p w14:paraId="3DD8712F" w14:textId="77777777" w:rsidR="00E830CF" w:rsidRDefault="00E830CF" w:rsidP="00056850">
      <w:pPr>
        <w:spacing w:after="0" w:line="240" w:lineRule="auto"/>
      </w:pPr>
      <w:r>
        <w:continuationSeparator/>
      </w:r>
    </w:p>
  </w:footnote>
  <w:footnote w:id="1">
    <w:p w14:paraId="125CC517" w14:textId="77777777" w:rsidR="000841C2" w:rsidRDefault="000841C2" w:rsidP="000841C2">
      <w:pPr>
        <w:pStyle w:val="FootnoteText"/>
      </w:pPr>
      <w:r>
        <w:rPr>
          <w:rStyle w:val="FootnoteReference"/>
        </w:rPr>
        <w:footnoteRef/>
      </w:r>
      <w:r>
        <w:t xml:space="preserve"> References in this Annex to a provision being within the legislative competence of the Scottish Parliament, the National Assembly for Wales or the Northern Ireland Assembly are to the provision being within the legislative competence of the relevant devolved legislature for the purposes of Standing Order No. 83J of the Standing Orders of the House of Commons relating to Public Business.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C5DC3" w14:textId="77777777"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CF19" w14:textId="77777777"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25BD" w14:textId="77777777"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21F3"/>
    <w:multiLevelType w:val="multilevel"/>
    <w:tmpl w:val="F95A92D2"/>
    <w:lvl w:ilvl="0">
      <w:start w:val="1"/>
      <w:numFmt w:val="decimal"/>
      <w:lvlText w:val="%1."/>
      <w:lvlJc w:val="left"/>
      <w:pPr>
        <w:ind w:left="567" w:hanging="567"/>
      </w:pPr>
      <w:rPr>
        <w:rFonts w:hint="default"/>
        <w:b w:val="0"/>
        <w:u w:color="000000" w:themeColor="text1"/>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2DE627B"/>
    <w:multiLevelType w:val="hybridMultilevel"/>
    <w:tmpl w:val="84C6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173C8E"/>
    <w:multiLevelType w:val="hybridMultilevel"/>
    <w:tmpl w:val="DA6635EA"/>
    <w:lvl w:ilvl="0" w:tplc="521A031C">
      <w:start w:val="1"/>
      <w:numFmt w:val="decimal"/>
      <w:pStyle w:val="ParaNumbered"/>
      <w:lvlText w:val="%1 "/>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3D5390"/>
    <w:multiLevelType w:val="hybridMultilevel"/>
    <w:tmpl w:val="267CC5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FAF397E"/>
    <w:multiLevelType w:val="hybridMultilevel"/>
    <w:tmpl w:val="169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A93A92"/>
    <w:multiLevelType w:val="hybridMultilevel"/>
    <w:tmpl w:val="720A7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num>
  <w:num w:numId="4">
    <w:abstractNumId w:val="3"/>
  </w:num>
  <w:num w:numId="5">
    <w:abstractNumId w:val="5"/>
  </w:num>
  <w:num w:numId="6">
    <w:abstractNumId w:val="2"/>
  </w:num>
  <w:num w:numId="7">
    <w:abstractNumId w:val="4"/>
  </w:num>
  <w:num w:numId="8">
    <w:abstractNumId w:val="2"/>
  </w:num>
  <w:num w:numId="9">
    <w:abstractNumId w:val="2"/>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Vallis">
    <w15:presenceInfo w15:providerId="None" w15:userId="Jennifer Val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C2"/>
    <w:rsid w:val="00056850"/>
    <w:rsid w:val="000841C2"/>
    <w:rsid w:val="000D75AE"/>
    <w:rsid w:val="000F2692"/>
    <w:rsid w:val="00181D3C"/>
    <w:rsid w:val="002065FC"/>
    <w:rsid w:val="00256075"/>
    <w:rsid w:val="002566D9"/>
    <w:rsid w:val="002C0578"/>
    <w:rsid w:val="002E599C"/>
    <w:rsid w:val="003A6C61"/>
    <w:rsid w:val="003A7718"/>
    <w:rsid w:val="004020B9"/>
    <w:rsid w:val="00450863"/>
    <w:rsid w:val="004843BC"/>
    <w:rsid w:val="00497ADE"/>
    <w:rsid w:val="004A3CB4"/>
    <w:rsid w:val="004A6904"/>
    <w:rsid w:val="004D2B2E"/>
    <w:rsid w:val="00507C16"/>
    <w:rsid w:val="00516EE7"/>
    <w:rsid w:val="00537772"/>
    <w:rsid w:val="0059531E"/>
    <w:rsid w:val="005C6F2C"/>
    <w:rsid w:val="00623BAF"/>
    <w:rsid w:val="00684AAD"/>
    <w:rsid w:val="006875E4"/>
    <w:rsid w:val="00694D7E"/>
    <w:rsid w:val="006C08BB"/>
    <w:rsid w:val="006F1261"/>
    <w:rsid w:val="00723196"/>
    <w:rsid w:val="007C3980"/>
    <w:rsid w:val="008234BE"/>
    <w:rsid w:val="00855410"/>
    <w:rsid w:val="00866E23"/>
    <w:rsid w:val="008A6259"/>
    <w:rsid w:val="00914946"/>
    <w:rsid w:val="00A16557"/>
    <w:rsid w:val="00A400FA"/>
    <w:rsid w:val="00A736B4"/>
    <w:rsid w:val="00A80704"/>
    <w:rsid w:val="00AB03FC"/>
    <w:rsid w:val="00B36D77"/>
    <w:rsid w:val="00B95903"/>
    <w:rsid w:val="00C41FEA"/>
    <w:rsid w:val="00C55C35"/>
    <w:rsid w:val="00C931CE"/>
    <w:rsid w:val="00CC49E5"/>
    <w:rsid w:val="00CE7246"/>
    <w:rsid w:val="00D27943"/>
    <w:rsid w:val="00D61966"/>
    <w:rsid w:val="00E830CF"/>
    <w:rsid w:val="00E93EFE"/>
    <w:rsid w:val="00F467F3"/>
    <w:rsid w:val="00F71D4E"/>
    <w:rsid w:val="00F73D84"/>
    <w:rsid w:val="00FB70F1"/>
    <w:rsid w:val="00FC36C2"/>
    <w:rsid w:val="00FD7372"/>
    <w:rsid w:val="00FE23DE"/>
    <w:rsid w:val="00FF2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DC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41C2"/>
    <w:rPr>
      <w:rFonts w:asciiTheme="minorHAnsi" w:eastAsiaTheme="minorEastAsia" w:hAnsiTheme="minorHAnsi" w:cstheme="minorBidi"/>
      <w:sz w:val="22"/>
      <w:szCs w:val="22"/>
      <w:lang w:eastAsia="en-GB"/>
    </w:rPr>
  </w:style>
  <w:style w:type="paragraph" w:styleId="Heading1">
    <w:name w:val="heading 1"/>
    <w:basedOn w:val="Normal"/>
    <w:next w:val="ParaNumbered"/>
    <w:link w:val="Heading1Char"/>
    <w:uiPriority w:val="9"/>
    <w:qFormat/>
    <w:rsid w:val="000841C2"/>
    <w:pPr>
      <w:spacing w:before="480" w:after="0"/>
      <w:contextualSpacing/>
      <w:outlineLvl w:val="0"/>
    </w:pPr>
    <w:rPr>
      <w:rFonts w:ascii="Arial" w:eastAsiaTheme="majorEastAsia" w:hAnsi="Arial" w:cstheme="majorBidi"/>
      <w:b/>
      <w:bCs/>
      <w:color w:val="0070C0"/>
      <w:sz w:val="36"/>
      <w:szCs w:val="28"/>
    </w:rPr>
  </w:style>
  <w:style w:type="paragraph" w:styleId="Heading2">
    <w:name w:val="heading 2"/>
    <w:basedOn w:val="Normal"/>
    <w:next w:val="Normal"/>
    <w:link w:val="Heading2Char"/>
    <w:uiPriority w:val="9"/>
    <w:semiHidden/>
    <w:unhideWhenUsed/>
    <w:qFormat/>
    <w:rsid w:val="000841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uiPriority w:val="9"/>
    <w:rsid w:val="000841C2"/>
    <w:rPr>
      <w:rFonts w:eastAsiaTheme="majorEastAsia" w:cstheme="majorBidi"/>
      <w:b/>
      <w:bCs/>
      <w:color w:val="0070C0"/>
      <w:sz w:val="36"/>
      <w:szCs w:val="28"/>
      <w:lang w:eastAsia="en-GB"/>
    </w:rPr>
  </w:style>
  <w:style w:type="character" w:styleId="FootnoteReference">
    <w:name w:val="footnote reference"/>
    <w:basedOn w:val="DefaultParagraphFont"/>
    <w:uiPriority w:val="99"/>
    <w:unhideWhenUsed/>
    <w:qFormat/>
    <w:rsid w:val="000841C2"/>
    <w:rPr>
      <w:vertAlign w:val="superscript"/>
    </w:rPr>
  </w:style>
  <w:style w:type="paragraph" w:styleId="FootnoteText">
    <w:name w:val="footnote text"/>
    <w:aliases w:val="F: Footnote Text"/>
    <w:basedOn w:val="Normal"/>
    <w:link w:val="FootnoteTextChar"/>
    <w:uiPriority w:val="99"/>
    <w:unhideWhenUsed/>
    <w:qFormat/>
    <w:rsid w:val="000841C2"/>
    <w:pPr>
      <w:spacing w:after="120" w:line="240" w:lineRule="auto"/>
    </w:pPr>
    <w:rPr>
      <w:sz w:val="18"/>
      <w:szCs w:val="20"/>
    </w:rPr>
  </w:style>
  <w:style w:type="character" w:customStyle="1" w:styleId="FootnoteTextChar">
    <w:name w:val="Footnote Text Char"/>
    <w:aliases w:val="F: Footnote Text Char"/>
    <w:basedOn w:val="DefaultParagraphFont"/>
    <w:link w:val="FootnoteText"/>
    <w:uiPriority w:val="99"/>
    <w:rsid w:val="000841C2"/>
    <w:rPr>
      <w:rFonts w:asciiTheme="minorHAnsi" w:eastAsiaTheme="minorEastAsia" w:hAnsiTheme="minorHAnsi" w:cstheme="minorBidi"/>
      <w:sz w:val="18"/>
      <w:szCs w:val="20"/>
      <w:lang w:eastAsia="en-GB"/>
    </w:rPr>
  </w:style>
  <w:style w:type="paragraph" w:customStyle="1" w:styleId="TTableText">
    <w:name w:val="T: Table Text"/>
    <w:basedOn w:val="Normal"/>
    <w:qFormat/>
    <w:rsid w:val="000841C2"/>
    <w:pPr>
      <w:widowControl w:val="0"/>
      <w:suppressAutoHyphens/>
      <w:autoSpaceDE w:val="0"/>
      <w:autoSpaceDN w:val="0"/>
      <w:adjustRightInd w:val="0"/>
      <w:spacing w:after="120" w:line="240" w:lineRule="atLeast"/>
      <w:textAlignment w:val="center"/>
    </w:pPr>
    <w:rPr>
      <w:rFonts w:ascii="Arial" w:hAnsi="Arial" w:cs="HelveticaNeue"/>
      <w:color w:val="000000"/>
      <w:sz w:val="16"/>
      <w:szCs w:val="20"/>
    </w:rPr>
  </w:style>
  <w:style w:type="paragraph" w:customStyle="1" w:styleId="ParaNumbered">
    <w:name w:val="Para: Numbered"/>
    <w:basedOn w:val="ParaMainText"/>
    <w:link w:val="ParaNumberedChar"/>
    <w:qFormat/>
    <w:rsid w:val="000841C2"/>
    <w:pPr>
      <w:numPr>
        <w:numId w:val="1"/>
      </w:numPr>
      <w:spacing w:line="200" w:lineRule="atLeast"/>
    </w:pPr>
  </w:style>
  <w:style w:type="character" w:customStyle="1" w:styleId="ParaNumberedChar">
    <w:name w:val="Para: Numbered Char"/>
    <w:basedOn w:val="DefaultParagraphFont"/>
    <w:link w:val="ParaNumbered"/>
    <w:rsid w:val="000841C2"/>
    <w:rPr>
      <w:rFonts w:ascii="Palatino Linotype" w:eastAsiaTheme="minorEastAsia" w:hAnsi="Palatino Linotype" w:cs="PalatinoLinotype-Roman"/>
      <w:color w:val="000000"/>
      <w:sz w:val="20"/>
      <w:lang w:eastAsia="en-GB"/>
    </w:rPr>
  </w:style>
  <w:style w:type="paragraph" w:customStyle="1" w:styleId="ParaMainText">
    <w:name w:val="Para: Main Text"/>
    <w:basedOn w:val="Normal"/>
    <w:link w:val="ParaMainTextChar"/>
    <w:qFormat/>
    <w:rsid w:val="000841C2"/>
    <w:pPr>
      <w:widowControl w:val="0"/>
      <w:suppressAutoHyphens/>
      <w:autoSpaceDE w:val="0"/>
      <w:autoSpaceDN w:val="0"/>
      <w:adjustRightInd w:val="0"/>
      <w:spacing w:after="150" w:line="300" w:lineRule="atLeast"/>
      <w:textAlignment w:val="center"/>
    </w:pPr>
    <w:rPr>
      <w:rFonts w:ascii="Palatino Linotype" w:hAnsi="Palatino Linotype" w:cs="PalatinoLinotype-Roman"/>
      <w:color w:val="000000"/>
      <w:sz w:val="20"/>
      <w:szCs w:val="24"/>
    </w:rPr>
  </w:style>
  <w:style w:type="character" w:customStyle="1" w:styleId="ParaMainTextChar">
    <w:name w:val="Para: Main Text Char"/>
    <w:basedOn w:val="DefaultParagraphFont"/>
    <w:link w:val="ParaMainText"/>
    <w:rsid w:val="000841C2"/>
    <w:rPr>
      <w:rFonts w:ascii="Palatino Linotype" w:eastAsiaTheme="minorEastAsia" w:hAnsi="Palatino Linotype" w:cs="PalatinoLinotype-Roman"/>
      <w:color w:val="000000"/>
      <w:sz w:val="20"/>
      <w:lang w:eastAsia="en-GB"/>
    </w:rPr>
  </w:style>
  <w:style w:type="character" w:customStyle="1" w:styleId="TTableHeadings">
    <w:name w:val="T: Table Headings"/>
    <w:basedOn w:val="DefaultParagraphFont"/>
    <w:qFormat/>
    <w:rsid w:val="000841C2"/>
    <w:rPr>
      <w:rFonts w:ascii="Arial" w:hAnsi="Arial" w:cs="PalatinoLinotype-Bold"/>
      <w:b/>
      <w:bCs/>
      <w:color w:val="000000"/>
      <w:sz w:val="16"/>
    </w:rPr>
  </w:style>
  <w:style w:type="paragraph" w:customStyle="1" w:styleId="HSubheading2">
    <w:name w:val="H: Subheading 2"/>
    <w:basedOn w:val="Heading2"/>
    <w:next w:val="ParaNumbered"/>
    <w:link w:val="HSubheading2Char"/>
    <w:qFormat/>
    <w:rsid w:val="000841C2"/>
    <w:pPr>
      <w:keepNext w:val="0"/>
      <w:keepLines w:val="0"/>
      <w:spacing w:before="240"/>
      <w:contextualSpacing/>
    </w:pPr>
    <w:rPr>
      <w:rFonts w:ascii="Arial" w:hAnsi="Arial"/>
      <w:color w:val="0070C0"/>
      <w:sz w:val="32"/>
      <w:szCs w:val="32"/>
    </w:rPr>
  </w:style>
  <w:style w:type="character" w:customStyle="1" w:styleId="HSubheading2Char">
    <w:name w:val="H: Subheading 2 Char"/>
    <w:basedOn w:val="DefaultParagraphFont"/>
    <w:link w:val="HSubheading2"/>
    <w:rsid w:val="000841C2"/>
    <w:rPr>
      <w:rFonts w:eastAsiaTheme="majorEastAsia" w:cstheme="majorBidi"/>
      <w:b/>
      <w:bCs/>
      <w:color w:val="0070C0"/>
      <w:sz w:val="32"/>
      <w:szCs w:val="32"/>
      <w:lang w:eastAsia="en-GB"/>
    </w:rPr>
  </w:style>
  <w:style w:type="table" w:customStyle="1" w:styleId="ENGeneralTable">
    <w:name w:val="EN General Table"/>
    <w:basedOn w:val="TableNormal"/>
    <w:uiPriority w:val="99"/>
    <w:qFormat/>
    <w:rsid w:val="000841C2"/>
    <w:pPr>
      <w:spacing w:after="0" w:line="240" w:lineRule="auto"/>
    </w:pPr>
    <w:rPr>
      <w:rFonts w:eastAsiaTheme="minorEastAsia" w:cstheme="minorBidi"/>
      <w:sz w:val="16"/>
      <w:szCs w:val="22"/>
      <w:lang w:eastAsia="en-GB"/>
    </w:rPr>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0" w:type="dxa"/>
        <w:left w:w="108" w:type="dxa"/>
        <w:bottom w:w="0" w:type="dxa"/>
        <w:right w:w="108" w:type="dxa"/>
      </w:tblCellMar>
    </w:tblPr>
    <w:tblStylePr w:type="firstRow">
      <w:rPr>
        <w:rFonts w:ascii="Arial" w:hAnsi="Arial"/>
        <w:b/>
        <w:sz w:val="16"/>
      </w:rPr>
    </w:tblStylePr>
  </w:style>
  <w:style w:type="character" w:customStyle="1" w:styleId="Heading2Char">
    <w:name w:val="Heading 2 Char"/>
    <w:basedOn w:val="DefaultParagraphFont"/>
    <w:link w:val="Heading2"/>
    <w:uiPriority w:val="9"/>
    <w:semiHidden/>
    <w:rsid w:val="000841C2"/>
    <w:rPr>
      <w:rFonts w:asciiTheme="majorHAnsi" w:eastAsiaTheme="majorEastAsia" w:hAnsiTheme="majorHAnsi" w:cstheme="majorBidi"/>
      <w:b/>
      <w:bCs/>
      <w:color w:val="4F81BD" w:themeColor="accent1"/>
      <w:sz w:val="26"/>
      <w:szCs w:val="26"/>
      <w:lang w:eastAsia="en-GB"/>
    </w:rPr>
  </w:style>
  <w:style w:type="character" w:styleId="Strong">
    <w:name w:val="Strong"/>
    <w:basedOn w:val="DefaultParagraphFont"/>
    <w:uiPriority w:val="22"/>
    <w:qFormat/>
    <w:rsid w:val="00F73D84"/>
    <w:rPr>
      <w:b/>
      <w:bCs/>
    </w:rPr>
  </w:style>
  <w:style w:type="paragraph" w:customStyle="1" w:styleId="Default">
    <w:name w:val="Default"/>
    <w:rsid w:val="00A16557"/>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E93EFE"/>
    <w:rPr>
      <w:sz w:val="16"/>
      <w:szCs w:val="16"/>
    </w:rPr>
  </w:style>
  <w:style w:type="paragraph" w:styleId="CommentText">
    <w:name w:val="annotation text"/>
    <w:basedOn w:val="Normal"/>
    <w:link w:val="CommentTextChar"/>
    <w:uiPriority w:val="99"/>
    <w:semiHidden/>
    <w:unhideWhenUsed/>
    <w:rsid w:val="00E93EFE"/>
    <w:pPr>
      <w:spacing w:line="240" w:lineRule="auto"/>
    </w:pPr>
    <w:rPr>
      <w:sz w:val="20"/>
      <w:szCs w:val="20"/>
    </w:rPr>
  </w:style>
  <w:style w:type="character" w:customStyle="1" w:styleId="CommentTextChar">
    <w:name w:val="Comment Text Char"/>
    <w:basedOn w:val="DefaultParagraphFont"/>
    <w:link w:val="CommentText"/>
    <w:uiPriority w:val="99"/>
    <w:semiHidden/>
    <w:rsid w:val="00E93EFE"/>
    <w:rPr>
      <w:rFonts w:asciiTheme="minorHAnsi" w:eastAsiaTheme="minorEastAsia" w:hAnsiTheme="minorHAnsi" w:cstheme="minorBidi"/>
      <w:sz w:val="20"/>
      <w:szCs w:val="20"/>
      <w:lang w:eastAsia="en-GB"/>
    </w:rPr>
  </w:style>
  <w:style w:type="paragraph" w:styleId="CommentSubject">
    <w:name w:val="annotation subject"/>
    <w:basedOn w:val="CommentText"/>
    <w:next w:val="CommentText"/>
    <w:link w:val="CommentSubjectChar"/>
    <w:uiPriority w:val="99"/>
    <w:semiHidden/>
    <w:unhideWhenUsed/>
    <w:rsid w:val="00E93EFE"/>
    <w:rPr>
      <w:b/>
      <w:bCs/>
    </w:rPr>
  </w:style>
  <w:style w:type="character" w:customStyle="1" w:styleId="CommentSubjectChar">
    <w:name w:val="Comment Subject Char"/>
    <w:basedOn w:val="CommentTextChar"/>
    <w:link w:val="CommentSubject"/>
    <w:uiPriority w:val="99"/>
    <w:semiHidden/>
    <w:rsid w:val="00E93EFE"/>
    <w:rPr>
      <w:rFonts w:asciiTheme="minorHAnsi" w:eastAsiaTheme="minorEastAsia" w:hAnsiTheme="minorHAnsi" w:cstheme="minorBidi"/>
      <w:b/>
      <w:bCs/>
      <w:sz w:val="20"/>
      <w:szCs w:val="20"/>
      <w:lang w:eastAsia="en-GB"/>
    </w:rPr>
  </w:style>
  <w:style w:type="paragraph" w:styleId="BalloonText">
    <w:name w:val="Balloon Text"/>
    <w:basedOn w:val="Normal"/>
    <w:link w:val="BalloonTextChar"/>
    <w:uiPriority w:val="99"/>
    <w:semiHidden/>
    <w:unhideWhenUsed/>
    <w:rsid w:val="00E9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FE"/>
    <w:rPr>
      <w:rFonts w:ascii="Tahoma" w:eastAsiaTheme="minorEastAsia" w:hAnsi="Tahoma" w:cs="Tahoma"/>
      <w:sz w:val="16"/>
      <w:szCs w:val="16"/>
      <w:lang w:eastAsia="en-GB"/>
    </w:rPr>
  </w:style>
  <w:style w:type="paragraph" w:customStyle="1" w:styleId="ENbodytextwithindentENmaintext">
    <w:name w:val="EN body text with indent (EN main text)"/>
    <w:basedOn w:val="Normal"/>
    <w:uiPriority w:val="99"/>
    <w:locked/>
    <w:rsid w:val="0059531E"/>
    <w:pPr>
      <w:widowControl w:val="0"/>
      <w:suppressAutoHyphens/>
      <w:autoSpaceDE w:val="0"/>
      <w:autoSpaceDN w:val="0"/>
      <w:adjustRightInd w:val="0"/>
      <w:spacing w:after="150" w:line="300" w:lineRule="atLeast"/>
      <w:ind w:left="600"/>
      <w:textAlignment w:val="center"/>
    </w:pPr>
    <w:rPr>
      <w:rFonts w:ascii="Palatino Linotype" w:hAnsi="Palatino Linotype" w:cs="PalatinoLinotype-Roman"/>
      <w:color w:val="000000"/>
      <w:sz w:val="20"/>
      <w:szCs w:val="24"/>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A80704"/>
    <w:pPr>
      <w:ind w:left="720"/>
      <w:contextualSpacing/>
    </w:pPr>
    <w:rPr>
      <w:rFonts w:eastAsiaTheme="minorHAnsi"/>
      <w:lang w:eastAsia="en-US"/>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A80704"/>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41C2"/>
    <w:rPr>
      <w:rFonts w:asciiTheme="minorHAnsi" w:eastAsiaTheme="minorEastAsia" w:hAnsiTheme="minorHAnsi" w:cstheme="minorBidi"/>
      <w:sz w:val="22"/>
      <w:szCs w:val="22"/>
      <w:lang w:eastAsia="en-GB"/>
    </w:rPr>
  </w:style>
  <w:style w:type="paragraph" w:styleId="Heading1">
    <w:name w:val="heading 1"/>
    <w:basedOn w:val="Normal"/>
    <w:next w:val="ParaNumbered"/>
    <w:link w:val="Heading1Char"/>
    <w:uiPriority w:val="9"/>
    <w:qFormat/>
    <w:rsid w:val="000841C2"/>
    <w:pPr>
      <w:spacing w:before="480" w:after="0"/>
      <w:contextualSpacing/>
      <w:outlineLvl w:val="0"/>
    </w:pPr>
    <w:rPr>
      <w:rFonts w:ascii="Arial" w:eastAsiaTheme="majorEastAsia" w:hAnsi="Arial" w:cstheme="majorBidi"/>
      <w:b/>
      <w:bCs/>
      <w:color w:val="0070C0"/>
      <w:sz w:val="36"/>
      <w:szCs w:val="28"/>
    </w:rPr>
  </w:style>
  <w:style w:type="paragraph" w:styleId="Heading2">
    <w:name w:val="heading 2"/>
    <w:basedOn w:val="Normal"/>
    <w:next w:val="Normal"/>
    <w:link w:val="Heading2Char"/>
    <w:uiPriority w:val="9"/>
    <w:semiHidden/>
    <w:unhideWhenUsed/>
    <w:qFormat/>
    <w:rsid w:val="000841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uiPriority w:val="9"/>
    <w:rsid w:val="000841C2"/>
    <w:rPr>
      <w:rFonts w:eastAsiaTheme="majorEastAsia" w:cstheme="majorBidi"/>
      <w:b/>
      <w:bCs/>
      <w:color w:val="0070C0"/>
      <w:sz w:val="36"/>
      <w:szCs w:val="28"/>
      <w:lang w:eastAsia="en-GB"/>
    </w:rPr>
  </w:style>
  <w:style w:type="character" w:styleId="FootnoteReference">
    <w:name w:val="footnote reference"/>
    <w:basedOn w:val="DefaultParagraphFont"/>
    <w:uiPriority w:val="99"/>
    <w:unhideWhenUsed/>
    <w:qFormat/>
    <w:rsid w:val="000841C2"/>
    <w:rPr>
      <w:vertAlign w:val="superscript"/>
    </w:rPr>
  </w:style>
  <w:style w:type="paragraph" w:styleId="FootnoteText">
    <w:name w:val="footnote text"/>
    <w:aliases w:val="F: Footnote Text"/>
    <w:basedOn w:val="Normal"/>
    <w:link w:val="FootnoteTextChar"/>
    <w:uiPriority w:val="99"/>
    <w:unhideWhenUsed/>
    <w:qFormat/>
    <w:rsid w:val="000841C2"/>
    <w:pPr>
      <w:spacing w:after="120" w:line="240" w:lineRule="auto"/>
    </w:pPr>
    <w:rPr>
      <w:sz w:val="18"/>
      <w:szCs w:val="20"/>
    </w:rPr>
  </w:style>
  <w:style w:type="character" w:customStyle="1" w:styleId="FootnoteTextChar">
    <w:name w:val="Footnote Text Char"/>
    <w:aliases w:val="F: Footnote Text Char"/>
    <w:basedOn w:val="DefaultParagraphFont"/>
    <w:link w:val="FootnoteText"/>
    <w:uiPriority w:val="99"/>
    <w:rsid w:val="000841C2"/>
    <w:rPr>
      <w:rFonts w:asciiTheme="minorHAnsi" w:eastAsiaTheme="minorEastAsia" w:hAnsiTheme="minorHAnsi" w:cstheme="minorBidi"/>
      <w:sz w:val="18"/>
      <w:szCs w:val="20"/>
      <w:lang w:eastAsia="en-GB"/>
    </w:rPr>
  </w:style>
  <w:style w:type="paragraph" w:customStyle="1" w:styleId="TTableText">
    <w:name w:val="T: Table Text"/>
    <w:basedOn w:val="Normal"/>
    <w:qFormat/>
    <w:rsid w:val="000841C2"/>
    <w:pPr>
      <w:widowControl w:val="0"/>
      <w:suppressAutoHyphens/>
      <w:autoSpaceDE w:val="0"/>
      <w:autoSpaceDN w:val="0"/>
      <w:adjustRightInd w:val="0"/>
      <w:spacing w:after="120" w:line="240" w:lineRule="atLeast"/>
      <w:textAlignment w:val="center"/>
    </w:pPr>
    <w:rPr>
      <w:rFonts w:ascii="Arial" w:hAnsi="Arial" w:cs="HelveticaNeue"/>
      <w:color w:val="000000"/>
      <w:sz w:val="16"/>
      <w:szCs w:val="20"/>
    </w:rPr>
  </w:style>
  <w:style w:type="paragraph" w:customStyle="1" w:styleId="ParaNumbered">
    <w:name w:val="Para: Numbered"/>
    <w:basedOn w:val="ParaMainText"/>
    <w:link w:val="ParaNumberedChar"/>
    <w:qFormat/>
    <w:rsid w:val="000841C2"/>
    <w:pPr>
      <w:numPr>
        <w:numId w:val="1"/>
      </w:numPr>
      <w:spacing w:line="200" w:lineRule="atLeast"/>
    </w:pPr>
  </w:style>
  <w:style w:type="character" w:customStyle="1" w:styleId="ParaNumberedChar">
    <w:name w:val="Para: Numbered Char"/>
    <w:basedOn w:val="DefaultParagraphFont"/>
    <w:link w:val="ParaNumbered"/>
    <w:rsid w:val="000841C2"/>
    <w:rPr>
      <w:rFonts w:ascii="Palatino Linotype" w:eastAsiaTheme="minorEastAsia" w:hAnsi="Palatino Linotype" w:cs="PalatinoLinotype-Roman"/>
      <w:color w:val="000000"/>
      <w:sz w:val="20"/>
      <w:lang w:eastAsia="en-GB"/>
    </w:rPr>
  </w:style>
  <w:style w:type="paragraph" w:customStyle="1" w:styleId="ParaMainText">
    <w:name w:val="Para: Main Text"/>
    <w:basedOn w:val="Normal"/>
    <w:link w:val="ParaMainTextChar"/>
    <w:qFormat/>
    <w:rsid w:val="000841C2"/>
    <w:pPr>
      <w:widowControl w:val="0"/>
      <w:suppressAutoHyphens/>
      <w:autoSpaceDE w:val="0"/>
      <w:autoSpaceDN w:val="0"/>
      <w:adjustRightInd w:val="0"/>
      <w:spacing w:after="150" w:line="300" w:lineRule="atLeast"/>
      <w:textAlignment w:val="center"/>
    </w:pPr>
    <w:rPr>
      <w:rFonts w:ascii="Palatino Linotype" w:hAnsi="Palatino Linotype" w:cs="PalatinoLinotype-Roman"/>
      <w:color w:val="000000"/>
      <w:sz w:val="20"/>
      <w:szCs w:val="24"/>
    </w:rPr>
  </w:style>
  <w:style w:type="character" w:customStyle="1" w:styleId="ParaMainTextChar">
    <w:name w:val="Para: Main Text Char"/>
    <w:basedOn w:val="DefaultParagraphFont"/>
    <w:link w:val="ParaMainText"/>
    <w:rsid w:val="000841C2"/>
    <w:rPr>
      <w:rFonts w:ascii="Palatino Linotype" w:eastAsiaTheme="minorEastAsia" w:hAnsi="Palatino Linotype" w:cs="PalatinoLinotype-Roman"/>
      <w:color w:val="000000"/>
      <w:sz w:val="20"/>
      <w:lang w:eastAsia="en-GB"/>
    </w:rPr>
  </w:style>
  <w:style w:type="character" w:customStyle="1" w:styleId="TTableHeadings">
    <w:name w:val="T: Table Headings"/>
    <w:basedOn w:val="DefaultParagraphFont"/>
    <w:qFormat/>
    <w:rsid w:val="000841C2"/>
    <w:rPr>
      <w:rFonts w:ascii="Arial" w:hAnsi="Arial" w:cs="PalatinoLinotype-Bold"/>
      <w:b/>
      <w:bCs/>
      <w:color w:val="000000"/>
      <w:sz w:val="16"/>
    </w:rPr>
  </w:style>
  <w:style w:type="paragraph" w:customStyle="1" w:styleId="HSubheading2">
    <w:name w:val="H: Subheading 2"/>
    <w:basedOn w:val="Heading2"/>
    <w:next w:val="ParaNumbered"/>
    <w:link w:val="HSubheading2Char"/>
    <w:qFormat/>
    <w:rsid w:val="000841C2"/>
    <w:pPr>
      <w:keepNext w:val="0"/>
      <w:keepLines w:val="0"/>
      <w:spacing w:before="240"/>
      <w:contextualSpacing/>
    </w:pPr>
    <w:rPr>
      <w:rFonts w:ascii="Arial" w:hAnsi="Arial"/>
      <w:color w:val="0070C0"/>
      <w:sz w:val="32"/>
      <w:szCs w:val="32"/>
    </w:rPr>
  </w:style>
  <w:style w:type="character" w:customStyle="1" w:styleId="HSubheading2Char">
    <w:name w:val="H: Subheading 2 Char"/>
    <w:basedOn w:val="DefaultParagraphFont"/>
    <w:link w:val="HSubheading2"/>
    <w:rsid w:val="000841C2"/>
    <w:rPr>
      <w:rFonts w:eastAsiaTheme="majorEastAsia" w:cstheme="majorBidi"/>
      <w:b/>
      <w:bCs/>
      <w:color w:val="0070C0"/>
      <w:sz w:val="32"/>
      <w:szCs w:val="32"/>
      <w:lang w:eastAsia="en-GB"/>
    </w:rPr>
  </w:style>
  <w:style w:type="table" w:customStyle="1" w:styleId="ENGeneralTable">
    <w:name w:val="EN General Table"/>
    <w:basedOn w:val="TableNormal"/>
    <w:uiPriority w:val="99"/>
    <w:qFormat/>
    <w:rsid w:val="000841C2"/>
    <w:pPr>
      <w:spacing w:after="0" w:line="240" w:lineRule="auto"/>
    </w:pPr>
    <w:rPr>
      <w:rFonts w:eastAsiaTheme="minorEastAsia" w:cstheme="minorBidi"/>
      <w:sz w:val="16"/>
      <w:szCs w:val="22"/>
      <w:lang w:eastAsia="en-GB"/>
    </w:rPr>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0" w:type="dxa"/>
        <w:left w:w="108" w:type="dxa"/>
        <w:bottom w:w="0" w:type="dxa"/>
        <w:right w:w="108" w:type="dxa"/>
      </w:tblCellMar>
    </w:tblPr>
    <w:tblStylePr w:type="firstRow">
      <w:rPr>
        <w:rFonts w:ascii="Arial" w:hAnsi="Arial"/>
        <w:b/>
        <w:sz w:val="16"/>
      </w:rPr>
    </w:tblStylePr>
  </w:style>
  <w:style w:type="character" w:customStyle="1" w:styleId="Heading2Char">
    <w:name w:val="Heading 2 Char"/>
    <w:basedOn w:val="DefaultParagraphFont"/>
    <w:link w:val="Heading2"/>
    <w:uiPriority w:val="9"/>
    <w:semiHidden/>
    <w:rsid w:val="000841C2"/>
    <w:rPr>
      <w:rFonts w:asciiTheme="majorHAnsi" w:eastAsiaTheme="majorEastAsia" w:hAnsiTheme="majorHAnsi" w:cstheme="majorBidi"/>
      <w:b/>
      <w:bCs/>
      <w:color w:val="4F81BD" w:themeColor="accent1"/>
      <w:sz w:val="26"/>
      <w:szCs w:val="26"/>
      <w:lang w:eastAsia="en-GB"/>
    </w:rPr>
  </w:style>
  <w:style w:type="character" w:styleId="Strong">
    <w:name w:val="Strong"/>
    <w:basedOn w:val="DefaultParagraphFont"/>
    <w:uiPriority w:val="22"/>
    <w:qFormat/>
    <w:rsid w:val="00F73D84"/>
    <w:rPr>
      <w:b/>
      <w:bCs/>
    </w:rPr>
  </w:style>
  <w:style w:type="paragraph" w:customStyle="1" w:styleId="Default">
    <w:name w:val="Default"/>
    <w:rsid w:val="00A16557"/>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E93EFE"/>
    <w:rPr>
      <w:sz w:val="16"/>
      <w:szCs w:val="16"/>
    </w:rPr>
  </w:style>
  <w:style w:type="paragraph" w:styleId="CommentText">
    <w:name w:val="annotation text"/>
    <w:basedOn w:val="Normal"/>
    <w:link w:val="CommentTextChar"/>
    <w:uiPriority w:val="99"/>
    <w:semiHidden/>
    <w:unhideWhenUsed/>
    <w:rsid w:val="00E93EFE"/>
    <w:pPr>
      <w:spacing w:line="240" w:lineRule="auto"/>
    </w:pPr>
    <w:rPr>
      <w:sz w:val="20"/>
      <w:szCs w:val="20"/>
    </w:rPr>
  </w:style>
  <w:style w:type="character" w:customStyle="1" w:styleId="CommentTextChar">
    <w:name w:val="Comment Text Char"/>
    <w:basedOn w:val="DefaultParagraphFont"/>
    <w:link w:val="CommentText"/>
    <w:uiPriority w:val="99"/>
    <w:semiHidden/>
    <w:rsid w:val="00E93EFE"/>
    <w:rPr>
      <w:rFonts w:asciiTheme="minorHAnsi" w:eastAsiaTheme="minorEastAsia" w:hAnsiTheme="minorHAnsi" w:cstheme="minorBidi"/>
      <w:sz w:val="20"/>
      <w:szCs w:val="20"/>
      <w:lang w:eastAsia="en-GB"/>
    </w:rPr>
  </w:style>
  <w:style w:type="paragraph" w:styleId="CommentSubject">
    <w:name w:val="annotation subject"/>
    <w:basedOn w:val="CommentText"/>
    <w:next w:val="CommentText"/>
    <w:link w:val="CommentSubjectChar"/>
    <w:uiPriority w:val="99"/>
    <w:semiHidden/>
    <w:unhideWhenUsed/>
    <w:rsid w:val="00E93EFE"/>
    <w:rPr>
      <w:b/>
      <w:bCs/>
    </w:rPr>
  </w:style>
  <w:style w:type="character" w:customStyle="1" w:styleId="CommentSubjectChar">
    <w:name w:val="Comment Subject Char"/>
    <w:basedOn w:val="CommentTextChar"/>
    <w:link w:val="CommentSubject"/>
    <w:uiPriority w:val="99"/>
    <w:semiHidden/>
    <w:rsid w:val="00E93EFE"/>
    <w:rPr>
      <w:rFonts w:asciiTheme="minorHAnsi" w:eastAsiaTheme="minorEastAsia" w:hAnsiTheme="minorHAnsi" w:cstheme="minorBidi"/>
      <w:b/>
      <w:bCs/>
      <w:sz w:val="20"/>
      <w:szCs w:val="20"/>
      <w:lang w:eastAsia="en-GB"/>
    </w:rPr>
  </w:style>
  <w:style w:type="paragraph" w:styleId="BalloonText">
    <w:name w:val="Balloon Text"/>
    <w:basedOn w:val="Normal"/>
    <w:link w:val="BalloonTextChar"/>
    <w:uiPriority w:val="99"/>
    <w:semiHidden/>
    <w:unhideWhenUsed/>
    <w:rsid w:val="00E9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FE"/>
    <w:rPr>
      <w:rFonts w:ascii="Tahoma" w:eastAsiaTheme="minorEastAsia" w:hAnsi="Tahoma" w:cs="Tahoma"/>
      <w:sz w:val="16"/>
      <w:szCs w:val="16"/>
      <w:lang w:eastAsia="en-GB"/>
    </w:rPr>
  </w:style>
  <w:style w:type="paragraph" w:customStyle="1" w:styleId="ENbodytextwithindentENmaintext">
    <w:name w:val="EN body text with indent (EN main text)"/>
    <w:basedOn w:val="Normal"/>
    <w:uiPriority w:val="99"/>
    <w:locked/>
    <w:rsid w:val="0059531E"/>
    <w:pPr>
      <w:widowControl w:val="0"/>
      <w:suppressAutoHyphens/>
      <w:autoSpaceDE w:val="0"/>
      <w:autoSpaceDN w:val="0"/>
      <w:adjustRightInd w:val="0"/>
      <w:spacing w:after="150" w:line="300" w:lineRule="atLeast"/>
      <w:ind w:left="600"/>
      <w:textAlignment w:val="center"/>
    </w:pPr>
    <w:rPr>
      <w:rFonts w:ascii="Palatino Linotype" w:hAnsi="Palatino Linotype" w:cs="PalatinoLinotype-Roman"/>
      <w:color w:val="000000"/>
      <w:sz w:val="20"/>
      <w:szCs w:val="24"/>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A80704"/>
    <w:pPr>
      <w:ind w:left="720"/>
      <w:contextualSpacing/>
    </w:pPr>
    <w:rPr>
      <w:rFonts w:eastAsiaTheme="minorHAnsi"/>
      <w:lang w:eastAsia="en-US"/>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A8070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8DF6-8D0A-4008-A8A6-126AEED946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585949-4981-4528-B6B0-576AB6A5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sturner1</dc:creator>
  <cp:lastModifiedBy>tdwyer</cp:lastModifiedBy>
  <cp:revision>2</cp:revision>
  <dcterms:created xsi:type="dcterms:W3CDTF">2018-08-30T08:47:00Z</dcterms:created>
  <dcterms:modified xsi:type="dcterms:W3CDTF">2018-08-30T08:47:00Z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639c3bb0-3cdd-45ea-9762-0991a04d0017</vt:lpwstr>
  </property>
  <property fmtid="{D5CDD505-2E9C-101B-9397-08002B2CF9AE}" pid="3" name="bjSaver">
    <vt:lpwstr>Jn2HWcygzgju1tYMtdiKBEhlwyYSebgo</vt:lpwstr>
  </property>
  <property fmtid="{D5CDD505-2E9C-101B-9397-08002B2CF9AE}" pid="4" name="bjDocumentSecurityLabel">
    <vt:lpwstr>No Marking</vt:lpwstr>
  </property>
</Properties>
</file>