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9A" w:rsidRDefault="00F27D89">
      <w:pPr>
        <w:rPr>
          <w:b/>
        </w:rPr>
      </w:pPr>
      <w:bookmarkStart w:id="0" w:name="_GoBack"/>
      <w:bookmarkEnd w:id="0"/>
      <w:r>
        <w:rPr>
          <w:b/>
        </w:rPr>
        <w:t xml:space="preserve">Analysis on the application of Standing Order No.83L of the standing Orders of the House of Commons relating to the Public Business in respect of Government amendments tabled for </w:t>
      </w:r>
      <w:r>
        <w:rPr>
          <w:b/>
        </w:rPr>
        <w:t>Report stage</w:t>
      </w:r>
    </w:p>
    <w:p w:rsidR="009C279A" w:rsidRDefault="00F27D89">
      <w:pPr>
        <w:rPr>
          <w:b/>
          <w:i/>
        </w:rPr>
      </w:pPr>
      <w:r>
        <w:rPr>
          <w:b/>
          <w:i/>
        </w:rPr>
        <w:t>Commons Stage Report Stage amendments</w:t>
      </w:r>
    </w:p>
    <w:p w:rsidR="009C279A" w:rsidRDefault="00F27D89">
      <w:r>
        <w:t>The following is the Department’s assessment of the Trade Bill and Government amendments tabled to the Bill for consideration at Report Stage.</w:t>
      </w:r>
    </w:p>
    <w:p w:rsidR="009C279A" w:rsidRDefault="00F27D89">
      <w:pPr>
        <w:rPr>
          <w:u w:val="single"/>
        </w:rPr>
      </w:pPr>
      <w:r>
        <w:rPr>
          <w:u w:val="single"/>
        </w:rPr>
        <w:t>Summary</w:t>
      </w:r>
    </w:p>
    <w:p w:rsidR="009C279A" w:rsidRDefault="00F27D89">
      <w:pPr>
        <w:spacing w:line="249" w:lineRule="auto"/>
        <w:rPr>
          <w:rFonts w:cs="Calibri"/>
        </w:rPr>
      </w:pPr>
      <w:r>
        <w:rPr>
          <w:rFonts w:cs="Calibri"/>
        </w:rPr>
        <w:t>The above assessment is represented in tabular form be</w:t>
      </w:r>
      <w:r>
        <w:rPr>
          <w:rFonts w:cs="Calibri"/>
        </w:rPr>
        <w:t>low.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363"/>
        <w:gridCol w:w="1363"/>
        <w:gridCol w:w="1363"/>
        <w:gridCol w:w="1361"/>
        <w:gridCol w:w="1100"/>
      </w:tblGrid>
      <w:tr w:rsidR="009C279A">
        <w:tblPrEx>
          <w:tblCellMar>
            <w:top w:w="0" w:type="dxa"/>
            <w:bottom w:w="0" w:type="dxa"/>
          </w:tblCellMar>
        </w:tblPrEx>
        <w:trPr>
          <w:trHeight w:val="1153"/>
          <w:tblHeader/>
          <w:jc w:val="center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Provision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Extends to E &amp; W and applies to England?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Extends to E &amp; W and applies to Wales?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Extends and applies to Scotland?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Extends and applies to Northern Ireland?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Would corresponding provision be within the competence of the National Assembly of Wale</w:t>
            </w: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s?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Would corresponding provision be within the competence of the Scottish Parliament?</w:t>
            </w:r>
          </w:p>
        </w:tc>
        <w:tc>
          <w:tcPr>
            <w:tcW w:w="13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Would corresponding provision be within the competence of the Northern Ireland Assembly?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b/>
                <w:sz w:val="16"/>
                <w:lang w:val="en-US" w:bidi="en-US"/>
              </w:rPr>
              <w:t>Legislative Consent Motion needed?</w:t>
            </w:r>
          </w:p>
        </w:tc>
      </w:tr>
      <w:tr w:rsidR="009C279A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 xml:space="preserve">Part 1 (Clauses </w:t>
            </w:r>
            <w:r>
              <w:rPr>
                <w:rFonts w:ascii="Arial" w:eastAsia="Times New Roman" w:hAnsi="Arial"/>
                <w:sz w:val="16"/>
                <w:shd w:val="clear" w:color="auto" w:fill="FFFF00"/>
                <w:lang w:val="en-US" w:bidi="en-US"/>
              </w:rPr>
              <w:t>1-4</w:t>
            </w:r>
            <w:r>
              <w:rPr>
                <w:rFonts w:ascii="Arial" w:eastAsia="Times New Roman" w:hAnsi="Arial"/>
                <w:sz w:val="16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 (S, W, NI)</w:t>
            </w:r>
          </w:p>
        </w:tc>
      </w:tr>
      <w:tr w:rsidR="009C279A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 xml:space="preserve">Part 2 (Clauses </w:t>
            </w:r>
            <w:r>
              <w:rPr>
                <w:rFonts w:ascii="Arial" w:eastAsia="Times New Roman" w:hAnsi="Arial"/>
                <w:sz w:val="16"/>
                <w:shd w:val="clear" w:color="auto" w:fill="FFFF00"/>
                <w:lang w:val="en-US" w:bidi="en-US"/>
              </w:rPr>
              <w:t>5-6</w:t>
            </w:r>
            <w:r>
              <w:rPr>
                <w:rFonts w:ascii="Arial" w:eastAsia="Times New Roman" w:hAnsi="Arial"/>
                <w:sz w:val="16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No</w:t>
            </w:r>
          </w:p>
        </w:tc>
      </w:tr>
      <w:tr w:rsidR="009C279A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 xml:space="preserve">Part 3 (Clauses </w:t>
            </w:r>
            <w:r>
              <w:rPr>
                <w:rFonts w:ascii="Arial" w:eastAsia="Times New Roman" w:hAnsi="Arial"/>
                <w:sz w:val="16"/>
                <w:shd w:val="clear" w:color="auto" w:fill="FFFF00"/>
                <w:lang w:val="en-US" w:bidi="en-US"/>
              </w:rPr>
              <w:t>7-8</w:t>
            </w:r>
            <w:r>
              <w:rPr>
                <w:rFonts w:ascii="Arial" w:eastAsia="Times New Roman" w:hAnsi="Arial"/>
                <w:sz w:val="16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No</w:t>
            </w:r>
          </w:p>
        </w:tc>
      </w:tr>
      <w:tr w:rsidR="009C279A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 xml:space="preserve">Part 4 (Clauses </w:t>
            </w:r>
            <w:r>
              <w:rPr>
                <w:rFonts w:ascii="Arial" w:eastAsia="Times New Roman" w:hAnsi="Arial"/>
                <w:sz w:val="16"/>
                <w:shd w:val="clear" w:color="auto" w:fill="FFFF00"/>
                <w:lang w:val="en-US" w:bidi="en-US"/>
              </w:rPr>
              <w:t>9-12</w:t>
            </w:r>
            <w:r>
              <w:rPr>
                <w:rFonts w:ascii="Arial" w:eastAsia="Times New Roman" w:hAnsi="Arial"/>
                <w:sz w:val="16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No</w:t>
            </w:r>
          </w:p>
        </w:tc>
      </w:tr>
      <w:tr w:rsidR="009C279A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Schedules 1-3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 (S, W, NI)</w:t>
            </w:r>
          </w:p>
        </w:tc>
      </w:tr>
      <w:tr w:rsidR="009C279A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Schedule 4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Yes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9A" w:rsidRDefault="00F27D89">
            <w:pPr>
              <w:spacing w:after="0" w:line="240" w:lineRule="auto"/>
              <w:rPr>
                <w:rFonts w:ascii="Arial" w:eastAsia="Times New Roman" w:hAnsi="Arial"/>
                <w:sz w:val="16"/>
                <w:lang w:val="en-US" w:bidi="en-US"/>
              </w:rPr>
            </w:pPr>
            <w:r>
              <w:rPr>
                <w:rFonts w:ascii="Arial" w:eastAsia="Times New Roman" w:hAnsi="Arial"/>
                <w:sz w:val="16"/>
                <w:lang w:val="en-US" w:bidi="en-US"/>
              </w:rPr>
              <w:t>No</w:t>
            </w:r>
          </w:p>
        </w:tc>
      </w:tr>
    </w:tbl>
    <w:p w:rsidR="009C279A" w:rsidRDefault="009C279A">
      <w:pPr>
        <w:rPr>
          <w:b/>
        </w:rPr>
      </w:pPr>
    </w:p>
    <w:p w:rsidR="009C279A" w:rsidRDefault="00F27D89">
      <w:pPr>
        <w:rPr>
          <w:i/>
          <w:u w:val="single"/>
        </w:rPr>
      </w:pPr>
      <w:r>
        <w:rPr>
          <w:i/>
          <w:u w:val="single"/>
        </w:rPr>
        <w:t>Territorial application</w:t>
      </w:r>
    </w:p>
    <w:p w:rsidR="009C279A" w:rsidRDefault="00F27D89">
      <w:r>
        <w:t>The Government amendments tabled at Report stage do not change the territorial application of the Trade Bill.  All clauses extend to England, Scotland, Wales and Northern Ireland.</w:t>
      </w:r>
    </w:p>
    <w:sectPr w:rsidR="009C279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7D89">
      <w:pPr>
        <w:spacing w:after="0" w:line="240" w:lineRule="auto"/>
      </w:pPr>
      <w:r>
        <w:separator/>
      </w:r>
    </w:p>
  </w:endnote>
  <w:endnote w:type="continuationSeparator" w:id="0">
    <w:p w:rsidR="00000000" w:rsidRDefault="00F2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27D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2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279A"/>
    <w:rsid w:val="009C279A"/>
    <w:rsid w:val="00F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99BD"/>
  <w15:docId w15:val="{D89D9605-1108-4BA0-9A63-662093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James (Trade)</dc:creator>
  <dc:description/>
  <cp:lastModifiedBy>CATHERALL, Claire</cp:lastModifiedBy>
  <cp:revision>2</cp:revision>
  <dcterms:created xsi:type="dcterms:W3CDTF">2018-08-10T13:26:00Z</dcterms:created>
  <dcterms:modified xsi:type="dcterms:W3CDTF">2018-08-10T13:26:00Z</dcterms:modified>
</cp:coreProperties>
</file>