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9E5D" w14:textId="030967DA" w:rsidR="00C478F7" w:rsidRDefault="00C478F7" w:rsidP="00E32515">
      <w:pPr>
        <w:spacing w:after="240"/>
        <w:ind w:right="409"/>
        <w:jc w:val="both"/>
        <w:rPr>
          <w:rFonts w:cs="Arial"/>
          <w:b/>
          <w:bCs/>
          <w:sz w:val="28"/>
          <w:szCs w:val="32"/>
          <w:u w:val="single"/>
        </w:rPr>
      </w:pPr>
      <w:bookmarkStart w:id="0" w:name="_GoBack"/>
      <w:bookmarkEnd w:id="0"/>
    </w:p>
    <w:p w14:paraId="02ABAF78" w14:textId="77777777" w:rsidR="00F07F58" w:rsidRDefault="00F07F58" w:rsidP="00E32515">
      <w:pPr>
        <w:jc w:val="both"/>
      </w:pPr>
    </w:p>
    <w:p w14:paraId="0F7747EB" w14:textId="77777777" w:rsidR="00F07F58" w:rsidRDefault="00F07F58" w:rsidP="00E32515">
      <w:pPr>
        <w:jc w:val="both"/>
      </w:pPr>
    </w:p>
    <w:p w14:paraId="6E0EB420" w14:textId="77777777" w:rsidR="00F07F58" w:rsidRDefault="00F07F58" w:rsidP="00E32515">
      <w:pPr>
        <w:jc w:val="both"/>
      </w:pPr>
    </w:p>
    <w:tbl>
      <w:tblPr>
        <w:tblW w:w="9242" w:type="dxa"/>
        <w:tblLayout w:type="fixed"/>
        <w:tblCellMar>
          <w:left w:w="115" w:type="dxa"/>
          <w:right w:w="115" w:type="dxa"/>
        </w:tblCellMar>
        <w:tblLook w:val="0400" w:firstRow="0" w:lastRow="0" w:firstColumn="0" w:lastColumn="0" w:noHBand="0" w:noVBand="1"/>
      </w:tblPr>
      <w:tblGrid>
        <w:gridCol w:w="9242"/>
      </w:tblGrid>
      <w:tr w:rsidR="00F07F58" w14:paraId="20A87E37" w14:textId="77777777" w:rsidTr="252668CB">
        <w:trPr>
          <w:trHeight w:val="1260"/>
        </w:trPr>
        <w:tc>
          <w:tcPr>
            <w:tcW w:w="9242" w:type="dxa"/>
            <w:shd w:val="clear" w:color="auto" w:fill="auto"/>
          </w:tcPr>
          <w:p w14:paraId="4521117B" w14:textId="77777777" w:rsidR="00F07F58" w:rsidRPr="00F22A8E" w:rsidRDefault="00F07F58" w:rsidP="00E32515">
            <w:pPr>
              <w:jc w:val="center"/>
              <w:rPr>
                <w:smallCaps/>
                <w:sz w:val="48"/>
                <w:szCs w:val="48"/>
              </w:rPr>
            </w:pPr>
            <w:r w:rsidRPr="00F22A8E">
              <w:rPr>
                <w:smallCaps/>
                <w:sz w:val="48"/>
                <w:szCs w:val="48"/>
              </w:rPr>
              <w:t>QUARTERLY UPDATE TO PARLIAMENT ON THE GOVERNMENT’S PROGRESS ON THE UK’S EXIT FROM THE EURATOM TREATY</w:t>
            </w:r>
          </w:p>
        </w:tc>
      </w:tr>
      <w:tr w:rsidR="00F07F58" w14:paraId="1DBEBC67" w14:textId="77777777" w:rsidTr="00EA3901">
        <w:trPr>
          <w:trHeight w:val="720"/>
        </w:trPr>
        <w:tc>
          <w:tcPr>
            <w:tcW w:w="9242" w:type="dxa"/>
            <w:tcBorders>
              <w:top w:val="single" w:sz="4" w:space="0" w:color="4F81BD"/>
            </w:tcBorders>
            <w:shd w:val="clear" w:color="auto" w:fill="auto"/>
            <w:vAlign w:val="center"/>
          </w:tcPr>
          <w:p w14:paraId="7AFED859" w14:textId="77777777" w:rsidR="00F07F58" w:rsidRPr="00F22A8E" w:rsidRDefault="00F07F58" w:rsidP="00E32515">
            <w:pPr>
              <w:jc w:val="both"/>
              <w:rPr>
                <w:sz w:val="44"/>
                <w:szCs w:val="44"/>
              </w:rPr>
            </w:pPr>
          </w:p>
        </w:tc>
      </w:tr>
      <w:tr w:rsidR="00F07F58" w14:paraId="15C9A1C6" w14:textId="77777777" w:rsidTr="00EA3901">
        <w:trPr>
          <w:trHeight w:val="360"/>
        </w:trPr>
        <w:tc>
          <w:tcPr>
            <w:tcW w:w="9242" w:type="dxa"/>
            <w:shd w:val="clear" w:color="auto" w:fill="auto"/>
            <w:vAlign w:val="center"/>
          </w:tcPr>
          <w:p w14:paraId="394E8ED0" w14:textId="77777777" w:rsidR="00F07F58" w:rsidRPr="00F22A8E" w:rsidRDefault="00F07F58" w:rsidP="00E32515">
            <w:pPr>
              <w:jc w:val="both"/>
              <w:rPr>
                <w:sz w:val="22"/>
                <w:szCs w:val="22"/>
              </w:rPr>
            </w:pPr>
          </w:p>
        </w:tc>
      </w:tr>
      <w:tr w:rsidR="00F07F58" w14:paraId="5B14C473" w14:textId="77777777" w:rsidTr="00EA3901">
        <w:trPr>
          <w:trHeight w:val="360"/>
        </w:trPr>
        <w:tc>
          <w:tcPr>
            <w:tcW w:w="9242" w:type="dxa"/>
            <w:shd w:val="clear" w:color="auto" w:fill="auto"/>
            <w:vAlign w:val="center"/>
          </w:tcPr>
          <w:p w14:paraId="734FE518" w14:textId="77777777" w:rsidR="00F07F58" w:rsidRPr="00EA3901" w:rsidRDefault="00F07F58" w:rsidP="00E32515">
            <w:pPr>
              <w:jc w:val="both"/>
              <w:rPr>
                <w:b/>
                <w:bCs/>
                <w:sz w:val="32"/>
                <w:szCs w:val="32"/>
              </w:rPr>
            </w:pPr>
            <w:r w:rsidRPr="00085636">
              <w:rPr>
                <w:b/>
                <w:bCs/>
                <w:sz w:val="32"/>
                <w:szCs w:val="32"/>
              </w:rPr>
              <w:t>Department for Business, Energy &amp; Industrial Strategy</w:t>
            </w:r>
          </w:p>
        </w:tc>
      </w:tr>
      <w:tr w:rsidR="00F07F58" w14:paraId="033FE0E6" w14:textId="77777777" w:rsidTr="00EA3901">
        <w:trPr>
          <w:trHeight w:val="80"/>
        </w:trPr>
        <w:tc>
          <w:tcPr>
            <w:tcW w:w="9242" w:type="dxa"/>
            <w:shd w:val="clear" w:color="auto" w:fill="auto"/>
            <w:vAlign w:val="center"/>
          </w:tcPr>
          <w:p w14:paraId="46C15DFF" w14:textId="77777777" w:rsidR="00F07F58" w:rsidRPr="00F22A8E" w:rsidRDefault="00F07F58" w:rsidP="00E32515">
            <w:pPr>
              <w:jc w:val="both"/>
              <w:rPr>
                <w:b/>
                <w:sz w:val="22"/>
                <w:szCs w:val="22"/>
              </w:rPr>
            </w:pPr>
          </w:p>
        </w:tc>
      </w:tr>
    </w:tbl>
    <w:p w14:paraId="44A38230" w14:textId="412C6821" w:rsidR="00F07F58" w:rsidRDefault="00975590" w:rsidP="00E32515">
      <w:pPr>
        <w:ind w:right="409"/>
        <w:jc w:val="both"/>
        <w:outlineLvl w:val="0"/>
        <w:rPr>
          <w:sz w:val="32"/>
          <w:szCs w:val="32"/>
        </w:rPr>
      </w:pPr>
      <w:r>
        <w:rPr>
          <w:noProof/>
        </w:rPr>
        <mc:AlternateContent>
          <mc:Choice Requires="wps">
            <w:drawing>
              <wp:anchor distT="0" distB="0" distL="114300" distR="114300" simplePos="0" relativeHeight="251659264" behindDoc="0" locked="0" layoutInCell="1" allowOverlap="1" wp14:anchorId="5FA39ACB" wp14:editId="66F785FE">
                <wp:simplePos x="0" y="0"/>
                <wp:positionH relativeFrom="margin">
                  <wp:posOffset>4055110</wp:posOffset>
                </wp:positionH>
                <wp:positionV relativeFrom="paragraph">
                  <wp:posOffset>5285740</wp:posOffset>
                </wp:positionV>
                <wp:extent cx="2266950" cy="409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409575"/>
                        </a:xfrm>
                        <a:prstGeom prst="rect">
                          <a:avLst/>
                        </a:prstGeom>
                        <a:solidFill>
                          <a:srgbClr val="FFFFFF"/>
                        </a:solidFill>
                        <a:ln>
                          <a:noFill/>
                        </a:ln>
                      </wps:spPr>
                      <wps:txbx>
                        <w:txbxContent>
                          <w:p w14:paraId="062B2B65" w14:textId="6052657A" w:rsidR="00975590" w:rsidRPr="00975590" w:rsidRDefault="00975590" w:rsidP="00975590">
                            <w:pPr>
                              <w:jc w:val="center"/>
                              <w:textDirection w:val="btLr"/>
                              <w:rPr>
                                <w:rFonts w:cs="Arial"/>
                                <w:sz w:val="24"/>
                              </w:rPr>
                            </w:pPr>
                            <w:r w:rsidRPr="00975590">
                              <w:rPr>
                                <w:rFonts w:cs="Arial"/>
                                <w:sz w:val="24"/>
                              </w:rPr>
                              <w:t>2</w:t>
                            </w:r>
                            <w:r>
                              <w:rPr>
                                <w:rFonts w:cs="Arial"/>
                                <w:sz w:val="24"/>
                              </w:rPr>
                              <w:t>8</w:t>
                            </w:r>
                            <w:r w:rsidRPr="00975590">
                              <w:rPr>
                                <w:rFonts w:cs="Arial"/>
                                <w:sz w:val="24"/>
                                <w:vertAlign w:val="superscript"/>
                              </w:rPr>
                              <w:t>th</w:t>
                            </w:r>
                            <w:r w:rsidRPr="00975590">
                              <w:rPr>
                                <w:rFonts w:eastAsia="Calibri" w:cs="Arial"/>
                                <w:sz w:val="24"/>
                              </w:rPr>
                              <w:t xml:space="preserve"> June 2018</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A39ACB" id="Rectangle 1" o:spid="_x0000_s1026" style="position:absolute;left:0;text-align:left;margin-left:319.3pt;margin-top:416.2pt;width:178.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" stroked="f">
                <v:textbox inset="2.53958mm,1.2694mm,2.53958mm,1.2694mm">
                  <w:txbxContent>
                    <w:p w14:paraId="062B2B65" w14:textId="6052657A" w:rsidR="00975590" w:rsidRPr="00975590" w:rsidRDefault="00975590" w:rsidP="00975590">
                      <w:pPr>
                        <w:jc w:val="center"/>
                        <w:textDirection w:val="btLr"/>
                        <w:rPr>
                          <w:rFonts w:cs="Arial"/>
                          <w:sz w:val="24"/>
                        </w:rPr>
                      </w:pPr>
                      <w:r w:rsidRPr="00975590">
                        <w:rPr>
                          <w:rFonts w:cs="Arial"/>
                          <w:sz w:val="24"/>
                        </w:rPr>
                        <w:t>2</w:t>
                      </w:r>
                      <w:r>
                        <w:rPr>
                          <w:rFonts w:cs="Arial"/>
                          <w:sz w:val="24"/>
                        </w:rPr>
                        <w:t>8</w:t>
                      </w:r>
                      <w:r w:rsidRPr="00975590">
                        <w:rPr>
                          <w:rFonts w:cs="Arial"/>
                          <w:sz w:val="24"/>
                          <w:vertAlign w:val="superscript"/>
                        </w:rPr>
                        <w:t>th</w:t>
                      </w:r>
                      <w:r w:rsidRPr="00975590">
                        <w:rPr>
                          <w:rFonts w:eastAsia="Calibri" w:cs="Arial"/>
                          <w:sz w:val="24"/>
                        </w:rPr>
                        <w:t xml:space="preserve"> June 2018</w:t>
                      </w:r>
                    </w:p>
                  </w:txbxContent>
                </v:textbox>
                <w10:wrap anchorx="margin"/>
              </v:rect>
            </w:pict>
          </mc:Fallback>
        </mc:AlternateContent>
      </w:r>
      <w:r w:rsidR="00F07F58">
        <w:br w:type="page"/>
      </w:r>
      <w:r w:rsidR="00F07F58">
        <w:rPr>
          <w:sz w:val="32"/>
          <w:szCs w:val="32"/>
        </w:rPr>
        <w:lastRenderedPageBreak/>
        <w:t>CONTENTS</w:t>
      </w:r>
    </w:p>
    <w:p w14:paraId="4FC652D7" w14:textId="77777777" w:rsidR="00F07F58" w:rsidRPr="00A42D15" w:rsidRDefault="00F07F58" w:rsidP="00E32515">
      <w:pPr>
        <w:ind w:right="409"/>
        <w:jc w:val="both"/>
        <w:rPr>
          <w:sz w:val="24"/>
          <w:szCs w:val="28"/>
        </w:rPr>
      </w:pPr>
    </w:p>
    <w:p w14:paraId="0664E610" w14:textId="017F5971" w:rsidR="00F07F58" w:rsidRPr="00A42D15" w:rsidRDefault="00F07F58" w:rsidP="00E32515">
      <w:pPr>
        <w:ind w:right="409"/>
        <w:jc w:val="both"/>
        <w:rPr>
          <w:sz w:val="24"/>
          <w:szCs w:val="28"/>
        </w:rPr>
      </w:pPr>
      <w:r w:rsidRPr="00A42D15">
        <w:rPr>
          <w:b/>
          <w:bCs/>
          <w:sz w:val="24"/>
          <w:szCs w:val="28"/>
        </w:rPr>
        <w:t>Executive summary</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r w:rsidRPr="00A42D15">
        <w:rPr>
          <w:sz w:val="24"/>
          <w:szCs w:val="28"/>
        </w:rPr>
        <w:t>3</w:t>
      </w:r>
    </w:p>
    <w:p w14:paraId="67DAB320" w14:textId="77777777" w:rsidR="00F07F58" w:rsidRPr="00A42D15" w:rsidRDefault="00F07F58" w:rsidP="00E32515">
      <w:pPr>
        <w:ind w:right="409"/>
        <w:jc w:val="both"/>
        <w:rPr>
          <w:sz w:val="24"/>
          <w:szCs w:val="28"/>
        </w:rPr>
      </w:pPr>
    </w:p>
    <w:p w14:paraId="4C16BF1F" w14:textId="585BA91E" w:rsidR="00F07F58" w:rsidRPr="00A42D15" w:rsidRDefault="00F07F58" w:rsidP="00E32515">
      <w:pPr>
        <w:ind w:right="409"/>
        <w:jc w:val="both"/>
        <w:rPr>
          <w:sz w:val="24"/>
          <w:szCs w:val="28"/>
        </w:rPr>
      </w:pPr>
      <w:r w:rsidRPr="00A42D15">
        <w:rPr>
          <w:b/>
          <w:bCs/>
          <w:sz w:val="24"/>
          <w:szCs w:val="28"/>
        </w:rPr>
        <w:t>Section 1</w:t>
      </w:r>
      <w:r w:rsidR="003549AF">
        <w:rPr>
          <w:sz w:val="24"/>
          <w:szCs w:val="28"/>
        </w:rPr>
        <w:tab/>
      </w:r>
      <w:r w:rsidRPr="00A42D15">
        <w:rPr>
          <w:sz w:val="24"/>
          <w:szCs w:val="28"/>
        </w:rPr>
        <w:t>EU Negotiations</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r w:rsidR="00A43587" w:rsidRPr="00A42D15">
        <w:rPr>
          <w:sz w:val="24"/>
          <w:szCs w:val="28"/>
        </w:rPr>
        <w:t>4</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p>
    <w:p w14:paraId="1FAEE2B4" w14:textId="2AED9259" w:rsidR="00F07F58" w:rsidRPr="00A42D15" w:rsidRDefault="00F07F58" w:rsidP="00E32515">
      <w:pPr>
        <w:ind w:right="409"/>
        <w:jc w:val="both"/>
        <w:rPr>
          <w:sz w:val="24"/>
          <w:szCs w:val="28"/>
        </w:rPr>
      </w:pPr>
      <w:r w:rsidRPr="00A42D15">
        <w:rPr>
          <w:b/>
          <w:bCs/>
          <w:sz w:val="24"/>
          <w:szCs w:val="28"/>
        </w:rPr>
        <w:t>Section 2</w:t>
      </w:r>
      <w:r w:rsidRPr="00A42D15">
        <w:rPr>
          <w:sz w:val="24"/>
          <w:szCs w:val="28"/>
        </w:rPr>
        <w:tab/>
        <w:t>International Agreements</w:t>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r w:rsidR="00A42D15">
        <w:rPr>
          <w:sz w:val="24"/>
          <w:szCs w:val="28"/>
        </w:rPr>
        <w:tab/>
      </w:r>
      <w:r w:rsidR="00E32515" w:rsidRPr="00A42D15">
        <w:rPr>
          <w:sz w:val="24"/>
          <w:szCs w:val="28"/>
        </w:rPr>
        <w:t>4</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p>
    <w:p w14:paraId="133BD016" w14:textId="63E35506" w:rsidR="00F07F58" w:rsidRPr="00A42D15" w:rsidRDefault="00F07F58" w:rsidP="00E32515">
      <w:pPr>
        <w:ind w:right="409"/>
        <w:jc w:val="both"/>
        <w:rPr>
          <w:sz w:val="24"/>
          <w:szCs w:val="28"/>
        </w:rPr>
      </w:pPr>
      <w:r w:rsidRPr="00A42D15">
        <w:rPr>
          <w:b/>
          <w:bCs/>
          <w:sz w:val="24"/>
          <w:szCs w:val="28"/>
        </w:rPr>
        <w:t>Section 3</w:t>
      </w:r>
      <w:r w:rsidRPr="00A42D15">
        <w:rPr>
          <w:sz w:val="24"/>
          <w:szCs w:val="28"/>
        </w:rPr>
        <w:t xml:space="preserve"> </w:t>
      </w:r>
      <w:r w:rsidRPr="00A42D15">
        <w:rPr>
          <w:sz w:val="24"/>
          <w:szCs w:val="28"/>
        </w:rPr>
        <w:tab/>
        <w:t>Domestic Safeguards Regime</w:t>
      </w:r>
      <w:r w:rsidRPr="00A42D15">
        <w:rPr>
          <w:sz w:val="24"/>
          <w:szCs w:val="28"/>
        </w:rPr>
        <w:tab/>
      </w:r>
      <w:r w:rsidRPr="00A42D15">
        <w:rPr>
          <w:sz w:val="24"/>
          <w:szCs w:val="28"/>
        </w:rPr>
        <w:tab/>
      </w:r>
      <w:r w:rsidRPr="00A42D15">
        <w:rPr>
          <w:sz w:val="24"/>
          <w:szCs w:val="28"/>
        </w:rPr>
        <w:tab/>
      </w:r>
      <w:r w:rsidR="00A42D15">
        <w:rPr>
          <w:sz w:val="24"/>
          <w:szCs w:val="28"/>
        </w:rPr>
        <w:tab/>
      </w:r>
      <w:r w:rsidR="00A42D15">
        <w:rPr>
          <w:sz w:val="24"/>
          <w:szCs w:val="28"/>
        </w:rPr>
        <w:tab/>
      </w:r>
      <w:r w:rsidR="00A43587" w:rsidRPr="00A42D15">
        <w:rPr>
          <w:sz w:val="24"/>
          <w:szCs w:val="28"/>
        </w:rPr>
        <w:t>5</w:t>
      </w:r>
    </w:p>
    <w:p w14:paraId="78AA9469" w14:textId="7714183A" w:rsidR="00F07F58" w:rsidRPr="00A42D15" w:rsidRDefault="00A42D15" w:rsidP="00E32515">
      <w:pPr>
        <w:ind w:right="409"/>
        <w:jc w:val="both"/>
        <w:rPr>
          <w:sz w:val="24"/>
          <w:szCs w:val="28"/>
        </w:rPr>
      </w:pPr>
      <w:r>
        <w:rPr>
          <w:sz w:val="24"/>
          <w:szCs w:val="28"/>
        </w:rPr>
        <w:tab/>
      </w:r>
    </w:p>
    <w:p w14:paraId="430C77BB" w14:textId="2341B27B" w:rsidR="00F07F58" w:rsidRPr="00A42D15" w:rsidRDefault="00F07F58" w:rsidP="00E32515">
      <w:pPr>
        <w:ind w:right="409"/>
        <w:jc w:val="both"/>
        <w:rPr>
          <w:sz w:val="24"/>
          <w:szCs w:val="28"/>
        </w:rPr>
      </w:pPr>
      <w:r w:rsidRPr="00A42D15">
        <w:rPr>
          <w:b/>
          <w:bCs/>
          <w:sz w:val="24"/>
          <w:szCs w:val="28"/>
        </w:rPr>
        <w:t>Section 4</w:t>
      </w:r>
      <w:r w:rsidRPr="00A42D15">
        <w:rPr>
          <w:sz w:val="24"/>
          <w:szCs w:val="28"/>
        </w:rPr>
        <w:t xml:space="preserve"> </w:t>
      </w:r>
      <w:r w:rsidRPr="00A42D15">
        <w:rPr>
          <w:sz w:val="24"/>
          <w:szCs w:val="28"/>
        </w:rPr>
        <w:tab/>
        <w:t xml:space="preserve">Implementation </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r w:rsidR="00A42D15" w:rsidRPr="00A42D15">
        <w:rPr>
          <w:sz w:val="24"/>
          <w:szCs w:val="28"/>
        </w:rPr>
        <w:t>5</w:t>
      </w:r>
    </w:p>
    <w:p w14:paraId="505A16E0" w14:textId="77777777" w:rsidR="00F07F58" w:rsidRPr="00A42D15" w:rsidRDefault="00F07F58" w:rsidP="00E32515">
      <w:pPr>
        <w:ind w:right="409"/>
        <w:jc w:val="both"/>
        <w:rPr>
          <w:sz w:val="24"/>
          <w:szCs w:val="28"/>
        </w:rPr>
      </w:pPr>
    </w:p>
    <w:p w14:paraId="2B2C7654" w14:textId="2A68D05B" w:rsidR="00F07F58" w:rsidRPr="00A42D15" w:rsidRDefault="00F07F58" w:rsidP="00E32515">
      <w:pPr>
        <w:ind w:right="409"/>
        <w:jc w:val="both"/>
        <w:rPr>
          <w:b/>
          <w:bCs/>
          <w:sz w:val="24"/>
          <w:szCs w:val="28"/>
        </w:rPr>
      </w:pPr>
      <w:r w:rsidRPr="00A42D15">
        <w:rPr>
          <w:b/>
          <w:bCs/>
          <w:sz w:val="24"/>
          <w:szCs w:val="28"/>
        </w:rPr>
        <w:t>Section 5</w:t>
      </w:r>
      <w:r w:rsidRPr="00A42D15">
        <w:rPr>
          <w:b/>
          <w:sz w:val="24"/>
          <w:szCs w:val="28"/>
        </w:rPr>
        <w:tab/>
      </w:r>
      <w:r w:rsidRPr="00A42D15">
        <w:rPr>
          <w:sz w:val="24"/>
          <w:szCs w:val="28"/>
        </w:rPr>
        <w:t>Research &amp; Training</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r w:rsidR="00A43587" w:rsidRPr="00A42D15">
        <w:rPr>
          <w:sz w:val="24"/>
          <w:szCs w:val="28"/>
        </w:rPr>
        <w:t>6</w:t>
      </w:r>
    </w:p>
    <w:p w14:paraId="63C43E05" w14:textId="77777777" w:rsidR="00F07F58" w:rsidRPr="00A42D15" w:rsidRDefault="00F07F58" w:rsidP="00E32515">
      <w:pPr>
        <w:ind w:right="409"/>
        <w:jc w:val="both"/>
        <w:rPr>
          <w:sz w:val="24"/>
          <w:szCs w:val="28"/>
        </w:rPr>
      </w:pPr>
    </w:p>
    <w:p w14:paraId="7A8C26EC" w14:textId="59B7F6AE" w:rsidR="00F07F58" w:rsidRPr="00A42D15" w:rsidRDefault="00F07F58" w:rsidP="00E32515">
      <w:pPr>
        <w:ind w:right="409"/>
        <w:jc w:val="both"/>
        <w:rPr>
          <w:sz w:val="24"/>
          <w:szCs w:val="28"/>
        </w:rPr>
      </w:pPr>
      <w:r w:rsidRPr="00A42D15">
        <w:rPr>
          <w:b/>
          <w:bCs/>
          <w:sz w:val="24"/>
          <w:szCs w:val="28"/>
        </w:rPr>
        <w:t>Section 6</w:t>
      </w:r>
      <w:r w:rsidRPr="00A42D15">
        <w:rPr>
          <w:sz w:val="24"/>
          <w:szCs w:val="28"/>
        </w:rPr>
        <w:t xml:space="preserve"> </w:t>
      </w:r>
      <w:r w:rsidRPr="00A42D15">
        <w:rPr>
          <w:sz w:val="24"/>
          <w:szCs w:val="28"/>
        </w:rPr>
        <w:tab/>
      </w:r>
      <w:r w:rsidR="00A42D15" w:rsidRPr="00A42D15">
        <w:rPr>
          <w:sz w:val="24"/>
          <w:szCs w:val="28"/>
        </w:rPr>
        <w:t>Engagement with Industry and other stakeholders</w:t>
      </w:r>
      <w:r w:rsidRPr="00A42D15">
        <w:rPr>
          <w:sz w:val="24"/>
          <w:szCs w:val="28"/>
        </w:rPr>
        <w:t xml:space="preserve"> </w:t>
      </w:r>
      <w:r w:rsidRPr="00A42D15">
        <w:rPr>
          <w:sz w:val="24"/>
          <w:szCs w:val="28"/>
        </w:rPr>
        <w:tab/>
      </w:r>
      <w:r w:rsidRPr="00A42D15">
        <w:rPr>
          <w:sz w:val="24"/>
          <w:szCs w:val="28"/>
        </w:rPr>
        <w:tab/>
      </w:r>
      <w:r w:rsidR="00A43587" w:rsidRPr="00A42D15">
        <w:rPr>
          <w:sz w:val="24"/>
          <w:szCs w:val="28"/>
        </w:rPr>
        <w:t>7</w:t>
      </w:r>
    </w:p>
    <w:p w14:paraId="6DBE1528" w14:textId="77777777" w:rsidR="00F07F58" w:rsidRPr="00A42D15" w:rsidRDefault="00F07F58" w:rsidP="00E32515">
      <w:pPr>
        <w:ind w:right="409"/>
        <w:jc w:val="both"/>
        <w:rPr>
          <w:sz w:val="24"/>
          <w:szCs w:val="28"/>
        </w:rPr>
      </w:pPr>
    </w:p>
    <w:p w14:paraId="303E8F40" w14:textId="3FD547F1" w:rsidR="00F07F58" w:rsidRPr="00A42D15" w:rsidRDefault="00F07F58" w:rsidP="00E32515">
      <w:pPr>
        <w:ind w:right="409"/>
        <w:jc w:val="both"/>
        <w:rPr>
          <w:sz w:val="24"/>
          <w:szCs w:val="28"/>
        </w:rPr>
      </w:pPr>
      <w:r w:rsidRPr="00A42D15">
        <w:rPr>
          <w:b/>
          <w:bCs/>
          <w:sz w:val="24"/>
          <w:szCs w:val="28"/>
        </w:rPr>
        <w:t>Section 7</w:t>
      </w:r>
      <w:r w:rsidRPr="00A42D15">
        <w:rPr>
          <w:sz w:val="24"/>
          <w:szCs w:val="28"/>
        </w:rPr>
        <w:t xml:space="preserve"> </w:t>
      </w:r>
      <w:r w:rsidRPr="00A42D15">
        <w:rPr>
          <w:sz w:val="24"/>
          <w:szCs w:val="28"/>
        </w:rPr>
        <w:tab/>
        <w:t xml:space="preserve">Wider </w:t>
      </w:r>
      <w:r w:rsidR="00494638" w:rsidRPr="00A42D15">
        <w:rPr>
          <w:sz w:val="24"/>
          <w:szCs w:val="28"/>
        </w:rPr>
        <w:t>I</w:t>
      </w:r>
      <w:r w:rsidRPr="00A42D15">
        <w:rPr>
          <w:sz w:val="24"/>
          <w:szCs w:val="28"/>
        </w:rPr>
        <w:t>ssues</w:t>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Pr="00A42D15">
        <w:rPr>
          <w:sz w:val="24"/>
          <w:szCs w:val="28"/>
        </w:rPr>
        <w:tab/>
      </w:r>
      <w:r w:rsidR="00A42D15">
        <w:rPr>
          <w:sz w:val="24"/>
          <w:szCs w:val="28"/>
        </w:rPr>
        <w:tab/>
      </w:r>
      <w:r w:rsidR="00A42D15">
        <w:rPr>
          <w:sz w:val="24"/>
          <w:szCs w:val="28"/>
        </w:rPr>
        <w:tab/>
      </w:r>
      <w:r w:rsidR="009F39B0" w:rsidRPr="00A42D15">
        <w:rPr>
          <w:sz w:val="24"/>
          <w:szCs w:val="28"/>
        </w:rPr>
        <w:t>8</w:t>
      </w:r>
    </w:p>
    <w:p w14:paraId="6B0A5D7E" w14:textId="77777777" w:rsidR="00F07F58" w:rsidRDefault="00F07F58" w:rsidP="00E32515">
      <w:pPr>
        <w:ind w:right="409"/>
        <w:jc w:val="both"/>
        <w:rPr>
          <w:sz w:val="24"/>
        </w:rPr>
      </w:pPr>
    </w:p>
    <w:p w14:paraId="07B1A369" w14:textId="77777777" w:rsidR="00F07F58" w:rsidRDefault="00F07F58" w:rsidP="00E32515">
      <w:pPr>
        <w:ind w:right="409"/>
        <w:jc w:val="both"/>
        <w:rPr>
          <w:sz w:val="24"/>
        </w:rPr>
      </w:pPr>
    </w:p>
    <w:p w14:paraId="44D6B7B4" w14:textId="77777777" w:rsidR="00F07F58" w:rsidRDefault="00F07F58" w:rsidP="00E32515">
      <w:pPr>
        <w:ind w:right="409"/>
        <w:jc w:val="both"/>
        <w:rPr>
          <w:sz w:val="24"/>
        </w:rPr>
      </w:pPr>
    </w:p>
    <w:p w14:paraId="7C5255F2" w14:textId="77777777" w:rsidR="00F07F58" w:rsidRDefault="00F07F58" w:rsidP="00E32515">
      <w:pPr>
        <w:ind w:right="409"/>
        <w:jc w:val="both"/>
        <w:rPr>
          <w:sz w:val="24"/>
        </w:rPr>
      </w:pPr>
    </w:p>
    <w:p w14:paraId="7DB811C8" w14:textId="77777777" w:rsidR="00F07F58" w:rsidRDefault="00F07F58" w:rsidP="00E32515">
      <w:pPr>
        <w:ind w:right="409"/>
        <w:jc w:val="both"/>
        <w:rPr>
          <w:sz w:val="24"/>
        </w:rPr>
      </w:pPr>
    </w:p>
    <w:p w14:paraId="198F2304" w14:textId="77777777" w:rsidR="00F07F58" w:rsidRDefault="00F07F58" w:rsidP="00E32515">
      <w:pPr>
        <w:ind w:right="409"/>
        <w:jc w:val="both"/>
        <w:rPr>
          <w:sz w:val="24"/>
        </w:rPr>
      </w:pPr>
    </w:p>
    <w:p w14:paraId="233EFF96" w14:textId="77777777" w:rsidR="00F07F58" w:rsidRDefault="00F07F58" w:rsidP="00E32515">
      <w:pPr>
        <w:ind w:right="409"/>
        <w:jc w:val="both"/>
        <w:rPr>
          <w:sz w:val="24"/>
        </w:rPr>
      </w:pPr>
    </w:p>
    <w:p w14:paraId="42DFDAA2" w14:textId="77777777" w:rsidR="00F07F58" w:rsidRDefault="00F07F58" w:rsidP="00E32515">
      <w:pPr>
        <w:ind w:right="409"/>
        <w:jc w:val="both"/>
        <w:rPr>
          <w:sz w:val="24"/>
        </w:rPr>
      </w:pPr>
    </w:p>
    <w:p w14:paraId="20D35B16" w14:textId="77777777" w:rsidR="00F07F58" w:rsidRDefault="00F07F58" w:rsidP="00E32515">
      <w:pPr>
        <w:ind w:right="409"/>
        <w:jc w:val="both"/>
        <w:rPr>
          <w:sz w:val="24"/>
        </w:rPr>
      </w:pPr>
    </w:p>
    <w:p w14:paraId="675A137C" w14:textId="77777777" w:rsidR="00F07F58" w:rsidRDefault="00F07F58" w:rsidP="00E32515">
      <w:pPr>
        <w:ind w:right="409"/>
        <w:jc w:val="both"/>
        <w:rPr>
          <w:sz w:val="24"/>
        </w:rPr>
      </w:pPr>
    </w:p>
    <w:p w14:paraId="05AA7A9B" w14:textId="77777777" w:rsidR="00F07F58" w:rsidRDefault="00F07F58" w:rsidP="00E32515">
      <w:pPr>
        <w:ind w:right="409"/>
        <w:jc w:val="both"/>
        <w:rPr>
          <w:sz w:val="24"/>
        </w:rPr>
      </w:pPr>
    </w:p>
    <w:p w14:paraId="782E37C4" w14:textId="77777777" w:rsidR="00F07F58" w:rsidRDefault="00F07F58" w:rsidP="00E32515">
      <w:pPr>
        <w:ind w:right="409"/>
        <w:jc w:val="both"/>
        <w:rPr>
          <w:sz w:val="24"/>
        </w:rPr>
      </w:pPr>
    </w:p>
    <w:p w14:paraId="201E4188" w14:textId="77777777" w:rsidR="00F07F58" w:rsidRDefault="00F07F58" w:rsidP="00E32515">
      <w:pPr>
        <w:ind w:right="409"/>
        <w:jc w:val="both"/>
        <w:rPr>
          <w:sz w:val="24"/>
        </w:rPr>
      </w:pPr>
    </w:p>
    <w:p w14:paraId="43C4C477" w14:textId="77777777" w:rsidR="00F07F58" w:rsidRDefault="00F07F58" w:rsidP="00E32515">
      <w:pPr>
        <w:ind w:right="409"/>
        <w:jc w:val="both"/>
        <w:rPr>
          <w:sz w:val="24"/>
        </w:rPr>
      </w:pPr>
    </w:p>
    <w:p w14:paraId="6EB1DCB3" w14:textId="77777777" w:rsidR="00F07F58" w:rsidRDefault="00F07F58" w:rsidP="00E32515">
      <w:pPr>
        <w:ind w:right="409"/>
        <w:jc w:val="both"/>
        <w:rPr>
          <w:sz w:val="24"/>
        </w:rPr>
      </w:pPr>
    </w:p>
    <w:p w14:paraId="386CA634" w14:textId="77777777" w:rsidR="00F07F58" w:rsidRDefault="00F07F58" w:rsidP="00E32515">
      <w:pPr>
        <w:ind w:right="409"/>
        <w:jc w:val="both"/>
        <w:rPr>
          <w:sz w:val="24"/>
        </w:rPr>
      </w:pPr>
    </w:p>
    <w:p w14:paraId="3B30F760" w14:textId="77777777" w:rsidR="00F07F58" w:rsidRDefault="00F07F58" w:rsidP="00E32515">
      <w:pPr>
        <w:ind w:right="409"/>
        <w:jc w:val="both"/>
        <w:rPr>
          <w:sz w:val="24"/>
        </w:rPr>
      </w:pPr>
    </w:p>
    <w:p w14:paraId="608EF996" w14:textId="77777777" w:rsidR="00F07F58" w:rsidRDefault="00F07F58" w:rsidP="00E32515">
      <w:pPr>
        <w:ind w:right="409"/>
        <w:jc w:val="both"/>
        <w:rPr>
          <w:sz w:val="24"/>
        </w:rPr>
      </w:pPr>
    </w:p>
    <w:p w14:paraId="6809D5EB" w14:textId="77777777" w:rsidR="00F07F58" w:rsidRDefault="00F07F58" w:rsidP="00E32515">
      <w:pPr>
        <w:ind w:right="409"/>
        <w:jc w:val="both"/>
        <w:rPr>
          <w:sz w:val="24"/>
        </w:rPr>
      </w:pPr>
    </w:p>
    <w:p w14:paraId="5C607DD3" w14:textId="77777777" w:rsidR="00F07F58" w:rsidRDefault="00F07F58" w:rsidP="00E32515">
      <w:pPr>
        <w:ind w:right="409"/>
        <w:jc w:val="both"/>
        <w:rPr>
          <w:sz w:val="24"/>
        </w:rPr>
      </w:pPr>
    </w:p>
    <w:p w14:paraId="7CC7DF3D" w14:textId="77777777" w:rsidR="00F07F58" w:rsidRDefault="00F07F58" w:rsidP="00E32515">
      <w:pPr>
        <w:ind w:right="409"/>
        <w:jc w:val="both"/>
        <w:rPr>
          <w:sz w:val="24"/>
        </w:rPr>
      </w:pPr>
    </w:p>
    <w:p w14:paraId="1ACC3454" w14:textId="77777777" w:rsidR="00F07F58" w:rsidRDefault="00F07F58" w:rsidP="00E32515">
      <w:pPr>
        <w:ind w:right="409"/>
        <w:jc w:val="both"/>
        <w:rPr>
          <w:sz w:val="24"/>
        </w:rPr>
      </w:pPr>
    </w:p>
    <w:p w14:paraId="27003616" w14:textId="77777777" w:rsidR="00F07F58" w:rsidRDefault="00F07F58" w:rsidP="00E32515">
      <w:pPr>
        <w:ind w:right="409"/>
        <w:jc w:val="both"/>
        <w:rPr>
          <w:sz w:val="24"/>
        </w:rPr>
      </w:pPr>
    </w:p>
    <w:p w14:paraId="4E27ACFA" w14:textId="77777777" w:rsidR="00F07F58" w:rsidRDefault="00F07F58" w:rsidP="00E32515">
      <w:pPr>
        <w:ind w:right="409"/>
        <w:jc w:val="both"/>
        <w:rPr>
          <w:sz w:val="24"/>
        </w:rPr>
      </w:pPr>
    </w:p>
    <w:p w14:paraId="6323DB7E" w14:textId="77777777" w:rsidR="00F07F58" w:rsidRDefault="00F07F58" w:rsidP="00E32515">
      <w:pPr>
        <w:ind w:right="409"/>
        <w:jc w:val="both"/>
        <w:rPr>
          <w:sz w:val="24"/>
        </w:rPr>
      </w:pPr>
    </w:p>
    <w:p w14:paraId="71A86775" w14:textId="26B19844" w:rsidR="00F07F58" w:rsidRDefault="00F07F58" w:rsidP="00E32515">
      <w:pPr>
        <w:ind w:right="409"/>
        <w:jc w:val="both"/>
        <w:rPr>
          <w:sz w:val="24"/>
        </w:rPr>
      </w:pPr>
    </w:p>
    <w:p w14:paraId="6495E8EA" w14:textId="77777777" w:rsidR="00F07F58" w:rsidRDefault="00F07F58" w:rsidP="00E32515">
      <w:pPr>
        <w:ind w:right="409"/>
        <w:jc w:val="both"/>
        <w:rPr>
          <w:sz w:val="24"/>
        </w:rPr>
      </w:pPr>
    </w:p>
    <w:p w14:paraId="5B46AE50" w14:textId="77777777" w:rsidR="00A42D15" w:rsidRDefault="00A42D15" w:rsidP="00A42D15">
      <w:pPr>
        <w:spacing w:after="240"/>
        <w:ind w:right="409"/>
        <w:jc w:val="both"/>
        <w:outlineLvl w:val="0"/>
        <w:rPr>
          <w:b/>
          <w:sz w:val="28"/>
          <w:szCs w:val="28"/>
          <w:u w:val="single"/>
        </w:rPr>
      </w:pPr>
    </w:p>
    <w:p w14:paraId="7681A305" w14:textId="77777777" w:rsidR="00A42D15" w:rsidRDefault="00A42D15" w:rsidP="00A42D15">
      <w:pPr>
        <w:spacing w:after="240"/>
        <w:ind w:right="409"/>
        <w:jc w:val="both"/>
        <w:outlineLvl w:val="0"/>
        <w:rPr>
          <w:rFonts w:cs="Arial"/>
          <w:b/>
          <w:bCs/>
          <w:sz w:val="28"/>
          <w:szCs w:val="28"/>
          <w:u w:val="single"/>
        </w:rPr>
      </w:pPr>
    </w:p>
    <w:p w14:paraId="4ED697D5" w14:textId="77777777" w:rsidR="00A42D15" w:rsidRDefault="00A42D15" w:rsidP="00A42D15">
      <w:pPr>
        <w:spacing w:after="240"/>
        <w:ind w:right="409"/>
        <w:jc w:val="both"/>
        <w:outlineLvl w:val="0"/>
        <w:rPr>
          <w:rFonts w:cs="Arial"/>
          <w:b/>
          <w:bCs/>
          <w:sz w:val="28"/>
          <w:szCs w:val="28"/>
          <w:u w:val="single"/>
        </w:rPr>
      </w:pPr>
    </w:p>
    <w:p w14:paraId="25C14389" w14:textId="7435CBC1" w:rsidR="00F07F58" w:rsidRPr="00E32515" w:rsidRDefault="00F07F58" w:rsidP="00A42D15">
      <w:pPr>
        <w:spacing w:after="240"/>
        <w:ind w:right="409"/>
        <w:jc w:val="both"/>
        <w:outlineLvl w:val="0"/>
        <w:rPr>
          <w:rFonts w:cs="Arial"/>
          <w:b/>
          <w:bCs/>
          <w:sz w:val="28"/>
          <w:szCs w:val="28"/>
          <w:u w:val="single"/>
        </w:rPr>
      </w:pPr>
      <w:r w:rsidRPr="00E32515">
        <w:rPr>
          <w:rFonts w:cs="Arial"/>
          <w:b/>
          <w:bCs/>
          <w:sz w:val="28"/>
          <w:szCs w:val="28"/>
          <w:u w:val="single"/>
        </w:rPr>
        <w:lastRenderedPageBreak/>
        <w:t>Executive Summary</w:t>
      </w:r>
    </w:p>
    <w:p w14:paraId="0248B46B" w14:textId="7FB8533F" w:rsidR="00F07F58" w:rsidRPr="00E32515" w:rsidRDefault="00F07F58" w:rsidP="00A42D15">
      <w:pPr>
        <w:spacing w:after="120"/>
        <w:jc w:val="both"/>
        <w:rPr>
          <w:rFonts w:cs="Arial"/>
          <w:sz w:val="24"/>
        </w:rPr>
      </w:pPr>
      <w:r w:rsidRPr="00E32515">
        <w:rPr>
          <w:rFonts w:cs="Arial"/>
          <w:sz w:val="24"/>
        </w:rPr>
        <w:t xml:space="preserve">This report is the </w:t>
      </w:r>
      <w:r w:rsidR="00A97737" w:rsidRPr="00E32515">
        <w:rPr>
          <w:rFonts w:cs="Arial"/>
          <w:sz w:val="24"/>
        </w:rPr>
        <w:t xml:space="preserve">second </w:t>
      </w:r>
      <w:r w:rsidRPr="00E32515">
        <w:rPr>
          <w:rFonts w:cs="Arial"/>
          <w:sz w:val="24"/>
        </w:rPr>
        <w:t>quarterly update to Parliament setting out overall progress on Government’s implementation of its Euratom strategy, including EU negotiations, domestic operational readiness, legislation and internation</w:t>
      </w:r>
      <w:r w:rsidR="00687338" w:rsidRPr="00E32515">
        <w:rPr>
          <w:rFonts w:cs="Arial"/>
          <w:sz w:val="24"/>
        </w:rPr>
        <w:t>al agreements. The commitment to quarterly reporting was</w:t>
      </w:r>
      <w:r w:rsidRPr="00E32515">
        <w:rPr>
          <w:rFonts w:cs="Arial"/>
          <w:sz w:val="24"/>
        </w:rPr>
        <w:t xml:space="preserve"> set out in the Written Ministerial Statement of 11</w:t>
      </w:r>
      <w:r w:rsidR="001B5803" w:rsidRPr="00E32515">
        <w:rPr>
          <w:rFonts w:cs="Arial"/>
          <w:sz w:val="24"/>
          <w:vertAlign w:val="superscript"/>
        </w:rPr>
        <w:t>th</w:t>
      </w:r>
      <w:r w:rsidRPr="00E32515">
        <w:rPr>
          <w:rFonts w:cs="Arial"/>
          <w:sz w:val="24"/>
        </w:rPr>
        <w:t xml:space="preserve"> January 2018 by the Secretary of State for Business, Energy &amp; Industrial Strategy.</w:t>
      </w:r>
    </w:p>
    <w:p w14:paraId="3A3E1196" w14:textId="77777777" w:rsidR="00F07F58" w:rsidRPr="00E32515" w:rsidRDefault="00F07F58" w:rsidP="00A42D15">
      <w:pPr>
        <w:spacing w:after="120"/>
        <w:jc w:val="both"/>
        <w:rPr>
          <w:rFonts w:cs="Arial"/>
          <w:b/>
          <w:sz w:val="24"/>
        </w:rPr>
      </w:pPr>
      <w:r w:rsidRPr="00E32515">
        <w:rPr>
          <w:rFonts w:cs="Arial"/>
          <w:b/>
          <w:sz w:val="24"/>
        </w:rPr>
        <w:t>As of June 2018:</w:t>
      </w:r>
    </w:p>
    <w:p w14:paraId="7A35817B" w14:textId="16774F73" w:rsidR="00F07F58" w:rsidRPr="00E32515" w:rsidRDefault="0041692A" w:rsidP="00EA0B86">
      <w:pPr>
        <w:numPr>
          <w:ilvl w:val="0"/>
          <w:numId w:val="21"/>
        </w:numPr>
        <w:pBdr>
          <w:top w:val="nil"/>
          <w:left w:val="nil"/>
          <w:bottom w:val="nil"/>
          <w:right w:val="nil"/>
          <w:between w:val="nil"/>
        </w:pBdr>
        <w:spacing w:afterLines="50" w:after="120"/>
        <w:ind w:left="714" w:hanging="357"/>
        <w:jc w:val="both"/>
        <w:rPr>
          <w:rFonts w:cs="Arial"/>
          <w:sz w:val="24"/>
        </w:rPr>
      </w:pPr>
      <w:r w:rsidRPr="00E32515">
        <w:rPr>
          <w:rFonts w:cs="Arial"/>
          <w:sz w:val="24"/>
        </w:rPr>
        <w:t xml:space="preserve">The UK </w:t>
      </w:r>
      <w:r w:rsidR="00CD508C" w:rsidRPr="00E32515">
        <w:rPr>
          <w:rFonts w:cs="Arial"/>
          <w:sz w:val="24"/>
        </w:rPr>
        <w:t>and EU</w:t>
      </w:r>
      <w:r w:rsidRPr="00E32515">
        <w:rPr>
          <w:rFonts w:cs="Arial"/>
          <w:sz w:val="24"/>
        </w:rPr>
        <w:t xml:space="preserve"> have now reached agreement on all Euratom related articles of the draft Withdrawal Agreement. The relevant text has therefore been </w:t>
      </w:r>
      <w:r w:rsidR="00CD508C" w:rsidRPr="00E32515">
        <w:rPr>
          <w:rFonts w:cs="Arial"/>
          <w:sz w:val="24"/>
        </w:rPr>
        <w:t>finalised.</w:t>
      </w:r>
    </w:p>
    <w:p w14:paraId="71B5424B" w14:textId="12EB14EA" w:rsidR="00F07F58" w:rsidRPr="00E32515" w:rsidRDefault="00991A83" w:rsidP="00EA0B86">
      <w:pPr>
        <w:numPr>
          <w:ilvl w:val="0"/>
          <w:numId w:val="21"/>
        </w:numPr>
        <w:pBdr>
          <w:top w:val="nil"/>
          <w:left w:val="nil"/>
          <w:bottom w:val="nil"/>
          <w:right w:val="nil"/>
          <w:between w:val="nil"/>
        </w:pBdr>
        <w:spacing w:afterLines="50" w:after="120"/>
        <w:ind w:left="714" w:hanging="357"/>
        <w:jc w:val="both"/>
        <w:rPr>
          <w:rFonts w:cs="Arial"/>
          <w:sz w:val="24"/>
        </w:rPr>
      </w:pPr>
      <w:r w:rsidRPr="00E32515">
        <w:rPr>
          <w:rFonts w:cs="Arial"/>
          <w:sz w:val="24"/>
        </w:rPr>
        <w:t xml:space="preserve">Government has </w:t>
      </w:r>
      <w:r w:rsidR="007B5795" w:rsidRPr="00E32515">
        <w:rPr>
          <w:rFonts w:cs="Arial"/>
          <w:sz w:val="24"/>
        </w:rPr>
        <w:t>announced that it will set</w:t>
      </w:r>
      <w:r w:rsidRPr="00E32515">
        <w:rPr>
          <w:rFonts w:cs="Arial"/>
          <w:sz w:val="24"/>
        </w:rPr>
        <w:t xml:space="preserve"> out</w:t>
      </w:r>
      <w:r w:rsidR="00F07F58" w:rsidRPr="00E32515">
        <w:rPr>
          <w:rFonts w:cs="Arial"/>
          <w:sz w:val="24"/>
        </w:rPr>
        <w:t xml:space="preserve"> its future</w:t>
      </w:r>
      <w:r w:rsidR="00E118C0" w:rsidRPr="00E32515">
        <w:rPr>
          <w:rFonts w:cs="Arial"/>
          <w:sz w:val="24"/>
        </w:rPr>
        <w:t xml:space="preserve"> proposed</w:t>
      </w:r>
      <w:r w:rsidR="00F07F58" w:rsidRPr="00E32515">
        <w:rPr>
          <w:rFonts w:cs="Arial"/>
          <w:sz w:val="24"/>
        </w:rPr>
        <w:t xml:space="preserve"> approach and ambition for </w:t>
      </w:r>
      <w:r w:rsidR="00A60FAC" w:rsidRPr="00E32515">
        <w:rPr>
          <w:rFonts w:cs="Arial"/>
          <w:sz w:val="24"/>
        </w:rPr>
        <w:t xml:space="preserve">a future relationship </w:t>
      </w:r>
      <w:r w:rsidR="002C05B5" w:rsidRPr="00E32515">
        <w:rPr>
          <w:rFonts w:cs="Arial"/>
          <w:sz w:val="24"/>
        </w:rPr>
        <w:t>with the EU after the EU’s June summit.</w:t>
      </w:r>
    </w:p>
    <w:p w14:paraId="51BD25C4" w14:textId="040DE367" w:rsidR="00F07F58" w:rsidRPr="00E32515" w:rsidRDefault="00F07F58" w:rsidP="00EA0B86">
      <w:pPr>
        <w:numPr>
          <w:ilvl w:val="0"/>
          <w:numId w:val="21"/>
        </w:numPr>
        <w:pBdr>
          <w:top w:val="nil"/>
          <w:left w:val="nil"/>
          <w:bottom w:val="nil"/>
          <w:right w:val="nil"/>
          <w:between w:val="nil"/>
        </w:pBdr>
        <w:spacing w:afterLines="50" w:after="120"/>
        <w:ind w:left="714" w:hanging="357"/>
        <w:jc w:val="both"/>
        <w:rPr>
          <w:rFonts w:cs="Arial"/>
          <w:sz w:val="24"/>
        </w:rPr>
      </w:pPr>
      <w:r w:rsidRPr="00E32515">
        <w:rPr>
          <w:rFonts w:cs="Arial"/>
          <w:sz w:val="24"/>
        </w:rPr>
        <w:t xml:space="preserve">On </w:t>
      </w:r>
      <w:r w:rsidR="009073DF" w:rsidRPr="00E32515">
        <w:rPr>
          <w:rFonts w:cs="Arial"/>
          <w:sz w:val="24"/>
        </w:rPr>
        <w:t>7</w:t>
      </w:r>
      <w:r w:rsidR="001B5803" w:rsidRPr="00E32515">
        <w:rPr>
          <w:rFonts w:cs="Arial"/>
          <w:sz w:val="24"/>
          <w:vertAlign w:val="superscript"/>
        </w:rPr>
        <w:t>th</w:t>
      </w:r>
      <w:r w:rsidRPr="00E32515">
        <w:rPr>
          <w:rFonts w:cs="Arial"/>
          <w:sz w:val="24"/>
        </w:rPr>
        <w:t xml:space="preserve"> June the</w:t>
      </w:r>
      <w:r w:rsidR="000A37F8" w:rsidRPr="00E32515">
        <w:rPr>
          <w:rFonts w:cs="Arial"/>
          <w:sz w:val="24"/>
        </w:rPr>
        <w:t xml:space="preserve"> </w:t>
      </w:r>
      <w:r w:rsidR="009073DF" w:rsidRPr="00E32515">
        <w:rPr>
          <w:rFonts w:cs="Arial"/>
          <w:sz w:val="24"/>
        </w:rPr>
        <w:t>UK</w:t>
      </w:r>
      <w:r w:rsidR="000A37F8" w:rsidRPr="00E32515">
        <w:rPr>
          <w:rFonts w:cs="Arial"/>
          <w:sz w:val="24"/>
        </w:rPr>
        <w:t xml:space="preserve"> and</w:t>
      </w:r>
      <w:r w:rsidRPr="00E32515">
        <w:rPr>
          <w:rFonts w:cs="Arial"/>
          <w:sz w:val="24"/>
        </w:rPr>
        <w:t xml:space="preserve"> </w:t>
      </w:r>
      <w:r w:rsidR="009073DF" w:rsidRPr="00E32515">
        <w:rPr>
          <w:rFonts w:cs="Arial"/>
          <w:sz w:val="24"/>
        </w:rPr>
        <w:t xml:space="preserve">the </w:t>
      </w:r>
      <w:r w:rsidRPr="00E32515">
        <w:rPr>
          <w:rFonts w:cs="Arial"/>
          <w:sz w:val="24"/>
        </w:rPr>
        <w:t>International A</w:t>
      </w:r>
      <w:r w:rsidR="00991A83" w:rsidRPr="00E32515">
        <w:rPr>
          <w:rFonts w:cs="Arial"/>
          <w:sz w:val="24"/>
        </w:rPr>
        <w:t xml:space="preserve">tomic Energy Agency (IAEA) </w:t>
      </w:r>
      <w:r w:rsidR="000A37F8" w:rsidRPr="00E32515">
        <w:rPr>
          <w:rFonts w:cs="Arial"/>
          <w:sz w:val="24"/>
        </w:rPr>
        <w:t>signed</w:t>
      </w:r>
      <w:r w:rsidR="000A1B09" w:rsidRPr="00E32515">
        <w:rPr>
          <w:rFonts w:cs="Arial"/>
          <w:sz w:val="24"/>
        </w:rPr>
        <w:t xml:space="preserve"> the</w:t>
      </w:r>
      <w:r w:rsidRPr="00E32515">
        <w:rPr>
          <w:rFonts w:cs="Arial"/>
          <w:sz w:val="24"/>
        </w:rPr>
        <w:t xml:space="preserve"> two bil</w:t>
      </w:r>
      <w:r w:rsidR="00BE6715" w:rsidRPr="00E32515">
        <w:rPr>
          <w:rFonts w:cs="Arial"/>
          <w:sz w:val="24"/>
        </w:rPr>
        <w:t xml:space="preserve">ateral safeguards agreements (the </w:t>
      </w:r>
      <w:r w:rsidRPr="00E32515">
        <w:rPr>
          <w:rFonts w:cs="Arial"/>
          <w:sz w:val="24"/>
        </w:rPr>
        <w:t xml:space="preserve">Voluntary Offer Agreement and Additional Protocol) </w:t>
      </w:r>
      <w:r w:rsidR="009073DF" w:rsidRPr="00E32515">
        <w:rPr>
          <w:rFonts w:cs="Arial"/>
          <w:sz w:val="24"/>
        </w:rPr>
        <w:t>that</w:t>
      </w:r>
      <w:r w:rsidR="00DF0A86" w:rsidRPr="00E32515">
        <w:rPr>
          <w:rFonts w:cs="Arial"/>
          <w:sz w:val="24"/>
        </w:rPr>
        <w:t xml:space="preserve"> replace </w:t>
      </w:r>
      <w:r w:rsidR="00DB1FA7" w:rsidRPr="00E32515">
        <w:rPr>
          <w:rFonts w:cs="Arial"/>
          <w:sz w:val="24"/>
        </w:rPr>
        <w:t xml:space="preserve">the existing </w:t>
      </w:r>
      <w:r w:rsidR="009073DF" w:rsidRPr="00E32515">
        <w:rPr>
          <w:rFonts w:cs="Arial"/>
          <w:sz w:val="24"/>
        </w:rPr>
        <w:t xml:space="preserve">trilateral </w:t>
      </w:r>
      <w:r w:rsidR="00DB1FA7" w:rsidRPr="00E32515">
        <w:rPr>
          <w:rFonts w:cs="Arial"/>
          <w:sz w:val="24"/>
        </w:rPr>
        <w:t>safeguards</w:t>
      </w:r>
      <w:r w:rsidR="009073DF" w:rsidRPr="00E32515">
        <w:rPr>
          <w:rFonts w:cs="Arial"/>
          <w:sz w:val="24"/>
        </w:rPr>
        <w:t xml:space="preserve"> agreements between the UK, IAEA and Euratom</w:t>
      </w:r>
      <w:r w:rsidR="00DF0A86" w:rsidRPr="00E32515">
        <w:rPr>
          <w:rFonts w:cs="Arial"/>
          <w:sz w:val="24"/>
        </w:rPr>
        <w:t xml:space="preserve">. </w:t>
      </w:r>
      <w:r w:rsidRPr="00E32515">
        <w:rPr>
          <w:rFonts w:cs="Arial"/>
          <w:sz w:val="24"/>
        </w:rPr>
        <w:t xml:space="preserve">This marks an important milestone in ensuring the UK </w:t>
      </w:r>
      <w:r w:rsidR="009073DF" w:rsidRPr="00E32515">
        <w:rPr>
          <w:rFonts w:cs="Arial"/>
          <w:sz w:val="24"/>
        </w:rPr>
        <w:t>can have</w:t>
      </w:r>
      <w:r w:rsidRPr="00E32515">
        <w:rPr>
          <w:rFonts w:cs="Arial"/>
          <w:sz w:val="24"/>
        </w:rPr>
        <w:t xml:space="preserve"> an internationally-recognised safeguards regime in p</w:t>
      </w:r>
      <w:r w:rsidR="009073DF" w:rsidRPr="00E32515">
        <w:rPr>
          <w:rFonts w:cs="Arial"/>
          <w:sz w:val="24"/>
        </w:rPr>
        <w:t>l</w:t>
      </w:r>
      <w:r w:rsidRPr="00E32515">
        <w:rPr>
          <w:rFonts w:cs="Arial"/>
          <w:sz w:val="24"/>
        </w:rPr>
        <w:t xml:space="preserve">ace </w:t>
      </w:r>
      <w:r w:rsidR="00BE0991" w:rsidRPr="00E32515">
        <w:rPr>
          <w:rFonts w:cs="Arial"/>
          <w:sz w:val="24"/>
        </w:rPr>
        <w:t>when Euratom arrangement cease to apply in the UK</w:t>
      </w:r>
      <w:r w:rsidRPr="00E32515">
        <w:rPr>
          <w:rFonts w:cs="Arial"/>
          <w:sz w:val="24"/>
        </w:rPr>
        <w:t>.</w:t>
      </w:r>
    </w:p>
    <w:p w14:paraId="605EA70B" w14:textId="2DD5EF0D" w:rsidR="00F07F58" w:rsidRPr="00E32515" w:rsidRDefault="00F07F58" w:rsidP="00EA0B86">
      <w:pPr>
        <w:numPr>
          <w:ilvl w:val="0"/>
          <w:numId w:val="21"/>
        </w:numPr>
        <w:pBdr>
          <w:top w:val="nil"/>
          <w:left w:val="nil"/>
          <w:bottom w:val="nil"/>
          <w:right w:val="nil"/>
          <w:between w:val="nil"/>
        </w:pBdr>
        <w:spacing w:afterLines="50" w:after="120"/>
        <w:ind w:left="714" w:hanging="357"/>
        <w:jc w:val="both"/>
        <w:rPr>
          <w:rFonts w:cs="Arial"/>
          <w:sz w:val="24"/>
        </w:rPr>
      </w:pPr>
      <w:r w:rsidRPr="00E32515">
        <w:rPr>
          <w:rFonts w:cs="Arial"/>
          <w:sz w:val="24"/>
        </w:rPr>
        <w:t xml:space="preserve">The Government signed a bilateral </w:t>
      </w:r>
      <w:r w:rsidR="009073DF" w:rsidRPr="00E32515">
        <w:rPr>
          <w:rFonts w:cs="Arial"/>
          <w:sz w:val="24"/>
        </w:rPr>
        <w:t>Nuclear Cooperation Agreement (</w:t>
      </w:r>
      <w:r w:rsidRPr="00E32515">
        <w:rPr>
          <w:rFonts w:cs="Arial"/>
          <w:sz w:val="24"/>
        </w:rPr>
        <w:t>NCA</w:t>
      </w:r>
      <w:r w:rsidR="009073DF" w:rsidRPr="00E32515">
        <w:rPr>
          <w:rFonts w:cs="Arial"/>
          <w:sz w:val="24"/>
        </w:rPr>
        <w:t>)</w:t>
      </w:r>
      <w:r w:rsidRPr="00E32515">
        <w:rPr>
          <w:rFonts w:cs="Arial"/>
          <w:sz w:val="24"/>
        </w:rPr>
        <w:t xml:space="preserve"> with the United States of America on 4</w:t>
      </w:r>
      <w:r w:rsidRPr="00E32515">
        <w:rPr>
          <w:rFonts w:cs="Arial"/>
          <w:sz w:val="24"/>
          <w:vertAlign w:val="superscript"/>
        </w:rPr>
        <w:t>th</w:t>
      </w:r>
      <w:r w:rsidRPr="00E32515">
        <w:rPr>
          <w:rFonts w:cs="Arial"/>
          <w:sz w:val="24"/>
        </w:rPr>
        <w:t xml:space="preserve"> May, helping to ensure uninterrupted cooperation and trade in the civil nuclear sector following the UK’s departure from Euratom. </w:t>
      </w:r>
    </w:p>
    <w:p w14:paraId="7519E7B1" w14:textId="1396143F" w:rsidR="00897DE4" w:rsidRPr="00E32515" w:rsidRDefault="006C0752" w:rsidP="00EA0B86">
      <w:pPr>
        <w:numPr>
          <w:ilvl w:val="0"/>
          <w:numId w:val="21"/>
        </w:numPr>
        <w:spacing w:afterLines="50" w:after="120"/>
        <w:ind w:left="714" w:hanging="357"/>
        <w:jc w:val="both"/>
        <w:rPr>
          <w:rFonts w:cs="Arial"/>
          <w:color w:val="000000"/>
          <w:sz w:val="24"/>
        </w:rPr>
      </w:pPr>
      <w:r w:rsidRPr="00E32515">
        <w:rPr>
          <w:rFonts w:cs="Arial"/>
          <w:color w:val="000000"/>
          <w:sz w:val="24"/>
        </w:rPr>
        <w:t>The Government is on track to have bilateral NCAs in place with all priority countries when Euratom arrangements cease to apply in the UK.</w:t>
      </w:r>
    </w:p>
    <w:p w14:paraId="3DE6A2E2" w14:textId="176A28AC" w:rsidR="00F07F58" w:rsidRPr="00E32515" w:rsidRDefault="003F3C0E" w:rsidP="00EA0B86">
      <w:pPr>
        <w:numPr>
          <w:ilvl w:val="0"/>
          <w:numId w:val="21"/>
        </w:numPr>
        <w:pBdr>
          <w:top w:val="nil"/>
          <w:left w:val="nil"/>
          <w:bottom w:val="nil"/>
          <w:right w:val="nil"/>
          <w:between w:val="nil"/>
        </w:pBdr>
        <w:spacing w:afterLines="50" w:after="120"/>
        <w:ind w:left="714" w:hanging="357"/>
        <w:jc w:val="both"/>
        <w:rPr>
          <w:rFonts w:cs="Arial"/>
          <w:sz w:val="24"/>
        </w:rPr>
      </w:pPr>
      <w:bookmarkStart w:id="1" w:name="_Hlk517804745"/>
      <w:r w:rsidRPr="00E32515">
        <w:rPr>
          <w:rFonts w:cs="Arial"/>
          <w:sz w:val="24"/>
        </w:rPr>
        <w:t>T</w:t>
      </w:r>
      <w:r w:rsidR="00F07F58" w:rsidRPr="00E32515">
        <w:rPr>
          <w:rFonts w:cs="Arial"/>
          <w:sz w:val="24"/>
        </w:rPr>
        <w:t xml:space="preserve">he Nuclear Safeguards Bill </w:t>
      </w:r>
      <w:r w:rsidR="00E13215" w:rsidRPr="00E32515">
        <w:rPr>
          <w:rFonts w:cs="Arial"/>
          <w:sz w:val="24"/>
        </w:rPr>
        <w:t>received</w:t>
      </w:r>
      <w:r w:rsidR="009767BB" w:rsidRPr="00E32515">
        <w:rPr>
          <w:rFonts w:cs="Arial"/>
          <w:sz w:val="24"/>
        </w:rPr>
        <w:t xml:space="preserve"> </w:t>
      </w:r>
      <w:r w:rsidR="00F07F58" w:rsidRPr="00E32515">
        <w:rPr>
          <w:rFonts w:cs="Arial"/>
          <w:sz w:val="24"/>
        </w:rPr>
        <w:t>Royal Assent</w:t>
      </w:r>
      <w:r w:rsidR="00E13215" w:rsidRPr="00E32515">
        <w:rPr>
          <w:rFonts w:cs="Arial"/>
          <w:sz w:val="24"/>
        </w:rPr>
        <w:t xml:space="preserve"> on 26</w:t>
      </w:r>
      <w:r w:rsidR="00E13215" w:rsidRPr="00E32515">
        <w:rPr>
          <w:rFonts w:cs="Arial"/>
          <w:sz w:val="24"/>
          <w:vertAlign w:val="superscript"/>
        </w:rPr>
        <w:t>th</w:t>
      </w:r>
      <w:r w:rsidR="00E13215" w:rsidRPr="00E32515">
        <w:rPr>
          <w:rFonts w:cs="Arial"/>
          <w:sz w:val="24"/>
        </w:rPr>
        <w:t xml:space="preserve"> June</w:t>
      </w:r>
      <w:r w:rsidR="001D31E5" w:rsidRPr="00E32515">
        <w:rPr>
          <w:rFonts w:cs="Arial"/>
          <w:sz w:val="24"/>
        </w:rPr>
        <w:t xml:space="preserve">. </w:t>
      </w:r>
      <w:r w:rsidR="009533F0" w:rsidRPr="00E32515">
        <w:rPr>
          <w:rFonts w:cs="Arial"/>
          <w:sz w:val="24"/>
        </w:rPr>
        <w:t xml:space="preserve">The Government </w:t>
      </w:r>
      <w:r w:rsidR="00B17010" w:rsidRPr="00E32515">
        <w:rPr>
          <w:rFonts w:cs="Arial"/>
          <w:sz w:val="24"/>
        </w:rPr>
        <w:t>plans to consult on</w:t>
      </w:r>
      <w:r w:rsidR="00355076" w:rsidRPr="00E32515">
        <w:rPr>
          <w:rFonts w:cs="Arial"/>
          <w:sz w:val="24"/>
        </w:rPr>
        <w:t xml:space="preserve"> the </w:t>
      </w:r>
      <w:r w:rsidR="00470C4A" w:rsidRPr="00E32515">
        <w:rPr>
          <w:rFonts w:cs="Arial"/>
          <w:sz w:val="24"/>
        </w:rPr>
        <w:t xml:space="preserve">underlying </w:t>
      </w:r>
      <w:r w:rsidR="00A94053" w:rsidRPr="00E32515">
        <w:rPr>
          <w:rFonts w:cs="Arial"/>
          <w:sz w:val="24"/>
        </w:rPr>
        <w:t xml:space="preserve">draft </w:t>
      </w:r>
      <w:r w:rsidR="00F37519" w:rsidRPr="00E32515">
        <w:rPr>
          <w:rFonts w:cs="Arial"/>
          <w:sz w:val="24"/>
        </w:rPr>
        <w:t>Nuclear Safeguards Regulations</w:t>
      </w:r>
      <w:r w:rsidR="00355076" w:rsidRPr="00E32515">
        <w:rPr>
          <w:rFonts w:cs="Arial"/>
          <w:sz w:val="24"/>
        </w:rPr>
        <w:t xml:space="preserve"> </w:t>
      </w:r>
      <w:r w:rsidR="00380618" w:rsidRPr="00E32515">
        <w:rPr>
          <w:rFonts w:cs="Arial"/>
          <w:sz w:val="24"/>
        </w:rPr>
        <w:t xml:space="preserve">in July. </w:t>
      </w:r>
    </w:p>
    <w:bookmarkEnd w:id="1"/>
    <w:p w14:paraId="54039DB4" w14:textId="6DD7D906" w:rsidR="00F07F58" w:rsidRPr="00E32515" w:rsidRDefault="00040A1D" w:rsidP="00EA0B86">
      <w:pPr>
        <w:numPr>
          <w:ilvl w:val="0"/>
          <w:numId w:val="21"/>
        </w:numPr>
        <w:pBdr>
          <w:top w:val="nil"/>
          <w:left w:val="nil"/>
          <w:bottom w:val="nil"/>
          <w:right w:val="nil"/>
          <w:between w:val="nil"/>
        </w:pBdr>
        <w:spacing w:afterLines="50" w:after="120"/>
        <w:ind w:left="714" w:hanging="357"/>
        <w:jc w:val="both"/>
        <w:rPr>
          <w:rFonts w:cs="Arial"/>
          <w:sz w:val="24"/>
        </w:rPr>
      </w:pPr>
      <w:r w:rsidRPr="00E32515">
        <w:rPr>
          <w:rFonts w:cs="Arial"/>
          <w:sz w:val="24"/>
        </w:rPr>
        <w:t>On 25</w:t>
      </w:r>
      <w:r w:rsidR="001B5803" w:rsidRPr="00E32515">
        <w:rPr>
          <w:rFonts w:cs="Arial"/>
          <w:sz w:val="24"/>
          <w:vertAlign w:val="superscript"/>
        </w:rPr>
        <w:t>th</w:t>
      </w:r>
      <w:r w:rsidRPr="00E32515">
        <w:rPr>
          <w:rFonts w:cs="Arial"/>
          <w:sz w:val="24"/>
        </w:rPr>
        <w:t xml:space="preserve"> May the</w:t>
      </w:r>
      <w:r w:rsidR="00380618" w:rsidRPr="00E32515">
        <w:rPr>
          <w:rFonts w:cs="Arial"/>
          <w:sz w:val="24"/>
        </w:rPr>
        <w:t xml:space="preserve"> Offic</w:t>
      </w:r>
      <w:r w:rsidR="00F07F58" w:rsidRPr="00E32515">
        <w:rPr>
          <w:rFonts w:cs="Arial"/>
          <w:sz w:val="24"/>
        </w:rPr>
        <w:t>e f</w:t>
      </w:r>
      <w:r w:rsidR="005D671E" w:rsidRPr="00E32515">
        <w:rPr>
          <w:rFonts w:cs="Arial"/>
          <w:sz w:val="24"/>
        </w:rPr>
        <w:t xml:space="preserve">or Nuclear Regulation (ONR) </w:t>
      </w:r>
      <w:r w:rsidR="00A225BF" w:rsidRPr="00E32515">
        <w:rPr>
          <w:rFonts w:cs="Arial"/>
          <w:sz w:val="24"/>
        </w:rPr>
        <w:t xml:space="preserve">awarded </w:t>
      </w:r>
      <w:r w:rsidRPr="00E32515">
        <w:rPr>
          <w:rFonts w:cs="Arial"/>
          <w:sz w:val="24"/>
        </w:rPr>
        <w:t>an</w:t>
      </w:r>
      <w:r w:rsidR="00F07F58" w:rsidRPr="00E32515">
        <w:rPr>
          <w:rFonts w:cs="Arial"/>
          <w:sz w:val="24"/>
        </w:rPr>
        <w:t xml:space="preserve"> </w:t>
      </w:r>
      <w:r w:rsidR="00355076" w:rsidRPr="00E32515">
        <w:rPr>
          <w:rFonts w:cs="Arial"/>
          <w:sz w:val="24"/>
        </w:rPr>
        <w:t xml:space="preserve">IT contract for the </w:t>
      </w:r>
      <w:r w:rsidR="00F07F58" w:rsidRPr="00E32515">
        <w:rPr>
          <w:rFonts w:cs="Arial"/>
          <w:sz w:val="24"/>
        </w:rPr>
        <w:t>Safeguards Information Management and Reporting System (SIMRS</w:t>
      </w:r>
      <w:r w:rsidR="002258E8" w:rsidRPr="00E32515">
        <w:rPr>
          <w:rFonts w:cs="Arial"/>
          <w:sz w:val="24"/>
        </w:rPr>
        <w:t>).</w:t>
      </w:r>
      <w:r w:rsidR="002258E8" w:rsidRPr="00E32515">
        <w:rPr>
          <w:rFonts w:eastAsia="Arial" w:cs="Arial"/>
          <w:sz w:val="24"/>
          <w:lang w:eastAsia="en-US"/>
        </w:rPr>
        <w:t xml:space="preserve"> </w:t>
      </w:r>
      <w:r w:rsidR="002258E8" w:rsidRPr="00E32515">
        <w:rPr>
          <w:rFonts w:cs="Arial"/>
          <w:sz w:val="24"/>
          <w:lang w:eastAsia="en-US"/>
        </w:rPr>
        <w:t>The ONR</w:t>
      </w:r>
      <w:r w:rsidR="002258E8" w:rsidRPr="00E32515">
        <w:rPr>
          <w:rFonts w:cs="Arial"/>
          <w:sz w:val="24"/>
          <w:lang w:val="uz-Cyrl-UZ" w:eastAsia="en-US"/>
        </w:rPr>
        <w:t xml:space="preserve"> are confident that this system will be in place and operable by the end of 2018, </w:t>
      </w:r>
      <w:r w:rsidR="00B20EAB" w:rsidRPr="00E32515">
        <w:rPr>
          <w:rFonts w:cs="Arial"/>
          <w:sz w:val="24"/>
          <w:lang w:eastAsia="en-US"/>
        </w:rPr>
        <w:t xml:space="preserve">including </w:t>
      </w:r>
      <w:r w:rsidR="002258E8" w:rsidRPr="00E32515">
        <w:rPr>
          <w:rFonts w:cs="Arial"/>
          <w:sz w:val="24"/>
          <w:lang w:val="uz-Cyrl-UZ" w:eastAsia="en-US"/>
        </w:rPr>
        <w:t>providing the opportunity for extensive testing.</w:t>
      </w:r>
      <w:r w:rsidR="00F07F58" w:rsidRPr="00E32515">
        <w:rPr>
          <w:rFonts w:cs="Arial"/>
          <w:sz w:val="24"/>
        </w:rPr>
        <w:t xml:space="preserve"> </w:t>
      </w:r>
    </w:p>
    <w:p w14:paraId="29C5E7EC" w14:textId="4C3D9700" w:rsidR="00F07F58" w:rsidRPr="00E32515" w:rsidRDefault="00F07F58" w:rsidP="00EA0B86">
      <w:pPr>
        <w:numPr>
          <w:ilvl w:val="0"/>
          <w:numId w:val="21"/>
        </w:numPr>
        <w:pBdr>
          <w:top w:val="nil"/>
          <w:left w:val="nil"/>
          <w:bottom w:val="nil"/>
          <w:right w:val="nil"/>
          <w:between w:val="nil"/>
        </w:pBdr>
        <w:spacing w:afterLines="50" w:after="120"/>
        <w:ind w:left="714" w:hanging="357"/>
        <w:jc w:val="both"/>
        <w:rPr>
          <w:rFonts w:cs="Arial"/>
          <w:sz w:val="24"/>
        </w:rPr>
      </w:pPr>
      <w:r w:rsidRPr="00E32515">
        <w:rPr>
          <w:rFonts w:cs="Arial"/>
          <w:sz w:val="24"/>
        </w:rPr>
        <w:t>The Government continues to demonstrate its commitment to international collaboration on fusion and fission research</w:t>
      </w:r>
      <w:r w:rsidR="0034304D" w:rsidRPr="00E32515">
        <w:rPr>
          <w:rFonts w:cs="Arial"/>
          <w:sz w:val="24"/>
        </w:rPr>
        <w:t>. This</w:t>
      </w:r>
      <w:r w:rsidRPr="00E32515">
        <w:rPr>
          <w:rFonts w:cs="Arial"/>
          <w:sz w:val="24"/>
        </w:rPr>
        <w:t xml:space="preserve"> includ</w:t>
      </w:r>
      <w:r w:rsidR="0034304D" w:rsidRPr="00E32515">
        <w:rPr>
          <w:rFonts w:cs="Arial"/>
          <w:sz w:val="24"/>
        </w:rPr>
        <w:t>es</w:t>
      </w:r>
      <w:r w:rsidRPr="00E32515">
        <w:rPr>
          <w:rFonts w:cs="Arial"/>
          <w:sz w:val="24"/>
        </w:rPr>
        <w:t xml:space="preserve"> seeking to ensure the post-2020 Euratom Research &amp; Training Programme remains open to UK association, and recognising that such an association would necessarily involve an appropriate financial contribution in line with other associated countries.</w:t>
      </w:r>
    </w:p>
    <w:p w14:paraId="31DBEFC8" w14:textId="2F7E7A96" w:rsidR="00E32515" w:rsidRPr="00BB4876" w:rsidRDefault="0034304D" w:rsidP="00EA0B86">
      <w:pPr>
        <w:numPr>
          <w:ilvl w:val="0"/>
          <w:numId w:val="21"/>
        </w:numPr>
        <w:pBdr>
          <w:top w:val="nil"/>
          <w:left w:val="nil"/>
          <w:bottom w:val="nil"/>
          <w:right w:val="nil"/>
          <w:between w:val="nil"/>
        </w:pBdr>
        <w:spacing w:afterLines="50" w:after="120"/>
        <w:ind w:left="714" w:hanging="357"/>
        <w:jc w:val="both"/>
        <w:rPr>
          <w:rFonts w:cs="Arial"/>
          <w:sz w:val="24"/>
          <w:u w:val="single"/>
        </w:rPr>
      </w:pPr>
      <w:r w:rsidRPr="00E32515">
        <w:rPr>
          <w:rFonts w:cs="Arial"/>
          <w:sz w:val="24"/>
        </w:rPr>
        <w:t>Government</w:t>
      </w:r>
      <w:r w:rsidR="00F07F58" w:rsidRPr="00E32515">
        <w:rPr>
          <w:rFonts w:cs="Arial"/>
          <w:sz w:val="24"/>
        </w:rPr>
        <w:t xml:space="preserve"> remains in close contact with a wide range of stakeholders, including those from industry, trade unions, academia, the NGO community and devolved administrations. </w:t>
      </w:r>
    </w:p>
    <w:p w14:paraId="578F9C1B" w14:textId="4C1E4147" w:rsidR="00E13215" w:rsidRPr="00A42D15" w:rsidRDefault="00F07F58" w:rsidP="00A42D15">
      <w:pPr>
        <w:jc w:val="both"/>
        <w:rPr>
          <w:rFonts w:eastAsia="Arial" w:cs="Arial"/>
          <w:sz w:val="24"/>
        </w:rPr>
      </w:pPr>
      <w:r w:rsidRPr="00BB4876">
        <w:rPr>
          <w:rFonts w:cs="Arial"/>
          <w:sz w:val="24"/>
        </w:rPr>
        <w:t xml:space="preserve">Further details on these points and wider issues are set out in subsequent sections of this report. </w:t>
      </w:r>
      <w:r w:rsidR="00BE7239" w:rsidRPr="00BB4876">
        <w:rPr>
          <w:rFonts w:cs="Arial"/>
          <w:sz w:val="24"/>
        </w:rPr>
        <w:t xml:space="preserve">The next update on progress </w:t>
      </w:r>
      <w:r w:rsidR="00D56953" w:rsidRPr="00BB4876">
        <w:rPr>
          <w:rFonts w:cs="Arial"/>
          <w:sz w:val="24"/>
        </w:rPr>
        <w:t xml:space="preserve">will deposited </w:t>
      </w:r>
      <w:r w:rsidR="009E4C27" w:rsidRPr="00BB4876">
        <w:rPr>
          <w:rFonts w:cs="Arial"/>
          <w:sz w:val="24"/>
        </w:rPr>
        <w:t xml:space="preserve">at </w:t>
      </w:r>
      <w:r w:rsidR="00D56953" w:rsidRPr="00BB4876">
        <w:rPr>
          <w:rFonts w:cs="Arial"/>
          <w:sz w:val="24"/>
        </w:rPr>
        <w:t>around</w:t>
      </w:r>
      <w:r w:rsidR="009E4C27" w:rsidRPr="00BB4876">
        <w:rPr>
          <w:rFonts w:cs="Arial"/>
          <w:sz w:val="24"/>
        </w:rPr>
        <w:t xml:space="preserve"> the end of</w:t>
      </w:r>
      <w:r w:rsidR="00BE7239" w:rsidRPr="00BB4876">
        <w:rPr>
          <w:rFonts w:cs="Arial"/>
          <w:sz w:val="24"/>
        </w:rPr>
        <w:t xml:space="preserve"> September 2018. </w:t>
      </w:r>
      <w:r w:rsidR="00BB4876" w:rsidRPr="00BB4876">
        <w:rPr>
          <w:sz w:val="24"/>
          <w:lang w:eastAsia="en-US"/>
        </w:rPr>
        <w:t>As Royal Assent of the Nuclear Safeguards Bill was received on 26</w:t>
      </w:r>
      <w:r w:rsidR="00BB4876" w:rsidRPr="00BB4876">
        <w:rPr>
          <w:sz w:val="24"/>
          <w:vertAlign w:val="superscript"/>
          <w:lang w:eastAsia="en-US"/>
        </w:rPr>
        <w:t>th</w:t>
      </w:r>
      <w:r w:rsidR="00BB4876" w:rsidRPr="00BB4876">
        <w:rPr>
          <w:sz w:val="24"/>
          <w:lang w:eastAsia="en-US"/>
        </w:rPr>
        <w:t xml:space="preserve"> June, the content and timing </w:t>
      </w:r>
      <w:r w:rsidR="00146A5B" w:rsidRPr="00BB4876">
        <w:rPr>
          <w:rFonts w:eastAsia="Arial" w:cs="Arial"/>
          <w:sz w:val="24"/>
        </w:rPr>
        <w:t>of these reporting updates to Parliament will be determined by the relevant provisions of that legislation</w:t>
      </w:r>
      <w:r w:rsidR="00A42D15">
        <w:rPr>
          <w:rFonts w:eastAsia="Arial" w:cs="Arial"/>
          <w:sz w:val="24"/>
        </w:rPr>
        <w:t>.</w:t>
      </w:r>
    </w:p>
    <w:p w14:paraId="2A11DD7E" w14:textId="18916B7B" w:rsidR="00E32515" w:rsidRPr="00E32515" w:rsidRDefault="0009154C" w:rsidP="00A42D15">
      <w:pPr>
        <w:spacing w:after="240"/>
        <w:ind w:right="409"/>
        <w:jc w:val="both"/>
        <w:outlineLvl w:val="0"/>
        <w:rPr>
          <w:rFonts w:cs="Arial"/>
          <w:b/>
          <w:bCs/>
          <w:sz w:val="28"/>
          <w:szCs w:val="28"/>
          <w:u w:val="single"/>
        </w:rPr>
      </w:pPr>
      <w:r w:rsidRPr="00E32515">
        <w:rPr>
          <w:rFonts w:cs="Arial"/>
          <w:b/>
          <w:bCs/>
          <w:sz w:val="28"/>
          <w:szCs w:val="28"/>
          <w:u w:val="single"/>
        </w:rPr>
        <w:lastRenderedPageBreak/>
        <w:t>EU Negotiation</w:t>
      </w:r>
      <w:r w:rsidR="00E32515">
        <w:rPr>
          <w:rFonts w:cs="Arial"/>
          <w:b/>
          <w:bCs/>
          <w:sz w:val="28"/>
          <w:szCs w:val="28"/>
          <w:u w:val="single"/>
        </w:rPr>
        <w:t>s</w:t>
      </w:r>
    </w:p>
    <w:p w14:paraId="2036AF1A" w14:textId="6FD4E4A1" w:rsidR="00627721" w:rsidRPr="0074545D" w:rsidRDefault="00627721" w:rsidP="00EA0B86">
      <w:pPr>
        <w:spacing w:after="240"/>
        <w:ind w:right="95"/>
        <w:jc w:val="both"/>
        <w:outlineLvl w:val="0"/>
        <w:rPr>
          <w:rFonts w:eastAsia="Arial" w:cs="Arial"/>
          <w:sz w:val="24"/>
        </w:rPr>
      </w:pPr>
      <w:r w:rsidRPr="00E32515">
        <w:rPr>
          <w:rFonts w:cs="Arial"/>
          <w:sz w:val="24"/>
        </w:rPr>
        <w:t>The UK Government and</w:t>
      </w:r>
      <w:r w:rsidR="005D671E" w:rsidRPr="00E32515">
        <w:rPr>
          <w:rFonts w:cs="Arial"/>
          <w:sz w:val="24"/>
        </w:rPr>
        <w:t xml:space="preserve"> the</w:t>
      </w:r>
      <w:r w:rsidRPr="00E32515">
        <w:rPr>
          <w:rFonts w:cs="Arial"/>
          <w:sz w:val="24"/>
        </w:rPr>
        <w:t xml:space="preserve"> Taskforce 50</w:t>
      </w:r>
      <w:r w:rsidR="006D34CF" w:rsidRPr="00E32515">
        <w:rPr>
          <w:rFonts w:cs="Arial"/>
          <w:sz w:val="24"/>
        </w:rPr>
        <w:t xml:space="preserve"> team in the European </w:t>
      </w:r>
      <w:r w:rsidR="00A42D15" w:rsidRPr="00E32515">
        <w:rPr>
          <w:rFonts w:cs="Arial"/>
          <w:sz w:val="24"/>
        </w:rPr>
        <w:t>Commission, negotiating</w:t>
      </w:r>
      <w:r w:rsidRPr="00E32515">
        <w:rPr>
          <w:rFonts w:cs="Arial"/>
          <w:sz w:val="24"/>
        </w:rPr>
        <w:t xml:space="preserve"> on behalf of the EU, have </w:t>
      </w:r>
      <w:r w:rsidR="00474460" w:rsidRPr="00E32515">
        <w:rPr>
          <w:rFonts w:cs="Arial"/>
          <w:sz w:val="24"/>
        </w:rPr>
        <w:t>now</w:t>
      </w:r>
      <w:r w:rsidR="00250D3D" w:rsidRPr="00E32515">
        <w:rPr>
          <w:rFonts w:cs="Arial"/>
          <w:sz w:val="24"/>
        </w:rPr>
        <w:t xml:space="preserve"> </w:t>
      </w:r>
      <w:r w:rsidRPr="00E32515">
        <w:rPr>
          <w:rFonts w:cs="Arial"/>
          <w:sz w:val="24"/>
        </w:rPr>
        <w:t xml:space="preserve">reached agreement on </w:t>
      </w:r>
      <w:r w:rsidR="00863543" w:rsidRPr="00E32515">
        <w:rPr>
          <w:rFonts w:cs="Arial"/>
          <w:sz w:val="24"/>
        </w:rPr>
        <w:t>all</w:t>
      </w:r>
      <w:r w:rsidRPr="00E32515">
        <w:rPr>
          <w:rFonts w:cs="Arial"/>
          <w:sz w:val="24"/>
        </w:rPr>
        <w:t xml:space="preserve"> Euratom </w:t>
      </w:r>
      <w:r w:rsidR="00AD4CAB" w:rsidRPr="00E32515">
        <w:rPr>
          <w:rFonts w:cs="Arial"/>
          <w:sz w:val="24"/>
        </w:rPr>
        <w:t xml:space="preserve">related </w:t>
      </w:r>
      <w:r w:rsidRPr="00E32515">
        <w:rPr>
          <w:rFonts w:cs="Arial"/>
          <w:sz w:val="24"/>
        </w:rPr>
        <w:t xml:space="preserve">articles of the draft Withdrawal Agreement. The relevant text has therefore been </w:t>
      </w:r>
      <w:r w:rsidR="00250D3D" w:rsidRPr="00E32515">
        <w:rPr>
          <w:rFonts w:cs="Arial"/>
          <w:sz w:val="24"/>
        </w:rPr>
        <w:t>finalised</w:t>
      </w:r>
      <w:r w:rsidRPr="00E32515">
        <w:rPr>
          <w:rFonts w:cs="Arial"/>
          <w:sz w:val="24"/>
        </w:rPr>
        <w:t>.</w:t>
      </w:r>
      <w:r w:rsidR="00176723" w:rsidRPr="00E32515">
        <w:rPr>
          <w:rFonts w:cs="Arial"/>
          <w:color w:val="000000"/>
          <w:sz w:val="24"/>
        </w:rPr>
        <w:t xml:space="preserve"> The final Article to be resolved related to the ri</w:t>
      </w:r>
      <w:r w:rsidR="00176723" w:rsidRPr="00E32515">
        <w:rPr>
          <w:rFonts w:cs="Arial"/>
          <w:sz w:val="24"/>
        </w:rPr>
        <w:t xml:space="preserve">ghts of the Euratom Community over EU27 material held in the UK at the point of exit.  These rights are now clearly defined and, along with the other Euratom specific provisions of the Withdrawal Agreement, align with the UK position as set out in the July 2017 position </w:t>
      </w:r>
      <w:r w:rsidR="00F70EC1" w:rsidRPr="00E32515">
        <w:rPr>
          <w:rFonts w:cs="Arial"/>
          <w:sz w:val="24"/>
        </w:rPr>
        <w:t>paper</w:t>
      </w:r>
      <w:r w:rsidR="00F70EC1" w:rsidRPr="00E32515">
        <w:rPr>
          <w:rFonts w:cs="Arial"/>
          <w:sz w:val="24"/>
          <w:vertAlign w:val="superscript"/>
        </w:rPr>
        <w:t>[</w:t>
      </w:r>
      <w:r w:rsidR="008239A6" w:rsidRPr="00E32515">
        <w:rPr>
          <w:rStyle w:val="FootnoteReference"/>
          <w:rFonts w:cs="Arial"/>
          <w:sz w:val="24"/>
        </w:rPr>
        <w:footnoteReference w:id="2"/>
      </w:r>
      <w:r w:rsidR="00C8531C" w:rsidRPr="00E32515">
        <w:rPr>
          <w:rFonts w:cs="Arial"/>
          <w:sz w:val="24"/>
          <w:vertAlign w:val="superscript"/>
        </w:rPr>
        <w:t>]</w:t>
      </w:r>
      <w:r w:rsidR="008239A6" w:rsidRPr="00E32515">
        <w:rPr>
          <w:rFonts w:cs="Arial"/>
          <w:sz w:val="24"/>
        </w:rPr>
        <w:t>.</w:t>
      </w:r>
    </w:p>
    <w:p w14:paraId="22EF62A4" w14:textId="7A4574D4" w:rsidR="00627721" w:rsidRPr="00E32515" w:rsidRDefault="00627721" w:rsidP="00EA0B86">
      <w:pPr>
        <w:pStyle w:val="Normal1"/>
        <w:spacing w:after="240" w:line="240" w:lineRule="auto"/>
        <w:ind w:right="95"/>
        <w:jc w:val="both"/>
        <w:rPr>
          <w:sz w:val="24"/>
          <w:szCs w:val="24"/>
        </w:rPr>
      </w:pPr>
      <w:r w:rsidRPr="00E32515">
        <w:rPr>
          <w:sz w:val="24"/>
          <w:szCs w:val="24"/>
        </w:rPr>
        <w:t xml:space="preserve">Under the terms of the proposed implementation period, on which political agreement between the EU and UK was reached in March 2018, </w:t>
      </w:r>
      <w:r w:rsidR="00AD4CAB" w:rsidRPr="00E32515">
        <w:rPr>
          <w:sz w:val="24"/>
          <w:szCs w:val="24"/>
          <w:lang w:val="en-GB"/>
        </w:rPr>
        <w:t xml:space="preserve">current </w:t>
      </w:r>
      <w:r w:rsidRPr="00E32515">
        <w:rPr>
          <w:sz w:val="24"/>
          <w:szCs w:val="24"/>
        </w:rPr>
        <w:t xml:space="preserve">Euratom arrangements will continue </w:t>
      </w:r>
      <w:r w:rsidR="00AD4CAB" w:rsidRPr="00E32515">
        <w:rPr>
          <w:sz w:val="24"/>
          <w:szCs w:val="24"/>
          <w:lang w:val="en-GB"/>
        </w:rPr>
        <w:t xml:space="preserve">in respect of the UK </w:t>
      </w:r>
      <w:r w:rsidRPr="00E32515">
        <w:rPr>
          <w:sz w:val="24"/>
          <w:szCs w:val="24"/>
        </w:rPr>
        <w:t xml:space="preserve">until </w:t>
      </w:r>
      <w:r w:rsidR="004C6107" w:rsidRPr="00E32515">
        <w:rPr>
          <w:sz w:val="24"/>
          <w:szCs w:val="24"/>
          <w:lang w:val="en-GB"/>
        </w:rPr>
        <w:t>31</w:t>
      </w:r>
      <w:r w:rsidRPr="00E32515">
        <w:rPr>
          <w:sz w:val="24"/>
          <w:szCs w:val="24"/>
        </w:rPr>
        <w:t xml:space="preserve"> December 2020. </w:t>
      </w:r>
    </w:p>
    <w:p w14:paraId="4F54CEA6" w14:textId="6CF4D8F5" w:rsidR="008467DC" w:rsidRPr="00E32515" w:rsidRDefault="00627721" w:rsidP="00EA0B86">
      <w:pPr>
        <w:pBdr>
          <w:top w:val="nil"/>
          <w:left w:val="nil"/>
          <w:bottom w:val="nil"/>
          <w:right w:val="nil"/>
          <w:between w:val="nil"/>
        </w:pBdr>
        <w:spacing w:after="240"/>
        <w:ind w:right="95"/>
        <w:jc w:val="both"/>
        <w:rPr>
          <w:rFonts w:cs="Arial"/>
          <w:bCs/>
          <w:sz w:val="24"/>
        </w:rPr>
      </w:pPr>
      <w:r w:rsidRPr="00E32515">
        <w:rPr>
          <w:rFonts w:cs="Arial"/>
          <w:sz w:val="24"/>
        </w:rPr>
        <w:t>While the negotiations on the future economic relationship between the UK and the EU are yet to begin</w:t>
      </w:r>
      <w:r w:rsidR="00C45989" w:rsidRPr="00E32515">
        <w:rPr>
          <w:rFonts w:cs="Arial"/>
          <w:sz w:val="24"/>
        </w:rPr>
        <w:t xml:space="preserve">, </w:t>
      </w:r>
      <w:r w:rsidRPr="00E32515">
        <w:rPr>
          <w:rFonts w:cs="Arial"/>
          <w:sz w:val="24"/>
        </w:rPr>
        <w:t>the Government has been clear that it will be seeking a close association with Euratom.</w:t>
      </w:r>
      <w:r w:rsidR="00E64CBA" w:rsidRPr="00E32515">
        <w:rPr>
          <w:rFonts w:cs="Arial"/>
          <w:sz w:val="24"/>
        </w:rPr>
        <w:t xml:space="preserve"> Government will set out </w:t>
      </w:r>
      <w:r w:rsidR="00236B45" w:rsidRPr="00E32515">
        <w:rPr>
          <w:rFonts w:cs="Arial"/>
          <w:sz w:val="24"/>
        </w:rPr>
        <w:t xml:space="preserve">details of </w:t>
      </w:r>
      <w:r w:rsidR="00E64CBA" w:rsidRPr="00E32515">
        <w:rPr>
          <w:rFonts w:cs="Arial"/>
          <w:sz w:val="24"/>
        </w:rPr>
        <w:t>its future proposed approach and ambition for a future relationship with the EU after the EU’s June summit.</w:t>
      </w:r>
      <w:r w:rsidR="00E64CBA" w:rsidRPr="00E32515" w:rsidDel="00E64CBA">
        <w:rPr>
          <w:rFonts w:cs="Arial"/>
          <w:sz w:val="24"/>
        </w:rPr>
        <w:t xml:space="preserve"> </w:t>
      </w:r>
    </w:p>
    <w:p w14:paraId="0F77A5A0" w14:textId="77777777" w:rsidR="002A5619" w:rsidRPr="00E32515" w:rsidRDefault="002A5619" w:rsidP="00EA0B86">
      <w:pPr>
        <w:pStyle w:val="ListParagraph"/>
        <w:ind w:right="95"/>
        <w:jc w:val="both"/>
        <w:rPr>
          <w:rFonts w:cs="Arial"/>
          <w:bCs/>
          <w:color w:val="FF0000"/>
          <w:sz w:val="24"/>
        </w:rPr>
      </w:pPr>
    </w:p>
    <w:p w14:paraId="7B5CB2D9" w14:textId="10F551F6" w:rsidR="00892BE0" w:rsidRPr="00E32515" w:rsidRDefault="0009154C" w:rsidP="00EA0B86">
      <w:pPr>
        <w:spacing w:after="240"/>
        <w:ind w:right="95"/>
        <w:jc w:val="both"/>
        <w:outlineLvl w:val="0"/>
        <w:rPr>
          <w:rFonts w:eastAsia="Arial" w:cs="Arial"/>
          <w:b/>
          <w:bCs/>
          <w:sz w:val="28"/>
          <w:szCs w:val="28"/>
          <w:u w:val="single"/>
        </w:rPr>
      </w:pPr>
      <w:r w:rsidRPr="00E32515">
        <w:rPr>
          <w:rFonts w:cs="Arial"/>
          <w:b/>
          <w:bCs/>
          <w:sz w:val="28"/>
          <w:szCs w:val="28"/>
          <w:u w:val="single"/>
        </w:rPr>
        <w:t>International Agreements</w:t>
      </w:r>
    </w:p>
    <w:p w14:paraId="022277B4" w14:textId="30A32FD5" w:rsidR="007F5010" w:rsidRPr="0074545D" w:rsidRDefault="000F747A" w:rsidP="00EA0B86">
      <w:pPr>
        <w:pBdr>
          <w:top w:val="nil"/>
          <w:left w:val="nil"/>
          <w:bottom w:val="nil"/>
          <w:right w:val="nil"/>
          <w:between w:val="nil"/>
        </w:pBdr>
        <w:spacing w:after="240"/>
        <w:ind w:right="95"/>
        <w:jc w:val="both"/>
        <w:rPr>
          <w:rFonts w:cs="Arial"/>
          <w:sz w:val="24"/>
        </w:rPr>
      </w:pPr>
      <w:r w:rsidRPr="00E32515">
        <w:rPr>
          <w:rFonts w:cs="Arial"/>
          <w:sz w:val="24"/>
          <w:lang w:val="uz-Cyrl-UZ" w:eastAsia="en-US"/>
        </w:rPr>
        <w:t xml:space="preserve">The </w:t>
      </w:r>
      <w:r w:rsidR="009B71C4" w:rsidRPr="00E32515">
        <w:rPr>
          <w:rFonts w:cs="Arial"/>
          <w:sz w:val="24"/>
          <w:lang w:eastAsia="en-US"/>
        </w:rPr>
        <w:t xml:space="preserve">UK </w:t>
      </w:r>
      <w:r w:rsidR="00C27949" w:rsidRPr="00E32515">
        <w:rPr>
          <w:rFonts w:cs="Arial"/>
          <w:sz w:val="24"/>
          <w:lang w:eastAsia="en-US"/>
        </w:rPr>
        <w:t xml:space="preserve">and the </w:t>
      </w:r>
      <w:r w:rsidRPr="00E32515">
        <w:rPr>
          <w:rFonts w:cs="Arial"/>
          <w:sz w:val="24"/>
          <w:lang w:val="uz-Cyrl-UZ" w:eastAsia="en-US"/>
        </w:rPr>
        <w:t xml:space="preserve">IAEA </w:t>
      </w:r>
      <w:r w:rsidR="007F5010" w:rsidRPr="00E32515">
        <w:rPr>
          <w:rFonts w:cs="Arial"/>
          <w:sz w:val="24"/>
          <w:lang w:val="uz-Cyrl-UZ" w:eastAsia="en-US"/>
        </w:rPr>
        <w:t xml:space="preserve">have </w:t>
      </w:r>
      <w:r w:rsidR="00C27949" w:rsidRPr="00E32515">
        <w:rPr>
          <w:rFonts w:cs="Arial"/>
          <w:sz w:val="24"/>
          <w:lang w:eastAsia="en-US"/>
        </w:rPr>
        <w:t>signed</w:t>
      </w:r>
      <w:r w:rsidR="001F6831" w:rsidRPr="00E32515">
        <w:rPr>
          <w:rFonts w:cs="Arial"/>
          <w:sz w:val="24"/>
          <w:lang w:val="uz-Cyrl-UZ" w:eastAsia="en-US"/>
        </w:rPr>
        <w:t xml:space="preserve"> </w:t>
      </w:r>
      <w:r w:rsidRPr="00E32515">
        <w:rPr>
          <w:rFonts w:cs="Arial"/>
          <w:sz w:val="24"/>
          <w:lang w:val="uz-Cyrl-UZ" w:eastAsia="en-US"/>
        </w:rPr>
        <w:t xml:space="preserve">two bilateral safeguards agreements (a Voluntary Offer Agreement and Additional Protocol) </w:t>
      </w:r>
      <w:r w:rsidR="00AD4CAB" w:rsidRPr="00E32515">
        <w:rPr>
          <w:rFonts w:cs="Arial"/>
          <w:sz w:val="24"/>
          <w:lang w:eastAsia="en-US"/>
        </w:rPr>
        <w:t xml:space="preserve">on </w:t>
      </w:r>
      <w:r w:rsidR="009B71C4" w:rsidRPr="00E32515">
        <w:rPr>
          <w:rFonts w:cs="Arial"/>
          <w:sz w:val="24"/>
          <w:lang w:eastAsia="en-US"/>
        </w:rPr>
        <w:t>7</w:t>
      </w:r>
      <w:r w:rsidR="00AD4CAB" w:rsidRPr="00E32515">
        <w:rPr>
          <w:rFonts w:cs="Arial"/>
          <w:sz w:val="24"/>
          <w:vertAlign w:val="superscript"/>
          <w:lang w:eastAsia="en-US"/>
        </w:rPr>
        <w:t>th</w:t>
      </w:r>
      <w:r w:rsidR="00AD4CAB" w:rsidRPr="00E32515">
        <w:rPr>
          <w:rFonts w:cs="Arial"/>
          <w:sz w:val="24"/>
          <w:lang w:eastAsia="en-US"/>
        </w:rPr>
        <w:t xml:space="preserve"> June</w:t>
      </w:r>
      <w:r w:rsidR="003341F2" w:rsidRPr="00E32515">
        <w:rPr>
          <w:rFonts w:eastAsia="Arial" w:cs="Arial"/>
          <w:sz w:val="24"/>
          <w:lang w:eastAsia="en-US"/>
        </w:rPr>
        <w:t>.</w:t>
      </w:r>
      <w:r w:rsidR="00560F52" w:rsidRPr="00E32515">
        <w:rPr>
          <w:rFonts w:cs="Arial"/>
          <w:sz w:val="24"/>
        </w:rPr>
        <w:t xml:space="preserve"> This marks an important milestone in ensuring the UK </w:t>
      </w:r>
      <w:r w:rsidR="009B71C4" w:rsidRPr="00E32515">
        <w:rPr>
          <w:rFonts w:cs="Arial"/>
          <w:sz w:val="24"/>
        </w:rPr>
        <w:t xml:space="preserve">can have </w:t>
      </w:r>
      <w:r w:rsidR="00560F52" w:rsidRPr="00E32515">
        <w:rPr>
          <w:rFonts w:cs="Arial"/>
          <w:sz w:val="24"/>
        </w:rPr>
        <w:t>an internationally-recognised safeguards regime in p</w:t>
      </w:r>
      <w:r w:rsidR="00A71266" w:rsidRPr="00E32515">
        <w:rPr>
          <w:rFonts w:cs="Arial"/>
          <w:sz w:val="24"/>
        </w:rPr>
        <w:t>l</w:t>
      </w:r>
      <w:r w:rsidR="00560F52" w:rsidRPr="00E32515">
        <w:rPr>
          <w:rFonts w:cs="Arial"/>
          <w:sz w:val="24"/>
        </w:rPr>
        <w:t>ace by March 2019.</w:t>
      </w:r>
    </w:p>
    <w:p w14:paraId="4662B30D" w14:textId="274F84B7" w:rsidR="008823F5" w:rsidRPr="00E32515" w:rsidRDefault="008823F5" w:rsidP="00EA0B86">
      <w:pPr>
        <w:spacing w:after="240"/>
        <w:ind w:right="95"/>
        <w:jc w:val="both"/>
        <w:rPr>
          <w:rFonts w:eastAsia="Arial" w:cs="Arial"/>
          <w:sz w:val="24"/>
          <w:lang w:val="uz-Cyrl-UZ" w:eastAsia="en-US"/>
        </w:rPr>
      </w:pPr>
      <w:r w:rsidRPr="00E32515">
        <w:rPr>
          <w:rFonts w:cs="Arial"/>
          <w:sz w:val="24"/>
          <w:lang w:val="uz-Cyrl-UZ" w:eastAsia="en-US"/>
        </w:rPr>
        <w:t>These agreements follow</w:t>
      </w:r>
      <w:r w:rsidR="00941CD0" w:rsidRPr="00E32515">
        <w:rPr>
          <w:rFonts w:eastAsia="Arial" w:cs="Arial"/>
          <w:sz w:val="24"/>
          <w:lang w:val="uz-Cyrl-UZ" w:eastAsia="en-US"/>
        </w:rPr>
        <w:t xml:space="preserve"> </w:t>
      </w:r>
      <w:r w:rsidRPr="00E32515">
        <w:rPr>
          <w:rFonts w:cs="Arial"/>
          <w:sz w:val="24"/>
          <w:lang w:val="uz-Cyrl-UZ" w:eastAsia="en-US"/>
        </w:rPr>
        <w:t xml:space="preserve">the same principles as the current trilateral agreements between the UK, Euratom, and the IAEA. They will enable the IAEA to retain its right to inspect civil nuclear facilities, and continue to receive </w:t>
      </w:r>
      <w:r w:rsidR="009B71C4" w:rsidRPr="00E32515">
        <w:rPr>
          <w:rFonts w:cs="Arial"/>
          <w:sz w:val="24"/>
          <w:lang w:eastAsia="en-US"/>
        </w:rPr>
        <w:t>full</w:t>
      </w:r>
      <w:r w:rsidR="00A71266" w:rsidRPr="00E32515">
        <w:rPr>
          <w:rFonts w:cs="Arial"/>
          <w:sz w:val="24"/>
          <w:lang w:eastAsia="en-US"/>
        </w:rPr>
        <w:t xml:space="preserve"> </w:t>
      </w:r>
      <w:r w:rsidRPr="00E32515">
        <w:rPr>
          <w:rFonts w:cs="Arial"/>
          <w:sz w:val="24"/>
          <w:lang w:val="uz-Cyrl-UZ" w:eastAsia="en-US"/>
        </w:rPr>
        <w:t>safeguards reporting, ensuring that international verification of UK safeguards activity continues to be robust</w:t>
      </w:r>
      <w:r w:rsidR="006248AB" w:rsidRPr="00E32515">
        <w:rPr>
          <w:rFonts w:cs="Arial"/>
          <w:sz w:val="24"/>
          <w:lang w:eastAsia="en-US"/>
        </w:rPr>
        <w:t xml:space="preserve"> and to retain the confidence of the international community. </w:t>
      </w:r>
      <w:r w:rsidRPr="00E32515">
        <w:rPr>
          <w:rFonts w:cs="Arial"/>
          <w:sz w:val="24"/>
          <w:lang w:val="uz-Cyrl-UZ" w:eastAsia="en-US"/>
        </w:rPr>
        <w:t xml:space="preserve"> The agreements will come into force once the current trilateral agreements no longer apply.</w:t>
      </w:r>
    </w:p>
    <w:p w14:paraId="537BCACB" w14:textId="09238615" w:rsidR="008823F5" w:rsidRPr="00E32515" w:rsidRDefault="000F747A" w:rsidP="00EA0B86">
      <w:pPr>
        <w:pBdr>
          <w:top w:val="nil"/>
          <w:left w:val="nil"/>
          <w:bottom w:val="nil"/>
          <w:right w:val="nil"/>
          <w:between w:val="nil"/>
        </w:pBdr>
        <w:spacing w:after="240"/>
        <w:ind w:right="95"/>
        <w:jc w:val="both"/>
        <w:rPr>
          <w:rFonts w:eastAsia="Arial" w:cs="Arial"/>
          <w:sz w:val="24"/>
          <w:lang w:val="uz-Cyrl-UZ" w:eastAsia="en-US"/>
        </w:rPr>
      </w:pPr>
      <w:r w:rsidRPr="00E32515">
        <w:rPr>
          <w:rFonts w:eastAsia="Arial" w:cs="Arial"/>
          <w:sz w:val="24"/>
          <w:lang w:val="uz-Cyrl-UZ" w:eastAsia="en-US"/>
        </w:rPr>
        <w:t xml:space="preserve">The </w:t>
      </w:r>
      <w:r w:rsidR="00271BDB" w:rsidRPr="00E32515">
        <w:rPr>
          <w:rFonts w:eastAsia="Arial" w:cs="Arial"/>
          <w:sz w:val="24"/>
          <w:lang w:val="uz-Cyrl-UZ" w:eastAsia="en-US"/>
        </w:rPr>
        <w:t>Government</w:t>
      </w:r>
      <w:r w:rsidRPr="00E32515">
        <w:rPr>
          <w:rFonts w:eastAsia="Arial" w:cs="Arial"/>
          <w:sz w:val="24"/>
          <w:lang w:val="uz-Cyrl-UZ" w:eastAsia="en-US"/>
        </w:rPr>
        <w:t xml:space="preserve"> also signed a bilateral NCA with the United States of America (US) on 4</w:t>
      </w:r>
      <w:r w:rsidRPr="00E32515">
        <w:rPr>
          <w:rFonts w:eastAsia="Arial" w:cs="Arial"/>
          <w:sz w:val="24"/>
          <w:vertAlign w:val="superscript"/>
          <w:lang w:val="uz-Cyrl-UZ" w:eastAsia="en-US"/>
        </w:rPr>
        <w:t>th</w:t>
      </w:r>
      <w:r w:rsidRPr="00E32515">
        <w:rPr>
          <w:rFonts w:eastAsia="Arial" w:cs="Arial"/>
          <w:sz w:val="24"/>
          <w:lang w:val="uz-Cyrl-UZ" w:eastAsia="en-US"/>
        </w:rPr>
        <w:t xml:space="preserve"> May, </w:t>
      </w:r>
      <w:r w:rsidR="008823F5" w:rsidRPr="00E32515">
        <w:rPr>
          <w:rFonts w:eastAsia="Arial" w:cs="Arial"/>
          <w:sz w:val="24"/>
          <w:lang w:val="uz-Cyrl-UZ" w:eastAsia="en-US"/>
        </w:rPr>
        <w:t xml:space="preserve">helping to ensure uninterrupted cooperation and trade in the civil nuclear sector following the UK’s departure from Euratom. This agreement will allow the UK and US to continue mutually beneficial cooperation in the field of the peaceful uses of nuclear energy when the current Euratom arrangements cease to apply </w:t>
      </w:r>
      <w:r w:rsidR="00BC6C5E" w:rsidRPr="00E32515">
        <w:rPr>
          <w:rFonts w:eastAsia="Arial" w:cs="Arial"/>
          <w:sz w:val="24"/>
          <w:lang w:val="uz-Cyrl-UZ" w:eastAsia="en-US"/>
        </w:rPr>
        <w:t>in</w:t>
      </w:r>
      <w:r w:rsidR="008823F5" w:rsidRPr="00E32515">
        <w:rPr>
          <w:rFonts w:eastAsia="Arial" w:cs="Arial"/>
          <w:sz w:val="24"/>
          <w:lang w:val="uz-Cyrl-UZ" w:eastAsia="en-US"/>
        </w:rPr>
        <w:t xml:space="preserve"> the UK. </w:t>
      </w:r>
    </w:p>
    <w:p w14:paraId="0D9D2865" w14:textId="61235ED7" w:rsidR="0074545D" w:rsidRPr="0074545D" w:rsidRDefault="008823F5" w:rsidP="00EA0B86">
      <w:pPr>
        <w:pBdr>
          <w:top w:val="nil"/>
          <w:left w:val="nil"/>
          <w:bottom w:val="nil"/>
          <w:right w:val="nil"/>
          <w:between w:val="nil"/>
        </w:pBdr>
        <w:spacing w:after="240"/>
        <w:ind w:right="95"/>
        <w:jc w:val="both"/>
        <w:rPr>
          <w:rFonts w:cs="Arial"/>
          <w:sz w:val="24"/>
          <w:lang w:val="uz-Cyrl-UZ" w:eastAsia="en-US"/>
        </w:rPr>
      </w:pPr>
      <w:r w:rsidRPr="00E32515">
        <w:rPr>
          <w:rFonts w:cs="Arial"/>
          <w:sz w:val="24"/>
          <w:lang w:val="uz-Cyrl-UZ" w:eastAsia="en-US"/>
        </w:rPr>
        <w:t xml:space="preserve">The new bilateral NCA has been drafted on the same principles as the US-Euratom NCA, putting in place robust assurances on all </w:t>
      </w:r>
      <w:r w:rsidR="0042608F" w:rsidRPr="00E32515">
        <w:rPr>
          <w:rFonts w:cs="Arial"/>
          <w:sz w:val="24"/>
          <w:lang w:val="uz-Cyrl-UZ" w:eastAsia="en-US"/>
        </w:rPr>
        <w:t xml:space="preserve">civil </w:t>
      </w:r>
      <w:r w:rsidRPr="00E32515">
        <w:rPr>
          <w:rFonts w:cs="Arial"/>
          <w:sz w:val="24"/>
          <w:lang w:val="uz-Cyrl-UZ" w:eastAsia="en-US"/>
        </w:rPr>
        <w:t>US-origin nuclear items present on UK territory, and</w:t>
      </w:r>
      <w:r w:rsidR="00720536" w:rsidRPr="00E32515">
        <w:rPr>
          <w:rFonts w:cs="Arial"/>
          <w:sz w:val="24"/>
          <w:lang w:val="uz-Cyrl-UZ" w:eastAsia="en-US"/>
        </w:rPr>
        <w:t xml:space="preserve"> civil</w:t>
      </w:r>
      <w:r w:rsidRPr="00E32515">
        <w:rPr>
          <w:rFonts w:cs="Arial"/>
          <w:sz w:val="24"/>
          <w:lang w:val="uz-Cyrl-UZ" w:eastAsia="en-US"/>
        </w:rPr>
        <w:t xml:space="preserve"> UK</w:t>
      </w:r>
      <w:r w:rsidR="00BC6C5E" w:rsidRPr="00E32515">
        <w:rPr>
          <w:rFonts w:eastAsia="Arial" w:cs="Arial"/>
          <w:sz w:val="24"/>
          <w:lang w:val="uz-Cyrl-UZ" w:eastAsia="en-US"/>
        </w:rPr>
        <w:t>-</w:t>
      </w:r>
      <w:r w:rsidRPr="00E32515">
        <w:rPr>
          <w:rFonts w:cs="Arial"/>
          <w:sz w:val="24"/>
          <w:lang w:val="uz-Cyrl-UZ" w:eastAsia="en-US"/>
        </w:rPr>
        <w:t xml:space="preserve">origin nuclear items present on US territory, including in </w:t>
      </w:r>
      <w:r w:rsidRPr="00E32515">
        <w:rPr>
          <w:rFonts w:cs="Arial"/>
          <w:sz w:val="24"/>
          <w:lang w:val="uz-Cyrl-UZ" w:eastAsia="en-US"/>
        </w:rPr>
        <w:lastRenderedPageBreak/>
        <w:t xml:space="preserve">relation to nuclear safeguards, security, retransfers, storage, enrichment and reprocessing.  </w:t>
      </w:r>
    </w:p>
    <w:p w14:paraId="0F8093BB" w14:textId="259D8C86" w:rsidR="008823F5" w:rsidRPr="00E32515" w:rsidRDefault="008823F5" w:rsidP="00EA0B86">
      <w:pPr>
        <w:pBdr>
          <w:top w:val="nil"/>
          <w:left w:val="nil"/>
          <w:bottom w:val="nil"/>
          <w:right w:val="nil"/>
          <w:between w:val="nil"/>
        </w:pBdr>
        <w:spacing w:after="240"/>
        <w:jc w:val="both"/>
        <w:rPr>
          <w:rFonts w:eastAsia="Arial" w:cs="Arial"/>
          <w:sz w:val="24"/>
          <w:lang w:val="uz-Cyrl-UZ" w:eastAsia="en-US"/>
        </w:rPr>
      </w:pPr>
      <w:r w:rsidRPr="00E32515">
        <w:rPr>
          <w:rFonts w:cs="Arial"/>
          <w:sz w:val="24"/>
          <w:lang w:val="uz-Cyrl-UZ" w:eastAsia="en-US"/>
        </w:rPr>
        <w:t>The UK-US NCA has begun its approval process through the US Congress, which is due to be completed by the end of 2018, in order to allow the agreement to come into force when the current Euratom arrangements cease to apply to the UK</w:t>
      </w:r>
      <w:r w:rsidRPr="00E32515">
        <w:rPr>
          <w:rFonts w:eastAsia="Arial" w:cs="Arial"/>
          <w:sz w:val="24"/>
          <w:lang w:val="uz-Cyrl-UZ" w:eastAsia="en-US"/>
        </w:rPr>
        <w:t>.</w:t>
      </w:r>
    </w:p>
    <w:p w14:paraId="4F559CBB" w14:textId="77777777" w:rsidR="0010312E" w:rsidRPr="00E32515" w:rsidRDefault="006740C9" w:rsidP="00EA0B86">
      <w:pPr>
        <w:pBdr>
          <w:top w:val="nil"/>
          <w:left w:val="nil"/>
          <w:bottom w:val="nil"/>
          <w:right w:val="nil"/>
          <w:between w:val="nil"/>
        </w:pBdr>
        <w:spacing w:after="240"/>
        <w:jc w:val="both"/>
        <w:rPr>
          <w:rFonts w:cs="Arial"/>
          <w:sz w:val="24"/>
          <w:lang w:val="uz-Cyrl-UZ" w:eastAsia="en-US"/>
        </w:rPr>
      </w:pPr>
      <w:r w:rsidRPr="00E32515">
        <w:rPr>
          <w:rFonts w:cs="Arial"/>
          <w:sz w:val="24"/>
          <w:lang w:val="uz-Cyrl-UZ" w:eastAsia="en-US"/>
        </w:rPr>
        <w:t xml:space="preserve">The US ratification process is the lengthiest of the ratifications that are required for new nuclear agreement, which is why this was the first such agreement to be finalised and signed. </w:t>
      </w:r>
    </w:p>
    <w:p w14:paraId="5876CB04" w14:textId="2DF434A5" w:rsidR="00061088" w:rsidRPr="00E32515" w:rsidRDefault="006740C9" w:rsidP="00EA0B86">
      <w:pPr>
        <w:pBdr>
          <w:top w:val="nil"/>
          <w:left w:val="nil"/>
          <w:bottom w:val="nil"/>
          <w:right w:val="nil"/>
          <w:between w:val="nil"/>
        </w:pBdr>
        <w:spacing w:after="240"/>
        <w:jc w:val="both"/>
        <w:rPr>
          <w:rFonts w:cs="Arial"/>
          <w:sz w:val="24"/>
          <w:lang w:eastAsia="en-US"/>
        </w:rPr>
      </w:pPr>
      <w:r w:rsidRPr="00E32515">
        <w:rPr>
          <w:rFonts w:cs="Arial"/>
          <w:sz w:val="24"/>
          <w:lang w:val="uz-Cyrl-UZ" w:eastAsia="en-US"/>
        </w:rPr>
        <w:t xml:space="preserve">In parallel, </w:t>
      </w:r>
      <w:r w:rsidR="008823F5" w:rsidRPr="00E32515">
        <w:rPr>
          <w:rFonts w:cs="Arial"/>
          <w:sz w:val="24"/>
          <w:lang w:val="uz-Cyrl-UZ" w:eastAsia="en-US"/>
        </w:rPr>
        <w:t xml:space="preserve">UK officials have also been </w:t>
      </w:r>
      <w:r w:rsidR="0087237A" w:rsidRPr="00E32515">
        <w:rPr>
          <w:rFonts w:cs="Arial"/>
          <w:sz w:val="24"/>
          <w:lang w:eastAsia="en-US"/>
        </w:rPr>
        <w:t>discussing</w:t>
      </w:r>
      <w:r w:rsidR="008823F5" w:rsidRPr="00E32515">
        <w:rPr>
          <w:rFonts w:cs="Arial"/>
          <w:sz w:val="24"/>
          <w:lang w:val="uz-Cyrl-UZ" w:eastAsia="en-US"/>
        </w:rPr>
        <w:t xml:space="preserve"> new</w:t>
      </w:r>
      <w:r w:rsidR="00C534C5" w:rsidRPr="00E32515">
        <w:rPr>
          <w:rFonts w:cs="Arial"/>
          <w:sz w:val="24"/>
          <w:lang w:eastAsia="en-US"/>
        </w:rPr>
        <w:t xml:space="preserve"> </w:t>
      </w:r>
      <w:r w:rsidR="008823F5" w:rsidRPr="00E32515">
        <w:rPr>
          <w:rFonts w:cs="Arial"/>
          <w:sz w:val="24"/>
          <w:lang w:val="uz-Cyrl-UZ" w:eastAsia="en-US"/>
        </w:rPr>
        <w:t xml:space="preserve">bilateral arrangements </w:t>
      </w:r>
      <w:r w:rsidR="00EF0D94" w:rsidRPr="00E32515">
        <w:rPr>
          <w:rFonts w:cs="Arial"/>
          <w:sz w:val="24"/>
          <w:lang w:val="uz-Cyrl-UZ" w:eastAsia="en-US"/>
        </w:rPr>
        <w:t>with the</w:t>
      </w:r>
      <w:r w:rsidR="00EF0D94" w:rsidRPr="00E32515">
        <w:rPr>
          <w:rFonts w:cs="Arial"/>
          <w:sz w:val="24"/>
          <w:lang w:eastAsia="en-US"/>
        </w:rPr>
        <w:t xml:space="preserve"> other </w:t>
      </w:r>
      <w:r w:rsidR="00A71266" w:rsidRPr="00E32515">
        <w:rPr>
          <w:rFonts w:cs="Arial"/>
          <w:sz w:val="24"/>
          <w:lang w:eastAsia="en-US"/>
        </w:rPr>
        <w:t>p</w:t>
      </w:r>
      <w:r w:rsidR="00EF0D94" w:rsidRPr="00E32515">
        <w:rPr>
          <w:rFonts w:cs="Arial"/>
          <w:sz w:val="24"/>
          <w:lang w:eastAsia="en-US"/>
        </w:rPr>
        <w:t xml:space="preserve">riority </w:t>
      </w:r>
      <w:r w:rsidR="00A71266" w:rsidRPr="00E32515">
        <w:rPr>
          <w:rFonts w:cs="Arial"/>
          <w:sz w:val="24"/>
          <w:lang w:eastAsia="en-US"/>
        </w:rPr>
        <w:t>c</w:t>
      </w:r>
      <w:r w:rsidR="00EF0D94" w:rsidRPr="00E32515">
        <w:rPr>
          <w:rFonts w:cs="Arial"/>
          <w:sz w:val="24"/>
          <w:lang w:eastAsia="en-US"/>
        </w:rPr>
        <w:t>ountries</w:t>
      </w:r>
      <w:r w:rsidR="00457CE8" w:rsidRPr="00E32515">
        <w:rPr>
          <w:rFonts w:cs="Arial"/>
          <w:sz w:val="24"/>
          <w:lang w:eastAsia="en-US"/>
        </w:rPr>
        <w:t xml:space="preserve"> and these are also </w:t>
      </w:r>
      <w:r w:rsidR="00C2126D" w:rsidRPr="00E32515">
        <w:rPr>
          <w:rFonts w:cs="Arial"/>
          <w:sz w:val="24"/>
          <w:lang w:val="uz-Cyrl-UZ" w:eastAsia="en-US"/>
        </w:rPr>
        <w:t xml:space="preserve">on track </w:t>
      </w:r>
      <w:r w:rsidR="002815ED" w:rsidRPr="00E32515">
        <w:rPr>
          <w:rFonts w:cs="Arial"/>
          <w:sz w:val="24"/>
          <w:lang w:eastAsia="en-US"/>
        </w:rPr>
        <w:t>to come into force</w:t>
      </w:r>
      <w:r w:rsidR="00C2126D" w:rsidRPr="00E32515">
        <w:rPr>
          <w:rFonts w:cs="Arial"/>
          <w:sz w:val="24"/>
          <w:lang w:val="uz-Cyrl-UZ" w:eastAsia="en-US"/>
        </w:rPr>
        <w:t xml:space="preserve"> when Euratom arrangements no longer apply in the UK. </w:t>
      </w:r>
      <w:r w:rsidR="009B71C4" w:rsidRPr="00E32515">
        <w:rPr>
          <w:rFonts w:cs="Arial"/>
          <w:sz w:val="24"/>
          <w:lang w:eastAsia="en-US"/>
        </w:rPr>
        <w:t xml:space="preserve">Signature </w:t>
      </w:r>
      <w:r w:rsidR="00B52673" w:rsidRPr="00E32515">
        <w:rPr>
          <w:rFonts w:cs="Arial"/>
          <w:sz w:val="24"/>
          <w:lang w:eastAsia="en-US"/>
        </w:rPr>
        <w:t>of the UK’s new safeguards agreements with the IAEA marks an important milestone for concluding these new arrangements.</w:t>
      </w:r>
    </w:p>
    <w:p w14:paraId="27EDB950" w14:textId="3191141B" w:rsidR="00064630" w:rsidRPr="00E32515" w:rsidRDefault="001F6831" w:rsidP="00EA0B86">
      <w:pPr>
        <w:pBdr>
          <w:top w:val="nil"/>
          <w:left w:val="nil"/>
          <w:bottom w:val="nil"/>
          <w:right w:val="nil"/>
          <w:between w:val="nil"/>
        </w:pBdr>
        <w:spacing w:after="240"/>
        <w:jc w:val="both"/>
        <w:rPr>
          <w:rFonts w:eastAsia="Arial" w:cs="Arial"/>
          <w:sz w:val="24"/>
          <w:lang w:val="uz-Cyrl-UZ" w:eastAsia="en-US"/>
        </w:rPr>
      </w:pPr>
      <w:r w:rsidRPr="00E32515">
        <w:rPr>
          <w:rFonts w:cs="Arial"/>
          <w:sz w:val="24"/>
          <w:lang w:val="uz-Cyrl-UZ" w:eastAsia="en-US"/>
        </w:rPr>
        <w:t>The</w:t>
      </w:r>
      <w:r w:rsidR="00EE17C7" w:rsidRPr="00E32515">
        <w:rPr>
          <w:rFonts w:cs="Arial"/>
          <w:sz w:val="24"/>
          <w:lang w:eastAsia="en-US"/>
        </w:rPr>
        <w:t>se</w:t>
      </w:r>
      <w:r w:rsidRPr="00E32515">
        <w:rPr>
          <w:rFonts w:cs="Arial"/>
          <w:sz w:val="24"/>
          <w:lang w:val="uz-Cyrl-UZ" w:eastAsia="en-US"/>
        </w:rPr>
        <w:t xml:space="preserve"> agreements </w:t>
      </w:r>
      <w:r w:rsidR="000F747A" w:rsidRPr="00E32515">
        <w:rPr>
          <w:rFonts w:cs="Arial"/>
          <w:sz w:val="24"/>
          <w:lang w:val="uz-Cyrl-UZ" w:eastAsia="en-US"/>
        </w:rPr>
        <w:t xml:space="preserve">will ensure that the UK can continue its mutually beneficial cooperation with these countries in the civil nuclear sector. Neither the UK, nor the remainder of </w:t>
      </w:r>
      <w:r w:rsidR="00271BDB" w:rsidRPr="00E32515">
        <w:rPr>
          <w:rFonts w:cs="Arial"/>
          <w:sz w:val="24"/>
          <w:lang w:val="uz-Cyrl-UZ" w:eastAsia="en-US"/>
        </w:rPr>
        <w:t>its</w:t>
      </w:r>
      <w:r w:rsidR="000F747A" w:rsidRPr="00E32515">
        <w:rPr>
          <w:rFonts w:cs="Arial"/>
          <w:sz w:val="24"/>
          <w:lang w:val="uz-Cyrl-UZ" w:eastAsia="en-US"/>
        </w:rPr>
        <w:t xml:space="preserve"> trading partners require </w:t>
      </w:r>
      <w:r w:rsidR="00884745" w:rsidRPr="00E32515">
        <w:rPr>
          <w:rFonts w:cs="Arial"/>
          <w:sz w:val="24"/>
          <w:lang w:val="uz-Cyrl-UZ" w:eastAsia="en-US"/>
        </w:rPr>
        <w:t xml:space="preserve">further </w:t>
      </w:r>
      <w:r w:rsidR="000F747A" w:rsidRPr="00E32515">
        <w:rPr>
          <w:rFonts w:cs="Arial"/>
          <w:sz w:val="24"/>
          <w:lang w:val="uz-Cyrl-UZ" w:eastAsia="en-US"/>
        </w:rPr>
        <w:t xml:space="preserve">NCAs to be in place for trade in nuclear-related items to continue. The </w:t>
      </w:r>
      <w:r w:rsidR="00271BDB" w:rsidRPr="00E32515">
        <w:rPr>
          <w:rFonts w:cs="Arial"/>
          <w:sz w:val="24"/>
          <w:lang w:val="uz-Cyrl-UZ" w:eastAsia="en-US"/>
        </w:rPr>
        <w:t xml:space="preserve">Government </w:t>
      </w:r>
      <w:r w:rsidR="00884745" w:rsidRPr="00E32515">
        <w:rPr>
          <w:rFonts w:cs="Arial"/>
          <w:sz w:val="24"/>
          <w:lang w:val="uz-Cyrl-UZ" w:eastAsia="en-US"/>
        </w:rPr>
        <w:t>is however discussing ongoing cooperation and NCAs</w:t>
      </w:r>
      <w:r w:rsidR="000F747A" w:rsidRPr="00E32515">
        <w:rPr>
          <w:rFonts w:cs="Arial"/>
          <w:sz w:val="24"/>
          <w:lang w:val="uz-Cyrl-UZ" w:eastAsia="en-US"/>
        </w:rPr>
        <w:t xml:space="preserve"> with other countries</w:t>
      </w:r>
      <w:r w:rsidR="00884745" w:rsidRPr="00E32515">
        <w:rPr>
          <w:rFonts w:cs="Arial"/>
          <w:sz w:val="24"/>
          <w:lang w:val="uz-Cyrl-UZ" w:eastAsia="en-US"/>
        </w:rPr>
        <w:t xml:space="preserve"> to ensure future cooperation reflects the UK’s position outside Euratom</w:t>
      </w:r>
      <w:r w:rsidR="000F747A" w:rsidRPr="00E32515">
        <w:rPr>
          <w:rFonts w:eastAsia="Arial" w:cs="Arial"/>
          <w:sz w:val="24"/>
          <w:lang w:val="uz-Cyrl-UZ" w:eastAsia="en-US"/>
        </w:rPr>
        <w:t xml:space="preserve">. </w:t>
      </w:r>
    </w:p>
    <w:p w14:paraId="76DDA783" w14:textId="65AD9790" w:rsidR="00936F18" w:rsidRPr="00E32515" w:rsidRDefault="0009154C" w:rsidP="00A42D15">
      <w:pPr>
        <w:spacing w:after="240"/>
        <w:ind w:right="409"/>
        <w:jc w:val="both"/>
        <w:outlineLvl w:val="0"/>
        <w:rPr>
          <w:rFonts w:eastAsia="Arial" w:cs="Arial"/>
          <w:b/>
          <w:sz w:val="28"/>
          <w:szCs w:val="28"/>
          <w:u w:val="single"/>
          <w:lang w:val="uz-Cyrl-UZ" w:eastAsia="en-US"/>
        </w:rPr>
      </w:pPr>
      <w:r w:rsidRPr="00E32515">
        <w:rPr>
          <w:rFonts w:eastAsia="Arial" w:cs="Arial"/>
          <w:b/>
          <w:sz w:val="28"/>
          <w:szCs w:val="28"/>
          <w:u w:val="single"/>
          <w:lang w:val="uz-Cyrl-UZ" w:eastAsia="en-US"/>
        </w:rPr>
        <w:t>Domestic Safeguards Regime</w:t>
      </w:r>
    </w:p>
    <w:p w14:paraId="43430E1B" w14:textId="24FA4822" w:rsidR="000F747A" w:rsidRPr="00E32515" w:rsidRDefault="000F747A" w:rsidP="00EA0B86">
      <w:pPr>
        <w:spacing w:after="240"/>
        <w:ind w:right="-46"/>
        <w:jc w:val="both"/>
        <w:rPr>
          <w:rFonts w:eastAsia="Arial" w:cs="Arial"/>
          <w:sz w:val="24"/>
          <w:lang w:val="uz-Cyrl-UZ" w:eastAsia="en-US"/>
        </w:rPr>
      </w:pPr>
      <w:r w:rsidRPr="00E32515">
        <w:rPr>
          <w:rFonts w:cs="Arial"/>
          <w:sz w:val="24"/>
          <w:lang w:val="uz-Cyrl-UZ" w:eastAsia="en-US"/>
        </w:rPr>
        <w:t xml:space="preserve">The Nuclear Safeguards Bill </w:t>
      </w:r>
      <w:r w:rsidR="00E13215" w:rsidRPr="00E32515">
        <w:rPr>
          <w:rFonts w:cs="Arial"/>
          <w:sz w:val="24"/>
          <w:lang w:eastAsia="en-US"/>
        </w:rPr>
        <w:t>received</w:t>
      </w:r>
      <w:r w:rsidR="007F74BE" w:rsidRPr="00E32515">
        <w:rPr>
          <w:rFonts w:cs="Arial"/>
          <w:sz w:val="24"/>
          <w:lang w:eastAsia="en-US"/>
        </w:rPr>
        <w:t xml:space="preserve"> Royal Assent</w:t>
      </w:r>
      <w:r w:rsidR="00E13215" w:rsidRPr="00E32515">
        <w:rPr>
          <w:rFonts w:cs="Arial"/>
          <w:sz w:val="24"/>
          <w:lang w:eastAsia="en-US"/>
        </w:rPr>
        <w:t xml:space="preserve"> on 26</w:t>
      </w:r>
      <w:r w:rsidR="00470C4A" w:rsidRPr="00E32515">
        <w:rPr>
          <w:rFonts w:cs="Arial"/>
          <w:sz w:val="24"/>
          <w:vertAlign w:val="superscript"/>
          <w:lang w:eastAsia="en-US"/>
        </w:rPr>
        <w:t>th</w:t>
      </w:r>
      <w:r w:rsidR="00E13215" w:rsidRPr="00E32515">
        <w:rPr>
          <w:rFonts w:cs="Arial"/>
          <w:sz w:val="24"/>
          <w:lang w:eastAsia="en-US"/>
        </w:rPr>
        <w:t xml:space="preserve"> June</w:t>
      </w:r>
      <w:r w:rsidRPr="00E32515">
        <w:rPr>
          <w:rFonts w:cs="Arial"/>
          <w:sz w:val="24"/>
          <w:lang w:val="uz-Cyrl-UZ" w:eastAsia="en-US"/>
        </w:rPr>
        <w:t>.</w:t>
      </w:r>
    </w:p>
    <w:p w14:paraId="36AA30D0" w14:textId="30ADF4A7" w:rsidR="000F747A" w:rsidRPr="00E32515" w:rsidRDefault="000F747A" w:rsidP="00EA0B86">
      <w:pPr>
        <w:spacing w:after="240"/>
        <w:ind w:right="-46"/>
        <w:jc w:val="both"/>
        <w:rPr>
          <w:rFonts w:eastAsia="Arial" w:cs="Arial"/>
          <w:sz w:val="24"/>
          <w:lang w:val="uz-Cyrl-UZ" w:eastAsia="en-US"/>
        </w:rPr>
      </w:pPr>
      <w:r w:rsidRPr="00E32515">
        <w:rPr>
          <w:rFonts w:cs="Arial"/>
          <w:sz w:val="24"/>
          <w:lang w:val="uz-Cyrl-UZ" w:eastAsia="en-US"/>
        </w:rPr>
        <w:t xml:space="preserve">The Bill provides the legal basis for setting up a domestic nuclear safeguards regime that meets </w:t>
      </w:r>
      <w:r w:rsidR="00BB3B2C" w:rsidRPr="00E32515">
        <w:rPr>
          <w:rFonts w:cs="Arial"/>
          <w:sz w:val="24"/>
          <w:lang w:val="uz-Cyrl-UZ" w:eastAsia="en-US"/>
        </w:rPr>
        <w:t>the</w:t>
      </w:r>
      <w:r w:rsidR="0042608F" w:rsidRPr="00E32515">
        <w:rPr>
          <w:rFonts w:eastAsia="Arial" w:cs="Arial"/>
          <w:sz w:val="24"/>
          <w:lang w:val="uz-Cyrl-UZ" w:eastAsia="en-US"/>
        </w:rPr>
        <w:t xml:space="preserve"> </w:t>
      </w:r>
      <w:r w:rsidRPr="00E32515">
        <w:rPr>
          <w:rFonts w:cs="Arial"/>
          <w:sz w:val="24"/>
          <w:lang w:val="uz-Cyrl-UZ" w:eastAsia="en-US"/>
        </w:rPr>
        <w:t xml:space="preserve">international safeguards and non-proliferation </w:t>
      </w:r>
      <w:r w:rsidR="0042608F" w:rsidRPr="00E32515">
        <w:rPr>
          <w:rFonts w:cs="Arial"/>
          <w:sz w:val="24"/>
          <w:lang w:val="uz-Cyrl-UZ" w:eastAsia="en-US"/>
        </w:rPr>
        <w:t>obligations</w:t>
      </w:r>
      <w:r w:rsidR="00BB3B2C" w:rsidRPr="00E32515">
        <w:rPr>
          <w:rFonts w:cs="Arial"/>
          <w:sz w:val="24"/>
          <w:lang w:val="uz-Cyrl-UZ" w:eastAsia="en-US"/>
        </w:rPr>
        <w:t xml:space="preserve"> </w:t>
      </w:r>
      <w:r w:rsidR="007F74BE" w:rsidRPr="00E32515" w:rsidDel="007F74BE">
        <w:rPr>
          <w:rFonts w:cs="Arial"/>
          <w:sz w:val="24"/>
          <w:lang w:val="uz-Cyrl-UZ" w:eastAsia="en-US"/>
        </w:rPr>
        <w:t xml:space="preserve"> </w:t>
      </w:r>
      <w:r w:rsidR="00BB3B2C" w:rsidRPr="00E32515">
        <w:rPr>
          <w:rFonts w:cs="Arial"/>
          <w:sz w:val="24"/>
          <w:lang w:val="uz-Cyrl-UZ" w:eastAsia="en-US"/>
        </w:rPr>
        <w:t>that are set out in new</w:t>
      </w:r>
      <w:r w:rsidR="00034FBD" w:rsidRPr="00E32515">
        <w:rPr>
          <w:rFonts w:cs="Arial"/>
          <w:sz w:val="24"/>
          <w:lang w:val="uz-Cyrl-UZ" w:eastAsia="en-US"/>
        </w:rPr>
        <w:t xml:space="preserve"> bilateral </w:t>
      </w:r>
      <w:r w:rsidR="005878E7" w:rsidRPr="00E32515">
        <w:rPr>
          <w:rFonts w:cs="Arial"/>
          <w:sz w:val="24"/>
          <w:lang w:val="uz-Cyrl-UZ" w:eastAsia="en-US"/>
        </w:rPr>
        <w:t>safeguards</w:t>
      </w:r>
      <w:r w:rsidR="00BB3B2C" w:rsidRPr="00E32515">
        <w:rPr>
          <w:rFonts w:cs="Arial"/>
          <w:sz w:val="24"/>
          <w:lang w:val="uz-Cyrl-UZ" w:eastAsia="en-US"/>
        </w:rPr>
        <w:t xml:space="preserve"> agreements</w:t>
      </w:r>
      <w:r w:rsidR="005878E7" w:rsidRPr="00E32515">
        <w:rPr>
          <w:rFonts w:cs="Arial"/>
          <w:sz w:val="24"/>
          <w:lang w:val="uz-Cyrl-UZ" w:eastAsia="en-US"/>
        </w:rPr>
        <w:t xml:space="preserve"> between</w:t>
      </w:r>
      <w:r w:rsidR="00BB3B2C" w:rsidRPr="00E32515">
        <w:rPr>
          <w:rFonts w:cs="Arial"/>
          <w:sz w:val="24"/>
          <w:lang w:val="uz-Cyrl-UZ" w:eastAsia="en-US"/>
        </w:rPr>
        <w:t xml:space="preserve"> the</w:t>
      </w:r>
      <w:r w:rsidR="005878E7" w:rsidRPr="00E32515">
        <w:rPr>
          <w:rFonts w:cs="Arial"/>
          <w:sz w:val="24"/>
          <w:lang w:val="uz-Cyrl-UZ" w:eastAsia="en-US"/>
        </w:rPr>
        <w:t xml:space="preserve"> UK and</w:t>
      </w:r>
      <w:r w:rsidR="00BB3B2C" w:rsidRPr="00E32515">
        <w:rPr>
          <w:rFonts w:cs="Arial"/>
          <w:sz w:val="24"/>
          <w:lang w:val="uz-Cyrl-UZ" w:eastAsia="en-US"/>
        </w:rPr>
        <w:t xml:space="preserve"> IAEA</w:t>
      </w:r>
      <w:r w:rsidR="005878E7" w:rsidRPr="00E32515">
        <w:rPr>
          <w:rFonts w:eastAsia="Arial" w:cs="Arial"/>
          <w:sz w:val="24"/>
          <w:lang w:val="uz-Cyrl-UZ" w:eastAsia="en-US"/>
        </w:rPr>
        <w:t>.</w:t>
      </w:r>
    </w:p>
    <w:p w14:paraId="5FC62455" w14:textId="1C8F7C44" w:rsidR="00B776E5" w:rsidRPr="00E32515" w:rsidRDefault="000F747A" w:rsidP="00EA0B86">
      <w:pPr>
        <w:spacing w:after="240"/>
        <w:ind w:right="-46"/>
        <w:jc w:val="both"/>
        <w:rPr>
          <w:rFonts w:cs="Arial"/>
          <w:sz w:val="24"/>
          <w:lang w:val="uz-Cyrl-UZ" w:eastAsia="en-US"/>
        </w:rPr>
      </w:pPr>
      <w:r w:rsidRPr="00E32515">
        <w:rPr>
          <w:rFonts w:cs="Arial"/>
          <w:sz w:val="24"/>
          <w:lang w:val="uz-Cyrl-UZ" w:eastAsia="en-US"/>
        </w:rPr>
        <w:t>Following the publication of pre-consultation draft regulations earlier this year and pre-consultat</w:t>
      </w:r>
      <w:r w:rsidR="00992EF0" w:rsidRPr="00E32515">
        <w:rPr>
          <w:rFonts w:cs="Arial"/>
          <w:sz w:val="24"/>
          <w:lang w:eastAsia="en-US"/>
        </w:rPr>
        <w:t>ion stakeholder</w:t>
      </w:r>
      <w:r w:rsidR="00C31683" w:rsidRPr="00E32515">
        <w:rPr>
          <w:rFonts w:eastAsia="Arial" w:cs="Arial"/>
          <w:sz w:val="24"/>
          <w:lang w:eastAsia="en-US"/>
        </w:rPr>
        <w:t xml:space="preserve"> </w:t>
      </w:r>
      <w:r w:rsidRPr="00E32515">
        <w:rPr>
          <w:rFonts w:cs="Arial"/>
          <w:sz w:val="24"/>
          <w:lang w:val="uz-Cyrl-UZ" w:eastAsia="en-US"/>
        </w:rPr>
        <w:t xml:space="preserve">engagement, the Government is updating </w:t>
      </w:r>
      <w:r w:rsidR="009B71C4" w:rsidRPr="00E32515">
        <w:rPr>
          <w:rFonts w:cs="Arial"/>
          <w:sz w:val="24"/>
          <w:lang w:eastAsia="en-US"/>
        </w:rPr>
        <w:t xml:space="preserve">the </w:t>
      </w:r>
      <w:r w:rsidRPr="00E32515">
        <w:rPr>
          <w:rFonts w:cs="Arial"/>
          <w:sz w:val="24"/>
          <w:lang w:val="uz-Cyrl-UZ" w:eastAsia="en-US"/>
        </w:rPr>
        <w:t>draft Nuclear Safeguards Regulations. The draft Nuclear Safeguards Regulations set out the detail of a new domestic civil nuclear safeguards regime that, in line with the commitments the Government has made</w:t>
      </w:r>
      <w:r w:rsidR="009B71C4" w:rsidRPr="00E32515">
        <w:rPr>
          <w:rFonts w:cs="Arial"/>
          <w:sz w:val="24"/>
          <w:lang w:eastAsia="en-US"/>
        </w:rPr>
        <w:t>,</w:t>
      </w:r>
      <w:r w:rsidR="00992EF0" w:rsidRPr="00E32515">
        <w:rPr>
          <w:rFonts w:cs="Arial"/>
          <w:sz w:val="24"/>
          <w:lang w:eastAsia="en-US"/>
        </w:rPr>
        <w:t xml:space="preserve"> will </w:t>
      </w:r>
      <w:r w:rsidR="009B71C4" w:rsidRPr="00E32515">
        <w:rPr>
          <w:rFonts w:cs="Arial"/>
          <w:sz w:val="24"/>
          <w:lang w:eastAsia="en-US"/>
        </w:rPr>
        <w:t xml:space="preserve">ultimately </w:t>
      </w:r>
      <w:r w:rsidR="00992EF0" w:rsidRPr="00E32515">
        <w:rPr>
          <w:rFonts w:cs="Arial"/>
          <w:sz w:val="24"/>
          <w:lang w:eastAsia="en-US"/>
        </w:rPr>
        <w:t>be</w:t>
      </w:r>
      <w:r w:rsidR="00C31683" w:rsidRPr="00E32515">
        <w:rPr>
          <w:rFonts w:eastAsia="Arial" w:cs="Arial"/>
          <w:sz w:val="24"/>
          <w:lang w:eastAsia="en-US"/>
        </w:rPr>
        <w:t xml:space="preserve"> </w:t>
      </w:r>
      <w:r w:rsidRPr="00E32515">
        <w:rPr>
          <w:rFonts w:cs="Arial"/>
          <w:sz w:val="24"/>
          <w:lang w:val="uz-Cyrl-UZ" w:eastAsia="en-US"/>
        </w:rPr>
        <w:t xml:space="preserve">robust and as comprehensive as that currently provided by Euratom. </w:t>
      </w:r>
    </w:p>
    <w:p w14:paraId="3D580B14" w14:textId="784FB542" w:rsidR="004A1AAC" w:rsidRDefault="008C35EE" w:rsidP="00EA0B86">
      <w:pPr>
        <w:spacing w:after="240"/>
        <w:ind w:right="-46"/>
        <w:jc w:val="both"/>
        <w:rPr>
          <w:rFonts w:eastAsia="Arial" w:cs="Arial"/>
          <w:sz w:val="24"/>
          <w:lang w:eastAsia="en-US"/>
        </w:rPr>
      </w:pPr>
      <w:r w:rsidRPr="00E32515">
        <w:rPr>
          <w:rFonts w:cs="Arial"/>
          <w:sz w:val="24"/>
          <w:lang w:eastAsia="en-US"/>
        </w:rPr>
        <w:t>T</w:t>
      </w:r>
      <w:r w:rsidR="000F747A" w:rsidRPr="00E32515">
        <w:rPr>
          <w:rFonts w:cs="Arial"/>
          <w:sz w:val="24"/>
          <w:lang w:val="uz-Cyrl-UZ" w:eastAsia="en-US"/>
        </w:rPr>
        <w:t>he draft Regulations will go out to consultation in July alongside the accompanying Impact Assessme</w:t>
      </w:r>
      <w:r w:rsidR="00992EF0" w:rsidRPr="00E32515">
        <w:rPr>
          <w:rFonts w:cs="Arial"/>
          <w:sz w:val="24"/>
          <w:lang w:eastAsia="en-US"/>
        </w:rPr>
        <w:t>nt</w:t>
      </w:r>
      <w:r w:rsidR="000F747A" w:rsidRPr="00E32515">
        <w:rPr>
          <w:rFonts w:cs="Arial"/>
          <w:sz w:val="24"/>
          <w:lang w:val="uz-Cyrl-UZ" w:eastAsia="en-US"/>
        </w:rPr>
        <w:t>.</w:t>
      </w:r>
      <w:r w:rsidR="00F261FB" w:rsidRPr="00E32515">
        <w:rPr>
          <w:rFonts w:eastAsia="Arial" w:cs="Arial"/>
          <w:sz w:val="24"/>
          <w:lang w:eastAsia="en-US"/>
        </w:rPr>
        <w:t xml:space="preserve"> </w:t>
      </w:r>
      <w:r w:rsidR="007C2DB6" w:rsidRPr="00E32515">
        <w:rPr>
          <w:rFonts w:cs="Arial"/>
          <w:sz w:val="24"/>
          <w:lang w:eastAsia="en-US"/>
        </w:rPr>
        <w:t xml:space="preserve">Over the course of the </w:t>
      </w:r>
      <w:r w:rsidR="00F261FB" w:rsidRPr="00E32515">
        <w:rPr>
          <w:rFonts w:cs="Arial"/>
          <w:sz w:val="24"/>
          <w:lang w:eastAsia="en-US"/>
        </w:rPr>
        <w:t xml:space="preserve">consultation period, the public </w:t>
      </w:r>
      <w:r w:rsidR="00214DB1" w:rsidRPr="00E32515">
        <w:rPr>
          <w:rFonts w:cs="Arial"/>
          <w:sz w:val="24"/>
          <w:lang w:eastAsia="en-US"/>
        </w:rPr>
        <w:t>and industry stakeholders</w:t>
      </w:r>
      <w:r w:rsidR="00214DB1" w:rsidRPr="00E32515">
        <w:rPr>
          <w:rFonts w:eastAsia="Arial" w:cs="Arial"/>
          <w:sz w:val="24"/>
          <w:lang w:eastAsia="en-US"/>
        </w:rPr>
        <w:t xml:space="preserve"> </w:t>
      </w:r>
      <w:r w:rsidR="00F261FB" w:rsidRPr="00E32515">
        <w:rPr>
          <w:rFonts w:cs="Arial"/>
          <w:sz w:val="24"/>
          <w:lang w:eastAsia="en-US"/>
        </w:rPr>
        <w:t>will be invit</w:t>
      </w:r>
      <w:r w:rsidR="006D7C67" w:rsidRPr="00E32515">
        <w:rPr>
          <w:rFonts w:cs="Arial"/>
          <w:sz w:val="24"/>
          <w:lang w:eastAsia="en-US"/>
        </w:rPr>
        <w:t xml:space="preserve">ed to submit comments </w:t>
      </w:r>
      <w:r w:rsidR="006861BD" w:rsidRPr="00E32515">
        <w:rPr>
          <w:rFonts w:cs="Arial"/>
          <w:sz w:val="24"/>
          <w:lang w:eastAsia="en-US"/>
        </w:rPr>
        <w:t xml:space="preserve">and </w:t>
      </w:r>
      <w:r w:rsidR="002839F3" w:rsidRPr="00E32515">
        <w:rPr>
          <w:rFonts w:cs="Arial"/>
          <w:sz w:val="24"/>
          <w:lang w:eastAsia="en-US"/>
        </w:rPr>
        <w:t>partic</w:t>
      </w:r>
      <w:r w:rsidR="00B16982" w:rsidRPr="00E32515">
        <w:rPr>
          <w:rFonts w:cs="Arial"/>
          <w:sz w:val="24"/>
          <w:lang w:eastAsia="en-US"/>
        </w:rPr>
        <w:t>ipate in</w:t>
      </w:r>
      <w:r w:rsidR="00603838" w:rsidRPr="00E32515">
        <w:rPr>
          <w:rFonts w:cs="Arial"/>
          <w:sz w:val="24"/>
          <w:lang w:eastAsia="en-US"/>
        </w:rPr>
        <w:t xml:space="preserve"> </w:t>
      </w:r>
      <w:r w:rsidR="00594577" w:rsidRPr="00E32515">
        <w:rPr>
          <w:rFonts w:cs="Arial"/>
          <w:sz w:val="24"/>
          <w:lang w:eastAsia="en-US"/>
        </w:rPr>
        <w:t xml:space="preserve">at least two </w:t>
      </w:r>
      <w:r w:rsidR="00603838" w:rsidRPr="00E32515">
        <w:rPr>
          <w:rFonts w:cs="Arial"/>
          <w:sz w:val="24"/>
          <w:lang w:eastAsia="en-US"/>
        </w:rPr>
        <w:t>planned consultation workshops</w:t>
      </w:r>
      <w:r w:rsidR="00603838" w:rsidRPr="00E32515">
        <w:rPr>
          <w:rFonts w:eastAsia="Arial" w:cs="Arial"/>
          <w:sz w:val="24"/>
          <w:lang w:eastAsia="en-US"/>
        </w:rPr>
        <w:t>.</w:t>
      </w:r>
      <w:r w:rsidR="000123C3" w:rsidRPr="00E32515">
        <w:rPr>
          <w:rFonts w:eastAsia="Arial" w:cs="Arial"/>
          <w:sz w:val="24"/>
          <w:lang w:eastAsia="en-US"/>
        </w:rPr>
        <w:t xml:space="preserve"> </w:t>
      </w:r>
      <w:r w:rsidR="001E0A3D" w:rsidRPr="00E32515">
        <w:rPr>
          <w:rFonts w:eastAsia="Arial" w:cs="Arial"/>
          <w:sz w:val="24"/>
        </w:rPr>
        <w:t xml:space="preserve"> The first will take place on 2 August at the Department for Business Energy and Industrial Strategy in London, and the second on 15</w:t>
      </w:r>
      <w:r w:rsidR="001B5803" w:rsidRPr="00E32515">
        <w:rPr>
          <w:rFonts w:eastAsia="Arial" w:cs="Arial"/>
          <w:sz w:val="24"/>
          <w:vertAlign w:val="superscript"/>
        </w:rPr>
        <w:t>th</w:t>
      </w:r>
      <w:r w:rsidR="001E0A3D" w:rsidRPr="00E32515">
        <w:rPr>
          <w:rFonts w:eastAsia="Arial" w:cs="Arial"/>
          <w:sz w:val="24"/>
        </w:rPr>
        <w:t xml:space="preserve"> August at the Manchester Conference Centre.</w:t>
      </w:r>
    </w:p>
    <w:p w14:paraId="5E4A848F" w14:textId="6EA988D7" w:rsidR="00936F18" w:rsidRPr="00E32515" w:rsidRDefault="0009154C" w:rsidP="00A42D15">
      <w:pPr>
        <w:spacing w:after="240"/>
        <w:ind w:right="409"/>
        <w:jc w:val="both"/>
        <w:outlineLvl w:val="0"/>
        <w:rPr>
          <w:rFonts w:eastAsia="Arial" w:cs="Arial"/>
          <w:b/>
          <w:sz w:val="28"/>
          <w:szCs w:val="28"/>
          <w:u w:val="single"/>
          <w:lang w:val="uz-Cyrl-UZ" w:eastAsia="en-US"/>
        </w:rPr>
      </w:pPr>
      <w:r w:rsidRPr="00E32515">
        <w:rPr>
          <w:rFonts w:eastAsia="Arial" w:cs="Arial"/>
          <w:b/>
          <w:sz w:val="28"/>
          <w:szCs w:val="28"/>
          <w:u w:val="single"/>
          <w:lang w:val="uz-Cyrl-UZ" w:eastAsia="en-US"/>
        </w:rPr>
        <w:t xml:space="preserve">Implementation </w:t>
      </w:r>
    </w:p>
    <w:p w14:paraId="03F9822C" w14:textId="62C0B05C" w:rsidR="00687A45" w:rsidRPr="00EA0B86" w:rsidRDefault="00FB7E08" w:rsidP="00EA0B86">
      <w:pPr>
        <w:spacing w:after="240"/>
        <w:ind w:right="-46"/>
        <w:jc w:val="both"/>
        <w:rPr>
          <w:rFonts w:eastAsia="Arial" w:cs="Arial"/>
          <w:sz w:val="24"/>
          <w:lang w:eastAsia="en-US"/>
        </w:rPr>
      </w:pPr>
      <w:r w:rsidRPr="00E32515">
        <w:rPr>
          <w:rFonts w:cs="Arial"/>
          <w:sz w:val="24"/>
          <w:lang w:val="uz-Cyrl-UZ" w:eastAsia="en-US"/>
        </w:rPr>
        <w:t>As set out in the Written Ministerial Statement of 16</w:t>
      </w:r>
      <w:r w:rsidRPr="00E32515">
        <w:rPr>
          <w:rFonts w:cs="Arial"/>
          <w:sz w:val="24"/>
          <w:vertAlign w:val="superscript"/>
          <w:lang w:val="uz-Cyrl-UZ" w:eastAsia="en-US"/>
        </w:rPr>
        <w:t>th</w:t>
      </w:r>
      <w:r w:rsidRPr="00E32515">
        <w:rPr>
          <w:rFonts w:cs="Arial"/>
          <w:sz w:val="24"/>
          <w:lang w:val="uz-Cyrl-UZ" w:eastAsia="en-US"/>
        </w:rPr>
        <w:t xml:space="preserve"> April 2018, the Government made a further £4.63m available as an advance from its Contingencies Fund to support the </w:t>
      </w:r>
      <w:r w:rsidR="0046039E" w:rsidRPr="00E32515">
        <w:rPr>
          <w:rFonts w:cs="Arial"/>
          <w:sz w:val="24"/>
          <w:lang w:val="uz-Cyrl-UZ" w:eastAsia="en-US"/>
        </w:rPr>
        <w:t>Office for Nuclear Regulation (</w:t>
      </w:r>
      <w:r w:rsidRPr="00E32515">
        <w:rPr>
          <w:rFonts w:cs="Arial"/>
          <w:sz w:val="24"/>
          <w:lang w:val="uz-Cyrl-UZ" w:eastAsia="en-US"/>
        </w:rPr>
        <w:t>ONR</w:t>
      </w:r>
      <w:r w:rsidR="0046039E" w:rsidRPr="00E32515">
        <w:rPr>
          <w:rFonts w:eastAsia="Arial" w:cs="Arial"/>
          <w:sz w:val="24"/>
          <w:lang w:val="uz-Cyrl-UZ" w:eastAsia="en-US"/>
        </w:rPr>
        <w:t>)</w:t>
      </w:r>
      <w:r w:rsidRPr="00E32515">
        <w:rPr>
          <w:rFonts w:cs="Arial"/>
          <w:sz w:val="24"/>
          <w:lang w:val="uz-Cyrl-UZ" w:eastAsia="en-US"/>
        </w:rPr>
        <w:t xml:space="preserve">’s preparations for a domestic civil nuclear </w:t>
      </w:r>
      <w:r w:rsidRPr="00E32515">
        <w:rPr>
          <w:rFonts w:cs="Arial"/>
          <w:sz w:val="24"/>
          <w:lang w:val="uz-Cyrl-UZ" w:eastAsia="en-US"/>
        </w:rPr>
        <w:lastRenderedPageBreak/>
        <w:t>safeguards regime</w:t>
      </w:r>
      <w:r w:rsidR="00992EF0" w:rsidRPr="00E32515">
        <w:rPr>
          <w:rFonts w:cs="Arial"/>
          <w:sz w:val="24"/>
          <w:lang w:eastAsia="en-US"/>
        </w:rPr>
        <w:t xml:space="preserve">, until the Nuclear Safeguards </w:t>
      </w:r>
      <w:r w:rsidR="00A77F0B" w:rsidRPr="00E32515">
        <w:rPr>
          <w:rFonts w:cs="Arial"/>
          <w:sz w:val="24"/>
          <w:lang w:eastAsia="en-US"/>
        </w:rPr>
        <w:t>Bill</w:t>
      </w:r>
      <w:r w:rsidR="00992EF0" w:rsidRPr="00E32515">
        <w:rPr>
          <w:rFonts w:cs="Arial"/>
          <w:sz w:val="24"/>
          <w:lang w:eastAsia="en-US"/>
        </w:rPr>
        <w:t xml:space="preserve"> </w:t>
      </w:r>
      <w:r w:rsidR="00E453F9" w:rsidRPr="00E32515">
        <w:rPr>
          <w:rFonts w:cs="Arial"/>
          <w:sz w:val="24"/>
          <w:lang w:eastAsia="en-US"/>
        </w:rPr>
        <w:t>receives</w:t>
      </w:r>
      <w:r w:rsidR="00992EF0" w:rsidRPr="00E32515">
        <w:rPr>
          <w:rFonts w:cs="Arial"/>
          <w:sz w:val="24"/>
          <w:lang w:eastAsia="en-US"/>
        </w:rPr>
        <w:t xml:space="preserve"> Royal Assent</w:t>
      </w:r>
      <w:r w:rsidRPr="00E32515">
        <w:rPr>
          <w:rFonts w:eastAsia="Arial" w:cs="Arial"/>
          <w:sz w:val="24"/>
          <w:lang w:val="uz-Cyrl-UZ" w:eastAsia="en-US"/>
        </w:rPr>
        <w:t>.</w:t>
      </w:r>
      <w:r w:rsidR="00BA39F7" w:rsidRPr="00E32515">
        <w:rPr>
          <w:rFonts w:eastAsia="Arial" w:cs="Arial"/>
          <w:sz w:val="24"/>
          <w:lang w:eastAsia="en-US"/>
        </w:rPr>
        <w:t xml:space="preserve"> The Department for Business, Energy &amp; Industrial Strategy will continue to allocate to ONR the funding necessary to enable it to establish a domestic civil nuclear safeguards regime that meets international obligations for nuclear safeguards upon </w:t>
      </w:r>
      <w:r w:rsidR="00012182" w:rsidRPr="00E32515">
        <w:rPr>
          <w:rFonts w:eastAsia="Arial" w:cs="Arial"/>
          <w:sz w:val="24"/>
          <w:lang w:eastAsia="en-US"/>
        </w:rPr>
        <w:t>withdrawal from Euratom.</w:t>
      </w:r>
    </w:p>
    <w:p w14:paraId="484FB5D0" w14:textId="153AB342" w:rsidR="007801A9" w:rsidRPr="00EA0B86" w:rsidRDefault="00EF2C99" w:rsidP="00EA0B86">
      <w:pPr>
        <w:spacing w:after="240"/>
        <w:ind w:right="-46"/>
        <w:jc w:val="both"/>
        <w:rPr>
          <w:rFonts w:cs="Arial"/>
          <w:sz w:val="24"/>
          <w:lang w:eastAsia="en-US"/>
        </w:rPr>
      </w:pPr>
      <w:r w:rsidRPr="00E32515">
        <w:rPr>
          <w:rFonts w:cs="Arial"/>
          <w:sz w:val="24"/>
          <w:lang w:eastAsia="en-US"/>
        </w:rPr>
        <w:t>The Government recognises the i</w:t>
      </w:r>
      <w:r w:rsidR="00972E01" w:rsidRPr="00E32515">
        <w:rPr>
          <w:rFonts w:cs="Arial"/>
          <w:sz w:val="24"/>
          <w:lang w:eastAsia="en-US"/>
        </w:rPr>
        <w:t>mportance of providing certainty on future charging arrangements</w:t>
      </w:r>
      <w:r w:rsidR="0082605A" w:rsidRPr="00E32515">
        <w:rPr>
          <w:rFonts w:eastAsia="Arial" w:cs="Arial"/>
          <w:sz w:val="24"/>
          <w:lang w:eastAsia="en-US"/>
        </w:rPr>
        <w:t>.</w:t>
      </w:r>
      <w:r w:rsidR="00FA11FD" w:rsidRPr="00E32515">
        <w:rPr>
          <w:rFonts w:eastAsia="Arial" w:cs="Arial"/>
          <w:sz w:val="24"/>
          <w:lang w:eastAsia="en-US"/>
        </w:rPr>
        <w:t xml:space="preserve"> </w:t>
      </w:r>
      <w:r w:rsidR="006D7C67" w:rsidRPr="00E32515">
        <w:rPr>
          <w:rFonts w:cs="Arial"/>
          <w:sz w:val="24"/>
          <w:lang w:eastAsia="en-US"/>
        </w:rPr>
        <w:t xml:space="preserve">The </w:t>
      </w:r>
      <w:r w:rsidR="009B71C4" w:rsidRPr="00E32515">
        <w:rPr>
          <w:rFonts w:cs="Arial"/>
          <w:sz w:val="24"/>
          <w:lang w:eastAsia="en-US"/>
        </w:rPr>
        <w:t>issue</w:t>
      </w:r>
      <w:r w:rsidR="006D7C67" w:rsidRPr="00E32515">
        <w:rPr>
          <w:rFonts w:cs="Arial"/>
          <w:sz w:val="24"/>
          <w:lang w:eastAsia="en-US"/>
        </w:rPr>
        <w:t xml:space="preserve"> of charging will </w:t>
      </w:r>
      <w:r w:rsidR="00972E01" w:rsidRPr="00E32515">
        <w:rPr>
          <w:rFonts w:cs="Arial"/>
          <w:sz w:val="24"/>
          <w:lang w:eastAsia="en-US"/>
        </w:rPr>
        <w:t xml:space="preserve">therefore </w:t>
      </w:r>
      <w:r w:rsidR="006D7C67" w:rsidRPr="00E32515">
        <w:rPr>
          <w:rFonts w:cs="Arial"/>
          <w:sz w:val="24"/>
          <w:lang w:eastAsia="en-US"/>
        </w:rPr>
        <w:t>be set out in the public consultation on the draft Nuclear Safeguards Regulations</w:t>
      </w:r>
      <w:r w:rsidR="00972E01" w:rsidRPr="00E32515">
        <w:rPr>
          <w:rFonts w:cs="Arial"/>
          <w:sz w:val="24"/>
          <w:lang w:eastAsia="en-US"/>
        </w:rPr>
        <w:t>. No decision has yet been made on whether it will be appropriate, at some point, to put in place charging arrangements</w:t>
      </w:r>
      <w:r w:rsidR="00972E01" w:rsidRPr="00E32515">
        <w:rPr>
          <w:rFonts w:eastAsia="Arial" w:cs="Arial"/>
          <w:sz w:val="24"/>
          <w:lang w:eastAsia="en-US"/>
        </w:rPr>
        <w:t xml:space="preserve"> </w:t>
      </w:r>
      <w:r w:rsidR="00972E01" w:rsidRPr="00E32515">
        <w:rPr>
          <w:rFonts w:cs="Arial"/>
          <w:sz w:val="24"/>
          <w:lang w:eastAsia="en-US"/>
        </w:rPr>
        <w:t xml:space="preserve">on the nuclear industry to fund the on-going operation of the new safeguards regime similar to those that exist for regulatory work carried out by the ONR on safety and security. Any </w:t>
      </w:r>
      <w:r w:rsidR="006D7C67" w:rsidRPr="00E32515">
        <w:rPr>
          <w:rFonts w:cs="Arial"/>
          <w:sz w:val="24"/>
          <w:lang w:eastAsia="en-US"/>
        </w:rPr>
        <w:t xml:space="preserve">final decision </w:t>
      </w:r>
      <w:r w:rsidR="00972E01" w:rsidRPr="00E32515">
        <w:rPr>
          <w:rFonts w:cs="Arial"/>
          <w:sz w:val="24"/>
          <w:lang w:eastAsia="en-US"/>
        </w:rPr>
        <w:t xml:space="preserve">would </w:t>
      </w:r>
      <w:r w:rsidR="0099160E" w:rsidRPr="00E32515">
        <w:rPr>
          <w:rFonts w:cs="Arial"/>
          <w:sz w:val="24"/>
          <w:lang w:val="uz-Cyrl-UZ" w:eastAsia="en-US"/>
        </w:rPr>
        <w:t xml:space="preserve">be informed by </w:t>
      </w:r>
      <w:r w:rsidR="00A1355B" w:rsidRPr="00E32515">
        <w:rPr>
          <w:rFonts w:cs="Arial"/>
          <w:sz w:val="24"/>
          <w:lang w:eastAsia="en-US"/>
        </w:rPr>
        <w:t xml:space="preserve">a further detailed </w:t>
      </w:r>
      <w:r w:rsidR="0099160E" w:rsidRPr="00E32515">
        <w:rPr>
          <w:rFonts w:cs="Arial"/>
          <w:sz w:val="24"/>
          <w:lang w:val="uz-Cyrl-UZ" w:eastAsia="en-US"/>
        </w:rPr>
        <w:t>consultation</w:t>
      </w:r>
      <w:r w:rsidR="00935F8E" w:rsidRPr="00E32515">
        <w:rPr>
          <w:rFonts w:cs="Arial"/>
          <w:sz w:val="24"/>
          <w:lang w:eastAsia="en-US"/>
        </w:rPr>
        <w:t xml:space="preserve"> </w:t>
      </w:r>
      <w:r w:rsidR="0099160E" w:rsidRPr="00E32515">
        <w:rPr>
          <w:rFonts w:cs="Arial"/>
          <w:sz w:val="24"/>
          <w:lang w:val="uz-Cyrl-UZ" w:eastAsia="en-US"/>
        </w:rPr>
        <w:t xml:space="preserve">later this year. </w:t>
      </w:r>
    </w:p>
    <w:p w14:paraId="51DBB46C" w14:textId="07FBABCB" w:rsidR="001250C5" w:rsidRPr="00E32515" w:rsidRDefault="008506BD" w:rsidP="00EA0B86">
      <w:pPr>
        <w:spacing w:after="240"/>
        <w:ind w:right="-46"/>
        <w:jc w:val="both"/>
        <w:rPr>
          <w:rFonts w:eastAsia="Arial" w:cs="Arial"/>
          <w:sz w:val="24"/>
          <w:lang w:val="uz-Cyrl-UZ" w:eastAsia="en-US"/>
        </w:rPr>
      </w:pPr>
      <w:r w:rsidRPr="00E32515">
        <w:rPr>
          <w:rFonts w:cs="Arial"/>
          <w:sz w:val="24"/>
          <w:lang w:eastAsia="en-US"/>
        </w:rPr>
        <w:t>On 25</w:t>
      </w:r>
      <w:r w:rsidR="001B5803" w:rsidRPr="00E32515">
        <w:rPr>
          <w:rFonts w:cs="Arial"/>
          <w:sz w:val="24"/>
          <w:vertAlign w:val="superscript"/>
          <w:lang w:eastAsia="en-US"/>
        </w:rPr>
        <w:t>th</w:t>
      </w:r>
      <w:r w:rsidRPr="00E32515">
        <w:rPr>
          <w:rFonts w:cs="Arial"/>
          <w:sz w:val="24"/>
          <w:lang w:eastAsia="en-US"/>
        </w:rPr>
        <w:t xml:space="preserve"> May</w:t>
      </w:r>
      <w:r w:rsidR="00F85165" w:rsidRPr="00E32515">
        <w:rPr>
          <w:rFonts w:cs="Arial"/>
          <w:sz w:val="24"/>
          <w:lang w:eastAsia="en-US"/>
        </w:rPr>
        <w:t xml:space="preserve"> t</w:t>
      </w:r>
      <w:r w:rsidR="0046039E" w:rsidRPr="00E32515">
        <w:rPr>
          <w:rFonts w:cs="Arial"/>
          <w:sz w:val="24"/>
          <w:lang w:val="uz-Cyrl-UZ" w:eastAsia="en-US"/>
        </w:rPr>
        <w:t xml:space="preserve">he ONR </w:t>
      </w:r>
      <w:r w:rsidRPr="00E32515">
        <w:rPr>
          <w:rFonts w:cs="Arial"/>
          <w:sz w:val="24"/>
          <w:lang w:eastAsia="en-US"/>
        </w:rPr>
        <w:t>awarded</w:t>
      </w:r>
      <w:r w:rsidR="00F85165" w:rsidRPr="00E32515">
        <w:rPr>
          <w:rFonts w:cs="Arial"/>
          <w:sz w:val="24"/>
          <w:lang w:eastAsia="en-US"/>
        </w:rPr>
        <w:t xml:space="preserve"> an</w:t>
      </w:r>
      <w:r w:rsidR="00B50E27" w:rsidRPr="00E32515">
        <w:rPr>
          <w:rFonts w:eastAsia="Arial" w:cs="Arial"/>
          <w:sz w:val="24"/>
          <w:lang w:val="uz-Cyrl-UZ" w:eastAsia="en-US"/>
        </w:rPr>
        <w:t xml:space="preserve"> </w:t>
      </w:r>
      <w:r w:rsidR="00992EF0" w:rsidRPr="00E32515">
        <w:rPr>
          <w:rFonts w:cs="Arial"/>
          <w:sz w:val="24"/>
          <w:lang w:val="uz-Cyrl-UZ" w:eastAsia="en-US"/>
        </w:rPr>
        <w:t xml:space="preserve">IT contract </w:t>
      </w:r>
      <w:r w:rsidR="00992EF0" w:rsidRPr="00E32515">
        <w:rPr>
          <w:rFonts w:cs="Arial"/>
          <w:sz w:val="24"/>
          <w:lang w:eastAsia="en-US"/>
        </w:rPr>
        <w:t xml:space="preserve">for the </w:t>
      </w:r>
      <w:r w:rsidR="00C331F1" w:rsidRPr="00E32515">
        <w:rPr>
          <w:rFonts w:cs="Arial"/>
          <w:sz w:val="24"/>
          <w:lang w:val="uz-Cyrl-UZ" w:eastAsia="en-US"/>
        </w:rPr>
        <w:t>Safeguards Information Management and Reporting System</w:t>
      </w:r>
      <w:r w:rsidR="002258E8" w:rsidRPr="00E32515">
        <w:rPr>
          <w:rFonts w:cs="Arial"/>
          <w:sz w:val="24"/>
          <w:lang w:eastAsia="en-US"/>
        </w:rPr>
        <w:t>. The ONR</w:t>
      </w:r>
      <w:r w:rsidR="003076AE" w:rsidRPr="00E32515">
        <w:rPr>
          <w:rFonts w:cs="Arial"/>
          <w:sz w:val="24"/>
          <w:lang w:val="uz-Cyrl-UZ" w:eastAsia="en-US"/>
        </w:rPr>
        <w:t xml:space="preserve"> are confident that this system will be in place and operable by the end of 2018, providing the opportunity for extensive testing</w:t>
      </w:r>
      <w:r w:rsidR="00BC3476" w:rsidRPr="00E32515">
        <w:rPr>
          <w:rFonts w:eastAsia="Arial" w:cs="Arial"/>
          <w:sz w:val="24"/>
          <w:lang w:val="uz-Cyrl-UZ" w:eastAsia="en-US"/>
        </w:rPr>
        <w:t>.</w:t>
      </w:r>
      <w:r w:rsidR="003076AE" w:rsidRPr="00E32515">
        <w:rPr>
          <w:rFonts w:eastAsia="Arial" w:cs="Arial"/>
          <w:sz w:val="24"/>
          <w:lang w:val="uz-Cyrl-UZ" w:eastAsia="en-US"/>
        </w:rPr>
        <w:t xml:space="preserve"> </w:t>
      </w:r>
      <w:r w:rsidR="0042608F" w:rsidRPr="00E32515">
        <w:rPr>
          <w:rFonts w:cs="Arial"/>
          <w:sz w:val="24"/>
          <w:lang w:val="uz-Cyrl-UZ" w:eastAsia="en-US"/>
        </w:rPr>
        <w:t xml:space="preserve">The system will enable ONR </w:t>
      </w:r>
      <w:r w:rsidR="005677B8" w:rsidRPr="00E32515">
        <w:rPr>
          <w:rFonts w:cs="Arial"/>
          <w:sz w:val="24"/>
          <w:lang w:val="uz-Cyrl-UZ" w:eastAsia="en-US"/>
        </w:rPr>
        <w:t>to receive</w:t>
      </w:r>
      <w:r w:rsidR="0042608F" w:rsidRPr="00E32515">
        <w:rPr>
          <w:rFonts w:cs="Arial"/>
          <w:sz w:val="24"/>
          <w:lang w:val="uz-Cyrl-UZ" w:eastAsia="en-US"/>
        </w:rPr>
        <w:t xml:space="preserve">, process and ensure timely submission to the IAEA of all the Nuclear Materials Accountancy </w:t>
      </w:r>
      <w:r w:rsidR="00DC474D" w:rsidRPr="00E32515">
        <w:rPr>
          <w:rFonts w:cs="Arial"/>
          <w:sz w:val="24"/>
          <w:lang w:eastAsia="en-US"/>
        </w:rPr>
        <w:t>I</w:t>
      </w:r>
      <w:r w:rsidR="0042608F" w:rsidRPr="00E32515">
        <w:rPr>
          <w:rFonts w:cs="Arial"/>
          <w:sz w:val="24"/>
          <w:lang w:val="uz-Cyrl-UZ" w:eastAsia="en-US"/>
        </w:rPr>
        <w:t xml:space="preserve">nformation and other safeguards reports required by </w:t>
      </w:r>
      <w:r w:rsidR="009B71C4" w:rsidRPr="00E32515">
        <w:rPr>
          <w:rFonts w:cs="Arial"/>
          <w:sz w:val="24"/>
          <w:lang w:eastAsia="en-US"/>
        </w:rPr>
        <w:t xml:space="preserve">the new </w:t>
      </w:r>
      <w:r w:rsidR="0042608F" w:rsidRPr="00E32515">
        <w:rPr>
          <w:rFonts w:cs="Arial"/>
          <w:sz w:val="24"/>
          <w:lang w:val="uz-Cyrl-UZ" w:eastAsia="en-US"/>
        </w:rPr>
        <w:t>safeguards agreement</w:t>
      </w:r>
      <w:r w:rsidR="009B71C4" w:rsidRPr="00E32515">
        <w:rPr>
          <w:rFonts w:cs="Arial"/>
          <w:sz w:val="24"/>
          <w:lang w:eastAsia="en-US"/>
        </w:rPr>
        <w:t>s</w:t>
      </w:r>
      <w:r w:rsidR="0042608F" w:rsidRPr="00E32515">
        <w:rPr>
          <w:rFonts w:cs="Arial"/>
          <w:sz w:val="24"/>
          <w:lang w:val="uz-Cyrl-UZ" w:eastAsia="en-US"/>
        </w:rPr>
        <w:t xml:space="preserve"> with the IAEA, and submission to supplier states of the reports required by NCAs</w:t>
      </w:r>
      <w:r w:rsidR="007E7606" w:rsidRPr="00E32515">
        <w:rPr>
          <w:rFonts w:eastAsia="Arial" w:cs="Arial"/>
          <w:sz w:val="24"/>
          <w:lang w:val="uz-Cyrl-UZ" w:eastAsia="en-US"/>
        </w:rPr>
        <w:t xml:space="preserve">. </w:t>
      </w:r>
    </w:p>
    <w:p w14:paraId="09DDC2AB" w14:textId="5CFA42CB" w:rsidR="00E10C3E" w:rsidRPr="00EA0B86" w:rsidRDefault="0050339E" w:rsidP="00EA0B86">
      <w:pPr>
        <w:spacing w:after="240"/>
        <w:ind w:right="-46"/>
        <w:jc w:val="both"/>
        <w:rPr>
          <w:rFonts w:eastAsia="Arial" w:cs="Arial"/>
          <w:sz w:val="24"/>
          <w:lang w:val="uz-Cyrl-UZ" w:eastAsia="en-US"/>
        </w:rPr>
      </w:pPr>
      <w:r w:rsidRPr="00E32515">
        <w:rPr>
          <w:rFonts w:cs="Arial"/>
          <w:sz w:val="24"/>
          <w:lang w:eastAsia="en-US"/>
        </w:rPr>
        <w:t>The ONR estimates that they will require a minimum of 9 safeguards inspectors to deliver a domestic safeguards regime that enables the UK to meet international obligations, with the precise number depending on the exact requirements of the domestic regime to be set out in regulations</w:t>
      </w:r>
      <w:r w:rsidR="00F328C7" w:rsidRPr="00E32515">
        <w:rPr>
          <w:rFonts w:eastAsia="Arial" w:cs="Arial"/>
          <w:sz w:val="24"/>
          <w:lang w:eastAsia="en-US"/>
        </w:rPr>
        <w:t xml:space="preserve">. </w:t>
      </w:r>
      <w:r w:rsidR="00E10C3E" w:rsidRPr="00E32515">
        <w:rPr>
          <w:rFonts w:cs="Arial"/>
          <w:sz w:val="24"/>
          <w:lang w:val="uz-Cyrl-UZ" w:eastAsia="en-US"/>
        </w:rPr>
        <w:t xml:space="preserve">13 ONR safeguards officers </w:t>
      </w:r>
      <w:r w:rsidR="00D52F0C" w:rsidRPr="00E32515">
        <w:rPr>
          <w:rFonts w:cs="Arial"/>
          <w:sz w:val="24"/>
          <w:lang w:eastAsia="en-US"/>
        </w:rPr>
        <w:t xml:space="preserve">are currently </w:t>
      </w:r>
      <w:r w:rsidR="00E10C3E" w:rsidRPr="00E32515">
        <w:rPr>
          <w:rFonts w:cs="Arial"/>
          <w:sz w:val="24"/>
          <w:lang w:val="uz-Cyrl-UZ" w:eastAsia="en-US"/>
        </w:rPr>
        <w:t>in post undergoing training with a 14</w:t>
      </w:r>
      <w:r w:rsidR="00E10C3E" w:rsidRPr="00E32515">
        <w:rPr>
          <w:rFonts w:cs="Arial"/>
          <w:sz w:val="24"/>
          <w:vertAlign w:val="superscript"/>
          <w:lang w:val="uz-Cyrl-UZ" w:eastAsia="en-US"/>
        </w:rPr>
        <w:t>th</w:t>
      </w:r>
      <w:r w:rsidR="00E10C3E" w:rsidRPr="00E32515">
        <w:rPr>
          <w:rFonts w:cs="Arial"/>
          <w:sz w:val="24"/>
          <w:lang w:val="uz-Cyrl-UZ" w:eastAsia="en-US"/>
        </w:rPr>
        <w:t xml:space="preserve"> individual due to join ONR shortly.  The ONR </w:t>
      </w:r>
      <w:r w:rsidR="00757E5C" w:rsidRPr="00E32515">
        <w:rPr>
          <w:rFonts w:cs="Arial"/>
          <w:sz w:val="24"/>
          <w:lang w:eastAsia="en-US"/>
        </w:rPr>
        <w:t>are</w:t>
      </w:r>
      <w:r w:rsidR="00E10C3E" w:rsidRPr="00E32515">
        <w:rPr>
          <w:rFonts w:cs="Arial"/>
          <w:sz w:val="24"/>
          <w:lang w:val="uz-Cyrl-UZ" w:eastAsia="en-US"/>
        </w:rPr>
        <w:t xml:space="preserve"> confident it will have the necessary number of warranted inspectors in place to enable the UK to meet international obligations by the time of the UK’s exit from Euratom</w:t>
      </w:r>
      <w:r w:rsidR="00E10C3E" w:rsidRPr="00E32515">
        <w:rPr>
          <w:rFonts w:eastAsia="Arial" w:cs="Arial"/>
          <w:sz w:val="24"/>
          <w:lang w:val="uz-Cyrl-UZ" w:eastAsia="en-US"/>
        </w:rPr>
        <w:t xml:space="preserve">. </w:t>
      </w:r>
    </w:p>
    <w:p w14:paraId="2E360CC2" w14:textId="07E13A7E" w:rsidR="009F1803" w:rsidRPr="00EA0B86" w:rsidRDefault="007E7606" w:rsidP="00EA0B86">
      <w:pPr>
        <w:spacing w:after="240"/>
        <w:ind w:right="-46"/>
        <w:jc w:val="both"/>
        <w:rPr>
          <w:rFonts w:eastAsia="Arial" w:cs="Arial"/>
          <w:sz w:val="24"/>
        </w:rPr>
      </w:pPr>
      <w:r w:rsidRPr="00E32515">
        <w:rPr>
          <w:rFonts w:cs="Arial"/>
          <w:sz w:val="24"/>
        </w:rPr>
        <w:t xml:space="preserve">As set out in the draft Withdrawal Agreement text published in March, the UK and European Commission have agreed in principle that the UK will take ownership of Euratom equipment in the UK </w:t>
      </w:r>
      <w:r w:rsidR="005531B3" w:rsidRPr="00E32515">
        <w:rPr>
          <w:rFonts w:cs="Arial"/>
          <w:sz w:val="24"/>
        </w:rPr>
        <w:t xml:space="preserve">once </w:t>
      </w:r>
      <w:r w:rsidR="00946268" w:rsidRPr="00E32515">
        <w:rPr>
          <w:rFonts w:cs="Arial"/>
          <w:sz w:val="24"/>
        </w:rPr>
        <w:t xml:space="preserve">Euratom provisions no longer apply in the UK. </w:t>
      </w:r>
      <w:r w:rsidR="009C29A8" w:rsidRPr="00E32515">
        <w:rPr>
          <w:rFonts w:cs="Arial"/>
          <w:sz w:val="24"/>
        </w:rPr>
        <w:t>The Government</w:t>
      </w:r>
      <w:r w:rsidRPr="00E32515">
        <w:rPr>
          <w:rFonts w:cs="Arial"/>
          <w:sz w:val="24"/>
        </w:rPr>
        <w:t xml:space="preserve"> continu</w:t>
      </w:r>
      <w:r w:rsidR="009C29A8" w:rsidRPr="00E32515">
        <w:rPr>
          <w:rFonts w:cs="Arial"/>
          <w:sz w:val="24"/>
        </w:rPr>
        <w:t>es discussions with the European Commission</w:t>
      </w:r>
      <w:r w:rsidRPr="00E32515">
        <w:rPr>
          <w:rFonts w:cs="Arial"/>
          <w:sz w:val="24"/>
        </w:rPr>
        <w:t xml:space="preserve"> </w:t>
      </w:r>
      <w:r w:rsidR="00E453F9" w:rsidRPr="00E32515">
        <w:rPr>
          <w:rFonts w:cs="Arial"/>
          <w:sz w:val="24"/>
        </w:rPr>
        <w:t>on appropriate</w:t>
      </w:r>
      <w:r w:rsidRPr="00E32515">
        <w:rPr>
          <w:rFonts w:cs="Arial"/>
          <w:sz w:val="24"/>
        </w:rPr>
        <w:t xml:space="preserve"> handover </w:t>
      </w:r>
      <w:r w:rsidR="00E453F9" w:rsidRPr="00E32515">
        <w:rPr>
          <w:rFonts w:cs="Arial"/>
          <w:sz w:val="24"/>
        </w:rPr>
        <w:t>arrangements</w:t>
      </w:r>
      <w:r w:rsidRPr="00E32515">
        <w:rPr>
          <w:rFonts w:cs="Arial"/>
          <w:sz w:val="24"/>
        </w:rPr>
        <w:t>.</w:t>
      </w:r>
      <w:r w:rsidR="00530EBA" w:rsidRPr="00E32515">
        <w:rPr>
          <w:rFonts w:eastAsia="Arial" w:cs="Arial"/>
          <w:sz w:val="24"/>
        </w:rPr>
        <w:t xml:space="preserve"> </w:t>
      </w:r>
    </w:p>
    <w:p w14:paraId="1E419195" w14:textId="476EA16A" w:rsidR="00BC2AB6" w:rsidRPr="00EA0B86" w:rsidRDefault="009F1803" w:rsidP="00EA0B86">
      <w:pPr>
        <w:spacing w:after="240"/>
        <w:ind w:right="-46"/>
        <w:jc w:val="both"/>
        <w:rPr>
          <w:rFonts w:eastAsia="Arial" w:cs="Arial"/>
          <w:color w:val="70AD47" w:themeColor="accent6"/>
          <w:sz w:val="24"/>
        </w:rPr>
      </w:pPr>
      <w:r w:rsidRPr="00E32515">
        <w:rPr>
          <w:rFonts w:cs="Arial"/>
          <w:sz w:val="24"/>
        </w:rPr>
        <w:t xml:space="preserve">The </w:t>
      </w:r>
      <w:r w:rsidR="00043F38" w:rsidRPr="00E32515">
        <w:rPr>
          <w:rFonts w:cs="Arial"/>
          <w:sz w:val="24"/>
        </w:rPr>
        <w:t xml:space="preserve">IAEA </w:t>
      </w:r>
      <w:r w:rsidRPr="00E32515">
        <w:rPr>
          <w:rFonts w:cs="Arial"/>
          <w:sz w:val="24"/>
        </w:rPr>
        <w:t xml:space="preserve">is </w:t>
      </w:r>
      <w:r w:rsidR="009B71C4" w:rsidRPr="00E32515">
        <w:rPr>
          <w:rFonts w:cs="Arial"/>
          <w:sz w:val="24"/>
        </w:rPr>
        <w:t xml:space="preserve">working with the UK in respect of </w:t>
      </w:r>
      <w:r w:rsidR="00043F38" w:rsidRPr="00E32515">
        <w:rPr>
          <w:rFonts w:cs="Arial"/>
          <w:sz w:val="24"/>
        </w:rPr>
        <w:t xml:space="preserve">the </w:t>
      </w:r>
      <w:r w:rsidR="009B71C4" w:rsidRPr="00E32515">
        <w:rPr>
          <w:rFonts w:cs="Arial"/>
          <w:sz w:val="24"/>
        </w:rPr>
        <w:t xml:space="preserve">future </w:t>
      </w:r>
      <w:r w:rsidR="00043F38" w:rsidRPr="00E32515">
        <w:rPr>
          <w:rFonts w:cs="Arial"/>
          <w:sz w:val="24"/>
        </w:rPr>
        <w:t xml:space="preserve">handover process </w:t>
      </w:r>
      <w:r w:rsidR="005A0FDE" w:rsidRPr="00E32515">
        <w:rPr>
          <w:rFonts w:cs="Arial"/>
          <w:sz w:val="24"/>
        </w:rPr>
        <w:t xml:space="preserve">from </w:t>
      </w:r>
      <w:r w:rsidR="009B71C4" w:rsidRPr="00E32515">
        <w:rPr>
          <w:rFonts w:cs="Arial"/>
          <w:sz w:val="24"/>
        </w:rPr>
        <w:t>j</w:t>
      </w:r>
      <w:r w:rsidR="005A0FDE" w:rsidRPr="00E32515">
        <w:rPr>
          <w:rFonts w:cs="Arial"/>
          <w:sz w:val="24"/>
        </w:rPr>
        <w:t>oint Euratom inspections to IAEA</w:t>
      </w:r>
      <w:r w:rsidRPr="00E32515">
        <w:rPr>
          <w:rFonts w:eastAsia="Arial" w:cs="Arial"/>
          <w:sz w:val="24"/>
        </w:rPr>
        <w:t>-</w:t>
      </w:r>
      <w:r w:rsidR="005A0FDE" w:rsidRPr="00E32515">
        <w:rPr>
          <w:rFonts w:cs="Arial"/>
          <w:sz w:val="24"/>
        </w:rPr>
        <w:t>only inspections</w:t>
      </w:r>
      <w:r w:rsidR="00E13215" w:rsidRPr="00E32515">
        <w:rPr>
          <w:rFonts w:eastAsia="Arial" w:cs="Arial"/>
          <w:sz w:val="24"/>
        </w:rPr>
        <w:t>.</w:t>
      </w:r>
    </w:p>
    <w:p w14:paraId="17E4861D" w14:textId="4A8CD3DB" w:rsidR="00936F18" w:rsidRPr="00E32515" w:rsidRDefault="0009154C" w:rsidP="00A42D15">
      <w:pPr>
        <w:spacing w:after="240"/>
        <w:ind w:right="409"/>
        <w:jc w:val="both"/>
        <w:outlineLvl w:val="0"/>
        <w:rPr>
          <w:rFonts w:eastAsia="Arial" w:cs="Arial"/>
          <w:b/>
          <w:bCs/>
          <w:sz w:val="28"/>
          <w:szCs w:val="28"/>
          <w:u w:val="single"/>
        </w:rPr>
      </w:pPr>
      <w:r w:rsidRPr="00E32515">
        <w:rPr>
          <w:rFonts w:cs="Arial"/>
          <w:b/>
          <w:bCs/>
          <w:sz w:val="28"/>
          <w:szCs w:val="28"/>
          <w:u w:val="single"/>
        </w:rPr>
        <w:t>Research &amp; Training</w:t>
      </w:r>
    </w:p>
    <w:p w14:paraId="393D7F24" w14:textId="77777777" w:rsidR="00EA0B86" w:rsidRDefault="000F747A" w:rsidP="00EA0B86">
      <w:pPr>
        <w:spacing w:after="240"/>
        <w:jc w:val="both"/>
        <w:rPr>
          <w:rFonts w:cs="Arial"/>
          <w:sz w:val="24"/>
        </w:rPr>
      </w:pPr>
      <w:r w:rsidRPr="00E32515">
        <w:rPr>
          <w:rFonts w:cs="Arial"/>
          <w:sz w:val="24"/>
        </w:rPr>
        <w:t>The</w:t>
      </w:r>
      <w:r w:rsidR="00271BDB" w:rsidRPr="00E32515">
        <w:rPr>
          <w:rFonts w:cs="Arial"/>
          <w:sz w:val="24"/>
        </w:rPr>
        <w:t xml:space="preserve"> Government</w:t>
      </w:r>
      <w:r w:rsidRPr="00E32515">
        <w:rPr>
          <w:rFonts w:eastAsia="Arial" w:cs="Arial"/>
          <w:sz w:val="24"/>
        </w:rPr>
        <w:t xml:space="preserve"> </w:t>
      </w:r>
      <w:r w:rsidR="00F8325F" w:rsidRPr="00E32515">
        <w:rPr>
          <w:rFonts w:cs="Arial"/>
          <w:sz w:val="24"/>
        </w:rPr>
        <w:t>is taking steps to</w:t>
      </w:r>
      <w:r w:rsidRPr="00E32515">
        <w:rPr>
          <w:rFonts w:cs="Arial"/>
          <w:sz w:val="24"/>
        </w:rPr>
        <w:t xml:space="preserve"> assure the EU of </w:t>
      </w:r>
      <w:r w:rsidR="00BE6E82" w:rsidRPr="00E32515">
        <w:rPr>
          <w:rFonts w:cs="Arial"/>
          <w:sz w:val="24"/>
        </w:rPr>
        <w:t>its</w:t>
      </w:r>
      <w:r w:rsidRPr="00E32515">
        <w:rPr>
          <w:rFonts w:cs="Arial"/>
          <w:sz w:val="24"/>
        </w:rPr>
        <w:t xml:space="preserve"> commitment to ongoing collaboration in Science and Innovation, and to working together on a mutually beneficial outcome</w:t>
      </w:r>
      <w:r w:rsidR="000D4E42" w:rsidRPr="00E32515">
        <w:rPr>
          <w:rFonts w:eastAsia="Arial" w:cs="Arial"/>
          <w:sz w:val="24"/>
        </w:rPr>
        <w:t xml:space="preserve">. </w:t>
      </w:r>
      <w:r w:rsidR="000D4E42" w:rsidRPr="00E32515">
        <w:rPr>
          <w:rFonts w:cs="Arial"/>
          <w:sz w:val="24"/>
        </w:rPr>
        <w:t>On 22</w:t>
      </w:r>
      <w:r w:rsidR="001B5803" w:rsidRPr="00E32515">
        <w:rPr>
          <w:rFonts w:cs="Arial"/>
          <w:sz w:val="24"/>
          <w:vertAlign w:val="superscript"/>
        </w:rPr>
        <w:t>nd</w:t>
      </w:r>
      <w:r w:rsidR="000D4E42" w:rsidRPr="00E32515">
        <w:rPr>
          <w:rFonts w:cs="Arial"/>
          <w:sz w:val="24"/>
        </w:rPr>
        <w:t xml:space="preserve"> May, the UK presented to the EU its vision for the future</w:t>
      </w:r>
    </w:p>
    <w:p w14:paraId="2CA32DFC" w14:textId="62643476" w:rsidR="00A42D15" w:rsidRPr="00E32515" w:rsidRDefault="000D4E42" w:rsidP="00EA0B86">
      <w:pPr>
        <w:spacing w:after="240"/>
        <w:jc w:val="both"/>
        <w:rPr>
          <w:rFonts w:cs="Arial"/>
          <w:sz w:val="24"/>
        </w:rPr>
      </w:pPr>
      <w:r w:rsidRPr="00E32515">
        <w:rPr>
          <w:rFonts w:cs="Arial"/>
          <w:sz w:val="24"/>
        </w:rPr>
        <w:lastRenderedPageBreak/>
        <w:t>UK-EU partnership on science and innovation</w:t>
      </w:r>
      <w:r w:rsidRPr="00E32515">
        <w:rPr>
          <w:rStyle w:val="FootnoteReference"/>
          <w:rFonts w:eastAsia="Calibri" w:cs="Arial"/>
          <w:sz w:val="24"/>
        </w:rPr>
        <w:footnoteReference w:customMarkFollows="1" w:id="3"/>
        <w:t>[1]</w:t>
      </w:r>
      <w:r w:rsidRPr="00E32515">
        <w:rPr>
          <w:rFonts w:cs="Arial"/>
          <w:sz w:val="24"/>
        </w:rPr>
        <w:t xml:space="preserve">, including continued access to the Euratom Research and Training Programme. </w:t>
      </w:r>
    </w:p>
    <w:p w14:paraId="7E10DB65" w14:textId="7D7C0A92" w:rsidR="00E32515" w:rsidRPr="00EA0B86" w:rsidRDefault="00A42D15" w:rsidP="00EA0B86">
      <w:pPr>
        <w:spacing w:after="240"/>
        <w:jc w:val="both"/>
        <w:rPr>
          <w:rFonts w:cs="Arial"/>
          <w:sz w:val="24"/>
        </w:rPr>
      </w:pPr>
      <w:r w:rsidRPr="00E32515">
        <w:rPr>
          <w:rFonts w:eastAsia="Arial" w:cs="Arial"/>
          <w:sz w:val="24"/>
        </w:rPr>
        <w:t>In her speech on 21</w:t>
      </w:r>
      <w:r w:rsidRPr="00E32515">
        <w:rPr>
          <w:rFonts w:eastAsia="Arial" w:cs="Arial"/>
          <w:sz w:val="24"/>
          <w:vertAlign w:val="superscript"/>
        </w:rPr>
        <w:t>st</w:t>
      </w:r>
      <w:r w:rsidRPr="00E32515">
        <w:rPr>
          <w:rFonts w:eastAsia="Arial" w:cs="Arial"/>
          <w:sz w:val="24"/>
        </w:rPr>
        <w:t xml:space="preserve"> May the Prime Minister also stated that the UK would like the option to fully associate ourselves with the Euratom Research and Training Programme, including the Joint European Torus (JET) and the International Thermonuclear Experimental Reactor (ITER), and would be willing to make an appropriate financial contribution i</w:t>
      </w:r>
      <w:r w:rsidRPr="00E32515">
        <w:rPr>
          <w:rFonts w:eastAsia="Arial" w:cs="Arial"/>
          <w:color w:val="0B0C0C"/>
          <w:sz w:val="24"/>
        </w:rPr>
        <w:t>n return for a suitable level of influence in line with that contribution and the benefits we bring</w:t>
      </w:r>
      <w:r w:rsidR="00EA0B86">
        <w:rPr>
          <w:rFonts w:eastAsia="Arial" w:cs="Arial"/>
          <w:color w:val="0B0C0C"/>
          <w:sz w:val="24"/>
        </w:rPr>
        <w:t>.</w:t>
      </w:r>
    </w:p>
    <w:p w14:paraId="5CE70688" w14:textId="7D011263" w:rsidR="000F747A" w:rsidRPr="00EA0B86" w:rsidRDefault="000D4E42" w:rsidP="00EA0B86">
      <w:pPr>
        <w:spacing w:after="240"/>
        <w:jc w:val="both"/>
        <w:rPr>
          <w:rFonts w:eastAsia="Arial,Calibri" w:cs="Arial"/>
          <w:sz w:val="24"/>
        </w:rPr>
      </w:pPr>
      <w:r w:rsidRPr="00E32515">
        <w:rPr>
          <w:rFonts w:cs="Arial"/>
          <w:sz w:val="24"/>
        </w:rPr>
        <w:t>Our priority is that the</w:t>
      </w:r>
      <w:r w:rsidR="00444069" w:rsidRPr="00E32515">
        <w:rPr>
          <w:rFonts w:cs="Arial"/>
          <w:sz w:val="24"/>
        </w:rPr>
        <w:t xml:space="preserve"> programme remains focussed on excellence, EU-added value, and the best possible research outcomes for JET, for ITER, and for the programme as a whole. </w:t>
      </w:r>
      <w:r w:rsidR="000F747A" w:rsidRPr="00E32515">
        <w:rPr>
          <w:rFonts w:cs="Arial"/>
          <w:sz w:val="24"/>
        </w:rPr>
        <w:t>The</w:t>
      </w:r>
      <w:r w:rsidR="00271BDB" w:rsidRPr="00E32515">
        <w:rPr>
          <w:rFonts w:cs="Arial"/>
          <w:sz w:val="24"/>
        </w:rPr>
        <w:t xml:space="preserve"> Government</w:t>
      </w:r>
      <w:r w:rsidR="000F747A" w:rsidRPr="00E32515">
        <w:rPr>
          <w:rFonts w:cs="Arial"/>
          <w:sz w:val="24"/>
        </w:rPr>
        <w:t xml:space="preserve"> looks forward to engaging fully and constructively in the design of the future Euratom Research &amp; Training Programme.</w:t>
      </w:r>
    </w:p>
    <w:p w14:paraId="16C9D3F2" w14:textId="7C803E7A" w:rsidR="00F3637A" w:rsidRPr="00E32515" w:rsidRDefault="00F3637A" w:rsidP="00EA0B86">
      <w:pPr>
        <w:spacing w:after="240"/>
        <w:jc w:val="both"/>
        <w:rPr>
          <w:rFonts w:cs="Arial"/>
          <w:color w:val="000000"/>
          <w:sz w:val="24"/>
        </w:rPr>
      </w:pPr>
      <w:r w:rsidRPr="00E32515">
        <w:rPr>
          <w:rFonts w:cs="Arial"/>
          <w:color w:val="000000"/>
          <w:sz w:val="24"/>
        </w:rPr>
        <w:t>The Government fully supports the proposal for a regulation to allow for the extension of the Euratom Research and Training Programme for 2019-20 and remains committed to participation in, and its financial commitments towards, the programme. The Government has underlined the importance of maintaining the scope of the 2019-2020 Euratom Research &amp; Training Programme to reflect that of the 2014-2018 Programme in order to maintain continuity for ongoing projects and investments, including those vital for the Fusion Roadmap, such as the JET. </w:t>
      </w:r>
    </w:p>
    <w:p w14:paraId="01297EBC" w14:textId="5EE9B917" w:rsidR="00BD24CB" w:rsidRPr="00EA0B86" w:rsidRDefault="00F3637A" w:rsidP="00EA0B86">
      <w:pPr>
        <w:spacing w:after="240"/>
        <w:jc w:val="both"/>
        <w:rPr>
          <w:rFonts w:cs="Arial"/>
          <w:color w:val="000000"/>
          <w:sz w:val="24"/>
        </w:rPr>
      </w:pPr>
      <w:r w:rsidRPr="00E32515">
        <w:rPr>
          <w:rFonts w:cs="Arial"/>
          <w:color w:val="000000"/>
          <w:sz w:val="24"/>
        </w:rPr>
        <w:t>In May, the Council of Ministers agreed a general approach on this regulation. We expect the European Parliament to provide its opinion in September. Shortly after this, the regulation will be adopted by the Council. This will allow the decision on the extension of the JET contract to the end of 2020 to be made. The Government fully expects the JET contract to be extended and is working with its EU partners to that end. </w:t>
      </w:r>
    </w:p>
    <w:p w14:paraId="6E02787F" w14:textId="6EEA77F5" w:rsidR="00936F18" w:rsidRPr="00E32515" w:rsidRDefault="0009154C" w:rsidP="00A42D15">
      <w:pPr>
        <w:spacing w:after="240"/>
        <w:ind w:right="409"/>
        <w:jc w:val="both"/>
        <w:outlineLvl w:val="0"/>
        <w:rPr>
          <w:rFonts w:eastAsia="Arial" w:cs="Arial"/>
          <w:b/>
          <w:bCs/>
          <w:sz w:val="28"/>
          <w:szCs w:val="28"/>
          <w:u w:val="single"/>
        </w:rPr>
      </w:pPr>
      <w:r w:rsidRPr="00E32515">
        <w:rPr>
          <w:rFonts w:cs="Arial"/>
          <w:b/>
          <w:bCs/>
          <w:sz w:val="28"/>
          <w:szCs w:val="28"/>
          <w:u w:val="single"/>
        </w:rPr>
        <w:t>Engagemen</w:t>
      </w:r>
      <w:r w:rsidR="0099079C" w:rsidRPr="00E32515">
        <w:rPr>
          <w:rFonts w:cs="Arial"/>
          <w:b/>
          <w:bCs/>
          <w:sz w:val="28"/>
          <w:szCs w:val="28"/>
          <w:u w:val="single"/>
        </w:rPr>
        <w:t xml:space="preserve">t with Industry and other </w:t>
      </w:r>
      <w:r w:rsidR="00DC474D" w:rsidRPr="00E32515">
        <w:rPr>
          <w:rFonts w:cs="Arial"/>
          <w:b/>
          <w:bCs/>
          <w:sz w:val="28"/>
          <w:szCs w:val="28"/>
          <w:u w:val="single"/>
        </w:rPr>
        <w:t>S</w:t>
      </w:r>
      <w:r w:rsidR="0099079C" w:rsidRPr="00E32515">
        <w:rPr>
          <w:rFonts w:cs="Arial"/>
          <w:b/>
          <w:bCs/>
          <w:sz w:val="28"/>
          <w:szCs w:val="28"/>
          <w:u w:val="single"/>
        </w:rPr>
        <w:t>takeholders</w:t>
      </w:r>
      <w:bookmarkStart w:id="2" w:name="_Hlk514929484"/>
    </w:p>
    <w:p w14:paraId="0274C5D6" w14:textId="79161E55" w:rsidR="00DA2727" w:rsidRPr="00EA0B86" w:rsidRDefault="00743AAA" w:rsidP="00EA0B86">
      <w:pPr>
        <w:spacing w:after="240"/>
        <w:ind w:right="-46"/>
        <w:jc w:val="both"/>
        <w:rPr>
          <w:rFonts w:eastAsia="Arial" w:cs="Arial"/>
          <w:sz w:val="24"/>
        </w:rPr>
      </w:pPr>
      <w:r w:rsidRPr="00E32515">
        <w:rPr>
          <w:rFonts w:cs="Arial"/>
          <w:sz w:val="24"/>
        </w:rPr>
        <w:t xml:space="preserve">There has continued to be </w:t>
      </w:r>
      <w:r w:rsidR="006F7B1B" w:rsidRPr="00E32515">
        <w:rPr>
          <w:rFonts w:cs="Arial"/>
          <w:sz w:val="24"/>
        </w:rPr>
        <w:t>constructive</w:t>
      </w:r>
      <w:r w:rsidRPr="00E32515">
        <w:rPr>
          <w:rFonts w:cs="Arial"/>
          <w:sz w:val="24"/>
        </w:rPr>
        <w:t xml:space="preserve"> and </w:t>
      </w:r>
      <w:r w:rsidR="006F7B1B" w:rsidRPr="00E32515">
        <w:rPr>
          <w:rFonts w:cs="Arial"/>
          <w:sz w:val="24"/>
        </w:rPr>
        <w:t xml:space="preserve">collaborative </w:t>
      </w:r>
      <w:r w:rsidR="00B47E6C" w:rsidRPr="00E32515">
        <w:rPr>
          <w:rFonts w:cs="Arial"/>
          <w:sz w:val="24"/>
        </w:rPr>
        <w:t>stakeholder engagement</w:t>
      </w:r>
      <w:r w:rsidR="008174B9" w:rsidRPr="00E32515">
        <w:rPr>
          <w:rFonts w:cs="Arial"/>
          <w:sz w:val="24"/>
        </w:rPr>
        <w:t xml:space="preserve">, with a number of events and meetings having taken place </w:t>
      </w:r>
      <w:r w:rsidR="00B47E6C" w:rsidRPr="00E32515">
        <w:rPr>
          <w:rFonts w:cs="Arial"/>
          <w:sz w:val="24"/>
        </w:rPr>
        <w:t>since the beginning of April, both domestically and internationally.</w:t>
      </w:r>
    </w:p>
    <w:p w14:paraId="3BBD5B7D" w14:textId="6096AC85" w:rsidR="00B47E6C" w:rsidRPr="00EA0B86" w:rsidRDefault="00B47E6C" w:rsidP="00EA0B86">
      <w:pPr>
        <w:spacing w:after="240"/>
        <w:ind w:right="-46"/>
        <w:jc w:val="both"/>
        <w:rPr>
          <w:rFonts w:eastAsia="Arial" w:cs="Arial"/>
          <w:color w:val="000000" w:themeColor="text1"/>
          <w:sz w:val="24"/>
        </w:rPr>
      </w:pPr>
      <w:r w:rsidRPr="00E32515">
        <w:rPr>
          <w:rFonts w:cs="Arial"/>
          <w:sz w:val="24"/>
        </w:rPr>
        <w:t xml:space="preserve">BEIS officials </w:t>
      </w:r>
      <w:r w:rsidRPr="00E32515">
        <w:rPr>
          <w:rFonts w:cs="Arial"/>
          <w:color w:val="000000" w:themeColor="text1"/>
          <w:sz w:val="24"/>
        </w:rPr>
        <w:t>have</w:t>
      </w:r>
      <w:r w:rsidR="00DA2727" w:rsidRPr="00E32515">
        <w:rPr>
          <w:rFonts w:eastAsia="Arial" w:cs="Arial"/>
          <w:color w:val="000000" w:themeColor="text1"/>
          <w:sz w:val="24"/>
        </w:rPr>
        <w:t xml:space="preserve"> </w:t>
      </w:r>
      <w:r w:rsidR="00F371A9" w:rsidRPr="00E32515">
        <w:rPr>
          <w:rFonts w:cs="Arial"/>
          <w:color w:val="000000" w:themeColor="text1"/>
          <w:sz w:val="24"/>
        </w:rPr>
        <w:t>met</w:t>
      </w:r>
      <w:r w:rsidR="00DA2727" w:rsidRPr="00E32515">
        <w:rPr>
          <w:rFonts w:cs="Arial"/>
          <w:color w:val="000000" w:themeColor="text1"/>
          <w:sz w:val="24"/>
        </w:rPr>
        <w:t xml:space="preserve"> with domestic stakeholders</w:t>
      </w:r>
      <w:r w:rsidR="00A81825" w:rsidRPr="00E32515">
        <w:rPr>
          <w:rFonts w:eastAsia="Arial" w:cs="Arial"/>
          <w:color w:val="000000" w:themeColor="text1"/>
          <w:sz w:val="24"/>
        </w:rPr>
        <w:t>,</w:t>
      </w:r>
      <w:r w:rsidR="00A81825" w:rsidRPr="00E32515">
        <w:rPr>
          <w:rFonts w:cs="Arial"/>
          <w:color w:val="000000" w:themeColor="text1"/>
          <w:sz w:val="24"/>
        </w:rPr>
        <w:t xml:space="preserve"> including</w:t>
      </w:r>
      <w:r w:rsidR="002C700F" w:rsidRPr="00E32515">
        <w:rPr>
          <w:rFonts w:cs="Arial"/>
          <w:color w:val="000000" w:themeColor="text1"/>
          <w:sz w:val="24"/>
        </w:rPr>
        <w:t xml:space="preserve"> Devolved Administrations,</w:t>
      </w:r>
      <w:r w:rsidR="00A81825" w:rsidRPr="00E32515">
        <w:rPr>
          <w:rFonts w:cs="Arial"/>
          <w:color w:val="000000" w:themeColor="text1"/>
          <w:sz w:val="24"/>
        </w:rPr>
        <w:t xml:space="preserve"> industry representatives, professional bodies, trade unions and associations, academia, civil society and others </w:t>
      </w:r>
      <w:r w:rsidR="00DA2727" w:rsidRPr="00E32515">
        <w:rPr>
          <w:rFonts w:cs="Arial"/>
          <w:color w:val="000000" w:themeColor="text1"/>
          <w:sz w:val="24"/>
        </w:rPr>
        <w:t>at a range of events, including</w:t>
      </w:r>
      <w:r w:rsidRPr="00E32515">
        <w:rPr>
          <w:rFonts w:eastAsia="Arial" w:cs="Arial"/>
          <w:color w:val="000000" w:themeColor="text1"/>
          <w:sz w:val="24"/>
        </w:rPr>
        <w:t xml:space="preserve"> </w:t>
      </w:r>
      <w:r w:rsidR="00DA2727" w:rsidRPr="00E32515">
        <w:rPr>
          <w:rFonts w:cs="Arial"/>
          <w:color w:val="000000" w:themeColor="text1"/>
          <w:sz w:val="24"/>
        </w:rPr>
        <w:t>the</w:t>
      </w:r>
      <w:r w:rsidRPr="00E32515">
        <w:rPr>
          <w:rFonts w:cs="Arial"/>
          <w:color w:val="000000" w:themeColor="text1"/>
          <w:sz w:val="24"/>
        </w:rPr>
        <w:t xml:space="preserve"> Nuclear Industry Association Brexit Working Group meeting, the ONR Industry Conference 2018, and the NNL SciTec Conference 2018. </w:t>
      </w:r>
    </w:p>
    <w:p w14:paraId="655FD884" w14:textId="77777777" w:rsidR="00EA0B86" w:rsidRDefault="000274AF" w:rsidP="00EA0B86">
      <w:pPr>
        <w:spacing w:after="240"/>
        <w:ind w:right="-46"/>
        <w:jc w:val="both"/>
        <w:rPr>
          <w:rFonts w:eastAsia="Arial" w:cs="Arial"/>
          <w:sz w:val="24"/>
        </w:rPr>
      </w:pPr>
      <w:r w:rsidRPr="00E32515">
        <w:rPr>
          <w:rFonts w:cs="Arial"/>
          <w:color w:val="000000" w:themeColor="text1"/>
          <w:sz w:val="24"/>
        </w:rPr>
        <w:t xml:space="preserve">Official and political-level </w:t>
      </w:r>
      <w:r w:rsidR="005073D2" w:rsidRPr="00E32515">
        <w:rPr>
          <w:rFonts w:cs="Arial"/>
          <w:color w:val="000000" w:themeColor="text1"/>
          <w:sz w:val="24"/>
        </w:rPr>
        <w:t>discussions</w:t>
      </w:r>
      <w:r w:rsidR="00B47E6C" w:rsidRPr="00E32515">
        <w:rPr>
          <w:rFonts w:cs="Arial"/>
          <w:color w:val="000000" w:themeColor="text1"/>
          <w:sz w:val="24"/>
        </w:rPr>
        <w:t xml:space="preserve"> ha</w:t>
      </w:r>
      <w:r w:rsidR="005073D2" w:rsidRPr="00E32515">
        <w:rPr>
          <w:rFonts w:cs="Arial"/>
          <w:color w:val="000000" w:themeColor="text1"/>
          <w:sz w:val="24"/>
        </w:rPr>
        <w:t>ve</w:t>
      </w:r>
      <w:r w:rsidR="00B47E6C" w:rsidRPr="00E32515">
        <w:rPr>
          <w:rFonts w:cs="Arial"/>
          <w:color w:val="000000" w:themeColor="text1"/>
          <w:sz w:val="24"/>
        </w:rPr>
        <w:t xml:space="preserve"> also</w:t>
      </w:r>
      <w:r w:rsidR="00DA2727" w:rsidRPr="00E32515">
        <w:rPr>
          <w:rFonts w:cs="Arial"/>
          <w:color w:val="000000" w:themeColor="text1"/>
          <w:sz w:val="24"/>
        </w:rPr>
        <w:t xml:space="preserve"> continued</w:t>
      </w:r>
      <w:r w:rsidR="00B47E6C" w:rsidRPr="00E32515">
        <w:rPr>
          <w:rFonts w:cs="Arial"/>
          <w:color w:val="000000" w:themeColor="text1"/>
          <w:sz w:val="24"/>
        </w:rPr>
        <w:t xml:space="preserve"> with </w:t>
      </w:r>
      <w:r w:rsidRPr="00E32515">
        <w:rPr>
          <w:rFonts w:cs="Arial"/>
          <w:color w:val="000000" w:themeColor="text1"/>
          <w:sz w:val="24"/>
        </w:rPr>
        <w:t xml:space="preserve">a number of </w:t>
      </w:r>
      <w:r w:rsidR="00B47E6C" w:rsidRPr="00E32515">
        <w:rPr>
          <w:rFonts w:cs="Arial"/>
          <w:color w:val="000000" w:themeColor="text1"/>
          <w:sz w:val="24"/>
        </w:rPr>
        <w:t xml:space="preserve">European </w:t>
      </w:r>
      <w:r w:rsidRPr="00E32515">
        <w:rPr>
          <w:rFonts w:cs="Arial"/>
          <w:color w:val="000000" w:themeColor="text1"/>
          <w:sz w:val="24"/>
        </w:rPr>
        <w:t>governments</w:t>
      </w:r>
      <w:r w:rsidR="00B47E6C" w:rsidRPr="00E32515">
        <w:rPr>
          <w:rFonts w:eastAsia="Arial" w:cs="Arial"/>
          <w:color w:val="000000" w:themeColor="text1"/>
          <w:sz w:val="24"/>
        </w:rPr>
        <w:t>,</w:t>
      </w:r>
      <w:r w:rsidRPr="00E32515">
        <w:rPr>
          <w:rFonts w:cs="Arial"/>
          <w:color w:val="000000" w:themeColor="text1"/>
          <w:sz w:val="24"/>
        </w:rPr>
        <w:t xml:space="preserve"> with</w:t>
      </w:r>
      <w:r w:rsidR="00B47E6C" w:rsidRPr="00E32515">
        <w:rPr>
          <w:rFonts w:cs="Arial"/>
          <w:color w:val="000000" w:themeColor="text1"/>
          <w:sz w:val="24"/>
        </w:rPr>
        <w:t xml:space="preserve"> industry, and</w:t>
      </w:r>
      <w:r w:rsidRPr="00E32515">
        <w:rPr>
          <w:rFonts w:cs="Arial"/>
          <w:color w:val="000000" w:themeColor="text1"/>
          <w:sz w:val="24"/>
        </w:rPr>
        <w:t xml:space="preserve"> with</w:t>
      </w:r>
      <w:r w:rsidR="00B47E6C" w:rsidRPr="00E32515">
        <w:rPr>
          <w:rFonts w:cs="Arial"/>
          <w:color w:val="000000" w:themeColor="text1"/>
          <w:sz w:val="24"/>
        </w:rPr>
        <w:t xml:space="preserve"> civil </w:t>
      </w:r>
      <w:r w:rsidR="00B47E6C" w:rsidRPr="00E32515">
        <w:rPr>
          <w:rFonts w:cs="Arial"/>
          <w:sz w:val="24"/>
        </w:rPr>
        <w:t xml:space="preserve">society through bilateral meetings and </w:t>
      </w:r>
      <w:r w:rsidR="00610363" w:rsidRPr="00E32515">
        <w:rPr>
          <w:rFonts w:cs="Arial"/>
          <w:sz w:val="24"/>
        </w:rPr>
        <w:t>overseas visits including to Paris and Berlin</w:t>
      </w:r>
      <w:r w:rsidR="00B47E6C" w:rsidRPr="00E32515">
        <w:rPr>
          <w:rFonts w:eastAsia="Arial" w:cs="Arial"/>
          <w:sz w:val="24"/>
        </w:rPr>
        <w:t>.</w:t>
      </w:r>
    </w:p>
    <w:p w14:paraId="0E716B82" w14:textId="3556267F" w:rsidR="00A42D15" w:rsidRPr="00EA0B86" w:rsidRDefault="00135360" w:rsidP="00EA0B86">
      <w:pPr>
        <w:spacing w:after="240"/>
        <w:ind w:right="-46"/>
        <w:jc w:val="both"/>
        <w:rPr>
          <w:rFonts w:eastAsia="Arial" w:cs="Arial"/>
          <w:sz w:val="24"/>
        </w:rPr>
      </w:pPr>
      <w:r w:rsidRPr="00E32515">
        <w:rPr>
          <w:rFonts w:cs="Arial"/>
          <w:sz w:val="24"/>
        </w:rPr>
        <w:lastRenderedPageBreak/>
        <w:t>Pre-consultation engagement on the draft Nuclear Safeguards Regulations began in J</w:t>
      </w:r>
      <w:r w:rsidR="00596CD4" w:rsidRPr="00E32515">
        <w:rPr>
          <w:rFonts w:cs="Arial"/>
          <w:sz w:val="24"/>
        </w:rPr>
        <w:t>anuary</w:t>
      </w:r>
      <w:r w:rsidRPr="00E32515">
        <w:rPr>
          <w:rFonts w:cs="Arial"/>
          <w:sz w:val="24"/>
        </w:rPr>
        <w:t xml:space="preserve"> in advance of the public consultation. </w:t>
      </w:r>
      <w:r w:rsidR="007B60EE" w:rsidRPr="00E32515">
        <w:rPr>
          <w:rFonts w:cs="Arial"/>
          <w:sz w:val="24"/>
        </w:rPr>
        <w:t>At least t</w:t>
      </w:r>
      <w:r w:rsidR="002A1741" w:rsidRPr="00E32515">
        <w:rPr>
          <w:rFonts w:cs="Arial"/>
          <w:sz w:val="24"/>
        </w:rPr>
        <w:t>wo further workshops</w:t>
      </w:r>
      <w:r w:rsidR="003B5B7D" w:rsidRPr="00E32515">
        <w:rPr>
          <w:rFonts w:cs="Arial"/>
          <w:sz w:val="24"/>
        </w:rPr>
        <w:t xml:space="preserve"> </w:t>
      </w:r>
      <w:r w:rsidR="00487F9F" w:rsidRPr="00E32515">
        <w:rPr>
          <w:rFonts w:cs="Arial"/>
          <w:sz w:val="24"/>
        </w:rPr>
        <w:t xml:space="preserve">with members of the public and industry stakeholders </w:t>
      </w:r>
      <w:r w:rsidR="002A1741" w:rsidRPr="00E32515">
        <w:rPr>
          <w:rFonts w:cs="Arial"/>
          <w:sz w:val="24"/>
        </w:rPr>
        <w:t xml:space="preserve">are </w:t>
      </w:r>
      <w:r w:rsidR="0067175C" w:rsidRPr="00E32515">
        <w:rPr>
          <w:rFonts w:cs="Arial"/>
          <w:sz w:val="24"/>
        </w:rPr>
        <w:t>planned</w:t>
      </w:r>
      <w:r w:rsidR="007B60EE" w:rsidRPr="00E32515">
        <w:rPr>
          <w:rFonts w:cs="Arial"/>
          <w:sz w:val="24"/>
        </w:rPr>
        <w:t xml:space="preserve"> for August</w:t>
      </w:r>
      <w:r w:rsidR="0067175C" w:rsidRPr="00E32515">
        <w:rPr>
          <w:rFonts w:cs="Arial"/>
          <w:sz w:val="24"/>
        </w:rPr>
        <w:t xml:space="preserve"> </w:t>
      </w:r>
      <w:r w:rsidR="004A5620" w:rsidRPr="00E32515">
        <w:rPr>
          <w:rFonts w:cs="Arial"/>
          <w:sz w:val="24"/>
        </w:rPr>
        <w:t>as part of the</w:t>
      </w:r>
    </w:p>
    <w:p w14:paraId="6688CBDB" w14:textId="5481B108" w:rsidR="003166B6" w:rsidRPr="00E32515" w:rsidRDefault="005A7522" w:rsidP="00EA0B86">
      <w:pPr>
        <w:ind w:right="-46"/>
        <w:jc w:val="both"/>
        <w:rPr>
          <w:rFonts w:eastAsia="Arial" w:cs="Arial"/>
          <w:sz w:val="24"/>
        </w:rPr>
      </w:pPr>
      <w:r w:rsidRPr="00E32515">
        <w:rPr>
          <w:rFonts w:cs="Arial"/>
          <w:sz w:val="24"/>
        </w:rPr>
        <w:t>consultation process</w:t>
      </w:r>
      <w:r w:rsidR="00975ABF" w:rsidRPr="00E32515">
        <w:rPr>
          <w:rFonts w:cs="Arial"/>
          <w:sz w:val="24"/>
        </w:rPr>
        <w:t xml:space="preserve">. </w:t>
      </w:r>
      <w:r w:rsidR="00BA5CE2" w:rsidRPr="00E32515">
        <w:rPr>
          <w:rFonts w:cs="Arial"/>
          <w:sz w:val="24"/>
        </w:rPr>
        <w:t>The third Euratom Industry Forum</w:t>
      </w:r>
      <w:r w:rsidR="007415A9" w:rsidRPr="00E32515">
        <w:rPr>
          <w:rFonts w:cs="Arial"/>
          <w:color w:val="000000"/>
          <w:sz w:val="24"/>
        </w:rPr>
        <w:t xml:space="preserve"> </w:t>
      </w:r>
      <w:r w:rsidR="00BA5CE2" w:rsidRPr="00E32515">
        <w:rPr>
          <w:rFonts w:cs="Arial"/>
          <w:color w:val="000000" w:themeColor="text1"/>
          <w:sz w:val="24"/>
        </w:rPr>
        <w:t xml:space="preserve">will </w:t>
      </w:r>
      <w:r w:rsidR="008076F2" w:rsidRPr="00E32515">
        <w:rPr>
          <w:rFonts w:cs="Arial"/>
          <w:color w:val="000000" w:themeColor="text1"/>
          <w:sz w:val="24"/>
        </w:rPr>
        <w:t xml:space="preserve">also </w:t>
      </w:r>
      <w:r w:rsidR="252668CB" w:rsidRPr="00E32515">
        <w:rPr>
          <w:rFonts w:cs="Arial"/>
          <w:color w:val="000000" w:themeColor="text1"/>
          <w:sz w:val="24"/>
        </w:rPr>
        <w:t xml:space="preserve">be held </w:t>
      </w:r>
      <w:r w:rsidR="0750480A" w:rsidRPr="00E32515">
        <w:rPr>
          <w:rFonts w:cs="Arial"/>
          <w:color w:val="000000" w:themeColor="text1"/>
          <w:sz w:val="24"/>
        </w:rPr>
        <w:t>on the 19</w:t>
      </w:r>
      <w:r w:rsidR="0750480A" w:rsidRPr="00E32515">
        <w:rPr>
          <w:rFonts w:cs="Arial"/>
          <w:color w:val="000000" w:themeColor="text1"/>
          <w:sz w:val="24"/>
          <w:vertAlign w:val="superscript"/>
        </w:rPr>
        <w:t>th</w:t>
      </w:r>
      <w:r w:rsidR="252668CB" w:rsidRPr="00E32515">
        <w:rPr>
          <w:rFonts w:cs="Arial"/>
          <w:color w:val="000000" w:themeColor="text1"/>
          <w:sz w:val="24"/>
        </w:rPr>
        <w:t xml:space="preserve"> July.</w:t>
      </w:r>
    </w:p>
    <w:bookmarkEnd w:id="2"/>
    <w:p w14:paraId="38183E2A" w14:textId="77777777" w:rsidR="00E32515" w:rsidRPr="00E32515" w:rsidRDefault="00E32515" w:rsidP="00EA0B86">
      <w:pPr>
        <w:ind w:right="-46"/>
        <w:jc w:val="both"/>
        <w:outlineLvl w:val="0"/>
        <w:rPr>
          <w:rFonts w:cs="Arial"/>
          <w:b/>
          <w:bCs/>
          <w:sz w:val="24"/>
        </w:rPr>
      </w:pPr>
    </w:p>
    <w:p w14:paraId="738CC057" w14:textId="1515B01F" w:rsidR="0048494C" w:rsidRPr="00E32515" w:rsidRDefault="0009154C" w:rsidP="00EA0B86">
      <w:pPr>
        <w:spacing w:after="240"/>
        <w:ind w:right="-46"/>
        <w:jc w:val="both"/>
        <w:outlineLvl w:val="0"/>
        <w:rPr>
          <w:rFonts w:eastAsia="Arial" w:cs="Arial"/>
          <w:color w:val="FF0000"/>
          <w:sz w:val="28"/>
          <w:szCs w:val="28"/>
          <w:u w:val="single"/>
        </w:rPr>
      </w:pPr>
      <w:r w:rsidRPr="00E32515">
        <w:rPr>
          <w:rFonts w:cs="Arial"/>
          <w:b/>
          <w:bCs/>
          <w:sz w:val="28"/>
          <w:szCs w:val="28"/>
          <w:u w:val="single"/>
        </w:rPr>
        <w:t xml:space="preserve">Wider </w:t>
      </w:r>
      <w:r w:rsidR="00DC474D" w:rsidRPr="00E32515">
        <w:rPr>
          <w:rFonts w:cs="Arial"/>
          <w:b/>
          <w:bCs/>
          <w:sz w:val="28"/>
          <w:szCs w:val="28"/>
          <w:u w:val="single"/>
        </w:rPr>
        <w:t>I</w:t>
      </w:r>
      <w:r w:rsidRPr="00E32515">
        <w:rPr>
          <w:rFonts w:cs="Arial"/>
          <w:b/>
          <w:bCs/>
          <w:sz w:val="28"/>
          <w:szCs w:val="28"/>
          <w:u w:val="single"/>
        </w:rPr>
        <w:t>ssues</w:t>
      </w:r>
    </w:p>
    <w:p w14:paraId="2CD58602" w14:textId="3F14FFE2" w:rsidR="00507B0A" w:rsidRPr="00E32515" w:rsidRDefault="0048494C" w:rsidP="00EA0B86">
      <w:pPr>
        <w:spacing w:after="240"/>
        <w:ind w:right="-46"/>
        <w:jc w:val="both"/>
        <w:rPr>
          <w:rFonts w:cs="Arial"/>
          <w:sz w:val="24"/>
        </w:rPr>
      </w:pPr>
      <w:r w:rsidRPr="00E32515">
        <w:rPr>
          <w:rFonts w:cs="Arial"/>
          <w:sz w:val="24"/>
        </w:rPr>
        <w:t xml:space="preserve">Whilst </w:t>
      </w:r>
      <w:r w:rsidR="00260C4C" w:rsidRPr="00E32515">
        <w:rPr>
          <w:rFonts w:cs="Arial"/>
          <w:sz w:val="24"/>
        </w:rPr>
        <w:t>the Government</w:t>
      </w:r>
      <w:r w:rsidRPr="00E32515">
        <w:rPr>
          <w:rFonts w:cs="Arial"/>
          <w:sz w:val="24"/>
        </w:rPr>
        <w:t xml:space="preserve"> ha</w:t>
      </w:r>
      <w:r w:rsidR="00DC474D" w:rsidRPr="00E32515">
        <w:rPr>
          <w:rFonts w:cs="Arial"/>
          <w:sz w:val="24"/>
        </w:rPr>
        <w:t>s</w:t>
      </w:r>
      <w:r w:rsidRPr="00E32515">
        <w:rPr>
          <w:rFonts w:cs="Arial"/>
          <w:sz w:val="24"/>
        </w:rPr>
        <w:t xml:space="preserve"> been clear that the UK’s withdrawal from Euratom will not affect </w:t>
      </w:r>
      <w:r w:rsidR="00DA2727" w:rsidRPr="00E32515">
        <w:rPr>
          <w:rFonts w:cs="Arial"/>
          <w:sz w:val="24"/>
        </w:rPr>
        <w:t>its</w:t>
      </w:r>
      <w:r w:rsidRPr="00E32515">
        <w:rPr>
          <w:rFonts w:cs="Arial"/>
          <w:sz w:val="24"/>
        </w:rPr>
        <w:t xml:space="preserve"> ability to import medical radioisotopes, the Government is continuing work to</w:t>
      </w:r>
      <w:r w:rsidR="00C4466B" w:rsidRPr="00E32515">
        <w:rPr>
          <w:rFonts w:cs="Arial"/>
          <w:sz w:val="24"/>
        </w:rPr>
        <w:t xml:space="preserve"> ensure that cross border trade with the EU is as frictionless as possible in all scenarios. This includes work being led by the Department of Health and Social Care</w:t>
      </w:r>
      <w:r w:rsidR="008E2D15" w:rsidRPr="00E32515">
        <w:rPr>
          <w:rFonts w:cs="Arial"/>
          <w:sz w:val="24"/>
        </w:rPr>
        <w:t>,</w:t>
      </w:r>
      <w:r w:rsidRPr="00E32515">
        <w:rPr>
          <w:rFonts w:cs="Arial"/>
          <w:sz w:val="24"/>
        </w:rPr>
        <w:t xml:space="preserve"> in consultation with </w:t>
      </w:r>
      <w:r w:rsidR="00FB7E08" w:rsidRPr="00E32515">
        <w:rPr>
          <w:rFonts w:cs="Arial"/>
          <w:sz w:val="24"/>
        </w:rPr>
        <w:t xml:space="preserve">key </w:t>
      </w:r>
      <w:r w:rsidRPr="00E32515">
        <w:rPr>
          <w:rFonts w:cs="Arial"/>
          <w:sz w:val="24"/>
        </w:rPr>
        <w:t>stakeholders from industry and the clinical community</w:t>
      </w:r>
      <w:r w:rsidR="008E2D15" w:rsidRPr="00E32515">
        <w:rPr>
          <w:rFonts w:cs="Arial"/>
          <w:sz w:val="24"/>
        </w:rPr>
        <w:t>, to maintain supply chain fluidity for medical radioisotopes for all EU Exit outcomes</w:t>
      </w:r>
      <w:r w:rsidRPr="00E32515">
        <w:rPr>
          <w:rFonts w:cs="Arial"/>
          <w:sz w:val="24"/>
        </w:rPr>
        <w:t xml:space="preserve">. </w:t>
      </w:r>
    </w:p>
    <w:p w14:paraId="722A2623" w14:textId="23A94690" w:rsidR="00C45689" w:rsidRPr="00EA0B86" w:rsidRDefault="0048494C" w:rsidP="00EA0B86">
      <w:pPr>
        <w:spacing w:after="240"/>
        <w:ind w:right="-46"/>
        <w:jc w:val="both"/>
        <w:rPr>
          <w:rFonts w:eastAsia="Arial" w:cs="Arial"/>
          <w:sz w:val="24"/>
        </w:rPr>
      </w:pPr>
      <w:r w:rsidRPr="00E32515">
        <w:rPr>
          <w:rFonts w:cs="Arial"/>
          <w:sz w:val="24"/>
        </w:rPr>
        <w:t>The Department of Health and Social Care organised a stakeholder roundtable on 27</w:t>
      </w:r>
      <w:r w:rsidR="001B5803" w:rsidRPr="00E32515">
        <w:rPr>
          <w:rFonts w:cs="Arial"/>
          <w:sz w:val="24"/>
          <w:vertAlign w:val="superscript"/>
        </w:rPr>
        <w:t>th</w:t>
      </w:r>
      <w:r w:rsidRPr="00E32515">
        <w:rPr>
          <w:rFonts w:cs="Arial"/>
          <w:sz w:val="24"/>
        </w:rPr>
        <w:t xml:space="preserve"> April to present progress on the work undertaken so far and to listen to questions</w:t>
      </w:r>
      <w:r w:rsidR="009239A8" w:rsidRPr="00E32515">
        <w:rPr>
          <w:rFonts w:cs="Arial"/>
          <w:sz w:val="24"/>
        </w:rPr>
        <w:t xml:space="preserve"> from key</w:t>
      </w:r>
      <w:r w:rsidRPr="00E32515">
        <w:rPr>
          <w:rFonts w:cs="Arial"/>
          <w:sz w:val="24"/>
        </w:rPr>
        <w:t xml:space="preserve"> stakeholders. Furthermore, </w:t>
      </w:r>
      <w:r w:rsidR="00F91E4D" w:rsidRPr="00E32515">
        <w:rPr>
          <w:rFonts w:cs="Arial"/>
          <w:sz w:val="24"/>
        </w:rPr>
        <w:t xml:space="preserve">a </w:t>
      </w:r>
      <w:r w:rsidRPr="00E32515">
        <w:rPr>
          <w:rFonts w:cs="Arial"/>
          <w:sz w:val="24"/>
        </w:rPr>
        <w:t>Minister from the Department of Health and Social Care met with key clinical stakeholders on 23</w:t>
      </w:r>
      <w:r w:rsidR="001B5803" w:rsidRPr="00E32515">
        <w:rPr>
          <w:rFonts w:cs="Arial"/>
          <w:sz w:val="24"/>
          <w:vertAlign w:val="superscript"/>
        </w:rPr>
        <w:t>rd</w:t>
      </w:r>
      <w:r w:rsidRPr="00E32515">
        <w:rPr>
          <w:rFonts w:cs="Arial"/>
          <w:sz w:val="24"/>
        </w:rPr>
        <w:t xml:space="preserve"> May</w:t>
      </w:r>
      <w:r w:rsidR="00137EA9" w:rsidRPr="00E32515">
        <w:rPr>
          <w:rFonts w:eastAsia="Arial" w:cs="Arial"/>
          <w:color w:val="FF0000"/>
          <w:sz w:val="24"/>
        </w:rPr>
        <w:t xml:space="preserve"> </w:t>
      </w:r>
      <w:r w:rsidRPr="00E32515">
        <w:rPr>
          <w:rFonts w:cs="Arial"/>
          <w:sz w:val="24"/>
        </w:rPr>
        <w:t>as part of the Government’s on-going engagement on this issue</w:t>
      </w:r>
      <w:r w:rsidRPr="00E32515">
        <w:rPr>
          <w:rFonts w:eastAsia="Arial" w:cs="Arial"/>
          <w:sz w:val="24"/>
        </w:rPr>
        <w:t>.</w:t>
      </w:r>
    </w:p>
    <w:p w14:paraId="4CD9A6C7" w14:textId="6D821A49" w:rsidR="00C45689" w:rsidRPr="00E32515" w:rsidRDefault="00C45689" w:rsidP="00EA0B86">
      <w:pPr>
        <w:spacing w:after="240"/>
        <w:ind w:right="-46"/>
        <w:jc w:val="both"/>
        <w:rPr>
          <w:rFonts w:eastAsia="Arial" w:cs="Arial"/>
          <w:sz w:val="24"/>
        </w:rPr>
      </w:pPr>
      <w:r w:rsidRPr="00E32515">
        <w:rPr>
          <w:rFonts w:cs="Arial"/>
          <w:sz w:val="24"/>
        </w:rPr>
        <w:t>BEIS officials have been working closely with Devolved Administrations</w:t>
      </w:r>
      <w:r w:rsidR="00977A1B" w:rsidRPr="00E32515">
        <w:rPr>
          <w:rFonts w:cs="Arial"/>
          <w:sz w:val="24"/>
        </w:rPr>
        <w:t>, environment a</w:t>
      </w:r>
      <w:r w:rsidR="00627FAD" w:rsidRPr="00E32515">
        <w:rPr>
          <w:rFonts w:cs="Arial"/>
          <w:sz w:val="24"/>
        </w:rPr>
        <w:t>gencies and the ONR</w:t>
      </w:r>
      <w:r w:rsidRPr="00E32515">
        <w:rPr>
          <w:rFonts w:eastAsia="Arial" w:cs="Arial"/>
          <w:sz w:val="24"/>
        </w:rPr>
        <w:t xml:space="preserve"> </w:t>
      </w:r>
      <w:r w:rsidRPr="00E32515">
        <w:rPr>
          <w:rFonts w:cs="Arial"/>
          <w:sz w:val="24"/>
        </w:rPr>
        <w:t>and have now agreed terms of reference for the Radioactive Substance Policy Group (RSPG) and will be signing these officially later this year. Officials from these administrations and authorities have formed a collaborative working group</w:t>
      </w:r>
      <w:r w:rsidR="006F4C64" w:rsidRPr="00E32515">
        <w:rPr>
          <w:rFonts w:eastAsia="Arial" w:cs="Arial"/>
          <w:sz w:val="24"/>
        </w:rPr>
        <w:t xml:space="preserve"> </w:t>
      </w:r>
      <w:r w:rsidRPr="00E32515">
        <w:rPr>
          <w:rFonts w:cs="Arial"/>
          <w:sz w:val="24"/>
        </w:rPr>
        <w:t xml:space="preserve">in order to amend the Transfrontier Shipment of Radioactive Waste and Spent Fuel </w:t>
      </w:r>
      <w:r w:rsidR="0056146F" w:rsidRPr="00E32515">
        <w:rPr>
          <w:rFonts w:cs="Arial"/>
          <w:sz w:val="24"/>
        </w:rPr>
        <w:t xml:space="preserve">Regulations </w:t>
      </w:r>
      <w:r w:rsidRPr="00E32515">
        <w:rPr>
          <w:rFonts w:cs="Arial"/>
          <w:sz w:val="24"/>
        </w:rPr>
        <w:t>20</w:t>
      </w:r>
      <w:r w:rsidR="0056146F" w:rsidRPr="00E32515">
        <w:rPr>
          <w:rFonts w:cs="Arial"/>
          <w:sz w:val="24"/>
        </w:rPr>
        <w:t>0</w:t>
      </w:r>
      <w:r w:rsidRPr="00E32515">
        <w:rPr>
          <w:rFonts w:cs="Arial"/>
          <w:sz w:val="24"/>
        </w:rPr>
        <w:t>8 and Euratom Regulation 1493/9</w:t>
      </w:r>
      <w:r w:rsidR="0056146F" w:rsidRPr="00E32515">
        <w:rPr>
          <w:rFonts w:cs="Arial"/>
          <w:sz w:val="24"/>
        </w:rPr>
        <w:t>3</w:t>
      </w:r>
      <w:r w:rsidRPr="00E32515">
        <w:rPr>
          <w:rFonts w:cs="Arial"/>
          <w:sz w:val="24"/>
        </w:rPr>
        <w:t xml:space="preserve"> </w:t>
      </w:r>
      <w:r w:rsidR="009C2BD9" w:rsidRPr="00E32515">
        <w:rPr>
          <w:rFonts w:cs="Arial"/>
          <w:sz w:val="24"/>
        </w:rPr>
        <w:t>on shipments of radioactive substances between Member States</w:t>
      </w:r>
      <w:r w:rsidRPr="00E32515">
        <w:rPr>
          <w:rFonts w:cs="Arial"/>
          <w:sz w:val="24"/>
        </w:rPr>
        <w:t xml:space="preserve"> after the UK leaves the EU</w:t>
      </w:r>
      <w:r w:rsidRPr="00E32515">
        <w:rPr>
          <w:rFonts w:eastAsia="Arial" w:cs="Arial"/>
          <w:sz w:val="24"/>
        </w:rPr>
        <w:t>.</w:t>
      </w:r>
      <w:r w:rsidR="252668CB" w:rsidRPr="00E32515">
        <w:rPr>
          <w:rFonts w:eastAsia="Arial" w:cs="Arial"/>
          <w:sz w:val="24"/>
        </w:rPr>
        <w:t xml:space="preserve"> </w:t>
      </w:r>
      <w:r w:rsidRPr="00E32515">
        <w:rPr>
          <w:rFonts w:eastAsia="Arial" w:cs="Arial"/>
          <w:sz w:val="24"/>
        </w:rPr>
        <w:t xml:space="preserve"> </w:t>
      </w:r>
    </w:p>
    <w:p w14:paraId="54DFFAA8" w14:textId="77777777" w:rsidR="00C45689" w:rsidRPr="00E32515" w:rsidRDefault="00C45689" w:rsidP="00EA0B86">
      <w:pPr>
        <w:spacing w:after="240"/>
        <w:ind w:right="409"/>
        <w:jc w:val="both"/>
        <w:rPr>
          <w:rFonts w:cs="Arial"/>
          <w:iCs/>
          <w:sz w:val="24"/>
        </w:rPr>
      </w:pPr>
    </w:p>
    <w:p w14:paraId="4AB0DB22" w14:textId="77777777" w:rsidR="00C45689" w:rsidRPr="00E32515" w:rsidRDefault="00C45689" w:rsidP="00E32515">
      <w:pPr>
        <w:jc w:val="both"/>
        <w:rPr>
          <w:rFonts w:cs="Arial"/>
          <w:sz w:val="24"/>
        </w:rPr>
      </w:pPr>
    </w:p>
    <w:sectPr w:rsidR="00C45689" w:rsidRPr="00E32515" w:rsidSect="00A42D15">
      <w:headerReference w:type="default" r:id="rId12"/>
      <w:footerReference w:type="default" r:id="rId13"/>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F434" w14:textId="77777777" w:rsidR="00B13F24" w:rsidRDefault="00B13F24" w:rsidP="002A1518">
      <w:r>
        <w:separator/>
      </w:r>
    </w:p>
  </w:endnote>
  <w:endnote w:type="continuationSeparator" w:id="0">
    <w:p w14:paraId="7F5A4B4C" w14:textId="77777777" w:rsidR="00B13F24" w:rsidRDefault="00B13F24" w:rsidP="002A1518">
      <w:r>
        <w:continuationSeparator/>
      </w:r>
    </w:p>
  </w:endnote>
  <w:endnote w:type="continuationNotice" w:id="1">
    <w:p w14:paraId="2EB5CF09" w14:textId="77777777" w:rsidR="00B13F24" w:rsidRDefault="00B1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53356"/>
      <w:docPartObj>
        <w:docPartGallery w:val="Page Numbers (Bottom of Page)"/>
        <w:docPartUnique/>
      </w:docPartObj>
    </w:sdtPr>
    <w:sdtEndPr>
      <w:rPr>
        <w:noProof/>
      </w:rPr>
    </w:sdtEndPr>
    <w:sdtContent>
      <w:p w14:paraId="185D5F60" w14:textId="7E5EB281" w:rsidR="005D3435" w:rsidRDefault="005D3435">
        <w:pPr>
          <w:pStyle w:val="Footer"/>
          <w:jc w:val="center"/>
        </w:pPr>
        <w:r>
          <w:fldChar w:fldCharType="begin"/>
        </w:r>
        <w:r>
          <w:instrText xml:space="preserve"> PAGE   \* MERGEFORMAT </w:instrText>
        </w:r>
        <w:r>
          <w:fldChar w:fldCharType="separate"/>
        </w:r>
        <w:r w:rsidR="00152479">
          <w:rPr>
            <w:noProof/>
          </w:rPr>
          <w:t>1</w:t>
        </w:r>
        <w:r>
          <w:rPr>
            <w:noProof/>
          </w:rPr>
          <w:fldChar w:fldCharType="end"/>
        </w:r>
      </w:p>
    </w:sdtContent>
  </w:sdt>
  <w:p w14:paraId="6C57056E" w14:textId="77777777" w:rsidR="005D3435" w:rsidRDefault="005D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6BC5" w14:textId="77777777" w:rsidR="00B13F24" w:rsidRDefault="00B13F24" w:rsidP="002A1518">
      <w:r>
        <w:separator/>
      </w:r>
    </w:p>
  </w:footnote>
  <w:footnote w:type="continuationSeparator" w:id="0">
    <w:p w14:paraId="7D1AC4FD" w14:textId="77777777" w:rsidR="00B13F24" w:rsidRDefault="00B13F24" w:rsidP="002A1518">
      <w:r>
        <w:continuationSeparator/>
      </w:r>
    </w:p>
  </w:footnote>
  <w:footnote w:type="continuationNotice" w:id="1">
    <w:p w14:paraId="415DAECE" w14:textId="77777777" w:rsidR="00B13F24" w:rsidRDefault="00B13F24"/>
  </w:footnote>
  <w:footnote w:id="2">
    <w:p w14:paraId="12957F01" w14:textId="4B5D4E38" w:rsidR="008239A6" w:rsidRPr="00A42D15" w:rsidRDefault="00C8531C">
      <w:pPr>
        <w:pStyle w:val="FootnoteText"/>
        <w:rPr>
          <w:sz w:val="22"/>
          <w:szCs w:val="22"/>
        </w:rPr>
      </w:pPr>
      <w:r w:rsidRPr="00A42D15">
        <w:rPr>
          <w:rStyle w:val="FootnoteReference"/>
          <w:sz w:val="22"/>
          <w:szCs w:val="22"/>
        </w:rPr>
        <w:t>[1]</w:t>
      </w:r>
      <w:r w:rsidR="009B1826" w:rsidRPr="00A42D15">
        <w:rPr>
          <w:sz w:val="22"/>
          <w:szCs w:val="22"/>
          <w:u w:val="single"/>
        </w:rPr>
        <w:t>https://assets.publishing.service.gov.uk/government/uploads/system/uploads/attachment_data/file/627909/FINAL_OFF_SEN_Position_Paper_HMG_Nuclear_materials_and_safeguards_issues_Position_Paper_FINAL_120717__3_.pdf</w:t>
      </w:r>
      <w:r w:rsidR="008239A6" w:rsidRPr="00A42D15">
        <w:rPr>
          <w:sz w:val="22"/>
          <w:szCs w:val="22"/>
        </w:rPr>
        <w:t>)</w:t>
      </w:r>
    </w:p>
  </w:footnote>
  <w:footnote w:id="3">
    <w:p w14:paraId="55BCECB7" w14:textId="22CFF28D" w:rsidR="000D4E42" w:rsidRDefault="000D4E42" w:rsidP="000D4E42">
      <w:pPr>
        <w:pStyle w:val="xnormal1"/>
      </w:pPr>
      <w:r w:rsidRPr="00A42D15">
        <w:rPr>
          <w:rStyle w:val="FootnoteReference"/>
        </w:rPr>
        <w:t>[1]</w:t>
      </w:r>
      <w:hyperlink r:id="rId1" w:history="1">
        <w:r w:rsidRPr="00A42D15">
          <w:rPr>
            <w:rStyle w:val="Hyperlink"/>
            <w:rFonts w:ascii="Arial" w:hAnsi="Arial" w:cs="Arial"/>
            <w:color w:val="000000"/>
          </w:rPr>
          <w:t>https://www.gov.uk/government/publications/framework-for-the-uk-eu-partnership-science-research-and-innovation</w:t>
        </w:r>
      </w:hyperlink>
      <w:r w:rsidRPr="00A42D15">
        <w:rPr>
          <w:rFonts w:ascii="Arial" w:eastAsia="Times New Roman" w:hAnsi="Arial" w:cs="Arial"/>
          <w:color w:val="2121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8E3C" w14:textId="75A48E90" w:rsidR="002A1518" w:rsidRDefault="002A1518">
    <w:pPr>
      <w:pStyle w:val="Header"/>
    </w:pPr>
  </w:p>
  <w:p w14:paraId="0EFE8B33" w14:textId="77777777" w:rsidR="002A1518" w:rsidRDefault="002A1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19B"/>
    <w:multiLevelType w:val="hybridMultilevel"/>
    <w:tmpl w:val="ED52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5751"/>
    <w:multiLevelType w:val="hybridMultilevel"/>
    <w:tmpl w:val="002C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61670"/>
    <w:multiLevelType w:val="multilevel"/>
    <w:tmpl w:val="F90C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37D59"/>
    <w:multiLevelType w:val="multilevel"/>
    <w:tmpl w:val="478A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901DF"/>
    <w:multiLevelType w:val="hybridMultilevel"/>
    <w:tmpl w:val="0CA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F1293"/>
    <w:multiLevelType w:val="hybridMultilevel"/>
    <w:tmpl w:val="F07455B4"/>
    <w:lvl w:ilvl="0" w:tplc="FBDCB8A4">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D1412A5"/>
    <w:multiLevelType w:val="hybridMultilevel"/>
    <w:tmpl w:val="ADBE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F6846"/>
    <w:multiLevelType w:val="hybridMultilevel"/>
    <w:tmpl w:val="E5B4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8D4"/>
    <w:multiLevelType w:val="hybridMultilevel"/>
    <w:tmpl w:val="FA3A40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66C0895"/>
    <w:multiLevelType w:val="hybridMultilevel"/>
    <w:tmpl w:val="D2F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61A6C"/>
    <w:multiLevelType w:val="multilevel"/>
    <w:tmpl w:val="60086FA0"/>
    <w:lvl w:ilvl="0">
      <w:start w:val="5"/>
      <w:numFmt w:val="bullet"/>
      <w:lvlText w:val="●"/>
      <w:lvlJc w:val="left"/>
      <w:pPr>
        <w:ind w:left="720" w:hanging="360"/>
      </w:pPr>
      <w:rPr>
        <w:rFonts w:ascii="Arial" w:eastAsia="Noto Sans Symbols" w:hAnsi="Arial" w:cs="Arial" w:hint="default"/>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136F8"/>
    <w:multiLevelType w:val="hybridMultilevel"/>
    <w:tmpl w:val="05CA735A"/>
    <w:lvl w:ilvl="0" w:tplc="A4168BB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BA5B3C"/>
    <w:multiLevelType w:val="hybridMultilevel"/>
    <w:tmpl w:val="5A74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4E7EBB"/>
    <w:multiLevelType w:val="hybridMultilevel"/>
    <w:tmpl w:val="4B5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9066E"/>
    <w:multiLevelType w:val="hybridMultilevel"/>
    <w:tmpl w:val="A726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846F6"/>
    <w:multiLevelType w:val="hybridMultilevel"/>
    <w:tmpl w:val="FFA0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F02AD"/>
    <w:multiLevelType w:val="hybridMultilevel"/>
    <w:tmpl w:val="A24E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F4B89"/>
    <w:multiLevelType w:val="multilevel"/>
    <w:tmpl w:val="26D64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1847A85"/>
    <w:multiLevelType w:val="hybridMultilevel"/>
    <w:tmpl w:val="1646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93C90"/>
    <w:multiLevelType w:val="hybridMultilevel"/>
    <w:tmpl w:val="3098BFD6"/>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20" w15:restartNumberingAfterBreak="0">
    <w:nsid w:val="70040C9C"/>
    <w:multiLevelType w:val="hybridMultilevel"/>
    <w:tmpl w:val="F3EC5888"/>
    <w:lvl w:ilvl="0" w:tplc="BABC4D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8"/>
  </w:num>
  <w:num w:numId="4">
    <w:abstractNumId w:val="6"/>
  </w:num>
  <w:num w:numId="5">
    <w:abstractNumId w:val="14"/>
  </w:num>
  <w:num w:numId="6">
    <w:abstractNumId w:val="15"/>
  </w:num>
  <w:num w:numId="7">
    <w:abstractNumId w:val="16"/>
  </w:num>
  <w:num w:numId="8">
    <w:abstractNumId w:val="7"/>
  </w:num>
  <w:num w:numId="9">
    <w:abstractNumId w:val="11"/>
  </w:num>
  <w:num w:numId="10">
    <w:abstractNumId w:val="12"/>
  </w:num>
  <w:num w:numId="11">
    <w:abstractNumId w:val="4"/>
  </w:num>
  <w:num w:numId="12">
    <w:abstractNumId w:val="0"/>
  </w:num>
  <w:num w:numId="13">
    <w:abstractNumId w:val="17"/>
  </w:num>
  <w:num w:numId="14">
    <w:abstractNumId w:val="20"/>
  </w:num>
  <w:num w:numId="15">
    <w:abstractNumId w:val="1"/>
  </w:num>
  <w:num w:numId="16">
    <w:abstractNumId w:val="8"/>
  </w:num>
  <w:num w:numId="17">
    <w:abstractNumId w:val="5"/>
  </w:num>
  <w:num w:numId="18">
    <w:abstractNumId w:val="5"/>
  </w:num>
  <w:num w:numId="19">
    <w:abstractNumId w:val="13"/>
  </w:num>
  <w:num w:numId="20">
    <w:abstractNumId w:val="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4C"/>
    <w:rsid w:val="00000633"/>
    <w:rsid w:val="00002EB9"/>
    <w:rsid w:val="00004B92"/>
    <w:rsid w:val="000075C5"/>
    <w:rsid w:val="00010B42"/>
    <w:rsid w:val="00012182"/>
    <w:rsid w:val="000123C3"/>
    <w:rsid w:val="000158BA"/>
    <w:rsid w:val="0002558E"/>
    <w:rsid w:val="00025F8E"/>
    <w:rsid w:val="00026F3B"/>
    <w:rsid w:val="000274AF"/>
    <w:rsid w:val="00030032"/>
    <w:rsid w:val="00032D97"/>
    <w:rsid w:val="000341F2"/>
    <w:rsid w:val="00034E91"/>
    <w:rsid w:val="00034FBD"/>
    <w:rsid w:val="000351AB"/>
    <w:rsid w:val="000368C6"/>
    <w:rsid w:val="0004063D"/>
    <w:rsid w:val="00040A1D"/>
    <w:rsid w:val="00041949"/>
    <w:rsid w:val="000419A5"/>
    <w:rsid w:val="00042879"/>
    <w:rsid w:val="00043F38"/>
    <w:rsid w:val="0004461E"/>
    <w:rsid w:val="000452D3"/>
    <w:rsid w:val="00053285"/>
    <w:rsid w:val="00056477"/>
    <w:rsid w:val="00056678"/>
    <w:rsid w:val="00061088"/>
    <w:rsid w:val="00064630"/>
    <w:rsid w:val="00065481"/>
    <w:rsid w:val="00065D48"/>
    <w:rsid w:val="0006747B"/>
    <w:rsid w:val="00077F15"/>
    <w:rsid w:val="00085636"/>
    <w:rsid w:val="00085FFE"/>
    <w:rsid w:val="0009154C"/>
    <w:rsid w:val="00096066"/>
    <w:rsid w:val="000A0EA4"/>
    <w:rsid w:val="000A1589"/>
    <w:rsid w:val="000A1B09"/>
    <w:rsid w:val="000A259A"/>
    <w:rsid w:val="000A37F8"/>
    <w:rsid w:val="000A393C"/>
    <w:rsid w:val="000A5EBF"/>
    <w:rsid w:val="000B20AD"/>
    <w:rsid w:val="000C2DD1"/>
    <w:rsid w:val="000C305A"/>
    <w:rsid w:val="000C397C"/>
    <w:rsid w:val="000C6C96"/>
    <w:rsid w:val="000C73AF"/>
    <w:rsid w:val="000C73D5"/>
    <w:rsid w:val="000D22AB"/>
    <w:rsid w:val="000D4E42"/>
    <w:rsid w:val="000D4E9F"/>
    <w:rsid w:val="000E0FE9"/>
    <w:rsid w:val="000E4013"/>
    <w:rsid w:val="000F15F8"/>
    <w:rsid w:val="000F5118"/>
    <w:rsid w:val="000F55F4"/>
    <w:rsid w:val="000F747A"/>
    <w:rsid w:val="00101BF3"/>
    <w:rsid w:val="0010312E"/>
    <w:rsid w:val="001166DE"/>
    <w:rsid w:val="00116D54"/>
    <w:rsid w:val="001226C9"/>
    <w:rsid w:val="00123204"/>
    <w:rsid w:val="001237CD"/>
    <w:rsid w:val="00124838"/>
    <w:rsid w:val="001250C5"/>
    <w:rsid w:val="00125BC6"/>
    <w:rsid w:val="00132ED2"/>
    <w:rsid w:val="00135360"/>
    <w:rsid w:val="001367BA"/>
    <w:rsid w:val="00137EA9"/>
    <w:rsid w:val="00137F82"/>
    <w:rsid w:val="001414F5"/>
    <w:rsid w:val="00144B5E"/>
    <w:rsid w:val="00146A5B"/>
    <w:rsid w:val="00152479"/>
    <w:rsid w:val="00154EE3"/>
    <w:rsid w:val="001642E0"/>
    <w:rsid w:val="00164C68"/>
    <w:rsid w:val="00170AD6"/>
    <w:rsid w:val="00170E14"/>
    <w:rsid w:val="00172254"/>
    <w:rsid w:val="00172762"/>
    <w:rsid w:val="00176723"/>
    <w:rsid w:val="00186752"/>
    <w:rsid w:val="00191D20"/>
    <w:rsid w:val="001922BD"/>
    <w:rsid w:val="001964A4"/>
    <w:rsid w:val="001A272B"/>
    <w:rsid w:val="001A38A1"/>
    <w:rsid w:val="001A7406"/>
    <w:rsid w:val="001B07F7"/>
    <w:rsid w:val="001B358D"/>
    <w:rsid w:val="001B3BA9"/>
    <w:rsid w:val="001B4434"/>
    <w:rsid w:val="001B4710"/>
    <w:rsid w:val="001B5803"/>
    <w:rsid w:val="001C1472"/>
    <w:rsid w:val="001C54F6"/>
    <w:rsid w:val="001C61EC"/>
    <w:rsid w:val="001D31E5"/>
    <w:rsid w:val="001D4B0E"/>
    <w:rsid w:val="001D5CE9"/>
    <w:rsid w:val="001D6A6F"/>
    <w:rsid w:val="001D734C"/>
    <w:rsid w:val="001E0A3D"/>
    <w:rsid w:val="001E16BC"/>
    <w:rsid w:val="001E17CB"/>
    <w:rsid w:val="001E60B9"/>
    <w:rsid w:val="001F2450"/>
    <w:rsid w:val="001F3EA7"/>
    <w:rsid w:val="001F6831"/>
    <w:rsid w:val="00204AC3"/>
    <w:rsid w:val="002074A7"/>
    <w:rsid w:val="002124AB"/>
    <w:rsid w:val="00212686"/>
    <w:rsid w:val="00213000"/>
    <w:rsid w:val="00213E1B"/>
    <w:rsid w:val="00214DB1"/>
    <w:rsid w:val="00214DFB"/>
    <w:rsid w:val="002202FC"/>
    <w:rsid w:val="002258E8"/>
    <w:rsid w:val="002275E1"/>
    <w:rsid w:val="002305B0"/>
    <w:rsid w:val="00230BA4"/>
    <w:rsid w:val="002342F2"/>
    <w:rsid w:val="00234361"/>
    <w:rsid w:val="00235B34"/>
    <w:rsid w:val="00235CD0"/>
    <w:rsid w:val="00236B45"/>
    <w:rsid w:val="002467E8"/>
    <w:rsid w:val="002470F9"/>
    <w:rsid w:val="00247C3E"/>
    <w:rsid w:val="00250D3D"/>
    <w:rsid w:val="002529E6"/>
    <w:rsid w:val="00253901"/>
    <w:rsid w:val="00260C4C"/>
    <w:rsid w:val="00260DCC"/>
    <w:rsid w:val="00260ECD"/>
    <w:rsid w:val="0026279E"/>
    <w:rsid w:val="00263694"/>
    <w:rsid w:val="002641A9"/>
    <w:rsid w:val="00264A3F"/>
    <w:rsid w:val="00264BE3"/>
    <w:rsid w:val="00265E11"/>
    <w:rsid w:val="00271BDB"/>
    <w:rsid w:val="00273E2E"/>
    <w:rsid w:val="00274381"/>
    <w:rsid w:val="00281125"/>
    <w:rsid w:val="002815ED"/>
    <w:rsid w:val="002839F3"/>
    <w:rsid w:val="00283AAB"/>
    <w:rsid w:val="0028502D"/>
    <w:rsid w:val="00294E49"/>
    <w:rsid w:val="00295519"/>
    <w:rsid w:val="002A0B7A"/>
    <w:rsid w:val="002A14CB"/>
    <w:rsid w:val="002A1518"/>
    <w:rsid w:val="002A1741"/>
    <w:rsid w:val="002A30A8"/>
    <w:rsid w:val="002A5619"/>
    <w:rsid w:val="002B13FA"/>
    <w:rsid w:val="002B53D2"/>
    <w:rsid w:val="002B705D"/>
    <w:rsid w:val="002B77C9"/>
    <w:rsid w:val="002C05B5"/>
    <w:rsid w:val="002C6327"/>
    <w:rsid w:val="002C700F"/>
    <w:rsid w:val="002D6F00"/>
    <w:rsid w:val="002E0370"/>
    <w:rsid w:val="002E184D"/>
    <w:rsid w:val="002E290B"/>
    <w:rsid w:val="002E2D64"/>
    <w:rsid w:val="002E2F50"/>
    <w:rsid w:val="002E7A33"/>
    <w:rsid w:val="002F543C"/>
    <w:rsid w:val="003004C5"/>
    <w:rsid w:val="0030104C"/>
    <w:rsid w:val="00305361"/>
    <w:rsid w:val="0030628D"/>
    <w:rsid w:val="003076AE"/>
    <w:rsid w:val="00312167"/>
    <w:rsid w:val="00315205"/>
    <w:rsid w:val="0031591F"/>
    <w:rsid w:val="003166B6"/>
    <w:rsid w:val="0031758F"/>
    <w:rsid w:val="00320433"/>
    <w:rsid w:val="00322835"/>
    <w:rsid w:val="00322CBC"/>
    <w:rsid w:val="00326415"/>
    <w:rsid w:val="00327BB6"/>
    <w:rsid w:val="0033219E"/>
    <w:rsid w:val="003321EC"/>
    <w:rsid w:val="003341F2"/>
    <w:rsid w:val="00334819"/>
    <w:rsid w:val="00335204"/>
    <w:rsid w:val="003368AC"/>
    <w:rsid w:val="00337441"/>
    <w:rsid w:val="0034086A"/>
    <w:rsid w:val="0034118D"/>
    <w:rsid w:val="0034304D"/>
    <w:rsid w:val="00345DA1"/>
    <w:rsid w:val="0034690C"/>
    <w:rsid w:val="003528D4"/>
    <w:rsid w:val="00353967"/>
    <w:rsid w:val="003539F0"/>
    <w:rsid w:val="003547EC"/>
    <w:rsid w:val="003549AF"/>
    <w:rsid w:val="00355076"/>
    <w:rsid w:val="0035797A"/>
    <w:rsid w:val="00362BE8"/>
    <w:rsid w:val="0036722E"/>
    <w:rsid w:val="00367445"/>
    <w:rsid w:val="003727DF"/>
    <w:rsid w:val="00380618"/>
    <w:rsid w:val="003824D6"/>
    <w:rsid w:val="00394439"/>
    <w:rsid w:val="00395EFC"/>
    <w:rsid w:val="003960BE"/>
    <w:rsid w:val="003973F0"/>
    <w:rsid w:val="003A2900"/>
    <w:rsid w:val="003B03C1"/>
    <w:rsid w:val="003B156E"/>
    <w:rsid w:val="003B5B7D"/>
    <w:rsid w:val="003B6EED"/>
    <w:rsid w:val="003C3038"/>
    <w:rsid w:val="003C34BF"/>
    <w:rsid w:val="003C6607"/>
    <w:rsid w:val="003E1A9C"/>
    <w:rsid w:val="003E3AE3"/>
    <w:rsid w:val="003E5FDC"/>
    <w:rsid w:val="003E62FA"/>
    <w:rsid w:val="003F30CF"/>
    <w:rsid w:val="003F3C0E"/>
    <w:rsid w:val="003F3C35"/>
    <w:rsid w:val="003F4F12"/>
    <w:rsid w:val="003F6610"/>
    <w:rsid w:val="00400910"/>
    <w:rsid w:val="0040155D"/>
    <w:rsid w:val="00401E18"/>
    <w:rsid w:val="0040224B"/>
    <w:rsid w:val="004146A0"/>
    <w:rsid w:val="0041692A"/>
    <w:rsid w:val="004220CD"/>
    <w:rsid w:val="0042608F"/>
    <w:rsid w:val="00436C0A"/>
    <w:rsid w:val="00440CE3"/>
    <w:rsid w:val="00444069"/>
    <w:rsid w:val="00445318"/>
    <w:rsid w:val="00447872"/>
    <w:rsid w:val="0045190B"/>
    <w:rsid w:val="0045626F"/>
    <w:rsid w:val="00457CE8"/>
    <w:rsid w:val="0046039E"/>
    <w:rsid w:val="0046223C"/>
    <w:rsid w:val="00470C4A"/>
    <w:rsid w:val="00471CB4"/>
    <w:rsid w:val="00473A17"/>
    <w:rsid w:val="00473CF8"/>
    <w:rsid w:val="00473E4F"/>
    <w:rsid w:val="00474460"/>
    <w:rsid w:val="00476E27"/>
    <w:rsid w:val="00477BC9"/>
    <w:rsid w:val="00481192"/>
    <w:rsid w:val="00482429"/>
    <w:rsid w:val="00482537"/>
    <w:rsid w:val="0048494C"/>
    <w:rsid w:val="00487B81"/>
    <w:rsid w:val="00487F9F"/>
    <w:rsid w:val="00494638"/>
    <w:rsid w:val="004948F1"/>
    <w:rsid w:val="0049513E"/>
    <w:rsid w:val="0049571D"/>
    <w:rsid w:val="00496113"/>
    <w:rsid w:val="004A1AAC"/>
    <w:rsid w:val="004A30FF"/>
    <w:rsid w:val="004A4386"/>
    <w:rsid w:val="004A5620"/>
    <w:rsid w:val="004A6F42"/>
    <w:rsid w:val="004B0FBC"/>
    <w:rsid w:val="004B1317"/>
    <w:rsid w:val="004B4DFC"/>
    <w:rsid w:val="004B6630"/>
    <w:rsid w:val="004B7401"/>
    <w:rsid w:val="004C24B1"/>
    <w:rsid w:val="004C334F"/>
    <w:rsid w:val="004C3D67"/>
    <w:rsid w:val="004C5FB0"/>
    <w:rsid w:val="004C6107"/>
    <w:rsid w:val="004C729C"/>
    <w:rsid w:val="004D0F06"/>
    <w:rsid w:val="004D221E"/>
    <w:rsid w:val="004D7525"/>
    <w:rsid w:val="004E04DA"/>
    <w:rsid w:val="004E1CE3"/>
    <w:rsid w:val="004E208F"/>
    <w:rsid w:val="004E2810"/>
    <w:rsid w:val="004E3739"/>
    <w:rsid w:val="004E3C31"/>
    <w:rsid w:val="004E6874"/>
    <w:rsid w:val="004E792C"/>
    <w:rsid w:val="004E79CA"/>
    <w:rsid w:val="004F3F9A"/>
    <w:rsid w:val="004F4721"/>
    <w:rsid w:val="004F4DE1"/>
    <w:rsid w:val="004F5F03"/>
    <w:rsid w:val="0050339E"/>
    <w:rsid w:val="00503B56"/>
    <w:rsid w:val="00505BB3"/>
    <w:rsid w:val="005073D2"/>
    <w:rsid w:val="00507B0A"/>
    <w:rsid w:val="00511D76"/>
    <w:rsid w:val="005120DB"/>
    <w:rsid w:val="0051446B"/>
    <w:rsid w:val="00515B1F"/>
    <w:rsid w:val="00516677"/>
    <w:rsid w:val="00516881"/>
    <w:rsid w:val="00521B43"/>
    <w:rsid w:val="00523238"/>
    <w:rsid w:val="00527857"/>
    <w:rsid w:val="00530EBA"/>
    <w:rsid w:val="005314E3"/>
    <w:rsid w:val="00531B7F"/>
    <w:rsid w:val="005375A3"/>
    <w:rsid w:val="005439CF"/>
    <w:rsid w:val="00547193"/>
    <w:rsid w:val="005531B3"/>
    <w:rsid w:val="00555DBD"/>
    <w:rsid w:val="005571BC"/>
    <w:rsid w:val="00560F52"/>
    <w:rsid w:val="0056146F"/>
    <w:rsid w:val="005677B8"/>
    <w:rsid w:val="00572A82"/>
    <w:rsid w:val="0057592F"/>
    <w:rsid w:val="0057772E"/>
    <w:rsid w:val="00580DAF"/>
    <w:rsid w:val="005878E7"/>
    <w:rsid w:val="00590B96"/>
    <w:rsid w:val="00592A7F"/>
    <w:rsid w:val="005940D9"/>
    <w:rsid w:val="00594577"/>
    <w:rsid w:val="005945B6"/>
    <w:rsid w:val="00594748"/>
    <w:rsid w:val="005951CB"/>
    <w:rsid w:val="00596CD4"/>
    <w:rsid w:val="0059703A"/>
    <w:rsid w:val="005A0149"/>
    <w:rsid w:val="005A0FDE"/>
    <w:rsid w:val="005A5B5E"/>
    <w:rsid w:val="005A62EA"/>
    <w:rsid w:val="005A7522"/>
    <w:rsid w:val="005A771B"/>
    <w:rsid w:val="005B2199"/>
    <w:rsid w:val="005B2A41"/>
    <w:rsid w:val="005B5D2C"/>
    <w:rsid w:val="005B6C4F"/>
    <w:rsid w:val="005B6C72"/>
    <w:rsid w:val="005C0F07"/>
    <w:rsid w:val="005C4391"/>
    <w:rsid w:val="005C4C4C"/>
    <w:rsid w:val="005D3435"/>
    <w:rsid w:val="005D3476"/>
    <w:rsid w:val="005D3AD8"/>
    <w:rsid w:val="005D671E"/>
    <w:rsid w:val="005E2EE0"/>
    <w:rsid w:val="005E383E"/>
    <w:rsid w:val="005E65AE"/>
    <w:rsid w:val="005F1B9E"/>
    <w:rsid w:val="005F2580"/>
    <w:rsid w:val="00601DCC"/>
    <w:rsid w:val="00603838"/>
    <w:rsid w:val="00610363"/>
    <w:rsid w:val="00612FA9"/>
    <w:rsid w:val="00617839"/>
    <w:rsid w:val="006211CB"/>
    <w:rsid w:val="006224B3"/>
    <w:rsid w:val="0062324B"/>
    <w:rsid w:val="006248AB"/>
    <w:rsid w:val="00627721"/>
    <w:rsid w:val="00627FAD"/>
    <w:rsid w:val="0063010E"/>
    <w:rsid w:val="006407E8"/>
    <w:rsid w:val="006427D5"/>
    <w:rsid w:val="00642A1C"/>
    <w:rsid w:val="00646624"/>
    <w:rsid w:val="006467EA"/>
    <w:rsid w:val="006510CC"/>
    <w:rsid w:val="00657E87"/>
    <w:rsid w:val="00660374"/>
    <w:rsid w:val="00661421"/>
    <w:rsid w:val="00662B70"/>
    <w:rsid w:val="00665D4E"/>
    <w:rsid w:val="006663D5"/>
    <w:rsid w:val="00671349"/>
    <w:rsid w:val="0067175C"/>
    <w:rsid w:val="006740C9"/>
    <w:rsid w:val="006861BD"/>
    <w:rsid w:val="00687338"/>
    <w:rsid w:val="00687A45"/>
    <w:rsid w:val="00690A04"/>
    <w:rsid w:val="006958C8"/>
    <w:rsid w:val="006A079D"/>
    <w:rsid w:val="006A0B4A"/>
    <w:rsid w:val="006A6797"/>
    <w:rsid w:val="006B0188"/>
    <w:rsid w:val="006B21BF"/>
    <w:rsid w:val="006B22AE"/>
    <w:rsid w:val="006B50D3"/>
    <w:rsid w:val="006C0752"/>
    <w:rsid w:val="006C2085"/>
    <w:rsid w:val="006C5603"/>
    <w:rsid w:val="006C5C2A"/>
    <w:rsid w:val="006C6FA2"/>
    <w:rsid w:val="006D129D"/>
    <w:rsid w:val="006D31A2"/>
    <w:rsid w:val="006D34CF"/>
    <w:rsid w:val="006D3F03"/>
    <w:rsid w:val="006D404E"/>
    <w:rsid w:val="006D72FD"/>
    <w:rsid w:val="006D7C67"/>
    <w:rsid w:val="006E014D"/>
    <w:rsid w:val="006E108C"/>
    <w:rsid w:val="006F4A2D"/>
    <w:rsid w:val="006F4C64"/>
    <w:rsid w:val="006F7B1B"/>
    <w:rsid w:val="00704C6F"/>
    <w:rsid w:val="007059C8"/>
    <w:rsid w:val="00710438"/>
    <w:rsid w:val="00714526"/>
    <w:rsid w:val="00720536"/>
    <w:rsid w:val="0072183A"/>
    <w:rsid w:val="00722B4C"/>
    <w:rsid w:val="00725563"/>
    <w:rsid w:val="007264A3"/>
    <w:rsid w:val="00726E76"/>
    <w:rsid w:val="00726FA0"/>
    <w:rsid w:val="007333A0"/>
    <w:rsid w:val="007415A9"/>
    <w:rsid w:val="00743AAA"/>
    <w:rsid w:val="0074545D"/>
    <w:rsid w:val="007456EA"/>
    <w:rsid w:val="00747032"/>
    <w:rsid w:val="00750572"/>
    <w:rsid w:val="007507A9"/>
    <w:rsid w:val="00752BC1"/>
    <w:rsid w:val="007533B0"/>
    <w:rsid w:val="00753EF2"/>
    <w:rsid w:val="00755C43"/>
    <w:rsid w:val="00757DCD"/>
    <w:rsid w:val="00757E5C"/>
    <w:rsid w:val="00760F78"/>
    <w:rsid w:val="00761466"/>
    <w:rsid w:val="00767CD8"/>
    <w:rsid w:val="007762EA"/>
    <w:rsid w:val="00776AED"/>
    <w:rsid w:val="00777800"/>
    <w:rsid w:val="007801A9"/>
    <w:rsid w:val="007813DE"/>
    <w:rsid w:val="0078422C"/>
    <w:rsid w:val="007905FB"/>
    <w:rsid w:val="00796F62"/>
    <w:rsid w:val="007A5961"/>
    <w:rsid w:val="007B3C38"/>
    <w:rsid w:val="007B5795"/>
    <w:rsid w:val="007B60EE"/>
    <w:rsid w:val="007B6258"/>
    <w:rsid w:val="007C0957"/>
    <w:rsid w:val="007C0B27"/>
    <w:rsid w:val="007C12AF"/>
    <w:rsid w:val="007C2DB6"/>
    <w:rsid w:val="007C35D4"/>
    <w:rsid w:val="007C65D6"/>
    <w:rsid w:val="007D1208"/>
    <w:rsid w:val="007E261A"/>
    <w:rsid w:val="007E58A8"/>
    <w:rsid w:val="007E7606"/>
    <w:rsid w:val="007F5010"/>
    <w:rsid w:val="007F55A6"/>
    <w:rsid w:val="007F667D"/>
    <w:rsid w:val="007F74BE"/>
    <w:rsid w:val="00802249"/>
    <w:rsid w:val="00803D8A"/>
    <w:rsid w:val="00803E64"/>
    <w:rsid w:val="008053B3"/>
    <w:rsid w:val="0080616F"/>
    <w:rsid w:val="008076F2"/>
    <w:rsid w:val="00816B7B"/>
    <w:rsid w:val="008174B9"/>
    <w:rsid w:val="008225E5"/>
    <w:rsid w:val="008239A6"/>
    <w:rsid w:val="00825CDA"/>
    <w:rsid w:val="0082605A"/>
    <w:rsid w:val="00831A23"/>
    <w:rsid w:val="00832427"/>
    <w:rsid w:val="00832B85"/>
    <w:rsid w:val="00833CA0"/>
    <w:rsid w:val="00836896"/>
    <w:rsid w:val="008467DC"/>
    <w:rsid w:val="008506BD"/>
    <w:rsid w:val="00851AF0"/>
    <w:rsid w:val="00852453"/>
    <w:rsid w:val="0085297F"/>
    <w:rsid w:val="00860E1D"/>
    <w:rsid w:val="00862A17"/>
    <w:rsid w:val="00863543"/>
    <w:rsid w:val="0086539F"/>
    <w:rsid w:val="0087237A"/>
    <w:rsid w:val="008726BE"/>
    <w:rsid w:val="00876114"/>
    <w:rsid w:val="008823F5"/>
    <w:rsid w:val="008838B9"/>
    <w:rsid w:val="00884745"/>
    <w:rsid w:val="008905F0"/>
    <w:rsid w:val="00892BE0"/>
    <w:rsid w:val="00892C83"/>
    <w:rsid w:val="00893C93"/>
    <w:rsid w:val="00897DE4"/>
    <w:rsid w:val="008A42A4"/>
    <w:rsid w:val="008A57F3"/>
    <w:rsid w:val="008A720B"/>
    <w:rsid w:val="008B414D"/>
    <w:rsid w:val="008B771F"/>
    <w:rsid w:val="008C0200"/>
    <w:rsid w:val="008C35EE"/>
    <w:rsid w:val="008C3904"/>
    <w:rsid w:val="008C39CA"/>
    <w:rsid w:val="008D5493"/>
    <w:rsid w:val="008D7DF1"/>
    <w:rsid w:val="008E2BB0"/>
    <w:rsid w:val="008E2C8C"/>
    <w:rsid w:val="008E2D15"/>
    <w:rsid w:val="008E734D"/>
    <w:rsid w:val="008F0FF5"/>
    <w:rsid w:val="008F129F"/>
    <w:rsid w:val="008F20BD"/>
    <w:rsid w:val="008F4F4F"/>
    <w:rsid w:val="0090071C"/>
    <w:rsid w:val="0090264F"/>
    <w:rsid w:val="009073DF"/>
    <w:rsid w:val="00907DCC"/>
    <w:rsid w:val="00923429"/>
    <w:rsid w:val="009239A8"/>
    <w:rsid w:val="00923D81"/>
    <w:rsid w:val="00924440"/>
    <w:rsid w:val="00925A6C"/>
    <w:rsid w:val="00931B84"/>
    <w:rsid w:val="00931C82"/>
    <w:rsid w:val="009326CA"/>
    <w:rsid w:val="00934783"/>
    <w:rsid w:val="00935F8E"/>
    <w:rsid w:val="00936F18"/>
    <w:rsid w:val="009411CB"/>
    <w:rsid w:val="00941CD0"/>
    <w:rsid w:val="0094330C"/>
    <w:rsid w:val="00946268"/>
    <w:rsid w:val="0094688F"/>
    <w:rsid w:val="00951520"/>
    <w:rsid w:val="00952094"/>
    <w:rsid w:val="009533F0"/>
    <w:rsid w:val="009548F5"/>
    <w:rsid w:val="00955C2A"/>
    <w:rsid w:val="00956FAF"/>
    <w:rsid w:val="00960466"/>
    <w:rsid w:val="009663FA"/>
    <w:rsid w:val="009709EC"/>
    <w:rsid w:val="00972E01"/>
    <w:rsid w:val="00975590"/>
    <w:rsid w:val="00975ABF"/>
    <w:rsid w:val="009767BB"/>
    <w:rsid w:val="00977A1B"/>
    <w:rsid w:val="00981056"/>
    <w:rsid w:val="00981369"/>
    <w:rsid w:val="00981F4C"/>
    <w:rsid w:val="00985F3B"/>
    <w:rsid w:val="0099079C"/>
    <w:rsid w:val="0099160E"/>
    <w:rsid w:val="00991A83"/>
    <w:rsid w:val="00992EF0"/>
    <w:rsid w:val="00994E27"/>
    <w:rsid w:val="00995A29"/>
    <w:rsid w:val="00997718"/>
    <w:rsid w:val="009A020E"/>
    <w:rsid w:val="009A04C9"/>
    <w:rsid w:val="009A1BD6"/>
    <w:rsid w:val="009A504C"/>
    <w:rsid w:val="009A7D56"/>
    <w:rsid w:val="009B1826"/>
    <w:rsid w:val="009B6387"/>
    <w:rsid w:val="009B71C4"/>
    <w:rsid w:val="009C0C89"/>
    <w:rsid w:val="009C29A8"/>
    <w:rsid w:val="009C2BD9"/>
    <w:rsid w:val="009C39C9"/>
    <w:rsid w:val="009C64F9"/>
    <w:rsid w:val="009D40B4"/>
    <w:rsid w:val="009E108B"/>
    <w:rsid w:val="009E3339"/>
    <w:rsid w:val="009E461D"/>
    <w:rsid w:val="009E4C27"/>
    <w:rsid w:val="009E64F5"/>
    <w:rsid w:val="009E664A"/>
    <w:rsid w:val="009F055F"/>
    <w:rsid w:val="009F1803"/>
    <w:rsid w:val="009F39B0"/>
    <w:rsid w:val="009F6327"/>
    <w:rsid w:val="00A01272"/>
    <w:rsid w:val="00A01C50"/>
    <w:rsid w:val="00A05761"/>
    <w:rsid w:val="00A0729F"/>
    <w:rsid w:val="00A116B9"/>
    <w:rsid w:val="00A133D4"/>
    <w:rsid w:val="00A1355B"/>
    <w:rsid w:val="00A15AD2"/>
    <w:rsid w:val="00A15E51"/>
    <w:rsid w:val="00A17E97"/>
    <w:rsid w:val="00A217CE"/>
    <w:rsid w:val="00A225BF"/>
    <w:rsid w:val="00A32E5D"/>
    <w:rsid w:val="00A41C91"/>
    <w:rsid w:val="00A42D15"/>
    <w:rsid w:val="00A433AD"/>
    <w:rsid w:val="00A43587"/>
    <w:rsid w:val="00A43D8C"/>
    <w:rsid w:val="00A44585"/>
    <w:rsid w:val="00A53116"/>
    <w:rsid w:val="00A53A56"/>
    <w:rsid w:val="00A56601"/>
    <w:rsid w:val="00A60FAC"/>
    <w:rsid w:val="00A61B98"/>
    <w:rsid w:val="00A63E4F"/>
    <w:rsid w:val="00A64E2E"/>
    <w:rsid w:val="00A65443"/>
    <w:rsid w:val="00A70505"/>
    <w:rsid w:val="00A71266"/>
    <w:rsid w:val="00A77F0B"/>
    <w:rsid w:val="00A81430"/>
    <w:rsid w:val="00A81825"/>
    <w:rsid w:val="00A81DB1"/>
    <w:rsid w:val="00A83027"/>
    <w:rsid w:val="00A84841"/>
    <w:rsid w:val="00A94053"/>
    <w:rsid w:val="00A96BA9"/>
    <w:rsid w:val="00A97737"/>
    <w:rsid w:val="00AA0EFB"/>
    <w:rsid w:val="00AA47B1"/>
    <w:rsid w:val="00AB1531"/>
    <w:rsid w:val="00AB2739"/>
    <w:rsid w:val="00AB2AA2"/>
    <w:rsid w:val="00AB2D7D"/>
    <w:rsid w:val="00AB556E"/>
    <w:rsid w:val="00AB6065"/>
    <w:rsid w:val="00AB6769"/>
    <w:rsid w:val="00AC2B79"/>
    <w:rsid w:val="00AC2F92"/>
    <w:rsid w:val="00AC6763"/>
    <w:rsid w:val="00AD034A"/>
    <w:rsid w:val="00AD1619"/>
    <w:rsid w:val="00AD4CAB"/>
    <w:rsid w:val="00AE0D81"/>
    <w:rsid w:val="00AE3D45"/>
    <w:rsid w:val="00AE47FA"/>
    <w:rsid w:val="00AE51AA"/>
    <w:rsid w:val="00AE5E28"/>
    <w:rsid w:val="00AE639A"/>
    <w:rsid w:val="00AE6A39"/>
    <w:rsid w:val="00AE7401"/>
    <w:rsid w:val="00AF1362"/>
    <w:rsid w:val="00AF1368"/>
    <w:rsid w:val="00B02F2B"/>
    <w:rsid w:val="00B05634"/>
    <w:rsid w:val="00B11BA2"/>
    <w:rsid w:val="00B12618"/>
    <w:rsid w:val="00B12896"/>
    <w:rsid w:val="00B13107"/>
    <w:rsid w:val="00B13F24"/>
    <w:rsid w:val="00B15052"/>
    <w:rsid w:val="00B15C6D"/>
    <w:rsid w:val="00B16982"/>
    <w:rsid w:val="00B17010"/>
    <w:rsid w:val="00B1709B"/>
    <w:rsid w:val="00B20EAB"/>
    <w:rsid w:val="00B219B7"/>
    <w:rsid w:val="00B238F3"/>
    <w:rsid w:val="00B34541"/>
    <w:rsid w:val="00B34EAC"/>
    <w:rsid w:val="00B354A5"/>
    <w:rsid w:val="00B3563E"/>
    <w:rsid w:val="00B370ED"/>
    <w:rsid w:val="00B42B23"/>
    <w:rsid w:val="00B45EE3"/>
    <w:rsid w:val="00B469A1"/>
    <w:rsid w:val="00B47E6C"/>
    <w:rsid w:val="00B508B1"/>
    <w:rsid w:val="00B50E27"/>
    <w:rsid w:val="00B52673"/>
    <w:rsid w:val="00B53393"/>
    <w:rsid w:val="00B5401F"/>
    <w:rsid w:val="00B546D9"/>
    <w:rsid w:val="00B576E7"/>
    <w:rsid w:val="00B5781B"/>
    <w:rsid w:val="00B6057A"/>
    <w:rsid w:val="00B617AC"/>
    <w:rsid w:val="00B6187D"/>
    <w:rsid w:val="00B64365"/>
    <w:rsid w:val="00B70313"/>
    <w:rsid w:val="00B776E5"/>
    <w:rsid w:val="00B77E7B"/>
    <w:rsid w:val="00B85976"/>
    <w:rsid w:val="00B86BEF"/>
    <w:rsid w:val="00B95BA6"/>
    <w:rsid w:val="00B96EBE"/>
    <w:rsid w:val="00BA0C42"/>
    <w:rsid w:val="00BA39F7"/>
    <w:rsid w:val="00BA40F9"/>
    <w:rsid w:val="00BA4D73"/>
    <w:rsid w:val="00BA5CE2"/>
    <w:rsid w:val="00BA6027"/>
    <w:rsid w:val="00BB0496"/>
    <w:rsid w:val="00BB2AB4"/>
    <w:rsid w:val="00BB3B2C"/>
    <w:rsid w:val="00BB3DF1"/>
    <w:rsid w:val="00BB4646"/>
    <w:rsid w:val="00BB4876"/>
    <w:rsid w:val="00BB7CDB"/>
    <w:rsid w:val="00BC165F"/>
    <w:rsid w:val="00BC2AB6"/>
    <w:rsid w:val="00BC30BB"/>
    <w:rsid w:val="00BC3476"/>
    <w:rsid w:val="00BC669F"/>
    <w:rsid w:val="00BC6C5E"/>
    <w:rsid w:val="00BC7F0A"/>
    <w:rsid w:val="00BD06BF"/>
    <w:rsid w:val="00BD24CB"/>
    <w:rsid w:val="00BE0991"/>
    <w:rsid w:val="00BE1432"/>
    <w:rsid w:val="00BE246C"/>
    <w:rsid w:val="00BE5AE4"/>
    <w:rsid w:val="00BE6715"/>
    <w:rsid w:val="00BE6A50"/>
    <w:rsid w:val="00BE6E82"/>
    <w:rsid w:val="00BE7239"/>
    <w:rsid w:val="00BF2F87"/>
    <w:rsid w:val="00BF3121"/>
    <w:rsid w:val="00BF45A9"/>
    <w:rsid w:val="00C02F91"/>
    <w:rsid w:val="00C03298"/>
    <w:rsid w:val="00C072CF"/>
    <w:rsid w:val="00C079A5"/>
    <w:rsid w:val="00C10849"/>
    <w:rsid w:val="00C13A3F"/>
    <w:rsid w:val="00C160E9"/>
    <w:rsid w:val="00C16712"/>
    <w:rsid w:val="00C16B45"/>
    <w:rsid w:val="00C202B2"/>
    <w:rsid w:val="00C2126D"/>
    <w:rsid w:val="00C266D4"/>
    <w:rsid w:val="00C26B81"/>
    <w:rsid w:val="00C27949"/>
    <w:rsid w:val="00C31683"/>
    <w:rsid w:val="00C331F1"/>
    <w:rsid w:val="00C34EF7"/>
    <w:rsid w:val="00C36E2F"/>
    <w:rsid w:val="00C40C57"/>
    <w:rsid w:val="00C41921"/>
    <w:rsid w:val="00C42E51"/>
    <w:rsid w:val="00C44098"/>
    <w:rsid w:val="00C440FB"/>
    <w:rsid w:val="00C4466B"/>
    <w:rsid w:val="00C45689"/>
    <w:rsid w:val="00C45989"/>
    <w:rsid w:val="00C478F7"/>
    <w:rsid w:val="00C47B1E"/>
    <w:rsid w:val="00C5142A"/>
    <w:rsid w:val="00C534C5"/>
    <w:rsid w:val="00C55652"/>
    <w:rsid w:val="00C55D6F"/>
    <w:rsid w:val="00C663A9"/>
    <w:rsid w:val="00C66B04"/>
    <w:rsid w:val="00C71A09"/>
    <w:rsid w:val="00C73178"/>
    <w:rsid w:val="00C744EE"/>
    <w:rsid w:val="00C75FBC"/>
    <w:rsid w:val="00C81339"/>
    <w:rsid w:val="00C82892"/>
    <w:rsid w:val="00C8531C"/>
    <w:rsid w:val="00C85F8D"/>
    <w:rsid w:val="00C86D20"/>
    <w:rsid w:val="00C87D6E"/>
    <w:rsid w:val="00C91005"/>
    <w:rsid w:val="00C9574F"/>
    <w:rsid w:val="00C962EB"/>
    <w:rsid w:val="00CA1CB6"/>
    <w:rsid w:val="00CB03C5"/>
    <w:rsid w:val="00CB61E9"/>
    <w:rsid w:val="00CC15FD"/>
    <w:rsid w:val="00CC1717"/>
    <w:rsid w:val="00CC34BB"/>
    <w:rsid w:val="00CC4D40"/>
    <w:rsid w:val="00CC72FF"/>
    <w:rsid w:val="00CD07FE"/>
    <w:rsid w:val="00CD1BD2"/>
    <w:rsid w:val="00CD508C"/>
    <w:rsid w:val="00CE07AB"/>
    <w:rsid w:val="00CE11D8"/>
    <w:rsid w:val="00CE304B"/>
    <w:rsid w:val="00CE3479"/>
    <w:rsid w:val="00CE3F96"/>
    <w:rsid w:val="00CF00A1"/>
    <w:rsid w:val="00CF2731"/>
    <w:rsid w:val="00CF3A12"/>
    <w:rsid w:val="00CF4510"/>
    <w:rsid w:val="00CF6247"/>
    <w:rsid w:val="00D00179"/>
    <w:rsid w:val="00D00964"/>
    <w:rsid w:val="00D01A94"/>
    <w:rsid w:val="00D02D22"/>
    <w:rsid w:val="00D047E9"/>
    <w:rsid w:val="00D11A6C"/>
    <w:rsid w:val="00D12834"/>
    <w:rsid w:val="00D1439E"/>
    <w:rsid w:val="00D20F1E"/>
    <w:rsid w:val="00D21873"/>
    <w:rsid w:val="00D22698"/>
    <w:rsid w:val="00D25429"/>
    <w:rsid w:val="00D267BA"/>
    <w:rsid w:val="00D27942"/>
    <w:rsid w:val="00D33192"/>
    <w:rsid w:val="00D36D26"/>
    <w:rsid w:val="00D51A2B"/>
    <w:rsid w:val="00D52F0C"/>
    <w:rsid w:val="00D56953"/>
    <w:rsid w:val="00D57AA4"/>
    <w:rsid w:val="00D646CB"/>
    <w:rsid w:val="00D64F48"/>
    <w:rsid w:val="00D707BA"/>
    <w:rsid w:val="00D733BF"/>
    <w:rsid w:val="00D73794"/>
    <w:rsid w:val="00D76413"/>
    <w:rsid w:val="00D76AFD"/>
    <w:rsid w:val="00D76B8D"/>
    <w:rsid w:val="00D80E86"/>
    <w:rsid w:val="00D80ED6"/>
    <w:rsid w:val="00D841A2"/>
    <w:rsid w:val="00D84D8D"/>
    <w:rsid w:val="00D858CC"/>
    <w:rsid w:val="00D91ACC"/>
    <w:rsid w:val="00D9361D"/>
    <w:rsid w:val="00D96ED1"/>
    <w:rsid w:val="00D96F82"/>
    <w:rsid w:val="00D97400"/>
    <w:rsid w:val="00DA05C3"/>
    <w:rsid w:val="00DA2727"/>
    <w:rsid w:val="00DA397B"/>
    <w:rsid w:val="00DA6035"/>
    <w:rsid w:val="00DA6A4A"/>
    <w:rsid w:val="00DA6B02"/>
    <w:rsid w:val="00DB0080"/>
    <w:rsid w:val="00DB1036"/>
    <w:rsid w:val="00DB1C4D"/>
    <w:rsid w:val="00DB1FA7"/>
    <w:rsid w:val="00DB224D"/>
    <w:rsid w:val="00DB2D66"/>
    <w:rsid w:val="00DC289D"/>
    <w:rsid w:val="00DC474D"/>
    <w:rsid w:val="00DC58FD"/>
    <w:rsid w:val="00DD1D34"/>
    <w:rsid w:val="00DD2CC7"/>
    <w:rsid w:val="00DD788D"/>
    <w:rsid w:val="00DD7CDF"/>
    <w:rsid w:val="00DE2CE1"/>
    <w:rsid w:val="00DE2FD0"/>
    <w:rsid w:val="00DF0A86"/>
    <w:rsid w:val="00DF134B"/>
    <w:rsid w:val="00DF5171"/>
    <w:rsid w:val="00DF6A0B"/>
    <w:rsid w:val="00E0082C"/>
    <w:rsid w:val="00E013C4"/>
    <w:rsid w:val="00E044E8"/>
    <w:rsid w:val="00E04AD8"/>
    <w:rsid w:val="00E1059B"/>
    <w:rsid w:val="00E10C3E"/>
    <w:rsid w:val="00E118C0"/>
    <w:rsid w:val="00E12307"/>
    <w:rsid w:val="00E123A2"/>
    <w:rsid w:val="00E13215"/>
    <w:rsid w:val="00E13926"/>
    <w:rsid w:val="00E21754"/>
    <w:rsid w:val="00E22842"/>
    <w:rsid w:val="00E229F2"/>
    <w:rsid w:val="00E32515"/>
    <w:rsid w:val="00E3307E"/>
    <w:rsid w:val="00E36A2A"/>
    <w:rsid w:val="00E3761B"/>
    <w:rsid w:val="00E4020C"/>
    <w:rsid w:val="00E422F9"/>
    <w:rsid w:val="00E438F0"/>
    <w:rsid w:val="00E44721"/>
    <w:rsid w:val="00E453F9"/>
    <w:rsid w:val="00E4662A"/>
    <w:rsid w:val="00E46EFD"/>
    <w:rsid w:val="00E47EDE"/>
    <w:rsid w:val="00E50549"/>
    <w:rsid w:val="00E509BF"/>
    <w:rsid w:val="00E52175"/>
    <w:rsid w:val="00E54322"/>
    <w:rsid w:val="00E62C14"/>
    <w:rsid w:val="00E64CBA"/>
    <w:rsid w:val="00E6655D"/>
    <w:rsid w:val="00E676DD"/>
    <w:rsid w:val="00E67941"/>
    <w:rsid w:val="00E71E3A"/>
    <w:rsid w:val="00E72065"/>
    <w:rsid w:val="00E744AD"/>
    <w:rsid w:val="00E75D44"/>
    <w:rsid w:val="00E83DF6"/>
    <w:rsid w:val="00E8473F"/>
    <w:rsid w:val="00E85143"/>
    <w:rsid w:val="00E87E33"/>
    <w:rsid w:val="00E90D45"/>
    <w:rsid w:val="00EA0B86"/>
    <w:rsid w:val="00EA12F1"/>
    <w:rsid w:val="00EA130A"/>
    <w:rsid w:val="00EA1D90"/>
    <w:rsid w:val="00EA2C2C"/>
    <w:rsid w:val="00EA3901"/>
    <w:rsid w:val="00EA41BF"/>
    <w:rsid w:val="00EA7470"/>
    <w:rsid w:val="00EB0EA0"/>
    <w:rsid w:val="00EB66D6"/>
    <w:rsid w:val="00EB7830"/>
    <w:rsid w:val="00EC2FCC"/>
    <w:rsid w:val="00EC7D40"/>
    <w:rsid w:val="00ED1D9A"/>
    <w:rsid w:val="00ED20DE"/>
    <w:rsid w:val="00ED7213"/>
    <w:rsid w:val="00EE17C7"/>
    <w:rsid w:val="00EE221F"/>
    <w:rsid w:val="00EE347B"/>
    <w:rsid w:val="00EE3C33"/>
    <w:rsid w:val="00EE5858"/>
    <w:rsid w:val="00EF0D94"/>
    <w:rsid w:val="00EF1AED"/>
    <w:rsid w:val="00EF2C99"/>
    <w:rsid w:val="00EF43CB"/>
    <w:rsid w:val="00EF63C3"/>
    <w:rsid w:val="00F00227"/>
    <w:rsid w:val="00F04ADD"/>
    <w:rsid w:val="00F07F58"/>
    <w:rsid w:val="00F13FE7"/>
    <w:rsid w:val="00F250E3"/>
    <w:rsid w:val="00F261FB"/>
    <w:rsid w:val="00F30EEE"/>
    <w:rsid w:val="00F328C7"/>
    <w:rsid w:val="00F328DB"/>
    <w:rsid w:val="00F360E3"/>
    <w:rsid w:val="00F3637A"/>
    <w:rsid w:val="00F36F3E"/>
    <w:rsid w:val="00F371A9"/>
    <w:rsid w:val="00F37519"/>
    <w:rsid w:val="00F40621"/>
    <w:rsid w:val="00F41412"/>
    <w:rsid w:val="00F41C01"/>
    <w:rsid w:val="00F459EA"/>
    <w:rsid w:val="00F506B5"/>
    <w:rsid w:val="00F5184A"/>
    <w:rsid w:val="00F52645"/>
    <w:rsid w:val="00F52910"/>
    <w:rsid w:val="00F56A32"/>
    <w:rsid w:val="00F56DBE"/>
    <w:rsid w:val="00F57023"/>
    <w:rsid w:val="00F62A2E"/>
    <w:rsid w:val="00F70EC1"/>
    <w:rsid w:val="00F7115F"/>
    <w:rsid w:val="00F74AB4"/>
    <w:rsid w:val="00F766D7"/>
    <w:rsid w:val="00F76B8F"/>
    <w:rsid w:val="00F8325F"/>
    <w:rsid w:val="00F85165"/>
    <w:rsid w:val="00F85274"/>
    <w:rsid w:val="00F86F68"/>
    <w:rsid w:val="00F87D8A"/>
    <w:rsid w:val="00F91E4D"/>
    <w:rsid w:val="00F92E45"/>
    <w:rsid w:val="00F95568"/>
    <w:rsid w:val="00FA11FD"/>
    <w:rsid w:val="00FA552F"/>
    <w:rsid w:val="00FA56B2"/>
    <w:rsid w:val="00FB0F4A"/>
    <w:rsid w:val="00FB6AE2"/>
    <w:rsid w:val="00FB7E08"/>
    <w:rsid w:val="00FC076A"/>
    <w:rsid w:val="00FC39A2"/>
    <w:rsid w:val="00FC5764"/>
    <w:rsid w:val="00FC7F10"/>
    <w:rsid w:val="00FD1759"/>
    <w:rsid w:val="00FD1F6A"/>
    <w:rsid w:val="00FD2368"/>
    <w:rsid w:val="00FD4A66"/>
    <w:rsid w:val="00FE34FB"/>
    <w:rsid w:val="00FE5656"/>
    <w:rsid w:val="00FE6603"/>
    <w:rsid w:val="0750480A"/>
    <w:rsid w:val="09202817"/>
    <w:rsid w:val="09EBA76B"/>
    <w:rsid w:val="124C315F"/>
    <w:rsid w:val="1A6AD068"/>
    <w:rsid w:val="1D2F16DB"/>
    <w:rsid w:val="203A390A"/>
    <w:rsid w:val="252668CB"/>
    <w:rsid w:val="509CCA27"/>
    <w:rsid w:val="5392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5D80"/>
  <w15:chartTrackingRefBased/>
  <w15:docId w15:val="{65253D3F-80ED-4F4E-A3FB-E9062C3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54C"/>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MAIN CONTENT,List Paragraph12,List Paragraph2,Normal numbered,Recommendatio"/>
    <w:basedOn w:val="Normal"/>
    <w:link w:val="ListParagraphChar"/>
    <w:uiPriority w:val="34"/>
    <w:qFormat/>
    <w:rsid w:val="00C41921"/>
    <w:pPr>
      <w:ind w:left="720"/>
      <w:contextualSpacing/>
    </w:pPr>
  </w:style>
  <w:style w:type="paragraph" w:styleId="Header">
    <w:name w:val="header"/>
    <w:basedOn w:val="Normal"/>
    <w:link w:val="HeaderChar"/>
    <w:uiPriority w:val="99"/>
    <w:unhideWhenUsed/>
    <w:rsid w:val="002A1518"/>
    <w:pPr>
      <w:tabs>
        <w:tab w:val="center" w:pos="4513"/>
        <w:tab w:val="right" w:pos="9026"/>
      </w:tabs>
    </w:pPr>
  </w:style>
  <w:style w:type="character" w:customStyle="1" w:styleId="HeaderChar">
    <w:name w:val="Header Char"/>
    <w:basedOn w:val="DefaultParagraphFont"/>
    <w:link w:val="Header"/>
    <w:uiPriority w:val="99"/>
    <w:rsid w:val="002A1518"/>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2A1518"/>
    <w:pPr>
      <w:tabs>
        <w:tab w:val="center" w:pos="4513"/>
        <w:tab w:val="right" w:pos="9026"/>
      </w:tabs>
    </w:pPr>
  </w:style>
  <w:style w:type="character" w:customStyle="1" w:styleId="FooterChar">
    <w:name w:val="Footer Char"/>
    <w:basedOn w:val="DefaultParagraphFont"/>
    <w:link w:val="Footer"/>
    <w:uiPriority w:val="99"/>
    <w:rsid w:val="002A1518"/>
    <w:rPr>
      <w:rFonts w:ascii="Arial" w:eastAsia="Times New Roman" w:hAnsi="Arial" w:cs="Times New Roman"/>
      <w:sz w:val="20"/>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BD24CB"/>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543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CF"/>
    <w:rPr>
      <w:rFonts w:ascii="Segoe UI" w:eastAsia="Times New Roman" w:hAnsi="Segoe UI" w:cs="Segoe UI"/>
      <w:sz w:val="18"/>
      <w:szCs w:val="18"/>
      <w:lang w:eastAsia="en-GB"/>
    </w:rPr>
  </w:style>
  <w:style w:type="paragraph" w:styleId="NormalWeb">
    <w:name w:val="Normal (Web)"/>
    <w:basedOn w:val="Normal"/>
    <w:uiPriority w:val="99"/>
    <w:unhideWhenUsed/>
    <w:rsid w:val="00A01272"/>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ED7213"/>
    <w:rPr>
      <w:sz w:val="16"/>
      <w:szCs w:val="16"/>
    </w:rPr>
  </w:style>
  <w:style w:type="paragraph" w:styleId="CommentText">
    <w:name w:val="annotation text"/>
    <w:basedOn w:val="Normal"/>
    <w:link w:val="CommentTextChar"/>
    <w:uiPriority w:val="99"/>
    <w:unhideWhenUsed/>
    <w:rsid w:val="00ED7213"/>
    <w:rPr>
      <w:szCs w:val="20"/>
    </w:rPr>
  </w:style>
  <w:style w:type="character" w:customStyle="1" w:styleId="CommentTextChar">
    <w:name w:val="Comment Text Char"/>
    <w:basedOn w:val="DefaultParagraphFont"/>
    <w:link w:val="CommentText"/>
    <w:uiPriority w:val="99"/>
    <w:rsid w:val="00ED721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7213"/>
    <w:rPr>
      <w:b/>
      <w:bCs/>
    </w:rPr>
  </w:style>
  <w:style w:type="character" w:customStyle="1" w:styleId="CommentSubjectChar">
    <w:name w:val="Comment Subject Char"/>
    <w:basedOn w:val="CommentTextChar"/>
    <w:link w:val="CommentSubject"/>
    <w:uiPriority w:val="99"/>
    <w:semiHidden/>
    <w:rsid w:val="00ED7213"/>
    <w:rPr>
      <w:rFonts w:ascii="Arial" w:eastAsia="Times New Roman" w:hAnsi="Arial" w:cs="Times New Roman"/>
      <w:b/>
      <w:bCs/>
      <w:sz w:val="20"/>
      <w:szCs w:val="20"/>
      <w:lang w:eastAsia="en-GB"/>
    </w:rPr>
  </w:style>
  <w:style w:type="paragraph" w:customStyle="1" w:styleId="Default">
    <w:name w:val="Default"/>
    <w:rsid w:val="008823F5"/>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27721"/>
    <w:pPr>
      <w:spacing w:after="0" w:line="276" w:lineRule="auto"/>
    </w:pPr>
    <w:rPr>
      <w:rFonts w:ascii="Arial" w:eastAsia="Arial" w:hAnsi="Arial" w:cs="Arial"/>
      <w:lang w:val="uz-Cyrl-UZ"/>
    </w:rPr>
  </w:style>
  <w:style w:type="character" w:styleId="FootnoteReference">
    <w:name w:val="footnote reference"/>
    <w:basedOn w:val="DefaultParagraphFont"/>
    <w:rsid w:val="000D4E42"/>
    <w:rPr>
      <w:rFonts w:cs="Times New Roman"/>
      <w:position w:val="0"/>
      <w:vertAlign w:val="superscript"/>
    </w:rPr>
  </w:style>
  <w:style w:type="character" w:styleId="Hyperlink">
    <w:name w:val="Hyperlink"/>
    <w:basedOn w:val="DefaultParagraphFont"/>
    <w:rsid w:val="000D4E42"/>
    <w:rPr>
      <w:rFonts w:cs="Times New Roman"/>
      <w:color w:val="0563C1"/>
      <w:u w:val="single"/>
    </w:rPr>
  </w:style>
  <w:style w:type="paragraph" w:customStyle="1" w:styleId="xnormal1">
    <w:name w:val="x_normal1"/>
    <w:basedOn w:val="Normal"/>
    <w:rsid w:val="000D4E42"/>
    <w:pPr>
      <w:suppressAutoHyphens/>
      <w:autoSpaceDN w:val="0"/>
      <w:textAlignment w:val="baseline"/>
    </w:pPr>
    <w:rPr>
      <w:rFonts w:ascii="Calibri" w:eastAsia="Calibri" w:hAnsi="Calibri" w:cs="Calibri"/>
      <w:sz w:val="22"/>
      <w:szCs w:val="22"/>
    </w:rPr>
  </w:style>
  <w:style w:type="paragraph" w:styleId="Revision">
    <w:name w:val="Revision"/>
    <w:hidden/>
    <w:uiPriority w:val="99"/>
    <w:semiHidden/>
    <w:rsid w:val="0034086A"/>
    <w:pPr>
      <w:spacing w:after="0" w:line="240" w:lineRule="auto"/>
    </w:pPr>
    <w:rPr>
      <w:rFonts w:ascii="Arial" w:eastAsia="Times New Roman" w:hAnsi="Arial" w:cs="Times New Roman"/>
      <w:sz w:val="20"/>
      <w:szCs w:val="24"/>
      <w:lang w:eastAsia="en-GB"/>
    </w:rPr>
  </w:style>
  <w:style w:type="character" w:customStyle="1" w:styleId="apple-converted-space">
    <w:name w:val="apple-converted-space"/>
    <w:basedOn w:val="DefaultParagraphFont"/>
    <w:rsid w:val="00F3637A"/>
  </w:style>
  <w:style w:type="paragraph" w:styleId="FootnoteText">
    <w:name w:val="footnote text"/>
    <w:basedOn w:val="Normal"/>
    <w:link w:val="FootnoteTextChar"/>
    <w:uiPriority w:val="99"/>
    <w:semiHidden/>
    <w:unhideWhenUsed/>
    <w:rsid w:val="008239A6"/>
    <w:rPr>
      <w:szCs w:val="20"/>
    </w:rPr>
  </w:style>
  <w:style w:type="character" w:customStyle="1" w:styleId="FootnoteTextChar">
    <w:name w:val="Footnote Text Char"/>
    <w:basedOn w:val="DefaultParagraphFont"/>
    <w:link w:val="FootnoteText"/>
    <w:uiPriority w:val="99"/>
    <w:semiHidden/>
    <w:rsid w:val="008239A6"/>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C85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5081">
      <w:bodyDiv w:val="1"/>
      <w:marLeft w:val="0"/>
      <w:marRight w:val="0"/>
      <w:marTop w:val="0"/>
      <w:marBottom w:val="0"/>
      <w:divBdr>
        <w:top w:val="none" w:sz="0" w:space="0" w:color="auto"/>
        <w:left w:val="none" w:sz="0" w:space="0" w:color="auto"/>
        <w:bottom w:val="none" w:sz="0" w:space="0" w:color="auto"/>
        <w:right w:val="none" w:sz="0" w:space="0" w:color="auto"/>
      </w:divBdr>
      <w:divsChild>
        <w:div w:id="2006476237">
          <w:marLeft w:val="0"/>
          <w:marRight w:val="0"/>
          <w:marTop w:val="0"/>
          <w:marBottom w:val="0"/>
          <w:divBdr>
            <w:top w:val="none" w:sz="0" w:space="0" w:color="auto"/>
            <w:left w:val="none" w:sz="0" w:space="0" w:color="auto"/>
            <w:bottom w:val="none" w:sz="0" w:space="0" w:color="auto"/>
            <w:right w:val="none" w:sz="0" w:space="0" w:color="auto"/>
          </w:divBdr>
        </w:div>
      </w:divsChild>
    </w:div>
    <w:div w:id="52051583">
      <w:bodyDiv w:val="1"/>
      <w:marLeft w:val="0"/>
      <w:marRight w:val="0"/>
      <w:marTop w:val="0"/>
      <w:marBottom w:val="0"/>
      <w:divBdr>
        <w:top w:val="none" w:sz="0" w:space="0" w:color="auto"/>
        <w:left w:val="none" w:sz="0" w:space="0" w:color="auto"/>
        <w:bottom w:val="none" w:sz="0" w:space="0" w:color="auto"/>
        <w:right w:val="none" w:sz="0" w:space="0" w:color="auto"/>
      </w:divBdr>
    </w:div>
    <w:div w:id="281964628">
      <w:bodyDiv w:val="1"/>
      <w:marLeft w:val="0"/>
      <w:marRight w:val="0"/>
      <w:marTop w:val="0"/>
      <w:marBottom w:val="0"/>
      <w:divBdr>
        <w:top w:val="none" w:sz="0" w:space="0" w:color="auto"/>
        <w:left w:val="none" w:sz="0" w:space="0" w:color="auto"/>
        <w:bottom w:val="none" w:sz="0" w:space="0" w:color="auto"/>
        <w:right w:val="none" w:sz="0" w:space="0" w:color="auto"/>
      </w:divBdr>
    </w:div>
    <w:div w:id="358702932">
      <w:bodyDiv w:val="1"/>
      <w:marLeft w:val="0"/>
      <w:marRight w:val="0"/>
      <w:marTop w:val="0"/>
      <w:marBottom w:val="0"/>
      <w:divBdr>
        <w:top w:val="none" w:sz="0" w:space="0" w:color="auto"/>
        <w:left w:val="none" w:sz="0" w:space="0" w:color="auto"/>
        <w:bottom w:val="none" w:sz="0" w:space="0" w:color="auto"/>
        <w:right w:val="none" w:sz="0" w:space="0" w:color="auto"/>
      </w:divBdr>
    </w:div>
    <w:div w:id="422654377">
      <w:bodyDiv w:val="1"/>
      <w:marLeft w:val="0"/>
      <w:marRight w:val="0"/>
      <w:marTop w:val="0"/>
      <w:marBottom w:val="0"/>
      <w:divBdr>
        <w:top w:val="none" w:sz="0" w:space="0" w:color="auto"/>
        <w:left w:val="none" w:sz="0" w:space="0" w:color="auto"/>
        <w:bottom w:val="none" w:sz="0" w:space="0" w:color="auto"/>
        <w:right w:val="none" w:sz="0" w:space="0" w:color="auto"/>
      </w:divBdr>
    </w:div>
    <w:div w:id="847794241">
      <w:bodyDiv w:val="1"/>
      <w:marLeft w:val="0"/>
      <w:marRight w:val="0"/>
      <w:marTop w:val="0"/>
      <w:marBottom w:val="0"/>
      <w:divBdr>
        <w:top w:val="none" w:sz="0" w:space="0" w:color="auto"/>
        <w:left w:val="none" w:sz="0" w:space="0" w:color="auto"/>
        <w:bottom w:val="none" w:sz="0" w:space="0" w:color="auto"/>
        <w:right w:val="none" w:sz="0" w:space="0" w:color="auto"/>
      </w:divBdr>
    </w:div>
    <w:div w:id="1030691897">
      <w:bodyDiv w:val="1"/>
      <w:marLeft w:val="0"/>
      <w:marRight w:val="0"/>
      <w:marTop w:val="0"/>
      <w:marBottom w:val="0"/>
      <w:divBdr>
        <w:top w:val="none" w:sz="0" w:space="0" w:color="auto"/>
        <w:left w:val="none" w:sz="0" w:space="0" w:color="auto"/>
        <w:bottom w:val="none" w:sz="0" w:space="0" w:color="auto"/>
        <w:right w:val="none" w:sz="0" w:space="0" w:color="auto"/>
      </w:divBdr>
    </w:div>
    <w:div w:id="1056582606">
      <w:bodyDiv w:val="1"/>
      <w:marLeft w:val="0"/>
      <w:marRight w:val="0"/>
      <w:marTop w:val="0"/>
      <w:marBottom w:val="0"/>
      <w:divBdr>
        <w:top w:val="none" w:sz="0" w:space="0" w:color="auto"/>
        <w:left w:val="none" w:sz="0" w:space="0" w:color="auto"/>
        <w:bottom w:val="none" w:sz="0" w:space="0" w:color="auto"/>
        <w:right w:val="none" w:sz="0" w:space="0" w:color="auto"/>
      </w:divBdr>
    </w:div>
    <w:div w:id="1303654456">
      <w:bodyDiv w:val="1"/>
      <w:marLeft w:val="0"/>
      <w:marRight w:val="0"/>
      <w:marTop w:val="0"/>
      <w:marBottom w:val="0"/>
      <w:divBdr>
        <w:top w:val="none" w:sz="0" w:space="0" w:color="auto"/>
        <w:left w:val="none" w:sz="0" w:space="0" w:color="auto"/>
        <w:bottom w:val="none" w:sz="0" w:space="0" w:color="auto"/>
        <w:right w:val="none" w:sz="0" w:space="0" w:color="auto"/>
      </w:divBdr>
      <w:divsChild>
        <w:div w:id="682827960">
          <w:marLeft w:val="0"/>
          <w:marRight w:val="0"/>
          <w:marTop w:val="0"/>
          <w:marBottom w:val="0"/>
          <w:divBdr>
            <w:top w:val="none" w:sz="0" w:space="0" w:color="auto"/>
            <w:left w:val="none" w:sz="0" w:space="0" w:color="auto"/>
            <w:bottom w:val="none" w:sz="0" w:space="0" w:color="auto"/>
            <w:right w:val="none" w:sz="0" w:space="0" w:color="auto"/>
          </w:divBdr>
        </w:div>
      </w:divsChild>
    </w:div>
    <w:div w:id="1491091438">
      <w:bodyDiv w:val="1"/>
      <w:marLeft w:val="0"/>
      <w:marRight w:val="0"/>
      <w:marTop w:val="0"/>
      <w:marBottom w:val="0"/>
      <w:divBdr>
        <w:top w:val="none" w:sz="0" w:space="0" w:color="auto"/>
        <w:left w:val="none" w:sz="0" w:space="0" w:color="auto"/>
        <w:bottom w:val="none" w:sz="0" w:space="0" w:color="auto"/>
        <w:right w:val="none" w:sz="0" w:space="0" w:color="auto"/>
      </w:divBdr>
    </w:div>
    <w:div w:id="1651246919">
      <w:bodyDiv w:val="1"/>
      <w:marLeft w:val="0"/>
      <w:marRight w:val="0"/>
      <w:marTop w:val="0"/>
      <w:marBottom w:val="0"/>
      <w:divBdr>
        <w:top w:val="none" w:sz="0" w:space="0" w:color="auto"/>
        <w:left w:val="none" w:sz="0" w:space="0" w:color="auto"/>
        <w:bottom w:val="none" w:sz="0" w:space="0" w:color="auto"/>
        <w:right w:val="none" w:sz="0" w:space="0" w:color="auto"/>
      </w:divBdr>
    </w:div>
    <w:div w:id="1921940962">
      <w:bodyDiv w:val="1"/>
      <w:marLeft w:val="0"/>
      <w:marRight w:val="0"/>
      <w:marTop w:val="0"/>
      <w:marBottom w:val="0"/>
      <w:divBdr>
        <w:top w:val="none" w:sz="0" w:space="0" w:color="auto"/>
        <w:left w:val="none" w:sz="0" w:space="0" w:color="auto"/>
        <w:bottom w:val="none" w:sz="0" w:space="0" w:color="auto"/>
        <w:right w:val="none" w:sz="0" w:space="0" w:color="auto"/>
      </w:divBdr>
    </w:div>
    <w:div w:id="20935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framework-for-the-uk-eu-partnership-science-research-and-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C0AB91EDBAE49973E581B2B1872DA" ma:contentTypeVersion="9966" ma:contentTypeDescription="Create a new document." ma:contentTypeScope="" ma:versionID="35665ff33e5c2293193d657092047deb">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d51d1f1b-477d-46e8-9c95-ad5957cf369a" targetNamespace="http://schemas.microsoft.com/office/2006/metadata/properties" ma:root="true" ma:fieldsID="dcbd96fe212f8b18455315cae1c0f09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d51d1f1b-477d-46e8-9c95-ad5957cf369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DateTaken" minOccurs="0"/>
                <xsd:element ref="ns8: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RecordFolderIdentifier" ma:index="20" nillable="true" ma:displayName="Legacy Record Folder Identifier" ma:internalName="LegacyRecordFolderIdentifier">
      <xsd:simpleType>
        <xsd:restriction base="dms:Text">
          <xsd:maxLength value="255"/>
        </xsd:restriction>
      </xsd:simpleType>
    </xsd:element>
    <xsd:element name="LegacyCopyright" ma:index="21" nillable="true" ma:displayName="Legacy Copyright" ma:internalName="LegacyCopyright">
      <xsd:simpleType>
        <xsd:restriction base="dms:Text">
          <xsd:maxLength value="255"/>
        </xsd:restriction>
      </xsd:simpleType>
    </xsd:element>
    <xsd:element name="LegacyLastModifiedDate" ma:index="22" nillable="true" ma:displayName="Legacy Last Modified Date" ma:format="DateTime" ma:internalName="LegacyLastModifiedDate">
      <xsd:simpleType>
        <xsd:restriction base="dms:DateTime"/>
      </xsd:simpleType>
    </xsd:element>
    <xsd:element name="LegacyModifier" ma:index="23"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4" nillable="true" ma:displayName="Legacy Folder" ma:internalName="LegacyFolder">
      <xsd:simpleType>
        <xsd:restriction base="dms:Text">
          <xsd:maxLength value="255"/>
        </xsd:restriction>
      </xsd:simpleType>
    </xsd:element>
    <xsd:element name="LegacyContentType" ma:index="25" nillable="true" ma:displayName="Legacy Content Type" ma:internalName="LegacyContentType">
      <xsd:simpleType>
        <xsd:restriction base="dms:Text">
          <xsd:maxLength value="255"/>
        </xsd:restriction>
      </xsd:simpleType>
    </xsd:element>
    <xsd:element name="LegacyExpiryReviewDate" ma:index="26" nillable="true" ma:displayName="Legacy Expiry Review Date" ma:format="DateTime" ma:internalName="LegacyExpiryReviewDate">
      <xsd:simpleType>
        <xsd:restriction base="dms:DateTime"/>
      </xsd:simpleType>
    </xsd:element>
    <xsd:element name="LegacyLastActionDate" ma:index="27" nillable="true" ma:displayName="Legacy Last Action Date" ma:format="DateTime" ma:internalName="LegacyLastActionDate">
      <xsd:simpleType>
        <xsd:restriction base="dms:DateTime"/>
      </xsd:simpleType>
    </xsd:element>
    <xsd:element name="LegacyProtectiveMarking" ma:index="28" nillable="true" ma:displayName="Legacy Protective Marking" ma:internalName="LegacyProtectiveMarking">
      <xsd:simpleType>
        <xsd:restriction base="dms:Text">
          <xsd:maxLength value="255"/>
        </xsd:restriction>
      </xsd:simpleType>
    </xsd:element>
    <xsd:element name="LegacyTags" ma:index="29" nillable="true" ma:displayName="Legacy Tags" ma:internalName="LegacyTags">
      <xsd:simpleType>
        <xsd:restriction base="dms:Note">
          <xsd:maxLength value="255"/>
        </xsd:restriction>
      </xsd:simpleType>
    </xsd:element>
    <xsd:element name="LegacyReferencesFromOtherItems" ma:index="30" nillable="true" ma:displayName="Legacy References From Other Items" ma:internalName="LegacyReferencesFromOtherItems">
      <xsd:simpleType>
        <xsd:restriction base="dms:Text">
          <xsd:maxLength value="255"/>
        </xsd:restriction>
      </xsd:simpleType>
    </xsd:element>
    <xsd:element name="LegacyStatusonTransfer" ma:index="31" nillable="true" ma:displayName="Legacy Status on Transfer" ma:internalName="LegacyStatusonTransfer">
      <xsd:simpleType>
        <xsd:restriction base="dms:Text">
          <xsd:maxLength value="255"/>
        </xsd:restriction>
      </xsd:simpleType>
    </xsd:element>
    <xsd:element name="LegacyDateClosed" ma:index="32" nillable="true" ma:displayName="Legacy Date Closed" ma:format="DateOnly" ma:internalName="LegacyDateClosed">
      <xsd:simpleType>
        <xsd:restriction base="dms:DateTime"/>
      </xsd:simpleType>
    </xsd:element>
    <xsd:element name="LegacyRecordCategoryIdentifier" ma:index="33" nillable="true" ma:displayName="Legacy Record Category Identifier" ma:internalName="LegacyRecordCategoryIdentifier">
      <xsd:simpleType>
        <xsd:restriction base="dms:Text">
          <xsd:maxLength value="255"/>
        </xsd:restriction>
      </xsd:simpleType>
    </xsd:element>
    <xsd:element name="LegacyDispositionAsOfDate" ma:index="34" nillable="true" ma:displayName="Legacy Disposition as of Date" ma:format="DateOnly" ma:internalName="LegacyDispositionAsOfDate">
      <xsd:simpleType>
        <xsd:restriction base="dms:DateTime"/>
      </xsd:simpleType>
    </xsd:element>
    <xsd:element name="LegacyHomeLocation" ma:index="35" nillable="true" ma:displayName="Legacy Home Location" ma:internalName="LegacyHomeLocation">
      <xsd:simpleType>
        <xsd:restriction base="dms:Text">
          <xsd:maxLength value="255"/>
        </xsd:restriction>
      </xsd:simpleType>
    </xsd:element>
    <xsd:element name="LegacyCurrentLocation" ma:index="36" nillable="true" ma:displayName="Legacy Current Location" ma:internalName="LegacyCurrentLocation">
      <xsd:simpleType>
        <xsd:restriction base="dms:Text">
          <xsd:maxLength value="255"/>
        </xsd:restriction>
      </xsd:simpleType>
    </xsd:element>
    <xsd:element name="LegacyReferencesToOtherItems" ma:index="49" nillable="true" ma:displayName="Legacy References To Other Items" ma:internalName="LegacyReferencesToOtherItems">
      <xsd:simpleType>
        <xsd:restriction base="dms:Note">
          <xsd:maxLength value="255"/>
        </xsd:restriction>
      </xsd:simpleType>
    </xsd:element>
    <xsd:element name="LegacyCustodian" ma:index="50" nillable="true" ma:displayName="Legacy Custodian" ma:internalName="LegacyCustodian">
      <xsd:simpleType>
        <xsd:restriction base="dms:Note">
          <xsd:maxLength value="255"/>
        </xsd:restriction>
      </xsd:simpleType>
    </xsd:element>
    <xsd:element name="LegacyAdditionalAuthors" ma:index="51" nillable="true" ma:displayName="Legacy Additional Authors" ma:internalName="LegacyAdditionalAuthors">
      <xsd:simpleType>
        <xsd:restriction base="dms:Note">
          <xsd:maxLength value="255"/>
        </xsd:restriction>
      </xsd:simpleType>
    </xsd:element>
    <xsd:element name="LegacyDocumentLink" ma:index="52" nillable="true" ma:displayName="Legacy Document Link" ma:internalName="LegacyDocumentLink">
      <xsd:simpleType>
        <xsd:restriction base="dms:Text">
          <xsd:maxLength value="255"/>
        </xsd:restriction>
      </xsd:simpleType>
    </xsd:element>
    <xsd:element name="LegacyFolderLink" ma:index="5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6" nillable="true" ma:displayName="Persist ID" ma:description="Keep ID on add." ma:hidden="true" ma:internalName="_dlc_DocIdPersistId" ma:readOnly="true">
      <xsd:simpleType>
        <xsd:restriction base="dms:Boolean"/>
      </xsd:simpleType>
    </xsd:element>
    <xsd:element name="TaxCatchAll" ma:index="62"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3"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4"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CaseReferenceNumber" ma:index="37" nillable="true" ma:displayName="Legacy Case Reference Number" ma:internalName="LegacyCaseReferenceNumber">
      <xsd:simpleType>
        <xsd:restriction base="dms:Text">
          <xsd:maxLength value="255"/>
        </xsd:restriction>
      </xsd:simpleType>
    </xsd:element>
    <xsd:element name="LegacyDateFileReceived" ma:index="38" nillable="true" ma:displayName="Legacy Date File Received" ma:format="DateOnly" ma:internalName="LegacyDateFileReceived">
      <xsd:simpleType>
        <xsd:restriction base="dms:DateTime"/>
      </xsd:simpleType>
    </xsd:element>
    <xsd:element name="LegacyDateFileRequested" ma:index="39" nillable="true" ma:displayName="Legacy Date File Requested" ma:format="DateOnly" ma:internalName="LegacyDateFileRequested">
      <xsd:simpleType>
        <xsd:restriction base="dms:DateTime"/>
      </xsd:simpleType>
    </xsd:element>
    <xsd:element name="LegacyDateFileReturned" ma:index="40" nillable="true" ma:displayName="Legacy Date File Returned" ma:format="DateOnly" ma:internalName="LegacyDateFileReturned">
      <xsd:simpleType>
        <xsd:restriction base="dms:DateTime"/>
      </xsd:simpleType>
    </xsd:element>
    <xsd:element name="LegacyMinister" ma:index="41" nillable="true" ma:displayName="Legacy Minister" ma:internalName="LegacyMinister">
      <xsd:simpleType>
        <xsd:restriction base="dms:Text">
          <xsd:maxLength value="255"/>
        </xsd:restriction>
      </xsd:simpleType>
    </xsd:element>
    <xsd:element name="LegacyMP" ma:index="42" nillable="true" ma:displayName="Legacy MP" ma:internalName="LegacyMP">
      <xsd:simpleType>
        <xsd:restriction base="dms:Text">
          <xsd:maxLength value="255"/>
        </xsd:restriction>
      </xsd:simpleType>
    </xsd:element>
    <xsd:element name="LegacyFolderNotes" ma:index="43" nillable="true" ma:displayName="Legacy Folder Notes" ma:internalName="LegacyFolderNotes">
      <xsd:simpleType>
        <xsd:restriction base="dms:Note">
          <xsd:maxLength value="255"/>
        </xsd:restriction>
      </xsd:simpleType>
    </xsd:element>
    <xsd:element name="LegacyPhysicalItemLocation" ma:index="44"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5"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6" nillable="true" ma:displayName="Legacy Descriptor" ma:internalName="LegacyDescriptor">
      <xsd:simpleType>
        <xsd:restriction base="dms:Note">
          <xsd:maxLength value="255"/>
        </xsd:restriction>
      </xsd:simpleType>
    </xsd:element>
    <xsd:element name="LegacyFolderDocumentID" ma:index="47" nillable="true" ma:displayName="Legacy Folder Document ID" ma:internalName="LegacyFolderDocumentID">
      <xsd:simpleType>
        <xsd:restriction base="dms:Text">
          <xsd:maxLength value="255"/>
        </xsd:restriction>
      </xsd:simpleType>
    </xsd:element>
    <xsd:element name="LegacyDocumentID" ma:index="48" nillable="true" ma:displayName="Legacy Document ID" ma:internalName="LegacyDocumentID">
      <xsd:simpleType>
        <xsd:restriction base="dms:Text">
          <xsd:maxLength value="255"/>
        </xsd:restriction>
      </xsd:simpleType>
    </xsd:element>
    <xsd:element name="LegacyPhysicalFormat" ma:index="54"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1"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1f1b-477d-46e8-9c95-ad5957cf369a"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MediaServiceAutoTags" ma:internalName="MediaServiceAutoTags" ma:readOnly="true">
      <xsd:simpleType>
        <xsd:restriction base="dms:Text"/>
      </xsd:simpleType>
    </xsd:element>
    <xsd:element name="MediaServiceDateTaken" ma:index="72" nillable="true" ma:displayName="MediaServiceDateTaken" ma:hidden="true" ma:internalName="MediaServiceDateTaken" ma:readOnly="true">
      <xsd:simpleType>
        <xsd:restriction base="dms:Text"/>
      </xsd:simpleType>
    </xsd:element>
    <xsd:element name="MediaServiceLocation" ma:index="7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2QFN7KK647Q6-2001104427-8360</_dlc_DocId>
    <_dlc_DocIdUrl xmlns="0063f72e-ace3-48fb-9c1f-5b513408b31f">
      <Url>https://beisgov.sharepoint.com/sites/beis/362/_layouts/15/DocIdRedir.aspx?ID=2QFN7KK647Q6-2001104427-8360</Url>
      <Description>2QFN7KK647Q6-2001104427-8360</Description>
    </_dlc_DocIdUrl>
    <TaxCatchAll xmlns="0063f72e-ace3-48fb-9c1f-5b513408b31f">
      <Value>123</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Euratom Internations Negotiations</TermName>
          <TermId xmlns="http://schemas.microsoft.com/office/infopath/2007/PartnerControls">86ab6bf1-a300-48a4-b8fe-f873da1e6c88</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2018-06-11T13:05:18+00:00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CNRD Euratom CP</DisplayName>
        <AccountId>17527</AccountId>
        <AccountType/>
      </UserInfo>
      <UserInfo>
        <DisplayName>Celani, Tania (Civil Nuclear &amp; Resilience)</DisplayName>
        <AccountId>9639</AccountId>
        <AccountType/>
      </UserInfo>
      <UserInfo>
        <DisplayName>Boyes, Victoria (Civil Nuclear &amp; Resilience)</DisplayName>
        <AccountId>12696</AccountId>
        <AccountType/>
      </UserInfo>
      <UserInfo>
        <DisplayName>Wagstaff, David (Civil Nuclear &amp; Resilience)</DisplayName>
        <AccountId>4521</AccountId>
        <AccountType/>
      </UserInfo>
      <UserInfo>
        <DisplayName>Mcleay, Katrina (BEIS)</DisplayName>
        <AccountId>7200</AccountId>
        <AccountType/>
      </UserInfo>
      <UserInfo>
        <DisplayName>Fischer, Emil (Civil Nuclear &amp; Resilience)</DisplayName>
        <AccountId>12671</AccountId>
        <AccountType/>
      </UserInfo>
      <UserInfo>
        <DisplayName>Burton, Chris (Civil Nuclear &amp; Resilience)</DisplayName>
        <AccountId>7030</AccountId>
        <AccountType/>
      </UserInfo>
      <UserInfo>
        <DisplayName>Down, Sebastian (Civil Nuclear &amp; Resilience)</DisplayName>
        <AccountId>4925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7C72-2AC5-41E2-83E8-5A0860D12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d51d1f1b-477d-46e8-9c95-ad5957cf3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25704-200D-4189-8FAA-B8005C9751F1}">
  <ds:schemaRefs>
    <ds:schemaRef ds:uri="http://schemas.microsoft.com/sharepoint/events"/>
  </ds:schemaRefs>
</ds:datastoreItem>
</file>

<file path=customXml/itemProps3.xml><?xml version="1.0" encoding="utf-8"?>
<ds:datastoreItem xmlns:ds="http://schemas.openxmlformats.org/officeDocument/2006/customXml" ds:itemID="{7E749239-EC32-48D4-8AB2-3CCEE3717E2B}">
  <ds:schemaRefs>
    <ds:schemaRef ds:uri="http://schemas.microsoft.com/sharepoint/v3/contenttype/forms"/>
  </ds:schemaRefs>
</ds:datastoreItem>
</file>

<file path=customXml/itemProps4.xml><?xml version="1.0" encoding="utf-8"?>
<ds:datastoreItem xmlns:ds="http://schemas.openxmlformats.org/officeDocument/2006/customXml" ds:itemID="{85AA0D0D-7607-4782-ACE2-B788658A0E6A}">
  <ds:schemaRefs>
    <ds:schemaRef ds:uri="b67a7830-db79-4a49-bf27-2aff92a2201a"/>
    <ds:schemaRef ds:uri="http://purl.org/dc/terms/"/>
    <ds:schemaRef ds:uri="http://schemas.microsoft.com/office/infopath/2007/PartnerControls"/>
    <ds:schemaRef ds:uri="a8f60570-4bd3-4f2b-950b-a996de8ab151"/>
    <ds:schemaRef ds:uri="http://schemas.microsoft.com/office/2006/documentManagement/types"/>
    <ds:schemaRef ds:uri="d51d1f1b-477d-46e8-9c95-ad5957cf369a"/>
    <ds:schemaRef ds:uri="http://purl.org/dc/dcmitype/"/>
    <ds:schemaRef ds:uri="http://schemas.openxmlformats.org/package/2006/metadata/core-properties"/>
    <ds:schemaRef ds:uri="http://purl.org/dc/elements/1.1/"/>
    <ds:schemaRef ds:uri="c963a4c1-1bb4-49f2-a011-9c776a7eed2a"/>
    <ds:schemaRef ds:uri="0063f72e-ace3-48fb-9c1f-5b513408b31f"/>
    <ds:schemaRef ds:uri="http://schemas.microsoft.com/office/2006/metadata/properties"/>
    <ds:schemaRef ds:uri="a172083e-e40c-4314-b43a-827352a1ed2c"/>
    <ds:schemaRef ds:uri="b413c3fd-5a3b-4239-b985-69032e371c04"/>
    <ds:schemaRef ds:uri="http://www.w3.org/XML/1998/namespace"/>
  </ds:schemaRefs>
</ds:datastoreItem>
</file>

<file path=customXml/itemProps5.xml><?xml version="1.0" encoding="utf-8"?>
<ds:datastoreItem xmlns:ds="http://schemas.openxmlformats.org/officeDocument/2006/customXml" ds:itemID="{384283FD-B26B-42E8-81CD-BB47545F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828EC9C8.dotm</Template>
  <TotalTime>0</TotalTime>
  <Pages>8</Pages>
  <Words>2427</Words>
  <Characters>13834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Boyes, Victoria (BEIS)</dc:creator>
  <cp:keywords/>
  <dc:description/>
  <cp:lastModifiedBy>CATHERALL, Claire</cp:lastModifiedBy>
  <cp:revision>2</cp:revision>
  <cp:lastPrinted>2018-05-30T11:27:00Z</cp:lastPrinted>
  <dcterms:created xsi:type="dcterms:W3CDTF">2018-06-28T13:10:00Z</dcterms:created>
  <dcterms:modified xsi:type="dcterms:W3CDTF">2018-06-28T13:10:00Z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123;#Euratom Internations Negotiations|86ab6bf1-a300-48a4-b8fe-f873da1e6c88</vt:lpwstr>
  </property>
  <property fmtid="{D5CDD505-2E9C-101B-9397-08002B2CF9AE}" pid="3" name="ContentTypeId">
    <vt:lpwstr>0x010100DFAC0AB91EDBAE49973E581B2B1872DA</vt:lpwstr>
  </property>
  <property fmtid="{D5CDD505-2E9C-101B-9397-08002B2CF9AE}" pid="4" name="_dlc_DocIdItemGuid">
    <vt:lpwstr>f9d0c129-3b9c-49ef-94f2-d0ac1b31d03f</vt:lpwstr>
  </property>
</Properties>
</file>