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27B044AC"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355CE3B1" w:rsidR="009F41B6" w:rsidRDefault="00BF2427" w:rsidP="00AF28C7">
      <w:pPr>
        <w:pStyle w:val="TitleText"/>
      </w:pPr>
      <w:r w:rsidRPr="00BF2427">
        <w:t>Estimating the number of additional free school meal pupils under Universal Credit</w:t>
      </w:r>
    </w:p>
    <w:p w14:paraId="0C020FE3" w14:textId="7354B845" w:rsidR="009F41B6" w:rsidRDefault="00BF2427" w:rsidP="009F41B6">
      <w:pPr>
        <w:pStyle w:val="Date"/>
      </w:pPr>
      <w:r>
        <w:t>May</w:t>
      </w:r>
      <w:r w:rsidR="009F41B6">
        <w:t xml:space="preserve"> 201</w:t>
      </w:r>
      <w:r>
        <w:t>8</w:t>
      </w:r>
    </w:p>
    <w:p w14:paraId="46281FB4" w14:textId="77777777" w:rsidR="009F41B6" w:rsidRDefault="009F41B6" w:rsidP="00AB1AF9">
      <w:pPr>
        <w:pStyle w:val="TOCHeader"/>
        <w:spacing w:after="240"/>
      </w:pPr>
      <w:r>
        <w:lastRenderedPageBreak/>
        <w:t>Contents</w:t>
      </w:r>
    </w:p>
    <w:p w14:paraId="4EBA400B" w14:textId="67C1747D" w:rsidR="006B2D28"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14222562" w:history="1">
        <w:r w:rsidR="006B2D28" w:rsidRPr="007B7712">
          <w:rPr>
            <w:rStyle w:val="Hyperlink"/>
          </w:rPr>
          <w:t>Table of figures</w:t>
        </w:r>
        <w:r w:rsidR="006B2D28">
          <w:rPr>
            <w:webHidden/>
          </w:rPr>
          <w:tab/>
        </w:r>
        <w:r w:rsidR="006B2D28">
          <w:rPr>
            <w:webHidden/>
          </w:rPr>
          <w:fldChar w:fldCharType="begin"/>
        </w:r>
        <w:r w:rsidR="006B2D28">
          <w:rPr>
            <w:webHidden/>
          </w:rPr>
          <w:instrText xml:space="preserve"> PAGEREF _Toc514222562 \h </w:instrText>
        </w:r>
        <w:r w:rsidR="006B2D28">
          <w:rPr>
            <w:webHidden/>
          </w:rPr>
        </w:r>
        <w:r w:rsidR="006B2D28">
          <w:rPr>
            <w:webHidden/>
          </w:rPr>
          <w:fldChar w:fldCharType="separate"/>
        </w:r>
        <w:r w:rsidR="000D3ADC">
          <w:rPr>
            <w:webHidden/>
          </w:rPr>
          <w:t>3</w:t>
        </w:r>
        <w:r w:rsidR="006B2D28">
          <w:rPr>
            <w:webHidden/>
          </w:rPr>
          <w:fldChar w:fldCharType="end"/>
        </w:r>
      </w:hyperlink>
    </w:p>
    <w:p w14:paraId="5A37B605" w14:textId="056452A5" w:rsidR="006B2D28" w:rsidRDefault="002A4118">
      <w:pPr>
        <w:pStyle w:val="TOC1"/>
        <w:rPr>
          <w:rFonts w:asciiTheme="minorHAnsi" w:eastAsiaTheme="minorEastAsia" w:hAnsiTheme="minorHAnsi" w:cstheme="minorBidi"/>
          <w:color w:val="auto"/>
          <w:sz w:val="22"/>
          <w:szCs w:val="22"/>
        </w:rPr>
      </w:pPr>
      <w:hyperlink w:anchor="_Toc514222563" w:history="1">
        <w:r w:rsidR="006B2D28" w:rsidRPr="007B7712">
          <w:rPr>
            <w:rStyle w:val="Hyperlink"/>
          </w:rPr>
          <w:t>Glossary</w:t>
        </w:r>
        <w:r w:rsidR="006B2D28">
          <w:rPr>
            <w:webHidden/>
          </w:rPr>
          <w:tab/>
        </w:r>
        <w:r w:rsidR="006B2D28">
          <w:rPr>
            <w:webHidden/>
          </w:rPr>
          <w:fldChar w:fldCharType="begin"/>
        </w:r>
        <w:r w:rsidR="006B2D28">
          <w:rPr>
            <w:webHidden/>
          </w:rPr>
          <w:instrText xml:space="preserve"> PAGEREF _Toc514222563 \h </w:instrText>
        </w:r>
        <w:r w:rsidR="006B2D28">
          <w:rPr>
            <w:webHidden/>
          </w:rPr>
        </w:r>
        <w:r w:rsidR="006B2D28">
          <w:rPr>
            <w:webHidden/>
          </w:rPr>
          <w:fldChar w:fldCharType="separate"/>
        </w:r>
        <w:r w:rsidR="000D3ADC">
          <w:rPr>
            <w:webHidden/>
          </w:rPr>
          <w:t>4</w:t>
        </w:r>
        <w:r w:rsidR="006B2D28">
          <w:rPr>
            <w:webHidden/>
          </w:rPr>
          <w:fldChar w:fldCharType="end"/>
        </w:r>
      </w:hyperlink>
    </w:p>
    <w:p w14:paraId="264EB75C" w14:textId="054B983B" w:rsidR="006B2D28" w:rsidRDefault="002A4118">
      <w:pPr>
        <w:pStyle w:val="TOC1"/>
        <w:rPr>
          <w:rFonts w:asciiTheme="minorHAnsi" w:eastAsiaTheme="minorEastAsia" w:hAnsiTheme="minorHAnsi" w:cstheme="minorBidi"/>
          <w:color w:val="auto"/>
          <w:sz w:val="22"/>
          <w:szCs w:val="22"/>
        </w:rPr>
      </w:pPr>
      <w:hyperlink w:anchor="_Toc514222564" w:history="1">
        <w:r w:rsidR="006B2D28" w:rsidRPr="007B7712">
          <w:rPr>
            <w:rStyle w:val="Hyperlink"/>
          </w:rPr>
          <w:t>Purpose of this publication</w:t>
        </w:r>
        <w:r w:rsidR="006B2D28">
          <w:rPr>
            <w:webHidden/>
          </w:rPr>
          <w:tab/>
        </w:r>
        <w:r w:rsidR="006B2D28">
          <w:rPr>
            <w:webHidden/>
          </w:rPr>
          <w:fldChar w:fldCharType="begin"/>
        </w:r>
        <w:r w:rsidR="006B2D28">
          <w:rPr>
            <w:webHidden/>
          </w:rPr>
          <w:instrText xml:space="preserve"> PAGEREF _Toc514222564 \h </w:instrText>
        </w:r>
        <w:r w:rsidR="006B2D28">
          <w:rPr>
            <w:webHidden/>
          </w:rPr>
        </w:r>
        <w:r w:rsidR="006B2D28">
          <w:rPr>
            <w:webHidden/>
          </w:rPr>
          <w:fldChar w:fldCharType="separate"/>
        </w:r>
        <w:r w:rsidR="000D3ADC">
          <w:rPr>
            <w:webHidden/>
          </w:rPr>
          <w:t>5</w:t>
        </w:r>
        <w:r w:rsidR="006B2D28">
          <w:rPr>
            <w:webHidden/>
          </w:rPr>
          <w:fldChar w:fldCharType="end"/>
        </w:r>
      </w:hyperlink>
    </w:p>
    <w:p w14:paraId="34DCFA39" w14:textId="160D5E5F" w:rsidR="006B2D28" w:rsidRDefault="002A4118">
      <w:pPr>
        <w:pStyle w:val="TOC1"/>
        <w:rPr>
          <w:rFonts w:asciiTheme="minorHAnsi" w:eastAsiaTheme="minorEastAsia" w:hAnsiTheme="minorHAnsi" w:cstheme="minorBidi"/>
          <w:color w:val="auto"/>
          <w:sz w:val="22"/>
          <w:szCs w:val="22"/>
        </w:rPr>
      </w:pPr>
      <w:hyperlink w:anchor="_Toc514222565" w:history="1">
        <w:r w:rsidR="006B2D28" w:rsidRPr="007B7712">
          <w:rPr>
            <w:rStyle w:val="Hyperlink"/>
            <w:lang w:val="en"/>
          </w:rPr>
          <w:t>Methodology</w:t>
        </w:r>
        <w:r w:rsidR="006B2D28">
          <w:rPr>
            <w:webHidden/>
          </w:rPr>
          <w:tab/>
        </w:r>
        <w:r w:rsidR="006B2D28">
          <w:rPr>
            <w:webHidden/>
          </w:rPr>
          <w:fldChar w:fldCharType="begin"/>
        </w:r>
        <w:r w:rsidR="006B2D28">
          <w:rPr>
            <w:webHidden/>
          </w:rPr>
          <w:instrText xml:space="preserve"> PAGEREF _Toc514222565 \h </w:instrText>
        </w:r>
        <w:r w:rsidR="006B2D28">
          <w:rPr>
            <w:webHidden/>
          </w:rPr>
        </w:r>
        <w:r w:rsidR="006B2D28">
          <w:rPr>
            <w:webHidden/>
          </w:rPr>
          <w:fldChar w:fldCharType="separate"/>
        </w:r>
        <w:r w:rsidR="000D3ADC">
          <w:rPr>
            <w:webHidden/>
          </w:rPr>
          <w:t>7</w:t>
        </w:r>
        <w:r w:rsidR="006B2D28">
          <w:rPr>
            <w:webHidden/>
          </w:rPr>
          <w:fldChar w:fldCharType="end"/>
        </w:r>
      </w:hyperlink>
    </w:p>
    <w:p w14:paraId="1C782038" w14:textId="7A9FE26F" w:rsidR="006B2D28" w:rsidRDefault="002A4118">
      <w:pPr>
        <w:pStyle w:val="TOC3"/>
        <w:rPr>
          <w:rFonts w:asciiTheme="minorHAnsi" w:eastAsiaTheme="minorEastAsia" w:hAnsiTheme="minorHAnsi" w:cstheme="minorBidi"/>
          <w:color w:val="auto"/>
          <w:sz w:val="22"/>
          <w:szCs w:val="22"/>
        </w:rPr>
      </w:pPr>
      <w:hyperlink w:anchor="_Toc514222566" w:history="1">
        <w:r w:rsidR="006B2D28" w:rsidRPr="007B7712">
          <w:rPr>
            <w:rStyle w:val="Hyperlink"/>
          </w:rPr>
          <w:t>Estimating future additional FSM pupils</w:t>
        </w:r>
        <w:r w:rsidR="006B2D28">
          <w:rPr>
            <w:webHidden/>
          </w:rPr>
          <w:tab/>
        </w:r>
        <w:r w:rsidR="006B2D28">
          <w:rPr>
            <w:webHidden/>
          </w:rPr>
          <w:fldChar w:fldCharType="begin"/>
        </w:r>
        <w:r w:rsidR="006B2D28">
          <w:rPr>
            <w:webHidden/>
          </w:rPr>
          <w:instrText xml:space="preserve"> PAGEREF _Toc514222566 \h </w:instrText>
        </w:r>
        <w:r w:rsidR="006B2D28">
          <w:rPr>
            <w:webHidden/>
          </w:rPr>
        </w:r>
        <w:r w:rsidR="006B2D28">
          <w:rPr>
            <w:webHidden/>
          </w:rPr>
          <w:fldChar w:fldCharType="separate"/>
        </w:r>
        <w:r w:rsidR="000D3ADC">
          <w:rPr>
            <w:webHidden/>
          </w:rPr>
          <w:t>7</w:t>
        </w:r>
        <w:r w:rsidR="006B2D28">
          <w:rPr>
            <w:webHidden/>
          </w:rPr>
          <w:fldChar w:fldCharType="end"/>
        </w:r>
      </w:hyperlink>
    </w:p>
    <w:p w14:paraId="4778D112" w14:textId="6CD769D7" w:rsidR="006B2D28" w:rsidRDefault="002A4118">
      <w:pPr>
        <w:pStyle w:val="TOC3"/>
        <w:rPr>
          <w:rFonts w:asciiTheme="minorHAnsi" w:eastAsiaTheme="minorEastAsia" w:hAnsiTheme="minorHAnsi" w:cstheme="minorBidi"/>
          <w:color w:val="auto"/>
          <w:sz w:val="22"/>
          <w:szCs w:val="22"/>
        </w:rPr>
      </w:pPr>
      <w:hyperlink w:anchor="_Toc514222567" w:history="1">
        <w:r w:rsidR="006B2D28" w:rsidRPr="007B7712">
          <w:rPr>
            <w:rStyle w:val="Hyperlink"/>
          </w:rPr>
          <w:t>Estimating the impact of the £7,400 threshold</w:t>
        </w:r>
        <w:r w:rsidR="006B2D28">
          <w:rPr>
            <w:webHidden/>
          </w:rPr>
          <w:tab/>
        </w:r>
        <w:r w:rsidR="006B2D28">
          <w:rPr>
            <w:webHidden/>
          </w:rPr>
          <w:fldChar w:fldCharType="begin"/>
        </w:r>
        <w:r w:rsidR="006B2D28">
          <w:rPr>
            <w:webHidden/>
          </w:rPr>
          <w:instrText xml:space="preserve"> PAGEREF _Toc514222567 \h </w:instrText>
        </w:r>
        <w:r w:rsidR="006B2D28">
          <w:rPr>
            <w:webHidden/>
          </w:rPr>
        </w:r>
        <w:r w:rsidR="006B2D28">
          <w:rPr>
            <w:webHidden/>
          </w:rPr>
          <w:fldChar w:fldCharType="separate"/>
        </w:r>
        <w:r w:rsidR="000D3ADC">
          <w:rPr>
            <w:webHidden/>
          </w:rPr>
          <w:t>8</w:t>
        </w:r>
        <w:r w:rsidR="006B2D28">
          <w:rPr>
            <w:webHidden/>
          </w:rPr>
          <w:fldChar w:fldCharType="end"/>
        </w:r>
      </w:hyperlink>
    </w:p>
    <w:p w14:paraId="00F97962" w14:textId="33A54AED" w:rsidR="006B2D28" w:rsidRDefault="002A4118">
      <w:pPr>
        <w:pStyle w:val="TOC3"/>
        <w:rPr>
          <w:rFonts w:asciiTheme="minorHAnsi" w:eastAsiaTheme="minorEastAsia" w:hAnsiTheme="minorHAnsi" w:cstheme="minorBidi"/>
          <w:color w:val="auto"/>
          <w:sz w:val="22"/>
          <w:szCs w:val="22"/>
        </w:rPr>
      </w:pPr>
      <w:hyperlink w:anchor="_Toc514222568" w:history="1">
        <w:r w:rsidR="006B2D28" w:rsidRPr="007B7712">
          <w:rPr>
            <w:rStyle w:val="Hyperlink"/>
          </w:rPr>
          <w:t>Estimating the impact of protections</w:t>
        </w:r>
        <w:r w:rsidR="006B2D28">
          <w:rPr>
            <w:webHidden/>
          </w:rPr>
          <w:tab/>
        </w:r>
        <w:r w:rsidR="006B2D28">
          <w:rPr>
            <w:webHidden/>
          </w:rPr>
          <w:fldChar w:fldCharType="begin"/>
        </w:r>
        <w:r w:rsidR="006B2D28">
          <w:rPr>
            <w:webHidden/>
          </w:rPr>
          <w:instrText xml:space="preserve"> PAGEREF _Toc514222568 \h </w:instrText>
        </w:r>
        <w:r w:rsidR="006B2D28">
          <w:rPr>
            <w:webHidden/>
          </w:rPr>
        </w:r>
        <w:r w:rsidR="006B2D28">
          <w:rPr>
            <w:webHidden/>
          </w:rPr>
          <w:fldChar w:fldCharType="separate"/>
        </w:r>
        <w:r w:rsidR="000D3ADC">
          <w:rPr>
            <w:webHidden/>
          </w:rPr>
          <w:t>8</w:t>
        </w:r>
        <w:r w:rsidR="006B2D28">
          <w:rPr>
            <w:webHidden/>
          </w:rPr>
          <w:fldChar w:fldCharType="end"/>
        </w:r>
      </w:hyperlink>
    </w:p>
    <w:p w14:paraId="7DB24FE8" w14:textId="0B114412" w:rsidR="006B2D28" w:rsidRDefault="002A4118">
      <w:pPr>
        <w:pStyle w:val="TOC3"/>
        <w:rPr>
          <w:rFonts w:asciiTheme="minorHAnsi" w:eastAsiaTheme="minorEastAsia" w:hAnsiTheme="minorHAnsi" w:cstheme="minorBidi"/>
          <w:color w:val="auto"/>
          <w:sz w:val="22"/>
          <w:szCs w:val="22"/>
        </w:rPr>
      </w:pPr>
      <w:hyperlink w:anchor="_Toc514222569" w:history="1">
        <w:r w:rsidR="006B2D28" w:rsidRPr="007B7712">
          <w:rPr>
            <w:rStyle w:val="Hyperlink"/>
          </w:rPr>
          <w:t>Estimating the impact of continuing the temporary eligibility criteria</w:t>
        </w:r>
        <w:r w:rsidR="006B2D28">
          <w:rPr>
            <w:webHidden/>
          </w:rPr>
          <w:tab/>
        </w:r>
        <w:r w:rsidR="006B2D28">
          <w:rPr>
            <w:webHidden/>
          </w:rPr>
          <w:fldChar w:fldCharType="begin"/>
        </w:r>
        <w:r w:rsidR="006B2D28">
          <w:rPr>
            <w:webHidden/>
          </w:rPr>
          <w:instrText xml:space="preserve"> PAGEREF _Toc514222569 \h </w:instrText>
        </w:r>
        <w:r w:rsidR="006B2D28">
          <w:rPr>
            <w:webHidden/>
          </w:rPr>
        </w:r>
        <w:r w:rsidR="006B2D28">
          <w:rPr>
            <w:webHidden/>
          </w:rPr>
          <w:fldChar w:fldCharType="separate"/>
        </w:r>
        <w:r w:rsidR="000D3ADC">
          <w:rPr>
            <w:webHidden/>
          </w:rPr>
          <w:t>9</w:t>
        </w:r>
        <w:r w:rsidR="006B2D28">
          <w:rPr>
            <w:webHidden/>
          </w:rPr>
          <w:fldChar w:fldCharType="end"/>
        </w:r>
      </w:hyperlink>
    </w:p>
    <w:p w14:paraId="3CB07709" w14:textId="3B87159B" w:rsidR="006B2D28" w:rsidRDefault="002A4118">
      <w:pPr>
        <w:pStyle w:val="TOC1"/>
        <w:rPr>
          <w:rFonts w:asciiTheme="minorHAnsi" w:eastAsiaTheme="minorEastAsia" w:hAnsiTheme="minorHAnsi" w:cstheme="minorBidi"/>
          <w:color w:val="auto"/>
          <w:sz w:val="22"/>
          <w:szCs w:val="22"/>
        </w:rPr>
      </w:pPr>
      <w:hyperlink w:anchor="_Toc514222570" w:history="1">
        <w:r w:rsidR="006B2D28" w:rsidRPr="007B7712">
          <w:rPr>
            <w:rStyle w:val="Hyperlink"/>
          </w:rPr>
          <w:t>Results</w:t>
        </w:r>
        <w:r w:rsidR="006B2D28">
          <w:rPr>
            <w:webHidden/>
          </w:rPr>
          <w:tab/>
        </w:r>
        <w:r w:rsidR="006B2D28">
          <w:rPr>
            <w:webHidden/>
          </w:rPr>
          <w:fldChar w:fldCharType="begin"/>
        </w:r>
        <w:r w:rsidR="006B2D28">
          <w:rPr>
            <w:webHidden/>
          </w:rPr>
          <w:instrText xml:space="preserve"> PAGEREF _Toc514222570 \h </w:instrText>
        </w:r>
        <w:r w:rsidR="006B2D28">
          <w:rPr>
            <w:webHidden/>
          </w:rPr>
        </w:r>
        <w:r w:rsidR="006B2D28">
          <w:rPr>
            <w:webHidden/>
          </w:rPr>
          <w:fldChar w:fldCharType="separate"/>
        </w:r>
        <w:r w:rsidR="000D3ADC">
          <w:rPr>
            <w:webHidden/>
          </w:rPr>
          <w:t>10</w:t>
        </w:r>
        <w:r w:rsidR="006B2D28">
          <w:rPr>
            <w:webHidden/>
          </w:rPr>
          <w:fldChar w:fldCharType="end"/>
        </w:r>
      </w:hyperlink>
    </w:p>
    <w:p w14:paraId="58D36E1B" w14:textId="09D846A1" w:rsidR="006B2D28" w:rsidRDefault="002A4118">
      <w:pPr>
        <w:pStyle w:val="TOC3"/>
        <w:rPr>
          <w:rFonts w:asciiTheme="minorHAnsi" w:eastAsiaTheme="minorEastAsia" w:hAnsiTheme="minorHAnsi" w:cstheme="minorBidi"/>
          <w:color w:val="auto"/>
          <w:sz w:val="22"/>
          <w:szCs w:val="22"/>
        </w:rPr>
      </w:pPr>
      <w:hyperlink w:anchor="_Toc514222571" w:history="1">
        <w:r w:rsidR="006B2D28" w:rsidRPr="007B7712">
          <w:rPr>
            <w:rStyle w:val="Hyperlink"/>
          </w:rPr>
          <w:t>Estimating additional FSM pupils: impact of the £7,400 threshold</w:t>
        </w:r>
        <w:r w:rsidR="006B2D28">
          <w:rPr>
            <w:webHidden/>
          </w:rPr>
          <w:tab/>
        </w:r>
        <w:r w:rsidR="006B2D28">
          <w:rPr>
            <w:webHidden/>
          </w:rPr>
          <w:fldChar w:fldCharType="begin"/>
        </w:r>
        <w:r w:rsidR="006B2D28">
          <w:rPr>
            <w:webHidden/>
          </w:rPr>
          <w:instrText xml:space="preserve"> PAGEREF _Toc514222571 \h </w:instrText>
        </w:r>
        <w:r w:rsidR="006B2D28">
          <w:rPr>
            <w:webHidden/>
          </w:rPr>
        </w:r>
        <w:r w:rsidR="006B2D28">
          <w:rPr>
            <w:webHidden/>
          </w:rPr>
          <w:fldChar w:fldCharType="separate"/>
        </w:r>
        <w:r w:rsidR="000D3ADC">
          <w:rPr>
            <w:webHidden/>
          </w:rPr>
          <w:t>10</w:t>
        </w:r>
        <w:r w:rsidR="006B2D28">
          <w:rPr>
            <w:webHidden/>
          </w:rPr>
          <w:fldChar w:fldCharType="end"/>
        </w:r>
      </w:hyperlink>
    </w:p>
    <w:p w14:paraId="4233F9D8" w14:textId="61885A5E" w:rsidR="006B2D28" w:rsidRDefault="002A4118">
      <w:pPr>
        <w:pStyle w:val="TOC3"/>
        <w:rPr>
          <w:rFonts w:asciiTheme="minorHAnsi" w:eastAsiaTheme="minorEastAsia" w:hAnsiTheme="minorHAnsi" w:cstheme="minorBidi"/>
          <w:color w:val="auto"/>
          <w:sz w:val="22"/>
          <w:szCs w:val="22"/>
        </w:rPr>
      </w:pPr>
      <w:hyperlink w:anchor="_Toc514222572" w:history="1">
        <w:r w:rsidR="006B2D28" w:rsidRPr="007B7712">
          <w:rPr>
            <w:rStyle w:val="Hyperlink"/>
          </w:rPr>
          <w:t>Estimating additional FSM pupils: impact of protections</w:t>
        </w:r>
        <w:r w:rsidR="006B2D28">
          <w:rPr>
            <w:webHidden/>
          </w:rPr>
          <w:tab/>
        </w:r>
        <w:r w:rsidR="006B2D28">
          <w:rPr>
            <w:webHidden/>
          </w:rPr>
          <w:fldChar w:fldCharType="begin"/>
        </w:r>
        <w:r w:rsidR="006B2D28">
          <w:rPr>
            <w:webHidden/>
          </w:rPr>
          <w:instrText xml:space="preserve"> PAGEREF _Toc514222572 \h </w:instrText>
        </w:r>
        <w:r w:rsidR="006B2D28">
          <w:rPr>
            <w:webHidden/>
          </w:rPr>
        </w:r>
        <w:r w:rsidR="006B2D28">
          <w:rPr>
            <w:webHidden/>
          </w:rPr>
          <w:fldChar w:fldCharType="separate"/>
        </w:r>
        <w:r w:rsidR="000D3ADC">
          <w:rPr>
            <w:webHidden/>
          </w:rPr>
          <w:t>10</w:t>
        </w:r>
        <w:r w:rsidR="006B2D28">
          <w:rPr>
            <w:webHidden/>
          </w:rPr>
          <w:fldChar w:fldCharType="end"/>
        </w:r>
      </w:hyperlink>
    </w:p>
    <w:p w14:paraId="5F04ACDB" w14:textId="0197764D" w:rsidR="006B2D28" w:rsidRDefault="002A4118">
      <w:pPr>
        <w:pStyle w:val="TOC3"/>
        <w:rPr>
          <w:rFonts w:asciiTheme="minorHAnsi" w:eastAsiaTheme="minorEastAsia" w:hAnsiTheme="minorHAnsi" w:cstheme="minorBidi"/>
          <w:color w:val="auto"/>
          <w:sz w:val="22"/>
          <w:szCs w:val="22"/>
        </w:rPr>
      </w:pPr>
      <w:hyperlink w:anchor="_Toc514222573" w:history="1">
        <w:r w:rsidR="006B2D28" w:rsidRPr="007B7712">
          <w:rPr>
            <w:rStyle w:val="Hyperlink"/>
          </w:rPr>
          <w:t>Estimating additional FSM pupils: impact of the continuing the temporary eligibility criteria</w:t>
        </w:r>
        <w:r w:rsidR="006B2D28">
          <w:rPr>
            <w:webHidden/>
          </w:rPr>
          <w:tab/>
        </w:r>
        <w:r w:rsidR="006B2D28">
          <w:rPr>
            <w:webHidden/>
          </w:rPr>
          <w:fldChar w:fldCharType="begin"/>
        </w:r>
        <w:r w:rsidR="006B2D28">
          <w:rPr>
            <w:webHidden/>
          </w:rPr>
          <w:instrText xml:space="preserve"> PAGEREF _Toc514222573 \h </w:instrText>
        </w:r>
        <w:r w:rsidR="006B2D28">
          <w:rPr>
            <w:webHidden/>
          </w:rPr>
        </w:r>
        <w:r w:rsidR="006B2D28">
          <w:rPr>
            <w:webHidden/>
          </w:rPr>
          <w:fldChar w:fldCharType="separate"/>
        </w:r>
        <w:r w:rsidR="000D3ADC">
          <w:rPr>
            <w:webHidden/>
          </w:rPr>
          <w:t>11</w:t>
        </w:r>
        <w:r w:rsidR="006B2D28">
          <w:rPr>
            <w:webHidden/>
          </w:rPr>
          <w:fldChar w:fldCharType="end"/>
        </w:r>
      </w:hyperlink>
    </w:p>
    <w:p w14:paraId="51684225" w14:textId="48894B75" w:rsidR="006B2D28" w:rsidRDefault="002A4118">
      <w:pPr>
        <w:pStyle w:val="TOC1"/>
        <w:rPr>
          <w:rFonts w:asciiTheme="minorHAnsi" w:eastAsiaTheme="minorEastAsia" w:hAnsiTheme="minorHAnsi" w:cstheme="minorBidi"/>
          <w:color w:val="auto"/>
          <w:sz w:val="22"/>
          <w:szCs w:val="22"/>
        </w:rPr>
      </w:pPr>
      <w:hyperlink w:anchor="_Toc514222574" w:history="1">
        <w:r w:rsidR="006B2D28" w:rsidRPr="007B7712">
          <w:rPr>
            <w:rStyle w:val="Hyperlink"/>
          </w:rPr>
          <w:t>Summary</w:t>
        </w:r>
        <w:r w:rsidR="006B2D28">
          <w:rPr>
            <w:webHidden/>
          </w:rPr>
          <w:tab/>
        </w:r>
        <w:r w:rsidR="006B2D28">
          <w:rPr>
            <w:webHidden/>
          </w:rPr>
          <w:fldChar w:fldCharType="begin"/>
        </w:r>
        <w:r w:rsidR="006B2D28">
          <w:rPr>
            <w:webHidden/>
          </w:rPr>
          <w:instrText xml:space="preserve"> PAGEREF _Toc514222574 \h </w:instrText>
        </w:r>
        <w:r w:rsidR="006B2D28">
          <w:rPr>
            <w:webHidden/>
          </w:rPr>
        </w:r>
        <w:r w:rsidR="006B2D28">
          <w:rPr>
            <w:webHidden/>
          </w:rPr>
          <w:fldChar w:fldCharType="separate"/>
        </w:r>
        <w:r w:rsidR="000D3ADC">
          <w:rPr>
            <w:webHidden/>
          </w:rPr>
          <w:t>12</w:t>
        </w:r>
        <w:r w:rsidR="006B2D28">
          <w:rPr>
            <w:webHidden/>
          </w:rPr>
          <w:fldChar w:fldCharType="end"/>
        </w:r>
      </w:hyperlink>
    </w:p>
    <w:p w14:paraId="7C8B9509" w14:textId="5046FF3A" w:rsidR="009F41B6" w:rsidRDefault="009F41B6" w:rsidP="00611F91">
      <w:pPr>
        <w:pStyle w:val="TOC1"/>
      </w:pPr>
      <w:r>
        <w:fldChar w:fldCharType="end"/>
      </w:r>
    </w:p>
    <w:p w14:paraId="11E183C4" w14:textId="77777777" w:rsidR="009F41B6" w:rsidRPr="009F41B6" w:rsidRDefault="009F41B6" w:rsidP="009F41B6">
      <w:pPr>
        <w:pStyle w:val="Heading1"/>
      </w:pPr>
      <w:bookmarkStart w:id="0" w:name="_Toc357771637"/>
      <w:bookmarkStart w:id="1" w:name="_Toc346793415"/>
      <w:bookmarkStart w:id="2" w:name="_Toc328122776"/>
      <w:bookmarkStart w:id="3" w:name="_Toc514222562"/>
      <w:r w:rsidRPr="009F41B6">
        <w:lastRenderedPageBreak/>
        <w:t>Table of figures</w:t>
      </w:r>
      <w:bookmarkEnd w:id="0"/>
      <w:bookmarkEnd w:id="1"/>
      <w:bookmarkEnd w:id="2"/>
      <w:bookmarkEnd w:id="3"/>
    </w:p>
    <w:p w14:paraId="5A6C2894" w14:textId="040989ED" w:rsidR="006B2D28" w:rsidRDefault="00B51536">
      <w:pPr>
        <w:pStyle w:val="TableofFigures"/>
        <w:tabs>
          <w:tab w:val="right" w:leader="dot" w:pos="9486"/>
        </w:tabs>
        <w:rPr>
          <w:rFonts w:asciiTheme="minorHAnsi" w:eastAsiaTheme="minorEastAsia" w:hAnsiTheme="minorHAnsi" w:cstheme="minorBidi"/>
          <w:noProof/>
          <w:color w:val="auto"/>
          <w:sz w:val="22"/>
          <w:szCs w:val="22"/>
        </w:rPr>
      </w:pPr>
      <w:r>
        <w:fldChar w:fldCharType="begin"/>
      </w:r>
      <w:r>
        <w:instrText xml:space="preserve"> TOC \h \z \t "Caption" \c </w:instrText>
      </w:r>
      <w:r>
        <w:fldChar w:fldCharType="separate"/>
      </w:r>
      <w:hyperlink w:anchor="_Toc514222577" w:history="1">
        <w:r w:rsidR="006B2D28" w:rsidRPr="005B1608">
          <w:rPr>
            <w:rStyle w:val="Hyperlink"/>
            <w:noProof/>
          </w:rPr>
          <w:t>Table 1 - Additional Eligible Pupils under £7,400 Threshold (rounded to nearest 10,000 pupils, R-Y11 only)</w:t>
        </w:r>
        <w:r w:rsidR="006B2D28">
          <w:rPr>
            <w:noProof/>
            <w:webHidden/>
          </w:rPr>
          <w:tab/>
        </w:r>
        <w:r w:rsidR="006B2D28">
          <w:rPr>
            <w:noProof/>
            <w:webHidden/>
          </w:rPr>
          <w:fldChar w:fldCharType="begin"/>
        </w:r>
        <w:r w:rsidR="006B2D28">
          <w:rPr>
            <w:noProof/>
            <w:webHidden/>
          </w:rPr>
          <w:instrText xml:space="preserve"> PAGEREF _Toc514222577 \h </w:instrText>
        </w:r>
        <w:r w:rsidR="006B2D28">
          <w:rPr>
            <w:noProof/>
            <w:webHidden/>
          </w:rPr>
        </w:r>
        <w:r w:rsidR="006B2D28">
          <w:rPr>
            <w:noProof/>
            <w:webHidden/>
          </w:rPr>
          <w:fldChar w:fldCharType="separate"/>
        </w:r>
        <w:r w:rsidR="000D3ADC">
          <w:rPr>
            <w:noProof/>
            <w:webHidden/>
          </w:rPr>
          <w:t>10</w:t>
        </w:r>
        <w:r w:rsidR="006B2D28">
          <w:rPr>
            <w:noProof/>
            <w:webHidden/>
          </w:rPr>
          <w:fldChar w:fldCharType="end"/>
        </w:r>
      </w:hyperlink>
    </w:p>
    <w:p w14:paraId="025D8BF0" w14:textId="52387F53" w:rsidR="006B2D28" w:rsidRDefault="002A4118">
      <w:pPr>
        <w:pStyle w:val="TableofFigures"/>
        <w:tabs>
          <w:tab w:val="right" w:leader="dot" w:pos="9486"/>
        </w:tabs>
        <w:rPr>
          <w:rFonts w:asciiTheme="minorHAnsi" w:eastAsiaTheme="minorEastAsia" w:hAnsiTheme="minorHAnsi" w:cstheme="minorBidi"/>
          <w:noProof/>
          <w:color w:val="auto"/>
          <w:sz w:val="22"/>
          <w:szCs w:val="22"/>
        </w:rPr>
      </w:pPr>
      <w:hyperlink w:anchor="_Toc514222578" w:history="1">
        <w:r w:rsidR="006B2D28" w:rsidRPr="005B1608">
          <w:rPr>
            <w:rStyle w:val="Hyperlink"/>
            <w:noProof/>
          </w:rPr>
          <w:t>Table 2 - Additional Eligible Pupils due to Transitional Protections under a £7,400 Threshold (rounded to nearest 100,000 pupils, R-Y11)</w:t>
        </w:r>
        <w:r w:rsidR="006B2D28">
          <w:rPr>
            <w:noProof/>
            <w:webHidden/>
          </w:rPr>
          <w:tab/>
        </w:r>
        <w:r w:rsidR="006B2D28">
          <w:rPr>
            <w:noProof/>
            <w:webHidden/>
          </w:rPr>
          <w:fldChar w:fldCharType="begin"/>
        </w:r>
        <w:r w:rsidR="006B2D28">
          <w:rPr>
            <w:noProof/>
            <w:webHidden/>
          </w:rPr>
          <w:instrText xml:space="preserve"> PAGEREF _Toc514222578 \h </w:instrText>
        </w:r>
        <w:r w:rsidR="006B2D28">
          <w:rPr>
            <w:noProof/>
            <w:webHidden/>
          </w:rPr>
        </w:r>
        <w:r w:rsidR="006B2D28">
          <w:rPr>
            <w:noProof/>
            <w:webHidden/>
          </w:rPr>
          <w:fldChar w:fldCharType="separate"/>
        </w:r>
        <w:r w:rsidR="000D3ADC">
          <w:rPr>
            <w:noProof/>
            <w:webHidden/>
          </w:rPr>
          <w:t>11</w:t>
        </w:r>
        <w:r w:rsidR="006B2D28">
          <w:rPr>
            <w:noProof/>
            <w:webHidden/>
          </w:rPr>
          <w:fldChar w:fldCharType="end"/>
        </w:r>
      </w:hyperlink>
    </w:p>
    <w:p w14:paraId="59CE2551" w14:textId="6C107448" w:rsidR="006B2D28" w:rsidRDefault="002A4118">
      <w:pPr>
        <w:pStyle w:val="TableofFigures"/>
        <w:tabs>
          <w:tab w:val="right" w:leader="dot" w:pos="9486"/>
        </w:tabs>
        <w:rPr>
          <w:rFonts w:asciiTheme="minorHAnsi" w:eastAsiaTheme="minorEastAsia" w:hAnsiTheme="minorHAnsi" w:cstheme="minorBidi"/>
          <w:noProof/>
          <w:color w:val="auto"/>
          <w:sz w:val="22"/>
          <w:szCs w:val="22"/>
        </w:rPr>
      </w:pPr>
      <w:hyperlink w:anchor="_Toc514222579" w:history="1">
        <w:r w:rsidR="006B2D28" w:rsidRPr="005B1608">
          <w:rPr>
            <w:rStyle w:val="Hyperlink"/>
            <w:noProof/>
          </w:rPr>
          <w:t>Table 3 - Additional Pupils under extension of temporary criteria (rounded to nearest 100,000)</w:t>
        </w:r>
        <w:r w:rsidR="006B2D28">
          <w:rPr>
            <w:noProof/>
            <w:webHidden/>
          </w:rPr>
          <w:tab/>
        </w:r>
        <w:r w:rsidR="006B2D28">
          <w:rPr>
            <w:noProof/>
            <w:webHidden/>
          </w:rPr>
          <w:fldChar w:fldCharType="begin"/>
        </w:r>
        <w:r w:rsidR="006B2D28">
          <w:rPr>
            <w:noProof/>
            <w:webHidden/>
          </w:rPr>
          <w:instrText xml:space="preserve"> PAGEREF _Toc514222579 \h </w:instrText>
        </w:r>
        <w:r w:rsidR="006B2D28">
          <w:rPr>
            <w:noProof/>
            <w:webHidden/>
          </w:rPr>
        </w:r>
        <w:r w:rsidR="006B2D28">
          <w:rPr>
            <w:noProof/>
            <w:webHidden/>
          </w:rPr>
          <w:fldChar w:fldCharType="separate"/>
        </w:r>
        <w:r w:rsidR="000D3ADC">
          <w:rPr>
            <w:noProof/>
            <w:webHidden/>
          </w:rPr>
          <w:t>11</w:t>
        </w:r>
        <w:r w:rsidR="006B2D28">
          <w:rPr>
            <w:noProof/>
            <w:webHidden/>
          </w:rPr>
          <w:fldChar w:fldCharType="end"/>
        </w:r>
      </w:hyperlink>
    </w:p>
    <w:p w14:paraId="0E849C85" w14:textId="2620FBE4" w:rsidR="009F41B6" w:rsidRDefault="00B51536" w:rsidP="0043261E">
      <w:pPr>
        <w:pStyle w:val="TableofFigures"/>
      </w:pPr>
      <w:r>
        <w:fldChar w:fldCharType="end"/>
      </w:r>
    </w:p>
    <w:p w14:paraId="193DC29B" w14:textId="0698CE84" w:rsidR="009F41B6" w:rsidRDefault="00CD675D" w:rsidP="009F41B6">
      <w:pPr>
        <w:pStyle w:val="Heading1"/>
      </w:pPr>
      <w:bookmarkStart w:id="4" w:name="_Toc514222563"/>
      <w:r>
        <w:lastRenderedPageBreak/>
        <w:t>Glossary</w:t>
      </w:r>
      <w:bookmarkEnd w:id="4"/>
    </w:p>
    <w:p w14:paraId="11318827"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FSM</w:t>
      </w:r>
      <w:r w:rsidRPr="00CD675D">
        <w:rPr>
          <w:rFonts w:cs="Arial"/>
        </w:rPr>
        <w:t>: Free school meal(s).</w:t>
      </w:r>
    </w:p>
    <w:p w14:paraId="34410C99" w14:textId="2AE00D14"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Legacy benefits:</w:t>
      </w:r>
      <w:r w:rsidRPr="00CD675D">
        <w:rPr>
          <w:rFonts w:cs="Arial"/>
        </w:rPr>
        <w:t xml:space="preserve"> the benefits replaced by Universal Credit. These include </w:t>
      </w:r>
      <w:r w:rsidR="002A4118">
        <w:rPr>
          <w:rFonts w:cs="Arial"/>
        </w:rPr>
        <w:t xml:space="preserve">income-based </w:t>
      </w:r>
      <w:r w:rsidRPr="00CD675D">
        <w:rPr>
          <w:rFonts w:cs="Arial"/>
        </w:rPr>
        <w:t>Jobseeker’s Allowance (JSA), Housing Benefit (HB), Working Tax Credit (WTC), Child Tax Credit (CTC), Income Support (IS) and income based Employment and Support Allowance (ESA).</w:t>
      </w:r>
    </w:p>
    <w:p w14:paraId="3E8D078C"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Passported benefits:</w:t>
      </w:r>
      <w:r w:rsidRPr="00CD675D">
        <w:rPr>
          <w:rFonts w:cs="Arial"/>
        </w:rPr>
        <w:t xml:space="preserve"> benefits for which eligibility is determined by whether or not you receive certain other welfare benefits. </w:t>
      </w:r>
    </w:p>
    <w:p w14:paraId="43676804"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Legacy benefit system/previous benefit system:</w:t>
      </w:r>
      <w:r w:rsidRPr="00CD675D">
        <w:rPr>
          <w:rFonts w:cs="Arial"/>
        </w:rPr>
        <w:t xml:space="preserve"> this refers to how the benefits system would have been before the introduction of Universal Credit. </w:t>
      </w:r>
    </w:p>
    <w:p w14:paraId="710E3957"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UC:</w:t>
      </w:r>
      <w:r w:rsidRPr="00CD675D">
        <w:rPr>
          <w:rFonts w:cs="Arial"/>
        </w:rPr>
        <w:t xml:space="preserve"> Universal Credit. UC is a social security benefit introduced in 2013 to replace income based Jobseeker's Allowance, Housing Benefit, Working Tax Credit, Child Tax Credit, income based Employment and Support Allowance and Income Support.</w:t>
      </w:r>
    </w:p>
    <w:p w14:paraId="49BAC148"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UC rollout:</w:t>
      </w:r>
      <w:r w:rsidRPr="00CD675D">
        <w:rPr>
          <w:rFonts w:cs="Arial"/>
        </w:rPr>
        <w:t xml:space="preserve"> the process through which local authorities and Jobcentre areas will transition to the Universal Credit full service and existing benefit and tax credit claimants are migrated across to Universal Credit</w:t>
      </w:r>
      <w:r w:rsidRPr="00CD675D">
        <w:rPr>
          <w:rStyle w:val="FootnoteReference"/>
          <w:rFonts w:cs="Arial"/>
        </w:rPr>
        <w:footnoteReference w:id="1"/>
      </w:r>
      <w:r w:rsidRPr="00CD675D">
        <w:rPr>
          <w:rFonts w:cs="Arial"/>
        </w:rPr>
        <w:t xml:space="preserve">. </w:t>
      </w:r>
    </w:p>
    <w:p w14:paraId="1C95B89B"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PSM:</w:t>
      </w:r>
      <w:r w:rsidRPr="00CD675D">
        <w:rPr>
          <w:rFonts w:cs="Arial"/>
        </w:rPr>
        <w:t xml:space="preserve"> Policy Simulation Model—a static micro-simulation model that calculates the effects of tax and benefit policy on a random sample of households from the 15-16 Family Resources Survey</w:t>
      </w:r>
    </w:p>
    <w:p w14:paraId="36D7D6CB" w14:textId="77777777" w:rsidR="00CD675D" w:rsidRPr="00CD675D" w:rsidRDefault="00CD675D" w:rsidP="000D3ADC">
      <w:pPr>
        <w:pStyle w:val="ListParagraph"/>
        <w:numPr>
          <w:ilvl w:val="0"/>
          <w:numId w:val="33"/>
        </w:numPr>
        <w:spacing w:after="120" w:line="259" w:lineRule="auto"/>
        <w:contextualSpacing w:val="0"/>
        <w:rPr>
          <w:rFonts w:cs="Arial"/>
        </w:rPr>
      </w:pPr>
      <w:r w:rsidRPr="00CD675D">
        <w:rPr>
          <w:rFonts w:cs="Arial"/>
          <w:b/>
        </w:rPr>
        <w:t>INFORM:</w:t>
      </w:r>
      <w:r w:rsidRPr="00CD675D">
        <w:rPr>
          <w:rFonts w:cs="Arial"/>
        </w:rPr>
        <w:t xml:space="preserve"> INtegrated FoRecasting Model—a dynamic micro-simulation model that generates estimates of monthly flows across and between the legacy benefits and UC</w:t>
      </w:r>
    </w:p>
    <w:p w14:paraId="11580456" w14:textId="248DDFBD" w:rsidR="00CD675D" w:rsidRDefault="00CD675D" w:rsidP="000D3ADC">
      <w:pPr>
        <w:pStyle w:val="ListParagraph"/>
        <w:numPr>
          <w:ilvl w:val="0"/>
          <w:numId w:val="33"/>
        </w:numPr>
        <w:spacing w:after="120" w:line="259" w:lineRule="auto"/>
        <w:contextualSpacing w:val="0"/>
        <w:rPr>
          <w:rFonts w:cs="Arial"/>
        </w:rPr>
      </w:pPr>
      <w:r w:rsidRPr="00CD675D">
        <w:rPr>
          <w:rFonts w:cs="Arial"/>
          <w:b/>
        </w:rPr>
        <w:t>FRS:</w:t>
      </w:r>
      <w:r w:rsidRPr="00CD675D">
        <w:rPr>
          <w:rFonts w:cs="Arial"/>
        </w:rPr>
        <w:t xml:space="preserve"> Family Resources Survey—a continuous household survey which collects information on a representative sample of private households in the United Kingdom.</w:t>
      </w:r>
    </w:p>
    <w:p w14:paraId="20FBE659" w14:textId="77777777" w:rsidR="005505EB" w:rsidRDefault="005505EB" w:rsidP="005505EB">
      <w:pPr>
        <w:spacing w:after="160" w:line="259" w:lineRule="auto"/>
        <w:jc w:val="both"/>
        <w:rPr>
          <w:rFonts w:cs="Arial"/>
        </w:rPr>
        <w:sectPr w:rsidR="005505EB" w:rsidSect="00814D1A">
          <w:footerReference w:type="default" r:id="rId13"/>
          <w:pgSz w:w="11906" w:h="16838"/>
          <w:pgMar w:top="1134" w:right="1276" w:bottom="1134" w:left="1134" w:header="709" w:footer="709" w:gutter="0"/>
          <w:cols w:space="1134"/>
          <w:titlePg/>
          <w:docGrid w:linePitch="360"/>
        </w:sectPr>
      </w:pPr>
    </w:p>
    <w:p w14:paraId="25536EB1" w14:textId="304DB29D" w:rsidR="009F41B6" w:rsidRDefault="005505EB" w:rsidP="005505EB">
      <w:pPr>
        <w:pStyle w:val="Heading1"/>
      </w:pPr>
      <w:bookmarkStart w:id="5" w:name="_Toc514222564"/>
      <w:r>
        <w:lastRenderedPageBreak/>
        <w:t>Purpose of this publication</w:t>
      </w:r>
      <w:bookmarkEnd w:id="5"/>
      <w:r w:rsidR="009F41B6">
        <w:t xml:space="preserve"> </w:t>
      </w:r>
    </w:p>
    <w:p w14:paraId="5997D65C" w14:textId="77777777" w:rsidR="005505EB" w:rsidRPr="007156A2" w:rsidRDefault="005505EB" w:rsidP="000D3ADC">
      <w:pPr>
        <w:rPr>
          <w:rFonts w:cs="Arial"/>
        </w:rPr>
      </w:pPr>
      <w:bookmarkStart w:id="6" w:name="_Toc357771679"/>
      <w:bookmarkStart w:id="7" w:name="_Toc346793420"/>
      <w:r w:rsidRPr="007156A2">
        <w:rPr>
          <w:rFonts w:cs="Arial"/>
        </w:rPr>
        <w:t>Before the introduction of Universal Credit (UC), the receipt of certain welfare benefits determined a child’s entitlement to free school meals</w:t>
      </w:r>
      <w:r w:rsidRPr="007156A2">
        <w:rPr>
          <w:rStyle w:val="FootnoteReference"/>
          <w:rFonts w:cs="Arial"/>
        </w:rPr>
        <w:footnoteReference w:id="2"/>
      </w:r>
      <w:r w:rsidRPr="007156A2">
        <w:rPr>
          <w:rFonts w:cs="Arial"/>
        </w:rPr>
        <w:t xml:space="preserve"> (FSM). UC replaces six existing benefits with a monthly payment that gradually reduces as earnings increase, to ensure people are better off in work. It is targeted at people who are looking for work or who are on a low income and it aims to create a greater fairness in the welfare system.</w:t>
      </w:r>
    </w:p>
    <w:p w14:paraId="31076BD4" w14:textId="77777777" w:rsidR="005505EB" w:rsidRPr="007156A2" w:rsidRDefault="005505EB" w:rsidP="000D3ADC">
      <w:pPr>
        <w:rPr>
          <w:rFonts w:cs="Arial"/>
        </w:rPr>
      </w:pPr>
      <w:r w:rsidRPr="007156A2">
        <w:rPr>
          <w:rFonts w:cs="Arial"/>
        </w:rPr>
        <w:t>When UC was introduced in 2013, as a temporary measure all children in households in receipt of UC were given entitlement to FSM. This was because most households in the UC pathfinders were out of work, and so their children would have been eligible for FSM under the legacy system</w:t>
      </w:r>
      <w:r w:rsidRPr="007156A2">
        <w:rPr>
          <w:rStyle w:val="FootnoteReference"/>
          <w:rFonts w:cs="Arial"/>
        </w:rPr>
        <w:footnoteReference w:id="3"/>
      </w:r>
      <w:r w:rsidRPr="007156A2">
        <w:rPr>
          <w:rFonts w:cs="Arial"/>
        </w:rPr>
        <w:t>.</w:t>
      </w:r>
    </w:p>
    <w:p w14:paraId="04C066C8" w14:textId="77777777" w:rsidR="005505EB" w:rsidRPr="007156A2" w:rsidRDefault="005505EB" w:rsidP="000D3ADC">
      <w:pPr>
        <w:rPr>
          <w:rFonts w:cs="Arial"/>
        </w:rPr>
      </w:pPr>
      <w:r w:rsidRPr="007156A2">
        <w:rPr>
          <w:rFonts w:cs="Arial"/>
        </w:rPr>
        <w:t>Last year, around 1.1 million disadvantaged children were eligible for and claimed a free school meal</w:t>
      </w:r>
      <w:r w:rsidRPr="007156A2">
        <w:rPr>
          <w:rStyle w:val="FootnoteReference"/>
          <w:rFonts w:cs="Arial"/>
        </w:rPr>
        <w:footnoteReference w:id="4"/>
      </w:r>
      <w:r w:rsidRPr="007156A2">
        <w:rPr>
          <w:rFonts w:cs="Arial"/>
        </w:rPr>
        <w:t>, which corresponds to approximately 14% of children in state-funded schools. If this temporary measure were to continue for the full rollout of Universal Credit, around half</w:t>
      </w:r>
      <w:r w:rsidRPr="007156A2">
        <w:rPr>
          <w:rFonts w:cs="Arial"/>
          <w:color w:val="FF0000"/>
        </w:rPr>
        <w:t xml:space="preserve"> </w:t>
      </w:r>
      <w:r w:rsidRPr="007156A2">
        <w:rPr>
          <w:rFonts w:cs="Arial"/>
        </w:rPr>
        <w:t>of all children would become eligible for FSM</w:t>
      </w:r>
      <w:r w:rsidRPr="007156A2">
        <w:rPr>
          <w:rStyle w:val="FootnoteReference"/>
          <w:rFonts w:cs="Arial"/>
        </w:rPr>
        <w:footnoteReference w:id="5"/>
      </w:r>
      <w:r w:rsidRPr="007156A2">
        <w:rPr>
          <w:rFonts w:cs="Arial"/>
        </w:rPr>
        <w:t xml:space="preserve"> and the meals would no longer be targeted at those who need them the most</w:t>
      </w:r>
      <w:r w:rsidRPr="007156A2">
        <w:rPr>
          <w:rStyle w:val="FootnoteReference"/>
          <w:rFonts w:cs="Arial"/>
        </w:rPr>
        <w:footnoteReference w:id="6"/>
      </w:r>
      <w:r w:rsidRPr="007156A2">
        <w:rPr>
          <w:rFonts w:cs="Arial"/>
        </w:rPr>
        <w:t>. For this reason, and as always planned, the government decided to replace this temporary measure with a net earned income threshold to determine eligibility. This approach is consistent with how other government departments and devolved administrations have approached amending criteria for passported benefits under Universal Credit, for example, the Help with Healthcare costs scheme (covering prescription charges) administered by the Department of Health and Social Care; and free school meals in Scotland</w:t>
      </w:r>
      <w:r w:rsidRPr="007156A2">
        <w:rPr>
          <w:rStyle w:val="FootnoteReference"/>
          <w:rFonts w:cs="Arial"/>
        </w:rPr>
        <w:footnoteReference w:id="7"/>
      </w:r>
      <w:r w:rsidRPr="007156A2">
        <w:rPr>
          <w:rFonts w:cs="Arial"/>
        </w:rPr>
        <w:t>.</w:t>
      </w:r>
    </w:p>
    <w:p w14:paraId="6433B410" w14:textId="77777777" w:rsidR="005505EB" w:rsidRPr="007156A2" w:rsidRDefault="005505EB" w:rsidP="000D3ADC">
      <w:pPr>
        <w:rPr>
          <w:rFonts w:cs="Arial"/>
        </w:rPr>
      </w:pPr>
      <w:r w:rsidRPr="007156A2">
        <w:rPr>
          <w:rFonts w:cs="Arial"/>
        </w:rPr>
        <w:t>In collaboration with the Department for Work and Pensions (DWP), the Department for Education (DfE) undertook analysis to determine the impact of different income thresholds on the number of children who would be in receipt of FSM. Additionally, we considered operational feasibility, legal frameworks and technological capabilities. Taking all those factors into account, the government decided to consult on implementing an annual net earned income threshold of £7,400</w:t>
      </w:r>
      <w:r w:rsidRPr="007156A2">
        <w:rPr>
          <w:rFonts w:cs="Arial"/>
          <w:vertAlign w:val="superscript"/>
        </w:rPr>
        <w:t>5</w:t>
      </w:r>
      <w:r w:rsidRPr="007156A2">
        <w:rPr>
          <w:rFonts w:cs="Arial"/>
        </w:rPr>
        <w:t xml:space="preserve"> (which will, depending on a family’s exact circumstances, typically equate to a total household income of between £18,000 and £24,000, once benefits are included). This threshold would result in an increase in the </w:t>
      </w:r>
      <w:r w:rsidRPr="007156A2">
        <w:rPr>
          <w:rFonts w:cs="Arial"/>
        </w:rPr>
        <w:lastRenderedPageBreak/>
        <w:t>numbers of pupils eligible for FSM by 2022. The proposals passed through Parliament in March 2018 and the new criteria came into force on the 1 April 2018</w:t>
      </w:r>
      <w:r w:rsidRPr="007156A2">
        <w:rPr>
          <w:rStyle w:val="FootnoteReference"/>
          <w:rFonts w:cs="Arial"/>
        </w:rPr>
        <w:footnoteReference w:id="8"/>
      </w:r>
      <w:r w:rsidRPr="007156A2">
        <w:rPr>
          <w:rFonts w:cs="Arial"/>
        </w:rPr>
        <w:t>.</w:t>
      </w:r>
    </w:p>
    <w:p w14:paraId="2E8FA680" w14:textId="77777777" w:rsidR="005505EB" w:rsidRPr="007156A2" w:rsidRDefault="005505EB" w:rsidP="000D3ADC">
      <w:pPr>
        <w:spacing w:line="240" w:lineRule="auto"/>
        <w:rPr>
          <w:rFonts w:cs="Arial"/>
        </w:rPr>
      </w:pPr>
      <w:r w:rsidRPr="007156A2">
        <w:rPr>
          <w:rFonts w:cs="Arial"/>
        </w:rPr>
        <w:t>In February 2018 DfE published a short methodology note outlining how the department calculated the impact of this policy on the free school meal cohort</w:t>
      </w:r>
      <w:r w:rsidRPr="007156A2">
        <w:rPr>
          <w:rStyle w:val="FootnoteReference"/>
          <w:rFonts w:cs="Arial"/>
        </w:rPr>
        <w:footnoteReference w:id="9"/>
      </w:r>
      <w:r w:rsidRPr="007156A2">
        <w:rPr>
          <w:rFonts w:cs="Arial"/>
        </w:rPr>
        <w:t>. This document provides an update to that note and sets out the results of our analysis for a £7,400 net-earned income threshold and the continuation of the temporary criteria implemented in 2013.</w:t>
      </w:r>
    </w:p>
    <w:p w14:paraId="401DF596" w14:textId="407CE8B3" w:rsidR="009F41B6" w:rsidRDefault="007461ED" w:rsidP="000D3ADC">
      <w:pPr>
        <w:pStyle w:val="Heading1"/>
        <w:rPr>
          <w:lang w:val="en"/>
        </w:rPr>
      </w:pPr>
      <w:bookmarkStart w:id="8" w:name="_Toc514222565"/>
      <w:bookmarkEnd w:id="6"/>
      <w:bookmarkEnd w:id="7"/>
      <w:r>
        <w:rPr>
          <w:lang w:val="en"/>
        </w:rPr>
        <w:lastRenderedPageBreak/>
        <w:t>Methodology</w:t>
      </w:r>
      <w:bookmarkEnd w:id="8"/>
    </w:p>
    <w:p w14:paraId="177F999C" w14:textId="77777777" w:rsidR="007461ED" w:rsidRPr="0030651B" w:rsidRDefault="007461ED" w:rsidP="000D3ADC">
      <w:pPr>
        <w:pStyle w:val="Heading3"/>
      </w:pPr>
      <w:bookmarkStart w:id="9" w:name="_Toc514222566"/>
      <w:r w:rsidRPr="0030651B">
        <w:t>Estimating future additional FSM pupils</w:t>
      </w:r>
      <w:bookmarkEnd w:id="9"/>
    </w:p>
    <w:p w14:paraId="1534A973" w14:textId="77777777" w:rsidR="007461ED" w:rsidRPr="0030651B" w:rsidRDefault="007461ED" w:rsidP="000D3ADC">
      <w:pPr>
        <w:rPr>
          <w:rFonts w:cs="Arial"/>
          <w:szCs w:val="23"/>
        </w:rPr>
      </w:pPr>
      <w:r w:rsidRPr="0030651B">
        <w:rPr>
          <w:rFonts w:cs="Arial"/>
          <w:szCs w:val="23"/>
        </w:rPr>
        <w:t>This analysis uses outputs from two DWP models</w:t>
      </w:r>
      <w:r w:rsidRPr="0030651B">
        <w:rPr>
          <w:rStyle w:val="FootnoteReference"/>
          <w:rFonts w:cs="Arial"/>
          <w:szCs w:val="23"/>
        </w:rPr>
        <w:footnoteReference w:id="10"/>
      </w:r>
      <w:r w:rsidRPr="0030651B">
        <w:rPr>
          <w:rFonts w:cs="Arial"/>
          <w:szCs w:val="23"/>
        </w:rPr>
        <w:t>:</w:t>
      </w:r>
    </w:p>
    <w:p w14:paraId="205567F6" w14:textId="77777777" w:rsidR="007461ED" w:rsidRPr="0030651B" w:rsidRDefault="007461ED" w:rsidP="000D3ADC">
      <w:pPr>
        <w:pStyle w:val="ListParagraph"/>
        <w:numPr>
          <w:ilvl w:val="0"/>
          <w:numId w:val="35"/>
        </w:numPr>
        <w:spacing w:line="259" w:lineRule="auto"/>
        <w:rPr>
          <w:rFonts w:cs="Arial"/>
          <w:szCs w:val="23"/>
        </w:rPr>
      </w:pPr>
      <w:r w:rsidRPr="0030651B">
        <w:rPr>
          <w:rFonts w:cs="Arial"/>
          <w:szCs w:val="23"/>
        </w:rPr>
        <w:t>Integrated forecasting model (INFORM) — a dynamic micro-simulation model that generates estimates of monthly flows across and between the legacy benefits and UC. The specific outputs used by DfE gave estimates for the number of children in households moving between the main legacy benefits and UC. The outputs are split by the legacy benefit received and broken down on a monthly basis.</w:t>
      </w:r>
    </w:p>
    <w:p w14:paraId="07821147" w14:textId="77777777" w:rsidR="007461ED" w:rsidRPr="0030651B" w:rsidRDefault="007461ED" w:rsidP="000D3ADC">
      <w:pPr>
        <w:pStyle w:val="ListParagraph"/>
        <w:numPr>
          <w:ilvl w:val="0"/>
          <w:numId w:val="0"/>
        </w:numPr>
        <w:ind w:left="720"/>
        <w:rPr>
          <w:rFonts w:cs="Arial"/>
          <w:szCs w:val="23"/>
        </w:rPr>
      </w:pPr>
    </w:p>
    <w:p w14:paraId="23DD7A28" w14:textId="77777777" w:rsidR="007461ED" w:rsidRPr="0030651B" w:rsidRDefault="007461ED" w:rsidP="000D3ADC">
      <w:pPr>
        <w:pStyle w:val="ListParagraph"/>
        <w:numPr>
          <w:ilvl w:val="0"/>
          <w:numId w:val="35"/>
        </w:numPr>
        <w:spacing w:line="259" w:lineRule="auto"/>
        <w:rPr>
          <w:rFonts w:cs="Arial"/>
          <w:szCs w:val="23"/>
        </w:rPr>
      </w:pPr>
      <w:r w:rsidRPr="0030651B">
        <w:rPr>
          <w:rFonts w:cs="Arial"/>
          <w:szCs w:val="23"/>
        </w:rPr>
        <w:t>Policy simulation model (PSM) — a static micro-simulation model that calculates the effects of tax and benefit policy on a random sample of households from the 15-16 Family Resources Survey (FRS). Future years are modelled by simulating announced policies consistent with growth in relevant variables from economic forecasts.</w:t>
      </w:r>
    </w:p>
    <w:p w14:paraId="02A40E34" w14:textId="77777777" w:rsidR="007461ED" w:rsidRPr="0030651B" w:rsidRDefault="007461ED" w:rsidP="000D3ADC">
      <w:pPr>
        <w:rPr>
          <w:rFonts w:cs="Arial"/>
          <w:szCs w:val="23"/>
        </w:rPr>
      </w:pPr>
      <w:r w:rsidRPr="0030651B">
        <w:rPr>
          <w:rFonts w:cs="Arial"/>
          <w:szCs w:val="23"/>
        </w:rPr>
        <w:t>Whilst these modelling outputs have their limitations, they are considered by the Office of Budget Responsibility to be the best available sources for modelling benefit entitlement and the flows between different benefits</w:t>
      </w:r>
      <w:r w:rsidRPr="0030651B">
        <w:rPr>
          <w:rFonts w:cs="Arial"/>
          <w:szCs w:val="23"/>
          <w:vertAlign w:val="superscript"/>
        </w:rPr>
        <w:t>10</w:t>
      </w:r>
      <w:r w:rsidRPr="0030651B">
        <w:rPr>
          <w:rFonts w:cs="Arial"/>
          <w:szCs w:val="23"/>
        </w:rPr>
        <w:t xml:space="preserve">. </w:t>
      </w:r>
    </w:p>
    <w:p w14:paraId="6AC180CF" w14:textId="77777777" w:rsidR="007461ED" w:rsidRPr="0030651B" w:rsidRDefault="007461ED" w:rsidP="000D3ADC">
      <w:pPr>
        <w:rPr>
          <w:rFonts w:cs="Arial"/>
          <w:szCs w:val="23"/>
        </w:rPr>
      </w:pPr>
      <w:r w:rsidRPr="0030651B">
        <w:rPr>
          <w:rFonts w:cs="Arial"/>
          <w:szCs w:val="23"/>
        </w:rPr>
        <w:t xml:space="preserve">The outputs of these models are used by DfE in the following ways: </w:t>
      </w:r>
    </w:p>
    <w:p w14:paraId="1C776D94" w14:textId="77777777" w:rsidR="007461ED" w:rsidRPr="0030651B" w:rsidRDefault="007461ED" w:rsidP="000D3ADC">
      <w:pPr>
        <w:pStyle w:val="ListParagraph"/>
        <w:numPr>
          <w:ilvl w:val="0"/>
          <w:numId w:val="36"/>
        </w:numPr>
        <w:spacing w:line="259" w:lineRule="auto"/>
        <w:rPr>
          <w:rFonts w:cs="Arial"/>
          <w:szCs w:val="23"/>
        </w:rPr>
      </w:pPr>
      <w:r w:rsidRPr="0030651B">
        <w:rPr>
          <w:rFonts w:cs="Arial"/>
          <w:szCs w:val="23"/>
        </w:rPr>
        <w:t xml:space="preserve">INFORM allows us to estimate the volumes of children in households moving onto UC split by the corresponding  benefit type on the legacy system. </w:t>
      </w:r>
    </w:p>
    <w:p w14:paraId="2CB39238" w14:textId="77777777" w:rsidR="007461ED" w:rsidRPr="0030651B" w:rsidRDefault="007461ED" w:rsidP="000D3ADC">
      <w:pPr>
        <w:pStyle w:val="ListParagraph"/>
        <w:numPr>
          <w:ilvl w:val="0"/>
          <w:numId w:val="0"/>
        </w:numPr>
        <w:ind w:left="720"/>
        <w:rPr>
          <w:rFonts w:cs="Arial"/>
          <w:szCs w:val="23"/>
        </w:rPr>
      </w:pPr>
    </w:p>
    <w:p w14:paraId="7FFD44CF" w14:textId="77777777" w:rsidR="007461ED" w:rsidRPr="0030651B" w:rsidRDefault="007461ED" w:rsidP="000D3ADC">
      <w:pPr>
        <w:pStyle w:val="ListParagraph"/>
        <w:numPr>
          <w:ilvl w:val="0"/>
          <w:numId w:val="36"/>
        </w:numPr>
        <w:spacing w:line="259" w:lineRule="auto"/>
        <w:rPr>
          <w:rFonts w:cs="Arial"/>
          <w:szCs w:val="23"/>
        </w:rPr>
      </w:pPr>
      <w:r w:rsidRPr="0030651B">
        <w:rPr>
          <w:rFonts w:cs="Arial"/>
          <w:szCs w:val="23"/>
        </w:rPr>
        <w:t xml:space="preserve">PSM allows us to estimate the earnings and age of the children in those households moving onto UC, and calculate whether or not they will be eligible for FSM after the transition. It tells us whether they would have been eligible for FSM if they had never moved across to UC. </w:t>
      </w:r>
    </w:p>
    <w:p w14:paraId="3245AA91" w14:textId="77777777" w:rsidR="007461ED" w:rsidRPr="0030651B" w:rsidRDefault="007461ED" w:rsidP="000D3ADC">
      <w:pPr>
        <w:rPr>
          <w:rFonts w:cs="Arial"/>
          <w:szCs w:val="23"/>
        </w:rPr>
      </w:pPr>
      <w:r w:rsidRPr="0030651B">
        <w:rPr>
          <w:rFonts w:cs="Arial"/>
          <w:szCs w:val="23"/>
        </w:rPr>
        <w:t>As new economic forecasts are released and underlying data (such as the FRS) are refreshed, the outputs from both the PSM and the INFORM will change. In turn, the outputs of the analysis outlined in this publication will change.</w:t>
      </w:r>
    </w:p>
    <w:p w14:paraId="35AD4FC6" w14:textId="77777777" w:rsidR="007461ED" w:rsidRPr="0030651B" w:rsidRDefault="007461ED" w:rsidP="000D3ADC">
      <w:pPr>
        <w:rPr>
          <w:rFonts w:cs="Arial"/>
          <w:szCs w:val="23"/>
        </w:rPr>
      </w:pPr>
      <w:r w:rsidRPr="0030651B">
        <w:rPr>
          <w:rFonts w:cs="Arial"/>
          <w:szCs w:val="23"/>
        </w:rPr>
        <w:t>The PSM data is for the financial year 2022-23; we use National Living Wage forecasts</w:t>
      </w:r>
      <w:r w:rsidRPr="0030651B">
        <w:rPr>
          <w:rStyle w:val="FootnoteReference"/>
          <w:rFonts w:cs="Arial"/>
          <w:szCs w:val="23"/>
        </w:rPr>
        <w:footnoteReference w:id="11"/>
      </w:r>
      <w:r w:rsidRPr="0030651B">
        <w:rPr>
          <w:rFonts w:cs="Arial"/>
          <w:szCs w:val="23"/>
        </w:rPr>
        <w:t xml:space="preserve"> to adjust for predicted incomes in the interim years. This calculation makes the interim year numbers more uncertain. For self-employed claimants, we use actual, not assumed, income. </w:t>
      </w:r>
    </w:p>
    <w:p w14:paraId="54DA2343" w14:textId="77777777" w:rsidR="007461ED" w:rsidRPr="0030651B" w:rsidRDefault="007461ED" w:rsidP="000D3ADC">
      <w:pPr>
        <w:spacing w:after="120"/>
        <w:rPr>
          <w:rFonts w:cs="Arial"/>
          <w:szCs w:val="23"/>
        </w:rPr>
      </w:pPr>
      <w:r w:rsidRPr="0030651B">
        <w:rPr>
          <w:rFonts w:cs="Arial"/>
          <w:szCs w:val="23"/>
        </w:rPr>
        <w:lastRenderedPageBreak/>
        <w:t xml:space="preserve">By combining these outputs, we are able to estimate for any threshold level: </w:t>
      </w:r>
    </w:p>
    <w:p w14:paraId="4F87B45B" w14:textId="77777777" w:rsidR="007461ED" w:rsidRPr="0030651B" w:rsidRDefault="007461ED" w:rsidP="000D3ADC">
      <w:pPr>
        <w:pStyle w:val="ListParagraph"/>
        <w:numPr>
          <w:ilvl w:val="0"/>
          <w:numId w:val="34"/>
        </w:numPr>
        <w:spacing w:after="120" w:line="240" w:lineRule="auto"/>
        <w:contextualSpacing w:val="0"/>
        <w:rPr>
          <w:rFonts w:cs="Arial"/>
          <w:szCs w:val="23"/>
        </w:rPr>
      </w:pPr>
      <w:r w:rsidRPr="0030651B">
        <w:rPr>
          <w:rFonts w:cs="Arial"/>
          <w:szCs w:val="23"/>
        </w:rPr>
        <w:t xml:space="preserve">how many people will move onto UC on a month by month basis; </w:t>
      </w:r>
    </w:p>
    <w:p w14:paraId="241ED9EE" w14:textId="77777777" w:rsidR="007461ED" w:rsidRPr="0030651B" w:rsidRDefault="007461ED" w:rsidP="000D3ADC">
      <w:pPr>
        <w:pStyle w:val="ListParagraph"/>
        <w:numPr>
          <w:ilvl w:val="0"/>
          <w:numId w:val="34"/>
        </w:numPr>
        <w:spacing w:after="120" w:line="240" w:lineRule="auto"/>
        <w:contextualSpacing w:val="0"/>
        <w:rPr>
          <w:rFonts w:cs="Arial"/>
          <w:szCs w:val="23"/>
        </w:rPr>
      </w:pPr>
      <w:r w:rsidRPr="0030651B">
        <w:rPr>
          <w:rFonts w:cs="Arial"/>
          <w:szCs w:val="23"/>
        </w:rPr>
        <w:t>whether or not they will have household earnings below or above the threshold; and</w:t>
      </w:r>
    </w:p>
    <w:p w14:paraId="4E9B5541" w14:textId="77777777" w:rsidR="007461ED" w:rsidRPr="0030651B" w:rsidRDefault="007461ED" w:rsidP="000D3ADC">
      <w:pPr>
        <w:pStyle w:val="ListParagraph"/>
        <w:numPr>
          <w:ilvl w:val="0"/>
          <w:numId w:val="34"/>
        </w:numPr>
        <w:spacing w:line="240" w:lineRule="auto"/>
        <w:ind w:left="714" w:hanging="357"/>
        <w:contextualSpacing w:val="0"/>
        <w:rPr>
          <w:rFonts w:cs="Arial"/>
          <w:szCs w:val="23"/>
        </w:rPr>
      </w:pPr>
      <w:r w:rsidRPr="0030651B">
        <w:rPr>
          <w:rFonts w:cs="Arial"/>
          <w:szCs w:val="23"/>
        </w:rPr>
        <w:t xml:space="preserve">whether or not they would have FSM eligibility if they were still on legacy benefits. </w:t>
      </w:r>
    </w:p>
    <w:p w14:paraId="382277A1" w14:textId="77777777" w:rsidR="007461ED" w:rsidRPr="0030651B" w:rsidRDefault="007461ED" w:rsidP="000D3ADC">
      <w:pPr>
        <w:rPr>
          <w:rFonts w:cs="Arial"/>
          <w:szCs w:val="23"/>
        </w:rPr>
      </w:pPr>
      <w:r w:rsidRPr="0030651B">
        <w:rPr>
          <w:rFonts w:cs="Arial"/>
          <w:szCs w:val="23"/>
        </w:rPr>
        <w:t>We take into account the fact that not every entitled household will claim for FSM. We do this by applying a “claiming rate” to the numbers described above. Our basis for this assumption comes from a DfE report into the proportion of pupils not claiming FSM</w:t>
      </w:r>
      <w:r w:rsidRPr="0030651B">
        <w:rPr>
          <w:rStyle w:val="FootnoteReference"/>
          <w:rFonts w:cs="Arial"/>
          <w:szCs w:val="23"/>
        </w:rPr>
        <w:footnoteReference w:id="12"/>
      </w:r>
      <w:r w:rsidRPr="0030651B">
        <w:rPr>
          <w:rFonts w:cs="Arial"/>
          <w:szCs w:val="23"/>
        </w:rPr>
        <w:t xml:space="preserve">. This report found that there is an under registration rate of around 11%, suggesting a claiming rate in the region of 89%. </w:t>
      </w:r>
    </w:p>
    <w:p w14:paraId="1D542D3D" w14:textId="77777777" w:rsidR="007461ED" w:rsidRPr="0030651B" w:rsidRDefault="007461ED" w:rsidP="000D3ADC">
      <w:pPr>
        <w:rPr>
          <w:rFonts w:cs="Arial"/>
          <w:szCs w:val="23"/>
        </w:rPr>
      </w:pPr>
      <w:r w:rsidRPr="0030651B">
        <w:rPr>
          <w:rFonts w:cs="Arial"/>
          <w:szCs w:val="23"/>
        </w:rPr>
        <w:t xml:space="preserve">Our modelling does not attempt to anticipate behavioural responses that may result due to policy changes. </w:t>
      </w:r>
    </w:p>
    <w:p w14:paraId="41583728" w14:textId="77777777" w:rsidR="007461ED" w:rsidRPr="0030651B" w:rsidRDefault="007461ED" w:rsidP="000D3ADC">
      <w:pPr>
        <w:pStyle w:val="Heading3"/>
      </w:pPr>
      <w:bookmarkStart w:id="10" w:name="_Toc514222567"/>
      <w:r w:rsidRPr="0030651B">
        <w:t>Estimating the impact of the £7,400 threshold</w:t>
      </w:r>
      <w:bookmarkEnd w:id="10"/>
    </w:p>
    <w:p w14:paraId="7048C3A2" w14:textId="77777777" w:rsidR="007461ED" w:rsidRPr="0030651B" w:rsidRDefault="007461ED" w:rsidP="000D3ADC">
      <w:pPr>
        <w:rPr>
          <w:rFonts w:cs="Arial"/>
          <w:szCs w:val="23"/>
        </w:rPr>
      </w:pPr>
      <w:r w:rsidRPr="0030651B">
        <w:rPr>
          <w:rFonts w:cs="Arial"/>
          <w:szCs w:val="23"/>
        </w:rPr>
        <w:t>Using the above with a threshold of £7,400, we can estimate the difference in size between two groups of children who are in UC households in each of the interim years:</w:t>
      </w:r>
    </w:p>
    <w:p w14:paraId="32861058" w14:textId="77777777" w:rsidR="007461ED" w:rsidRPr="0030651B" w:rsidRDefault="007461ED" w:rsidP="000D3ADC">
      <w:pPr>
        <w:pStyle w:val="ListParagraph"/>
        <w:numPr>
          <w:ilvl w:val="0"/>
          <w:numId w:val="37"/>
        </w:numPr>
        <w:spacing w:line="259" w:lineRule="auto"/>
        <w:ind w:left="714" w:hanging="357"/>
        <w:contextualSpacing w:val="0"/>
        <w:rPr>
          <w:rFonts w:cs="Arial"/>
          <w:szCs w:val="23"/>
        </w:rPr>
      </w:pPr>
      <w:r w:rsidRPr="0030651B">
        <w:rPr>
          <w:rFonts w:cs="Arial"/>
          <w:szCs w:val="23"/>
        </w:rPr>
        <w:t xml:space="preserve">children who </w:t>
      </w:r>
      <w:r w:rsidRPr="0030651B">
        <w:rPr>
          <w:rFonts w:cs="Arial"/>
          <w:i/>
          <w:szCs w:val="23"/>
        </w:rPr>
        <w:t>would not</w:t>
      </w:r>
      <w:r w:rsidRPr="0030651B">
        <w:rPr>
          <w:rFonts w:cs="Arial"/>
          <w:szCs w:val="23"/>
        </w:rPr>
        <w:t xml:space="preserve"> have been eligible for FSM under the legacy system, but </w:t>
      </w:r>
      <w:r w:rsidRPr="0030651B">
        <w:rPr>
          <w:rFonts w:cs="Arial"/>
          <w:i/>
          <w:szCs w:val="23"/>
        </w:rPr>
        <w:t>will be</w:t>
      </w:r>
      <w:r w:rsidRPr="0030651B">
        <w:rPr>
          <w:rFonts w:cs="Arial"/>
          <w:szCs w:val="23"/>
        </w:rPr>
        <w:t xml:space="preserve"> under the new eligibility system; and </w:t>
      </w:r>
    </w:p>
    <w:p w14:paraId="5C2DC86C" w14:textId="77777777" w:rsidR="007461ED" w:rsidRPr="0030651B" w:rsidRDefault="007461ED" w:rsidP="000D3ADC">
      <w:pPr>
        <w:pStyle w:val="ListParagraph"/>
        <w:numPr>
          <w:ilvl w:val="0"/>
          <w:numId w:val="37"/>
        </w:numPr>
        <w:spacing w:line="259" w:lineRule="auto"/>
        <w:rPr>
          <w:rFonts w:cs="Arial"/>
          <w:szCs w:val="23"/>
        </w:rPr>
      </w:pPr>
      <w:r w:rsidRPr="0030651B">
        <w:rPr>
          <w:rFonts w:cs="Arial"/>
          <w:szCs w:val="23"/>
        </w:rPr>
        <w:t xml:space="preserve">children who </w:t>
      </w:r>
      <w:r w:rsidRPr="0030651B">
        <w:rPr>
          <w:rFonts w:cs="Arial"/>
          <w:i/>
          <w:szCs w:val="23"/>
        </w:rPr>
        <w:t>would</w:t>
      </w:r>
      <w:r w:rsidRPr="0030651B">
        <w:rPr>
          <w:rFonts w:cs="Arial"/>
          <w:szCs w:val="23"/>
        </w:rPr>
        <w:t xml:space="preserve"> have been eligible for FSM under the legacy system, but </w:t>
      </w:r>
      <w:r w:rsidRPr="0030651B">
        <w:rPr>
          <w:rFonts w:cs="Arial"/>
          <w:i/>
          <w:szCs w:val="23"/>
        </w:rPr>
        <w:t>will not</w:t>
      </w:r>
      <w:r w:rsidRPr="0030651B">
        <w:rPr>
          <w:rFonts w:cs="Arial"/>
          <w:szCs w:val="23"/>
        </w:rPr>
        <w:t xml:space="preserve"> be under the new eligibility system. It is important to note that </w:t>
      </w:r>
      <w:r w:rsidRPr="0030651B">
        <w:rPr>
          <w:rFonts w:cs="Arial"/>
          <w:b/>
          <w:szCs w:val="23"/>
        </w:rPr>
        <w:t>no child will lose their free school meals during the rollout of UC</w:t>
      </w:r>
      <w:r w:rsidRPr="0030651B">
        <w:rPr>
          <w:rFonts w:cs="Arial"/>
          <w:szCs w:val="23"/>
        </w:rPr>
        <w:t xml:space="preserve"> due to the protections delivered through our new arrangements.</w:t>
      </w:r>
    </w:p>
    <w:p w14:paraId="636EC9DF" w14:textId="77777777" w:rsidR="007461ED" w:rsidRPr="0030651B" w:rsidRDefault="007461ED" w:rsidP="000D3ADC">
      <w:pPr>
        <w:rPr>
          <w:rFonts w:cs="Arial"/>
          <w:szCs w:val="23"/>
          <w:u w:val="single"/>
        </w:rPr>
      </w:pPr>
      <w:r w:rsidRPr="0030651B">
        <w:rPr>
          <w:rFonts w:cs="Arial"/>
          <w:szCs w:val="23"/>
        </w:rPr>
        <w:t xml:space="preserve">The government has introduced transitional protections to ensure that existing recipients of free school meals will not lose their entitlement following the introduction of new eligibility criteria. When calculating the effect of the threshold, we decided it was important not to take account of protections in order to get a better understanding of how the number of children who meet the eligibility criteria will change over time. </w:t>
      </w:r>
      <w:r w:rsidRPr="0030651B">
        <w:rPr>
          <w:rFonts w:cs="Arial"/>
          <w:szCs w:val="23"/>
          <w:u w:val="single"/>
        </w:rPr>
        <w:t xml:space="preserve">These protected children are therefore </w:t>
      </w:r>
      <w:r w:rsidRPr="0030651B">
        <w:rPr>
          <w:rFonts w:cs="Arial"/>
          <w:b/>
          <w:szCs w:val="23"/>
          <w:u w:val="single"/>
        </w:rPr>
        <w:t>not</w:t>
      </w:r>
      <w:r w:rsidRPr="0030651B">
        <w:rPr>
          <w:rFonts w:cs="Arial"/>
          <w:szCs w:val="23"/>
          <w:u w:val="single"/>
        </w:rPr>
        <w:t xml:space="preserve"> included in this analysis of the additional pupils eligible for FSM, and are covered separately.</w:t>
      </w:r>
    </w:p>
    <w:p w14:paraId="2C436CC5" w14:textId="77777777" w:rsidR="007461ED" w:rsidRPr="0030651B" w:rsidRDefault="007461ED" w:rsidP="000D3ADC">
      <w:pPr>
        <w:pStyle w:val="Heading3"/>
      </w:pPr>
      <w:bookmarkStart w:id="11" w:name="_Toc514222568"/>
      <w:r w:rsidRPr="0030651B">
        <w:t>Estimating the impact of protections</w:t>
      </w:r>
      <w:bookmarkEnd w:id="11"/>
    </w:p>
    <w:p w14:paraId="31B0859A" w14:textId="77777777" w:rsidR="007461ED" w:rsidRPr="0030651B" w:rsidRDefault="007461ED" w:rsidP="000D3ADC">
      <w:pPr>
        <w:rPr>
          <w:rFonts w:cs="Arial"/>
          <w:szCs w:val="23"/>
        </w:rPr>
      </w:pPr>
      <w:r w:rsidRPr="0030651B">
        <w:rPr>
          <w:rFonts w:cs="Arial"/>
          <w:szCs w:val="23"/>
        </w:rPr>
        <w:t xml:space="preserve">In order to determine the impact that the protection policy has on cohort numbers, we use our estimate of the number of children who would have been eligible for FSM under the legacy system, but will not be under the new eligibility system. This tells us how many </w:t>
      </w:r>
      <w:r w:rsidRPr="0030651B">
        <w:rPr>
          <w:rFonts w:cs="Arial"/>
          <w:szCs w:val="23"/>
        </w:rPr>
        <w:lastRenderedPageBreak/>
        <w:t>children might lose their eligibility during the transition to UC, and when. These children will have their FSM eligibility protected.</w:t>
      </w:r>
    </w:p>
    <w:p w14:paraId="5C023C16" w14:textId="77777777" w:rsidR="007461ED" w:rsidRPr="0030651B" w:rsidRDefault="007461ED" w:rsidP="000D3ADC">
      <w:pPr>
        <w:rPr>
          <w:rFonts w:cs="Arial"/>
          <w:szCs w:val="23"/>
        </w:rPr>
      </w:pPr>
      <w:r w:rsidRPr="0030651B">
        <w:rPr>
          <w:rFonts w:cs="Arial"/>
          <w:szCs w:val="23"/>
        </w:rPr>
        <w:t>However, this alone does not take into account all the routes through which a child might enter protections. The protection policy we have put into place means that all children receiving a meal as of 1</w:t>
      </w:r>
      <w:r w:rsidRPr="0030651B">
        <w:rPr>
          <w:rFonts w:cs="Arial"/>
          <w:szCs w:val="23"/>
          <w:vertAlign w:val="superscript"/>
        </w:rPr>
        <w:t>st</w:t>
      </w:r>
      <w:r w:rsidRPr="0030651B">
        <w:rPr>
          <w:rFonts w:cs="Arial"/>
          <w:szCs w:val="23"/>
        </w:rPr>
        <w:t xml:space="preserve"> April 2018, and those that will receive one at any point during the rollout period, will continue to receive one until the end of rollout and then the end of the phase of their education, regardless of their family circumstances. </w:t>
      </w:r>
    </w:p>
    <w:p w14:paraId="5CC7FB58" w14:textId="77777777" w:rsidR="007461ED" w:rsidRPr="0030651B" w:rsidRDefault="007461ED" w:rsidP="000D3ADC">
      <w:pPr>
        <w:rPr>
          <w:rFonts w:cs="Arial"/>
          <w:szCs w:val="23"/>
        </w:rPr>
      </w:pPr>
      <w:r w:rsidRPr="0030651B">
        <w:rPr>
          <w:rFonts w:cs="Arial"/>
          <w:szCs w:val="23"/>
        </w:rPr>
        <w:t xml:space="preserve">We therefore take into account those families on legacy benefits who would have lost their free school meals due to a natural change of circumstances (e.g. a parent starts working 16 hours per week and receives working tax credits), and those that that may lose eligibility after the transition. </w:t>
      </w:r>
    </w:p>
    <w:p w14:paraId="7F02599F" w14:textId="77777777" w:rsidR="007461ED" w:rsidRPr="0030651B" w:rsidRDefault="007461ED" w:rsidP="000D3ADC">
      <w:pPr>
        <w:rPr>
          <w:rFonts w:cs="Arial"/>
          <w:szCs w:val="23"/>
        </w:rPr>
      </w:pPr>
      <w:r w:rsidRPr="0030651B">
        <w:rPr>
          <w:rFonts w:cs="Arial"/>
          <w:szCs w:val="23"/>
        </w:rPr>
        <w:t>We looked at historical administrative data stored in the National Pupil Database (NPD)</w:t>
      </w:r>
      <w:r w:rsidRPr="0030651B">
        <w:rPr>
          <w:rStyle w:val="FootnoteReference"/>
          <w:rFonts w:cs="Arial"/>
          <w:szCs w:val="23"/>
        </w:rPr>
        <w:footnoteReference w:id="13"/>
      </w:r>
      <w:r w:rsidRPr="0030651B">
        <w:rPr>
          <w:rFonts w:cs="Arial"/>
          <w:szCs w:val="23"/>
        </w:rPr>
        <w:t xml:space="preserve"> to estimate the FSM cohort growth we would expect to see because of the pupils who would naturally lose eligibility due to a change in circumstance, but retain it because of the protections. We apply this proportion to pupil population projections</w:t>
      </w:r>
      <w:r w:rsidRPr="0030651B">
        <w:rPr>
          <w:rStyle w:val="FootnoteReference"/>
          <w:rFonts w:cs="Arial"/>
          <w:szCs w:val="23"/>
        </w:rPr>
        <w:footnoteReference w:id="14"/>
      </w:r>
      <w:r w:rsidRPr="0030651B">
        <w:rPr>
          <w:rFonts w:cs="Arial"/>
          <w:szCs w:val="23"/>
        </w:rPr>
        <w:t xml:space="preserve"> and make a final adjustment on a year by year basis to account for the fact that the number of FSM pupils still on the legacy benefits system decreases over time. This gives us an estimate for the number of pupils entering protections due to natural turnover, which we add to the number of children entering protections because of the transition to UC. In practice, some of these families may be eligible for universal credit and meet the eligibility criteria at some point in the future. The nature of the PSM, FRS and rollout data does not allow us to identify these individuals. It is likely that our estimates of the protected cohort may experience some ‘double-counting’ during the earlier years of rollout.</w:t>
      </w:r>
    </w:p>
    <w:p w14:paraId="1835363B" w14:textId="77777777" w:rsidR="007461ED" w:rsidRPr="0030651B" w:rsidRDefault="007461ED" w:rsidP="000D3ADC">
      <w:pPr>
        <w:rPr>
          <w:rFonts w:cs="Arial"/>
          <w:szCs w:val="23"/>
        </w:rPr>
      </w:pPr>
      <w:r w:rsidRPr="0030651B">
        <w:rPr>
          <w:rFonts w:cs="Arial"/>
          <w:szCs w:val="23"/>
        </w:rPr>
        <w:t xml:space="preserve">Our modelling does not attempt to take into account how eligibility might change after the transition to UC as a result of fluctuating incomes. This is because the FRS and PSM does not allow us to track individuals on a month by month basis. This means that the approximations made above may lead to some undercounting in the later years. </w:t>
      </w:r>
    </w:p>
    <w:p w14:paraId="4C6E2683" w14:textId="77777777" w:rsidR="007461ED" w:rsidRPr="0030651B" w:rsidRDefault="007461ED" w:rsidP="000D3ADC">
      <w:pPr>
        <w:rPr>
          <w:rFonts w:cs="Arial"/>
          <w:b/>
          <w:szCs w:val="23"/>
        </w:rPr>
      </w:pPr>
      <w:r w:rsidRPr="0030651B">
        <w:rPr>
          <w:rFonts w:cs="Arial"/>
          <w:szCs w:val="23"/>
        </w:rPr>
        <w:t>Our estimates of the protected cohort figures should therefore be treated with caution and used as an indication of the order of magnitude only.</w:t>
      </w:r>
      <w:r w:rsidRPr="0030651B">
        <w:rPr>
          <w:rFonts w:cs="Arial"/>
          <w:b/>
          <w:szCs w:val="23"/>
        </w:rPr>
        <w:t xml:space="preserve">  </w:t>
      </w:r>
    </w:p>
    <w:p w14:paraId="38C84875" w14:textId="77777777" w:rsidR="007461ED" w:rsidRPr="0030651B" w:rsidRDefault="007461ED" w:rsidP="000D3ADC">
      <w:pPr>
        <w:pStyle w:val="Heading3"/>
        <w:spacing w:before="120"/>
      </w:pPr>
      <w:bookmarkStart w:id="12" w:name="_Toc514222569"/>
      <w:r w:rsidRPr="0030651B">
        <w:t>Estimating the impact of continuing the temporary eligibility criteria</w:t>
      </w:r>
      <w:bookmarkEnd w:id="12"/>
    </w:p>
    <w:p w14:paraId="76907450" w14:textId="77777777" w:rsidR="007461ED" w:rsidRPr="0030651B" w:rsidRDefault="007461ED" w:rsidP="000D3ADC">
      <w:r w:rsidRPr="0030651B">
        <w:rPr>
          <w:rFonts w:cs="Arial"/>
          <w:szCs w:val="23"/>
        </w:rPr>
        <w:t xml:space="preserve">To estimate the impact of continuing the temporary criteria, we repeat the process above but set the income threshold to such a level that everyone in receipt of UC falls below the threshold. Under this scenario, the only group we have to calculate is the children who </w:t>
      </w:r>
      <w:r w:rsidRPr="0030651B">
        <w:rPr>
          <w:rFonts w:cs="Arial"/>
          <w:i/>
          <w:szCs w:val="23"/>
        </w:rPr>
        <w:t>would not</w:t>
      </w:r>
      <w:r w:rsidRPr="0030651B">
        <w:rPr>
          <w:rFonts w:cs="Arial"/>
          <w:szCs w:val="23"/>
        </w:rPr>
        <w:t xml:space="preserve"> have been eligible for FSM under the legacy system, but </w:t>
      </w:r>
      <w:r w:rsidRPr="0030651B">
        <w:rPr>
          <w:rFonts w:cs="Arial"/>
          <w:i/>
          <w:szCs w:val="23"/>
        </w:rPr>
        <w:t>would be</w:t>
      </w:r>
      <w:r w:rsidRPr="0030651B">
        <w:rPr>
          <w:rFonts w:cs="Arial"/>
          <w:szCs w:val="23"/>
        </w:rPr>
        <w:t xml:space="preserve"> under the temporary eligibility criteria.</w:t>
      </w:r>
    </w:p>
    <w:p w14:paraId="2D19A0D7" w14:textId="26CEDD8E" w:rsidR="009F41B6" w:rsidRDefault="00895EAE" w:rsidP="000D3ADC">
      <w:pPr>
        <w:pStyle w:val="Heading1"/>
      </w:pPr>
      <w:bookmarkStart w:id="13" w:name="_Toc514222570"/>
      <w:r>
        <w:lastRenderedPageBreak/>
        <w:t>Results</w:t>
      </w:r>
      <w:bookmarkEnd w:id="13"/>
    </w:p>
    <w:p w14:paraId="3C2ABB32" w14:textId="77777777" w:rsidR="00895EAE" w:rsidRPr="007D350D" w:rsidRDefault="00895EAE" w:rsidP="000D3ADC">
      <w:pPr>
        <w:pStyle w:val="Heading3"/>
      </w:pPr>
      <w:bookmarkStart w:id="14" w:name="_Toc514222571"/>
      <w:r w:rsidRPr="007D350D">
        <w:t>Estimating additional FSM pupils: impact of the £7,400 threshold</w:t>
      </w:r>
      <w:bookmarkEnd w:id="14"/>
    </w:p>
    <w:p w14:paraId="4E5C31DF" w14:textId="77777777" w:rsidR="00895EAE" w:rsidRPr="007D350D" w:rsidRDefault="00895EAE" w:rsidP="000D3ADC">
      <w:pPr>
        <w:rPr>
          <w:rFonts w:cs="Arial"/>
          <w:szCs w:val="23"/>
        </w:rPr>
      </w:pPr>
      <w:r w:rsidRPr="007D350D">
        <w:rPr>
          <w:rFonts w:cs="Arial"/>
          <w:szCs w:val="23"/>
        </w:rPr>
        <w:t xml:space="preserve">The results of these calculations for a £7,400 net earned income threshold are shown in </w:t>
      </w:r>
      <w:r w:rsidRPr="007D350D">
        <w:rPr>
          <w:rFonts w:cs="Arial"/>
          <w:szCs w:val="23"/>
        </w:rPr>
        <w:fldChar w:fldCharType="begin"/>
      </w:r>
      <w:r w:rsidRPr="007D350D">
        <w:rPr>
          <w:rFonts w:cs="Arial"/>
          <w:szCs w:val="23"/>
        </w:rPr>
        <w:instrText xml:space="preserve"> REF _Ref511927812 \h  \* MERGEFORMAT </w:instrText>
      </w:r>
      <w:r w:rsidRPr="007D350D">
        <w:rPr>
          <w:rFonts w:cs="Arial"/>
          <w:szCs w:val="23"/>
        </w:rPr>
      </w:r>
      <w:r w:rsidRPr="007D350D">
        <w:rPr>
          <w:rFonts w:cs="Arial"/>
          <w:szCs w:val="23"/>
        </w:rPr>
        <w:fldChar w:fldCharType="separate"/>
      </w:r>
      <w:r w:rsidRPr="007D350D">
        <w:rPr>
          <w:rFonts w:cs="Arial"/>
          <w:szCs w:val="23"/>
        </w:rPr>
        <w:t xml:space="preserve">Table </w:t>
      </w:r>
      <w:r w:rsidRPr="007D350D">
        <w:rPr>
          <w:rFonts w:cs="Arial"/>
          <w:noProof/>
          <w:szCs w:val="23"/>
        </w:rPr>
        <w:t>1</w:t>
      </w:r>
      <w:r w:rsidRPr="007D350D">
        <w:rPr>
          <w:rFonts w:cs="Arial"/>
          <w:szCs w:val="23"/>
        </w:rPr>
        <w:fldChar w:fldCharType="end"/>
      </w:r>
      <w:r w:rsidRPr="007D350D">
        <w:rPr>
          <w:rFonts w:cs="Arial"/>
          <w:szCs w:val="23"/>
        </w:rPr>
        <w:t xml:space="preserve"> (rounded to the nearest 10,000 pupils), alongside our lower and upper estimates</w:t>
      </w:r>
      <w:r w:rsidRPr="007D350D">
        <w:rPr>
          <w:rStyle w:val="FootnoteReference"/>
          <w:rFonts w:cs="Arial"/>
          <w:szCs w:val="23"/>
        </w:rPr>
        <w:footnoteReference w:id="15"/>
      </w:r>
      <w:r w:rsidRPr="007D350D">
        <w:rPr>
          <w:rFonts w:cs="Arial"/>
          <w:szCs w:val="23"/>
        </w:rPr>
        <w:t>. It should be noted that these do not represent ‘worst’ or ‘best’ case scenarios, but a reasonable expectation of what might occur if, for example, our claiming rates are lower/high than expected or if wage growth and earnings are better/worse than expected.</w:t>
      </w:r>
    </w:p>
    <w:p w14:paraId="41F22781" w14:textId="77777777" w:rsidR="00895EAE" w:rsidRPr="007D350D" w:rsidRDefault="00895EAE" w:rsidP="000D3ADC">
      <w:pPr>
        <w:pStyle w:val="Caption"/>
        <w:keepNext/>
        <w:spacing w:after="0"/>
        <w:jc w:val="left"/>
        <w:rPr>
          <w:color w:val="auto"/>
        </w:rPr>
      </w:pPr>
      <w:bookmarkStart w:id="15" w:name="_Ref511927812"/>
      <w:bookmarkStart w:id="16" w:name="_Toc514222577"/>
      <w:r w:rsidRPr="007D350D">
        <w:rPr>
          <w:color w:val="auto"/>
        </w:rPr>
        <w:t xml:space="preserve">Table </w:t>
      </w:r>
      <w:r w:rsidRPr="007D350D">
        <w:rPr>
          <w:color w:val="auto"/>
        </w:rPr>
        <w:fldChar w:fldCharType="begin"/>
      </w:r>
      <w:r w:rsidRPr="007D350D">
        <w:rPr>
          <w:color w:val="auto"/>
        </w:rPr>
        <w:instrText xml:space="preserve"> SEQ Table \* ARABIC </w:instrText>
      </w:r>
      <w:r w:rsidRPr="007D350D">
        <w:rPr>
          <w:color w:val="auto"/>
        </w:rPr>
        <w:fldChar w:fldCharType="separate"/>
      </w:r>
      <w:r w:rsidRPr="007D350D">
        <w:rPr>
          <w:noProof/>
          <w:color w:val="auto"/>
        </w:rPr>
        <w:t>1</w:t>
      </w:r>
      <w:r w:rsidRPr="007D350D">
        <w:rPr>
          <w:color w:val="auto"/>
        </w:rPr>
        <w:fldChar w:fldCharType="end"/>
      </w:r>
      <w:bookmarkEnd w:id="15"/>
      <w:r w:rsidRPr="007D350D">
        <w:rPr>
          <w:color w:val="auto"/>
        </w:rPr>
        <w:t xml:space="preserve"> - Additional Eligible Pupils under £7,400 Threshold (rounded to nearest 10,000 pupils, R-Y11 only)</w:t>
      </w:r>
      <w:bookmarkEnd w:id="16"/>
    </w:p>
    <w:tbl>
      <w:tblPr>
        <w:tblStyle w:val="TableGrid"/>
        <w:tblpPr w:leftFromText="180" w:rightFromText="180" w:vertAnchor="text" w:horzAnchor="margin" w:tblpXSpec="center" w:tblpY="323"/>
        <w:tblW w:w="0" w:type="auto"/>
        <w:tblLook w:val="04A0" w:firstRow="1" w:lastRow="0" w:firstColumn="1" w:lastColumn="0" w:noHBand="0" w:noVBand="1"/>
        <w:tblCaption w:val="Table 1 - Additional Eligible Pupils under £7,400 Threshold (rounded to nearest 10,000 pupils, R-Y11 only)"/>
      </w:tblPr>
      <w:tblGrid>
        <w:gridCol w:w="2027"/>
        <w:gridCol w:w="1551"/>
        <w:gridCol w:w="1551"/>
        <w:gridCol w:w="1551"/>
        <w:gridCol w:w="1454"/>
      </w:tblGrid>
      <w:tr w:rsidR="00895EAE" w:rsidRPr="007D350D" w14:paraId="7A17CFC1" w14:textId="77777777" w:rsidTr="000D3ADC">
        <w:trPr>
          <w:tblHeader/>
        </w:trPr>
        <w:tc>
          <w:tcPr>
            <w:tcW w:w="2027" w:type="dxa"/>
            <w:shd w:val="clear" w:color="auto" w:fill="CFDCE3"/>
          </w:tcPr>
          <w:p w14:paraId="01E2647F" w14:textId="77777777" w:rsidR="00895EAE" w:rsidRPr="007D350D" w:rsidRDefault="00895EAE" w:rsidP="008D0526">
            <w:pPr>
              <w:spacing w:after="120"/>
              <w:jc w:val="both"/>
              <w:rPr>
                <w:rFonts w:cs="Arial"/>
                <w:b/>
                <w:szCs w:val="23"/>
              </w:rPr>
            </w:pPr>
            <w:r w:rsidRPr="007D350D">
              <w:rPr>
                <w:rFonts w:cs="Arial"/>
                <w:b/>
                <w:szCs w:val="23"/>
              </w:rPr>
              <w:t>Date</w:t>
            </w:r>
          </w:p>
        </w:tc>
        <w:tc>
          <w:tcPr>
            <w:tcW w:w="1551" w:type="dxa"/>
            <w:shd w:val="clear" w:color="auto" w:fill="CFDCE3"/>
          </w:tcPr>
          <w:p w14:paraId="65360D70" w14:textId="77777777" w:rsidR="00895EAE" w:rsidRPr="007D350D" w:rsidRDefault="00895EAE" w:rsidP="008D0526">
            <w:pPr>
              <w:spacing w:after="120"/>
              <w:jc w:val="both"/>
              <w:rPr>
                <w:rFonts w:cs="Arial"/>
                <w:szCs w:val="23"/>
              </w:rPr>
            </w:pPr>
            <w:r w:rsidRPr="007D350D">
              <w:rPr>
                <w:rFonts w:cs="Arial"/>
                <w:szCs w:val="23"/>
              </w:rPr>
              <w:t>Jan-19</w:t>
            </w:r>
          </w:p>
        </w:tc>
        <w:tc>
          <w:tcPr>
            <w:tcW w:w="1551" w:type="dxa"/>
            <w:shd w:val="clear" w:color="auto" w:fill="CFDCE3"/>
          </w:tcPr>
          <w:p w14:paraId="65AE6F75" w14:textId="77777777" w:rsidR="00895EAE" w:rsidRPr="007D350D" w:rsidRDefault="00895EAE" w:rsidP="008D0526">
            <w:pPr>
              <w:spacing w:after="120"/>
              <w:jc w:val="both"/>
              <w:rPr>
                <w:rFonts w:cs="Arial"/>
                <w:szCs w:val="23"/>
              </w:rPr>
            </w:pPr>
            <w:r w:rsidRPr="007D350D">
              <w:rPr>
                <w:rFonts w:cs="Arial"/>
                <w:szCs w:val="23"/>
              </w:rPr>
              <w:t>Jan-20</w:t>
            </w:r>
          </w:p>
        </w:tc>
        <w:tc>
          <w:tcPr>
            <w:tcW w:w="1551" w:type="dxa"/>
            <w:shd w:val="clear" w:color="auto" w:fill="CFDCE3"/>
          </w:tcPr>
          <w:p w14:paraId="6FF6D051" w14:textId="77777777" w:rsidR="00895EAE" w:rsidRPr="007D350D" w:rsidRDefault="00895EAE" w:rsidP="008D0526">
            <w:pPr>
              <w:spacing w:after="120"/>
              <w:jc w:val="both"/>
              <w:rPr>
                <w:rFonts w:cs="Arial"/>
                <w:szCs w:val="23"/>
              </w:rPr>
            </w:pPr>
            <w:r w:rsidRPr="007D350D">
              <w:rPr>
                <w:rFonts w:cs="Arial"/>
                <w:szCs w:val="23"/>
              </w:rPr>
              <w:t>Jan-21</w:t>
            </w:r>
          </w:p>
        </w:tc>
        <w:tc>
          <w:tcPr>
            <w:tcW w:w="1454" w:type="dxa"/>
            <w:shd w:val="clear" w:color="auto" w:fill="CFDCE3"/>
          </w:tcPr>
          <w:p w14:paraId="6AA29415" w14:textId="77777777" w:rsidR="00895EAE" w:rsidRPr="007D350D" w:rsidRDefault="00895EAE" w:rsidP="008D0526">
            <w:pPr>
              <w:spacing w:after="120"/>
              <w:jc w:val="both"/>
              <w:rPr>
                <w:rFonts w:cs="Arial"/>
                <w:szCs w:val="23"/>
              </w:rPr>
            </w:pPr>
            <w:r w:rsidRPr="007D350D">
              <w:rPr>
                <w:rFonts w:cs="Arial"/>
                <w:szCs w:val="23"/>
              </w:rPr>
              <w:t>Jan-22</w:t>
            </w:r>
          </w:p>
        </w:tc>
      </w:tr>
      <w:tr w:rsidR="00895EAE" w:rsidRPr="007D350D" w14:paraId="7E27B73C" w14:textId="77777777" w:rsidTr="00342F21">
        <w:tc>
          <w:tcPr>
            <w:tcW w:w="2027" w:type="dxa"/>
          </w:tcPr>
          <w:p w14:paraId="7E8A0F0D" w14:textId="77777777" w:rsidR="00895EAE" w:rsidRPr="007D350D" w:rsidRDefault="00895EAE" w:rsidP="008D0526">
            <w:pPr>
              <w:spacing w:after="120"/>
              <w:jc w:val="both"/>
              <w:rPr>
                <w:rFonts w:cs="Arial"/>
                <w:szCs w:val="23"/>
              </w:rPr>
            </w:pPr>
            <w:r w:rsidRPr="007D350D">
              <w:rPr>
                <w:rFonts w:cs="Arial"/>
                <w:szCs w:val="23"/>
              </w:rPr>
              <w:t>Lower estimate</w:t>
            </w:r>
          </w:p>
        </w:tc>
        <w:tc>
          <w:tcPr>
            <w:tcW w:w="1551" w:type="dxa"/>
          </w:tcPr>
          <w:p w14:paraId="11707450" w14:textId="77777777" w:rsidR="00895EAE" w:rsidRPr="007D350D" w:rsidRDefault="00895EAE" w:rsidP="008D0526">
            <w:pPr>
              <w:spacing w:after="120"/>
              <w:jc w:val="both"/>
              <w:rPr>
                <w:rFonts w:cs="Arial"/>
                <w:szCs w:val="23"/>
              </w:rPr>
            </w:pPr>
            <w:r w:rsidRPr="007D350D">
              <w:t>40,000</w:t>
            </w:r>
          </w:p>
        </w:tc>
        <w:tc>
          <w:tcPr>
            <w:tcW w:w="1551" w:type="dxa"/>
          </w:tcPr>
          <w:p w14:paraId="222AEE04" w14:textId="77777777" w:rsidR="00895EAE" w:rsidRPr="007D350D" w:rsidRDefault="00895EAE" w:rsidP="008D0526">
            <w:pPr>
              <w:spacing w:after="120"/>
              <w:jc w:val="both"/>
              <w:rPr>
                <w:rFonts w:cs="Arial"/>
                <w:szCs w:val="23"/>
              </w:rPr>
            </w:pPr>
            <w:r w:rsidRPr="007D350D">
              <w:t>110,000</w:t>
            </w:r>
          </w:p>
        </w:tc>
        <w:tc>
          <w:tcPr>
            <w:tcW w:w="1551" w:type="dxa"/>
          </w:tcPr>
          <w:p w14:paraId="63F9D7D5" w14:textId="77777777" w:rsidR="00895EAE" w:rsidRPr="007D350D" w:rsidRDefault="00895EAE" w:rsidP="008D0526">
            <w:pPr>
              <w:spacing w:after="120"/>
              <w:jc w:val="both"/>
              <w:rPr>
                <w:rFonts w:cs="Arial"/>
                <w:szCs w:val="23"/>
              </w:rPr>
            </w:pPr>
            <w:r w:rsidRPr="007D350D">
              <w:t>40,000</w:t>
            </w:r>
          </w:p>
        </w:tc>
        <w:tc>
          <w:tcPr>
            <w:tcW w:w="1454" w:type="dxa"/>
          </w:tcPr>
          <w:p w14:paraId="02D9F20E" w14:textId="77777777" w:rsidR="00895EAE" w:rsidRPr="007D350D" w:rsidRDefault="00895EAE" w:rsidP="008D0526">
            <w:pPr>
              <w:spacing w:after="120"/>
              <w:jc w:val="both"/>
              <w:rPr>
                <w:rFonts w:cs="Arial"/>
                <w:szCs w:val="23"/>
              </w:rPr>
            </w:pPr>
            <w:r w:rsidRPr="007D350D">
              <w:t>40,000</w:t>
            </w:r>
          </w:p>
        </w:tc>
      </w:tr>
      <w:tr w:rsidR="00895EAE" w:rsidRPr="007D350D" w14:paraId="2175E3FB" w14:textId="77777777" w:rsidTr="00342F21">
        <w:tc>
          <w:tcPr>
            <w:tcW w:w="2027" w:type="dxa"/>
          </w:tcPr>
          <w:p w14:paraId="54AD62D2" w14:textId="77777777" w:rsidR="00895EAE" w:rsidRPr="007D350D" w:rsidRDefault="00895EAE" w:rsidP="008D0526">
            <w:pPr>
              <w:spacing w:after="120"/>
              <w:jc w:val="both"/>
              <w:rPr>
                <w:rFonts w:cs="Arial"/>
                <w:szCs w:val="23"/>
              </w:rPr>
            </w:pPr>
            <w:r w:rsidRPr="007D350D">
              <w:rPr>
                <w:rFonts w:cs="Arial"/>
                <w:szCs w:val="23"/>
              </w:rPr>
              <w:t>Central estimate</w:t>
            </w:r>
          </w:p>
        </w:tc>
        <w:tc>
          <w:tcPr>
            <w:tcW w:w="1551" w:type="dxa"/>
          </w:tcPr>
          <w:p w14:paraId="1AB503F5" w14:textId="77777777" w:rsidR="00895EAE" w:rsidRPr="007D350D" w:rsidRDefault="00895EAE" w:rsidP="008D0526">
            <w:pPr>
              <w:spacing w:after="120"/>
              <w:jc w:val="both"/>
            </w:pPr>
            <w:r w:rsidRPr="007D350D">
              <w:t>40,000</w:t>
            </w:r>
          </w:p>
        </w:tc>
        <w:tc>
          <w:tcPr>
            <w:tcW w:w="1551" w:type="dxa"/>
          </w:tcPr>
          <w:p w14:paraId="2D659689" w14:textId="77777777" w:rsidR="00895EAE" w:rsidRPr="007D350D" w:rsidRDefault="00895EAE" w:rsidP="008D0526">
            <w:pPr>
              <w:spacing w:after="120"/>
              <w:jc w:val="both"/>
            </w:pPr>
            <w:r w:rsidRPr="007D350D">
              <w:t>120,000</w:t>
            </w:r>
          </w:p>
        </w:tc>
        <w:tc>
          <w:tcPr>
            <w:tcW w:w="1551" w:type="dxa"/>
          </w:tcPr>
          <w:p w14:paraId="2D4CD904" w14:textId="77777777" w:rsidR="00895EAE" w:rsidRPr="007D350D" w:rsidRDefault="00895EAE" w:rsidP="008D0526">
            <w:pPr>
              <w:spacing w:after="120"/>
              <w:jc w:val="both"/>
            </w:pPr>
            <w:r w:rsidRPr="007D350D">
              <w:t>50,000</w:t>
            </w:r>
          </w:p>
        </w:tc>
        <w:tc>
          <w:tcPr>
            <w:tcW w:w="1454" w:type="dxa"/>
          </w:tcPr>
          <w:p w14:paraId="782E40B9" w14:textId="77777777" w:rsidR="00895EAE" w:rsidRPr="007D350D" w:rsidRDefault="00895EAE" w:rsidP="008D0526">
            <w:pPr>
              <w:spacing w:after="120"/>
              <w:jc w:val="both"/>
            </w:pPr>
            <w:r w:rsidRPr="007D350D">
              <w:t>50,000</w:t>
            </w:r>
          </w:p>
        </w:tc>
      </w:tr>
      <w:tr w:rsidR="00895EAE" w:rsidRPr="007D350D" w14:paraId="51C24A3B" w14:textId="77777777" w:rsidTr="00342F21">
        <w:tc>
          <w:tcPr>
            <w:tcW w:w="2027" w:type="dxa"/>
          </w:tcPr>
          <w:p w14:paraId="42B7E7E1" w14:textId="77777777" w:rsidR="00895EAE" w:rsidRPr="007D350D" w:rsidRDefault="00895EAE" w:rsidP="008D0526">
            <w:pPr>
              <w:spacing w:after="120"/>
              <w:jc w:val="both"/>
              <w:rPr>
                <w:rFonts w:cs="Arial"/>
                <w:szCs w:val="23"/>
              </w:rPr>
            </w:pPr>
            <w:r w:rsidRPr="007D350D">
              <w:rPr>
                <w:rFonts w:cs="Arial"/>
                <w:szCs w:val="23"/>
              </w:rPr>
              <w:t>Upper estimate</w:t>
            </w:r>
          </w:p>
        </w:tc>
        <w:tc>
          <w:tcPr>
            <w:tcW w:w="1551" w:type="dxa"/>
          </w:tcPr>
          <w:p w14:paraId="24477875" w14:textId="77777777" w:rsidR="00895EAE" w:rsidRPr="007D350D" w:rsidRDefault="00895EAE" w:rsidP="008D0526">
            <w:pPr>
              <w:spacing w:after="120"/>
              <w:jc w:val="both"/>
            </w:pPr>
            <w:r w:rsidRPr="007D350D">
              <w:t>50,000</w:t>
            </w:r>
          </w:p>
        </w:tc>
        <w:tc>
          <w:tcPr>
            <w:tcW w:w="1551" w:type="dxa"/>
          </w:tcPr>
          <w:p w14:paraId="64E4F28C" w14:textId="77777777" w:rsidR="00895EAE" w:rsidRPr="007D350D" w:rsidRDefault="00895EAE" w:rsidP="008D0526">
            <w:pPr>
              <w:spacing w:after="120"/>
              <w:jc w:val="both"/>
            </w:pPr>
            <w:r w:rsidRPr="007D350D">
              <w:t>130,000</w:t>
            </w:r>
          </w:p>
        </w:tc>
        <w:tc>
          <w:tcPr>
            <w:tcW w:w="1551" w:type="dxa"/>
          </w:tcPr>
          <w:p w14:paraId="3E39E117" w14:textId="77777777" w:rsidR="00895EAE" w:rsidRPr="007D350D" w:rsidRDefault="00895EAE" w:rsidP="008D0526">
            <w:pPr>
              <w:spacing w:after="120"/>
              <w:jc w:val="both"/>
            </w:pPr>
            <w:r w:rsidRPr="007D350D">
              <w:t>200,000</w:t>
            </w:r>
          </w:p>
        </w:tc>
        <w:tc>
          <w:tcPr>
            <w:tcW w:w="1454" w:type="dxa"/>
          </w:tcPr>
          <w:p w14:paraId="4D7D0F57" w14:textId="77777777" w:rsidR="00895EAE" w:rsidRPr="007D350D" w:rsidRDefault="00895EAE" w:rsidP="008D0526">
            <w:pPr>
              <w:spacing w:after="120"/>
              <w:jc w:val="both"/>
            </w:pPr>
            <w:r w:rsidRPr="007D350D">
              <w:t>60,000</w:t>
            </w:r>
          </w:p>
        </w:tc>
      </w:tr>
    </w:tbl>
    <w:p w14:paraId="25A69A2B" w14:textId="77777777" w:rsidR="00895EAE" w:rsidRPr="007D350D" w:rsidRDefault="00895EAE" w:rsidP="00895EAE">
      <w:pPr>
        <w:jc w:val="both"/>
        <w:rPr>
          <w:rFonts w:cs="Arial"/>
          <w:szCs w:val="23"/>
        </w:rPr>
      </w:pPr>
      <w:r w:rsidRPr="007D350D">
        <w:rPr>
          <w:rFonts w:cs="Arial"/>
          <w:szCs w:val="23"/>
        </w:rPr>
        <w:br/>
      </w:r>
    </w:p>
    <w:p w14:paraId="5F3FE1D2" w14:textId="77777777" w:rsidR="00EF4E27" w:rsidRDefault="00EF4E27" w:rsidP="00895EAE">
      <w:pPr>
        <w:jc w:val="both"/>
        <w:rPr>
          <w:rFonts w:cs="Arial"/>
          <w:szCs w:val="23"/>
        </w:rPr>
      </w:pPr>
    </w:p>
    <w:p w14:paraId="5F76988E" w14:textId="77777777" w:rsidR="00EF4E27" w:rsidRDefault="00EF4E27" w:rsidP="00895EAE">
      <w:pPr>
        <w:jc w:val="both"/>
        <w:rPr>
          <w:rFonts w:cs="Arial"/>
          <w:szCs w:val="23"/>
        </w:rPr>
      </w:pPr>
    </w:p>
    <w:p w14:paraId="78219B73" w14:textId="77777777" w:rsidR="00EF4E27" w:rsidRDefault="00EF4E27" w:rsidP="00895EAE">
      <w:pPr>
        <w:jc w:val="both"/>
        <w:rPr>
          <w:rFonts w:cs="Arial"/>
          <w:szCs w:val="23"/>
        </w:rPr>
      </w:pPr>
    </w:p>
    <w:p w14:paraId="03752A35" w14:textId="097F6A67" w:rsidR="00895EAE" w:rsidRPr="007D350D" w:rsidRDefault="00895EAE" w:rsidP="000D3ADC">
      <w:pPr>
        <w:rPr>
          <w:rFonts w:cs="Arial"/>
          <w:szCs w:val="23"/>
        </w:rPr>
      </w:pPr>
      <w:r w:rsidRPr="007D350D">
        <w:rPr>
          <w:rFonts w:cs="Arial"/>
          <w:szCs w:val="23"/>
        </w:rPr>
        <w:t>The peak in eligibility expected in Jan 2020 is due to the interaction between the impact on families’ working hours of the current 16 hour rule for working tax credit and the expected stage of UC roll out. These children will retain their eligibility to FSM throughout the rollout period due to the protections we have put in place.</w:t>
      </w:r>
    </w:p>
    <w:p w14:paraId="40E0EAC7" w14:textId="224F14D1" w:rsidR="00895EAE" w:rsidRPr="007D350D" w:rsidRDefault="00895EAE" w:rsidP="000D3ADC">
      <w:pPr>
        <w:rPr>
          <w:rFonts w:cs="Arial"/>
          <w:szCs w:val="23"/>
        </w:rPr>
      </w:pPr>
      <w:r w:rsidRPr="007D350D">
        <w:rPr>
          <w:rFonts w:cs="Arial"/>
          <w:szCs w:val="23"/>
        </w:rPr>
        <w:t xml:space="preserve">From Table 1, we estimate that by 2022, around 50,000 more children will benefit from a free school meal compared to the previous benefits system. These findings are </w:t>
      </w:r>
      <w:r w:rsidR="002A4118">
        <w:rPr>
          <w:rFonts w:cs="Arial"/>
          <w:szCs w:val="23"/>
        </w:rPr>
        <w:t>consistent with</w:t>
      </w:r>
      <w:bookmarkStart w:id="17" w:name="_GoBack"/>
      <w:bookmarkEnd w:id="17"/>
      <w:r w:rsidRPr="007D350D">
        <w:rPr>
          <w:rFonts w:cs="Arial"/>
          <w:szCs w:val="23"/>
        </w:rPr>
        <w:t xml:space="preserve"> analysis conducted by the independent Institute for Fiscal Studies (the IFS analysis does not take into account the transitional protections we have put in place)</w:t>
      </w:r>
      <w:r w:rsidRPr="007D350D">
        <w:rPr>
          <w:rStyle w:val="FootnoteReference"/>
          <w:rFonts w:cs="Arial"/>
          <w:szCs w:val="23"/>
        </w:rPr>
        <w:footnoteReference w:id="16"/>
      </w:r>
      <w:r w:rsidRPr="007D350D">
        <w:rPr>
          <w:rFonts w:cs="Arial"/>
          <w:szCs w:val="23"/>
        </w:rPr>
        <w:t xml:space="preserve">. </w:t>
      </w:r>
    </w:p>
    <w:p w14:paraId="0F9B9EA0" w14:textId="77777777" w:rsidR="00895EAE" w:rsidRPr="007D350D" w:rsidRDefault="00895EAE" w:rsidP="000D3ADC">
      <w:pPr>
        <w:pStyle w:val="Heading3"/>
      </w:pPr>
      <w:bookmarkStart w:id="18" w:name="_Toc514222572"/>
      <w:r w:rsidRPr="007D350D">
        <w:t>Estimating additional FSM pupils: impact of protections</w:t>
      </w:r>
      <w:bookmarkEnd w:id="18"/>
    </w:p>
    <w:p w14:paraId="60211ACB" w14:textId="77777777" w:rsidR="00895EAE" w:rsidRPr="007D350D" w:rsidRDefault="00895EAE" w:rsidP="000D3ADC">
      <w:pPr>
        <w:rPr>
          <w:rFonts w:cs="Arial"/>
          <w:b/>
          <w:szCs w:val="23"/>
        </w:rPr>
      </w:pPr>
      <w:r w:rsidRPr="007D350D">
        <w:rPr>
          <w:rFonts w:cs="Arial"/>
          <w:szCs w:val="23"/>
        </w:rPr>
        <w:t xml:space="preserve">The estimated effects of the transitional protections are shown in </w:t>
      </w:r>
      <w:r w:rsidRPr="007D350D">
        <w:rPr>
          <w:rFonts w:cs="Arial"/>
          <w:szCs w:val="23"/>
        </w:rPr>
        <w:fldChar w:fldCharType="begin"/>
      </w:r>
      <w:r w:rsidRPr="007D350D">
        <w:rPr>
          <w:rFonts w:cs="Arial"/>
          <w:szCs w:val="23"/>
        </w:rPr>
        <w:instrText xml:space="preserve"> REF _Ref511927794 \h  \* MERGEFORMAT </w:instrText>
      </w:r>
      <w:r w:rsidRPr="007D350D">
        <w:rPr>
          <w:rFonts w:cs="Arial"/>
          <w:szCs w:val="23"/>
        </w:rPr>
      </w:r>
      <w:r w:rsidRPr="007D350D">
        <w:rPr>
          <w:rFonts w:cs="Arial"/>
          <w:szCs w:val="23"/>
        </w:rPr>
        <w:fldChar w:fldCharType="separate"/>
      </w:r>
      <w:r w:rsidRPr="007D350D">
        <w:rPr>
          <w:rFonts w:cs="Arial"/>
          <w:szCs w:val="23"/>
        </w:rPr>
        <w:t>Table 2</w:t>
      </w:r>
      <w:r w:rsidRPr="007D350D">
        <w:rPr>
          <w:rFonts w:cs="Arial"/>
          <w:szCs w:val="23"/>
        </w:rPr>
        <w:fldChar w:fldCharType="end"/>
      </w:r>
      <w:r w:rsidRPr="007D350D">
        <w:rPr>
          <w:rFonts w:cs="Arial"/>
          <w:szCs w:val="23"/>
        </w:rPr>
        <w:t xml:space="preserve">. We estimate that the number of children benefitting from our protection policy will be in the hundreds of thousands in any given year. It is important to note that this figure represents our estimate of the </w:t>
      </w:r>
      <w:r w:rsidRPr="007D350D">
        <w:rPr>
          <w:rFonts w:cs="Arial"/>
          <w:b/>
          <w:szCs w:val="23"/>
        </w:rPr>
        <w:t>total</w:t>
      </w:r>
      <w:r w:rsidRPr="007D350D">
        <w:rPr>
          <w:rFonts w:cs="Arial"/>
          <w:szCs w:val="23"/>
        </w:rPr>
        <w:t>, cumulative number of children receiving transitional protection at a given point in time and not the number of children entering protections each given year; they should be treated with caution and used as an indication of the order of magnitude only.</w:t>
      </w:r>
      <w:r w:rsidRPr="007D350D">
        <w:rPr>
          <w:rFonts w:cs="Arial"/>
          <w:b/>
          <w:szCs w:val="23"/>
        </w:rPr>
        <w:t xml:space="preserve">  </w:t>
      </w:r>
    </w:p>
    <w:p w14:paraId="710DC033" w14:textId="77777777" w:rsidR="00895EAE" w:rsidRPr="007D350D" w:rsidRDefault="00895EAE" w:rsidP="000D3ADC">
      <w:pPr>
        <w:pStyle w:val="Caption"/>
        <w:jc w:val="left"/>
        <w:rPr>
          <w:color w:val="auto"/>
        </w:rPr>
      </w:pPr>
      <w:bookmarkStart w:id="19" w:name="_Ref511927794"/>
      <w:bookmarkStart w:id="20" w:name="_Toc514222578"/>
      <w:r w:rsidRPr="007D350D">
        <w:rPr>
          <w:color w:val="auto"/>
        </w:rPr>
        <w:lastRenderedPageBreak/>
        <w:t xml:space="preserve">Table </w:t>
      </w:r>
      <w:r w:rsidRPr="007D350D">
        <w:rPr>
          <w:i/>
          <w:iCs/>
          <w:color w:val="auto"/>
        </w:rPr>
        <w:fldChar w:fldCharType="begin"/>
      </w:r>
      <w:r w:rsidRPr="007D350D">
        <w:rPr>
          <w:color w:val="auto"/>
        </w:rPr>
        <w:instrText xml:space="preserve"> SEQ Table \* ARABIC </w:instrText>
      </w:r>
      <w:r w:rsidRPr="007D350D">
        <w:rPr>
          <w:i/>
          <w:iCs/>
          <w:color w:val="auto"/>
        </w:rPr>
        <w:fldChar w:fldCharType="separate"/>
      </w:r>
      <w:r w:rsidRPr="007D350D">
        <w:rPr>
          <w:noProof/>
          <w:color w:val="auto"/>
        </w:rPr>
        <w:t>2</w:t>
      </w:r>
      <w:r w:rsidRPr="007D350D">
        <w:rPr>
          <w:i/>
          <w:iCs/>
          <w:color w:val="auto"/>
        </w:rPr>
        <w:fldChar w:fldCharType="end"/>
      </w:r>
      <w:bookmarkEnd w:id="19"/>
      <w:r w:rsidRPr="007D350D">
        <w:rPr>
          <w:color w:val="auto"/>
        </w:rPr>
        <w:t xml:space="preserve"> - Additional Eligible Pupils due to Transitional Protections under a £7,400 Threshold (rounded to nearest 100,000 pupils, R-Y11)</w:t>
      </w:r>
      <w:bookmarkEnd w:id="20"/>
    </w:p>
    <w:tbl>
      <w:tblPr>
        <w:tblStyle w:val="TableGrid"/>
        <w:tblpPr w:leftFromText="180" w:rightFromText="180" w:vertAnchor="text" w:horzAnchor="margin" w:tblpXSpec="center" w:tblpY="323"/>
        <w:tblW w:w="0" w:type="auto"/>
        <w:tblLook w:val="04A0" w:firstRow="1" w:lastRow="0" w:firstColumn="1" w:lastColumn="0" w:noHBand="0" w:noVBand="1"/>
        <w:tblCaption w:val="Table 2 - Additional Eligible Pupils due to Transitional Protections under a £7,400 Threshold (rounded to nearest 100,000 pupils, R-Y11)"/>
      </w:tblPr>
      <w:tblGrid>
        <w:gridCol w:w="2027"/>
        <w:gridCol w:w="1551"/>
        <w:gridCol w:w="1551"/>
        <w:gridCol w:w="1551"/>
        <w:gridCol w:w="1454"/>
      </w:tblGrid>
      <w:tr w:rsidR="00895EAE" w:rsidRPr="007D350D" w14:paraId="1534FF07" w14:textId="77777777" w:rsidTr="000D3ADC">
        <w:trPr>
          <w:tblHeader/>
        </w:trPr>
        <w:tc>
          <w:tcPr>
            <w:tcW w:w="2027" w:type="dxa"/>
            <w:shd w:val="clear" w:color="auto" w:fill="CFDCE3"/>
          </w:tcPr>
          <w:p w14:paraId="3793584B" w14:textId="77777777" w:rsidR="00895EAE" w:rsidRPr="007D350D" w:rsidRDefault="00895EAE" w:rsidP="008D0526">
            <w:pPr>
              <w:spacing w:after="120"/>
              <w:jc w:val="both"/>
              <w:rPr>
                <w:rFonts w:cs="Arial"/>
                <w:b/>
                <w:szCs w:val="23"/>
              </w:rPr>
            </w:pPr>
            <w:r w:rsidRPr="007D350D">
              <w:rPr>
                <w:rFonts w:cs="Arial"/>
                <w:b/>
                <w:szCs w:val="23"/>
              </w:rPr>
              <w:t>Date</w:t>
            </w:r>
          </w:p>
        </w:tc>
        <w:tc>
          <w:tcPr>
            <w:tcW w:w="1551" w:type="dxa"/>
            <w:shd w:val="clear" w:color="auto" w:fill="CFDCE3"/>
          </w:tcPr>
          <w:p w14:paraId="2AAF0126" w14:textId="77777777" w:rsidR="00895EAE" w:rsidRPr="007D350D" w:rsidRDefault="00895EAE" w:rsidP="008D0526">
            <w:pPr>
              <w:spacing w:after="120"/>
              <w:jc w:val="both"/>
              <w:rPr>
                <w:rFonts w:cs="Arial"/>
                <w:szCs w:val="23"/>
              </w:rPr>
            </w:pPr>
            <w:r w:rsidRPr="007D350D">
              <w:rPr>
                <w:rFonts w:cs="Arial"/>
                <w:szCs w:val="23"/>
              </w:rPr>
              <w:t>Jan-19</w:t>
            </w:r>
          </w:p>
        </w:tc>
        <w:tc>
          <w:tcPr>
            <w:tcW w:w="1551" w:type="dxa"/>
            <w:shd w:val="clear" w:color="auto" w:fill="CFDCE3"/>
          </w:tcPr>
          <w:p w14:paraId="16CBE8B9" w14:textId="77777777" w:rsidR="00895EAE" w:rsidRPr="007D350D" w:rsidRDefault="00895EAE" w:rsidP="008D0526">
            <w:pPr>
              <w:spacing w:after="120"/>
              <w:jc w:val="both"/>
              <w:rPr>
                <w:rFonts w:cs="Arial"/>
                <w:szCs w:val="23"/>
              </w:rPr>
            </w:pPr>
            <w:r w:rsidRPr="007D350D">
              <w:rPr>
                <w:rFonts w:cs="Arial"/>
                <w:szCs w:val="23"/>
              </w:rPr>
              <w:t>Jan-20</w:t>
            </w:r>
          </w:p>
        </w:tc>
        <w:tc>
          <w:tcPr>
            <w:tcW w:w="1551" w:type="dxa"/>
            <w:shd w:val="clear" w:color="auto" w:fill="CFDCE3"/>
          </w:tcPr>
          <w:p w14:paraId="27ABB37C" w14:textId="77777777" w:rsidR="00895EAE" w:rsidRPr="007D350D" w:rsidRDefault="00895EAE" w:rsidP="008D0526">
            <w:pPr>
              <w:spacing w:after="120"/>
              <w:jc w:val="both"/>
              <w:rPr>
                <w:rFonts w:cs="Arial"/>
                <w:szCs w:val="23"/>
              </w:rPr>
            </w:pPr>
            <w:r w:rsidRPr="007D350D">
              <w:rPr>
                <w:rFonts w:cs="Arial"/>
                <w:szCs w:val="23"/>
              </w:rPr>
              <w:t>Jan-21</w:t>
            </w:r>
          </w:p>
        </w:tc>
        <w:tc>
          <w:tcPr>
            <w:tcW w:w="1454" w:type="dxa"/>
            <w:shd w:val="clear" w:color="auto" w:fill="CFDCE3"/>
          </w:tcPr>
          <w:p w14:paraId="01117152" w14:textId="77777777" w:rsidR="00895EAE" w:rsidRPr="007D350D" w:rsidRDefault="00895EAE" w:rsidP="008D0526">
            <w:pPr>
              <w:spacing w:after="120"/>
              <w:jc w:val="both"/>
              <w:rPr>
                <w:rFonts w:cs="Arial"/>
                <w:szCs w:val="23"/>
              </w:rPr>
            </w:pPr>
            <w:r w:rsidRPr="007D350D">
              <w:rPr>
                <w:rFonts w:cs="Arial"/>
                <w:szCs w:val="23"/>
              </w:rPr>
              <w:t>Jan-22</w:t>
            </w:r>
          </w:p>
        </w:tc>
      </w:tr>
      <w:tr w:rsidR="00895EAE" w:rsidRPr="007D350D" w14:paraId="36F644CB" w14:textId="77777777" w:rsidTr="002D73D7">
        <w:tc>
          <w:tcPr>
            <w:tcW w:w="2027" w:type="dxa"/>
          </w:tcPr>
          <w:p w14:paraId="2D2877C7" w14:textId="77777777" w:rsidR="00895EAE" w:rsidRPr="007D350D" w:rsidRDefault="00895EAE" w:rsidP="008D0526">
            <w:pPr>
              <w:spacing w:after="120"/>
              <w:jc w:val="both"/>
              <w:rPr>
                <w:rFonts w:cs="Arial"/>
                <w:szCs w:val="23"/>
              </w:rPr>
            </w:pPr>
            <w:r w:rsidRPr="007D350D">
              <w:rPr>
                <w:rFonts w:cs="Arial"/>
                <w:szCs w:val="23"/>
              </w:rPr>
              <w:t>Lower estimate</w:t>
            </w:r>
          </w:p>
        </w:tc>
        <w:tc>
          <w:tcPr>
            <w:tcW w:w="1551" w:type="dxa"/>
          </w:tcPr>
          <w:p w14:paraId="0487D02C" w14:textId="77777777" w:rsidR="00895EAE" w:rsidRPr="007D350D" w:rsidRDefault="00895EAE" w:rsidP="008D0526">
            <w:pPr>
              <w:spacing w:after="120"/>
              <w:jc w:val="both"/>
              <w:rPr>
                <w:rFonts w:cs="Arial"/>
                <w:szCs w:val="23"/>
              </w:rPr>
            </w:pPr>
            <w:r w:rsidRPr="007D350D">
              <w:t>200,000</w:t>
            </w:r>
          </w:p>
        </w:tc>
        <w:tc>
          <w:tcPr>
            <w:tcW w:w="1551" w:type="dxa"/>
          </w:tcPr>
          <w:p w14:paraId="6949CCA9" w14:textId="77777777" w:rsidR="00895EAE" w:rsidRPr="007D350D" w:rsidRDefault="00895EAE" w:rsidP="008D0526">
            <w:pPr>
              <w:spacing w:after="120"/>
              <w:jc w:val="both"/>
              <w:rPr>
                <w:rFonts w:cs="Arial"/>
                <w:szCs w:val="23"/>
              </w:rPr>
            </w:pPr>
            <w:r w:rsidRPr="007D350D">
              <w:t>200,000</w:t>
            </w:r>
          </w:p>
        </w:tc>
        <w:tc>
          <w:tcPr>
            <w:tcW w:w="1551" w:type="dxa"/>
          </w:tcPr>
          <w:p w14:paraId="4F3D5915" w14:textId="77777777" w:rsidR="00895EAE" w:rsidRPr="007D350D" w:rsidRDefault="00895EAE" w:rsidP="008D0526">
            <w:pPr>
              <w:spacing w:after="120"/>
              <w:jc w:val="both"/>
              <w:rPr>
                <w:rFonts w:cs="Arial"/>
                <w:szCs w:val="23"/>
              </w:rPr>
            </w:pPr>
            <w:r w:rsidRPr="007D350D">
              <w:t>200,000</w:t>
            </w:r>
          </w:p>
        </w:tc>
        <w:tc>
          <w:tcPr>
            <w:tcW w:w="1454" w:type="dxa"/>
          </w:tcPr>
          <w:p w14:paraId="7F8F4926" w14:textId="77777777" w:rsidR="00895EAE" w:rsidRPr="007D350D" w:rsidRDefault="00895EAE" w:rsidP="008D0526">
            <w:pPr>
              <w:spacing w:after="120"/>
              <w:jc w:val="both"/>
              <w:rPr>
                <w:rFonts w:cs="Arial"/>
                <w:szCs w:val="23"/>
              </w:rPr>
            </w:pPr>
            <w:r w:rsidRPr="007D350D">
              <w:t>200,000</w:t>
            </w:r>
          </w:p>
        </w:tc>
      </w:tr>
      <w:tr w:rsidR="00895EAE" w:rsidRPr="007D350D" w14:paraId="01EA66C6" w14:textId="77777777" w:rsidTr="002D73D7">
        <w:tc>
          <w:tcPr>
            <w:tcW w:w="2027" w:type="dxa"/>
          </w:tcPr>
          <w:p w14:paraId="20BA01AE" w14:textId="77777777" w:rsidR="00895EAE" w:rsidRPr="007D350D" w:rsidRDefault="00895EAE" w:rsidP="008D0526">
            <w:pPr>
              <w:spacing w:after="120"/>
              <w:jc w:val="both"/>
              <w:rPr>
                <w:rFonts w:cs="Arial"/>
                <w:szCs w:val="23"/>
              </w:rPr>
            </w:pPr>
            <w:r w:rsidRPr="007D350D">
              <w:rPr>
                <w:rFonts w:cs="Arial"/>
                <w:szCs w:val="23"/>
              </w:rPr>
              <w:t>Central estimate</w:t>
            </w:r>
          </w:p>
        </w:tc>
        <w:tc>
          <w:tcPr>
            <w:tcW w:w="1551" w:type="dxa"/>
          </w:tcPr>
          <w:p w14:paraId="1ADF3333" w14:textId="77777777" w:rsidR="00895EAE" w:rsidRPr="007D350D" w:rsidRDefault="00895EAE" w:rsidP="008D0526">
            <w:pPr>
              <w:spacing w:after="120"/>
              <w:jc w:val="both"/>
            </w:pPr>
            <w:r w:rsidRPr="007D350D">
              <w:t>200,000</w:t>
            </w:r>
          </w:p>
        </w:tc>
        <w:tc>
          <w:tcPr>
            <w:tcW w:w="1551" w:type="dxa"/>
          </w:tcPr>
          <w:p w14:paraId="7FBBEDD6" w14:textId="77777777" w:rsidR="00895EAE" w:rsidRPr="007D350D" w:rsidRDefault="00895EAE" w:rsidP="008D0526">
            <w:pPr>
              <w:spacing w:after="120"/>
              <w:jc w:val="both"/>
            </w:pPr>
            <w:r w:rsidRPr="007D350D">
              <w:t>300,000</w:t>
            </w:r>
          </w:p>
        </w:tc>
        <w:tc>
          <w:tcPr>
            <w:tcW w:w="1551" w:type="dxa"/>
          </w:tcPr>
          <w:p w14:paraId="67A0216D" w14:textId="77777777" w:rsidR="00895EAE" w:rsidRPr="007D350D" w:rsidRDefault="00895EAE" w:rsidP="008D0526">
            <w:pPr>
              <w:spacing w:after="120"/>
              <w:jc w:val="both"/>
            </w:pPr>
            <w:r w:rsidRPr="007D350D">
              <w:t>300,000</w:t>
            </w:r>
          </w:p>
        </w:tc>
        <w:tc>
          <w:tcPr>
            <w:tcW w:w="1454" w:type="dxa"/>
          </w:tcPr>
          <w:p w14:paraId="052F4804" w14:textId="77777777" w:rsidR="00895EAE" w:rsidRPr="007D350D" w:rsidRDefault="00895EAE" w:rsidP="008D0526">
            <w:pPr>
              <w:spacing w:after="120"/>
              <w:jc w:val="both"/>
            </w:pPr>
            <w:r w:rsidRPr="007D350D">
              <w:t>300,000</w:t>
            </w:r>
          </w:p>
        </w:tc>
      </w:tr>
      <w:tr w:rsidR="00895EAE" w:rsidRPr="007D350D" w14:paraId="5892248B" w14:textId="77777777" w:rsidTr="002D73D7">
        <w:tc>
          <w:tcPr>
            <w:tcW w:w="2027" w:type="dxa"/>
          </w:tcPr>
          <w:p w14:paraId="18755894" w14:textId="77777777" w:rsidR="00895EAE" w:rsidRPr="007D350D" w:rsidRDefault="00895EAE" w:rsidP="008D0526">
            <w:pPr>
              <w:spacing w:after="120"/>
              <w:jc w:val="both"/>
              <w:rPr>
                <w:rFonts w:cs="Arial"/>
                <w:szCs w:val="23"/>
              </w:rPr>
            </w:pPr>
            <w:r w:rsidRPr="007D350D">
              <w:rPr>
                <w:rFonts w:cs="Arial"/>
                <w:szCs w:val="23"/>
              </w:rPr>
              <w:t>Upper estimate</w:t>
            </w:r>
          </w:p>
        </w:tc>
        <w:tc>
          <w:tcPr>
            <w:tcW w:w="1551" w:type="dxa"/>
          </w:tcPr>
          <w:p w14:paraId="68D3E468" w14:textId="77777777" w:rsidR="00895EAE" w:rsidRPr="007D350D" w:rsidRDefault="00895EAE" w:rsidP="008D0526">
            <w:pPr>
              <w:spacing w:after="120"/>
              <w:jc w:val="both"/>
            </w:pPr>
            <w:r w:rsidRPr="007D350D">
              <w:t>300,000</w:t>
            </w:r>
          </w:p>
        </w:tc>
        <w:tc>
          <w:tcPr>
            <w:tcW w:w="1551" w:type="dxa"/>
          </w:tcPr>
          <w:p w14:paraId="23EE54EE" w14:textId="77777777" w:rsidR="00895EAE" w:rsidRPr="007D350D" w:rsidRDefault="00895EAE" w:rsidP="008D0526">
            <w:pPr>
              <w:spacing w:after="120"/>
              <w:jc w:val="both"/>
            </w:pPr>
            <w:r w:rsidRPr="007D350D">
              <w:t>400,000</w:t>
            </w:r>
          </w:p>
        </w:tc>
        <w:tc>
          <w:tcPr>
            <w:tcW w:w="1551" w:type="dxa"/>
          </w:tcPr>
          <w:p w14:paraId="093CFE90" w14:textId="77777777" w:rsidR="00895EAE" w:rsidRPr="007D350D" w:rsidRDefault="00895EAE" w:rsidP="008D0526">
            <w:pPr>
              <w:spacing w:after="120"/>
              <w:jc w:val="both"/>
            </w:pPr>
            <w:r w:rsidRPr="007D350D">
              <w:t>400,000</w:t>
            </w:r>
          </w:p>
        </w:tc>
        <w:tc>
          <w:tcPr>
            <w:tcW w:w="1454" w:type="dxa"/>
          </w:tcPr>
          <w:p w14:paraId="03FE9476" w14:textId="77777777" w:rsidR="00895EAE" w:rsidRPr="007D350D" w:rsidRDefault="00895EAE" w:rsidP="008D0526">
            <w:pPr>
              <w:spacing w:after="120"/>
              <w:jc w:val="both"/>
            </w:pPr>
            <w:r w:rsidRPr="007D350D">
              <w:t>400,000</w:t>
            </w:r>
          </w:p>
        </w:tc>
      </w:tr>
    </w:tbl>
    <w:p w14:paraId="7990D2BE" w14:textId="77777777" w:rsidR="00895EAE" w:rsidRPr="007D350D" w:rsidRDefault="00895EAE" w:rsidP="00895EAE">
      <w:pPr>
        <w:rPr>
          <w:rFonts w:cs="Arial"/>
          <w:b/>
          <w:szCs w:val="23"/>
        </w:rPr>
      </w:pPr>
    </w:p>
    <w:p w14:paraId="43F1B297" w14:textId="77777777" w:rsidR="00895EAE" w:rsidRPr="007D350D" w:rsidRDefault="00895EAE" w:rsidP="000D3ADC">
      <w:pPr>
        <w:pStyle w:val="Heading3"/>
      </w:pPr>
      <w:bookmarkStart w:id="21" w:name="_Toc514222573"/>
      <w:r w:rsidRPr="007D350D">
        <w:t>Estimating additional FSM pupils: impact of the continuing the temporary eligibility criteria</w:t>
      </w:r>
      <w:bookmarkEnd w:id="21"/>
    </w:p>
    <w:p w14:paraId="2A5D3687" w14:textId="77777777" w:rsidR="00895EAE" w:rsidRPr="007D350D" w:rsidRDefault="00895EAE" w:rsidP="000D3ADC">
      <w:pPr>
        <w:rPr>
          <w:rFonts w:cs="Arial"/>
          <w:szCs w:val="23"/>
        </w:rPr>
      </w:pPr>
      <w:r w:rsidRPr="007D350D">
        <w:rPr>
          <w:rFonts w:cs="Arial"/>
          <w:szCs w:val="23"/>
        </w:rPr>
        <w:fldChar w:fldCharType="begin"/>
      </w:r>
      <w:r w:rsidRPr="007D350D">
        <w:rPr>
          <w:rFonts w:cs="Arial"/>
          <w:szCs w:val="23"/>
        </w:rPr>
        <w:instrText xml:space="preserve"> REF _Ref512351550 \h  \* MERGEFORMAT </w:instrText>
      </w:r>
      <w:r w:rsidRPr="007D350D">
        <w:rPr>
          <w:rFonts w:cs="Arial"/>
          <w:szCs w:val="23"/>
        </w:rPr>
      </w:r>
      <w:r w:rsidRPr="007D350D">
        <w:rPr>
          <w:rFonts w:cs="Arial"/>
          <w:szCs w:val="23"/>
        </w:rPr>
        <w:fldChar w:fldCharType="separate"/>
      </w:r>
      <w:r w:rsidRPr="007D350D">
        <w:rPr>
          <w:rFonts w:cs="Arial"/>
          <w:szCs w:val="23"/>
        </w:rPr>
        <w:t xml:space="preserve">Table </w:t>
      </w:r>
      <w:r w:rsidRPr="007D350D">
        <w:rPr>
          <w:rFonts w:cs="Arial"/>
          <w:noProof/>
          <w:szCs w:val="23"/>
        </w:rPr>
        <w:t>3</w:t>
      </w:r>
      <w:r w:rsidRPr="007D350D">
        <w:rPr>
          <w:rFonts w:cs="Arial"/>
          <w:szCs w:val="23"/>
        </w:rPr>
        <w:fldChar w:fldCharType="end"/>
      </w:r>
      <w:r w:rsidRPr="007D350D">
        <w:rPr>
          <w:rFonts w:cs="Arial"/>
          <w:szCs w:val="23"/>
        </w:rPr>
        <w:t xml:space="preserve"> shows our estimate of the additional number of pupils eligible in each year if the temporary eligibility criteria had been extended. We estimate that if the temporary criteria had been extended throughout the rollout period, around half of all children in state-funded schools would become eligible for free school meals by the end of the rollout period.</w:t>
      </w:r>
    </w:p>
    <w:p w14:paraId="5501B38E" w14:textId="77777777" w:rsidR="00895EAE" w:rsidRPr="007D350D" w:rsidRDefault="00895EAE" w:rsidP="000D3ADC">
      <w:pPr>
        <w:pStyle w:val="Caption"/>
        <w:jc w:val="left"/>
        <w:rPr>
          <w:rFonts w:cs="Arial"/>
          <w:color w:val="auto"/>
          <w:sz w:val="24"/>
          <w:szCs w:val="23"/>
        </w:rPr>
      </w:pPr>
      <w:bookmarkStart w:id="22" w:name="_Ref512351550"/>
      <w:bookmarkStart w:id="23" w:name="_Toc514222579"/>
      <w:r w:rsidRPr="007D350D">
        <w:rPr>
          <w:color w:val="auto"/>
        </w:rPr>
        <w:t xml:space="preserve">Table </w:t>
      </w:r>
      <w:r w:rsidRPr="007D350D">
        <w:rPr>
          <w:color w:val="auto"/>
        </w:rPr>
        <w:fldChar w:fldCharType="begin"/>
      </w:r>
      <w:r w:rsidRPr="007D350D">
        <w:rPr>
          <w:color w:val="auto"/>
        </w:rPr>
        <w:instrText xml:space="preserve"> SEQ Table \* ARABIC </w:instrText>
      </w:r>
      <w:r w:rsidRPr="007D350D">
        <w:rPr>
          <w:color w:val="auto"/>
        </w:rPr>
        <w:fldChar w:fldCharType="separate"/>
      </w:r>
      <w:r w:rsidRPr="007D350D">
        <w:rPr>
          <w:noProof/>
          <w:color w:val="auto"/>
        </w:rPr>
        <w:t>3</w:t>
      </w:r>
      <w:r w:rsidRPr="007D350D">
        <w:rPr>
          <w:color w:val="auto"/>
        </w:rPr>
        <w:fldChar w:fldCharType="end"/>
      </w:r>
      <w:bookmarkEnd w:id="22"/>
      <w:r w:rsidRPr="007D350D">
        <w:rPr>
          <w:color w:val="auto"/>
        </w:rPr>
        <w:t xml:space="preserve"> - Additional Pupils under extension of temporary criteria (rounded to nearest 100,000)</w:t>
      </w:r>
      <w:bookmarkEnd w:id="23"/>
    </w:p>
    <w:tbl>
      <w:tblPr>
        <w:tblStyle w:val="TableGrid"/>
        <w:tblW w:w="0" w:type="auto"/>
        <w:jc w:val="center"/>
        <w:tblLook w:val="04A0" w:firstRow="1" w:lastRow="0" w:firstColumn="1" w:lastColumn="0" w:noHBand="0" w:noVBand="1"/>
        <w:tblCaption w:val="Table 3 - Additional Pupils under extension of temporary criteria (rounded to nearest 100,000)"/>
      </w:tblPr>
      <w:tblGrid>
        <w:gridCol w:w="1886"/>
        <w:gridCol w:w="1551"/>
        <w:gridCol w:w="1551"/>
        <w:gridCol w:w="1553"/>
        <w:gridCol w:w="1454"/>
      </w:tblGrid>
      <w:tr w:rsidR="00895EAE" w:rsidRPr="007D350D" w14:paraId="3579E1C8" w14:textId="77777777" w:rsidTr="000D3ADC">
        <w:trPr>
          <w:tblHeader/>
          <w:jc w:val="center"/>
        </w:trPr>
        <w:tc>
          <w:tcPr>
            <w:tcW w:w="1886" w:type="dxa"/>
            <w:shd w:val="clear" w:color="auto" w:fill="CFDCE3"/>
          </w:tcPr>
          <w:p w14:paraId="3D52389C" w14:textId="77777777" w:rsidR="00895EAE" w:rsidRPr="007D350D" w:rsidRDefault="00895EAE" w:rsidP="008D0526">
            <w:pPr>
              <w:spacing w:after="120"/>
              <w:jc w:val="both"/>
              <w:rPr>
                <w:rFonts w:cs="Arial"/>
                <w:b/>
                <w:szCs w:val="23"/>
              </w:rPr>
            </w:pPr>
            <w:r w:rsidRPr="007D350D">
              <w:rPr>
                <w:rFonts w:cs="Arial"/>
                <w:b/>
                <w:szCs w:val="23"/>
              </w:rPr>
              <w:t>Date</w:t>
            </w:r>
          </w:p>
        </w:tc>
        <w:tc>
          <w:tcPr>
            <w:tcW w:w="1551" w:type="dxa"/>
            <w:shd w:val="clear" w:color="auto" w:fill="CFDCE3"/>
          </w:tcPr>
          <w:p w14:paraId="16529357" w14:textId="77777777" w:rsidR="00895EAE" w:rsidRPr="007D350D" w:rsidRDefault="00895EAE" w:rsidP="008D0526">
            <w:pPr>
              <w:spacing w:after="120"/>
              <w:jc w:val="both"/>
              <w:rPr>
                <w:rFonts w:cs="Arial"/>
                <w:szCs w:val="23"/>
              </w:rPr>
            </w:pPr>
            <w:r w:rsidRPr="007D350D">
              <w:rPr>
                <w:rFonts w:cs="Arial"/>
                <w:szCs w:val="23"/>
              </w:rPr>
              <w:t>Jan-19</w:t>
            </w:r>
          </w:p>
        </w:tc>
        <w:tc>
          <w:tcPr>
            <w:tcW w:w="1551" w:type="dxa"/>
            <w:shd w:val="clear" w:color="auto" w:fill="CFDCE3"/>
          </w:tcPr>
          <w:p w14:paraId="78EB1BD6" w14:textId="77777777" w:rsidR="00895EAE" w:rsidRPr="007D350D" w:rsidRDefault="00895EAE" w:rsidP="008D0526">
            <w:pPr>
              <w:spacing w:after="120"/>
              <w:jc w:val="both"/>
              <w:rPr>
                <w:rFonts w:cs="Arial"/>
                <w:szCs w:val="23"/>
              </w:rPr>
            </w:pPr>
            <w:r w:rsidRPr="007D350D">
              <w:rPr>
                <w:rFonts w:cs="Arial"/>
                <w:szCs w:val="23"/>
              </w:rPr>
              <w:t>Jan-20</w:t>
            </w:r>
          </w:p>
        </w:tc>
        <w:tc>
          <w:tcPr>
            <w:tcW w:w="1553" w:type="dxa"/>
            <w:shd w:val="clear" w:color="auto" w:fill="CFDCE3"/>
          </w:tcPr>
          <w:p w14:paraId="6E97D986" w14:textId="77777777" w:rsidR="00895EAE" w:rsidRPr="007D350D" w:rsidRDefault="00895EAE" w:rsidP="008D0526">
            <w:pPr>
              <w:spacing w:after="120"/>
              <w:jc w:val="both"/>
              <w:rPr>
                <w:rFonts w:cs="Arial"/>
                <w:szCs w:val="23"/>
              </w:rPr>
            </w:pPr>
            <w:r w:rsidRPr="007D350D">
              <w:rPr>
                <w:rFonts w:cs="Arial"/>
                <w:szCs w:val="23"/>
              </w:rPr>
              <w:t>Jan-21</w:t>
            </w:r>
          </w:p>
        </w:tc>
        <w:tc>
          <w:tcPr>
            <w:tcW w:w="1454" w:type="dxa"/>
            <w:shd w:val="clear" w:color="auto" w:fill="CFDCE3"/>
          </w:tcPr>
          <w:p w14:paraId="5280E263" w14:textId="77777777" w:rsidR="00895EAE" w:rsidRPr="007D350D" w:rsidRDefault="00895EAE" w:rsidP="008D0526">
            <w:pPr>
              <w:spacing w:after="120"/>
              <w:jc w:val="both"/>
              <w:rPr>
                <w:rFonts w:cs="Arial"/>
                <w:szCs w:val="23"/>
              </w:rPr>
            </w:pPr>
            <w:r w:rsidRPr="007D350D">
              <w:rPr>
                <w:rFonts w:cs="Arial"/>
                <w:szCs w:val="23"/>
              </w:rPr>
              <w:t>Jan-22</w:t>
            </w:r>
          </w:p>
        </w:tc>
      </w:tr>
      <w:tr w:rsidR="00895EAE" w:rsidRPr="007D350D" w14:paraId="32A54ECB" w14:textId="77777777" w:rsidTr="008D0526">
        <w:trPr>
          <w:jc w:val="center"/>
        </w:trPr>
        <w:tc>
          <w:tcPr>
            <w:tcW w:w="1886" w:type="dxa"/>
          </w:tcPr>
          <w:p w14:paraId="1FD78C20" w14:textId="77777777" w:rsidR="00895EAE" w:rsidRPr="007D350D" w:rsidRDefault="00895EAE" w:rsidP="008D0526">
            <w:pPr>
              <w:spacing w:after="120"/>
              <w:jc w:val="both"/>
              <w:rPr>
                <w:rFonts w:cs="Arial"/>
                <w:szCs w:val="23"/>
              </w:rPr>
            </w:pPr>
            <w:r w:rsidRPr="007D350D">
              <w:rPr>
                <w:rFonts w:cs="Arial"/>
                <w:szCs w:val="23"/>
              </w:rPr>
              <w:t>Lower estimate</w:t>
            </w:r>
          </w:p>
        </w:tc>
        <w:tc>
          <w:tcPr>
            <w:tcW w:w="1551" w:type="dxa"/>
          </w:tcPr>
          <w:p w14:paraId="2B2772A1" w14:textId="77777777" w:rsidR="00895EAE" w:rsidRPr="007D350D" w:rsidRDefault="00895EAE" w:rsidP="008D0526">
            <w:pPr>
              <w:spacing w:after="120"/>
              <w:jc w:val="both"/>
            </w:pPr>
            <w:r w:rsidRPr="007D350D">
              <w:t>300,000</w:t>
            </w:r>
          </w:p>
        </w:tc>
        <w:tc>
          <w:tcPr>
            <w:tcW w:w="1551" w:type="dxa"/>
          </w:tcPr>
          <w:p w14:paraId="23655D83" w14:textId="77777777" w:rsidR="00895EAE" w:rsidRPr="007D350D" w:rsidRDefault="00895EAE" w:rsidP="008D0526">
            <w:pPr>
              <w:spacing w:after="120"/>
              <w:jc w:val="both"/>
            </w:pPr>
            <w:r w:rsidRPr="007D350D">
              <w:t>1,000,000</w:t>
            </w:r>
          </w:p>
        </w:tc>
        <w:tc>
          <w:tcPr>
            <w:tcW w:w="1553" w:type="dxa"/>
          </w:tcPr>
          <w:p w14:paraId="02C127F6" w14:textId="77777777" w:rsidR="00895EAE" w:rsidRPr="007D350D" w:rsidRDefault="00895EAE" w:rsidP="008D0526">
            <w:pPr>
              <w:spacing w:after="120"/>
              <w:jc w:val="both"/>
            </w:pPr>
            <w:r w:rsidRPr="007D350D">
              <w:t>1,800,000</w:t>
            </w:r>
          </w:p>
        </w:tc>
        <w:tc>
          <w:tcPr>
            <w:tcW w:w="1454" w:type="dxa"/>
          </w:tcPr>
          <w:p w14:paraId="4726B2C7" w14:textId="77777777" w:rsidR="00895EAE" w:rsidRPr="007D350D" w:rsidRDefault="00895EAE" w:rsidP="008D0526">
            <w:pPr>
              <w:spacing w:after="120"/>
              <w:jc w:val="both"/>
            </w:pPr>
            <w:r w:rsidRPr="007D350D">
              <w:t>2,300,000</w:t>
            </w:r>
          </w:p>
        </w:tc>
      </w:tr>
      <w:tr w:rsidR="00895EAE" w:rsidRPr="007D350D" w14:paraId="004EBEC9" w14:textId="77777777" w:rsidTr="008D0526">
        <w:trPr>
          <w:jc w:val="center"/>
        </w:trPr>
        <w:tc>
          <w:tcPr>
            <w:tcW w:w="1886" w:type="dxa"/>
          </w:tcPr>
          <w:p w14:paraId="0ACC8BB4" w14:textId="77777777" w:rsidR="00895EAE" w:rsidRPr="007D350D" w:rsidRDefault="00895EAE" w:rsidP="008D0526">
            <w:pPr>
              <w:spacing w:after="120"/>
              <w:jc w:val="both"/>
              <w:rPr>
                <w:rFonts w:cs="Arial"/>
                <w:szCs w:val="23"/>
              </w:rPr>
            </w:pPr>
            <w:r w:rsidRPr="007D350D">
              <w:rPr>
                <w:rFonts w:cs="Arial"/>
                <w:szCs w:val="23"/>
              </w:rPr>
              <w:t>Central estimate</w:t>
            </w:r>
          </w:p>
        </w:tc>
        <w:tc>
          <w:tcPr>
            <w:tcW w:w="1551" w:type="dxa"/>
          </w:tcPr>
          <w:p w14:paraId="64183694" w14:textId="77777777" w:rsidR="00895EAE" w:rsidRPr="007D350D" w:rsidRDefault="00895EAE" w:rsidP="008D0526">
            <w:pPr>
              <w:spacing w:after="120"/>
              <w:jc w:val="both"/>
              <w:rPr>
                <w:rFonts w:cs="Arial"/>
                <w:szCs w:val="23"/>
              </w:rPr>
            </w:pPr>
            <w:r w:rsidRPr="007D350D">
              <w:t>300,000</w:t>
            </w:r>
          </w:p>
        </w:tc>
        <w:tc>
          <w:tcPr>
            <w:tcW w:w="1551" w:type="dxa"/>
          </w:tcPr>
          <w:p w14:paraId="0FF2C2D4" w14:textId="77777777" w:rsidR="00895EAE" w:rsidRPr="007D350D" w:rsidRDefault="00895EAE" w:rsidP="008D0526">
            <w:pPr>
              <w:spacing w:after="120"/>
              <w:jc w:val="both"/>
              <w:rPr>
                <w:rFonts w:cs="Arial"/>
                <w:szCs w:val="23"/>
              </w:rPr>
            </w:pPr>
            <w:r w:rsidRPr="007D350D">
              <w:t>1,100,000</w:t>
            </w:r>
          </w:p>
        </w:tc>
        <w:tc>
          <w:tcPr>
            <w:tcW w:w="1553" w:type="dxa"/>
          </w:tcPr>
          <w:p w14:paraId="6F290A8A" w14:textId="77777777" w:rsidR="00895EAE" w:rsidRPr="007D350D" w:rsidRDefault="00895EAE" w:rsidP="008D0526">
            <w:pPr>
              <w:spacing w:after="120"/>
              <w:jc w:val="both"/>
              <w:rPr>
                <w:rFonts w:cs="Arial"/>
                <w:szCs w:val="23"/>
              </w:rPr>
            </w:pPr>
            <w:r w:rsidRPr="007D350D">
              <w:t>1,800,000</w:t>
            </w:r>
          </w:p>
        </w:tc>
        <w:tc>
          <w:tcPr>
            <w:tcW w:w="1454" w:type="dxa"/>
          </w:tcPr>
          <w:p w14:paraId="148653EF" w14:textId="77777777" w:rsidR="00895EAE" w:rsidRPr="007D350D" w:rsidRDefault="00895EAE" w:rsidP="008D0526">
            <w:pPr>
              <w:spacing w:after="120"/>
              <w:jc w:val="both"/>
              <w:rPr>
                <w:rFonts w:cs="Arial"/>
                <w:szCs w:val="23"/>
              </w:rPr>
            </w:pPr>
            <w:r w:rsidRPr="007D350D">
              <w:t>2,400,000</w:t>
            </w:r>
          </w:p>
        </w:tc>
      </w:tr>
      <w:tr w:rsidR="00895EAE" w:rsidRPr="007D350D" w14:paraId="740381B9" w14:textId="77777777" w:rsidTr="008D0526">
        <w:trPr>
          <w:jc w:val="center"/>
        </w:trPr>
        <w:tc>
          <w:tcPr>
            <w:tcW w:w="1886" w:type="dxa"/>
          </w:tcPr>
          <w:p w14:paraId="67F9D905" w14:textId="77777777" w:rsidR="00895EAE" w:rsidRPr="007D350D" w:rsidRDefault="00895EAE" w:rsidP="008D0526">
            <w:pPr>
              <w:spacing w:after="120"/>
              <w:jc w:val="both"/>
              <w:rPr>
                <w:rFonts w:cs="Arial"/>
                <w:szCs w:val="23"/>
              </w:rPr>
            </w:pPr>
            <w:r w:rsidRPr="007D350D">
              <w:rPr>
                <w:rFonts w:cs="Arial"/>
                <w:szCs w:val="23"/>
              </w:rPr>
              <w:t>Upper estimate</w:t>
            </w:r>
          </w:p>
        </w:tc>
        <w:tc>
          <w:tcPr>
            <w:tcW w:w="1551" w:type="dxa"/>
          </w:tcPr>
          <w:p w14:paraId="770770E7" w14:textId="77777777" w:rsidR="00895EAE" w:rsidRPr="007D350D" w:rsidRDefault="00895EAE" w:rsidP="008D0526">
            <w:pPr>
              <w:spacing w:after="120"/>
              <w:jc w:val="both"/>
            </w:pPr>
            <w:r w:rsidRPr="007D350D">
              <w:t>400,000</w:t>
            </w:r>
          </w:p>
        </w:tc>
        <w:tc>
          <w:tcPr>
            <w:tcW w:w="1551" w:type="dxa"/>
          </w:tcPr>
          <w:p w14:paraId="73833F35" w14:textId="77777777" w:rsidR="00895EAE" w:rsidRPr="007D350D" w:rsidRDefault="00895EAE" w:rsidP="008D0526">
            <w:pPr>
              <w:spacing w:after="120"/>
              <w:jc w:val="both"/>
            </w:pPr>
            <w:r w:rsidRPr="007D350D">
              <w:t>1,100,000</w:t>
            </w:r>
          </w:p>
        </w:tc>
        <w:tc>
          <w:tcPr>
            <w:tcW w:w="1553" w:type="dxa"/>
          </w:tcPr>
          <w:p w14:paraId="0D1CC6AC" w14:textId="77777777" w:rsidR="00895EAE" w:rsidRPr="007D350D" w:rsidRDefault="00895EAE" w:rsidP="008D0526">
            <w:pPr>
              <w:spacing w:after="120"/>
              <w:jc w:val="both"/>
            </w:pPr>
            <w:r w:rsidRPr="007D350D">
              <w:t>2,000,000</w:t>
            </w:r>
          </w:p>
        </w:tc>
        <w:tc>
          <w:tcPr>
            <w:tcW w:w="1454" w:type="dxa"/>
          </w:tcPr>
          <w:p w14:paraId="23FE760C" w14:textId="77777777" w:rsidR="00895EAE" w:rsidRPr="007D350D" w:rsidRDefault="00895EAE" w:rsidP="008D0526">
            <w:pPr>
              <w:spacing w:after="120"/>
              <w:jc w:val="both"/>
            </w:pPr>
            <w:r w:rsidRPr="007D350D">
              <w:t>2,600,000</w:t>
            </w:r>
          </w:p>
        </w:tc>
      </w:tr>
    </w:tbl>
    <w:p w14:paraId="375CCA7D" w14:textId="77777777" w:rsidR="00A01E45" w:rsidRDefault="00A01E45" w:rsidP="00895EAE">
      <w:pPr>
        <w:sectPr w:rsidR="00A01E45" w:rsidSect="00814D1A">
          <w:pgSz w:w="11906" w:h="16838"/>
          <w:pgMar w:top="1134" w:right="1276" w:bottom="1134" w:left="1134" w:header="709" w:footer="709" w:gutter="0"/>
          <w:cols w:space="1134"/>
          <w:titlePg/>
          <w:docGrid w:linePitch="360"/>
        </w:sectPr>
      </w:pPr>
    </w:p>
    <w:p w14:paraId="69165D63" w14:textId="0EE654DD" w:rsidR="00895EAE" w:rsidRDefault="00A01E45" w:rsidP="00A01E45">
      <w:pPr>
        <w:pStyle w:val="Heading1"/>
      </w:pPr>
      <w:bookmarkStart w:id="24" w:name="_Toc514222574"/>
      <w:r>
        <w:lastRenderedPageBreak/>
        <w:t>Summary</w:t>
      </w:r>
      <w:bookmarkEnd w:id="24"/>
    </w:p>
    <w:p w14:paraId="3B36DD3B" w14:textId="77777777" w:rsidR="00A01E45" w:rsidRPr="008E5271" w:rsidRDefault="00A01E45" w:rsidP="000D3ADC">
      <w:pPr>
        <w:rPr>
          <w:rFonts w:cs="Arial"/>
          <w:szCs w:val="23"/>
        </w:rPr>
      </w:pPr>
      <w:r w:rsidRPr="008E5271">
        <w:rPr>
          <w:rFonts w:cs="Arial"/>
          <w:szCs w:val="23"/>
        </w:rPr>
        <w:t xml:space="preserve">Under a net earned income threshold of £7,400, we estimate that by 2022 around 50,000 more children will benefit from a free school meal compared to the previous benefits system. </w:t>
      </w:r>
    </w:p>
    <w:p w14:paraId="42D1F1CE" w14:textId="77777777" w:rsidR="00A01E45" w:rsidRPr="008E5271" w:rsidRDefault="00A01E45" w:rsidP="000D3ADC">
      <w:pPr>
        <w:rPr>
          <w:rFonts w:cs="Arial"/>
          <w:szCs w:val="23"/>
        </w:rPr>
      </w:pPr>
      <w:r w:rsidRPr="008E5271">
        <w:rPr>
          <w:rFonts w:cs="Arial"/>
          <w:szCs w:val="23"/>
        </w:rPr>
        <w:t xml:space="preserve">This figure represents the difference between those that </w:t>
      </w:r>
      <w:r w:rsidRPr="008E5271">
        <w:rPr>
          <w:rFonts w:cs="Arial"/>
          <w:i/>
          <w:szCs w:val="23"/>
        </w:rPr>
        <w:t>gain</w:t>
      </w:r>
      <w:r w:rsidRPr="008E5271">
        <w:rPr>
          <w:rFonts w:cs="Arial"/>
          <w:szCs w:val="23"/>
        </w:rPr>
        <w:t xml:space="preserve"> eligibility under UC compared to those that would have been eligible under the old system but will not now be eligible under UC. It also takes account of the fact that not everybody who is eligible will claim their meal.</w:t>
      </w:r>
    </w:p>
    <w:p w14:paraId="0B364FB8" w14:textId="77777777" w:rsidR="00A01E45" w:rsidRPr="008E5271" w:rsidRDefault="00A01E45" w:rsidP="000D3ADC">
      <w:pPr>
        <w:rPr>
          <w:rFonts w:cs="Arial"/>
          <w:szCs w:val="23"/>
        </w:rPr>
      </w:pPr>
      <w:r w:rsidRPr="008E5271">
        <w:rPr>
          <w:rFonts w:cs="Arial"/>
          <w:szCs w:val="23"/>
        </w:rPr>
        <w:t xml:space="preserve">This 50,000 figure does </w:t>
      </w:r>
      <w:r w:rsidRPr="008E5271">
        <w:rPr>
          <w:rFonts w:cs="Arial"/>
          <w:b/>
          <w:szCs w:val="23"/>
        </w:rPr>
        <w:t>not</w:t>
      </w:r>
      <w:r w:rsidRPr="008E5271">
        <w:rPr>
          <w:rFonts w:cs="Arial"/>
          <w:szCs w:val="23"/>
        </w:rPr>
        <w:t xml:space="preserve"> include children who retain free school meals as a result of the transitional protections we have introduced during the rollout of Universal Credit. Under our new regulations, no child in England should lose their free school meal during the transition to Universal Credit</w:t>
      </w:r>
      <w:r w:rsidRPr="008E5271">
        <w:rPr>
          <w:rFonts w:cs="Arial"/>
          <w:szCs w:val="23"/>
          <w:vertAlign w:val="superscript"/>
        </w:rPr>
        <w:t>8</w:t>
      </w:r>
      <w:r w:rsidRPr="008E5271">
        <w:rPr>
          <w:rFonts w:cs="Arial"/>
          <w:szCs w:val="23"/>
        </w:rPr>
        <w:t xml:space="preserve">. In addition, any protected pupils who still receive free school meals once the transition is complete should continue to receive protection until the end of their current phase of education (e.g. primary, secondary school). We estimate that hundreds of thousands of children will continue to benefit during the rollout period because of our protections. </w:t>
      </w:r>
    </w:p>
    <w:p w14:paraId="3D9CFE31" w14:textId="77777777" w:rsidR="00A01E45" w:rsidRPr="008E5271" w:rsidRDefault="00A01E45" w:rsidP="000D3ADC">
      <w:pPr>
        <w:rPr>
          <w:rFonts w:cs="Arial"/>
          <w:szCs w:val="23"/>
        </w:rPr>
      </w:pPr>
      <w:r w:rsidRPr="008E5271">
        <w:rPr>
          <w:rFonts w:cs="Arial"/>
          <w:szCs w:val="23"/>
        </w:rPr>
        <w:t xml:space="preserve">Continuing the temporary eligibility criteria for FSM would lead to around half of all children in state-funded schools becoming eligible for free school meals. </w:t>
      </w:r>
    </w:p>
    <w:p w14:paraId="4AD0680E" w14:textId="77777777" w:rsidR="00A01E45" w:rsidRPr="008E5271" w:rsidRDefault="00A01E45" w:rsidP="000D3ADC">
      <w:pPr>
        <w:rPr>
          <w:rFonts w:cs="Arial"/>
          <w:szCs w:val="23"/>
        </w:rPr>
      </w:pPr>
      <w:r w:rsidRPr="008E5271">
        <w:rPr>
          <w:rFonts w:cs="Arial"/>
          <w:szCs w:val="23"/>
        </w:rPr>
        <w:t>DfE will continue to publish statistics on free school meals as part of its annual publication ‘</w:t>
      </w:r>
      <w:r w:rsidRPr="008E5271">
        <w:rPr>
          <w:rFonts w:cs="Arial"/>
          <w:i/>
          <w:szCs w:val="23"/>
        </w:rPr>
        <w:t>Schools, pupils and their characteristics’</w:t>
      </w:r>
      <w:r w:rsidRPr="008E5271">
        <w:rPr>
          <w:rFonts w:cs="Arial"/>
          <w:szCs w:val="23"/>
        </w:rPr>
        <w:t>.</w:t>
      </w:r>
    </w:p>
    <w:p w14:paraId="355255FD" w14:textId="77777777" w:rsidR="00A01E45" w:rsidRPr="00A01E45" w:rsidRDefault="00A01E45" w:rsidP="000D3ADC"/>
    <w:p w14:paraId="4AF655B5" w14:textId="77777777" w:rsidR="00AF28C7" w:rsidRDefault="00AF28C7" w:rsidP="00AF28C7">
      <w:pPr>
        <w:pStyle w:val="Logos"/>
        <w:tabs>
          <w:tab w:val="right" w:pos="9498"/>
        </w:tabs>
      </w:pPr>
      <w: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63B000B9" w:rsidR="009F41B6" w:rsidRDefault="009F41B6" w:rsidP="009F41B6">
      <w:pPr>
        <w:pStyle w:val="CopyrightSpacing"/>
      </w:pPr>
      <w:r>
        <w:t xml:space="preserve">© Crown copyright </w:t>
      </w:r>
      <w:r w:rsidR="00BF2427">
        <w:t>2018</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14"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15"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6"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17" w:tooltip="Link to GOV.UK list of publications" w:history="1">
        <w:r w:rsidR="006E22B1" w:rsidRPr="00D42B65">
          <w:rPr>
            <w:rStyle w:val="Hyperlink"/>
          </w:rPr>
          <w:t>www.gov.uk/government/publications</w:t>
        </w:r>
      </w:hyperlink>
      <w:r>
        <w:t xml:space="preserve"> </w:t>
      </w:r>
    </w:p>
    <w:p w14:paraId="5CBD7D89" w14:textId="40E54DF2" w:rsidR="005A4AE2" w:rsidRPr="007D29D3" w:rsidRDefault="005A4AE2" w:rsidP="007D29D3">
      <w:pPr>
        <w:pStyle w:val="Reference"/>
      </w:pPr>
      <w:r w:rsidRPr="007D29D3">
        <w:t xml:space="preserve">Reference: </w:t>
      </w:r>
      <w:r w:rsidRPr="007D29D3">
        <w:tab/>
      </w:r>
      <w:r w:rsidR="000D3ADC" w:rsidRPr="000D3ADC">
        <w:t>DFE-00153-2018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19"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1"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B684" w14:textId="77777777" w:rsidR="00FA1E17" w:rsidRDefault="00FA1E17" w:rsidP="009F41B6">
      <w:r>
        <w:separator/>
      </w:r>
    </w:p>
    <w:p w14:paraId="383DD8D2" w14:textId="77777777" w:rsidR="00FA1E17" w:rsidRDefault="00FA1E17" w:rsidP="009F41B6"/>
  </w:endnote>
  <w:endnote w:type="continuationSeparator" w:id="0">
    <w:p w14:paraId="043C29BF" w14:textId="77777777" w:rsidR="00FA1E17" w:rsidRDefault="00FA1E17" w:rsidP="009F41B6">
      <w:r>
        <w:continuationSeparator/>
      </w:r>
    </w:p>
    <w:p w14:paraId="131A364B" w14:textId="77777777" w:rsidR="00FA1E17" w:rsidRDefault="00FA1E1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31E33806" w:rsidR="00D21B4A" w:rsidRDefault="00D21B4A" w:rsidP="005A65F5">
        <w:pPr>
          <w:pStyle w:val="Footer"/>
          <w:ind w:firstLine="4513"/>
        </w:pPr>
        <w:r>
          <w:fldChar w:fldCharType="begin"/>
        </w:r>
        <w:r>
          <w:instrText xml:space="preserve"> PAGE   \* MERGEFORMAT </w:instrText>
        </w:r>
        <w:r>
          <w:fldChar w:fldCharType="separate"/>
        </w:r>
        <w:r w:rsidR="002A4118">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3AA4" w14:textId="6AF9C6EC" w:rsidR="00FA1E17" w:rsidRDefault="00FA1E17" w:rsidP="009F41B6">
      <w:r>
        <w:separator/>
      </w:r>
    </w:p>
  </w:footnote>
  <w:footnote w:type="continuationSeparator" w:id="0">
    <w:p w14:paraId="60A68224" w14:textId="77777777" w:rsidR="00FA1E17" w:rsidRDefault="00FA1E17" w:rsidP="009F41B6">
      <w:r>
        <w:continuationSeparator/>
      </w:r>
    </w:p>
    <w:p w14:paraId="6EDB87E6" w14:textId="77777777" w:rsidR="00FA1E17" w:rsidRDefault="00FA1E17" w:rsidP="009F41B6"/>
  </w:footnote>
  <w:footnote w:id="1">
    <w:p w14:paraId="78AB21DE" w14:textId="77777777" w:rsidR="00CD675D" w:rsidRDefault="00CD675D" w:rsidP="00CD675D">
      <w:pPr>
        <w:pStyle w:val="FootnoteText"/>
      </w:pPr>
      <w:r w:rsidRPr="000D3ADC">
        <w:rPr>
          <w:rStyle w:val="FootnoteReference"/>
          <w:sz w:val="22"/>
        </w:rPr>
        <w:footnoteRef/>
      </w:r>
      <w:r w:rsidRPr="000D3ADC">
        <w:rPr>
          <w:sz w:val="22"/>
        </w:rPr>
        <w:t xml:space="preserve"> </w:t>
      </w:r>
      <w:r w:rsidRPr="000D3ADC">
        <w:rPr>
          <w:sz w:val="18"/>
          <w:szCs w:val="16"/>
        </w:rPr>
        <w:t xml:space="preserve">Details of the rollout schedule can be found here: </w:t>
      </w:r>
      <w:hyperlink r:id="rId1" w:history="1">
        <w:r w:rsidRPr="000D3ADC">
          <w:rPr>
            <w:rStyle w:val="Hyperlink"/>
            <w:sz w:val="18"/>
            <w:szCs w:val="16"/>
          </w:rPr>
          <w:t>https://www.gov.uk/government/publications/universal-credit-transition-to-full-service</w:t>
        </w:r>
      </w:hyperlink>
    </w:p>
  </w:footnote>
  <w:footnote w:id="2">
    <w:p w14:paraId="57F34A6D" w14:textId="77777777" w:rsidR="005505EB" w:rsidRPr="000D3ADC" w:rsidRDefault="005505EB" w:rsidP="005505EB">
      <w:pPr>
        <w:pStyle w:val="FootnoteText"/>
        <w:rPr>
          <w:sz w:val="22"/>
        </w:rPr>
      </w:pPr>
      <w:r w:rsidRPr="000D3ADC">
        <w:rPr>
          <w:rStyle w:val="FootnoteReference"/>
          <w:sz w:val="22"/>
        </w:rPr>
        <w:footnoteRef/>
      </w:r>
      <w:r w:rsidRPr="000D3ADC">
        <w:rPr>
          <w:sz w:val="22"/>
        </w:rPr>
        <w:t xml:space="preserve"> </w:t>
      </w:r>
      <w:hyperlink r:id="rId2" w:history="1">
        <w:r w:rsidRPr="000D3ADC">
          <w:rPr>
            <w:rStyle w:val="Hyperlink"/>
            <w:sz w:val="18"/>
            <w:szCs w:val="16"/>
          </w:rPr>
          <w:t>https://www.gov.uk/apply-free-school-meals</w:t>
        </w:r>
      </w:hyperlink>
    </w:p>
  </w:footnote>
  <w:footnote w:id="3">
    <w:p w14:paraId="2B7B0DD7" w14:textId="77777777" w:rsidR="005505EB" w:rsidRPr="000D3ADC" w:rsidRDefault="005505EB" w:rsidP="005505EB">
      <w:pPr>
        <w:pStyle w:val="FootnoteText"/>
        <w:rPr>
          <w:sz w:val="22"/>
        </w:rPr>
      </w:pPr>
      <w:r w:rsidRPr="000D3ADC">
        <w:rPr>
          <w:rStyle w:val="FootnoteReference"/>
          <w:sz w:val="22"/>
        </w:rPr>
        <w:footnoteRef/>
      </w:r>
      <w:r w:rsidRPr="000D3ADC">
        <w:rPr>
          <w:sz w:val="22"/>
        </w:rPr>
        <w:t xml:space="preserve"> </w:t>
      </w:r>
      <w:hyperlink r:id="rId3" w:anchor="130417w0004.htm_spnew23" w:history="1">
        <w:r w:rsidRPr="000D3ADC">
          <w:rPr>
            <w:rStyle w:val="Hyperlink"/>
            <w:sz w:val="18"/>
            <w:szCs w:val="16"/>
          </w:rPr>
          <w:t>https://publications.parliament.uk/pa/cm201213/cmhansrd/cm130417/text/130417w0004.htm#130417w0004.htm_spnew23</w:t>
        </w:r>
      </w:hyperlink>
    </w:p>
  </w:footnote>
  <w:footnote w:id="4">
    <w:p w14:paraId="2ACECD92" w14:textId="77777777" w:rsidR="005505EB" w:rsidRPr="000D3ADC" w:rsidRDefault="005505EB" w:rsidP="005505EB">
      <w:pPr>
        <w:pStyle w:val="FootnoteText"/>
        <w:rPr>
          <w:sz w:val="22"/>
        </w:rPr>
      </w:pPr>
      <w:r w:rsidRPr="000D3ADC">
        <w:rPr>
          <w:rStyle w:val="FootnoteReference"/>
          <w:sz w:val="22"/>
        </w:rPr>
        <w:footnoteRef/>
      </w:r>
      <w:r w:rsidRPr="000D3ADC">
        <w:rPr>
          <w:sz w:val="22"/>
        </w:rPr>
        <w:t xml:space="preserve"> </w:t>
      </w:r>
      <w:hyperlink r:id="rId4" w:history="1">
        <w:r w:rsidRPr="000D3ADC">
          <w:rPr>
            <w:rStyle w:val="Hyperlink"/>
            <w:sz w:val="18"/>
            <w:szCs w:val="16"/>
          </w:rPr>
          <w:t>https://www.gov.uk/government/statistics/schools-pupils-and-their-characteristics-january-2017</w:t>
        </w:r>
      </w:hyperlink>
      <w:r w:rsidRPr="000D3ADC">
        <w:rPr>
          <w:sz w:val="18"/>
          <w:szCs w:val="16"/>
        </w:rPr>
        <w:t xml:space="preserve"> </w:t>
      </w:r>
    </w:p>
  </w:footnote>
  <w:footnote w:id="5">
    <w:p w14:paraId="5AB1130F" w14:textId="77777777" w:rsidR="005505EB" w:rsidRPr="000D3ADC" w:rsidRDefault="005505EB" w:rsidP="005505EB">
      <w:pPr>
        <w:pStyle w:val="FootnoteText"/>
        <w:rPr>
          <w:sz w:val="22"/>
        </w:rPr>
      </w:pPr>
      <w:r w:rsidRPr="000D3ADC">
        <w:rPr>
          <w:rStyle w:val="FootnoteReference"/>
          <w:sz w:val="22"/>
        </w:rPr>
        <w:footnoteRef/>
      </w:r>
      <w:r w:rsidRPr="000D3ADC">
        <w:rPr>
          <w:sz w:val="22"/>
        </w:rPr>
        <w:t xml:space="preserve"> </w:t>
      </w:r>
      <w:hyperlink r:id="rId5" w:history="1">
        <w:r w:rsidRPr="000D3ADC">
          <w:rPr>
            <w:rStyle w:val="Hyperlink"/>
            <w:sz w:val="18"/>
            <w:szCs w:val="16"/>
          </w:rPr>
          <w:t>https://www.gov.uk/government/consultations/eligibility-for-free-school-meals-and-the-early-years-pupil-premium-under-universal-credit</w:t>
        </w:r>
      </w:hyperlink>
    </w:p>
  </w:footnote>
  <w:footnote w:id="6">
    <w:p w14:paraId="5635090E" w14:textId="77777777" w:rsidR="005505EB" w:rsidRPr="000D3ADC" w:rsidRDefault="005505EB" w:rsidP="005505EB">
      <w:pPr>
        <w:pStyle w:val="FootnoteText"/>
        <w:rPr>
          <w:sz w:val="22"/>
        </w:rPr>
      </w:pPr>
      <w:r w:rsidRPr="000D3ADC">
        <w:rPr>
          <w:rStyle w:val="FootnoteReference"/>
          <w:sz w:val="22"/>
        </w:rPr>
        <w:footnoteRef/>
      </w:r>
      <w:r w:rsidRPr="000D3ADC">
        <w:rPr>
          <w:sz w:val="22"/>
        </w:rPr>
        <w:t xml:space="preserve"> </w:t>
      </w:r>
      <w:hyperlink r:id="rId6" w:history="1">
        <w:r w:rsidRPr="000D3ADC">
          <w:rPr>
            <w:rStyle w:val="Hyperlink"/>
            <w:sz w:val="18"/>
            <w:szCs w:val="16"/>
          </w:rPr>
          <w:t>https://consult.education.gov.uk/school-leadership-analysis-unit/analysing-family-circumstances-and-education-1/</w:t>
        </w:r>
      </w:hyperlink>
      <w:r w:rsidRPr="000D3ADC">
        <w:rPr>
          <w:sz w:val="22"/>
        </w:rPr>
        <w:t xml:space="preserve"> </w:t>
      </w:r>
    </w:p>
  </w:footnote>
  <w:footnote w:id="7">
    <w:p w14:paraId="4BA9396C" w14:textId="77777777" w:rsidR="005505EB" w:rsidRDefault="005505EB" w:rsidP="005505EB">
      <w:pPr>
        <w:pStyle w:val="FootnoteText"/>
      </w:pPr>
      <w:r w:rsidRPr="000D3ADC">
        <w:rPr>
          <w:rStyle w:val="FootnoteReference"/>
          <w:sz w:val="22"/>
        </w:rPr>
        <w:footnoteRef/>
      </w:r>
      <w:r w:rsidRPr="000D3ADC">
        <w:rPr>
          <w:sz w:val="22"/>
        </w:rPr>
        <w:t xml:space="preserve"> </w:t>
      </w:r>
      <w:hyperlink r:id="rId7" w:history="1">
        <w:r w:rsidRPr="000D3ADC">
          <w:rPr>
            <w:rStyle w:val="Hyperlink"/>
            <w:sz w:val="18"/>
            <w:szCs w:val="16"/>
          </w:rPr>
          <w:t>http://www.legislation.gov.uk/ssi/2017/182/contents/made</w:t>
        </w:r>
      </w:hyperlink>
    </w:p>
  </w:footnote>
  <w:footnote w:id="8">
    <w:p w14:paraId="360CCE2F" w14:textId="77777777" w:rsidR="005505EB" w:rsidRPr="000D3ADC" w:rsidRDefault="005505EB" w:rsidP="005505EB">
      <w:pPr>
        <w:pStyle w:val="FootnoteText"/>
        <w:rPr>
          <w:sz w:val="18"/>
          <w:szCs w:val="16"/>
        </w:rPr>
      </w:pPr>
      <w:r w:rsidRPr="000D3ADC">
        <w:rPr>
          <w:rStyle w:val="FootnoteReference"/>
          <w:sz w:val="18"/>
          <w:szCs w:val="16"/>
        </w:rPr>
        <w:footnoteRef/>
      </w:r>
      <w:r w:rsidRPr="000D3ADC">
        <w:rPr>
          <w:sz w:val="18"/>
          <w:szCs w:val="16"/>
        </w:rPr>
        <w:t xml:space="preserve"> </w:t>
      </w:r>
      <w:hyperlink r:id="rId8" w:history="1">
        <w:r w:rsidRPr="000D3ADC">
          <w:rPr>
            <w:rStyle w:val="Hyperlink"/>
            <w:sz w:val="18"/>
            <w:szCs w:val="16"/>
          </w:rPr>
          <w:t>http://www.legislation.gov.uk/uksi/2018/148/made</w:t>
        </w:r>
      </w:hyperlink>
      <w:r w:rsidRPr="000D3ADC">
        <w:rPr>
          <w:sz w:val="18"/>
          <w:szCs w:val="16"/>
        </w:rPr>
        <w:t xml:space="preserve"> </w:t>
      </w:r>
    </w:p>
  </w:footnote>
  <w:footnote w:id="9">
    <w:p w14:paraId="244EB4C5" w14:textId="77777777" w:rsidR="005505EB" w:rsidRPr="005C61D0" w:rsidRDefault="005505EB" w:rsidP="005C61D0">
      <w:pPr>
        <w:rPr>
          <w:rFonts w:ascii="Calibri" w:hAnsi="Calibri" w:cs="Calibri"/>
          <w:color w:val="0563C1"/>
          <w:sz w:val="16"/>
          <w:szCs w:val="16"/>
          <w:u w:val="single"/>
        </w:rPr>
      </w:pPr>
      <w:r w:rsidRPr="000D3ADC">
        <w:rPr>
          <w:rStyle w:val="FootnoteReference"/>
          <w:sz w:val="22"/>
          <w:szCs w:val="20"/>
        </w:rPr>
        <w:footnoteRef/>
      </w:r>
      <w:r w:rsidRPr="000D3ADC">
        <w:rPr>
          <w:sz w:val="18"/>
          <w:szCs w:val="16"/>
        </w:rPr>
        <w:t xml:space="preserve"> </w:t>
      </w:r>
      <w:hyperlink r:id="rId9" w:history="1">
        <w:r w:rsidRPr="000D3ADC">
          <w:rPr>
            <w:rStyle w:val="Hyperlink"/>
            <w:sz w:val="18"/>
            <w:szCs w:val="16"/>
          </w:rPr>
          <w:t>https://publications.parliament.uk/pa/ld201719/ldselect/ldsecleg/82/8206.htm</w:t>
        </w:r>
      </w:hyperlink>
      <w:r w:rsidRPr="000D3ADC">
        <w:rPr>
          <w:sz w:val="18"/>
          <w:szCs w:val="16"/>
        </w:rPr>
        <w:t xml:space="preserve"> </w:t>
      </w:r>
    </w:p>
  </w:footnote>
  <w:footnote w:id="10">
    <w:p w14:paraId="6E3E881C" w14:textId="259AFCBD" w:rsidR="007461ED" w:rsidRPr="000D3ADC" w:rsidRDefault="007461ED" w:rsidP="007461ED">
      <w:pPr>
        <w:pStyle w:val="FootnoteText"/>
        <w:rPr>
          <w:szCs w:val="16"/>
        </w:rPr>
      </w:pPr>
      <w:r w:rsidRPr="000D3ADC">
        <w:rPr>
          <w:rStyle w:val="FootnoteReference"/>
          <w:szCs w:val="16"/>
        </w:rPr>
        <w:footnoteRef/>
      </w:r>
      <w:r w:rsidRPr="000D3ADC">
        <w:rPr>
          <w:szCs w:val="16"/>
        </w:rPr>
        <w:t xml:space="preserve"> </w:t>
      </w:r>
      <w:hyperlink r:id="rId10" w:history="1">
        <w:r w:rsidR="000D3ADC" w:rsidRPr="007E37C1">
          <w:rPr>
            <w:rStyle w:val="Hyperlink"/>
            <w:sz w:val="18"/>
            <w:szCs w:val="16"/>
          </w:rPr>
          <w:t>https://www.gov.uk/government/uploads/system/uploads/attachment_data/file/676605/WelfareTrends2018cm9562.pdf</w:t>
        </w:r>
      </w:hyperlink>
      <w:r w:rsidRPr="007E37C1">
        <w:rPr>
          <w:sz w:val="18"/>
          <w:szCs w:val="16"/>
        </w:rPr>
        <w:t xml:space="preserve">  </w:t>
      </w:r>
    </w:p>
  </w:footnote>
  <w:footnote w:id="11">
    <w:p w14:paraId="6FF893B4" w14:textId="77777777" w:rsidR="007461ED" w:rsidRPr="007E37C1" w:rsidRDefault="007461ED" w:rsidP="007461ED">
      <w:pPr>
        <w:pStyle w:val="FootnoteText"/>
        <w:rPr>
          <w:sz w:val="18"/>
          <w:szCs w:val="16"/>
        </w:rPr>
      </w:pPr>
      <w:r w:rsidRPr="000D3ADC">
        <w:rPr>
          <w:rStyle w:val="FootnoteReference"/>
          <w:szCs w:val="16"/>
        </w:rPr>
        <w:footnoteRef/>
      </w:r>
      <w:r w:rsidRPr="000D3ADC">
        <w:rPr>
          <w:szCs w:val="16"/>
        </w:rPr>
        <w:t xml:space="preserve"> </w:t>
      </w:r>
      <w:hyperlink r:id="rId11" w:history="1">
        <w:r w:rsidRPr="007E37C1">
          <w:rPr>
            <w:rStyle w:val="Hyperlink"/>
            <w:sz w:val="18"/>
            <w:szCs w:val="16"/>
          </w:rPr>
          <w:t>http://obr.uk/faq/where-can-i-find-your-latest-forecasts/</w:t>
        </w:r>
      </w:hyperlink>
      <w:r w:rsidRPr="007E37C1">
        <w:rPr>
          <w:sz w:val="18"/>
          <w:szCs w:val="16"/>
        </w:rPr>
        <w:t xml:space="preserve"> </w:t>
      </w:r>
    </w:p>
    <w:p w14:paraId="2E475235" w14:textId="77777777" w:rsidR="007461ED" w:rsidRDefault="007461ED" w:rsidP="007461ED">
      <w:pPr>
        <w:pStyle w:val="FootnoteText"/>
      </w:pPr>
    </w:p>
  </w:footnote>
  <w:footnote w:id="12">
    <w:p w14:paraId="012991CD" w14:textId="77777777" w:rsidR="007461ED" w:rsidRDefault="007461ED" w:rsidP="007461ED">
      <w:pPr>
        <w:spacing w:after="0"/>
        <w:jc w:val="both"/>
      </w:pPr>
      <w:r>
        <w:rPr>
          <w:rStyle w:val="FootnoteReference"/>
        </w:rPr>
        <w:footnoteRef/>
      </w:r>
      <w:r>
        <w:t xml:space="preserve"> </w:t>
      </w:r>
      <w:hyperlink r:id="rId12" w:history="1">
        <w:r w:rsidRPr="00087935">
          <w:rPr>
            <w:rStyle w:val="Hyperlink"/>
            <w:sz w:val="16"/>
            <w:szCs w:val="16"/>
          </w:rPr>
          <w:t>https://www.gov.uk/government/uploads/system/uploads/attachment_data/file/266339/DFE-RR319.pdf</w:t>
        </w:r>
      </w:hyperlink>
      <w:r>
        <w:rPr>
          <w:sz w:val="23"/>
          <w:szCs w:val="23"/>
        </w:rPr>
        <w:t xml:space="preserve"> </w:t>
      </w:r>
    </w:p>
  </w:footnote>
  <w:footnote w:id="13">
    <w:p w14:paraId="32CB1115" w14:textId="77777777" w:rsidR="007461ED" w:rsidRDefault="007461ED" w:rsidP="007461ED">
      <w:pPr>
        <w:pStyle w:val="FootnoteText"/>
        <w:rPr>
          <w:sz w:val="16"/>
          <w:szCs w:val="16"/>
        </w:rPr>
      </w:pPr>
      <w:r>
        <w:rPr>
          <w:rStyle w:val="FootnoteReference"/>
          <w:sz w:val="16"/>
          <w:szCs w:val="16"/>
        </w:rPr>
        <w:footnoteRef/>
      </w:r>
      <w:r>
        <w:rPr>
          <w:sz w:val="16"/>
          <w:szCs w:val="16"/>
        </w:rPr>
        <w:t xml:space="preserve"> </w:t>
      </w:r>
      <w:hyperlink r:id="rId13" w:history="1">
        <w:r>
          <w:rPr>
            <w:rStyle w:val="Hyperlink"/>
            <w:sz w:val="16"/>
            <w:szCs w:val="16"/>
          </w:rPr>
          <w:t>https://www.gov.uk/government/collections/national-pupil-database</w:t>
        </w:r>
      </w:hyperlink>
      <w:r>
        <w:rPr>
          <w:sz w:val="16"/>
          <w:szCs w:val="16"/>
        </w:rPr>
        <w:t xml:space="preserve"> </w:t>
      </w:r>
    </w:p>
  </w:footnote>
  <w:footnote w:id="14">
    <w:p w14:paraId="335B2188" w14:textId="77777777" w:rsidR="007461ED" w:rsidRDefault="007461ED" w:rsidP="007461ED">
      <w:pPr>
        <w:pStyle w:val="FootnoteText"/>
        <w:rPr>
          <w:sz w:val="16"/>
          <w:szCs w:val="16"/>
        </w:rPr>
      </w:pPr>
      <w:r>
        <w:rPr>
          <w:rStyle w:val="FootnoteReference"/>
          <w:sz w:val="16"/>
          <w:szCs w:val="16"/>
        </w:rPr>
        <w:footnoteRef/>
      </w:r>
      <w:r>
        <w:rPr>
          <w:sz w:val="16"/>
          <w:szCs w:val="16"/>
        </w:rPr>
        <w:t xml:space="preserve"> </w:t>
      </w:r>
      <w:hyperlink r:id="rId14" w:history="1">
        <w:r w:rsidRPr="00EB7A6B">
          <w:rPr>
            <w:rStyle w:val="Hyperlink"/>
            <w:sz w:val="16"/>
            <w:szCs w:val="16"/>
          </w:rPr>
          <w:t>https://www.gov.uk/government/statistics/national-pupil-projections-july-2017</w:t>
        </w:r>
      </w:hyperlink>
      <w:r>
        <w:rPr>
          <w:sz w:val="16"/>
          <w:szCs w:val="16"/>
        </w:rPr>
        <w:t xml:space="preserve"> </w:t>
      </w:r>
    </w:p>
  </w:footnote>
  <w:footnote w:id="15">
    <w:p w14:paraId="45948E78" w14:textId="77777777" w:rsidR="00895EAE" w:rsidRPr="002F7C8A" w:rsidRDefault="00895EAE" w:rsidP="00895EAE">
      <w:pPr>
        <w:pStyle w:val="FootnoteText"/>
        <w:rPr>
          <w:sz w:val="16"/>
          <w:szCs w:val="16"/>
        </w:rPr>
      </w:pPr>
      <w:r w:rsidRPr="003021C6">
        <w:rPr>
          <w:rStyle w:val="FootnoteReference"/>
        </w:rPr>
        <w:footnoteRef/>
      </w:r>
      <w:r w:rsidRPr="003021C6">
        <w:t xml:space="preserve"> </w:t>
      </w:r>
      <w:r w:rsidRPr="003021C6">
        <w:rPr>
          <w:sz w:val="16"/>
          <w:szCs w:val="16"/>
        </w:rPr>
        <w:t>Using the latest data as of 08/02/2018</w:t>
      </w:r>
    </w:p>
  </w:footnote>
  <w:footnote w:id="16">
    <w:p w14:paraId="6F2A5999" w14:textId="77777777" w:rsidR="00895EAE" w:rsidRPr="005F1673" w:rsidRDefault="00895EAE" w:rsidP="00895EAE">
      <w:pPr>
        <w:pStyle w:val="FootnoteText"/>
        <w:rPr>
          <w:sz w:val="16"/>
          <w:szCs w:val="16"/>
        </w:rPr>
      </w:pPr>
      <w:r w:rsidRPr="005F1673">
        <w:rPr>
          <w:rStyle w:val="FootnoteReference"/>
          <w:sz w:val="16"/>
          <w:szCs w:val="16"/>
        </w:rPr>
        <w:footnoteRef/>
      </w:r>
      <w:r w:rsidRPr="005F1673">
        <w:rPr>
          <w:sz w:val="16"/>
          <w:szCs w:val="16"/>
        </w:rPr>
        <w:t xml:space="preserve"> </w:t>
      </w:r>
      <w:hyperlink r:id="rId15" w:history="1">
        <w:r w:rsidRPr="005F1673">
          <w:rPr>
            <w:rStyle w:val="Hyperlink"/>
            <w:sz w:val="16"/>
            <w:szCs w:val="16"/>
          </w:rPr>
          <w:t>https://www.ifs.org.uk/publications/12892</w:t>
        </w:r>
      </w:hyperlink>
      <w:r w:rsidRPr="005F167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224FB"/>
    <w:multiLevelType w:val="hybridMultilevel"/>
    <w:tmpl w:val="B266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7062C9"/>
    <w:multiLevelType w:val="hybridMultilevel"/>
    <w:tmpl w:val="FCAC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E091A"/>
    <w:multiLevelType w:val="hybridMultilevel"/>
    <w:tmpl w:val="A3045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03CE5"/>
    <w:multiLevelType w:val="hybridMultilevel"/>
    <w:tmpl w:val="C0F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9535CA"/>
    <w:multiLevelType w:val="hybridMultilevel"/>
    <w:tmpl w:val="83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6"/>
  </w:num>
  <w:num w:numId="4">
    <w:abstractNumId w:val="0"/>
  </w:num>
  <w:num w:numId="5">
    <w:abstractNumId w:val="16"/>
  </w:num>
  <w:num w:numId="6">
    <w:abstractNumId w:val="5"/>
  </w:num>
  <w:num w:numId="7">
    <w:abstractNumId w:val="19"/>
  </w:num>
  <w:num w:numId="8">
    <w:abstractNumId w:val="20"/>
  </w:num>
  <w:num w:numId="9">
    <w:abstractNumId w:val="2"/>
  </w:num>
  <w:num w:numId="10">
    <w:abstractNumId w:val="1"/>
  </w:num>
  <w:num w:numId="11">
    <w:abstractNumId w:val="13"/>
  </w:num>
  <w:num w:numId="12">
    <w:abstractNumId w:val="28"/>
  </w:num>
  <w:num w:numId="13">
    <w:abstractNumId w:val="3"/>
  </w:num>
  <w:num w:numId="14">
    <w:abstractNumId w:val="11"/>
  </w:num>
  <w:num w:numId="15">
    <w:abstractNumId w:val="2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10"/>
  </w:num>
  <w:num w:numId="20">
    <w:abstractNumId w:val="25"/>
  </w:num>
  <w:num w:numId="21">
    <w:abstractNumId w:val="20"/>
  </w:num>
  <w:num w:numId="22">
    <w:abstractNumId w:val="24"/>
  </w:num>
  <w:num w:numId="23">
    <w:abstractNumId w:val="20"/>
  </w:num>
  <w:num w:numId="24">
    <w:abstractNumId w:val="7"/>
  </w:num>
  <w:num w:numId="25">
    <w:abstractNumId w:val="14"/>
  </w:num>
  <w:num w:numId="26">
    <w:abstractNumId w:val="27"/>
  </w:num>
  <w:num w:numId="27">
    <w:abstractNumId w:val="9"/>
  </w:num>
  <w:num w:numId="28">
    <w:abstractNumId w:val="10"/>
  </w:num>
  <w:num w:numId="29">
    <w:abstractNumId w:val="23"/>
  </w:num>
  <w:num w:numId="30">
    <w:abstractNumId w:val="20"/>
  </w:num>
  <w:num w:numId="31">
    <w:abstractNumId w:val="29"/>
  </w:num>
  <w:num w:numId="32">
    <w:abstractNumId w:val="17"/>
  </w:num>
  <w:num w:numId="33">
    <w:abstractNumId w:val="8"/>
  </w:num>
  <w:num w:numId="34">
    <w:abstractNumId w:val="15"/>
  </w:num>
  <w:num w:numId="35">
    <w:abstractNumId w:val="18"/>
  </w:num>
  <w:num w:numId="36">
    <w:abstractNumId w:val="21"/>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B4A3E"/>
    <w:rsid w:val="000D1D30"/>
    <w:rsid w:val="000D3ADC"/>
    <w:rsid w:val="000D4433"/>
    <w:rsid w:val="000D5697"/>
    <w:rsid w:val="000E3350"/>
    <w:rsid w:val="000F1A98"/>
    <w:rsid w:val="000F22D0"/>
    <w:rsid w:val="000F73F3"/>
    <w:rsid w:val="00103E77"/>
    <w:rsid w:val="00113E8C"/>
    <w:rsid w:val="0011494F"/>
    <w:rsid w:val="00121C6C"/>
    <w:rsid w:val="001321D2"/>
    <w:rsid w:val="00133075"/>
    <w:rsid w:val="001438CE"/>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A4118"/>
    <w:rsid w:val="002B2775"/>
    <w:rsid w:val="002C3AA4"/>
    <w:rsid w:val="002D4B69"/>
    <w:rsid w:val="002D73D7"/>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42F21"/>
    <w:rsid w:val="00361752"/>
    <w:rsid w:val="00361FE6"/>
    <w:rsid w:val="00374981"/>
    <w:rsid w:val="003810D8"/>
    <w:rsid w:val="003853A4"/>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45E79"/>
    <w:rsid w:val="004509BE"/>
    <w:rsid w:val="004572EE"/>
    <w:rsid w:val="00467BC5"/>
    <w:rsid w:val="00470223"/>
    <w:rsid w:val="00471FEE"/>
    <w:rsid w:val="004726CF"/>
    <w:rsid w:val="004866AD"/>
    <w:rsid w:val="004A25DF"/>
    <w:rsid w:val="004B19E5"/>
    <w:rsid w:val="004B4394"/>
    <w:rsid w:val="004B6B92"/>
    <w:rsid w:val="004D0B5A"/>
    <w:rsid w:val="004D13A3"/>
    <w:rsid w:val="004E6CD9"/>
    <w:rsid w:val="004F20E3"/>
    <w:rsid w:val="004F211A"/>
    <w:rsid w:val="004F3159"/>
    <w:rsid w:val="004F4AEF"/>
    <w:rsid w:val="004F70A9"/>
    <w:rsid w:val="0052566B"/>
    <w:rsid w:val="00536E0B"/>
    <w:rsid w:val="005505E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1D0"/>
    <w:rsid w:val="005C6416"/>
    <w:rsid w:val="005C657D"/>
    <w:rsid w:val="005D05CE"/>
    <w:rsid w:val="005D252F"/>
    <w:rsid w:val="005D380A"/>
    <w:rsid w:val="005D415A"/>
    <w:rsid w:val="005E3379"/>
    <w:rsid w:val="005F107C"/>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A27AA"/>
    <w:rsid w:val="006A3602"/>
    <w:rsid w:val="006B1F9F"/>
    <w:rsid w:val="006B2D28"/>
    <w:rsid w:val="006C382D"/>
    <w:rsid w:val="006D1162"/>
    <w:rsid w:val="006D67EB"/>
    <w:rsid w:val="006E22B1"/>
    <w:rsid w:val="006E7F39"/>
    <w:rsid w:val="006F06C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61ED"/>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C321D"/>
    <w:rsid w:val="007C41A5"/>
    <w:rsid w:val="007C58BE"/>
    <w:rsid w:val="007C7EEE"/>
    <w:rsid w:val="007D0537"/>
    <w:rsid w:val="007D080B"/>
    <w:rsid w:val="007D29D3"/>
    <w:rsid w:val="007E06DD"/>
    <w:rsid w:val="007E35BC"/>
    <w:rsid w:val="007E37C1"/>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95EAE"/>
    <w:rsid w:val="008A4179"/>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A76"/>
    <w:rsid w:val="008F2E4F"/>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A602D"/>
    <w:rsid w:val="009B0DAA"/>
    <w:rsid w:val="009B32FA"/>
    <w:rsid w:val="009C13DC"/>
    <w:rsid w:val="009C73CF"/>
    <w:rsid w:val="009C7FB2"/>
    <w:rsid w:val="009D24C3"/>
    <w:rsid w:val="009E00AE"/>
    <w:rsid w:val="009E09D3"/>
    <w:rsid w:val="009E6E74"/>
    <w:rsid w:val="009F41B6"/>
    <w:rsid w:val="00A01CAC"/>
    <w:rsid w:val="00A01E45"/>
    <w:rsid w:val="00A0665A"/>
    <w:rsid w:val="00A10FE0"/>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CAD"/>
    <w:rsid w:val="00B51536"/>
    <w:rsid w:val="00B55A49"/>
    <w:rsid w:val="00B55B44"/>
    <w:rsid w:val="00B64265"/>
    <w:rsid w:val="00B67F76"/>
    <w:rsid w:val="00B70EFF"/>
    <w:rsid w:val="00B7558C"/>
    <w:rsid w:val="00B85794"/>
    <w:rsid w:val="00B9194F"/>
    <w:rsid w:val="00BA003B"/>
    <w:rsid w:val="00BA2625"/>
    <w:rsid w:val="00BB05E2"/>
    <w:rsid w:val="00BB7C04"/>
    <w:rsid w:val="00BD1111"/>
    <w:rsid w:val="00BD26B6"/>
    <w:rsid w:val="00BD7DF4"/>
    <w:rsid w:val="00BE01C6"/>
    <w:rsid w:val="00BE22B3"/>
    <w:rsid w:val="00BE4DAC"/>
    <w:rsid w:val="00BF13F8"/>
    <w:rsid w:val="00BF2427"/>
    <w:rsid w:val="00BF68F1"/>
    <w:rsid w:val="00C01CFF"/>
    <w:rsid w:val="00C02C7D"/>
    <w:rsid w:val="00C073B9"/>
    <w:rsid w:val="00C1494D"/>
    <w:rsid w:val="00C15B78"/>
    <w:rsid w:val="00C2207B"/>
    <w:rsid w:val="00C46129"/>
    <w:rsid w:val="00C529E8"/>
    <w:rsid w:val="00C6013F"/>
    <w:rsid w:val="00C63537"/>
    <w:rsid w:val="00C66273"/>
    <w:rsid w:val="00C6636B"/>
    <w:rsid w:val="00C71561"/>
    <w:rsid w:val="00C71E70"/>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4C58"/>
    <w:rsid w:val="00CC547F"/>
    <w:rsid w:val="00CD5D21"/>
    <w:rsid w:val="00CD675D"/>
    <w:rsid w:val="00CE0E9F"/>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185D"/>
    <w:rsid w:val="00E66B4F"/>
    <w:rsid w:val="00E741D5"/>
    <w:rsid w:val="00E74474"/>
    <w:rsid w:val="00E87A6A"/>
    <w:rsid w:val="00E9232A"/>
    <w:rsid w:val="00EA4D1B"/>
    <w:rsid w:val="00EB1D11"/>
    <w:rsid w:val="00EB281B"/>
    <w:rsid w:val="00EC1C50"/>
    <w:rsid w:val="00ED3D05"/>
    <w:rsid w:val="00ED5025"/>
    <w:rsid w:val="00EE5713"/>
    <w:rsid w:val="00EE64AE"/>
    <w:rsid w:val="00EE715F"/>
    <w:rsid w:val="00EF46AE"/>
    <w:rsid w:val="00EF4E27"/>
    <w:rsid w:val="00F06445"/>
    <w:rsid w:val="00F07114"/>
    <w:rsid w:val="00F206A7"/>
    <w:rsid w:val="00F3105E"/>
    <w:rsid w:val="00F31AAB"/>
    <w:rsid w:val="00F41591"/>
    <w:rsid w:val="00F41A63"/>
    <w:rsid w:val="00F45BEB"/>
    <w:rsid w:val="00F54523"/>
    <w:rsid w:val="00F70793"/>
    <w:rsid w:val="00F84544"/>
    <w:rsid w:val="00F90552"/>
    <w:rsid w:val="00F908B7"/>
    <w:rsid w:val="00F954FA"/>
    <w:rsid w:val="00F95B1F"/>
    <w:rsid w:val="00F96EB7"/>
    <w:rsid w:val="00FA05B2"/>
    <w:rsid w:val="00FA0889"/>
    <w:rsid w:val="00FA1E17"/>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version/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si/2018/148/made" TargetMode="External"/><Relationship Id="rId13" Type="http://schemas.openxmlformats.org/officeDocument/2006/relationships/hyperlink" Target="https://www.gov.uk/government/collections/national-pupil-database" TargetMode="External"/><Relationship Id="rId3" Type="http://schemas.openxmlformats.org/officeDocument/2006/relationships/hyperlink" Target="https://publications.parliament.uk/pa/cm201213/cmhansrd/cm130417/text/130417w0004.htm" TargetMode="External"/><Relationship Id="rId7" Type="http://schemas.openxmlformats.org/officeDocument/2006/relationships/hyperlink" Target="http://www.legislation.gov.uk/ssi/2017/182/contents/made" TargetMode="External"/><Relationship Id="rId12" Type="http://schemas.openxmlformats.org/officeDocument/2006/relationships/hyperlink" Target="https://www.gov.uk/government/uploads/system/uploads/attachment_data/file/266339/DFE-RR319.pdf" TargetMode="External"/><Relationship Id="rId2" Type="http://schemas.openxmlformats.org/officeDocument/2006/relationships/hyperlink" Target="https://www.gov.uk/apply-free-school-meals" TargetMode="External"/><Relationship Id="rId1" Type="http://schemas.openxmlformats.org/officeDocument/2006/relationships/hyperlink" Target="https://www.gov.uk/government/publications/universal-credit-transition-to-full-service" TargetMode="External"/><Relationship Id="rId6" Type="http://schemas.openxmlformats.org/officeDocument/2006/relationships/hyperlink" Target="https://consult.education.gov.uk/school-leadership-analysis-unit/analysing-family-circumstances-and-education-1/" TargetMode="External"/><Relationship Id="rId11" Type="http://schemas.openxmlformats.org/officeDocument/2006/relationships/hyperlink" Target="http://obr.uk/faq/where-can-i-find-your-latest-forecasts/" TargetMode="External"/><Relationship Id="rId5" Type="http://schemas.openxmlformats.org/officeDocument/2006/relationships/hyperlink" Target="https://www.gov.uk/government/consultations/eligibility-for-free-school-meals-and-the-early-years-pupil-premium-under-universal-credit" TargetMode="External"/><Relationship Id="rId15" Type="http://schemas.openxmlformats.org/officeDocument/2006/relationships/hyperlink" Target="https://www.ifs.org.uk/publications/12892" TargetMode="External"/><Relationship Id="rId10" Type="http://schemas.openxmlformats.org/officeDocument/2006/relationships/hyperlink" Target="https://www.gov.uk/government/uploads/system/uploads/attachment_data/file/676605/WelfareTrends2018cm9562.pdf" TargetMode="External"/><Relationship Id="rId4" Type="http://schemas.openxmlformats.org/officeDocument/2006/relationships/hyperlink" Target="https://www.gov.uk/government/statistics/schools-pupils-and-their-characteristics-january-2017" TargetMode="External"/><Relationship Id="rId9" Type="http://schemas.openxmlformats.org/officeDocument/2006/relationships/hyperlink" Target="https://publications.parliament.uk/pa/ld201719/ldselect/ldsecleg/82/8206.htm" TargetMode="External"/><Relationship Id="rId14" Type="http://schemas.openxmlformats.org/officeDocument/2006/relationships/hyperlink" Target="https://www.gov.uk/government/statistics/national-pupil-projections-jul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FAAEF88-7320-40D9-BA0E-01186539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Estimating the number of additional free school meal pupils under Universal Credit</vt:lpstr>
    </vt:vector>
  </TitlesOfParts>
  <Company>Department for Education</Company>
  <LinksUpToDate>false</LinksUpToDate>
  <CharactersWithSpaces>19724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number of additional free school meal pupils under Universal Credit</dc:title>
  <dc:creator>Publishing.TEAM@education.gsi.gov.uk</dc:creator>
  <dc:description>Master-ET-v3.8</dc:description>
  <cp:lastModifiedBy>McERLEAN, Rory</cp:lastModifiedBy>
  <cp:revision>3</cp:revision>
  <cp:lastPrinted>2014-09-17T13:26:00Z</cp:lastPrinted>
  <dcterms:created xsi:type="dcterms:W3CDTF">2018-05-16T10:16:00Z</dcterms:created>
  <dcterms:modified xsi:type="dcterms:W3CDTF">2018-05-16T12:14:00Z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