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F5" w:rsidRPr="00595AF4" w:rsidRDefault="00C2308C" w:rsidP="00EF14F2">
      <w:pPr>
        <w:rPr>
          <w:sz w:val="40"/>
          <w:szCs w:val="40"/>
        </w:rPr>
      </w:pPr>
      <w:r w:rsidRPr="00C2308C">
        <w:rPr>
          <w:sz w:val="40"/>
          <w:szCs w:val="40"/>
        </w:rPr>
        <w:t xml:space="preserve">Factsheet: </w:t>
      </w:r>
      <w:r w:rsidR="00EF14F2" w:rsidRPr="00EF14F2">
        <w:rPr>
          <w:sz w:val="40"/>
          <w:szCs w:val="40"/>
        </w:rPr>
        <w:t>Hereditaments occup</w:t>
      </w:r>
      <w:r w:rsidR="00EF14F2">
        <w:rPr>
          <w:sz w:val="40"/>
          <w:szCs w:val="40"/>
        </w:rPr>
        <w:t xml:space="preserve">ied or owned by the same person - </w:t>
      </w:r>
      <w:r w:rsidR="00EF14F2" w:rsidRPr="00EF14F2">
        <w:rPr>
          <w:sz w:val="40"/>
          <w:szCs w:val="40"/>
        </w:rPr>
        <w:t>Clause 1</w:t>
      </w:r>
    </w:p>
    <w:p w:rsidR="00074F28" w:rsidRDefault="00BB5E22" w:rsidP="00892B03">
      <w:pPr>
        <w:rPr>
          <w:sz w:val="48"/>
          <w:szCs w:val="48"/>
        </w:rPr>
      </w:pPr>
      <w:r>
        <w:rPr>
          <w:noProof/>
          <w:sz w:val="48"/>
          <w:szCs w:val="48"/>
        </w:rPr>
        <mc:AlternateContent>
          <mc:Choice Requires="wps">
            <w:drawing>
              <wp:anchor distT="0" distB="0" distL="114300" distR="114300" simplePos="0" relativeHeight="251659264" behindDoc="0" locked="0" layoutInCell="1" allowOverlap="1" wp14:anchorId="0E094626" wp14:editId="14D4E4BE">
                <wp:simplePos x="0" y="0"/>
                <wp:positionH relativeFrom="column">
                  <wp:posOffset>0</wp:posOffset>
                </wp:positionH>
                <wp:positionV relativeFrom="paragraph">
                  <wp:posOffset>166370</wp:posOffset>
                </wp:positionV>
                <wp:extent cx="5210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210175" cy="0"/>
                        </a:xfrm>
                        <a:prstGeom prst="line">
                          <a:avLst/>
                        </a:prstGeom>
                        <a:ln w="15875">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B6BD8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pt" to="41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Al2wEAAA4EAAAOAAAAZHJzL2Uyb0RvYy54bWysU8GO0zAQvSPxD5bvNEm1hSVquoeulguC&#10;ioUPcB27sWR7rLFp2r9n7LTZFSChXZGDk7HnvZn3PFnfnZxlR4XRgO94s6g5U15Cb/yh4z++P7y7&#10;5Swm4XthwauOn1Xkd5u3b9ZjaNUSBrC9QkYkPrZj6PiQUmirKspBOREXEJSnQw3oRKIQD1WPYiR2&#10;Z6tlXb+vRsA+IEgVI+3eT4d8U/i1VjJ91TqqxGzHqbdUVizrPq/VZi3aA4owGHlpQ7yiCyeMp6Iz&#10;1b1Igv1E8weVMxIhgk4LCa4CrY1URQOpaerf1DwOIqiihcyJYbYp/j9a+eW4Q2b6jt9w5oWjK3pM&#10;KMxhSGwL3pOBgOwm+zSG2FL61u/wEsWwwyz6pNHlN8lhp+LtefZWnRKTtLlaNnXzYcWZvJ5VT8CA&#10;MX1S4Fj+6Lg1PssWrTh+jomKUeo1JW9bz0YattUt8eU4gjX9g7G2BHjYby2yo8hXXn+kJ3dPFM/S&#10;KLKeNrOmSUX5SmerpgLflCZXqO9mqpDnUc20QkrlU3PhtZ6yM0xTCzOw/jfwkp+hqszqS8AzolQG&#10;n2awMx7wb9XT6dqynvKvDky6swV76M/lfos1NHTFucsPkqf6eVzgT7/x5hcAAAD//wMAUEsDBBQA&#10;BgAIAAAAIQD6eNPu2gAAAAYBAAAPAAAAZHJzL2Rvd25yZXYueG1sTI/BTsMwEETvSP0Haytxow6R&#10;KFWIU9GqHHpsgQO3bbxNotrrKLab8Pc14gDHnRnNvC3XkzXiSoPvHCt4XGQgiGunO24UfLy/PaxA&#10;+ICs0TgmBd/kYV3N7kostBv5QNdjaEQqYV+ggjaEvpDS1y1Z9AvXEyfv7AaLIZ1DI/WAYyq3RuZZ&#10;tpQWO04LLfa0bam+HKNVsNucoz98Xhrb78c6fJltjM+dUvfz6fUFRKAp/IXhBz+hQ5WYTi6y9sIo&#10;SI8EBfkyB5HcVZ49gTj9CrIq5X/86gYAAP//AwBQSwECLQAUAAYACAAAACEAtoM4kv4AAADhAQAA&#10;EwAAAAAAAAAAAAAAAAAAAAAAW0NvbnRlbnRfVHlwZXNdLnhtbFBLAQItABQABgAIAAAAIQA4/SH/&#10;1gAAAJQBAAALAAAAAAAAAAAAAAAAAC8BAABfcmVscy8ucmVsc1BLAQItABQABgAIAAAAIQAqxMAl&#10;2wEAAA4EAAAOAAAAAAAAAAAAAAAAAC4CAABkcnMvZTJvRG9jLnhtbFBLAQItABQABgAIAAAAIQD6&#10;eNPu2gAAAAYBAAAPAAAAAAAAAAAAAAAAADUEAABkcnMvZG93bnJldi54bWxQSwUGAAAAAAQABADz&#10;AAAAPAUAAAAA&#10;" strokecolor="#099" strokeweight="1.25pt"/>
            </w:pict>
          </mc:Fallback>
        </mc:AlternateContent>
      </w:r>
    </w:p>
    <w:p w:rsidR="00470083" w:rsidRDefault="00470083" w:rsidP="00892B03">
      <w:pPr>
        <w:rPr>
          <w:b/>
        </w:rPr>
      </w:pPr>
      <w:r w:rsidRPr="00B20E88">
        <w:rPr>
          <w:b/>
        </w:rPr>
        <w:t>What is</w:t>
      </w:r>
      <w:r w:rsidR="0074463C">
        <w:rPr>
          <w:b/>
        </w:rPr>
        <w:t xml:space="preserve"> the</w:t>
      </w:r>
      <w:r w:rsidR="00595AF4">
        <w:rPr>
          <w:b/>
        </w:rPr>
        <w:t xml:space="preserve"> </w:t>
      </w:r>
      <w:r w:rsidR="00FF1A85">
        <w:rPr>
          <w:b/>
        </w:rPr>
        <w:t>‘</w:t>
      </w:r>
      <w:r w:rsidR="00FF1A85" w:rsidRPr="00FF1A85">
        <w:rPr>
          <w:b/>
        </w:rPr>
        <w:t>Business rates in multi-occupied properties</w:t>
      </w:r>
      <w:r w:rsidR="00FF1A85">
        <w:rPr>
          <w:b/>
        </w:rPr>
        <w:t>’</w:t>
      </w:r>
      <w:r w:rsidR="0074463C">
        <w:rPr>
          <w:b/>
        </w:rPr>
        <w:t xml:space="preserve"> measure</w:t>
      </w:r>
      <w:r w:rsidRPr="00B20E88">
        <w:rPr>
          <w:b/>
        </w:rPr>
        <w:t>?</w:t>
      </w:r>
    </w:p>
    <w:p w:rsidR="00B20E88" w:rsidRDefault="00B20E88" w:rsidP="00892B03">
      <w:pPr>
        <w:rPr>
          <w:b/>
          <w:sz w:val="16"/>
          <w:szCs w:val="16"/>
        </w:rPr>
      </w:pPr>
    </w:p>
    <w:p w:rsidR="002F076A" w:rsidRPr="002F076A" w:rsidRDefault="002F076A" w:rsidP="002F076A">
      <w:r w:rsidRPr="002F076A">
        <w:t xml:space="preserve">In 2015, following a Supreme Court ruling, the Valuation Office Agency (VOA) amended the way it valued business properties located in multi-occupancy buildings. Previously, where </w:t>
      </w:r>
      <w:r w:rsidR="00A84288">
        <w:t xml:space="preserve">property </w:t>
      </w:r>
      <w:r w:rsidRPr="002F076A">
        <w:t xml:space="preserve">units in the same occupation were touching (via a wall or floor/ceiling), but were not directly accessible from each other, they received one </w:t>
      </w:r>
      <w:bookmarkStart w:id="0" w:name="_GoBack"/>
      <w:bookmarkEnd w:id="0"/>
      <w:r w:rsidRPr="002F076A">
        <w:t xml:space="preserve">rates bill. </w:t>
      </w:r>
      <w:r>
        <w:t xml:space="preserve"> </w:t>
      </w:r>
      <w:r w:rsidRPr="002F076A">
        <w:t>After the Supreme Court ruling, the VOA had to change its practice so that such units are treated as separate rating assessments and therefore each receive their own rates bill, irrespective of whether they are in the same occupation and are contiguous. This has led to increased total bills for some occupiers, with some backdated to 2010.</w:t>
      </w:r>
    </w:p>
    <w:p w:rsidR="002F076A" w:rsidRDefault="002F076A" w:rsidP="00EE6DFC"/>
    <w:p w:rsidR="00EE6DFC" w:rsidRPr="006D2FB2" w:rsidRDefault="006D2FB2" w:rsidP="00EE6DFC">
      <w:r>
        <w:t xml:space="preserve">At Autumn Budget 2017, the Chancellor announced plans to legislate to reinstate </w:t>
      </w:r>
      <w:r w:rsidRPr="006D2FB2">
        <w:t>the relevant elements of the Valuation Office Agency’s practice prior to the Supreme Court decision.</w:t>
      </w:r>
    </w:p>
    <w:p w:rsidR="00595AF4" w:rsidRPr="00B20E88" w:rsidRDefault="00595AF4" w:rsidP="00892B03">
      <w:pPr>
        <w:rPr>
          <w:b/>
          <w:sz w:val="16"/>
          <w:szCs w:val="16"/>
        </w:rPr>
      </w:pPr>
    </w:p>
    <w:p w:rsidR="000C54FE" w:rsidRDefault="00BB5E22" w:rsidP="000C54FE">
      <w:pPr>
        <w:rPr>
          <w:b/>
        </w:rPr>
      </w:pPr>
      <w:r w:rsidRPr="00B20E88">
        <w:rPr>
          <w:b/>
        </w:rPr>
        <w:t xml:space="preserve">What is the </w:t>
      </w:r>
      <w:r w:rsidR="004B3F4A" w:rsidRPr="00B20E88">
        <w:rPr>
          <w:b/>
        </w:rPr>
        <w:t xml:space="preserve">policy </w:t>
      </w:r>
      <w:r w:rsidR="000C54FE">
        <w:rPr>
          <w:b/>
        </w:rPr>
        <w:t>hoping to achieve and w</w:t>
      </w:r>
      <w:r w:rsidR="000C54FE" w:rsidRPr="00B20E88">
        <w:rPr>
          <w:b/>
        </w:rPr>
        <w:t>here are we now?</w:t>
      </w:r>
    </w:p>
    <w:p w:rsidR="00BB5E22" w:rsidRDefault="00BB5E22" w:rsidP="00892B03">
      <w:pPr>
        <w:rPr>
          <w:b/>
        </w:rPr>
      </w:pPr>
    </w:p>
    <w:p w:rsidR="00917CD8" w:rsidRDefault="00967EEA" w:rsidP="00917CD8">
      <w:r>
        <w:t xml:space="preserve">In having their units separated and rated individually, some ratepayers have seen increased bills due to the loss of Small Business Rate Relief or the </w:t>
      </w:r>
      <w:r w:rsidR="002F076A">
        <w:t xml:space="preserve">loss of a </w:t>
      </w:r>
      <w:r>
        <w:t xml:space="preserve">quantum </w:t>
      </w:r>
      <w:r w:rsidR="002F076A">
        <w:t xml:space="preserve">discount on their valuation </w:t>
      </w:r>
      <w:r>
        <w:t>(where an increased area attracts a lower rating value per m</w:t>
      </w:r>
      <w:r w:rsidRPr="00967EEA">
        <w:rPr>
          <w:vertAlign w:val="superscript"/>
        </w:rPr>
        <w:t>2</w:t>
      </w:r>
      <w:r>
        <w:t xml:space="preserve">). The changes were due to the </w:t>
      </w:r>
      <w:r w:rsidR="00B36753">
        <w:t>change in VOA practice</w:t>
      </w:r>
      <w:r w:rsidR="00C236F0">
        <w:t xml:space="preserve"> following the 2015 Supreme Court ruling</w:t>
      </w:r>
      <w:r w:rsidR="002F076A">
        <w:t xml:space="preserve"> and</w:t>
      </w:r>
      <w:r>
        <w:t xml:space="preserve"> not a change in Government policy. This legislation intends to </w:t>
      </w:r>
      <w:r w:rsidR="002F076A">
        <w:t xml:space="preserve">reinstate the previous widely accepted and understood practice of the VOA </w:t>
      </w:r>
      <w:r w:rsidR="00A84288">
        <w:t xml:space="preserve">assessing as one property </w:t>
      </w:r>
      <w:r w:rsidR="00A84288" w:rsidRPr="00A84288">
        <w:t xml:space="preserve">units in the same occupation </w:t>
      </w:r>
      <w:r w:rsidR="00A84288">
        <w:t xml:space="preserve">which were touching.  </w:t>
      </w:r>
      <w:r w:rsidR="00FF1A85">
        <w:t>This will be backdated to cover the 2010 list retrospectively.</w:t>
      </w:r>
    </w:p>
    <w:p w:rsidR="00967EEA" w:rsidRDefault="00967EEA" w:rsidP="00917CD8"/>
    <w:p w:rsidR="00967EEA" w:rsidRPr="00967EEA" w:rsidRDefault="00967EEA" w:rsidP="00917CD8">
      <w:r>
        <w:t>With this legislation, the Government is not intending to make any reforms to the business rates systems other than to reinstate previous practice in accordance with government policy.</w:t>
      </w:r>
    </w:p>
    <w:p w:rsidR="00237772" w:rsidRPr="00B20E88" w:rsidRDefault="00237772" w:rsidP="00892B03">
      <w:pPr>
        <w:rPr>
          <w:i/>
        </w:rPr>
      </w:pPr>
    </w:p>
    <w:p w:rsidR="00237772" w:rsidRDefault="007E4E38" w:rsidP="00892B03">
      <w:pPr>
        <w:rPr>
          <w:b/>
        </w:rPr>
      </w:pPr>
      <w:r w:rsidRPr="00B20E88">
        <w:rPr>
          <w:b/>
        </w:rPr>
        <w:t>Why is legislation needed</w:t>
      </w:r>
      <w:r w:rsidR="00237772" w:rsidRPr="00B20E88">
        <w:rPr>
          <w:b/>
        </w:rPr>
        <w:t>?</w:t>
      </w:r>
    </w:p>
    <w:p w:rsidR="00B20E88" w:rsidRDefault="00B20E88" w:rsidP="00892B03">
      <w:pPr>
        <w:rPr>
          <w:b/>
          <w:sz w:val="16"/>
          <w:szCs w:val="16"/>
        </w:rPr>
      </w:pPr>
    </w:p>
    <w:p w:rsidR="00EE6DFC" w:rsidRPr="00FF1A85" w:rsidRDefault="00FF1A85" w:rsidP="00EE6DFC">
      <w:pPr>
        <w:rPr>
          <w:szCs w:val="24"/>
        </w:rPr>
      </w:pPr>
      <w:r>
        <w:rPr>
          <w:szCs w:val="24"/>
        </w:rPr>
        <w:t xml:space="preserve">Primary legislation is required </w:t>
      </w:r>
      <w:r w:rsidR="00D2637B">
        <w:rPr>
          <w:szCs w:val="24"/>
        </w:rPr>
        <w:t xml:space="preserve">to </w:t>
      </w:r>
      <w:r w:rsidR="001B195F">
        <w:rPr>
          <w:szCs w:val="24"/>
        </w:rPr>
        <w:t>retrospectively</w:t>
      </w:r>
      <w:r w:rsidR="00D2637B">
        <w:rPr>
          <w:szCs w:val="24"/>
        </w:rPr>
        <w:t xml:space="preserve"> change the law</w:t>
      </w:r>
      <w:r>
        <w:rPr>
          <w:szCs w:val="24"/>
        </w:rPr>
        <w:t xml:space="preserve">. </w:t>
      </w:r>
    </w:p>
    <w:p w:rsidR="00F948B0" w:rsidRDefault="00F948B0" w:rsidP="00892B03">
      <w:pPr>
        <w:rPr>
          <w:b/>
        </w:rPr>
      </w:pPr>
    </w:p>
    <w:p w:rsidR="00045B1E" w:rsidRDefault="00045B1E" w:rsidP="00892B03">
      <w:pPr>
        <w:rPr>
          <w:b/>
        </w:rPr>
      </w:pPr>
      <w:r w:rsidRPr="00B20E88">
        <w:rPr>
          <w:b/>
        </w:rPr>
        <w:t>How do we see this working in practice?</w:t>
      </w:r>
    </w:p>
    <w:p w:rsidR="00B20E88" w:rsidRDefault="00B20E88" w:rsidP="00892B03">
      <w:pPr>
        <w:rPr>
          <w:b/>
          <w:sz w:val="16"/>
          <w:szCs w:val="16"/>
        </w:rPr>
      </w:pPr>
    </w:p>
    <w:p w:rsidR="00EE6DFC" w:rsidRPr="009C22AE" w:rsidRDefault="009C22AE" w:rsidP="00EE6DFC">
      <w:pPr>
        <w:rPr>
          <w:szCs w:val="24"/>
        </w:rPr>
      </w:pPr>
      <w:r>
        <w:rPr>
          <w:szCs w:val="24"/>
        </w:rPr>
        <w:t>Once legislation is passed, ratepayers who believe they have been affected by the decision will be able to ask the VOA to review their case. This review can be against the 2010 list, 2017 list, or both. If the VOA identifies that the ratepayer should have their previous rating reinstated, the ratepayer’s units will be rated in line with the legislation and their valuation recalculated. Bills wi</w:t>
      </w:r>
      <w:r w:rsidR="00A84288">
        <w:rPr>
          <w:szCs w:val="24"/>
        </w:rPr>
        <w:t>ll then be amended accordingly.</w:t>
      </w:r>
    </w:p>
    <w:p w:rsidR="00EE6DFC" w:rsidRDefault="00EE6DFC" w:rsidP="00892B03">
      <w:pPr>
        <w:rPr>
          <w:b/>
          <w:sz w:val="16"/>
          <w:szCs w:val="16"/>
        </w:rPr>
      </w:pPr>
    </w:p>
    <w:p w:rsidR="007E4E38" w:rsidRPr="00D835E0" w:rsidRDefault="00D835E0" w:rsidP="00892B03">
      <w:pPr>
        <w:rPr>
          <w:b/>
        </w:rPr>
      </w:pPr>
      <w:r w:rsidRPr="00D835E0">
        <w:rPr>
          <w:b/>
        </w:rPr>
        <w:t>How can I find out more</w:t>
      </w:r>
      <w:r w:rsidR="007E4E38" w:rsidRPr="00D835E0">
        <w:rPr>
          <w:b/>
        </w:rPr>
        <w:t>?</w:t>
      </w:r>
    </w:p>
    <w:p w:rsidR="00B20E88" w:rsidRPr="008F2A55" w:rsidRDefault="00B20E88" w:rsidP="00892B03">
      <w:pPr>
        <w:rPr>
          <w:b/>
          <w:sz w:val="16"/>
          <w:szCs w:val="16"/>
        </w:rPr>
      </w:pPr>
    </w:p>
    <w:p w:rsidR="000F18BC" w:rsidRDefault="00FF1A85" w:rsidP="00892B03">
      <w:pPr>
        <w:rPr>
          <w:b/>
          <w:szCs w:val="24"/>
        </w:rPr>
      </w:pPr>
      <w:r>
        <w:rPr>
          <w:szCs w:val="24"/>
        </w:rPr>
        <w:t xml:space="preserve">A consultation on the draft legislation was published on 29 December. This can be found at: </w:t>
      </w:r>
      <w:hyperlink r:id="rId10" w:history="1">
        <w:r w:rsidRPr="00C24865">
          <w:rPr>
            <w:rStyle w:val="Hyperlink"/>
            <w:szCs w:val="24"/>
          </w:rPr>
          <w:t>https://www.gov.uk/government/consultations/business-rates-in-multi-occupied-properties</w:t>
        </w:r>
      </w:hyperlink>
      <w:r w:rsidR="009C22AE">
        <w:rPr>
          <w:szCs w:val="24"/>
        </w:rPr>
        <w:t xml:space="preserve">. </w:t>
      </w:r>
    </w:p>
    <w:p w:rsidR="00FF1A85" w:rsidRDefault="00FF1A85">
      <w:pPr>
        <w:rPr>
          <w:b/>
          <w:szCs w:val="24"/>
        </w:rPr>
      </w:pPr>
      <w:r>
        <w:rPr>
          <w:b/>
          <w:szCs w:val="24"/>
        </w:rPr>
        <w:br w:type="page"/>
      </w:r>
    </w:p>
    <w:p w:rsidR="00391B72" w:rsidRDefault="00D835E0" w:rsidP="00892B03">
      <w:pPr>
        <w:rPr>
          <w:b/>
          <w:szCs w:val="24"/>
        </w:rPr>
      </w:pPr>
      <w:r>
        <w:rPr>
          <w:b/>
          <w:szCs w:val="24"/>
        </w:rPr>
        <w:lastRenderedPageBreak/>
        <w:t>Key questions &amp; answers</w:t>
      </w:r>
      <w:r w:rsidR="0097102E">
        <w:rPr>
          <w:b/>
          <w:szCs w:val="24"/>
        </w:rPr>
        <w:t>:</w:t>
      </w:r>
    </w:p>
    <w:p w:rsidR="00C83DB5" w:rsidRDefault="00C83DB5" w:rsidP="00892B03">
      <w:pPr>
        <w:rPr>
          <w:b/>
          <w:szCs w:val="24"/>
        </w:rPr>
      </w:pPr>
    </w:p>
    <w:p w:rsidR="00377370" w:rsidRDefault="00377370" w:rsidP="00377370">
      <w:pPr>
        <w:rPr>
          <w:rFonts w:cs="Arial"/>
          <w:b/>
          <w:szCs w:val="24"/>
        </w:rPr>
      </w:pPr>
      <w:r w:rsidRPr="00377370">
        <w:rPr>
          <w:rFonts w:cs="Arial"/>
          <w:b/>
          <w:szCs w:val="24"/>
        </w:rPr>
        <w:t>Will all ratepayers who lost Small Business Rate Relief get it back if they request a review of their bill?</w:t>
      </w:r>
    </w:p>
    <w:p w:rsidR="00A84288" w:rsidRPr="00377370" w:rsidRDefault="00A84288" w:rsidP="00377370">
      <w:pPr>
        <w:rPr>
          <w:rFonts w:cs="Arial"/>
          <w:b/>
          <w:szCs w:val="24"/>
        </w:rPr>
      </w:pPr>
    </w:p>
    <w:p w:rsidR="00377370" w:rsidRPr="00377370" w:rsidRDefault="00377370" w:rsidP="00377370">
      <w:pPr>
        <w:pStyle w:val="ListParagraph"/>
        <w:numPr>
          <w:ilvl w:val="0"/>
          <w:numId w:val="17"/>
        </w:numPr>
        <w:spacing w:line="276" w:lineRule="auto"/>
        <w:rPr>
          <w:rFonts w:cs="Arial"/>
          <w:szCs w:val="24"/>
        </w:rPr>
      </w:pPr>
      <w:r w:rsidRPr="00377370">
        <w:rPr>
          <w:rFonts w:cs="Arial"/>
          <w:szCs w:val="24"/>
        </w:rPr>
        <w:t xml:space="preserve">Ratepayers who lost Small Business Rate Relief (SBRR) directly as a result of the judgment will </w:t>
      </w:r>
      <w:r w:rsidR="00A84288">
        <w:rPr>
          <w:rFonts w:cs="Arial"/>
          <w:szCs w:val="24"/>
        </w:rPr>
        <w:t xml:space="preserve">be able to </w:t>
      </w:r>
      <w:r w:rsidRPr="00377370">
        <w:rPr>
          <w:rFonts w:cs="Arial"/>
          <w:szCs w:val="24"/>
        </w:rPr>
        <w:t>have the relief reinstated to their bills retrospectively. Those who lost SBRR for a reason not directly related to the judgement will not be eligible to have the relief reinstated.</w:t>
      </w:r>
    </w:p>
    <w:p w:rsidR="00377370" w:rsidRDefault="00377370" w:rsidP="00377370">
      <w:pPr>
        <w:rPr>
          <w:rFonts w:cs="Arial"/>
          <w:b/>
          <w:szCs w:val="24"/>
        </w:rPr>
      </w:pPr>
    </w:p>
    <w:p w:rsidR="00A84288" w:rsidRDefault="00377370" w:rsidP="00377370">
      <w:pPr>
        <w:rPr>
          <w:rFonts w:cs="Arial"/>
          <w:b/>
          <w:szCs w:val="24"/>
        </w:rPr>
      </w:pPr>
      <w:r w:rsidRPr="00377370">
        <w:rPr>
          <w:rFonts w:cs="Arial"/>
          <w:b/>
          <w:szCs w:val="24"/>
        </w:rPr>
        <w:t>Why are pre-judgement bills not being reinstated automatically?</w:t>
      </w:r>
    </w:p>
    <w:p w:rsidR="00A84288" w:rsidRPr="00377370" w:rsidRDefault="00A84288" w:rsidP="00377370">
      <w:pPr>
        <w:rPr>
          <w:rFonts w:cs="Arial"/>
          <w:b/>
          <w:szCs w:val="24"/>
        </w:rPr>
      </w:pPr>
    </w:p>
    <w:p w:rsidR="00377370" w:rsidRPr="00377370" w:rsidRDefault="00377370" w:rsidP="00377370">
      <w:pPr>
        <w:pStyle w:val="ListParagraph"/>
        <w:numPr>
          <w:ilvl w:val="0"/>
          <w:numId w:val="13"/>
        </w:numPr>
        <w:spacing w:line="276" w:lineRule="auto"/>
        <w:rPr>
          <w:rFonts w:cs="Arial"/>
          <w:szCs w:val="24"/>
        </w:rPr>
      </w:pPr>
      <w:r w:rsidRPr="00377370">
        <w:rPr>
          <w:rFonts w:cs="Arial"/>
          <w:szCs w:val="24"/>
        </w:rPr>
        <w:t xml:space="preserve">Some ratepayers may have benefited from the </w:t>
      </w:r>
      <w:r w:rsidR="00AD2B62">
        <w:rPr>
          <w:rFonts w:cs="Arial"/>
          <w:szCs w:val="24"/>
        </w:rPr>
        <w:t>change in practice</w:t>
      </w:r>
      <w:r w:rsidRPr="00377370">
        <w:rPr>
          <w:rFonts w:cs="Arial"/>
          <w:szCs w:val="24"/>
        </w:rPr>
        <w:t xml:space="preserve">. To protect ratepayers from unwanted backdated bills on the 2010 rating list we will allow them to choose if they want their bill changed from before 1 April 2017. </w:t>
      </w:r>
      <w:r w:rsidR="00A84288">
        <w:rPr>
          <w:rFonts w:cs="Arial"/>
          <w:szCs w:val="24"/>
        </w:rPr>
        <w:t xml:space="preserve"> </w:t>
      </w:r>
      <w:r w:rsidRPr="00377370">
        <w:rPr>
          <w:rFonts w:cs="Arial"/>
          <w:szCs w:val="24"/>
        </w:rPr>
        <w:t xml:space="preserve">Having to request a review means ratepayers will not see their bills before 1 April 2017 go back up. </w:t>
      </w:r>
    </w:p>
    <w:p w:rsidR="00377370" w:rsidRDefault="00377370" w:rsidP="00377370">
      <w:pPr>
        <w:rPr>
          <w:rFonts w:cs="Arial"/>
          <w:b/>
          <w:szCs w:val="24"/>
        </w:rPr>
      </w:pPr>
    </w:p>
    <w:p w:rsidR="00377370" w:rsidRDefault="00377370" w:rsidP="00377370">
      <w:pPr>
        <w:rPr>
          <w:rFonts w:cs="Arial"/>
          <w:b/>
          <w:szCs w:val="24"/>
        </w:rPr>
      </w:pPr>
      <w:r w:rsidRPr="00377370">
        <w:rPr>
          <w:rFonts w:cs="Arial"/>
          <w:b/>
          <w:szCs w:val="24"/>
        </w:rPr>
        <w:t>Can a ratepayer have their 2017 valuation reviewed if they were impacted by the Supreme Court ruling?</w:t>
      </w:r>
    </w:p>
    <w:p w:rsidR="00A84288" w:rsidRPr="00377370" w:rsidRDefault="00A84288" w:rsidP="00377370">
      <w:pPr>
        <w:rPr>
          <w:rFonts w:cs="Arial"/>
          <w:b/>
          <w:szCs w:val="24"/>
        </w:rPr>
      </w:pPr>
    </w:p>
    <w:p w:rsidR="00377370" w:rsidRPr="00377370" w:rsidRDefault="00377370" w:rsidP="00377370">
      <w:pPr>
        <w:pStyle w:val="ListParagraph"/>
        <w:numPr>
          <w:ilvl w:val="0"/>
          <w:numId w:val="13"/>
        </w:numPr>
        <w:spacing w:line="276" w:lineRule="auto"/>
        <w:rPr>
          <w:rFonts w:cs="Arial"/>
          <w:szCs w:val="24"/>
        </w:rPr>
      </w:pPr>
      <w:r w:rsidRPr="00377370">
        <w:rPr>
          <w:rFonts w:cs="Arial"/>
          <w:szCs w:val="24"/>
        </w:rPr>
        <w:t xml:space="preserve">The VOA will update the 2017 list as they become aware of </w:t>
      </w:r>
      <w:r w:rsidR="003E1B05">
        <w:rPr>
          <w:rFonts w:cs="Arial"/>
          <w:szCs w:val="24"/>
        </w:rPr>
        <w:t>assessments which are impacted by the change in the legislation</w:t>
      </w:r>
      <w:r w:rsidRPr="00377370">
        <w:rPr>
          <w:rFonts w:cs="Arial"/>
          <w:szCs w:val="24"/>
        </w:rPr>
        <w:t xml:space="preserve"> through ratepayers and local authorities. Keeping an accurate rating list in this way is a normal part of the valuation system.</w:t>
      </w:r>
    </w:p>
    <w:p w:rsidR="00377370" w:rsidRPr="00377370" w:rsidRDefault="00377370" w:rsidP="00377370">
      <w:pPr>
        <w:pStyle w:val="ListParagraph"/>
        <w:numPr>
          <w:ilvl w:val="0"/>
          <w:numId w:val="13"/>
        </w:numPr>
        <w:spacing w:line="276" w:lineRule="auto"/>
        <w:rPr>
          <w:rFonts w:cs="Arial"/>
          <w:szCs w:val="24"/>
        </w:rPr>
      </w:pPr>
      <w:r w:rsidRPr="00377370">
        <w:rPr>
          <w:rFonts w:cs="Arial"/>
          <w:szCs w:val="24"/>
        </w:rPr>
        <w:t>Ratepayers will be able to request amendments to the 2010 list if they wish. They will also be able to request a prioritised check of their 2017 rateable value if they believe it has been affected by the ruling.</w:t>
      </w:r>
    </w:p>
    <w:p w:rsidR="00377370" w:rsidRDefault="00377370" w:rsidP="00377370">
      <w:pPr>
        <w:rPr>
          <w:rFonts w:cs="Arial"/>
          <w:b/>
          <w:szCs w:val="24"/>
        </w:rPr>
      </w:pPr>
    </w:p>
    <w:p w:rsidR="00377370" w:rsidRDefault="00377370" w:rsidP="00377370">
      <w:pPr>
        <w:rPr>
          <w:rFonts w:cs="Arial"/>
          <w:b/>
          <w:szCs w:val="24"/>
        </w:rPr>
      </w:pPr>
      <w:r w:rsidRPr="00377370">
        <w:rPr>
          <w:rFonts w:cs="Arial"/>
          <w:b/>
          <w:szCs w:val="24"/>
        </w:rPr>
        <w:t>How quickly will bills be reinstated?</w:t>
      </w:r>
    </w:p>
    <w:p w:rsidR="00A84288" w:rsidRPr="00377370" w:rsidRDefault="00A84288" w:rsidP="00377370">
      <w:pPr>
        <w:rPr>
          <w:rFonts w:cs="Arial"/>
          <w:b/>
          <w:szCs w:val="24"/>
        </w:rPr>
      </w:pPr>
    </w:p>
    <w:p w:rsidR="00377370" w:rsidRPr="00377370" w:rsidRDefault="00377370" w:rsidP="00377370">
      <w:pPr>
        <w:pStyle w:val="ListParagraph"/>
        <w:numPr>
          <w:ilvl w:val="0"/>
          <w:numId w:val="14"/>
        </w:numPr>
        <w:spacing w:line="276" w:lineRule="auto"/>
        <w:rPr>
          <w:rFonts w:cs="Arial"/>
          <w:szCs w:val="24"/>
        </w:rPr>
      </w:pPr>
      <w:r w:rsidRPr="00377370">
        <w:rPr>
          <w:rFonts w:cs="Arial"/>
          <w:szCs w:val="24"/>
        </w:rPr>
        <w:t>This is a complex area of rating and we want</w:t>
      </w:r>
      <w:r w:rsidR="006508BA">
        <w:rPr>
          <w:rFonts w:cs="Arial"/>
          <w:szCs w:val="24"/>
        </w:rPr>
        <w:t>ed</w:t>
      </w:r>
      <w:r w:rsidRPr="00377370">
        <w:rPr>
          <w:rFonts w:cs="Arial"/>
          <w:szCs w:val="24"/>
        </w:rPr>
        <w:t xml:space="preserve"> to ensure the require legislation is correct. We </w:t>
      </w:r>
      <w:r w:rsidR="00AD2B62">
        <w:rPr>
          <w:rFonts w:cs="Arial"/>
          <w:szCs w:val="24"/>
        </w:rPr>
        <w:t>therefore published draft legislation for consultation and took account of responses</w:t>
      </w:r>
      <w:r w:rsidRPr="00377370">
        <w:rPr>
          <w:rFonts w:cs="Arial"/>
          <w:szCs w:val="24"/>
        </w:rPr>
        <w:t>.</w:t>
      </w:r>
    </w:p>
    <w:p w:rsidR="00377370" w:rsidRPr="00377370" w:rsidRDefault="00377370" w:rsidP="00377370">
      <w:pPr>
        <w:pStyle w:val="ListParagraph"/>
        <w:numPr>
          <w:ilvl w:val="0"/>
          <w:numId w:val="14"/>
        </w:numPr>
        <w:spacing w:line="276" w:lineRule="auto"/>
        <w:rPr>
          <w:rFonts w:cs="Arial"/>
          <w:szCs w:val="24"/>
        </w:rPr>
      </w:pPr>
      <w:r w:rsidRPr="00377370">
        <w:rPr>
          <w:rFonts w:cs="Arial"/>
          <w:szCs w:val="24"/>
        </w:rPr>
        <w:t xml:space="preserve">After </w:t>
      </w:r>
      <w:r w:rsidR="00AD2B62">
        <w:rPr>
          <w:rFonts w:cs="Arial"/>
          <w:szCs w:val="24"/>
        </w:rPr>
        <w:t xml:space="preserve">Royal Assent and </w:t>
      </w:r>
      <w:r w:rsidR="00B86E08">
        <w:rPr>
          <w:rFonts w:cs="Arial"/>
          <w:szCs w:val="24"/>
        </w:rPr>
        <w:t xml:space="preserve">the passage of </w:t>
      </w:r>
      <w:r w:rsidR="00AD2B62">
        <w:rPr>
          <w:rFonts w:cs="Arial"/>
          <w:szCs w:val="24"/>
        </w:rPr>
        <w:t>the necessary regulations</w:t>
      </w:r>
      <w:r w:rsidRPr="00377370">
        <w:rPr>
          <w:rFonts w:cs="Arial"/>
          <w:szCs w:val="24"/>
        </w:rPr>
        <w:t>, the VOA will prioritise the reviews requested by ratepayers</w:t>
      </w:r>
      <w:r w:rsidR="00AD2B62">
        <w:rPr>
          <w:rFonts w:cs="Arial"/>
          <w:szCs w:val="24"/>
        </w:rPr>
        <w:t>.</w:t>
      </w:r>
    </w:p>
    <w:p w:rsidR="00377370" w:rsidRDefault="00377370" w:rsidP="00377370">
      <w:pPr>
        <w:rPr>
          <w:rFonts w:cs="Arial"/>
          <w:b/>
          <w:szCs w:val="24"/>
        </w:rPr>
      </w:pPr>
    </w:p>
    <w:p w:rsidR="009C22AE" w:rsidRDefault="009C22AE" w:rsidP="00377370">
      <w:pPr>
        <w:rPr>
          <w:rFonts w:cs="Arial"/>
          <w:b/>
          <w:szCs w:val="24"/>
        </w:rPr>
      </w:pPr>
    </w:p>
    <w:p w:rsidR="0097102E" w:rsidRPr="00636990" w:rsidRDefault="0097102E" w:rsidP="00892B03"/>
    <w:p w:rsidR="00431786" w:rsidRPr="00377370" w:rsidRDefault="00AD2B62" w:rsidP="00377370">
      <w:pPr>
        <w:jc w:val="right"/>
        <w:rPr>
          <w:b/>
          <w:color w:val="000000" w:themeColor="text1"/>
        </w:rPr>
      </w:pPr>
      <w:r>
        <w:rPr>
          <w:b/>
          <w:color w:val="000000" w:themeColor="text1"/>
        </w:rPr>
        <w:t xml:space="preserve">March </w:t>
      </w:r>
      <w:r w:rsidR="00FB25FA">
        <w:rPr>
          <w:b/>
          <w:color w:val="000000" w:themeColor="text1"/>
        </w:rPr>
        <w:t>2018</w:t>
      </w:r>
    </w:p>
    <w:sectPr w:rsidR="00431786" w:rsidRPr="00377370" w:rsidSect="006567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F9" w:rsidRDefault="009274F9" w:rsidP="00D62DA2">
      <w:r>
        <w:separator/>
      </w:r>
    </w:p>
  </w:endnote>
  <w:endnote w:type="continuationSeparator" w:id="0">
    <w:p w:rsidR="009274F9" w:rsidRDefault="009274F9" w:rsidP="00D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E" w:rsidRDefault="009C2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E" w:rsidRDefault="009C2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E" w:rsidRDefault="009C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F9" w:rsidRDefault="009274F9" w:rsidP="00D62DA2">
      <w:r>
        <w:separator/>
      </w:r>
    </w:p>
  </w:footnote>
  <w:footnote w:type="continuationSeparator" w:id="0">
    <w:p w:rsidR="009274F9" w:rsidRDefault="009274F9" w:rsidP="00D6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E" w:rsidRDefault="009C2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A0" w:rsidRDefault="00377370" w:rsidP="00D62DA2">
    <w:pPr>
      <w:pStyle w:val="Header"/>
    </w:pPr>
    <w:r w:rsidRPr="00A26CF9">
      <w:rPr>
        <w:rFonts w:eastAsiaTheme="minorHAnsi" w:cs="Arial"/>
        <w:noProof/>
        <w:sz w:val="24"/>
        <w:szCs w:val="24"/>
      </w:rPr>
      <mc:AlternateContent>
        <mc:Choice Requires="wps">
          <w:drawing>
            <wp:anchor distT="0" distB="0" distL="114300" distR="114300" simplePos="0" relativeHeight="251660288" behindDoc="0" locked="0" layoutInCell="1" allowOverlap="1" wp14:anchorId="57F0F92E" wp14:editId="529433B3">
              <wp:simplePos x="0" y="0"/>
              <wp:positionH relativeFrom="column">
                <wp:posOffset>3019425</wp:posOffset>
              </wp:positionH>
              <wp:positionV relativeFrom="paragraph">
                <wp:posOffset>-1905</wp:posOffset>
              </wp:positionV>
              <wp:extent cx="3295291" cy="438785"/>
              <wp:effectExtent l="0" t="0" r="19685" b="18415"/>
              <wp:wrapNone/>
              <wp:docPr id="3" name="Text Box 3"/>
              <wp:cNvGraphicFramePr/>
              <a:graphic xmlns:a="http://schemas.openxmlformats.org/drawingml/2006/main">
                <a:graphicData uri="http://schemas.microsoft.com/office/word/2010/wordprocessingShape">
                  <wps:wsp>
                    <wps:cNvSpPr txBox="1"/>
                    <wps:spPr>
                      <a:xfrm>
                        <a:off x="0" y="0"/>
                        <a:ext cx="3295291" cy="438785"/>
                      </a:xfrm>
                      <a:prstGeom prst="rect">
                        <a:avLst/>
                      </a:prstGeom>
                      <a:solidFill>
                        <a:sysClr val="window" lastClr="FFFFFF"/>
                      </a:solidFill>
                      <a:ln w="0">
                        <a:solidFill>
                          <a:schemeClr val="bg1"/>
                        </a:solidFill>
                      </a:ln>
                      <a:effectLst/>
                    </wps:spPr>
                    <wps:txbx>
                      <w:txbxContent>
                        <w:p w:rsidR="006535C3" w:rsidRDefault="006535C3" w:rsidP="006535C3">
                          <w:pPr>
                            <w:ind w:left="1440"/>
                            <w:jc w:val="right"/>
                            <w:rPr>
                              <w:sz w:val="18"/>
                              <w:szCs w:val="18"/>
                              <w:lang w:val="en-US"/>
                            </w:rPr>
                          </w:pPr>
                          <w:r>
                            <w:rPr>
                              <w:sz w:val="18"/>
                              <w:szCs w:val="18"/>
                            </w:rPr>
                            <w:t xml:space="preserve">Rating (Property in Common Occupation) </w:t>
                          </w:r>
                          <w:r>
                            <w:rPr>
                              <w:sz w:val="18"/>
                              <w:szCs w:val="18"/>
                            </w:rPr>
                            <w:br/>
                            <w:t>and Council Tax (Empty Dwellings) Bill</w:t>
                          </w:r>
                        </w:p>
                        <w:p w:rsidR="00A26CF9" w:rsidRPr="00A26CF9" w:rsidRDefault="00A26CF9" w:rsidP="00FF1A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75pt;margin-top:-.15pt;width:259.45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QAVwIAAL0EAAAOAAAAZHJzL2Uyb0RvYy54bWysVE1PGzEQvVfqf7B8L5svSojYoBSUqhIC&#10;JKg4O15vspLX49pOdtNf32fvJgToqWoOznx5PPPmzV5dt7VmO+V8RSbnw7MBZ8pIKiqzzvnP5+WX&#10;KWc+CFMITUblfK88v55//nTV2Jka0YZ0oRxDEuNnjc35JgQ7yzIvN6oW/oysMnCW5GoRoLp1VjjR&#10;IHuts9Fg8DVryBXWkVTew3rbOfk85S9LJcNDWXoVmM45agvpdOlcxTObX4nZ2gm7qWRfhviHKmpR&#10;GTx6THUrgmBbV31IVVfSkacynEmqMyrLSqrUA7oZDt5187QRVqVeAI63R5j8/0sr73ePjlVFzsec&#10;GVFjRM+qDewbtWwc0WmsnyHoySIstDBjyge7hzE23Zaujv9oh8EPnPdHbGMyCeN4dHk+uhxyJuGb&#10;jKcX0/OYJnu9bZ0P3xXVLAo5d5hdglTs7nzoQg8h8TFPuiqWldZJ2fsb7dhOYMxgR0ENZ1r4AGPO&#10;l+nXv/bmmjasiZV+zBf5p44pV+vUM4o9uQ5Nm3hTJZ71RUa8OlyiFNpV24O4omIPDB11HPRWLis0&#10;eocqH4UD6QAbFik84Cg1oS7qJc425H7/zR7jwQV4OWtA4pz7X1vhFJr/YcCSy+FkElmflMn5xQiK&#10;O/WsTj1mW98QAMSQUF0SY3zQB7F0VL9g3xbxVbiEkXg75+Eg3oRutbCvUi0WKQg8tyLcmScrY+oI&#10;WBzjc/sinO1nHcCSezrQXczejbyLjTcNLbaByirxIQLcoQoeRQU7khjV73NcwlM9Rb1+deZ/AAAA&#10;//8DAFBLAwQUAAYACAAAACEAwyNITeEAAAAIAQAADwAAAGRycy9kb3ducmV2LnhtbEyPzU7DMBCE&#10;70i8g7VI3FqH/LRpiFMBUjlxaEur0psTL0lEvI5iNw1vjznBcTSjmW/y9aQ7NuJgW0MCHuYBMKTK&#10;qJZqAYf3zSwFZp0kJTtDKOAbLayL25tcZspcaYfj3tXMl5DNpIDGuT7j3FYNamnnpkfy3qcZtHRe&#10;DjVXg7z6ct3xMAgWXMuW/EIje3xpsPraX7SAMNoG4fObiz7Ou3FTnl+Py1NyFOL+bnp6BOZwcn9h&#10;+MX36FB4ptJcSFnWCYiXSeKjAmYRMO+vVnEMrBSwSFPgRc7/Hyh+AAAA//8DAFBLAQItABQABgAI&#10;AAAAIQC2gziS/gAAAOEBAAATAAAAAAAAAAAAAAAAAAAAAABbQ29udGVudF9UeXBlc10ueG1sUEsB&#10;Ai0AFAAGAAgAAAAhADj9If/WAAAAlAEAAAsAAAAAAAAAAAAAAAAALwEAAF9yZWxzLy5yZWxzUEsB&#10;Ai0AFAAGAAgAAAAhAK/VpABXAgAAvQQAAA4AAAAAAAAAAAAAAAAALgIAAGRycy9lMm9Eb2MueG1s&#10;UEsBAi0AFAAGAAgAAAAhAMMjSE3hAAAACAEAAA8AAAAAAAAAAAAAAAAAsQQAAGRycy9kb3ducmV2&#10;LnhtbFBLBQYAAAAABAAEAPMAAAC/BQAAAAA=&#10;" fillcolor="window" strokecolor="white [3212]" strokeweight="0">
              <v:textbox>
                <w:txbxContent>
                  <w:p w:rsidR="006535C3" w:rsidRDefault="006535C3" w:rsidP="006535C3">
                    <w:pPr>
                      <w:ind w:left="1440"/>
                      <w:jc w:val="right"/>
                      <w:rPr>
                        <w:sz w:val="18"/>
                        <w:szCs w:val="18"/>
                        <w:lang w:val="en-US"/>
                      </w:rPr>
                    </w:pPr>
                    <w:r>
                      <w:rPr>
                        <w:sz w:val="18"/>
                        <w:szCs w:val="18"/>
                      </w:rPr>
                      <w:t xml:space="preserve">Rating (Property in Common Occupation) </w:t>
                    </w:r>
                    <w:r>
                      <w:rPr>
                        <w:sz w:val="18"/>
                        <w:szCs w:val="18"/>
                      </w:rPr>
                      <w:br/>
                      <w:t>and Council Tax (Empty Dwellings) Bill</w:t>
                    </w:r>
                  </w:p>
                  <w:p w:rsidR="00A26CF9" w:rsidRPr="00A26CF9" w:rsidRDefault="00A26CF9" w:rsidP="00FF1A85">
                    <w:pPr>
                      <w:rPr>
                        <w:sz w:val="18"/>
                        <w:szCs w:val="18"/>
                      </w:rPr>
                    </w:pPr>
                  </w:p>
                </w:txbxContent>
              </v:textbox>
            </v:shape>
          </w:pict>
        </mc:Fallback>
      </mc:AlternateContent>
    </w:r>
    <w:r w:rsidR="009C22AE">
      <w:rPr>
        <w:noProof/>
      </w:rPr>
      <w:drawing>
        <wp:inline distT="0" distB="0" distL="0" distR="0" wp14:anchorId="09D7D949" wp14:editId="38B768A9">
          <wp:extent cx="845389" cy="4736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506" cy="473759"/>
                  </a:xfrm>
                  <a:prstGeom prst="rect">
                    <a:avLst/>
                  </a:prstGeom>
                  <a:noFill/>
                  <a:ln>
                    <a:noFill/>
                  </a:ln>
                </pic:spPr>
              </pic:pic>
            </a:graphicData>
          </a:graphic>
        </wp:inline>
      </w:drawing>
    </w:r>
  </w:p>
  <w:p w:rsidR="001622A0" w:rsidRDefault="001622A0" w:rsidP="00D62D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E" w:rsidRDefault="009C2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E2C"/>
    <w:multiLevelType w:val="hybridMultilevel"/>
    <w:tmpl w:val="677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F4B75"/>
    <w:multiLevelType w:val="hybridMultilevel"/>
    <w:tmpl w:val="3E42D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0678A"/>
    <w:multiLevelType w:val="hybridMultilevel"/>
    <w:tmpl w:val="C64A7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AC27354"/>
    <w:multiLevelType w:val="hybridMultilevel"/>
    <w:tmpl w:val="E578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121E4"/>
    <w:multiLevelType w:val="hybridMultilevel"/>
    <w:tmpl w:val="5E9AAC9E"/>
    <w:lvl w:ilvl="0" w:tplc="9B14C5C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85E0012"/>
    <w:multiLevelType w:val="hybridMultilevel"/>
    <w:tmpl w:val="AA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60F09"/>
    <w:multiLevelType w:val="hybridMultilevel"/>
    <w:tmpl w:val="02806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9D1600"/>
    <w:multiLevelType w:val="hybridMultilevel"/>
    <w:tmpl w:val="478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F389E"/>
    <w:multiLevelType w:val="hybridMultilevel"/>
    <w:tmpl w:val="648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E655C"/>
    <w:multiLevelType w:val="hybridMultilevel"/>
    <w:tmpl w:val="9B7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46B51"/>
    <w:multiLevelType w:val="hybridMultilevel"/>
    <w:tmpl w:val="7C60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64787"/>
    <w:multiLevelType w:val="hybridMultilevel"/>
    <w:tmpl w:val="1FD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355F9"/>
    <w:multiLevelType w:val="hybridMultilevel"/>
    <w:tmpl w:val="14EAA054"/>
    <w:lvl w:ilvl="0" w:tplc="308E23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626F074F"/>
    <w:multiLevelType w:val="hybridMultilevel"/>
    <w:tmpl w:val="7CA6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8629CE"/>
    <w:multiLevelType w:val="hybridMultilevel"/>
    <w:tmpl w:val="A11AF1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A46BF"/>
    <w:multiLevelType w:val="hybridMultilevel"/>
    <w:tmpl w:val="930EE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DCA0897"/>
    <w:multiLevelType w:val="hybridMultilevel"/>
    <w:tmpl w:val="50240408"/>
    <w:lvl w:ilvl="0" w:tplc="308E23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2"/>
  </w:num>
  <w:num w:numId="5">
    <w:abstractNumId w:val="1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4"/>
  </w:num>
  <w:num w:numId="12">
    <w:abstractNumId w:val="1"/>
  </w:num>
  <w:num w:numId="13">
    <w:abstractNumId w:val="9"/>
  </w:num>
  <w:num w:numId="14">
    <w:abstractNumId w:val="5"/>
  </w:num>
  <w:num w:numId="15">
    <w:abstractNumId w:val="10"/>
  </w:num>
  <w:num w:numId="16">
    <w:abstractNumId w:val="13"/>
  </w:num>
  <w:num w:numId="17">
    <w:abstractNumId w:val="0"/>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dman, Mary E">
    <w15:presenceInfo w15:providerId="AD" w15:userId="S-1-5-21-3438643393-1502107462-4241838797-8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A2"/>
    <w:rsid w:val="000124DD"/>
    <w:rsid w:val="00041FF6"/>
    <w:rsid w:val="00045B1E"/>
    <w:rsid w:val="00050745"/>
    <w:rsid w:val="000523B0"/>
    <w:rsid w:val="00071BE2"/>
    <w:rsid w:val="00074F28"/>
    <w:rsid w:val="00093B88"/>
    <w:rsid w:val="00096004"/>
    <w:rsid w:val="000B6992"/>
    <w:rsid w:val="000C54FE"/>
    <w:rsid w:val="000F18BC"/>
    <w:rsid w:val="001261BF"/>
    <w:rsid w:val="00130DB1"/>
    <w:rsid w:val="00140E0F"/>
    <w:rsid w:val="001479E2"/>
    <w:rsid w:val="001622A0"/>
    <w:rsid w:val="001B195F"/>
    <w:rsid w:val="001D3300"/>
    <w:rsid w:val="00237772"/>
    <w:rsid w:val="00255C32"/>
    <w:rsid w:val="0027727F"/>
    <w:rsid w:val="00295ADC"/>
    <w:rsid w:val="002F076A"/>
    <w:rsid w:val="00322DD1"/>
    <w:rsid w:val="00337CB9"/>
    <w:rsid w:val="0034030A"/>
    <w:rsid w:val="00376CB7"/>
    <w:rsid w:val="00377370"/>
    <w:rsid w:val="00391B72"/>
    <w:rsid w:val="003B50A0"/>
    <w:rsid w:val="003D65AF"/>
    <w:rsid w:val="003D76BD"/>
    <w:rsid w:val="003E1B05"/>
    <w:rsid w:val="003F3A82"/>
    <w:rsid w:val="003F523D"/>
    <w:rsid w:val="00431786"/>
    <w:rsid w:val="00453EF9"/>
    <w:rsid w:val="00455FF3"/>
    <w:rsid w:val="00464049"/>
    <w:rsid w:val="00470083"/>
    <w:rsid w:val="0048706C"/>
    <w:rsid w:val="00497EFE"/>
    <w:rsid w:val="004B3F4A"/>
    <w:rsid w:val="004C4126"/>
    <w:rsid w:val="004D638D"/>
    <w:rsid w:val="00581DEA"/>
    <w:rsid w:val="00582DDD"/>
    <w:rsid w:val="00595AF4"/>
    <w:rsid w:val="005B0F3D"/>
    <w:rsid w:val="005C4B61"/>
    <w:rsid w:val="005F7D7B"/>
    <w:rsid w:val="00603A99"/>
    <w:rsid w:val="00610679"/>
    <w:rsid w:val="00633F91"/>
    <w:rsid w:val="00636990"/>
    <w:rsid w:val="006508BA"/>
    <w:rsid w:val="006535C3"/>
    <w:rsid w:val="00653EED"/>
    <w:rsid w:val="00654565"/>
    <w:rsid w:val="00656799"/>
    <w:rsid w:val="00672AA5"/>
    <w:rsid w:val="00687357"/>
    <w:rsid w:val="0068787F"/>
    <w:rsid w:val="006C0242"/>
    <w:rsid w:val="006C5D50"/>
    <w:rsid w:val="006D2FB2"/>
    <w:rsid w:val="006D675E"/>
    <w:rsid w:val="006F20D8"/>
    <w:rsid w:val="006F4932"/>
    <w:rsid w:val="00733505"/>
    <w:rsid w:val="0074463C"/>
    <w:rsid w:val="00796B45"/>
    <w:rsid w:val="007976E2"/>
    <w:rsid w:val="007E4E38"/>
    <w:rsid w:val="00807DA7"/>
    <w:rsid w:val="00846E4B"/>
    <w:rsid w:val="00861B5B"/>
    <w:rsid w:val="0086208A"/>
    <w:rsid w:val="00873B2D"/>
    <w:rsid w:val="00885D59"/>
    <w:rsid w:val="00887CA2"/>
    <w:rsid w:val="00892B03"/>
    <w:rsid w:val="008B22BA"/>
    <w:rsid w:val="008E52F3"/>
    <w:rsid w:val="008F2A55"/>
    <w:rsid w:val="009070E7"/>
    <w:rsid w:val="00917CD8"/>
    <w:rsid w:val="009274F9"/>
    <w:rsid w:val="009303CC"/>
    <w:rsid w:val="00944BE8"/>
    <w:rsid w:val="00950078"/>
    <w:rsid w:val="00950B8E"/>
    <w:rsid w:val="00954562"/>
    <w:rsid w:val="00967EEA"/>
    <w:rsid w:val="0097102E"/>
    <w:rsid w:val="00983ECF"/>
    <w:rsid w:val="009A40B1"/>
    <w:rsid w:val="009B1C9D"/>
    <w:rsid w:val="009B572A"/>
    <w:rsid w:val="009C15A1"/>
    <w:rsid w:val="009C22AE"/>
    <w:rsid w:val="009C573A"/>
    <w:rsid w:val="009F3B81"/>
    <w:rsid w:val="00A26CF9"/>
    <w:rsid w:val="00A51D40"/>
    <w:rsid w:val="00A60FC4"/>
    <w:rsid w:val="00A820B5"/>
    <w:rsid w:val="00A84288"/>
    <w:rsid w:val="00AB21F0"/>
    <w:rsid w:val="00AD2B62"/>
    <w:rsid w:val="00B20E88"/>
    <w:rsid w:val="00B241EA"/>
    <w:rsid w:val="00B26FF5"/>
    <w:rsid w:val="00B36753"/>
    <w:rsid w:val="00B72ED4"/>
    <w:rsid w:val="00B86E08"/>
    <w:rsid w:val="00B94F5A"/>
    <w:rsid w:val="00BB11D4"/>
    <w:rsid w:val="00BB5E22"/>
    <w:rsid w:val="00BC2D89"/>
    <w:rsid w:val="00BF4395"/>
    <w:rsid w:val="00C2308C"/>
    <w:rsid w:val="00C236F0"/>
    <w:rsid w:val="00C47AE6"/>
    <w:rsid w:val="00C83DB5"/>
    <w:rsid w:val="00C87C24"/>
    <w:rsid w:val="00C946EA"/>
    <w:rsid w:val="00C95B47"/>
    <w:rsid w:val="00CB705D"/>
    <w:rsid w:val="00CF1F86"/>
    <w:rsid w:val="00D2637B"/>
    <w:rsid w:val="00D356DA"/>
    <w:rsid w:val="00D62DA2"/>
    <w:rsid w:val="00D835E0"/>
    <w:rsid w:val="00DB2FCB"/>
    <w:rsid w:val="00DE5443"/>
    <w:rsid w:val="00E905D6"/>
    <w:rsid w:val="00EB1436"/>
    <w:rsid w:val="00EB3D5D"/>
    <w:rsid w:val="00EE3D11"/>
    <w:rsid w:val="00EE6DFC"/>
    <w:rsid w:val="00EF14F2"/>
    <w:rsid w:val="00F166FD"/>
    <w:rsid w:val="00F66D89"/>
    <w:rsid w:val="00F703DE"/>
    <w:rsid w:val="00F73214"/>
    <w:rsid w:val="00F948B0"/>
    <w:rsid w:val="00F95F12"/>
    <w:rsid w:val="00FA2F2C"/>
    <w:rsid w:val="00FB25FA"/>
    <w:rsid w:val="00FD2A6A"/>
    <w:rsid w:val="00FF1A85"/>
    <w:rsid w:val="00FF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DA2"/>
    <w:pPr>
      <w:tabs>
        <w:tab w:val="center" w:pos="4513"/>
        <w:tab w:val="right" w:pos="9026"/>
      </w:tabs>
    </w:pPr>
  </w:style>
  <w:style w:type="character" w:customStyle="1" w:styleId="HeaderChar">
    <w:name w:val="Header Char"/>
    <w:basedOn w:val="DefaultParagraphFont"/>
    <w:link w:val="Header"/>
    <w:rsid w:val="00D62DA2"/>
    <w:rPr>
      <w:rFonts w:ascii="Arial" w:hAnsi="Arial"/>
      <w:sz w:val="22"/>
      <w:szCs w:val="22"/>
    </w:rPr>
  </w:style>
  <w:style w:type="paragraph" w:styleId="Footer">
    <w:name w:val="footer"/>
    <w:basedOn w:val="Normal"/>
    <w:link w:val="FooterChar"/>
    <w:rsid w:val="00D62DA2"/>
    <w:pPr>
      <w:tabs>
        <w:tab w:val="center" w:pos="4513"/>
        <w:tab w:val="right" w:pos="9026"/>
      </w:tabs>
    </w:pPr>
  </w:style>
  <w:style w:type="character" w:customStyle="1" w:styleId="FooterChar">
    <w:name w:val="Footer Char"/>
    <w:basedOn w:val="DefaultParagraphFont"/>
    <w:link w:val="Footer"/>
    <w:rsid w:val="00D62DA2"/>
    <w:rPr>
      <w:rFonts w:ascii="Arial" w:hAnsi="Arial"/>
      <w:sz w:val="22"/>
      <w:szCs w:val="22"/>
    </w:rPr>
  </w:style>
  <w:style w:type="paragraph" w:styleId="BalloonText">
    <w:name w:val="Balloon Text"/>
    <w:basedOn w:val="Normal"/>
    <w:link w:val="BalloonTextChar"/>
    <w:rsid w:val="00D62DA2"/>
    <w:rPr>
      <w:rFonts w:ascii="Tahoma" w:hAnsi="Tahoma" w:cs="Tahoma"/>
      <w:sz w:val="16"/>
      <w:szCs w:val="16"/>
    </w:rPr>
  </w:style>
  <w:style w:type="character" w:customStyle="1" w:styleId="BalloonTextChar">
    <w:name w:val="Balloon Text Char"/>
    <w:basedOn w:val="DefaultParagraphFont"/>
    <w:link w:val="BalloonText"/>
    <w:rsid w:val="00D62DA2"/>
    <w:rPr>
      <w:rFonts w:ascii="Tahoma" w:hAnsi="Tahoma" w:cs="Tahoma"/>
      <w:sz w:val="16"/>
      <w:szCs w:val="16"/>
    </w:rPr>
  </w:style>
  <w:style w:type="character" w:styleId="Hyperlink">
    <w:name w:val="Hyperlink"/>
    <w:basedOn w:val="DefaultParagraphFont"/>
    <w:rsid w:val="006F4932"/>
    <w:rPr>
      <w:color w:val="0000FF"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qFormat/>
    <w:rsid w:val="00140E0F"/>
    <w:pPr>
      <w:ind w:left="720"/>
      <w:contextualSpacing/>
    </w:pPr>
  </w:style>
  <w:style w:type="character" w:styleId="CommentReference">
    <w:name w:val="annotation reference"/>
    <w:basedOn w:val="DefaultParagraphFont"/>
    <w:rsid w:val="00EB1436"/>
    <w:rPr>
      <w:sz w:val="16"/>
      <w:szCs w:val="16"/>
    </w:rPr>
  </w:style>
  <w:style w:type="paragraph" w:styleId="CommentText">
    <w:name w:val="annotation text"/>
    <w:basedOn w:val="Normal"/>
    <w:link w:val="CommentTextChar"/>
    <w:rsid w:val="00EB1436"/>
    <w:rPr>
      <w:sz w:val="20"/>
      <w:szCs w:val="20"/>
    </w:rPr>
  </w:style>
  <w:style w:type="character" w:customStyle="1" w:styleId="CommentTextChar">
    <w:name w:val="Comment Text Char"/>
    <w:basedOn w:val="DefaultParagraphFont"/>
    <w:link w:val="CommentText"/>
    <w:rsid w:val="00EB1436"/>
    <w:rPr>
      <w:rFonts w:ascii="Arial" w:hAnsi="Arial"/>
    </w:rPr>
  </w:style>
  <w:style w:type="paragraph" w:styleId="CommentSubject">
    <w:name w:val="annotation subject"/>
    <w:basedOn w:val="CommentText"/>
    <w:next w:val="CommentText"/>
    <w:link w:val="CommentSubjectChar"/>
    <w:rsid w:val="00EB1436"/>
    <w:rPr>
      <w:b/>
      <w:bCs/>
    </w:rPr>
  </w:style>
  <w:style w:type="character" w:customStyle="1" w:styleId="CommentSubjectChar">
    <w:name w:val="Comment Subject Char"/>
    <w:basedOn w:val="CommentTextChar"/>
    <w:link w:val="CommentSubject"/>
    <w:rsid w:val="00EB1436"/>
    <w:rPr>
      <w:rFonts w:ascii="Arial" w:hAnsi="Arial"/>
      <w:b/>
      <w:bC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48706C"/>
    <w:rPr>
      <w:rFonts w:ascii="Arial" w:hAnsi="Arial"/>
      <w:sz w:val="22"/>
      <w:szCs w:val="22"/>
    </w:rPr>
  </w:style>
  <w:style w:type="paragraph" w:styleId="FootnoteText">
    <w:name w:val="footnote text"/>
    <w:basedOn w:val="Normal"/>
    <w:link w:val="FootnoteTextChar"/>
    <w:rsid w:val="00C95B47"/>
    <w:rPr>
      <w:sz w:val="20"/>
      <w:szCs w:val="20"/>
    </w:rPr>
  </w:style>
  <w:style w:type="character" w:customStyle="1" w:styleId="FootnoteTextChar">
    <w:name w:val="Footnote Text Char"/>
    <w:basedOn w:val="DefaultParagraphFont"/>
    <w:link w:val="FootnoteText"/>
    <w:rsid w:val="00C95B47"/>
    <w:rPr>
      <w:rFonts w:ascii="Arial" w:hAnsi="Arial"/>
    </w:rPr>
  </w:style>
  <w:style w:type="character" w:styleId="FootnoteReference">
    <w:name w:val="footnote reference"/>
    <w:basedOn w:val="DefaultParagraphFont"/>
    <w:rsid w:val="00C95B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DA2"/>
    <w:pPr>
      <w:tabs>
        <w:tab w:val="center" w:pos="4513"/>
        <w:tab w:val="right" w:pos="9026"/>
      </w:tabs>
    </w:pPr>
  </w:style>
  <w:style w:type="character" w:customStyle="1" w:styleId="HeaderChar">
    <w:name w:val="Header Char"/>
    <w:basedOn w:val="DefaultParagraphFont"/>
    <w:link w:val="Header"/>
    <w:rsid w:val="00D62DA2"/>
    <w:rPr>
      <w:rFonts w:ascii="Arial" w:hAnsi="Arial"/>
      <w:sz w:val="22"/>
      <w:szCs w:val="22"/>
    </w:rPr>
  </w:style>
  <w:style w:type="paragraph" w:styleId="Footer">
    <w:name w:val="footer"/>
    <w:basedOn w:val="Normal"/>
    <w:link w:val="FooterChar"/>
    <w:rsid w:val="00D62DA2"/>
    <w:pPr>
      <w:tabs>
        <w:tab w:val="center" w:pos="4513"/>
        <w:tab w:val="right" w:pos="9026"/>
      </w:tabs>
    </w:pPr>
  </w:style>
  <w:style w:type="character" w:customStyle="1" w:styleId="FooterChar">
    <w:name w:val="Footer Char"/>
    <w:basedOn w:val="DefaultParagraphFont"/>
    <w:link w:val="Footer"/>
    <w:rsid w:val="00D62DA2"/>
    <w:rPr>
      <w:rFonts w:ascii="Arial" w:hAnsi="Arial"/>
      <w:sz w:val="22"/>
      <w:szCs w:val="22"/>
    </w:rPr>
  </w:style>
  <w:style w:type="paragraph" w:styleId="BalloonText">
    <w:name w:val="Balloon Text"/>
    <w:basedOn w:val="Normal"/>
    <w:link w:val="BalloonTextChar"/>
    <w:rsid w:val="00D62DA2"/>
    <w:rPr>
      <w:rFonts w:ascii="Tahoma" w:hAnsi="Tahoma" w:cs="Tahoma"/>
      <w:sz w:val="16"/>
      <w:szCs w:val="16"/>
    </w:rPr>
  </w:style>
  <w:style w:type="character" w:customStyle="1" w:styleId="BalloonTextChar">
    <w:name w:val="Balloon Text Char"/>
    <w:basedOn w:val="DefaultParagraphFont"/>
    <w:link w:val="BalloonText"/>
    <w:rsid w:val="00D62DA2"/>
    <w:rPr>
      <w:rFonts w:ascii="Tahoma" w:hAnsi="Tahoma" w:cs="Tahoma"/>
      <w:sz w:val="16"/>
      <w:szCs w:val="16"/>
    </w:rPr>
  </w:style>
  <w:style w:type="character" w:styleId="Hyperlink">
    <w:name w:val="Hyperlink"/>
    <w:basedOn w:val="DefaultParagraphFont"/>
    <w:rsid w:val="006F4932"/>
    <w:rPr>
      <w:color w:val="0000FF"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qFormat/>
    <w:rsid w:val="00140E0F"/>
    <w:pPr>
      <w:ind w:left="720"/>
      <w:contextualSpacing/>
    </w:pPr>
  </w:style>
  <w:style w:type="character" w:styleId="CommentReference">
    <w:name w:val="annotation reference"/>
    <w:basedOn w:val="DefaultParagraphFont"/>
    <w:rsid w:val="00EB1436"/>
    <w:rPr>
      <w:sz w:val="16"/>
      <w:szCs w:val="16"/>
    </w:rPr>
  </w:style>
  <w:style w:type="paragraph" w:styleId="CommentText">
    <w:name w:val="annotation text"/>
    <w:basedOn w:val="Normal"/>
    <w:link w:val="CommentTextChar"/>
    <w:rsid w:val="00EB1436"/>
    <w:rPr>
      <w:sz w:val="20"/>
      <w:szCs w:val="20"/>
    </w:rPr>
  </w:style>
  <w:style w:type="character" w:customStyle="1" w:styleId="CommentTextChar">
    <w:name w:val="Comment Text Char"/>
    <w:basedOn w:val="DefaultParagraphFont"/>
    <w:link w:val="CommentText"/>
    <w:rsid w:val="00EB1436"/>
    <w:rPr>
      <w:rFonts w:ascii="Arial" w:hAnsi="Arial"/>
    </w:rPr>
  </w:style>
  <w:style w:type="paragraph" w:styleId="CommentSubject">
    <w:name w:val="annotation subject"/>
    <w:basedOn w:val="CommentText"/>
    <w:next w:val="CommentText"/>
    <w:link w:val="CommentSubjectChar"/>
    <w:rsid w:val="00EB1436"/>
    <w:rPr>
      <w:b/>
      <w:bCs/>
    </w:rPr>
  </w:style>
  <w:style w:type="character" w:customStyle="1" w:styleId="CommentSubjectChar">
    <w:name w:val="Comment Subject Char"/>
    <w:basedOn w:val="CommentTextChar"/>
    <w:link w:val="CommentSubject"/>
    <w:rsid w:val="00EB1436"/>
    <w:rPr>
      <w:rFonts w:ascii="Arial" w:hAnsi="Arial"/>
      <w:b/>
      <w:bC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48706C"/>
    <w:rPr>
      <w:rFonts w:ascii="Arial" w:hAnsi="Arial"/>
      <w:sz w:val="22"/>
      <w:szCs w:val="22"/>
    </w:rPr>
  </w:style>
  <w:style w:type="paragraph" w:styleId="FootnoteText">
    <w:name w:val="footnote text"/>
    <w:basedOn w:val="Normal"/>
    <w:link w:val="FootnoteTextChar"/>
    <w:rsid w:val="00C95B47"/>
    <w:rPr>
      <w:sz w:val="20"/>
      <w:szCs w:val="20"/>
    </w:rPr>
  </w:style>
  <w:style w:type="character" w:customStyle="1" w:styleId="FootnoteTextChar">
    <w:name w:val="Footnote Text Char"/>
    <w:basedOn w:val="DefaultParagraphFont"/>
    <w:link w:val="FootnoteText"/>
    <w:rsid w:val="00C95B47"/>
    <w:rPr>
      <w:rFonts w:ascii="Arial" w:hAnsi="Arial"/>
    </w:rPr>
  </w:style>
  <w:style w:type="character" w:styleId="FootnoteReference">
    <w:name w:val="footnote reference"/>
    <w:basedOn w:val="DefaultParagraphFont"/>
    <w:rsid w:val="00C95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3557">
      <w:bodyDiv w:val="1"/>
      <w:marLeft w:val="0"/>
      <w:marRight w:val="0"/>
      <w:marTop w:val="0"/>
      <w:marBottom w:val="0"/>
      <w:divBdr>
        <w:top w:val="none" w:sz="0" w:space="0" w:color="auto"/>
        <w:left w:val="none" w:sz="0" w:space="0" w:color="auto"/>
        <w:bottom w:val="none" w:sz="0" w:space="0" w:color="auto"/>
        <w:right w:val="none" w:sz="0" w:space="0" w:color="auto"/>
      </w:divBdr>
    </w:div>
    <w:div w:id="1453864158">
      <w:bodyDiv w:val="1"/>
      <w:marLeft w:val="0"/>
      <w:marRight w:val="0"/>
      <w:marTop w:val="0"/>
      <w:marBottom w:val="0"/>
      <w:divBdr>
        <w:top w:val="none" w:sz="0" w:space="0" w:color="auto"/>
        <w:left w:val="none" w:sz="0" w:space="0" w:color="auto"/>
        <w:bottom w:val="none" w:sz="0" w:space="0" w:color="auto"/>
        <w:right w:val="none" w:sz="0" w:space="0" w:color="auto"/>
      </w:divBdr>
    </w:div>
    <w:div w:id="1775635267">
      <w:bodyDiv w:val="1"/>
      <w:marLeft w:val="0"/>
      <w:marRight w:val="0"/>
      <w:marTop w:val="0"/>
      <w:marBottom w:val="0"/>
      <w:divBdr>
        <w:top w:val="none" w:sz="0" w:space="0" w:color="auto"/>
        <w:left w:val="none" w:sz="0" w:space="0" w:color="auto"/>
        <w:bottom w:val="none" w:sz="0" w:space="0" w:color="auto"/>
        <w:right w:val="none" w:sz="0" w:space="0" w:color="auto"/>
      </w:divBdr>
    </w:div>
    <w:div w:id="20334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gov.uk/government/consultations/business-rates-in-multi-occupied-propert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0512-7672-44B9-B0C0-0182E1335D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07BAD5-EE92-4698-8CCA-D363F354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E7EFA8B0</Template>
  <TotalTime>3</TotalTime>
  <Pages>2</Pages>
  <Words>709</Words>
  <Characters>3811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Phipps-Williams</dc:creator>
  <cp:lastModifiedBy>jhutchin</cp:lastModifiedBy>
  <cp:revision>5</cp:revision>
  <cp:lastPrinted>2018-03-22T10:09:00Z</cp:lastPrinted>
  <dcterms:created xsi:type="dcterms:W3CDTF">2018-03-22T11:00:00Z</dcterms:created>
  <dcterms:modified xsi:type="dcterms:W3CDTF">2018-03-26T09:48:00Z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b08eb5f1-ca44-438b-930b-6df3ecbdbe99</vt:lpwstr>
  </property>
  <property fmtid="{D5CDD505-2E9C-101B-9397-08002B2CF9AE}" pid="3" name="bjSaver">
    <vt:lpwstr>+BNk5XFO3xXbLXPai1m0Q1nlb6DeNoou</vt:lpwstr>
  </property>
  <property fmtid="{D5CDD505-2E9C-101B-9397-08002B2CF9AE}" pid="4" name="bjDocumentSecurityLabel">
    <vt:lpwstr>No Marking</vt:lpwstr>
  </property>
</Properties>
</file>