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Memorandum on the application of Standing Order No. 83L of the Standing Orders of the House of Commons relating to Public Business to the European Union (Withdrawal) Bill as amended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Commons Stage Committee and Report amendments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is the Department’s assessment of the Bill and amendments to the Bill made at Commons Committee Stage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proposed Government amendments at Report stage.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Summary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Clauses 9, 14, 15 and 17 (and schedules 7 and 8) were amended at Committee, all of which continue to extend and apply to England and Wales, Scotland and Northern Ireland.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Clause 7 and schedules 2, 7 and 8 will also be amended if the House agrees to the amendments the Government has proposed at Report, all of which will continue to extend and apply to England and Wales, Scotland and Northern Ireland.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 of the above amendments change the territorial extent or application of any part of the Bill. This assessment is presented in tabular form below and is unchanged from the analysis published in the Bill’s explanatory notes.</w:t>
      </w:r>
    </w:p>
    <w:tbl>
      <w:tblPr>
        <w:tblStyle w:val="Table1"/>
        <w:tblW w:w="10460.0" w:type="dxa"/>
        <w:jc w:val="center"/>
        <w:tblBorders>
          <w:top w:color="0070c0" w:space="0" w:sz="8" w:val="single"/>
          <w:left w:color="0070c0" w:space="0" w:sz="8" w:val="single"/>
          <w:bottom w:color="0070c0" w:space="0" w:sz="8" w:val="single"/>
          <w:right w:color="0070c0" w:space="0" w:sz="8" w:val="single"/>
          <w:insideH w:color="0070c0" w:space="0" w:sz="4" w:val="single"/>
          <w:insideV w:color="0070c0" w:space="0" w:sz="4" w:val="single"/>
        </w:tblBorders>
        <w:tblLayout w:type="fixed"/>
        <w:tblLook w:val="0000"/>
      </w:tblPr>
      <w:tblGrid>
        <w:gridCol w:w="1220"/>
        <w:gridCol w:w="960"/>
        <w:gridCol w:w="940"/>
        <w:gridCol w:w="980"/>
        <w:gridCol w:w="1120"/>
        <w:gridCol w:w="1300"/>
        <w:gridCol w:w="1320"/>
        <w:gridCol w:w="1420"/>
        <w:gridCol w:w="1200"/>
        <w:tblGridChange w:id="0">
          <w:tblGrid>
            <w:gridCol w:w="1220"/>
            <w:gridCol w:w="960"/>
            <w:gridCol w:w="940"/>
            <w:gridCol w:w="980"/>
            <w:gridCol w:w="1120"/>
            <w:gridCol w:w="1300"/>
            <w:gridCol w:w="1320"/>
            <w:gridCol w:w="1420"/>
            <w:gridCol w:w="1200"/>
          </w:tblGrid>
        </w:tblGridChange>
      </w:tblGrid>
      <w:tr>
        <w:trPr>
          <w:trHeight w:val="114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Provision</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Extends to E &amp; W and applies to England?</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Extends to E &amp; W and applies to Wales?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Extends and applies to Scotland?</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Extends and applies to Northern Ireland?</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Would corresponding provision be within the competence of the National Assembly for Wales?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Would corresponding provision be within the competence of the Scottish Parliament?</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Would corresponding provision be within the competence of the Northern Ireland Assembly?</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Legislative Consent Motion needed?</w:t>
            </w:r>
          </w:p>
        </w:tc>
      </w:tr>
      <w:tr>
        <w:trPr>
          <w:trHeight w:val="3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1</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(S, W, NI)</w:t>
            </w:r>
          </w:p>
        </w:tc>
      </w:tr>
      <w:tr>
        <w:trPr>
          <w:trHeight w:val="3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2 &amp; Schedule 1</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(S, W, NI)</w:t>
            </w:r>
          </w:p>
        </w:tc>
      </w:tr>
      <w:tr>
        <w:trPr>
          <w:trHeight w:val="3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3</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(S, W, NI)</w:t>
            </w:r>
          </w:p>
        </w:tc>
      </w:tr>
      <w:tr>
        <w:trPr>
          <w:trHeight w:val="3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4</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(S, W, NI)</w:t>
            </w:r>
          </w:p>
        </w:tc>
      </w:tr>
      <w:tr>
        <w:trPr>
          <w:trHeight w:val="3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5</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p>
        </w:tc>
      </w:tr>
      <w:tr>
        <w:trPr>
          <w:trHeight w:val="3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6</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p>
        </w:tc>
      </w:tr>
      <w:tr>
        <w:trPr>
          <w:trHeight w:val="3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7</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p>
        </w:tc>
      </w:tr>
      <w:tr>
        <w:trPr>
          <w:trHeight w:val="3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8</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(S, W, NI)</w:t>
            </w:r>
          </w:p>
        </w:tc>
      </w:tr>
      <w:tr>
        <w:trPr>
          <w:trHeight w:val="3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9</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p>
        </w:tc>
      </w:tr>
      <w:tr>
        <w:trPr>
          <w:trHeight w:val="3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10 &amp; Schedule 2</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(S, W, NI)</w:t>
            </w:r>
          </w:p>
        </w:tc>
      </w:tr>
      <w:tr>
        <w:trPr>
          <w:trHeight w:val="3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11 &amp; Schedule 3</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(S, W, NI)</w:t>
            </w:r>
          </w:p>
        </w:tc>
      </w:tr>
      <w:tr>
        <w:trPr>
          <w:trHeight w:val="3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12 &amp; Schedule 4</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(S, W, NI)</w:t>
            </w:r>
          </w:p>
        </w:tc>
      </w:tr>
      <w:tr>
        <w:trPr>
          <w:trHeight w:val="3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13 &amp; Schedule 5</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p>
        </w:tc>
      </w:tr>
      <w:tr>
        <w:trPr>
          <w:trHeight w:val="3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14 &amp; Schedule 6</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p>
        </w:tc>
      </w:tr>
      <w:tr>
        <w:trPr>
          <w:trHeight w:val="3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15</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p>
        </w:tc>
      </w:tr>
      <w:tr>
        <w:trPr>
          <w:trHeight w:val="3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16 &amp; Schedule 7</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(S, W, NI)</w:t>
            </w:r>
          </w:p>
        </w:tc>
      </w:tr>
      <w:tr>
        <w:trPr>
          <w:trHeight w:val="3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17, Schedule 8 &amp; Schedule 9 </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p>
        </w:tc>
      </w:tr>
      <w:tr>
        <w:trPr>
          <w:trHeight w:val="3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18</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p>
        </w:tc>
      </w:tr>
      <w:tr>
        <w:trPr>
          <w:trHeight w:val="3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19</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Territorial application</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amendments made at Committee Stage, and proposed by the Government for Report Stage, apply in England and Wales, Scotland and Northern Ireland. There is therefore no change to the territorial application of the Bill.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Minor or consequential effects</w:t>
      </w:r>
      <w:r w:rsidDel="00000000" w:rsidR="00000000" w:rsidRPr="00000000">
        <w:rPr>
          <w:rFonts w:ascii="Arial" w:cs="Arial" w:eastAsia="Arial" w:hAnsi="Arial"/>
          <w:b w:val="0"/>
          <w:i w:val="1"/>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no minor or consequential effects of the amendments made at Committee, or of the amendments proposed by the Government for Report, which are relevant to this analysis.</w:t>
      </w:r>
    </w:p>
    <w:sectPr>
      <w:pgSz w:h="16838" w:w="11906"/>
      <w:pgMar w:bottom="1133" w:top="1133" w:left="1133" w:right="1133"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References in this statement to an effect of a provision being minor or consequential are to its being minor or consequential for the purposes of Standing Order No. 83J of the Standing Orders of the House of Commons relating to Public Business.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uz-Cyrl-UZ"/>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rPr>
      <w:rFonts w:ascii="Palatino Linotype" w:cs="Palatino Linotype" w:eastAsia="Palatino Linotype" w:hAnsi="Palatino Linotype"/>
      <w:sz w:val="20"/>
      <w:szCs w:val="20"/>
    </w:rPr>
    <w:tblPr>
      <w:tblStyleRowBandSize w:val="1"/>
      <w:tblStyleColBandSize w:val="1"/>
      <w:tblCellMar>
        <w:top w:w="0.0" w:type="dxa"/>
        <w:left w:w="115.0" w:type="dxa"/>
        <w:bottom w:w="0.0" w:type="dxa"/>
        <w:right w:w="115.0" w:type="dxa"/>
      </w:tblCellMar>
    </w:tblPr>
    <w:tblStylePr w:type="firstRow">
      <w:rPr>
        <w:rFonts w:ascii="Arial" w:cs="Arial" w:eastAsia="Arial" w:hAnsi="Arial"/>
        <w:b w:val="1"/>
        <w:sz w:val="16"/>
        <w:szCs w:val="16"/>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