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BF" w:rsidRDefault="004852D3" w:rsidP="008E31BF">
      <w:pPr>
        <w:pStyle w:val="Title"/>
      </w:pPr>
      <w:bookmarkStart w:id="0" w:name="_Toc340693519"/>
      <w:r>
        <w:rPr>
          <w:noProof/>
          <w:lang w:eastAsia="en-GB"/>
        </w:rPr>
        <w:drawing>
          <wp:anchor distT="0" distB="0" distL="114300" distR="114300" simplePos="0" relativeHeight="251656192" behindDoc="1" locked="0" layoutInCell="0" allowOverlap="1" wp14:anchorId="20EA37E1" wp14:editId="546E70DA">
            <wp:simplePos x="0" y="0"/>
            <wp:positionH relativeFrom="column">
              <wp:posOffset>-180975</wp:posOffset>
            </wp:positionH>
            <wp:positionV relativeFrom="paragraph">
              <wp:posOffset>-3056890</wp:posOffset>
            </wp:positionV>
            <wp:extent cx="2152650" cy="1219200"/>
            <wp:effectExtent l="0" t="0" r="0" b="0"/>
            <wp:wrapTight wrapText="bothSides">
              <wp:wrapPolygon edited="0">
                <wp:start x="0" y="0"/>
                <wp:lineTo x="0" y="21263"/>
                <wp:lineTo x="21409" y="21263"/>
                <wp:lineTo x="21409" y="0"/>
                <wp:lineTo x="0" y="0"/>
              </wp:wrapPolygon>
            </wp:wrapTight>
            <wp:docPr id="5" name="Picture 5"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21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83BA6">
        <w:rPr>
          <w:noProof/>
          <w:lang w:eastAsia="en-GB"/>
        </w:rPr>
        <w:softHyphen/>
      </w:r>
      <w:r w:rsidR="00783BA6">
        <w:rPr>
          <w:noProof/>
          <w:lang w:eastAsia="en-GB"/>
        </w:rPr>
        <w:softHyphen/>
      </w:r>
      <w:r w:rsidR="00783BA6">
        <w:rPr>
          <w:noProof/>
          <w:lang w:eastAsia="en-GB"/>
        </w:rPr>
        <w:softHyphen/>
      </w:r>
      <w:r w:rsidR="00783BA6">
        <w:rPr>
          <w:noProof/>
          <w:lang w:eastAsia="en-GB"/>
        </w:rPr>
        <w:softHyphen/>
      </w:r>
      <w:r w:rsidR="00AA02E1" w:rsidRPr="00AA02E1">
        <w:rPr>
          <w:noProof/>
          <w:lang w:eastAsia="en-GB"/>
        </w:rPr>
        <w:t xml:space="preserve">The </w:t>
      </w:r>
      <w:r w:rsidR="00907185">
        <w:rPr>
          <w:noProof/>
          <w:lang w:eastAsia="en-GB"/>
        </w:rPr>
        <w:t xml:space="preserve">provisional </w:t>
      </w:r>
      <w:r w:rsidR="00306385">
        <w:rPr>
          <w:noProof/>
          <w:lang w:eastAsia="en-GB"/>
        </w:rPr>
        <w:t>2018</w:t>
      </w:r>
      <w:r w:rsidR="00435EFC">
        <w:rPr>
          <w:noProof/>
          <w:lang w:eastAsia="en-GB"/>
        </w:rPr>
        <w:t>-</w:t>
      </w:r>
      <w:r w:rsidR="00306385">
        <w:rPr>
          <w:noProof/>
          <w:lang w:eastAsia="en-GB"/>
        </w:rPr>
        <w:t>19</w:t>
      </w:r>
      <w:r w:rsidR="00907185">
        <w:rPr>
          <w:noProof/>
          <w:lang w:eastAsia="en-GB"/>
        </w:rPr>
        <w:t xml:space="preserve"> </w:t>
      </w:r>
      <w:r w:rsidR="001C3B3F">
        <w:rPr>
          <w:noProof/>
          <w:lang w:eastAsia="en-GB"/>
        </w:rPr>
        <w:t>l</w:t>
      </w:r>
      <w:r w:rsidR="00AA02E1" w:rsidRPr="00AA02E1">
        <w:rPr>
          <w:noProof/>
          <w:lang w:eastAsia="en-GB"/>
        </w:rPr>
        <w:t>oca</w:t>
      </w:r>
      <w:r w:rsidR="001C3B3F">
        <w:rPr>
          <w:noProof/>
          <w:lang w:eastAsia="en-GB"/>
        </w:rPr>
        <w:t>l government finance s</w:t>
      </w:r>
      <w:r w:rsidR="00643B7C">
        <w:rPr>
          <w:noProof/>
          <w:lang w:eastAsia="en-GB"/>
        </w:rPr>
        <w:t xml:space="preserve">ettlement </w:t>
      </w:r>
    </w:p>
    <w:p w:rsidR="008E31BF" w:rsidRDefault="00AA02E1" w:rsidP="008E31BF">
      <w:pPr>
        <w:pStyle w:val="Subtitle"/>
      </w:pPr>
      <w:r>
        <w:t>Consultation Paper</w:t>
      </w:r>
    </w:p>
    <w:p w:rsidR="008E31BF" w:rsidRDefault="008E31BF" w:rsidP="008E31BF"/>
    <w:p w:rsidR="008E31BF" w:rsidRDefault="008E31BF" w:rsidP="008E31BF">
      <w:pPr>
        <w:sectPr w:rsidR="008E31BF" w:rsidSect="009B254A">
          <w:footerReference w:type="default" r:id="rId11"/>
          <w:pgSz w:w="11906" w:h="16838"/>
          <w:pgMar w:top="5670" w:right="1134" w:bottom="1134" w:left="1077" w:header="709" w:footer="981" w:gutter="0"/>
          <w:cols w:space="708"/>
          <w:docGrid w:linePitch="360"/>
        </w:sectPr>
      </w:pPr>
    </w:p>
    <w:p w:rsidR="008E5B9B" w:rsidRDefault="008E5B9B" w:rsidP="008E5B9B">
      <w:bookmarkStart w:id="1" w:name="_Toc340693522"/>
      <w:bookmarkStart w:id="2" w:name="_Toc340693618"/>
      <w:bookmarkStart w:id="3" w:name="_Toc340693668"/>
      <w:bookmarkStart w:id="4" w:name="_Toc340693730"/>
      <w:bookmarkStart w:id="5" w:name="_Toc340693843"/>
      <w:bookmarkStart w:id="6" w:name="_Toc340694107"/>
      <w:bookmarkStart w:id="7" w:name="_Toc340694114"/>
      <w:r>
        <w:rPr>
          <w:noProof/>
          <w:lang w:eastAsia="en-GB"/>
        </w:rPr>
        <w:lastRenderedPageBreak/>
        <w:drawing>
          <wp:inline distT="0" distB="0" distL="0" distR="0" wp14:anchorId="5B437CCA" wp14:editId="471727B3">
            <wp:extent cx="765810" cy="382905"/>
            <wp:effectExtent l="0" t="0" r="0" b="0"/>
            <wp:docPr id="4" name="Picture 4" descr="http://nationalarchives.gov.uk/images/infoman/ogl-symbol-bla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ionalarchives.gov.uk/images/infoman/ogl-symbol-black-bi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382905"/>
                    </a:xfrm>
                    <a:prstGeom prst="rect">
                      <a:avLst/>
                    </a:prstGeom>
                    <a:noFill/>
                    <a:ln>
                      <a:noFill/>
                    </a:ln>
                  </pic:spPr>
                </pic:pic>
              </a:graphicData>
            </a:graphic>
          </wp:inline>
        </w:drawing>
      </w:r>
    </w:p>
    <w:p w:rsidR="008E5B9B" w:rsidRDefault="008E5B9B" w:rsidP="008E5B9B"/>
    <w:p w:rsidR="008E5B9B" w:rsidRPr="00955068" w:rsidRDefault="008E5B9B" w:rsidP="008E5B9B">
      <w:pPr>
        <w:spacing w:after="200"/>
        <w:rPr>
          <w:i/>
        </w:rPr>
      </w:pPr>
      <w:r w:rsidRPr="00955068">
        <w:rPr>
          <w:i/>
        </w:rPr>
        <w:t>© Crown copyright, 201</w:t>
      </w:r>
      <w:r>
        <w:rPr>
          <w:i/>
        </w:rPr>
        <w:t>7</w:t>
      </w:r>
    </w:p>
    <w:p w:rsidR="008E5B9B" w:rsidRPr="00955068" w:rsidRDefault="008E5B9B" w:rsidP="008E5B9B">
      <w:pPr>
        <w:spacing w:after="200"/>
        <w:rPr>
          <w:i/>
        </w:rPr>
      </w:pPr>
      <w:r w:rsidRPr="00955068">
        <w:rPr>
          <w:i/>
        </w:rPr>
        <w:t>Copyright in the typographical arrangement rests with the Crown.</w:t>
      </w:r>
    </w:p>
    <w:p w:rsidR="008E5B9B" w:rsidRPr="00955068" w:rsidRDefault="008E5B9B" w:rsidP="008E5B9B">
      <w:pPr>
        <w:spacing w:after="200"/>
      </w:pPr>
      <w:r w:rsidRPr="00955068">
        <w:t>You may re/use this information (not including logos) free of charge in any format or medium, under the terms of the Open Government Licence. To view this licence</w:t>
      </w:r>
      <w:proofErr w:type="gramStart"/>
      <w:r w:rsidRPr="00955068">
        <w:t>,</w:t>
      </w:r>
      <w:proofErr w:type="gramEnd"/>
      <w:r w:rsidR="00A5519C">
        <w:fldChar w:fldCharType="begin"/>
      </w:r>
      <w:r w:rsidR="00A5519C">
        <w:instrText xml:space="preserve"> HYPERLINK "http://www.nationalarchives.gov.uk/doc/open-government-licence/version/3/" </w:instrText>
      </w:r>
      <w:r w:rsidR="00A5519C">
        <w:fldChar w:fldCharType="separate"/>
      </w:r>
      <w:r w:rsidRPr="00955068">
        <w:rPr>
          <w:rFonts w:cs="Arial"/>
          <w:color w:val="0000FF"/>
          <w:u w:val="single"/>
        </w:rPr>
        <w:t>http://www.nationalarchives.gov.uk/doc/open/government/licence/version/3/</w:t>
      </w:r>
      <w:r w:rsidR="00A5519C">
        <w:rPr>
          <w:rFonts w:cs="Arial"/>
          <w:color w:val="0000FF"/>
          <w:u w:val="single"/>
        </w:rPr>
        <w:fldChar w:fldCharType="end"/>
      </w:r>
      <w:r w:rsidRPr="00955068">
        <w:t xml:space="preserve"> or write to the Information Policy Team, The National Archives, Kew, London TW9 4DU, or email: </w:t>
      </w:r>
      <w:hyperlink r:id="rId13" w:history="1">
        <w:r w:rsidRPr="00955068">
          <w:rPr>
            <w:rFonts w:cs="Arial"/>
            <w:color w:val="0000FF"/>
            <w:szCs w:val="20"/>
            <w:u w:val="single"/>
          </w:rPr>
          <w:t>psi@nationalarchives.gsi.gov.uk</w:t>
        </w:r>
      </w:hyperlink>
      <w:r w:rsidRPr="00955068">
        <w:t>.</w:t>
      </w:r>
    </w:p>
    <w:p w:rsidR="008E5B9B" w:rsidRPr="00955068" w:rsidRDefault="008E5B9B" w:rsidP="008E5B9B">
      <w:pPr>
        <w:spacing w:after="200"/>
        <w:rPr>
          <w:rFonts w:cs="Arial"/>
          <w:szCs w:val="20"/>
        </w:rPr>
      </w:pPr>
      <w:r w:rsidRPr="00955068">
        <w:t xml:space="preserve">This document/publication is also available on our website at </w:t>
      </w:r>
      <w:hyperlink r:id="rId14" w:history="1">
        <w:r w:rsidRPr="00955068">
          <w:rPr>
            <w:rFonts w:cs="Arial"/>
            <w:color w:val="0000FF"/>
            <w:szCs w:val="20"/>
            <w:u w:val="single"/>
          </w:rPr>
          <w:t>www.gov.uk/dclg</w:t>
        </w:r>
      </w:hyperlink>
    </w:p>
    <w:p w:rsidR="008E5B9B" w:rsidRPr="00955068" w:rsidRDefault="008E5B9B" w:rsidP="008E5B9B">
      <w:pPr>
        <w:spacing w:after="200"/>
        <w:rPr>
          <w:rFonts w:cs="Arial"/>
          <w:szCs w:val="20"/>
        </w:rPr>
      </w:pPr>
      <w:r w:rsidRPr="00955068">
        <w:t xml:space="preserve">If you have any enquiries regarding this document/publication, complete the form at </w:t>
      </w:r>
      <w:hyperlink r:id="rId15" w:history="1">
        <w:r w:rsidRPr="00955068">
          <w:rPr>
            <w:rFonts w:cs="Arial"/>
            <w:color w:val="0000FF"/>
            <w:szCs w:val="20"/>
            <w:u w:val="single"/>
          </w:rPr>
          <w:t>http://forms.communities.gov.uk/</w:t>
        </w:r>
      </w:hyperlink>
      <w:r w:rsidRPr="00955068">
        <w:rPr>
          <w:rFonts w:cs="Arial"/>
          <w:szCs w:val="20"/>
        </w:rPr>
        <w:t xml:space="preserve"> </w:t>
      </w:r>
      <w:r w:rsidRPr="00955068">
        <w:t>or write to us at:</w:t>
      </w:r>
    </w:p>
    <w:p w:rsidR="008E5B9B" w:rsidRPr="00955068" w:rsidRDefault="008E5B9B" w:rsidP="008E5B9B">
      <w:r w:rsidRPr="00955068">
        <w:t>Department for Communities and Local Government</w:t>
      </w:r>
    </w:p>
    <w:p w:rsidR="008E5B9B" w:rsidRPr="00955068" w:rsidRDefault="008E5B9B" w:rsidP="008E5B9B">
      <w:r w:rsidRPr="00955068">
        <w:t>Fry Building</w:t>
      </w:r>
    </w:p>
    <w:p w:rsidR="008E5B9B" w:rsidRPr="00955068" w:rsidRDefault="008E5B9B" w:rsidP="008E5B9B">
      <w:r w:rsidRPr="00955068">
        <w:t xml:space="preserve">2 </w:t>
      </w:r>
      <w:proofErr w:type="spellStart"/>
      <w:r w:rsidRPr="00955068">
        <w:t>Marsham</w:t>
      </w:r>
      <w:proofErr w:type="spellEnd"/>
      <w:r w:rsidRPr="00955068">
        <w:t xml:space="preserve"> Street</w:t>
      </w:r>
    </w:p>
    <w:p w:rsidR="008E5B9B" w:rsidRPr="00955068" w:rsidRDefault="008E5B9B" w:rsidP="008E5B9B">
      <w:r w:rsidRPr="00955068">
        <w:t xml:space="preserve">London </w:t>
      </w:r>
    </w:p>
    <w:p w:rsidR="008E5B9B" w:rsidRPr="00955068" w:rsidRDefault="008E5B9B" w:rsidP="008E5B9B">
      <w:r w:rsidRPr="00955068">
        <w:t>SW1P 4DF</w:t>
      </w:r>
    </w:p>
    <w:p w:rsidR="008E5B9B" w:rsidRPr="00955068" w:rsidRDefault="008E5B9B" w:rsidP="008E5B9B">
      <w:pPr>
        <w:spacing w:after="200"/>
      </w:pPr>
      <w:r w:rsidRPr="00955068">
        <w:t xml:space="preserve">Telephone: 030 3444 0000 </w:t>
      </w:r>
    </w:p>
    <w:p w:rsidR="008E5B9B" w:rsidRPr="00955068" w:rsidRDefault="008E5B9B" w:rsidP="008E5B9B">
      <w:pPr>
        <w:spacing w:after="200"/>
      </w:pPr>
      <w:r w:rsidRPr="00955068">
        <w:t xml:space="preserve">For all our latest news and updates follow us on Twitter: </w:t>
      </w:r>
      <w:hyperlink r:id="rId16" w:history="1">
        <w:r w:rsidRPr="00955068">
          <w:rPr>
            <w:color w:val="0000FF"/>
            <w:u w:val="single"/>
          </w:rPr>
          <w:t>https://twitter.com/CommunitiesUK</w:t>
        </w:r>
      </w:hyperlink>
      <w:r w:rsidRPr="00955068">
        <w:t xml:space="preserve"> </w:t>
      </w:r>
    </w:p>
    <w:p w:rsidR="008E5B9B" w:rsidRPr="00955068" w:rsidRDefault="00513B9C" w:rsidP="008E5B9B">
      <w:pPr>
        <w:spacing w:after="200"/>
      </w:pPr>
      <w:r>
        <w:t xml:space="preserve">December </w:t>
      </w:r>
      <w:r w:rsidR="008E5B9B" w:rsidRPr="00955068">
        <w:t>201</w:t>
      </w:r>
      <w:r w:rsidR="008E5B9B">
        <w:t>7</w:t>
      </w:r>
    </w:p>
    <w:p w:rsidR="008E5B9B" w:rsidRPr="00955068" w:rsidRDefault="008E5B9B" w:rsidP="008E5B9B">
      <w:pPr>
        <w:spacing w:after="200"/>
        <w:sectPr w:rsidR="008E5B9B" w:rsidRPr="00955068" w:rsidSect="00FC3BAE">
          <w:footerReference w:type="default" r:id="rId17"/>
          <w:pgSz w:w="11906" w:h="16838" w:code="9"/>
          <w:pgMar w:top="851" w:right="1134" w:bottom="1134" w:left="1134" w:header="709" w:footer="709" w:gutter="0"/>
          <w:cols w:space="708"/>
          <w:vAlign w:val="bottom"/>
          <w:docGrid w:linePitch="360"/>
        </w:sectPr>
      </w:pPr>
      <w:r w:rsidRPr="00955068">
        <w:t>ISBN: 978/1/4098/</w:t>
      </w:r>
      <w:r w:rsidRPr="00955068">
        <w:rPr>
          <w:highlight w:val="yellow"/>
        </w:rPr>
        <w:t>XXXX/X</w:t>
      </w:r>
    </w:p>
    <w:p w:rsidR="008E31BF" w:rsidRPr="006720FF" w:rsidRDefault="008E31BF" w:rsidP="008E31BF">
      <w:pPr>
        <w:pStyle w:val="Heading1NotIndexed"/>
        <w:rPr>
          <w:sz w:val="24"/>
        </w:rPr>
      </w:pPr>
      <w:r w:rsidRPr="00575BC0">
        <w:lastRenderedPageBreak/>
        <w:t>Contents</w:t>
      </w:r>
      <w:bookmarkEnd w:id="1"/>
      <w:bookmarkEnd w:id="2"/>
      <w:bookmarkEnd w:id="3"/>
      <w:bookmarkEnd w:id="4"/>
      <w:bookmarkEnd w:id="5"/>
      <w:bookmarkEnd w:id="6"/>
      <w:bookmarkEnd w:id="7"/>
      <w:r w:rsidR="006720FF">
        <w:t xml:space="preserve"> </w:t>
      </w:r>
    </w:p>
    <w:p w:rsidR="00747ED1" w:rsidRDefault="008E31BF">
      <w:pPr>
        <w:pStyle w:val="TOC1"/>
        <w:rPr>
          <w:rFonts w:asciiTheme="minorHAnsi" w:eastAsiaTheme="minorEastAsia" w:hAnsiTheme="minorHAnsi" w:cstheme="minorBidi"/>
          <w:b w:val="0"/>
          <w:noProof/>
          <w:sz w:val="22"/>
          <w:szCs w:val="22"/>
          <w:lang w:eastAsia="en-GB"/>
        </w:rPr>
      </w:pPr>
      <w:r>
        <w:fldChar w:fldCharType="begin"/>
      </w:r>
      <w:r>
        <w:instrText xml:space="preserve"> TOC \o "1-2" \h \z \u </w:instrText>
      </w:r>
      <w:r>
        <w:fldChar w:fldCharType="separate"/>
      </w:r>
      <w:hyperlink w:anchor="_Toc501111208" w:history="1">
        <w:r w:rsidR="00747ED1" w:rsidRPr="00AE71E8">
          <w:rPr>
            <w:rStyle w:val="Hyperlink"/>
            <w:noProof/>
          </w:rPr>
          <w:t>Scope of the consultation</w:t>
        </w:r>
        <w:r w:rsidR="00747ED1">
          <w:rPr>
            <w:noProof/>
            <w:webHidden/>
          </w:rPr>
          <w:tab/>
        </w:r>
        <w:r w:rsidR="00747ED1">
          <w:rPr>
            <w:noProof/>
            <w:webHidden/>
          </w:rPr>
          <w:fldChar w:fldCharType="begin"/>
        </w:r>
        <w:r w:rsidR="00747ED1">
          <w:rPr>
            <w:noProof/>
            <w:webHidden/>
          </w:rPr>
          <w:instrText xml:space="preserve"> PAGEREF _Toc501111208 \h </w:instrText>
        </w:r>
        <w:r w:rsidR="00747ED1">
          <w:rPr>
            <w:noProof/>
            <w:webHidden/>
          </w:rPr>
        </w:r>
        <w:r w:rsidR="00747ED1">
          <w:rPr>
            <w:noProof/>
            <w:webHidden/>
          </w:rPr>
          <w:fldChar w:fldCharType="separate"/>
        </w:r>
        <w:r w:rsidR="0050364C">
          <w:rPr>
            <w:noProof/>
            <w:webHidden/>
          </w:rPr>
          <w:t>4</w:t>
        </w:r>
        <w:r w:rsidR="00747ED1">
          <w:rPr>
            <w:noProof/>
            <w:webHidden/>
          </w:rPr>
          <w:fldChar w:fldCharType="end"/>
        </w:r>
      </w:hyperlink>
    </w:p>
    <w:p w:rsidR="00747ED1" w:rsidRDefault="00513B9C">
      <w:pPr>
        <w:pStyle w:val="TOC1"/>
        <w:rPr>
          <w:rFonts w:asciiTheme="minorHAnsi" w:eastAsiaTheme="minorEastAsia" w:hAnsiTheme="minorHAnsi" w:cstheme="minorBidi"/>
          <w:b w:val="0"/>
          <w:noProof/>
          <w:sz w:val="22"/>
          <w:szCs w:val="22"/>
          <w:lang w:eastAsia="en-GB"/>
        </w:rPr>
      </w:pPr>
      <w:hyperlink w:anchor="_Toc501111209" w:history="1">
        <w:r w:rsidR="00747ED1" w:rsidRPr="00AE71E8">
          <w:rPr>
            <w:rStyle w:val="Hyperlink"/>
            <w:noProof/>
          </w:rPr>
          <w:t>About this consultation</w:t>
        </w:r>
        <w:r w:rsidR="00747ED1">
          <w:rPr>
            <w:noProof/>
            <w:webHidden/>
          </w:rPr>
          <w:tab/>
        </w:r>
        <w:r w:rsidR="00747ED1">
          <w:rPr>
            <w:noProof/>
            <w:webHidden/>
          </w:rPr>
          <w:fldChar w:fldCharType="begin"/>
        </w:r>
        <w:r w:rsidR="00747ED1">
          <w:rPr>
            <w:noProof/>
            <w:webHidden/>
          </w:rPr>
          <w:instrText xml:space="preserve"> PAGEREF _Toc501111209 \h </w:instrText>
        </w:r>
        <w:r w:rsidR="00747ED1">
          <w:rPr>
            <w:noProof/>
            <w:webHidden/>
          </w:rPr>
        </w:r>
        <w:r w:rsidR="00747ED1">
          <w:rPr>
            <w:noProof/>
            <w:webHidden/>
          </w:rPr>
          <w:fldChar w:fldCharType="separate"/>
        </w:r>
        <w:r w:rsidR="0050364C">
          <w:rPr>
            <w:noProof/>
            <w:webHidden/>
          </w:rPr>
          <w:t>6</w:t>
        </w:r>
        <w:r w:rsidR="00747ED1">
          <w:rPr>
            <w:noProof/>
            <w:webHidden/>
          </w:rPr>
          <w:fldChar w:fldCharType="end"/>
        </w:r>
      </w:hyperlink>
    </w:p>
    <w:p w:rsidR="00747ED1" w:rsidRDefault="00513B9C">
      <w:pPr>
        <w:pStyle w:val="TOC1"/>
        <w:rPr>
          <w:rFonts w:asciiTheme="minorHAnsi" w:eastAsiaTheme="minorEastAsia" w:hAnsiTheme="minorHAnsi" w:cstheme="minorBidi"/>
          <w:b w:val="0"/>
          <w:noProof/>
          <w:sz w:val="22"/>
          <w:szCs w:val="22"/>
          <w:lang w:eastAsia="en-GB"/>
        </w:rPr>
      </w:pPr>
      <w:hyperlink w:anchor="_Toc501111210" w:history="1">
        <w:r w:rsidR="00747ED1" w:rsidRPr="00AE71E8">
          <w:rPr>
            <w:rStyle w:val="Hyperlink"/>
            <w:noProof/>
          </w:rPr>
          <w:t>1. Summary of proposals</w:t>
        </w:r>
        <w:r w:rsidR="00747ED1">
          <w:rPr>
            <w:noProof/>
            <w:webHidden/>
          </w:rPr>
          <w:tab/>
        </w:r>
        <w:r w:rsidR="00747ED1">
          <w:rPr>
            <w:noProof/>
            <w:webHidden/>
          </w:rPr>
          <w:fldChar w:fldCharType="begin"/>
        </w:r>
        <w:r w:rsidR="00747ED1">
          <w:rPr>
            <w:noProof/>
            <w:webHidden/>
          </w:rPr>
          <w:instrText xml:space="preserve"> PAGEREF _Toc501111210 \h </w:instrText>
        </w:r>
        <w:r w:rsidR="00747ED1">
          <w:rPr>
            <w:noProof/>
            <w:webHidden/>
          </w:rPr>
        </w:r>
        <w:r w:rsidR="00747ED1">
          <w:rPr>
            <w:noProof/>
            <w:webHidden/>
          </w:rPr>
          <w:fldChar w:fldCharType="separate"/>
        </w:r>
        <w:r w:rsidR="0050364C">
          <w:rPr>
            <w:noProof/>
            <w:webHidden/>
          </w:rPr>
          <w:t>7</w:t>
        </w:r>
        <w:r w:rsidR="00747ED1">
          <w:rPr>
            <w:noProof/>
            <w:webHidden/>
          </w:rPr>
          <w:fldChar w:fldCharType="end"/>
        </w:r>
      </w:hyperlink>
    </w:p>
    <w:p w:rsidR="00747ED1" w:rsidRDefault="00513B9C">
      <w:pPr>
        <w:pStyle w:val="TOC1"/>
        <w:rPr>
          <w:rFonts w:asciiTheme="minorHAnsi" w:eastAsiaTheme="minorEastAsia" w:hAnsiTheme="minorHAnsi" w:cstheme="minorBidi"/>
          <w:b w:val="0"/>
          <w:noProof/>
          <w:sz w:val="22"/>
          <w:szCs w:val="22"/>
          <w:lang w:eastAsia="en-GB"/>
        </w:rPr>
      </w:pPr>
      <w:hyperlink w:anchor="_Toc501111211" w:history="1">
        <w:r w:rsidR="00747ED1" w:rsidRPr="00AE71E8">
          <w:rPr>
            <w:rStyle w:val="Hyperlink"/>
            <w:noProof/>
          </w:rPr>
          <w:t>2. The distribution of central resources</w:t>
        </w:r>
        <w:r w:rsidR="00747ED1">
          <w:rPr>
            <w:noProof/>
            <w:webHidden/>
          </w:rPr>
          <w:tab/>
        </w:r>
        <w:r w:rsidR="00747ED1">
          <w:rPr>
            <w:noProof/>
            <w:webHidden/>
          </w:rPr>
          <w:fldChar w:fldCharType="begin"/>
        </w:r>
        <w:r w:rsidR="00747ED1">
          <w:rPr>
            <w:noProof/>
            <w:webHidden/>
          </w:rPr>
          <w:instrText xml:space="preserve"> PAGEREF _Toc501111211 \h </w:instrText>
        </w:r>
        <w:r w:rsidR="00747ED1">
          <w:rPr>
            <w:noProof/>
            <w:webHidden/>
          </w:rPr>
        </w:r>
        <w:r w:rsidR="00747ED1">
          <w:rPr>
            <w:noProof/>
            <w:webHidden/>
          </w:rPr>
          <w:fldChar w:fldCharType="separate"/>
        </w:r>
        <w:r w:rsidR="0050364C">
          <w:rPr>
            <w:noProof/>
            <w:webHidden/>
          </w:rPr>
          <w:t>12</w:t>
        </w:r>
        <w:r w:rsidR="00747ED1">
          <w:rPr>
            <w:noProof/>
            <w:webHidden/>
          </w:rPr>
          <w:fldChar w:fldCharType="end"/>
        </w:r>
      </w:hyperlink>
    </w:p>
    <w:p w:rsidR="00747ED1" w:rsidRDefault="00513B9C">
      <w:pPr>
        <w:pStyle w:val="TOC1"/>
        <w:rPr>
          <w:rFonts w:asciiTheme="minorHAnsi" w:eastAsiaTheme="minorEastAsia" w:hAnsiTheme="minorHAnsi" w:cstheme="minorBidi"/>
          <w:b w:val="0"/>
          <w:noProof/>
          <w:sz w:val="22"/>
          <w:szCs w:val="22"/>
          <w:lang w:eastAsia="en-GB"/>
        </w:rPr>
      </w:pPr>
      <w:hyperlink w:anchor="_Toc501111212" w:history="1">
        <w:r w:rsidR="00747ED1" w:rsidRPr="00AE71E8">
          <w:rPr>
            <w:rStyle w:val="Hyperlink"/>
            <w:noProof/>
          </w:rPr>
          <w:t>3. Changes to local resources</w:t>
        </w:r>
        <w:r w:rsidR="00747ED1">
          <w:rPr>
            <w:noProof/>
            <w:webHidden/>
          </w:rPr>
          <w:tab/>
        </w:r>
        <w:r w:rsidR="00747ED1">
          <w:rPr>
            <w:noProof/>
            <w:webHidden/>
          </w:rPr>
          <w:fldChar w:fldCharType="begin"/>
        </w:r>
        <w:r w:rsidR="00747ED1">
          <w:rPr>
            <w:noProof/>
            <w:webHidden/>
          </w:rPr>
          <w:instrText xml:space="preserve"> PAGEREF _Toc501111212 \h </w:instrText>
        </w:r>
        <w:r w:rsidR="00747ED1">
          <w:rPr>
            <w:noProof/>
            <w:webHidden/>
          </w:rPr>
        </w:r>
        <w:r w:rsidR="00747ED1">
          <w:rPr>
            <w:noProof/>
            <w:webHidden/>
          </w:rPr>
          <w:fldChar w:fldCharType="separate"/>
        </w:r>
        <w:r w:rsidR="0050364C">
          <w:rPr>
            <w:noProof/>
            <w:webHidden/>
          </w:rPr>
          <w:t>16</w:t>
        </w:r>
        <w:r w:rsidR="00747ED1">
          <w:rPr>
            <w:noProof/>
            <w:webHidden/>
          </w:rPr>
          <w:fldChar w:fldCharType="end"/>
        </w:r>
      </w:hyperlink>
    </w:p>
    <w:p w:rsidR="00747ED1" w:rsidRDefault="00513B9C">
      <w:pPr>
        <w:pStyle w:val="TOC1"/>
        <w:rPr>
          <w:rFonts w:asciiTheme="minorHAnsi" w:eastAsiaTheme="minorEastAsia" w:hAnsiTheme="minorHAnsi" w:cstheme="minorBidi"/>
          <w:b w:val="0"/>
          <w:noProof/>
          <w:sz w:val="22"/>
          <w:szCs w:val="22"/>
          <w:lang w:eastAsia="en-GB"/>
        </w:rPr>
      </w:pPr>
      <w:hyperlink w:anchor="_Toc501111213" w:history="1">
        <w:r w:rsidR="00747ED1" w:rsidRPr="00AE71E8">
          <w:rPr>
            <w:rStyle w:val="Hyperlink"/>
            <w:noProof/>
          </w:rPr>
          <w:t>4. Draft equality statement</w:t>
        </w:r>
        <w:r w:rsidR="00747ED1">
          <w:rPr>
            <w:noProof/>
            <w:webHidden/>
          </w:rPr>
          <w:tab/>
        </w:r>
        <w:r w:rsidR="00747ED1">
          <w:rPr>
            <w:noProof/>
            <w:webHidden/>
          </w:rPr>
          <w:fldChar w:fldCharType="begin"/>
        </w:r>
        <w:r w:rsidR="00747ED1">
          <w:rPr>
            <w:noProof/>
            <w:webHidden/>
          </w:rPr>
          <w:instrText xml:space="preserve"> PAGEREF _Toc501111213 \h </w:instrText>
        </w:r>
        <w:r w:rsidR="00747ED1">
          <w:rPr>
            <w:noProof/>
            <w:webHidden/>
          </w:rPr>
        </w:r>
        <w:r w:rsidR="00747ED1">
          <w:rPr>
            <w:noProof/>
            <w:webHidden/>
          </w:rPr>
          <w:fldChar w:fldCharType="separate"/>
        </w:r>
        <w:r w:rsidR="0050364C">
          <w:rPr>
            <w:noProof/>
            <w:webHidden/>
          </w:rPr>
          <w:t>21</w:t>
        </w:r>
        <w:r w:rsidR="00747ED1">
          <w:rPr>
            <w:noProof/>
            <w:webHidden/>
          </w:rPr>
          <w:fldChar w:fldCharType="end"/>
        </w:r>
      </w:hyperlink>
    </w:p>
    <w:p w:rsidR="00747ED1" w:rsidRDefault="00513B9C">
      <w:pPr>
        <w:pStyle w:val="TOC1"/>
        <w:rPr>
          <w:rFonts w:asciiTheme="minorHAnsi" w:eastAsiaTheme="minorEastAsia" w:hAnsiTheme="minorHAnsi" w:cstheme="minorBidi"/>
          <w:b w:val="0"/>
          <w:noProof/>
          <w:sz w:val="22"/>
          <w:szCs w:val="22"/>
          <w:lang w:eastAsia="en-GB"/>
        </w:rPr>
      </w:pPr>
      <w:hyperlink w:anchor="_Toc501111214" w:history="1">
        <w:r w:rsidR="00747ED1" w:rsidRPr="00AE71E8">
          <w:rPr>
            <w:rStyle w:val="Hyperlink"/>
            <w:noProof/>
          </w:rPr>
          <w:t>Annex A: Methodology for adjusting for the 2017 revaluation</w:t>
        </w:r>
        <w:r w:rsidR="00747ED1">
          <w:rPr>
            <w:noProof/>
            <w:webHidden/>
          </w:rPr>
          <w:tab/>
        </w:r>
        <w:r w:rsidR="00747ED1">
          <w:rPr>
            <w:noProof/>
            <w:webHidden/>
          </w:rPr>
          <w:fldChar w:fldCharType="begin"/>
        </w:r>
        <w:r w:rsidR="00747ED1">
          <w:rPr>
            <w:noProof/>
            <w:webHidden/>
          </w:rPr>
          <w:instrText xml:space="preserve"> PAGEREF _Toc501111214 \h </w:instrText>
        </w:r>
        <w:r w:rsidR="00747ED1">
          <w:rPr>
            <w:noProof/>
            <w:webHidden/>
          </w:rPr>
        </w:r>
        <w:r w:rsidR="00747ED1">
          <w:rPr>
            <w:noProof/>
            <w:webHidden/>
          </w:rPr>
          <w:fldChar w:fldCharType="separate"/>
        </w:r>
        <w:r w:rsidR="0050364C">
          <w:rPr>
            <w:noProof/>
            <w:webHidden/>
          </w:rPr>
          <w:t>22</w:t>
        </w:r>
        <w:r w:rsidR="00747ED1">
          <w:rPr>
            <w:noProof/>
            <w:webHidden/>
          </w:rPr>
          <w:fldChar w:fldCharType="end"/>
        </w:r>
      </w:hyperlink>
    </w:p>
    <w:p w:rsidR="00747ED1" w:rsidRPr="00747ED1" w:rsidRDefault="00513B9C">
      <w:pPr>
        <w:pStyle w:val="TOC1"/>
        <w:rPr>
          <w:rFonts w:asciiTheme="minorHAnsi" w:eastAsiaTheme="minorEastAsia" w:hAnsiTheme="minorHAnsi" w:cstheme="minorBidi"/>
          <w:b w:val="0"/>
          <w:noProof/>
          <w:sz w:val="22"/>
          <w:szCs w:val="22"/>
          <w:lang w:eastAsia="en-GB"/>
        </w:rPr>
      </w:pPr>
      <w:hyperlink w:anchor="_Toc501111215" w:history="1">
        <w:r w:rsidR="00747ED1" w:rsidRPr="00747ED1">
          <w:rPr>
            <w:rStyle w:val="Hyperlink"/>
            <w:noProof/>
          </w:rPr>
          <w:t>Annex B: Summary of consultation questions</w:t>
        </w:r>
        <w:r w:rsidR="00747ED1" w:rsidRPr="00747ED1">
          <w:rPr>
            <w:noProof/>
            <w:webHidden/>
          </w:rPr>
          <w:tab/>
        </w:r>
        <w:r w:rsidR="00747ED1" w:rsidRPr="00747ED1">
          <w:rPr>
            <w:noProof/>
            <w:webHidden/>
          </w:rPr>
          <w:fldChar w:fldCharType="begin"/>
        </w:r>
        <w:r w:rsidR="00747ED1" w:rsidRPr="00747ED1">
          <w:rPr>
            <w:noProof/>
            <w:webHidden/>
          </w:rPr>
          <w:instrText xml:space="preserve"> PAGEREF _Toc501111215 \h </w:instrText>
        </w:r>
        <w:r w:rsidR="00747ED1" w:rsidRPr="00747ED1">
          <w:rPr>
            <w:noProof/>
            <w:webHidden/>
          </w:rPr>
        </w:r>
        <w:r w:rsidR="00747ED1" w:rsidRPr="00747ED1">
          <w:rPr>
            <w:noProof/>
            <w:webHidden/>
          </w:rPr>
          <w:fldChar w:fldCharType="separate"/>
        </w:r>
        <w:r w:rsidR="0050364C">
          <w:rPr>
            <w:noProof/>
            <w:webHidden/>
          </w:rPr>
          <w:t>25</w:t>
        </w:r>
        <w:r w:rsidR="00747ED1" w:rsidRPr="00747ED1">
          <w:rPr>
            <w:noProof/>
            <w:webHidden/>
          </w:rPr>
          <w:fldChar w:fldCharType="end"/>
        </w:r>
      </w:hyperlink>
    </w:p>
    <w:p w:rsidR="00747ED1" w:rsidRDefault="00513B9C">
      <w:pPr>
        <w:pStyle w:val="TOC1"/>
        <w:rPr>
          <w:rFonts w:asciiTheme="minorHAnsi" w:eastAsiaTheme="minorEastAsia" w:hAnsiTheme="minorHAnsi" w:cstheme="minorBidi"/>
          <w:b w:val="0"/>
          <w:noProof/>
          <w:sz w:val="22"/>
          <w:szCs w:val="22"/>
          <w:lang w:eastAsia="en-GB"/>
        </w:rPr>
      </w:pPr>
      <w:hyperlink w:anchor="_Toc501111216" w:history="1">
        <w:r w:rsidR="00747ED1" w:rsidRPr="00747ED1">
          <w:rPr>
            <w:rStyle w:val="Hyperlink"/>
            <w:noProof/>
          </w:rPr>
          <w:t>Annex C: Glossary of technical terms</w:t>
        </w:r>
        <w:r w:rsidR="00747ED1" w:rsidRPr="00747ED1">
          <w:rPr>
            <w:noProof/>
            <w:webHidden/>
          </w:rPr>
          <w:tab/>
        </w:r>
        <w:r w:rsidR="00747ED1" w:rsidRPr="00747ED1">
          <w:rPr>
            <w:noProof/>
            <w:webHidden/>
          </w:rPr>
          <w:fldChar w:fldCharType="begin"/>
        </w:r>
        <w:r w:rsidR="00747ED1" w:rsidRPr="00747ED1">
          <w:rPr>
            <w:noProof/>
            <w:webHidden/>
          </w:rPr>
          <w:instrText xml:space="preserve"> PAGEREF _Toc501111216 \h </w:instrText>
        </w:r>
        <w:r w:rsidR="00747ED1" w:rsidRPr="00747ED1">
          <w:rPr>
            <w:noProof/>
            <w:webHidden/>
          </w:rPr>
        </w:r>
        <w:r w:rsidR="00747ED1" w:rsidRPr="00747ED1">
          <w:rPr>
            <w:noProof/>
            <w:webHidden/>
          </w:rPr>
          <w:fldChar w:fldCharType="separate"/>
        </w:r>
        <w:r w:rsidR="0050364C">
          <w:rPr>
            <w:noProof/>
            <w:webHidden/>
          </w:rPr>
          <w:t>26</w:t>
        </w:r>
        <w:r w:rsidR="00747ED1" w:rsidRPr="00747ED1">
          <w:rPr>
            <w:noProof/>
            <w:webHidden/>
          </w:rPr>
          <w:fldChar w:fldCharType="end"/>
        </w:r>
      </w:hyperlink>
    </w:p>
    <w:p w:rsidR="008E31BF" w:rsidRDefault="008E31BF" w:rsidP="008E31BF">
      <w:r>
        <w:fldChar w:fldCharType="end"/>
      </w:r>
    </w:p>
    <w:p w:rsidR="008E31BF" w:rsidRDefault="008E31BF" w:rsidP="008E31BF">
      <w:pPr>
        <w:pStyle w:val="BodyText"/>
      </w:pPr>
    </w:p>
    <w:p w:rsidR="008E31BF" w:rsidRDefault="008E31BF" w:rsidP="008E31BF">
      <w:pPr>
        <w:pStyle w:val="BodyText"/>
      </w:pPr>
    </w:p>
    <w:p w:rsidR="00583714" w:rsidRDefault="00583714"/>
    <w:p w:rsidR="00AC16B4" w:rsidRDefault="00AC16B4" w:rsidP="00247AA7">
      <w:pPr>
        <w:pStyle w:val="BodyText"/>
      </w:pPr>
    </w:p>
    <w:p w:rsidR="00AC16B4" w:rsidRDefault="00AC16B4" w:rsidP="00AC16B4">
      <w:pPr>
        <w:pStyle w:val="BodyText"/>
        <w:sectPr w:rsidR="00AC16B4" w:rsidSect="000D1801">
          <w:footerReference w:type="default" r:id="rId18"/>
          <w:pgSz w:w="11906" w:h="16838" w:code="9"/>
          <w:pgMar w:top="1440" w:right="1134" w:bottom="1440" w:left="1134" w:header="709" w:footer="709" w:gutter="0"/>
          <w:cols w:space="708"/>
          <w:docGrid w:linePitch="360"/>
        </w:sectPr>
      </w:pPr>
    </w:p>
    <w:p w:rsidR="00611A1D" w:rsidRPr="00611A1D" w:rsidRDefault="00611A1D" w:rsidP="00611A1D">
      <w:pPr>
        <w:pStyle w:val="Heading1"/>
      </w:pPr>
      <w:bookmarkStart w:id="8" w:name="_Toc436742195"/>
      <w:bookmarkStart w:id="9" w:name="_Toc436837735"/>
      <w:bookmarkStart w:id="10" w:name="_Toc501111208"/>
      <w:r>
        <w:lastRenderedPageBreak/>
        <w:t>Scope of the consultation</w:t>
      </w:r>
      <w:bookmarkEnd w:id="8"/>
      <w:bookmarkEnd w:id="9"/>
      <w:bookmarkEnd w:id="10"/>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020"/>
      </w:tblGrid>
      <w:tr w:rsidR="00611A1D" w:rsidRPr="0041327C" w:rsidTr="00605C81">
        <w:trPr>
          <w:trHeight w:val="813"/>
        </w:trPr>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Topic of this consultation:</w:t>
            </w:r>
          </w:p>
        </w:tc>
        <w:tc>
          <w:tcPr>
            <w:tcW w:w="7020" w:type="dxa"/>
            <w:shd w:val="clear" w:color="auto" w:fill="auto"/>
          </w:tcPr>
          <w:p w:rsidR="00D04DB1" w:rsidRPr="00CF3A1C" w:rsidRDefault="00D04DB1" w:rsidP="00D04DB1">
            <w:pPr>
              <w:pStyle w:val="Default"/>
            </w:pPr>
            <w:r w:rsidRPr="00CF3A1C">
              <w:rPr>
                <w:b/>
                <w:bCs/>
              </w:rPr>
              <w:t xml:space="preserve">This consultation covers proposals for the </w:t>
            </w:r>
            <w:r w:rsidR="00294497" w:rsidRPr="00CF3A1C">
              <w:rPr>
                <w:b/>
                <w:bCs/>
              </w:rPr>
              <w:t xml:space="preserve">provisional </w:t>
            </w:r>
            <w:r w:rsidRPr="00CF3A1C">
              <w:rPr>
                <w:b/>
                <w:bCs/>
              </w:rPr>
              <w:t>local government finance settlement for 201</w:t>
            </w:r>
            <w:r w:rsidR="00306385">
              <w:rPr>
                <w:b/>
                <w:bCs/>
              </w:rPr>
              <w:t>8</w:t>
            </w:r>
            <w:r w:rsidR="00435EFC">
              <w:rPr>
                <w:b/>
                <w:bCs/>
              </w:rPr>
              <w:t>-</w:t>
            </w:r>
            <w:r w:rsidRPr="00CF3A1C">
              <w:rPr>
                <w:b/>
                <w:bCs/>
              </w:rPr>
              <w:t>1</w:t>
            </w:r>
            <w:r w:rsidR="00306385">
              <w:rPr>
                <w:b/>
                <w:bCs/>
              </w:rPr>
              <w:t>9</w:t>
            </w:r>
            <w:r w:rsidRPr="00CF3A1C">
              <w:rPr>
                <w:b/>
                <w:bCs/>
              </w:rPr>
              <w:t xml:space="preserve">. </w:t>
            </w:r>
          </w:p>
          <w:p w:rsidR="00611A1D" w:rsidRPr="00CF3A1C" w:rsidRDefault="00611A1D" w:rsidP="004F0389">
            <w:pPr>
              <w:spacing w:line="276" w:lineRule="auto"/>
              <w:outlineLvl w:val="1"/>
              <w:rPr>
                <w:rFonts w:cs="Arial"/>
                <w:color w:val="808080"/>
              </w:rPr>
            </w:pPr>
          </w:p>
        </w:tc>
      </w:tr>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Scope of this consultation:</w:t>
            </w:r>
          </w:p>
        </w:tc>
        <w:tc>
          <w:tcPr>
            <w:tcW w:w="7020" w:type="dxa"/>
            <w:shd w:val="clear" w:color="auto" w:fill="auto"/>
          </w:tcPr>
          <w:p w:rsidR="00907185" w:rsidRPr="00CF3A1C" w:rsidRDefault="00605C81" w:rsidP="00907185">
            <w:pPr>
              <w:pStyle w:val="Default"/>
            </w:pPr>
            <w:r w:rsidRPr="00CF3A1C">
              <w:t>This consultation seeks views on proposals for the local government finance settlement for 201</w:t>
            </w:r>
            <w:r w:rsidR="00306385">
              <w:t>8</w:t>
            </w:r>
            <w:r w:rsidR="00435EFC">
              <w:t>-</w:t>
            </w:r>
            <w:r w:rsidRPr="00CF3A1C">
              <w:t>1</w:t>
            </w:r>
            <w:r w:rsidR="00306385">
              <w:t>9</w:t>
            </w:r>
            <w:r w:rsidRPr="00CF3A1C">
              <w:t>, in particular from repr</w:t>
            </w:r>
            <w:r w:rsidR="00907185" w:rsidRPr="00CF3A1C">
              <w:t>esentatives of local government, before determining the final amount of Revenue Support Grant and its allocation to receiving authorities and the specified body.</w:t>
            </w:r>
            <w:r w:rsidR="00907185" w:rsidRPr="00CF3A1C">
              <w:rPr>
                <w:rStyle w:val="FootnoteReference"/>
              </w:rPr>
              <w:footnoteReference w:id="1"/>
            </w:r>
          </w:p>
          <w:p w:rsidR="00907185" w:rsidRPr="00CF3A1C" w:rsidRDefault="00907185" w:rsidP="00907185">
            <w:pPr>
              <w:pStyle w:val="Default"/>
            </w:pPr>
          </w:p>
          <w:p w:rsidR="00605C81" w:rsidRPr="00CF3A1C" w:rsidRDefault="00907185" w:rsidP="00907185">
            <w:pPr>
              <w:pStyle w:val="Default"/>
            </w:pPr>
            <w:r w:rsidRPr="00CF3A1C">
              <w:t>The consultation notifies representatives of local government of the general nature of the basis of distribution of Revenue Support Grant, and of the general nature of the basis of calculation of ‘tariff’ and ‘top up’ payments through this consultation document and accompanying documents, in particular the draft Local Government Finance Report for 201</w:t>
            </w:r>
            <w:r w:rsidR="00306385">
              <w:t>8</w:t>
            </w:r>
            <w:r w:rsidRPr="00CF3A1C">
              <w:t>-1</w:t>
            </w:r>
            <w:r w:rsidR="00306385">
              <w:t>9</w:t>
            </w:r>
            <w:r w:rsidRPr="00CF3A1C">
              <w:t>.</w:t>
            </w:r>
            <w:r w:rsidRPr="00CF3A1C">
              <w:rPr>
                <w:rStyle w:val="FootnoteReference"/>
              </w:rPr>
              <w:footnoteReference w:id="2"/>
            </w:r>
          </w:p>
          <w:p w:rsidR="00611A1D" w:rsidRPr="00CA2FE8" w:rsidRDefault="00611A1D" w:rsidP="004F0389">
            <w:pPr>
              <w:rPr>
                <w:rFonts w:cs="Arial"/>
                <w:color w:val="808080"/>
              </w:rPr>
            </w:pPr>
          </w:p>
        </w:tc>
      </w:tr>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Geographical scope:</w:t>
            </w:r>
          </w:p>
        </w:tc>
        <w:tc>
          <w:tcPr>
            <w:tcW w:w="7020" w:type="dxa"/>
            <w:shd w:val="clear" w:color="auto" w:fill="auto"/>
          </w:tcPr>
          <w:p w:rsidR="00611A1D" w:rsidRPr="00DE4839" w:rsidRDefault="00611A1D" w:rsidP="004F0389">
            <w:pPr>
              <w:rPr>
                <w:rFonts w:cs="Arial"/>
              </w:rPr>
            </w:pPr>
            <w:r w:rsidRPr="00CA2FE8">
              <w:rPr>
                <w:rFonts w:cs="Arial"/>
              </w:rPr>
              <w:t>These proposals relate to England only.</w:t>
            </w:r>
          </w:p>
          <w:p w:rsidR="00611A1D" w:rsidRPr="00DE4839" w:rsidRDefault="00611A1D" w:rsidP="004F0389">
            <w:pPr>
              <w:rPr>
                <w:rFonts w:cs="Arial"/>
              </w:rPr>
            </w:pPr>
          </w:p>
        </w:tc>
      </w:tr>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Impact Assessment:</w:t>
            </w:r>
          </w:p>
        </w:tc>
        <w:tc>
          <w:tcPr>
            <w:tcW w:w="7020" w:type="dxa"/>
            <w:shd w:val="clear" w:color="auto" w:fill="auto"/>
          </w:tcPr>
          <w:p w:rsidR="00611A1D" w:rsidRPr="00DE4839" w:rsidRDefault="0081493B" w:rsidP="004F0389">
            <w:pPr>
              <w:rPr>
                <w:rFonts w:cs="Arial"/>
              </w:rPr>
            </w:pPr>
            <w:r w:rsidRPr="00CA2FE8">
              <w:rPr>
                <w:rFonts w:cs="Arial"/>
              </w:rPr>
              <w:t>Since the Government does not envisage that the proposals within this consultation document will have an impact on business, no impact assessment has been prod</w:t>
            </w:r>
            <w:r w:rsidRPr="00DE4839">
              <w:rPr>
                <w:rFonts w:cs="Arial"/>
              </w:rPr>
              <w:t>uced.</w:t>
            </w:r>
          </w:p>
          <w:p w:rsidR="00611A1D" w:rsidRPr="00DE4839" w:rsidRDefault="00611A1D" w:rsidP="004F0389">
            <w:pPr>
              <w:rPr>
                <w:rFonts w:cs="Arial"/>
              </w:rPr>
            </w:pPr>
          </w:p>
        </w:tc>
      </w:tr>
    </w:tbl>
    <w:p w:rsidR="00DF3618" w:rsidRDefault="00DF3618" w:rsidP="00DF3618"/>
    <w:p w:rsidR="00611A1D" w:rsidRPr="00DF3618" w:rsidRDefault="00611A1D" w:rsidP="00DF3618">
      <w:pPr>
        <w:rPr>
          <w:rFonts w:cs="Arial"/>
          <w:sz w:val="36"/>
          <w:szCs w:val="36"/>
        </w:rPr>
      </w:pPr>
      <w:r w:rsidRPr="00DF3618">
        <w:rPr>
          <w:rFonts w:cs="Arial"/>
          <w:sz w:val="36"/>
          <w:szCs w:val="36"/>
        </w:rPr>
        <w:t>Basic Information</w:t>
      </w:r>
    </w:p>
    <w:p w:rsidR="00611A1D" w:rsidRPr="00710490" w:rsidRDefault="00611A1D" w:rsidP="00611A1D">
      <w:pPr>
        <w:rPr>
          <w:rFonts w:cs="Arial"/>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020"/>
      </w:tblGrid>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To:</w:t>
            </w:r>
          </w:p>
        </w:tc>
        <w:tc>
          <w:tcPr>
            <w:tcW w:w="7020" w:type="dxa"/>
            <w:shd w:val="clear" w:color="auto" w:fill="auto"/>
          </w:tcPr>
          <w:p w:rsidR="00605C81" w:rsidRDefault="00605C81" w:rsidP="00605C81">
            <w:pPr>
              <w:pStyle w:val="Default"/>
              <w:rPr>
                <w:sz w:val="22"/>
                <w:szCs w:val="22"/>
              </w:rPr>
            </w:pPr>
            <w:r>
              <w:rPr>
                <w:b/>
                <w:bCs/>
                <w:sz w:val="22"/>
                <w:szCs w:val="22"/>
              </w:rPr>
              <w:t xml:space="preserve">The consultation will be of particular interest to local authorities, and representative bodies for local authorities. </w:t>
            </w:r>
          </w:p>
          <w:p w:rsidR="00611A1D" w:rsidRPr="0041327C" w:rsidRDefault="00611A1D" w:rsidP="004F0389">
            <w:pPr>
              <w:rPr>
                <w:rFonts w:cs="Arial"/>
                <w:color w:val="808080"/>
                <w:sz w:val="20"/>
                <w:szCs w:val="20"/>
              </w:rPr>
            </w:pPr>
          </w:p>
        </w:tc>
      </w:tr>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Body/bodies responsible for the consultation:</w:t>
            </w:r>
          </w:p>
        </w:tc>
        <w:tc>
          <w:tcPr>
            <w:tcW w:w="7020" w:type="dxa"/>
            <w:shd w:val="clear" w:color="auto" w:fill="auto"/>
          </w:tcPr>
          <w:p w:rsidR="00611A1D" w:rsidRPr="00294569" w:rsidRDefault="00CA621F" w:rsidP="00294569">
            <w:pPr>
              <w:pStyle w:val="Default"/>
              <w:rPr>
                <w:sz w:val="22"/>
                <w:szCs w:val="22"/>
              </w:rPr>
            </w:pPr>
            <w:r w:rsidRPr="00513B9C">
              <w:rPr>
                <w:szCs w:val="22"/>
              </w:rPr>
              <w:t>Local Government Finance D</w:t>
            </w:r>
            <w:r w:rsidR="00605C81" w:rsidRPr="00513B9C">
              <w:rPr>
                <w:szCs w:val="22"/>
              </w:rPr>
              <w:t>irectorate within the Department for Co</w:t>
            </w:r>
            <w:r w:rsidR="00294569" w:rsidRPr="00513B9C">
              <w:rPr>
                <w:szCs w:val="22"/>
              </w:rPr>
              <w:t>mmunities and Local Government.</w:t>
            </w:r>
          </w:p>
        </w:tc>
      </w:tr>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Duration:</w:t>
            </w:r>
          </w:p>
        </w:tc>
        <w:tc>
          <w:tcPr>
            <w:tcW w:w="7020" w:type="dxa"/>
            <w:shd w:val="clear" w:color="auto" w:fill="auto"/>
          </w:tcPr>
          <w:p w:rsidR="00611A1D" w:rsidRDefault="00611A1D" w:rsidP="00575BC0">
            <w:pPr>
              <w:rPr>
                <w:rFonts w:cs="Arial"/>
              </w:rPr>
            </w:pPr>
            <w:r w:rsidRPr="00294569">
              <w:rPr>
                <w:rFonts w:cs="Arial"/>
              </w:rPr>
              <w:t xml:space="preserve">This consultation will last </w:t>
            </w:r>
            <w:r w:rsidRPr="00575BC0">
              <w:rPr>
                <w:rFonts w:cs="Arial"/>
              </w:rPr>
              <w:t xml:space="preserve">for </w:t>
            </w:r>
            <w:r w:rsidR="003631EE" w:rsidRPr="00575BC0">
              <w:rPr>
                <w:rFonts w:cs="Arial"/>
              </w:rPr>
              <w:t>4</w:t>
            </w:r>
            <w:r w:rsidRPr="00575BC0">
              <w:rPr>
                <w:rFonts w:cs="Arial"/>
              </w:rPr>
              <w:t xml:space="preserve"> weeks from </w:t>
            </w:r>
            <w:r w:rsidR="00EF754E" w:rsidRPr="00575BC0">
              <w:rPr>
                <w:rFonts w:cs="Arial"/>
              </w:rPr>
              <w:t>1</w:t>
            </w:r>
            <w:r w:rsidR="00DF5A7B" w:rsidRPr="00575BC0">
              <w:rPr>
                <w:rFonts w:cs="Arial"/>
              </w:rPr>
              <w:t>9</w:t>
            </w:r>
            <w:r w:rsidR="006A550F" w:rsidRPr="00575BC0">
              <w:rPr>
                <w:rFonts w:cs="Arial"/>
                <w:vertAlign w:val="superscript"/>
              </w:rPr>
              <w:t>th</w:t>
            </w:r>
            <w:r w:rsidR="003631EE" w:rsidRPr="00575BC0">
              <w:rPr>
                <w:rFonts w:cs="Arial"/>
              </w:rPr>
              <w:t xml:space="preserve"> December </w:t>
            </w:r>
            <w:r w:rsidR="00C23C55" w:rsidRPr="00575BC0">
              <w:rPr>
                <w:rFonts w:cs="Arial"/>
              </w:rPr>
              <w:t>201</w:t>
            </w:r>
            <w:r w:rsidR="00EF754E" w:rsidRPr="00575BC0">
              <w:rPr>
                <w:rFonts w:cs="Arial"/>
              </w:rPr>
              <w:t>7</w:t>
            </w:r>
            <w:r w:rsidR="00C23C55" w:rsidRPr="00575BC0">
              <w:rPr>
                <w:rFonts w:cs="Arial"/>
              </w:rPr>
              <w:t xml:space="preserve"> to </w:t>
            </w:r>
            <w:r w:rsidR="00DF5A7B" w:rsidRPr="00575BC0">
              <w:rPr>
                <w:rFonts w:cs="Arial"/>
              </w:rPr>
              <w:t>1</w:t>
            </w:r>
            <w:r w:rsidR="00575BC0" w:rsidRPr="00575BC0">
              <w:rPr>
                <w:rFonts w:cs="Arial"/>
              </w:rPr>
              <w:t>6</w:t>
            </w:r>
            <w:r w:rsidR="006A550F" w:rsidRPr="00575BC0">
              <w:rPr>
                <w:rFonts w:cs="Arial"/>
                <w:vertAlign w:val="superscript"/>
              </w:rPr>
              <w:t>th</w:t>
            </w:r>
            <w:r w:rsidR="003631EE" w:rsidRPr="00575BC0">
              <w:rPr>
                <w:rFonts w:cs="Arial"/>
              </w:rPr>
              <w:t xml:space="preserve"> January </w:t>
            </w:r>
            <w:r w:rsidR="006A550F" w:rsidRPr="00575BC0">
              <w:rPr>
                <w:rFonts w:cs="Arial"/>
              </w:rPr>
              <w:t>2018</w:t>
            </w:r>
            <w:r w:rsidR="00C23C55" w:rsidRPr="00575BC0">
              <w:rPr>
                <w:rFonts w:cs="Arial"/>
              </w:rPr>
              <w:t>.</w:t>
            </w:r>
          </w:p>
          <w:p w:rsidR="00513B9C" w:rsidRPr="004E4F40" w:rsidRDefault="00513B9C" w:rsidP="00575BC0">
            <w:pPr>
              <w:rPr>
                <w:rFonts w:cs="Arial"/>
              </w:rPr>
            </w:pPr>
          </w:p>
        </w:tc>
      </w:tr>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Enquiries:</w:t>
            </w:r>
          </w:p>
        </w:tc>
        <w:tc>
          <w:tcPr>
            <w:tcW w:w="7020" w:type="dxa"/>
            <w:shd w:val="clear" w:color="auto" w:fill="auto"/>
          </w:tcPr>
          <w:p w:rsidR="00AE289F" w:rsidRPr="007F4299" w:rsidRDefault="00611A1D" w:rsidP="00AE289F">
            <w:pPr>
              <w:autoSpaceDE w:val="0"/>
              <w:autoSpaceDN w:val="0"/>
              <w:adjustRightInd w:val="0"/>
              <w:rPr>
                <w:rFonts w:cs="Arial"/>
                <w:color w:val="000000"/>
              </w:rPr>
            </w:pPr>
            <w:r>
              <w:rPr>
                <w:rFonts w:cs="Arial"/>
              </w:rPr>
              <w:t>For any enquiries about the consultation please contact</w:t>
            </w:r>
            <w:r w:rsidR="00DE4839">
              <w:rPr>
                <w:rFonts w:cs="Arial"/>
              </w:rPr>
              <w:t xml:space="preserve"> </w:t>
            </w:r>
            <w:r w:rsidR="00AE289F">
              <w:rPr>
                <w:rFonts w:cs="Arial"/>
                <w:color w:val="000000"/>
              </w:rPr>
              <w:t xml:space="preserve">Roger Palmer </w:t>
            </w:r>
            <w:r w:rsidR="00AE289F" w:rsidRPr="007F4299">
              <w:rPr>
                <w:rFonts w:cs="Arial"/>
                <w:color w:val="000000"/>
              </w:rPr>
              <w:t xml:space="preserve"> </w:t>
            </w:r>
          </w:p>
          <w:p w:rsidR="00AE289F" w:rsidRPr="007F4299" w:rsidRDefault="00513B9C" w:rsidP="00AE289F">
            <w:pPr>
              <w:autoSpaceDE w:val="0"/>
              <w:autoSpaceDN w:val="0"/>
              <w:adjustRightInd w:val="0"/>
              <w:rPr>
                <w:rFonts w:cs="Arial"/>
                <w:color w:val="000000"/>
              </w:rPr>
            </w:pPr>
            <w:hyperlink r:id="rId19" w:history="1">
              <w:r w:rsidR="00AE289F" w:rsidRPr="00C63CA4">
                <w:rPr>
                  <w:rStyle w:val="Hyperlink"/>
                  <w:rFonts w:cs="Arial"/>
                </w:rPr>
                <w:t>Roger</w:t>
              </w:r>
              <w:r w:rsidR="00AE289F" w:rsidRPr="00A7732A">
                <w:rPr>
                  <w:rStyle w:val="Hyperlink"/>
                  <w:rFonts w:cs="Arial"/>
                </w:rPr>
                <w:t xml:space="preserve"> Palmer</w:t>
              </w:r>
              <w:r w:rsidR="00AE289F" w:rsidRPr="00A7732A" w:rsidDel="00C63CA4">
                <w:rPr>
                  <w:rStyle w:val="Hyperlink"/>
                  <w:rFonts w:cs="Arial"/>
                </w:rPr>
                <w:t xml:space="preserve"> </w:t>
              </w:r>
              <w:r w:rsidR="00AE289F" w:rsidRPr="00D62E70">
                <w:rPr>
                  <w:rStyle w:val="Hyperlink"/>
                  <w:rFonts w:cs="Arial"/>
                </w:rPr>
                <w:t>@communities.gsi.gov.uk</w:t>
              </w:r>
            </w:hyperlink>
            <w:r w:rsidR="00AE289F" w:rsidRPr="007F4299">
              <w:rPr>
                <w:rFonts w:cs="Arial"/>
                <w:color w:val="000000"/>
              </w:rPr>
              <w:t xml:space="preserve"> or 0303 444 2075 </w:t>
            </w:r>
          </w:p>
          <w:p w:rsidR="00611A1D" w:rsidRPr="0041327C" w:rsidRDefault="00611A1D" w:rsidP="00CF3A1C">
            <w:pPr>
              <w:pStyle w:val="Default"/>
              <w:rPr>
                <w:color w:val="808080"/>
                <w:sz w:val="20"/>
                <w:szCs w:val="20"/>
              </w:rPr>
            </w:pPr>
          </w:p>
        </w:tc>
      </w:tr>
      <w:tr w:rsidR="00611A1D" w:rsidRPr="0041327C" w:rsidTr="004F0389">
        <w:tc>
          <w:tcPr>
            <w:tcW w:w="2160" w:type="dxa"/>
            <w:shd w:val="clear" w:color="auto" w:fill="auto"/>
          </w:tcPr>
          <w:p w:rsidR="00611A1D" w:rsidRPr="00DF3618" w:rsidRDefault="00611A1D" w:rsidP="004F0389">
            <w:pPr>
              <w:rPr>
                <w:rFonts w:cs="Arial"/>
                <w:sz w:val="26"/>
                <w:szCs w:val="26"/>
              </w:rPr>
            </w:pPr>
            <w:r w:rsidRPr="00DF3618">
              <w:rPr>
                <w:rFonts w:cs="Arial"/>
                <w:sz w:val="26"/>
                <w:szCs w:val="26"/>
              </w:rPr>
              <w:t>How to respond:</w:t>
            </w:r>
          </w:p>
        </w:tc>
        <w:tc>
          <w:tcPr>
            <w:tcW w:w="7020" w:type="dxa"/>
            <w:shd w:val="clear" w:color="auto" w:fill="auto"/>
          </w:tcPr>
          <w:p w:rsidR="00513B9C" w:rsidRDefault="008E292C" w:rsidP="00513B9C">
            <w:pPr>
              <w:autoSpaceDE w:val="0"/>
              <w:autoSpaceDN w:val="0"/>
              <w:adjustRightInd w:val="0"/>
              <w:rPr>
                <w:rFonts w:cs="Arial"/>
              </w:rPr>
            </w:pPr>
            <w:r w:rsidRPr="00513B9C">
              <w:rPr>
                <w:rFonts w:cs="Arial"/>
              </w:rPr>
              <w:t>Please</w:t>
            </w:r>
            <w:r w:rsidR="00CC7494" w:rsidRPr="00513B9C">
              <w:rPr>
                <w:rFonts w:cs="Arial"/>
              </w:rPr>
              <w:t xml:space="preserve"> respond by completing</w:t>
            </w:r>
            <w:r w:rsidR="00513B9C">
              <w:rPr>
                <w:rFonts w:cs="Arial"/>
              </w:rPr>
              <w:t xml:space="preserve"> our</w:t>
            </w:r>
            <w:r w:rsidR="00CC7494" w:rsidRPr="00513B9C">
              <w:rPr>
                <w:rFonts w:cs="Arial"/>
              </w:rPr>
              <w:t xml:space="preserve"> online survey</w:t>
            </w:r>
            <w:r w:rsidR="00513B9C">
              <w:rPr>
                <w:rFonts w:cs="Arial"/>
              </w:rPr>
              <w:t xml:space="preserve">. The survey provides an opportunity to submit further information using a file </w:t>
            </w:r>
            <w:r w:rsidR="00513B9C">
              <w:rPr>
                <w:rFonts w:cs="Arial"/>
              </w:rPr>
              <w:lastRenderedPageBreak/>
              <w:t>upload function on the final page. They survey can be found</w:t>
            </w:r>
            <w:r w:rsidR="00CC7494" w:rsidRPr="00513B9C">
              <w:rPr>
                <w:rFonts w:cs="Arial"/>
              </w:rPr>
              <w:t xml:space="preserve"> at</w:t>
            </w:r>
            <w:r w:rsidR="00513B9C">
              <w:rPr>
                <w:rFonts w:cs="Arial"/>
              </w:rPr>
              <w:t xml:space="preserve"> the following web link</w:t>
            </w:r>
            <w:r w:rsidR="00CC7494" w:rsidRPr="00513B9C">
              <w:rPr>
                <w:rFonts w:cs="Arial"/>
              </w:rPr>
              <w:t>:</w:t>
            </w:r>
            <w:r w:rsidR="00F17114">
              <w:rPr>
                <w:rFonts w:cs="Arial"/>
              </w:rPr>
              <w:t xml:space="preserve"> </w:t>
            </w:r>
          </w:p>
          <w:p w:rsidR="00513B9C" w:rsidRDefault="00513B9C" w:rsidP="00513B9C">
            <w:pPr>
              <w:tabs>
                <w:tab w:val="left" w:pos="567"/>
              </w:tabs>
              <w:rPr>
                <w:rFonts w:cs="Arial"/>
              </w:rPr>
            </w:pPr>
          </w:p>
          <w:p w:rsidR="001621E3" w:rsidRPr="00AD2813" w:rsidRDefault="00513B9C" w:rsidP="00513B9C">
            <w:pPr>
              <w:tabs>
                <w:tab w:val="left" w:pos="567"/>
              </w:tabs>
              <w:rPr>
                <w:rFonts w:cs="Arial"/>
                <w:color w:val="FF0000"/>
              </w:rPr>
            </w:pPr>
            <w:hyperlink r:id="rId20" w:history="1">
              <w:r>
                <w:rPr>
                  <w:rStyle w:val="Hyperlink"/>
                </w:rPr>
                <w:t>https://www.surveymonkey.co.uk/r/provisionalsettlement1819</w:t>
              </w:r>
            </w:hyperlink>
          </w:p>
          <w:p w:rsidR="00092A49" w:rsidRDefault="00092A49" w:rsidP="004F0389">
            <w:pPr>
              <w:tabs>
                <w:tab w:val="left" w:pos="567"/>
              </w:tabs>
              <w:ind w:left="567" w:hanging="567"/>
              <w:rPr>
                <w:rFonts w:cs="Arial"/>
              </w:rPr>
            </w:pPr>
          </w:p>
          <w:p w:rsidR="00611A1D" w:rsidRPr="00C23C55" w:rsidRDefault="00092A49" w:rsidP="004F0389">
            <w:pPr>
              <w:tabs>
                <w:tab w:val="left" w:pos="567"/>
              </w:tabs>
              <w:ind w:left="567" w:hanging="567"/>
              <w:rPr>
                <w:rFonts w:cs="Arial"/>
              </w:rPr>
            </w:pPr>
            <w:r>
              <w:rPr>
                <w:rFonts w:cs="Arial"/>
              </w:rPr>
              <w:t>Alternatively, y</w:t>
            </w:r>
            <w:r w:rsidR="00C23C55" w:rsidRPr="00C23C55">
              <w:rPr>
                <w:rFonts w:cs="Arial"/>
              </w:rPr>
              <w:t xml:space="preserve">ou </w:t>
            </w:r>
            <w:r w:rsidR="00611A1D" w:rsidRPr="00C23C55">
              <w:rPr>
                <w:rFonts w:cs="Arial"/>
              </w:rPr>
              <w:t xml:space="preserve">can </w:t>
            </w:r>
            <w:r w:rsidR="00795669" w:rsidRPr="00C23C55">
              <w:rPr>
                <w:rFonts w:cs="Arial"/>
              </w:rPr>
              <w:t>respond</w:t>
            </w:r>
            <w:r w:rsidR="00611A1D" w:rsidRPr="00C23C55">
              <w:rPr>
                <w:rFonts w:cs="Arial"/>
              </w:rPr>
              <w:t xml:space="preserve"> to the questions in</w:t>
            </w:r>
          </w:p>
          <w:p w:rsidR="00605C81" w:rsidRDefault="00611A1D" w:rsidP="008E31BF">
            <w:pPr>
              <w:tabs>
                <w:tab w:val="left" w:pos="567"/>
              </w:tabs>
              <w:ind w:left="567" w:hanging="567"/>
              <w:rPr>
                <w:rFonts w:cs="Arial"/>
              </w:rPr>
            </w:pPr>
            <w:r w:rsidRPr="00C23C55">
              <w:rPr>
                <w:rFonts w:cs="Arial"/>
              </w:rPr>
              <w:t>this co</w:t>
            </w:r>
            <w:r w:rsidR="008E31BF" w:rsidRPr="00C23C55">
              <w:rPr>
                <w:rFonts w:cs="Arial"/>
              </w:rPr>
              <w:t>nsultation</w:t>
            </w:r>
            <w:r w:rsidR="00605C81" w:rsidRPr="00C23C55">
              <w:rPr>
                <w:rFonts w:cs="Arial"/>
              </w:rPr>
              <w:t xml:space="preserve"> </w:t>
            </w:r>
            <w:r w:rsidR="00C23C55" w:rsidRPr="00C23C55">
              <w:rPr>
                <w:rFonts w:cs="Arial"/>
              </w:rPr>
              <w:t>by email to:</w:t>
            </w:r>
          </w:p>
          <w:p w:rsidR="00513B9C" w:rsidRPr="00C23C55" w:rsidRDefault="00513B9C" w:rsidP="008E31BF">
            <w:pPr>
              <w:tabs>
                <w:tab w:val="left" w:pos="567"/>
              </w:tabs>
              <w:ind w:left="567" w:hanging="567"/>
              <w:rPr>
                <w:rFonts w:cs="Arial"/>
              </w:rPr>
            </w:pPr>
          </w:p>
          <w:p w:rsidR="00795669" w:rsidRPr="00294569" w:rsidRDefault="00513B9C" w:rsidP="00795669">
            <w:pPr>
              <w:pStyle w:val="Default"/>
            </w:pPr>
            <w:hyperlink r:id="rId21" w:history="1">
              <w:r w:rsidR="00F17114" w:rsidRPr="00513B9C">
                <w:rPr>
                  <w:rStyle w:val="Hyperlink"/>
                </w:rPr>
                <w:t>LGFsettlement@communities.gsi.gov.uk</w:t>
              </w:r>
            </w:hyperlink>
          </w:p>
          <w:p w:rsidR="00611A1D" w:rsidRPr="008E31BF" w:rsidRDefault="00611A1D" w:rsidP="00795669">
            <w:pPr>
              <w:tabs>
                <w:tab w:val="left" w:pos="567"/>
              </w:tabs>
              <w:rPr>
                <w:rFonts w:cs="Arial"/>
                <w:highlight w:val="yellow"/>
              </w:rPr>
            </w:pPr>
          </w:p>
          <w:p w:rsidR="00982650" w:rsidRPr="00C23C55" w:rsidRDefault="00611A1D" w:rsidP="004F0389">
            <w:pPr>
              <w:tabs>
                <w:tab w:val="left" w:pos="567"/>
              </w:tabs>
              <w:ind w:left="567" w:hanging="567"/>
              <w:rPr>
                <w:rFonts w:cs="Arial"/>
              </w:rPr>
            </w:pPr>
            <w:r w:rsidRPr="00C23C55">
              <w:rPr>
                <w:rFonts w:cs="Arial"/>
              </w:rPr>
              <w:t>If you are</w:t>
            </w:r>
            <w:r w:rsidRPr="00C23C55">
              <w:rPr>
                <w:rFonts w:cs="Arial"/>
                <w:b/>
              </w:rPr>
              <w:t xml:space="preserve"> </w:t>
            </w:r>
            <w:r w:rsidRPr="00C23C55">
              <w:rPr>
                <w:rFonts w:cs="Arial"/>
              </w:rPr>
              <w:t>responding in writing,</w:t>
            </w:r>
            <w:r w:rsidR="00982650" w:rsidRPr="00C23C55">
              <w:rPr>
                <w:rFonts w:cs="Arial"/>
              </w:rPr>
              <w:t xml:space="preserve"> </w:t>
            </w:r>
            <w:r w:rsidRPr="00C23C55">
              <w:rPr>
                <w:rFonts w:cs="Arial"/>
              </w:rPr>
              <w:t>please make it clear which</w:t>
            </w:r>
          </w:p>
          <w:p w:rsidR="00611A1D" w:rsidRPr="00C23C55" w:rsidRDefault="00611A1D" w:rsidP="004F0389">
            <w:pPr>
              <w:tabs>
                <w:tab w:val="left" w:pos="567"/>
              </w:tabs>
              <w:ind w:left="567" w:hanging="567"/>
              <w:rPr>
                <w:rFonts w:cs="Arial"/>
              </w:rPr>
            </w:pPr>
            <w:proofErr w:type="gramStart"/>
            <w:r w:rsidRPr="00C23C55">
              <w:rPr>
                <w:rFonts w:cs="Arial"/>
              </w:rPr>
              <w:t>questions</w:t>
            </w:r>
            <w:proofErr w:type="gramEnd"/>
            <w:r w:rsidRPr="00C23C55">
              <w:rPr>
                <w:rFonts w:cs="Arial"/>
              </w:rPr>
              <w:t xml:space="preserve"> you are responding to. </w:t>
            </w:r>
          </w:p>
          <w:p w:rsidR="00611A1D" w:rsidRPr="00C23C55" w:rsidRDefault="00611A1D" w:rsidP="004F0389">
            <w:pPr>
              <w:tabs>
                <w:tab w:val="left" w:pos="567"/>
              </w:tabs>
              <w:ind w:left="567" w:hanging="567"/>
              <w:rPr>
                <w:rFonts w:cs="Arial"/>
              </w:rPr>
            </w:pPr>
          </w:p>
          <w:p w:rsidR="00611A1D" w:rsidRDefault="00611A1D" w:rsidP="004F0389">
            <w:pPr>
              <w:tabs>
                <w:tab w:val="left" w:pos="567"/>
              </w:tabs>
              <w:ind w:left="567" w:hanging="567"/>
              <w:rPr>
                <w:rFonts w:cs="Arial"/>
              </w:rPr>
            </w:pPr>
            <w:r w:rsidRPr="00C23C55">
              <w:rPr>
                <w:rFonts w:cs="Arial"/>
              </w:rPr>
              <w:t>Written responses should be sent to:</w:t>
            </w:r>
          </w:p>
          <w:p w:rsidR="005229D3" w:rsidRPr="00C23C55" w:rsidRDefault="005229D3" w:rsidP="004F0389">
            <w:pPr>
              <w:tabs>
                <w:tab w:val="left" w:pos="567"/>
              </w:tabs>
              <w:ind w:left="567" w:hanging="567"/>
              <w:rPr>
                <w:rFonts w:cs="Arial"/>
              </w:rPr>
            </w:pPr>
          </w:p>
          <w:p w:rsidR="00795669" w:rsidRPr="00294569" w:rsidRDefault="006A550F" w:rsidP="00795669">
            <w:pPr>
              <w:pStyle w:val="Default"/>
            </w:pPr>
            <w:r>
              <w:t>Roger Palmer</w:t>
            </w:r>
          </w:p>
          <w:p w:rsidR="00795669" w:rsidRPr="00294569" w:rsidRDefault="00795669" w:rsidP="00795669">
            <w:pPr>
              <w:pStyle w:val="Default"/>
            </w:pPr>
            <w:r w:rsidRPr="00294569">
              <w:t xml:space="preserve">Department for Communities and Local Government </w:t>
            </w:r>
          </w:p>
          <w:p w:rsidR="00795669" w:rsidRPr="00294569" w:rsidRDefault="00795669" w:rsidP="00795669">
            <w:pPr>
              <w:pStyle w:val="Default"/>
            </w:pPr>
            <w:r w:rsidRPr="00294569">
              <w:t xml:space="preserve">2nd floor, Fry Building </w:t>
            </w:r>
          </w:p>
          <w:p w:rsidR="00795669" w:rsidRPr="00294569" w:rsidRDefault="00795669" w:rsidP="00795669">
            <w:pPr>
              <w:pStyle w:val="Default"/>
            </w:pPr>
            <w:r w:rsidRPr="00294569">
              <w:t xml:space="preserve">2 </w:t>
            </w:r>
            <w:proofErr w:type="spellStart"/>
            <w:r w:rsidRPr="00294569">
              <w:t>Marsham</w:t>
            </w:r>
            <w:proofErr w:type="spellEnd"/>
            <w:r w:rsidRPr="00294569">
              <w:t xml:space="preserve"> Street </w:t>
            </w:r>
          </w:p>
          <w:p w:rsidR="003A16DF" w:rsidRPr="00294569" w:rsidRDefault="00795669" w:rsidP="00795669">
            <w:pPr>
              <w:tabs>
                <w:tab w:val="left" w:pos="567"/>
              </w:tabs>
              <w:ind w:left="567" w:hanging="567"/>
            </w:pPr>
            <w:r w:rsidRPr="00294569">
              <w:t xml:space="preserve">London SW1P 4DF </w:t>
            </w:r>
          </w:p>
          <w:p w:rsidR="00795669" w:rsidRDefault="00795669" w:rsidP="00795669">
            <w:pPr>
              <w:tabs>
                <w:tab w:val="left" w:pos="567"/>
              </w:tabs>
              <w:ind w:left="567" w:hanging="567"/>
              <w:rPr>
                <w:rFonts w:cs="Arial"/>
                <w:highlight w:val="yellow"/>
              </w:rPr>
            </w:pPr>
          </w:p>
          <w:p w:rsidR="00611A1D" w:rsidRPr="00C23C55" w:rsidRDefault="00611A1D" w:rsidP="004F0389">
            <w:pPr>
              <w:tabs>
                <w:tab w:val="left" w:pos="567"/>
              </w:tabs>
              <w:ind w:left="567" w:hanging="567"/>
              <w:jc w:val="both"/>
              <w:rPr>
                <w:rFonts w:cs="Arial"/>
              </w:rPr>
            </w:pPr>
            <w:r w:rsidRPr="00C23C55">
              <w:rPr>
                <w:rFonts w:cs="Arial"/>
              </w:rPr>
              <w:t>When you reply it would be very useful if you confirm whether</w:t>
            </w:r>
          </w:p>
          <w:p w:rsidR="00611A1D" w:rsidRPr="00C23C55" w:rsidRDefault="00611A1D" w:rsidP="004F0389">
            <w:pPr>
              <w:tabs>
                <w:tab w:val="left" w:pos="567"/>
              </w:tabs>
              <w:ind w:left="567" w:hanging="567"/>
              <w:jc w:val="both"/>
              <w:rPr>
                <w:rFonts w:cs="Arial"/>
              </w:rPr>
            </w:pPr>
            <w:r w:rsidRPr="00C23C55">
              <w:rPr>
                <w:rFonts w:cs="Arial"/>
              </w:rPr>
              <w:t>you are replying as an individual or submitting an official</w:t>
            </w:r>
          </w:p>
          <w:p w:rsidR="00611A1D" w:rsidRDefault="00611A1D" w:rsidP="004F0389">
            <w:pPr>
              <w:tabs>
                <w:tab w:val="left" w:pos="567"/>
              </w:tabs>
              <w:ind w:left="567" w:hanging="567"/>
              <w:jc w:val="both"/>
              <w:rPr>
                <w:rFonts w:cs="Arial"/>
              </w:rPr>
            </w:pPr>
            <w:r w:rsidRPr="00C23C55">
              <w:rPr>
                <w:rFonts w:cs="Arial"/>
              </w:rPr>
              <w:t>response on behalf of an organisation and include:</w:t>
            </w:r>
          </w:p>
          <w:p w:rsidR="00513B9C" w:rsidRPr="00C23C55" w:rsidRDefault="00513B9C" w:rsidP="004F0389">
            <w:pPr>
              <w:tabs>
                <w:tab w:val="left" w:pos="567"/>
              </w:tabs>
              <w:ind w:left="567" w:hanging="567"/>
              <w:jc w:val="both"/>
              <w:rPr>
                <w:rFonts w:cs="Arial"/>
              </w:rPr>
            </w:pPr>
          </w:p>
          <w:p w:rsidR="00611A1D" w:rsidRPr="00C23C55" w:rsidRDefault="00D57819" w:rsidP="004F0389">
            <w:pPr>
              <w:tabs>
                <w:tab w:val="left" w:pos="567"/>
              </w:tabs>
              <w:ind w:left="567" w:hanging="567"/>
              <w:jc w:val="both"/>
              <w:rPr>
                <w:rFonts w:cs="Arial"/>
              </w:rPr>
            </w:pPr>
            <w:r w:rsidRPr="00C23C55">
              <w:rPr>
                <w:rFonts w:cs="Arial"/>
              </w:rPr>
              <w:t>-</w:t>
            </w:r>
            <w:r w:rsidR="00611A1D" w:rsidRPr="00C23C55">
              <w:rPr>
                <w:rFonts w:cs="Arial"/>
              </w:rPr>
              <w:tab/>
              <w:t>your name,</w:t>
            </w:r>
          </w:p>
          <w:p w:rsidR="00611A1D" w:rsidRPr="00C23C55" w:rsidRDefault="00D57819" w:rsidP="004F0389">
            <w:pPr>
              <w:tabs>
                <w:tab w:val="left" w:pos="567"/>
              </w:tabs>
              <w:ind w:left="567" w:hanging="567"/>
              <w:jc w:val="both"/>
              <w:rPr>
                <w:rFonts w:cs="Arial"/>
              </w:rPr>
            </w:pPr>
            <w:r w:rsidRPr="00C23C55">
              <w:rPr>
                <w:rFonts w:cs="Arial"/>
              </w:rPr>
              <w:t>-</w:t>
            </w:r>
            <w:r w:rsidR="00611A1D" w:rsidRPr="00C23C55">
              <w:rPr>
                <w:rFonts w:cs="Arial"/>
              </w:rPr>
              <w:t xml:space="preserve"> </w:t>
            </w:r>
            <w:r w:rsidR="00611A1D" w:rsidRPr="00C23C55">
              <w:rPr>
                <w:rFonts w:cs="Arial"/>
              </w:rPr>
              <w:tab/>
              <w:t>your position (if applicable),</w:t>
            </w:r>
          </w:p>
          <w:p w:rsidR="00611A1D" w:rsidRPr="00C23C55" w:rsidRDefault="00D57819" w:rsidP="004F0389">
            <w:pPr>
              <w:tabs>
                <w:tab w:val="left" w:pos="567"/>
              </w:tabs>
              <w:ind w:left="567" w:hanging="567"/>
              <w:jc w:val="both"/>
              <w:rPr>
                <w:rFonts w:cs="Arial"/>
              </w:rPr>
            </w:pPr>
            <w:r w:rsidRPr="00C23C55">
              <w:rPr>
                <w:rFonts w:cs="Arial"/>
              </w:rPr>
              <w:t>-</w:t>
            </w:r>
            <w:r w:rsidR="00611A1D" w:rsidRPr="00C23C55">
              <w:rPr>
                <w:rFonts w:cs="Arial"/>
              </w:rPr>
              <w:tab/>
              <w:t>the name of organisation (if applicable),</w:t>
            </w:r>
          </w:p>
          <w:p w:rsidR="00611A1D" w:rsidRPr="00C23C55" w:rsidRDefault="00D57819" w:rsidP="004F0389">
            <w:pPr>
              <w:tabs>
                <w:tab w:val="left" w:pos="567"/>
              </w:tabs>
              <w:ind w:left="567" w:hanging="567"/>
              <w:jc w:val="both"/>
              <w:rPr>
                <w:rFonts w:cs="Arial"/>
              </w:rPr>
            </w:pPr>
            <w:r w:rsidRPr="00C23C55">
              <w:rPr>
                <w:rFonts w:cs="Arial"/>
              </w:rPr>
              <w:t>-</w:t>
            </w:r>
            <w:r w:rsidR="00611A1D" w:rsidRPr="00C23C55">
              <w:rPr>
                <w:rFonts w:cs="Arial"/>
              </w:rPr>
              <w:tab/>
              <w:t>an address (including post</w:t>
            </w:r>
            <w:r w:rsidR="00B25D8B" w:rsidRPr="00C23C55">
              <w:rPr>
                <w:rFonts w:cs="Arial"/>
              </w:rPr>
              <w:t>/</w:t>
            </w:r>
            <w:r w:rsidR="00611A1D" w:rsidRPr="00C23C55">
              <w:rPr>
                <w:rFonts w:cs="Arial"/>
              </w:rPr>
              <w:t>code),</w:t>
            </w:r>
          </w:p>
          <w:p w:rsidR="00611A1D" w:rsidRPr="00C23C55" w:rsidRDefault="00D57819" w:rsidP="004F0389">
            <w:pPr>
              <w:tabs>
                <w:tab w:val="left" w:pos="567"/>
              </w:tabs>
              <w:ind w:left="567" w:hanging="567"/>
              <w:jc w:val="both"/>
              <w:rPr>
                <w:rFonts w:cs="Arial"/>
              </w:rPr>
            </w:pPr>
            <w:r w:rsidRPr="00C23C55">
              <w:rPr>
                <w:rFonts w:cs="Arial"/>
              </w:rPr>
              <w:t>-</w:t>
            </w:r>
            <w:r w:rsidR="00611A1D" w:rsidRPr="00C23C55">
              <w:rPr>
                <w:rFonts w:cs="Arial"/>
              </w:rPr>
              <w:tab/>
              <w:t xml:space="preserve">an email address, and </w:t>
            </w:r>
          </w:p>
          <w:p w:rsidR="00611A1D" w:rsidRDefault="00D57819" w:rsidP="004F0389">
            <w:pPr>
              <w:tabs>
                <w:tab w:val="left" w:pos="567"/>
              </w:tabs>
              <w:ind w:left="567" w:hanging="567"/>
              <w:jc w:val="both"/>
              <w:rPr>
                <w:rFonts w:cs="Arial"/>
              </w:rPr>
            </w:pPr>
            <w:r w:rsidRPr="00C23C55">
              <w:rPr>
                <w:rFonts w:cs="Arial"/>
              </w:rPr>
              <w:t>-</w:t>
            </w:r>
            <w:r w:rsidR="00611A1D" w:rsidRPr="00C23C55">
              <w:rPr>
                <w:rFonts w:cs="Arial"/>
              </w:rPr>
              <w:tab/>
            </w:r>
            <w:proofErr w:type="gramStart"/>
            <w:r w:rsidR="00611A1D" w:rsidRPr="00C23C55">
              <w:rPr>
                <w:rFonts w:cs="Arial"/>
              </w:rPr>
              <w:t>a</w:t>
            </w:r>
            <w:proofErr w:type="gramEnd"/>
            <w:r w:rsidR="00611A1D" w:rsidRPr="00C23C55">
              <w:rPr>
                <w:rFonts w:cs="Arial"/>
              </w:rPr>
              <w:t xml:space="preserve"> contact telephone number</w:t>
            </w:r>
            <w:r w:rsidR="00513B9C">
              <w:rPr>
                <w:rFonts w:cs="Arial"/>
              </w:rPr>
              <w:t>.</w:t>
            </w:r>
          </w:p>
          <w:p w:rsidR="00611A1D" w:rsidRPr="0041327C" w:rsidRDefault="00611A1D" w:rsidP="004F0389">
            <w:pPr>
              <w:tabs>
                <w:tab w:val="left" w:pos="567"/>
              </w:tabs>
              <w:ind w:left="567" w:hanging="567"/>
              <w:rPr>
                <w:rFonts w:cs="Arial"/>
                <w:color w:val="808080"/>
                <w:sz w:val="20"/>
                <w:szCs w:val="20"/>
              </w:rPr>
            </w:pPr>
          </w:p>
        </w:tc>
      </w:tr>
    </w:tbl>
    <w:p w:rsidR="0022002A" w:rsidRDefault="0022002A" w:rsidP="004C47D6"/>
    <w:p w:rsidR="006A19F9" w:rsidRDefault="00795669" w:rsidP="006A19F9">
      <w:pPr>
        <w:pStyle w:val="Heading1"/>
      </w:pPr>
      <w:r>
        <w:br w:type="page"/>
      </w:r>
      <w:bookmarkStart w:id="11" w:name="_Toc436837748"/>
      <w:bookmarkStart w:id="12" w:name="_Toc501111209"/>
      <w:r w:rsidR="006A19F9">
        <w:lastRenderedPageBreak/>
        <w:t>About this consultation</w:t>
      </w:r>
      <w:bookmarkEnd w:id="11"/>
      <w:bookmarkEnd w:id="12"/>
    </w:p>
    <w:p w:rsidR="0022002A" w:rsidRDefault="0022002A" w:rsidP="0022002A">
      <w:r>
        <w:t xml:space="preserve">This consultation document and consultation process have been planned to adhere to the Consultation Principles issued by the Cabinet Office. </w:t>
      </w:r>
    </w:p>
    <w:p w:rsidR="0022002A" w:rsidRDefault="0022002A" w:rsidP="0022002A"/>
    <w:p w:rsidR="0022002A" w:rsidRDefault="0022002A" w:rsidP="0022002A">
      <w:r>
        <w:t>Representative groups are asked to give a summary of the people and organisations they represent, and where relevant who else they have consulted in reaching their conclusions when they respond.</w:t>
      </w:r>
    </w:p>
    <w:p w:rsidR="0022002A" w:rsidRDefault="0022002A" w:rsidP="0022002A"/>
    <w:p w:rsidR="0022002A" w:rsidRDefault="0022002A" w:rsidP="0022002A">
      <w:r>
        <w:t>Information provided in response to this consultation, including personal information, may be published or disclosed in accordance with the access to information regimes (these are primarily the Freedom of Information Act 2000 (FOIA), the Data Protection Act 1998 (DPA) and the Environmental Information Regulations 2004.</w:t>
      </w:r>
    </w:p>
    <w:p w:rsidR="0022002A" w:rsidRDefault="0022002A" w:rsidP="0022002A"/>
    <w:p w:rsidR="0022002A" w:rsidRDefault="0022002A" w:rsidP="0022002A">
      <w: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22002A" w:rsidRDefault="0022002A" w:rsidP="0022002A"/>
    <w:p w:rsidR="0022002A" w:rsidRDefault="0022002A" w:rsidP="0022002A">
      <w:r>
        <w:t>The Department for Communities and Local Government will process your personal data in accordance with DPA and in the majority of circumstances this will mean that your personal data will not be disclosed to third parties.</w:t>
      </w:r>
    </w:p>
    <w:p w:rsidR="0022002A" w:rsidRDefault="0022002A" w:rsidP="0022002A">
      <w:r>
        <w:t>Individual responses will not be acknowledged unless specifically requested.</w:t>
      </w:r>
    </w:p>
    <w:p w:rsidR="0022002A" w:rsidRDefault="0022002A" w:rsidP="0022002A"/>
    <w:p w:rsidR="0022002A" w:rsidRDefault="0022002A" w:rsidP="0022002A">
      <w:r>
        <w:t>Your opinions are valuable to us. Thank you for taking the time to read this document and respond.</w:t>
      </w:r>
    </w:p>
    <w:p w:rsidR="0022002A" w:rsidRDefault="0022002A" w:rsidP="0022002A"/>
    <w:p w:rsidR="0022002A" w:rsidRPr="00EB6D9F" w:rsidRDefault="0022002A" w:rsidP="0022002A">
      <w:r>
        <w:t>Are you satisfied that this consultation has followed the Consultation Principles?  If not</w:t>
      </w:r>
      <w:r w:rsidR="006F59FD">
        <w:t>,</w:t>
      </w:r>
      <w:r>
        <w:t xml:space="preserve"> or</w:t>
      </w:r>
      <w:r w:rsidR="006F59FD">
        <w:t xml:space="preserve"> if</w:t>
      </w:r>
      <w:r>
        <w:t xml:space="preserve"> you have any other observations about how we can improve the process please</w:t>
      </w:r>
      <w:r w:rsidR="008B27B9">
        <w:t>,</w:t>
      </w:r>
      <w:r>
        <w:t xml:space="preserve"> contact D</w:t>
      </w:r>
      <w:r w:rsidRPr="00EB6D9F">
        <w:t>CLG Consultation Co</w:t>
      </w:r>
      <w:r w:rsidR="00B25D8B">
        <w:t>/</w:t>
      </w:r>
      <w:r w:rsidR="005310DC" w:rsidRPr="00EB6D9F">
        <w:t>coordinator</w:t>
      </w:r>
      <w:r w:rsidRPr="00EB6D9F">
        <w:t>.</w:t>
      </w:r>
    </w:p>
    <w:p w:rsidR="0022002A" w:rsidRDefault="0022002A" w:rsidP="0022002A">
      <w:pPr>
        <w:rPr>
          <w:color w:val="000000"/>
        </w:rPr>
      </w:pPr>
    </w:p>
    <w:p w:rsidR="0022002A" w:rsidRDefault="0022002A" w:rsidP="0022002A">
      <w:pPr>
        <w:rPr>
          <w:color w:val="000000"/>
        </w:rPr>
      </w:pPr>
      <w:r>
        <w:rPr>
          <w:color w:val="000000"/>
        </w:rPr>
        <w:t>Department for Communities and Local Government</w:t>
      </w:r>
      <w:r>
        <w:rPr>
          <w:color w:val="000000"/>
        </w:rPr>
        <w:br/>
        <w:t xml:space="preserve">2 </w:t>
      </w:r>
      <w:proofErr w:type="spellStart"/>
      <w:r>
        <w:rPr>
          <w:color w:val="000000"/>
        </w:rPr>
        <w:t>Marsham</w:t>
      </w:r>
      <w:proofErr w:type="spellEnd"/>
      <w:r>
        <w:rPr>
          <w:color w:val="000000"/>
        </w:rPr>
        <w:t xml:space="preserve"> Street</w:t>
      </w:r>
      <w:r>
        <w:rPr>
          <w:color w:val="000000"/>
        </w:rPr>
        <w:br/>
        <w:t>London</w:t>
      </w:r>
      <w:r>
        <w:rPr>
          <w:color w:val="000000"/>
        </w:rPr>
        <w:br/>
        <w:t>SW1P 4DF</w:t>
      </w:r>
    </w:p>
    <w:p w:rsidR="0022002A" w:rsidRDefault="005310DC" w:rsidP="0022002A">
      <w:r>
        <w:rPr>
          <w:color w:val="000000"/>
        </w:rPr>
        <w:t>Or</w:t>
      </w:r>
      <w:r w:rsidR="0022002A">
        <w:rPr>
          <w:color w:val="000000"/>
        </w:rPr>
        <w:t xml:space="preserve"> by e</w:t>
      </w:r>
      <w:r>
        <w:rPr>
          <w:color w:val="000000"/>
        </w:rPr>
        <w:t>-</w:t>
      </w:r>
      <w:r w:rsidR="0022002A">
        <w:rPr>
          <w:color w:val="000000"/>
        </w:rPr>
        <w:t xml:space="preserve">mail to: </w:t>
      </w:r>
      <w:hyperlink r:id="rId22" w:history="1">
        <w:r w:rsidR="0022002A" w:rsidRPr="007078BA">
          <w:rPr>
            <w:rStyle w:val="Hyperlink"/>
            <w:rFonts w:cs="Arial"/>
          </w:rPr>
          <w:t>consultationcoordinator@communities.gsi.gov.uk</w:t>
        </w:r>
      </w:hyperlink>
    </w:p>
    <w:p w:rsidR="006A19F9" w:rsidRPr="00EF4685" w:rsidRDefault="006A19F9" w:rsidP="0022002A"/>
    <w:p w:rsidR="00AA02E1" w:rsidRDefault="00AA02E1" w:rsidP="00331C1B">
      <w:pPr>
        <w:pStyle w:val="Heading1"/>
        <w:rPr>
          <w:b/>
        </w:rPr>
      </w:pPr>
      <w:r>
        <w:br w:type="page"/>
      </w:r>
      <w:bookmarkStart w:id="13" w:name="_Toc501111210"/>
      <w:r w:rsidRPr="00AA02E1">
        <w:lastRenderedPageBreak/>
        <w:t>1</w:t>
      </w:r>
      <w:bookmarkStart w:id="14" w:name="_Toc454525183"/>
      <w:bookmarkStart w:id="15" w:name="_Toc455034243"/>
      <w:r w:rsidR="00331C1B">
        <w:t xml:space="preserve">. </w:t>
      </w:r>
      <w:r w:rsidRPr="00AA02E1">
        <w:t>Summary of proposals</w:t>
      </w:r>
      <w:bookmarkEnd w:id="14"/>
      <w:bookmarkEnd w:id="13"/>
      <w:r w:rsidRPr="00AA02E1">
        <w:t xml:space="preserve"> </w:t>
      </w:r>
      <w:bookmarkEnd w:id="15"/>
    </w:p>
    <w:p w:rsidR="00AA02E1" w:rsidRPr="00856AB4" w:rsidRDefault="00AA02E1" w:rsidP="00C211BA">
      <w:pPr>
        <w:numPr>
          <w:ilvl w:val="1"/>
          <w:numId w:val="8"/>
        </w:numPr>
        <w:spacing w:after="240"/>
        <w:rPr>
          <w:b/>
        </w:rPr>
      </w:pPr>
      <w:r w:rsidRPr="00856AB4">
        <w:rPr>
          <w:b/>
        </w:rPr>
        <w:t>Summary</w:t>
      </w:r>
    </w:p>
    <w:p w:rsidR="00431E29" w:rsidRPr="00A61914" w:rsidRDefault="00431E29" w:rsidP="00431E29">
      <w:pPr>
        <w:numPr>
          <w:ilvl w:val="2"/>
          <w:numId w:val="8"/>
        </w:numPr>
        <w:spacing w:after="240"/>
        <w:ind w:left="709" w:hanging="709"/>
        <w:rPr>
          <w:rFonts w:eastAsia="Calibri" w:cs="Arial"/>
          <w:color w:val="000000"/>
          <w:lang w:eastAsia="en-GB"/>
        </w:rPr>
      </w:pPr>
      <w:r w:rsidRPr="00D05F59">
        <w:rPr>
          <w:rFonts w:cs="Arial"/>
          <w:lang w:eastAsia="en-GB"/>
        </w:rPr>
        <w:t>This chapter provides</w:t>
      </w:r>
      <w:r>
        <w:rPr>
          <w:rFonts w:cs="Arial"/>
          <w:lang w:eastAsia="en-GB"/>
        </w:rPr>
        <w:t xml:space="preserve"> an overview of the wider reforms of local government finance which will help </w:t>
      </w:r>
      <w:r w:rsidR="00DF5A7B">
        <w:rPr>
          <w:rFonts w:cs="Arial"/>
          <w:lang w:eastAsia="en-GB"/>
        </w:rPr>
        <w:t xml:space="preserve">to </w:t>
      </w:r>
      <w:r>
        <w:rPr>
          <w:rFonts w:cs="Arial"/>
          <w:lang w:eastAsia="en-GB"/>
        </w:rPr>
        <w:t>provide context to the proposals for the 2018-19 local government finance settlement</w:t>
      </w:r>
      <w:r w:rsidRPr="00A61914">
        <w:rPr>
          <w:rFonts w:eastAsia="Calibri" w:cs="Arial"/>
          <w:color w:val="000000"/>
          <w:lang w:eastAsia="en-GB"/>
        </w:rPr>
        <w:t>:</w:t>
      </w:r>
    </w:p>
    <w:p w:rsidR="002C7951" w:rsidRDefault="002C7951" w:rsidP="002C7951">
      <w:pPr>
        <w:numPr>
          <w:ilvl w:val="0"/>
          <w:numId w:val="10"/>
        </w:numPr>
        <w:spacing w:after="240"/>
      </w:pPr>
      <w:r>
        <w:t>it summarises the key themes and approaches that the Government is proposing for the 2018-19 loca</w:t>
      </w:r>
      <w:r w:rsidR="00ED6CA7">
        <w:t>l government finance settlement,</w:t>
      </w:r>
      <w:r w:rsidR="00DC69E3">
        <w:t xml:space="preserve"> and</w:t>
      </w:r>
    </w:p>
    <w:p w:rsidR="00431E29" w:rsidRDefault="00431E29" w:rsidP="002B7E15">
      <w:pPr>
        <w:numPr>
          <w:ilvl w:val="0"/>
          <w:numId w:val="10"/>
        </w:numPr>
        <w:spacing w:after="240"/>
      </w:pPr>
      <w:proofErr w:type="gramStart"/>
      <w:r>
        <w:t>it</w:t>
      </w:r>
      <w:proofErr w:type="gramEnd"/>
      <w:r>
        <w:t xml:space="preserve"> provides</w:t>
      </w:r>
      <w:r w:rsidR="00360B6F">
        <w:t xml:space="preserve"> </w:t>
      </w:r>
      <w:r>
        <w:t>background information</w:t>
      </w:r>
      <w:r w:rsidR="00360B6F">
        <w:t>,</w:t>
      </w:r>
      <w:r>
        <w:t xml:space="preserve"> </w:t>
      </w:r>
      <w:r w:rsidR="00DC69E3">
        <w:t>including on</w:t>
      </w:r>
      <w:r w:rsidR="002B7E15">
        <w:t>:</w:t>
      </w:r>
      <w:r>
        <w:t xml:space="preserve"> the ongoing reforms to business rates retention and the prog</w:t>
      </w:r>
      <w:r w:rsidR="00FA43FD">
        <w:t xml:space="preserve">ress of the </w:t>
      </w:r>
      <w:r w:rsidR="00DC69E3">
        <w:t>fair funding review</w:t>
      </w:r>
      <w:r w:rsidR="002C7951">
        <w:t xml:space="preserve"> of relative needs and resources</w:t>
      </w:r>
      <w:r w:rsidRPr="005271FD">
        <w:t>; the Government’s commitment to understanding social care pressures</w:t>
      </w:r>
      <w:r w:rsidR="002B7E15">
        <w:t>;</w:t>
      </w:r>
      <w:r w:rsidR="002B7E15" w:rsidRPr="002B7E15">
        <w:t xml:space="preserve"> changes to council tax referendum principles</w:t>
      </w:r>
      <w:r w:rsidR="00DC69E3">
        <w:t>.</w:t>
      </w:r>
    </w:p>
    <w:p w:rsidR="00AA02E1" w:rsidRDefault="00A63A70" w:rsidP="00C211BA">
      <w:pPr>
        <w:numPr>
          <w:ilvl w:val="1"/>
          <w:numId w:val="8"/>
        </w:numPr>
        <w:spacing w:after="240"/>
        <w:rPr>
          <w:b/>
        </w:rPr>
      </w:pPr>
      <w:r>
        <w:rPr>
          <w:b/>
        </w:rPr>
        <w:t>Background</w:t>
      </w:r>
    </w:p>
    <w:p w:rsidR="00110640" w:rsidRDefault="00625277" w:rsidP="00110640">
      <w:pPr>
        <w:pStyle w:val="ListParagraph"/>
        <w:numPr>
          <w:ilvl w:val="2"/>
          <w:numId w:val="8"/>
        </w:numPr>
        <w:spacing w:after="0" w:line="240" w:lineRule="auto"/>
        <w:ind w:left="709" w:hanging="709"/>
        <w:contextualSpacing w:val="0"/>
        <w:rPr>
          <w:lang w:eastAsia="en-GB"/>
        </w:rPr>
      </w:pPr>
      <w:r>
        <w:rPr>
          <w:lang w:eastAsia="en-GB"/>
        </w:rPr>
        <w:t>The Government</w:t>
      </w:r>
      <w:r w:rsidR="00600047">
        <w:rPr>
          <w:lang w:eastAsia="en-GB"/>
        </w:rPr>
        <w:t xml:space="preserve"> </w:t>
      </w:r>
      <w:r w:rsidR="00FC3BAE">
        <w:rPr>
          <w:lang w:eastAsia="en-GB"/>
        </w:rPr>
        <w:t xml:space="preserve">recognises that </w:t>
      </w:r>
      <w:r w:rsidR="005B0900">
        <w:rPr>
          <w:lang w:eastAsia="en-GB"/>
        </w:rPr>
        <w:t xml:space="preserve">it is </w:t>
      </w:r>
      <w:r w:rsidR="00FC3BAE">
        <w:rPr>
          <w:lang w:eastAsia="en-GB"/>
        </w:rPr>
        <w:t xml:space="preserve">locally elected </w:t>
      </w:r>
      <w:r w:rsidR="008B27B9">
        <w:rPr>
          <w:lang w:eastAsia="en-GB"/>
        </w:rPr>
        <w:t>councillors</w:t>
      </w:r>
      <w:r w:rsidR="00FC3BAE">
        <w:rPr>
          <w:lang w:eastAsia="en-GB"/>
        </w:rPr>
        <w:t xml:space="preserve"> </w:t>
      </w:r>
      <w:r w:rsidR="005B0900">
        <w:rPr>
          <w:lang w:eastAsia="en-GB"/>
        </w:rPr>
        <w:t xml:space="preserve">who </w:t>
      </w:r>
      <w:r w:rsidR="00FC3BAE">
        <w:rPr>
          <w:lang w:eastAsia="en-GB"/>
        </w:rPr>
        <w:t>understand the priorities of their communities.</w:t>
      </w:r>
      <w:r w:rsidR="007C1ED9">
        <w:rPr>
          <w:lang w:eastAsia="en-GB"/>
        </w:rPr>
        <w:t xml:space="preserve"> </w:t>
      </w:r>
      <w:r w:rsidR="00FD3FAD" w:rsidRPr="00FD3FAD">
        <w:rPr>
          <w:lang w:eastAsia="en-GB"/>
        </w:rPr>
        <w:t>The 2016-17 local government finance settlement responded to what councils up and down the country called for:</w:t>
      </w:r>
      <w:r w:rsidR="00FC3BAE">
        <w:rPr>
          <w:lang w:eastAsia="en-GB"/>
        </w:rPr>
        <w:t xml:space="preserve"> it delivered</w:t>
      </w:r>
      <w:r w:rsidR="00FD3FAD" w:rsidRPr="00FD3FAD">
        <w:rPr>
          <w:lang w:eastAsia="en-GB"/>
        </w:rPr>
        <w:t xml:space="preserve"> unprecedented </w:t>
      </w:r>
      <w:r w:rsidR="009A0A38">
        <w:rPr>
          <w:lang w:eastAsia="en-GB"/>
        </w:rPr>
        <w:t>four</w:t>
      </w:r>
      <w:r w:rsidR="00FD3FAD" w:rsidRPr="00FD3FAD">
        <w:rPr>
          <w:lang w:eastAsia="en-GB"/>
        </w:rPr>
        <w:t xml:space="preserve"> year funding allocations </w:t>
      </w:r>
      <w:r w:rsidR="00FC3BAE">
        <w:rPr>
          <w:lang w:eastAsia="en-GB"/>
        </w:rPr>
        <w:t xml:space="preserve">and the </w:t>
      </w:r>
      <w:r w:rsidR="00FD3FAD" w:rsidRPr="00FD3FAD">
        <w:rPr>
          <w:lang w:eastAsia="en-GB"/>
        </w:rPr>
        <w:t>certainty</w:t>
      </w:r>
      <w:r w:rsidR="00FC3BAE">
        <w:rPr>
          <w:lang w:eastAsia="en-GB"/>
        </w:rPr>
        <w:t xml:space="preserve"> necessary</w:t>
      </w:r>
      <w:r w:rsidR="00FD3FAD" w:rsidRPr="00FD3FAD">
        <w:rPr>
          <w:lang w:eastAsia="en-GB"/>
        </w:rPr>
        <w:t xml:space="preserve"> </w:t>
      </w:r>
      <w:r w:rsidR="007C1ED9">
        <w:rPr>
          <w:lang w:eastAsia="en-GB"/>
        </w:rPr>
        <w:t xml:space="preserve">to unlock local </w:t>
      </w:r>
      <w:r w:rsidR="007C1ED9" w:rsidRPr="00A5519C">
        <w:rPr>
          <w:lang w:eastAsia="en-GB"/>
        </w:rPr>
        <w:t>reforms</w:t>
      </w:r>
      <w:r w:rsidR="00FD3FAD" w:rsidRPr="00A5519C">
        <w:rPr>
          <w:lang w:eastAsia="en-GB"/>
        </w:rPr>
        <w:t>, a</w:t>
      </w:r>
      <w:r w:rsidR="00FC3BAE" w:rsidRPr="00A5519C">
        <w:rPr>
          <w:lang w:eastAsia="en-GB"/>
        </w:rPr>
        <w:t>s well as</w:t>
      </w:r>
      <w:r w:rsidR="00FD3FAD" w:rsidRPr="00A5519C">
        <w:rPr>
          <w:lang w:eastAsia="en-GB"/>
        </w:rPr>
        <w:t xml:space="preserve"> a path to financial self-sufficiency</w:t>
      </w:r>
      <w:r w:rsidR="00FC3BAE" w:rsidRPr="00A5519C">
        <w:rPr>
          <w:lang w:eastAsia="en-GB"/>
        </w:rPr>
        <w:t>.</w:t>
      </w:r>
      <w:r w:rsidR="0015704A">
        <w:rPr>
          <w:lang w:eastAsia="en-GB"/>
        </w:rPr>
        <w:t xml:space="preserve"> </w:t>
      </w:r>
      <w:r w:rsidR="00FE36D2">
        <w:rPr>
          <w:lang w:eastAsia="en-GB"/>
        </w:rPr>
        <w:t>We are approaching the</w:t>
      </w:r>
      <w:r w:rsidR="0015704A">
        <w:rPr>
          <w:lang w:eastAsia="en-GB"/>
        </w:rPr>
        <w:t xml:space="preserve"> third year of the multi-year </w:t>
      </w:r>
      <w:r w:rsidR="00FC3BAE">
        <w:rPr>
          <w:lang w:eastAsia="en-GB"/>
        </w:rPr>
        <w:t>settlement, which 97% of local authorities accepted.</w:t>
      </w:r>
      <w:r w:rsidR="005B0900">
        <w:rPr>
          <w:lang w:eastAsia="en-GB"/>
        </w:rPr>
        <w:t xml:space="preserve"> Local government will see a</w:t>
      </w:r>
      <w:r w:rsidR="00EB1BEA">
        <w:rPr>
          <w:lang w:eastAsia="en-GB"/>
        </w:rPr>
        <w:t>n</w:t>
      </w:r>
      <w:r w:rsidR="005B0900">
        <w:rPr>
          <w:lang w:eastAsia="en-GB"/>
        </w:rPr>
        <w:t xml:space="preserve"> increase in </w:t>
      </w:r>
      <w:r w:rsidR="0041738A">
        <w:rPr>
          <w:lang w:eastAsia="en-GB"/>
        </w:rPr>
        <w:t>funding</w:t>
      </w:r>
      <w:r w:rsidR="005B0900">
        <w:rPr>
          <w:lang w:eastAsia="en-GB"/>
        </w:rPr>
        <w:t xml:space="preserve"> </w:t>
      </w:r>
      <w:r w:rsidR="0041738A">
        <w:rPr>
          <w:lang w:eastAsia="en-GB"/>
        </w:rPr>
        <w:t>next year</w:t>
      </w:r>
      <w:r w:rsidR="005B0900">
        <w:rPr>
          <w:lang w:eastAsia="en-GB"/>
        </w:rPr>
        <w:t>, against a backdrop of a challenging public sector deficit.</w:t>
      </w:r>
    </w:p>
    <w:p w:rsidR="002F5EC5" w:rsidRPr="002F5EC5" w:rsidRDefault="001B6F97" w:rsidP="002B7E15">
      <w:pPr>
        <w:rPr>
          <w:i/>
          <w:lang w:eastAsia="en-GB"/>
        </w:rPr>
      </w:pPr>
      <w:r>
        <w:rPr>
          <w:lang w:eastAsia="en-GB"/>
        </w:rPr>
        <w:br/>
      </w:r>
      <w:r w:rsidR="002F5EC5">
        <w:rPr>
          <w:i/>
          <w:lang w:eastAsia="en-GB"/>
        </w:rPr>
        <w:t>The future of the local government finance system</w:t>
      </w:r>
    </w:p>
    <w:p w:rsidR="00E20389" w:rsidRDefault="00E20389" w:rsidP="00E20389">
      <w:pPr>
        <w:rPr>
          <w:lang w:eastAsia="en-GB"/>
        </w:rPr>
      </w:pPr>
      <w:r>
        <w:rPr>
          <w:lang w:eastAsia="en-GB"/>
        </w:rPr>
        <w:tab/>
      </w:r>
    </w:p>
    <w:p w:rsidR="002B7E15" w:rsidRDefault="0079221D" w:rsidP="0079221D">
      <w:pPr>
        <w:pStyle w:val="ListParagraph"/>
        <w:numPr>
          <w:ilvl w:val="2"/>
          <w:numId w:val="8"/>
        </w:numPr>
        <w:spacing w:after="0" w:line="240" w:lineRule="auto"/>
        <w:ind w:left="709" w:hanging="709"/>
        <w:contextualSpacing w:val="0"/>
        <w:rPr>
          <w:lang w:eastAsia="en-GB"/>
        </w:rPr>
      </w:pPr>
      <w:r>
        <w:rPr>
          <w:lang w:eastAsia="en-GB"/>
        </w:rPr>
        <w:t xml:space="preserve">The Government recognises the need to provide future certainty beyond the existing 4-year funding deal, and to meet its manifesto commitment to give councils more control of the taxes they raise locally. </w:t>
      </w:r>
      <w:r w:rsidRPr="0079221D">
        <w:rPr>
          <w:lang w:eastAsia="en-GB"/>
        </w:rPr>
        <w:t xml:space="preserve">Central to this </w:t>
      </w:r>
      <w:r w:rsidRPr="00E60A25">
        <w:rPr>
          <w:lang w:eastAsia="en-GB"/>
        </w:rPr>
        <w:t xml:space="preserve">is </w:t>
      </w:r>
      <w:r w:rsidRPr="00360B6F">
        <w:rPr>
          <w:b/>
          <w:lang w:eastAsia="en-GB"/>
        </w:rPr>
        <w:t>increasing the proportion of locally collected business rates that councils will retain</w:t>
      </w:r>
      <w:r w:rsidRPr="0079221D">
        <w:rPr>
          <w:lang w:eastAsia="en-GB"/>
        </w:rPr>
        <w:t>.</w:t>
      </w:r>
      <w:r>
        <w:rPr>
          <w:lang w:eastAsia="en-GB"/>
        </w:rPr>
        <w:t xml:space="preserve"> The current multi-year settlement provides a path to a new system which will build on the current 50% retention scheme.</w:t>
      </w:r>
      <w:r w:rsidRPr="0079221D">
        <w:rPr>
          <w:highlight w:val="yellow"/>
          <w:lang w:eastAsia="en-GB"/>
        </w:rPr>
        <w:t xml:space="preserve"> </w:t>
      </w:r>
      <w:r w:rsidR="002B7E15">
        <w:rPr>
          <w:lang w:eastAsia="en-GB"/>
        </w:rPr>
        <w:t xml:space="preserve"> </w:t>
      </w:r>
    </w:p>
    <w:p w:rsidR="002B7E15" w:rsidRDefault="002B7E15" w:rsidP="002B7E15">
      <w:pPr>
        <w:pStyle w:val="ListParagraph"/>
        <w:spacing w:after="0" w:line="240" w:lineRule="auto"/>
        <w:ind w:left="709"/>
        <w:contextualSpacing w:val="0"/>
        <w:rPr>
          <w:lang w:eastAsia="en-GB"/>
        </w:rPr>
      </w:pPr>
    </w:p>
    <w:p w:rsidR="007A11CB" w:rsidRDefault="002B7E15" w:rsidP="007A11CB">
      <w:pPr>
        <w:pStyle w:val="ListParagraph"/>
        <w:numPr>
          <w:ilvl w:val="2"/>
          <w:numId w:val="8"/>
        </w:numPr>
        <w:spacing w:after="0" w:line="240" w:lineRule="auto"/>
        <w:ind w:left="709" w:hanging="709"/>
        <w:contextualSpacing w:val="0"/>
        <w:rPr>
          <w:lang w:eastAsia="en-GB"/>
        </w:rPr>
      </w:pPr>
      <w:r>
        <w:rPr>
          <w:lang w:eastAsia="en-GB"/>
        </w:rPr>
        <w:t xml:space="preserve">Over the last </w:t>
      </w:r>
      <w:r w:rsidR="00704C3F">
        <w:rPr>
          <w:lang w:eastAsia="en-GB"/>
        </w:rPr>
        <w:t>year</w:t>
      </w:r>
      <w:r>
        <w:rPr>
          <w:lang w:eastAsia="en-GB"/>
        </w:rPr>
        <w:t>, t</w:t>
      </w:r>
      <w:r w:rsidR="007A11CB">
        <w:rPr>
          <w:lang w:eastAsia="en-GB"/>
        </w:rPr>
        <w:t xml:space="preserve">he </w:t>
      </w:r>
      <w:r w:rsidR="000B3B22">
        <w:rPr>
          <w:lang w:eastAsia="en-GB"/>
        </w:rPr>
        <w:t xml:space="preserve">Government </w:t>
      </w:r>
      <w:r>
        <w:rPr>
          <w:lang w:eastAsia="en-GB"/>
        </w:rPr>
        <w:t>has been working</w:t>
      </w:r>
      <w:r w:rsidR="007A11CB">
        <w:rPr>
          <w:lang w:eastAsia="en-GB"/>
        </w:rPr>
        <w:t xml:space="preserve"> closely with the local government sector </w:t>
      </w:r>
      <w:r w:rsidR="000B3B22">
        <w:rPr>
          <w:lang w:eastAsia="en-GB"/>
        </w:rPr>
        <w:t>to identify</w:t>
      </w:r>
      <w:r w:rsidR="007A11CB">
        <w:rPr>
          <w:lang w:eastAsia="en-GB"/>
        </w:rPr>
        <w:t xml:space="preserve"> central government grants that can be funded through retained business rates in the future, and on reforming the local government finance system where needed. </w:t>
      </w:r>
    </w:p>
    <w:p w:rsidR="007A11CB" w:rsidRDefault="007A11CB" w:rsidP="007A11CB">
      <w:pPr>
        <w:rPr>
          <w:lang w:eastAsia="en-GB"/>
        </w:rPr>
      </w:pPr>
    </w:p>
    <w:p w:rsidR="000B3B22" w:rsidRDefault="000B3B22" w:rsidP="002D5C9C">
      <w:pPr>
        <w:pStyle w:val="ListParagraph"/>
        <w:numPr>
          <w:ilvl w:val="2"/>
          <w:numId w:val="8"/>
        </w:numPr>
        <w:spacing w:after="0" w:line="240" w:lineRule="auto"/>
        <w:ind w:left="709" w:hanging="709"/>
        <w:contextualSpacing w:val="0"/>
        <w:rPr>
          <w:lang w:eastAsia="en-GB"/>
        </w:rPr>
      </w:pPr>
      <w:r>
        <w:rPr>
          <w:lang w:eastAsia="en-GB"/>
        </w:rPr>
        <w:t xml:space="preserve">As previously announced, it is the Government’s intention for </w:t>
      </w:r>
      <w:r w:rsidR="003E32A7">
        <w:rPr>
          <w:lang w:eastAsia="en-GB"/>
        </w:rPr>
        <w:t>the following grants to be</w:t>
      </w:r>
      <w:r>
        <w:rPr>
          <w:lang w:eastAsia="en-GB"/>
        </w:rPr>
        <w:t xml:space="preserve"> funded </w:t>
      </w:r>
      <w:r w:rsidR="003E32A7">
        <w:rPr>
          <w:lang w:eastAsia="en-GB"/>
        </w:rPr>
        <w:t>through retained business rates:</w:t>
      </w:r>
      <w:r>
        <w:rPr>
          <w:lang w:eastAsia="en-GB"/>
        </w:rPr>
        <w:t xml:space="preserve"> Revenue Support Grant, Rural Services Delivery Grant</w:t>
      </w:r>
      <w:r w:rsidR="00DC69E3">
        <w:rPr>
          <w:lang w:eastAsia="en-GB"/>
        </w:rPr>
        <w:t>, GLA Transport Grant</w:t>
      </w:r>
      <w:r>
        <w:rPr>
          <w:lang w:eastAsia="en-GB"/>
        </w:rPr>
        <w:t xml:space="preserve"> and the Public Health Grant. The Government will implement this increase in business rates retention in 2020</w:t>
      </w:r>
      <w:r w:rsidR="003E32A7">
        <w:rPr>
          <w:lang w:eastAsia="en-GB"/>
        </w:rPr>
        <w:t>-</w:t>
      </w:r>
      <w:r>
        <w:rPr>
          <w:lang w:eastAsia="en-GB"/>
        </w:rPr>
        <w:t>21</w:t>
      </w:r>
      <w:r w:rsidR="003E32A7">
        <w:rPr>
          <w:lang w:eastAsia="en-GB"/>
        </w:rPr>
        <w:t>. A</w:t>
      </w:r>
      <w:r>
        <w:rPr>
          <w:lang w:eastAsia="en-GB"/>
        </w:rPr>
        <w:t>llowing local authorities to keep business rates to the value of these grants would represent business rates retention across the local government system of at least 75% (based on th</w:t>
      </w:r>
      <w:r w:rsidR="003E32A7">
        <w:rPr>
          <w:lang w:eastAsia="en-GB"/>
        </w:rPr>
        <w:t>e value of these grants in 2019-</w:t>
      </w:r>
      <w:r>
        <w:rPr>
          <w:lang w:eastAsia="en-GB"/>
        </w:rPr>
        <w:t>20).</w:t>
      </w:r>
      <w:r w:rsidR="002D5C9C" w:rsidRPr="002D5C9C">
        <w:rPr>
          <w:lang w:eastAsia="en-GB"/>
        </w:rPr>
        <w:t xml:space="preserve"> </w:t>
      </w:r>
      <w:r w:rsidR="002D5C9C" w:rsidRPr="00E57F7E">
        <w:rPr>
          <w:lang w:eastAsia="en-GB"/>
        </w:rPr>
        <w:t xml:space="preserve">The Government also intends to use the </w:t>
      </w:r>
      <w:r w:rsidR="002D5C9C" w:rsidRPr="00E57F7E">
        <w:rPr>
          <w:lang w:eastAsia="en-GB"/>
        </w:rPr>
        <w:lastRenderedPageBreak/>
        <w:t>intervening period to develop a set of measures that support a smooth transition of funding for public health services from a grant to retained business rates.</w:t>
      </w:r>
    </w:p>
    <w:p w:rsidR="000B3B22" w:rsidRDefault="000B3B22" w:rsidP="000B3B22">
      <w:pPr>
        <w:pStyle w:val="ListParagraph"/>
        <w:spacing w:after="0" w:line="240" w:lineRule="auto"/>
        <w:ind w:left="709"/>
        <w:contextualSpacing w:val="0"/>
        <w:rPr>
          <w:lang w:eastAsia="en-GB"/>
        </w:rPr>
      </w:pPr>
    </w:p>
    <w:p w:rsidR="00E57F7E" w:rsidRDefault="00E57F7E" w:rsidP="00E57F7E">
      <w:pPr>
        <w:pStyle w:val="ListParagraph"/>
        <w:numPr>
          <w:ilvl w:val="2"/>
          <w:numId w:val="8"/>
        </w:numPr>
        <w:spacing w:after="0" w:line="240" w:lineRule="auto"/>
        <w:ind w:left="709" w:hanging="709"/>
        <w:contextualSpacing w:val="0"/>
        <w:rPr>
          <w:lang w:eastAsia="en-GB"/>
        </w:rPr>
      </w:pPr>
      <w:r>
        <w:rPr>
          <w:lang w:eastAsia="en-GB"/>
        </w:rPr>
        <w:t xml:space="preserve">The Government will also </w:t>
      </w:r>
      <w:r w:rsidRPr="00360B6F">
        <w:rPr>
          <w:b/>
          <w:lang w:eastAsia="en-GB"/>
        </w:rPr>
        <w:t>continue to work with the sector to improve the way the local government finance system works</w:t>
      </w:r>
      <w:r>
        <w:rPr>
          <w:lang w:eastAsia="en-GB"/>
        </w:rPr>
        <w:t xml:space="preserve">, such as tackling the impact of business rates appeals on local authorities. The Government has established a steering group and a number of working groups, chaired jointly by DCLG and the LGA, to develop reforms with the view of implementing these in 2020-21 alongside greater business rates retention. </w:t>
      </w:r>
    </w:p>
    <w:p w:rsidR="00E57F7E" w:rsidRDefault="00E57F7E" w:rsidP="00E57F7E">
      <w:pPr>
        <w:pStyle w:val="ListParagraph"/>
        <w:spacing w:after="0" w:line="240" w:lineRule="auto"/>
        <w:ind w:left="709"/>
        <w:contextualSpacing w:val="0"/>
        <w:rPr>
          <w:lang w:eastAsia="en-GB"/>
        </w:rPr>
      </w:pPr>
    </w:p>
    <w:p w:rsidR="003E32A7" w:rsidRDefault="003E32A7" w:rsidP="00047AFC">
      <w:pPr>
        <w:pStyle w:val="ListParagraph"/>
        <w:numPr>
          <w:ilvl w:val="2"/>
          <w:numId w:val="8"/>
        </w:numPr>
        <w:spacing w:after="0" w:line="240" w:lineRule="auto"/>
        <w:ind w:left="709" w:hanging="709"/>
        <w:contextualSpacing w:val="0"/>
        <w:rPr>
          <w:lang w:eastAsia="en-GB"/>
        </w:rPr>
      </w:pPr>
      <w:r>
        <w:rPr>
          <w:lang w:eastAsia="en-GB"/>
        </w:rPr>
        <w:t xml:space="preserve">In </w:t>
      </w:r>
      <w:r w:rsidR="00704C3F">
        <w:rPr>
          <w:lang w:eastAsia="en-GB"/>
        </w:rPr>
        <w:t>spring</w:t>
      </w:r>
      <w:r>
        <w:rPr>
          <w:lang w:eastAsia="en-GB"/>
        </w:rPr>
        <w:t xml:space="preserve"> 2017 the Government launched a ‘Further Consultation on 100% Business Rates Retention’. The Government’s </w:t>
      </w:r>
      <w:proofErr w:type="gramStart"/>
      <w:r>
        <w:rPr>
          <w:lang w:eastAsia="en-GB"/>
        </w:rPr>
        <w:t>response,</w:t>
      </w:r>
      <w:proofErr w:type="gramEnd"/>
      <w:r>
        <w:rPr>
          <w:lang w:eastAsia="en-GB"/>
        </w:rPr>
        <w:t xml:space="preserve"> and a summary of the representations received, has been published alongside this consultation document and can be found at the web link below. </w:t>
      </w:r>
      <w:r w:rsidR="007D445F">
        <w:rPr>
          <w:lang w:eastAsia="en-GB"/>
        </w:rPr>
        <w:t>The r</w:t>
      </w:r>
      <w:r>
        <w:rPr>
          <w:lang w:eastAsia="en-GB"/>
        </w:rPr>
        <w:t xml:space="preserve">epresentations received from local </w:t>
      </w:r>
      <w:r w:rsidR="007D445F">
        <w:rPr>
          <w:lang w:eastAsia="en-GB"/>
        </w:rPr>
        <w:t>authorities</w:t>
      </w:r>
      <w:r>
        <w:rPr>
          <w:lang w:eastAsia="en-GB"/>
        </w:rPr>
        <w:t xml:space="preserve"> and others will help inform the direction of future reform.</w:t>
      </w:r>
    </w:p>
    <w:p w:rsidR="003E32A7" w:rsidRDefault="003E32A7" w:rsidP="003E32A7"/>
    <w:p w:rsidR="002B2BF4" w:rsidRDefault="002B2BF4" w:rsidP="002B2BF4">
      <w:pPr>
        <w:rPr>
          <w:rFonts w:cs="Arial"/>
          <w:color w:val="002060"/>
        </w:rPr>
      </w:pPr>
      <w:hyperlink r:id="rId23" w:history="1">
        <w:r>
          <w:rPr>
            <w:rStyle w:val="Hyperlink"/>
            <w:rFonts w:cs="Arial"/>
          </w:rPr>
          <w:t>https://www.gov.uk/government/consultations/self-sufficient-local-government-100-busines</w:t>
        </w:r>
        <w:r>
          <w:rPr>
            <w:rStyle w:val="Hyperlink"/>
            <w:rFonts w:cs="Arial"/>
          </w:rPr>
          <w:t>s</w:t>
        </w:r>
        <w:r>
          <w:rPr>
            <w:rStyle w:val="Hyperlink"/>
            <w:rFonts w:cs="Arial"/>
          </w:rPr>
          <w:t>-rates-retention</w:t>
        </w:r>
      </w:hyperlink>
    </w:p>
    <w:p w:rsidR="003E32A7" w:rsidRDefault="003E32A7" w:rsidP="000B3B22">
      <w:pPr>
        <w:pStyle w:val="ListParagraph"/>
        <w:spacing w:after="0" w:line="240" w:lineRule="auto"/>
        <w:ind w:left="709"/>
        <w:contextualSpacing w:val="0"/>
        <w:rPr>
          <w:lang w:eastAsia="en-GB"/>
        </w:rPr>
      </w:pPr>
    </w:p>
    <w:p w:rsidR="00A33999" w:rsidRPr="00C17F9A" w:rsidRDefault="00FE36D2" w:rsidP="00A33999">
      <w:pPr>
        <w:pStyle w:val="ListParagraph"/>
        <w:numPr>
          <w:ilvl w:val="2"/>
          <w:numId w:val="8"/>
        </w:numPr>
        <w:spacing w:after="0" w:line="240" w:lineRule="auto"/>
        <w:ind w:left="709" w:hanging="709"/>
        <w:contextualSpacing w:val="0"/>
        <w:rPr>
          <w:lang w:eastAsia="en-GB"/>
        </w:rPr>
      </w:pPr>
      <w:r>
        <w:rPr>
          <w:lang w:eastAsia="en-GB"/>
        </w:rPr>
        <w:t>Alongside these reforms,</w:t>
      </w:r>
      <w:r w:rsidR="002F5EC5">
        <w:rPr>
          <w:lang w:eastAsia="en-GB"/>
        </w:rPr>
        <w:t xml:space="preserve"> officials from DCLG continue to make progress on</w:t>
      </w:r>
      <w:r>
        <w:rPr>
          <w:lang w:eastAsia="en-GB"/>
        </w:rPr>
        <w:t xml:space="preserve"> </w:t>
      </w:r>
      <w:r w:rsidR="0087736A">
        <w:rPr>
          <w:b/>
          <w:lang w:eastAsia="en-GB"/>
        </w:rPr>
        <w:t>a</w:t>
      </w:r>
      <w:r w:rsidR="00A33999" w:rsidRPr="00883E4B">
        <w:rPr>
          <w:b/>
          <w:lang w:eastAsia="en-GB"/>
        </w:rPr>
        <w:t xml:space="preserve"> </w:t>
      </w:r>
      <w:r w:rsidR="0087736A">
        <w:rPr>
          <w:b/>
          <w:lang w:eastAsia="en-GB"/>
        </w:rPr>
        <w:t>fair fu</w:t>
      </w:r>
      <w:r w:rsidR="00A33999" w:rsidRPr="00883E4B">
        <w:rPr>
          <w:b/>
          <w:lang w:eastAsia="en-GB"/>
        </w:rPr>
        <w:t xml:space="preserve">nding </w:t>
      </w:r>
      <w:r w:rsidR="0087736A">
        <w:rPr>
          <w:b/>
          <w:lang w:eastAsia="en-GB"/>
        </w:rPr>
        <w:t>r</w:t>
      </w:r>
      <w:r w:rsidR="00A33999" w:rsidRPr="00883E4B">
        <w:rPr>
          <w:b/>
          <w:lang w:eastAsia="en-GB"/>
        </w:rPr>
        <w:t>eview</w:t>
      </w:r>
      <w:r w:rsidR="0087736A">
        <w:rPr>
          <w:b/>
          <w:lang w:eastAsia="en-GB"/>
        </w:rPr>
        <w:t xml:space="preserve"> </w:t>
      </w:r>
      <w:r w:rsidR="00921C33">
        <w:rPr>
          <w:b/>
          <w:lang w:eastAsia="en-GB"/>
        </w:rPr>
        <w:t>of relative needs and resources</w:t>
      </w:r>
      <w:r w:rsidR="0087736A" w:rsidRPr="00360B6F">
        <w:rPr>
          <w:lang w:eastAsia="en-GB"/>
        </w:rPr>
        <w:t>, in collaboration with the Local Government Association and representatives from across local government</w:t>
      </w:r>
      <w:r w:rsidR="002F5EC5">
        <w:rPr>
          <w:lang w:eastAsia="en-GB"/>
        </w:rPr>
        <w:t xml:space="preserve">. This review will </w:t>
      </w:r>
      <w:r w:rsidR="00A33999" w:rsidRPr="00C17F9A">
        <w:rPr>
          <w:lang w:eastAsia="en-GB"/>
        </w:rPr>
        <w:t>calculate new baseline</w:t>
      </w:r>
      <w:r w:rsidR="00A33999">
        <w:rPr>
          <w:lang w:eastAsia="en-GB"/>
        </w:rPr>
        <w:t xml:space="preserve"> funding</w:t>
      </w:r>
      <w:r w:rsidR="00A33999" w:rsidRPr="00C17F9A">
        <w:rPr>
          <w:lang w:eastAsia="en-GB"/>
        </w:rPr>
        <w:t xml:space="preserve"> levels based on an up-to-date assessment of the relative needs and resources of local authorities.</w:t>
      </w:r>
      <w:r w:rsidR="00A33999">
        <w:rPr>
          <w:lang w:eastAsia="en-GB"/>
        </w:rPr>
        <w:t xml:space="preserve"> </w:t>
      </w:r>
      <w:r w:rsidR="006F59FD">
        <w:rPr>
          <w:lang w:eastAsia="en-GB"/>
        </w:rPr>
        <w:t>B</w:t>
      </w:r>
      <w:r w:rsidR="00A33999" w:rsidRPr="00C17F9A">
        <w:rPr>
          <w:lang w:eastAsia="en-GB"/>
        </w:rPr>
        <w:t xml:space="preserve">usiness rates </w:t>
      </w:r>
      <w:r w:rsidR="00A33999">
        <w:rPr>
          <w:lang w:eastAsia="en-GB"/>
        </w:rPr>
        <w:t>will be redistributed according to the outcome of the new assessment</w:t>
      </w:r>
      <w:r w:rsidR="00360B6F">
        <w:rPr>
          <w:lang w:eastAsia="en-GB"/>
        </w:rPr>
        <w:t>,</w:t>
      </w:r>
      <w:r w:rsidR="006F59FD">
        <w:rPr>
          <w:lang w:eastAsia="en-GB"/>
        </w:rPr>
        <w:t xml:space="preserve"> alongside the resetting of business rates baselines</w:t>
      </w:r>
      <w:r w:rsidR="00A33999">
        <w:rPr>
          <w:lang w:eastAsia="en-GB"/>
        </w:rPr>
        <w:t xml:space="preserve">, subject to suitable transitional measures. </w:t>
      </w:r>
      <w:r w:rsidR="001110C3">
        <w:rPr>
          <w:lang w:eastAsia="en-GB"/>
        </w:rPr>
        <w:t>Today</w:t>
      </w:r>
      <w:r w:rsidR="002F5EC5">
        <w:rPr>
          <w:lang w:eastAsia="en-GB"/>
        </w:rPr>
        <w:t xml:space="preserve"> the Government</w:t>
      </w:r>
      <w:r w:rsidR="00A33999">
        <w:rPr>
          <w:lang w:eastAsia="en-GB"/>
        </w:rPr>
        <w:t xml:space="preserve"> has published a</w:t>
      </w:r>
      <w:r w:rsidR="00A33999" w:rsidRPr="00C17F9A">
        <w:rPr>
          <w:lang w:eastAsia="en-GB"/>
        </w:rPr>
        <w:t xml:space="preserve"> consultation</w:t>
      </w:r>
      <w:r w:rsidR="00A33999">
        <w:rPr>
          <w:lang w:eastAsia="en-GB"/>
        </w:rPr>
        <w:t xml:space="preserve"> setting out its approach</w:t>
      </w:r>
      <w:r w:rsidR="002F5EC5">
        <w:rPr>
          <w:lang w:eastAsia="en-GB"/>
        </w:rPr>
        <w:t>, asking councils to help shape the future methodology,</w:t>
      </w:r>
      <w:r w:rsidR="00A33999">
        <w:rPr>
          <w:lang w:eastAsia="en-GB"/>
        </w:rPr>
        <w:t xml:space="preserve"> which</w:t>
      </w:r>
      <w:r w:rsidR="00A33999" w:rsidRPr="00C17F9A">
        <w:rPr>
          <w:lang w:eastAsia="en-GB"/>
        </w:rPr>
        <w:t xml:space="preserve"> can be found here:</w:t>
      </w:r>
    </w:p>
    <w:p w:rsidR="00A33999" w:rsidRDefault="00A33999" w:rsidP="00A33999">
      <w:pPr>
        <w:rPr>
          <w:highlight w:val="yellow"/>
          <w:lang w:eastAsia="en-GB"/>
        </w:rPr>
      </w:pPr>
    </w:p>
    <w:p w:rsidR="0057748C" w:rsidRDefault="00513B9C" w:rsidP="0057748C">
      <w:pPr>
        <w:rPr>
          <w:rFonts w:cs="Arial"/>
          <w:color w:val="002060"/>
        </w:rPr>
      </w:pPr>
      <w:hyperlink r:id="rId24" w:history="1">
        <w:r w:rsidR="0057748C">
          <w:rPr>
            <w:rStyle w:val="Hyperlink"/>
            <w:rFonts w:cs="Arial"/>
          </w:rPr>
          <w:t>https://www.gov.uk/government/c</w:t>
        </w:r>
        <w:r w:rsidR="0057748C">
          <w:rPr>
            <w:rStyle w:val="Hyperlink"/>
            <w:rFonts w:cs="Arial"/>
          </w:rPr>
          <w:t>o</w:t>
        </w:r>
        <w:r w:rsidR="0057748C">
          <w:rPr>
            <w:rStyle w:val="Hyperlink"/>
            <w:rFonts w:cs="Arial"/>
          </w:rPr>
          <w:t>nsultations/fair-funding-review-a-review-of-relative-needs-and-resources</w:t>
        </w:r>
      </w:hyperlink>
    </w:p>
    <w:p w:rsidR="002F5EC5" w:rsidRDefault="002F5EC5" w:rsidP="00A71902">
      <w:pPr>
        <w:pStyle w:val="ListParagraph"/>
        <w:spacing w:after="0" w:line="240" w:lineRule="auto"/>
        <w:ind w:left="709"/>
        <w:contextualSpacing w:val="0"/>
        <w:rPr>
          <w:lang w:eastAsia="en-GB"/>
        </w:rPr>
      </w:pPr>
    </w:p>
    <w:p w:rsidR="006128D3" w:rsidRDefault="00883E4B" w:rsidP="00A71902">
      <w:pPr>
        <w:pStyle w:val="ListParagraph"/>
        <w:numPr>
          <w:ilvl w:val="2"/>
          <w:numId w:val="8"/>
        </w:numPr>
        <w:spacing w:after="0" w:line="240" w:lineRule="auto"/>
        <w:ind w:left="709" w:hanging="709"/>
        <w:contextualSpacing w:val="0"/>
        <w:rPr>
          <w:lang w:eastAsia="en-GB"/>
        </w:rPr>
      </w:pPr>
      <w:r>
        <w:rPr>
          <w:lang w:eastAsia="en-GB"/>
        </w:rPr>
        <w:t>Since the</w:t>
      </w:r>
      <w:r w:rsidR="00EE2EB8">
        <w:rPr>
          <w:lang w:eastAsia="en-GB"/>
        </w:rPr>
        <w:t xml:space="preserve"> </w:t>
      </w:r>
      <w:r>
        <w:rPr>
          <w:lang w:eastAsia="en-GB"/>
        </w:rPr>
        <w:t>Spending Review</w:t>
      </w:r>
      <w:r w:rsidRPr="00C17F9A">
        <w:rPr>
          <w:lang w:eastAsia="en-GB"/>
        </w:rPr>
        <w:t xml:space="preserve">, the Government has recognised </w:t>
      </w:r>
      <w:r w:rsidR="006128D3" w:rsidRPr="00C17F9A">
        <w:rPr>
          <w:lang w:eastAsia="en-GB"/>
        </w:rPr>
        <w:t>th</w:t>
      </w:r>
      <w:r w:rsidR="006128D3">
        <w:rPr>
          <w:lang w:eastAsia="en-GB"/>
        </w:rPr>
        <w:t>e</w:t>
      </w:r>
      <w:r w:rsidR="006128D3" w:rsidRPr="00C17F9A">
        <w:rPr>
          <w:lang w:eastAsia="en-GB"/>
        </w:rPr>
        <w:t xml:space="preserve"> </w:t>
      </w:r>
      <w:r w:rsidR="006128D3">
        <w:rPr>
          <w:lang w:eastAsia="en-GB"/>
        </w:rPr>
        <w:t xml:space="preserve">increased </w:t>
      </w:r>
      <w:r w:rsidRPr="00C17F9A">
        <w:rPr>
          <w:lang w:eastAsia="en-GB"/>
        </w:rPr>
        <w:t xml:space="preserve">pressure on </w:t>
      </w:r>
      <w:r w:rsidR="001110C3">
        <w:rPr>
          <w:b/>
          <w:lang w:eastAsia="en-GB"/>
        </w:rPr>
        <w:t>A</w:t>
      </w:r>
      <w:r w:rsidR="006128D3" w:rsidRPr="00AF4923">
        <w:rPr>
          <w:b/>
          <w:lang w:eastAsia="en-GB"/>
        </w:rPr>
        <w:t xml:space="preserve">dult </w:t>
      </w:r>
      <w:r w:rsidR="001110C3">
        <w:rPr>
          <w:b/>
          <w:lang w:eastAsia="en-GB"/>
        </w:rPr>
        <w:t>S</w:t>
      </w:r>
      <w:r w:rsidR="006128D3" w:rsidRPr="00AF4923">
        <w:rPr>
          <w:b/>
          <w:lang w:eastAsia="en-GB"/>
        </w:rPr>
        <w:t xml:space="preserve">ocial </w:t>
      </w:r>
      <w:r w:rsidR="001110C3">
        <w:rPr>
          <w:b/>
          <w:lang w:eastAsia="en-GB"/>
        </w:rPr>
        <w:t>C</w:t>
      </w:r>
      <w:r w:rsidR="006128D3" w:rsidRPr="00AF4923">
        <w:rPr>
          <w:b/>
          <w:lang w:eastAsia="en-GB"/>
        </w:rPr>
        <w:t xml:space="preserve">are </w:t>
      </w:r>
      <w:r w:rsidR="001110C3">
        <w:rPr>
          <w:b/>
          <w:lang w:eastAsia="en-GB"/>
        </w:rPr>
        <w:t>S</w:t>
      </w:r>
      <w:r w:rsidR="006128D3" w:rsidRPr="00AF4923">
        <w:rPr>
          <w:b/>
          <w:lang w:eastAsia="en-GB"/>
        </w:rPr>
        <w:t>ervices</w:t>
      </w:r>
      <w:r w:rsidR="006128D3">
        <w:rPr>
          <w:lang w:eastAsia="en-GB"/>
        </w:rPr>
        <w:t>, which is why</w:t>
      </w:r>
      <w:r>
        <w:rPr>
          <w:lang w:eastAsia="en-GB"/>
        </w:rPr>
        <w:t xml:space="preserve">, at Spring Budget 2017, an additional £2 billion over 3 </w:t>
      </w:r>
      <w:proofErr w:type="gramStart"/>
      <w:r>
        <w:rPr>
          <w:lang w:eastAsia="en-GB"/>
        </w:rPr>
        <w:t>years</w:t>
      </w:r>
      <w:proofErr w:type="gramEnd"/>
      <w:r>
        <w:rPr>
          <w:lang w:eastAsia="en-GB"/>
        </w:rPr>
        <w:t xml:space="preserve"> was provided for adult social care. </w:t>
      </w:r>
      <w:r w:rsidR="006128D3">
        <w:rPr>
          <w:lang w:eastAsia="en-GB"/>
        </w:rPr>
        <w:t xml:space="preserve"> </w:t>
      </w:r>
    </w:p>
    <w:p w:rsidR="00A71902" w:rsidRDefault="00A71902" w:rsidP="00A71902">
      <w:pPr>
        <w:rPr>
          <w:lang w:eastAsia="en-GB"/>
        </w:rPr>
      </w:pPr>
    </w:p>
    <w:p w:rsidR="00883E4B" w:rsidRPr="00C17F9A" w:rsidRDefault="00883E4B" w:rsidP="00883E4B">
      <w:pPr>
        <w:pStyle w:val="ListParagraph"/>
        <w:numPr>
          <w:ilvl w:val="2"/>
          <w:numId w:val="8"/>
        </w:numPr>
        <w:spacing w:after="0" w:line="240" w:lineRule="auto"/>
        <w:ind w:left="709" w:hanging="709"/>
        <w:contextualSpacing w:val="0"/>
        <w:rPr>
          <w:lang w:eastAsia="en-GB"/>
        </w:rPr>
      </w:pPr>
      <w:r>
        <w:rPr>
          <w:lang w:eastAsia="en-GB"/>
        </w:rPr>
        <w:t xml:space="preserve">It is important that </w:t>
      </w:r>
      <w:r w:rsidR="00EE2EB8">
        <w:rPr>
          <w:lang w:eastAsia="en-GB"/>
        </w:rPr>
        <w:t>a longer-term picture is established</w:t>
      </w:r>
      <w:r>
        <w:rPr>
          <w:lang w:eastAsia="en-GB"/>
        </w:rPr>
        <w:t>. An ageing society means that we need to reach a sustainable settlement for social care, which</w:t>
      </w:r>
      <w:r w:rsidRPr="00017115">
        <w:rPr>
          <w:lang w:eastAsia="en-GB"/>
        </w:rPr>
        <w:t xml:space="preserve"> is why the Government is committing to publishing a Green Paper by summer 2018 setting out its proposals for reform</w:t>
      </w:r>
      <w:r>
        <w:rPr>
          <w:lang w:eastAsia="en-GB"/>
        </w:rPr>
        <w:t xml:space="preserve">. The Government </w:t>
      </w:r>
      <w:r w:rsidR="008B27B9">
        <w:rPr>
          <w:lang w:eastAsia="en-GB"/>
        </w:rPr>
        <w:t>has begun</w:t>
      </w:r>
      <w:r>
        <w:rPr>
          <w:lang w:eastAsia="en-GB"/>
        </w:rPr>
        <w:t xml:space="preserve"> a process of initial engagement </w:t>
      </w:r>
      <w:r w:rsidRPr="0077628D">
        <w:rPr>
          <w:lang w:eastAsia="en-GB"/>
        </w:rPr>
        <w:t xml:space="preserve">through which </w:t>
      </w:r>
      <w:r>
        <w:rPr>
          <w:lang w:eastAsia="en-GB"/>
        </w:rPr>
        <w:t xml:space="preserve">it </w:t>
      </w:r>
      <w:r w:rsidRPr="0077628D">
        <w:rPr>
          <w:lang w:eastAsia="en-GB"/>
        </w:rPr>
        <w:t xml:space="preserve">will work with experts, stakeholders and users to shape </w:t>
      </w:r>
      <w:r>
        <w:rPr>
          <w:lang w:eastAsia="en-GB"/>
        </w:rPr>
        <w:t>the paper’s proposals for long-term reforms</w:t>
      </w:r>
      <w:r w:rsidRPr="0077628D">
        <w:rPr>
          <w:lang w:eastAsia="en-GB"/>
        </w:rPr>
        <w:t>.</w:t>
      </w:r>
    </w:p>
    <w:p w:rsidR="00883E4B" w:rsidRDefault="00883E4B" w:rsidP="00883E4B">
      <w:pPr>
        <w:pStyle w:val="ListParagraph"/>
        <w:spacing w:after="0" w:line="240" w:lineRule="auto"/>
        <w:ind w:left="709"/>
        <w:contextualSpacing w:val="0"/>
        <w:rPr>
          <w:highlight w:val="yellow"/>
          <w:lang w:eastAsia="en-GB"/>
        </w:rPr>
      </w:pPr>
    </w:p>
    <w:p w:rsidR="00574969" w:rsidRPr="00263513" w:rsidRDefault="007D445F" w:rsidP="00263513">
      <w:pPr>
        <w:rPr>
          <w:i/>
          <w:lang w:eastAsia="en-GB"/>
        </w:rPr>
      </w:pPr>
      <w:bookmarkStart w:id="16" w:name="_GoBack"/>
      <w:bookmarkEnd w:id="16"/>
      <w:r w:rsidRPr="00263513">
        <w:rPr>
          <w:i/>
          <w:lang w:eastAsia="en-GB"/>
        </w:rPr>
        <w:t>2018-19 and 2019-20 local government finance settlements</w:t>
      </w:r>
    </w:p>
    <w:p w:rsidR="00574969" w:rsidRPr="00574969" w:rsidRDefault="00574969" w:rsidP="00B551CD">
      <w:pPr>
        <w:pStyle w:val="ListParagraph"/>
        <w:spacing w:after="0" w:line="240" w:lineRule="auto"/>
        <w:ind w:left="709"/>
        <w:contextualSpacing w:val="0"/>
        <w:rPr>
          <w:i/>
          <w:lang w:eastAsia="en-GB"/>
        </w:rPr>
      </w:pPr>
    </w:p>
    <w:p w:rsidR="002E77D5" w:rsidRDefault="001B6F97" w:rsidP="002E77D5">
      <w:pPr>
        <w:pStyle w:val="ListParagraph"/>
        <w:numPr>
          <w:ilvl w:val="2"/>
          <w:numId w:val="8"/>
        </w:numPr>
        <w:spacing w:after="0" w:line="240" w:lineRule="auto"/>
        <w:ind w:left="709" w:hanging="709"/>
        <w:contextualSpacing w:val="0"/>
        <w:rPr>
          <w:lang w:eastAsia="en-GB"/>
        </w:rPr>
      </w:pPr>
      <w:r>
        <w:rPr>
          <w:lang w:eastAsia="en-GB"/>
        </w:rPr>
        <w:t>Two years of the current multi-year settlement remain before</w:t>
      </w:r>
      <w:r w:rsidR="00704C3F">
        <w:rPr>
          <w:lang w:eastAsia="en-GB"/>
        </w:rPr>
        <w:t xml:space="preserve"> </w:t>
      </w:r>
      <w:r w:rsidR="008B27B9">
        <w:rPr>
          <w:lang w:eastAsia="en-GB"/>
        </w:rPr>
        <w:t xml:space="preserve">the Government aims to implement </w:t>
      </w:r>
      <w:r w:rsidR="007D445F">
        <w:rPr>
          <w:lang w:eastAsia="en-GB"/>
        </w:rPr>
        <w:t>greater</w:t>
      </w:r>
      <w:r>
        <w:rPr>
          <w:lang w:eastAsia="en-GB"/>
        </w:rPr>
        <w:t xml:space="preserve"> business rates retention and the </w:t>
      </w:r>
      <w:r w:rsidR="00DC69E3">
        <w:rPr>
          <w:lang w:eastAsia="en-GB"/>
        </w:rPr>
        <w:t>f</w:t>
      </w:r>
      <w:r>
        <w:rPr>
          <w:lang w:eastAsia="en-GB"/>
        </w:rPr>
        <w:t xml:space="preserve">air </w:t>
      </w:r>
      <w:r w:rsidR="00DC69E3">
        <w:rPr>
          <w:lang w:eastAsia="en-GB"/>
        </w:rPr>
        <w:t>f</w:t>
      </w:r>
      <w:r>
        <w:rPr>
          <w:lang w:eastAsia="en-GB"/>
        </w:rPr>
        <w:t xml:space="preserve">unding </w:t>
      </w:r>
      <w:r w:rsidR="00DC69E3">
        <w:rPr>
          <w:lang w:eastAsia="en-GB"/>
        </w:rPr>
        <w:t>r</w:t>
      </w:r>
      <w:r>
        <w:rPr>
          <w:lang w:eastAsia="en-GB"/>
        </w:rPr>
        <w:t xml:space="preserve">eview </w:t>
      </w:r>
      <w:r w:rsidR="00DC69E3">
        <w:rPr>
          <w:lang w:eastAsia="en-GB"/>
        </w:rPr>
        <w:t>of relative needs and resources</w:t>
      </w:r>
      <w:r>
        <w:rPr>
          <w:lang w:eastAsia="en-GB"/>
        </w:rPr>
        <w:t>.</w:t>
      </w:r>
      <w:r w:rsidR="00C83A1D">
        <w:rPr>
          <w:lang w:eastAsia="en-GB"/>
        </w:rPr>
        <w:t xml:space="preserve"> </w:t>
      </w:r>
      <w:r w:rsidR="002E77D5">
        <w:rPr>
          <w:lang w:eastAsia="en-GB"/>
        </w:rPr>
        <w:t xml:space="preserve">These years </w:t>
      </w:r>
      <w:r w:rsidR="00AF4923">
        <w:rPr>
          <w:lang w:eastAsia="en-GB"/>
        </w:rPr>
        <w:t>will</w:t>
      </w:r>
      <w:r w:rsidR="002E77D5">
        <w:rPr>
          <w:lang w:eastAsia="en-GB"/>
        </w:rPr>
        <w:t xml:space="preserve"> offer a </w:t>
      </w:r>
      <w:r w:rsidR="008B27B9">
        <w:rPr>
          <w:lang w:eastAsia="en-GB"/>
        </w:rPr>
        <w:t>bridge to the new system.</w:t>
      </w:r>
    </w:p>
    <w:p w:rsidR="008B27B9" w:rsidRDefault="008B27B9" w:rsidP="008B27B9">
      <w:pPr>
        <w:pStyle w:val="ListParagraph"/>
        <w:spacing w:after="0" w:line="240" w:lineRule="auto"/>
        <w:ind w:left="709"/>
        <w:contextualSpacing w:val="0"/>
        <w:rPr>
          <w:lang w:eastAsia="en-GB"/>
        </w:rPr>
      </w:pPr>
    </w:p>
    <w:p w:rsidR="00BC4401" w:rsidRDefault="00BC4401" w:rsidP="00797FA0">
      <w:pPr>
        <w:pStyle w:val="ListParagraph"/>
        <w:numPr>
          <w:ilvl w:val="2"/>
          <w:numId w:val="8"/>
        </w:numPr>
        <w:spacing w:after="0" w:line="240" w:lineRule="auto"/>
        <w:ind w:left="709" w:hanging="709"/>
        <w:contextualSpacing w:val="0"/>
        <w:rPr>
          <w:lang w:eastAsia="en-GB"/>
        </w:rPr>
      </w:pPr>
      <w:r>
        <w:rPr>
          <w:lang w:eastAsia="en-GB"/>
        </w:rPr>
        <w:lastRenderedPageBreak/>
        <w:t xml:space="preserve">Ahead of </w:t>
      </w:r>
      <w:r w:rsidR="00DC69E3">
        <w:rPr>
          <w:lang w:eastAsia="en-GB"/>
        </w:rPr>
        <w:t xml:space="preserve">the </w:t>
      </w:r>
      <w:r>
        <w:rPr>
          <w:lang w:eastAsia="en-GB"/>
        </w:rPr>
        <w:t xml:space="preserve">implementation of greater business rates retention, </w:t>
      </w:r>
      <w:r w:rsidRPr="00797FA0">
        <w:rPr>
          <w:b/>
          <w:lang w:eastAsia="en-GB"/>
        </w:rPr>
        <w:t>the Government is announcing the continuation of existing 100% business rates retention pilots</w:t>
      </w:r>
      <w:r>
        <w:rPr>
          <w:lang w:eastAsia="en-GB"/>
        </w:rPr>
        <w:t xml:space="preserve">. At the 2017-18 local government finance settlement, agreement was reached with </w:t>
      </w:r>
      <w:r w:rsidR="00C83A1D">
        <w:rPr>
          <w:lang w:eastAsia="en-GB"/>
        </w:rPr>
        <w:t>five</w:t>
      </w:r>
      <w:r>
        <w:rPr>
          <w:lang w:eastAsia="en-GB"/>
        </w:rPr>
        <w:t xml:space="preserve"> areas to pilot 100% business rates retention. These were in devolution areas, part of the commitment to empower local government by transferring funding and powers away from Whitehall.</w:t>
      </w:r>
      <w:r w:rsidR="00AB2F0B">
        <w:rPr>
          <w:lang w:eastAsia="en-GB"/>
        </w:rPr>
        <w:t xml:space="preserve"> Greater Manchester, Liverpool City Region, West M</w:t>
      </w:r>
      <w:r>
        <w:rPr>
          <w:lang w:eastAsia="en-GB"/>
        </w:rPr>
        <w:t>idlands</w:t>
      </w:r>
      <w:r w:rsidR="00AB2F0B">
        <w:rPr>
          <w:lang w:eastAsia="en-GB"/>
        </w:rPr>
        <w:t>, West of England and Cornwall</w:t>
      </w:r>
      <w:r>
        <w:rPr>
          <w:lang w:eastAsia="en-GB"/>
        </w:rPr>
        <w:t xml:space="preserve"> will continue to pilot business rates retention and retain 100% of growth in 2018-19. </w:t>
      </w:r>
    </w:p>
    <w:p w:rsidR="00BC4401" w:rsidRDefault="00BC4401" w:rsidP="00797FA0">
      <w:pPr>
        <w:pStyle w:val="ListParagraph"/>
        <w:spacing w:after="0" w:line="240" w:lineRule="auto"/>
        <w:ind w:left="709"/>
        <w:contextualSpacing w:val="0"/>
        <w:rPr>
          <w:lang w:eastAsia="en-GB"/>
        </w:rPr>
      </w:pPr>
    </w:p>
    <w:p w:rsidR="00BC4401" w:rsidRPr="00FC76B0" w:rsidRDefault="00BC4401" w:rsidP="00797FA0">
      <w:pPr>
        <w:pStyle w:val="ListParagraph"/>
        <w:numPr>
          <w:ilvl w:val="2"/>
          <w:numId w:val="8"/>
        </w:numPr>
        <w:spacing w:after="0" w:line="240" w:lineRule="auto"/>
        <w:ind w:left="709" w:hanging="709"/>
        <w:contextualSpacing w:val="0"/>
        <w:rPr>
          <w:lang w:eastAsia="en-GB"/>
        </w:rPr>
      </w:pPr>
      <w:r>
        <w:rPr>
          <w:lang w:eastAsia="en-GB"/>
        </w:rPr>
        <w:t xml:space="preserve">The ‘Further Consultation’ on business rates retention set out that there would be </w:t>
      </w:r>
      <w:r w:rsidRPr="00797FA0">
        <w:rPr>
          <w:b/>
          <w:lang w:eastAsia="en-GB"/>
        </w:rPr>
        <w:t>new business rates retention pilots in 2018-19</w:t>
      </w:r>
      <w:r>
        <w:rPr>
          <w:lang w:eastAsia="en-GB"/>
        </w:rPr>
        <w:t xml:space="preserve">. It is important that, in order to explore options for how greater business rates retention will work, different types of authority </w:t>
      </w:r>
      <w:r w:rsidR="00B938A9">
        <w:rPr>
          <w:lang w:eastAsia="en-GB"/>
        </w:rPr>
        <w:t>across</w:t>
      </w:r>
      <w:r>
        <w:rPr>
          <w:lang w:eastAsia="en-GB"/>
        </w:rPr>
        <w:t xml:space="preserve"> the country take part in piloting. Next year, the </w:t>
      </w:r>
      <w:r w:rsidRPr="00FC76B0">
        <w:rPr>
          <w:lang w:eastAsia="en-GB"/>
        </w:rPr>
        <w:t>following 10 areas will also pilot 100% business rates retention, and be able to keep that additional growth in their business rate income with no impact on the rest of local government</w:t>
      </w:r>
      <w:r w:rsidR="00747ED1" w:rsidRPr="00FC76B0">
        <w:rPr>
          <w:rStyle w:val="FootnoteReference"/>
          <w:lang w:eastAsia="en-GB"/>
        </w:rPr>
        <w:footnoteReference w:id="3"/>
      </w:r>
      <w:r w:rsidR="00797FA0" w:rsidRPr="00FC76B0">
        <w:rPr>
          <w:lang w:eastAsia="en-GB"/>
        </w:rPr>
        <w:t>:</w:t>
      </w:r>
    </w:p>
    <w:p w:rsidR="00274EA4" w:rsidRPr="00FC76B0" w:rsidRDefault="00274EA4" w:rsidP="00274EA4">
      <w:pPr>
        <w:pStyle w:val="ListParagraph"/>
        <w:spacing w:after="0" w:line="240" w:lineRule="auto"/>
        <w:ind w:left="600"/>
        <w:contextualSpacing w:val="0"/>
        <w:rPr>
          <w:lang w:eastAsia="en-GB"/>
        </w:rPr>
      </w:pP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Berkshire</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Derbyshire</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Devon</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Gloucestershire</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Kent &amp; Medway</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Leeds</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Lincolnshire</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Solent</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Suffolk</w:t>
      </w:r>
    </w:p>
    <w:p w:rsidR="00274EA4" w:rsidRPr="00FC76B0" w:rsidRDefault="00274EA4" w:rsidP="00274EA4">
      <w:pPr>
        <w:pStyle w:val="ListParagraph"/>
        <w:numPr>
          <w:ilvl w:val="0"/>
          <w:numId w:val="43"/>
        </w:numPr>
        <w:spacing w:after="0" w:line="240" w:lineRule="auto"/>
        <w:contextualSpacing w:val="0"/>
        <w:rPr>
          <w:lang w:eastAsia="en-GB"/>
        </w:rPr>
      </w:pPr>
      <w:r w:rsidRPr="00FC76B0">
        <w:rPr>
          <w:lang w:eastAsia="en-GB"/>
        </w:rPr>
        <w:t>Surrey</w:t>
      </w:r>
    </w:p>
    <w:p w:rsidR="008D024D" w:rsidRDefault="008D024D" w:rsidP="008D024D">
      <w:pPr>
        <w:pStyle w:val="ListParagraph"/>
        <w:spacing w:after="0" w:line="240" w:lineRule="auto"/>
        <w:ind w:left="709"/>
        <w:contextualSpacing w:val="0"/>
        <w:rPr>
          <w:lang w:eastAsia="en-GB"/>
        </w:rPr>
      </w:pPr>
    </w:p>
    <w:p w:rsidR="00110640" w:rsidRDefault="00110640" w:rsidP="00110640">
      <w:pPr>
        <w:pStyle w:val="ListParagraph"/>
        <w:numPr>
          <w:ilvl w:val="2"/>
          <w:numId w:val="8"/>
        </w:numPr>
        <w:spacing w:after="0" w:line="240" w:lineRule="auto"/>
        <w:ind w:left="709" w:hanging="709"/>
        <w:contextualSpacing w:val="0"/>
        <w:rPr>
          <w:lang w:eastAsia="en-GB"/>
        </w:rPr>
      </w:pPr>
      <w:r w:rsidRPr="00110640">
        <w:rPr>
          <w:lang w:eastAsia="en-GB"/>
        </w:rPr>
        <w:t xml:space="preserve">As announced at the Budget, the GLA, the City of London and all the London Boroughs will form a “pool” for the purposes of the business rates retention scheme and will also pilot 100% business rates retention in 2018-19.   </w:t>
      </w:r>
    </w:p>
    <w:p w:rsidR="00F160C0" w:rsidRDefault="00F160C0" w:rsidP="00F160C0">
      <w:pPr>
        <w:pStyle w:val="ListParagraph"/>
        <w:spacing w:after="0" w:line="240" w:lineRule="auto"/>
        <w:ind w:left="709"/>
        <w:contextualSpacing w:val="0"/>
        <w:rPr>
          <w:lang w:eastAsia="en-GB"/>
        </w:rPr>
      </w:pPr>
    </w:p>
    <w:p w:rsidR="00E82ADE" w:rsidRDefault="00E82ADE" w:rsidP="00047AFC">
      <w:pPr>
        <w:pStyle w:val="ListParagraph"/>
        <w:numPr>
          <w:ilvl w:val="2"/>
          <w:numId w:val="8"/>
        </w:numPr>
        <w:spacing w:after="0" w:line="240" w:lineRule="auto"/>
        <w:ind w:left="709" w:hanging="709"/>
        <w:contextualSpacing w:val="0"/>
        <w:rPr>
          <w:lang w:eastAsia="en-GB"/>
        </w:rPr>
      </w:pPr>
      <w:r>
        <w:rPr>
          <w:lang w:eastAsia="en-GB"/>
        </w:rPr>
        <w:t>The Government will continue to pilot future reform of the system in 2019-20 ahead of implementing greater business rates retention in 2020-21.</w:t>
      </w:r>
      <w:r w:rsidR="00FC4973">
        <w:rPr>
          <w:lang w:eastAsia="en-GB"/>
        </w:rPr>
        <w:t xml:space="preserve"> Further details will be provided in 2018.</w:t>
      </w:r>
    </w:p>
    <w:p w:rsidR="00574969" w:rsidRDefault="00574969" w:rsidP="006D4BCC">
      <w:pPr>
        <w:pStyle w:val="ListParagraph"/>
        <w:spacing w:after="0" w:line="240" w:lineRule="auto"/>
        <w:ind w:left="709"/>
        <w:contextualSpacing w:val="0"/>
        <w:rPr>
          <w:i/>
          <w:highlight w:val="yellow"/>
          <w:lang w:eastAsia="en-GB"/>
        </w:rPr>
      </w:pPr>
    </w:p>
    <w:p w:rsidR="00E00A4E" w:rsidRDefault="00BC641D" w:rsidP="00E00A4E">
      <w:pPr>
        <w:pStyle w:val="ListParagraph"/>
        <w:numPr>
          <w:ilvl w:val="2"/>
          <w:numId w:val="8"/>
        </w:numPr>
        <w:spacing w:after="0" w:line="240" w:lineRule="auto"/>
        <w:ind w:left="709" w:hanging="709"/>
        <w:contextualSpacing w:val="0"/>
        <w:rPr>
          <w:lang w:eastAsia="en-GB"/>
        </w:rPr>
      </w:pPr>
      <w:r w:rsidRPr="00147EF6">
        <w:rPr>
          <w:b/>
          <w:lang w:eastAsia="en-GB"/>
        </w:rPr>
        <w:t>The Government</w:t>
      </w:r>
      <w:r w:rsidR="00314CE4" w:rsidRPr="00147EF6">
        <w:rPr>
          <w:b/>
          <w:lang w:eastAsia="en-GB"/>
        </w:rPr>
        <w:t xml:space="preserve"> will </w:t>
      </w:r>
      <w:r w:rsidR="00C411AA" w:rsidRPr="00147EF6">
        <w:rPr>
          <w:b/>
          <w:lang w:eastAsia="en-GB"/>
        </w:rPr>
        <w:t>also make changes to</w:t>
      </w:r>
      <w:r w:rsidR="00F517F9" w:rsidRPr="00147EF6">
        <w:rPr>
          <w:b/>
          <w:lang w:eastAsia="en-GB"/>
        </w:rPr>
        <w:t xml:space="preserve"> the council tax referendum principles for 2018-19 and 2019-20.</w:t>
      </w:r>
      <w:r w:rsidR="00393385" w:rsidRPr="00147EF6">
        <w:rPr>
          <w:b/>
          <w:lang w:eastAsia="en-GB"/>
        </w:rPr>
        <w:t xml:space="preserve"> </w:t>
      </w:r>
      <w:r w:rsidR="00F517F9">
        <w:rPr>
          <w:lang w:eastAsia="en-GB"/>
        </w:rPr>
        <w:t xml:space="preserve">Respondents to the 2018-19 local government finance settlement technical consultation argued that </w:t>
      </w:r>
      <w:r w:rsidR="00E00A4E">
        <w:rPr>
          <w:lang w:eastAsia="en-GB"/>
        </w:rPr>
        <w:t xml:space="preserve">local authorities should be </w:t>
      </w:r>
      <w:r w:rsidR="00147EF6">
        <w:rPr>
          <w:lang w:eastAsia="en-GB"/>
        </w:rPr>
        <w:t xml:space="preserve">better </w:t>
      </w:r>
      <w:r w:rsidR="00E00A4E">
        <w:rPr>
          <w:lang w:eastAsia="en-GB"/>
        </w:rPr>
        <w:t xml:space="preserve">able </w:t>
      </w:r>
      <w:r w:rsidR="00147EF6">
        <w:rPr>
          <w:lang w:eastAsia="en-GB"/>
        </w:rPr>
        <w:t xml:space="preserve">to </w:t>
      </w:r>
      <w:r w:rsidR="009A0A38" w:rsidRPr="00110640">
        <w:rPr>
          <w:lang w:eastAsia="en-GB"/>
        </w:rPr>
        <w:t>meet pressures</w:t>
      </w:r>
      <w:r w:rsidR="00E00A4E">
        <w:rPr>
          <w:lang w:eastAsia="en-GB"/>
        </w:rPr>
        <w:t xml:space="preserve"> where appropriate,</w:t>
      </w:r>
      <w:r w:rsidR="009A0A38" w:rsidRPr="00110640">
        <w:rPr>
          <w:lang w:eastAsia="en-GB"/>
        </w:rPr>
        <w:t xml:space="preserve"> and be accountable for t</w:t>
      </w:r>
      <w:r w:rsidR="00147EF6">
        <w:rPr>
          <w:lang w:eastAsia="en-GB"/>
        </w:rPr>
        <w:t>hose decisions</w:t>
      </w:r>
      <w:r w:rsidR="00E00A4E">
        <w:rPr>
          <w:lang w:eastAsia="en-GB"/>
        </w:rPr>
        <w:t xml:space="preserve">. </w:t>
      </w:r>
    </w:p>
    <w:p w:rsidR="00E00A4E" w:rsidRDefault="00E00A4E" w:rsidP="00E00A4E">
      <w:pPr>
        <w:pStyle w:val="ListParagraph"/>
        <w:spacing w:after="0" w:line="240" w:lineRule="auto"/>
        <w:ind w:left="709"/>
        <w:contextualSpacing w:val="0"/>
        <w:rPr>
          <w:lang w:eastAsia="en-GB"/>
        </w:rPr>
      </w:pPr>
    </w:p>
    <w:p w:rsidR="00F517F9" w:rsidRPr="004075D3" w:rsidRDefault="00E00A4E" w:rsidP="004075D3">
      <w:pPr>
        <w:pStyle w:val="ListParagraph"/>
        <w:numPr>
          <w:ilvl w:val="2"/>
          <w:numId w:val="8"/>
        </w:numPr>
        <w:spacing w:after="0" w:line="240" w:lineRule="auto"/>
        <w:ind w:left="709" w:hanging="709"/>
        <w:contextualSpacing w:val="0"/>
        <w:rPr>
          <w:lang w:eastAsia="en-GB"/>
        </w:rPr>
      </w:pPr>
      <w:r w:rsidRPr="004075D3">
        <w:rPr>
          <w:lang w:eastAsia="en-GB"/>
        </w:rPr>
        <w:t xml:space="preserve">In </w:t>
      </w:r>
      <w:r w:rsidR="009A0A38" w:rsidRPr="004075D3">
        <w:rPr>
          <w:lang w:eastAsia="en-GB"/>
        </w:rPr>
        <w:t xml:space="preserve">recognition of </w:t>
      </w:r>
      <w:r w:rsidRPr="004075D3">
        <w:rPr>
          <w:lang w:eastAsia="en-GB"/>
        </w:rPr>
        <w:t xml:space="preserve">this, as well as </w:t>
      </w:r>
      <w:r w:rsidR="00032E68" w:rsidRPr="004075D3">
        <w:rPr>
          <w:lang w:eastAsia="en-GB"/>
        </w:rPr>
        <w:t>high</w:t>
      </w:r>
      <w:r w:rsidR="00E82ADE" w:rsidRPr="004075D3">
        <w:rPr>
          <w:lang w:eastAsia="en-GB"/>
        </w:rPr>
        <w:t>er than expected</w:t>
      </w:r>
      <w:r w:rsidR="00032E68" w:rsidRPr="004075D3">
        <w:rPr>
          <w:lang w:eastAsia="en-GB"/>
        </w:rPr>
        <w:t xml:space="preserve"> inflation levels</w:t>
      </w:r>
      <w:r w:rsidRPr="004075D3">
        <w:rPr>
          <w:lang w:eastAsia="en-GB"/>
        </w:rPr>
        <w:t xml:space="preserve">, the Government will strike a balance </w:t>
      </w:r>
      <w:r w:rsidR="009A0A38" w:rsidRPr="004075D3">
        <w:rPr>
          <w:lang w:eastAsia="en-GB"/>
        </w:rPr>
        <w:t xml:space="preserve">between addressing </w:t>
      </w:r>
      <w:r w:rsidRPr="004075D3">
        <w:rPr>
          <w:lang w:eastAsia="en-GB"/>
        </w:rPr>
        <w:t>service pressure</w:t>
      </w:r>
      <w:r w:rsidR="00E82ADE" w:rsidRPr="004075D3">
        <w:rPr>
          <w:lang w:eastAsia="en-GB"/>
        </w:rPr>
        <w:t>s</w:t>
      </w:r>
      <w:r w:rsidR="009A0A38" w:rsidRPr="004075D3">
        <w:rPr>
          <w:lang w:eastAsia="en-GB"/>
        </w:rPr>
        <w:t xml:space="preserve"> and giving council tax-payers the final say over excessive increases as per </w:t>
      </w:r>
      <w:r w:rsidRPr="004075D3">
        <w:rPr>
          <w:lang w:eastAsia="en-GB"/>
        </w:rPr>
        <w:t>its</w:t>
      </w:r>
      <w:r w:rsidR="009A0A38" w:rsidRPr="004075D3">
        <w:rPr>
          <w:lang w:eastAsia="en-GB"/>
        </w:rPr>
        <w:t xml:space="preserve"> manifesto commitment.</w:t>
      </w:r>
      <w:r w:rsidRPr="004075D3">
        <w:rPr>
          <w:lang w:eastAsia="en-GB"/>
        </w:rPr>
        <w:t xml:space="preserve"> </w:t>
      </w:r>
      <w:r w:rsidR="00C411AA" w:rsidRPr="004075D3">
        <w:rPr>
          <w:lang w:eastAsia="en-GB"/>
        </w:rPr>
        <w:t xml:space="preserve">The Government has decided to </w:t>
      </w:r>
      <w:r w:rsidR="005650BD">
        <w:rPr>
          <w:lang w:eastAsia="en-GB"/>
        </w:rPr>
        <w:t>set the</w:t>
      </w:r>
      <w:r w:rsidR="00886C0C" w:rsidRPr="004075D3">
        <w:rPr>
          <w:lang w:eastAsia="en-GB"/>
        </w:rPr>
        <w:t xml:space="preserve"> core referendum principle</w:t>
      </w:r>
      <w:r w:rsidR="005650BD">
        <w:rPr>
          <w:lang w:eastAsia="en-GB"/>
        </w:rPr>
        <w:t>s</w:t>
      </w:r>
      <w:r w:rsidR="00886C0C" w:rsidRPr="004075D3">
        <w:rPr>
          <w:lang w:eastAsia="en-GB"/>
        </w:rPr>
        <w:t xml:space="preserve"> </w:t>
      </w:r>
      <w:r w:rsidR="005650BD">
        <w:rPr>
          <w:lang w:eastAsia="en-GB"/>
        </w:rPr>
        <w:t xml:space="preserve">in </w:t>
      </w:r>
      <w:r w:rsidR="005650BD">
        <w:rPr>
          <w:lang w:eastAsia="en-GB"/>
        </w:rPr>
        <w:lastRenderedPageBreak/>
        <w:t>line with inflation (at 3%)</w:t>
      </w:r>
      <w:r w:rsidR="00886C0C" w:rsidRPr="004075D3">
        <w:rPr>
          <w:lang w:eastAsia="en-GB"/>
        </w:rPr>
        <w:t xml:space="preserve"> for all authorities</w:t>
      </w:r>
      <w:r w:rsidR="00FD0FC5">
        <w:rPr>
          <w:lang w:eastAsia="en-GB"/>
        </w:rPr>
        <w:t>, with further flexibilities for police and crime commissioners,</w:t>
      </w:r>
      <w:r w:rsidR="00886C0C" w:rsidRPr="004075D3">
        <w:rPr>
          <w:lang w:eastAsia="en-GB"/>
        </w:rPr>
        <w:t xml:space="preserve"> in 2018-19 and 2019-20. The Adult Social Care Precept flexibility will remain the same as previously announced</w:t>
      </w:r>
      <w:r w:rsidR="004075D3">
        <w:rPr>
          <w:lang w:eastAsia="en-GB"/>
        </w:rPr>
        <w:t xml:space="preserve"> –</w:t>
      </w:r>
      <w:r w:rsidR="004075D3" w:rsidRPr="004075D3">
        <w:rPr>
          <w:lang w:eastAsia="en-GB"/>
        </w:rPr>
        <w:t xml:space="preserve"> </w:t>
      </w:r>
      <w:r w:rsidR="00774581">
        <w:rPr>
          <w:lang w:eastAsia="en-GB"/>
        </w:rPr>
        <w:t xml:space="preserve">this will form a large part of the </w:t>
      </w:r>
      <w:r w:rsidR="004075D3" w:rsidRPr="004075D3">
        <w:rPr>
          <w:lang w:eastAsia="en-GB"/>
        </w:rPr>
        <w:t xml:space="preserve">£9.25 billion more dedicated funding for adult social care that the Government </w:t>
      </w:r>
      <w:r w:rsidR="004075D3">
        <w:rPr>
          <w:lang w:eastAsia="en-GB"/>
        </w:rPr>
        <w:t>provided access to earlier this year.</w:t>
      </w:r>
    </w:p>
    <w:p w:rsidR="00C91B4C" w:rsidRDefault="00C91B4C" w:rsidP="00D32CE1">
      <w:pPr>
        <w:pStyle w:val="ListParagraph"/>
        <w:spacing w:after="0" w:line="240" w:lineRule="auto"/>
        <w:ind w:left="709"/>
        <w:contextualSpacing w:val="0"/>
        <w:rPr>
          <w:lang w:eastAsia="en-GB"/>
        </w:rPr>
      </w:pPr>
    </w:p>
    <w:p w:rsidR="00B671A9" w:rsidRPr="00B16DC8" w:rsidRDefault="006F59FD" w:rsidP="00B16DC8">
      <w:pPr>
        <w:pStyle w:val="ListParagraph"/>
        <w:numPr>
          <w:ilvl w:val="2"/>
          <w:numId w:val="8"/>
        </w:numPr>
        <w:spacing w:after="0" w:line="240" w:lineRule="auto"/>
        <w:ind w:left="709" w:hanging="709"/>
        <w:contextualSpacing w:val="0"/>
        <w:rPr>
          <w:lang w:eastAsia="en-GB"/>
        </w:rPr>
      </w:pPr>
      <w:r>
        <w:rPr>
          <w:lang w:eastAsia="en-GB"/>
        </w:rPr>
        <w:t>Furthermore, s</w:t>
      </w:r>
      <w:r w:rsidR="006D5767" w:rsidRPr="006D5767">
        <w:rPr>
          <w:lang w:eastAsia="en-GB"/>
        </w:rPr>
        <w:t xml:space="preserve">ome respondents to the recent 2018-19 local government finance settlement technical consultation </w:t>
      </w:r>
      <w:r w:rsidR="00852EC0">
        <w:rPr>
          <w:lang w:eastAsia="en-GB"/>
        </w:rPr>
        <w:t xml:space="preserve">have </w:t>
      </w:r>
      <w:r w:rsidR="006D5767" w:rsidRPr="006D5767">
        <w:rPr>
          <w:lang w:eastAsia="en-GB"/>
        </w:rPr>
        <w:t xml:space="preserve">raised the issue of so-called ‘negative RSG’ in relation to the final year of the multi-year settlement in 2019-20. This is where changes in </w:t>
      </w:r>
      <w:r w:rsidR="006D5767">
        <w:rPr>
          <w:lang w:eastAsia="en-GB"/>
        </w:rPr>
        <w:t>R</w:t>
      </w:r>
      <w:r w:rsidR="006D5767" w:rsidRPr="006D5767">
        <w:rPr>
          <w:lang w:eastAsia="en-GB"/>
        </w:rPr>
        <w:t xml:space="preserve">evenue </w:t>
      </w:r>
      <w:r w:rsidR="006D5767">
        <w:rPr>
          <w:lang w:eastAsia="en-GB"/>
        </w:rPr>
        <w:t>S</w:t>
      </w:r>
      <w:r w:rsidR="006D5767" w:rsidRPr="006D5767">
        <w:rPr>
          <w:lang w:eastAsia="en-GB"/>
        </w:rPr>
        <w:t xml:space="preserve">upport </w:t>
      </w:r>
      <w:r w:rsidR="006D5767">
        <w:rPr>
          <w:lang w:eastAsia="en-GB"/>
        </w:rPr>
        <w:t>G</w:t>
      </w:r>
      <w:r w:rsidR="006D5767" w:rsidRPr="006D5767">
        <w:rPr>
          <w:lang w:eastAsia="en-GB"/>
        </w:rPr>
        <w:t xml:space="preserve">rant have led to a downward adjustment of some local authorities’ business rates top-ups or tariffs in that year. The Government remains committed to the 4-year deal but </w:t>
      </w:r>
      <w:proofErr w:type="gramStart"/>
      <w:r w:rsidR="006D5767" w:rsidRPr="006D5767">
        <w:rPr>
          <w:lang w:eastAsia="en-GB"/>
        </w:rPr>
        <w:t>recognises</w:t>
      </w:r>
      <w:proofErr w:type="gramEnd"/>
      <w:r w:rsidR="006D5767" w:rsidRPr="006D5767">
        <w:rPr>
          <w:lang w:eastAsia="en-GB"/>
        </w:rPr>
        <w:t xml:space="preserve"> the concern of some councils around this issue. </w:t>
      </w:r>
      <w:r w:rsidRPr="00B16DC8">
        <w:rPr>
          <w:b/>
          <w:lang w:eastAsia="en-GB"/>
        </w:rPr>
        <w:t xml:space="preserve">The Government </w:t>
      </w:r>
      <w:r w:rsidR="006D5767" w:rsidRPr="00B16DC8">
        <w:rPr>
          <w:b/>
          <w:lang w:eastAsia="en-GB"/>
        </w:rPr>
        <w:t xml:space="preserve">will look at fair and affordable options for dealing with </w:t>
      </w:r>
      <w:r w:rsidR="00852EC0" w:rsidRPr="00B16DC8">
        <w:rPr>
          <w:b/>
          <w:lang w:eastAsia="en-GB"/>
        </w:rPr>
        <w:t>‘</w:t>
      </w:r>
      <w:r w:rsidR="006D5767" w:rsidRPr="00B16DC8">
        <w:rPr>
          <w:b/>
          <w:lang w:eastAsia="en-GB"/>
        </w:rPr>
        <w:t>negative RSG</w:t>
      </w:r>
      <w:r w:rsidR="00852EC0" w:rsidRPr="00B16DC8">
        <w:rPr>
          <w:b/>
          <w:lang w:eastAsia="en-GB"/>
        </w:rPr>
        <w:t>’</w:t>
      </w:r>
      <w:r w:rsidR="006D5767" w:rsidRPr="00B16DC8">
        <w:rPr>
          <w:b/>
          <w:lang w:eastAsia="en-GB"/>
        </w:rPr>
        <w:t xml:space="preserve"> and will formally consult on proposals ahead of next year’s settlement.</w:t>
      </w:r>
    </w:p>
    <w:p w:rsidR="00B16DC8" w:rsidRDefault="00B16DC8" w:rsidP="00B671A9">
      <w:pPr>
        <w:pStyle w:val="ListParagraph"/>
        <w:spacing w:after="0" w:line="240" w:lineRule="auto"/>
        <w:ind w:left="709"/>
        <w:contextualSpacing w:val="0"/>
        <w:rPr>
          <w:lang w:eastAsia="en-GB"/>
        </w:rPr>
      </w:pPr>
    </w:p>
    <w:p w:rsidR="00B671A9" w:rsidRDefault="00B671A9" w:rsidP="00314CE4">
      <w:pPr>
        <w:pStyle w:val="ListParagraph"/>
        <w:numPr>
          <w:ilvl w:val="2"/>
          <w:numId w:val="8"/>
        </w:numPr>
        <w:spacing w:after="0" w:line="240" w:lineRule="auto"/>
        <w:ind w:left="709" w:hanging="709"/>
        <w:contextualSpacing w:val="0"/>
        <w:rPr>
          <w:lang w:eastAsia="en-GB"/>
        </w:rPr>
      </w:pPr>
      <w:r>
        <w:rPr>
          <w:lang w:eastAsia="en-GB"/>
        </w:rPr>
        <w:t>The Government has made several further decisions in recognition of representations made by councils to the 2018-19 local government finance settlement technical consultation</w:t>
      </w:r>
      <w:r w:rsidR="002708DC">
        <w:rPr>
          <w:lang w:eastAsia="en-GB"/>
        </w:rPr>
        <w:t>, including on the New Homes Bonus, the Rural Services Delivery Grant, and council tax precepts for newly created Mayoral Combined Authorities</w:t>
      </w:r>
      <w:r>
        <w:rPr>
          <w:lang w:eastAsia="en-GB"/>
        </w:rPr>
        <w:t xml:space="preserve">. These are </w:t>
      </w:r>
      <w:r w:rsidR="00C83A1D">
        <w:rPr>
          <w:lang w:eastAsia="en-GB"/>
        </w:rPr>
        <w:t>outlined</w:t>
      </w:r>
      <w:r w:rsidR="002708DC">
        <w:rPr>
          <w:lang w:eastAsia="en-GB"/>
        </w:rPr>
        <w:t xml:space="preserve"> in</w:t>
      </w:r>
      <w:r>
        <w:rPr>
          <w:lang w:eastAsia="en-GB"/>
        </w:rPr>
        <w:t xml:space="preserve"> later chapters.</w:t>
      </w:r>
    </w:p>
    <w:p w:rsidR="002708DC" w:rsidRPr="00706BA7" w:rsidRDefault="002708DC" w:rsidP="002708DC">
      <w:pPr>
        <w:rPr>
          <w:highlight w:val="yellow"/>
          <w:lang w:eastAsia="en-GB"/>
        </w:rPr>
      </w:pPr>
    </w:p>
    <w:p w:rsidR="002708DC" w:rsidRDefault="002708DC" w:rsidP="002708DC">
      <w:pPr>
        <w:pStyle w:val="ListParagraph"/>
        <w:numPr>
          <w:ilvl w:val="2"/>
          <w:numId w:val="8"/>
        </w:numPr>
        <w:spacing w:after="0" w:line="240" w:lineRule="auto"/>
        <w:ind w:left="709" w:hanging="709"/>
        <w:contextualSpacing w:val="0"/>
        <w:rPr>
          <w:lang w:eastAsia="en-GB"/>
        </w:rPr>
      </w:pPr>
      <w:r w:rsidRPr="0041738A">
        <w:rPr>
          <w:lang w:eastAsia="en-GB"/>
        </w:rPr>
        <w:t xml:space="preserve">Under the Local Government Finance Act 1988, the Government is required to consult on proposals to distribute centrally allocated resources. This consultation paper meets this requirement and describes the Government’s wider proposals that relate to the </w:t>
      </w:r>
      <w:r>
        <w:rPr>
          <w:lang w:eastAsia="en-GB"/>
        </w:rPr>
        <w:t xml:space="preserve">third </w:t>
      </w:r>
      <w:r w:rsidRPr="0041738A">
        <w:rPr>
          <w:lang w:eastAsia="en-GB"/>
        </w:rPr>
        <w:t>year of the multi-year settlement.</w:t>
      </w:r>
    </w:p>
    <w:p w:rsidR="002708DC" w:rsidRDefault="002708DC" w:rsidP="002708DC">
      <w:pPr>
        <w:pStyle w:val="ListParagraph"/>
        <w:spacing w:after="0" w:line="240" w:lineRule="auto"/>
        <w:ind w:left="709"/>
        <w:contextualSpacing w:val="0"/>
        <w:rPr>
          <w:lang w:eastAsia="en-GB"/>
        </w:rPr>
      </w:pPr>
    </w:p>
    <w:p w:rsidR="002708DC" w:rsidRPr="005B0900" w:rsidRDefault="002708DC" w:rsidP="002708DC">
      <w:pPr>
        <w:numPr>
          <w:ilvl w:val="1"/>
          <w:numId w:val="8"/>
        </w:numPr>
        <w:spacing w:after="240"/>
        <w:rPr>
          <w:b/>
        </w:rPr>
      </w:pPr>
      <w:r w:rsidRPr="005B0900">
        <w:rPr>
          <w:b/>
        </w:rPr>
        <w:t>Summary of proposals</w:t>
      </w:r>
    </w:p>
    <w:p w:rsidR="002708DC" w:rsidRPr="00B855C7" w:rsidRDefault="002708DC" w:rsidP="002708DC">
      <w:pPr>
        <w:pStyle w:val="ListParagraph"/>
        <w:numPr>
          <w:ilvl w:val="2"/>
          <w:numId w:val="8"/>
        </w:numPr>
        <w:spacing w:after="0" w:line="240" w:lineRule="auto"/>
        <w:ind w:left="709" w:hanging="709"/>
        <w:contextualSpacing w:val="0"/>
        <w:rPr>
          <w:lang w:eastAsia="en-GB"/>
        </w:rPr>
      </w:pPr>
      <w:r w:rsidRPr="00B855C7">
        <w:rPr>
          <w:lang w:eastAsia="en-GB"/>
        </w:rPr>
        <w:t xml:space="preserve">Earlier in the autumn, the Government consulted on technical issues concerning the 2018-19 </w:t>
      </w:r>
      <w:r w:rsidR="00B938A9">
        <w:rPr>
          <w:lang w:eastAsia="en-GB"/>
        </w:rPr>
        <w:t xml:space="preserve">local government finance </w:t>
      </w:r>
      <w:r w:rsidRPr="00B855C7">
        <w:rPr>
          <w:lang w:eastAsia="en-GB"/>
        </w:rPr>
        <w:t>settlement. A summary of the responses to this consultation can be found at</w:t>
      </w:r>
      <w:r>
        <w:rPr>
          <w:lang w:eastAsia="en-GB"/>
        </w:rPr>
        <w:t>:</w:t>
      </w:r>
      <w:r w:rsidRPr="00B855C7">
        <w:rPr>
          <w:lang w:eastAsia="en-GB"/>
        </w:rPr>
        <w:t xml:space="preserve"> </w:t>
      </w:r>
    </w:p>
    <w:p w:rsidR="002708DC" w:rsidRPr="00B855C7" w:rsidRDefault="002708DC" w:rsidP="002708DC">
      <w:pPr>
        <w:pStyle w:val="ListParagraph"/>
        <w:spacing w:after="0" w:line="240" w:lineRule="auto"/>
        <w:ind w:left="709"/>
        <w:contextualSpacing w:val="0"/>
        <w:rPr>
          <w:highlight w:val="yellow"/>
          <w:lang w:eastAsia="en-GB"/>
        </w:rPr>
      </w:pPr>
    </w:p>
    <w:p w:rsidR="002B2BF4" w:rsidRDefault="002B2BF4" w:rsidP="002B2BF4">
      <w:pPr>
        <w:rPr>
          <w:rFonts w:cs="Arial"/>
          <w:color w:val="002060"/>
        </w:rPr>
      </w:pPr>
      <w:hyperlink r:id="rId25" w:history="1">
        <w:r>
          <w:rPr>
            <w:rStyle w:val="Hyperlink"/>
            <w:rFonts w:cs="Arial"/>
          </w:rPr>
          <w:t>https://www.gov.uk/government/consultations/local-government-finance-settlement-2018-to-2019-technical-con</w:t>
        </w:r>
        <w:r>
          <w:rPr>
            <w:rStyle w:val="Hyperlink"/>
            <w:rFonts w:cs="Arial"/>
          </w:rPr>
          <w:t>s</w:t>
        </w:r>
        <w:r>
          <w:rPr>
            <w:rStyle w:val="Hyperlink"/>
            <w:rFonts w:cs="Arial"/>
          </w:rPr>
          <w:t>ultation</w:t>
        </w:r>
      </w:hyperlink>
    </w:p>
    <w:p w:rsidR="002708DC" w:rsidRPr="00AE289F" w:rsidRDefault="002708DC" w:rsidP="002708DC">
      <w:pPr>
        <w:pStyle w:val="ListParagraph"/>
        <w:spacing w:after="0" w:line="240" w:lineRule="auto"/>
        <w:ind w:left="709"/>
        <w:contextualSpacing w:val="0"/>
        <w:rPr>
          <w:highlight w:val="yellow"/>
          <w:lang w:eastAsia="en-GB"/>
        </w:rPr>
      </w:pPr>
    </w:p>
    <w:p w:rsidR="002708DC" w:rsidRPr="005B0900" w:rsidRDefault="002708DC" w:rsidP="002708DC">
      <w:pPr>
        <w:pStyle w:val="ListParagraph"/>
        <w:numPr>
          <w:ilvl w:val="2"/>
          <w:numId w:val="8"/>
        </w:numPr>
        <w:spacing w:after="0" w:line="240" w:lineRule="auto"/>
        <w:ind w:left="709" w:hanging="709"/>
        <w:contextualSpacing w:val="0"/>
        <w:rPr>
          <w:lang w:eastAsia="en-GB"/>
        </w:rPr>
      </w:pPr>
      <w:r w:rsidRPr="005B0900">
        <w:rPr>
          <w:lang w:eastAsia="en-GB"/>
        </w:rPr>
        <w:t>Having considered responses to that consultation, this document confirms our approach to the 2018-19</w:t>
      </w:r>
      <w:r w:rsidR="00B938A9">
        <w:rPr>
          <w:lang w:eastAsia="en-GB"/>
        </w:rPr>
        <w:t xml:space="preserve"> local government finance</w:t>
      </w:r>
      <w:r w:rsidRPr="005B0900">
        <w:rPr>
          <w:lang w:eastAsia="en-GB"/>
        </w:rPr>
        <w:t xml:space="preserve"> settlement. This is outlined in the following chapters:</w:t>
      </w:r>
    </w:p>
    <w:p w:rsidR="002708DC" w:rsidRPr="00AE289F" w:rsidRDefault="002708DC" w:rsidP="002708DC">
      <w:pPr>
        <w:rPr>
          <w:i/>
          <w:highlight w:val="yellow"/>
        </w:rPr>
      </w:pPr>
    </w:p>
    <w:p w:rsidR="002708DC" w:rsidRPr="00AE289F" w:rsidRDefault="002708DC" w:rsidP="002708DC">
      <w:pPr>
        <w:rPr>
          <w:i/>
          <w:highlight w:val="yellow"/>
        </w:rPr>
      </w:pPr>
      <w:r w:rsidRPr="005B0900">
        <w:rPr>
          <w:i/>
        </w:rPr>
        <w:t xml:space="preserve">Chapter 2 – The distribution of central resources </w:t>
      </w:r>
    </w:p>
    <w:p w:rsidR="002708DC" w:rsidRPr="00AE289F" w:rsidRDefault="002708DC" w:rsidP="002708DC">
      <w:pPr>
        <w:rPr>
          <w:b/>
          <w:i/>
          <w:highlight w:val="yellow"/>
        </w:rPr>
      </w:pPr>
    </w:p>
    <w:p w:rsidR="002708DC" w:rsidRPr="0041738A" w:rsidRDefault="002708DC" w:rsidP="002708DC">
      <w:pPr>
        <w:pStyle w:val="ListParagraph"/>
        <w:numPr>
          <w:ilvl w:val="2"/>
          <w:numId w:val="8"/>
        </w:numPr>
        <w:spacing w:after="0" w:line="240" w:lineRule="auto"/>
        <w:ind w:left="709" w:hanging="709"/>
        <w:contextualSpacing w:val="0"/>
        <w:rPr>
          <w:lang w:eastAsia="en-GB"/>
        </w:rPr>
      </w:pPr>
      <w:r w:rsidRPr="0041738A">
        <w:rPr>
          <w:lang w:eastAsia="en-GB"/>
        </w:rPr>
        <w:t>This chapter outlines our proposals for distributing central resources in 2018-19 in line with the four year offer announced in 2016-17. In summary, it outlines:</w:t>
      </w:r>
    </w:p>
    <w:p w:rsidR="002708DC" w:rsidRPr="00AE289F" w:rsidRDefault="002708DC" w:rsidP="002708DC">
      <w:pPr>
        <w:pStyle w:val="ListParagraph"/>
        <w:spacing w:after="0" w:line="240" w:lineRule="auto"/>
        <w:ind w:left="709"/>
        <w:contextualSpacing w:val="0"/>
        <w:rPr>
          <w:highlight w:val="yellow"/>
          <w:lang w:eastAsia="en-GB"/>
        </w:rPr>
      </w:pPr>
    </w:p>
    <w:p w:rsidR="002708DC" w:rsidRPr="006F618D" w:rsidRDefault="002708DC" w:rsidP="002708DC">
      <w:pPr>
        <w:pStyle w:val="ListParagraph"/>
        <w:numPr>
          <w:ilvl w:val="0"/>
          <w:numId w:val="15"/>
        </w:numPr>
        <w:spacing w:after="120" w:line="240" w:lineRule="auto"/>
        <w:ind w:hanging="357"/>
        <w:contextualSpacing w:val="0"/>
      </w:pPr>
      <w:r w:rsidRPr="006F618D">
        <w:t>the third year of the multi-year settlement offer for those councils that accepted the Government’s offer, and arrangements for those that did not</w:t>
      </w:r>
      <w:r>
        <w:t>,</w:t>
      </w:r>
    </w:p>
    <w:p w:rsidR="002708DC" w:rsidRPr="006F618D" w:rsidRDefault="002708DC" w:rsidP="002708DC">
      <w:pPr>
        <w:pStyle w:val="ListParagraph"/>
        <w:numPr>
          <w:ilvl w:val="0"/>
          <w:numId w:val="15"/>
        </w:numPr>
        <w:spacing w:after="120" w:line="240" w:lineRule="auto"/>
        <w:contextualSpacing w:val="0"/>
      </w:pPr>
      <w:r w:rsidRPr="006F618D">
        <w:t>the method for distributing New Homes Bonus funding</w:t>
      </w:r>
      <w:r>
        <w:t>,</w:t>
      </w:r>
    </w:p>
    <w:p w:rsidR="002708DC" w:rsidRPr="006F618D" w:rsidRDefault="002708DC" w:rsidP="002708DC">
      <w:pPr>
        <w:pStyle w:val="ListParagraph"/>
        <w:numPr>
          <w:ilvl w:val="0"/>
          <w:numId w:val="15"/>
        </w:numPr>
        <w:spacing w:after="120" w:line="240" w:lineRule="auto"/>
        <w:ind w:hanging="357"/>
        <w:contextualSpacing w:val="0"/>
      </w:pPr>
      <w:r w:rsidRPr="006F618D">
        <w:lastRenderedPageBreak/>
        <w:t>the profile of the Rural Services Delivery Grant in 2018-19 and the method for distribution</w:t>
      </w:r>
      <w:r>
        <w:t>, and</w:t>
      </w:r>
      <w:r w:rsidRPr="006F618D">
        <w:t xml:space="preserve"> </w:t>
      </w:r>
    </w:p>
    <w:p w:rsidR="002708DC" w:rsidRPr="006F618D" w:rsidRDefault="002708DC" w:rsidP="002708DC">
      <w:pPr>
        <w:pStyle w:val="ListParagraph"/>
        <w:numPr>
          <w:ilvl w:val="0"/>
          <w:numId w:val="15"/>
        </w:numPr>
        <w:spacing w:after="120" w:line="240" w:lineRule="auto"/>
        <w:ind w:hanging="357"/>
        <w:contextualSpacing w:val="0"/>
      </w:pPr>
      <w:proofErr w:type="gramStart"/>
      <w:r w:rsidRPr="006F618D">
        <w:t>the</w:t>
      </w:r>
      <w:proofErr w:type="gramEnd"/>
      <w:r w:rsidRPr="006F618D">
        <w:t xml:space="preserve"> method for funding the Business Rates Safety Net</w:t>
      </w:r>
      <w:r>
        <w:t>.</w:t>
      </w:r>
    </w:p>
    <w:p w:rsidR="002708DC" w:rsidRPr="00F2615A" w:rsidRDefault="002708DC" w:rsidP="002708DC">
      <w:pPr>
        <w:spacing w:after="240"/>
        <w:rPr>
          <w:rFonts w:eastAsia="Calibri" w:cs="Arial"/>
          <w:i/>
          <w:color w:val="000000"/>
          <w:lang w:eastAsia="en-GB"/>
        </w:rPr>
      </w:pPr>
      <w:r>
        <w:rPr>
          <w:rFonts w:eastAsia="Calibri" w:cs="Arial"/>
          <w:i/>
          <w:color w:val="000000"/>
          <w:lang w:eastAsia="en-GB"/>
        </w:rPr>
        <w:br/>
      </w:r>
      <w:r w:rsidRPr="00F2615A">
        <w:rPr>
          <w:rFonts w:eastAsia="Calibri" w:cs="Arial"/>
          <w:i/>
          <w:color w:val="000000"/>
          <w:lang w:eastAsia="en-GB"/>
        </w:rPr>
        <w:t>Chapter 3 – Changes to local resources</w:t>
      </w:r>
    </w:p>
    <w:p w:rsidR="002708DC" w:rsidRPr="00EB1BEA" w:rsidRDefault="002708DC" w:rsidP="002708DC">
      <w:pPr>
        <w:pStyle w:val="ListParagraph"/>
        <w:numPr>
          <w:ilvl w:val="2"/>
          <w:numId w:val="8"/>
        </w:numPr>
        <w:spacing w:after="0" w:line="240" w:lineRule="auto"/>
        <w:ind w:left="709" w:hanging="709"/>
        <w:contextualSpacing w:val="0"/>
        <w:rPr>
          <w:lang w:eastAsia="en-GB"/>
        </w:rPr>
      </w:pPr>
      <w:r w:rsidRPr="00EB1BEA">
        <w:rPr>
          <w:lang w:eastAsia="en-GB"/>
        </w:rPr>
        <w:t>This chapter outlines the Government’s proposals for the 2018-19 local government finance settlement that have implications for the local resources collected by councils. I</w:t>
      </w:r>
      <w:r>
        <w:rPr>
          <w:lang w:eastAsia="en-GB"/>
        </w:rPr>
        <w:t>n summary, it</w:t>
      </w:r>
      <w:r w:rsidRPr="00EB1BEA">
        <w:rPr>
          <w:lang w:eastAsia="en-GB"/>
        </w:rPr>
        <w:t>:</w:t>
      </w:r>
    </w:p>
    <w:p w:rsidR="002708DC" w:rsidRPr="00AE289F" w:rsidRDefault="002708DC" w:rsidP="002708DC">
      <w:pPr>
        <w:pStyle w:val="ListParagraph"/>
        <w:spacing w:after="0" w:line="240" w:lineRule="auto"/>
        <w:ind w:left="709"/>
        <w:contextualSpacing w:val="0"/>
        <w:rPr>
          <w:highlight w:val="yellow"/>
          <w:lang w:eastAsia="en-GB"/>
        </w:rPr>
      </w:pPr>
    </w:p>
    <w:p w:rsidR="002708DC" w:rsidRPr="00EB1BEA" w:rsidRDefault="002708DC" w:rsidP="002708DC">
      <w:pPr>
        <w:numPr>
          <w:ilvl w:val="0"/>
          <w:numId w:val="18"/>
        </w:numPr>
        <w:spacing w:after="240"/>
        <w:ind w:left="1418" w:hanging="284"/>
      </w:pPr>
      <w:r>
        <w:t xml:space="preserve">outlines </w:t>
      </w:r>
      <w:r w:rsidRPr="00EB1BEA">
        <w:t>the Government’s proposals for the council tax referendum principles for 2018-19</w:t>
      </w:r>
      <w:r>
        <w:t xml:space="preserve">, including </w:t>
      </w:r>
      <w:r w:rsidRPr="000B190D">
        <w:rPr>
          <w:rFonts w:eastAsia="Calibri" w:cs="Arial"/>
        </w:rPr>
        <w:t>the approach to Mayoral Combined Authorities precepts</w:t>
      </w:r>
      <w:r>
        <w:rPr>
          <w:rFonts w:eastAsia="Calibri" w:cs="Arial"/>
        </w:rPr>
        <w:t>,</w:t>
      </w:r>
      <w:r w:rsidRPr="000B190D">
        <w:rPr>
          <w:rFonts w:eastAsia="Calibri" w:cs="Arial"/>
        </w:rPr>
        <w:t xml:space="preserve"> </w:t>
      </w:r>
    </w:p>
    <w:p w:rsidR="002708DC" w:rsidRPr="00170445" w:rsidRDefault="002708DC" w:rsidP="002708DC">
      <w:pPr>
        <w:numPr>
          <w:ilvl w:val="0"/>
          <w:numId w:val="18"/>
        </w:numPr>
        <w:spacing w:after="240"/>
        <w:ind w:left="1418" w:hanging="284"/>
      </w:pPr>
      <w:r>
        <w:t>sets out</w:t>
      </w:r>
      <w:r w:rsidRPr="00170445">
        <w:t xml:space="preserve"> the approach being taken for adjusting business rates tariff and top-ups to cancel out, as far as is practicable, the impact of the 2017 business rates revaluation on local authorities’ income</w:t>
      </w:r>
      <w:r>
        <w:t>, and</w:t>
      </w:r>
    </w:p>
    <w:p w:rsidR="002708DC" w:rsidRPr="006F618D" w:rsidRDefault="002708DC" w:rsidP="002708DC">
      <w:pPr>
        <w:numPr>
          <w:ilvl w:val="0"/>
          <w:numId w:val="18"/>
        </w:numPr>
        <w:spacing w:after="240"/>
        <w:ind w:left="1418" w:hanging="284"/>
      </w:pPr>
      <w:proofErr w:type="gramStart"/>
      <w:r>
        <w:t>confirms</w:t>
      </w:r>
      <w:proofErr w:type="gramEnd"/>
      <w:r w:rsidRPr="00007213">
        <w:t xml:space="preserve"> the methodology for the final settlement, for calculating the agreed changes in the local share of retained business rates and the level of tariff and top</w:t>
      </w:r>
      <w:r w:rsidR="00852EC0">
        <w:t>-</w:t>
      </w:r>
      <w:r w:rsidRPr="00007213">
        <w:t>ups for local authorities piloting 100% business rates retention, designed to ensure that no authorities anywhere in the country are adv</w:t>
      </w:r>
      <w:r>
        <w:t>ersely affected by these pilots.</w:t>
      </w:r>
    </w:p>
    <w:p w:rsidR="002708DC" w:rsidRPr="00C167E8" w:rsidRDefault="002708DC" w:rsidP="002708DC">
      <w:pPr>
        <w:spacing w:after="240"/>
        <w:rPr>
          <w:rFonts w:eastAsia="Calibri" w:cs="Arial"/>
          <w:i/>
          <w:lang w:eastAsia="en-GB"/>
        </w:rPr>
      </w:pPr>
      <w:r w:rsidRPr="00C167E8">
        <w:rPr>
          <w:rFonts w:eastAsia="Calibri" w:cs="Arial"/>
          <w:i/>
          <w:lang w:eastAsia="en-GB"/>
        </w:rPr>
        <w:t>Chapter 4 – Draft equality statement</w:t>
      </w:r>
    </w:p>
    <w:p w:rsidR="00D16D05" w:rsidRPr="00C167E8" w:rsidRDefault="002708DC" w:rsidP="002708DC">
      <w:pPr>
        <w:pStyle w:val="ListParagraph"/>
        <w:numPr>
          <w:ilvl w:val="2"/>
          <w:numId w:val="8"/>
        </w:numPr>
        <w:spacing w:after="0" w:line="240" w:lineRule="auto"/>
        <w:ind w:left="709" w:hanging="709"/>
        <w:contextualSpacing w:val="0"/>
        <w:rPr>
          <w:lang w:eastAsia="en-GB"/>
        </w:rPr>
      </w:pPr>
      <w:r w:rsidRPr="00C167E8">
        <w:rPr>
          <w:lang w:eastAsia="en-GB"/>
        </w:rPr>
        <w:t>This chapter contains a draft assessment of the impact of the provisional 2018</w:t>
      </w:r>
      <w:r w:rsidR="00C167E8" w:rsidRPr="00C167E8">
        <w:rPr>
          <w:lang w:eastAsia="en-GB"/>
        </w:rPr>
        <w:t>-19</w:t>
      </w:r>
      <w:r w:rsidR="00D16D05" w:rsidRPr="00C167E8">
        <w:rPr>
          <w:lang w:eastAsia="en-GB"/>
        </w:rPr>
        <w:t xml:space="preserve"> settlement on persons who share a protected characteristic.</w:t>
      </w:r>
    </w:p>
    <w:p w:rsidR="006226AA" w:rsidRPr="00C167E8" w:rsidRDefault="00DE6744" w:rsidP="00331C1B">
      <w:pPr>
        <w:pStyle w:val="Heading1"/>
      </w:pPr>
      <w:r w:rsidRPr="00AE289F">
        <w:rPr>
          <w:highlight w:val="yellow"/>
        </w:rPr>
        <w:br w:type="page"/>
      </w:r>
      <w:bookmarkStart w:id="17" w:name="_Toc501111211"/>
      <w:r w:rsidR="006226AA" w:rsidRPr="00C167E8">
        <w:lastRenderedPageBreak/>
        <w:t>2</w:t>
      </w:r>
      <w:r w:rsidR="00331C1B" w:rsidRPr="00C167E8">
        <w:t xml:space="preserve">. </w:t>
      </w:r>
      <w:r w:rsidR="00141CEF" w:rsidRPr="00C167E8">
        <w:t>The distribution of central resources</w:t>
      </w:r>
      <w:bookmarkEnd w:id="17"/>
      <w:r w:rsidR="00141CEF" w:rsidRPr="00C167E8">
        <w:t xml:space="preserve"> </w:t>
      </w:r>
    </w:p>
    <w:p w:rsidR="006226AA" w:rsidRPr="00C167E8" w:rsidRDefault="006226AA" w:rsidP="00431E29">
      <w:pPr>
        <w:pStyle w:val="ListParagraph"/>
        <w:numPr>
          <w:ilvl w:val="1"/>
          <w:numId w:val="16"/>
        </w:numPr>
        <w:spacing w:after="0" w:line="240" w:lineRule="auto"/>
        <w:contextualSpacing w:val="0"/>
        <w:rPr>
          <w:b/>
        </w:rPr>
      </w:pPr>
      <w:r w:rsidRPr="00C167E8">
        <w:rPr>
          <w:b/>
        </w:rPr>
        <w:t>Summary</w:t>
      </w:r>
    </w:p>
    <w:p w:rsidR="00D65D5C" w:rsidRPr="00AE289F" w:rsidRDefault="00D65D5C" w:rsidP="00D65D5C">
      <w:pPr>
        <w:pStyle w:val="ListParagraph"/>
        <w:spacing w:after="0" w:line="240" w:lineRule="auto"/>
        <w:ind w:left="600"/>
        <w:contextualSpacing w:val="0"/>
        <w:rPr>
          <w:highlight w:val="yellow"/>
        </w:rPr>
      </w:pPr>
    </w:p>
    <w:p w:rsidR="00EE5D69" w:rsidRPr="0041738A" w:rsidRDefault="00EE5D69" w:rsidP="00EE5D69">
      <w:pPr>
        <w:pStyle w:val="ListParagraph"/>
        <w:numPr>
          <w:ilvl w:val="2"/>
          <w:numId w:val="16"/>
        </w:numPr>
        <w:spacing w:after="0" w:line="240" w:lineRule="auto"/>
        <w:ind w:left="709" w:hanging="709"/>
        <w:contextualSpacing w:val="0"/>
      </w:pPr>
      <w:r w:rsidRPr="0041738A">
        <w:t>This chapter outlines our proposals for distributing central resources in 2018-19 in line with the four year offer announced in 2016-17. In summary, it outlines:</w:t>
      </w:r>
    </w:p>
    <w:p w:rsidR="00EE5D69" w:rsidRPr="00AE289F" w:rsidRDefault="00EE5D69" w:rsidP="00EE5D69">
      <w:pPr>
        <w:pStyle w:val="ListParagraph"/>
        <w:spacing w:after="0" w:line="240" w:lineRule="auto"/>
        <w:ind w:left="709"/>
        <w:contextualSpacing w:val="0"/>
        <w:rPr>
          <w:highlight w:val="yellow"/>
          <w:lang w:eastAsia="en-GB"/>
        </w:rPr>
      </w:pPr>
    </w:p>
    <w:p w:rsidR="00EE5D69" w:rsidRPr="006F618D" w:rsidRDefault="00EE5D69" w:rsidP="00EE5D69">
      <w:pPr>
        <w:pStyle w:val="ListParagraph"/>
        <w:numPr>
          <w:ilvl w:val="0"/>
          <w:numId w:val="15"/>
        </w:numPr>
        <w:spacing w:after="120" w:line="240" w:lineRule="auto"/>
        <w:ind w:hanging="357"/>
        <w:contextualSpacing w:val="0"/>
      </w:pPr>
      <w:r w:rsidRPr="006F618D">
        <w:t>the third year of the multi-year settlement offer for those councils that accepted the Government’s offer, and arrangements for those that did not</w:t>
      </w:r>
      <w:r w:rsidR="00FA6559">
        <w:t>,</w:t>
      </w:r>
    </w:p>
    <w:p w:rsidR="00EE5D69" w:rsidRPr="006F618D" w:rsidRDefault="00EE5D69" w:rsidP="00EE5D69">
      <w:pPr>
        <w:pStyle w:val="ListParagraph"/>
        <w:numPr>
          <w:ilvl w:val="0"/>
          <w:numId w:val="15"/>
        </w:numPr>
        <w:spacing w:after="120" w:line="240" w:lineRule="auto"/>
        <w:contextualSpacing w:val="0"/>
      </w:pPr>
      <w:r w:rsidRPr="006F618D">
        <w:t>the method for distributing New Homes Bonus funding</w:t>
      </w:r>
      <w:r w:rsidR="00AC0C2B">
        <w:t>,</w:t>
      </w:r>
    </w:p>
    <w:p w:rsidR="00EE5D69" w:rsidRPr="006F618D" w:rsidRDefault="00EE5D69" w:rsidP="00EE5D69">
      <w:pPr>
        <w:pStyle w:val="ListParagraph"/>
        <w:numPr>
          <w:ilvl w:val="0"/>
          <w:numId w:val="15"/>
        </w:numPr>
        <w:spacing w:after="120" w:line="240" w:lineRule="auto"/>
        <w:ind w:hanging="357"/>
        <w:contextualSpacing w:val="0"/>
      </w:pPr>
      <w:r w:rsidRPr="006F618D">
        <w:t>the profile of the Rural Services Delivery Grant in 2018-19 and the method for distribution</w:t>
      </w:r>
      <w:r>
        <w:t>, and</w:t>
      </w:r>
      <w:r w:rsidRPr="006F618D">
        <w:t xml:space="preserve"> </w:t>
      </w:r>
    </w:p>
    <w:p w:rsidR="00EE5D69" w:rsidRPr="006F618D" w:rsidRDefault="00EE5D69" w:rsidP="00EE5D69">
      <w:pPr>
        <w:pStyle w:val="ListParagraph"/>
        <w:numPr>
          <w:ilvl w:val="0"/>
          <w:numId w:val="15"/>
        </w:numPr>
        <w:spacing w:after="120" w:line="240" w:lineRule="auto"/>
        <w:ind w:hanging="357"/>
        <w:contextualSpacing w:val="0"/>
      </w:pPr>
      <w:proofErr w:type="gramStart"/>
      <w:r w:rsidRPr="006F618D">
        <w:t>the</w:t>
      </w:r>
      <w:proofErr w:type="gramEnd"/>
      <w:r w:rsidRPr="006F618D">
        <w:t xml:space="preserve"> method for funding the Business Rates Safety Net</w:t>
      </w:r>
      <w:r>
        <w:t>.</w:t>
      </w:r>
    </w:p>
    <w:p w:rsidR="006738FE" w:rsidRPr="00AE289F" w:rsidRDefault="006738FE" w:rsidP="006738FE">
      <w:pPr>
        <w:pStyle w:val="ListParagraph"/>
        <w:spacing w:after="120" w:line="240" w:lineRule="auto"/>
        <w:ind w:left="1429"/>
        <w:contextualSpacing w:val="0"/>
        <w:rPr>
          <w:highlight w:val="yellow"/>
        </w:rPr>
      </w:pPr>
    </w:p>
    <w:p w:rsidR="00563427" w:rsidRPr="00C167E8" w:rsidRDefault="00563427" w:rsidP="00B5674F">
      <w:pPr>
        <w:pStyle w:val="ListParagraph"/>
        <w:numPr>
          <w:ilvl w:val="1"/>
          <w:numId w:val="16"/>
        </w:numPr>
        <w:spacing w:after="0" w:line="240" w:lineRule="auto"/>
        <w:contextualSpacing w:val="0"/>
        <w:rPr>
          <w:b/>
        </w:rPr>
      </w:pPr>
      <w:r w:rsidRPr="00C167E8">
        <w:rPr>
          <w:b/>
        </w:rPr>
        <w:t xml:space="preserve">The </w:t>
      </w:r>
      <w:r w:rsidR="002A69AA" w:rsidRPr="00C167E8">
        <w:rPr>
          <w:b/>
        </w:rPr>
        <w:t xml:space="preserve">multi-year </w:t>
      </w:r>
      <w:r w:rsidRPr="00C167E8">
        <w:rPr>
          <w:b/>
        </w:rPr>
        <w:t>settlement offer</w:t>
      </w:r>
    </w:p>
    <w:p w:rsidR="009B760C" w:rsidRPr="00C167E8" w:rsidRDefault="009B760C" w:rsidP="00286B06">
      <w:pPr>
        <w:pStyle w:val="ListParagraph"/>
        <w:spacing w:after="0" w:line="240" w:lineRule="auto"/>
        <w:contextualSpacing w:val="0"/>
        <w:rPr>
          <w:b/>
        </w:rPr>
      </w:pPr>
    </w:p>
    <w:p w:rsidR="000B08BA" w:rsidRPr="00C167E8" w:rsidRDefault="006738FE" w:rsidP="000B08BA">
      <w:pPr>
        <w:pStyle w:val="ListParagraph"/>
        <w:numPr>
          <w:ilvl w:val="2"/>
          <w:numId w:val="16"/>
        </w:numPr>
        <w:spacing w:after="0" w:line="240" w:lineRule="auto"/>
        <w:ind w:left="709" w:hanging="709"/>
        <w:contextualSpacing w:val="0"/>
      </w:pPr>
      <w:r w:rsidRPr="00C167E8">
        <w:t>The 2016</w:t>
      </w:r>
      <w:r w:rsidR="00BD408B" w:rsidRPr="00C167E8">
        <w:t>-</w:t>
      </w:r>
      <w:r w:rsidRPr="00C167E8">
        <w:t xml:space="preserve">17 </w:t>
      </w:r>
      <w:r w:rsidR="00B938A9">
        <w:t xml:space="preserve">local government finance </w:t>
      </w:r>
      <w:r w:rsidRPr="00C167E8">
        <w:t xml:space="preserve">settlement </w:t>
      </w:r>
      <w:r w:rsidR="00C75967" w:rsidRPr="00C167E8">
        <w:t xml:space="preserve">announced the opportunity </w:t>
      </w:r>
      <w:r w:rsidRPr="00C167E8">
        <w:t>for</w:t>
      </w:r>
      <w:r w:rsidR="00C75967" w:rsidRPr="00C167E8">
        <w:t xml:space="preserve"> councils to accept</w:t>
      </w:r>
      <w:r w:rsidRPr="00C167E8">
        <w:t xml:space="preserve"> a multi-year settlement</w:t>
      </w:r>
      <w:r w:rsidR="00C75967" w:rsidRPr="00C167E8">
        <w:t xml:space="preserve"> offer</w:t>
      </w:r>
      <w:r w:rsidRPr="00C167E8">
        <w:t xml:space="preserve">, which would give </w:t>
      </w:r>
      <w:r w:rsidR="000B08BA" w:rsidRPr="00C167E8">
        <w:t xml:space="preserve">greater </w:t>
      </w:r>
      <w:r w:rsidRPr="00C167E8">
        <w:t>certainty of funding u</w:t>
      </w:r>
      <w:r w:rsidR="00AC0C2B">
        <w:t>ntil the end of the Parliament.</w:t>
      </w:r>
      <w:r w:rsidRPr="00C167E8">
        <w:t xml:space="preserve"> </w:t>
      </w:r>
      <w:r w:rsidR="000B08BA" w:rsidRPr="00C167E8">
        <w:t>The offer included:</w:t>
      </w:r>
      <w:r w:rsidR="000B08BA" w:rsidRPr="00C167E8">
        <w:rPr>
          <w:sz w:val="23"/>
          <w:szCs w:val="23"/>
        </w:rPr>
        <w:t xml:space="preserve"> </w:t>
      </w:r>
    </w:p>
    <w:p w:rsidR="000B08BA" w:rsidRPr="00C167E8" w:rsidRDefault="000B08BA" w:rsidP="000B08BA">
      <w:pPr>
        <w:pStyle w:val="ListParagraph"/>
        <w:spacing w:after="0" w:line="240" w:lineRule="auto"/>
        <w:ind w:left="709"/>
        <w:contextualSpacing w:val="0"/>
      </w:pPr>
    </w:p>
    <w:p w:rsidR="000B08BA" w:rsidRPr="00C167E8" w:rsidRDefault="000B08BA" w:rsidP="000B08BA">
      <w:pPr>
        <w:pStyle w:val="ListParagraph"/>
        <w:numPr>
          <w:ilvl w:val="0"/>
          <w:numId w:val="15"/>
        </w:numPr>
        <w:spacing w:after="120" w:line="240" w:lineRule="auto"/>
        <w:ind w:hanging="357"/>
        <w:contextualSpacing w:val="0"/>
      </w:pPr>
      <w:r w:rsidRPr="00C167E8">
        <w:t>Revenue Support Grant</w:t>
      </w:r>
      <w:r w:rsidR="0045732D">
        <w:t>,</w:t>
      </w:r>
      <w:r w:rsidRPr="00C167E8">
        <w:t xml:space="preserve"> </w:t>
      </w:r>
    </w:p>
    <w:p w:rsidR="000B08BA" w:rsidRPr="00C167E8" w:rsidRDefault="000B08BA" w:rsidP="000B08BA">
      <w:pPr>
        <w:pStyle w:val="ListParagraph"/>
        <w:numPr>
          <w:ilvl w:val="0"/>
          <w:numId w:val="15"/>
        </w:numPr>
        <w:spacing w:after="120" w:line="240" w:lineRule="auto"/>
        <w:ind w:hanging="357"/>
        <w:contextualSpacing w:val="0"/>
      </w:pPr>
      <w:r w:rsidRPr="00C167E8">
        <w:t>Business rates tariff and top up payments, which will not change for reasons relating to the relative needs of local authorities</w:t>
      </w:r>
      <w:r w:rsidR="0045732D">
        <w:t>,</w:t>
      </w:r>
      <w:r w:rsidRPr="00C167E8">
        <w:t xml:space="preserve"> </w:t>
      </w:r>
    </w:p>
    <w:p w:rsidR="000B08BA" w:rsidRPr="00C167E8" w:rsidRDefault="000B08BA" w:rsidP="000B08BA">
      <w:pPr>
        <w:pStyle w:val="ListParagraph"/>
        <w:numPr>
          <w:ilvl w:val="0"/>
          <w:numId w:val="15"/>
        </w:numPr>
        <w:spacing w:after="120" w:line="240" w:lineRule="auto"/>
        <w:ind w:hanging="357"/>
        <w:contextualSpacing w:val="0"/>
      </w:pPr>
      <w:r w:rsidRPr="00C167E8">
        <w:t>Rural Services Delivery Grant</w:t>
      </w:r>
      <w:r w:rsidR="0045732D">
        <w:t>,</w:t>
      </w:r>
      <w:r w:rsidRPr="00C167E8">
        <w:t xml:space="preserve"> and </w:t>
      </w:r>
    </w:p>
    <w:p w:rsidR="000B08BA" w:rsidRDefault="000B08BA" w:rsidP="000B08BA">
      <w:pPr>
        <w:pStyle w:val="ListParagraph"/>
        <w:numPr>
          <w:ilvl w:val="0"/>
          <w:numId w:val="15"/>
        </w:numPr>
        <w:spacing w:after="120" w:line="240" w:lineRule="auto"/>
        <w:ind w:hanging="357"/>
        <w:contextualSpacing w:val="0"/>
      </w:pPr>
      <w:r w:rsidRPr="00C167E8">
        <w:t>Transition Grant</w:t>
      </w:r>
      <w:r w:rsidR="0083723C">
        <w:t xml:space="preserve"> for 2016-17 and 2017-18</w:t>
      </w:r>
      <w:r w:rsidRPr="00C167E8">
        <w:t xml:space="preserve">. </w:t>
      </w:r>
      <w:r w:rsidR="009C1F65">
        <w:br/>
      </w:r>
    </w:p>
    <w:p w:rsidR="007C0C1E" w:rsidRPr="00C167E8" w:rsidRDefault="00DD3421" w:rsidP="00B5674F">
      <w:pPr>
        <w:pStyle w:val="ListParagraph"/>
        <w:numPr>
          <w:ilvl w:val="2"/>
          <w:numId w:val="16"/>
        </w:numPr>
        <w:spacing w:after="0" w:line="240" w:lineRule="auto"/>
        <w:ind w:left="709" w:hanging="709"/>
        <w:contextualSpacing w:val="0"/>
      </w:pPr>
      <w:r w:rsidRPr="00C167E8">
        <w:t xml:space="preserve">97% of councils </w:t>
      </w:r>
      <w:r w:rsidR="00C75967" w:rsidRPr="00C167E8">
        <w:t xml:space="preserve">accepted the offer and </w:t>
      </w:r>
      <w:r w:rsidRPr="00C167E8">
        <w:t>publish</w:t>
      </w:r>
      <w:r w:rsidR="00C75967" w:rsidRPr="00C167E8">
        <w:t>ed</w:t>
      </w:r>
      <w:r w:rsidRPr="00C167E8">
        <w:t xml:space="preserve"> an efficiency plan or other supporting document</w:t>
      </w:r>
      <w:r w:rsidR="00C167E8" w:rsidRPr="00C167E8">
        <w:t>.</w:t>
      </w:r>
    </w:p>
    <w:p w:rsidR="00A36132" w:rsidRPr="00C167E8" w:rsidRDefault="00A36132" w:rsidP="000D7E39"/>
    <w:p w:rsidR="00A36132" w:rsidRPr="00C167E8" w:rsidRDefault="00A36132" w:rsidP="00A36132">
      <w:pPr>
        <w:pStyle w:val="ListParagraph"/>
        <w:numPr>
          <w:ilvl w:val="2"/>
          <w:numId w:val="16"/>
        </w:numPr>
        <w:spacing w:after="0" w:line="240" w:lineRule="auto"/>
        <w:ind w:left="709" w:hanging="709"/>
        <w:contextualSpacing w:val="0"/>
      </w:pPr>
      <w:r w:rsidRPr="00C167E8">
        <w:t>Government will need to take account of future events such as the transfer of functions to local government, transfers of responsibility for functions between local authorities, mergers between authorities and any other unforeseen events. However, barring exceptional circumstances and subject to the normal statutory consultation process for the local government finance settlement, the Government expects these to be the amounts presented to Parliament each year.</w:t>
      </w:r>
    </w:p>
    <w:p w:rsidR="00A36132" w:rsidRPr="00AE289F" w:rsidRDefault="00A36132" w:rsidP="00A36132">
      <w:pPr>
        <w:pStyle w:val="ListParagraph"/>
        <w:spacing w:after="0" w:line="240" w:lineRule="auto"/>
        <w:ind w:left="709"/>
        <w:contextualSpacing w:val="0"/>
        <w:rPr>
          <w:rFonts w:eastAsia="Times New Roman"/>
          <w:highlight w:val="yellow"/>
        </w:rPr>
      </w:pPr>
    </w:p>
    <w:p w:rsidR="00C16B5D" w:rsidRPr="008E72FC" w:rsidRDefault="00C16B5D" w:rsidP="00C16B5D">
      <w:pPr>
        <w:pStyle w:val="ListParagraph"/>
        <w:numPr>
          <w:ilvl w:val="2"/>
          <w:numId w:val="16"/>
        </w:numPr>
        <w:spacing w:after="0" w:line="240" w:lineRule="auto"/>
        <w:ind w:left="709" w:hanging="709"/>
        <w:contextualSpacing w:val="0"/>
      </w:pPr>
      <w:r w:rsidRPr="008E72FC">
        <w:t>The Government intends to make payments</w:t>
      </w:r>
      <w:r w:rsidRPr="008E72FC">
        <w:rPr>
          <w:rStyle w:val="FootnoteReference"/>
        </w:rPr>
        <w:footnoteReference w:id="4"/>
      </w:r>
      <w:r w:rsidRPr="008E72FC">
        <w:t xml:space="preserve"> in </w:t>
      </w:r>
      <w:r w:rsidR="008E72FC" w:rsidRPr="008E72FC">
        <w:t>2018-19</w:t>
      </w:r>
      <w:r w:rsidRPr="008E72FC">
        <w:t xml:space="preserve"> to receiving authorities (any billing authority or major </w:t>
      </w:r>
      <w:proofErr w:type="spellStart"/>
      <w:r w:rsidRPr="008E72FC">
        <w:t>precepting</w:t>
      </w:r>
      <w:proofErr w:type="spellEnd"/>
      <w:r w:rsidRPr="008E72FC">
        <w:t xml:space="preserve"> authority),</w:t>
      </w:r>
      <w:r w:rsidRPr="008E72FC">
        <w:rPr>
          <w:rStyle w:val="FootnoteReference"/>
        </w:rPr>
        <w:footnoteReference w:id="5"/>
      </w:r>
      <w:r w:rsidRPr="008E72FC">
        <w:t xml:space="preserve"> except local policing bodies,</w:t>
      </w:r>
      <w:r w:rsidRPr="008E72FC">
        <w:rPr>
          <w:rStyle w:val="FootnoteReference"/>
        </w:rPr>
        <w:footnoteReference w:id="6"/>
      </w:r>
      <w:r w:rsidRPr="008E72FC">
        <w:t xml:space="preserve"> under sections 78, 78A and 79 of the Local Government Finance Act 1988.</w:t>
      </w:r>
    </w:p>
    <w:p w:rsidR="003729B0" w:rsidRPr="008E72FC" w:rsidRDefault="003729B0" w:rsidP="00AA3F06">
      <w:pPr>
        <w:pStyle w:val="ListParagraph"/>
        <w:spacing w:after="0" w:line="240" w:lineRule="auto"/>
        <w:ind w:left="709"/>
        <w:contextualSpacing w:val="0"/>
      </w:pPr>
    </w:p>
    <w:p w:rsidR="002B2BF4" w:rsidRDefault="00F147CE" w:rsidP="000D7E39">
      <w:pPr>
        <w:pStyle w:val="ListParagraph"/>
        <w:numPr>
          <w:ilvl w:val="2"/>
          <w:numId w:val="16"/>
        </w:numPr>
        <w:spacing w:after="0" w:line="240" w:lineRule="auto"/>
        <w:ind w:left="709" w:hanging="709"/>
        <w:contextualSpacing w:val="0"/>
      </w:pPr>
      <w:r w:rsidRPr="001F4A82">
        <w:t>A</w:t>
      </w:r>
      <w:r w:rsidR="00A36132" w:rsidRPr="001F4A82">
        <w:t xml:space="preserve"> draft local government finance report for </w:t>
      </w:r>
      <w:r w:rsidR="008E72FC" w:rsidRPr="001F4A82">
        <w:t>2018-19</w:t>
      </w:r>
      <w:r w:rsidR="00A36132" w:rsidRPr="001F4A82">
        <w:t xml:space="preserve"> has also been published </w:t>
      </w:r>
      <w:r w:rsidRPr="001F4A82">
        <w:t xml:space="preserve">alongside this document </w:t>
      </w:r>
      <w:r w:rsidR="00A36132" w:rsidRPr="001F4A82">
        <w:t xml:space="preserve">which sets out </w:t>
      </w:r>
      <w:r w:rsidRPr="001F4A82">
        <w:t xml:space="preserve">the method </w:t>
      </w:r>
      <w:r w:rsidR="0071255B" w:rsidRPr="001F4A82">
        <w:t xml:space="preserve">for allocating </w:t>
      </w:r>
      <w:r w:rsidR="00B938A9">
        <w:t>R</w:t>
      </w:r>
      <w:r w:rsidR="00B938A9" w:rsidRPr="001F4A82">
        <w:t xml:space="preserve">evenue </w:t>
      </w:r>
      <w:r w:rsidR="00B938A9">
        <w:t>S</w:t>
      </w:r>
      <w:r w:rsidR="00B938A9" w:rsidRPr="001F4A82">
        <w:t xml:space="preserve">upport </w:t>
      </w:r>
      <w:r w:rsidR="00B938A9">
        <w:t>G</w:t>
      </w:r>
      <w:r w:rsidR="00B938A9" w:rsidRPr="001F4A82">
        <w:t>rant</w:t>
      </w:r>
      <w:r w:rsidRPr="001F4A82">
        <w:t xml:space="preserve">. This </w:t>
      </w:r>
      <w:r w:rsidR="00A36132" w:rsidRPr="001F4A82">
        <w:t xml:space="preserve">is </w:t>
      </w:r>
      <w:r w:rsidR="004D5BCE" w:rsidRPr="001F4A82">
        <w:t xml:space="preserve">consistent with the </w:t>
      </w:r>
      <w:r w:rsidRPr="001F4A82">
        <w:t xml:space="preserve">methodology in 2016-17 and a </w:t>
      </w:r>
      <w:r w:rsidR="004D5BCE" w:rsidRPr="001F4A82">
        <w:t xml:space="preserve">description included </w:t>
      </w:r>
      <w:r w:rsidRPr="001F4A82">
        <w:t xml:space="preserve">in the </w:t>
      </w:r>
      <w:r w:rsidR="005E5D6E" w:rsidRPr="001F4A82">
        <w:t xml:space="preserve">2016-17 provisional consultation document, which can be found at: </w:t>
      </w:r>
    </w:p>
    <w:p w:rsidR="002B2BF4" w:rsidRDefault="002B2BF4" w:rsidP="002B2BF4"/>
    <w:p w:rsidR="00F147CE" w:rsidRPr="001F4A82" w:rsidRDefault="00513B9C" w:rsidP="002B2BF4">
      <w:hyperlink r:id="rId26" w:history="1">
        <w:r w:rsidR="005E5D6E" w:rsidRPr="001F4A82">
          <w:rPr>
            <w:rStyle w:val="Hyperlink"/>
          </w:rPr>
          <w:t>https://www.gov.uk/government/uploads/system/uploads/attachment_data/file/494385/Provisional_settlement_c</w:t>
        </w:r>
        <w:r w:rsidR="005E5D6E" w:rsidRPr="001F4A82">
          <w:rPr>
            <w:rStyle w:val="Hyperlink"/>
          </w:rPr>
          <w:t>o</w:t>
        </w:r>
        <w:r w:rsidR="005E5D6E" w:rsidRPr="001F4A82">
          <w:rPr>
            <w:rStyle w:val="Hyperlink"/>
          </w:rPr>
          <w:t>nsultation_document.pdf</w:t>
        </w:r>
      </w:hyperlink>
    </w:p>
    <w:p w:rsidR="00F147CE" w:rsidRPr="00AE289F" w:rsidRDefault="00F147CE" w:rsidP="000D7E39">
      <w:pPr>
        <w:pStyle w:val="ListParagraph"/>
        <w:spacing w:after="0" w:line="240" w:lineRule="auto"/>
        <w:ind w:left="709"/>
        <w:contextualSpacing w:val="0"/>
        <w:rPr>
          <w:highlight w:val="yellow"/>
        </w:rPr>
      </w:pPr>
    </w:p>
    <w:p w:rsidR="00697CF3" w:rsidRDefault="00B65A75" w:rsidP="000D7E39">
      <w:pPr>
        <w:pStyle w:val="ListParagraph"/>
        <w:numPr>
          <w:ilvl w:val="2"/>
          <w:numId w:val="16"/>
        </w:numPr>
        <w:spacing w:after="0" w:line="240" w:lineRule="auto"/>
        <w:ind w:left="709" w:hanging="709"/>
        <w:contextualSpacing w:val="0"/>
      </w:pPr>
      <w:r w:rsidRPr="008E72FC">
        <w:t xml:space="preserve">Allocations of funding for individual authorities are set out in the supporting tables published as part of this consultation. </w:t>
      </w:r>
    </w:p>
    <w:p w:rsidR="009C1F65" w:rsidRDefault="009C1F65" w:rsidP="009C1F65">
      <w:pPr>
        <w:pStyle w:val="ListParagraph"/>
        <w:spacing w:after="0" w:line="240" w:lineRule="auto"/>
        <w:contextualSpacing w:val="0"/>
      </w:pPr>
    </w:p>
    <w:p w:rsidR="009C1F65" w:rsidRPr="0071255B" w:rsidRDefault="009C1F65" w:rsidP="009C1F65">
      <w:pPr>
        <w:pStyle w:val="ListParagraph"/>
        <w:numPr>
          <w:ilvl w:val="2"/>
          <w:numId w:val="16"/>
        </w:numPr>
        <w:spacing w:after="0" w:line="240" w:lineRule="auto"/>
        <w:ind w:left="709" w:hanging="709"/>
        <w:contextualSpacing w:val="0"/>
      </w:pPr>
      <w:r w:rsidRPr="0071255B">
        <w:t>We have also published individual local authority allocations for the improved Better Care Fund until 2019-20, which total £1.5 billion in 2018-19 and £1.8 billion in 2019-20.</w:t>
      </w:r>
      <w:r w:rsidR="0087736A" w:rsidRPr="0071255B">
        <w:t xml:space="preserve"> </w:t>
      </w:r>
    </w:p>
    <w:p w:rsidR="009C1F65" w:rsidRDefault="009C1F65" w:rsidP="009C1F65">
      <w:pPr>
        <w:pStyle w:val="ListParagraph"/>
        <w:spacing w:after="0" w:line="240" w:lineRule="auto"/>
        <w:ind w:left="709"/>
        <w:contextualSpacing w:val="0"/>
      </w:pPr>
    </w:p>
    <w:p w:rsidR="00697CF3" w:rsidRDefault="00F40BA3" w:rsidP="00F40BA3">
      <w:pPr>
        <w:rPr>
          <w:b/>
        </w:rPr>
      </w:pPr>
      <w:r w:rsidRPr="00D249CF">
        <w:rPr>
          <w:b/>
        </w:rPr>
        <w:t>Question 1</w:t>
      </w:r>
      <w:r w:rsidR="00B65A75" w:rsidRPr="00D249CF">
        <w:rPr>
          <w:b/>
        </w:rPr>
        <w:t xml:space="preserve">:  Do you agree with the </w:t>
      </w:r>
      <w:r w:rsidR="005E5D6E" w:rsidRPr="00D249CF">
        <w:rPr>
          <w:b/>
        </w:rPr>
        <w:t xml:space="preserve">methodology </w:t>
      </w:r>
      <w:r w:rsidR="0031529E">
        <w:rPr>
          <w:b/>
        </w:rPr>
        <w:t xml:space="preserve">for allocating </w:t>
      </w:r>
      <w:r w:rsidR="00B65A75" w:rsidRPr="00D249CF">
        <w:rPr>
          <w:b/>
        </w:rPr>
        <w:t>Revenue Support Grant</w:t>
      </w:r>
      <w:r w:rsidRPr="00D249CF">
        <w:rPr>
          <w:b/>
        </w:rPr>
        <w:t xml:space="preserve"> in 20</w:t>
      </w:r>
      <w:r w:rsidR="00E461CA" w:rsidRPr="00D249CF">
        <w:rPr>
          <w:b/>
        </w:rPr>
        <w:t>18-19?</w:t>
      </w:r>
    </w:p>
    <w:p w:rsidR="00D249CF" w:rsidRDefault="00D249CF" w:rsidP="00F40BA3">
      <w:pPr>
        <w:rPr>
          <w:b/>
        </w:rPr>
      </w:pPr>
    </w:p>
    <w:p w:rsidR="00F40BA3" w:rsidRPr="00D249CF" w:rsidRDefault="00671B4F" w:rsidP="00B5674F">
      <w:pPr>
        <w:pStyle w:val="ListParagraph"/>
        <w:numPr>
          <w:ilvl w:val="1"/>
          <w:numId w:val="16"/>
        </w:numPr>
        <w:spacing w:after="0" w:line="240" w:lineRule="auto"/>
        <w:contextualSpacing w:val="0"/>
        <w:rPr>
          <w:b/>
        </w:rPr>
      </w:pPr>
      <w:r w:rsidRPr="00D249CF">
        <w:rPr>
          <w:b/>
        </w:rPr>
        <w:t>L</w:t>
      </w:r>
      <w:r w:rsidR="00F40BA3" w:rsidRPr="00D249CF">
        <w:rPr>
          <w:b/>
        </w:rPr>
        <w:t xml:space="preserve">ocal authorities that </w:t>
      </w:r>
      <w:r w:rsidR="000E1987" w:rsidRPr="00D249CF">
        <w:rPr>
          <w:b/>
        </w:rPr>
        <w:t>have not accepted</w:t>
      </w:r>
      <w:r w:rsidR="00F40BA3" w:rsidRPr="00D249CF">
        <w:rPr>
          <w:b/>
        </w:rPr>
        <w:t xml:space="preserve"> the multi-year settlement</w:t>
      </w:r>
    </w:p>
    <w:p w:rsidR="004F7875" w:rsidRPr="00AE289F" w:rsidRDefault="004F7875" w:rsidP="004F7875">
      <w:pPr>
        <w:rPr>
          <w:rFonts w:eastAsia="Calibri" w:cs="Arial"/>
          <w:highlight w:val="yellow"/>
        </w:rPr>
      </w:pPr>
    </w:p>
    <w:p w:rsidR="002D553A" w:rsidRPr="00D249CF" w:rsidRDefault="00646C06" w:rsidP="003A1C9B">
      <w:pPr>
        <w:pStyle w:val="ListParagraph"/>
        <w:numPr>
          <w:ilvl w:val="2"/>
          <w:numId w:val="16"/>
        </w:numPr>
        <w:spacing w:after="0" w:line="240" w:lineRule="auto"/>
        <w:ind w:left="709" w:hanging="709"/>
        <w:contextualSpacing w:val="0"/>
      </w:pPr>
      <w:r w:rsidRPr="00D249CF">
        <w:t xml:space="preserve">For those authorities who </w:t>
      </w:r>
      <w:r w:rsidR="000E1987" w:rsidRPr="00D249CF">
        <w:t xml:space="preserve">have not accepted the multi-year offer and published an efficiency plan, </w:t>
      </w:r>
      <w:r w:rsidR="00B65A75" w:rsidRPr="00D249CF">
        <w:t xml:space="preserve">the </w:t>
      </w:r>
      <w:r w:rsidR="0062726E" w:rsidRPr="00D249CF">
        <w:t xml:space="preserve">Government </w:t>
      </w:r>
      <w:r w:rsidR="00F60F72" w:rsidRPr="00D249CF">
        <w:t>i</w:t>
      </w:r>
      <w:r w:rsidR="0062726E" w:rsidRPr="00D249CF">
        <w:t xml:space="preserve">s only </w:t>
      </w:r>
      <w:r w:rsidR="00F60F72" w:rsidRPr="00D249CF">
        <w:t>confirming</w:t>
      </w:r>
      <w:r w:rsidR="0062726E" w:rsidRPr="00D249CF">
        <w:t xml:space="preserve"> funding allocations for </w:t>
      </w:r>
      <w:r w:rsidR="00D249CF" w:rsidRPr="00D249CF">
        <w:t>2018-19</w:t>
      </w:r>
      <w:r w:rsidR="0062726E" w:rsidRPr="00D249CF">
        <w:t>.  The funding allocations for these authorities in 2019</w:t>
      </w:r>
      <w:r w:rsidR="00F64EEF" w:rsidRPr="00D249CF">
        <w:t>-</w:t>
      </w:r>
      <w:r w:rsidR="0062726E" w:rsidRPr="00D249CF">
        <w:t xml:space="preserve">20 will be revisited </w:t>
      </w:r>
      <w:r w:rsidR="004B685F" w:rsidRPr="00D249CF">
        <w:t xml:space="preserve">in due course </w:t>
      </w:r>
      <w:r w:rsidR="0062726E" w:rsidRPr="00D249CF">
        <w:t xml:space="preserve">as part of the </w:t>
      </w:r>
      <w:r w:rsidR="004B685F" w:rsidRPr="00D249CF">
        <w:t xml:space="preserve">annual settlement process covering </w:t>
      </w:r>
      <w:r w:rsidR="00D249CF" w:rsidRPr="00D249CF">
        <w:t>that year</w:t>
      </w:r>
      <w:r w:rsidR="004B685F" w:rsidRPr="00D249CF">
        <w:t xml:space="preserve">. The Government cannot guarantee that funding allocations for these authorities in these years will not be reduced or distributed on a different basis. </w:t>
      </w:r>
    </w:p>
    <w:p w:rsidR="002D553A" w:rsidRPr="00AE289F" w:rsidRDefault="002D553A" w:rsidP="00CF3A1C">
      <w:pPr>
        <w:rPr>
          <w:highlight w:val="yellow"/>
        </w:rPr>
      </w:pPr>
    </w:p>
    <w:p w:rsidR="00742E6B" w:rsidRPr="00170445" w:rsidRDefault="00742E6B" w:rsidP="00B5674F">
      <w:pPr>
        <w:pStyle w:val="ListParagraph"/>
        <w:numPr>
          <w:ilvl w:val="1"/>
          <w:numId w:val="16"/>
        </w:numPr>
        <w:rPr>
          <w:b/>
        </w:rPr>
      </w:pPr>
      <w:r w:rsidRPr="00170445">
        <w:rPr>
          <w:b/>
        </w:rPr>
        <w:t>New Homes Bonus</w:t>
      </w:r>
    </w:p>
    <w:p w:rsidR="002038D9" w:rsidRPr="002038D9" w:rsidRDefault="002038D9" w:rsidP="002038D9">
      <w:pPr>
        <w:pStyle w:val="ListParagraph"/>
        <w:spacing w:after="0" w:line="240" w:lineRule="auto"/>
        <w:ind w:left="0"/>
        <w:jc w:val="both"/>
        <w:rPr>
          <w:rFonts w:ascii="Times New Roman" w:hAnsi="Times New Roman"/>
        </w:rPr>
      </w:pPr>
    </w:p>
    <w:p w:rsidR="002038D9" w:rsidRDefault="002038D9" w:rsidP="004104DA">
      <w:pPr>
        <w:pStyle w:val="ListParagraph"/>
        <w:numPr>
          <w:ilvl w:val="2"/>
          <w:numId w:val="16"/>
        </w:numPr>
        <w:spacing w:after="0" w:line="240" w:lineRule="auto"/>
        <w:ind w:left="709" w:hanging="709"/>
        <w:contextualSpacing w:val="0"/>
      </w:pPr>
      <w:r w:rsidRPr="00461FF5">
        <w:t xml:space="preserve">The New Homes Bonus (the ‘Bonus’) was introduced in 2011 to provide an incentive for local authorities to encourage housing growth in their areas. </w:t>
      </w:r>
      <w:r w:rsidR="00456C64">
        <w:t>Including 2018-19 allocations, over £7</w:t>
      </w:r>
      <w:r w:rsidR="004104DA" w:rsidRPr="004104DA">
        <w:t xml:space="preserve"> billion has been allocated to local authorities through the scheme to reward </w:t>
      </w:r>
      <w:r w:rsidR="00456C64">
        <w:t xml:space="preserve">additional </w:t>
      </w:r>
      <w:r w:rsidR="004104DA" w:rsidRPr="004104DA">
        <w:t xml:space="preserve">housing supply. </w:t>
      </w:r>
      <w:r w:rsidRPr="00461FF5">
        <w:t xml:space="preserve">Although the Bonus was successful in encouraging authorities to welcome housing growth, it did not reward those authorities who are the most open to growth. In December 2016, following consultation, the Government announced reforms to </w:t>
      </w:r>
      <w:r w:rsidR="00B16DC8">
        <w:t xml:space="preserve">the </w:t>
      </w:r>
      <w:r w:rsidRPr="00461FF5">
        <w:t xml:space="preserve">Bonus as follows: </w:t>
      </w:r>
    </w:p>
    <w:p w:rsidR="004104DA" w:rsidRPr="00461FF5" w:rsidRDefault="004104DA" w:rsidP="004104DA">
      <w:pPr>
        <w:pStyle w:val="ListParagraph"/>
        <w:spacing w:after="0" w:line="240" w:lineRule="auto"/>
        <w:ind w:left="709"/>
        <w:contextualSpacing w:val="0"/>
      </w:pPr>
    </w:p>
    <w:p w:rsidR="002038D9" w:rsidRPr="00461FF5" w:rsidRDefault="002038D9" w:rsidP="00AF24A4">
      <w:pPr>
        <w:pStyle w:val="Heading3"/>
        <w:numPr>
          <w:ilvl w:val="0"/>
          <w:numId w:val="44"/>
        </w:numPr>
        <w:rPr>
          <w:rFonts w:ascii="Arial" w:hAnsi="Arial" w:cs="Arial"/>
          <w:b w:val="0"/>
          <w:sz w:val="24"/>
        </w:rPr>
      </w:pPr>
      <w:r w:rsidRPr="00461FF5">
        <w:rPr>
          <w:rFonts w:ascii="Arial" w:hAnsi="Arial" w:cs="Arial"/>
          <w:b w:val="0"/>
          <w:sz w:val="24"/>
        </w:rPr>
        <w:lastRenderedPageBreak/>
        <w:t>reduction of the number of years New Homes Bonus payments are made from 6 to 5 years in 2017</w:t>
      </w:r>
      <w:r w:rsidR="00940C15">
        <w:rPr>
          <w:rFonts w:ascii="Arial" w:hAnsi="Arial" w:cs="Arial"/>
          <w:b w:val="0"/>
          <w:sz w:val="24"/>
        </w:rPr>
        <w:t>-18 and to 4 years from 2018/19, and</w:t>
      </w:r>
      <w:r w:rsidRPr="00461FF5">
        <w:rPr>
          <w:rFonts w:ascii="Arial" w:hAnsi="Arial" w:cs="Arial"/>
          <w:b w:val="0"/>
          <w:sz w:val="24"/>
        </w:rPr>
        <w:t xml:space="preserve"> </w:t>
      </w:r>
    </w:p>
    <w:p w:rsidR="002038D9" w:rsidRPr="00461FF5" w:rsidRDefault="002038D9" w:rsidP="00AF24A4">
      <w:pPr>
        <w:pStyle w:val="Heading3"/>
        <w:numPr>
          <w:ilvl w:val="0"/>
          <w:numId w:val="44"/>
        </w:numPr>
        <w:rPr>
          <w:rFonts w:ascii="Arial" w:hAnsi="Arial" w:cs="Arial"/>
          <w:b w:val="0"/>
          <w:sz w:val="24"/>
        </w:rPr>
      </w:pPr>
      <w:proofErr w:type="gramStart"/>
      <w:r w:rsidRPr="00461FF5">
        <w:rPr>
          <w:rFonts w:ascii="Arial" w:hAnsi="Arial" w:cs="Arial"/>
          <w:b w:val="0"/>
          <w:sz w:val="24"/>
        </w:rPr>
        <w:t>introduction</w:t>
      </w:r>
      <w:proofErr w:type="gramEnd"/>
      <w:r w:rsidRPr="00461FF5">
        <w:rPr>
          <w:rFonts w:ascii="Arial" w:hAnsi="Arial" w:cs="Arial"/>
          <w:b w:val="0"/>
          <w:sz w:val="24"/>
        </w:rPr>
        <w:t xml:space="preserve"> of a national baseline for housing growth of 0.4% of council tax base (weighted by band) from 2017</w:t>
      </w:r>
      <w:r w:rsidR="00940C15">
        <w:rPr>
          <w:rFonts w:ascii="Arial" w:hAnsi="Arial" w:cs="Arial"/>
          <w:b w:val="0"/>
          <w:sz w:val="24"/>
        </w:rPr>
        <w:t>-</w:t>
      </w:r>
      <w:r w:rsidRPr="00461FF5">
        <w:rPr>
          <w:rFonts w:ascii="Arial" w:hAnsi="Arial" w:cs="Arial"/>
          <w:b w:val="0"/>
          <w:sz w:val="24"/>
        </w:rPr>
        <w:t xml:space="preserve">18 below which </w:t>
      </w:r>
      <w:r w:rsidR="00B938A9">
        <w:rPr>
          <w:rFonts w:ascii="Arial" w:hAnsi="Arial" w:cs="Arial"/>
          <w:b w:val="0"/>
          <w:sz w:val="24"/>
        </w:rPr>
        <w:t xml:space="preserve">the </w:t>
      </w:r>
      <w:r w:rsidRPr="00461FF5">
        <w:rPr>
          <w:rFonts w:ascii="Arial" w:hAnsi="Arial" w:cs="Arial"/>
          <w:b w:val="0"/>
          <w:sz w:val="24"/>
        </w:rPr>
        <w:t>Bonus will not be paid.</w:t>
      </w:r>
    </w:p>
    <w:p w:rsidR="0071255B" w:rsidRDefault="00780655" w:rsidP="00780655">
      <w:pPr>
        <w:pStyle w:val="Heading3"/>
        <w:numPr>
          <w:ilvl w:val="2"/>
          <w:numId w:val="16"/>
        </w:numPr>
        <w:ind w:left="709" w:hanging="709"/>
        <w:rPr>
          <w:rFonts w:ascii="Arial" w:hAnsi="Arial" w:cs="Arial"/>
          <w:b w:val="0"/>
          <w:sz w:val="24"/>
        </w:rPr>
      </w:pPr>
      <w:r w:rsidRPr="00780655">
        <w:rPr>
          <w:rFonts w:ascii="Arial" w:hAnsi="Arial" w:cs="Arial"/>
          <w:b w:val="0"/>
          <w:sz w:val="24"/>
        </w:rPr>
        <w:t xml:space="preserve">The Government also retained the option of making adjustments to the baseline in future years to reflect significant and unexpected housing growth. In the 2018-19 local government finance settlement technical consultation, the Government indicated that decisions on the baseline for 2018-19 would be made following a review of council tax base statistics published in November. </w:t>
      </w:r>
    </w:p>
    <w:p w:rsidR="00780655" w:rsidRPr="00780655" w:rsidRDefault="0071255B" w:rsidP="00780655">
      <w:pPr>
        <w:pStyle w:val="Heading3"/>
        <w:numPr>
          <w:ilvl w:val="2"/>
          <w:numId w:val="16"/>
        </w:numPr>
        <w:ind w:left="709" w:hanging="709"/>
        <w:rPr>
          <w:rFonts w:ascii="Arial" w:hAnsi="Arial" w:cs="Arial"/>
          <w:b w:val="0"/>
          <w:sz w:val="24"/>
        </w:rPr>
      </w:pPr>
      <w:r>
        <w:rPr>
          <w:rFonts w:ascii="Arial" w:hAnsi="Arial" w:cs="Arial"/>
          <w:b w:val="0"/>
          <w:sz w:val="24"/>
        </w:rPr>
        <w:t>After careful consideration of representations made during the technical consultation</w:t>
      </w:r>
      <w:r w:rsidR="00780655" w:rsidRPr="00780655">
        <w:rPr>
          <w:rFonts w:ascii="Arial" w:hAnsi="Arial" w:cs="Arial"/>
          <w:b w:val="0"/>
          <w:sz w:val="24"/>
        </w:rPr>
        <w:t>, the Government has decided not to make any add</w:t>
      </w:r>
      <w:r w:rsidR="00456C64">
        <w:rPr>
          <w:rFonts w:ascii="Arial" w:hAnsi="Arial" w:cs="Arial"/>
          <w:b w:val="0"/>
          <w:sz w:val="24"/>
        </w:rPr>
        <w:t xml:space="preserve">itional change to the baseline, </w:t>
      </w:r>
      <w:r w:rsidR="00780655" w:rsidRPr="00780655">
        <w:rPr>
          <w:rFonts w:ascii="Arial" w:hAnsi="Arial" w:cs="Arial"/>
          <w:b w:val="0"/>
          <w:sz w:val="24"/>
        </w:rPr>
        <w:t>below which the Bonus will not be paid</w:t>
      </w:r>
      <w:r w:rsidR="006641EE">
        <w:rPr>
          <w:rFonts w:ascii="Arial" w:hAnsi="Arial" w:cs="Arial"/>
          <w:b w:val="0"/>
          <w:sz w:val="24"/>
        </w:rPr>
        <w:t>, and it will remain at 0.4% for the 2018-19 allocations.</w:t>
      </w:r>
      <w:r w:rsidR="00780655" w:rsidRPr="00780655">
        <w:rPr>
          <w:rFonts w:ascii="Arial" w:hAnsi="Arial" w:cs="Arial"/>
          <w:b w:val="0"/>
          <w:sz w:val="24"/>
        </w:rPr>
        <w:t xml:space="preserve"> </w:t>
      </w:r>
      <w:r w:rsidR="00940C15">
        <w:rPr>
          <w:rFonts w:ascii="Arial" w:hAnsi="Arial" w:cs="Arial"/>
          <w:b w:val="0"/>
          <w:sz w:val="24"/>
        </w:rPr>
        <w:t>The Government</w:t>
      </w:r>
      <w:r w:rsidR="00780655" w:rsidRPr="00780655">
        <w:rPr>
          <w:rFonts w:ascii="Arial" w:hAnsi="Arial" w:cs="Arial"/>
          <w:b w:val="0"/>
          <w:sz w:val="24"/>
        </w:rPr>
        <w:t xml:space="preserve"> </w:t>
      </w:r>
      <w:r w:rsidR="00940C15">
        <w:rPr>
          <w:rFonts w:ascii="Arial" w:hAnsi="Arial" w:cs="Arial"/>
          <w:b w:val="0"/>
          <w:sz w:val="24"/>
        </w:rPr>
        <w:t>will retain the</w:t>
      </w:r>
      <w:r w:rsidR="00780655" w:rsidRPr="00780655">
        <w:rPr>
          <w:rFonts w:ascii="Arial" w:hAnsi="Arial" w:cs="Arial"/>
          <w:b w:val="0"/>
          <w:sz w:val="24"/>
        </w:rPr>
        <w:t xml:space="preserve"> option to adjust the baseline in subsequent years. </w:t>
      </w:r>
    </w:p>
    <w:p w:rsidR="00780655" w:rsidRPr="00D31DC3" w:rsidRDefault="00780655" w:rsidP="00780655">
      <w:pPr>
        <w:pStyle w:val="Heading3"/>
        <w:numPr>
          <w:ilvl w:val="2"/>
          <w:numId w:val="16"/>
        </w:numPr>
        <w:ind w:left="709" w:hanging="709"/>
        <w:rPr>
          <w:rFonts w:ascii="Arial" w:hAnsi="Arial" w:cs="Arial"/>
          <w:b w:val="0"/>
          <w:sz w:val="24"/>
        </w:rPr>
      </w:pPr>
      <w:r w:rsidRPr="00D31DC3">
        <w:rPr>
          <w:rFonts w:ascii="Arial" w:hAnsi="Arial" w:cs="Arial"/>
          <w:b w:val="0"/>
          <w:sz w:val="24"/>
        </w:rPr>
        <w:t xml:space="preserve">In the 2018-19 </w:t>
      </w:r>
      <w:r w:rsidR="0071255B" w:rsidRPr="00D31DC3">
        <w:rPr>
          <w:rFonts w:ascii="Arial" w:hAnsi="Arial" w:cs="Arial"/>
          <w:b w:val="0"/>
          <w:sz w:val="24"/>
        </w:rPr>
        <w:t xml:space="preserve">local government finance </w:t>
      </w:r>
      <w:r w:rsidRPr="00D31DC3">
        <w:rPr>
          <w:rFonts w:ascii="Arial" w:hAnsi="Arial" w:cs="Arial"/>
          <w:b w:val="0"/>
          <w:sz w:val="24"/>
        </w:rPr>
        <w:t>settlement technical consultation, the Government</w:t>
      </w:r>
      <w:r w:rsidR="0071255B" w:rsidRPr="00D31DC3">
        <w:rPr>
          <w:rFonts w:ascii="Arial" w:hAnsi="Arial" w:cs="Arial"/>
          <w:b w:val="0"/>
          <w:sz w:val="24"/>
        </w:rPr>
        <w:t xml:space="preserve"> also</w:t>
      </w:r>
      <w:r w:rsidRPr="00D31DC3">
        <w:rPr>
          <w:rFonts w:ascii="Arial" w:hAnsi="Arial" w:cs="Arial"/>
          <w:b w:val="0"/>
          <w:sz w:val="24"/>
        </w:rPr>
        <w:t xml:space="preserve"> consulted on withholding part of the Bonus from authorities not planning effectively for new homes</w:t>
      </w:r>
      <w:r w:rsidR="00D31DC3">
        <w:rPr>
          <w:rFonts w:ascii="Arial" w:hAnsi="Arial" w:cs="Arial"/>
          <w:b w:val="0"/>
          <w:sz w:val="24"/>
        </w:rPr>
        <w:t xml:space="preserve">. </w:t>
      </w:r>
      <w:r w:rsidRPr="00D31DC3">
        <w:rPr>
          <w:rFonts w:ascii="Arial" w:hAnsi="Arial" w:cs="Arial"/>
          <w:b w:val="0"/>
          <w:sz w:val="24"/>
        </w:rPr>
        <w:t xml:space="preserve">After considering responses carefully, the Government has decided not to implement any further reforms to the Bonus for 2018-19. </w:t>
      </w:r>
    </w:p>
    <w:p w:rsidR="00D31DC3" w:rsidRDefault="00A25495" w:rsidP="00A25495">
      <w:pPr>
        <w:pStyle w:val="Heading3"/>
        <w:numPr>
          <w:ilvl w:val="2"/>
          <w:numId w:val="16"/>
        </w:numPr>
        <w:ind w:left="709" w:hanging="709"/>
        <w:rPr>
          <w:rFonts w:ascii="Arial" w:hAnsi="Arial" w:cs="Arial"/>
          <w:b w:val="0"/>
          <w:sz w:val="24"/>
        </w:rPr>
      </w:pPr>
      <w:r w:rsidRPr="00AF24A4">
        <w:rPr>
          <w:rFonts w:ascii="Arial" w:hAnsi="Arial" w:cs="Arial"/>
          <w:b w:val="0"/>
          <w:sz w:val="24"/>
        </w:rPr>
        <w:t xml:space="preserve">Provisional New Homes Bonus allocations for </w:t>
      </w:r>
      <w:r w:rsidR="00A360A3" w:rsidRPr="00AF24A4">
        <w:rPr>
          <w:rFonts w:ascii="Arial" w:hAnsi="Arial" w:cs="Arial"/>
          <w:b w:val="0"/>
          <w:sz w:val="24"/>
        </w:rPr>
        <w:t>2018-19</w:t>
      </w:r>
      <w:r w:rsidRPr="00AF24A4">
        <w:rPr>
          <w:rFonts w:ascii="Arial" w:hAnsi="Arial" w:cs="Arial"/>
          <w:b w:val="0"/>
          <w:sz w:val="24"/>
        </w:rPr>
        <w:t xml:space="preserve"> are being announced alongside th</w:t>
      </w:r>
      <w:r w:rsidR="00E73E3D" w:rsidRPr="00AF24A4">
        <w:rPr>
          <w:rFonts w:ascii="Arial" w:hAnsi="Arial" w:cs="Arial"/>
          <w:b w:val="0"/>
          <w:sz w:val="24"/>
        </w:rPr>
        <w:t>is</w:t>
      </w:r>
      <w:r w:rsidRPr="00AF24A4">
        <w:rPr>
          <w:rFonts w:ascii="Arial" w:hAnsi="Arial" w:cs="Arial"/>
          <w:b w:val="0"/>
          <w:sz w:val="24"/>
        </w:rPr>
        <w:t xml:space="preserve"> provisional settlement. Based on the most recent council tax base data available, the cost of New Homes Bonus payments relating to </w:t>
      </w:r>
      <w:r w:rsidR="003936A9" w:rsidRPr="00AF24A4">
        <w:rPr>
          <w:rFonts w:ascii="Arial" w:hAnsi="Arial" w:cs="Arial"/>
          <w:b w:val="0"/>
          <w:sz w:val="24"/>
        </w:rPr>
        <w:t>2018</w:t>
      </w:r>
      <w:r w:rsidRPr="00AF24A4">
        <w:rPr>
          <w:rFonts w:ascii="Arial" w:hAnsi="Arial" w:cs="Arial"/>
          <w:b w:val="0"/>
          <w:sz w:val="24"/>
        </w:rPr>
        <w:t>-</w:t>
      </w:r>
      <w:r w:rsidR="003936A9" w:rsidRPr="00AF24A4">
        <w:rPr>
          <w:rFonts w:ascii="Arial" w:hAnsi="Arial" w:cs="Arial"/>
          <w:b w:val="0"/>
          <w:sz w:val="24"/>
        </w:rPr>
        <w:t xml:space="preserve">19 </w:t>
      </w:r>
      <w:r w:rsidRPr="00AF24A4">
        <w:rPr>
          <w:rFonts w:ascii="Arial" w:hAnsi="Arial" w:cs="Arial"/>
          <w:b w:val="0"/>
          <w:sz w:val="24"/>
        </w:rPr>
        <w:t>is forecast to be £</w:t>
      </w:r>
      <w:r w:rsidR="003936A9" w:rsidRPr="00AF24A4">
        <w:rPr>
          <w:rFonts w:ascii="Arial" w:hAnsi="Arial" w:cs="Arial"/>
          <w:b w:val="0"/>
          <w:sz w:val="24"/>
        </w:rPr>
        <w:t xml:space="preserve">204 </w:t>
      </w:r>
      <w:r w:rsidRPr="00AF24A4">
        <w:rPr>
          <w:rFonts w:ascii="Arial" w:hAnsi="Arial" w:cs="Arial"/>
          <w:b w:val="0"/>
          <w:sz w:val="24"/>
        </w:rPr>
        <w:t xml:space="preserve">million. Combining this with the cost of legacy payments </w:t>
      </w:r>
      <w:r w:rsidR="00404F5C" w:rsidRPr="00AF24A4">
        <w:rPr>
          <w:rFonts w:ascii="Arial" w:hAnsi="Arial" w:cs="Arial"/>
          <w:b w:val="0"/>
          <w:sz w:val="24"/>
        </w:rPr>
        <w:t xml:space="preserve">provides </w:t>
      </w:r>
      <w:r w:rsidRPr="00AF24A4">
        <w:rPr>
          <w:rFonts w:ascii="Arial" w:hAnsi="Arial" w:cs="Arial"/>
          <w:b w:val="0"/>
          <w:sz w:val="24"/>
        </w:rPr>
        <w:t xml:space="preserve">an estimated total New Homes Bonus payment of </w:t>
      </w:r>
      <w:r w:rsidR="00C62C2D" w:rsidRPr="00AF24A4">
        <w:rPr>
          <w:rFonts w:ascii="Arial" w:hAnsi="Arial" w:cs="Arial"/>
          <w:b w:val="0"/>
          <w:sz w:val="24"/>
        </w:rPr>
        <w:t xml:space="preserve">£946 million </w:t>
      </w:r>
      <w:r w:rsidRPr="00AF24A4">
        <w:rPr>
          <w:rFonts w:ascii="Arial" w:hAnsi="Arial" w:cs="Arial"/>
          <w:b w:val="0"/>
          <w:sz w:val="24"/>
        </w:rPr>
        <w:t xml:space="preserve">in </w:t>
      </w:r>
      <w:r w:rsidR="00C62C2D" w:rsidRPr="00AF24A4">
        <w:rPr>
          <w:rFonts w:ascii="Arial" w:hAnsi="Arial" w:cs="Arial"/>
          <w:b w:val="0"/>
          <w:sz w:val="24"/>
        </w:rPr>
        <w:t>2018</w:t>
      </w:r>
      <w:r w:rsidRPr="00AF24A4">
        <w:rPr>
          <w:rFonts w:ascii="Arial" w:hAnsi="Arial" w:cs="Arial"/>
          <w:b w:val="0"/>
          <w:sz w:val="24"/>
        </w:rPr>
        <w:t>-</w:t>
      </w:r>
      <w:r w:rsidR="00C62C2D" w:rsidRPr="00AF24A4">
        <w:rPr>
          <w:rFonts w:ascii="Arial" w:hAnsi="Arial" w:cs="Arial"/>
          <w:b w:val="0"/>
          <w:sz w:val="24"/>
        </w:rPr>
        <w:t>19</w:t>
      </w:r>
      <w:r w:rsidRPr="00AF24A4">
        <w:rPr>
          <w:rFonts w:ascii="Arial" w:hAnsi="Arial" w:cs="Arial"/>
          <w:b w:val="0"/>
          <w:sz w:val="24"/>
        </w:rPr>
        <w:t xml:space="preserve">. </w:t>
      </w:r>
      <w:r w:rsidR="000D7E39" w:rsidRPr="00AF24A4">
        <w:rPr>
          <w:rFonts w:ascii="Arial" w:hAnsi="Arial" w:cs="Arial"/>
          <w:b w:val="0"/>
          <w:sz w:val="24"/>
        </w:rPr>
        <w:t>Details of the provisional allocations</w:t>
      </w:r>
      <w:r w:rsidR="00404F5C" w:rsidRPr="00AF24A4">
        <w:rPr>
          <w:rFonts w:ascii="Arial" w:hAnsi="Arial" w:cs="Arial"/>
          <w:b w:val="0"/>
          <w:sz w:val="24"/>
        </w:rPr>
        <w:t>,</w:t>
      </w:r>
      <w:r w:rsidR="000D7E39" w:rsidRPr="00AF24A4">
        <w:rPr>
          <w:rFonts w:ascii="Arial" w:hAnsi="Arial" w:cs="Arial"/>
          <w:b w:val="0"/>
          <w:sz w:val="24"/>
        </w:rPr>
        <w:t xml:space="preserve"> and how the allocations have been calculated</w:t>
      </w:r>
      <w:r w:rsidR="00404F5C" w:rsidRPr="00AF24A4">
        <w:rPr>
          <w:rFonts w:ascii="Arial" w:hAnsi="Arial" w:cs="Arial"/>
          <w:b w:val="0"/>
          <w:sz w:val="24"/>
        </w:rPr>
        <w:t>,</w:t>
      </w:r>
      <w:r w:rsidR="00D31DC3">
        <w:rPr>
          <w:rFonts w:ascii="Arial" w:hAnsi="Arial" w:cs="Arial"/>
          <w:b w:val="0"/>
          <w:sz w:val="24"/>
        </w:rPr>
        <w:t xml:space="preserve"> can be found here:</w:t>
      </w:r>
    </w:p>
    <w:p w:rsidR="00D65A8D" w:rsidRDefault="00D65A8D" w:rsidP="00D65A8D">
      <w:pPr>
        <w:rPr>
          <w:color w:val="002060"/>
        </w:rPr>
      </w:pPr>
      <w:hyperlink r:id="rId27" w:history="1">
        <w:r w:rsidRPr="00D65A8D">
          <w:rPr>
            <w:rStyle w:val="Hyperlink"/>
            <w:rFonts w:cs="Arial"/>
          </w:rPr>
          <w:t>https://www.gov.uk/government/publications/new-homes-bonus-provisional-allocations-2018-to-2019</w:t>
        </w:r>
      </w:hyperlink>
    </w:p>
    <w:p w:rsidR="00D65A8D" w:rsidRDefault="00D65A8D" w:rsidP="00D65A8D">
      <w:pPr>
        <w:rPr>
          <w:color w:val="002060"/>
        </w:rPr>
      </w:pPr>
    </w:p>
    <w:p w:rsidR="00D65A8D" w:rsidRDefault="00D65A8D" w:rsidP="00D65A8D">
      <w:pPr>
        <w:rPr>
          <w:color w:val="002060"/>
        </w:rPr>
      </w:pPr>
      <w:hyperlink r:id="rId28" w:history="1">
        <w:r>
          <w:rPr>
            <w:rStyle w:val="Hyperlink"/>
            <w:rFonts w:cs="Arial"/>
          </w:rPr>
          <w:t>https://www.gov.uk/government/publications/new-homes-bonus-calculator-2018-to-2019</w:t>
        </w:r>
      </w:hyperlink>
    </w:p>
    <w:p w:rsidR="00D65A8D" w:rsidRPr="00D65A8D" w:rsidRDefault="00D65A8D" w:rsidP="00D65A8D">
      <w:pPr>
        <w:rPr>
          <w:color w:val="002060"/>
        </w:rPr>
      </w:pPr>
    </w:p>
    <w:p w:rsidR="00A25495" w:rsidRPr="000C30C1" w:rsidRDefault="00C62C2D" w:rsidP="00A25495">
      <w:pPr>
        <w:pStyle w:val="Heading3"/>
        <w:numPr>
          <w:ilvl w:val="2"/>
          <w:numId w:val="16"/>
        </w:numPr>
        <w:ind w:left="709" w:hanging="709"/>
        <w:rPr>
          <w:rFonts w:ascii="Arial" w:hAnsi="Arial" w:cs="Arial"/>
          <w:b w:val="0"/>
          <w:sz w:val="24"/>
        </w:rPr>
      </w:pPr>
      <w:r w:rsidRPr="000C30C1">
        <w:rPr>
          <w:rFonts w:ascii="Arial" w:hAnsi="Arial" w:cs="Arial"/>
          <w:b w:val="0"/>
          <w:sz w:val="24"/>
        </w:rPr>
        <w:t xml:space="preserve">Funding for New Homes Bonus will be made up </w:t>
      </w:r>
      <w:r w:rsidR="00E73E3D" w:rsidRPr="000C30C1">
        <w:rPr>
          <w:rFonts w:ascii="Arial" w:hAnsi="Arial" w:cs="Arial"/>
          <w:b w:val="0"/>
          <w:sz w:val="24"/>
        </w:rPr>
        <w:t>from</w:t>
      </w:r>
      <w:r w:rsidRPr="000C30C1">
        <w:rPr>
          <w:rFonts w:ascii="Arial" w:hAnsi="Arial" w:cs="Arial"/>
          <w:b w:val="0"/>
          <w:sz w:val="24"/>
        </w:rPr>
        <w:t xml:space="preserve"> </w:t>
      </w:r>
      <w:r w:rsidR="00E73E3D" w:rsidRPr="000C30C1">
        <w:rPr>
          <w:rFonts w:ascii="Arial" w:hAnsi="Arial" w:cs="Arial"/>
          <w:b w:val="0"/>
          <w:sz w:val="24"/>
        </w:rPr>
        <w:t>£</w:t>
      </w:r>
      <w:r w:rsidRPr="000C30C1">
        <w:rPr>
          <w:rFonts w:ascii="Arial" w:hAnsi="Arial" w:cs="Arial"/>
          <w:b w:val="0"/>
          <w:sz w:val="24"/>
        </w:rPr>
        <w:t xml:space="preserve">900 million </w:t>
      </w:r>
      <w:r w:rsidR="00A25495" w:rsidRPr="000C30C1">
        <w:rPr>
          <w:rFonts w:ascii="Arial" w:hAnsi="Arial" w:cs="Arial"/>
          <w:b w:val="0"/>
          <w:sz w:val="24"/>
        </w:rPr>
        <w:t>provided from Revenue Support Grant,</w:t>
      </w:r>
      <w:r w:rsidRPr="000C30C1">
        <w:rPr>
          <w:rFonts w:ascii="Arial" w:hAnsi="Arial" w:cs="Arial"/>
          <w:b w:val="0"/>
          <w:sz w:val="24"/>
        </w:rPr>
        <w:t xml:space="preserve"> and an expected £46 million from departmental budgets</w:t>
      </w:r>
      <w:r w:rsidR="00A25495" w:rsidRPr="000C30C1">
        <w:rPr>
          <w:rFonts w:ascii="Arial" w:hAnsi="Arial" w:cs="Arial"/>
          <w:b w:val="0"/>
          <w:sz w:val="24"/>
        </w:rPr>
        <w:t xml:space="preserve">. </w:t>
      </w:r>
      <w:r w:rsidR="00E73E3D" w:rsidRPr="000C30C1">
        <w:rPr>
          <w:rFonts w:ascii="Arial" w:hAnsi="Arial" w:cs="Arial"/>
          <w:b w:val="0"/>
          <w:sz w:val="24"/>
        </w:rPr>
        <w:t xml:space="preserve">Final </w:t>
      </w:r>
      <w:r w:rsidR="00A25495" w:rsidRPr="000C30C1">
        <w:rPr>
          <w:rFonts w:ascii="Arial" w:hAnsi="Arial" w:cs="Arial"/>
          <w:b w:val="0"/>
          <w:sz w:val="24"/>
        </w:rPr>
        <w:t>New Homes Bonus</w:t>
      </w:r>
      <w:r w:rsidR="00E73E3D" w:rsidRPr="000C30C1">
        <w:rPr>
          <w:rFonts w:ascii="Arial" w:hAnsi="Arial" w:cs="Arial"/>
          <w:b w:val="0"/>
          <w:sz w:val="24"/>
        </w:rPr>
        <w:t xml:space="preserve"> allocations for 2018-19 </w:t>
      </w:r>
      <w:r w:rsidR="00A25495" w:rsidRPr="000C30C1">
        <w:rPr>
          <w:rFonts w:ascii="Arial" w:hAnsi="Arial" w:cs="Arial"/>
          <w:b w:val="0"/>
          <w:sz w:val="24"/>
        </w:rPr>
        <w:t xml:space="preserve">will be published alongside the final local government finance settlement in February </w:t>
      </w:r>
      <w:r w:rsidRPr="000C30C1">
        <w:rPr>
          <w:rFonts w:ascii="Arial" w:hAnsi="Arial" w:cs="Arial"/>
          <w:b w:val="0"/>
          <w:sz w:val="24"/>
        </w:rPr>
        <w:t>2018</w:t>
      </w:r>
      <w:r w:rsidR="00A25495" w:rsidRPr="000C30C1">
        <w:rPr>
          <w:rFonts w:ascii="Arial" w:hAnsi="Arial" w:cs="Arial"/>
          <w:b w:val="0"/>
          <w:sz w:val="24"/>
        </w:rPr>
        <w:t>.</w:t>
      </w:r>
      <w:r w:rsidRPr="000C30C1" w:rsidDel="00C62C2D">
        <w:rPr>
          <w:rFonts w:ascii="Arial" w:hAnsi="Arial" w:cs="Arial"/>
          <w:b w:val="0"/>
          <w:sz w:val="24"/>
        </w:rPr>
        <w:t xml:space="preserve"> </w:t>
      </w:r>
    </w:p>
    <w:p w:rsidR="00A25495" w:rsidRPr="00AF24A4" w:rsidRDefault="00A25495" w:rsidP="00404F5C">
      <w:pPr>
        <w:pStyle w:val="Heading3"/>
        <w:numPr>
          <w:ilvl w:val="2"/>
          <w:numId w:val="16"/>
        </w:numPr>
        <w:ind w:left="709" w:hanging="709"/>
        <w:rPr>
          <w:rFonts w:ascii="Arial" w:hAnsi="Arial" w:cs="Arial"/>
          <w:sz w:val="24"/>
        </w:rPr>
      </w:pPr>
      <w:r w:rsidRPr="00AF24A4">
        <w:rPr>
          <w:rFonts w:ascii="Arial" w:hAnsi="Arial" w:cs="Arial"/>
          <w:sz w:val="24"/>
        </w:rPr>
        <w:t xml:space="preserve">Question </w:t>
      </w:r>
      <w:r w:rsidR="00940C15">
        <w:rPr>
          <w:rFonts w:ascii="Arial" w:hAnsi="Arial" w:cs="Arial"/>
          <w:sz w:val="24"/>
        </w:rPr>
        <w:t>2</w:t>
      </w:r>
      <w:r w:rsidRPr="00AF24A4">
        <w:rPr>
          <w:rFonts w:ascii="Arial" w:hAnsi="Arial" w:cs="Arial"/>
          <w:sz w:val="24"/>
        </w:rPr>
        <w:t xml:space="preserve">: Do you agree with the Government’s proposal to fund the New Homes Bonus in </w:t>
      </w:r>
      <w:r w:rsidR="00C62C2D" w:rsidRPr="00AF24A4">
        <w:rPr>
          <w:rFonts w:ascii="Arial" w:hAnsi="Arial" w:cs="Arial"/>
          <w:sz w:val="24"/>
        </w:rPr>
        <w:t>2018</w:t>
      </w:r>
      <w:r w:rsidRPr="00AF24A4">
        <w:rPr>
          <w:rFonts w:ascii="Arial" w:hAnsi="Arial" w:cs="Arial"/>
          <w:sz w:val="24"/>
        </w:rPr>
        <w:t>-</w:t>
      </w:r>
      <w:r w:rsidR="00C62C2D" w:rsidRPr="00AF24A4">
        <w:rPr>
          <w:rFonts w:ascii="Arial" w:hAnsi="Arial" w:cs="Arial"/>
          <w:sz w:val="24"/>
        </w:rPr>
        <w:t xml:space="preserve">19 </w:t>
      </w:r>
      <w:r w:rsidRPr="00AF24A4">
        <w:rPr>
          <w:rFonts w:ascii="Arial" w:hAnsi="Arial" w:cs="Arial"/>
          <w:sz w:val="24"/>
        </w:rPr>
        <w:t>with</w:t>
      </w:r>
      <w:r w:rsidR="00E73E3D" w:rsidRPr="00AF24A4">
        <w:rPr>
          <w:rFonts w:ascii="Arial" w:hAnsi="Arial" w:cs="Arial"/>
          <w:sz w:val="24"/>
        </w:rPr>
        <w:t xml:space="preserve"> </w:t>
      </w:r>
      <w:r w:rsidR="00C62C2D" w:rsidRPr="00AF24A4">
        <w:rPr>
          <w:rFonts w:ascii="Arial" w:hAnsi="Arial" w:cs="Arial"/>
          <w:sz w:val="24"/>
        </w:rPr>
        <w:t xml:space="preserve">£900 million from </w:t>
      </w:r>
      <w:r w:rsidR="00B938A9">
        <w:rPr>
          <w:rFonts w:ascii="Arial" w:hAnsi="Arial" w:cs="Arial"/>
          <w:sz w:val="24"/>
        </w:rPr>
        <w:t>R</w:t>
      </w:r>
      <w:r w:rsidR="00B938A9" w:rsidRPr="00AF24A4">
        <w:rPr>
          <w:rFonts w:ascii="Arial" w:hAnsi="Arial" w:cs="Arial"/>
          <w:sz w:val="24"/>
        </w:rPr>
        <w:t xml:space="preserve">evenue </w:t>
      </w:r>
      <w:r w:rsidR="00B938A9">
        <w:rPr>
          <w:rFonts w:ascii="Arial" w:hAnsi="Arial" w:cs="Arial"/>
          <w:sz w:val="24"/>
        </w:rPr>
        <w:t>S</w:t>
      </w:r>
      <w:r w:rsidR="00B938A9" w:rsidRPr="00AF24A4">
        <w:rPr>
          <w:rFonts w:ascii="Arial" w:hAnsi="Arial" w:cs="Arial"/>
          <w:sz w:val="24"/>
        </w:rPr>
        <w:t xml:space="preserve">upport </w:t>
      </w:r>
      <w:r w:rsidR="00B938A9">
        <w:rPr>
          <w:rFonts w:ascii="Arial" w:hAnsi="Arial" w:cs="Arial"/>
          <w:sz w:val="24"/>
        </w:rPr>
        <w:t>G</w:t>
      </w:r>
      <w:r w:rsidR="00B938A9" w:rsidRPr="00AF24A4">
        <w:rPr>
          <w:rFonts w:ascii="Arial" w:hAnsi="Arial" w:cs="Arial"/>
          <w:sz w:val="24"/>
        </w:rPr>
        <w:t xml:space="preserve">rant </w:t>
      </w:r>
      <w:r w:rsidR="00C62C2D" w:rsidRPr="00AF24A4">
        <w:rPr>
          <w:rFonts w:ascii="Arial" w:hAnsi="Arial" w:cs="Arial"/>
          <w:sz w:val="24"/>
        </w:rPr>
        <w:t>and any additional funding being secured from</w:t>
      </w:r>
      <w:r w:rsidR="00E73E3D" w:rsidRPr="00AF24A4">
        <w:rPr>
          <w:rFonts w:ascii="Arial" w:hAnsi="Arial" w:cs="Arial"/>
          <w:sz w:val="24"/>
        </w:rPr>
        <w:t xml:space="preserve"> departmental budgets</w:t>
      </w:r>
      <w:r w:rsidRPr="00AF24A4">
        <w:rPr>
          <w:rFonts w:ascii="Arial" w:hAnsi="Arial" w:cs="Arial"/>
          <w:sz w:val="24"/>
        </w:rPr>
        <w:t>?</w:t>
      </w:r>
    </w:p>
    <w:p w:rsidR="007E40E9" w:rsidRDefault="009C1F65" w:rsidP="00544DFE">
      <w:pPr>
        <w:pStyle w:val="ListParagraph"/>
        <w:numPr>
          <w:ilvl w:val="1"/>
          <w:numId w:val="16"/>
        </w:numPr>
        <w:spacing w:after="0" w:line="240" w:lineRule="auto"/>
        <w:contextualSpacing w:val="0"/>
        <w:rPr>
          <w:b/>
        </w:rPr>
      </w:pPr>
      <w:r w:rsidRPr="009C1F65">
        <w:rPr>
          <w:b/>
        </w:rPr>
        <w:t>Rural Services Delivery Grant</w:t>
      </w:r>
    </w:p>
    <w:p w:rsidR="00494531" w:rsidRDefault="00494531" w:rsidP="00494531">
      <w:pPr>
        <w:rPr>
          <w:b/>
        </w:rPr>
      </w:pPr>
    </w:p>
    <w:p w:rsidR="000B7A88" w:rsidRPr="00A6653F" w:rsidRDefault="00494531" w:rsidP="00494531">
      <w:pPr>
        <w:numPr>
          <w:ilvl w:val="2"/>
          <w:numId w:val="16"/>
        </w:numPr>
        <w:spacing w:after="240"/>
        <w:ind w:left="709" w:hanging="709"/>
        <w:rPr>
          <w:rFonts w:eastAsia="Calibri" w:cs="Arial"/>
        </w:rPr>
      </w:pPr>
      <w:r w:rsidRPr="00A6653F">
        <w:rPr>
          <w:rFonts w:eastAsia="Calibri" w:cs="Arial"/>
        </w:rPr>
        <w:t>As part of the 2016-17 local government finance settlement, the Government announced that the Rural Services Delivery Grant</w:t>
      </w:r>
      <w:r w:rsidR="0077628D" w:rsidRPr="00A6653F">
        <w:rPr>
          <w:rFonts w:eastAsia="Calibri" w:cs="Arial"/>
        </w:rPr>
        <w:t xml:space="preserve"> would be increased for</w:t>
      </w:r>
      <w:r w:rsidR="000B7A88" w:rsidRPr="00A6653F">
        <w:rPr>
          <w:rFonts w:eastAsia="Calibri" w:cs="Arial"/>
        </w:rPr>
        <w:t xml:space="preserve"> the next </w:t>
      </w:r>
      <w:r w:rsidR="000B7A88" w:rsidRPr="00A6653F">
        <w:rPr>
          <w:rFonts w:eastAsia="Calibri" w:cs="Arial"/>
        </w:rPr>
        <w:lastRenderedPageBreak/>
        <w:t xml:space="preserve">four years including </w:t>
      </w:r>
      <w:r w:rsidR="0077628D" w:rsidRPr="00A6653F">
        <w:rPr>
          <w:rFonts w:eastAsia="Calibri" w:cs="Arial"/>
        </w:rPr>
        <w:t>payments of £</w:t>
      </w:r>
      <w:r w:rsidR="000B7A88" w:rsidRPr="00A6653F">
        <w:rPr>
          <w:rFonts w:eastAsia="Calibri" w:cs="Arial"/>
        </w:rPr>
        <w:t>80.5 million in 2016-17, £65 million in 2017-18,</w:t>
      </w:r>
      <w:r w:rsidR="0077628D" w:rsidRPr="00A6653F">
        <w:rPr>
          <w:rFonts w:eastAsia="Calibri" w:cs="Arial"/>
        </w:rPr>
        <w:t xml:space="preserve"> £50 million</w:t>
      </w:r>
      <w:r w:rsidR="000B7A88" w:rsidRPr="00A6653F">
        <w:rPr>
          <w:rFonts w:eastAsia="Calibri" w:cs="Arial"/>
        </w:rPr>
        <w:t xml:space="preserve"> in 2018-19</w:t>
      </w:r>
      <w:r w:rsidR="0077628D" w:rsidRPr="00A6653F">
        <w:rPr>
          <w:rFonts w:eastAsia="Calibri" w:cs="Arial"/>
        </w:rPr>
        <w:t>, and £65 million</w:t>
      </w:r>
      <w:r w:rsidR="000B7A88" w:rsidRPr="00A6653F">
        <w:rPr>
          <w:rFonts w:eastAsia="Calibri" w:cs="Arial"/>
        </w:rPr>
        <w:t xml:space="preserve"> in 2019-20</w:t>
      </w:r>
      <w:r w:rsidRPr="00A6653F">
        <w:rPr>
          <w:rFonts w:eastAsia="Calibri" w:cs="Arial"/>
        </w:rPr>
        <w:t xml:space="preserve">. </w:t>
      </w:r>
    </w:p>
    <w:p w:rsidR="000B7A88" w:rsidRPr="00A6653F" w:rsidRDefault="000B7A88" w:rsidP="00494531">
      <w:pPr>
        <w:numPr>
          <w:ilvl w:val="2"/>
          <w:numId w:val="16"/>
        </w:numPr>
        <w:spacing w:after="240"/>
        <w:ind w:left="709" w:hanging="709"/>
        <w:rPr>
          <w:rFonts w:eastAsia="Calibri" w:cs="Arial"/>
        </w:rPr>
      </w:pPr>
      <w:r w:rsidRPr="00A6653F">
        <w:rPr>
          <w:rFonts w:eastAsia="Calibri" w:cs="Arial"/>
        </w:rPr>
        <w:t>Since the Government set those allocations, it has re</w:t>
      </w:r>
      <w:r w:rsidR="00AB5498">
        <w:rPr>
          <w:rFonts w:eastAsia="Calibri" w:cs="Arial"/>
        </w:rPr>
        <w:t>cognised</w:t>
      </w:r>
      <w:r w:rsidRPr="00A6653F">
        <w:rPr>
          <w:rFonts w:eastAsia="Calibri" w:cs="Arial"/>
        </w:rPr>
        <w:t xml:space="preserve"> that </w:t>
      </w:r>
      <w:r w:rsidR="00F83EC4">
        <w:rPr>
          <w:rFonts w:eastAsia="Calibri" w:cs="Arial"/>
        </w:rPr>
        <w:t>cost pressures associated with service delivery in rural sparse areas,</w:t>
      </w:r>
      <w:r w:rsidR="00781273">
        <w:rPr>
          <w:rFonts w:eastAsia="Calibri" w:cs="Arial"/>
        </w:rPr>
        <w:t xml:space="preserve"> such as lack of private sector providers and poor broadband </w:t>
      </w:r>
      <w:r w:rsidR="00940C15">
        <w:rPr>
          <w:rFonts w:eastAsia="Calibri" w:cs="Arial"/>
        </w:rPr>
        <w:t>coverage</w:t>
      </w:r>
      <w:r w:rsidR="00F83EC4">
        <w:rPr>
          <w:rFonts w:eastAsia="Calibri" w:cs="Arial"/>
        </w:rPr>
        <w:t xml:space="preserve"> should be met with a </w:t>
      </w:r>
      <w:r w:rsidR="00940C15">
        <w:rPr>
          <w:rFonts w:eastAsia="Calibri" w:cs="Arial"/>
        </w:rPr>
        <w:t xml:space="preserve">more </w:t>
      </w:r>
      <w:r w:rsidR="00F83EC4">
        <w:rPr>
          <w:rFonts w:eastAsia="Calibri" w:cs="Arial"/>
        </w:rPr>
        <w:t>consistent package of funding over the course of this Parliament.</w:t>
      </w:r>
      <w:r w:rsidR="00781273">
        <w:rPr>
          <w:rFonts w:eastAsia="Calibri" w:cs="Arial"/>
        </w:rPr>
        <w:t xml:space="preserve"> </w:t>
      </w:r>
      <w:r w:rsidR="00F83EC4">
        <w:rPr>
          <w:rFonts w:eastAsia="Calibri" w:cs="Arial"/>
        </w:rPr>
        <w:t>The Government has</w:t>
      </w:r>
      <w:r w:rsidRPr="00A6653F">
        <w:rPr>
          <w:rFonts w:eastAsia="Calibri" w:cs="Arial"/>
        </w:rPr>
        <w:t xml:space="preserve"> therefore decided to increase the grant in 2018-19 only, </w:t>
      </w:r>
      <w:r w:rsidR="00A6653F" w:rsidRPr="00A6653F">
        <w:rPr>
          <w:rFonts w:eastAsia="Calibri" w:cs="Arial"/>
        </w:rPr>
        <w:t>bringing it up from £50 million to £65 million, in</w:t>
      </w:r>
      <w:r w:rsidR="00D31DC3">
        <w:rPr>
          <w:rFonts w:eastAsia="Calibri" w:cs="Arial"/>
        </w:rPr>
        <w:t xml:space="preserve"> </w:t>
      </w:r>
      <w:r w:rsidR="00A6653F" w:rsidRPr="00A6653F">
        <w:rPr>
          <w:rFonts w:eastAsia="Calibri" w:cs="Arial"/>
        </w:rPr>
        <w:t>line with adjacent years.</w:t>
      </w:r>
      <w:r w:rsidR="00AB5498">
        <w:rPr>
          <w:rFonts w:eastAsia="Calibri" w:cs="Arial"/>
        </w:rPr>
        <w:t xml:space="preserve"> </w:t>
      </w:r>
    </w:p>
    <w:p w:rsidR="00494531" w:rsidRPr="00A6653F" w:rsidRDefault="000B7A88" w:rsidP="00494531">
      <w:pPr>
        <w:numPr>
          <w:ilvl w:val="2"/>
          <w:numId w:val="16"/>
        </w:numPr>
        <w:spacing w:after="240"/>
        <w:ind w:left="709" w:hanging="709"/>
        <w:rPr>
          <w:rFonts w:eastAsia="Calibri" w:cs="Arial"/>
        </w:rPr>
      </w:pPr>
      <w:r w:rsidRPr="00A6653F">
        <w:rPr>
          <w:rFonts w:eastAsia="Calibri" w:cs="Arial"/>
        </w:rPr>
        <w:t>This</w:t>
      </w:r>
      <w:r w:rsidR="00494531" w:rsidRPr="00A6653F">
        <w:rPr>
          <w:rFonts w:eastAsia="Calibri" w:cs="Arial"/>
        </w:rPr>
        <w:t xml:space="preserve"> grant of £65 million in </w:t>
      </w:r>
      <w:r w:rsidRPr="00A6653F">
        <w:rPr>
          <w:rFonts w:eastAsia="Calibri" w:cs="Arial"/>
        </w:rPr>
        <w:t>2018-19</w:t>
      </w:r>
      <w:r w:rsidR="00494531" w:rsidRPr="00A6653F">
        <w:rPr>
          <w:rFonts w:eastAsia="Calibri" w:cs="Arial"/>
        </w:rPr>
        <w:t xml:space="preserve"> will be allocated to the top quartile of local authorities on the basis of the super-sparsity indicator</w:t>
      </w:r>
      <w:r w:rsidR="00A6653F">
        <w:rPr>
          <w:rFonts w:eastAsia="Calibri" w:cs="Arial"/>
        </w:rPr>
        <w:t>,</w:t>
      </w:r>
      <w:r w:rsidR="00494531" w:rsidRPr="00A6653F">
        <w:rPr>
          <w:rFonts w:eastAsia="Calibri" w:cs="Arial"/>
        </w:rPr>
        <w:t xml:space="preserve"> which ranks authorities by the proportion of the population which is scattered widely, using Census data and weighted towards the authorities with the sparsest populations. </w:t>
      </w:r>
    </w:p>
    <w:p w:rsidR="00494531" w:rsidRPr="00EE5D69" w:rsidRDefault="00494531" w:rsidP="00494531">
      <w:pPr>
        <w:spacing w:after="240"/>
        <w:rPr>
          <w:rFonts w:eastAsia="Calibri" w:cs="Arial"/>
          <w:b/>
        </w:rPr>
      </w:pPr>
      <w:r w:rsidRPr="00EE5D69">
        <w:rPr>
          <w:rFonts w:eastAsia="Calibri" w:cs="Arial"/>
          <w:b/>
        </w:rPr>
        <w:t xml:space="preserve">Question </w:t>
      </w:r>
      <w:r w:rsidR="00940C15">
        <w:rPr>
          <w:rFonts w:eastAsia="Calibri" w:cs="Arial"/>
          <w:b/>
        </w:rPr>
        <w:t>3</w:t>
      </w:r>
      <w:r w:rsidRPr="00EE5D69">
        <w:rPr>
          <w:rFonts w:eastAsia="Calibri" w:cs="Arial"/>
          <w:b/>
        </w:rPr>
        <w:t>: Do you agree with the Government’s</w:t>
      </w:r>
      <w:r w:rsidR="00F83EC4" w:rsidRPr="00EE5D69">
        <w:rPr>
          <w:rFonts w:eastAsia="Calibri" w:cs="Arial"/>
          <w:b/>
        </w:rPr>
        <w:t xml:space="preserve"> proposed approach </w:t>
      </w:r>
      <w:r w:rsidRPr="00EE5D69">
        <w:rPr>
          <w:rFonts w:eastAsia="Calibri" w:cs="Arial"/>
          <w:b/>
        </w:rPr>
        <w:t xml:space="preserve">of paying £65 million in </w:t>
      </w:r>
      <w:r w:rsidR="00F83EC4" w:rsidRPr="00EE5D69">
        <w:rPr>
          <w:rFonts w:eastAsia="Calibri" w:cs="Arial"/>
          <w:b/>
        </w:rPr>
        <w:t>2018-19</w:t>
      </w:r>
      <w:r w:rsidRPr="00EE5D69">
        <w:rPr>
          <w:rFonts w:eastAsia="Calibri" w:cs="Arial"/>
          <w:b/>
        </w:rPr>
        <w:t xml:space="preserve"> to the upper quartile of local authorities based on the super-sparsity indicator?</w:t>
      </w:r>
    </w:p>
    <w:p w:rsidR="00F64EEF" w:rsidRPr="00665BBA" w:rsidRDefault="00F64EEF" w:rsidP="003A1C9B">
      <w:pPr>
        <w:pStyle w:val="ListParagraph"/>
        <w:numPr>
          <w:ilvl w:val="1"/>
          <w:numId w:val="16"/>
        </w:numPr>
        <w:rPr>
          <w:b/>
        </w:rPr>
      </w:pPr>
      <w:r w:rsidRPr="00665BBA">
        <w:rPr>
          <w:b/>
        </w:rPr>
        <w:t xml:space="preserve">Business rates safety net </w:t>
      </w:r>
    </w:p>
    <w:p w:rsidR="00F64EEF" w:rsidRPr="00665BBA" w:rsidRDefault="008F33D8" w:rsidP="008F33D8">
      <w:pPr>
        <w:numPr>
          <w:ilvl w:val="2"/>
          <w:numId w:val="16"/>
        </w:numPr>
        <w:spacing w:after="240"/>
        <w:ind w:left="709" w:hanging="709"/>
        <w:rPr>
          <w:rFonts w:eastAsia="Calibri" w:cs="Arial"/>
        </w:rPr>
      </w:pPr>
      <w:r w:rsidRPr="008F33D8">
        <w:rPr>
          <w:rFonts w:eastAsia="Calibri" w:cs="Arial"/>
        </w:rPr>
        <w:t>The business rates safety net ensures that no authority’s income from business rates fall by no more than 7.</w:t>
      </w:r>
      <w:r>
        <w:rPr>
          <w:rFonts w:eastAsia="Calibri" w:cs="Arial"/>
        </w:rPr>
        <w:t xml:space="preserve">5% of their individual baseline </w:t>
      </w:r>
      <w:r w:rsidRPr="008F33D8">
        <w:rPr>
          <w:rFonts w:eastAsia="Calibri" w:cs="Arial"/>
        </w:rPr>
        <w:t>funding level for the year</w:t>
      </w:r>
      <w:r w:rsidR="00F64EEF" w:rsidRPr="00665BBA">
        <w:rPr>
          <w:rFonts w:eastAsia="Calibri" w:cs="Arial"/>
        </w:rPr>
        <w:t xml:space="preserve">. In previous years it has been funded by a levy on local authorities which benefit from disproportionate growth in business rates income and a top-slice from Revenue Support Grant. If it appears that the levy on high-earning authorities may be insufficient to fund the safety net, an additional amount is held back. </w:t>
      </w:r>
    </w:p>
    <w:p w:rsidR="00F64EEF" w:rsidRPr="00665BBA" w:rsidRDefault="00F64EEF" w:rsidP="003A1C9B">
      <w:pPr>
        <w:numPr>
          <w:ilvl w:val="2"/>
          <w:numId w:val="16"/>
        </w:numPr>
        <w:spacing w:after="240"/>
        <w:ind w:left="709" w:hanging="709"/>
        <w:rPr>
          <w:rFonts w:eastAsia="Calibri" w:cs="Arial"/>
        </w:rPr>
      </w:pPr>
      <w:r w:rsidRPr="00665BBA">
        <w:rPr>
          <w:rFonts w:eastAsia="Calibri" w:cs="Arial"/>
        </w:rPr>
        <w:t>The Government proposes to hold back £</w:t>
      </w:r>
      <w:r w:rsidR="0087736A">
        <w:rPr>
          <w:rFonts w:eastAsia="Calibri" w:cs="Arial"/>
        </w:rPr>
        <w:t>3</w:t>
      </w:r>
      <w:r w:rsidRPr="00665BBA">
        <w:rPr>
          <w:rFonts w:eastAsia="Calibri" w:cs="Arial"/>
        </w:rPr>
        <w:t xml:space="preserve">5 million from RSG to fund the business rates safety net for </w:t>
      </w:r>
      <w:r w:rsidR="0067015B" w:rsidRPr="00665BBA">
        <w:rPr>
          <w:rFonts w:eastAsia="Calibri" w:cs="Arial"/>
        </w:rPr>
        <w:t>2018</w:t>
      </w:r>
      <w:r w:rsidRPr="00665BBA">
        <w:rPr>
          <w:rFonts w:eastAsia="Calibri" w:cs="Arial"/>
        </w:rPr>
        <w:t>-</w:t>
      </w:r>
      <w:r w:rsidR="0067015B" w:rsidRPr="00665BBA">
        <w:rPr>
          <w:rFonts w:eastAsia="Calibri" w:cs="Arial"/>
        </w:rPr>
        <w:t>19</w:t>
      </w:r>
      <w:r w:rsidRPr="00665BBA">
        <w:rPr>
          <w:rFonts w:eastAsia="Calibri" w:cs="Arial"/>
        </w:rPr>
        <w:t xml:space="preserve">. We propose that this amount should be deducted from the control totals for each set of services as outlined in </w:t>
      </w:r>
      <w:r w:rsidRPr="001A3D03">
        <w:rPr>
          <w:rFonts w:eastAsia="Calibri" w:cs="Arial"/>
        </w:rPr>
        <w:t xml:space="preserve">Annex </w:t>
      </w:r>
      <w:r w:rsidR="001A3D03" w:rsidRPr="001A3D03">
        <w:rPr>
          <w:rFonts w:eastAsia="Calibri" w:cs="Arial"/>
        </w:rPr>
        <w:t>D</w:t>
      </w:r>
      <w:r w:rsidRPr="001A3D03">
        <w:rPr>
          <w:rFonts w:eastAsia="Calibri" w:cs="Arial"/>
        </w:rPr>
        <w:t xml:space="preserve"> of</w:t>
      </w:r>
      <w:r w:rsidRPr="00575BC0">
        <w:rPr>
          <w:rFonts w:eastAsia="Calibri" w:cs="Arial"/>
        </w:rPr>
        <w:t xml:space="preserve"> the Local Government Finance Report (England) 20</w:t>
      </w:r>
      <w:r w:rsidR="00665BBA" w:rsidRPr="00575BC0">
        <w:rPr>
          <w:rFonts w:eastAsia="Calibri" w:cs="Arial"/>
        </w:rPr>
        <w:t>18</w:t>
      </w:r>
      <w:r w:rsidRPr="00575BC0">
        <w:rPr>
          <w:rFonts w:eastAsia="Calibri" w:cs="Arial"/>
        </w:rPr>
        <w:t>/1</w:t>
      </w:r>
      <w:r w:rsidR="00665BBA" w:rsidRPr="00575BC0">
        <w:rPr>
          <w:rFonts w:eastAsia="Calibri" w:cs="Arial"/>
        </w:rPr>
        <w:t>9</w:t>
      </w:r>
      <w:r w:rsidRPr="00575BC0">
        <w:rPr>
          <w:rFonts w:eastAsia="Calibri" w:cs="Arial"/>
        </w:rPr>
        <w:t xml:space="preserve"> in proportion to the size</w:t>
      </w:r>
      <w:r w:rsidRPr="00665BBA">
        <w:rPr>
          <w:rFonts w:eastAsia="Calibri" w:cs="Arial"/>
        </w:rPr>
        <w:t xml:space="preserve"> of those control totals. The level of </w:t>
      </w:r>
      <w:r w:rsidR="00665BBA">
        <w:rPr>
          <w:rFonts w:eastAsia="Calibri" w:cs="Arial"/>
        </w:rPr>
        <w:t xml:space="preserve">funding held </w:t>
      </w:r>
      <w:r w:rsidRPr="00665BBA">
        <w:rPr>
          <w:rFonts w:eastAsia="Calibri" w:cs="Arial"/>
        </w:rPr>
        <w:t>back does not determine whether payments will be made; all councils that qualify for safety net payments will continue to receive them.</w:t>
      </w:r>
    </w:p>
    <w:p w:rsidR="00F64EEF" w:rsidRPr="00665BBA" w:rsidRDefault="00602820" w:rsidP="00F64EEF">
      <w:pPr>
        <w:rPr>
          <w:rFonts w:cs="Arial"/>
          <w:b/>
        </w:rPr>
      </w:pPr>
      <w:r w:rsidRPr="00665BBA">
        <w:rPr>
          <w:rFonts w:cs="Arial"/>
          <w:b/>
        </w:rPr>
        <w:t xml:space="preserve">Question </w:t>
      </w:r>
      <w:r w:rsidR="008A1706">
        <w:rPr>
          <w:rFonts w:cs="Arial"/>
          <w:b/>
        </w:rPr>
        <w:t>4</w:t>
      </w:r>
      <w:r w:rsidR="00F64EEF" w:rsidRPr="00665BBA">
        <w:rPr>
          <w:rFonts w:cs="Arial"/>
          <w:b/>
        </w:rPr>
        <w:t>: Do you agree with the Government’s proposal to hold back £</w:t>
      </w:r>
      <w:r w:rsidR="00511185">
        <w:rPr>
          <w:rFonts w:cs="Arial"/>
          <w:b/>
        </w:rPr>
        <w:t>3</w:t>
      </w:r>
      <w:r w:rsidR="00F64EEF" w:rsidRPr="00665BBA">
        <w:rPr>
          <w:rFonts w:cs="Arial"/>
          <w:b/>
        </w:rPr>
        <w:t xml:space="preserve">5 million to fund the </w:t>
      </w:r>
      <w:r w:rsidR="00F64EEF" w:rsidRPr="00575BC0">
        <w:rPr>
          <w:rFonts w:cs="Arial"/>
          <w:b/>
        </w:rPr>
        <w:t xml:space="preserve">business rates safety net in </w:t>
      </w:r>
      <w:r w:rsidR="0067015B" w:rsidRPr="00575BC0">
        <w:rPr>
          <w:rFonts w:cs="Arial"/>
          <w:b/>
        </w:rPr>
        <w:t>2018</w:t>
      </w:r>
      <w:r w:rsidR="00F64EEF" w:rsidRPr="00575BC0">
        <w:rPr>
          <w:rFonts w:cs="Arial"/>
          <w:b/>
        </w:rPr>
        <w:t>-</w:t>
      </w:r>
      <w:r w:rsidR="0067015B" w:rsidRPr="00575BC0">
        <w:rPr>
          <w:rFonts w:cs="Arial"/>
          <w:b/>
        </w:rPr>
        <w:t>19</w:t>
      </w:r>
      <w:r w:rsidR="00F64EEF" w:rsidRPr="00575BC0">
        <w:rPr>
          <w:rFonts w:cs="Arial"/>
          <w:b/>
        </w:rPr>
        <w:t xml:space="preserve">, on the basis of the methodology described in paragraph </w:t>
      </w:r>
      <w:r w:rsidR="00511185" w:rsidRPr="00575BC0">
        <w:rPr>
          <w:rFonts w:cs="Arial"/>
          <w:b/>
        </w:rPr>
        <w:t>2.6.</w:t>
      </w:r>
      <w:r w:rsidR="004D144D" w:rsidRPr="00575BC0">
        <w:rPr>
          <w:rFonts w:cs="Arial"/>
          <w:b/>
        </w:rPr>
        <w:t>2</w:t>
      </w:r>
      <w:r w:rsidR="00F64EEF" w:rsidRPr="00575BC0">
        <w:rPr>
          <w:rFonts w:cs="Arial"/>
          <w:b/>
        </w:rPr>
        <w:t>?</w:t>
      </w:r>
    </w:p>
    <w:p w:rsidR="008316B9" w:rsidRPr="00AE289F" w:rsidRDefault="008316B9" w:rsidP="008316B9">
      <w:pPr>
        <w:pStyle w:val="ListParagraph"/>
        <w:rPr>
          <w:b/>
          <w:highlight w:val="yellow"/>
        </w:rPr>
      </w:pPr>
    </w:p>
    <w:p w:rsidR="000441A9" w:rsidRPr="00AE289F" w:rsidRDefault="00833CFE" w:rsidP="00833CFE">
      <w:pPr>
        <w:pStyle w:val="Heading1"/>
        <w:rPr>
          <w:highlight w:val="yellow"/>
        </w:rPr>
      </w:pPr>
      <w:r w:rsidRPr="00AE289F">
        <w:rPr>
          <w:highlight w:val="yellow"/>
        </w:rPr>
        <w:br w:type="page"/>
      </w:r>
      <w:bookmarkStart w:id="18" w:name="_Toc501111212"/>
      <w:r w:rsidR="000441A9" w:rsidRPr="00DD439E">
        <w:lastRenderedPageBreak/>
        <w:t>3</w:t>
      </w:r>
      <w:r w:rsidR="00CE55F5" w:rsidRPr="00DD439E">
        <w:t xml:space="preserve">. </w:t>
      </w:r>
      <w:r w:rsidR="004D2DBC" w:rsidRPr="00DD439E">
        <w:t>C</w:t>
      </w:r>
      <w:r w:rsidR="003F1EDD" w:rsidRPr="00DD439E">
        <w:t>hanges to</w:t>
      </w:r>
      <w:r w:rsidR="0087422F" w:rsidRPr="00DD439E">
        <w:t xml:space="preserve"> local resources</w:t>
      </w:r>
      <w:bookmarkEnd w:id="18"/>
    </w:p>
    <w:p w:rsidR="000441A9" w:rsidRPr="00494531" w:rsidRDefault="000441A9" w:rsidP="00B5674F">
      <w:pPr>
        <w:numPr>
          <w:ilvl w:val="1"/>
          <w:numId w:val="19"/>
        </w:numPr>
        <w:spacing w:after="240"/>
        <w:rPr>
          <w:sz w:val="22"/>
        </w:rPr>
      </w:pPr>
      <w:r w:rsidRPr="00494531">
        <w:rPr>
          <w:rFonts w:eastAsia="Calibri" w:cs="Arial"/>
          <w:b/>
        </w:rPr>
        <w:t>Summary</w:t>
      </w:r>
    </w:p>
    <w:p w:rsidR="004D66A1" w:rsidRPr="00494531" w:rsidRDefault="004D66A1" w:rsidP="00B5674F">
      <w:pPr>
        <w:numPr>
          <w:ilvl w:val="2"/>
          <w:numId w:val="19"/>
        </w:numPr>
        <w:spacing w:after="240"/>
        <w:ind w:left="709" w:hanging="709"/>
      </w:pPr>
      <w:r w:rsidRPr="00494531">
        <w:t xml:space="preserve">As part of the </w:t>
      </w:r>
      <w:r w:rsidR="00494531" w:rsidRPr="00494531">
        <w:t>2018-19</w:t>
      </w:r>
      <w:r w:rsidRPr="00494531">
        <w:t xml:space="preserve"> local government finance settlement technical consultation, the Government consulted on a number of proposals that had implications for the local resources collected by councils.</w:t>
      </w:r>
    </w:p>
    <w:p w:rsidR="000441A9" w:rsidRPr="00494531" w:rsidRDefault="004D66A1" w:rsidP="00B5674F">
      <w:pPr>
        <w:numPr>
          <w:ilvl w:val="2"/>
          <w:numId w:val="19"/>
        </w:numPr>
        <w:spacing w:after="240"/>
        <w:ind w:left="709" w:hanging="709"/>
      </w:pPr>
      <w:r w:rsidRPr="00494531">
        <w:t xml:space="preserve">Having carefully considered the representations received, this chapter </w:t>
      </w:r>
      <w:r w:rsidR="00494531" w:rsidRPr="00494531">
        <w:t>sets out</w:t>
      </w:r>
      <w:r w:rsidRPr="00494531">
        <w:t xml:space="preserve"> the Government’s proposals. </w:t>
      </w:r>
      <w:r w:rsidR="00DD1699" w:rsidRPr="00494531">
        <w:t>These include:</w:t>
      </w:r>
    </w:p>
    <w:p w:rsidR="00494531" w:rsidRDefault="00494531" w:rsidP="00494531">
      <w:pPr>
        <w:numPr>
          <w:ilvl w:val="0"/>
          <w:numId w:val="18"/>
        </w:numPr>
        <w:spacing w:after="240"/>
        <w:ind w:left="1418" w:hanging="284"/>
      </w:pPr>
      <w:r w:rsidRPr="00EB1BEA">
        <w:t>the Government’s proposals for the council tax referendum principles for 2018-19</w:t>
      </w:r>
      <w:r w:rsidR="008A1706">
        <w:t>,</w:t>
      </w:r>
    </w:p>
    <w:p w:rsidR="00494531" w:rsidRPr="00EB1BEA" w:rsidRDefault="00494531" w:rsidP="00494531">
      <w:pPr>
        <w:numPr>
          <w:ilvl w:val="0"/>
          <w:numId w:val="18"/>
        </w:numPr>
        <w:spacing w:after="240"/>
        <w:ind w:left="1418" w:hanging="284"/>
      </w:pPr>
      <w:r w:rsidRPr="002F3407">
        <w:rPr>
          <w:rFonts w:eastAsia="Calibri" w:cs="Arial"/>
        </w:rPr>
        <w:t xml:space="preserve">the </w:t>
      </w:r>
      <w:r>
        <w:rPr>
          <w:rFonts w:eastAsia="Calibri" w:cs="Arial"/>
        </w:rPr>
        <w:t xml:space="preserve">approach to </w:t>
      </w:r>
      <w:r w:rsidRPr="002F3407">
        <w:rPr>
          <w:rFonts w:eastAsia="Calibri" w:cs="Arial"/>
        </w:rPr>
        <w:t xml:space="preserve">Mayoral Combined Authorities </w:t>
      </w:r>
      <w:r>
        <w:rPr>
          <w:rFonts w:eastAsia="Calibri" w:cs="Arial"/>
        </w:rPr>
        <w:t xml:space="preserve">precepts </w:t>
      </w:r>
      <w:r w:rsidRPr="002F3407">
        <w:rPr>
          <w:rFonts w:eastAsia="Calibri" w:cs="Arial"/>
        </w:rPr>
        <w:t>in 2018</w:t>
      </w:r>
      <w:r>
        <w:rPr>
          <w:rFonts w:eastAsia="Calibri" w:cs="Arial"/>
        </w:rPr>
        <w:t>-</w:t>
      </w:r>
      <w:r w:rsidRPr="002F3407">
        <w:rPr>
          <w:rFonts w:eastAsia="Calibri" w:cs="Arial"/>
        </w:rPr>
        <w:t>19</w:t>
      </w:r>
      <w:r w:rsidR="008A1706">
        <w:rPr>
          <w:rFonts w:eastAsia="Calibri" w:cs="Arial"/>
        </w:rPr>
        <w:t>,</w:t>
      </w:r>
      <w:r w:rsidRPr="002F3407">
        <w:t xml:space="preserve"> </w:t>
      </w:r>
      <w:r w:rsidRPr="00EB1BEA">
        <w:t xml:space="preserve"> </w:t>
      </w:r>
    </w:p>
    <w:p w:rsidR="00494531" w:rsidRPr="00170445" w:rsidRDefault="00494531" w:rsidP="00B16DC8">
      <w:pPr>
        <w:numPr>
          <w:ilvl w:val="0"/>
          <w:numId w:val="18"/>
        </w:numPr>
        <w:spacing w:after="240"/>
        <w:ind w:left="1418" w:hanging="284"/>
      </w:pPr>
      <w:r w:rsidRPr="00170445">
        <w:t>the approach being taken for adjusting business rates tariff and top-ups to cancel out, as far as is practicable, the impact of the 2017 business rates revaluation on local authorities’ income</w:t>
      </w:r>
      <w:r w:rsidR="00885DE0">
        <w:t>, and</w:t>
      </w:r>
    </w:p>
    <w:p w:rsidR="00494531" w:rsidRPr="00007213" w:rsidRDefault="00494531" w:rsidP="00494531">
      <w:pPr>
        <w:numPr>
          <w:ilvl w:val="0"/>
          <w:numId w:val="18"/>
        </w:numPr>
        <w:spacing w:after="240"/>
        <w:ind w:left="1418" w:hanging="284"/>
      </w:pPr>
      <w:proofErr w:type="gramStart"/>
      <w:r w:rsidRPr="00007213">
        <w:t>confirmation</w:t>
      </w:r>
      <w:proofErr w:type="gramEnd"/>
      <w:r w:rsidRPr="00007213">
        <w:t xml:space="preserve"> of the methodology, for the final settlement, for calculating the agreed changes </w:t>
      </w:r>
      <w:r w:rsidR="004E5E85">
        <w:t>to</w:t>
      </w:r>
      <w:r w:rsidRPr="00007213">
        <w:t xml:space="preserve"> the local share of retained business rates and the level of tariff and top</w:t>
      </w:r>
      <w:r w:rsidR="00852EC0">
        <w:t>-</w:t>
      </w:r>
      <w:r w:rsidRPr="00007213">
        <w:t>ups for local authorities piloting 100% business rates retention, designed to ensure that no authorities anywhere in the country are adversely affected by these pilots</w:t>
      </w:r>
      <w:r w:rsidR="00885DE0">
        <w:t>.</w:t>
      </w:r>
    </w:p>
    <w:p w:rsidR="00684A45" w:rsidRPr="00C37105" w:rsidRDefault="000441A9" w:rsidP="00B5674F">
      <w:pPr>
        <w:numPr>
          <w:ilvl w:val="1"/>
          <w:numId w:val="19"/>
        </w:numPr>
        <w:spacing w:after="240"/>
        <w:rPr>
          <w:b/>
          <w:szCs w:val="28"/>
        </w:rPr>
      </w:pPr>
      <w:r w:rsidRPr="00C37105">
        <w:rPr>
          <w:rFonts w:eastAsia="Calibri" w:cs="Arial"/>
          <w:b/>
          <w:szCs w:val="28"/>
        </w:rPr>
        <w:t>Co</w:t>
      </w:r>
      <w:r w:rsidR="008B72C5" w:rsidRPr="00C37105">
        <w:rPr>
          <w:rFonts w:eastAsia="Calibri" w:cs="Arial"/>
          <w:b/>
          <w:szCs w:val="28"/>
        </w:rPr>
        <w:t>uncil</w:t>
      </w:r>
      <w:r w:rsidR="008B72C5" w:rsidRPr="00C37105">
        <w:rPr>
          <w:b/>
          <w:szCs w:val="28"/>
        </w:rPr>
        <w:t xml:space="preserve"> </w:t>
      </w:r>
      <w:r w:rsidR="001A6A36" w:rsidRPr="00C37105">
        <w:rPr>
          <w:b/>
          <w:szCs w:val="28"/>
        </w:rPr>
        <w:t>t</w:t>
      </w:r>
      <w:r w:rsidR="008B72C5" w:rsidRPr="00C37105">
        <w:rPr>
          <w:b/>
          <w:szCs w:val="28"/>
        </w:rPr>
        <w:t xml:space="preserve">ax </w:t>
      </w:r>
      <w:r w:rsidR="001A6A36" w:rsidRPr="00C37105">
        <w:rPr>
          <w:b/>
          <w:szCs w:val="28"/>
        </w:rPr>
        <w:t>r</w:t>
      </w:r>
      <w:r w:rsidR="008B72C5" w:rsidRPr="00C37105">
        <w:rPr>
          <w:b/>
          <w:szCs w:val="28"/>
        </w:rPr>
        <w:t xml:space="preserve">eferendum </w:t>
      </w:r>
      <w:r w:rsidR="001A6A36" w:rsidRPr="00C37105">
        <w:rPr>
          <w:b/>
          <w:szCs w:val="28"/>
        </w:rPr>
        <w:t>p</w:t>
      </w:r>
      <w:r w:rsidR="008B72C5" w:rsidRPr="00C37105">
        <w:rPr>
          <w:b/>
          <w:szCs w:val="28"/>
        </w:rPr>
        <w:t>rinciples</w:t>
      </w:r>
      <w:r w:rsidRPr="00C37105">
        <w:rPr>
          <w:b/>
          <w:szCs w:val="28"/>
        </w:rPr>
        <w:t xml:space="preserve"> </w:t>
      </w:r>
      <w:r w:rsidR="00684A45" w:rsidRPr="00C37105">
        <w:rPr>
          <w:b/>
          <w:szCs w:val="28"/>
        </w:rPr>
        <w:t>for</w:t>
      </w:r>
      <w:r w:rsidR="00C25F8F" w:rsidRPr="00C37105">
        <w:rPr>
          <w:b/>
          <w:szCs w:val="28"/>
        </w:rPr>
        <w:t xml:space="preserve"> princip</w:t>
      </w:r>
      <w:r w:rsidR="001F17D1">
        <w:rPr>
          <w:b/>
          <w:szCs w:val="28"/>
        </w:rPr>
        <w:t>al</w:t>
      </w:r>
      <w:r w:rsidR="00684A45" w:rsidRPr="00C37105">
        <w:rPr>
          <w:b/>
          <w:szCs w:val="28"/>
        </w:rPr>
        <w:t xml:space="preserve"> local authorities</w:t>
      </w:r>
    </w:p>
    <w:p w:rsidR="00FA6747" w:rsidRPr="00F3519E" w:rsidRDefault="002B301B" w:rsidP="00162BC8">
      <w:pPr>
        <w:numPr>
          <w:ilvl w:val="2"/>
          <w:numId w:val="19"/>
        </w:numPr>
        <w:spacing w:after="240"/>
        <w:ind w:left="709" w:hanging="709"/>
      </w:pPr>
      <w:r w:rsidRPr="00F3519E">
        <w:t xml:space="preserve">In the 2018-19 </w:t>
      </w:r>
      <w:r w:rsidR="004E5E85" w:rsidRPr="00F3519E">
        <w:t xml:space="preserve">local government finance </w:t>
      </w:r>
      <w:r w:rsidRPr="00F3519E">
        <w:t>settlement technical consultation, the Government sought views on maintaining the same referendum principles as set out at the 2017-18 local government finance settlement, to ensure that local residents can veto high increases in council tax via a referendum.</w:t>
      </w:r>
      <w:r w:rsidR="005B776F" w:rsidRPr="00F3519E">
        <w:t xml:space="preserve"> </w:t>
      </w:r>
    </w:p>
    <w:p w:rsidR="00E061E2" w:rsidRPr="00F3519E" w:rsidRDefault="00E061E2" w:rsidP="00E061E2">
      <w:pPr>
        <w:numPr>
          <w:ilvl w:val="2"/>
          <w:numId w:val="19"/>
        </w:numPr>
        <w:spacing w:after="240"/>
        <w:ind w:left="709" w:hanging="709"/>
      </w:pPr>
      <w:r w:rsidRPr="00F3519E">
        <w:t>Following careful consideration of responses, and in recognition of higher than expected inflation and the pressures on services such as social care and policing, the Government has decided to ma</w:t>
      </w:r>
      <w:r w:rsidR="002969B4" w:rsidRPr="00F3519E">
        <w:t>k</w:t>
      </w:r>
      <w:r w:rsidRPr="00F3519E">
        <w:t xml:space="preserve">e changes to </w:t>
      </w:r>
      <w:r w:rsidR="002969B4" w:rsidRPr="00F3519E">
        <w:t xml:space="preserve">the council tax </w:t>
      </w:r>
      <w:r w:rsidRPr="00F3519E">
        <w:t>referendum principles. In doing so it continues to allow taxpayers the final say over excessive increases as per its manifesto commitment</w:t>
      </w:r>
      <w:r w:rsidR="00E96CD9" w:rsidRPr="00F3519E">
        <w:t>:</w:t>
      </w:r>
      <w:r w:rsidRPr="00F3519E">
        <w:t xml:space="preserve"> </w:t>
      </w:r>
    </w:p>
    <w:p w:rsidR="002969B4" w:rsidRPr="00F3519E" w:rsidRDefault="00E96CD9" w:rsidP="002969B4">
      <w:pPr>
        <w:pStyle w:val="ListParagraph"/>
        <w:numPr>
          <w:ilvl w:val="0"/>
          <w:numId w:val="13"/>
        </w:numPr>
        <w:suppressAutoHyphens/>
        <w:spacing w:after="0" w:line="240" w:lineRule="auto"/>
        <w:contextualSpacing w:val="0"/>
        <w:jc w:val="both"/>
      </w:pPr>
      <w:r w:rsidRPr="00F3519E">
        <w:t xml:space="preserve">a </w:t>
      </w:r>
      <w:r w:rsidR="002969B4" w:rsidRPr="00F3519E">
        <w:t>core principle of 3% in 2018-19 and 2019-20</w:t>
      </w:r>
      <w:r w:rsidR="00E7000D" w:rsidRPr="00F3519E">
        <w:t>,</w:t>
      </w:r>
    </w:p>
    <w:p w:rsidR="002969B4" w:rsidRPr="00F3519E" w:rsidRDefault="002969B4" w:rsidP="002969B4">
      <w:pPr>
        <w:pStyle w:val="ListParagraph"/>
        <w:suppressAutoHyphens/>
        <w:spacing w:after="0" w:line="240" w:lineRule="auto"/>
        <w:ind w:left="1440"/>
        <w:contextualSpacing w:val="0"/>
        <w:jc w:val="both"/>
      </w:pPr>
    </w:p>
    <w:p w:rsidR="002969B4" w:rsidRPr="00F3519E" w:rsidRDefault="002969B4" w:rsidP="002969B4">
      <w:pPr>
        <w:pStyle w:val="ListParagraph"/>
        <w:numPr>
          <w:ilvl w:val="0"/>
          <w:numId w:val="13"/>
        </w:numPr>
        <w:suppressAutoHyphens/>
        <w:spacing w:after="0" w:line="240" w:lineRule="auto"/>
        <w:contextualSpacing w:val="0"/>
        <w:jc w:val="both"/>
      </w:pPr>
      <w:r w:rsidRPr="00F3519E">
        <w:t>shire district councils will be allowed increases of less than 3%, or up to and including £5, whichever is higher in 2018-19 and 2019-20</w:t>
      </w:r>
      <w:r w:rsidR="00E7000D" w:rsidRPr="00F3519E">
        <w:t>,</w:t>
      </w:r>
    </w:p>
    <w:p w:rsidR="002969B4" w:rsidRPr="00F3519E" w:rsidRDefault="002969B4" w:rsidP="002969B4">
      <w:pPr>
        <w:pStyle w:val="ListParagraph"/>
        <w:suppressAutoHyphens/>
        <w:spacing w:after="0" w:line="240" w:lineRule="auto"/>
        <w:ind w:left="1440"/>
        <w:contextualSpacing w:val="0"/>
        <w:jc w:val="both"/>
      </w:pPr>
    </w:p>
    <w:p w:rsidR="002969B4" w:rsidRPr="00F3519E" w:rsidRDefault="002969B4" w:rsidP="002969B4">
      <w:pPr>
        <w:pStyle w:val="ListParagraph"/>
        <w:numPr>
          <w:ilvl w:val="0"/>
          <w:numId w:val="13"/>
        </w:numPr>
        <w:suppressAutoHyphens/>
        <w:spacing w:after="0" w:line="240" w:lineRule="auto"/>
        <w:contextualSpacing w:val="0"/>
        <w:jc w:val="both"/>
      </w:pPr>
      <w:r w:rsidRPr="00F3519E">
        <w:t>a continuation of the Adult Social Care precept of an additional 2% with additional flexibility to increase the precept by 1% to 3% in 2018-19, provided that increases do not exceed 6% between 2017-18 and 2019-20</w:t>
      </w:r>
      <w:r w:rsidR="00E7000D" w:rsidRPr="00F3519E">
        <w:t>,</w:t>
      </w:r>
      <w:r w:rsidRPr="00F3519E">
        <w:t xml:space="preserve"> and</w:t>
      </w:r>
    </w:p>
    <w:p w:rsidR="002969B4" w:rsidRPr="00F3519E" w:rsidRDefault="002969B4" w:rsidP="002969B4">
      <w:pPr>
        <w:pStyle w:val="ListParagraph"/>
        <w:suppressAutoHyphens/>
        <w:spacing w:after="0" w:line="240" w:lineRule="auto"/>
        <w:ind w:left="1440"/>
        <w:contextualSpacing w:val="0"/>
        <w:jc w:val="both"/>
      </w:pPr>
    </w:p>
    <w:p w:rsidR="002969B4" w:rsidRPr="00F3519E" w:rsidRDefault="002969B4" w:rsidP="002969B4">
      <w:pPr>
        <w:pStyle w:val="ListParagraph"/>
        <w:numPr>
          <w:ilvl w:val="0"/>
          <w:numId w:val="13"/>
        </w:numPr>
        <w:suppressAutoHyphens/>
        <w:spacing w:after="0" w:line="240" w:lineRule="auto"/>
        <w:contextualSpacing w:val="0"/>
        <w:jc w:val="both"/>
      </w:pPr>
      <w:r w:rsidRPr="00F3519E">
        <w:lastRenderedPageBreak/>
        <w:t>Police precepts (including the GLA charge for the Metropolitan Police) will be allowed increases of</w:t>
      </w:r>
      <w:r w:rsidR="00162BC8" w:rsidRPr="00F3519E">
        <w:t xml:space="preserve"> up to</w:t>
      </w:r>
      <w:r w:rsidRPr="00F3519E">
        <w:t xml:space="preserve"> £12 in 2018-19</w:t>
      </w:r>
      <w:r w:rsidR="00073BE7">
        <w:t xml:space="preserve"> and 2019-20</w:t>
      </w:r>
      <w:r w:rsidRPr="00F3519E">
        <w:t>.</w:t>
      </w:r>
    </w:p>
    <w:p w:rsidR="00E061E2" w:rsidRDefault="00E061E2" w:rsidP="00E061E2">
      <w:pPr>
        <w:pStyle w:val="ListParagraph"/>
        <w:suppressAutoHyphens/>
        <w:spacing w:after="0" w:line="240" w:lineRule="auto"/>
        <w:contextualSpacing w:val="0"/>
        <w:jc w:val="both"/>
      </w:pPr>
    </w:p>
    <w:p w:rsidR="00E92EEA" w:rsidRPr="00E92EEA" w:rsidRDefault="00E92EEA" w:rsidP="00E92EEA">
      <w:pPr>
        <w:suppressAutoHyphens/>
        <w:jc w:val="both"/>
        <w:rPr>
          <w:rFonts w:cs="Arial"/>
          <w:b/>
        </w:rPr>
      </w:pPr>
      <w:r w:rsidRPr="00E92EEA">
        <w:rPr>
          <w:rFonts w:cs="Arial"/>
          <w:b/>
          <w:szCs w:val="22"/>
        </w:rPr>
        <w:t>Q</w:t>
      </w:r>
      <w:r>
        <w:rPr>
          <w:rFonts w:cs="Arial"/>
          <w:b/>
          <w:szCs w:val="22"/>
        </w:rPr>
        <w:t>uestion 5</w:t>
      </w:r>
      <w:r w:rsidRPr="00E92EEA">
        <w:rPr>
          <w:rFonts w:cs="Arial"/>
          <w:b/>
          <w:szCs w:val="22"/>
        </w:rPr>
        <w:t xml:space="preserve">: </w:t>
      </w:r>
      <w:r w:rsidR="004D144D">
        <w:rPr>
          <w:rFonts w:cs="Arial"/>
          <w:b/>
          <w:szCs w:val="22"/>
        </w:rPr>
        <w:t>What are your views on</w:t>
      </w:r>
      <w:r w:rsidRPr="00E92EEA">
        <w:rPr>
          <w:rFonts w:cs="Arial"/>
          <w:b/>
          <w:szCs w:val="22"/>
        </w:rPr>
        <w:t xml:space="preserve"> the council tax referendum principles proposed by the Government for 2018-19?</w:t>
      </w:r>
    </w:p>
    <w:p w:rsidR="00E92EEA" w:rsidRPr="00F3519E" w:rsidRDefault="00E92EEA" w:rsidP="00E061E2">
      <w:pPr>
        <w:pStyle w:val="ListParagraph"/>
        <w:suppressAutoHyphens/>
        <w:spacing w:after="0" w:line="240" w:lineRule="auto"/>
        <w:contextualSpacing w:val="0"/>
        <w:jc w:val="both"/>
      </w:pPr>
    </w:p>
    <w:p w:rsidR="00C37105" w:rsidRPr="00780655" w:rsidRDefault="00C37105" w:rsidP="00B5674F">
      <w:pPr>
        <w:numPr>
          <w:ilvl w:val="1"/>
          <w:numId w:val="19"/>
        </w:numPr>
        <w:spacing w:after="240"/>
        <w:rPr>
          <w:b/>
          <w:szCs w:val="28"/>
        </w:rPr>
      </w:pPr>
      <w:r w:rsidRPr="00780655">
        <w:rPr>
          <w:b/>
          <w:szCs w:val="28"/>
        </w:rPr>
        <w:t>Council tax precepts for Mayoral Combined Authorities</w:t>
      </w:r>
    </w:p>
    <w:p w:rsidR="00480E32" w:rsidRPr="006C10C4" w:rsidRDefault="00480E32" w:rsidP="006C10C4">
      <w:pPr>
        <w:numPr>
          <w:ilvl w:val="2"/>
          <w:numId w:val="19"/>
        </w:numPr>
        <w:spacing w:after="240"/>
        <w:ind w:left="709" w:hanging="709"/>
      </w:pPr>
      <w:r w:rsidRPr="006C10C4">
        <w:t xml:space="preserve">Devolution Deals have led to the creation of 6 Mayoral Combined Authorities (MCAs) with powers such as transport and planning. MCAs are currently funded by their constituent councils through a levy for transport functions, and contributions agreed and provided by constituent local authorities in their area. </w:t>
      </w:r>
    </w:p>
    <w:p w:rsidR="00480E32" w:rsidRPr="006C10C4" w:rsidRDefault="00480E32" w:rsidP="006C10C4">
      <w:pPr>
        <w:numPr>
          <w:ilvl w:val="2"/>
          <w:numId w:val="19"/>
        </w:numPr>
        <w:spacing w:after="240"/>
        <w:ind w:left="709" w:hanging="709"/>
      </w:pPr>
      <w:r w:rsidRPr="006C10C4">
        <w:t>From 2018-19 elected Combined Authority mayors can raise additional resources through a precept (or additional charge) on local council tax bills, unless an Order is made that prevents them from doing so (</w:t>
      </w:r>
      <w:r w:rsidR="005644D9">
        <w:t>such as in West of England, where it has been agreed with the authority that the mayor will not be empowered to set a precept</w:t>
      </w:r>
      <w:r w:rsidRPr="006C10C4">
        <w:t xml:space="preserve">). The precept may only be set with the agreement of the Combined Authority. The new MCAs of Cambridgeshire &amp; Peterborough, Liverpool City Region, Tees Valley and West Midlands may set a precept for mayors’ general functions, and the Greater Manchester Combined Authority may set a precept with two separately identified elements for the mayor’s general functions and for his police and crime commissioner functions. </w:t>
      </w:r>
    </w:p>
    <w:p w:rsidR="005C451F" w:rsidRPr="00F3519E" w:rsidRDefault="00AB30B3" w:rsidP="006C10C4">
      <w:pPr>
        <w:numPr>
          <w:ilvl w:val="2"/>
          <w:numId w:val="19"/>
        </w:numPr>
        <w:spacing w:after="240"/>
        <w:ind w:left="709" w:hanging="709"/>
      </w:pPr>
      <w:r w:rsidRPr="006B1426">
        <w:t xml:space="preserve">In the 2018-19 </w:t>
      </w:r>
      <w:r w:rsidR="004E5E85" w:rsidRPr="006B1426">
        <w:t xml:space="preserve">local government finance </w:t>
      </w:r>
      <w:r w:rsidRPr="006B1426">
        <w:t xml:space="preserve">settlement technical consultation, the Government asked how the Band D council tax level </w:t>
      </w:r>
      <w:r w:rsidR="005C451F" w:rsidRPr="006B1426">
        <w:t xml:space="preserve">of </w:t>
      </w:r>
      <w:r w:rsidRPr="006B1426">
        <w:t xml:space="preserve">MCAs </w:t>
      </w:r>
      <w:r w:rsidR="005C451F" w:rsidRPr="006B1426">
        <w:t>should be determined</w:t>
      </w:r>
      <w:r w:rsidR="00914B31" w:rsidRPr="006B1426">
        <w:t>,</w:t>
      </w:r>
      <w:r w:rsidRPr="006B1426">
        <w:t xml:space="preserve"> given that </w:t>
      </w:r>
      <w:r w:rsidR="005C451F" w:rsidRPr="006B1426">
        <w:t>no</w:t>
      </w:r>
      <w:r w:rsidRPr="006B1426">
        <w:t xml:space="preserve"> previous amount</w:t>
      </w:r>
      <w:r w:rsidR="005C451F" w:rsidRPr="006B1426">
        <w:t xml:space="preserve"> has been set</w:t>
      </w:r>
      <w:r w:rsidRPr="006B1426">
        <w:t xml:space="preserve">. After consideration of </w:t>
      </w:r>
      <w:r w:rsidRPr="00F3519E">
        <w:t>responses to this question</w:t>
      </w:r>
      <w:r w:rsidR="00914B31" w:rsidRPr="00F3519E">
        <w:t>,</w:t>
      </w:r>
      <w:r w:rsidRPr="00F3519E">
        <w:t xml:space="preserve"> </w:t>
      </w:r>
      <w:r w:rsidR="00914B31" w:rsidRPr="00F3519E">
        <w:t>the Government has</w:t>
      </w:r>
      <w:r w:rsidRPr="00F3519E">
        <w:t xml:space="preserve"> conclude</w:t>
      </w:r>
      <w:r w:rsidR="00914B31" w:rsidRPr="00F3519E">
        <w:t>d</w:t>
      </w:r>
      <w:r w:rsidRPr="00F3519E">
        <w:t xml:space="preserve"> that it</w:t>
      </w:r>
      <w:r w:rsidR="00914B31" w:rsidRPr="00F3519E">
        <w:t xml:space="preserve"> </w:t>
      </w:r>
      <w:r w:rsidR="005C451F" w:rsidRPr="00F3519E">
        <w:t xml:space="preserve">should be </w:t>
      </w:r>
      <w:r w:rsidRPr="00F3519E">
        <w:t xml:space="preserve">for each mayor to </w:t>
      </w:r>
      <w:r w:rsidR="005C451F" w:rsidRPr="00F3519E">
        <w:t xml:space="preserve">balance their ambitions and other resources and </w:t>
      </w:r>
      <w:r w:rsidRPr="00F3519E">
        <w:t>decide the level of the first precept they set</w:t>
      </w:r>
      <w:r w:rsidR="005C451F" w:rsidRPr="00F3519E">
        <w:t xml:space="preserve"> in</w:t>
      </w:r>
      <w:r w:rsidR="006B1426" w:rsidRPr="00F3519E">
        <w:t xml:space="preserve"> 2018-</w:t>
      </w:r>
      <w:r w:rsidRPr="00F3519E">
        <w:t xml:space="preserve">19.   </w:t>
      </w:r>
    </w:p>
    <w:p w:rsidR="006C10C4" w:rsidRPr="006B1426" w:rsidRDefault="00AB30B3" w:rsidP="00511185">
      <w:pPr>
        <w:numPr>
          <w:ilvl w:val="2"/>
          <w:numId w:val="19"/>
        </w:numPr>
        <w:spacing w:after="240"/>
        <w:ind w:left="709" w:hanging="709"/>
        <w:rPr>
          <w:sz w:val="23"/>
          <w:szCs w:val="23"/>
        </w:rPr>
      </w:pPr>
      <w:r w:rsidRPr="00F3519E">
        <w:t>We expect mayors will exercise restraint and set a</w:t>
      </w:r>
      <w:r w:rsidR="00914B31" w:rsidRPr="00F3519E">
        <w:t xml:space="preserve"> council tax</w:t>
      </w:r>
      <w:r w:rsidRPr="00F3519E">
        <w:t xml:space="preserve"> precept which is proportionate to their needs and not burdensome</w:t>
      </w:r>
      <w:r w:rsidR="00914B31" w:rsidRPr="00F3519E">
        <w:t xml:space="preserve"> to</w:t>
      </w:r>
      <w:r w:rsidRPr="00F3519E">
        <w:t xml:space="preserve"> the</w:t>
      </w:r>
      <w:r w:rsidR="00914B31" w:rsidRPr="00F3519E">
        <w:t xml:space="preserve">ir residents. </w:t>
      </w:r>
      <w:r w:rsidRPr="00F3519E">
        <w:t>It remains open to Government to review the level of the mayoral precepts that are set in 2018</w:t>
      </w:r>
      <w:r w:rsidR="006B1426">
        <w:t>-</w:t>
      </w:r>
      <w:r w:rsidRPr="006B1426">
        <w:t>19, and any application of council tax referendum principles in subsequent years.</w:t>
      </w:r>
      <w:r w:rsidR="00511185" w:rsidRPr="006B1426">
        <w:rPr>
          <w:sz w:val="23"/>
          <w:szCs w:val="23"/>
        </w:rPr>
        <w:t xml:space="preserve"> </w:t>
      </w:r>
    </w:p>
    <w:p w:rsidR="00E061E2" w:rsidRPr="00EC7396" w:rsidRDefault="00E061E2" w:rsidP="00E061E2">
      <w:pPr>
        <w:numPr>
          <w:ilvl w:val="1"/>
          <w:numId w:val="19"/>
        </w:numPr>
        <w:spacing w:after="240"/>
        <w:rPr>
          <w:b/>
          <w:szCs w:val="28"/>
        </w:rPr>
      </w:pPr>
      <w:r>
        <w:rPr>
          <w:b/>
          <w:szCs w:val="28"/>
        </w:rPr>
        <w:t>T</w:t>
      </w:r>
      <w:r w:rsidRPr="00EC7396">
        <w:rPr>
          <w:b/>
          <w:szCs w:val="28"/>
        </w:rPr>
        <w:t xml:space="preserve">own and parish councils </w:t>
      </w:r>
    </w:p>
    <w:p w:rsidR="00E061E2" w:rsidRPr="008A1706" w:rsidRDefault="00E061E2" w:rsidP="00E061E2">
      <w:pPr>
        <w:numPr>
          <w:ilvl w:val="2"/>
          <w:numId w:val="19"/>
        </w:numPr>
        <w:spacing w:after="240"/>
        <w:ind w:left="709" w:hanging="709"/>
      </w:pPr>
      <w:r w:rsidRPr="008A1706">
        <w:t xml:space="preserve">Since the introduction of council tax referendums in 2012-13, no referendum principles have been set for local </w:t>
      </w:r>
      <w:proofErr w:type="spellStart"/>
      <w:r w:rsidRPr="008A1706">
        <w:t>precepting</w:t>
      </w:r>
      <w:proofErr w:type="spellEnd"/>
      <w:r w:rsidRPr="008A1706">
        <w:t xml:space="preserve"> authorities such as town and parish councils (“parishes”), although the Government has made it clear that it would keep this under review and take action if necessary. </w:t>
      </w:r>
    </w:p>
    <w:p w:rsidR="00E061E2" w:rsidRPr="008A1706" w:rsidRDefault="00E061E2" w:rsidP="00E061E2">
      <w:pPr>
        <w:numPr>
          <w:ilvl w:val="2"/>
          <w:numId w:val="19"/>
        </w:numPr>
        <w:spacing w:after="240"/>
        <w:ind w:left="709" w:hanging="709"/>
      </w:pPr>
      <w:r w:rsidRPr="008A1706">
        <w:t xml:space="preserve">Ahead of the 2017-18 round of council tax setting, the Government issued a challenge to parishes to demonstrate restraint when setting precept increases that were not a direct result of taking on additional responsibilities, and to make precept decisions more transparent to local tax-payers. The average increase set by the sector in 2017-18 was 6.3% and the Government indicated that continued deferral of referendum principles would be dependent upon it receiving clear evidence of how the sector is responding to the challenge. </w:t>
      </w:r>
    </w:p>
    <w:p w:rsidR="00E061E2" w:rsidRPr="008A1706" w:rsidRDefault="00E061E2" w:rsidP="00E061E2">
      <w:pPr>
        <w:numPr>
          <w:ilvl w:val="2"/>
          <w:numId w:val="19"/>
        </w:numPr>
        <w:spacing w:after="240"/>
        <w:ind w:left="709" w:hanging="709"/>
      </w:pPr>
      <w:r w:rsidRPr="008A1706">
        <w:lastRenderedPageBreak/>
        <w:t xml:space="preserve">In response, the sector provided details of a range of activities around fiscal responsibility, transparency and engagement, the promotion of good practice and use of other sources of income, county-level engagement regarding significant precept increases’ and publishing the </w:t>
      </w:r>
      <w:r w:rsidRPr="00815DAE">
        <w:rPr>
          <w:i/>
        </w:rPr>
        <w:t>Good Councillors’ Guide to Finance and Transparency</w:t>
      </w:r>
      <w:r w:rsidRPr="008A1706">
        <w:t xml:space="preserve">. </w:t>
      </w:r>
    </w:p>
    <w:p w:rsidR="00E061E2" w:rsidRDefault="00E061E2" w:rsidP="00E061E2">
      <w:pPr>
        <w:numPr>
          <w:ilvl w:val="2"/>
          <w:numId w:val="19"/>
        </w:numPr>
        <w:spacing w:after="240"/>
        <w:ind w:left="709" w:hanging="709"/>
      </w:pPr>
      <w:r w:rsidRPr="008A1706">
        <w:t xml:space="preserve">Having noted this work and the sector’s request for longer-term certainty to aid financial planning, the Government intends to defer the setting of referendum principles for town and parish councils for three years. However, this is </w:t>
      </w:r>
      <w:r>
        <w:t>conditional up</w:t>
      </w:r>
      <w:r w:rsidRPr="008A1706">
        <w:t>on</w:t>
      </w:r>
      <w:r>
        <w:t>:</w:t>
      </w:r>
      <w:r w:rsidRPr="008A1706">
        <w:t xml:space="preserve"> </w:t>
      </w:r>
    </w:p>
    <w:p w:rsidR="00E061E2" w:rsidRPr="00B16DC8" w:rsidRDefault="00E061E2" w:rsidP="00B16DC8">
      <w:pPr>
        <w:pStyle w:val="ListParagraph"/>
        <w:numPr>
          <w:ilvl w:val="0"/>
          <w:numId w:val="13"/>
        </w:numPr>
        <w:suppressAutoHyphens/>
        <w:spacing w:after="0" w:line="240" w:lineRule="auto"/>
        <w:contextualSpacing w:val="0"/>
        <w:jc w:val="both"/>
        <w:rPr>
          <w:rFonts w:eastAsia="Times New Roman" w:cs="Times New Roman"/>
        </w:rPr>
      </w:pPr>
      <w:r w:rsidRPr="00B16DC8">
        <w:rPr>
          <w:rFonts w:eastAsia="Times New Roman" w:cs="Times New Roman"/>
        </w:rPr>
        <w:t>the sector taking all available steps to mitigate the need for council tax increases, including the use of reserves where they are not already earmarked for other uses or for “invest to save” projects which will lower on-going costs, and</w:t>
      </w:r>
    </w:p>
    <w:p w:rsidR="00E96CD9" w:rsidRPr="00B16DC8" w:rsidRDefault="00E96CD9" w:rsidP="00B16DC8">
      <w:pPr>
        <w:pStyle w:val="ListParagraph"/>
        <w:suppressAutoHyphens/>
        <w:spacing w:after="0" w:line="240" w:lineRule="auto"/>
        <w:ind w:left="1440"/>
        <w:contextualSpacing w:val="0"/>
        <w:jc w:val="both"/>
        <w:rPr>
          <w:rFonts w:eastAsia="Times New Roman" w:cs="Times New Roman"/>
        </w:rPr>
      </w:pPr>
    </w:p>
    <w:p w:rsidR="00E061E2" w:rsidRPr="00B16DC8" w:rsidRDefault="00E061E2" w:rsidP="00B16DC8">
      <w:pPr>
        <w:pStyle w:val="ListParagraph"/>
        <w:numPr>
          <w:ilvl w:val="0"/>
          <w:numId w:val="13"/>
        </w:numPr>
        <w:suppressAutoHyphens/>
        <w:spacing w:after="0" w:line="240" w:lineRule="auto"/>
        <w:contextualSpacing w:val="0"/>
        <w:jc w:val="both"/>
        <w:rPr>
          <w:rFonts w:eastAsia="Times New Roman" w:cs="Times New Roman"/>
        </w:rPr>
      </w:pPr>
      <w:proofErr w:type="gramStart"/>
      <w:r w:rsidRPr="00B16DC8">
        <w:rPr>
          <w:rFonts w:eastAsia="Times New Roman" w:cs="Times New Roman"/>
        </w:rPr>
        <w:t>the</w:t>
      </w:r>
      <w:proofErr w:type="gramEnd"/>
      <w:r w:rsidRPr="00B16DC8">
        <w:rPr>
          <w:rFonts w:eastAsia="Times New Roman" w:cs="Times New Roman"/>
        </w:rPr>
        <w:t xml:space="preserve"> Government seeing clear evidence of restraint in the increases set by the sector as a whole.</w:t>
      </w:r>
    </w:p>
    <w:p w:rsidR="00E96CD9" w:rsidRDefault="00E96CD9" w:rsidP="00B16DC8">
      <w:pPr>
        <w:pStyle w:val="ListParagraph"/>
        <w:suppressAutoHyphens/>
        <w:spacing w:after="0" w:line="240" w:lineRule="auto"/>
        <w:ind w:left="1440"/>
        <w:contextualSpacing w:val="0"/>
        <w:jc w:val="both"/>
      </w:pPr>
    </w:p>
    <w:p w:rsidR="007D43B8" w:rsidRDefault="007D43B8" w:rsidP="007D43B8">
      <w:pPr>
        <w:numPr>
          <w:ilvl w:val="1"/>
          <w:numId w:val="19"/>
        </w:numPr>
        <w:spacing w:after="240"/>
        <w:rPr>
          <w:b/>
        </w:rPr>
      </w:pPr>
      <w:r w:rsidRPr="00C37105">
        <w:rPr>
          <w:b/>
        </w:rPr>
        <w:t>The business rates revaluation adjustment methodology</w:t>
      </w:r>
    </w:p>
    <w:p w:rsidR="007D43B8" w:rsidRPr="00901390" w:rsidRDefault="007D43B8" w:rsidP="007D43B8">
      <w:pPr>
        <w:numPr>
          <w:ilvl w:val="2"/>
          <w:numId w:val="19"/>
        </w:numPr>
        <w:spacing w:after="240"/>
        <w:ind w:left="709" w:hanging="709"/>
        <w:rPr>
          <w:b/>
        </w:rPr>
      </w:pPr>
      <w:r w:rsidRPr="00901390">
        <w:t xml:space="preserve">The last business rates revaluation took effect from 1 April 2017. Revaluation is a revenue neutral exercise so the total rates bill stayed the same at the England level in real terms, after allowing for appeals. At the local authority level, overall bills increased or fell depending upon whether rateable values in that area performed above or below the average for England, after allowing for appeals.  </w:t>
      </w:r>
    </w:p>
    <w:p w:rsidR="007D43B8" w:rsidRPr="00901390" w:rsidRDefault="007D43B8" w:rsidP="007D43B8">
      <w:pPr>
        <w:numPr>
          <w:ilvl w:val="2"/>
          <w:numId w:val="19"/>
        </w:numPr>
        <w:spacing w:after="240"/>
        <w:ind w:left="709" w:hanging="709"/>
        <w:rPr>
          <w:b/>
        </w:rPr>
      </w:pPr>
      <w:r w:rsidRPr="00901390">
        <w:t xml:space="preserve">This </w:t>
      </w:r>
      <w:r>
        <w:t xml:space="preserve">would have resulted in </w:t>
      </w:r>
      <w:r w:rsidRPr="00901390">
        <w:t xml:space="preserve">a change in the </w:t>
      </w:r>
      <w:r>
        <w:t xml:space="preserve">business rates income available to authorities under the business rates retention scheme, for reasons </w:t>
      </w:r>
      <w:r w:rsidRPr="00901390">
        <w:t>outside the</w:t>
      </w:r>
      <w:r>
        <w:t>ir</w:t>
      </w:r>
      <w:r w:rsidRPr="00901390">
        <w:t xml:space="preserve"> control</w:t>
      </w:r>
      <w:r>
        <w:t>.</w:t>
      </w:r>
      <w:r w:rsidRPr="00901390">
        <w:t xml:space="preserve">  </w:t>
      </w:r>
      <w:r>
        <w:t>Therefore, w</w:t>
      </w:r>
      <w:r w:rsidRPr="00901390">
        <w:t>hen the Government introduced the 50% business rate</w:t>
      </w:r>
      <w:r w:rsidR="00360B6F">
        <w:t>s</w:t>
      </w:r>
      <w:r w:rsidRPr="00901390">
        <w:t xml:space="preserve"> retention scheme</w:t>
      </w:r>
      <w:r>
        <w:t>,</w:t>
      </w:r>
      <w:r w:rsidRPr="00901390">
        <w:t xml:space="preserve"> it signalled that it would adjust each authority’s tariff or top up following a revaluation to ensure, as far as is practicable, that their retained income </w:t>
      </w:r>
      <w:r>
        <w:t>was</w:t>
      </w:r>
      <w:r w:rsidRPr="00901390">
        <w:t xml:space="preserve"> the same after revaluation as immediately before</w:t>
      </w:r>
      <w:r>
        <w:t>; thereby ensuring</w:t>
      </w:r>
      <w:r w:rsidRPr="00901390">
        <w:t xml:space="preserve"> that the growth incentive created by the rates retention scheme and the delivery of public services will not be </w:t>
      </w:r>
      <w:r>
        <w:t>threatened</w:t>
      </w:r>
      <w:r w:rsidRPr="00901390">
        <w:t xml:space="preserve"> by losses of income outside the control of authorities. </w:t>
      </w:r>
    </w:p>
    <w:p w:rsidR="00C23FC8" w:rsidRPr="00C23FC8" w:rsidRDefault="007D43B8" w:rsidP="007D43B8">
      <w:pPr>
        <w:numPr>
          <w:ilvl w:val="2"/>
          <w:numId w:val="19"/>
        </w:numPr>
        <w:tabs>
          <w:tab w:val="left" w:pos="8789"/>
        </w:tabs>
        <w:spacing w:after="240"/>
        <w:ind w:left="709" w:hanging="709"/>
      </w:pPr>
      <w:r w:rsidRPr="00C23FC8">
        <w:t>At the 2017-18 local government finance settlement the Government used a formula – originally set out at Annex A of the provisional s</w:t>
      </w:r>
      <w:r w:rsidR="00C23FC8" w:rsidRPr="00C23FC8">
        <w:t>ettlement consultation document</w:t>
      </w:r>
      <w:r w:rsidRPr="00C23FC8">
        <w:rPr>
          <w:rStyle w:val="FootnoteReference"/>
        </w:rPr>
        <w:footnoteReference w:id="7"/>
      </w:r>
      <w:r w:rsidR="00C23FC8" w:rsidRPr="00C23FC8">
        <w:t xml:space="preserve"> – </w:t>
      </w:r>
      <w:r w:rsidRPr="00C23FC8">
        <w:t xml:space="preserve">to adjust </w:t>
      </w:r>
      <w:r w:rsidR="002E6D49">
        <w:t xml:space="preserve">tariffs and top-ups for 2017-18. At that time the Government made </w:t>
      </w:r>
      <w:r w:rsidRPr="00C23FC8">
        <w:t>it clear that these would be further revised at the 2018-19</w:t>
      </w:r>
      <w:r w:rsidR="00D31DC3">
        <w:t xml:space="preserve"> local government finance</w:t>
      </w:r>
      <w:r w:rsidRPr="00C23FC8">
        <w:t xml:space="preserve"> </w:t>
      </w:r>
      <w:r w:rsidR="00D31DC3">
        <w:t>s</w:t>
      </w:r>
      <w:r w:rsidRPr="00C23FC8">
        <w:t>ettlement to take account of updated data</w:t>
      </w:r>
      <w:r w:rsidR="002E6D49">
        <w:t>, with a final technical adjustment for 2019-20</w:t>
      </w:r>
      <w:r w:rsidR="00C23FC8" w:rsidRPr="00C23FC8">
        <w:t>.</w:t>
      </w:r>
    </w:p>
    <w:p w:rsidR="00C23FC8" w:rsidRPr="00C23FC8" w:rsidRDefault="007D43B8" w:rsidP="007D43B8">
      <w:pPr>
        <w:numPr>
          <w:ilvl w:val="2"/>
          <w:numId w:val="19"/>
        </w:numPr>
        <w:tabs>
          <w:tab w:val="left" w:pos="8789"/>
        </w:tabs>
        <w:spacing w:after="240"/>
        <w:ind w:left="709" w:hanging="709"/>
      </w:pPr>
      <w:r w:rsidRPr="00C23FC8">
        <w:t xml:space="preserve">Since using the formula in the 2017-18 </w:t>
      </w:r>
      <w:r w:rsidR="00C23FC8" w:rsidRPr="00C23FC8">
        <w:t>local government finance s</w:t>
      </w:r>
      <w:r w:rsidRPr="00C23FC8">
        <w:t xml:space="preserve">ettlement, </w:t>
      </w:r>
      <w:r w:rsidR="00A33C27">
        <w:t xml:space="preserve">responses received from </w:t>
      </w:r>
      <w:r w:rsidRPr="00C23FC8">
        <w:t>local authorities</w:t>
      </w:r>
      <w:r w:rsidR="00A33C27">
        <w:t xml:space="preserve"> to the 2018-19 local government finance settlement technical consultation</w:t>
      </w:r>
      <w:r w:rsidRPr="00C23FC8">
        <w:t xml:space="preserve"> </w:t>
      </w:r>
      <w:r w:rsidR="00A33C27">
        <w:t>queried</w:t>
      </w:r>
      <w:r w:rsidRPr="00C23FC8">
        <w:t xml:space="preserve"> whether the formula unfairly distorts the </w:t>
      </w:r>
      <w:r w:rsidRPr="00C23FC8">
        <w:lastRenderedPageBreak/>
        <w:t xml:space="preserve">changes to tariffs and top-ups because of the way it takes account of the decisions authorities have made about increasing, or reducing their appeal provisions in 2016-17. </w:t>
      </w:r>
    </w:p>
    <w:p w:rsidR="00C23FC8" w:rsidRPr="00C23FC8" w:rsidRDefault="007D43B8" w:rsidP="007D43B8">
      <w:pPr>
        <w:numPr>
          <w:ilvl w:val="2"/>
          <w:numId w:val="19"/>
        </w:numPr>
        <w:tabs>
          <w:tab w:val="left" w:pos="8789"/>
        </w:tabs>
        <w:spacing w:after="240"/>
        <w:ind w:left="709" w:hanging="709"/>
      </w:pPr>
      <w:r w:rsidRPr="00C23FC8">
        <w:t xml:space="preserve">Having carefully considered </w:t>
      </w:r>
      <w:r w:rsidR="00A33C27">
        <w:t>these responses</w:t>
      </w:r>
      <w:r w:rsidRPr="00C23FC8">
        <w:t xml:space="preserve">, the Government proposes to change the formula to </w:t>
      </w:r>
      <w:r w:rsidR="00C23FC8" w:rsidRPr="00C23FC8">
        <w:t>remove</w:t>
      </w:r>
      <w:r w:rsidRPr="00C23FC8">
        <w:t xml:space="preserve"> the impact of one-off changes to appeal provisions in 2016-17.</w:t>
      </w:r>
      <w:r w:rsidR="00C23FC8" w:rsidRPr="00C23FC8">
        <w:t xml:space="preserve"> T</w:t>
      </w:r>
      <w:r w:rsidRPr="00C23FC8">
        <w:t xml:space="preserve">he methodology that the Government proposes to employ to further revise 2017-18 tariff and top-ups is set out at </w:t>
      </w:r>
      <w:r w:rsidR="00A33C27">
        <w:t>Annex A</w:t>
      </w:r>
      <w:r w:rsidRPr="00C23FC8">
        <w:t>.</w:t>
      </w:r>
    </w:p>
    <w:p w:rsidR="007D43B8" w:rsidRDefault="007D43B8" w:rsidP="007D43B8">
      <w:pPr>
        <w:numPr>
          <w:ilvl w:val="2"/>
          <w:numId w:val="19"/>
        </w:numPr>
        <w:tabs>
          <w:tab w:val="left" w:pos="8789"/>
        </w:tabs>
        <w:spacing w:after="240"/>
        <w:ind w:left="709" w:hanging="709"/>
      </w:pPr>
      <w:r w:rsidRPr="00C23FC8">
        <w:t>The revised 2017-18 tariffs and top-ups</w:t>
      </w:r>
      <w:r w:rsidR="00C23FC8" w:rsidRPr="00C23FC8">
        <w:t>,</w:t>
      </w:r>
      <w:r w:rsidRPr="00C23FC8">
        <w:t xml:space="preserve"> calculated in accordance with this formula</w:t>
      </w:r>
      <w:r w:rsidR="00C23FC8" w:rsidRPr="00C23FC8">
        <w:t>,</w:t>
      </w:r>
      <w:r w:rsidRPr="00C23FC8">
        <w:t xml:space="preserve"> will be indexed by the change in the small business rating multiplier between 2017-18 and 2018-19 to determine a tariff or top-up for each authority for 2018-19. Exceptionally, in 2018-19 authorities will also pay, or receive, an “adjustment”, representing the difference betwee</w:t>
      </w:r>
      <w:r w:rsidR="00C23FC8" w:rsidRPr="00C23FC8">
        <w:t xml:space="preserve">n their revised 2017-18 tariff </w:t>
      </w:r>
      <w:proofErr w:type="gramStart"/>
      <w:r w:rsidRPr="00C23FC8">
        <w:t>or</w:t>
      </w:r>
      <w:proofErr w:type="gramEnd"/>
      <w:r w:rsidRPr="00C23FC8">
        <w:t xml:space="preserve"> top-up</w:t>
      </w:r>
      <w:r w:rsidR="00C23FC8" w:rsidRPr="00C23FC8">
        <w:t>,</w:t>
      </w:r>
      <w:r w:rsidRPr="00C23FC8">
        <w:t xml:space="preserve"> and the tariff or top-up that was set out in the 2017-18 </w:t>
      </w:r>
      <w:r w:rsidR="00C23FC8" w:rsidRPr="00C23FC8">
        <w:t>local government finance s</w:t>
      </w:r>
      <w:r w:rsidRPr="00C23FC8">
        <w:t>ettlement.</w:t>
      </w:r>
    </w:p>
    <w:p w:rsidR="00162BC8" w:rsidRPr="00C23FC8" w:rsidRDefault="00162BC8" w:rsidP="00162BC8">
      <w:pPr>
        <w:tabs>
          <w:tab w:val="left" w:pos="8789"/>
        </w:tabs>
        <w:spacing w:after="240"/>
      </w:pPr>
      <w:r w:rsidRPr="00665BBA">
        <w:rPr>
          <w:rFonts w:cs="Arial"/>
          <w:b/>
        </w:rPr>
        <w:t xml:space="preserve">Question </w:t>
      </w:r>
      <w:r w:rsidR="00E92EEA">
        <w:rPr>
          <w:rFonts w:cs="Arial"/>
          <w:b/>
        </w:rPr>
        <w:t>6</w:t>
      </w:r>
      <w:r w:rsidRPr="00665BBA">
        <w:rPr>
          <w:rFonts w:cs="Arial"/>
          <w:b/>
        </w:rPr>
        <w:t xml:space="preserve">: </w:t>
      </w:r>
      <w:r w:rsidRPr="00162BC8">
        <w:rPr>
          <w:b/>
        </w:rPr>
        <w:t xml:space="preserve">Do you agree with the methodology for calculating the revaluation </w:t>
      </w:r>
      <w:r w:rsidRPr="00575BC0">
        <w:rPr>
          <w:b/>
        </w:rPr>
        <w:t>adjustment to business rates tariff and top-up payments as outlined in paragraphs 3.5.1 to 3.5.6?</w:t>
      </w:r>
    </w:p>
    <w:p w:rsidR="00DF14CF" w:rsidRPr="008D024D" w:rsidRDefault="00DF14CF" w:rsidP="001A3356">
      <w:pPr>
        <w:numPr>
          <w:ilvl w:val="1"/>
          <w:numId w:val="19"/>
        </w:numPr>
        <w:spacing w:after="240"/>
      </w:pPr>
      <w:r w:rsidRPr="008D024D">
        <w:rPr>
          <w:b/>
        </w:rPr>
        <w:t>Adjustments to business rates in areas piloting 100% business rates retention</w:t>
      </w:r>
    </w:p>
    <w:p w:rsidR="00C23FC8" w:rsidRPr="008D024D" w:rsidRDefault="00C23FC8" w:rsidP="00C23FC8">
      <w:pPr>
        <w:numPr>
          <w:ilvl w:val="2"/>
          <w:numId w:val="19"/>
        </w:numPr>
        <w:spacing w:after="240"/>
        <w:ind w:left="709" w:hanging="709"/>
      </w:pPr>
      <w:r w:rsidRPr="008D024D">
        <w:t>Last year, agreement was reached with</w:t>
      </w:r>
      <w:r>
        <w:t xml:space="preserve"> a number of</w:t>
      </w:r>
      <w:r w:rsidRPr="008D024D">
        <w:t xml:space="preserve"> devolution </w:t>
      </w:r>
      <w:r>
        <w:t xml:space="preserve">deal </w:t>
      </w:r>
      <w:r w:rsidRPr="008D024D">
        <w:t>areas to pilot 100% business rate retention. Greater Manchester and Liverpool City Region, together with Cornwall Council and the councils in the combined authority areas of West of England and West Midlands will continue to pilot 100% rates retention in 2018-19.</w:t>
      </w:r>
      <w:r>
        <w:t xml:space="preserve"> As announced at the Budget, the GLA, the City of London and all the London Boroughs will form a “pool” for the purposes of the business rates retention scheme and will also pilot 100% business rates retention in 2018-19.  </w:t>
      </w:r>
      <w:r w:rsidRPr="008D024D">
        <w:t xml:space="preserve"> </w:t>
      </w:r>
    </w:p>
    <w:p w:rsidR="00C23FC8" w:rsidRPr="0095021C" w:rsidRDefault="00C23FC8" w:rsidP="00C23FC8">
      <w:pPr>
        <w:numPr>
          <w:ilvl w:val="2"/>
          <w:numId w:val="19"/>
        </w:numPr>
        <w:spacing w:after="240"/>
        <w:ind w:left="709" w:hanging="709"/>
      </w:pPr>
      <w:r w:rsidRPr="0095021C">
        <w:t xml:space="preserve">In addition, following successful bids to pilot in other areas, a further </w:t>
      </w:r>
      <w:r w:rsidR="00E96CD9" w:rsidRPr="0095021C">
        <w:t>89</w:t>
      </w:r>
      <w:r w:rsidRPr="0095021C">
        <w:t xml:space="preserve"> local authorities in </w:t>
      </w:r>
      <w:r w:rsidR="0095021C" w:rsidRPr="0095021C">
        <w:t>10</w:t>
      </w:r>
      <w:r w:rsidRPr="0095021C">
        <w:t xml:space="preserve"> areas will form “pools” to pilot 100% business rate retention in 2018-19. Taken together, these pilots will allow us to test the greatest number of different variants of 100% business rates retention, and to assess how different structures support local growth and the sustainability of local services.</w:t>
      </w:r>
      <w:r w:rsidR="0095021C">
        <w:rPr>
          <w:rStyle w:val="FootnoteReference"/>
        </w:rPr>
        <w:footnoteReference w:id="8"/>
      </w:r>
    </w:p>
    <w:p w:rsidR="00C23FC8" w:rsidRPr="008D024D" w:rsidRDefault="00C23FC8" w:rsidP="00C23FC8">
      <w:pPr>
        <w:numPr>
          <w:ilvl w:val="2"/>
          <w:numId w:val="19"/>
        </w:numPr>
        <w:spacing w:after="240"/>
        <w:ind w:left="709" w:hanging="709"/>
      </w:pPr>
      <w:r w:rsidRPr="008D024D">
        <w:t xml:space="preserve">Through the pilots we will also test a number of potential elements of the 100% </w:t>
      </w:r>
      <w:r>
        <w:t xml:space="preserve">business </w:t>
      </w:r>
      <w:r w:rsidRPr="008D024D">
        <w:t xml:space="preserve">rates retention scheme, including revised safety net arrangements. These arrangements will not impact on non-pilot authorities. </w:t>
      </w:r>
    </w:p>
    <w:p w:rsidR="00D44A08" w:rsidRPr="00162BC8" w:rsidRDefault="00124CBD" w:rsidP="006D5767">
      <w:pPr>
        <w:numPr>
          <w:ilvl w:val="2"/>
          <w:numId w:val="19"/>
        </w:numPr>
        <w:spacing w:after="240"/>
        <w:ind w:left="709" w:hanging="709"/>
      </w:pPr>
      <w:r w:rsidRPr="00162BC8">
        <w:t>New</w:t>
      </w:r>
      <w:r w:rsidR="00C23FC8" w:rsidRPr="00162BC8">
        <w:t xml:space="preserve"> pilot authorities will each retain 100% of locally-raised business rates. In return they will forego Revenue Support Grant (RSG) and Rural Services Delivery Grant</w:t>
      </w:r>
      <w:r w:rsidR="005C0C28" w:rsidRPr="00162BC8">
        <w:t>.</w:t>
      </w:r>
      <w:r w:rsidR="00C23FC8" w:rsidRPr="00162BC8">
        <w:t xml:space="preserve"> Authorities’ tariffs and top-ups will be adjusted to ensure </w:t>
      </w:r>
      <w:r w:rsidR="00B55822">
        <w:t>fiscal</w:t>
      </w:r>
      <w:r w:rsidR="00C23FC8" w:rsidRPr="00162BC8">
        <w:t xml:space="preserve"> neutrality. </w:t>
      </w:r>
      <w:r w:rsidR="006B1426" w:rsidRPr="00162BC8">
        <w:t xml:space="preserve">In the 2017-18 local government finance settlement technical consultation, the Government set out a methodology for calculating the baseline funding levels, business rates baselines and tariffs and top-ups of the pilot authorities for 2017-18. </w:t>
      </w:r>
      <w:r w:rsidR="006D5767" w:rsidRPr="00162BC8">
        <w:lastRenderedPageBreak/>
        <w:t>We propose to use the same methodology in 2018-19 to calculate the baseline funding levels, business rates baselines and tariffs and top-ups for the “new” 2018-19 pilots and to amend the baseline funding levels, business rates baselines and tariffs and top-ups for the pilots created in 2017-18, to reflect changes in those authorities’ grant totals between 2017-18 and 2018-</w:t>
      </w:r>
      <w:r w:rsidR="00B55822">
        <w:t>19</w:t>
      </w:r>
      <w:r w:rsidR="006D5767" w:rsidRPr="00162BC8">
        <w:t>.</w:t>
      </w:r>
      <w:r w:rsidR="00D44A08" w:rsidRPr="00162BC8">
        <w:br w:type="page"/>
      </w:r>
    </w:p>
    <w:p w:rsidR="00FB5030" w:rsidRPr="00D5632F" w:rsidRDefault="000A63AA" w:rsidP="00FB5030">
      <w:pPr>
        <w:pStyle w:val="Heading1"/>
      </w:pPr>
      <w:bookmarkStart w:id="19" w:name="_Toc458513285"/>
      <w:bookmarkStart w:id="20" w:name="_Toc501111213"/>
      <w:bookmarkStart w:id="21" w:name="_Toc456079650"/>
      <w:bookmarkStart w:id="22" w:name="_Toc456079797"/>
      <w:bookmarkStart w:id="23" w:name="_Toc456081570"/>
      <w:bookmarkStart w:id="24" w:name="_Toc456081592"/>
      <w:bookmarkStart w:id="25" w:name="_Toc456081658"/>
      <w:bookmarkStart w:id="26" w:name="_Toc456081723"/>
      <w:bookmarkStart w:id="27" w:name="_Toc456694463"/>
      <w:bookmarkStart w:id="28" w:name="_Toc456879000"/>
      <w:bookmarkStart w:id="29" w:name="_Toc457216747"/>
      <w:bookmarkStart w:id="30" w:name="_Toc457221280"/>
      <w:bookmarkStart w:id="31" w:name="_Toc457221522"/>
      <w:bookmarkStart w:id="32" w:name="_Toc457221571"/>
      <w:bookmarkStart w:id="33" w:name="_Toc457221610"/>
      <w:bookmarkStart w:id="34" w:name="_Toc457221669"/>
      <w:bookmarkStart w:id="35" w:name="_Toc457221935"/>
      <w:bookmarkStart w:id="36" w:name="_Toc457226585"/>
      <w:bookmarkStart w:id="37" w:name="_Toc457227253"/>
      <w:bookmarkStart w:id="38" w:name="_Toc457230498"/>
      <w:bookmarkStart w:id="39" w:name="_Toc458513288"/>
      <w:bookmarkStart w:id="40" w:name="_Toc458515959"/>
      <w:bookmarkStart w:id="41" w:name="_Toc458697308"/>
      <w:bookmarkStart w:id="42" w:name="_Toc458698458"/>
      <w:bookmarkStart w:id="43" w:name="_Toc460323905"/>
      <w:bookmarkEnd w:id="19"/>
      <w:r w:rsidRPr="00D5632F">
        <w:lastRenderedPageBreak/>
        <w:t>4</w:t>
      </w:r>
      <w:r w:rsidR="00FB5030" w:rsidRPr="00D5632F">
        <w:t xml:space="preserve">. </w:t>
      </w:r>
      <w:r w:rsidRPr="00D5632F">
        <w:t>Draft equality statement</w:t>
      </w:r>
      <w:bookmarkEnd w:id="20"/>
    </w:p>
    <w:p w:rsidR="00FB5030" w:rsidRPr="00D44A08" w:rsidRDefault="00D5632F" w:rsidP="00B8471F">
      <w:pPr>
        <w:pStyle w:val="ListParagraph"/>
        <w:numPr>
          <w:ilvl w:val="0"/>
          <w:numId w:val="27"/>
        </w:numPr>
        <w:ind w:hanging="720"/>
        <w:rPr>
          <w:rFonts w:eastAsia="Times New Roman" w:cs="Times New Roman"/>
        </w:rPr>
      </w:pPr>
      <w:r w:rsidRPr="00D44A08">
        <w:rPr>
          <w:rFonts w:eastAsia="Times New Roman" w:cs="Times New Roman"/>
        </w:rPr>
        <w:t xml:space="preserve">In </w:t>
      </w:r>
      <w:r w:rsidR="001F17D1" w:rsidRPr="00D44A08">
        <w:rPr>
          <w:rFonts w:eastAsia="Times New Roman" w:cs="Times New Roman"/>
        </w:rPr>
        <w:t>t</w:t>
      </w:r>
      <w:r w:rsidRPr="00D44A08">
        <w:rPr>
          <w:rFonts w:eastAsia="Times New Roman" w:cs="Times New Roman"/>
        </w:rPr>
        <w:t xml:space="preserve">he 2018-19 </w:t>
      </w:r>
      <w:r w:rsidR="001F17D1" w:rsidRPr="00D44A08">
        <w:rPr>
          <w:rFonts w:eastAsia="Times New Roman" w:cs="Times New Roman"/>
        </w:rPr>
        <w:t>l</w:t>
      </w:r>
      <w:r w:rsidRPr="00D44A08">
        <w:rPr>
          <w:rFonts w:eastAsia="Times New Roman" w:cs="Times New Roman"/>
        </w:rPr>
        <w:t xml:space="preserve">ocal </w:t>
      </w:r>
      <w:r w:rsidR="001F17D1" w:rsidRPr="00D44A08">
        <w:rPr>
          <w:rFonts w:eastAsia="Times New Roman" w:cs="Times New Roman"/>
        </w:rPr>
        <w:t>g</w:t>
      </w:r>
      <w:r w:rsidRPr="00D44A08">
        <w:rPr>
          <w:rFonts w:eastAsia="Times New Roman" w:cs="Times New Roman"/>
        </w:rPr>
        <w:t xml:space="preserve">overnment </w:t>
      </w:r>
      <w:r w:rsidR="001F17D1" w:rsidRPr="00D44A08">
        <w:rPr>
          <w:rFonts w:eastAsia="Times New Roman" w:cs="Times New Roman"/>
        </w:rPr>
        <w:t>f</w:t>
      </w:r>
      <w:r w:rsidRPr="00D44A08">
        <w:rPr>
          <w:rFonts w:eastAsia="Times New Roman" w:cs="Times New Roman"/>
        </w:rPr>
        <w:t xml:space="preserve">inance </w:t>
      </w:r>
      <w:r w:rsidR="001F17D1" w:rsidRPr="00D44A08">
        <w:rPr>
          <w:rFonts w:eastAsia="Times New Roman" w:cs="Times New Roman"/>
        </w:rPr>
        <w:t>s</w:t>
      </w:r>
      <w:r w:rsidRPr="00D44A08">
        <w:rPr>
          <w:rFonts w:eastAsia="Times New Roman" w:cs="Times New Roman"/>
        </w:rPr>
        <w:t>ettlement technical consultation</w:t>
      </w:r>
      <w:r w:rsidR="00C0151F" w:rsidRPr="00D44A08">
        <w:rPr>
          <w:rFonts w:eastAsia="Times New Roman" w:cs="Times New Roman"/>
        </w:rPr>
        <w:t>, w</w:t>
      </w:r>
      <w:r w:rsidR="00F64EEF" w:rsidRPr="00D44A08">
        <w:rPr>
          <w:rFonts w:eastAsia="Times New Roman" w:cs="Times New Roman"/>
        </w:rPr>
        <w:t xml:space="preserve">e </w:t>
      </w:r>
      <w:r w:rsidR="00C0151F" w:rsidRPr="00D44A08">
        <w:rPr>
          <w:rFonts w:eastAsia="Times New Roman" w:cs="Times New Roman"/>
        </w:rPr>
        <w:t xml:space="preserve">sought views on the impact of the proposals for </w:t>
      </w:r>
      <w:r w:rsidRPr="00D44A08">
        <w:rPr>
          <w:rFonts w:eastAsia="Times New Roman" w:cs="Times New Roman"/>
        </w:rPr>
        <w:t>the 2018-19</w:t>
      </w:r>
      <w:r w:rsidR="00C0151F" w:rsidRPr="00D44A08">
        <w:rPr>
          <w:rFonts w:eastAsia="Times New Roman" w:cs="Times New Roman"/>
        </w:rPr>
        <w:t xml:space="preserve"> settlement outlined in the consultation document on persons who share a protected characteristic. A </w:t>
      </w:r>
      <w:r w:rsidR="00B5674F" w:rsidRPr="00D44A08">
        <w:rPr>
          <w:rFonts w:eastAsia="Times New Roman" w:cs="Times New Roman"/>
        </w:rPr>
        <w:t xml:space="preserve">draft equality statement </w:t>
      </w:r>
      <w:r w:rsidR="00C0151F" w:rsidRPr="00D44A08">
        <w:rPr>
          <w:rFonts w:eastAsia="Times New Roman" w:cs="Times New Roman"/>
        </w:rPr>
        <w:t xml:space="preserve">for </w:t>
      </w:r>
      <w:r w:rsidR="00B5674F" w:rsidRPr="00D44A08">
        <w:rPr>
          <w:rFonts w:eastAsia="Times New Roman" w:cs="Times New Roman"/>
        </w:rPr>
        <w:t xml:space="preserve">the provisional </w:t>
      </w:r>
      <w:r w:rsidRPr="00D44A08">
        <w:rPr>
          <w:rFonts w:eastAsia="Times New Roman" w:cs="Times New Roman"/>
        </w:rPr>
        <w:t>2018-19</w:t>
      </w:r>
      <w:r w:rsidR="00B5674F" w:rsidRPr="00D44A08">
        <w:rPr>
          <w:rFonts w:eastAsia="Times New Roman" w:cs="Times New Roman"/>
        </w:rPr>
        <w:t xml:space="preserve"> local government finance settlement has been published alongside this consultation document.</w:t>
      </w:r>
    </w:p>
    <w:p w:rsidR="00C0151F" w:rsidRPr="00AE289F" w:rsidRDefault="00C0151F" w:rsidP="000A63AA">
      <w:pPr>
        <w:rPr>
          <w:highlight w:val="yellow"/>
        </w:rPr>
      </w:pPr>
    </w:p>
    <w:p w:rsidR="00B5674F" w:rsidRPr="00D5632F" w:rsidRDefault="00B5674F" w:rsidP="000A63AA">
      <w:pPr>
        <w:rPr>
          <w:b/>
          <w:sz w:val="48"/>
        </w:rPr>
      </w:pPr>
      <w:r w:rsidRPr="00D5632F">
        <w:rPr>
          <w:b/>
        </w:rPr>
        <w:t xml:space="preserve">Question </w:t>
      </w:r>
      <w:r w:rsidR="00E92EEA">
        <w:rPr>
          <w:b/>
        </w:rPr>
        <w:t>7</w:t>
      </w:r>
      <w:r w:rsidRPr="00D5632F">
        <w:rPr>
          <w:b/>
        </w:rPr>
        <w:t xml:space="preserve">: Do you have any comments on the impact of the </w:t>
      </w:r>
      <w:r w:rsidR="00D5632F">
        <w:rPr>
          <w:b/>
        </w:rPr>
        <w:t>2018-19</w:t>
      </w:r>
      <w:r w:rsidRPr="00D5632F">
        <w:rPr>
          <w:b/>
        </w:rPr>
        <w:t xml:space="preserve"> local government finance settlement on those who share a protected characteristic, and on the draft equality statement published alongside this consultation document?</w:t>
      </w:r>
      <w:r w:rsidR="00F64EEF" w:rsidRPr="00D5632F">
        <w:rPr>
          <w:b/>
        </w:rPr>
        <w:t xml:space="preserve"> Please provide </w:t>
      </w:r>
      <w:r w:rsidR="00602820" w:rsidRPr="00D5632F">
        <w:rPr>
          <w:b/>
        </w:rPr>
        <w:t xml:space="preserve">supporting </w:t>
      </w:r>
      <w:r w:rsidR="00F64EEF" w:rsidRPr="00D5632F">
        <w:rPr>
          <w:b/>
        </w:rPr>
        <w:t>evidence</w:t>
      </w:r>
      <w:r w:rsidR="00602820" w:rsidRPr="00D5632F">
        <w:rPr>
          <w:b/>
        </w:rPr>
        <w:t>.</w:t>
      </w:r>
    </w:p>
    <w:p w:rsidR="00B5674F" w:rsidRPr="00D5632F" w:rsidRDefault="00B5674F">
      <w:pPr>
        <w:rPr>
          <w:sz w:val="48"/>
        </w:rPr>
      </w:pPr>
      <w:r w:rsidRPr="00D5632F">
        <w:br w:type="page"/>
      </w:r>
    </w:p>
    <w:p w:rsidR="00F430F9" w:rsidRPr="00F430F9" w:rsidRDefault="00F430F9" w:rsidP="00F430F9">
      <w:pPr>
        <w:pStyle w:val="Heading1"/>
        <w:rPr>
          <w:rFonts w:cs="Arial"/>
          <w:color w:val="000000"/>
          <w:sz w:val="24"/>
        </w:rPr>
      </w:pPr>
      <w:bookmarkStart w:id="44" w:name="_Toc501111214"/>
      <w:bookmarkStart w:id="45" w:name="_Toc45503425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430F9">
        <w:lastRenderedPageBreak/>
        <w:t>Annex A: Methodology for adjusting for the 2017 revaluation</w:t>
      </w:r>
      <w:bookmarkEnd w:id="44"/>
    </w:p>
    <w:p w:rsidR="00F430F9" w:rsidRDefault="0085655E" w:rsidP="00F430F9">
      <w:pPr>
        <w:spacing w:after="240"/>
        <w:rPr>
          <w:rFonts w:cs="Arial"/>
          <w:b/>
        </w:rPr>
      </w:pPr>
      <w:r>
        <w:rPr>
          <w:rFonts w:cs="Arial"/>
          <w:b/>
        </w:rPr>
        <w:t>20</w:t>
      </w:r>
      <w:r w:rsidR="00F430F9" w:rsidRPr="005C0C28">
        <w:rPr>
          <w:rFonts w:cs="Arial"/>
          <w:b/>
        </w:rPr>
        <w:t>17</w:t>
      </w:r>
      <w:r>
        <w:rPr>
          <w:rFonts w:cs="Arial"/>
          <w:b/>
        </w:rPr>
        <w:t>-</w:t>
      </w:r>
      <w:r w:rsidR="00F430F9" w:rsidRPr="005C0C28">
        <w:rPr>
          <w:rFonts w:cs="Arial"/>
          <w:b/>
        </w:rPr>
        <w:t>18 tariff and top-up as calculated in the Settlement</w:t>
      </w:r>
    </w:p>
    <w:p w:rsidR="00F430F9" w:rsidRDefault="00F430F9" w:rsidP="00F430F9">
      <w:pPr>
        <w:spacing w:after="240"/>
        <w:rPr>
          <w:rFonts w:cs="Arial"/>
          <w:b/>
        </w:rPr>
      </w:pPr>
      <w:r w:rsidRPr="005C0C28">
        <w:rPr>
          <w:rFonts w:cs="Arial"/>
        </w:rPr>
        <w:t>The tariff and top-up amount for 2017</w:t>
      </w:r>
      <w:r w:rsidR="0085655E">
        <w:rPr>
          <w:rFonts w:cs="Arial"/>
        </w:rPr>
        <w:t>-</w:t>
      </w:r>
      <w:r w:rsidRPr="005C0C28">
        <w:rPr>
          <w:rFonts w:cs="Arial"/>
        </w:rPr>
        <w:t>2018 was calculated as:</w:t>
      </w:r>
      <w:r>
        <w:rPr>
          <w:rFonts w:cs="Arial"/>
        </w:rPr>
        <w:t xml:space="preserve"> </w:t>
      </w:r>
      <w:r w:rsidRPr="005C0C28">
        <w:rPr>
          <w:rFonts w:cs="Arial"/>
          <w:b/>
        </w:rPr>
        <w:t xml:space="preserve"> </w:t>
      </w:r>
    </w:p>
    <w:p w:rsidR="00F430F9" w:rsidRPr="00F430F9" w:rsidRDefault="00F430F9" w:rsidP="00F430F9">
      <w:pPr>
        <w:spacing w:after="240"/>
        <w:jc w:val="center"/>
        <w:rPr>
          <w:rFonts w:cs="Arial"/>
          <w:b/>
        </w:rPr>
      </w:pPr>
      <w:r w:rsidRPr="00F430F9">
        <w:rPr>
          <w:rFonts w:cs="Arial"/>
          <w:b/>
        </w:rPr>
        <w:t>(A + B) × (C / D)</w:t>
      </w:r>
    </w:p>
    <w:p w:rsidR="00F430F9" w:rsidRPr="005C0C28" w:rsidRDefault="00F430F9" w:rsidP="00F430F9">
      <w:pPr>
        <w:spacing w:after="240"/>
        <w:rPr>
          <w:rFonts w:cs="Arial"/>
        </w:rPr>
      </w:pPr>
      <w:proofErr w:type="gramStart"/>
      <w:r w:rsidRPr="005C0C28">
        <w:rPr>
          <w:rFonts w:cs="Arial"/>
        </w:rPr>
        <w:t>where</w:t>
      </w:r>
      <w:proofErr w:type="gramEnd"/>
      <w:r w:rsidRPr="005C0C28">
        <w:rPr>
          <w:rFonts w:cs="Arial"/>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A</w:t>
            </w:r>
          </w:p>
        </w:tc>
        <w:tc>
          <w:tcPr>
            <w:tcW w:w="4500" w:type="pct"/>
          </w:tcPr>
          <w:p w:rsidR="00F430F9" w:rsidRPr="00F430F9" w:rsidRDefault="00F430F9" w:rsidP="00540237">
            <w:pPr>
              <w:rPr>
                <w:rFonts w:cs="Arial"/>
                <w:b w:val="0"/>
              </w:rPr>
            </w:pPr>
            <w:r w:rsidRPr="00F430F9">
              <w:rPr>
                <w:rFonts w:cs="Arial"/>
                <w:b w:val="0"/>
              </w:rPr>
              <w:t>is the tariff or top-up amount for the authority for 2016/2017, calculated in accordance with Section 6 of the Local Government Finance Report (England) 2016/2017;</w:t>
            </w:r>
          </w:p>
        </w:tc>
      </w:tr>
    </w:tbl>
    <w:p w:rsidR="00F430F9" w:rsidRPr="00F430F9" w:rsidRDefault="00F430F9" w:rsidP="00F430F9">
      <w:pPr>
        <w:pStyle w:val="Caption"/>
        <w:rPr>
          <w:rFonts w:ascii="Arial" w:hAnsi="Arial" w:cs="Arial"/>
          <w:b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B</w:t>
            </w:r>
          </w:p>
        </w:tc>
        <w:tc>
          <w:tcPr>
            <w:tcW w:w="4500" w:type="pct"/>
          </w:tcPr>
          <w:p w:rsidR="00F430F9" w:rsidRPr="00F430F9" w:rsidRDefault="00F430F9" w:rsidP="00540237">
            <w:pPr>
              <w:rPr>
                <w:rFonts w:cs="Arial"/>
                <w:b w:val="0"/>
              </w:rPr>
            </w:pPr>
            <w:r w:rsidRPr="00F430F9">
              <w:rPr>
                <w:rFonts w:cs="Arial"/>
                <w:b w:val="0"/>
              </w:rPr>
              <w:t>is calculated as follows:</w:t>
            </w:r>
          </w:p>
        </w:tc>
      </w:tr>
    </w:tbl>
    <w:p w:rsidR="00F430F9" w:rsidRPr="00F430F9" w:rsidRDefault="00F430F9" w:rsidP="00F430F9">
      <w:pPr>
        <w:jc w:val="center"/>
        <w:rPr>
          <w:rFonts w:cs="Arial"/>
          <w:b/>
        </w:rPr>
      </w:pPr>
      <w:r w:rsidRPr="00F430F9">
        <w:rPr>
          <w:rFonts w:cs="Arial"/>
          <w:b/>
        </w:rPr>
        <w:t>E × (1 –F / G) × H</w:t>
      </w:r>
    </w:p>
    <w:p w:rsidR="00F430F9" w:rsidRPr="00F430F9" w:rsidRDefault="00F430F9" w:rsidP="00F430F9">
      <w:pP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C</w:t>
            </w:r>
          </w:p>
        </w:tc>
        <w:tc>
          <w:tcPr>
            <w:tcW w:w="4500" w:type="pct"/>
          </w:tcPr>
          <w:p w:rsidR="00F430F9" w:rsidRPr="00F430F9" w:rsidRDefault="00F430F9" w:rsidP="00540237">
            <w:pPr>
              <w:rPr>
                <w:rFonts w:cs="Arial"/>
                <w:b w:val="0"/>
              </w:rPr>
            </w:pPr>
            <w:r w:rsidRPr="00F430F9">
              <w:rPr>
                <w:rFonts w:cs="Arial"/>
                <w:b w:val="0"/>
              </w:rPr>
              <w:t>is the value of the September 2016 RPI, which is 264.9;</w:t>
            </w:r>
          </w:p>
        </w:tc>
      </w:tr>
      <w:tr w:rsidR="00F430F9" w:rsidRPr="00F430F9" w:rsidTr="00540237">
        <w:tc>
          <w:tcPr>
            <w:tcW w:w="500" w:type="pct"/>
          </w:tcPr>
          <w:p w:rsidR="00F430F9" w:rsidRPr="00F430F9" w:rsidRDefault="00F430F9" w:rsidP="00540237">
            <w:pPr>
              <w:spacing w:after="240"/>
              <w:rPr>
                <w:rFonts w:cs="Arial"/>
              </w:rPr>
            </w:pPr>
            <w:r w:rsidRPr="00F430F9">
              <w:rPr>
                <w:rFonts w:cs="Arial"/>
              </w:rPr>
              <w:t>D</w:t>
            </w:r>
          </w:p>
        </w:tc>
        <w:tc>
          <w:tcPr>
            <w:tcW w:w="4500" w:type="pct"/>
          </w:tcPr>
          <w:p w:rsidR="00F430F9" w:rsidRPr="00F430F9" w:rsidRDefault="00F430F9" w:rsidP="00540237">
            <w:pPr>
              <w:rPr>
                <w:rFonts w:cs="Arial"/>
              </w:rPr>
            </w:pPr>
            <w:r w:rsidRPr="00F430F9">
              <w:rPr>
                <w:rFonts w:cs="Arial"/>
              </w:rPr>
              <w:t>is the value of the September 2015 RPI, which is 259.6;</w:t>
            </w:r>
          </w:p>
        </w:tc>
      </w:tr>
      <w:tr w:rsidR="00F430F9" w:rsidRPr="00F430F9" w:rsidTr="00540237">
        <w:tc>
          <w:tcPr>
            <w:tcW w:w="500" w:type="pct"/>
          </w:tcPr>
          <w:p w:rsidR="00F430F9" w:rsidRPr="00F430F9" w:rsidRDefault="00F430F9" w:rsidP="00540237">
            <w:pPr>
              <w:spacing w:after="240"/>
              <w:rPr>
                <w:rFonts w:cs="Arial"/>
              </w:rPr>
            </w:pPr>
            <w:r w:rsidRPr="00F430F9">
              <w:rPr>
                <w:rFonts w:cs="Arial"/>
              </w:rPr>
              <w:t>E</w:t>
            </w:r>
          </w:p>
        </w:tc>
        <w:tc>
          <w:tcPr>
            <w:tcW w:w="4500" w:type="pct"/>
          </w:tcPr>
          <w:p w:rsidR="00F430F9" w:rsidRPr="00F430F9" w:rsidRDefault="00F430F9" w:rsidP="00540237">
            <w:pPr>
              <w:rPr>
                <w:rFonts w:cs="Arial"/>
              </w:rPr>
            </w:pPr>
            <w:r w:rsidRPr="00F430F9">
              <w:rPr>
                <w:rFonts w:cs="Arial"/>
              </w:rPr>
              <w:t>is the sum of:</w:t>
            </w:r>
          </w:p>
          <w:p w:rsidR="00F430F9" w:rsidRPr="00F430F9" w:rsidRDefault="00F430F9" w:rsidP="00540237">
            <w:pPr>
              <w:ind w:left="566"/>
              <w:rPr>
                <w:rFonts w:cs="Arial"/>
              </w:rPr>
            </w:pPr>
            <w:proofErr w:type="gramStart"/>
            <w:r w:rsidRPr="00F430F9">
              <w:rPr>
                <w:rFonts w:cs="Arial"/>
              </w:rPr>
              <w:t>an</w:t>
            </w:r>
            <w:proofErr w:type="gramEnd"/>
            <w:r w:rsidRPr="00F430F9">
              <w:rPr>
                <w:rFonts w:cs="Arial"/>
              </w:rPr>
              <w:t xml:space="preserve"> authority’s income from business rates; plus the amount of section 31 grant paid to the authority in 2015/2016 to compensate for loss of business rates income multiplied by 0.484/0.480 to bring it up to 2016-17 values.</w:t>
            </w:r>
          </w:p>
        </w:tc>
      </w:tr>
    </w:tbl>
    <w:p w:rsidR="00F430F9" w:rsidRPr="00F430F9" w:rsidRDefault="00F430F9" w:rsidP="00F430F9">
      <w:pPr>
        <w:pStyle w:val="Caption"/>
        <w:rPr>
          <w:rFonts w:ascii="Arial" w:hAnsi="Arial" w:cs="Arial"/>
          <w:b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F</w:t>
            </w:r>
          </w:p>
        </w:tc>
        <w:tc>
          <w:tcPr>
            <w:tcW w:w="4500" w:type="pct"/>
          </w:tcPr>
          <w:p w:rsidR="00F430F9" w:rsidRPr="00F430F9" w:rsidRDefault="00F430F9" w:rsidP="00540237">
            <w:pPr>
              <w:rPr>
                <w:rFonts w:cs="Arial"/>
                <w:b w:val="0"/>
              </w:rPr>
            </w:pPr>
            <w:r w:rsidRPr="00F430F9">
              <w:rPr>
                <w:rFonts w:cs="Arial"/>
                <w:b w:val="0"/>
              </w:rPr>
              <w:t>is:</w:t>
            </w:r>
          </w:p>
          <w:p w:rsidR="00F430F9" w:rsidRPr="00F430F9" w:rsidRDefault="00F430F9" w:rsidP="00540237">
            <w:pPr>
              <w:ind w:left="566"/>
              <w:rPr>
                <w:rFonts w:cs="Arial"/>
                <w:b w:val="0"/>
              </w:rPr>
            </w:pPr>
            <w:r w:rsidRPr="00F430F9">
              <w:rPr>
                <w:rFonts w:cs="Arial"/>
                <w:b w:val="0"/>
              </w:rPr>
              <w:t>the sum of rateable value in all of the draft 2017 local rating lists covering the authority’s area using the draft lists published on 28 September 2016</w:t>
            </w:r>
            <w:r w:rsidRPr="00F430F9">
              <w:rPr>
                <w:rStyle w:val="FootnoteReference"/>
                <w:rFonts w:cs="Arial"/>
                <w:b w:val="0"/>
              </w:rPr>
              <w:footnoteReference w:id="9"/>
            </w:r>
            <w:r w:rsidRPr="00F430F9">
              <w:rPr>
                <w:rFonts w:cs="Arial"/>
                <w:b w:val="0"/>
              </w:rPr>
              <w:t>; multiplied by the 2017/2018 small business rates multiplier adjusted for revaluation, which is 0.436</w:t>
            </w:r>
          </w:p>
        </w:tc>
      </w:tr>
    </w:tbl>
    <w:p w:rsidR="00F430F9" w:rsidRPr="00F430F9" w:rsidRDefault="00F430F9" w:rsidP="00F430F9">
      <w:pPr>
        <w:pStyle w:val="Caption"/>
        <w:rPr>
          <w:rFonts w:ascii="Arial" w:hAnsi="Arial" w:cs="Arial"/>
          <w:b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bookmarkStart w:id="46" w:name="_Ref472520992"/>
            <w:r w:rsidRPr="00F430F9">
              <w:rPr>
                <w:rFonts w:cs="Arial"/>
                <w:b w:val="0"/>
              </w:rPr>
              <w:br w:type="page"/>
            </w:r>
            <w:bookmarkEnd w:id="46"/>
            <w:r w:rsidRPr="00F430F9">
              <w:rPr>
                <w:rFonts w:cs="Arial"/>
                <w:b w:val="0"/>
              </w:rPr>
              <w:t>G</w:t>
            </w:r>
          </w:p>
        </w:tc>
        <w:tc>
          <w:tcPr>
            <w:tcW w:w="4500" w:type="pct"/>
          </w:tcPr>
          <w:p w:rsidR="00F430F9" w:rsidRPr="00F430F9" w:rsidRDefault="00F430F9" w:rsidP="00540237">
            <w:pPr>
              <w:rPr>
                <w:rFonts w:cs="Arial"/>
                <w:b w:val="0"/>
              </w:rPr>
            </w:pPr>
            <w:r w:rsidRPr="00F430F9">
              <w:rPr>
                <w:rFonts w:cs="Arial"/>
                <w:b w:val="0"/>
              </w:rPr>
              <w:t>is:</w:t>
            </w:r>
          </w:p>
          <w:p w:rsidR="00F430F9" w:rsidRPr="00F430F9" w:rsidRDefault="00F430F9" w:rsidP="00540237">
            <w:pPr>
              <w:ind w:left="566"/>
              <w:rPr>
                <w:rFonts w:cs="Arial"/>
                <w:b w:val="0"/>
              </w:rPr>
            </w:pPr>
            <w:r w:rsidRPr="00F430F9">
              <w:rPr>
                <w:rFonts w:cs="Arial"/>
                <w:b w:val="0"/>
              </w:rPr>
              <w:t>the sum of the rateable value in all of the 2010 local rating lists covering the authority’s area published on 28 September</w:t>
            </w:r>
            <w:r w:rsidRPr="00F430F9">
              <w:rPr>
                <w:rFonts w:cs="Arial"/>
                <w:b w:val="0"/>
                <w:vertAlign w:val="superscript"/>
              </w:rPr>
              <w:t>1</w:t>
            </w:r>
            <w:r w:rsidRPr="00F430F9">
              <w:rPr>
                <w:rFonts w:cs="Arial"/>
                <w:b w:val="0"/>
              </w:rPr>
              <w:t>; multiplied by the 2016/2017 small business rates multiplier, which was 0.484;</w:t>
            </w:r>
          </w:p>
        </w:tc>
      </w:tr>
    </w:tbl>
    <w:p w:rsidR="00F430F9" w:rsidRPr="00F430F9" w:rsidRDefault="00F430F9" w:rsidP="00F430F9">
      <w:pPr>
        <w:pStyle w:val="Caption"/>
        <w:rPr>
          <w:rFonts w:ascii="Arial" w:hAnsi="Arial" w:cs="Arial"/>
          <w:b w:val="0"/>
          <w:sz w:val="24"/>
          <w:szCs w:val="24"/>
        </w:rPr>
      </w:pPr>
    </w:p>
    <w:tbl>
      <w:tblPr>
        <w:tblStyle w:val="TableGrid"/>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H</w:t>
            </w:r>
          </w:p>
        </w:tc>
        <w:tc>
          <w:tcPr>
            <w:tcW w:w="4500" w:type="pct"/>
          </w:tcPr>
          <w:p w:rsidR="00F430F9" w:rsidRPr="00F430F9" w:rsidRDefault="00F430F9" w:rsidP="00540237">
            <w:pPr>
              <w:rPr>
                <w:rFonts w:cs="Arial"/>
                <w:b w:val="0"/>
              </w:rPr>
            </w:pPr>
            <w:r w:rsidRPr="00F430F9">
              <w:rPr>
                <w:rFonts w:cs="Arial"/>
                <w:b w:val="0"/>
              </w:rPr>
              <w:t>is the authority’s local share as set out in paragraph 1.2 below;</w:t>
            </w:r>
          </w:p>
        </w:tc>
      </w:tr>
    </w:tbl>
    <w:p w:rsidR="00F430F9" w:rsidRPr="005C0C28" w:rsidRDefault="00F430F9" w:rsidP="00F430F9">
      <w:pPr>
        <w:spacing w:after="240"/>
        <w:rPr>
          <w:rFonts w:cs="Arial"/>
        </w:rPr>
      </w:pPr>
      <w:r w:rsidRPr="005C0C28">
        <w:rPr>
          <w:rFonts w:cs="Arial"/>
        </w:rPr>
        <w:t>The table below sets out the local share for each class of authority.</w:t>
      </w:r>
    </w:p>
    <w:tbl>
      <w:tblPr>
        <w:tblStyle w:val="TableGrid"/>
        <w:tblW w:w="0" w:type="auto"/>
        <w:tblInd w:w="720" w:type="dxa"/>
        <w:tblLook w:val="04A0" w:firstRow="1" w:lastRow="0" w:firstColumn="1" w:lastColumn="0" w:noHBand="0" w:noVBand="1"/>
      </w:tblPr>
      <w:tblGrid>
        <w:gridCol w:w="6759"/>
        <w:gridCol w:w="1808"/>
      </w:tblGrid>
      <w:tr w:rsidR="00F430F9" w:rsidRPr="005C0C28" w:rsidTr="00540237">
        <w:trPr>
          <w:cnfStyle w:val="100000000000" w:firstRow="1" w:lastRow="0" w:firstColumn="0" w:lastColumn="0" w:oddVBand="0" w:evenVBand="0" w:oddHBand="0" w:evenHBand="0" w:firstRowFirstColumn="0" w:firstRowLastColumn="0" w:lastRowFirstColumn="0" w:lastRowLastColumn="0"/>
          <w:tblHeader/>
        </w:trPr>
        <w:tc>
          <w:tcPr>
            <w:tcW w:w="6759" w:type="dxa"/>
            <w:shd w:val="clear" w:color="auto" w:fill="000000" w:themeFill="text1"/>
          </w:tcPr>
          <w:p w:rsidR="00F430F9" w:rsidRPr="005C0C28" w:rsidRDefault="00F430F9" w:rsidP="00540237">
            <w:pPr>
              <w:spacing w:after="240"/>
              <w:rPr>
                <w:rFonts w:cs="Arial"/>
              </w:rPr>
            </w:pPr>
            <w:r w:rsidRPr="005C0C28">
              <w:rPr>
                <w:rFonts w:cs="Arial"/>
              </w:rPr>
              <w:lastRenderedPageBreak/>
              <w:t>Class of authority</w:t>
            </w:r>
          </w:p>
        </w:tc>
        <w:tc>
          <w:tcPr>
            <w:tcW w:w="1808" w:type="dxa"/>
            <w:shd w:val="clear" w:color="auto" w:fill="000000" w:themeFill="text1"/>
          </w:tcPr>
          <w:p w:rsidR="00F430F9" w:rsidRPr="005C0C28" w:rsidRDefault="00F430F9" w:rsidP="00540237">
            <w:pPr>
              <w:spacing w:after="240"/>
              <w:rPr>
                <w:rFonts w:cs="Arial"/>
              </w:rPr>
            </w:pPr>
            <w:r w:rsidRPr="005C0C28">
              <w:rPr>
                <w:rFonts w:cs="Arial"/>
              </w:rPr>
              <w:t>Local Share</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Non-metropolitan district councils which do not have the functions of county councils</w:t>
            </w:r>
          </w:p>
        </w:tc>
        <w:tc>
          <w:tcPr>
            <w:tcW w:w="1808" w:type="dxa"/>
          </w:tcPr>
          <w:p w:rsidR="00F430F9" w:rsidRPr="005C0C28" w:rsidRDefault="00F430F9" w:rsidP="00540237">
            <w:pPr>
              <w:spacing w:after="240"/>
              <w:jc w:val="right"/>
              <w:rPr>
                <w:rFonts w:cs="Arial"/>
              </w:rPr>
            </w:pPr>
            <w:r w:rsidRPr="005C0C28">
              <w:rPr>
                <w:rFonts w:cs="Arial"/>
              </w:rPr>
              <w:t>0.40</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London borough councils</w:t>
            </w:r>
          </w:p>
          <w:p w:rsidR="00F430F9" w:rsidRPr="005C0C28" w:rsidRDefault="00F430F9" w:rsidP="00540237">
            <w:pPr>
              <w:spacing w:after="240"/>
              <w:rPr>
                <w:rFonts w:cs="Arial"/>
              </w:rPr>
            </w:pPr>
            <w:r w:rsidRPr="005C0C28">
              <w:rPr>
                <w:rFonts w:cs="Arial"/>
              </w:rPr>
              <w:t>Common Council of the City of London</w:t>
            </w:r>
          </w:p>
        </w:tc>
        <w:tc>
          <w:tcPr>
            <w:tcW w:w="1808" w:type="dxa"/>
          </w:tcPr>
          <w:p w:rsidR="00F430F9" w:rsidRPr="005C0C28" w:rsidRDefault="00F430F9" w:rsidP="00540237">
            <w:pPr>
              <w:spacing w:after="240"/>
              <w:jc w:val="right"/>
              <w:rPr>
                <w:rFonts w:cs="Arial"/>
              </w:rPr>
            </w:pPr>
            <w:r w:rsidRPr="005C0C28">
              <w:rPr>
                <w:rFonts w:cs="Arial"/>
              </w:rPr>
              <w:t>0.30</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Metropolitan district councils</w:t>
            </w:r>
          </w:p>
          <w:p w:rsidR="00F430F9" w:rsidRPr="005C0C28" w:rsidRDefault="00F430F9" w:rsidP="00540237">
            <w:pPr>
              <w:spacing w:after="240"/>
              <w:rPr>
                <w:rFonts w:cs="Arial"/>
              </w:rPr>
            </w:pPr>
            <w:r w:rsidRPr="005C0C28">
              <w:rPr>
                <w:rFonts w:cs="Arial"/>
              </w:rPr>
              <w:t>Non-metropolitan district councils which have the functions of county councils</w:t>
            </w:r>
          </w:p>
          <w:p w:rsidR="00F430F9" w:rsidRPr="005C0C28" w:rsidRDefault="00F430F9" w:rsidP="00540237">
            <w:pPr>
              <w:spacing w:after="240"/>
              <w:rPr>
                <w:rFonts w:cs="Arial"/>
              </w:rPr>
            </w:pPr>
            <w:r w:rsidRPr="005C0C28">
              <w:rPr>
                <w:rFonts w:cs="Arial"/>
              </w:rPr>
              <w:t>County councils which have the functions of district councils but which do not have responsibility for the provision of fire and rescue services</w:t>
            </w:r>
          </w:p>
        </w:tc>
        <w:tc>
          <w:tcPr>
            <w:tcW w:w="1808" w:type="dxa"/>
          </w:tcPr>
          <w:p w:rsidR="00F430F9" w:rsidRPr="005C0C28" w:rsidRDefault="00F430F9" w:rsidP="00540237">
            <w:pPr>
              <w:spacing w:after="240"/>
              <w:jc w:val="right"/>
              <w:rPr>
                <w:rFonts w:cs="Arial"/>
              </w:rPr>
            </w:pPr>
            <w:r w:rsidRPr="005C0C28">
              <w:rPr>
                <w:rFonts w:cs="Arial"/>
              </w:rPr>
              <w:t>0.49</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County councils which have the functions of district councils and which have responsibility for the provision of fire and rescue services</w:t>
            </w:r>
          </w:p>
          <w:p w:rsidR="00F430F9" w:rsidRPr="005C0C28" w:rsidRDefault="00F430F9" w:rsidP="00540237">
            <w:pPr>
              <w:spacing w:after="240"/>
              <w:rPr>
                <w:rFonts w:cs="Arial"/>
              </w:rPr>
            </w:pPr>
            <w:r w:rsidRPr="005C0C28">
              <w:rPr>
                <w:rFonts w:cs="Arial"/>
              </w:rPr>
              <w:t>Council of the Isles of Scilly</w:t>
            </w:r>
          </w:p>
        </w:tc>
        <w:tc>
          <w:tcPr>
            <w:tcW w:w="1808" w:type="dxa"/>
          </w:tcPr>
          <w:p w:rsidR="00F430F9" w:rsidRPr="005C0C28" w:rsidRDefault="00F430F9" w:rsidP="00540237">
            <w:pPr>
              <w:spacing w:after="240"/>
              <w:jc w:val="right"/>
              <w:rPr>
                <w:rFonts w:cs="Arial"/>
              </w:rPr>
            </w:pPr>
            <w:r w:rsidRPr="005C0C28">
              <w:rPr>
                <w:rFonts w:cs="Arial"/>
              </w:rPr>
              <w:t>0.50</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County councils which do not have responsibility for the provision of fire and rescue services</w:t>
            </w:r>
          </w:p>
        </w:tc>
        <w:tc>
          <w:tcPr>
            <w:tcW w:w="1808" w:type="dxa"/>
          </w:tcPr>
          <w:p w:rsidR="00F430F9" w:rsidRPr="005C0C28" w:rsidRDefault="00F430F9" w:rsidP="00540237">
            <w:pPr>
              <w:spacing w:after="240"/>
              <w:jc w:val="right"/>
              <w:rPr>
                <w:rFonts w:cs="Arial"/>
              </w:rPr>
            </w:pPr>
            <w:r w:rsidRPr="005C0C28">
              <w:rPr>
                <w:rFonts w:cs="Arial"/>
              </w:rPr>
              <w:t>0.09</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County councils which have responsibility for the provision of fire and rescue services</w:t>
            </w:r>
          </w:p>
        </w:tc>
        <w:tc>
          <w:tcPr>
            <w:tcW w:w="1808" w:type="dxa"/>
          </w:tcPr>
          <w:p w:rsidR="00F430F9" w:rsidRPr="005C0C28" w:rsidRDefault="00F430F9" w:rsidP="00540237">
            <w:pPr>
              <w:spacing w:after="240"/>
              <w:jc w:val="right"/>
              <w:rPr>
                <w:rFonts w:cs="Arial"/>
              </w:rPr>
            </w:pPr>
            <w:r w:rsidRPr="005C0C28">
              <w:rPr>
                <w:rFonts w:cs="Arial"/>
              </w:rPr>
              <w:t>0.10</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Metropolitan county fire and rescue authorities,</w:t>
            </w:r>
          </w:p>
          <w:p w:rsidR="00F430F9" w:rsidRPr="005C0C28" w:rsidRDefault="00F430F9" w:rsidP="00540237">
            <w:pPr>
              <w:spacing w:after="240"/>
              <w:rPr>
                <w:rFonts w:cs="Arial"/>
              </w:rPr>
            </w:pPr>
            <w:r w:rsidRPr="005C0C28">
              <w:rPr>
                <w:rFonts w:cs="Arial"/>
              </w:rPr>
              <w:t>Combined fire and rescue authorities</w:t>
            </w:r>
          </w:p>
        </w:tc>
        <w:tc>
          <w:tcPr>
            <w:tcW w:w="1808" w:type="dxa"/>
          </w:tcPr>
          <w:p w:rsidR="00F430F9" w:rsidRPr="005C0C28" w:rsidRDefault="00F430F9" w:rsidP="00540237">
            <w:pPr>
              <w:spacing w:after="240"/>
              <w:jc w:val="right"/>
              <w:rPr>
                <w:rFonts w:cs="Arial"/>
              </w:rPr>
            </w:pPr>
            <w:r w:rsidRPr="005C0C28">
              <w:rPr>
                <w:rFonts w:cs="Arial"/>
              </w:rPr>
              <w:t>0.01</w:t>
            </w:r>
          </w:p>
        </w:tc>
      </w:tr>
      <w:tr w:rsidR="00F430F9" w:rsidRPr="005C0C28" w:rsidTr="00540237">
        <w:tc>
          <w:tcPr>
            <w:tcW w:w="6759" w:type="dxa"/>
          </w:tcPr>
          <w:p w:rsidR="00F430F9" w:rsidRPr="005C0C28" w:rsidRDefault="00F430F9" w:rsidP="00540237">
            <w:pPr>
              <w:spacing w:after="240"/>
              <w:rPr>
                <w:rFonts w:cs="Arial"/>
              </w:rPr>
            </w:pPr>
            <w:r w:rsidRPr="005C0C28">
              <w:rPr>
                <w:rFonts w:cs="Arial"/>
              </w:rPr>
              <w:t>Greater London Authority,</w:t>
            </w:r>
          </w:p>
        </w:tc>
        <w:tc>
          <w:tcPr>
            <w:tcW w:w="1808" w:type="dxa"/>
          </w:tcPr>
          <w:p w:rsidR="00F430F9" w:rsidRPr="005C0C28" w:rsidRDefault="00F430F9" w:rsidP="00540237">
            <w:pPr>
              <w:spacing w:after="240"/>
              <w:jc w:val="right"/>
              <w:rPr>
                <w:rFonts w:cs="Arial"/>
              </w:rPr>
            </w:pPr>
            <w:r w:rsidRPr="005C0C28">
              <w:rPr>
                <w:rFonts w:cs="Arial"/>
              </w:rPr>
              <w:t>0.20</w:t>
            </w:r>
          </w:p>
        </w:tc>
      </w:tr>
    </w:tbl>
    <w:p w:rsidR="00F430F9" w:rsidRPr="005C0C28" w:rsidRDefault="00F430F9" w:rsidP="00F430F9">
      <w:pPr>
        <w:rPr>
          <w:rFonts w:cs="Arial"/>
        </w:rPr>
      </w:pPr>
    </w:p>
    <w:p w:rsidR="00F430F9" w:rsidRPr="005C0C28" w:rsidRDefault="00F430F9" w:rsidP="00F430F9">
      <w:pPr>
        <w:rPr>
          <w:rFonts w:cs="Arial"/>
        </w:rPr>
      </w:pPr>
    </w:p>
    <w:p w:rsidR="00F430F9" w:rsidRPr="005C0C28" w:rsidRDefault="00F430F9" w:rsidP="00F430F9">
      <w:pPr>
        <w:spacing w:after="240"/>
        <w:rPr>
          <w:rFonts w:cs="Arial"/>
          <w:b/>
        </w:rPr>
      </w:pPr>
      <w:r w:rsidRPr="005C0C28">
        <w:rPr>
          <w:rFonts w:cs="Arial"/>
          <w:b/>
        </w:rPr>
        <w:t xml:space="preserve">Recalculation of </w:t>
      </w:r>
      <w:r w:rsidR="0085655E">
        <w:rPr>
          <w:rFonts w:cs="Arial"/>
          <w:b/>
        </w:rPr>
        <w:t>20</w:t>
      </w:r>
      <w:r w:rsidRPr="005C0C28">
        <w:rPr>
          <w:rFonts w:cs="Arial"/>
          <w:b/>
        </w:rPr>
        <w:t>17</w:t>
      </w:r>
      <w:r w:rsidR="0085655E">
        <w:rPr>
          <w:rFonts w:cs="Arial"/>
          <w:b/>
        </w:rPr>
        <w:t>-</w:t>
      </w:r>
      <w:r w:rsidRPr="005C0C28">
        <w:rPr>
          <w:rFonts w:cs="Arial"/>
          <w:b/>
        </w:rPr>
        <w:t>18 tariff and top-up</w:t>
      </w:r>
    </w:p>
    <w:p w:rsidR="00F430F9" w:rsidRPr="005C0C28" w:rsidRDefault="00F430F9" w:rsidP="00F430F9">
      <w:pPr>
        <w:spacing w:after="240"/>
        <w:rPr>
          <w:rFonts w:cs="Arial"/>
        </w:rPr>
      </w:pPr>
      <w:r w:rsidRPr="005C0C28">
        <w:rPr>
          <w:rFonts w:cs="Arial"/>
        </w:rPr>
        <w:t>The adjusted tariff and top-up amount for 2017/2018 will be calculated as:</w:t>
      </w:r>
    </w:p>
    <w:p w:rsidR="00F430F9" w:rsidRPr="005C0C28" w:rsidRDefault="00F430F9" w:rsidP="00F430F9">
      <w:pPr>
        <w:spacing w:after="240"/>
        <w:jc w:val="center"/>
        <w:rPr>
          <w:rFonts w:cs="Arial"/>
          <w:b/>
        </w:rPr>
      </w:pPr>
      <w:r w:rsidRPr="005C0C28">
        <w:rPr>
          <w:rFonts w:cs="Arial"/>
          <w:b/>
        </w:rPr>
        <w:t xml:space="preserve"> (A + I) × (C / D)</w:t>
      </w:r>
    </w:p>
    <w:p w:rsidR="00F430F9" w:rsidRPr="00F430F9" w:rsidRDefault="00F430F9" w:rsidP="00F430F9">
      <w:pPr>
        <w:spacing w:after="240"/>
        <w:rPr>
          <w:rFonts w:cs="Arial"/>
        </w:rPr>
      </w:pPr>
      <w:proofErr w:type="gramStart"/>
      <w:r w:rsidRPr="00F430F9">
        <w:rPr>
          <w:rFonts w:cs="Arial"/>
        </w:rPr>
        <w:t>where</w:t>
      </w:r>
      <w:proofErr w:type="gramEnd"/>
      <w:r w:rsidRPr="00F430F9">
        <w:rPr>
          <w:rFonts w:cs="Arial"/>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I</w:t>
            </w:r>
          </w:p>
        </w:tc>
        <w:tc>
          <w:tcPr>
            <w:tcW w:w="4500" w:type="pct"/>
          </w:tcPr>
          <w:p w:rsidR="00F430F9" w:rsidRPr="00F430F9" w:rsidRDefault="00F430F9" w:rsidP="00540237">
            <w:pPr>
              <w:rPr>
                <w:rFonts w:cs="Arial"/>
                <w:b w:val="0"/>
              </w:rPr>
            </w:pPr>
            <w:r w:rsidRPr="00F430F9">
              <w:rPr>
                <w:rFonts w:cs="Arial"/>
                <w:b w:val="0"/>
              </w:rPr>
              <w:t>is calculated as follows:</w:t>
            </w:r>
          </w:p>
        </w:tc>
      </w:tr>
    </w:tbl>
    <w:p w:rsidR="00F430F9" w:rsidRPr="00F430F9" w:rsidRDefault="00F430F9" w:rsidP="00F430F9">
      <w:pPr>
        <w:jc w:val="center"/>
        <w:rPr>
          <w:rFonts w:cs="Arial"/>
          <w:b/>
        </w:rPr>
      </w:pPr>
      <w:r w:rsidRPr="00F430F9">
        <w:rPr>
          <w:rFonts w:cs="Arial"/>
          <w:b/>
        </w:rPr>
        <w:t>(J – K + L) × (1 –M / N) × H</w:t>
      </w:r>
    </w:p>
    <w:p w:rsidR="00F430F9" w:rsidRPr="00F430F9" w:rsidRDefault="00F430F9" w:rsidP="00F430F9">
      <w:pPr>
        <w:rPr>
          <w:rFonts w:cs="Arial"/>
        </w:rPr>
      </w:pPr>
    </w:p>
    <w:p w:rsidR="00F430F9" w:rsidRPr="00F430F9" w:rsidRDefault="00F430F9" w:rsidP="00F430F9">
      <w:pPr>
        <w:pStyle w:val="Caption"/>
        <w:rPr>
          <w:rFonts w:ascii="Arial" w:hAnsi="Arial" w:cs="Arial"/>
          <w:b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lastRenderedPageBreak/>
              <w:t>J</w:t>
            </w:r>
          </w:p>
        </w:tc>
        <w:tc>
          <w:tcPr>
            <w:tcW w:w="4500" w:type="pct"/>
          </w:tcPr>
          <w:p w:rsidR="00F430F9" w:rsidRPr="00F430F9" w:rsidRDefault="00F430F9" w:rsidP="00540237">
            <w:pPr>
              <w:rPr>
                <w:rFonts w:cs="Arial"/>
                <w:b w:val="0"/>
              </w:rPr>
            </w:pPr>
            <w:r w:rsidRPr="00F430F9">
              <w:rPr>
                <w:rFonts w:cs="Arial"/>
                <w:b w:val="0"/>
              </w:rPr>
              <w:t>is the sum of:</w:t>
            </w:r>
          </w:p>
          <w:p w:rsidR="00F430F9" w:rsidRPr="00F430F9" w:rsidRDefault="00F430F9" w:rsidP="00540237">
            <w:pPr>
              <w:ind w:left="566"/>
              <w:rPr>
                <w:rFonts w:cs="Arial"/>
                <w:b w:val="0"/>
              </w:rPr>
            </w:pPr>
            <w:r w:rsidRPr="00F430F9">
              <w:rPr>
                <w:rFonts w:cs="Arial"/>
                <w:b w:val="0"/>
              </w:rPr>
              <w:t xml:space="preserve">an authority’s income from business rates; plus the amount of section 31 grant paid to the authority in 2016/2017 to compensate for loss of business rates income </w:t>
            </w:r>
          </w:p>
        </w:tc>
      </w:tr>
    </w:tbl>
    <w:p w:rsidR="00F430F9" w:rsidRPr="00F430F9" w:rsidRDefault="00F430F9" w:rsidP="00F430F9">
      <w:pPr>
        <w:pStyle w:val="Caption"/>
        <w:rPr>
          <w:rFonts w:ascii="Arial" w:hAnsi="Arial" w:cs="Arial"/>
          <w:b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K</w:t>
            </w:r>
          </w:p>
        </w:tc>
        <w:tc>
          <w:tcPr>
            <w:tcW w:w="4500" w:type="pct"/>
          </w:tcPr>
          <w:p w:rsidR="00F430F9" w:rsidRPr="00F430F9" w:rsidRDefault="00F430F9" w:rsidP="00540237">
            <w:pPr>
              <w:rPr>
                <w:rFonts w:cs="Arial"/>
                <w:b w:val="0"/>
              </w:rPr>
            </w:pPr>
            <w:r w:rsidRPr="00F430F9">
              <w:rPr>
                <w:rFonts w:cs="Arial"/>
                <w:b w:val="0"/>
              </w:rPr>
              <w:t>is the sum of:</w:t>
            </w:r>
          </w:p>
          <w:p w:rsidR="00F430F9" w:rsidRPr="00F430F9" w:rsidRDefault="00F430F9" w:rsidP="00540237">
            <w:pPr>
              <w:ind w:left="566"/>
              <w:rPr>
                <w:rFonts w:cs="Arial"/>
                <w:b w:val="0"/>
              </w:rPr>
            </w:pPr>
            <w:r w:rsidRPr="00F430F9">
              <w:rPr>
                <w:rFonts w:cs="Arial"/>
                <w:b w:val="0"/>
              </w:rPr>
              <w:t>the RV list amendments charged against the provision for appeals and the  changes in provision for appeals taken from the NNDR3 1617</w:t>
            </w:r>
          </w:p>
        </w:tc>
      </w:tr>
    </w:tbl>
    <w:p w:rsidR="00F430F9" w:rsidRPr="00F430F9" w:rsidRDefault="00F430F9" w:rsidP="00F430F9">
      <w:pPr>
        <w:rPr>
          <w:rFonts w:cs="Arial"/>
        </w:rPr>
      </w:pPr>
    </w:p>
    <w:tbl>
      <w:tblPr>
        <w:tblStyle w:val="TableGrid"/>
        <w:tblW w:w="52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9276"/>
      </w:tblGrid>
      <w:tr w:rsidR="00F430F9" w:rsidRPr="00F430F9" w:rsidTr="00540237">
        <w:trPr>
          <w:cnfStyle w:val="100000000000" w:firstRow="1" w:lastRow="0" w:firstColumn="0" w:lastColumn="0" w:oddVBand="0" w:evenVBand="0" w:oddHBand="0" w:evenHBand="0" w:firstRowFirstColumn="0" w:firstRowLastColumn="0" w:lastRowFirstColumn="0" w:lastRowLastColumn="0"/>
          <w:trHeight w:val="833"/>
        </w:trPr>
        <w:tc>
          <w:tcPr>
            <w:tcW w:w="500" w:type="pct"/>
          </w:tcPr>
          <w:p w:rsidR="00F430F9" w:rsidRPr="00F430F9" w:rsidRDefault="00F430F9" w:rsidP="00540237">
            <w:pPr>
              <w:spacing w:after="240"/>
              <w:rPr>
                <w:rFonts w:cs="Arial"/>
                <w:b w:val="0"/>
              </w:rPr>
            </w:pPr>
            <w:r w:rsidRPr="00F430F9">
              <w:rPr>
                <w:rFonts w:cs="Arial"/>
                <w:b w:val="0"/>
              </w:rPr>
              <w:t>L</w:t>
            </w:r>
          </w:p>
        </w:tc>
        <w:tc>
          <w:tcPr>
            <w:tcW w:w="4500" w:type="pct"/>
          </w:tcPr>
          <w:p w:rsidR="00F430F9" w:rsidRPr="00F430F9" w:rsidRDefault="00F430F9" w:rsidP="00540237">
            <w:pPr>
              <w:rPr>
                <w:rFonts w:cs="Arial"/>
                <w:b w:val="0"/>
              </w:rPr>
            </w:pPr>
            <w:r w:rsidRPr="00F430F9">
              <w:rPr>
                <w:rFonts w:cs="Arial"/>
                <w:b w:val="0"/>
              </w:rPr>
              <w:t>is:</w:t>
            </w:r>
          </w:p>
          <w:p w:rsidR="00F430F9" w:rsidRPr="00F430F9" w:rsidRDefault="00F430F9" w:rsidP="00540237">
            <w:pPr>
              <w:ind w:left="581"/>
              <w:rPr>
                <w:rFonts w:cs="Arial"/>
                <w:b w:val="0"/>
              </w:rPr>
            </w:pPr>
            <w:r w:rsidRPr="00F430F9">
              <w:rPr>
                <w:rFonts w:cs="Arial"/>
                <w:b w:val="0"/>
              </w:rPr>
              <w:t>the authority’s closing balance for provisions, taken from NNDR3 1617; divided by the sum of the multipliers  for all years from 10/11 to 16/17, which is 3.18; and then multiplied by the 1617 small business multiplier, 0.484</w:t>
            </w:r>
          </w:p>
        </w:tc>
      </w:tr>
    </w:tbl>
    <w:p w:rsidR="00F430F9" w:rsidRPr="00F430F9" w:rsidRDefault="00F430F9" w:rsidP="00F430F9">
      <w:pP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M</w:t>
            </w:r>
          </w:p>
        </w:tc>
        <w:tc>
          <w:tcPr>
            <w:tcW w:w="4500" w:type="pct"/>
          </w:tcPr>
          <w:p w:rsidR="00F430F9" w:rsidRPr="00F430F9" w:rsidRDefault="00F430F9" w:rsidP="00540237">
            <w:pPr>
              <w:rPr>
                <w:rFonts w:cs="Arial"/>
                <w:b w:val="0"/>
              </w:rPr>
            </w:pPr>
            <w:r w:rsidRPr="00F430F9">
              <w:rPr>
                <w:rFonts w:cs="Arial"/>
                <w:b w:val="0"/>
              </w:rPr>
              <w:t>is:</w:t>
            </w:r>
          </w:p>
          <w:p w:rsidR="00F430F9" w:rsidRPr="00F430F9" w:rsidRDefault="00F430F9" w:rsidP="00540237">
            <w:pPr>
              <w:ind w:left="566"/>
              <w:rPr>
                <w:rFonts w:cs="Arial"/>
                <w:b w:val="0"/>
              </w:rPr>
            </w:pPr>
            <w:r w:rsidRPr="00F430F9">
              <w:rPr>
                <w:rFonts w:cs="Arial"/>
                <w:b w:val="0"/>
              </w:rPr>
              <w:t>the sum of the rateable value in all of the 2017 local rating lists covering the authority’s area for 1 April 2017 and measured on that day; multiplied by the 2017/2018 small business rates multiplier adjusted for revaluation, which is 0.436</w:t>
            </w:r>
          </w:p>
        </w:tc>
      </w:tr>
    </w:tbl>
    <w:p w:rsidR="00F430F9" w:rsidRPr="00F430F9" w:rsidRDefault="00F430F9" w:rsidP="00F430F9">
      <w:pPr>
        <w:pStyle w:val="Caption"/>
        <w:rPr>
          <w:rFonts w:ascii="Arial" w:hAnsi="Arial" w:cs="Arial"/>
          <w:b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br w:type="page"/>
              <w:t>N</w:t>
            </w:r>
          </w:p>
        </w:tc>
        <w:tc>
          <w:tcPr>
            <w:tcW w:w="4500" w:type="pct"/>
          </w:tcPr>
          <w:p w:rsidR="00F430F9" w:rsidRPr="00F430F9" w:rsidRDefault="00F430F9" w:rsidP="00540237">
            <w:pPr>
              <w:rPr>
                <w:rFonts w:cs="Arial"/>
                <w:b w:val="0"/>
              </w:rPr>
            </w:pPr>
            <w:r w:rsidRPr="00F430F9">
              <w:rPr>
                <w:rFonts w:cs="Arial"/>
                <w:b w:val="0"/>
              </w:rPr>
              <w:t>is:</w:t>
            </w:r>
          </w:p>
          <w:p w:rsidR="00F430F9" w:rsidRPr="00F430F9" w:rsidRDefault="00F430F9" w:rsidP="00540237">
            <w:pPr>
              <w:ind w:left="566"/>
              <w:rPr>
                <w:rFonts w:cs="Arial"/>
                <w:b w:val="0"/>
              </w:rPr>
            </w:pPr>
            <w:r w:rsidRPr="00F430F9">
              <w:rPr>
                <w:rFonts w:cs="Arial"/>
                <w:b w:val="0"/>
              </w:rPr>
              <w:t>the  sum of the rateable value in all of the 2010 local rating lists covering the authority’s area for 31 March 2017 and measured on 1 April 2017; multiplied by the 2016/2017 small business rates multiplier, which was 0.484;</w:t>
            </w:r>
          </w:p>
        </w:tc>
      </w:tr>
    </w:tbl>
    <w:p w:rsidR="00F430F9" w:rsidRPr="005C0C28" w:rsidRDefault="00F430F9" w:rsidP="00F430F9">
      <w:pPr>
        <w:pStyle w:val="Caption"/>
        <w:rPr>
          <w:rFonts w:ascii="Arial" w:hAnsi="Arial" w:cs="Arial"/>
          <w:sz w:val="24"/>
          <w:szCs w:val="24"/>
        </w:rPr>
      </w:pPr>
    </w:p>
    <w:p w:rsidR="00F430F9" w:rsidRPr="005C0C28" w:rsidRDefault="0085655E" w:rsidP="00F430F9">
      <w:pPr>
        <w:spacing w:after="240"/>
        <w:rPr>
          <w:rFonts w:cs="Arial"/>
          <w:b/>
        </w:rPr>
      </w:pPr>
      <w:r>
        <w:rPr>
          <w:rFonts w:cs="Arial"/>
          <w:b/>
        </w:rPr>
        <w:t>20</w:t>
      </w:r>
      <w:r w:rsidR="00F430F9" w:rsidRPr="005C0C28">
        <w:rPr>
          <w:rFonts w:cs="Arial"/>
          <w:b/>
        </w:rPr>
        <w:t>17</w:t>
      </w:r>
      <w:r w:rsidR="00F430F9">
        <w:rPr>
          <w:rFonts w:cs="Arial"/>
          <w:b/>
        </w:rPr>
        <w:t>-</w:t>
      </w:r>
      <w:r w:rsidR="00F430F9" w:rsidRPr="005C0C28">
        <w:rPr>
          <w:rFonts w:cs="Arial"/>
          <w:b/>
        </w:rPr>
        <w:t xml:space="preserve">18 </w:t>
      </w:r>
      <w:r w:rsidR="00F430F9" w:rsidRPr="00F430F9">
        <w:rPr>
          <w:rFonts w:cs="Arial"/>
          <w:b/>
        </w:rPr>
        <w:t>tariff and top-up</w:t>
      </w:r>
      <w:r w:rsidR="00F430F9" w:rsidRPr="005C0C28">
        <w:rPr>
          <w:rFonts w:cs="Arial"/>
        </w:rPr>
        <w:t xml:space="preserve"> </w:t>
      </w:r>
      <w:r w:rsidR="00F430F9">
        <w:rPr>
          <w:rFonts w:cs="Arial"/>
          <w:b/>
        </w:rPr>
        <w:t>a</w:t>
      </w:r>
      <w:r w:rsidR="00F430F9" w:rsidRPr="005C0C28">
        <w:rPr>
          <w:rFonts w:cs="Arial"/>
          <w:b/>
        </w:rPr>
        <w:t>djustment</w:t>
      </w:r>
    </w:p>
    <w:p w:rsidR="00F430F9" w:rsidRPr="005C0C28" w:rsidRDefault="00F430F9" w:rsidP="00F430F9">
      <w:pPr>
        <w:spacing w:after="240"/>
        <w:rPr>
          <w:rFonts w:cs="Arial"/>
          <w:b/>
        </w:rPr>
      </w:pPr>
      <w:r w:rsidRPr="005C0C28">
        <w:rPr>
          <w:rFonts w:cs="Arial"/>
        </w:rPr>
        <w:t>The</w:t>
      </w:r>
      <w:r w:rsidRPr="005C0C28">
        <w:rPr>
          <w:rFonts w:cs="Arial"/>
          <w:b/>
        </w:rPr>
        <w:t xml:space="preserve"> </w:t>
      </w:r>
      <w:r w:rsidRPr="005C0C28">
        <w:rPr>
          <w:rFonts w:cs="Arial"/>
        </w:rPr>
        <w:t>adjustment is calculated as the difference between the adjusted tariffs and top-ups (see para 2.1) and the original 1718 tariffs and top-ups (see para 1.1)</w:t>
      </w:r>
    </w:p>
    <w:p w:rsidR="00F430F9" w:rsidRPr="005C0C28" w:rsidRDefault="00F430F9" w:rsidP="00F430F9">
      <w:pPr>
        <w:rPr>
          <w:rFonts w:cs="Arial"/>
        </w:rPr>
      </w:pPr>
    </w:p>
    <w:p w:rsidR="00F430F9" w:rsidRPr="005C0C28" w:rsidRDefault="0085655E" w:rsidP="00F430F9">
      <w:pPr>
        <w:spacing w:after="240"/>
        <w:rPr>
          <w:rFonts w:cs="Arial"/>
          <w:b/>
        </w:rPr>
      </w:pPr>
      <w:r>
        <w:rPr>
          <w:rFonts w:cs="Arial"/>
          <w:b/>
        </w:rPr>
        <w:t>20</w:t>
      </w:r>
      <w:r w:rsidR="00F430F9" w:rsidRPr="005C0C28">
        <w:rPr>
          <w:rFonts w:cs="Arial"/>
          <w:b/>
        </w:rPr>
        <w:t>18</w:t>
      </w:r>
      <w:r>
        <w:rPr>
          <w:rFonts w:cs="Arial"/>
          <w:b/>
        </w:rPr>
        <w:t>-</w:t>
      </w:r>
      <w:r w:rsidR="00F430F9" w:rsidRPr="005C0C28">
        <w:rPr>
          <w:rFonts w:cs="Arial"/>
          <w:b/>
        </w:rPr>
        <w:t>19 tariff and top-up</w:t>
      </w:r>
    </w:p>
    <w:p w:rsidR="00F430F9" w:rsidRPr="005C0C28" w:rsidRDefault="00F430F9" w:rsidP="00F430F9">
      <w:pPr>
        <w:spacing w:after="240"/>
        <w:rPr>
          <w:rFonts w:cs="Arial"/>
        </w:rPr>
      </w:pPr>
      <w:r w:rsidRPr="005C0C28">
        <w:rPr>
          <w:rFonts w:cs="Arial"/>
        </w:rPr>
        <w:t>The tariff and top-up amount for 2018/2019 will be calculated as:</w:t>
      </w:r>
    </w:p>
    <w:p w:rsidR="00F430F9" w:rsidRDefault="00F430F9" w:rsidP="00F430F9">
      <w:pPr>
        <w:jc w:val="center"/>
        <w:rPr>
          <w:rFonts w:cs="Arial"/>
          <w:b/>
        </w:rPr>
      </w:pPr>
      <w:r w:rsidRPr="005C0C28">
        <w:rPr>
          <w:rFonts w:cs="Arial"/>
          <w:b/>
        </w:rPr>
        <w:t xml:space="preserve">(A + I) × (O / P) </w:t>
      </w:r>
    </w:p>
    <w:p w:rsidR="00F430F9" w:rsidRPr="00F430F9" w:rsidRDefault="00F430F9" w:rsidP="00F430F9">
      <w:pPr>
        <w:rPr>
          <w:rFonts w:cs="Arial"/>
        </w:rPr>
      </w:pPr>
      <w:proofErr w:type="gramStart"/>
      <w:r>
        <w:rPr>
          <w:rFonts w:cs="Arial"/>
        </w:rPr>
        <w:t>where</w:t>
      </w:r>
      <w:proofErr w:type="gramEnd"/>
      <w:r>
        <w:rPr>
          <w:rFonts w:cs="Arial"/>
        </w:rPr>
        <w:t>:</w:t>
      </w:r>
    </w:p>
    <w:p w:rsidR="00F430F9" w:rsidRPr="005C0C28" w:rsidRDefault="00F430F9" w:rsidP="00F430F9">
      <w:pPr>
        <w:jc w:val="center"/>
        <w:rPr>
          <w:rFonts w:cs="Arial"/>
          <w:b/>
        </w:rPr>
      </w:pPr>
    </w:p>
    <w:tbl>
      <w:tblPr>
        <w:tblStyle w:val="TableGrid"/>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O</w:t>
            </w:r>
          </w:p>
        </w:tc>
        <w:tc>
          <w:tcPr>
            <w:tcW w:w="4500" w:type="pct"/>
          </w:tcPr>
          <w:p w:rsidR="00F430F9" w:rsidRPr="00F430F9" w:rsidRDefault="00F430F9" w:rsidP="00540237">
            <w:pPr>
              <w:rPr>
                <w:rFonts w:cs="Arial"/>
                <w:b w:val="0"/>
              </w:rPr>
            </w:pPr>
            <w:r w:rsidRPr="00F430F9">
              <w:rPr>
                <w:rFonts w:cs="Arial"/>
                <w:b w:val="0"/>
              </w:rPr>
              <w:t>is the value of the small business rating multiplier in 1819;</w:t>
            </w:r>
          </w:p>
        </w:tc>
      </w:tr>
    </w:tbl>
    <w:p w:rsidR="00F430F9" w:rsidRPr="00F430F9" w:rsidRDefault="00F430F9" w:rsidP="00F430F9">
      <w:pPr>
        <w:pStyle w:val="Caption"/>
        <w:rPr>
          <w:rFonts w:ascii="Arial" w:hAnsi="Arial" w:cs="Arial"/>
          <w:b w:val="0"/>
          <w:sz w:val="24"/>
          <w:szCs w:val="24"/>
        </w:rPr>
      </w:pPr>
    </w:p>
    <w:tbl>
      <w:tblPr>
        <w:tblStyle w:val="TableGrid"/>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869"/>
      </w:tblGrid>
      <w:tr w:rsidR="00F430F9" w:rsidRPr="00F430F9" w:rsidTr="00540237">
        <w:trPr>
          <w:cnfStyle w:val="100000000000" w:firstRow="1" w:lastRow="0" w:firstColumn="0" w:lastColumn="0" w:oddVBand="0" w:evenVBand="0" w:oddHBand="0" w:evenHBand="0" w:firstRowFirstColumn="0" w:firstRowLastColumn="0" w:lastRowFirstColumn="0" w:lastRowLastColumn="0"/>
        </w:trPr>
        <w:tc>
          <w:tcPr>
            <w:tcW w:w="500" w:type="pct"/>
          </w:tcPr>
          <w:p w:rsidR="00F430F9" w:rsidRPr="00F430F9" w:rsidRDefault="00F430F9" w:rsidP="00540237">
            <w:pPr>
              <w:spacing w:after="240"/>
              <w:rPr>
                <w:rFonts w:cs="Arial"/>
                <w:b w:val="0"/>
              </w:rPr>
            </w:pPr>
            <w:r w:rsidRPr="00F430F9">
              <w:rPr>
                <w:rFonts w:cs="Arial"/>
                <w:b w:val="0"/>
              </w:rPr>
              <w:t>P</w:t>
            </w:r>
          </w:p>
        </w:tc>
        <w:tc>
          <w:tcPr>
            <w:tcW w:w="4500" w:type="pct"/>
          </w:tcPr>
          <w:p w:rsidR="00F430F9" w:rsidRPr="00F430F9" w:rsidRDefault="00F430F9" w:rsidP="00540237">
            <w:pPr>
              <w:rPr>
                <w:rFonts w:cs="Arial"/>
                <w:b w:val="0"/>
              </w:rPr>
            </w:pPr>
            <w:r w:rsidRPr="00F430F9">
              <w:rPr>
                <w:rFonts w:cs="Arial"/>
                <w:b w:val="0"/>
              </w:rPr>
              <w:t>is the value of the small business rating multiplier in 1718;</w:t>
            </w:r>
          </w:p>
        </w:tc>
      </w:tr>
    </w:tbl>
    <w:p w:rsidR="00F430F9" w:rsidRPr="005C0C28" w:rsidRDefault="00F430F9" w:rsidP="00F430F9">
      <w:pPr>
        <w:rPr>
          <w:rFonts w:cs="Arial"/>
        </w:rPr>
      </w:pPr>
    </w:p>
    <w:p w:rsidR="00F430F9" w:rsidRPr="00DD147F" w:rsidRDefault="00F430F9" w:rsidP="00F430F9">
      <w:pPr>
        <w:spacing w:after="240"/>
      </w:pPr>
      <w:r w:rsidRPr="005C0C28">
        <w:rPr>
          <w:rFonts w:cs="Arial"/>
          <w:sz w:val="28"/>
          <w:szCs w:val="28"/>
          <w:u w:val="single"/>
        </w:rPr>
        <w:br w:type="page"/>
      </w:r>
    </w:p>
    <w:p w:rsidR="00687B77" w:rsidRPr="00D44A08" w:rsidRDefault="001D628D" w:rsidP="00AA292B">
      <w:pPr>
        <w:pStyle w:val="Heading1"/>
      </w:pPr>
      <w:bookmarkStart w:id="47" w:name="_Toc501111215"/>
      <w:r w:rsidRPr="00D44A08">
        <w:lastRenderedPageBreak/>
        <w:t xml:space="preserve">Annex B: </w:t>
      </w:r>
      <w:r w:rsidR="00687B77" w:rsidRPr="00D44A08">
        <w:t>Summary of consultation questions</w:t>
      </w:r>
      <w:bookmarkEnd w:id="45"/>
      <w:bookmarkEnd w:id="47"/>
    </w:p>
    <w:p w:rsidR="008612FA" w:rsidRDefault="008612FA" w:rsidP="008612FA">
      <w:pPr>
        <w:rPr>
          <w:b/>
        </w:rPr>
      </w:pPr>
      <w:r w:rsidRPr="00D249CF">
        <w:rPr>
          <w:b/>
        </w:rPr>
        <w:t xml:space="preserve">Question 1:  Do you agree with the methodology </w:t>
      </w:r>
      <w:r>
        <w:rPr>
          <w:b/>
        </w:rPr>
        <w:t xml:space="preserve">for allocating </w:t>
      </w:r>
      <w:r w:rsidRPr="00D249CF">
        <w:rPr>
          <w:b/>
        </w:rPr>
        <w:t>Revenue Support Grant in 2018-19?</w:t>
      </w:r>
    </w:p>
    <w:p w:rsidR="008612FA" w:rsidRDefault="008612FA" w:rsidP="008612FA">
      <w:pPr>
        <w:rPr>
          <w:b/>
        </w:rPr>
      </w:pPr>
    </w:p>
    <w:p w:rsidR="008612FA" w:rsidRDefault="008612FA" w:rsidP="008612FA">
      <w:pPr>
        <w:pStyle w:val="Heading3"/>
        <w:rPr>
          <w:rFonts w:ascii="Arial" w:hAnsi="Arial" w:cs="Arial"/>
          <w:sz w:val="24"/>
        </w:rPr>
      </w:pPr>
      <w:r w:rsidRPr="00AF24A4">
        <w:rPr>
          <w:rFonts w:ascii="Arial" w:hAnsi="Arial" w:cs="Arial"/>
          <w:sz w:val="24"/>
        </w:rPr>
        <w:t xml:space="preserve">Question </w:t>
      </w:r>
      <w:r>
        <w:rPr>
          <w:rFonts w:ascii="Arial" w:hAnsi="Arial" w:cs="Arial"/>
          <w:sz w:val="24"/>
        </w:rPr>
        <w:t>2</w:t>
      </w:r>
      <w:r w:rsidRPr="00AF24A4">
        <w:rPr>
          <w:rFonts w:ascii="Arial" w:hAnsi="Arial" w:cs="Arial"/>
          <w:sz w:val="24"/>
        </w:rPr>
        <w:t xml:space="preserve">: Do you agree with the Government’s proposal to fund the New Homes Bonus in 2018-19 with £900 million from </w:t>
      </w:r>
      <w:r w:rsidR="00852EC0">
        <w:rPr>
          <w:rFonts w:ascii="Arial" w:hAnsi="Arial" w:cs="Arial"/>
          <w:sz w:val="24"/>
        </w:rPr>
        <w:t>R</w:t>
      </w:r>
      <w:r w:rsidRPr="00AF24A4">
        <w:rPr>
          <w:rFonts w:ascii="Arial" w:hAnsi="Arial" w:cs="Arial"/>
          <w:sz w:val="24"/>
        </w:rPr>
        <w:t xml:space="preserve">evenue </w:t>
      </w:r>
      <w:r w:rsidR="00852EC0">
        <w:rPr>
          <w:rFonts w:ascii="Arial" w:hAnsi="Arial" w:cs="Arial"/>
          <w:sz w:val="24"/>
        </w:rPr>
        <w:t>S</w:t>
      </w:r>
      <w:r w:rsidR="00852EC0" w:rsidRPr="00AF24A4">
        <w:rPr>
          <w:rFonts w:ascii="Arial" w:hAnsi="Arial" w:cs="Arial"/>
          <w:sz w:val="24"/>
        </w:rPr>
        <w:t xml:space="preserve">upport </w:t>
      </w:r>
      <w:r w:rsidR="00852EC0">
        <w:rPr>
          <w:rFonts w:ascii="Arial" w:hAnsi="Arial" w:cs="Arial"/>
          <w:sz w:val="24"/>
        </w:rPr>
        <w:t>G</w:t>
      </w:r>
      <w:r w:rsidR="00852EC0" w:rsidRPr="00AF24A4">
        <w:rPr>
          <w:rFonts w:ascii="Arial" w:hAnsi="Arial" w:cs="Arial"/>
          <w:sz w:val="24"/>
        </w:rPr>
        <w:t xml:space="preserve">rant </w:t>
      </w:r>
      <w:r w:rsidRPr="00AF24A4">
        <w:rPr>
          <w:rFonts w:ascii="Arial" w:hAnsi="Arial" w:cs="Arial"/>
          <w:sz w:val="24"/>
        </w:rPr>
        <w:t>and any additional funding being secured from departmental budgets?</w:t>
      </w:r>
    </w:p>
    <w:p w:rsidR="008612FA" w:rsidRPr="00EE5D69" w:rsidRDefault="008612FA" w:rsidP="008612FA">
      <w:pPr>
        <w:spacing w:after="240"/>
        <w:rPr>
          <w:rFonts w:eastAsia="Calibri" w:cs="Arial"/>
          <w:b/>
        </w:rPr>
      </w:pPr>
      <w:r w:rsidRPr="00EE5D69">
        <w:rPr>
          <w:rFonts w:eastAsia="Calibri" w:cs="Arial"/>
          <w:b/>
        </w:rPr>
        <w:t xml:space="preserve">Question </w:t>
      </w:r>
      <w:r>
        <w:rPr>
          <w:rFonts w:eastAsia="Calibri" w:cs="Arial"/>
          <w:b/>
        </w:rPr>
        <w:t>3</w:t>
      </w:r>
      <w:r w:rsidRPr="00EE5D69">
        <w:rPr>
          <w:rFonts w:eastAsia="Calibri" w:cs="Arial"/>
          <w:b/>
        </w:rPr>
        <w:t>: Do you agree with the Government’s proposed approach of paying £65 million in 2018-19 to the upper quartile of local authorities based on the super-sparsity indicator?</w:t>
      </w:r>
    </w:p>
    <w:p w:rsidR="008612FA" w:rsidRDefault="008612FA" w:rsidP="008612FA">
      <w:pPr>
        <w:rPr>
          <w:rFonts w:cs="Arial"/>
          <w:b/>
        </w:rPr>
      </w:pPr>
      <w:r w:rsidRPr="00665BBA">
        <w:rPr>
          <w:rFonts w:cs="Arial"/>
          <w:b/>
        </w:rPr>
        <w:t xml:space="preserve">Question </w:t>
      </w:r>
      <w:r>
        <w:rPr>
          <w:rFonts w:cs="Arial"/>
          <w:b/>
        </w:rPr>
        <w:t>4</w:t>
      </w:r>
      <w:r w:rsidRPr="00665BBA">
        <w:rPr>
          <w:rFonts w:cs="Arial"/>
          <w:b/>
        </w:rPr>
        <w:t>: Do you agree with the Government’s proposal to hold back £</w:t>
      </w:r>
      <w:r>
        <w:rPr>
          <w:rFonts w:cs="Arial"/>
          <w:b/>
        </w:rPr>
        <w:t>3</w:t>
      </w:r>
      <w:r w:rsidRPr="00665BBA">
        <w:rPr>
          <w:rFonts w:cs="Arial"/>
          <w:b/>
        </w:rPr>
        <w:t xml:space="preserve">5 million to fund the business rates safety net in 2018-19, on the basis of the methodology described in </w:t>
      </w:r>
      <w:r w:rsidRPr="00575BC0">
        <w:rPr>
          <w:rFonts w:cs="Arial"/>
          <w:b/>
        </w:rPr>
        <w:t>paragraph 2.6.</w:t>
      </w:r>
      <w:r w:rsidR="004D144D" w:rsidRPr="00575BC0">
        <w:rPr>
          <w:rFonts w:cs="Arial"/>
          <w:b/>
        </w:rPr>
        <w:t>2</w:t>
      </w:r>
      <w:r w:rsidRPr="00575BC0">
        <w:rPr>
          <w:rFonts w:cs="Arial"/>
          <w:b/>
        </w:rPr>
        <w:t>?</w:t>
      </w:r>
    </w:p>
    <w:p w:rsidR="00E92EEA" w:rsidRDefault="00E92EEA" w:rsidP="008612FA">
      <w:pPr>
        <w:rPr>
          <w:rFonts w:cs="Arial"/>
          <w:b/>
        </w:rPr>
      </w:pPr>
    </w:p>
    <w:p w:rsidR="004D144D" w:rsidRPr="00E92EEA" w:rsidRDefault="00E92EEA" w:rsidP="004D144D">
      <w:pPr>
        <w:suppressAutoHyphens/>
        <w:jc w:val="both"/>
        <w:rPr>
          <w:rFonts w:cs="Arial"/>
          <w:b/>
        </w:rPr>
      </w:pPr>
      <w:r w:rsidRPr="00E92EEA">
        <w:rPr>
          <w:rFonts w:cs="Arial"/>
          <w:b/>
          <w:szCs w:val="22"/>
        </w:rPr>
        <w:t>Q</w:t>
      </w:r>
      <w:r>
        <w:rPr>
          <w:rFonts w:cs="Arial"/>
          <w:b/>
          <w:szCs w:val="22"/>
        </w:rPr>
        <w:t>uestion 5</w:t>
      </w:r>
      <w:r w:rsidRPr="00E92EEA">
        <w:rPr>
          <w:rFonts w:cs="Arial"/>
          <w:b/>
          <w:szCs w:val="22"/>
        </w:rPr>
        <w:t xml:space="preserve">: </w:t>
      </w:r>
      <w:r w:rsidR="004D144D">
        <w:rPr>
          <w:rFonts w:cs="Arial"/>
          <w:b/>
          <w:szCs w:val="22"/>
        </w:rPr>
        <w:t>What are your views on</w:t>
      </w:r>
      <w:r w:rsidR="004D144D" w:rsidRPr="00E92EEA">
        <w:rPr>
          <w:rFonts w:cs="Arial"/>
          <w:b/>
          <w:szCs w:val="22"/>
        </w:rPr>
        <w:t xml:space="preserve"> the council tax referendum principles proposed by the Government for 2018-19?</w:t>
      </w:r>
    </w:p>
    <w:p w:rsidR="008612FA" w:rsidRDefault="008612FA" w:rsidP="004D144D">
      <w:pPr>
        <w:suppressAutoHyphens/>
        <w:jc w:val="both"/>
        <w:rPr>
          <w:rFonts w:cs="Arial"/>
          <w:b/>
        </w:rPr>
      </w:pPr>
    </w:p>
    <w:p w:rsidR="00162BC8" w:rsidRPr="00C23FC8" w:rsidRDefault="00162BC8" w:rsidP="00162BC8">
      <w:pPr>
        <w:tabs>
          <w:tab w:val="left" w:pos="8789"/>
        </w:tabs>
        <w:spacing w:after="240"/>
      </w:pPr>
      <w:r w:rsidRPr="00665BBA">
        <w:rPr>
          <w:rFonts w:cs="Arial"/>
          <w:b/>
        </w:rPr>
        <w:t xml:space="preserve">Question </w:t>
      </w:r>
      <w:r w:rsidR="00E92EEA">
        <w:rPr>
          <w:rFonts w:cs="Arial"/>
          <w:b/>
        </w:rPr>
        <w:t>6</w:t>
      </w:r>
      <w:r w:rsidRPr="00665BBA">
        <w:rPr>
          <w:rFonts w:cs="Arial"/>
          <w:b/>
        </w:rPr>
        <w:t xml:space="preserve">: </w:t>
      </w:r>
      <w:r w:rsidRPr="00162BC8">
        <w:rPr>
          <w:b/>
        </w:rPr>
        <w:t xml:space="preserve">Do you agree with the methodology for calculating the revaluation adjustment to business rates tariff and top-up payments as outlined in paragraphs </w:t>
      </w:r>
      <w:r w:rsidRPr="00575BC0">
        <w:rPr>
          <w:b/>
        </w:rPr>
        <w:t>3.5.1 to 3.5.6?</w:t>
      </w:r>
    </w:p>
    <w:p w:rsidR="008612FA" w:rsidRPr="00D5632F" w:rsidRDefault="008612FA" w:rsidP="008612FA">
      <w:pPr>
        <w:rPr>
          <w:b/>
          <w:sz w:val="48"/>
        </w:rPr>
      </w:pPr>
      <w:r w:rsidRPr="00D5632F">
        <w:rPr>
          <w:b/>
        </w:rPr>
        <w:t xml:space="preserve">Question </w:t>
      </w:r>
      <w:r w:rsidR="00E92EEA">
        <w:rPr>
          <w:b/>
        </w:rPr>
        <w:t>7</w:t>
      </w:r>
      <w:r w:rsidRPr="00D5632F">
        <w:rPr>
          <w:b/>
        </w:rPr>
        <w:t xml:space="preserve">: Do you have any comments on the impact of the </w:t>
      </w:r>
      <w:r>
        <w:rPr>
          <w:b/>
        </w:rPr>
        <w:t>2018-19</w:t>
      </w:r>
      <w:r w:rsidRPr="00D5632F">
        <w:rPr>
          <w:b/>
        </w:rPr>
        <w:t xml:space="preserve"> local government finance settlement on those who share a protected characteristic, and on the draft equality statement published alongside this consultation document? Please provide supporting evidence.</w:t>
      </w:r>
    </w:p>
    <w:p w:rsidR="008612FA" w:rsidRPr="00D5632F" w:rsidRDefault="008612FA" w:rsidP="008612FA">
      <w:pPr>
        <w:rPr>
          <w:sz w:val="48"/>
        </w:rPr>
      </w:pPr>
      <w:r w:rsidRPr="00D5632F">
        <w:br w:type="page"/>
      </w:r>
    </w:p>
    <w:p w:rsidR="00951B08" w:rsidRPr="00575BC0" w:rsidRDefault="00951B08" w:rsidP="00CF70A4">
      <w:pPr>
        <w:rPr>
          <w:sz w:val="48"/>
        </w:rPr>
      </w:pPr>
      <w:bookmarkStart w:id="48" w:name="_Toc501111216"/>
      <w:bookmarkStart w:id="49" w:name="_Toc455034256"/>
      <w:r w:rsidRPr="00575BC0">
        <w:rPr>
          <w:rStyle w:val="Heading1Char"/>
        </w:rPr>
        <w:lastRenderedPageBreak/>
        <w:t xml:space="preserve">Annex </w:t>
      </w:r>
      <w:r w:rsidR="004269F3" w:rsidRPr="00575BC0">
        <w:rPr>
          <w:rStyle w:val="Heading1Char"/>
        </w:rPr>
        <w:t>C</w:t>
      </w:r>
      <w:r w:rsidRPr="00575BC0">
        <w:rPr>
          <w:rStyle w:val="Heading1Char"/>
        </w:rPr>
        <w:t>: Glossary of technical terms</w:t>
      </w:r>
      <w:bookmarkEnd w:id="48"/>
    </w:p>
    <w:bookmarkEnd w:id="49"/>
    <w:p w:rsidR="00687B77" w:rsidRPr="00AE289F" w:rsidRDefault="00687B77" w:rsidP="00687B77">
      <w:pPr>
        <w:pStyle w:val="Normal2"/>
        <w:rPr>
          <w:rFonts w:cs="Arial"/>
          <w:highlight w:val="yellow"/>
        </w:rPr>
      </w:pPr>
    </w:p>
    <w:p w:rsidR="00687B77" w:rsidRPr="00F3519E" w:rsidRDefault="00687B77" w:rsidP="000F1495">
      <w:pPr>
        <w:pStyle w:val="Heading3"/>
      </w:pPr>
      <w:r w:rsidRPr="00F3519E">
        <w:t xml:space="preserve">Baseline funding level </w:t>
      </w:r>
    </w:p>
    <w:p w:rsidR="00687B77" w:rsidRPr="00F3519E" w:rsidRDefault="00687B77" w:rsidP="000F1495">
      <w:pPr>
        <w:spacing w:after="240"/>
        <w:rPr>
          <w:rFonts w:cs="Arial"/>
          <w:color w:val="000000"/>
        </w:rPr>
      </w:pPr>
      <w:r w:rsidRPr="00F3519E">
        <w:rPr>
          <w:rFonts w:cs="Arial"/>
          <w:color w:val="000000"/>
        </w:rPr>
        <w:t xml:space="preserve">The amount of an individual local authority’s </w:t>
      </w:r>
      <w:r w:rsidRPr="00F3519E">
        <w:rPr>
          <w:rFonts w:cs="Arial"/>
          <w:iCs/>
          <w:color w:val="000000"/>
        </w:rPr>
        <w:t>Start</w:t>
      </w:r>
      <w:r w:rsidR="00792F89" w:rsidRPr="00F3519E">
        <w:rPr>
          <w:rFonts w:cs="Arial"/>
          <w:iCs/>
          <w:color w:val="000000"/>
        </w:rPr>
        <w:t>-</w:t>
      </w:r>
      <w:r w:rsidRPr="00F3519E">
        <w:rPr>
          <w:rFonts w:cs="Arial"/>
          <w:iCs/>
          <w:color w:val="000000"/>
        </w:rPr>
        <w:t>Up Funding Assessment</w:t>
      </w:r>
      <w:r w:rsidRPr="00F3519E">
        <w:rPr>
          <w:rFonts w:cs="Arial"/>
          <w:i/>
          <w:iCs/>
          <w:color w:val="000000"/>
        </w:rPr>
        <w:t xml:space="preserve"> </w:t>
      </w:r>
      <w:r w:rsidRPr="00F3519E">
        <w:rPr>
          <w:rFonts w:cs="Arial"/>
          <w:iCs/>
          <w:color w:val="000000"/>
        </w:rPr>
        <w:t>for 2013</w:t>
      </w:r>
      <w:r w:rsidR="00B25D8B" w:rsidRPr="00F3519E">
        <w:rPr>
          <w:rFonts w:cs="Arial"/>
          <w:iCs/>
          <w:color w:val="000000"/>
        </w:rPr>
        <w:t>/</w:t>
      </w:r>
      <w:r w:rsidRPr="00F3519E">
        <w:rPr>
          <w:rFonts w:cs="Arial"/>
          <w:iCs/>
          <w:color w:val="000000"/>
        </w:rPr>
        <w:t xml:space="preserve">14 </w:t>
      </w:r>
      <w:r w:rsidRPr="00F3519E">
        <w:rPr>
          <w:rFonts w:cs="Arial"/>
          <w:color w:val="000000"/>
        </w:rPr>
        <w:t xml:space="preserve">provided through the </w:t>
      </w:r>
      <w:r w:rsidRPr="00F3519E">
        <w:rPr>
          <w:rFonts w:cs="Arial"/>
          <w:i/>
          <w:iCs/>
          <w:color w:val="000000"/>
        </w:rPr>
        <w:t xml:space="preserve">local share </w:t>
      </w:r>
      <w:r w:rsidRPr="00F3519E">
        <w:rPr>
          <w:rFonts w:cs="Arial"/>
          <w:color w:val="000000"/>
        </w:rPr>
        <w:t xml:space="preserve">of the Estimated Business Rates Aggregate uprated each year by the change to the small business multiplier (in line with RPI). </w:t>
      </w:r>
    </w:p>
    <w:p w:rsidR="00687B77" w:rsidRPr="00F3519E" w:rsidRDefault="00687B77" w:rsidP="000F1495">
      <w:pPr>
        <w:pStyle w:val="Heading3"/>
      </w:pPr>
      <w:r w:rsidRPr="00F3519E">
        <w:t xml:space="preserve">Business rates baseline </w:t>
      </w:r>
    </w:p>
    <w:p w:rsidR="00687B77" w:rsidRPr="00F3519E" w:rsidRDefault="00687B77" w:rsidP="000F1495">
      <w:pPr>
        <w:pStyle w:val="Normal2"/>
        <w:spacing w:after="240"/>
        <w:rPr>
          <w:rFonts w:cs="Arial"/>
          <w:color w:val="000000"/>
        </w:rPr>
      </w:pPr>
      <w:proofErr w:type="gramStart"/>
      <w:r w:rsidRPr="00F3519E">
        <w:rPr>
          <w:rFonts w:cs="Arial"/>
          <w:color w:val="000000"/>
        </w:rPr>
        <w:t xml:space="preserve">Determined for individual authorities at the outset of the business rates retention scheme by dividing the </w:t>
      </w:r>
      <w:r w:rsidRPr="00F3519E">
        <w:rPr>
          <w:rFonts w:cs="Arial"/>
          <w:i/>
          <w:iCs/>
          <w:color w:val="000000"/>
        </w:rPr>
        <w:t xml:space="preserve">local share </w:t>
      </w:r>
      <w:r w:rsidRPr="00F3519E">
        <w:rPr>
          <w:rFonts w:cs="Arial"/>
          <w:color w:val="000000"/>
        </w:rPr>
        <w:t xml:space="preserve">of the Estimated Business Rates Aggregate (England) between billing authorities on the basis of their </w:t>
      </w:r>
      <w:r w:rsidRPr="00F3519E">
        <w:rPr>
          <w:rFonts w:cs="Arial"/>
          <w:iCs/>
          <w:color w:val="000000"/>
        </w:rPr>
        <w:t>proportionate shares</w:t>
      </w:r>
      <w:r w:rsidRPr="00F3519E">
        <w:rPr>
          <w:rFonts w:cs="Arial"/>
          <w:color w:val="000000"/>
        </w:rPr>
        <w:t xml:space="preserve">, before the payment of any </w:t>
      </w:r>
      <w:r w:rsidRPr="00F3519E">
        <w:rPr>
          <w:rFonts w:cs="Arial"/>
          <w:iCs/>
          <w:color w:val="000000"/>
        </w:rPr>
        <w:t>major precepting authority share</w:t>
      </w:r>
      <w:r w:rsidRPr="00F3519E">
        <w:rPr>
          <w:rFonts w:cs="Arial"/>
          <w:color w:val="000000"/>
        </w:rPr>
        <w:t>.</w:t>
      </w:r>
      <w:proofErr w:type="gramEnd"/>
      <w:r w:rsidRPr="00F3519E">
        <w:rPr>
          <w:rFonts w:cs="Arial"/>
          <w:color w:val="000000"/>
        </w:rPr>
        <w:t xml:space="preserve"> </w:t>
      </w:r>
    </w:p>
    <w:p w:rsidR="00687B77" w:rsidRPr="00F3519E" w:rsidRDefault="00687B77" w:rsidP="000F1495">
      <w:pPr>
        <w:pStyle w:val="Heading3"/>
      </w:pPr>
      <w:r w:rsidRPr="00F3519E">
        <w:t xml:space="preserve">Local share </w:t>
      </w:r>
    </w:p>
    <w:p w:rsidR="00687B77" w:rsidRDefault="00687B77" w:rsidP="000F1495">
      <w:pPr>
        <w:pStyle w:val="Normal2"/>
        <w:spacing w:after="240"/>
        <w:rPr>
          <w:rFonts w:cs="Arial"/>
          <w:color w:val="000000"/>
        </w:rPr>
      </w:pPr>
      <w:proofErr w:type="gramStart"/>
      <w:r w:rsidRPr="00F3519E">
        <w:rPr>
          <w:rFonts w:cs="Arial"/>
          <w:color w:val="000000"/>
        </w:rPr>
        <w:t>The percentage share of locally collected business rates that is retained by local government.</w:t>
      </w:r>
      <w:proofErr w:type="gramEnd"/>
      <w:r w:rsidRPr="00F3519E">
        <w:rPr>
          <w:rFonts w:cs="Arial"/>
          <w:color w:val="000000"/>
        </w:rPr>
        <w:t xml:space="preserve"> </w:t>
      </w:r>
    </w:p>
    <w:p w:rsidR="00687B77" w:rsidRPr="00F3519E" w:rsidRDefault="00687B77" w:rsidP="000F1495">
      <w:pPr>
        <w:pStyle w:val="Normal2"/>
        <w:spacing w:after="240"/>
        <w:rPr>
          <w:rFonts w:cs="Arial"/>
          <w:color w:val="000000"/>
          <w:sz w:val="26"/>
          <w:szCs w:val="26"/>
        </w:rPr>
      </w:pPr>
      <w:r w:rsidRPr="00F3519E">
        <w:rPr>
          <w:rFonts w:cs="Arial"/>
          <w:b/>
          <w:bCs/>
          <w:color w:val="000000"/>
          <w:sz w:val="26"/>
          <w:szCs w:val="26"/>
        </w:rPr>
        <w:t xml:space="preserve">Revenue Support Grant </w:t>
      </w:r>
    </w:p>
    <w:p w:rsidR="00687B77" w:rsidRPr="00F3519E" w:rsidRDefault="00687B77" w:rsidP="000F1495">
      <w:pPr>
        <w:pStyle w:val="Normal2"/>
        <w:spacing w:after="240"/>
        <w:rPr>
          <w:rFonts w:cs="Arial"/>
          <w:color w:val="000000"/>
        </w:rPr>
      </w:pPr>
      <w:r w:rsidRPr="00F3519E">
        <w:rPr>
          <w:rFonts w:cs="Arial"/>
          <w:color w:val="000000"/>
        </w:rPr>
        <w:t xml:space="preserve">Billing and most major precepting authorities receive </w:t>
      </w:r>
      <w:r w:rsidRPr="00F3519E">
        <w:rPr>
          <w:rFonts w:cs="Arial"/>
          <w:iCs/>
          <w:color w:val="000000"/>
        </w:rPr>
        <w:t xml:space="preserve">Revenue Support Grant </w:t>
      </w:r>
      <w:r w:rsidRPr="00F3519E">
        <w:rPr>
          <w:rFonts w:cs="Arial"/>
          <w:color w:val="000000"/>
        </w:rPr>
        <w:t xml:space="preserve">from central government in addition to their local share of business rates Aggregate. An authority’s </w:t>
      </w:r>
      <w:r w:rsidRPr="00F3519E">
        <w:rPr>
          <w:rFonts w:cs="Arial"/>
          <w:iCs/>
          <w:color w:val="000000"/>
        </w:rPr>
        <w:t xml:space="preserve">Revenue Support Grant </w:t>
      </w:r>
      <w:r w:rsidRPr="00F3519E">
        <w:rPr>
          <w:rFonts w:cs="Arial"/>
          <w:color w:val="000000"/>
        </w:rPr>
        <w:t xml:space="preserve">amount plus the local share of the Estimated Business Rates Aggregate will together comprise its </w:t>
      </w:r>
      <w:r w:rsidRPr="00F3519E">
        <w:rPr>
          <w:rFonts w:cs="Arial"/>
          <w:iCs/>
          <w:color w:val="000000"/>
        </w:rPr>
        <w:t>Settlement Funding Assessment</w:t>
      </w:r>
      <w:r w:rsidRPr="00F3519E">
        <w:rPr>
          <w:rFonts w:cs="Arial"/>
          <w:color w:val="000000"/>
        </w:rPr>
        <w:t>.</w:t>
      </w:r>
    </w:p>
    <w:p w:rsidR="00687B77" w:rsidRPr="00F3519E" w:rsidRDefault="00687B77" w:rsidP="000F1495">
      <w:pPr>
        <w:pStyle w:val="Normal2"/>
        <w:spacing w:after="240"/>
        <w:rPr>
          <w:rFonts w:cs="Arial"/>
          <w:color w:val="000000"/>
          <w:sz w:val="26"/>
          <w:szCs w:val="26"/>
        </w:rPr>
      </w:pPr>
      <w:r w:rsidRPr="00F3519E">
        <w:rPr>
          <w:rFonts w:cs="Arial"/>
          <w:b/>
          <w:bCs/>
          <w:color w:val="000000"/>
          <w:sz w:val="26"/>
          <w:szCs w:val="26"/>
        </w:rPr>
        <w:t xml:space="preserve">Safety net </w:t>
      </w:r>
    </w:p>
    <w:p w:rsidR="00687B77" w:rsidRPr="00F3519E" w:rsidRDefault="00687B77" w:rsidP="000F1495">
      <w:pPr>
        <w:spacing w:after="240"/>
        <w:rPr>
          <w:rFonts w:cs="Arial"/>
        </w:rPr>
      </w:pPr>
      <w:r w:rsidRPr="00F3519E">
        <w:rPr>
          <w:rFonts w:cs="Arial"/>
          <w:color w:val="000000"/>
        </w:rPr>
        <w:t xml:space="preserve">Mechanism to protect any authority which sees its business rates income drop, in any year, by more than 7.5% below their </w:t>
      </w:r>
      <w:r w:rsidRPr="00F3519E">
        <w:rPr>
          <w:rFonts w:cs="Arial"/>
          <w:i/>
          <w:iCs/>
          <w:color w:val="000000"/>
        </w:rPr>
        <w:t xml:space="preserve">baseline funding level </w:t>
      </w:r>
      <w:r w:rsidRPr="00F3519E">
        <w:rPr>
          <w:rFonts w:cs="Arial"/>
          <w:color w:val="000000"/>
        </w:rPr>
        <w:t xml:space="preserve">(with baseline funding levels being uprated by the small business rates </w:t>
      </w:r>
      <w:r w:rsidRPr="00F3519E">
        <w:rPr>
          <w:rFonts w:cs="Arial"/>
          <w:i/>
          <w:color w:val="000000"/>
        </w:rPr>
        <w:t>multiplier</w:t>
      </w:r>
      <w:r w:rsidRPr="00F3519E">
        <w:rPr>
          <w:rFonts w:cs="Arial"/>
          <w:color w:val="000000"/>
        </w:rPr>
        <w:t xml:space="preserve"> for the purposes of assessing eligibility for support). </w:t>
      </w:r>
    </w:p>
    <w:p w:rsidR="00687B77" w:rsidRPr="00F3519E" w:rsidRDefault="00687B77" w:rsidP="000F1495">
      <w:pPr>
        <w:pStyle w:val="Heading3"/>
      </w:pPr>
      <w:r w:rsidRPr="00F3519E">
        <w:t>Start</w:t>
      </w:r>
      <w:r w:rsidR="007F2755" w:rsidRPr="00F3519E">
        <w:t>-</w:t>
      </w:r>
      <w:r w:rsidRPr="00F3519E">
        <w:t>up funding assessment</w:t>
      </w:r>
    </w:p>
    <w:p w:rsidR="00687B77" w:rsidRPr="00F3519E" w:rsidRDefault="00687B77" w:rsidP="000F1495">
      <w:pPr>
        <w:autoSpaceDE w:val="0"/>
        <w:autoSpaceDN w:val="0"/>
        <w:adjustRightInd w:val="0"/>
        <w:spacing w:after="240"/>
        <w:rPr>
          <w:rFonts w:cs="Arial"/>
          <w:color w:val="000000"/>
        </w:rPr>
      </w:pPr>
      <w:proofErr w:type="gramStart"/>
      <w:r w:rsidRPr="00F3519E">
        <w:rPr>
          <w:rFonts w:cs="Arial"/>
          <w:color w:val="000000"/>
        </w:rPr>
        <w:t xml:space="preserve">A local authority’s share of the </w:t>
      </w:r>
      <w:r w:rsidRPr="00F3519E">
        <w:rPr>
          <w:rFonts w:cs="Arial"/>
          <w:iCs/>
          <w:color w:val="000000"/>
        </w:rPr>
        <w:t>local government spending control</w:t>
      </w:r>
      <w:r w:rsidRPr="00F3519E">
        <w:rPr>
          <w:rFonts w:cs="Arial"/>
          <w:i/>
          <w:iCs/>
          <w:color w:val="000000"/>
        </w:rPr>
        <w:t xml:space="preserve"> total </w:t>
      </w:r>
      <w:r w:rsidRPr="00F3519E">
        <w:rPr>
          <w:rFonts w:cs="Arial"/>
          <w:color w:val="000000"/>
        </w:rPr>
        <w:t xml:space="preserve">which will comprise its </w:t>
      </w:r>
      <w:r w:rsidRPr="00F3519E">
        <w:rPr>
          <w:rFonts w:cs="Arial"/>
          <w:iCs/>
          <w:color w:val="000000"/>
        </w:rPr>
        <w:t>Revenue Support Grant</w:t>
      </w:r>
      <w:r w:rsidRPr="00F3519E">
        <w:rPr>
          <w:rFonts w:cs="Arial"/>
          <w:i/>
          <w:iCs/>
          <w:color w:val="000000"/>
        </w:rPr>
        <w:t xml:space="preserve"> </w:t>
      </w:r>
      <w:r w:rsidRPr="00F3519E">
        <w:rPr>
          <w:rFonts w:cs="Arial"/>
          <w:color w:val="000000"/>
        </w:rPr>
        <w:t xml:space="preserve">for the year in question and its </w:t>
      </w:r>
      <w:r w:rsidRPr="00F3519E">
        <w:rPr>
          <w:rFonts w:cs="Arial"/>
          <w:i/>
          <w:iCs/>
          <w:color w:val="000000"/>
        </w:rPr>
        <w:t>baseline funding level</w:t>
      </w:r>
      <w:r w:rsidRPr="00F3519E">
        <w:rPr>
          <w:rFonts w:cs="Arial"/>
          <w:color w:val="000000"/>
        </w:rPr>
        <w:t>.</w:t>
      </w:r>
      <w:proofErr w:type="gramEnd"/>
    </w:p>
    <w:p w:rsidR="00687B77" w:rsidRPr="00F3519E" w:rsidRDefault="00687B77" w:rsidP="000F1495">
      <w:pPr>
        <w:pStyle w:val="Normal2"/>
        <w:spacing w:after="240"/>
        <w:rPr>
          <w:rFonts w:cs="Arial"/>
          <w:color w:val="000000"/>
          <w:sz w:val="26"/>
          <w:szCs w:val="26"/>
        </w:rPr>
      </w:pPr>
      <w:r w:rsidRPr="00F3519E">
        <w:rPr>
          <w:rFonts w:cs="Arial"/>
          <w:b/>
          <w:bCs/>
          <w:color w:val="000000"/>
          <w:sz w:val="26"/>
          <w:szCs w:val="26"/>
        </w:rPr>
        <w:t>Tariffs and top</w:t>
      </w:r>
      <w:r w:rsidR="00852EC0" w:rsidRPr="00F3519E">
        <w:rPr>
          <w:rFonts w:cs="Arial"/>
          <w:b/>
          <w:bCs/>
          <w:color w:val="000000"/>
          <w:sz w:val="26"/>
          <w:szCs w:val="26"/>
        </w:rPr>
        <w:t>-</w:t>
      </w:r>
      <w:r w:rsidRPr="00F3519E">
        <w:rPr>
          <w:rFonts w:cs="Arial"/>
          <w:b/>
          <w:bCs/>
          <w:color w:val="000000"/>
          <w:sz w:val="26"/>
          <w:szCs w:val="26"/>
        </w:rPr>
        <w:t xml:space="preserve">ups </w:t>
      </w:r>
    </w:p>
    <w:p w:rsidR="00687B77" w:rsidRPr="00F3519E" w:rsidRDefault="00687B77" w:rsidP="000F1495">
      <w:pPr>
        <w:pStyle w:val="Normal2"/>
        <w:spacing w:after="240"/>
        <w:rPr>
          <w:rFonts w:cs="Arial"/>
          <w:color w:val="000000"/>
        </w:rPr>
      </w:pPr>
      <w:proofErr w:type="gramStart"/>
      <w:r w:rsidRPr="00F3519E">
        <w:rPr>
          <w:rFonts w:cs="Arial"/>
          <w:color w:val="000000"/>
        </w:rPr>
        <w:t xml:space="preserve">Calculated by comparing at the outset of the business rate retention scheme an </w:t>
      </w:r>
      <w:r w:rsidRPr="00F3519E">
        <w:rPr>
          <w:rFonts w:cs="Arial"/>
          <w:iCs/>
          <w:color w:val="000000"/>
        </w:rPr>
        <w:t xml:space="preserve">individual authority’s business rates baseline </w:t>
      </w:r>
      <w:r w:rsidRPr="00F3519E">
        <w:rPr>
          <w:rFonts w:cs="Arial"/>
          <w:color w:val="000000"/>
        </w:rPr>
        <w:t xml:space="preserve">against its </w:t>
      </w:r>
      <w:r w:rsidRPr="00F3519E">
        <w:rPr>
          <w:rFonts w:cs="Arial"/>
          <w:iCs/>
          <w:color w:val="000000"/>
        </w:rPr>
        <w:t>baseline funding level</w:t>
      </w:r>
      <w:r w:rsidRPr="00F3519E">
        <w:rPr>
          <w:rFonts w:cs="Arial"/>
          <w:color w:val="000000"/>
        </w:rPr>
        <w:t>.</w:t>
      </w:r>
      <w:proofErr w:type="gramEnd"/>
      <w:r w:rsidRPr="00F3519E">
        <w:rPr>
          <w:rFonts w:cs="Arial"/>
          <w:color w:val="000000"/>
        </w:rPr>
        <w:t xml:space="preserve"> </w:t>
      </w:r>
      <w:r w:rsidRPr="00F3519E">
        <w:rPr>
          <w:rFonts w:cs="Arial"/>
          <w:iCs/>
          <w:color w:val="000000"/>
        </w:rPr>
        <w:t xml:space="preserve">Tariffs </w:t>
      </w:r>
      <w:r w:rsidRPr="00F3519E">
        <w:rPr>
          <w:rFonts w:cs="Arial"/>
          <w:color w:val="000000"/>
        </w:rPr>
        <w:t xml:space="preserve">and </w:t>
      </w:r>
      <w:r w:rsidRPr="00F3519E">
        <w:rPr>
          <w:rFonts w:cs="Arial"/>
          <w:iCs/>
          <w:color w:val="000000"/>
        </w:rPr>
        <w:t>top</w:t>
      </w:r>
      <w:r w:rsidR="00852EC0" w:rsidRPr="00F3519E">
        <w:rPr>
          <w:rFonts w:cs="Arial"/>
          <w:iCs/>
          <w:color w:val="000000"/>
        </w:rPr>
        <w:t>-</w:t>
      </w:r>
      <w:r w:rsidRPr="00F3519E">
        <w:rPr>
          <w:rFonts w:cs="Arial"/>
          <w:iCs/>
          <w:color w:val="000000"/>
        </w:rPr>
        <w:t>ups are</w:t>
      </w:r>
      <w:r w:rsidRPr="00F3519E">
        <w:rPr>
          <w:rFonts w:cs="Arial"/>
          <w:color w:val="000000"/>
        </w:rPr>
        <w:t xml:space="preserve"> self</w:t>
      </w:r>
      <w:r w:rsidR="007F2755" w:rsidRPr="00F3519E">
        <w:rPr>
          <w:rFonts w:cs="Arial"/>
          <w:color w:val="000000"/>
        </w:rPr>
        <w:t>-</w:t>
      </w:r>
      <w:r w:rsidRPr="00F3519E">
        <w:rPr>
          <w:rFonts w:cs="Arial"/>
          <w:color w:val="000000"/>
        </w:rPr>
        <w:t xml:space="preserve">funding, fixed at the start of the scheme and index linked to RPI in future years. </w:t>
      </w:r>
    </w:p>
    <w:p w:rsidR="00687B77" w:rsidRPr="00F3519E" w:rsidRDefault="00687B77" w:rsidP="000F1495">
      <w:pPr>
        <w:pStyle w:val="Heading3"/>
      </w:pPr>
      <w:r w:rsidRPr="00F3519E">
        <w:t xml:space="preserve">Tariff authority </w:t>
      </w:r>
    </w:p>
    <w:p w:rsidR="00687B77" w:rsidRPr="00F3519E" w:rsidRDefault="00687B77" w:rsidP="000F1495">
      <w:pPr>
        <w:pStyle w:val="Normal2"/>
        <w:spacing w:after="240"/>
        <w:rPr>
          <w:rFonts w:cs="Arial"/>
          <w:color w:val="000000"/>
        </w:rPr>
      </w:pPr>
      <w:r w:rsidRPr="00F3519E">
        <w:rPr>
          <w:rFonts w:cs="Arial"/>
          <w:color w:val="000000"/>
        </w:rPr>
        <w:t xml:space="preserve">An authority with, at the outset of the scheme, a higher </w:t>
      </w:r>
      <w:r w:rsidRPr="00F3519E">
        <w:rPr>
          <w:rFonts w:cs="Arial"/>
          <w:iCs/>
          <w:color w:val="000000"/>
        </w:rPr>
        <w:t xml:space="preserve">individual authority business rates baseline </w:t>
      </w:r>
      <w:r w:rsidRPr="00F3519E">
        <w:rPr>
          <w:rFonts w:cs="Arial"/>
          <w:color w:val="000000"/>
        </w:rPr>
        <w:t xml:space="preserve">than its </w:t>
      </w:r>
      <w:r w:rsidRPr="00F3519E">
        <w:rPr>
          <w:rFonts w:cs="Arial"/>
          <w:iCs/>
          <w:color w:val="000000"/>
        </w:rPr>
        <w:t>baseline funding level</w:t>
      </w:r>
      <w:r w:rsidRPr="00F3519E">
        <w:rPr>
          <w:rFonts w:cs="Arial"/>
          <w:color w:val="000000"/>
        </w:rPr>
        <w:t xml:space="preserve">, and which therefore pays a </w:t>
      </w:r>
      <w:r w:rsidRPr="00F3519E">
        <w:rPr>
          <w:rFonts w:cs="Arial"/>
          <w:iCs/>
          <w:color w:val="000000"/>
        </w:rPr>
        <w:t>tariff</w:t>
      </w:r>
      <w:r w:rsidRPr="00F3519E">
        <w:rPr>
          <w:rFonts w:cs="Arial"/>
          <w:color w:val="000000"/>
        </w:rPr>
        <w:t xml:space="preserve">. </w:t>
      </w:r>
    </w:p>
    <w:p w:rsidR="00687B77" w:rsidRPr="00F3519E" w:rsidRDefault="00687B77" w:rsidP="000F1495">
      <w:pPr>
        <w:pStyle w:val="Heading3"/>
      </w:pPr>
      <w:r w:rsidRPr="00F3519E">
        <w:lastRenderedPageBreak/>
        <w:t>Top</w:t>
      </w:r>
      <w:r w:rsidR="00792F89" w:rsidRPr="00F3519E">
        <w:t>-</w:t>
      </w:r>
      <w:r w:rsidRPr="00F3519E">
        <w:t xml:space="preserve">up authority </w:t>
      </w:r>
    </w:p>
    <w:p w:rsidR="00687B77" w:rsidRPr="002151A7" w:rsidRDefault="00687B77" w:rsidP="000F1495">
      <w:pPr>
        <w:pStyle w:val="Normal2"/>
        <w:spacing w:after="240"/>
        <w:rPr>
          <w:rFonts w:cs="Arial"/>
          <w:color w:val="000000"/>
        </w:rPr>
      </w:pPr>
      <w:proofErr w:type="gramStart"/>
      <w:r w:rsidRPr="00F3519E">
        <w:rPr>
          <w:rFonts w:cs="Arial"/>
          <w:color w:val="000000"/>
        </w:rPr>
        <w:t xml:space="preserve">An authority with, at the outset of the scheme, a lower </w:t>
      </w:r>
      <w:r w:rsidRPr="00F3519E">
        <w:rPr>
          <w:rFonts w:cs="Arial"/>
          <w:iCs/>
          <w:color w:val="000000"/>
        </w:rPr>
        <w:t xml:space="preserve">individual authority business rates baseline </w:t>
      </w:r>
      <w:r w:rsidRPr="00F3519E">
        <w:rPr>
          <w:rFonts w:cs="Arial"/>
          <w:color w:val="000000"/>
        </w:rPr>
        <w:t xml:space="preserve">than its </w:t>
      </w:r>
      <w:r w:rsidRPr="00F3519E">
        <w:rPr>
          <w:rFonts w:cs="Arial"/>
          <w:iCs/>
          <w:color w:val="000000"/>
        </w:rPr>
        <w:t>baseline funding level</w:t>
      </w:r>
      <w:r w:rsidRPr="00F3519E">
        <w:rPr>
          <w:rFonts w:cs="Arial"/>
          <w:color w:val="000000"/>
        </w:rPr>
        <w:t xml:space="preserve">, and which therefore receives a </w:t>
      </w:r>
      <w:r w:rsidRPr="00F3519E">
        <w:rPr>
          <w:rFonts w:cs="Arial"/>
          <w:iCs/>
          <w:color w:val="000000"/>
        </w:rPr>
        <w:t>top</w:t>
      </w:r>
      <w:r w:rsidR="007F2755" w:rsidRPr="00F3519E">
        <w:rPr>
          <w:rFonts w:cs="Arial"/>
          <w:iCs/>
          <w:color w:val="000000"/>
        </w:rPr>
        <w:t xml:space="preserve"> </w:t>
      </w:r>
      <w:r w:rsidRPr="00F3519E">
        <w:rPr>
          <w:rFonts w:cs="Arial"/>
          <w:iCs/>
          <w:color w:val="000000"/>
        </w:rPr>
        <w:t>up</w:t>
      </w:r>
      <w:r w:rsidRPr="00F3519E">
        <w:rPr>
          <w:rFonts w:cs="Arial"/>
          <w:color w:val="000000"/>
        </w:rPr>
        <w:t>.</w:t>
      </w:r>
      <w:proofErr w:type="gramEnd"/>
      <w:r w:rsidRPr="002151A7">
        <w:rPr>
          <w:rFonts w:cs="Arial"/>
          <w:color w:val="000000"/>
        </w:rPr>
        <w:t xml:space="preserve"> </w:t>
      </w:r>
    </w:p>
    <w:p w:rsidR="00687B77" w:rsidRPr="002151A7" w:rsidRDefault="00687B77" w:rsidP="00687B77"/>
    <w:p w:rsidR="007D43B8" w:rsidRDefault="007D43B8"/>
    <w:sectPr w:rsidR="007D43B8" w:rsidSect="0084352F">
      <w:headerReference w:type="even" r:id="rId29"/>
      <w:pgSz w:w="11906" w:h="16838"/>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119A1" w15:done="0"/>
  <w15:commentEx w15:paraId="1D10E85E" w15:done="0"/>
  <w15:commentEx w15:paraId="2CAF1E70" w15:done="0"/>
  <w15:commentEx w15:paraId="552F82AE" w15:done="0"/>
  <w15:commentEx w15:paraId="1AB53E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9C" w:rsidRDefault="00513B9C">
      <w:r>
        <w:separator/>
      </w:r>
    </w:p>
    <w:p w:rsidR="00513B9C" w:rsidRDefault="00513B9C"/>
  </w:endnote>
  <w:endnote w:type="continuationSeparator" w:id="0">
    <w:p w:rsidR="00513B9C" w:rsidRDefault="00513B9C">
      <w:r>
        <w:continuationSeparator/>
      </w:r>
    </w:p>
    <w:p w:rsidR="00513B9C" w:rsidRDefault="00513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C" w:rsidRDefault="00513B9C" w:rsidP="00D46ED7">
    <w:pPr>
      <w:pStyle w:val="Footer"/>
      <w:jc w:val="right"/>
    </w:pPr>
    <w:r>
      <w:t xml:space="preserve">19 December </w:t>
    </w:r>
    <w:r w:rsidRPr="00AA02E1">
      <w:t>20</w:t>
    </w:r>
    <w:r>
      <w:t>17</w:t>
    </w:r>
  </w:p>
  <w:p w:rsidR="00513B9C" w:rsidRDefault="00513B9C" w:rsidP="00D46ED7">
    <w:pPr>
      <w:pStyle w:val="Footer"/>
      <w:jc w:val="right"/>
    </w:pPr>
    <w:r>
      <w:t>Department for Communities and Local Government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C" w:rsidRPr="009B254A" w:rsidRDefault="00513B9C" w:rsidP="00FC3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C" w:rsidRPr="009B254A" w:rsidRDefault="00513B9C"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sidR="00263513">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9C" w:rsidRDefault="00513B9C">
      <w:r>
        <w:separator/>
      </w:r>
    </w:p>
    <w:p w:rsidR="00513B9C" w:rsidRDefault="00513B9C"/>
  </w:footnote>
  <w:footnote w:type="continuationSeparator" w:id="0">
    <w:p w:rsidR="00513B9C" w:rsidRDefault="00513B9C">
      <w:r>
        <w:continuationSeparator/>
      </w:r>
    </w:p>
    <w:p w:rsidR="00513B9C" w:rsidRDefault="00513B9C"/>
  </w:footnote>
  <w:footnote w:id="1">
    <w:p w:rsidR="00513B9C" w:rsidRDefault="00513B9C">
      <w:pPr>
        <w:pStyle w:val="FootnoteText"/>
      </w:pPr>
      <w:r>
        <w:rPr>
          <w:rStyle w:val="FootnoteReference"/>
        </w:rPr>
        <w:footnoteRef/>
      </w:r>
      <w:r>
        <w:t xml:space="preserve"> </w:t>
      </w:r>
      <w:r w:rsidRPr="00907185">
        <w:t>As required by section 78(5) of the Local Government Finance Act 1988.</w:t>
      </w:r>
    </w:p>
  </w:footnote>
  <w:footnote w:id="2">
    <w:p w:rsidR="00513B9C" w:rsidRDefault="00513B9C">
      <w:pPr>
        <w:pStyle w:val="FootnoteText"/>
      </w:pPr>
      <w:r>
        <w:rPr>
          <w:rStyle w:val="FootnoteReference"/>
        </w:rPr>
        <w:footnoteRef/>
      </w:r>
      <w:r>
        <w:t xml:space="preserve"> </w:t>
      </w:r>
      <w:r w:rsidRPr="00907185">
        <w:t xml:space="preserve">As required by section </w:t>
      </w:r>
      <w:proofErr w:type="gramStart"/>
      <w:r w:rsidRPr="00907185">
        <w:t>78A(</w:t>
      </w:r>
      <w:proofErr w:type="gramEnd"/>
      <w:r w:rsidRPr="00907185">
        <w:t>3) of the Local Government Finance Act 1988 and paragraph 12 of Schedule 7B to the same Act.</w:t>
      </w:r>
    </w:p>
  </w:footnote>
  <w:footnote w:id="3">
    <w:p w:rsidR="00513B9C" w:rsidRDefault="00513B9C">
      <w:pPr>
        <w:pStyle w:val="FootnoteText"/>
      </w:pPr>
      <w:r w:rsidRPr="00F3519E">
        <w:rPr>
          <w:rStyle w:val="FootnoteReference"/>
        </w:rPr>
        <w:footnoteRef/>
      </w:r>
      <w:r w:rsidRPr="00F3519E">
        <w:t xml:space="preserve"> A full list of the constituent local authorities which make-up these pilot areas can be found in the provisional Local Government Finance Report.</w:t>
      </w:r>
    </w:p>
  </w:footnote>
  <w:footnote w:id="4">
    <w:p w:rsidR="00513B9C" w:rsidRDefault="00513B9C" w:rsidP="00C16B5D">
      <w:pPr>
        <w:pStyle w:val="FootnoteText"/>
      </w:pPr>
      <w:r>
        <w:rPr>
          <w:rStyle w:val="FootnoteReference"/>
        </w:rPr>
        <w:footnoteRef/>
      </w:r>
      <w:r>
        <w:t xml:space="preserve"> </w:t>
      </w:r>
      <w:proofErr w:type="gramStart"/>
      <w:r>
        <w:t>Revenue Support Grant.</w:t>
      </w:r>
      <w:proofErr w:type="gramEnd"/>
    </w:p>
  </w:footnote>
  <w:footnote w:id="5">
    <w:p w:rsidR="00513B9C" w:rsidRDefault="00513B9C" w:rsidP="00C16B5D">
      <w:pPr>
        <w:pStyle w:val="FootnoteText"/>
      </w:pPr>
      <w:r>
        <w:rPr>
          <w:rStyle w:val="FootnoteReference"/>
        </w:rPr>
        <w:footnoteRef/>
      </w:r>
      <w:r>
        <w:t xml:space="preserve"> Each of the following is a major </w:t>
      </w:r>
      <w:proofErr w:type="spellStart"/>
      <w:r>
        <w:t>precepting</w:t>
      </w:r>
      <w:proofErr w:type="spellEnd"/>
      <w:r>
        <w:t xml:space="preserve"> authority:</w:t>
      </w:r>
    </w:p>
    <w:p w:rsidR="00513B9C" w:rsidRDefault="00513B9C" w:rsidP="00C16B5D">
      <w:pPr>
        <w:pStyle w:val="FootnoteText"/>
        <w:numPr>
          <w:ilvl w:val="0"/>
          <w:numId w:val="24"/>
        </w:numPr>
      </w:pPr>
      <w:r>
        <w:t>a county council which does not have the functions of a district council,</w:t>
      </w:r>
    </w:p>
    <w:p w:rsidR="00513B9C" w:rsidRDefault="00513B9C" w:rsidP="00C16B5D">
      <w:pPr>
        <w:pStyle w:val="FootnoteText"/>
        <w:numPr>
          <w:ilvl w:val="0"/>
          <w:numId w:val="24"/>
        </w:numPr>
      </w:pPr>
      <w:r>
        <w:t>police and crime commissioners in England whose police area is listed in Schedule 1 to the Police Act 1996,</w:t>
      </w:r>
    </w:p>
    <w:p w:rsidR="00513B9C" w:rsidRDefault="00513B9C" w:rsidP="00C16B5D">
      <w:pPr>
        <w:pStyle w:val="FootnoteText"/>
        <w:numPr>
          <w:ilvl w:val="0"/>
          <w:numId w:val="24"/>
        </w:numPr>
      </w:pPr>
      <w:r>
        <w:t>a metropolitan county fire and rescue authority,</w:t>
      </w:r>
    </w:p>
    <w:p w:rsidR="00513B9C" w:rsidRDefault="00513B9C" w:rsidP="00C16B5D">
      <w:pPr>
        <w:pStyle w:val="FootnoteText"/>
        <w:numPr>
          <w:ilvl w:val="0"/>
          <w:numId w:val="24"/>
        </w:numPr>
      </w:pPr>
      <w:r>
        <w:t>a fire and rescue authority constituted by a scheme under section 2 of the Fire and Rescue Services Act 2004, or a scheme to which section 4 of that Act applies (a ‘combined fire and rescue authority’)</w:t>
      </w:r>
    </w:p>
    <w:p w:rsidR="00513B9C" w:rsidRDefault="00513B9C" w:rsidP="00C16B5D">
      <w:pPr>
        <w:pStyle w:val="FootnoteText"/>
        <w:numPr>
          <w:ilvl w:val="0"/>
          <w:numId w:val="24"/>
        </w:numPr>
      </w:pPr>
      <w:r>
        <w:t>the Greater London Authority, and</w:t>
      </w:r>
    </w:p>
    <w:p w:rsidR="00513B9C" w:rsidRDefault="00513B9C" w:rsidP="00C16B5D">
      <w:pPr>
        <w:pStyle w:val="FootnoteText"/>
        <w:numPr>
          <w:ilvl w:val="0"/>
          <w:numId w:val="24"/>
        </w:numPr>
      </w:pPr>
      <w:proofErr w:type="gramStart"/>
      <w:r>
        <w:t>a</w:t>
      </w:r>
      <w:proofErr w:type="gramEnd"/>
      <w:r>
        <w:t xml:space="preserve"> mayoral combined authority, as defined by section 107A(8) of the Local Democracy, Economic Development and Construction Act 2009.</w:t>
      </w:r>
    </w:p>
  </w:footnote>
  <w:footnote w:id="6">
    <w:p w:rsidR="00513B9C" w:rsidRDefault="00513B9C" w:rsidP="00C16B5D">
      <w:pPr>
        <w:pStyle w:val="FootnoteText"/>
      </w:pPr>
      <w:r>
        <w:rPr>
          <w:rStyle w:val="FootnoteReference"/>
        </w:rPr>
        <w:footnoteRef/>
      </w:r>
      <w:r>
        <w:t xml:space="preserve"> </w:t>
      </w:r>
      <w:r w:rsidRPr="004F7875">
        <w:t>Local policing bodies comprise the Mayor’s Office for Policing and Crime, police and crime commissioners, and the Common Council of the City of London. (The Mayor's Office for Policing and Crime (MOPAC) is a functional body of the Greater London Authority (</w:t>
      </w:r>
      <w:proofErr w:type="gramStart"/>
      <w:r w:rsidRPr="004F7875">
        <w:t>s.424(</w:t>
      </w:r>
      <w:proofErr w:type="gramEnd"/>
      <w:r w:rsidRPr="004F7875">
        <w:t>1) of the Greater London Authority Act 1999).</w:t>
      </w:r>
    </w:p>
  </w:footnote>
  <w:footnote w:id="7">
    <w:p w:rsidR="00513B9C" w:rsidRDefault="00513B9C" w:rsidP="007D43B8">
      <w:pPr>
        <w:pStyle w:val="FootnoteText"/>
      </w:pPr>
      <w:r>
        <w:rPr>
          <w:rStyle w:val="FootnoteReference"/>
        </w:rPr>
        <w:footnoteRef/>
      </w:r>
      <w:r>
        <w:t xml:space="preserve"> </w:t>
      </w:r>
      <w:r w:rsidRPr="00456088">
        <w:t>https://www.gov.uk/government/uploads/system/uploads/attachment_data/file/577947/Provisional_2017-2018_local_government_finance_settlement_consultation.pdf</w:t>
      </w:r>
    </w:p>
  </w:footnote>
  <w:footnote w:id="8">
    <w:p w:rsidR="00513B9C" w:rsidRDefault="00513B9C">
      <w:pPr>
        <w:pStyle w:val="FootnoteText"/>
      </w:pPr>
      <w:r>
        <w:rPr>
          <w:rStyle w:val="FootnoteReference"/>
        </w:rPr>
        <w:footnoteRef/>
      </w:r>
      <w:r>
        <w:t xml:space="preserve"> </w:t>
      </w:r>
      <w:r w:rsidRPr="00F3519E">
        <w:t>A full list of the constituent local authorities which make-up these pilot areas can be found in the provisional Local Government Finance Report.</w:t>
      </w:r>
    </w:p>
  </w:footnote>
  <w:footnote w:id="9">
    <w:p w:rsidR="00513B9C" w:rsidRDefault="00513B9C" w:rsidP="00F430F9">
      <w:pPr>
        <w:rPr>
          <w:rFonts w:cs="Arial"/>
          <w:sz w:val="20"/>
        </w:rPr>
      </w:pPr>
      <w:r>
        <w:rPr>
          <w:rStyle w:val="FootnoteReference"/>
        </w:rPr>
        <w:footnoteRef/>
      </w:r>
      <w:r>
        <w:t xml:space="preserve"> </w:t>
      </w:r>
      <w:hyperlink r:id="rId1" w:history="1">
        <w:r>
          <w:rPr>
            <w:rStyle w:val="Hyperlink"/>
            <w:rFonts w:cs="Arial"/>
            <w:sz w:val="20"/>
          </w:rPr>
          <w:t>https://www.gov.uk/government/statistics/non-domestic-rating-high-level-estimates-of-change-in-rateable-value-of-rating-lists</w:t>
        </w:r>
      </w:hyperlink>
    </w:p>
    <w:p w:rsidR="00513B9C" w:rsidRDefault="00513B9C" w:rsidP="00F430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9C" w:rsidRDefault="00513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1208FB"/>
    <w:multiLevelType w:val="hybridMultilevel"/>
    <w:tmpl w:val="4A7A9E6E"/>
    <w:lvl w:ilvl="0" w:tplc="14102FC6">
      <w:numFmt w:val="bullet"/>
      <w:lvlText w:val="-"/>
      <w:lvlJc w:val="left"/>
      <w:pPr>
        <w:ind w:left="2563" w:hanging="360"/>
      </w:pPr>
      <w:rPr>
        <w:rFonts w:ascii="Arial" w:eastAsia="Times New Roman" w:hAnsi="Arial" w:cs="Arial"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
    <w:nsid w:val="022F6617"/>
    <w:multiLevelType w:val="hybridMultilevel"/>
    <w:tmpl w:val="98927E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6C28D8"/>
    <w:multiLevelType w:val="hybridMultilevel"/>
    <w:tmpl w:val="5038D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0AE46ECC"/>
    <w:multiLevelType w:val="multilevel"/>
    <w:tmpl w:val="10FAC10A"/>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bullet"/>
      <w:lvlText w:val=""/>
      <w:lvlJc w:val="left"/>
      <w:pPr>
        <w:ind w:left="1080" w:hanging="1080"/>
      </w:pPr>
      <w:rPr>
        <w:rFonts w:ascii="Symbol" w:hAnsi="Symbol"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0F8D3563"/>
    <w:multiLevelType w:val="hybridMultilevel"/>
    <w:tmpl w:val="CB0E804E"/>
    <w:lvl w:ilvl="0" w:tplc="B088039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4379D0"/>
    <w:multiLevelType w:val="hybridMultilevel"/>
    <w:tmpl w:val="AC58296E"/>
    <w:lvl w:ilvl="0" w:tplc="D0C48D20">
      <w:numFmt w:val="bullet"/>
      <w:lvlText w:val="•"/>
      <w:lvlJc w:val="left"/>
      <w:pPr>
        <w:ind w:left="720" w:hanging="72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F6E7938"/>
    <w:multiLevelType w:val="multilevel"/>
    <w:tmpl w:val="E86AE900"/>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1FE708BF"/>
    <w:multiLevelType w:val="multilevel"/>
    <w:tmpl w:val="A8A2CA7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1080" w:hanging="1080"/>
      </w:pPr>
      <w:rPr>
        <w:rFonts w:ascii="Arial" w:hAnsi="Arial" w:cs="Arial"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20BB5C59"/>
    <w:multiLevelType w:val="hybridMultilevel"/>
    <w:tmpl w:val="B1E08742"/>
    <w:lvl w:ilvl="0" w:tplc="08090001">
      <w:start w:val="1"/>
      <w:numFmt w:val="bullet"/>
      <w:lvlText w:val=""/>
      <w:lvlJc w:val="left"/>
      <w:pPr>
        <w:ind w:left="1440" w:hanging="360"/>
      </w:pPr>
      <w:rPr>
        <w:rFonts w:ascii="Symbol" w:hAnsi="Symbol" w:hint="default"/>
      </w:rPr>
    </w:lvl>
    <w:lvl w:ilvl="1" w:tplc="14102FC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1E4552D"/>
    <w:multiLevelType w:val="hybridMultilevel"/>
    <w:tmpl w:val="D0C467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22321E1C"/>
    <w:multiLevelType w:val="hybridMultilevel"/>
    <w:tmpl w:val="8DE6426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nsid w:val="28F90083"/>
    <w:multiLevelType w:val="multilevel"/>
    <w:tmpl w:val="FED27406"/>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2AD437D8"/>
    <w:multiLevelType w:val="multilevel"/>
    <w:tmpl w:val="B29810D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8">
    <w:nsid w:val="2CFE3854"/>
    <w:multiLevelType w:val="hybridMultilevel"/>
    <w:tmpl w:val="209ECFBA"/>
    <w:lvl w:ilvl="0" w:tplc="055010C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0735BCB"/>
    <w:multiLevelType w:val="hybridMultilevel"/>
    <w:tmpl w:val="7514066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C94BE8"/>
    <w:multiLevelType w:val="hybridMultilevel"/>
    <w:tmpl w:val="92C896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AB12CD"/>
    <w:multiLevelType w:val="hybridMultilevel"/>
    <w:tmpl w:val="E12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783316"/>
    <w:multiLevelType w:val="hybridMultilevel"/>
    <w:tmpl w:val="69148D02"/>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4">
    <w:nsid w:val="44AB18DE"/>
    <w:multiLevelType w:val="hybridMultilevel"/>
    <w:tmpl w:val="1CD6C64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4618372B"/>
    <w:multiLevelType w:val="hybridMultilevel"/>
    <w:tmpl w:val="5B94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1007A"/>
    <w:multiLevelType w:val="multilevel"/>
    <w:tmpl w:val="D9C4CF4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bullet"/>
      <w:lvlText w:val=""/>
      <w:lvlJc w:val="left"/>
      <w:pPr>
        <w:ind w:left="1080" w:hanging="1080"/>
      </w:pPr>
      <w:rPr>
        <w:rFonts w:ascii="Symbol" w:hAnsi="Symbol"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4C6F0B9C"/>
    <w:multiLevelType w:val="hybridMultilevel"/>
    <w:tmpl w:val="A0AA44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F6C36C9"/>
    <w:multiLevelType w:val="multilevel"/>
    <w:tmpl w:val="037645CC"/>
    <w:lvl w:ilvl="0">
      <w:start w:val="1"/>
      <w:numFmt w:val="bullet"/>
      <w:lvlText w:val=""/>
      <w:lvlJc w:val="left"/>
      <w:pPr>
        <w:ind w:left="1320" w:hanging="600"/>
      </w:pPr>
      <w:rPr>
        <w:rFonts w:ascii="Symbol" w:hAnsi="Symbol" w:hint="default"/>
      </w:rPr>
    </w:lvl>
    <w:lvl w:ilvl="1">
      <w:start w:val="1"/>
      <w:numFmt w:val="decimal"/>
      <w:lvlText w:val="%1.%2"/>
      <w:lvlJc w:val="left"/>
      <w:pPr>
        <w:ind w:left="1440" w:hanging="720"/>
      </w:pPr>
      <w:rPr>
        <w:rFonts w:hint="default"/>
      </w:rPr>
    </w:lvl>
    <w:lvl w:ilvl="2">
      <w:start w:val="1"/>
      <w:numFmt w:val="bullet"/>
      <w:lvlText w:val=""/>
      <w:lvlJc w:val="left"/>
      <w:pPr>
        <w:ind w:left="1800" w:hanging="1080"/>
      </w:pPr>
      <w:rPr>
        <w:rFonts w:ascii="Symbol" w:hAnsi="Symbol" w:hint="default"/>
      </w:rPr>
    </w:lvl>
    <w:lvl w:ilvl="3">
      <w:start w:val="1"/>
      <w:numFmt w:val="decimal"/>
      <w:lvlText w:val="%1.%2.%3.%4"/>
      <w:lvlJc w:val="left"/>
      <w:pPr>
        <w:ind w:left="216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52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240" w:hanging="2520"/>
      </w:pPr>
      <w:rPr>
        <w:rFonts w:hint="default"/>
      </w:rPr>
    </w:lvl>
    <w:lvl w:ilvl="8">
      <w:start w:val="1"/>
      <w:numFmt w:val="decimal"/>
      <w:lvlText w:val="%1.%2.%3.%4.%5.%6.%7.%8.%9"/>
      <w:lvlJc w:val="left"/>
      <w:pPr>
        <w:ind w:left="3600" w:hanging="2880"/>
      </w:pPr>
      <w:rPr>
        <w:rFonts w:hint="default"/>
      </w:rPr>
    </w:lvl>
  </w:abstractNum>
  <w:abstractNum w:abstractNumId="29">
    <w:nsid w:val="51A60134"/>
    <w:multiLevelType w:val="multilevel"/>
    <w:tmpl w:val="AE22F986"/>
    <w:lvl w:ilvl="0">
      <w:start w:val="1"/>
      <w:numFmt w:val="bullet"/>
      <w:lvlText w:val=""/>
      <w:lvlJc w:val="left"/>
      <w:pPr>
        <w:ind w:left="1200" w:hanging="600"/>
      </w:pPr>
      <w:rPr>
        <w:rFonts w:ascii="Symbol" w:hAnsi="Symbol" w:hint="default"/>
      </w:rPr>
    </w:lvl>
    <w:lvl w:ilvl="1">
      <w:start w:val="1"/>
      <w:numFmt w:val="decimal"/>
      <w:lvlText w:val="%1.%2"/>
      <w:lvlJc w:val="left"/>
      <w:pPr>
        <w:ind w:left="1320" w:hanging="720"/>
      </w:pPr>
      <w:rPr>
        <w:rFonts w:hint="default"/>
        <w:b/>
        <w:sz w:val="24"/>
      </w:rPr>
    </w:lvl>
    <w:lvl w:ilvl="2">
      <w:start w:val="1"/>
      <w:numFmt w:val="bullet"/>
      <w:lvlText w:val=""/>
      <w:lvlJc w:val="left"/>
      <w:pPr>
        <w:ind w:left="1680" w:hanging="1080"/>
      </w:pPr>
      <w:rPr>
        <w:rFonts w:ascii="Symbol" w:hAnsi="Symbol" w:hint="default"/>
        <w:b w:val="0"/>
      </w:rPr>
    </w:lvl>
    <w:lvl w:ilvl="3">
      <w:start w:val="1"/>
      <w:numFmt w:val="decimal"/>
      <w:lvlText w:val="%1.%2.%3.%4"/>
      <w:lvlJc w:val="left"/>
      <w:pPr>
        <w:ind w:left="2040" w:hanging="144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760" w:hanging="2160"/>
      </w:pPr>
      <w:rPr>
        <w:rFonts w:hint="default"/>
      </w:rPr>
    </w:lvl>
    <w:lvl w:ilvl="7">
      <w:start w:val="1"/>
      <w:numFmt w:val="decimal"/>
      <w:lvlText w:val="%1.%2.%3.%4.%5.%6.%7.%8"/>
      <w:lvlJc w:val="left"/>
      <w:pPr>
        <w:ind w:left="3120" w:hanging="2520"/>
      </w:pPr>
      <w:rPr>
        <w:rFonts w:hint="default"/>
      </w:rPr>
    </w:lvl>
    <w:lvl w:ilvl="8">
      <w:start w:val="1"/>
      <w:numFmt w:val="decimal"/>
      <w:lvlText w:val="%1.%2.%3.%4.%5.%6.%7.%8.%9"/>
      <w:lvlJc w:val="left"/>
      <w:pPr>
        <w:ind w:left="3480" w:hanging="2880"/>
      </w:pPr>
      <w:rPr>
        <w:rFonts w:hint="default"/>
      </w:rPr>
    </w:lvl>
  </w:abstractNum>
  <w:abstractNum w:abstractNumId="30">
    <w:nsid w:val="584F0AD8"/>
    <w:multiLevelType w:val="multilevel"/>
    <w:tmpl w:val="53BCB854"/>
    <w:lvl w:ilvl="0">
      <w:start w:val="1"/>
      <w:numFmt w:val="decimal"/>
      <w:lvlText w:val="%1)"/>
      <w:lvlJc w:val="left"/>
      <w:pPr>
        <w:ind w:left="360" w:hanging="360"/>
      </w:pPr>
      <w:rPr>
        <w:rFonts w:hint="default"/>
        <w:b w:val="0"/>
        <w:i w:val="0"/>
        <w:sz w:val="22"/>
        <w:szCs w:val="22"/>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95B469A"/>
    <w:multiLevelType w:val="multilevel"/>
    <w:tmpl w:val="2DA8FDA0"/>
    <w:lvl w:ilvl="0">
      <w:start w:val="1"/>
      <w:numFmt w:val="bullet"/>
      <w:lvlText w:val=""/>
      <w:lvlJc w:val="left"/>
      <w:pPr>
        <w:ind w:left="1320" w:hanging="60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52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240" w:hanging="2520"/>
      </w:pPr>
      <w:rPr>
        <w:rFonts w:hint="default"/>
      </w:rPr>
    </w:lvl>
    <w:lvl w:ilvl="8">
      <w:start w:val="1"/>
      <w:numFmt w:val="decimal"/>
      <w:lvlText w:val="%1.%2.%3.%4.%5.%6.%7.%8.%9"/>
      <w:lvlJc w:val="left"/>
      <w:pPr>
        <w:ind w:left="3600" w:hanging="2880"/>
      </w:pPr>
      <w:rPr>
        <w:rFonts w:hint="default"/>
      </w:rPr>
    </w:lvl>
  </w:abstractNum>
  <w:abstractNum w:abstractNumId="32">
    <w:nsid w:val="610F3EE4"/>
    <w:multiLevelType w:val="multilevel"/>
    <w:tmpl w:val="D9C4CF4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bullet"/>
      <w:lvlText w:val=""/>
      <w:lvlJc w:val="left"/>
      <w:pPr>
        <w:ind w:left="1080" w:hanging="1080"/>
      </w:pPr>
      <w:rPr>
        <w:rFonts w:ascii="Symbol" w:hAnsi="Symbol"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nsid w:val="61605AAE"/>
    <w:multiLevelType w:val="hybridMultilevel"/>
    <w:tmpl w:val="013A77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17E70FF"/>
    <w:multiLevelType w:val="hybridMultilevel"/>
    <w:tmpl w:val="6BC280DA"/>
    <w:lvl w:ilvl="0" w:tplc="1CDC6F2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ED20FC"/>
    <w:multiLevelType w:val="multilevel"/>
    <w:tmpl w:val="46BCE612"/>
    <w:lvl w:ilvl="0">
      <w:start w:val="1"/>
      <w:numFmt w:val="bullet"/>
      <w:lvlText w:val=""/>
      <w:lvlJc w:val="left"/>
      <w:pPr>
        <w:ind w:left="600" w:hanging="600"/>
      </w:pPr>
      <w:rPr>
        <w:rFonts w:ascii="Symbol" w:hAnsi="Symbol" w:hint="default"/>
      </w:rPr>
    </w:lvl>
    <w:lvl w:ilvl="1">
      <w:start w:val="1"/>
      <w:numFmt w:val="decimal"/>
      <w:lvlText w:val="%1.%2"/>
      <w:lvlJc w:val="left"/>
      <w:pPr>
        <w:ind w:left="720" w:hanging="720"/>
      </w:pPr>
      <w:rPr>
        <w:rFonts w:hint="default"/>
        <w:b/>
        <w:sz w:val="24"/>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nsid w:val="6D0C4284"/>
    <w:multiLevelType w:val="multilevel"/>
    <w:tmpl w:val="10FAC10A"/>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b/>
        <w:sz w:val="24"/>
      </w:rPr>
    </w:lvl>
    <w:lvl w:ilvl="2">
      <w:start w:val="1"/>
      <w:numFmt w:val="bullet"/>
      <w:lvlText w:val=""/>
      <w:lvlJc w:val="left"/>
      <w:pPr>
        <w:ind w:left="1080" w:hanging="1080"/>
      </w:pPr>
      <w:rPr>
        <w:rFonts w:ascii="Symbol" w:hAnsi="Symbol" w:hint="default"/>
        <w:b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6D20214D"/>
    <w:multiLevelType w:val="hybridMultilevel"/>
    <w:tmpl w:val="6EE83F80"/>
    <w:lvl w:ilvl="0" w:tplc="699CDE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D84E3F"/>
    <w:multiLevelType w:val="hybridMultilevel"/>
    <w:tmpl w:val="2426470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E493362"/>
    <w:multiLevelType w:val="hybridMultilevel"/>
    <w:tmpl w:val="FB024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2974ADC"/>
    <w:multiLevelType w:val="hybridMultilevel"/>
    <w:tmpl w:val="2BF6F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5AC13D2"/>
    <w:multiLevelType w:val="hybridMultilevel"/>
    <w:tmpl w:val="DC94D52C"/>
    <w:lvl w:ilvl="0" w:tplc="12BE7824">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43">
    <w:nsid w:val="7DCB1AC0"/>
    <w:multiLevelType w:val="hybridMultilevel"/>
    <w:tmpl w:val="F21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B4703D"/>
    <w:multiLevelType w:val="hybridMultilevel"/>
    <w:tmpl w:val="E56E48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9"/>
  </w:num>
  <w:num w:numId="6">
    <w:abstractNumId w:val="17"/>
  </w:num>
  <w:num w:numId="7">
    <w:abstractNumId w:val="42"/>
  </w:num>
  <w:num w:numId="8">
    <w:abstractNumId w:val="16"/>
  </w:num>
  <w:num w:numId="9">
    <w:abstractNumId w:val="31"/>
  </w:num>
  <w:num w:numId="10">
    <w:abstractNumId w:val="28"/>
  </w:num>
  <w:num w:numId="11">
    <w:abstractNumId w:val="34"/>
  </w:num>
  <w:num w:numId="12">
    <w:abstractNumId w:val="15"/>
  </w:num>
  <w:num w:numId="13">
    <w:abstractNumId w:val="12"/>
  </w:num>
  <w:num w:numId="14">
    <w:abstractNumId w:val="24"/>
  </w:num>
  <w:num w:numId="15">
    <w:abstractNumId w:val="38"/>
  </w:num>
  <w:num w:numId="16">
    <w:abstractNumId w:val="11"/>
  </w:num>
  <w:num w:numId="17">
    <w:abstractNumId w:val="18"/>
  </w:num>
  <w:num w:numId="18">
    <w:abstractNumId w:val="5"/>
  </w:num>
  <w:num w:numId="19">
    <w:abstractNumId w:val="10"/>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num>
  <w:num w:numId="23">
    <w:abstractNumId w:val="27"/>
  </w:num>
  <w:num w:numId="24">
    <w:abstractNumId w:val="22"/>
  </w:num>
  <w:num w:numId="25">
    <w:abstractNumId w:val="43"/>
  </w:num>
  <w:num w:numId="26">
    <w:abstractNumId w:val="41"/>
  </w:num>
  <w:num w:numId="27">
    <w:abstractNumId w:val="8"/>
  </w:num>
  <w:num w:numId="28">
    <w:abstractNumId w:val="30"/>
  </w:num>
  <w:num w:numId="29">
    <w:abstractNumId w:val="44"/>
  </w:num>
  <w:num w:numId="30">
    <w:abstractNumId w:val="33"/>
  </w:num>
  <w:num w:numId="31">
    <w:abstractNumId w:val="21"/>
  </w:num>
  <w:num w:numId="32">
    <w:abstractNumId w:val="20"/>
  </w:num>
  <w:num w:numId="33">
    <w:abstractNumId w:val="39"/>
  </w:num>
  <w:num w:numId="34">
    <w:abstractNumId w:val="9"/>
  </w:num>
  <w:num w:numId="35">
    <w:abstractNumId w:val="32"/>
  </w:num>
  <w:num w:numId="36">
    <w:abstractNumId w:val="26"/>
  </w:num>
  <w:num w:numId="37">
    <w:abstractNumId w:val="29"/>
  </w:num>
  <w:num w:numId="38">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7"/>
  </w:num>
  <w:num w:numId="41">
    <w:abstractNumId w:val="36"/>
  </w:num>
  <w:num w:numId="42">
    <w:abstractNumId w:val="7"/>
  </w:num>
  <w:num w:numId="43">
    <w:abstractNumId w:val="14"/>
  </w:num>
  <w:num w:numId="44">
    <w:abstractNumId w:val="13"/>
  </w:num>
  <w:num w:numId="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6"/>
  </w:num>
  <w:num w:numId="49">
    <w:abstractNumId w:val="3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Chris - HMT">
    <w15:presenceInfo w15:providerId="None" w15:userId="Jackson, Chris - H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B"/>
    <w:rsid w:val="00003512"/>
    <w:rsid w:val="00005A1A"/>
    <w:rsid w:val="00006253"/>
    <w:rsid w:val="000065A0"/>
    <w:rsid w:val="00007213"/>
    <w:rsid w:val="00011154"/>
    <w:rsid w:val="00012BDC"/>
    <w:rsid w:val="00017115"/>
    <w:rsid w:val="0001763E"/>
    <w:rsid w:val="000220F4"/>
    <w:rsid w:val="000230AA"/>
    <w:rsid w:val="00024745"/>
    <w:rsid w:val="00024C6D"/>
    <w:rsid w:val="00026A28"/>
    <w:rsid w:val="00027B64"/>
    <w:rsid w:val="00032E68"/>
    <w:rsid w:val="00033289"/>
    <w:rsid w:val="00035F0A"/>
    <w:rsid w:val="00041801"/>
    <w:rsid w:val="00043803"/>
    <w:rsid w:val="000441A9"/>
    <w:rsid w:val="0004535E"/>
    <w:rsid w:val="00046DB0"/>
    <w:rsid w:val="00047AFC"/>
    <w:rsid w:val="00053B41"/>
    <w:rsid w:val="000541C8"/>
    <w:rsid w:val="000546B5"/>
    <w:rsid w:val="0005568A"/>
    <w:rsid w:val="00061C15"/>
    <w:rsid w:val="000625C8"/>
    <w:rsid w:val="00066A7B"/>
    <w:rsid w:val="000673B1"/>
    <w:rsid w:val="00073650"/>
    <w:rsid w:val="00073BE7"/>
    <w:rsid w:val="000747B8"/>
    <w:rsid w:val="000758CB"/>
    <w:rsid w:val="0007679A"/>
    <w:rsid w:val="00080488"/>
    <w:rsid w:val="00081ADF"/>
    <w:rsid w:val="00084654"/>
    <w:rsid w:val="00085B40"/>
    <w:rsid w:val="00087B91"/>
    <w:rsid w:val="00091A7F"/>
    <w:rsid w:val="00092A49"/>
    <w:rsid w:val="00093940"/>
    <w:rsid w:val="000956DC"/>
    <w:rsid w:val="00096201"/>
    <w:rsid w:val="000A027C"/>
    <w:rsid w:val="000A0EE0"/>
    <w:rsid w:val="000A1B99"/>
    <w:rsid w:val="000A276B"/>
    <w:rsid w:val="000A3E71"/>
    <w:rsid w:val="000A4069"/>
    <w:rsid w:val="000A456D"/>
    <w:rsid w:val="000A63AA"/>
    <w:rsid w:val="000B052C"/>
    <w:rsid w:val="000B08BA"/>
    <w:rsid w:val="000B0A63"/>
    <w:rsid w:val="000B190D"/>
    <w:rsid w:val="000B1EF9"/>
    <w:rsid w:val="000B3B22"/>
    <w:rsid w:val="000B4A3B"/>
    <w:rsid w:val="000B69E9"/>
    <w:rsid w:val="000B7A88"/>
    <w:rsid w:val="000C30C1"/>
    <w:rsid w:val="000C39F8"/>
    <w:rsid w:val="000C5093"/>
    <w:rsid w:val="000C6D26"/>
    <w:rsid w:val="000C71D4"/>
    <w:rsid w:val="000D1752"/>
    <w:rsid w:val="000D1801"/>
    <w:rsid w:val="000D28B9"/>
    <w:rsid w:val="000D51D1"/>
    <w:rsid w:val="000D61D4"/>
    <w:rsid w:val="000D7E39"/>
    <w:rsid w:val="000E1987"/>
    <w:rsid w:val="000E1F3A"/>
    <w:rsid w:val="000E26B9"/>
    <w:rsid w:val="000E2D9D"/>
    <w:rsid w:val="000E3F51"/>
    <w:rsid w:val="000E56BF"/>
    <w:rsid w:val="000E7093"/>
    <w:rsid w:val="000E787C"/>
    <w:rsid w:val="000F1131"/>
    <w:rsid w:val="000F1495"/>
    <w:rsid w:val="000F204D"/>
    <w:rsid w:val="000F72A4"/>
    <w:rsid w:val="0010057E"/>
    <w:rsid w:val="0010174D"/>
    <w:rsid w:val="00101DEC"/>
    <w:rsid w:val="00104042"/>
    <w:rsid w:val="00104591"/>
    <w:rsid w:val="00104ED1"/>
    <w:rsid w:val="00110640"/>
    <w:rsid w:val="00110FD3"/>
    <w:rsid w:val="001110C3"/>
    <w:rsid w:val="001152E3"/>
    <w:rsid w:val="0011653C"/>
    <w:rsid w:val="00117698"/>
    <w:rsid w:val="0012189F"/>
    <w:rsid w:val="0012459F"/>
    <w:rsid w:val="00124CBD"/>
    <w:rsid w:val="0012543B"/>
    <w:rsid w:val="001260CA"/>
    <w:rsid w:val="00127528"/>
    <w:rsid w:val="0013057E"/>
    <w:rsid w:val="00135286"/>
    <w:rsid w:val="001375DB"/>
    <w:rsid w:val="001377AC"/>
    <w:rsid w:val="00141CEF"/>
    <w:rsid w:val="00142F34"/>
    <w:rsid w:val="00145207"/>
    <w:rsid w:val="00145C18"/>
    <w:rsid w:val="00145DCA"/>
    <w:rsid w:val="00147EF6"/>
    <w:rsid w:val="0015018A"/>
    <w:rsid w:val="0015066E"/>
    <w:rsid w:val="00150793"/>
    <w:rsid w:val="00151C26"/>
    <w:rsid w:val="001544CE"/>
    <w:rsid w:val="0015560C"/>
    <w:rsid w:val="00155784"/>
    <w:rsid w:val="0015704A"/>
    <w:rsid w:val="001576D3"/>
    <w:rsid w:val="001604C9"/>
    <w:rsid w:val="00161DD6"/>
    <w:rsid w:val="001621E3"/>
    <w:rsid w:val="00162BC8"/>
    <w:rsid w:val="00162F95"/>
    <w:rsid w:val="00163126"/>
    <w:rsid w:val="001637B4"/>
    <w:rsid w:val="00170445"/>
    <w:rsid w:val="00170ED4"/>
    <w:rsid w:val="00171512"/>
    <w:rsid w:val="00171E62"/>
    <w:rsid w:val="001727ED"/>
    <w:rsid w:val="001775B7"/>
    <w:rsid w:val="00180DFD"/>
    <w:rsid w:val="00182D2C"/>
    <w:rsid w:val="0018605A"/>
    <w:rsid w:val="00186D7F"/>
    <w:rsid w:val="00187516"/>
    <w:rsid w:val="001924A3"/>
    <w:rsid w:val="001959D5"/>
    <w:rsid w:val="00196007"/>
    <w:rsid w:val="001A196D"/>
    <w:rsid w:val="001A21C0"/>
    <w:rsid w:val="001A3356"/>
    <w:rsid w:val="001A3D03"/>
    <w:rsid w:val="001A59E5"/>
    <w:rsid w:val="001A62F5"/>
    <w:rsid w:val="001A6A36"/>
    <w:rsid w:val="001A7196"/>
    <w:rsid w:val="001B0443"/>
    <w:rsid w:val="001B103E"/>
    <w:rsid w:val="001B273D"/>
    <w:rsid w:val="001B324C"/>
    <w:rsid w:val="001B6E70"/>
    <w:rsid w:val="001B6F97"/>
    <w:rsid w:val="001C2B65"/>
    <w:rsid w:val="001C380B"/>
    <w:rsid w:val="001C3B3F"/>
    <w:rsid w:val="001C5E2A"/>
    <w:rsid w:val="001C62ED"/>
    <w:rsid w:val="001D18A4"/>
    <w:rsid w:val="001D1FA8"/>
    <w:rsid w:val="001D2D67"/>
    <w:rsid w:val="001D326C"/>
    <w:rsid w:val="001D4CBD"/>
    <w:rsid w:val="001D628D"/>
    <w:rsid w:val="001D63FF"/>
    <w:rsid w:val="001D748A"/>
    <w:rsid w:val="001D7644"/>
    <w:rsid w:val="001E32B2"/>
    <w:rsid w:val="001E42A8"/>
    <w:rsid w:val="001E43B2"/>
    <w:rsid w:val="001E452F"/>
    <w:rsid w:val="001E62F3"/>
    <w:rsid w:val="001F0BBF"/>
    <w:rsid w:val="001F17D1"/>
    <w:rsid w:val="001F2E2A"/>
    <w:rsid w:val="001F4A82"/>
    <w:rsid w:val="001F5DB8"/>
    <w:rsid w:val="001F71ED"/>
    <w:rsid w:val="001F746F"/>
    <w:rsid w:val="00200BCD"/>
    <w:rsid w:val="002016CE"/>
    <w:rsid w:val="00201849"/>
    <w:rsid w:val="00201E3F"/>
    <w:rsid w:val="00202515"/>
    <w:rsid w:val="002036F1"/>
    <w:rsid w:val="002038D9"/>
    <w:rsid w:val="002042B1"/>
    <w:rsid w:val="00204E1D"/>
    <w:rsid w:val="00205981"/>
    <w:rsid w:val="00207718"/>
    <w:rsid w:val="00210F9E"/>
    <w:rsid w:val="002111DD"/>
    <w:rsid w:val="002124C9"/>
    <w:rsid w:val="00213144"/>
    <w:rsid w:val="002139B2"/>
    <w:rsid w:val="00215D28"/>
    <w:rsid w:val="0022002A"/>
    <w:rsid w:val="002205E0"/>
    <w:rsid w:val="00225862"/>
    <w:rsid w:val="0022718B"/>
    <w:rsid w:val="00227199"/>
    <w:rsid w:val="00227C88"/>
    <w:rsid w:val="00227D3F"/>
    <w:rsid w:val="00232294"/>
    <w:rsid w:val="0023268A"/>
    <w:rsid w:val="0023516B"/>
    <w:rsid w:val="0023608F"/>
    <w:rsid w:val="00236DD9"/>
    <w:rsid w:val="00241B39"/>
    <w:rsid w:val="00241C1B"/>
    <w:rsid w:val="00242DC8"/>
    <w:rsid w:val="00245339"/>
    <w:rsid w:val="002479B8"/>
    <w:rsid w:val="00247AA7"/>
    <w:rsid w:val="00250BD5"/>
    <w:rsid w:val="0025175F"/>
    <w:rsid w:val="0025314E"/>
    <w:rsid w:val="00253CA3"/>
    <w:rsid w:val="0025471E"/>
    <w:rsid w:val="00261266"/>
    <w:rsid w:val="002620F5"/>
    <w:rsid w:val="00262263"/>
    <w:rsid w:val="00262F92"/>
    <w:rsid w:val="00263513"/>
    <w:rsid w:val="00263616"/>
    <w:rsid w:val="002708DC"/>
    <w:rsid w:val="00271395"/>
    <w:rsid w:val="002715E3"/>
    <w:rsid w:val="00274EA4"/>
    <w:rsid w:val="0027563E"/>
    <w:rsid w:val="00280709"/>
    <w:rsid w:val="00280AEF"/>
    <w:rsid w:val="00283699"/>
    <w:rsid w:val="00286B06"/>
    <w:rsid w:val="002906CF"/>
    <w:rsid w:val="00290799"/>
    <w:rsid w:val="00292776"/>
    <w:rsid w:val="00294497"/>
    <w:rsid w:val="00294569"/>
    <w:rsid w:val="002969B4"/>
    <w:rsid w:val="00296E56"/>
    <w:rsid w:val="002A1039"/>
    <w:rsid w:val="002A3AE5"/>
    <w:rsid w:val="002A4307"/>
    <w:rsid w:val="002A456A"/>
    <w:rsid w:val="002A4D26"/>
    <w:rsid w:val="002A69AA"/>
    <w:rsid w:val="002B0E1C"/>
    <w:rsid w:val="002B2BF4"/>
    <w:rsid w:val="002B301B"/>
    <w:rsid w:val="002B31EC"/>
    <w:rsid w:val="002B3FB3"/>
    <w:rsid w:val="002B4524"/>
    <w:rsid w:val="002B68A9"/>
    <w:rsid w:val="002B753F"/>
    <w:rsid w:val="002B7E15"/>
    <w:rsid w:val="002B7EB7"/>
    <w:rsid w:val="002C3502"/>
    <w:rsid w:val="002C4511"/>
    <w:rsid w:val="002C5DA8"/>
    <w:rsid w:val="002C6C27"/>
    <w:rsid w:val="002C7951"/>
    <w:rsid w:val="002D2DAD"/>
    <w:rsid w:val="002D553A"/>
    <w:rsid w:val="002D5C9C"/>
    <w:rsid w:val="002D6135"/>
    <w:rsid w:val="002D76E6"/>
    <w:rsid w:val="002E2140"/>
    <w:rsid w:val="002E2CD8"/>
    <w:rsid w:val="002E3A8B"/>
    <w:rsid w:val="002E4BAA"/>
    <w:rsid w:val="002E66C6"/>
    <w:rsid w:val="002E6A7A"/>
    <w:rsid w:val="002E6D49"/>
    <w:rsid w:val="002E7044"/>
    <w:rsid w:val="002E77D5"/>
    <w:rsid w:val="002E7888"/>
    <w:rsid w:val="002F1708"/>
    <w:rsid w:val="002F1A72"/>
    <w:rsid w:val="002F40E8"/>
    <w:rsid w:val="002F44B9"/>
    <w:rsid w:val="002F4E7C"/>
    <w:rsid w:val="002F5EC5"/>
    <w:rsid w:val="002F72B1"/>
    <w:rsid w:val="00306385"/>
    <w:rsid w:val="00307320"/>
    <w:rsid w:val="00312287"/>
    <w:rsid w:val="003143DE"/>
    <w:rsid w:val="00314415"/>
    <w:rsid w:val="00314CE4"/>
    <w:rsid w:val="0031529E"/>
    <w:rsid w:val="003205DC"/>
    <w:rsid w:val="00322E2C"/>
    <w:rsid w:val="0032627F"/>
    <w:rsid w:val="00326856"/>
    <w:rsid w:val="00330331"/>
    <w:rsid w:val="00331C1B"/>
    <w:rsid w:val="00332FB6"/>
    <w:rsid w:val="003339AE"/>
    <w:rsid w:val="00334947"/>
    <w:rsid w:val="0033518F"/>
    <w:rsid w:val="0033692A"/>
    <w:rsid w:val="00337609"/>
    <w:rsid w:val="00337641"/>
    <w:rsid w:val="00337C35"/>
    <w:rsid w:val="0034162A"/>
    <w:rsid w:val="0034290B"/>
    <w:rsid w:val="003472B1"/>
    <w:rsid w:val="00347FA0"/>
    <w:rsid w:val="00352EAC"/>
    <w:rsid w:val="0035310C"/>
    <w:rsid w:val="003533FE"/>
    <w:rsid w:val="00355242"/>
    <w:rsid w:val="00355545"/>
    <w:rsid w:val="00355F56"/>
    <w:rsid w:val="00356A0D"/>
    <w:rsid w:val="0035756E"/>
    <w:rsid w:val="00360A9B"/>
    <w:rsid w:val="00360B6F"/>
    <w:rsid w:val="003630F7"/>
    <w:rsid w:val="003631BA"/>
    <w:rsid w:val="003631EE"/>
    <w:rsid w:val="003729B0"/>
    <w:rsid w:val="0037379A"/>
    <w:rsid w:val="003749F7"/>
    <w:rsid w:val="00374F42"/>
    <w:rsid w:val="0037506B"/>
    <w:rsid w:val="00376039"/>
    <w:rsid w:val="003834DB"/>
    <w:rsid w:val="00384149"/>
    <w:rsid w:val="00386DCA"/>
    <w:rsid w:val="003907C6"/>
    <w:rsid w:val="00393385"/>
    <w:rsid w:val="003936A9"/>
    <w:rsid w:val="00394B65"/>
    <w:rsid w:val="003A1223"/>
    <w:rsid w:val="003A16DF"/>
    <w:rsid w:val="003A1C9B"/>
    <w:rsid w:val="003A2154"/>
    <w:rsid w:val="003A241C"/>
    <w:rsid w:val="003A3EAF"/>
    <w:rsid w:val="003A4166"/>
    <w:rsid w:val="003A49EC"/>
    <w:rsid w:val="003A52DE"/>
    <w:rsid w:val="003A5B4F"/>
    <w:rsid w:val="003B275F"/>
    <w:rsid w:val="003B2FBA"/>
    <w:rsid w:val="003C0B8D"/>
    <w:rsid w:val="003C4972"/>
    <w:rsid w:val="003C569C"/>
    <w:rsid w:val="003C7A63"/>
    <w:rsid w:val="003D0053"/>
    <w:rsid w:val="003D240E"/>
    <w:rsid w:val="003E0D7D"/>
    <w:rsid w:val="003E2617"/>
    <w:rsid w:val="003E32A7"/>
    <w:rsid w:val="003E41DD"/>
    <w:rsid w:val="003E59DA"/>
    <w:rsid w:val="003E697A"/>
    <w:rsid w:val="003E7D38"/>
    <w:rsid w:val="003F1EDD"/>
    <w:rsid w:val="003F6B44"/>
    <w:rsid w:val="00400411"/>
    <w:rsid w:val="00404346"/>
    <w:rsid w:val="00404F5C"/>
    <w:rsid w:val="004075D3"/>
    <w:rsid w:val="004104DA"/>
    <w:rsid w:val="0041210E"/>
    <w:rsid w:val="00412E23"/>
    <w:rsid w:val="004145DD"/>
    <w:rsid w:val="0041574A"/>
    <w:rsid w:val="0041738A"/>
    <w:rsid w:val="00421AB1"/>
    <w:rsid w:val="00423F7C"/>
    <w:rsid w:val="0042425C"/>
    <w:rsid w:val="004269F3"/>
    <w:rsid w:val="0042770C"/>
    <w:rsid w:val="00431E29"/>
    <w:rsid w:val="00433DB9"/>
    <w:rsid w:val="00434914"/>
    <w:rsid w:val="00435EFC"/>
    <w:rsid w:val="00436F34"/>
    <w:rsid w:val="0044021D"/>
    <w:rsid w:val="00442459"/>
    <w:rsid w:val="00442BCD"/>
    <w:rsid w:val="00443CA3"/>
    <w:rsid w:val="004459A9"/>
    <w:rsid w:val="00447319"/>
    <w:rsid w:val="00447C1D"/>
    <w:rsid w:val="00452BF5"/>
    <w:rsid w:val="0045308F"/>
    <w:rsid w:val="004535AB"/>
    <w:rsid w:val="004537A9"/>
    <w:rsid w:val="004553C8"/>
    <w:rsid w:val="00456088"/>
    <w:rsid w:val="00456C64"/>
    <w:rsid w:val="00456FCA"/>
    <w:rsid w:val="0045732D"/>
    <w:rsid w:val="004574DC"/>
    <w:rsid w:val="00457CBD"/>
    <w:rsid w:val="00460B65"/>
    <w:rsid w:val="004615B8"/>
    <w:rsid w:val="00461DCE"/>
    <w:rsid w:val="00461EEE"/>
    <w:rsid w:val="00461FF5"/>
    <w:rsid w:val="004634CE"/>
    <w:rsid w:val="00465253"/>
    <w:rsid w:val="00466F35"/>
    <w:rsid w:val="0047072E"/>
    <w:rsid w:val="00477E49"/>
    <w:rsid w:val="00480E32"/>
    <w:rsid w:val="004852D3"/>
    <w:rsid w:val="00490E3F"/>
    <w:rsid w:val="004911F1"/>
    <w:rsid w:val="0049127D"/>
    <w:rsid w:val="004917B0"/>
    <w:rsid w:val="00494531"/>
    <w:rsid w:val="004949B1"/>
    <w:rsid w:val="00494C23"/>
    <w:rsid w:val="00497485"/>
    <w:rsid w:val="00497E86"/>
    <w:rsid w:val="004A6189"/>
    <w:rsid w:val="004A6599"/>
    <w:rsid w:val="004B0DE8"/>
    <w:rsid w:val="004B10E7"/>
    <w:rsid w:val="004B1D4D"/>
    <w:rsid w:val="004B5EBE"/>
    <w:rsid w:val="004B685F"/>
    <w:rsid w:val="004B6B61"/>
    <w:rsid w:val="004B7AC5"/>
    <w:rsid w:val="004C17CF"/>
    <w:rsid w:val="004C2940"/>
    <w:rsid w:val="004C34CC"/>
    <w:rsid w:val="004C3E66"/>
    <w:rsid w:val="004C427E"/>
    <w:rsid w:val="004C47D6"/>
    <w:rsid w:val="004C787E"/>
    <w:rsid w:val="004D04EE"/>
    <w:rsid w:val="004D144D"/>
    <w:rsid w:val="004D2DBC"/>
    <w:rsid w:val="004D2EB5"/>
    <w:rsid w:val="004D589A"/>
    <w:rsid w:val="004D5BCE"/>
    <w:rsid w:val="004D66A1"/>
    <w:rsid w:val="004D7910"/>
    <w:rsid w:val="004D7A34"/>
    <w:rsid w:val="004E1CB7"/>
    <w:rsid w:val="004E2D6F"/>
    <w:rsid w:val="004E32B1"/>
    <w:rsid w:val="004E5B48"/>
    <w:rsid w:val="004E5E85"/>
    <w:rsid w:val="004E61E0"/>
    <w:rsid w:val="004E6FF0"/>
    <w:rsid w:val="004E7F81"/>
    <w:rsid w:val="004F0389"/>
    <w:rsid w:val="004F1097"/>
    <w:rsid w:val="004F58C7"/>
    <w:rsid w:val="004F66B1"/>
    <w:rsid w:val="004F6EC3"/>
    <w:rsid w:val="004F7875"/>
    <w:rsid w:val="00500580"/>
    <w:rsid w:val="00500E89"/>
    <w:rsid w:val="005032F3"/>
    <w:rsid w:val="0050364C"/>
    <w:rsid w:val="00503EF5"/>
    <w:rsid w:val="00507F02"/>
    <w:rsid w:val="00510D5F"/>
    <w:rsid w:val="00511185"/>
    <w:rsid w:val="00513B9C"/>
    <w:rsid w:val="0051469D"/>
    <w:rsid w:val="00515807"/>
    <w:rsid w:val="00516949"/>
    <w:rsid w:val="005170BA"/>
    <w:rsid w:val="005176CE"/>
    <w:rsid w:val="00520D58"/>
    <w:rsid w:val="005229D3"/>
    <w:rsid w:val="00526804"/>
    <w:rsid w:val="0052716E"/>
    <w:rsid w:val="005271FD"/>
    <w:rsid w:val="005310DC"/>
    <w:rsid w:val="00531487"/>
    <w:rsid w:val="005344F1"/>
    <w:rsid w:val="00536B60"/>
    <w:rsid w:val="00537607"/>
    <w:rsid w:val="00540237"/>
    <w:rsid w:val="00541F01"/>
    <w:rsid w:val="0054255E"/>
    <w:rsid w:val="00544DFE"/>
    <w:rsid w:val="00545582"/>
    <w:rsid w:val="00545A8E"/>
    <w:rsid w:val="00547C55"/>
    <w:rsid w:val="00556FEF"/>
    <w:rsid w:val="00561C1F"/>
    <w:rsid w:val="0056310C"/>
    <w:rsid w:val="00563427"/>
    <w:rsid w:val="00563F7F"/>
    <w:rsid w:val="005644D9"/>
    <w:rsid w:val="005648D7"/>
    <w:rsid w:val="005650BD"/>
    <w:rsid w:val="0056648C"/>
    <w:rsid w:val="00566F03"/>
    <w:rsid w:val="0057472E"/>
    <w:rsid w:val="00574969"/>
    <w:rsid w:val="00575BC0"/>
    <w:rsid w:val="0057748C"/>
    <w:rsid w:val="0058046A"/>
    <w:rsid w:val="00581008"/>
    <w:rsid w:val="00583714"/>
    <w:rsid w:val="00583B97"/>
    <w:rsid w:val="00583CD0"/>
    <w:rsid w:val="005852E5"/>
    <w:rsid w:val="00591351"/>
    <w:rsid w:val="00597D12"/>
    <w:rsid w:val="005A52D4"/>
    <w:rsid w:val="005A5B39"/>
    <w:rsid w:val="005A5F97"/>
    <w:rsid w:val="005A6349"/>
    <w:rsid w:val="005B025F"/>
    <w:rsid w:val="005B0900"/>
    <w:rsid w:val="005B5B17"/>
    <w:rsid w:val="005B61F7"/>
    <w:rsid w:val="005B776F"/>
    <w:rsid w:val="005B7D47"/>
    <w:rsid w:val="005C0C28"/>
    <w:rsid w:val="005C3AFD"/>
    <w:rsid w:val="005C451F"/>
    <w:rsid w:val="005D2FA2"/>
    <w:rsid w:val="005D6DA7"/>
    <w:rsid w:val="005D7E43"/>
    <w:rsid w:val="005E0FC7"/>
    <w:rsid w:val="005E40AC"/>
    <w:rsid w:val="005E4C85"/>
    <w:rsid w:val="005E5601"/>
    <w:rsid w:val="005E5D6E"/>
    <w:rsid w:val="005E722F"/>
    <w:rsid w:val="005F0552"/>
    <w:rsid w:val="005F2279"/>
    <w:rsid w:val="005F33A5"/>
    <w:rsid w:val="005F56C4"/>
    <w:rsid w:val="00600047"/>
    <w:rsid w:val="00600507"/>
    <w:rsid w:val="00601689"/>
    <w:rsid w:val="00602820"/>
    <w:rsid w:val="00603148"/>
    <w:rsid w:val="00603443"/>
    <w:rsid w:val="00603D5F"/>
    <w:rsid w:val="00603EFF"/>
    <w:rsid w:val="00605C81"/>
    <w:rsid w:val="00611A1D"/>
    <w:rsid w:val="006128D3"/>
    <w:rsid w:val="00614003"/>
    <w:rsid w:val="00615C7D"/>
    <w:rsid w:val="006203B8"/>
    <w:rsid w:val="006226AA"/>
    <w:rsid w:val="00625277"/>
    <w:rsid w:val="0062726E"/>
    <w:rsid w:val="006273F8"/>
    <w:rsid w:val="00632343"/>
    <w:rsid w:val="006353EF"/>
    <w:rsid w:val="00635C29"/>
    <w:rsid w:val="00640866"/>
    <w:rsid w:val="006414EA"/>
    <w:rsid w:val="00641E9D"/>
    <w:rsid w:val="00643B7C"/>
    <w:rsid w:val="00646C06"/>
    <w:rsid w:val="006475CA"/>
    <w:rsid w:val="00656070"/>
    <w:rsid w:val="0065734A"/>
    <w:rsid w:val="00662EB2"/>
    <w:rsid w:val="00663AF3"/>
    <w:rsid w:val="006641EE"/>
    <w:rsid w:val="006643E7"/>
    <w:rsid w:val="00665BBA"/>
    <w:rsid w:val="0067015B"/>
    <w:rsid w:val="00670BC7"/>
    <w:rsid w:val="00671B4F"/>
    <w:rsid w:val="006720FF"/>
    <w:rsid w:val="006730B3"/>
    <w:rsid w:val="006738FE"/>
    <w:rsid w:val="006746C5"/>
    <w:rsid w:val="00676D7F"/>
    <w:rsid w:val="006779CC"/>
    <w:rsid w:val="00677E26"/>
    <w:rsid w:val="006806D3"/>
    <w:rsid w:val="00684A45"/>
    <w:rsid w:val="00686808"/>
    <w:rsid w:val="00687B77"/>
    <w:rsid w:val="006902C6"/>
    <w:rsid w:val="006903DD"/>
    <w:rsid w:val="0069124E"/>
    <w:rsid w:val="00692CED"/>
    <w:rsid w:val="00694247"/>
    <w:rsid w:val="00696712"/>
    <w:rsid w:val="00697CF3"/>
    <w:rsid w:val="00697F27"/>
    <w:rsid w:val="006A0B4A"/>
    <w:rsid w:val="006A19F9"/>
    <w:rsid w:val="006A2071"/>
    <w:rsid w:val="006A3372"/>
    <w:rsid w:val="006A51B4"/>
    <w:rsid w:val="006A550F"/>
    <w:rsid w:val="006B0807"/>
    <w:rsid w:val="006B1426"/>
    <w:rsid w:val="006B225A"/>
    <w:rsid w:val="006B2FB1"/>
    <w:rsid w:val="006B7D2C"/>
    <w:rsid w:val="006C0DA2"/>
    <w:rsid w:val="006C10C4"/>
    <w:rsid w:val="006C5ADC"/>
    <w:rsid w:val="006D0733"/>
    <w:rsid w:val="006D0B4D"/>
    <w:rsid w:val="006D2571"/>
    <w:rsid w:val="006D4BCC"/>
    <w:rsid w:val="006D5767"/>
    <w:rsid w:val="006D6474"/>
    <w:rsid w:val="006E35F3"/>
    <w:rsid w:val="006E3F1C"/>
    <w:rsid w:val="006E3FD4"/>
    <w:rsid w:val="006E55B7"/>
    <w:rsid w:val="006E5E3B"/>
    <w:rsid w:val="006F1674"/>
    <w:rsid w:val="006F17DE"/>
    <w:rsid w:val="006F1A2B"/>
    <w:rsid w:val="006F3745"/>
    <w:rsid w:val="006F392D"/>
    <w:rsid w:val="006F546D"/>
    <w:rsid w:val="006F59FD"/>
    <w:rsid w:val="006F618D"/>
    <w:rsid w:val="006F6FF0"/>
    <w:rsid w:val="006F7C21"/>
    <w:rsid w:val="007022C2"/>
    <w:rsid w:val="0070247F"/>
    <w:rsid w:val="00704C3F"/>
    <w:rsid w:val="00705369"/>
    <w:rsid w:val="00705416"/>
    <w:rsid w:val="00706578"/>
    <w:rsid w:val="00706BA7"/>
    <w:rsid w:val="00706EAB"/>
    <w:rsid w:val="00707646"/>
    <w:rsid w:val="00710336"/>
    <w:rsid w:val="0071255B"/>
    <w:rsid w:val="007129BF"/>
    <w:rsid w:val="00715147"/>
    <w:rsid w:val="007204A6"/>
    <w:rsid w:val="00721EDE"/>
    <w:rsid w:val="007239E2"/>
    <w:rsid w:val="00725A48"/>
    <w:rsid w:val="00733F41"/>
    <w:rsid w:val="00736400"/>
    <w:rsid w:val="00740062"/>
    <w:rsid w:val="007415FF"/>
    <w:rsid w:val="00742D35"/>
    <w:rsid w:val="00742E6B"/>
    <w:rsid w:val="0074590A"/>
    <w:rsid w:val="007466B4"/>
    <w:rsid w:val="007472E1"/>
    <w:rsid w:val="00747ED1"/>
    <w:rsid w:val="00750C96"/>
    <w:rsid w:val="007566CB"/>
    <w:rsid w:val="007569BB"/>
    <w:rsid w:val="00757132"/>
    <w:rsid w:val="00760E8C"/>
    <w:rsid w:val="00763A91"/>
    <w:rsid w:val="00764D33"/>
    <w:rsid w:val="007707CE"/>
    <w:rsid w:val="007721F7"/>
    <w:rsid w:val="007740DC"/>
    <w:rsid w:val="00774581"/>
    <w:rsid w:val="0077463F"/>
    <w:rsid w:val="0077628D"/>
    <w:rsid w:val="00776AE1"/>
    <w:rsid w:val="00777251"/>
    <w:rsid w:val="00780655"/>
    <w:rsid w:val="00781273"/>
    <w:rsid w:val="007813D2"/>
    <w:rsid w:val="00783BA6"/>
    <w:rsid w:val="007845EE"/>
    <w:rsid w:val="00784903"/>
    <w:rsid w:val="00786BAB"/>
    <w:rsid w:val="0079221D"/>
    <w:rsid w:val="00792A8F"/>
    <w:rsid w:val="00792F89"/>
    <w:rsid w:val="00793CDB"/>
    <w:rsid w:val="00794533"/>
    <w:rsid w:val="007952A3"/>
    <w:rsid w:val="00795669"/>
    <w:rsid w:val="00797322"/>
    <w:rsid w:val="00797FA0"/>
    <w:rsid w:val="007A0D02"/>
    <w:rsid w:val="007A11CB"/>
    <w:rsid w:val="007A3604"/>
    <w:rsid w:val="007A4BAF"/>
    <w:rsid w:val="007A66BB"/>
    <w:rsid w:val="007B1777"/>
    <w:rsid w:val="007B1B8D"/>
    <w:rsid w:val="007B4FA4"/>
    <w:rsid w:val="007B7816"/>
    <w:rsid w:val="007C0C1E"/>
    <w:rsid w:val="007C13D1"/>
    <w:rsid w:val="007C1ED9"/>
    <w:rsid w:val="007C3E1F"/>
    <w:rsid w:val="007C436B"/>
    <w:rsid w:val="007C4848"/>
    <w:rsid w:val="007C63DE"/>
    <w:rsid w:val="007C7EAF"/>
    <w:rsid w:val="007D0CFB"/>
    <w:rsid w:val="007D19AA"/>
    <w:rsid w:val="007D30EB"/>
    <w:rsid w:val="007D43B8"/>
    <w:rsid w:val="007D445F"/>
    <w:rsid w:val="007D5232"/>
    <w:rsid w:val="007D5A38"/>
    <w:rsid w:val="007D6052"/>
    <w:rsid w:val="007D67E3"/>
    <w:rsid w:val="007D7CE9"/>
    <w:rsid w:val="007E1B4A"/>
    <w:rsid w:val="007E30DE"/>
    <w:rsid w:val="007E3742"/>
    <w:rsid w:val="007E3853"/>
    <w:rsid w:val="007E40E9"/>
    <w:rsid w:val="007E5029"/>
    <w:rsid w:val="007E5C92"/>
    <w:rsid w:val="007F15CF"/>
    <w:rsid w:val="007F25B5"/>
    <w:rsid w:val="007F2755"/>
    <w:rsid w:val="008003CB"/>
    <w:rsid w:val="00800C8C"/>
    <w:rsid w:val="008036EA"/>
    <w:rsid w:val="00804A6A"/>
    <w:rsid w:val="00805F2A"/>
    <w:rsid w:val="00811E2E"/>
    <w:rsid w:val="008139AF"/>
    <w:rsid w:val="00813BDB"/>
    <w:rsid w:val="0081493B"/>
    <w:rsid w:val="00814DF6"/>
    <w:rsid w:val="00816299"/>
    <w:rsid w:val="00821A03"/>
    <w:rsid w:val="00821FD1"/>
    <w:rsid w:val="00827336"/>
    <w:rsid w:val="008278DD"/>
    <w:rsid w:val="00830EF7"/>
    <w:rsid w:val="008316B9"/>
    <w:rsid w:val="00833633"/>
    <w:rsid w:val="00833CFE"/>
    <w:rsid w:val="00833F02"/>
    <w:rsid w:val="00834C0B"/>
    <w:rsid w:val="008361AB"/>
    <w:rsid w:val="0083723C"/>
    <w:rsid w:val="008377C9"/>
    <w:rsid w:val="00837A5B"/>
    <w:rsid w:val="00840341"/>
    <w:rsid w:val="008414E4"/>
    <w:rsid w:val="0084352F"/>
    <w:rsid w:val="00843B04"/>
    <w:rsid w:val="0084452A"/>
    <w:rsid w:val="008456AB"/>
    <w:rsid w:val="008457CD"/>
    <w:rsid w:val="00845857"/>
    <w:rsid w:val="00846D28"/>
    <w:rsid w:val="00852EC0"/>
    <w:rsid w:val="00855F1F"/>
    <w:rsid w:val="0085655E"/>
    <w:rsid w:val="00856AB4"/>
    <w:rsid w:val="008578C8"/>
    <w:rsid w:val="00857A08"/>
    <w:rsid w:val="008612FA"/>
    <w:rsid w:val="00862473"/>
    <w:rsid w:val="00867FEE"/>
    <w:rsid w:val="00871D11"/>
    <w:rsid w:val="0087422F"/>
    <w:rsid w:val="008753FF"/>
    <w:rsid w:val="008755F0"/>
    <w:rsid w:val="008763AE"/>
    <w:rsid w:val="00876D00"/>
    <w:rsid w:val="0087736A"/>
    <w:rsid w:val="008815C0"/>
    <w:rsid w:val="00883E4B"/>
    <w:rsid w:val="008840E0"/>
    <w:rsid w:val="0088533D"/>
    <w:rsid w:val="00885687"/>
    <w:rsid w:val="00885DE0"/>
    <w:rsid w:val="0088605E"/>
    <w:rsid w:val="0088658A"/>
    <w:rsid w:val="00886C0C"/>
    <w:rsid w:val="00891414"/>
    <w:rsid w:val="00892EFD"/>
    <w:rsid w:val="008964B2"/>
    <w:rsid w:val="008A044F"/>
    <w:rsid w:val="008A1706"/>
    <w:rsid w:val="008A3EDA"/>
    <w:rsid w:val="008A42A6"/>
    <w:rsid w:val="008A4B46"/>
    <w:rsid w:val="008A75E5"/>
    <w:rsid w:val="008B15CA"/>
    <w:rsid w:val="008B1927"/>
    <w:rsid w:val="008B25BC"/>
    <w:rsid w:val="008B27B9"/>
    <w:rsid w:val="008B5537"/>
    <w:rsid w:val="008B556C"/>
    <w:rsid w:val="008B6A0A"/>
    <w:rsid w:val="008B72C5"/>
    <w:rsid w:val="008B795B"/>
    <w:rsid w:val="008C680B"/>
    <w:rsid w:val="008C7237"/>
    <w:rsid w:val="008D024D"/>
    <w:rsid w:val="008D1517"/>
    <w:rsid w:val="008D1C6F"/>
    <w:rsid w:val="008D2180"/>
    <w:rsid w:val="008D3D77"/>
    <w:rsid w:val="008D7BD2"/>
    <w:rsid w:val="008E22A9"/>
    <w:rsid w:val="008E292C"/>
    <w:rsid w:val="008E31BF"/>
    <w:rsid w:val="008E36F2"/>
    <w:rsid w:val="008E409B"/>
    <w:rsid w:val="008E5B9B"/>
    <w:rsid w:val="008E72FC"/>
    <w:rsid w:val="008F2A4E"/>
    <w:rsid w:val="008F33D8"/>
    <w:rsid w:val="008F40CF"/>
    <w:rsid w:val="008F4FF7"/>
    <w:rsid w:val="009008CF"/>
    <w:rsid w:val="00901527"/>
    <w:rsid w:val="009050DB"/>
    <w:rsid w:val="00905A5B"/>
    <w:rsid w:val="00907185"/>
    <w:rsid w:val="009072B4"/>
    <w:rsid w:val="0091439E"/>
    <w:rsid w:val="00914B31"/>
    <w:rsid w:val="0092033B"/>
    <w:rsid w:val="009208EA"/>
    <w:rsid w:val="00921C33"/>
    <w:rsid w:val="009245B2"/>
    <w:rsid w:val="00932682"/>
    <w:rsid w:val="009329DA"/>
    <w:rsid w:val="00933156"/>
    <w:rsid w:val="00933840"/>
    <w:rsid w:val="00940049"/>
    <w:rsid w:val="0094027C"/>
    <w:rsid w:val="00940C15"/>
    <w:rsid w:val="00941791"/>
    <w:rsid w:val="0094201D"/>
    <w:rsid w:val="00943A2E"/>
    <w:rsid w:val="009467FD"/>
    <w:rsid w:val="00946F11"/>
    <w:rsid w:val="0095021C"/>
    <w:rsid w:val="00951B08"/>
    <w:rsid w:val="00953E02"/>
    <w:rsid w:val="00955D57"/>
    <w:rsid w:val="00956CFF"/>
    <w:rsid w:val="00960B33"/>
    <w:rsid w:val="00961660"/>
    <w:rsid w:val="00961B0E"/>
    <w:rsid w:val="00970929"/>
    <w:rsid w:val="00971783"/>
    <w:rsid w:val="00971AA8"/>
    <w:rsid w:val="00974383"/>
    <w:rsid w:val="00980874"/>
    <w:rsid w:val="00982650"/>
    <w:rsid w:val="00982EDC"/>
    <w:rsid w:val="00983AC6"/>
    <w:rsid w:val="00984C64"/>
    <w:rsid w:val="00984E5C"/>
    <w:rsid w:val="00986C40"/>
    <w:rsid w:val="009A0A38"/>
    <w:rsid w:val="009A0C08"/>
    <w:rsid w:val="009A0E0C"/>
    <w:rsid w:val="009A2E4B"/>
    <w:rsid w:val="009A6948"/>
    <w:rsid w:val="009B254A"/>
    <w:rsid w:val="009B2CF3"/>
    <w:rsid w:val="009B6FF9"/>
    <w:rsid w:val="009B748D"/>
    <w:rsid w:val="009B760C"/>
    <w:rsid w:val="009C1698"/>
    <w:rsid w:val="009C1BA7"/>
    <w:rsid w:val="009C1F65"/>
    <w:rsid w:val="009C249D"/>
    <w:rsid w:val="009C52DF"/>
    <w:rsid w:val="009C7DC1"/>
    <w:rsid w:val="009D6B06"/>
    <w:rsid w:val="009D7662"/>
    <w:rsid w:val="009E4287"/>
    <w:rsid w:val="009E5D40"/>
    <w:rsid w:val="009E68DB"/>
    <w:rsid w:val="009F52B7"/>
    <w:rsid w:val="009F6E15"/>
    <w:rsid w:val="00A0029D"/>
    <w:rsid w:val="00A005F6"/>
    <w:rsid w:val="00A01047"/>
    <w:rsid w:val="00A041BF"/>
    <w:rsid w:val="00A1083A"/>
    <w:rsid w:val="00A12D2D"/>
    <w:rsid w:val="00A13E51"/>
    <w:rsid w:val="00A14A35"/>
    <w:rsid w:val="00A15F9F"/>
    <w:rsid w:val="00A16FE6"/>
    <w:rsid w:val="00A2362F"/>
    <w:rsid w:val="00A24495"/>
    <w:rsid w:val="00A25416"/>
    <w:rsid w:val="00A25495"/>
    <w:rsid w:val="00A31DA3"/>
    <w:rsid w:val="00A33999"/>
    <w:rsid w:val="00A33B84"/>
    <w:rsid w:val="00A33C27"/>
    <w:rsid w:val="00A33F73"/>
    <w:rsid w:val="00A34D6E"/>
    <w:rsid w:val="00A360A3"/>
    <w:rsid w:val="00A36132"/>
    <w:rsid w:val="00A3673D"/>
    <w:rsid w:val="00A375A1"/>
    <w:rsid w:val="00A40D2E"/>
    <w:rsid w:val="00A41608"/>
    <w:rsid w:val="00A43C81"/>
    <w:rsid w:val="00A464F3"/>
    <w:rsid w:val="00A47877"/>
    <w:rsid w:val="00A4788C"/>
    <w:rsid w:val="00A52298"/>
    <w:rsid w:val="00A53456"/>
    <w:rsid w:val="00A53B2B"/>
    <w:rsid w:val="00A5519C"/>
    <w:rsid w:val="00A57059"/>
    <w:rsid w:val="00A61914"/>
    <w:rsid w:val="00A63A70"/>
    <w:rsid w:val="00A63E26"/>
    <w:rsid w:val="00A6532E"/>
    <w:rsid w:val="00A6653F"/>
    <w:rsid w:val="00A67435"/>
    <w:rsid w:val="00A70066"/>
    <w:rsid w:val="00A713DE"/>
    <w:rsid w:val="00A71902"/>
    <w:rsid w:val="00A72D03"/>
    <w:rsid w:val="00A73394"/>
    <w:rsid w:val="00A736D3"/>
    <w:rsid w:val="00A76E1A"/>
    <w:rsid w:val="00A81CC3"/>
    <w:rsid w:val="00A83555"/>
    <w:rsid w:val="00A83BE9"/>
    <w:rsid w:val="00A8447A"/>
    <w:rsid w:val="00A84C8B"/>
    <w:rsid w:val="00A861FA"/>
    <w:rsid w:val="00A90633"/>
    <w:rsid w:val="00A95836"/>
    <w:rsid w:val="00A95FDD"/>
    <w:rsid w:val="00A961C9"/>
    <w:rsid w:val="00AA02E1"/>
    <w:rsid w:val="00AA1E9E"/>
    <w:rsid w:val="00AA24EE"/>
    <w:rsid w:val="00AA292B"/>
    <w:rsid w:val="00AA2974"/>
    <w:rsid w:val="00AA3F06"/>
    <w:rsid w:val="00AA4061"/>
    <w:rsid w:val="00AA47A8"/>
    <w:rsid w:val="00AA4AC5"/>
    <w:rsid w:val="00AB0109"/>
    <w:rsid w:val="00AB2F03"/>
    <w:rsid w:val="00AB2F0B"/>
    <w:rsid w:val="00AB30B3"/>
    <w:rsid w:val="00AB362F"/>
    <w:rsid w:val="00AB470F"/>
    <w:rsid w:val="00AB52F9"/>
    <w:rsid w:val="00AB5498"/>
    <w:rsid w:val="00AB7E2B"/>
    <w:rsid w:val="00AC0C2B"/>
    <w:rsid w:val="00AC0DE3"/>
    <w:rsid w:val="00AC16B4"/>
    <w:rsid w:val="00AC1F03"/>
    <w:rsid w:val="00AC3090"/>
    <w:rsid w:val="00AC35F7"/>
    <w:rsid w:val="00AD1309"/>
    <w:rsid w:val="00AD1602"/>
    <w:rsid w:val="00AD2813"/>
    <w:rsid w:val="00AD6889"/>
    <w:rsid w:val="00AD6F66"/>
    <w:rsid w:val="00AE0672"/>
    <w:rsid w:val="00AE2503"/>
    <w:rsid w:val="00AE289F"/>
    <w:rsid w:val="00AE3050"/>
    <w:rsid w:val="00AE3CAF"/>
    <w:rsid w:val="00AF0BA7"/>
    <w:rsid w:val="00AF1672"/>
    <w:rsid w:val="00AF24A4"/>
    <w:rsid w:val="00AF3C22"/>
    <w:rsid w:val="00AF4923"/>
    <w:rsid w:val="00AF77C5"/>
    <w:rsid w:val="00B00FEE"/>
    <w:rsid w:val="00B02EC1"/>
    <w:rsid w:val="00B038FC"/>
    <w:rsid w:val="00B0758A"/>
    <w:rsid w:val="00B0780D"/>
    <w:rsid w:val="00B07B69"/>
    <w:rsid w:val="00B12956"/>
    <w:rsid w:val="00B163C6"/>
    <w:rsid w:val="00B16DC8"/>
    <w:rsid w:val="00B20BAA"/>
    <w:rsid w:val="00B20E33"/>
    <w:rsid w:val="00B211E5"/>
    <w:rsid w:val="00B241AD"/>
    <w:rsid w:val="00B25D8B"/>
    <w:rsid w:val="00B310CB"/>
    <w:rsid w:val="00B3245E"/>
    <w:rsid w:val="00B345CB"/>
    <w:rsid w:val="00B34D61"/>
    <w:rsid w:val="00B35429"/>
    <w:rsid w:val="00B36DE9"/>
    <w:rsid w:val="00B36EAC"/>
    <w:rsid w:val="00B40ED6"/>
    <w:rsid w:val="00B43EC5"/>
    <w:rsid w:val="00B50E96"/>
    <w:rsid w:val="00B50FD1"/>
    <w:rsid w:val="00B551CD"/>
    <w:rsid w:val="00B55822"/>
    <w:rsid w:val="00B5674F"/>
    <w:rsid w:val="00B56B55"/>
    <w:rsid w:val="00B61A06"/>
    <w:rsid w:val="00B63774"/>
    <w:rsid w:val="00B63D9F"/>
    <w:rsid w:val="00B643D8"/>
    <w:rsid w:val="00B64878"/>
    <w:rsid w:val="00B65A75"/>
    <w:rsid w:val="00B671A9"/>
    <w:rsid w:val="00B7458D"/>
    <w:rsid w:val="00B76257"/>
    <w:rsid w:val="00B76965"/>
    <w:rsid w:val="00B8041B"/>
    <w:rsid w:val="00B83562"/>
    <w:rsid w:val="00B8471F"/>
    <w:rsid w:val="00B8484B"/>
    <w:rsid w:val="00B84E0C"/>
    <w:rsid w:val="00B855C7"/>
    <w:rsid w:val="00B876AB"/>
    <w:rsid w:val="00B923B0"/>
    <w:rsid w:val="00B92EE3"/>
    <w:rsid w:val="00B938A9"/>
    <w:rsid w:val="00B93FFF"/>
    <w:rsid w:val="00B95338"/>
    <w:rsid w:val="00BA477D"/>
    <w:rsid w:val="00BA6B2E"/>
    <w:rsid w:val="00BB04D9"/>
    <w:rsid w:val="00BB2A47"/>
    <w:rsid w:val="00BB3903"/>
    <w:rsid w:val="00BB415A"/>
    <w:rsid w:val="00BB71B1"/>
    <w:rsid w:val="00BB75BD"/>
    <w:rsid w:val="00BC25E1"/>
    <w:rsid w:val="00BC3A55"/>
    <w:rsid w:val="00BC4401"/>
    <w:rsid w:val="00BC5169"/>
    <w:rsid w:val="00BC641D"/>
    <w:rsid w:val="00BC714D"/>
    <w:rsid w:val="00BD1307"/>
    <w:rsid w:val="00BD227F"/>
    <w:rsid w:val="00BD408B"/>
    <w:rsid w:val="00BD4BA3"/>
    <w:rsid w:val="00BD577D"/>
    <w:rsid w:val="00BD5D6D"/>
    <w:rsid w:val="00BD6D86"/>
    <w:rsid w:val="00BE0C74"/>
    <w:rsid w:val="00BE0FE1"/>
    <w:rsid w:val="00BE1293"/>
    <w:rsid w:val="00BE298A"/>
    <w:rsid w:val="00BE4F79"/>
    <w:rsid w:val="00BE5479"/>
    <w:rsid w:val="00BE5E85"/>
    <w:rsid w:val="00BE736C"/>
    <w:rsid w:val="00BF133A"/>
    <w:rsid w:val="00BF1C7B"/>
    <w:rsid w:val="00BF1FC6"/>
    <w:rsid w:val="00BF4449"/>
    <w:rsid w:val="00BF72DD"/>
    <w:rsid w:val="00BF7B64"/>
    <w:rsid w:val="00C0137A"/>
    <w:rsid w:val="00C0151F"/>
    <w:rsid w:val="00C01665"/>
    <w:rsid w:val="00C033C3"/>
    <w:rsid w:val="00C03B6B"/>
    <w:rsid w:val="00C10164"/>
    <w:rsid w:val="00C11526"/>
    <w:rsid w:val="00C1200B"/>
    <w:rsid w:val="00C13803"/>
    <w:rsid w:val="00C1410B"/>
    <w:rsid w:val="00C1478B"/>
    <w:rsid w:val="00C149E1"/>
    <w:rsid w:val="00C16197"/>
    <w:rsid w:val="00C167E8"/>
    <w:rsid w:val="00C16B5D"/>
    <w:rsid w:val="00C17269"/>
    <w:rsid w:val="00C17F9A"/>
    <w:rsid w:val="00C211BA"/>
    <w:rsid w:val="00C22C79"/>
    <w:rsid w:val="00C23C55"/>
    <w:rsid w:val="00C23FC8"/>
    <w:rsid w:val="00C25F8F"/>
    <w:rsid w:val="00C26B06"/>
    <w:rsid w:val="00C271D9"/>
    <w:rsid w:val="00C279AB"/>
    <w:rsid w:val="00C314EA"/>
    <w:rsid w:val="00C315F2"/>
    <w:rsid w:val="00C327C6"/>
    <w:rsid w:val="00C3519D"/>
    <w:rsid w:val="00C36428"/>
    <w:rsid w:val="00C37105"/>
    <w:rsid w:val="00C37439"/>
    <w:rsid w:val="00C37E4B"/>
    <w:rsid w:val="00C411AA"/>
    <w:rsid w:val="00C418BA"/>
    <w:rsid w:val="00C46BE0"/>
    <w:rsid w:val="00C470EC"/>
    <w:rsid w:val="00C478F7"/>
    <w:rsid w:val="00C47EBB"/>
    <w:rsid w:val="00C5016E"/>
    <w:rsid w:val="00C507EB"/>
    <w:rsid w:val="00C5088B"/>
    <w:rsid w:val="00C52766"/>
    <w:rsid w:val="00C57D79"/>
    <w:rsid w:val="00C61231"/>
    <w:rsid w:val="00C62C2D"/>
    <w:rsid w:val="00C63775"/>
    <w:rsid w:val="00C723EA"/>
    <w:rsid w:val="00C735A0"/>
    <w:rsid w:val="00C75967"/>
    <w:rsid w:val="00C76B16"/>
    <w:rsid w:val="00C81825"/>
    <w:rsid w:val="00C8280E"/>
    <w:rsid w:val="00C82F8A"/>
    <w:rsid w:val="00C83655"/>
    <w:rsid w:val="00C83A1D"/>
    <w:rsid w:val="00C841EE"/>
    <w:rsid w:val="00C91B4C"/>
    <w:rsid w:val="00C94723"/>
    <w:rsid w:val="00C94ADF"/>
    <w:rsid w:val="00C964A6"/>
    <w:rsid w:val="00C96CB6"/>
    <w:rsid w:val="00C97101"/>
    <w:rsid w:val="00C97565"/>
    <w:rsid w:val="00CA07DD"/>
    <w:rsid w:val="00CA2FE8"/>
    <w:rsid w:val="00CA4BD6"/>
    <w:rsid w:val="00CA621F"/>
    <w:rsid w:val="00CA73CF"/>
    <w:rsid w:val="00CB0286"/>
    <w:rsid w:val="00CB11E3"/>
    <w:rsid w:val="00CB5F95"/>
    <w:rsid w:val="00CC4F61"/>
    <w:rsid w:val="00CC5D0D"/>
    <w:rsid w:val="00CC7494"/>
    <w:rsid w:val="00CD16B3"/>
    <w:rsid w:val="00CD2790"/>
    <w:rsid w:val="00CD2822"/>
    <w:rsid w:val="00CD287B"/>
    <w:rsid w:val="00CD334C"/>
    <w:rsid w:val="00CD43BD"/>
    <w:rsid w:val="00CD58BF"/>
    <w:rsid w:val="00CD6CA5"/>
    <w:rsid w:val="00CE55F5"/>
    <w:rsid w:val="00CF3A1C"/>
    <w:rsid w:val="00CF4041"/>
    <w:rsid w:val="00CF4212"/>
    <w:rsid w:val="00CF42FB"/>
    <w:rsid w:val="00CF5618"/>
    <w:rsid w:val="00CF6FD6"/>
    <w:rsid w:val="00CF70A4"/>
    <w:rsid w:val="00D03C20"/>
    <w:rsid w:val="00D04DB1"/>
    <w:rsid w:val="00D06878"/>
    <w:rsid w:val="00D13329"/>
    <w:rsid w:val="00D16026"/>
    <w:rsid w:val="00D16D05"/>
    <w:rsid w:val="00D23DF6"/>
    <w:rsid w:val="00D249CF"/>
    <w:rsid w:val="00D24DBF"/>
    <w:rsid w:val="00D267E0"/>
    <w:rsid w:val="00D26E5F"/>
    <w:rsid w:val="00D27DAF"/>
    <w:rsid w:val="00D309DA"/>
    <w:rsid w:val="00D31DC3"/>
    <w:rsid w:val="00D32CE1"/>
    <w:rsid w:val="00D35627"/>
    <w:rsid w:val="00D4245F"/>
    <w:rsid w:val="00D44A08"/>
    <w:rsid w:val="00D46ED7"/>
    <w:rsid w:val="00D5286B"/>
    <w:rsid w:val="00D558A0"/>
    <w:rsid w:val="00D5632F"/>
    <w:rsid w:val="00D57819"/>
    <w:rsid w:val="00D60316"/>
    <w:rsid w:val="00D60F1D"/>
    <w:rsid w:val="00D61633"/>
    <w:rsid w:val="00D61F49"/>
    <w:rsid w:val="00D63FE6"/>
    <w:rsid w:val="00D64BB9"/>
    <w:rsid w:val="00D65A8D"/>
    <w:rsid w:val="00D65D5C"/>
    <w:rsid w:val="00D67F90"/>
    <w:rsid w:val="00D706EA"/>
    <w:rsid w:val="00D71F72"/>
    <w:rsid w:val="00D733D9"/>
    <w:rsid w:val="00D76651"/>
    <w:rsid w:val="00D80CD1"/>
    <w:rsid w:val="00D90D8D"/>
    <w:rsid w:val="00D92CB4"/>
    <w:rsid w:val="00D95439"/>
    <w:rsid w:val="00D9546F"/>
    <w:rsid w:val="00D95B54"/>
    <w:rsid w:val="00D97636"/>
    <w:rsid w:val="00D978AB"/>
    <w:rsid w:val="00DA4430"/>
    <w:rsid w:val="00DA646F"/>
    <w:rsid w:val="00DB089C"/>
    <w:rsid w:val="00DB13DD"/>
    <w:rsid w:val="00DB19A4"/>
    <w:rsid w:val="00DB3B22"/>
    <w:rsid w:val="00DB3F9F"/>
    <w:rsid w:val="00DB49AB"/>
    <w:rsid w:val="00DB5236"/>
    <w:rsid w:val="00DB5996"/>
    <w:rsid w:val="00DC0769"/>
    <w:rsid w:val="00DC5697"/>
    <w:rsid w:val="00DC5ACB"/>
    <w:rsid w:val="00DC6317"/>
    <w:rsid w:val="00DC69E3"/>
    <w:rsid w:val="00DC70FD"/>
    <w:rsid w:val="00DC7523"/>
    <w:rsid w:val="00DD04FA"/>
    <w:rsid w:val="00DD147F"/>
    <w:rsid w:val="00DD1699"/>
    <w:rsid w:val="00DD22CA"/>
    <w:rsid w:val="00DD2EFB"/>
    <w:rsid w:val="00DD3421"/>
    <w:rsid w:val="00DD439E"/>
    <w:rsid w:val="00DD5337"/>
    <w:rsid w:val="00DD55BA"/>
    <w:rsid w:val="00DD72FA"/>
    <w:rsid w:val="00DE00F6"/>
    <w:rsid w:val="00DE4839"/>
    <w:rsid w:val="00DE6744"/>
    <w:rsid w:val="00DE6935"/>
    <w:rsid w:val="00DF14CF"/>
    <w:rsid w:val="00DF3618"/>
    <w:rsid w:val="00DF3F80"/>
    <w:rsid w:val="00DF4D6F"/>
    <w:rsid w:val="00DF5A7B"/>
    <w:rsid w:val="00DF61C5"/>
    <w:rsid w:val="00DF7415"/>
    <w:rsid w:val="00DF77F2"/>
    <w:rsid w:val="00E00A4E"/>
    <w:rsid w:val="00E0340C"/>
    <w:rsid w:val="00E05F2F"/>
    <w:rsid w:val="00E061E2"/>
    <w:rsid w:val="00E06F79"/>
    <w:rsid w:val="00E1030B"/>
    <w:rsid w:val="00E126EF"/>
    <w:rsid w:val="00E13189"/>
    <w:rsid w:val="00E17036"/>
    <w:rsid w:val="00E20389"/>
    <w:rsid w:val="00E21181"/>
    <w:rsid w:val="00E22D41"/>
    <w:rsid w:val="00E2318F"/>
    <w:rsid w:val="00E23564"/>
    <w:rsid w:val="00E235D0"/>
    <w:rsid w:val="00E24149"/>
    <w:rsid w:val="00E2530A"/>
    <w:rsid w:val="00E25EBA"/>
    <w:rsid w:val="00E37E97"/>
    <w:rsid w:val="00E419E5"/>
    <w:rsid w:val="00E44117"/>
    <w:rsid w:val="00E457AC"/>
    <w:rsid w:val="00E4598E"/>
    <w:rsid w:val="00E45DE5"/>
    <w:rsid w:val="00E461CA"/>
    <w:rsid w:val="00E519C3"/>
    <w:rsid w:val="00E52118"/>
    <w:rsid w:val="00E55471"/>
    <w:rsid w:val="00E55FEA"/>
    <w:rsid w:val="00E57F7E"/>
    <w:rsid w:val="00E608F0"/>
    <w:rsid w:val="00E60A25"/>
    <w:rsid w:val="00E66E01"/>
    <w:rsid w:val="00E7000D"/>
    <w:rsid w:val="00E721E3"/>
    <w:rsid w:val="00E73E3D"/>
    <w:rsid w:val="00E7453F"/>
    <w:rsid w:val="00E74B39"/>
    <w:rsid w:val="00E82380"/>
    <w:rsid w:val="00E82ADE"/>
    <w:rsid w:val="00E84C1F"/>
    <w:rsid w:val="00E87674"/>
    <w:rsid w:val="00E90463"/>
    <w:rsid w:val="00E92A0C"/>
    <w:rsid w:val="00E92EEA"/>
    <w:rsid w:val="00E96CD9"/>
    <w:rsid w:val="00EA189B"/>
    <w:rsid w:val="00EA2E13"/>
    <w:rsid w:val="00EA6A6B"/>
    <w:rsid w:val="00EA6F73"/>
    <w:rsid w:val="00EB0B55"/>
    <w:rsid w:val="00EB1BEA"/>
    <w:rsid w:val="00EB22D9"/>
    <w:rsid w:val="00EB54E3"/>
    <w:rsid w:val="00EB6920"/>
    <w:rsid w:val="00EB7251"/>
    <w:rsid w:val="00EB75A2"/>
    <w:rsid w:val="00EC2A48"/>
    <w:rsid w:val="00EC2DF9"/>
    <w:rsid w:val="00EC5FEA"/>
    <w:rsid w:val="00EC7396"/>
    <w:rsid w:val="00ED23EE"/>
    <w:rsid w:val="00ED2C37"/>
    <w:rsid w:val="00ED2EDC"/>
    <w:rsid w:val="00ED2F64"/>
    <w:rsid w:val="00ED6CA7"/>
    <w:rsid w:val="00ED7453"/>
    <w:rsid w:val="00ED7B11"/>
    <w:rsid w:val="00EE2185"/>
    <w:rsid w:val="00EE265F"/>
    <w:rsid w:val="00EE2EB8"/>
    <w:rsid w:val="00EE3188"/>
    <w:rsid w:val="00EE358A"/>
    <w:rsid w:val="00EE3BAD"/>
    <w:rsid w:val="00EE5700"/>
    <w:rsid w:val="00EE5D69"/>
    <w:rsid w:val="00EE6A79"/>
    <w:rsid w:val="00EF1CE3"/>
    <w:rsid w:val="00EF3068"/>
    <w:rsid w:val="00EF4685"/>
    <w:rsid w:val="00EF5955"/>
    <w:rsid w:val="00EF754E"/>
    <w:rsid w:val="00F01AF5"/>
    <w:rsid w:val="00F02742"/>
    <w:rsid w:val="00F04847"/>
    <w:rsid w:val="00F049D3"/>
    <w:rsid w:val="00F1039D"/>
    <w:rsid w:val="00F11488"/>
    <w:rsid w:val="00F12613"/>
    <w:rsid w:val="00F1343D"/>
    <w:rsid w:val="00F147CE"/>
    <w:rsid w:val="00F1484C"/>
    <w:rsid w:val="00F160C0"/>
    <w:rsid w:val="00F17114"/>
    <w:rsid w:val="00F174E6"/>
    <w:rsid w:val="00F21307"/>
    <w:rsid w:val="00F2615A"/>
    <w:rsid w:val="00F3007B"/>
    <w:rsid w:val="00F32581"/>
    <w:rsid w:val="00F32D20"/>
    <w:rsid w:val="00F336ED"/>
    <w:rsid w:val="00F3430D"/>
    <w:rsid w:val="00F3494C"/>
    <w:rsid w:val="00F34EAE"/>
    <w:rsid w:val="00F3519E"/>
    <w:rsid w:val="00F40BA3"/>
    <w:rsid w:val="00F423F2"/>
    <w:rsid w:val="00F430F9"/>
    <w:rsid w:val="00F44565"/>
    <w:rsid w:val="00F44891"/>
    <w:rsid w:val="00F45A6E"/>
    <w:rsid w:val="00F46210"/>
    <w:rsid w:val="00F5110A"/>
    <w:rsid w:val="00F517F9"/>
    <w:rsid w:val="00F564D3"/>
    <w:rsid w:val="00F56D87"/>
    <w:rsid w:val="00F60F72"/>
    <w:rsid w:val="00F61360"/>
    <w:rsid w:val="00F613FC"/>
    <w:rsid w:val="00F61440"/>
    <w:rsid w:val="00F61DD5"/>
    <w:rsid w:val="00F63349"/>
    <w:rsid w:val="00F63D8B"/>
    <w:rsid w:val="00F64EEF"/>
    <w:rsid w:val="00F71DC0"/>
    <w:rsid w:val="00F73EA1"/>
    <w:rsid w:val="00F7585E"/>
    <w:rsid w:val="00F75A27"/>
    <w:rsid w:val="00F765FC"/>
    <w:rsid w:val="00F77F50"/>
    <w:rsid w:val="00F8141B"/>
    <w:rsid w:val="00F81A04"/>
    <w:rsid w:val="00F83EC4"/>
    <w:rsid w:val="00F87672"/>
    <w:rsid w:val="00F90798"/>
    <w:rsid w:val="00F90DD3"/>
    <w:rsid w:val="00F91735"/>
    <w:rsid w:val="00F9257D"/>
    <w:rsid w:val="00F927D7"/>
    <w:rsid w:val="00F92977"/>
    <w:rsid w:val="00FA26E4"/>
    <w:rsid w:val="00FA43FD"/>
    <w:rsid w:val="00FA6559"/>
    <w:rsid w:val="00FA6747"/>
    <w:rsid w:val="00FA7184"/>
    <w:rsid w:val="00FB0729"/>
    <w:rsid w:val="00FB0DCA"/>
    <w:rsid w:val="00FB16D1"/>
    <w:rsid w:val="00FB2DE6"/>
    <w:rsid w:val="00FB5030"/>
    <w:rsid w:val="00FC1730"/>
    <w:rsid w:val="00FC31ED"/>
    <w:rsid w:val="00FC3BAE"/>
    <w:rsid w:val="00FC4973"/>
    <w:rsid w:val="00FC568E"/>
    <w:rsid w:val="00FC76B0"/>
    <w:rsid w:val="00FD0918"/>
    <w:rsid w:val="00FD0B97"/>
    <w:rsid w:val="00FD0FC5"/>
    <w:rsid w:val="00FD30F8"/>
    <w:rsid w:val="00FD3FAD"/>
    <w:rsid w:val="00FD5826"/>
    <w:rsid w:val="00FD6A11"/>
    <w:rsid w:val="00FD76A6"/>
    <w:rsid w:val="00FE00F1"/>
    <w:rsid w:val="00FE36D2"/>
    <w:rsid w:val="00FE3A53"/>
    <w:rsid w:val="00FF0D3E"/>
    <w:rsid w:val="00FF1B7B"/>
    <w:rsid w:val="00FF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link w:val="Heading2Char"/>
    <w:qFormat/>
    <w:rsid w:val="004C427E"/>
    <w:pPr>
      <w:spacing w:after="240"/>
      <w:outlineLvl w:val="1"/>
    </w:pPr>
    <w:rPr>
      <w:sz w:val="36"/>
    </w:rPr>
  </w:style>
  <w:style w:type="paragraph" w:styleId="Heading3">
    <w:name w:val="heading 3"/>
    <w:basedOn w:val="BodyText"/>
    <w:next w:val="BodyText"/>
    <w:link w:val="Heading3Char"/>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link w:val="FooterChar"/>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792F89"/>
    <w:pPr>
      <w:tabs>
        <w:tab w:val="left" w:pos="284"/>
        <w:tab w:val="right" w:pos="9628"/>
      </w:tabs>
      <w:spacing w:before="480" w:after="480"/>
    </w:pPr>
    <w:rPr>
      <w:b/>
    </w:rPr>
  </w:style>
  <w:style w:type="paragraph" w:styleId="CommentText">
    <w:name w:val="annotation text"/>
    <w:basedOn w:val="Normal"/>
    <w:link w:val="CommentTextChar"/>
    <w:uiPriority w:val="99"/>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F4041"/>
    <w:pPr>
      <w:tabs>
        <w:tab w:val="right" w:pos="9628"/>
      </w:tabs>
      <w:spacing w:before="240" w:after="240"/>
    </w:pPr>
    <w:rPr>
      <w:b/>
      <w:noProof/>
    </w:rPr>
  </w:style>
  <w:style w:type="character" w:styleId="Hyperlink">
    <w:name w:val="Hyperlink"/>
    <w:uiPriority w:val="99"/>
    <w:rsid w:val="00AC16B4"/>
    <w:rPr>
      <w:color w:val="0000FF"/>
      <w:u w:val="single"/>
    </w:rPr>
  </w:style>
  <w:style w:type="paragraph" w:styleId="FootnoteText">
    <w:name w:val="footnote text"/>
    <w:aliases w:val="Footnote Text Char Char,Footnote Text Char Char Char,Footnote Text Char Char Char Char Char,Fo,Footnote Text Char Char Char Char Char Char,Footnote Text Char Char1,Footnote Text Char3 Char1 Char1,F"/>
    <w:basedOn w:val="Normal"/>
    <w:link w:val="FootnoteTextChar"/>
    <w:uiPriority w:val="99"/>
    <w:rsid w:val="00024C6D"/>
    <w:rPr>
      <w:sz w:val="20"/>
      <w:szCs w:val="20"/>
    </w:rPr>
  </w:style>
  <w:style w:type="character" w:styleId="FootnoteReference">
    <w:name w:val="footnote reference"/>
    <w:uiPriority w:val="99"/>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FootnoteTextChar">
    <w:name w:val="Footnote Text Char"/>
    <w:aliases w:val="Footnote Text Char Char Char1,Footnote Text Char Char Char Char,Footnote Text Char Char Char Char Char Char1,Fo Char,Footnote Text Char Char Char Char Char Char Char,Footnote Text Char Char1 Char,Footnote Text Char3 Char1 Char1 Char"/>
    <w:link w:val="FootnoteText"/>
    <w:uiPriority w:val="99"/>
    <w:rsid w:val="00611A1D"/>
    <w:rPr>
      <w:rFonts w:ascii="Arial" w:hAnsi="Arial"/>
      <w:lang w:eastAsia="en-US"/>
    </w:rPr>
  </w:style>
  <w:style w:type="character" w:customStyle="1" w:styleId="Heading1Char">
    <w:name w:val="Heading 1 Char"/>
    <w:link w:val="Heading1"/>
    <w:rsid w:val="003E41DD"/>
    <w:rPr>
      <w:rFonts w:ascii="Arial" w:hAnsi="Arial"/>
      <w:sz w:val="48"/>
      <w:szCs w:val="24"/>
      <w:lang w:eastAsia="en-US"/>
    </w:rPr>
  </w:style>
  <w:style w:type="character" w:customStyle="1" w:styleId="Heading2Char">
    <w:name w:val="Heading 2 Char"/>
    <w:link w:val="Heading2"/>
    <w:rsid w:val="003E41DD"/>
    <w:rPr>
      <w:rFonts w:ascii="Arial" w:hAnsi="Arial"/>
      <w:sz w:val="36"/>
      <w:szCs w:val="24"/>
      <w:lang w:eastAsia="en-US"/>
    </w:rPr>
  </w:style>
  <w:style w:type="character" w:customStyle="1" w:styleId="Heading3Char">
    <w:name w:val="Heading 3 Char"/>
    <w:link w:val="Heading3"/>
    <w:rsid w:val="003E41DD"/>
    <w:rPr>
      <w:rFonts w:ascii="Arial Bold" w:hAnsi="Arial Bold"/>
      <w:b/>
      <w:sz w:val="26"/>
      <w:szCs w:val="24"/>
      <w:lang w:eastAsia="en-US"/>
    </w:rPr>
  </w:style>
  <w:style w:type="paragraph" w:customStyle="1" w:styleId="Default">
    <w:name w:val="Default"/>
    <w:rsid w:val="002B3FB3"/>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B3FB3"/>
    <w:rPr>
      <w:rFonts w:ascii="Arial" w:hAnsi="Arial"/>
      <w:sz w:val="24"/>
      <w:szCs w:val="24"/>
      <w:lang w:eastAsia="en-US"/>
    </w:rPr>
  </w:style>
  <w:style w:type="character" w:customStyle="1" w:styleId="CommentTextChar">
    <w:name w:val="Comment Text Char"/>
    <w:link w:val="CommentText"/>
    <w:uiPriority w:val="99"/>
    <w:rsid w:val="002B3FB3"/>
    <w:rPr>
      <w:rFonts w:ascii="Arial" w:hAnsi="Arial"/>
      <w:lang w:eastAsia="en-US"/>
    </w:rPr>
  </w:style>
  <w:style w:type="character" w:styleId="CommentReference">
    <w:name w:val="annotation reference"/>
    <w:uiPriority w:val="99"/>
    <w:rsid w:val="002B3FB3"/>
    <w:rPr>
      <w:sz w:val="16"/>
      <w:szCs w:val="16"/>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821A03"/>
    <w:pPr>
      <w:spacing w:after="200" w:line="276" w:lineRule="auto"/>
      <w:ind w:left="720"/>
      <w:contextualSpacing/>
    </w:pPr>
    <w:rPr>
      <w:rFonts w:eastAsia="Calibri" w:cs="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821A03"/>
    <w:rPr>
      <w:rFonts w:ascii="Arial" w:eastAsia="Calibri" w:hAnsi="Arial" w:cs="Arial"/>
      <w:sz w:val="24"/>
      <w:szCs w:val="24"/>
      <w:lang w:eastAsia="en-US"/>
    </w:rPr>
  </w:style>
  <w:style w:type="paragraph" w:styleId="CommentSubject">
    <w:name w:val="annotation subject"/>
    <w:basedOn w:val="CommentText"/>
    <w:next w:val="CommentText"/>
    <w:link w:val="CommentSubjectChar"/>
    <w:rsid w:val="00D95B54"/>
    <w:rPr>
      <w:b/>
      <w:bCs/>
    </w:rPr>
  </w:style>
  <w:style w:type="character" w:customStyle="1" w:styleId="CommentSubjectChar">
    <w:name w:val="Comment Subject Char"/>
    <w:link w:val="CommentSubject"/>
    <w:rsid w:val="00D95B54"/>
    <w:rPr>
      <w:rFonts w:ascii="Arial" w:hAnsi="Arial"/>
      <w:b/>
      <w:bCs/>
      <w:lang w:eastAsia="en-US"/>
    </w:rPr>
  </w:style>
  <w:style w:type="paragraph" w:styleId="BalloonText">
    <w:name w:val="Balloon Text"/>
    <w:basedOn w:val="Normal"/>
    <w:link w:val="BalloonTextChar"/>
    <w:rsid w:val="00D95B54"/>
    <w:rPr>
      <w:rFonts w:ascii="Tahoma" w:hAnsi="Tahoma" w:cs="Tahoma"/>
      <w:sz w:val="16"/>
      <w:szCs w:val="16"/>
    </w:rPr>
  </w:style>
  <w:style w:type="character" w:customStyle="1" w:styleId="BalloonTextChar">
    <w:name w:val="Balloon Text Char"/>
    <w:link w:val="BalloonText"/>
    <w:rsid w:val="00D95B54"/>
    <w:rPr>
      <w:rFonts w:ascii="Tahoma" w:hAnsi="Tahoma" w:cs="Tahoma"/>
      <w:sz w:val="16"/>
      <w:szCs w:val="16"/>
      <w:lang w:eastAsia="en-US"/>
    </w:rPr>
  </w:style>
  <w:style w:type="paragraph" w:customStyle="1" w:styleId="Normal2">
    <w:name w:val="Normal+2"/>
    <w:basedOn w:val="Normal"/>
    <w:next w:val="Normal"/>
    <w:rsid w:val="00687B77"/>
    <w:pPr>
      <w:autoSpaceDE w:val="0"/>
      <w:autoSpaceDN w:val="0"/>
      <w:adjustRightInd w:val="0"/>
      <w:spacing w:after="200"/>
    </w:pPr>
    <w:rPr>
      <w:lang w:eastAsia="en-GB"/>
    </w:rPr>
  </w:style>
  <w:style w:type="paragraph" w:styleId="NormalWeb">
    <w:name w:val="Normal (Web)"/>
    <w:basedOn w:val="Normal"/>
    <w:uiPriority w:val="99"/>
    <w:unhideWhenUsed/>
    <w:rsid w:val="00561C1F"/>
    <w:pPr>
      <w:spacing w:before="100" w:beforeAutospacing="1" w:after="100" w:afterAutospacing="1"/>
    </w:pPr>
    <w:rPr>
      <w:rFonts w:ascii="Times New Roman" w:hAnsi="Times New Roman"/>
      <w:lang w:eastAsia="en-GB"/>
    </w:rPr>
  </w:style>
  <w:style w:type="paragraph" w:styleId="Revision">
    <w:name w:val="Revision"/>
    <w:hidden/>
    <w:uiPriority w:val="99"/>
    <w:semiHidden/>
    <w:rsid w:val="00A73394"/>
    <w:rPr>
      <w:rFonts w:ascii="Arial" w:hAnsi="Arial"/>
      <w:sz w:val="24"/>
      <w:szCs w:val="24"/>
      <w:lang w:eastAsia="en-US"/>
    </w:rPr>
  </w:style>
  <w:style w:type="character" w:styleId="PlaceholderText">
    <w:name w:val="Placeholder Text"/>
    <w:basedOn w:val="DefaultParagraphFont"/>
    <w:uiPriority w:val="99"/>
    <w:semiHidden/>
    <w:rsid w:val="00A83555"/>
    <w:rPr>
      <w:color w:val="808080"/>
    </w:rPr>
  </w:style>
  <w:style w:type="paragraph" w:styleId="PlainText">
    <w:name w:val="Plain Text"/>
    <w:basedOn w:val="Normal"/>
    <w:link w:val="PlainTextChar"/>
    <w:uiPriority w:val="99"/>
    <w:semiHidden/>
    <w:unhideWhenUsed/>
    <w:rsid w:val="008457C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457CD"/>
    <w:rPr>
      <w:rFonts w:ascii="Calibri" w:eastAsiaTheme="minorHAnsi" w:hAnsi="Calibri" w:cs="Consolas"/>
      <w:sz w:val="22"/>
      <w:szCs w:val="21"/>
      <w:lang w:eastAsia="en-US"/>
    </w:rPr>
  </w:style>
  <w:style w:type="character" w:customStyle="1" w:styleId="FooterChar">
    <w:name w:val="Footer Char"/>
    <w:basedOn w:val="DefaultParagraphFont"/>
    <w:link w:val="Footer"/>
    <w:rsid w:val="008E5B9B"/>
    <w:rPr>
      <w:rFonts w:ascii="Arial" w:hAnsi="Arial"/>
      <w:sz w:val="24"/>
      <w:szCs w:val="24"/>
      <w:lang w:eastAsia="en-US"/>
    </w:rPr>
  </w:style>
  <w:style w:type="paragraph" w:customStyle="1" w:styleId="ODPMLevel1">
    <w:name w:val="ODPM Level 1"/>
    <w:basedOn w:val="Normal"/>
    <w:link w:val="ODPMLevel1Char"/>
    <w:rsid w:val="002038D9"/>
    <w:pPr>
      <w:tabs>
        <w:tab w:val="left" w:pos="-720"/>
      </w:tabs>
      <w:suppressAutoHyphens/>
      <w:spacing w:after="240"/>
    </w:pPr>
    <w:rPr>
      <w:spacing w:val="-2"/>
      <w:szCs w:val="20"/>
      <w:lang w:eastAsia="en-GB"/>
    </w:rPr>
  </w:style>
  <w:style w:type="character" w:customStyle="1" w:styleId="ODPMLevel1Char">
    <w:name w:val="ODPM Level 1 Char"/>
    <w:basedOn w:val="DefaultParagraphFont"/>
    <w:link w:val="ODPMLevel1"/>
    <w:locked/>
    <w:rsid w:val="002038D9"/>
    <w:rPr>
      <w:rFonts w:ascii="Arial" w:hAnsi="Arial"/>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link w:val="Heading2Char"/>
    <w:qFormat/>
    <w:rsid w:val="004C427E"/>
    <w:pPr>
      <w:spacing w:after="240"/>
      <w:outlineLvl w:val="1"/>
    </w:pPr>
    <w:rPr>
      <w:sz w:val="36"/>
    </w:rPr>
  </w:style>
  <w:style w:type="paragraph" w:styleId="Heading3">
    <w:name w:val="heading 3"/>
    <w:basedOn w:val="BodyText"/>
    <w:next w:val="BodyText"/>
    <w:link w:val="Heading3Char"/>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link w:val="FooterChar"/>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792F89"/>
    <w:pPr>
      <w:tabs>
        <w:tab w:val="left" w:pos="284"/>
        <w:tab w:val="right" w:pos="9628"/>
      </w:tabs>
      <w:spacing w:before="480" w:after="480"/>
    </w:pPr>
    <w:rPr>
      <w:b/>
    </w:rPr>
  </w:style>
  <w:style w:type="paragraph" w:styleId="CommentText">
    <w:name w:val="annotation text"/>
    <w:basedOn w:val="Normal"/>
    <w:link w:val="CommentTextChar"/>
    <w:uiPriority w:val="99"/>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F4041"/>
    <w:pPr>
      <w:tabs>
        <w:tab w:val="right" w:pos="9628"/>
      </w:tabs>
      <w:spacing w:before="240" w:after="240"/>
    </w:pPr>
    <w:rPr>
      <w:b/>
      <w:noProof/>
    </w:rPr>
  </w:style>
  <w:style w:type="character" w:styleId="Hyperlink">
    <w:name w:val="Hyperlink"/>
    <w:uiPriority w:val="99"/>
    <w:rsid w:val="00AC16B4"/>
    <w:rPr>
      <w:color w:val="0000FF"/>
      <w:u w:val="single"/>
    </w:rPr>
  </w:style>
  <w:style w:type="paragraph" w:styleId="FootnoteText">
    <w:name w:val="footnote text"/>
    <w:aliases w:val="Footnote Text Char Char,Footnote Text Char Char Char,Footnote Text Char Char Char Char Char,Fo,Footnote Text Char Char Char Char Char Char,Footnote Text Char Char1,Footnote Text Char3 Char1 Char1,F"/>
    <w:basedOn w:val="Normal"/>
    <w:link w:val="FootnoteTextChar"/>
    <w:uiPriority w:val="99"/>
    <w:rsid w:val="00024C6D"/>
    <w:rPr>
      <w:sz w:val="20"/>
      <w:szCs w:val="20"/>
    </w:rPr>
  </w:style>
  <w:style w:type="character" w:styleId="FootnoteReference">
    <w:name w:val="footnote reference"/>
    <w:uiPriority w:val="99"/>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FootnoteTextChar">
    <w:name w:val="Footnote Text Char"/>
    <w:aliases w:val="Footnote Text Char Char Char1,Footnote Text Char Char Char Char,Footnote Text Char Char Char Char Char Char1,Fo Char,Footnote Text Char Char Char Char Char Char Char,Footnote Text Char Char1 Char,Footnote Text Char3 Char1 Char1 Char"/>
    <w:link w:val="FootnoteText"/>
    <w:uiPriority w:val="99"/>
    <w:rsid w:val="00611A1D"/>
    <w:rPr>
      <w:rFonts w:ascii="Arial" w:hAnsi="Arial"/>
      <w:lang w:eastAsia="en-US"/>
    </w:rPr>
  </w:style>
  <w:style w:type="character" w:customStyle="1" w:styleId="Heading1Char">
    <w:name w:val="Heading 1 Char"/>
    <w:link w:val="Heading1"/>
    <w:rsid w:val="003E41DD"/>
    <w:rPr>
      <w:rFonts w:ascii="Arial" w:hAnsi="Arial"/>
      <w:sz w:val="48"/>
      <w:szCs w:val="24"/>
      <w:lang w:eastAsia="en-US"/>
    </w:rPr>
  </w:style>
  <w:style w:type="character" w:customStyle="1" w:styleId="Heading2Char">
    <w:name w:val="Heading 2 Char"/>
    <w:link w:val="Heading2"/>
    <w:rsid w:val="003E41DD"/>
    <w:rPr>
      <w:rFonts w:ascii="Arial" w:hAnsi="Arial"/>
      <w:sz w:val="36"/>
      <w:szCs w:val="24"/>
      <w:lang w:eastAsia="en-US"/>
    </w:rPr>
  </w:style>
  <w:style w:type="character" w:customStyle="1" w:styleId="Heading3Char">
    <w:name w:val="Heading 3 Char"/>
    <w:link w:val="Heading3"/>
    <w:rsid w:val="003E41DD"/>
    <w:rPr>
      <w:rFonts w:ascii="Arial Bold" w:hAnsi="Arial Bold"/>
      <w:b/>
      <w:sz w:val="26"/>
      <w:szCs w:val="24"/>
      <w:lang w:eastAsia="en-US"/>
    </w:rPr>
  </w:style>
  <w:style w:type="paragraph" w:customStyle="1" w:styleId="Default">
    <w:name w:val="Default"/>
    <w:rsid w:val="002B3FB3"/>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B3FB3"/>
    <w:rPr>
      <w:rFonts w:ascii="Arial" w:hAnsi="Arial"/>
      <w:sz w:val="24"/>
      <w:szCs w:val="24"/>
      <w:lang w:eastAsia="en-US"/>
    </w:rPr>
  </w:style>
  <w:style w:type="character" w:customStyle="1" w:styleId="CommentTextChar">
    <w:name w:val="Comment Text Char"/>
    <w:link w:val="CommentText"/>
    <w:uiPriority w:val="99"/>
    <w:rsid w:val="002B3FB3"/>
    <w:rPr>
      <w:rFonts w:ascii="Arial" w:hAnsi="Arial"/>
      <w:lang w:eastAsia="en-US"/>
    </w:rPr>
  </w:style>
  <w:style w:type="character" w:styleId="CommentReference">
    <w:name w:val="annotation reference"/>
    <w:uiPriority w:val="99"/>
    <w:rsid w:val="002B3FB3"/>
    <w:rPr>
      <w:sz w:val="16"/>
      <w:szCs w:val="16"/>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821A03"/>
    <w:pPr>
      <w:spacing w:after="200" w:line="276" w:lineRule="auto"/>
      <w:ind w:left="720"/>
      <w:contextualSpacing/>
    </w:pPr>
    <w:rPr>
      <w:rFonts w:eastAsia="Calibri" w:cs="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821A03"/>
    <w:rPr>
      <w:rFonts w:ascii="Arial" w:eastAsia="Calibri" w:hAnsi="Arial" w:cs="Arial"/>
      <w:sz w:val="24"/>
      <w:szCs w:val="24"/>
      <w:lang w:eastAsia="en-US"/>
    </w:rPr>
  </w:style>
  <w:style w:type="paragraph" w:styleId="CommentSubject">
    <w:name w:val="annotation subject"/>
    <w:basedOn w:val="CommentText"/>
    <w:next w:val="CommentText"/>
    <w:link w:val="CommentSubjectChar"/>
    <w:rsid w:val="00D95B54"/>
    <w:rPr>
      <w:b/>
      <w:bCs/>
    </w:rPr>
  </w:style>
  <w:style w:type="character" w:customStyle="1" w:styleId="CommentSubjectChar">
    <w:name w:val="Comment Subject Char"/>
    <w:link w:val="CommentSubject"/>
    <w:rsid w:val="00D95B54"/>
    <w:rPr>
      <w:rFonts w:ascii="Arial" w:hAnsi="Arial"/>
      <w:b/>
      <w:bCs/>
      <w:lang w:eastAsia="en-US"/>
    </w:rPr>
  </w:style>
  <w:style w:type="paragraph" w:styleId="BalloonText">
    <w:name w:val="Balloon Text"/>
    <w:basedOn w:val="Normal"/>
    <w:link w:val="BalloonTextChar"/>
    <w:rsid w:val="00D95B54"/>
    <w:rPr>
      <w:rFonts w:ascii="Tahoma" w:hAnsi="Tahoma" w:cs="Tahoma"/>
      <w:sz w:val="16"/>
      <w:szCs w:val="16"/>
    </w:rPr>
  </w:style>
  <w:style w:type="character" w:customStyle="1" w:styleId="BalloonTextChar">
    <w:name w:val="Balloon Text Char"/>
    <w:link w:val="BalloonText"/>
    <w:rsid w:val="00D95B54"/>
    <w:rPr>
      <w:rFonts w:ascii="Tahoma" w:hAnsi="Tahoma" w:cs="Tahoma"/>
      <w:sz w:val="16"/>
      <w:szCs w:val="16"/>
      <w:lang w:eastAsia="en-US"/>
    </w:rPr>
  </w:style>
  <w:style w:type="paragraph" w:customStyle="1" w:styleId="Normal2">
    <w:name w:val="Normal+2"/>
    <w:basedOn w:val="Normal"/>
    <w:next w:val="Normal"/>
    <w:rsid w:val="00687B77"/>
    <w:pPr>
      <w:autoSpaceDE w:val="0"/>
      <w:autoSpaceDN w:val="0"/>
      <w:adjustRightInd w:val="0"/>
      <w:spacing w:after="200"/>
    </w:pPr>
    <w:rPr>
      <w:lang w:eastAsia="en-GB"/>
    </w:rPr>
  </w:style>
  <w:style w:type="paragraph" w:styleId="NormalWeb">
    <w:name w:val="Normal (Web)"/>
    <w:basedOn w:val="Normal"/>
    <w:uiPriority w:val="99"/>
    <w:unhideWhenUsed/>
    <w:rsid w:val="00561C1F"/>
    <w:pPr>
      <w:spacing w:before="100" w:beforeAutospacing="1" w:after="100" w:afterAutospacing="1"/>
    </w:pPr>
    <w:rPr>
      <w:rFonts w:ascii="Times New Roman" w:hAnsi="Times New Roman"/>
      <w:lang w:eastAsia="en-GB"/>
    </w:rPr>
  </w:style>
  <w:style w:type="paragraph" w:styleId="Revision">
    <w:name w:val="Revision"/>
    <w:hidden/>
    <w:uiPriority w:val="99"/>
    <w:semiHidden/>
    <w:rsid w:val="00A73394"/>
    <w:rPr>
      <w:rFonts w:ascii="Arial" w:hAnsi="Arial"/>
      <w:sz w:val="24"/>
      <w:szCs w:val="24"/>
      <w:lang w:eastAsia="en-US"/>
    </w:rPr>
  </w:style>
  <w:style w:type="character" w:styleId="PlaceholderText">
    <w:name w:val="Placeholder Text"/>
    <w:basedOn w:val="DefaultParagraphFont"/>
    <w:uiPriority w:val="99"/>
    <w:semiHidden/>
    <w:rsid w:val="00A83555"/>
    <w:rPr>
      <w:color w:val="808080"/>
    </w:rPr>
  </w:style>
  <w:style w:type="paragraph" w:styleId="PlainText">
    <w:name w:val="Plain Text"/>
    <w:basedOn w:val="Normal"/>
    <w:link w:val="PlainTextChar"/>
    <w:uiPriority w:val="99"/>
    <w:semiHidden/>
    <w:unhideWhenUsed/>
    <w:rsid w:val="008457CD"/>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457CD"/>
    <w:rPr>
      <w:rFonts w:ascii="Calibri" w:eastAsiaTheme="minorHAnsi" w:hAnsi="Calibri" w:cs="Consolas"/>
      <w:sz w:val="22"/>
      <w:szCs w:val="21"/>
      <w:lang w:eastAsia="en-US"/>
    </w:rPr>
  </w:style>
  <w:style w:type="character" w:customStyle="1" w:styleId="FooterChar">
    <w:name w:val="Footer Char"/>
    <w:basedOn w:val="DefaultParagraphFont"/>
    <w:link w:val="Footer"/>
    <w:rsid w:val="008E5B9B"/>
    <w:rPr>
      <w:rFonts w:ascii="Arial" w:hAnsi="Arial"/>
      <w:sz w:val="24"/>
      <w:szCs w:val="24"/>
      <w:lang w:eastAsia="en-US"/>
    </w:rPr>
  </w:style>
  <w:style w:type="paragraph" w:customStyle="1" w:styleId="ODPMLevel1">
    <w:name w:val="ODPM Level 1"/>
    <w:basedOn w:val="Normal"/>
    <w:link w:val="ODPMLevel1Char"/>
    <w:rsid w:val="002038D9"/>
    <w:pPr>
      <w:tabs>
        <w:tab w:val="left" w:pos="-720"/>
      </w:tabs>
      <w:suppressAutoHyphens/>
      <w:spacing w:after="240"/>
    </w:pPr>
    <w:rPr>
      <w:spacing w:val="-2"/>
      <w:szCs w:val="20"/>
      <w:lang w:eastAsia="en-GB"/>
    </w:rPr>
  </w:style>
  <w:style w:type="character" w:customStyle="1" w:styleId="ODPMLevel1Char">
    <w:name w:val="ODPM Level 1 Char"/>
    <w:basedOn w:val="DefaultParagraphFont"/>
    <w:link w:val="ODPMLevel1"/>
    <w:locked/>
    <w:rsid w:val="002038D9"/>
    <w:rPr>
      <w:rFonts w:ascii="Arial" w:hAnsi="Arial"/>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150">
      <w:bodyDiv w:val="1"/>
      <w:marLeft w:val="0"/>
      <w:marRight w:val="0"/>
      <w:marTop w:val="0"/>
      <w:marBottom w:val="0"/>
      <w:divBdr>
        <w:top w:val="none" w:sz="0" w:space="0" w:color="auto"/>
        <w:left w:val="none" w:sz="0" w:space="0" w:color="auto"/>
        <w:bottom w:val="none" w:sz="0" w:space="0" w:color="auto"/>
        <w:right w:val="none" w:sz="0" w:space="0" w:color="auto"/>
      </w:divBdr>
    </w:div>
    <w:div w:id="157884483">
      <w:bodyDiv w:val="1"/>
      <w:marLeft w:val="0"/>
      <w:marRight w:val="0"/>
      <w:marTop w:val="0"/>
      <w:marBottom w:val="0"/>
      <w:divBdr>
        <w:top w:val="none" w:sz="0" w:space="0" w:color="auto"/>
        <w:left w:val="none" w:sz="0" w:space="0" w:color="auto"/>
        <w:bottom w:val="none" w:sz="0" w:space="0" w:color="auto"/>
        <w:right w:val="none" w:sz="0" w:space="0" w:color="auto"/>
      </w:divBdr>
    </w:div>
    <w:div w:id="190194188">
      <w:bodyDiv w:val="1"/>
      <w:marLeft w:val="0"/>
      <w:marRight w:val="0"/>
      <w:marTop w:val="0"/>
      <w:marBottom w:val="0"/>
      <w:divBdr>
        <w:top w:val="none" w:sz="0" w:space="0" w:color="auto"/>
        <w:left w:val="none" w:sz="0" w:space="0" w:color="auto"/>
        <w:bottom w:val="none" w:sz="0" w:space="0" w:color="auto"/>
        <w:right w:val="none" w:sz="0" w:space="0" w:color="auto"/>
      </w:divBdr>
    </w:div>
    <w:div w:id="345062666">
      <w:bodyDiv w:val="1"/>
      <w:marLeft w:val="0"/>
      <w:marRight w:val="0"/>
      <w:marTop w:val="0"/>
      <w:marBottom w:val="0"/>
      <w:divBdr>
        <w:top w:val="none" w:sz="0" w:space="0" w:color="auto"/>
        <w:left w:val="none" w:sz="0" w:space="0" w:color="auto"/>
        <w:bottom w:val="none" w:sz="0" w:space="0" w:color="auto"/>
        <w:right w:val="none" w:sz="0" w:space="0" w:color="auto"/>
      </w:divBdr>
    </w:div>
    <w:div w:id="348874263">
      <w:bodyDiv w:val="1"/>
      <w:marLeft w:val="0"/>
      <w:marRight w:val="0"/>
      <w:marTop w:val="0"/>
      <w:marBottom w:val="0"/>
      <w:divBdr>
        <w:top w:val="none" w:sz="0" w:space="0" w:color="auto"/>
        <w:left w:val="none" w:sz="0" w:space="0" w:color="auto"/>
        <w:bottom w:val="none" w:sz="0" w:space="0" w:color="auto"/>
        <w:right w:val="none" w:sz="0" w:space="0" w:color="auto"/>
      </w:divBdr>
    </w:div>
    <w:div w:id="434137284">
      <w:bodyDiv w:val="1"/>
      <w:marLeft w:val="0"/>
      <w:marRight w:val="0"/>
      <w:marTop w:val="0"/>
      <w:marBottom w:val="0"/>
      <w:divBdr>
        <w:top w:val="none" w:sz="0" w:space="0" w:color="auto"/>
        <w:left w:val="none" w:sz="0" w:space="0" w:color="auto"/>
        <w:bottom w:val="none" w:sz="0" w:space="0" w:color="auto"/>
        <w:right w:val="none" w:sz="0" w:space="0" w:color="auto"/>
      </w:divBdr>
    </w:div>
    <w:div w:id="441847780">
      <w:bodyDiv w:val="1"/>
      <w:marLeft w:val="0"/>
      <w:marRight w:val="0"/>
      <w:marTop w:val="0"/>
      <w:marBottom w:val="0"/>
      <w:divBdr>
        <w:top w:val="none" w:sz="0" w:space="0" w:color="auto"/>
        <w:left w:val="none" w:sz="0" w:space="0" w:color="auto"/>
        <w:bottom w:val="none" w:sz="0" w:space="0" w:color="auto"/>
        <w:right w:val="none" w:sz="0" w:space="0" w:color="auto"/>
      </w:divBdr>
    </w:div>
    <w:div w:id="449325464">
      <w:bodyDiv w:val="1"/>
      <w:marLeft w:val="0"/>
      <w:marRight w:val="0"/>
      <w:marTop w:val="0"/>
      <w:marBottom w:val="0"/>
      <w:divBdr>
        <w:top w:val="none" w:sz="0" w:space="0" w:color="auto"/>
        <w:left w:val="none" w:sz="0" w:space="0" w:color="auto"/>
        <w:bottom w:val="none" w:sz="0" w:space="0" w:color="auto"/>
        <w:right w:val="none" w:sz="0" w:space="0" w:color="auto"/>
      </w:divBdr>
    </w:div>
    <w:div w:id="451099573">
      <w:bodyDiv w:val="1"/>
      <w:marLeft w:val="0"/>
      <w:marRight w:val="0"/>
      <w:marTop w:val="0"/>
      <w:marBottom w:val="0"/>
      <w:divBdr>
        <w:top w:val="none" w:sz="0" w:space="0" w:color="auto"/>
        <w:left w:val="none" w:sz="0" w:space="0" w:color="auto"/>
        <w:bottom w:val="none" w:sz="0" w:space="0" w:color="auto"/>
        <w:right w:val="none" w:sz="0" w:space="0" w:color="auto"/>
      </w:divBdr>
    </w:div>
    <w:div w:id="488132967">
      <w:bodyDiv w:val="1"/>
      <w:marLeft w:val="0"/>
      <w:marRight w:val="0"/>
      <w:marTop w:val="0"/>
      <w:marBottom w:val="0"/>
      <w:divBdr>
        <w:top w:val="none" w:sz="0" w:space="0" w:color="auto"/>
        <w:left w:val="none" w:sz="0" w:space="0" w:color="auto"/>
        <w:bottom w:val="none" w:sz="0" w:space="0" w:color="auto"/>
        <w:right w:val="none" w:sz="0" w:space="0" w:color="auto"/>
      </w:divBdr>
      <w:divsChild>
        <w:div w:id="1811510821">
          <w:marLeft w:val="0"/>
          <w:marRight w:val="0"/>
          <w:marTop w:val="0"/>
          <w:marBottom w:val="0"/>
          <w:divBdr>
            <w:top w:val="none" w:sz="0" w:space="0" w:color="auto"/>
            <w:left w:val="none" w:sz="0" w:space="0" w:color="auto"/>
            <w:bottom w:val="none" w:sz="0" w:space="0" w:color="auto"/>
            <w:right w:val="none" w:sz="0" w:space="0" w:color="auto"/>
          </w:divBdr>
          <w:divsChild>
            <w:div w:id="1879587186">
              <w:marLeft w:val="0"/>
              <w:marRight w:val="0"/>
              <w:marTop w:val="0"/>
              <w:marBottom w:val="0"/>
              <w:divBdr>
                <w:top w:val="none" w:sz="0" w:space="0" w:color="auto"/>
                <w:left w:val="none" w:sz="0" w:space="0" w:color="auto"/>
                <w:bottom w:val="none" w:sz="0" w:space="0" w:color="auto"/>
                <w:right w:val="none" w:sz="0" w:space="0" w:color="auto"/>
              </w:divBdr>
              <w:divsChild>
                <w:div w:id="903220605">
                  <w:marLeft w:val="0"/>
                  <w:marRight w:val="0"/>
                  <w:marTop w:val="0"/>
                  <w:marBottom w:val="0"/>
                  <w:divBdr>
                    <w:top w:val="none" w:sz="0" w:space="0" w:color="auto"/>
                    <w:left w:val="none" w:sz="0" w:space="0" w:color="auto"/>
                    <w:bottom w:val="none" w:sz="0" w:space="0" w:color="auto"/>
                    <w:right w:val="none" w:sz="0" w:space="0" w:color="auto"/>
                  </w:divBdr>
                  <w:divsChild>
                    <w:div w:id="1024403737">
                      <w:marLeft w:val="0"/>
                      <w:marRight w:val="0"/>
                      <w:marTop w:val="0"/>
                      <w:marBottom w:val="0"/>
                      <w:divBdr>
                        <w:top w:val="none" w:sz="0" w:space="0" w:color="auto"/>
                        <w:left w:val="none" w:sz="0" w:space="0" w:color="auto"/>
                        <w:bottom w:val="none" w:sz="0" w:space="0" w:color="auto"/>
                        <w:right w:val="none" w:sz="0" w:space="0" w:color="auto"/>
                      </w:divBdr>
                      <w:divsChild>
                        <w:div w:id="1440486296">
                          <w:marLeft w:val="0"/>
                          <w:marRight w:val="0"/>
                          <w:marTop w:val="0"/>
                          <w:marBottom w:val="0"/>
                          <w:divBdr>
                            <w:top w:val="none" w:sz="0" w:space="0" w:color="auto"/>
                            <w:left w:val="none" w:sz="0" w:space="0" w:color="auto"/>
                            <w:bottom w:val="none" w:sz="0" w:space="0" w:color="auto"/>
                            <w:right w:val="none" w:sz="0" w:space="0" w:color="auto"/>
                          </w:divBdr>
                          <w:divsChild>
                            <w:div w:id="88890870">
                              <w:marLeft w:val="0"/>
                              <w:marRight w:val="0"/>
                              <w:marTop w:val="0"/>
                              <w:marBottom w:val="0"/>
                              <w:divBdr>
                                <w:top w:val="none" w:sz="0" w:space="0" w:color="auto"/>
                                <w:left w:val="none" w:sz="0" w:space="0" w:color="auto"/>
                                <w:bottom w:val="none" w:sz="0" w:space="0" w:color="auto"/>
                                <w:right w:val="none" w:sz="0" w:space="0" w:color="auto"/>
                              </w:divBdr>
                              <w:divsChild>
                                <w:div w:id="10395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542844">
      <w:bodyDiv w:val="1"/>
      <w:marLeft w:val="0"/>
      <w:marRight w:val="0"/>
      <w:marTop w:val="0"/>
      <w:marBottom w:val="0"/>
      <w:divBdr>
        <w:top w:val="none" w:sz="0" w:space="0" w:color="auto"/>
        <w:left w:val="none" w:sz="0" w:space="0" w:color="auto"/>
        <w:bottom w:val="none" w:sz="0" w:space="0" w:color="auto"/>
        <w:right w:val="none" w:sz="0" w:space="0" w:color="auto"/>
      </w:divBdr>
    </w:div>
    <w:div w:id="519392493">
      <w:bodyDiv w:val="1"/>
      <w:marLeft w:val="0"/>
      <w:marRight w:val="0"/>
      <w:marTop w:val="0"/>
      <w:marBottom w:val="0"/>
      <w:divBdr>
        <w:top w:val="none" w:sz="0" w:space="0" w:color="auto"/>
        <w:left w:val="none" w:sz="0" w:space="0" w:color="auto"/>
        <w:bottom w:val="none" w:sz="0" w:space="0" w:color="auto"/>
        <w:right w:val="none" w:sz="0" w:space="0" w:color="auto"/>
      </w:divBdr>
    </w:div>
    <w:div w:id="591821105">
      <w:bodyDiv w:val="1"/>
      <w:marLeft w:val="0"/>
      <w:marRight w:val="0"/>
      <w:marTop w:val="0"/>
      <w:marBottom w:val="0"/>
      <w:divBdr>
        <w:top w:val="none" w:sz="0" w:space="0" w:color="auto"/>
        <w:left w:val="none" w:sz="0" w:space="0" w:color="auto"/>
        <w:bottom w:val="none" w:sz="0" w:space="0" w:color="auto"/>
        <w:right w:val="none" w:sz="0" w:space="0" w:color="auto"/>
      </w:divBdr>
    </w:div>
    <w:div w:id="591934010">
      <w:bodyDiv w:val="1"/>
      <w:marLeft w:val="0"/>
      <w:marRight w:val="0"/>
      <w:marTop w:val="0"/>
      <w:marBottom w:val="0"/>
      <w:divBdr>
        <w:top w:val="none" w:sz="0" w:space="0" w:color="auto"/>
        <w:left w:val="none" w:sz="0" w:space="0" w:color="auto"/>
        <w:bottom w:val="none" w:sz="0" w:space="0" w:color="auto"/>
        <w:right w:val="none" w:sz="0" w:space="0" w:color="auto"/>
      </w:divBdr>
    </w:div>
    <w:div w:id="679234119">
      <w:bodyDiv w:val="1"/>
      <w:marLeft w:val="0"/>
      <w:marRight w:val="0"/>
      <w:marTop w:val="0"/>
      <w:marBottom w:val="0"/>
      <w:divBdr>
        <w:top w:val="none" w:sz="0" w:space="0" w:color="auto"/>
        <w:left w:val="none" w:sz="0" w:space="0" w:color="auto"/>
        <w:bottom w:val="none" w:sz="0" w:space="0" w:color="auto"/>
        <w:right w:val="none" w:sz="0" w:space="0" w:color="auto"/>
      </w:divBdr>
    </w:div>
    <w:div w:id="732238262">
      <w:bodyDiv w:val="1"/>
      <w:marLeft w:val="0"/>
      <w:marRight w:val="0"/>
      <w:marTop w:val="0"/>
      <w:marBottom w:val="0"/>
      <w:divBdr>
        <w:top w:val="none" w:sz="0" w:space="0" w:color="auto"/>
        <w:left w:val="none" w:sz="0" w:space="0" w:color="auto"/>
        <w:bottom w:val="none" w:sz="0" w:space="0" w:color="auto"/>
        <w:right w:val="none" w:sz="0" w:space="0" w:color="auto"/>
      </w:divBdr>
    </w:div>
    <w:div w:id="741221476">
      <w:bodyDiv w:val="1"/>
      <w:marLeft w:val="0"/>
      <w:marRight w:val="0"/>
      <w:marTop w:val="0"/>
      <w:marBottom w:val="0"/>
      <w:divBdr>
        <w:top w:val="none" w:sz="0" w:space="0" w:color="auto"/>
        <w:left w:val="none" w:sz="0" w:space="0" w:color="auto"/>
        <w:bottom w:val="none" w:sz="0" w:space="0" w:color="auto"/>
        <w:right w:val="none" w:sz="0" w:space="0" w:color="auto"/>
      </w:divBdr>
      <w:divsChild>
        <w:div w:id="115371660">
          <w:marLeft w:val="0"/>
          <w:marRight w:val="0"/>
          <w:marTop w:val="0"/>
          <w:marBottom w:val="0"/>
          <w:divBdr>
            <w:top w:val="none" w:sz="0" w:space="0" w:color="auto"/>
            <w:left w:val="none" w:sz="0" w:space="0" w:color="auto"/>
            <w:bottom w:val="none" w:sz="0" w:space="0" w:color="auto"/>
            <w:right w:val="none" w:sz="0" w:space="0" w:color="auto"/>
          </w:divBdr>
        </w:div>
      </w:divsChild>
    </w:div>
    <w:div w:id="787235727">
      <w:bodyDiv w:val="1"/>
      <w:marLeft w:val="0"/>
      <w:marRight w:val="0"/>
      <w:marTop w:val="0"/>
      <w:marBottom w:val="0"/>
      <w:divBdr>
        <w:top w:val="none" w:sz="0" w:space="0" w:color="auto"/>
        <w:left w:val="none" w:sz="0" w:space="0" w:color="auto"/>
        <w:bottom w:val="none" w:sz="0" w:space="0" w:color="auto"/>
        <w:right w:val="none" w:sz="0" w:space="0" w:color="auto"/>
      </w:divBdr>
    </w:div>
    <w:div w:id="806820093">
      <w:bodyDiv w:val="1"/>
      <w:marLeft w:val="0"/>
      <w:marRight w:val="0"/>
      <w:marTop w:val="0"/>
      <w:marBottom w:val="0"/>
      <w:divBdr>
        <w:top w:val="none" w:sz="0" w:space="0" w:color="auto"/>
        <w:left w:val="none" w:sz="0" w:space="0" w:color="auto"/>
        <w:bottom w:val="none" w:sz="0" w:space="0" w:color="auto"/>
        <w:right w:val="none" w:sz="0" w:space="0" w:color="auto"/>
      </w:divBdr>
    </w:div>
    <w:div w:id="839613402">
      <w:bodyDiv w:val="1"/>
      <w:marLeft w:val="0"/>
      <w:marRight w:val="0"/>
      <w:marTop w:val="0"/>
      <w:marBottom w:val="0"/>
      <w:divBdr>
        <w:top w:val="none" w:sz="0" w:space="0" w:color="auto"/>
        <w:left w:val="none" w:sz="0" w:space="0" w:color="auto"/>
        <w:bottom w:val="none" w:sz="0" w:space="0" w:color="auto"/>
        <w:right w:val="none" w:sz="0" w:space="0" w:color="auto"/>
      </w:divBdr>
    </w:div>
    <w:div w:id="874274240">
      <w:bodyDiv w:val="1"/>
      <w:marLeft w:val="0"/>
      <w:marRight w:val="0"/>
      <w:marTop w:val="0"/>
      <w:marBottom w:val="0"/>
      <w:divBdr>
        <w:top w:val="none" w:sz="0" w:space="0" w:color="auto"/>
        <w:left w:val="none" w:sz="0" w:space="0" w:color="auto"/>
        <w:bottom w:val="none" w:sz="0" w:space="0" w:color="auto"/>
        <w:right w:val="none" w:sz="0" w:space="0" w:color="auto"/>
      </w:divBdr>
    </w:div>
    <w:div w:id="885139808">
      <w:bodyDiv w:val="1"/>
      <w:marLeft w:val="0"/>
      <w:marRight w:val="0"/>
      <w:marTop w:val="0"/>
      <w:marBottom w:val="0"/>
      <w:divBdr>
        <w:top w:val="none" w:sz="0" w:space="0" w:color="auto"/>
        <w:left w:val="none" w:sz="0" w:space="0" w:color="auto"/>
        <w:bottom w:val="none" w:sz="0" w:space="0" w:color="auto"/>
        <w:right w:val="none" w:sz="0" w:space="0" w:color="auto"/>
      </w:divBdr>
    </w:div>
    <w:div w:id="902787832">
      <w:bodyDiv w:val="1"/>
      <w:marLeft w:val="0"/>
      <w:marRight w:val="0"/>
      <w:marTop w:val="0"/>
      <w:marBottom w:val="0"/>
      <w:divBdr>
        <w:top w:val="none" w:sz="0" w:space="0" w:color="auto"/>
        <w:left w:val="none" w:sz="0" w:space="0" w:color="auto"/>
        <w:bottom w:val="none" w:sz="0" w:space="0" w:color="auto"/>
        <w:right w:val="none" w:sz="0" w:space="0" w:color="auto"/>
      </w:divBdr>
    </w:div>
    <w:div w:id="951136101">
      <w:bodyDiv w:val="1"/>
      <w:marLeft w:val="0"/>
      <w:marRight w:val="0"/>
      <w:marTop w:val="0"/>
      <w:marBottom w:val="0"/>
      <w:divBdr>
        <w:top w:val="none" w:sz="0" w:space="0" w:color="auto"/>
        <w:left w:val="none" w:sz="0" w:space="0" w:color="auto"/>
        <w:bottom w:val="none" w:sz="0" w:space="0" w:color="auto"/>
        <w:right w:val="none" w:sz="0" w:space="0" w:color="auto"/>
      </w:divBdr>
    </w:div>
    <w:div w:id="988443086">
      <w:bodyDiv w:val="1"/>
      <w:marLeft w:val="0"/>
      <w:marRight w:val="0"/>
      <w:marTop w:val="0"/>
      <w:marBottom w:val="0"/>
      <w:divBdr>
        <w:top w:val="none" w:sz="0" w:space="0" w:color="auto"/>
        <w:left w:val="none" w:sz="0" w:space="0" w:color="auto"/>
        <w:bottom w:val="none" w:sz="0" w:space="0" w:color="auto"/>
        <w:right w:val="none" w:sz="0" w:space="0" w:color="auto"/>
      </w:divBdr>
    </w:div>
    <w:div w:id="1010453381">
      <w:bodyDiv w:val="1"/>
      <w:marLeft w:val="0"/>
      <w:marRight w:val="0"/>
      <w:marTop w:val="0"/>
      <w:marBottom w:val="0"/>
      <w:divBdr>
        <w:top w:val="none" w:sz="0" w:space="0" w:color="auto"/>
        <w:left w:val="none" w:sz="0" w:space="0" w:color="auto"/>
        <w:bottom w:val="none" w:sz="0" w:space="0" w:color="auto"/>
        <w:right w:val="none" w:sz="0" w:space="0" w:color="auto"/>
      </w:divBdr>
    </w:div>
    <w:div w:id="1028989772">
      <w:bodyDiv w:val="1"/>
      <w:marLeft w:val="0"/>
      <w:marRight w:val="0"/>
      <w:marTop w:val="0"/>
      <w:marBottom w:val="0"/>
      <w:divBdr>
        <w:top w:val="none" w:sz="0" w:space="0" w:color="auto"/>
        <w:left w:val="none" w:sz="0" w:space="0" w:color="auto"/>
        <w:bottom w:val="none" w:sz="0" w:space="0" w:color="auto"/>
        <w:right w:val="none" w:sz="0" w:space="0" w:color="auto"/>
      </w:divBdr>
    </w:div>
    <w:div w:id="1050419288">
      <w:bodyDiv w:val="1"/>
      <w:marLeft w:val="0"/>
      <w:marRight w:val="0"/>
      <w:marTop w:val="0"/>
      <w:marBottom w:val="0"/>
      <w:divBdr>
        <w:top w:val="none" w:sz="0" w:space="0" w:color="auto"/>
        <w:left w:val="none" w:sz="0" w:space="0" w:color="auto"/>
        <w:bottom w:val="none" w:sz="0" w:space="0" w:color="auto"/>
        <w:right w:val="none" w:sz="0" w:space="0" w:color="auto"/>
      </w:divBdr>
    </w:div>
    <w:div w:id="1056314391">
      <w:bodyDiv w:val="1"/>
      <w:marLeft w:val="0"/>
      <w:marRight w:val="0"/>
      <w:marTop w:val="0"/>
      <w:marBottom w:val="0"/>
      <w:divBdr>
        <w:top w:val="none" w:sz="0" w:space="0" w:color="auto"/>
        <w:left w:val="none" w:sz="0" w:space="0" w:color="auto"/>
        <w:bottom w:val="none" w:sz="0" w:space="0" w:color="auto"/>
        <w:right w:val="none" w:sz="0" w:space="0" w:color="auto"/>
      </w:divBdr>
      <w:divsChild>
        <w:div w:id="405424528">
          <w:marLeft w:val="0"/>
          <w:marRight w:val="0"/>
          <w:marTop w:val="0"/>
          <w:marBottom w:val="0"/>
          <w:divBdr>
            <w:top w:val="none" w:sz="0" w:space="0" w:color="auto"/>
            <w:left w:val="none" w:sz="0" w:space="0" w:color="auto"/>
            <w:bottom w:val="none" w:sz="0" w:space="0" w:color="auto"/>
            <w:right w:val="none" w:sz="0" w:space="0" w:color="auto"/>
          </w:divBdr>
          <w:divsChild>
            <w:div w:id="785391479">
              <w:marLeft w:val="0"/>
              <w:marRight w:val="0"/>
              <w:marTop w:val="0"/>
              <w:marBottom w:val="0"/>
              <w:divBdr>
                <w:top w:val="none" w:sz="0" w:space="0" w:color="auto"/>
                <w:left w:val="none" w:sz="0" w:space="0" w:color="auto"/>
                <w:bottom w:val="none" w:sz="0" w:space="0" w:color="auto"/>
                <w:right w:val="none" w:sz="0" w:space="0" w:color="auto"/>
              </w:divBdr>
              <w:divsChild>
                <w:div w:id="1950238382">
                  <w:marLeft w:val="0"/>
                  <w:marRight w:val="0"/>
                  <w:marTop w:val="0"/>
                  <w:marBottom w:val="0"/>
                  <w:divBdr>
                    <w:top w:val="none" w:sz="0" w:space="0" w:color="auto"/>
                    <w:left w:val="none" w:sz="0" w:space="0" w:color="auto"/>
                    <w:bottom w:val="none" w:sz="0" w:space="0" w:color="auto"/>
                    <w:right w:val="none" w:sz="0" w:space="0" w:color="auto"/>
                  </w:divBdr>
                  <w:divsChild>
                    <w:div w:id="2038310551">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0"/>
                          <w:marRight w:val="0"/>
                          <w:marTop w:val="0"/>
                          <w:marBottom w:val="0"/>
                          <w:divBdr>
                            <w:top w:val="none" w:sz="0" w:space="0" w:color="auto"/>
                            <w:left w:val="none" w:sz="0" w:space="0" w:color="auto"/>
                            <w:bottom w:val="none" w:sz="0" w:space="0" w:color="auto"/>
                            <w:right w:val="none" w:sz="0" w:space="0" w:color="auto"/>
                          </w:divBdr>
                          <w:divsChild>
                            <w:div w:id="892039545">
                              <w:marLeft w:val="0"/>
                              <w:marRight w:val="0"/>
                              <w:marTop w:val="0"/>
                              <w:marBottom w:val="0"/>
                              <w:divBdr>
                                <w:top w:val="none" w:sz="0" w:space="0" w:color="auto"/>
                                <w:left w:val="none" w:sz="0" w:space="0" w:color="auto"/>
                                <w:bottom w:val="none" w:sz="0" w:space="0" w:color="auto"/>
                                <w:right w:val="none" w:sz="0" w:space="0" w:color="auto"/>
                              </w:divBdr>
                              <w:divsChild>
                                <w:div w:id="21077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73">
      <w:bodyDiv w:val="1"/>
      <w:marLeft w:val="0"/>
      <w:marRight w:val="0"/>
      <w:marTop w:val="0"/>
      <w:marBottom w:val="0"/>
      <w:divBdr>
        <w:top w:val="none" w:sz="0" w:space="0" w:color="auto"/>
        <w:left w:val="none" w:sz="0" w:space="0" w:color="auto"/>
        <w:bottom w:val="none" w:sz="0" w:space="0" w:color="auto"/>
        <w:right w:val="none" w:sz="0" w:space="0" w:color="auto"/>
      </w:divBdr>
    </w:div>
    <w:div w:id="1102142307">
      <w:bodyDiv w:val="1"/>
      <w:marLeft w:val="0"/>
      <w:marRight w:val="0"/>
      <w:marTop w:val="0"/>
      <w:marBottom w:val="0"/>
      <w:divBdr>
        <w:top w:val="none" w:sz="0" w:space="0" w:color="auto"/>
        <w:left w:val="none" w:sz="0" w:space="0" w:color="auto"/>
        <w:bottom w:val="none" w:sz="0" w:space="0" w:color="auto"/>
        <w:right w:val="none" w:sz="0" w:space="0" w:color="auto"/>
      </w:divBdr>
    </w:div>
    <w:div w:id="1109617519">
      <w:bodyDiv w:val="1"/>
      <w:marLeft w:val="0"/>
      <w:marRight w:val="0"/>
      <w:marTop w:val="0"/>
      <w:marBottom w:val="0"/>
      <w:divBdr>
        <w:top w:val="none" w:sz="0" w:space="0" w:color="auto"/>
        <w:left w:val="none" w:sz="0" w:space="0" w:color="auto"/>
        <w:bottom w:val="none" w:sz="0" w:space="0" w:color="auto"/>
        <w:right w:val="none" w:sz="0" w:space="0" w:color="auto"/>
      </w:divBdr>
    </w:div>
    <w:div w:id="1121147549">
      <w:bodyDiv w:val="1"/>
      <w:marLeft w:val="0"/>
      <w:marRight w:val="0"/>
      <w:marTop w:val="0"/>
      <w:marBottom w:val="0"/>
      <w:divBdr>
        <w:top w:val="none" w:sz="0" w:space="0" w:color="auto"/>
        <w:left w:val="none" w:sz="0" w:space="0" w:color="auto"/>
        <w:bottom w:val="none" w:sz="0" w:space="0" w:color="auto"/>
        <w:right w:val="none" w:sz="0" w:space="0" w:color="auto"/>
      </w:divBdr>
    </w:div>
    <w:div w:id="1204636347">
      <w:bodyDiv w:val="1"/>
      <w:marLeft w:val="0"/>
      <w:marRight w:val="0"/>
      <w:marTop w:val="0"/>
      <w:marBottom w:val="0"/>
      <w:divBdr>
        <w:top w:val="none" w:sz="0" w:space="0" w:color="auto"/>
        <w:left w:val="none" w:sz="0" w:space="0" w:color="auto"/>
        <w:bottom w:val="none" w:sz="0" w:space="0" w:color="auto"/>
        <w:right w:val="none" w:sz="0" w:space="0" w:color="auto"/>
      </w:divBdr>
    </w:div>
    <w:div w:id="1216819305">
      <w:bodyDiv w:val="1"/>
      <w:marLeft w:val="0"/>
      <w:marRight w:val="0"/>
      <w:marTop w:val="0"/>
      <w:marBottom w:val="0"/>
      <w:divBdr>
        <w:top w:val="none" w:sz="0" w:space="0" w:color="auto"/>
        <w:left w:val="none" w:sz="0" w:space="0" w:color="auto"/>
        <w:bottom w:val="none" w:sz="0" w:space="0" w:color="auto"/>
        <w:right w:val="none" w:sz="0" w:space="0" w:color="auto"/>
      </w:divBdr>
    </w:div>
    <w:div w:id="1219588574">
      <w:bodyDiv w:val="1"/>
      <w:marLeft w:val="0"/>
      <w:marRight w:val="0"/>
      <w:marTop w:val="0"/>
      <w:marBottom w:val="0"/>
      <w:divBdr>
        <w:top w:val="none" w:sz="0" w:space="0" w:color="auto"/>
        <w:left w:val="none" w:sz="0" w:space="0" w:color="auto"/>
        <w:bottom w:val="none" w:sz="0" w:space="0" w:color="auto"/>
        <w:right w:val="none" w:sz="0" w:space="0" w:color="auto"/>
      </w:divBdr>
    </w:div>
    <w:div w:id="1255437016">
      <w:bodyDiv w:val="1"/>
      <w:marLeft w:val="0"/>
      <w:marRight w:val="0"/>
      <w:marTop w:val="0"/>
      <w:marBottom w:val="0"/>
      <w:divBdr>
        <w:top w:val="none" w:sz="0" w:space="0" w:color="auto"/>
        <w:left w:val="none" w:sz="0" w:space="0" w:color="auto"/>
        <w:bottom w:val="none" w:sz="0" w:space="0" w:color="auto"/>
        <w:right w:val="none" w:sz="0" w:space="0" w:color="auto"/>
      </w:divBdr>
    </w:div>
    <w:div w:id="1258636510">
      <w:bodyDiv w:val="1"/>
      <w:marLeft w:val="0"/>
      <w:marRight w:val="0"/>
      <w:marTop w:val="0"/>
      <w:marBottom w:val="0"/>
      <w:divBdr>
        <w:top w:val="none" w:sz="0" w:space="0" w:color="auto"/>
        <w:left w:val="none" w:sz="0" w:space="0" w:color="auto"/>
        <w:bottom w:val="none" w:sz="0" w:space="0" w:color="auto"/>
        <w:right w:val="none" w:sz="0" w:space="0" w:color="auto"/>
      </w:divBdr>
    </w:div>
    <w:div w:id="1287851518">
      <w:bodyDiv w:val="1"/>
      <w:marLeft w:val="0"/>
      <w:marRight w:val="0"/>
      <w:marTop w:val="0"/>
      <w:marBottom w:val="0"/>
      <w:divBdr>
        <w:top w:val="none" w:sz="0" w:space="0" w:color="auto"/>
        <w:left w:val="none" w:sz="0" w:space="0" w:color="auto"/>
        <w:bottom w:val="none" w:sz="0" w:space="0" w:color="auto"/>
        <w:right w:val="none" w:sz="0" w:space="0" w:color="auto"/>
      </w:divBdr>
    </w:div>
    <w:div w:id="1346438917">
      <w:bodyDiv w:val="1"/>
      <w:marLeft w:val="0"/>
      <w:marRight w:val="0"/>
      <w:marTop w:val="0"/>
      <w:marBottom w:val="0"/>
      <w:divBdr>
        <w:top w:val="none" w:sz="0" w:space="0" w:color="auto"/>
        <w:left w:val="none" w:sz="0" w:space="0" w:color="auto"/>
        <w:bottom w:val="none" w:sz="0" w:space="0" w:color="auto"/>
        <w:right w:val="none" w:sz="0" w:space="0" w:color="auto"/>
      </w:divBdr>
    </w:div>
    <w:div w:id="1376466934">
      <w:bodyDiv w:val="1"/>
      <w:marLeft w:val="0"/>
      <w:marRight w:val="0"/>
      <w:marTop w:val="0"/>
      <w:marBottom w:val="0"/>
      <w:divBdr>
        <w:top w:val="none" w:sz="0" w:space="0" w:color="auto"/>
        <w:left w:val="none" w:sz="0" w:space="0" w:color="auto"/>
        <w:bottom w:val="none" w:sz="0" w:space="0" w:color="auto"/>
        <w:right w:val="none" w:sz="0" w:space="0" w:color="auto"/>
      </w:divBdr>
    </w:div>
    <w:div w:id="1386754880">
      <w:bodyDiv w:val="1"/>
      <w:marLeft w:val="0"/>
      <w:marRight w:val="0"/>
      <w:marTop w:val="0"/>
      <w:marBottom w:val="0"/>
      <w:divBdr>
        <w:top w:val="none" w:sz="0" w:space="0" w:color="auto"/>
        <w:left w:val="none" w:sz="0" w:space="0" w:color="auto"/>
        <w:bottom w:val="none" w:sz="0" w:space="0" w:color="auto"/>
        <w:right w:val="none" w:sz="0" w:space="0" w:color="auto"/>
      </w:divBdr>
    </w:div>
    <w:div w:id="1396009204">
      <w:bodyDiv w:val="1"/>
      <w:marLeft w:val="0"/>
      <w:marRight w:val="0"/>
      <w:marTop w:val="0"/>
      <w:marBottom w:val="0"/>
      <w:divBdr>
        <w:top w:val="none" w:sz="0" w:space="0" w:color="auto"/>
        <w:left w:val="none" w:sz="0" w:space="0" w:color="auto"/>
        <w:bottom w:val="none" w:sz="0" w:space="0" w:color="auto"/>
        <w:right w:val="none" w:sz="0" w:space="0" w:color="auto"/>
      </w:divBdr>
    </w:div>
    <w:div w:id="14095733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030">
          <w:marLeft w:val="0"/>
          <w:marRight w:val="0"/>
          <w:marTop w:val="0"/>
          <w:marBottom w:val="0"/>
          <w:divBdr>
            <w:top w:val="none" w:sz="0" w:space="0" w:color="auto"/>
            <w:left w:val="none" w:sz="0" w:space="0" w:color="auto"/>
            <w:bottom w:val="none" w:sz="0" w:space="0" w:color="auto"/>
            <w:right w:val="none" w:sz="0" w:space="0" w:color="auto"/>
          </w:divBdr>
        </w:div>
      </w:divsChild>
    </w:div>
    <w:div w:id="1417633887">
      <w:bodyDiv w:val="1"/>
      <w:marLeft w:val="0"/>
      <w:marRight w:val="0"/>
      <w:marTop w:val="0"/>
      <w:marBottom w:val="0"/>
      <w:divBdr>
        <w:top w:val="none" w:sz="0" w:space="0" w:color="auto"/>
        <w:left w:val="none" w:sz="0" w:space="0" w:color="auto"/>
        <w:bottom w:val="none" w:sz="0" w:space="0" w:color="auto"/>
        <w:right w:val="none" w:sz="0" w:space="0" w:color="auto"/>
      </w:divBdr>
    </w:div>
    <w:div w:id="1434129276">
      <w:bodyDiv w:val="1"/>
      <w:marLeft w:val="0"/>
      <w:marRight w:val="0"/>
      <w:marTop w:val="0"/>
      <w:marBottom w:val="0"/>
      <w:divBdr>
        <w:top w:val="none" w:sz="0" w:space="0" w:color="auto"/>
        <w:left w:val="none" w:sz="0" w:space="0" w:color="auto"/>
        <w:bottom w:val="none" w:sz="0" w:space="0" w:color="auto"/>
        <w:right w:val="none" w:sz="0" w:space="0" w:color="auto"/>
      </w:divBdr>
    </w:div>
    <w:div w:id="1459882590">
      <w:bodyDiv w:val="1"/>
      <w:marLeft w:val="0"/>
      <w:marRight w:val="0"/>
      <w:marTop w:val="0"/>
      <w:marBottom w:val="0"/>
      <w:divBdr>
        <w:top w:val="none" w:sz="0" w:space="0" w:color="auto"/>
        <w:left w:val="none" w:sz="0" w:space="0" w:color="auto"/>
        <w:bottom w:val="none" w:sz="0" w:space="0" w:color="auto"/>
        <w:right w:val="none" w:sz="0" w:space="0" w:color="auto"/>
      </w:divBdr>
    </w:div>
    <w:div w:id="1467967010">
      <w:bodyDiv w:val="1"/>
      <w:marLeft w:val="0"/>
      <w:marRight w:val="0"/>
      <w:marTop w:val="0"/>
      <w:marBottom w:val="0"/>
      <w:divBdr>
        <w:top w:val="none" w:sz="0" w:space="0" w:color="auto"/>
        <w:left w:val="none" w:sz="0" w:space="0" w:color="auto"/>
        <w:bottom w:val="none" w:sz="0" w:space="0" w:color="auto"/>
        <w:right w:val="none" w:sz="0" w:space="0" w:color="auto"/>
      </w:divBdr>
    </w:div>
    <w:div w:id="1471246727">
      <w:bodyDiv w:val="1"/>
      <w:marLeft w:val="0"/>
      <w:marRight w:val="0"/>
      <w:marTop w:val="0"/>
      <w:marBottom w:val="0"/>
      <w:divBdr>
        <w:top w:val="none" w:sz="0" w:space="0" w:color="auto"/>
        <w:left w:val="none" w:sz="0" w:space="0" w:color="auto"/>
        <w:bottom w:val="none" w:sz="0" w:space="0" w:color="auto"/>
        <w:right w:val="none" w:sz="0" w:space="0" w:color="auto"/>
      </w:divBdr>
    </w:div>
    <w:div w:id="1495534328">
      <w:bodyDiv w:val="1"/>
      <w:marLeft w:val="0"/>
      <w:marRight w:val="0"/>
      <w:marTop w:val="0"/>
      <w:marBottom w:val="0"/>
      <w:divBdr>
        <w:top w:val="none" w:sz="0" w:space="0" w:color="auto"/>
        <w:left w:val="none" w:sz="0" w:space="0" w:color="auto"/>
        <w:bottom w:val="none" w:sz="0" w:space="0" w:color="auto"/>
        <w:right w:val="none" w:sz="0" w:space="0" w:color="auto"/>
      </w:divBdr>
    </w:div>
    <w:div w:id="1498500207">
      <w:bodyDiv w:val="1"/>
      <w:marLeft w:val="0"/>
      <w:marRight w:val="0"/>
      <w:marTop w:val="0"/>
      <w:marBottom w:val="0"/>
      <w:divBdr>
        <w:top w:val="none" w:sz="0" w:space="0" w:color="auto"/>
        <w:left w:val="none" w:sz="0" w:space="0" w:color="auto"/>
        <w:bottom w:val="none" w:sz="0" w:space="0" w:color="auto"/>
        <w:right w:val="none" w:sz="0" w:space="0" w:color="auto"/>
      </w:divBdr>
    </w:div>
    <w:div w:id="1529760785">
      <w:bodyDiv w:val="1"/>
      <w:marLeft w:val="0"/>
      <w:marRight w:val="0"/>
      <w:marTop w:val="0"/>
      <w:marBottom w:val="0"/>
      <w:divBdr>
        <w:top w:val="none" w:sz="0" w:space="0" w:color="auto"/>
        <w:left w:val="none" w:sz="0" w:space="0" w:color="auto"/>
        <w:bottom w:val="none" w:sz="0" w:space="0" w:color="auto"/>
        <w:right w:val="none" w:sz="0" w:space="0" w:color="auto"/>
      </w:divBdr>
    </w:div>
    <w:div w:id="1541360132">
      <w:bodyDiv w:val="1"/>
      <w:marLeft w:val="0"/>
      <w:marRight w:val="0"/>
      <w:marTop w:val="0"/>
      <w:marBottom w:val="0"/>
      <w:divBdr>
        <w:top w:val="none" w:sz="0" w:space="0" w:color="auto"/>
        <w:left w:val="none" w:sz="0" w:space="0" w:color="auto"/>
        <w:bottom w:val="none" w:sz="0" w:space="0" w:color="auto"/>
        <w:right w:val="none" w:sz="0" w:space="0" w:color="auto"/>
      </w:divBdr>
    </w:div>
    <w:div w:id="1578398408">
      <w:bodyDiv w:val="1"/>
      <w:marLeft w:val="0"/>
      <w:marRight w:val="0"/>
      <w:marTop w:val="0"/>
      <w:marBottom w:val="0"/>
      <w:divBdr>
        <w:top w:val="none" w:sz="0" w:space="0" w:color="auto"/>
        <w:left w:val="none" w:sz="0" w:space="0" w:color="auto"/>
        <w:bottom w:val="none" w:sz="0" w:space="0" w:color="auto"/>
        <w:right w:val="none" w:sz="0" w:space="0" w:color="auto"/>
      </w:divBdr>
    </w:div>
    <w:div w:id="1588422969">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707026752">
      <w:bodyDiv w:val="1"/>
      <w:marLeft w:val="0"/>
      <w:marRight w:val="0"/>
      <w:marTop w:val="0"/>
      <w:marBottom w:val="0"/>
      <w:divBdr>
        <w:top w:val="none" w:sz="0" w:space="0" w:color="auto"/>
        <w:left w:val="none" w:sz="0" w:space="0" w:color="auto"/>
        <w:bottom w:val="none" w:sz="0" w:space="0" w:color="auto"/>
        <w:right w:val="none" w:sz="0" w:space="0" w:color="auto"/>
      </w:divBdr>
    </w:div>
    <w:div w:id="1762794150">
      <w:bodyDiv w:val="1"/>
      <w:marLeft w:val="0"/>
      <w:marRight w:val="0"/>
      <w:marTop w:val="0"/>
      <w:marBottom w:val="0"/>
      <w:divBdr>
        <w:top w:val="none" w:sz="0" w:space="0" w:color="auto"/>
        <w:left w:val="none" w:sz="0" w:space="0" w:color="auto"/>
        <w:bottom w:val="none" w:sz="0" w:space="0" w:color="auto"/>
        <w:right w:val="none" w:sz="0" w:space="0" w:color="auto"/>
      </w:divBdr>
    </w:div>
    <w:div w:id="1881087297">
      <w:bodyDiv w:val="1"/>
      <w:marLeft w:val="0"/>
      <w:marRight w:val="0"/>
      <w:marTop w:val="0"/>
      <w:marBottom w:val="0"/>
      <w:divBdr>
        <w:top w:val="none" w:sz="0" w:space="0" w:color="auto"/>
        <w:left w:val="none" w:sz="0" w:space="0" w:color="auto"/>
        <w:bottom w:val="none" w:sz="0" w:space="0" w:color="auto"/>
        <w:right w:val="none" w:sz="0" w:space="0" w:color="auto"/>
      </w:divBdr>
    </w:div>
    <w:div w:id="1933318671">
      <w:bodyDiv w:val="1"/>
      <w:marLeft w:val="0"/>
      <w:marRight w:val="0"/>
      <w:marTop w:val="0"/>
      <w:marBottom w:val="0"/>
      <w:divBdr>
        <w:top w:val="none" w:sz="0" w:space="0" w:color="auto"/>
        <w:left w:val="none" w:sz="0" w:space="0" w:color="auto"/>
        <w:bottom w:val="none" w:sz="0" w:space="0" w:color="auto"/>
        <w:right w:val="none" w:sz="0" w:space="0" w:color="auto"/>
      </w:divBdr>
    </w:div>
    <w:div w:id="1969436848">
      <w:bodyDiv w:val="1"/>
      <w:marLeft w:val="0"/>
      <w:marRight w:val="0"/>
      <w:marTop w:val="0"/>
      <w:marBottom w:val="0"/>
      <w:divBdr>
        <w:top w:val="none" w:sz="0" w:space="0" w:color="auto"/>
        <w:left w:val="none" w:sz="0" w:space="0" w:color="auto"/>
        <w:bottom w:val="none" w:sz="0" w:space="0" w:color="auto"/>
        <w:right w:val="none" w:sz="0" w:space="0" w:color="auto"/>
      </w:divBdr>
    </w:div>
    <w:div w:id="2023051390">
      <w:bodyDiv w:val="1"/>
      <w:marLeft w:val="0"/>
      <w:marRight w:val="0"/>
      <w:marTop w:val="0"/>
      <w:marBottom w:val="0"/>
      <w:divBdr>
        <w:top w:val="none" w:sz="0" w:space="0" w:color="auto"/>
        <w:left w:val="none" w:sz="0" w:space="0" w:color="auto"/>
        <w:bottom w:val="none" w:sz="0" w:space="0" w:color="auto"/>
        <w:right w:val="none" w:sz="0" w:space="0" w:color="auto"/>
      </w:divBdr>
    </w:div>
    <w:div w:id="2033024749">
      <w:bodyDiv w:val="1"/>
      <w:marLeft w:val="0"/>
      <w:marRight w:val="0"/>
      <w:marTop w:val="0"/>
      <w:marBottom w:val="0"/>
      <w:divBdr>
        <w:top w:val="none" w:sz="0" w:space="0" w:color="auto"/>
        <w:left w:val="none" w:sz="0" w:space="0" w:color="auto"/>
        <w:bottom w:val="none" w:sz="0" w:space="0" w:color="auto"/>
        <w:right w:val="none" w:sz="0" w:space="0" w:color="auto"/>
      </w:divBdr>
    </w:div>
    <w:div w:id="2072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i@nationalarchives.gsi.gov.uk" TargetMode="External"/><Relationship Id="rId18" Type="http://schemas.openxmlformats.org/officeDocument/2006/relationships/footer" Target="footer3.xml"/><Relationship Id="rId26" Type="http://schemas.openxmlformats.org/officeDocument/2006/relationships/hyperlink" Target="https://www.gov.uk/government/uploads/system/uploads/attachment_data/file/494385/Provisional_settlement_consultation_document.pdf" TargetMode="External"/><Relationship Id="rId3" Type="http://schemas.openxmlformats.org/officeDocument/2006/relationships/numbering" Target="numbering.xml"/><Relationship Id="rId21" Type="http://schemas.openxmlformats.org/officeDocument/2006/relationships/hyperlink" Target="mailto:LGFsettlement@communities.gsi.gov.uk" TargetMode="Externa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gov.uk/government/consultations/local-government-finance-settlement-2018-to-2019-technical-consultation"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witter.com/CommunitiesUK" TargetMode="External"/><Relationship Id="rId20" Type="http://schemas.openxmlformats.org/officeDocument/2006/relationships/hyperlink" Target="https://www.surveymonkey.co.uk/r/provisionalsettlement18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ov.uk/government/consultations/fair-funding-review-a-review-of-relative-needs-and-resources" TargetMode="External"/><Relationship Id="rId5" Type="http://schemas.microsoft.com/office/2007/relationships/stylesWithEffects" Target="stylesWithEffects.xml"/><Relationship Id="rId15" Type="http://schemas.openxmlformats.org/officeDocument/2006/relationships/hyperlink" Target="http://forms.communities.gov.uk/" TargetMode="External"/><Relationship Id="rId23" Type="http://schemas.openxmlformats.org/officeDocument/2006/relationships/hyperlink" Target="https://www.gov.uk/government/consultations/self-sufficient-local-government-100-business-rates-retention" TargetMode="External"/><Relationship Id="rId28" Type="http://schemas.openxmlformats.org/officeDocument/2006/relationships/hyperlink" Target="https://www.gov.uk/government/publications/new-homes-bonus-calculator-2018-to-2019" TargetMode="External"/><Relationship Id="rId10" Type="http://schemas.openxmlformats.org/officeDocument/2006/relationships/image" Target="media/image1.jpeg"/><Relationship Id="rId19" Type="http://schemas.openxmlformats.org/officeDocument/2006/relationships/hyperlink" Target="mailto:Roger%20Palmer%20@communities.gsi.gov.u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v.uk/dclg" TargetMode="External"/><Relationship Id="rId22" Type="http://schemas.openxmlformats.org/officeDocument/2006/relationships/hyperlink" Target="mailto:consultationcoordinator@communities.gsi.gov.uk" TargetMode="External"/><Relationship Id="rId27" Type="http://schemas.openxmlformats.org/officeDocument/2006/relationships/hyperlink" Target="https://www.gov.uk/government/publications/new-homes-bonus-provisional-allocations-2018-to-2019"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non-domestic-rating-high-level-estimates-of-change-in-rateable-value-of-rating-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17DA-7CE5-4F13-B43D-F364889850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A00895-8E09-4B17-ABAC-F9AC7036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7037</Words>
  <Characters>40851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47793</CharactersWithSpaces>
  <SharedDoc>false</SharedDoc>
  <HLinks>
    <vt:vector size="126" baseType="variant">
      <vt:variant>
        <vt:i4>7995405</vt:i4>
      </vt:variant>
      <vt:variant>
        <vt:i4>93</vt:i4>
      </vt:variant>
      <vt:variant>
        <vt:i4>0</vt:i4>
      </vt:variant>
      <vt:variant>
        <vt:i4>5</vt:i4>
      </vt:variant>
      <vt:variant>
        <vt:lpwstr>mailto:errol.barnett@communities.gsi.gov.uk</vt:lpwstr>
      </vt:variant>
      <vt:variant>
        <vt:lpwstr/>
      </vt:variant>
      <vt:variant>
        <vt:i4>5046282</vt:i4>
      </vt:variant>
      <vt:variant>
        <vt:i4>90</vt:i4>
      </vt:variant>
      <vt:variant>
        <vt:i4>0</vt:i4>
      </vt:variant>
      <vt:variant>
        <vt:i4>5</vt:i4>
      </vt:variant>
      <vt:variant>
        <vt:lpwstr>https://www.gov.uk/government/publications/core-spending-power-final-local-government-finance-settlement-2016-to-2017</vt:lpwstr>
      </vt:variant>
      <vt:variant>
        <vt:lpwstr/>
      </vt:variant>
      <vt:variant>
        <vt:i4>1835050</vt:i4>
      </vt:variant>
      <vt:variant>
        <vt:i4>87</vt:i4>
      </vt:variant>
      <vt:variant>
        <vt:i4>0</vt:i4>
      </vt:variant>
      <vt:variant>
        <vt:i4>5</vt:i4>
      </vt:variant>
      <vt:variant>
        <vt:lpwstr>mailto:MultiYearSettlements@communities.gsi.gov.uk</vt:lpwstr>
      </vt:variant>
      <vt:variant>
        <vt:lpwstr/>
      </vt:variant>
      <vt:variant>
        <vt:i4>1507369</vt:i4>
      </vt:variant>
      <vt:variant>
        <vt:i4>84</vt:i4>
      </vt:variant>
      <vt:variant>
        <vt:i4>0</vt:i4>
      </vt:variant>
      <vt:variant>
        <vt:i4>5</vt:i4>
      </vt:variant>
      <vt:variant>
        <vt:lpwstr>mailto:consultationcoordinator@communities.gsi.gov.uk</vt:lpwstr>
      </vt:variant>
      <vt:variant>
        <vt:lpwstr/>
      </vt:variant>
      <vt:variant>
        <vt:i4>1835061</vt:i4>
      </vt:variant>
      <vt:variant>
        <vt:i4>81</vt:i4>
      </vt:variant>
      <vt:variant>
        <vt:i4>0</vt:i4>
      </vt:variant>
      <vt:variant>
        <vt:i4>5</vt:i4>
      </vt:variant>
      <vt:variant>
        <vt:lpwstr>mailto:LGFConsultation@communities.gsi.gov.uk</vt:lpwstr>
      </vt:variant>
      <vt:variant>
        <vt:lpwstr/>
      </vt:variant>
      <vt:variant>
        <vt:i4>1704063</vt:i4>
      </vt:variant>
      <vt:variant>
        <vt:i4>78</vt:i4>
      </vt:variant>
      <vt:variant>
        <vt:i4>0</vt:i4>
      </vt:variant>
      <vt:variant>
        <vt:i4>5</vt:i4>
      </vt:variant>
      <vt:variant>
        <vt:lpwstr>mailto:James.Livingston@communities.gsi.gov.uk</vt:lpwstr>
      </vt:variant>
      <vt:variant>
        <vt:lpwstr/>
      </vt:variant>
      <vt:variant>
        <vt:i4>1179704</vt:i4>
      </vt:variant>
      <vt:variant>
        <vt:i4>71</vt:i4>
      </vt:variant>
      <vt:variant>
        <vt:i4>0</vt:i4>
      </vt:variant>
      <vt:variant>
        <vt:i4>5</vt:i4>
      </vt:variant>
      <vt:variant>
        <vt:lpwstr/>
      </vt:variant>
      <vt:variant>
        <vt:lpwstr>_Toc457221938</vt:lpwstr>
      </vt:variant>
      <vt:variant>
        <vt:i4>1179704</vt:i4>
      </vt:variant>
      <vt:variant>
        <vt:i4>65</vt:i4>
      </vt:variant>
      <vt:variant>
        <vt:i4>0</vt:i4>
      </vt:variant>
      <vt:variant>
        <vt:i4>5</vt:i4>
      </vt:variant>
      <vt:variant>
        <vt:lpwstr/>
      </vt:variant>
      <vt:variant>
        <vt:lpwstr>_Toc457221937</vt:lpwstr>
      </vt:variant>
      <vt:variant>
        <vt:i4>1179704</vt:i4>
      </vt:variant>
      <vt:variant>
        <vt:i4>59</vt:i4>
      </vt:variant>
      <vt:variant>
        <vt:i4>0</vt:i4>
      </vt:variant>
      <vt:variant>
        <vt:i4>5</vt:i4>
      </vt:variant>
      <vt:variant>
        <vt:lpwstr/>
      </vt:variant>
      <vt:variant>
        <vt:lpwstr>_Toc457221936</vt:lpwstr>
      </vt:variant>
      <vt:variant>
        <vt:i4>1179704</vt:i4>
      </vt:variant>
      <vt:variant>
        <vt:i4>53</vt:i4>
      </vt:variant>
      <vt:variant>
        <vt:i4>0</vt:i4>
      </vt:variant>
      <vt:variant>
        <vt:i4>5</vt:i4>
      </vt:variant>
      <vt:variant>
        <vt:lpwstr/>
      </vt:variant>
      <vt:variant>
        <vt:lpwstr>_Toc457221934</vt:lpwstr>
      </vt:variant>
      <vt:variant>
        <vt:i4>1179704</vt:i4>
      </vt:variant>
      <vt:variant>
        <vt:i4>47</vt:i4>
      </vt:variant>
      <vt:variant>
        <vt:i4>0</vt:i4>
      </vt:variant>
      <vt:variant>
        <vt:i4>5</vt:i4>
      </vt:variant>
      <vt:variant>
        <vt:lpwstr/>
      </vt:variant>
      <vt:variant>
        <vt:lpwstr>_Toc457221933</vt:lpwstr>
      </vt:variant>
      <vt:variant>
        <vt:i4>1179704</vt:i4>
      </vt:variant>
      <vt:variant>
        <vt:i4>41</vt:i4>
      </vt:variant>
      <vt:variant>
        <vt:i4>0</vt:i4>
      </vt:variant>
      <vt:variant>
        <vt:i4>5</vt:i4>
      </vt:variant>
      <vt:variant>
        <vt:lpwstr/>
      </vt:variant>
      <vt:variant>
        <vt:lpwstr>_Toc457221932</vt:lpwstr>
      </vt:variant>
      <vt:variant>
        <vt:i4>1179704</vt:i4>
      </vt:variant>
      <vt:variant>
        <vt:i4>35</vt:i4>
      </vt:variant>
      <vt:variant>
        <vt:i4>0</vt:i4>
      </vt:variant>
      <vt:variant>
        <vt:i4>5</vt:i4>
      </vt:variant>
      <vt:variant>
        <vt:lpwstr/>
      </vt:variant>
      <vt:variant>
        <vt:lpwstr>_Toc457221931</vt:lpwstr>
      </vt:variant>
      <vt:variant>
        <vt:i4>1179704</vt:i4>
      </vt:variant>
      <vt:variant>
        <vt:i4>29</vt:i4>
      </vt:variant>
      <vt:variant>
        <vt:i4>0</vt:i4>
      </vt:variant>
      <vt:variant>
        <vt:i4>5</vt:i4>
      </vt:variant>
      <vt:variant>
        <vt:lpwstr/>
      </vt:variant>
      <vt:variant>
        <vt:lpwstr>_Toc457221930</vt:lpwstr>
      </vt:variant>
      <vt:variant>
        <vt:i4>1245240</vt:i4>
      </vt:variant>
      <vt:variant>
        <vt:i4>23</vt:i4>
      </vt:variant>
      <vt:variant>
        <vt:i4>0</vt:i4>
      </vt:variant>
      <vt:variant>
        <vt:i4>5</vt:i4>
      </vt:variant>
      <vt:variant>
        <vt:lpwstr/>
      </vt:variant>
      <vt:variant>
        <vt:lpwstr>_Toc457221929</vt:lpwstr>
      </vt:variant>
      <vt:variant>
        <vt:i4>1245240</vt:i4>
      </vt:variant>
      <vt:variant>
        <vt:i4>17</vt:i4>
      </vt:variant>
      <vt:variant>
        <vt:i4>0</vt:i4>
      </vt:variant>
      <vt:variant>
        <vt:i4>5</vt:i4>
      </vt:variant>
      <vt:variant>
        <vt:lpwstr/>
      </vt:variant>
      <vt:variant>
        <vt:lpwstr>_Toc457221928</vt:lpwstr>
      </vt:variant>
      <vt:variant>
        <vt:i4>1114205</vt:i4>
      </vt:variant>
      <vt:variant>
        <vt:i4>12</vt:i4>
      </vt:variant>
      <vt:variant>
        <vt:i4>0</vt:i4>
      </vt:variant>
      <vt:variant>
        <vt:i4>5</vt:i4>
      </vt:variant>
      <vt:variant>
        <vt:lpwstr>https://twitter.com/CommunitiesUK</vt:lpwstr>
      </vt:variant>
      <vt:variant>
        <vt:lpwstr/>
      </vt:variant>
      <vt:variant>
        <vt:i4>983132</vt:i4>
      </vt:variant>
      <vt:variant>
        <vt:i4>9</vt:i4>
      </vt:variant>
      <vt:variant>
        <vt:i4>0</vt:i4>
      </vt:variant>
      <vt:variant>
        <vt:i4>5</vt:i4>
      </vt:variant>
      <vt:variant>
        <vt:lpwstr>http://forms.communities.gov.uk/</vt:lpwstr>
      </vt:variant>
      <vt:variant>
        <vt:lpwstr/>
      </vt:variant>
      <vt:variant>
        <vt:i4>6553714</vt:i4>
      </vt:variant>
      <vt:variant>
        <vt:i4>6</vt:i4>
      </vt:variant>
      <vt:variant>
        <vt:i4>0</vt:i4>
      </vt:variant>
      <vt:variant>
        <vt:i4>5</vt:i4>
      </vt:variant>
      <vt:variant>
        <vt:lpwstr>http://www.gov.uk/dclg</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Charlie Coleman</cp:lastModifiedBy>
  <cp:revision>4</cp:revision>
  <cp:lastPrinted>2017-12-18T17:18:00Z</cp:lastPrinted>
  <dcterms:created xsi:type="dcterms:W3CDTF">2017-12-19T11:41:00Z</dcterms:created>
  <dcterms:modified xsi:type="dcterms:W3CDTF">2017-12-19T12:18:00Z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0111c6b2-0c74-4e1c-9639-59c413f701ed</vt:lpwstr>
  </property>
  <property fmtid="{D5CDD505-2E9C-101B-9397-08002B2CF9AE}" pid="3" name="bjSaver">
    <vt:lpwstr>XoxPyA69CSuJ9Hk2gPSP8Ish5T9scPHy</vt:lpwstr>
  </property>
  <property fmtid="{D5CDD505-2E9C-101B-9397-08002B2CF9AE}" pid="4" name="bjDocumentSecurityLabel">
    <vt:lpwstr>No Marking</vt:lpwstr>
  </property>
</Properties>
</file>