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44F8" w:rsidRPr="002C174C" w:rsidRDefault="002344F8" w:rsidP="002344F8">
      <w:pPr>
        <w:spacing w:before="240" w:after="240"/>
      </w:pPr>
      <w:bookmarkStart w:id="0" w:name="_GoBack"/>
      <w:bookmarkEnd w:id="0"/>
      <w:r w:rsidRPr="002C174C">
        <w:rPr>
          <w:noProof/>
          <w:lang w:eastAsia="en-GB"/>
        </w:rPr>
        <w:drawing>
          <wp:anchor distT="0" distB="0" distL="114300" distR="114300" simplePos="0" relativeHeight="251660288" behindDoc="0" locked="1" layoutInCell="1" allowOverlap="1" wp14:anchorId="2C250259" wp14:editId="22D7EA79">
            <wp:simplePos x="0" y="0"/>
            <wp:positionH relativeFrom="column">
              <wp:posOffset>5101590</wp:posOffset>
            </wp:positionH>
            <wp:positionV relativeFrom="page">
              <wp:posOffset>637540</wp:posOffset>
            </wp:positionV>
            <wp:extent cx="1447200" cy="1245600"/>
            <wp:effectExtent l="0" t="0" r="635" b="0"/>
            <wp:wrapNone/>
            <wp:docPr id="128" name="Picture 128" descr="UK Aid from the British peop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UK Aid from the British people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7200" cy="1245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344F8" w:rsidRDefault="002344F8" w:rsidP="002344F8">
      <w:pPr>
        <w:spacing w:before="360"/>
        <w:ind w:left="284"/>
        <w:rPr>
          <w:noProof/>
          <w:sz w:val="72"/>
          <w:szCs w:val="72"/>
          <w:lang w:eastAsia="en-GB"/>
        </w:rPr>
      </w:pPr>
    </w:p>
    <w:p w:rsidR="002344F8" w:rsidRPr="002C174C" w:rsidRDefault="002344F8" w:rsidP="002344F8">
      <w:pPr>
        <w:spacing w:before="360" w:after="240"/>
        <w:ind w:left="284"/>
      </w:pPr>
      <w:r w:rsidRPr="005D62F0">
        <w:rPr>
          <w:rFonts w:cs="Arial"/>
          <w:noProof/>
          <w:lang w:eastAsia="en-GB"/>
        </w:rPr>
        <mc:AlternateContent>
          <mc:Choice Requires="wps">
            <w:drawing>
              <wp:anchor distT="91440" distB="91440" distL="114300" distR="114300" simplePos="0" relativeHeight="251661312" behindDoc="0" locked="0" layoutInCell="0" allowOverlap="1" wp14:anchorId="504AEB23" wp14:editId="652B8CFB">
                <wp:simplePos x="0" y="0"/>
                <wp:positionH relativeFrom="page">
                  <wp:posOffset>650240</wp:posOffset>
                </wp:positionH>
                <wp:positionV relativeFrom="margin">
                  <wp:posOffset>7326630</wp:posOffset>
                </wp:positionV>
                <wp:extent cx="3238500" cy="426720"/>
                <wp:effectExtent l="0" t="0" r="0" b="0"/>
                <wp:wrapSquare wrapText="bothSides"/>
                <wp:docPr id="698"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238500" cy="426720"/>
                        </a:xfrm>
                        <a:prstGeom prst="rect">
                          <a:avLst/>
                        </a:prstGeom>
                        <a:noFill/>
                        <a:ln w="19050">
                          <a:noFill/>
                          <a:miter lim="800000"/>
                          <a:headEnd/>
                          <a:tailEnd/>
                        </a:ln>
                        <a:effectLst/>
                      </wps:spPr>
                      <wps:txbx>
                        <w:txbxContent>
                          <w:p w:rsidR="002344F8" w:rsidRPr="005D62F0" w:rsidRDefault="00802CE1" w:rsidP="002344F8">
                            <w:pPr>
                              <w:rPr>
                                <w:sz w:val="32"/>
                                <w:szCs w:val="32"/>
                              </w:rPr>
                            </w:pPr>
                            <w:r>
                              <w:rPr>
                                <w:sz w:val="32"/>
                                <w:szCs w:val="32"/>
                              </w:rPr>
                              <w:t xml:space="preserve">December </w:t>
                            </w:r>
                            <w:r w:rsidR="002344F8">
                              <w:rPr>
                                <w:sz w:val="32"/>
                                <w:szCs w:val="32"/>
                              </w:rPr>
                              <w:t>2017</w:t>
                            </w:r>
                          </w:p>
                        </w:txbxContent>
                      </wps:txbx>
                      <wps:bodyPr rot="0" vert="horz" wrap="square" lIns="0" tIns="0" rIns="0" bIns="0" anchor="ctr" anchorCtr="0">
                        <a:noAutofit/>
                      </wps:bodyPr>
                    </wps:wsp>
                  </a:graphicData>
                </a:graphic>
                <wp14:sizeRelH relativeFrom="margin">
                  <wp14:pctWidth>0</wp14:pctWidth>
                </wp14:sizeRelH>
                <wp14:sizeRelV relativeFrom="page">
                  <wp14:pctHeight>0</wp14:pctHeight>
                </wp14:sizeRelV>
              </wp:anchor>
            </w:drawing>
          </mc:Choice>
          <mc:Fallback>
            <w:pict>
              <v:rect w14:anchorId="504AEB23" id="Rectangle 396" o:spid="_x0000_s1026" style="position:absolute;left:0;text-align:left;margin-left:51.2pt;margin-top:576.9pt;width:255pt;height:33.6pt;flip:x;z-index:251661312;visibility:visible;mso-wrap-style:square;mso-width-percent:0;mso-height-percent:0;mso-wrap-distance-left:9pt;mso-wrap-distance-top:7.2pt;mso-wrap-distance-right:9pt;mso-wrap-distance-bottom:7.2pt;mso-position-horizontal:absolute;mso-position-horizontal-relative:page;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" o:allowincell="f" filled="f" stroked="f" strokeweight="1.5pt">
                <v:textbox inset="0,0,0,0">
                  <w:txbxContent>
                    <w:p w:rsidR="002344F8" w:rsidRPr="005D62F0" w:rsidRDefault="00802CE1" w:rsidP="002344F8">
                      <w:pPr>
                        <w:rPr>
                          <w:sz w:val="32"/>
                          <w:szCs w:val="32"/>
                        </w:rPr>
                      </w:pPr>
                      <w:r>
                        <w:rPr>
                          <w:sz w:val="32"/>
                          <w:szCs w:val="32"/>
                        </w:rPr>
                        <w:t xml:space="preserve">December </w:t>
                      </w:r>
                      <w:r w:rsidR="002344F8">
                        <w:rPr>
                          <w:sz w:val="32"/>
                          <w:szCs w:val="32"/>
                        </w:rPr>
                        <w:t>2017</w:t>
                      </w:r>
                    </w:p>
                  </w:txbxContent>
                </v:textbox>
                <w10:wrap type="square" anchorx="page" anchory="margin"/>
              </v:rect>
            </w:pict>
          </mc:Fallback>
        </mc:AlternateContent>
      </w:r>
      <w:r w:rsidRPr="002C174C">
        <w:rPr>
          <w:noProof/>
          <w:lang w:eastAsia="en-GB"/>
        </w:rPr>
        <w:drawing>
          <wp:anchor distT="0" distB="0" distL="114300" distR="114300" simplePos="0" relativeHeight="251659264" behindDoc="0" locked="1" layoutInCell="1" allowOverlap="1" wp14:anchorId="52CC6F45" wp14:editId="07D58E19">
            <wp:simplePos x="0" y="0"/>
            <wp:positionH relativeFrom="page">
              <wp:posOffset>683895</wp:posOffset>
            </wp:positionH>
            <wp:positionV relativeFrom="page">
              <wp:posOffset>745490</wp:posOffset>
            </wp:positionV>
            <wp:extent cx="1602000" cy="1105200"/>
            <wp:effectExtent l="0" t="0" r="0" b="0"/>
            <wp:wrapNone/>
            <wp:docPr id="4" name="Picture 4" descr="Department for Inernational Develop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Department for Inernational Developmen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02000" cy="1105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72"/>
          <w:szCs w:val="72"/>
          <w:lang w:eastAsia="en-GB"/>
        </w:rPr>
        <w:t xml:space="preserve">Annexes to the Tailored Review of the Independent Commission for Aid Impact (ICAI) </w:t>
      </w:r>
    </w:p>
    <w:p w:rsidR="002344F8" w:rsidRDefault="002344F8">
      <w:r>
        <w:br w:type="page"/>
      </w:r>
    </w:p>
    <w:p w:rsidR="002344F8" w:rsidRDefault="002344F8" w:rsidP="002344F8">
      <w:pPr>
        <w:spacing w:after="120"/>
        <w:rPr>
          <w:color w:val="595959"/>
          <w:sz w:val="52"/>
          <w:szCs w:val="52"/>
        </w:rPr>
      </w:pPr>
      <w:r>
        <w:rPr>
          <w:color w:val="595959"/>
          <w:sz w:val="52"/>
          <w:szCs w:val="52"/>
        </w:rPr>
        <w:lastRenderedPageBreak/>
        <w:t>List of Annexes</w:t>
      </w:r>
    </w:p>
    <w:p w:rsidR="00802CE1" w:rsidRPr="000B6319" w:rsidRDefault="00802CE1" w:rsidP="002344F8">
      <w:pPr>
        <w:spacing w:after="120"/>
        <w:rPr>
          <w:color w:val="595959"/>
          <w:sz w:val="52"/>
          <w:szCs w:val="52"/>
        </w:rPr>
      </w:pPr>
    </w:p>
    <w:p w:rsidR="002344F8" w:rsidRDefault="002344F8" w:rsidP="002344F8">
      <w:pPr>
        <w:pStyle w:val="TOC1"/>
        <w:rPr>
          <w:rFonts w:asciiTheme="minorHAnsi" w:eastAsiaTheme="minorEastAsia" w:hAnsiTheme="minorHAnsi" w:cstheme="minorBidi"/>
          <w:color w:val="auto"/>
          <w:sz w:val="22"/>
          <w:szCs w:val="22"/>
        </w:rPr>
      </w:pPr>
      <w:r w:rsidRPr="000B6319">
        <w:rPr>
          <w:color w:val="595959"/>
          <w:szCs w:val="32"/>
        </w:rPr>
        <w:fldChar w:fldCharType="begin"/>
      </w:r>
      <w:r w:rsidRPr="000B6319">
        <w:rPr>
          <w:color w:val="595959"/>
          <w:szCs w:val="32"/>
        </w:rPr>
        <w:instrText xml:space="preserve"> TOC \o "1-2" </w:instrText>
      </w:r>
      <w:r w:rsidRPr="000B6319">
        <w:rPr>
          <w:color w:val="595959"/>
          <w:szCs w:val="32"/>
        </w:rPr>
        <w:fldChar w:fldCharType="separate"/>
      </w:r>
      <w:r w:rsidR="0018754C" w:rsidRPr="00FE1B95">
        <w:rPr>
          <w:color w:val="C00000"/>
        </w:rPr>
        <w:t>A. Terms of Reference</w:t>
      </w:r>
      <w:r>
        <w:tab/>
      </w:r>
      <w:r>
        <w:fldChar w:fldCharType="begin"/>
      </w:r>
      <w:r>
        <w:instrText xml:space="preserve"> PAGEREF _Toc493150301 \h </w:instrText>
      </w:r>
      <w:r>
        <w:fldChar w:fldCharType="separate"/>
      </w:r>
      <w:r>
        <w:t>1</w:t>
      </w:r>
      <w:r>
        <w:fldChar w:fldCharType="end"/>
      </w:r>
    </w:p>
    <w:p w:rsidR="002344F8" w:rsidRDefault="0018754C" w:rsidP="0018754C">
      <w:pPr>
        <w:pStyle w:val="TOC1"/>
        <w:ind w:left="0" w:firstLine="0"/>
        <w:rPr>
          <w:rFonts w:asciiTheme="minorHAnsi" w:eastAsiaTheme="minorEastAsia" w:hAnsiTheme="minorHAnsi" w:cstheme="minorBidi"/>
          <w:color w:val="auto"/>
          <w:sz w:val="22"/>
          <w:szCs w:val="22"/>
        </w:rPr>
      </w:pPr>
      <w:r>
        <w:t>B</w:t>
      </w:r>
      <w:r w:rsidR="002344F8">
        <w:t xml:space="preserve">. </w:t>
      </w:r>
      <w:r>
        <w:t xml:space="preserve">Challenge Panel and Review Team </w:t>
      </w:r>
      <w:r w:rsidR="002344F8">
        <w:tab/>
      </w:r>
      <w:r w:rsidR="00DD7018">
        <w:t>5</w:t>
      </w:r>
    </w:p>
    <w:p w:rsidR="002344F8" w:rsidRDefault="0018754C" w:rsidP="002344F8">
      <w:pPr>
        <w:pStyle w:val="TOC1"/>
        <w:rPr>
          <w:rFonts w:asciiTheme="minorHAnsi" w:eastAsiaTheme="minorEastAsia" w:hAnsiTheme="minorHAnsi" w:cstheme="minorBidi"/>
          <w:color w:val="auto"/>
          <w:sz w:val="22"/>
          <w:szCs w:val="22"/>
        </w:rPr>
      </w:pPr>
      <w:r>
        <w:rPr>
          <w:color w:val="3F7E44"/>
        </w:rPr>
        <w:t>C</w:t>
      </w:r>
      <w:r w:rsidR="002344F8" w:rsidRPr="00A41A05">
        <w:rPr>
          <w:color w:val="3F7E44"/>
        </w:rPr>
        <w:t xml:space="preserve">. </w:t>
      </w:r>
      <w:r>
        <w:rPr>
          <w:color w:val="3F7E44"/>
        </w:rPr>
        <w:t xml:space="preserve">List of Stakeholders consulted </w:t>
      </w:r>
      <w:r>
        <w:rPr>
          <w:color w:val="3F7E44"/>
        </w:rPr>
        <w:tab/>
      </w:r>
      <w:r w:rsidR="00DD7018">
        <w:t>6</w:t>
      </w:r>
    </w:p>
    <w:p w:rsidR="002344F8" w:rsidRPr="00316EFE" w:rsidRDefault="00300E90" w:rsidP="00316EFE">
      <w:pPr>
        <w:pStyle w:val="TOC1"/>
        <w:rPr>
          <w:color w:val="FF3A21"/>
        </w:rPr>
      </w:pPr>
      <w:r>
        <w:rPr>
          <w:color w:val="FF3A21"/>
        </w:rPr>
        <w:t>D</w:t>
      </w:r>
      <w:r w:rsidR="002344F8" w:rsidRPr="00A41A05">
        <w:rPr>
          <w:color w:val="FF3A21"/>
        </w:rPr>
        <w:t xml:space="preserve">. </w:t>
      </w:r>
      <w:r w:rsidR="0018754C">
        <w:rPr>
          <w:color w:val="FF3A21"/>
        </w:rPr>
        <w:t xml:space="preserve">Triennial Review </w:t>
      </w:r>
      <w:r w:rsidR="00802CE1">
        <w:rPr>
          <w:color w:val="FF3A21"/>
        </w:rPr>
        <w:t>of ICAI</w:t>
      </w:r>
      <w:r w:rsidR="00316EFE">
        <w:rPr>
          <w:color w:val="FF3A21"/>
        </w:rPr>
        <w:t xml:space="preserve"> R</w:t>
      </w:r>
      <w:r w:rsidR="0018754C">
        <w:rPr>
          <w:color w:val="FF3A21"/>
        </w:rPr>
        <w:t>ecommendations</w:t>
      </w:r>
      <w:r w:rsidR="00316EFE">
        <w:rPr>
          <w:color w:val="FF3A21"/>
        </w:rPr>
        <w:t xml:space="preserve"> and Implementation</w:t>
      </w:r>
      <w:r w:rsidR="002344F8">
        <w:tab/>
      </w:r>
      <w:r w:rsidR="00DD7018">
        <w:t>7</w:t>
      </w:r>
    </w:p>
    <w:p w:rsidR="002344F8" w:rsidRDefault="00300E90" w:rsidP="002344F8">
      <w:pPr>
        <w:pStyle w:val="TOC1"/>
        <w:rPr>
          <w:rFonts w:asciiTheme="minorHAnsi" w:eastAsiaTheme="minorEastAsia" w:hAnsiTheme="minorHAnsi" w:cstheme="minorBidi"/>
          <w:color w:val="auto"/>
          <w:sz w:val="22"/>
          <w:szCs w:val="22"/>
        </w:rPr>
      </w:pPr>
      <w:r>
        <w:rPr>
          <w:color w:val="0B7F79"/>
        </w:rPr>
        <w:t>E</w:t>
      </w:r>
      <w:r w:rsidR="002344F8" w:rsidRPr="00A41A05">
        <w:rPr>
          <w:color w:val="0B7F79"/>
        </w:rPr>
        <w:t xml:space="preserve">. </w:t>
      </w:r>
      <w:r w:rsidR="00695CF1">
        <w:rPr>
          <w:color w:val="0B7F79"/>
        </w:rPr>
        <w:t>List of conclusions and recommendations</w:t>
      </w:r>
      <w:r w:rsidR="002344F8">
        <w:tab/>
      </w:r>
      <w:r w:rsidR="00DD7018">
        <w:t>9</w:t>
      </w:r>
    </w:p>
    <w:p w:rsidR="00E73495" w:rsidRDefault="00E73495" w:rsidP="000B4547">
      <w:pPr>
        <w:pStyle w:val="TOC1"/>
        <w:ind w:left="0" w:firstLine="0"/>
        <w:rPr>
          <w:rFonts w:asciiTheme="minorHAnsi" w:eastAsiaTheme="minorEastAsia" w:hAnsiTheme="minorHAnsi" w:cstheme="minorBidi"/>
          <w:color w:val="auto"/>
          <w:sz w:val="22"/>
          <w:szCs w:val="22"/>
        </w:rPr>
        <w:sectPr w:rsidR="00E73495" w:rsidSect="00D3331B">
          <w:footerReference w:type="even" r:id="rId10"/>
          <w:footerReference w:type="default" r:id="rId11"/>
          <w:footerReference w:type="first" r:id="rId12"/>
          <w:pgSz w:w="11906" w:h="16838" w:code="9"/>
          <w:pgMar w:top="1259" w:right="680" w:bottom="1021" w:left="680" w:header="567" w:footer="567" w:gutter="0"/>
          <w:pgNumType w:start="1"/>
          <w:cols w:space="720"/>
          <w:docGrid w:linePitch="360"/>
        </w:sectPr>
      </w:pPr>
    </w:p>
    <w:p w:rsidR="00F50C2C" w:rsidRPr="00422FCD" w:rsidRDefault="002344F8" w:rsidP="00802CE1">
      <w:pPr>
        <w:pStyle w:val="TOC1"/>
        <w:rPr>
          <w:b/>
          <w:color w:val="C00000"/>
        </w:rPr>
      </w:pPr>
      <w:r w:rsidRPr="000B6319">
        <w:rPr>
          <w:color w:val="595959"/>
          <w:szCs w:val="32"/>
        </w:rPr>
        <w:lastRenderedPageBreak/>
        <w:fldChar w:fldCharType="end"/>
      </w:r>
      <w:r w:rsidR="00F50C2C" w:rsidRPr="00422FCD">
        <w:rPr>
          <w:b/>
          <w:color w:val="C00000"/>
        </w:rPr>
        <w:t>Annex A – Terms of Reference</w:t>
      </w:r>
    </w:p>
    <w:p w:rsidR="00F50C2C" w:rsidRPr="00531910" w:rsidRDefault="00F50C2C" w:rsidP="00F50C2C">
      <w:pPr>
        <w:jc w:val="both"/>
        <w:rPr>
          <w:rFonts w:cs="Arial"/>
          <w:b/>
          <w:bCs/>
          <w:color w:val="000000"/>
          <w:u w:val="single"/>
          <w:lang w:eastAsia="en-GB"/>
        </w:rPr>
      </w:pPr>
    </w:p>
    <w:p w:rsidR="00F50C2C" w:rsidRPr="00422FCD" w:rsidRDefault="00F50C2C" w:rsidP="00F50C2C">
      <w:pPr>
        <w:numPr>
          <w:ilvl w:val="0"/>
          <w:numId w:val="10"/>
        </w:numPr>
        <w:rPr>
          <w:rFonts w:cs="Arial"/>
          <w:b/>
          <w:color w:val="C00000"/>
        </w:rPr>
      </w:pPr>
      <w:r w:rsidRPr="00422FCD">
        <w:rPr>
          <w:rFonts w:cs="Arial"/>
          <w:b/>
          <w:color w:val="C00000"/>
        </w:rPr>
        <w:t>Background</w:t>
      </w:r>
    </w:p>
    <w:p w:rsidR="00F50C2C" w:rsidRPr="00810E48" w:rsidRDefault="00F50C2C" w:rsidP="00F50C2C">
      <w:pPr>
        <w:rPr>
          <w:rFonts w:cs="Arial"/>
          <w:b/>
          <w:u w:val="single"/>
        </w:rPr>
      </w:pPr>
    </w:p>
    <w:p w:rsidR="00F50C2C" w:rsidRPr="00810E48" w:rsidRDefault="00F50C2C" w:rsidP="00F50C2C">
      <w:pPr>
        <w:rPr>
          <w:rFonts w:cs="Arial"/>
        </w:rPr>
      </w:pPr>
      <w:r w:rsidRPr="00810E48">
        <w:rPr>
          <w:rFonts w:cs="Arial"/>
        </w:rPr>
        <w:t>The Independent Commission for Aid Impact (ICAI) was established in May 2011 as an Advisory Non Departmental Public Body (NDPB), sponsored by DFID. Its second phase commenced in July 2015 and will end on 30</w:t>
      </w:r>
      <w:r w:rsidRPr="00810E48">
        <w:rPr>
          <w:rFonts w:cs="Arial"/>
          <w:vertAlign w:val="superscript"/>
        </w:rPr>
        <w:t>th</w:t>
      </w:r>
      <w:r w:rsidRPr="00810E48">
        <w:rPr>
          <w:rFonts w:cs="Arial"/>
        </w:rPr>
        <w:t xml:space="preserve"> June 2019. ICAI’s current budget is around £13.5 million over four years.</w:t>
      </w:r>
    </w:p>
    <w:p w:rsidR="00F50C2C" w:rsidRPr="00810E48" w:rsidRDefault="00F50C2C" w:rsidP="00F50C2C">
      <w:pPr>
        <w:rPr>
          <w:rFonts w:cs="Arial"/>
        </w:rPr>
      </w:pPr>
      <w:r w:rsidRPr="00810E48">
        <w:rPr>
          <w:rFonts w:cs="Arial"/>
        </w:rPr>
        <w:t xml:space="preserve"> </w:t>
      </w:r>
      <w:r w:rsidRPr="00810E48">
        <w:rPr>
          <w:rFonts w:cs="Arial"/>
        </w:rPr>
        <w:tab/>
      </w:r>
    </w:p>
    <w:p w:rsidR="00F50C2C" w:rsidRPr="00810E48" w:rsidRDefault="00F50C2C" w:rsidP="00F50C2C">
      <w:pPr>
        <w:rPr>
          <w:rFonts w:cs="Arial"/>
        </w:rPr>
      </w:pPr>
      <w:r w:rsidRPr="00810E48">
        <w:rPr>
          <w:rFonts w:cs="Arial"/>
        </w:rPr>
        <w:t xml:space="preserve">ICAI’s functions are to: carry out a small number of independent in-depth thematic reviews addressing strategic development issues faced by the UK Government’s development programmes; produce high quality and professionally credible reports providing evidence and analysis of the impact and value for money of the Government’s development programmes; support Parliament in its role of holding the UK Government to account; and make information on the UK Government’s development programme available to the public, based on its analyses. </w:t>
      </w:r>
    </w:p>
    <w:p w:rsidR="00F50C2C" w:rsidRPr="00810E48" w:rsidRDefault="00F50C2C" w:rsidP="00F50C2C">
      <w:pPr>
        <w:rPr>
          <w:rFonts w:cs="Arial"/>
        </w:rPr>
      </w:pPr>
    </w:p>
    <w:p w:rsidR="00F50C2C" w:rsidRPr="00810E48" w:rsidRDefault="00F50C2C" w:rsidP="00F50C2C">
      <w:pPr>
        <w:rPr>
          <w:rFonts w:cs="Arial"/>
        </w:rPr>
      </w:pPr>
      <w:r w:rsidRPr="00810E48">
        <w:rPr>
          <w:rFonts w:cs="Arial"/>
        </w:rPr>
        <w:t>ICAI’s work supports the Secretary of State’s statutory obligation under Section 5 of the International Development (Official Development Assistance Target) Act 2015 to make arrangements for the independent evaluation of the extent to which UK ODA represents value for money. Its role is not limited to DFID, but encompasses all UK government ODA spending.  The devolved administrations are not within its remit.</w:t>
      </w:r>
    </w:p>
    <w:p w:rsidR="00F50C2C" w:rsidRPr="00810E48" w:rsidRDefault="00F50C2C" w:rsidP="00F50C2C">
      <w:pPr>
        <w:rPr>
          <w:rFonts w:cs="Arial"/>
        </w:rPr>
      </w:pPr>
    </w:p>
    <w:p w:rsidR="00F50C2C" w:rsidRPr="00810E48" w:rsidRDefault="00F50C2C" w:rsidP="00F50C2C">
      <w:pPr>
        <w:rPr>
          <w:rFonts w:cs="Arial"/>
        </w:rPr>
      </w:pPr>
      <w:r w:rsidRPr="00810E48">
        <w:rPr>
          <w:rFonts w:cs="Arial"/>
        </w:rPr>
        <w:t xml:space="preserve">The Cabinet Office has approved DFID plans to conduct a mandatory review of ICAI in 2017,in accordance with the Cabinet Office Public Bodies Reform Agenda and the </w:t>
      </w:r>
      <w:hyperlink r:id="rId13" w:history="1">
        <w:r w:rsidRPr="00810E48">
          <w:rPr>
            <w:rStyle w:val="Hyperlink"/>
            <w:rFonts w:cs="Arial"/>
          </w:rPr>
          <w:t>DFID-ICAI Framework Agreement</w:t>
        </w:r>
      </w:hyperlink>
      <w:r w:rsidRPr="00810E48">
        <w:rPr>
          <w:rFonts w:cs="Arial"/>
        </w:rPr>
        <w:t xml:space="preserve"> (Section 1.1.6.).</w:t>
      </w:r>
    </w:p>
    <w:p w:rsidR="00F50C2C" w:rsidRPr="00810E48" w:rsidRDefault="00F50C2C" w:rsidP="00F50C2C">
      <w:pPr>
        <w:rPr>
          <w:rFonts w:cs="Arial"/>
        </w:rPr>
      </w:pPr>
    </w:p>
    <w:p w:rsidR="00F50C2C" w:rsidRPr="00422FCD" w:rsidRDefault="00F50C2C" w:rsidP="00F50C2C">
      <w:pPr>
        <w:numPr>
          <w:ilvl w:val="0"/>
          <w:numId w:val="10"/>
        </w:numPr>
        <w:rPr>
          <w:rFonts w:cs="Arial"/>
          <w:b/>
          <w:bCs/>
          <w:color w:val="C00000"/>
        </w:rPr>
      </w:pPr>
      <w:r w:rsidRPr="00422FCD">
        <w:rPr>
          <w:rFonts w:cs="Arial"/>
          <w:b/>
          <w:bCs/>
          <w:color w:val="C00000"/>
        </w:rPr>
        <w:t>Objective</w:t>
      </w:r>
    </w:p>
    <w:p w:rsidR="00F50C2C" w:rsidRPr="00810E48" w:rsidRDefault="00F50C2C" w:rsidP="00F50C2C">
      <w:pPr>
        <w:rPr>
          <w:rFonts w:cs="Arial"/>
          <w:b/>
          <w:bCs/>
          <w:u w:val="single"/>
        </w:rPr>
      </w:pPr>
    </w:p>
    <w:p w:rsidR="00F50C2C" w:rsidRPr="00810E48" w:rsidRDefault="00F50C2C" w:rsidP="00F50C2C">
      <w:pPr>
        <w:rPr>
          <w:rFonts w:cs="Arial"/>
        </w:rPr>
      </w:pPr>
      <w:r w:rsidRPr="00810E48">
        <w:rPr>
          <w:rFonts w:cs="Arial"/>
          <w:bCs/>
        </w:rPr>
        <w:t xml:space="preserve">In line with </w:t>
      </w:r>
      <w:hyperlink r:id="rId14" w:history="1">
        <w:r w:rsidRPr="00810E48">
          <w:rPr>
            <w:rStyle w:val="Hyperlink"/>
            <w:rFonts w:cs="Arial"/>
            <w:bCs/>
          </w:rPr>
          <w:t>Cabinet Office guidance</w:t>
        </w:r>
      </w:hyperlink>
      <w:r w:rsidRPr="00810E48">
        <w:rPr>
          <w:rFonts w:cs="Arial"/>
          <w:bCs/>
        </w:rPr>
        <w:t xml:space="preserve">, the aim of this review is to </w:t>
      </w:r>
      <w:r w:rsidRPr="00810E48">
        <w:rPr>
          <w:rFonts w:cs="Arial"/>
        </w:rPr>
        <w:t xml:space="preserve">provide a robust challenge to and assurance on the continuing need for ICAI – both in function and form. Where it is agreed that the organisation should still be retained, it will review: </w:t>
      </w:r>
    </w:p>
    <w:p w:rsidR="00F50C2C" w:rsidRPr="00810E48" w:rsidRDefault="00F50C2C" w:rsidP="00F50C2C">
      <w:pPr>
        <w:numPr>
          <w:ilvl w:val="0"/>
          <w:numId w:val="2"/>
        </w:numPr>
        <w:rPr>
          <w:rFonts w:cs="Arial"/>
        </w:rPr>
      </w:pPr>
      <w:r w:rsidRPr="00810E48">
        <w:rPr>
          <w:rFonts w:cs="Arial"/>
        </w:rPr>
        <w:t xml:space="preserve">ICAI’s </w:t>
      </w:r>
      <w:r w:rsidRPr="00810E48">
        <w:rPr>
          <w:rFonts w:cs="Arial"/>
          <w:b/>
        </w:rPr>
        <w:t>capacity for delivering more effectively and efficiently</w:t>
      </w:r>
      <w:r w:rsidRPr="00810E48">
        <w:rPr>
          <w:rFonts w:cs="Arial"/>
        </w:rPr>
        <w:t xml:space="preserve">, including identifying the potential for efficiency savings. The review will include an assessment of the performance of ICAI or assurance that processes are in place for making such assessments. </w:t>
      </w:r>
    </w:p>
    <w:p w:rsidR="00F50C2C" w:rsidRPr="00810E48" w:rsidRDefault="00F50C2C" w:rsidP="00F50C2C">
      <w:pPr>
        <w:numPr>
          <w:ilvl w:val="0"/>
          <w:numId w:val="2"/>
        </w:numPr>
        <w:rPr>
          <w:rFonts w:cs="Arial"/>
        </w:rPr>
      </w:pPr>
      <w:r w:rsidRPr="00810E48">
        <w:rPr>
          <w:rFonts w:cs="Arial"/>
        </w:rPr>
        <w:t xml:space="preserve">The </w:t>
      </w:r>
      <w:r w:rsidRPr="00810E48">
        <w:rPr>
          <w:rFonts w:cs="Arial"/>
          <w:b/>
        </w:rPr>
        <w:t>control and governance arrangements</w:t>
      </w:r>
      <w:r w:rsidRPr="00810E48">
        <w:rPr>
          <w:rFonts w:cs="Arial"/>
        </w:rPr>
        <w:t xml:space="preserve"> in place to ensure that ICAI and DFID are complying with recognised principles of good corporate governance.</w:t>
      </w:r>
    </w:p>
    <w:p w:rsidR="00F50C2C" w:rsidRPr="00810E48" w:rsidRDefault="00F50C2C" w:rsidP="00F50C2C">
      <w:pPr>
        <w:rPr>
          <w:rFonts w:cs="Arial"/>
        </w:rPr>
      </w:pPr>
    </w:p>
    <w:p w:rsidR="00F50C2C" w:rsidRPr="00422FCD" w:rsidRDefault="00F50C2C" w:rsidP="00F50C2C">
      <w:pPr>
        <w:numPr>
          <w:ilvl w:val="0"/>
          <w:numId w:val="10"/>
        </w:numPr>
        <w:rPr>
          <w:rFonts w:cs="Arial"/>
          <w:b/>
          <w:color w:val="C00000"/>
        </w:rPr>
      </w:pPr>
      <w:r w:rsidRPr="00422FCD">
        <w:rPr>
          <w:rFonts w:cs="Arial"/>
          <w:b/>
          <w:color w:val="C00000"/>
        </w:rPr>
        <w:t>Previous Review</w:t>
      </w:r>
    </w:p>
    <w:p w:rsidR="00422FCD" w:rsidRDefault="00422FCD" w:rsidP="00F50C2C">
      <w:pPr>
        <w:rPr>
          <w:rFonts w:cs="Arial"/>
        </w:rPr>
      </w:pPr>
    </w:p>
    <w:p w:rsidR="00F50C2C" w:rsidRPr="00810E48" w:rsidRDefault="00F50C2C" w:rsidP="00F50C2C">
      <w:pPr>
        <w:rPr>
          <w:rFonts w:cs="Arial"/>
        </w:rPr>
      </w:pPr>
      <w:r w:rsidRPr="00810E48">
        <w:rPr>
          <w:rFonts w:cs="Arial"/>
        </w:rPr>
        <w:t xml:space="preserve">The </w:t>
      </w:r>
      <w:hyperlink r:id="rId15" w:history="1">
        <w:r w:rsidRPr="00810E48">
          <w:rPr>
            <w:rStyle w:val="Hyperlink"/>
            <w:rFonts w:cs="Arial"/>
          </w:rPr>
          <w:t>2013 triennial review of ICAI</w:t>
        </w:r>
      </w:hyperlink>
      <w:r w:rsidRPr="00810E48">
        <w:rPr>
          <w:rFonts w:cs="Arial"/>
          <w:u w:val="single"/>
        </w:rPr>
        <w:t>,</w:t>
      </w:r>
      <w:r w:rsidRPr="00810E48">
        <w:rPr>
          <w:rFonts w:cs="Arial"/>
        </w:rPr>
        <w:t xml:space="preserve"> which took over a year to complete, concluded that the functions performed by ICAI are still required, subject to some refinements to promote clarity and maximise value for money. </w:t>
      </w:r>
    </w:p>
    <w:p w:rsidR="00F50C2C" w:rsidRPr="00810E48" w:rsidRDefault="00F50C2C" w:rsidP="00F50C2C">
      <w:pPr>
        <w:rPr>
          <w:rFonts w:cs="Arial"/>
        </w:rPr>
      </w:pPr>
    </w:p>
    <w:p w:rsidR="00F50C2C" w:rsidRPr="00810E48" w:rsidRDefault="00F50C2C" w:rsidP="00F50C2C">
      <w:pPr>
        <w:rPr>
          <w:rFonts w:cs="Arial"/>
          <w:b/>
        </w:rPr>
      </w:pPr>
      <w:r w:rsidRPr="00810E48">
        <w:rPr>
          <w:rFonts w:cs="Arial"/>
        </w:rPr>
        <w:lastRenderedPageBreak/>
        <w:t>This Tailored Review will build on the evidence and findings of the 2013 Triennial Review.</w:t>
      </w:r>
    </w:p>
    <w:p w:rsidR="00F50C2C" w:rsidRPr="00810E48" w:rsidRDefault="00F50C2C" w:rsidP="00F50C2C">
      <w:pPr>
        <w:rPr>
          <w:rFonts w:cs="Arial"/>
          <w:b/>
        </w:rPr>
      </w:pPr>
    </w:p>
    <w:p w:rsidR="00F50C2C" w:rsidRPr="00422FCD" w:rsidRDefault="00F50C2C" w:rsidP="00F50C2C">
      <w:pPr>
        <w:numPr>
          <w:ilvl w:val="0"/>
          <w:numId w:val="10"/>
        </w:numPr>
        <w:rPr>
          <w:rFonts w:cs="Arial"/>
          <w:b/>
          <w:color w:val="C00000"/>
        </w:rPr>
      </w:pPr>
      <w:r w:rsidRPr="00422FCD">
        <w:rPr>
          <w:rFonts w:cs="Arial"/>
          <w:b/>
          <w:color w:val="C00000"/>
        </w:rPr>
        <w:t>Scope of Review</w:t>
      </w:r>
    </w:p>
    <w:p w:rsidR="00F50C2C" w:rsidRPr="00810E48" w:rsidRDefault="00F50C2C" w:rsidP="00F50C2C">
      <w:pPr>
        <w:rPr>
          <w:rFonts w:cs="Arial"/>
          <w:b/>
          <w:u w:val="single"/>
        </w:rPr>
      </w:pPr>
    </w:p>
    <w:p w:rsidR="00F50C2C" w:rsidRPr="00810E48" w:rsidRDefault="00F50C2C" w:rsidP="00F50C2C">
      <w:pPr>
        <w:rPr>
          <w:rFonts w:cs="Arial"/>
        </w:rPr>
      </w:pPr>
      <w:r w:rsidRPr="00810E48">
        <w:rPr>
          <w:rFonts w:cs="Arial"/>
        </w:rPr>
        <w:t>The review will be proportionate to ICAI’s size and nature. The Cabinet Office accordingly intends to adopt a light touch approach to overseeing delivery of the review. The review will examine ICAI’s current functions which are:</w:t>
      </w:r>
    </w:p>
    <w:p w:rsidR="00F50C2C" w:rsidRPr="00810E48" w:rsidRDefault="00F50C2C" w:rsidP="00F50C2C">
      <w:pPr>
        <w:rPr>
          <w:rFonts w:cs="Arial"/>
        </w:rPr>
      </w:pPr>
    </w:p>
    <w:p w:rsidR="00F50C2C" w:rsidRPr="00810E48" w:rsidRDefault="00F50C2C" w:rsidP="00F50C2C">
      <w:pPr>
        <w:numPr>
          <w:ilvl w:val="0"/>
          <w:numId w:val="13"/>
        </w:numPr>
        <w:rPr>
          <w:rFonts w:cs="Arial"/>
        </w:rPr>
      </w:pPr>
      <w:r w:rsidRPr="00810E48">
        <w:rPr>
          <w:rFonts w:cs="Arial"/>
        </w:rPr>
        <w:t xml:space="preserve">To carry out a small number of independent in-depth thematic reviews addressing strategic development issues faced by the UK Government’s development programmes, combined with additional short reviews (where needed) to address specific issues of interest/concern to key stakeholders. </w:t>
      </w:r>
    </w:p>
    <w:p w:rsidR="00F50C2C" w:rsidRPr="00810E48" w:rsidRDefault="00F50C2C" w:rsidP="00F50C2C">
      <w:pPr>
        <w:numPr>
          <w:ilvl w:val="0"/>
          <w:numId w:val="13"/>
        </w:numPr>
        <w:rPr>
          <w:rFonts w:cs="Arial"/>
        </w:rPr>
      </w:pPr>
      <w:r w:rsidRPr="00810E48">
        <w:rPr>
          <w:rFonts w:cs="Arial"/>
        </w:rPr>
        <w:t xml:space="preserve">To produce high quality and professionally credible reports which are independent of the UK Government and provide evidence and analysis of the impact and value for money of the Government’s development programmes. </w:t>
      </w:r>
    </w:p>
    <w:p w:rsidR="00F50C2C" w:rsidRPr="00810E48" w:rsidRDefault="00F50C2C" w:rsidP="00F50C2C">
      <w:pPr>
        <w:numPr>
          <w:ilvl w:val="0"/>
          <w:numId w:val="13"/>
        </w:numPr>
        <w:rPr>
          <w:rFonts w:cs="Arial"/>
        </w:rPr>
      </w:pPr>
      <w:r w:rsidRPr="00810E48">
        <w:rPr>
          <w:rFonts w:cs="Arial"/>
        </w:rPr>
        <w:t>To support Parliament in its role of holding the UK Government to account.</w:t>
      </w:r>
    </w:p>
    <w:p w:rsidR="00F50C2C" w:rsidRPr="00810E48" w:rsidRDefault="00F50C2C" w:rsidP="00F50C2C">
      <w:pPr>
        <w:numPr>
          <w:ilvl w:val="0"/>
          <w:numId w:val="13"/>
        </w:numPr>
        <w:rPr>
          <w:rFonts w:cs="Arial"/>
        </w:rPr>
      </w:pPr>
      <w:r w:rsidRPr="00810E48">
        <w:rPr>
          <w:rFonts w:cs="Arial"/>
        </w:rPr>
        <w:t xml:space="preserve">To make information on the UK Government’s development programme available to the public based on its analyses. </w:t>
      </w:r>
    </w:p>
    <w:p w:rsidR="00F50C2C" w:rsidRPr="00810E48" w:rsidRDefault="00F50C2C" w:rsidP="00F50C2C">
      <w:pPr>
        <w:rPr>
          <w:rFonts w:cs="Arial"/>
        </w:rPr>
      </w:pPr>
    </w:p>
    <w:p w:rsidR="00F50C2C" w:rsidRPr="00810E48" w:rsidRDefault="00F50C2C" w:rsidP="00F50C2C">
      <w:pPr>
        <w:rPr>
          <w:rFonts w:cs="Arial"/>
        </w:rPr>
      </w:pPr>
      <w:r w:rsidRPr="00810E48">
        <w:rPr>
          <w:rFonts w:cs="Arial"/>
        </w:rPr>
        <w:t>The review will address:</w:t>
      </w:r>
    </w:p>
    <w:p w:rsidR="00F50C2C" w:rsidRPr="00810E48" w:rsidRDefault="00F50C2C" w:rsidP="00F50C2C">
      <w:pPr>
        <w:rPr>
          <w:rFonts w:cs="Arial"/>
        </w:rPr>
      </w:pPr>
    </w:p>
    <w:p w:rsidR="00F50C2C" w:rsidRPr="00810E48" w:rsidRDefault="00F50C2C" w:rsidP="00F50C2C">
      <w:pPr>
        <w:numPr>
          <w:ilvl w:val="0"/>
          <w:numId w:val="7"/>
        </w:numPr>
        <w:rPr>
          <w:rFonts w:cs="Arial"/>
        </w:rPr>
      </w:pPr>
      <w:r w:rsidRPr="00810E48">
        <w:rPr>
          <w:rFonts w:cs="Arial"/>
        </w:rPr>
        <w:t xml:space="preserve">How each of these functions contributes to ICAI, DFID and HMG core business and whether they are still needed. </w:t>
      </w:r>
    </w:p>
    <w:p w:rsidR="00F50C2C" w:rsidRPr="00810E48" w:rsidRDefault="00F50C2C" w:rsidP="00F50C2C">
      <w:pPr>
        <w:numPr>
          <w:ilvl w:val="0"/>
          <w:numId w:val="6"/>
        </w:numPr>
        <w:rPr>
          <w:rFonts w:cs="Arial"/>
        </w:rPr>
      </w:pPr>
      <w:r w:rsidRPr="00810E48">
        <w:rPr>
          <w:rFonts w:cs="Arial"/>
        </w:rPr>
        <w:t xml:space="preserve">If so, how each of these functions should best be delivered, including an analysis of the current model.   </w:t>
      </w:r>
    </w:p>
    <w:p w:rsidR="00F50C2C" w:rsidRPr="00810E48" w:rsidRDefault="00F50C2C" w:rsidP="00F50C2C">
      <w:pPr>
        <w:numPr>
          <w:ilvl w:val="0"/>
          <w:numId w:val="6"/>
        </w:numPr>
        <w:rPr>
          <w:rFonts w:cs="Arial"/>
        </w:rPr>
      </w:pPr>
      <w:r w:rsidRPr="00810E48">
        <w:rPr>
          <w:rFonts w:cs="Arial"/>
        </w:rPr>
        <w:t>Ensuring that ICAI is operating in line with Cabinet Office guidance on corporate governance.</w:t>
      </w:r>
    </w:p>
    <w:p w:rsidR="00F50C2C" w:rsidRPr="00810E48" w:rsidRDefault="00F50C2C" w:rsidP="00F50C2C">
      <w:pPr>
        <w:rPr>
          <w:rFonts w:cs="Arial"/>
        </w:rPr>
      </w:pPr>
    </w:p>
    <w:p w:rsidR="00F50C2C" w:rsidRPr="00810E48" w:rsidRDefault="00F50C2C" w:rsidP="00F50C2C">
      <w:pPr>
        <w:numPr>
          <w:ilvl w:val="1"/>
          <w:numId w:val="10"/>
        </w:numPr>
        <w:rPr>
          <w:rFonts w:cs="Arial"/>
          <w:b/>
        </w:rPr>
      </w:pPr>
      <w:r w:rsidRPr="00810E48">
        <w:rPr>
          <w:rFonts w:cs="Arial"/>
          <w:b/>
        </w:rPr>
        <w:t>Efficiency</w:t>
      </w:r>
      <w:bookmarkStart w:id="1" w:name="h.gjdgxs" w:colFirst="0" w:colLast="0"/>
      <w:bookmarkEnd w:id="1"/>
    </w:p>
    <w:p w:rsidR="00F50C2C" w:rsidRPr="00810E48" w:rsidRDefault="00F50C2C" w:rsidP="00F50C2C">
      <w:pPr>
        <w:rPr>
          <w:rFonts w:cs="Arial"/>
          <w:b/>
        </w:rPr>
      </w:pPr>
    </w:p>
    <w:p w:rsidR="00F50C2C" w:rsidRPr="00810E48" w:rsidRDefault="00F50C2C" w:rsidP="00F50C2C">
      <w:pPr>
        <w:rPr>
          <w:rFonts w:cs="Arial"/>
        </w:rPr>
      </w:pPr>
      <w:r w:rsidRPr="00810E48">
        <w:rPr>
          <w:rFonts w:cs="Arial"/>
        </w:rPr>
        <w:t>The review will consider whether, how and where efficiencies can be made within ICAI. It will examine ICAI’s current operational structure, corporate functions and unit/transactional costs. Proposals to deliver efficiency savings should be set out clearly in the final report.</w:t>
      </w:r>
    </w:p>
    <w:p w:rsidR="00F50C2C" w:rsidRPr="00810E48" w:rsidRDefault="00F50C2C" w:rsidP="00F50C2C">
      <w:pPr>
        <w:rPr>
          <w:rFonts w:cs="Arial"/>
        </w:rPr>
      </w:pPr>
    </w:p>
    <w:p w:rsidR="00F50C2C" w:rsidRPr="00810E48" w:rsidRDefault="00F50C2C" w:rsidP="00F50C2C">
      <w:pPr>
        <w:rPr>
          <w:rFonts w:cs="Arial"/>
        </w:rPr>
      </w:pPr>
      <w:r w:rsidRPr="00810E48">
        <w:rPr>
          <w:rFonts w:cs="Arial"/>
        </w:rPr>
        <w:t>As part of this work the review will consider the potential to relocate the ICAI out of London and the South East in in keeping with the aims of the Industrial Strategy Green Paper.</w:t>
      </w:r>
    </w:p>
    <w:p w:rsidR="00F50C2C" w:rsidRPr="00810E48" w:rsidRDefault="00F50C2C" w:rsidP="00F50C2C">
      <w:pPr>
        <w:rPr>
          <w:rFonts w:cs="Arial"/>
        </w:rPr>
      </w:pPr>
    </w:p>
    <w:p w:rsidR="00F50C2C" w:rsidRPr="00810E48" w:rsidRDefault="00F50C2C" w:rsidP="00F50C2C">
      <w:pPr>
        <w:numPr>
          <w:ilvl w:val="1"/>
          <w:numId w:val="10"/>
        </w:numPr>
        <w:rPr>
          <w:rFonts w:cs="Arial"/>
          <w:b/>
        </w:rPr>
      </w:pPr>
      <w:r w:rsidRPr="00810E48">
        <w:rPr>
          <w:rFonts w:cs="Arial"/>
          <w:b/>
        </w:rPr>
        <w:t>Effectiveness</w:t>
      </w:r>
    </w:p>
    <w:p w:rsidR="00F50C2C" w:rsidRPr="00810E48" w:rsidRDefault="00F50C2C" w:rsidP="00F50C2C">
      <w:pPr>
        <w:rPr>
          <w:rFonts w:cs="Arial"/>
          <w:b/>
        </w:rPr>
      </w:pPr>
    </w:p>
    <w:p w:rsidR="00F50C2C" w:rsidRPr="00810E48" w:rsidRDefault="00F50C2C" w:rsidP="00F50C2C">
      <w:pPr>
        <w:rPr>
          <w:rFonts w:cs="Arial"/>
        </w:rPr>
      </w:pPr>
      <w:r w:rsidRPr="00810E48">
        <w:rPr>
          <w:rFonts w:cs="Arial"/>
        </w:rPr>
        <w:t>The review will look at the effectiveness of ICAI principally:</w:t>
      </w:r>
    </w:p>
    <w:p w:rsidR="00F50C2C" w:rsidRPr="00810E48" w:rsidRDefault="00F50C2C" w:rsidP="00F50C2C">
      <w:pPr>
        <w:rPr>
          <w:rFonts w:cs="Arial"/>
        </w:rPr>
      </w:pPr>
    </w:p>
    <w:p w:rsidR="00F50C2C" w:rsidRPr="00810E48" w:rsidRDefault="00F50C2C" w:rsidP="00F50C2C">
      <w:pPr>
        <w:numPr>
          <w:ilvl w:val="0"/>
          <w:numId w:val="8"/>
        </w:numPr>
        <w:rPr>
          <w:rFonts w:cs="Arial"/>
        </w:rPr>
      </w:pPr>
      <w:r w:rsidRPr="00810E48">
        <w:rPr>
          <w:rFonts w:cs="Arial"/>
        </w:rPr>
        <w:t xml:space="preserve">The suitability of ICAI’s priorities in relation to DFID’s Single Departmental Plan, government commitments, and the UK Aid Strategy. </w:t>
      </w:r>
    </w:p>
    <w:p w:rsidR="00F50C2C" w:rsidRPr="00810E48" w:rsidRDefault="00F50C2C" w:rsidP="00F50C2C">
      <w:pPr>
        <w:numPr>
          <w:ilvl w:val="0"/>
          <w:numId w:val="8"/>
        </w:numPr>
        <w:rPr>
          <w:rFonts w:cs="Arial"/>
        </w:rPr>
      </w:pPr>
      <w:r w:rsidRPr="00810E48">
        <w:rPr>
          <w:rFonts w:cs="Arial"/>
        </w:rPr>
        <w:t>The impact ICAI has had on the delivery of UK aid.</w:t>
      </w:r>
    </w:p>
    <w:p w:rsidR="00F50C2C" w:rsidRPr="00810E48" w:rsidRDefault="00F50C2C" w:rsidP="00F50C2C">
      <w:pPr>
        <w:numPr>
          <w:ilvl w:val="0"/>
          <w:numId w:val="8"/>
        </w:numPr>
        <w:rPr>
          <w:rFonts w:cs="Arial"/>
        </w:rPr>
      </w:pPr>
      <w:r w:rsidRPr="00810E48">
        <w:rPr>
          <w:rFonts w:cs="Arial"/>
        </w:rPr>
        <w:t>The effectiveness of its current strategy.</w:t>
      </w:r>
    </w:p>
    <w:p w:rsidR="00F50C2C" w:rsidRPr="00810E48" w:rsidRDefault="00F50C2C" w:rsidP="00F50C2C">
      <w:pPr>
        <w:numPr>
          <w:ilvl w:val="0"/>
          <w:numId w:val="8"/>
        </w:numPr>
        <w:rPr>
          <w:rFonts w:cs="Arial"/>
        </w:rPr>
      </w:pPr>
      <w:r w:rsidRPr="00810E48">
        <w:rPr>
          <w:rFonts w:cs="Arial"/>
        </w:rPr>
        <w:t>The effectiveness of ICAI’s use of resources to deliver against its objectives.</w:t>
      </w:r>
    </w:p>
    <w:p w:rsidR="00F50C2C" w:rsidRPr="00810E48" w:rsidRDefault="00F50C2C" w:rsidP="00F50C2C">
      <w:pPr>
        <w:rPr>
          <w:rFonts w:cs="Arial"/>
          <w:b/>
        </w:rPr>
      </w:pPr>
    </w:p>
    <w:p w:rsidR="00F50C2C" w:rsidRPr="00810E48" w:rsidRDefault="00F50C2C" w:rsidP="00F50C2C">
      <w:pPr>
        <w:rPr>
          <w:rFonts w:cs="Arial"/>
        </w:rPr>
      </w:pPr>
      <w:r w:rsidRPr="00810E48">
        <w:rPr>
          <w:rFonts w:cs="Arial"/>
        </w:rPr>
        <w:t xml:space="preserve">The Cabinet Office ALB Efficiency Toolkit and Annex B of the Tailored Review Guidance will be used to assist with benchmarking efficiency and effectiveness. </w:t>
      </w:r>
    </w:p>
    <w:p w:rsidR="00F50C2C" w:rsidRPr="00810E48" w:rsidRDefault="00F50C2C" w:rsidP="00F50C2C">
      <w:pPr>
        <w:rPr>
          <w:rFonts w:cs="Arial"/>
          <w:b/>
        </w:rPr>
      </w:pPr>
    </w:p>
    <w:p w:rsidR="00F50C2C" w:rsidRPr="00810E48" w:rsidRDefault="00F50C2C" w:rsidP="00F50C2C">
      <w:pPr>
        <w:numPr>
          <w:ilvl w:val="1"/>
          <w:numId w:val="10"/>
        </w:numPr>
        <w:rPr>
          <w:rFonts w:cs="Arial"/>
          <w:b/>
        </w:rPr>
      </w:pPr>
      <w:r w:rsidRPr="00810E48">
        <w:rPr>
          <w:rFonts w:cs="Arial"/>
          <w:b/>
        </w:rPr>
        <w:t>The Robustness and Transparency of ICAI’s Governance</w:t>
      </w:r>
    </w:p>
    <w:p w:rsidR="00F50C2C" w:rsidRPr="00810E48" w:rsidRDefault="00F50C2C" w:rsidP="00F50C2C">
      <w:pPr>
        <w:rPr>
          <w:rFonts w:cs="Arial"/>
          <w:b/>
        </w:rPr>
      </w:pPr>
    </w:p>
    <w:p w:rsidR="00F50C2C" w:rsidRPr="00810E48" w:rsidRDefault="00F50C2C" w:rsidP="00F50C2C">
      <w:pPr>
        <w:rPr>
          <w:rFonts w:cs="Arial"/>
        </w:rPr>
      </w:pPr>
      <w:r w:rsidRPr="00810E48">
        <w:rPr>
          <w:rFonts w:cs="Arial"/>
        </w:rPr>
        <w:t>The effectiveness of ICAI’s board of commissioners will be considered in the review including:</w:t>
      </w:r>
    </w:p>
    <w:p w:rsidR="00F50C2C" w:rsidRPr="00810E48" w:rsidRDefault="00F50C2C" w:rsidP="00F50C2C">
      <w:pPr>
        <w:rPr>
          <w:rFonts w:cs="Arial"/>
        </w:rPr>
      </w:pPr>
    </w:p>
    <w:p w:rsidR="00F50C2C" w:rsidRPr="00810E48" w:rsidRDefault="00F50C2C" w:rsidP="00F50C2C">
      <w:pPr>
        <w:numPr>
          <w:ilvl w:val="0"/>
          <w:numId w:val="9"/>
        </w:numPr>
        <w:rPr>
          <w:rFonts w:cs="Arial"/>
        </w:rPr>
      </w:pPr>
      <w:r w:rsidRPr="00810E48">
        <w:rPr>
          <w:rFonts w:cs="Arial"/>
        </w:rPr>
        <w:t>The role of the board in setting and monitoring the strategy of ICAI and how this is assessed.</w:t>
      </w:r>
    </w:p>
    <w:p w:rsidR="00F50C2C" w:rsidRPr="00810E48" w:rsidRDefault="00F50C2C" w:rsidP="00F50C2C">
      <w:pPr>
        <w:numPr>
          <w:ilvl w:val="0"/>
          <w:numId w:val="9"/>
        </w:numPr>
        <w:rPr>
          <w:rFonts w:cs="Arial"/>
        </w:rPr>
      </w:pPr>
      <w:r w:rsidRPr="00810E48">
        <w:rPr>
          <w:rFonts w:cs="Arial"/>
        </w:rPr>
        <w:t>Whether governance controls in place follow “good practice</w:t>
      </w:r>
      <w:r w:rsidRPr="00810E48">
        <w:rPr>
          <w:rFonts w:cs="Arial"/>
          <w:vertAlign w:val="superscript"/>
        </w:rPr>
        <w:footnoteReference w:id="1"/>
      </w:r>
      <w:r w:rsidRPr="00810E48">
        <w:rPr>
          <w:rFonts w:cs="Arial"/>
        </w:rPr>
        <w:t xml:space="preserve">”. </w:t>
      </w:r>
    </w:p>
    <w:p w:rsidR="00F50C2C" w:rsidRPr="00810E48" w:rsidRDefault="00F50C2C" w:rsidP="00F50C2C">
      <w:pPr>
        <w:numPr>
          <w:ilvl w:val="0"/>
          <w:numId w:val="9"/>
        </w:numPr>
        <w:rPr>
          <w:rFonts w:cs="Arial"/>
        </w:rPr>
      </w:pPr>
      <w:r w:rsidRPr="00810E48">
        <w:rPr>
          <w:rFonts w:cs="Arial"/>
        </w:rPr>
        <w:t>The relationship between ICAI and DFID (and other ODA spending government departments).</w:t>
      </w:r>
    </w:p>
    <w:p w:rsidR="00F50C2C" w:rsidRPr="00810E48" w:rsidRDefault="00F50C2C" w:rsidP="00F50C2C">
      <w:pPr>
        <w:rPr>
          <w:rFonts w:cs="Arial"/>
        </w:rPr>
      </w:pPr>
    </w:p>
    <w:p w:rsidR="00F50C2C" w:rsidRPr="00422FCD" w:rsidRDefault="00F50C2C" w:rsidP="00F50C2C">
      <w:pPr>
        <w:numPr>
          <w:ilvl w:val="0"/>
          <w:numId w:val="10"/>
        </w:numPr>
        <w:rPr>
          <w:rFonts w:cs="Arial"/>
          <w:b/>
          <w:color w:val="C00000"/>
        </w:rPr>
      </w:pPr>
      <w:r w:rsidRPr="00422FCD">
        <w:rPr>
          <w:rFonts w:cs="Arial"/>
          <w:b/>
          <w:color w:val="C00000"/>
        </w:rPr>
        <w:t>Departmental Governance Arrangements</w:t>
      </w:r>
    </w:p>
    <w:p w:rsidR="00F50C2C" w:rsidRPr="00810E48" w:rsidRDefault="00F50C2C" w:rsidP="00F50C2C">
      <w:pPr>
        <w:rPr>
          <w:rFonts w:cs="Arial"/>
          <w:b/>
          <w:u w:val="single"/>
        </w:rPr>
      </w:pPr>
    </w:p>
    <w:p w:rsidR="00F50C2C" w:rsidRPr="00810E48" w:rsidRDefault="00F50C2C" w:rsidP="00F50C2C">
      <w:pPr>
        <w:numPr>
          <w:ilvl w:val="0"/>
          <w:numId w:val="5"/>
        </w:numPr>
        <w:rPr>
          <w:rFonts w:cs="Arial"/>
        </w:rPr>
      </w:pPr>
      <w:r w:rsidRPr="00810E48">
        <w:rPr>
          <w:rFonts w:cs="Arial"/>
        </w:rPr>
        <w:t xml:space="preserve">DFID will resource the review, write and publish the final report.  </w:t>
      </w:r>
    </w:p>
    <w:p w:rsidR="00F50C2C" w:rsidRPr="00810E48" w:rsidRDefault="00F50C2C" w:rsidP="00F50C2C">
      <w:pPr>
        <w:numPr>
          <w:ilvl w:val="0"/>
          <w:numId w:val="5"/>
        </w:numPr>
        <w:rPr>
          <w:rFonts w:cs="Arial"/>
        </w:rPr>
      </w:pPr>
      <w:r w:rsidRPr="00810E48">
        <w:rPr>
          <w:rFonts w:cs="Arial"/>
        </w:rPr>
        <w:t xml:space="preserve">The Minister for the Cabinet Office will clear the Terms of Reference.  </w:t>
      </w:r>
    </w:p>
    <w:p w:rsidR="00F50C2C" w:rsidRPr="00810E48" w:rsidRDefault="00F50C2C" w:rsidP="00F50C2C">
      <w:pPr>
        <w:numPr>
          <w:ilvl w:val="0"/>
          <w:numId w:val="5"/>
        </w:numPr>
        <w:rPr>
          <w:rFonts w:cs="Arial"/>
        </w:rPr>
      </w:pPr>
      <w:r w:rsidRPr="00810E48">
        <w:rPr>
          <w:rFonts w:cs="Arial"/>
        </w:rPr>
        <w:t>The Secretary of State will sign off the Terms of Reference and the final report before publication.</w:t>
      </w:r>
    </w:p>
    <w:p w:rsidR="00F50C2C" w:rsidRPr="00810E48" w:rsidRDefault="00F50C2C" w:rsidP="00F50C2C">
      <w:pPr>
        <w:numPr>
          <w:ilvl w:val="0"/>
          <w:numId w:val="11"/>
        </w:numPr>
        <w:rPr>
          <w:rFonts w:cs="Arial"/>
        </w:rPr>
      </w:pPr>
      <w:r w:rsidRPr="00810E48">
        <w:rPr>
          <w:rFonts w:cs="Arial"/>
        </w:rPr>
        <w:t>A Challenge Panel has been formed by a Non-Executive Director and a Director General to provide oversight and challenge for the review.  An external member from the National Audit Office has also been invited to provide additional independence to the panel. The Panel, chaired by Non-Executive Director, will support the review team  at  four stages:</w:t>
      </w:r>
    </w:p>
    <w:p w:rsidR="00F50C2C" w:rsidRPr="00810E48" w:rsidRDefault="00F50C2C" w:rsidP="00F50C2C">
      <w:pPr>
        <w:numPr>
          <w:ilvl w:val="0"/>
          <w:numId w:val="12"/>
        </w:numPr>
        <w:rPr>
          <w:rFonts w:cs="Arial"/>
        </w:rPr>
      </w:pPr>
      <w:r w:rsidRPr="00810E48">
        <w:rPr>
          <w:rFonts w:cs="Arial"/>
        </w:rPr>
        <w:t>Terms of Reference</w:t>
      </w:r>
    </w:p>
    <w:p w:rsidR="00F50C2C" w:rsidRPr="00810E48" w:rsidRDefault="00F50C2C" w:rsidP="00F50C2C">
      <w:pPr>
        <w:numPr>
          <w:ilvl w:val="0"/>
          <w:numId w:val="12"/>
        </w:numPr>
        <w:rPr>
          <w:rFonts w:cs="Arial"/>
        </w:rPr>
      </w:pPr>
      <w:r w:rsidRPr="00810E48">
        <w:rPr>
          <w:rFonts w:cs="Arial"/>
        </w:rPr>
        <w:t xml:space="preserve">Methodology and consultation prior to review launch  </w:t>
      </w:r>
    </w:p>
    <w:p w:rsidR="00F50C2C" w:rsidRPr="00810E48" w:rsidRDefault="00F50C2C" w:rsidP="00F50C2C">
      <w:pPr>
        <w:numPr>
          <w:ilvl w:val="0"/>
          <w:numId w:val="12"/>
        </w:numPr>
        <w:rPr>
          <w:rFonts w:cs="Arial"/>
        </w:rPr>
      </w:pPr>
      <w:r w:rsidRPr="00810E48">
        <w:rPr>
          <w:rFonts w:cs="Arial"/>
        </w:rPr>
        <w:t>Emerging findings</w:t>
      </w:r>
    </w:p>
    <w:p w:rsidR="00F50C2C" w:rsidRPr="00810E48" w:rsidRDefault="00F50C2C" w:rsidP="00F50C2C">
      <w:pPr>
        <w:numPr>
          <w:ilvl w:val="0"/>
          <w:numId w:val="12"/>
        </w:numPr>
        <w:rPr>
          <w:rFonts w:cs="Arial"/>
        </w:rPr>
      </w:pPr>
      <w:r w:rsidRPr="00810E48">
        <w:rPr>
          <w:rFonts w:cs="Arial"/>
        </w:rPr>
        <w:t>Final draft report</w:t>
      </w:r>
    </w:p>
    <w:p w:rsidR="00F50C2C" w:rsidRPr="00810E48" w:rsidRDefault="00F50C2C" w:rsidP="00F50C2C">
      <w:pPr>
        <w:rPr>
          <w:rFonts w:cs="Arial"/>
          <w:b/>
          <w:u w:val="single"/>
        </w:rPr>
      </w:pPr>
    </w:p>
    <w:p w:rsidR="00F50C2C" w:rsidRPr="00422FCD" w:rsidRDefault="00F50C2C" w:rsidP="00F50C2C">
      <w:pPr>
        <w:numPr>
          <w:ilvl w:val="0"/>
          <w:numId w:val="10"/>
        </w:numPr>
        <w:rPr>
          <w:rFonts w:cs="Arial"/>
          <w:b/>
          <w:color w:val="C00000"/>
        </w:rPr>
      </w:pPr>
      <w:r w:rsidRPr="00422FCD">
        <w:rPr>
          <w:rFonts w:cs="Arial"/>
          <w:b/>
          <w:color w:val="C00000"/>
        </w:rPr>
        <w:t>Review Team</w:t>
      </w:r>
    </w:p>
    <w:p w:rsidR="00F50C2C" w:rsidRPr="00810E48" w:rsidRDefault="00F50C2C" w:rsidP="00F50C2C">
      <w:pPr>
        <w:rPr>
          <w:rFonts w:cs="Arial"/>
          <w:b/>
          <w:u w:val="single"/>
        </w:rPr>
      </w:pPr>
    </w:p>
    <w:p w:rsidR="00F50C2C" w:rsidRPr="00810E48" w:rsidRDefault="00F50C2C" w:rsidP="00F50C2C">
      <w:pPr>
        <w:numPr>
          <w:ilvl w:val="0"/>
          <w:numId w:val="3"/>
        </w:numPr>
        <w:rPr>
          <w:rFonts w:cs="Arial"/>
        </w:rPr>
      </w:pPr>
      <w:r w:rsidRPr="00810E48">
        <w:rPr>
          <w:rFonts w:cs="Arial"/>
        </w:rPr>
        <w:t xml:space="preserve">The Review Team will consist of two DFID staff members working full-time for around 4 months. </w:t>
      </w:r>
    </w:p>
    <w:p w:rsidR="00F50C2C" w:rsidRPr="00810E48" w:rsidRDefault="00F50C2C" w:rsidP="00F50C2C">
      <w:pPr>
        <w:numPr>
          <w:ilvl w:val="0"/>
          <w:numId w:val="3"/>
        </w:numPr>
        <w:rPr>
          <w:rFonts w:cs="Arial"/>
        </w:rPr>
      </w:pPr>
      <w:r w:rsidRPr="00810E48">
        <w:rPr>
          <w:rFonts w:cs="Arial"/>
        </w:rPr>
        <w:t xml:space="preserve">The Review Team is responsible for launching the review, consulting stakeholders, gathering evidence, analysing results, writing the report and disseminating its results. The Review Team must maintain strong relations with the review oversight group whom they consult throughout the process. The Review Team will comprise of DFID officials from outside the Sponsor Team. </w:t>
      </w:r>
    </w:p>
    <w:p w:rsidR="00F50C2C" w:rsidRPr="00810E48" w:rsidRDefault="00F50C2C" w:rsidP="00F50C2C">
      <w:pPr>
        <w:numPr>
          <w:ilvl w:val="0"/>
          <w:numId w:val="3"/>
        </w:numPr>
        <w:rPr>
          <w:rFonts w:cs="Arial"/>
        </w:rPr>
      </w:pPr>
      <w:r w:rsidRPr="00810E48">
        <w:rPr>
          <w:rFonts w:cs="Arial"/>
        </w:rPr>
        <w:t xml:space="preserve">Members of the Review Team should demonstrate relevant core skills and will need to consult specialist expertise as required, including HR specialists, economists and evaluation experts. </w:t>
      </w:r>
    </w:p>
    <w:p w:rsidR="00F50C2C" w:rsidRPr="00810E48" w:rsidRDefault="00F50C2C" w:rsidP="00F50C2C">
      <w:pPr>
        <w:numPr>
          <w:ilvl w:val="0"/>
          <w:numId w:val="3"/>
        </w:numPr>
        <w:rPr>
          <w:rFonts w:cs="Arial"/>
        </w:rPr>
      </w:pPr>
      <w:r w:rsidRPr="00810E48">
        <w:rPr>
          <w:rFonts w:cs="Arial"/>
        </w:rPr>
        <w:t xml:space="preserve">The Review Team will report directly to the Challenge Panel who will help provide leadership and independent oversight. </w:t>
      </w:r>
    </w:p>
    <w:p w:rsidR="00F50C2C" w:rsidRPr="00810E48" w:rsidRDefault="00F50C2C" w:rsidP="00F50C2C">
      <w:pPr>
        <w:numPr>
          <w:ilvl w:val="0"/>
          <w:numId w:val="3"/>
        </w:numPr>
        <w:rPr>
          <w:rFonts w:cs="Arial"/>
        </w:rPr>
      </w:pPr>
      <w:r w:rsidRPr="00810E48">
        <w:rPr>
          <w:rFonts w:cs="Arial"/>
        </w:rPr>
        <w:t xml:space="preserve">The Review Team will invite a member of Institute for Government to assist in peer reviewing methodology, and draft outputs.   </w:t>
      </w:r>
    </w:p>
    <w:p w:rsidR="00F50C2C" w:rsidRPr="00810E48" w:rsidRDefault="00F50C2C" w:rsidP="00F50C2C">
      <w:pPr>
        <w:rPr>
          <w:rFonts w:cs="Arial"/>
        </w:rPr>
      </w:pPr>
    </w:p>
    <w:p w:rsidR="00F50C2C" w:rsidRDefault="00F50C2C" w:rsidP="00F50C2C">
      <w:pPr>
        <w:numPr>
          <w:ilvl w:val="0"/>
          <w:numId w:val="10"/>
        </w:numPr>
        <w:rPr>
          <w:rFonts w:cs="Arial"/>
          <w:b/>
          <w:color w:val="C00000"/>
        </w:rPr>
      </w:pPr>
      <w:r w:rsidRPr="00422FCD">
        <w:rPr>
          <w:rFonts w:cs="Arial"/>
          <w:b/>
          <w:color w:val="C00000"/>
        </w:rPr>
        <w:t>Other Parties/Stakeholders Consultation with Parliament and Other Stakeholders</w:t>
      </w:r>
    </w:p>
    <w:p w:rsidR="00422FCD" w:rsidRPr="00422FCD" w:rsidRDefault="00422FCD" w:rsidP="00422FCD">
      <w:pPr>
        <w:ind w:left="360"/>
        <w:rPr>
          <w:rFonts w:cs="Arial"/>
          <w:b/>
          <w:color w:val="C00000"/>
        </w:rPr>
      </w:pPr>
    </w:p>
    <w:p w:rsidR="00F50C2C" w:rsidRPr="00810E48" w:rsidRDefault="00F50C2C" w:rsidP="00F50C2C">
      <w:pPr>
        <w:numPr>
          <w:ilvl w:val="0"/>
          <w:numId w:val="14"/>
        </w:numPr>
        <w:rPr>
          <w:rFonts w:cs="Arial"/>
        </w:rPr>
      </w:pPr>
      <w:r w:rsidRPr="00810E48">
        <w:rPr>
          <w:rFonts w:cs="Arial"/>
        </w:rPr>
        <w:t xml:space="preserve">The Review Team will fully consult the International Development Committee and ICAI who will be asked to nominate relevant stakeholders for consultation  </w:t>
      </w:r>
    </w:p>
    <w:p w:rsidR="00F50C2C" w:rsidRPr="00810E48" w:rsidRDefault="00F50C2C" w:rsidP="00F50C2C">
      <w:pPr>
        <w:numPr>
          <w:ilvl w:val="0"/>
          <w:numId w:val="4"/>
        </w:numPr>
        <w:rPr>
          <w:rFonts w:cs="Arial"/>
        </w:rPr>
      </w:pPr>
      <w:r w:rsidRPr="00810E48">
        <w:rPr>
          <w:rFonts w:cs="Arial"/>
        </w:rPr>
        <w:t>A targeted consultation exercise will be conducted with relevant stakeholders. This will invite interested parties to contribute input and evidence in response to key questions.</w:t>
      </w:r>
    </w:p>
    <w:p w:rsidR="00F50C2C" w:rsidRPr="00810E48" w:rsidRDefault="00F50C2C" w:rsidP="00F50C2C">
      <w:pPr>
        <w:numPr>
          <w:ilvl w:val="0"/>
          <w:numId w:val="4"/>
        </w:numPr>
        <w:rPr>
          <w:rFonts w:cs="Arial"/>
        </w:rPr>
      </w:pPr>
      <w:r w:rsidRPr="00810E48">
        <w:rPr>
          <w:rFonts w:cs="Arial"/>
        </w:rPr>
        <w:t xml:space="preserve">The results of the consultation will be subject to independent challenge. </w:t>
      </w:r>
    </w:p>
    <w:p w:rsidR="00F50C2C" w:rsidRPr="00810E48" w:rsidRDefault="00F50C2C" w:rsidP="00F50C2C">
      <w:pPr>
        <w:numPr>
          <w:ilvl w:val="0"/>
          <w:numId w:val="4"/>
        </w:numPr>
        <w:rPr>
          <w:rFonts w:cs="Arial"/>
        </w:rPr>
      </w:pPr>
      <w:r w:rsidRPr="00810E48">
        <w:rPr>
          <w:rFonts w:cs="Arial"/>
        </w:rPr>
        <w:t>DFID will announce the publication of the review by Written Ministerial Statement in both Houses. Parliament will also be informed about the conclusion of the review and copies of the final report be placed in the Libraries of the House. In particular, DFID will alert the International Development Select Committee (IDC) and other key stakeholders and partners about the review.</w:t>
      </w:r>
    </w:p>
    <w:p w:rsidR="00F50C2C" w:rsidRPr="00810E48" w:rsidRDefault="00F50C2C" w:rsidP="00F50C2C">
      <w:pPr>
        <w:numPr>
          <w:ilvl w:val="0"/>
          <w:numId w:val="4"/>
        </w:numPr>
        <w:rPr>
          <w:rFonts w:cs="Arial"/>
        </w:rPr>
      </w:pPr>
      <w:r w:rsidRPr="00810E48">
        <w:rPr>
          <w:rFonts w:cs="Arial"/>
        </w:rPr>
        <w:t xml:space="preserve">ICAI will be engaged throughout the review. ICAI will have the opportunity to comment and input from the planning stage onwards, including on the emerging conclusions and recommendations of the review. </w:t>
      </w:r>
    </w:p>
    <w:p w:rsidR="00F50C2C" w:rsidRPr="00810E48" w:rsidRDefault="00F50C2C" w:rsidP="00F50C2C">
      <w:pPr>
        <w:rPr>
          <w:rFonts w:cs="Arial"/>
        </w:rPr>
      </w:pPr>
    </w:p>
    <w:p w:rsidR="00F50C2C" w:rsidRPr="00422FCD" w:rsidRDefault="00F50C2C" w:rsidP="00F50C2C">
      <w:pPr>
        <w:numPr>
          <w:ilvl w:val="0"/>
          <w:numId w:val="10"/>
        </w:numPr>
        <w:rPr>
          <w:rFonts w:cs="Arial"/>
          <w:b/>
          <w:color w:val="C00000"/>
        </w:rPr>
      </w:pPr>
      <w:r w:rsidRPr="00422FCD">
        <w:rPr>
          <w:rFonts w:cs="Arial"/>
          <w:b/>
          <w:color w:val="C00000"/>
        </w:rPr>
        <w:t>Deliverables</w:t>
      </w:r>
    </w:p>
    <w:p w:rsidR="00F50C2C" w:rsidRPr="00810E48" w:rsidRDefault="00F50C2C" w:rsidP="00F50C2C">
      <w:pPr>
        <w:rPr>
          <w:rFonts w:cs="Arial"/>
          <w:b/>
          <w:u w:val="single"/>
        </w:rPr>
      </w:pPr>
    </w:p>
    <w:p w:rsidR="00F50C2C" w:rsidRPr="00810E48" w:rsidRDefault="00F50C2C" w:rsidP="00F50C2C">
      <w:pPr>
        <w:rPr>
          <w:rFonts w:cs="Arial"/>
        </w:rPr>
      </w:pPr>
      <w:r w:rsidRPr="00810E48">
        <w:rPr>
          <w:rFonts w:cs="Arial"/>
        </w:rPr>
        <w:t xml:space="preserve">The review will be launched and the outcome announced by Written Ministerial Statement. The results of the review will be presented in a report with recommendations accompanied by an implementation plan agreed by DFID and ICAI. Copies of the report will be placed in the Libraries of the House and shared with key stakeholders including the IDC.  </w:t>
      </w:r>
    </w:p>
    <w:p w:rsidR="00F50C2C" w:rsidRPr="00810E48" w:rsidRDefault="00F50C2C" w:rsidP="00F50C2C">
      <w:pPr>
        <w:rPr>
          <w:rFonts w:cs="Arial"/>
          <w:b/>
          <w:u w:val="single"/>
        </w:rPr>
      </w:pPr>
    </w:p>
    <w:p w:rsidR="00F50C2C" w:rsidRPr="00810E48" w:rsidRDefault="00F50C2C" w:rsidP="00F50C2C">
      <w:pPr>
        <w:rPr>
          <w:rFonts w:cs="Arial"/>
          <w:b/>
        </w:rPr>
      </w:pPr>
    </w:p>
    <w:p w:rsidR="00F50C2C" w:rsidRDefault="00F50C2C" w:rsidP="00F50C2C">
      <w:pPr>
        <w:rPr>
          <w:b/>
          <w:sz w:val="32"/>
        </w:rPr>
      </w:pPr>
      <w:r>
        <w:rPr>
          <w:b/>
          <w:sz w:val="32"/>
        </w:rPr>
        <w:br w:type="page"/>
      </w:r>
    </w:p>
    <w:p w:rsidR="00F50C2C" w:rsidRPr="00FE1B95" w:rsidRDefault="00F50C2C" w:rsidP="00422FCD">
      <w:pPr>
        <w:rPr>
          <w:b/>
          <w:color w:val="7F7F7F" w:themeColor="text1" w:themeTint="80"/>
          <w:sz w:val="32"/>
        </w:rPr>
      </w:pPr>
      <w:r w:rsidRPr="00FE1B95">
        <w:rPr>
          <w:b/>
          <w:color w:val="7F7F7F" w:themeColor="text1" w:themeTint="80"/>
          <w:sz w:val="32"/>
        </w:rPr>
        <w:t>Annex B – Challenge Panel &amp; Review Team</w:t>
      </w:r>
    </w:p>
    <w:p w:rsidR="00F50C2C" w:rsidRDefault="00F50C2C" w:rsidP="00F50C2C"/>
    <w:p w:rsidR="00F50C2C" w:rsidRPr="00453C00" w:rsidRDefault="00F50C2C" w:rsidP="00F50C2C">
      <w:r w:rsidRPr="00453C00">
        <w:rPr>
          <w:b/>
        </w:rPr>
        <w:t xml:space="preserve">Role: </w:t>
      </w:r>
      <w:r w:rsidRPr="00453C00">
        <w:t>To challenge the scope, assumptions, methodology and emerging conclusions of the review to ensure that the final report was based on solid evidence and fair evaluation.</w:t>
      </w:r>
    </w:p>
    <w:p w:rsidR="00F50C2C" w:rsidRPr="00453C00" w:rsidRDefault="00F50C2C" w:rsidP="00F50C2C"/>
    <w:p w:rsidR="00F50C2C" w:rsidRPr="00453C00" w:rsidRDefault="00F50C2C" w:rsidP="00F50C2C">
      <w:r w:rsidRPr="00453C00">
        <w:t>Members of the Challenge Panel were appointed in a personal capacity and did not represent any interest group or particular body.</w:t>
      </w:r>
    </w:p>
    <w:p w:rsidR="00F50C2C" w:rsidRDefault="00F50C2C" w:rsidP="00F50C2C">
      <w:pPr>
        <w:rPr>
          <w:b/>
        </w:rPr>
      </w:pPr>
    </w:p>
    <w:p w:rsidR="00F50C2C" w:rsidRPr="00553D8C" w:rsidRDefault="00F50C2C" w:rsidP="00F50C2C">
      <w:pPr>
        <w:rPr>
          <w:b/>
          <w:u w:val="single"/>
        </w:rPr>
      </w:pPr>
      <w:r w:rsidRPr="00553D8C">
        <w:rPr>
          <w:b/>
          <w:u w:val="single"/>
        </w:rPr>
        <w:t>Challenge Panel</w:t>
      </w:r>
    </w:p>
    <w:p w:rsidR="00F50C2C" w:rsidRDefault="00F50C2C" w:rsidP="00F50C2C"/>
    <w:p w:rsidR="00F50C2C" w:rsidRPr="00553D8C" w:rsidRDefault="00F50C2C" w:rsidP="00F50C2C">
      <w:pPr>
        <w:rPr>
          <w:b/>
          <w:i/>
        </w:rPr>
      </w:pPr>
      <w:r w:rsidRPr="00553D8C">
        <w:rPr>
          <w:b/>
          <w:i/>
        </w:rPr>
        <w:t>Chair:</w:t>
      </w:r>
    </w:p>
    <w:p w:rsidR="00F50C2C" w:rsidRDefault="00F50C2C" w:rsidP="00F50C2C"/>
    <w:p w:rsidR="00F50C2C" w:rsidRDefault="00F50C2C" w:rsidP="00F50C2C">
      <w:r>
        <w:t>Sally Jones-Evans</w:t>
      </w:r>
      <w:r>
        <w:tab/>
      </w:r>
      <w:r>
        <w:tab/>
        <w:t>DFID Non-Executive Director</w:t>
      </w:r>
    </w:p>
    <w:p w:rsidR="00F50C2C" w:rsidRDefault="00F50C2C" w:rsidP="00F50C2C"/>
    <w:p w:rsidR="00F50C2C" w:rsidRPr="00553D8C" w:rsidRDefault="00F50C2C" w:rsidP="00F50C2C">
      <w:pPr>
        <w:rPr>
          <w:b/>
          <w:i/>
        </w:rPr>
      </w:pPr>
      <w:r w:rsidRPr="00553D8C">
        <w:rPr>
          <w:b/>
          <w:i/>
        </w:rPr>
        <w:t>Members:</w:t>
      </w:r>
    </w:p>
    <w:p w:rsidR="00F50C2C" w:rsidRDefault="00F50C2C" w:rsidP="00F50C2C"/>
    <w:p w:rsidR="00F50C2C" w:rsidRDefault="00F50C2C" w:rsidP="00F50C2C">
      <w:r>
        <w:t>Lindy Cameron</w:t>
      </w:r>
      <w:r>
        <w:tab/>
      </w:r>
      <w:r>
        <w:tab/>
        <w:t>DFID Director-General</w:t>
      </w:r>
    </w:p>
    <w:p w:rsidR="00F50C2C" w:rsidRDefault="00F50C2C" w:rsidP="00F50C2C"/>
    <w:p w:rsidR="00F50C2C" w:rsidRDefault="00F50C2C" w:rsidP="00F50C2C">
      <w:r>
        <w:t>Jeremy Lonsdale</w:t>
      </w:r>
      <w:r>
        <w:tab/>
      </w:r>
      <w:r>
        <w:tab/>
        <w:t>NAO Director</w:t>
      </w:r>
    </w:p>
    <w:p w:rsidR="00F50C2C" w:rsidRDefault="00F50C2C" w:rsidP="00F50C2C"/>
    <w:p w:rsidR="008338E9" w:rsidRDefault="008338E9" w:rsidP="00F50C2C">
      <w:r>
        <w:t>Daniel Thornton</w:t>
      </w:r>
      <w:r>
        <w:tab/>
      </w:r>
      <w:r>
        <w:tab/>
        <w:t>Institute for Government</w:t>
      </w:r>
      <w:r w:rsidR="007767DB">
        <w:t xml:space="preserve"> Programme Director</w:t>
      </w:r>
    </w:p>
    <w:p w:rsidR="008338E9" w:rsidRDefault="008338E9" w:rsidP="00F50C2C"/>
    <w:p w:rsidR="00F50C2C" w:rsidRPr="00553D8C" w:rsidRDefault="007767DB" w:rsidP="00F50C2C">
      <w:pPr>
        <w:rPr>
          <w:b/>
          <w:u w:val="single"/>
        </w:rPr>
      </w:pPr>
      <w:r>
        <w:rPr>
          <w:b/>
          <w:u w:val="single"/>
        </w:rPr>
        <w:t>DFID Review</w:t>
      </w:r>
      <w:r w:rsidR="00F50C2C" w:rsidRPr="00553D8C">
        <w:rPr>
          <w:b/>
          <w:u w:val="single"/>
        </w:rPr>
        <w:t xml:space="preserve"> Team</w:t>
      </w:r>
    </w:p>
    <w:p w:rsidR="00F50C2C" w:rsidRDefault="00F50C2C" w:rsidP="00F50C2C"/>
    <w:p w:rsidR="00F50C2C" w:rsidRDefault="00F50C2C" w:rsidP="00F50C2C">
      <w:r>
        <w:t>Shailaja Annamraju</w:t>
      </w:r>
      <w:r>
        <w:tab/>
      </w:r>
      <w:r>
        <w:tab/>
        <w:t xml:space="preserve">DFID </w:t>
      </w:r>
      <w:r w:rsidR="00300E90">
        <w:t>–</w:t>
      </w:r>
      <w:r>
        <w:t xml:space="preserve"> </w:t>
      </w:r>
      <w:r w:rsidR="00300E90" w:rsidRPr="00300E90">
        <w:rPr>
          <w:i/>
        </w:rPr>
        <w:t>Team Lead</w:t>
      </w:r>
      <w:r w:rsidR="00300E90">
        <w:t>/</w:t>
      </w:r>
      <w:r w:rsidRPr="00132E5F">
        <w:rPr>
          <w:i/>
        </w:rPr>
        <w:t>Lead Reviewer</w:t>
      </w:r>
      <w:r w:rsidR="00300E90">
        <w:rPr>
          <w:i/>
        </w:rPr>
        <w:t xml:space="preserve"> </w:t>
      </w:r>
    </w:p>
    <w:p w:rsidR="00F50C2C" w:rsidRDefault="00F50C2C" w:rsidP="00F50C2C"/>
    <w:p w:rsidR="00F50C2C" w:rsidRDefault="00F50C2C" w:rsidP="00F50C2C">
      <w:r>
        <w:t>Tom Pye</w:t>
      </w:r>
      <w:r>
        <w:tab/>
      </w:r>
      <w:r>
        <w:tab/>
      </w:r>
      <w:r>
        <w:tab/>
        <w:t xml:space="preserve">DFID - </w:t>
      </w:r>
      <w:r w:rsidRPr="00132E5F">
        <w:rPr>
          <w:i/>
        </w:rPr>
        <w:t>Project Support</w:t>
      </w:r>
    </w:p>
    <w:p w:rsidR="00F50C2C" w:rsidRDefault="00F50C2C" w:rsidP="00F50C2C"/>
    <w:p w:rsidR="00F50C2C" w:rsidRDefault="00F50C2C" w:rsidP="00F50C2C">
      <w:r>
        <w:t>The Review Team was supported by Daniel Thornton (Director at the Institute for Government), and by legal, economic and commercial advisors at DFID.</w:t>
      </w:r>
    </w:p>
    <w:p w:rsidR="00F50C2C" w:rsidRDefault="00F50C2C" w:rsidP="00F50C2C"/>
    <w:p w:rsidR="00F50C2C" w:rsidRDefault="00F50C2C" w:rsidP="00F50C2C">
      <w:r>
        <w:br w:type="page"/>
      </w:r>
    </w:p>
    <w:p w:rsidR="00F50C2C" w:rsidRPr="00FE1B95" w:rsidRDefault="00F50C2C" w:rsidP="00422FCD">
      <w:pPr>
        <w:rPr>
          <w:b/>
          <w:color w:val="4F6228" w:themeColor="accent3" w:themeShade="80"/>
          <w:sz w:val="32"/>
        </w:rPr>
      </w:pPr>
      <w:r w:rsidRPr="00FE1B95">
        <w:rPr>
          <w:b/>
          <w:color w:val="4F6228" w:themeColor="accent3" w:themeShade="80"/>
          <w:sz w:val="32"/>
        </w:rPr>
        <w:t>Annex C – List of Stakeholders Consulted</w:t>
      </w:r>
    </w:p>
    <w:p w:rsidR="00F50C2C" w:rsidRDefault="00F50C2C" w:rsidP="00F50C2C">
      <w:pPr>
        <w:rPr>
          <w:b/>
          <w:sz w:val="32"/>
        </w:rPr>
      </w:pPr>
    </w:p>
    <w:p w:rsidR="00F50C2C" w:rsidRPr="00BE492D" w:rsidRDefault="00F50C2C" w:rsidP="00F50C2C">
      <w:pPr>
        <w:rPr>
          <w:b/>
          <w:u w:val="single"/>
        </w:rPr>
      </w:pPr>
      <w:r w:rsidRPr="00BE492D">
        <w:rPr>
          <w:b/>
          <w:u w:val="single"/>
        </w:rPr>
        <w:t>Individual/Group Interviews</w:t>
      </w:r>
    </w:p>
    <w:p w:rsidR="00F50C2C" w:rsidRDefault="00F50C2C" w:rsidP="00F50C2C"/>
    <w:p w:rsidR="00F50C2C" w:rsidRDefault="00F50C2C" w:rsidP="00F50C2C">
      <w:r>
        <w:t>The following 52 stakeholders were engaged as part of individual/group interviews:</w:t>
      </w:r>
    </w:p>
    <w:p w:rsidR="00F50C2C" w:rsidRDefault="00F50C2C" w:rsidP="00F50C2C"/>
    <w:tbl>
      <w:tblPr>
        <w:tblStyle w:val="TableGrid"/>
        <w:tblW w:w="0" w:type="auto"/>
        <w:tblBorders>
          <w:left w:val="none" w:sz="0" w:space="0" w:color="auto"/>
          <w:right w:val="none" w:sz="0" w:space="0" w:color="auto"/>
        </w:tblBorders>
        <w:tblLook w:val="04A0" w:firstRow="1" w:lastRow="0" w:firstColumn="1" w:lastColumn="0" w:noHBand="0" w:noVBand="1"/>
      </w:tblPr>
      <w:tblGrid>
        <w:gridCol w:w="2470"/>
        <w:gridCol w:w="2529"/>
        <w:gridCol w:w="3523"/>
      </w:tblGrid>
      <w:tr w:rsidR="00F50C2C" w:rsidRPr="00AA0FCA" w:rsidTr="00ED4F78">
        <w:tc>
          <w:tcPr>
            <w:tcW w:w="5681" w:type="dxa"/>
            <w:gridSpan w:val="2"/>
            <w:shd w:val="clear" w:color="auto" w:fill="F2F2F2" w:themeFill="background1" w:themeFillShade="F2"/>
            <w:vAlign w:val="center"/>
          </w:tcPr>
          <w:p w:rsidR="00F50C2C" w:rsidRPr="00AA0FCA" w:rsidRDefault="00F50C2C" w:rsidP="00ED4F78">
            <w:pPr>
              <w:jc w:val="center"/>
              <w:rPr>
                <w:b/>
                <w:sz w:val="20"/>
              </w:rPr>
            </w:pPr>
            <w:r w:rsidRPr="00AA0FCA">
              <w:rPr>
                <w:b/>
                <w:sz w:val="20"/>
              </w:rPr>
              <w:t>Organisation</w:t>
            </w:r>
          </w:p>
        </w:tc>
        <w:tc>
          <w:tcPr>
            <w:tcW w:w="4208" w:type="dxa"/>
            <w:shd w:val="clear" w:color="auto" w:fill="F2F2F2" w:themeFill="background1" w:themeFillShade="F2"/>
            <w:vAlign w:val="center"/>
          </w:tcPr>
          <w:p w:rsidR="00F50C2C" w:rsidRPr="00AA0FCA" w:rsidRDefault="00F50C2C" w:rsidP="00ED4F78">
            <w:pPr>
              <w:jc w:val="center"/>
              <w:rPr>
                <w:b/>
                <w:sz w:val="20"/>
              </w:rPr>
            </w:pPr>
            <w:r w:rsidRPr="00AA0FCA">
              <w:rPr>
                <w:b/>
                <w:sz w:val="20"/>
              </w:rPr>
              <w:t>Stakeholders Consulted</w:t>
            </w:r>
          </w:p>
        </w:tc>
      </w:tr>
      <w:tr w:rsidR="00F50C2C" w:rsidRPr="00AA0FCA" w:rsidTr="00ED4F78">
        <w:tc>
          <w:tcPr>
            <w:tcW w:w="2840" w:type="dxa"/>
            <w:vMerge w:val="restart"/>
            <w:vAlign w:val="center"/>
          </w:tcPr>
          <w:p w:rsidR="00F50C2C" w:rsidRPr="00AA0FCA" w:rsidRDefault="00F50C2C" w:rsidP="00ED4F78">
            <w:pPr>
              <w:jc w:val="center"/>
              <w:rPr>
                <w:sz w:val="20"/>
              </w:rPr>
            </w:pPr>
            <w:r w:rsidRPr="00AA0FCA">
              <w:rPr>
                <w:sz w:val="20"/>
              </w:rPr>
              <w:t>ICAI</w:t>
            </w:r>
          </w:p>
        </w:tc>
        <w:tc>
          <w:tcPr>
            <w:tcW w:w="2841" w:type="dxa"/>
            <w:vAlign w:val="center"/>
          </w:tcPr>
          <w:p w:rsidR="00F50C2C" w:rsidRPr="00AA0FCA" w:rsidRDefault="00F50C2C" w:rsidP="00ED4F78">
            <w:pPr>
              <w:jc w:val="center"/>
              <w:rPr>
                <w:sz w:val="20"/>
              </w:rPr>
            </w:pPr>
            <w:r w:rsidRPr="00AA0FCA">
              <w:rPr>
                <w:sz w:val="20"/>
              </w:rPr>
              <w:t>Commissioners</w:t>
            </w:r>
          </w:p>
        </w:tc>
        <w:tc>
          <w:tcPr>
            <w:tcW w:w="4208" w:type="dxa"/>
            <w:vAlign w:val="center"/>
          </w:tcPr>
          <w:p w:rsidR="00F50C2C" w:rsidRPr="00AA0FCA" w:rsidRDefault="00F50C2C" w:rsidP="00ED4F78">
            <w:pPr>
              <w:jc w:val="center"/>
              <w:rPr>
                <w:sz w:val="20"/>
              </w:rPr>
            </w:pPr>
            <w:r w:rsidRPr="00AA0FCA">
              <w:rPr>
                <w:sz w:val="20"/>
              </w:rPr>
              <w:t>3</w:t>
            </w:r>
          </w:p>
        </w:tc>
      </w:tr>
      <w:tr w:rsidR="00F50C2C" w:rsidRPr="00AA0FCA" w:rsidTr="00ED4F78">
        <w:tc>
          <w:tcPr>
            <w:tcW w:w="2840" w:type="dxa"/>
            <w:vMerge/>
            <w:vAlign w:val="center"/>
          </w:tcPr>
          <w:p w:rsidR="00F50C2C" w:rsidRPr="00AA0FCA" w:rsidRDefault="00F50C2C" w:rsidP="00ED4F78">
            <w:pPr>
              <w:jc w:val="center"/>
              <w:rPr>
                <w:sz w:val="20"/>
              </w:rPr>
            </w:pPr>
          </w:p>
        </w:tc>
        <w:tc>
          <w:tcPr>
            <w:tcW w:w="2841" w:type="dxa"/>
            <w:vAlign w:val="center"/>
          </w:tcPr>
          <w:p w:rsidR="00F50C2C" w:rsidRPr="00AA0FCA" w:rsidRDefault="00F50C2C" w:rsidP="00ED4F78">
            <w:pPr>
              <w:jc w:val="center"/>
              <w:rPr>
                <w:sz w:val="20"/>
              </w:rPr>
            </w:pPr>
            <w:r>
              <w:rPr>
                <w:sz w:val="20"/>
              </w:rPr>
              <w:t>Ex-Commissioner</w:t>
            </w:r>
          </w:p>
        </w:tc>
        <w:tc>
          <w:tcPr>
            <w:tcW w:w="4208" w:type="dxa"/>
            <w:vAlign w:val="center"/>
          </w:tcPr>
          <w:p w:rsidR="00F50C2C" w:rsidRPr="00AA0FCA" w:rsidRDefault="00F50C2C" w:rsidP="00ED4F78">
            <w:pPr>
              <w:jc w:val="center"/>
              <w:rPr>
                <w:sz w:val="20"/>
              </w:rPr>
            </w:pPr>
            <w:r>
              <w:rPr>
                <w:sz w:val="20"/>
              </w:rPr>
              <w:t>1</w:t>
            </w:r>
          </w:p>
        </w:tc>
      </w:tr>
      <w:tr w:rsidR="00F50C2C" w:rsidRPr="00AA0FCA" w:rsidTr="00ED4F78">
        <w:tc>
          <w:tcPr>
            <w:tcW w:w="2840" w:type="dxa"/>
            <w:vMerge/>
            <w:vAlign w:val="center"/>
          </w:tcPr>
          <w:p w:rsidR="00F50C2C" w:rsidRPr="00AA0FCA" w:rsidRDefault="00F50C2C" w:rsidP="00ED4F78">
            <w:pPr>
              <w:jc w:val="center"/>
              <w:rPr>
                <w:sz w:val="20"/>
              </w:rPr>
            </w:pPr>
          </w:p>
        </w:tc>
        <w:tc>
          <w:tcPr>
            <w:tcW w:w="2841" w:type="dxa"/>
            <w:vAlign w:val="center"/>
          </w:tcPr>
          <w:p w:rsidR="00F50C2C" w:rsidRPr="00AA0FCA" w:rsidRDefault="00F50C2C" w:rsidP="00ED4F78">
            <w:pPr>
              <w:jc w:val="center"/>
              <w:rPr>
                <w:sz w:val="20"/>
              </w:rPr>
            </w:pPr>
            <w:r w:rsidRPr="00AA0FCA">
              <w:rPr>
                <w:sz w:val="20"/>
              </w:rPr>
              <w:t>Secretariat</w:t>
            </w:r>
          </w:p>
        </w:tc>
        <w:tc>
          <w:tcPr>
            <w:tcW w:w="4208" w:type="dxa"/>
            <w:vAlign w:val="center"/>
          </w:tcPr>
          <w:p w:rsidR="00F50C2C" w:rsidRPr="00AA0FCA" w:rsidRDefault="00F50C2C" w:rsidP="00ED4F78">
            <w:pPr>
              <w:jc w:val="center"/>
              <w:rPr>
                <w:sz w:val="20"/>
              </w:rPr>
            </w:pPr>
            <w:r w:rsidRPr="00AA0FCA">
              <w:rPr>
                <w:sz w:val="20"/>
              </w:rPr>
              <w:t>4</w:t>
            </w:r>
          </w:p>
        </w:tc>
      </w:tr>
      <w:tr w:rsidR="00F50C2C" w:rsidRPr="00AA0FCA" w:rsidTr="00ED4F78">
        <w:tc>
          <w:tcPr>
            <w:tcW w:w="2840" w:type="dxa"/>
            <w:vMerge/>
            <w:vAlign w:val="center"/>
          </w:tcPr>
          <w:p w:rsidR="00F50C2C" w:rsidRPr="00AA0FCA" w:rsidRDefault="00F50C2C" w:rsidP="00ED4F78">
            <w:pPr>
              <w:jc w:val="center"/>
              <w:rPr>
                <w:sz w:val="20"/>
              </w:rPr>
            </w:pPr>
          </w:p>
        </w:tc>
        <w:tc>
          <w:tcPr>
            <w:tcW w:w="2841" w:type="dxa"/>
            <w:vAlign w:val="center"/>
          </w:tcPr>
          <w:p w:rsidR="00F50C2C" w:rsidRPr="00AA0FCA" w:rsidRDefault="00F50C2C" w:rsidP="00ED4F78">
            <w:pPr>
              <w:jc w:val="center"/>
              <w:rPr>
                <w:sz w:val="20"/>
              </w:rPr>
            </w:pPr>
            <w:r w:rsidRPr="00AA0FCA">
              <w:rPr>
                <w:sz w:val="20"/>
              </w:rPr>
              <w:t>Service Provider</w:t>
            </w:r>
          </w:p>
        </w:tc>
        <w:tc>
          <w:tcPr>
            <w:tcW w:w="4208" w:type="dxa"/>
            <w:vAlign w:val="center"/>
          </w:tcPr>
          <w:p w:rsidR="00F50C2C" w:rsidRPr="00AA0FCA" w:rsidRDefault="00F50C2C" w:rsidP="00ED4F78">
            <w:pPr>
              <w:jc w:val="center"/>
              <w:rPr>
                <w:sz w:val="20"/>
              </w:rPr>
            </w:pPr>
            <w:r w:rsidRPr="00AA0FCA">
              <w:rPr>
                <w:sz w:val="20"/>
              </w:rPr>
              <w:t>7</w:t>
            </w:r>
          </w:p>
        </w:tc>
      </w:tr>
      <w:tr w:rsidR="00F50C2C" w:rsidRPr="00AA0FCA" w:rsidTr="00ED4F78">
        <w:tc>
          <w:tcPr>
            <w:tcW w:w="2840" w:type="dxa"/>
            <w:vMerge w:val="restart"/>
            <w:vAlign w:val="center"/>
          </w:tcPr>
          <w:p w:rsidR="00F50C2C" w:rsidRPr="00AA0FCA" w:rsidRDefault="00F50C2C" w:rsidP="00ED4F78">
            <w:pPr>
              <w:jc w:val="center"/>
              <w:rPr>
                <w:sz w:val="20"/>
              </w:rPr>
            </w:pPr>
            <w:r w:rsidRPr="00AA0FCA">
              <w:rPr>
                <w:sz w:val="20"/>
              </w:rPr>
              <w:t>IDC</w:t>
            </w:r>
          </w:p>
        </w:tc>
        <w:tc>
          <w:tcPr>
            <w:tcW w:w="2841" w:type="dxa"/>
            <w:vAlign w:val="center"/>
          </w:tcPr>
          <w:p w:rsidR="00F50C2C" w:rsidRPr="00AA0FCA" w:rsidRDefault="00F50C2C" w:rsidP="00ED4F78">
            <w:pPr>
              <w:jc w:val="center"/>
              <w:rPr>
                <w:sz w:val="20"/>
              </w:rPr>
            </w:pPr>
            <w:r w:rsidRPr="00AA0FCA">
              <w:rPr>
                <w:sz w:val="20"/>
              </w:rPr>
              <w:t>Members</w:t>
            </w:r>
          </w:p>
        </w:tc>
        <w:tc>
          <w:tcPr>
            <w:tcW w:w="4208" w:type="dxa"/>
            <w:vAlign w:val="center"/>
          </w:tcPr>
          <w:p w:rsidR="00F50C2C" w:rsidRPr="00AA0FCA" w:rsidRDefault="00F50C2C" w:rsidP="00ED4F78">
            <w:pPr>
              <w:jc w:val="center"/>
              <w:rPr>
                <w:sz w:val="20"/>
              </w:rPr>
            </w:pPr>
            <w:r>
              <w:rPr>
                <w:sz w:val="20"/>
              </w:rPr>
              <w:t>3</w:t>
            </w:r>
          </w:p>
        </w:tc>
      </w:tr>
      <w:tr w:rsidR="00F50C2C" w:rsidRPr="00AA0FCA" w:rsidTr="00ED4F78">
        <w:tc>
          <w:tcPr>
            <w:tcW w:w="2840" w:type="dxa"/>
            <w:vMerge/>
            <w:vAlign w:val="center"/>
          </w:tcPr>
          <w:p w:rsidR="00F50C2C" w:rsidRPr="00AA0FCA" w:rsidRDefault="00F50C2C" w:rsidP="00ED4F78">
            <w:pPr>
              <w:jc w:val="center"/>
              <w:rPr>
                <w:sz w:val="20"/>
              </w:rPr>
            </w:pPr>
          </w:p>
        </w:tc>
        <w:tc>
          <w:tcPr>
            <w:tcW w:w="2841" w:type="dxa"/>
            <w:vAlign w:val="center"/>
          </w:tcPr>
          <w:p w:rsidR="00F50C2C" w:rsidRPr="00AA0FCA" w:rsidRDefault="00F50C2C" w:rsidP="00ED4F78">
            <w:pPr>
              <w:jc w:val="center"/>
              <w:rPr>
                <w:sz w:val="20"/>
              </w:rPr>
            </w:pPr>
            <w:r>
              <w:rPr>
                <w:sz w:val="20"/>
              </w:rPr>
              <w:t>Committee</w:t>
            </w:r>
            <w:r w:rsidRPr="00AA0FCA">
              <w:rPr>
                <w:sz w:val="20"/>
              </w:rPr>
              <w:t xml:space="preserve"> Clerks</w:t>
            </w:r>
          </w:p>
        </w:tc>
        <w:tc>
          <w:tcPr>
            <w:tcW w:w="4208" w:type="dxa"/>
            <w:vAlign w:val="center"/>
          </w:tcPr>
          <w:p w:rsidR="00F50C2C" w:rsidRPr="00AA0FCA" w:rsidRDefault="00F50C2C" w:rsidP="00ED4F78">
            <w:pPr>
              <w:jc w:val="center"/>
              <w:rPr>
                <w:sz w:val="20"/>
              </w:rPr>
            </w:pPr>
            <w:r w:rsidRPr="00AA0FCA">
              <w:rPr>
                <w:sz w:val="20"/>
              </w:rPr>
              <w:t>2</w:t>
            </w:r>
          </w:p>
        </w:tc>
      </w:tr>
      <w:tr w:rsidR="00F50C2C" w:rsidRPr="00AA0FCA" w:rsidTr="00ED4F78">
        <w:tc>
          <w:tcPr>
            <w:tcW w:w="2840" w:type="dxa"/>
            <w:vMerge/>
            <w:vAlign w:val="center"/>
          </w:tcPr>
          <w:p w:rsidR="00F50C2C" w:rsidRPr="00AA0FCA" w:rsidRDefault="00F50C2C" w:rsidP="00ED4F78">
            <w:pPr>
              <w:jc w:val="center"/>
              <w:rPr>
                <w:sz w:val="20"/>
              </w:rPr>
            </w:pPr>
          </w:p>
        </w:tc>
        <w:tc>
          <w:tcPr>
            <w:tcW w:w="2841" w:type="dxa"/>
            <w:vAlign w:val="center"/>
          </w:tcPr>
          <w:p w:rsidR="00F50C2C" w:rsidRPr="00AA0FCA" w:rsidRDefault="00F50C2C" w:rsidP="00ED4F78">
            <w:pPr>
              <w:jc w:val="center"/>
              <w:rPr>
                <w:sz w:val="20"/>
              </w:rPr>
            </w:pPr>
            <w:r w:rsidRPr="00AA0FCA">
              <w:rPr>
                <w:sz w:val="20"/>
              </w:rPr>
              <w:t>Special Advisors</w:t>
            </w:r>
          </w:p>
        </w:tc>
        <w:tc>
          <w:tcPr>
            <w:tcW w:w="4208" w:type="dxa"/>
            <w:vAlign w:val="center"/>
          </w:tcPr>
          <w:p w:rsidR="00F50C2C" w:rsidRPr="00AA0FCA" w:rsidRDefault="00F50C2C" w:rsidP="00ED4F78">
            <w:pPr>
              <w:jc w:val="center"/>
              <w:rPr>
                <w:sz w:val="20"/>
              </w:rPr>
            </w:pPr>
            <w:r w:rsidRPr="00AA0FCA">
              <w:rPr>
                <w:sz w:val="20"/>
              </w:rPr>
              <w:t>2</w:t>
            </w:r>
          </w:p>
        </w:tc>
      </w:tr>
      <w:tr w:rsidR="00F50C2C" w:rsidRPr="00AA0FCA" w:rsidTr="00ED4F78">
        <w:tc>
          <w:tcPr>
            <w:tcW w:w="2840" w:type="dxa"/>
            <w:vMerge w:val="restart"/>
            <w:vAlign w:val="center"/>
          </w:tcPr>
          <w:p w:rsidR="00F50C2C" w:rsidRPr="00AA0FCA" w:rsidRDefault="00F50C2C" w:rsidP="00ED4F78">
            <w:pPr>
              <w:jc w:val="center"/>
              <w:rPr>
                <w:sz w:val="20"/>
              </w:rPr>
            </w:pPr>
            <w:r w:rsidRPr="00AA0FCA">
              <w:rPr>
                <w:sz w:val="20"/>
              </w:rPr>
              <w:t>DFID</w:t>
            </w:r>
          </w:p>
        </w:tc>
        <w:tc>
          <w:tcPr>
            <w:tcW w:w="2841" w:type="dxa"/>
            <w:vAlign w:val="center"/>
          </w:tcPr>
          <w:p w:rsidR="00F50C2C" w:rsidRPr="00AA0FCA" w:rsidRDefault="00F50C2C" w:rsidP="00ED4F78">
            <w:pPr>
              <w:jc w:val="center"/>
              <w:rPr>
                <w:sz w:val="20"/>
              </w:rPr>
            </w:pPr>
            <w:r w:rsidRPr="00AA0FCA">
              <w:rPr>
                <w:sz w:val="20"/>
              </w:rPr>
              <w:t>Senior Management</w:t>
            </w:r>
          </w:p>
        </w:tc>
        <w:tc>
          <w:tcPr>
            <w:tcW w:w="4208" w:type="dxa"/>
            <w:vAlign w:val="center"/>
          </w:tcPr>
          <w:p w:rsidR="00F50C2C" w:rsidRPr="00AA0FCA" w:rsidRDefault="00F50C2C" w:rsidP="00ED4F78">
            <w:pPr>
              <w:jc w:val="center"/>
              <w:rPr>
                <w:sz w:val="20"/>
              </w:rPr>
            </w:pPr>
            <w:r w:rsidRPr="00AA0FCA">
              <w:rPr>
                <w:sz w:val="20"/>
              </w:rPr>
              <w:t>4</w:t>
            </w:r>
          </w:p>
        </w:tc>
      </w:tr>
      <w:tr w:rsidR="00F50C2C" w:rsidRPr="00AA0FCA" w:rsidTr="00ED4F78">
        <w:tc>
          <w:tcPr>
            <w:tcW w:w="2840" w:type="dxa"/>
            <w:vMerge/>
            <w:vAlign w:val="center"/>
          </w:tcPr>
          <w:p w:rsidR="00F50C2C" w:rsidRPr="00AA0FCA" w:rsidRDefault="00F50C2C" w:rsidP="00ED4F78">
            <w:pPr>
              <w:jc w:val="center"/>
              <w:rPr>
                <w:sz w:val="20"/>
              </w:rPr>
            </w:pPr>
          </w:p>
        </w:tc>
        <w:tc>
          <w:tcPr>
            <w:tcW w:w="2841" w:type="dxa"/>
            <w:vAlign w:val="center"/>
          </w:tcPr>
          <w:p w:rsidR="00F50C2C" w:rsidRPr="00AA0FCA" w:rsidRDefault="00F50C2C" w:rsidP="00ED4F78">
            <w:pPr>
              <w:jc w:val="center"/>
              <w:rPr>
                <w:sz w:val="20"/>
              </w:rPr>
            </w:pPr>
            <w:r w:rsidRPr="00AA0FCA">
              <w:rPr>
                <w:sz w:val="20"/>
              </w:rPr>
              <w:t>ICAI Link Team</w:t>
            </w:r>
          </w:p>
        </w:tc>
        <w:tc>
          <w:tcPr>
            <w:tcW w:w="4208" w:type="dxa"/>
            <w:vAlign w:val="center"/>
          </w:tcPr>
          <w:p w:rsidR="00F50C2C" w:rsidRPr="00AA0FCA" w:rsidRDefault="00F50C2C" w:rsidP="00ED4F78">
            <w:pPr>
              <w:jc w:val="center"/>
              <w:rPr>
                <w:sz w:val="20"/>
              </w:rPr>
            </w:pPr>
            <w:r w:rsidRPr="00AA0FCA">
              <w:rPr>
                <w:sz w:val="20"/>
              </w:rPr>
              <w:t>2</w:t>
            </w:r>
          </w:p>
        </w:tc>
      </w:tr>
      <w:tr w:rsidR="00F50C2C" w:rsidRPr="00AA0FCA" w:rsidTr="00ED4F78">
        <w:tc>
          <w:tcPr>
            <w:tcW w:w="2840" w:type="dxa"/>
            <w:vMerge/>
            <w:vAlign w:val="center"/>
          </w:tcPr>
          <w:p w:rsidR="00F50C2C" w:rsidRPr="00AA0FCA" w:rsidRDefault="00F50C2C" w:rsidP="00ED4F78">
            <w:pPr>
              <w:jc w:val="center"/>
              <w:rPr>
                <w:sz w:val="20"/>
              </w:rPr>
            </w:pPr>
          </w:p>
        </w:tc>
        <w:tc>
          <w:tcPr>
            <w:tcW w:w="2841" w:type="dxa"/>
            <w:vAlign w:val="center"/>
          </w:tcPr>
          <w:p w:rsidR="00F50C2C" w:rsidRPr="00AA0FCA" w:rsidRDefault="00F50C2C" w:rsidP="00ED4F78">
            <w:pPr>
              <w:jc w:val="center"/>
              <w:rPr>
                <w:sz w:val="20"/>
              </w:rPr>
            </w:pPr>
            <w:r w:rsidRPr="00AA0FCA">
              <w:rPr>
                <w:sz w:val="20"/>
              </w:rPr>
              <w:t>ICAI Review Team Staff</w:t>
            </w:r>
          </w:p>
        </w:tc>
        <w:tc>
          <w:tcPr>
            <w:tcW w:w="4208" w:type="dxa"/>
            <w:vAlign w:val="center"/>
          </w:tcPr>
          <w:p w:rsidR="00F50C2C" w:rsidRPr="00AA0FCA" w:rsidRDefault="00F50C2C" w:rsidP="00ED4F78">
            <w:pPr>
              <w:jc w:val="center"/>
              <w:rPr>
                <w:sz w:val="20"/>
              </w:rPr>
            </w:pPr>
            <w:r>
              <w:rPr>
                <w:sz w:val="20"/>
              </w:rPr>
              <w:t>6</w:t>
            </w:r>
          </w:p>
        </w:tc>
      </w:tr>
      <w:tr w:rsidR="00F50C2C" w:rsidRPr="00AA0FCA" w:rsidTr="00ED4F78">
        <w:tc>
          <w:tcPr>
            <w:tcW w:w="2840" w:type="dxa"/>
            <w:vMerge/>
            <w:vAlign w:val="center"/>
          </w:tcPr>
          <w:p w:rsidR="00F50C2C" w:rsidRPr="00AA0FCA" w:rsidRDefault="00F50C2C" w:rsidP="00ED4F78">
            <w:pPr>
              <w:jc w:val="center"/>
              <w:rPr>
                <w:sz w:val="20"/>
              </w:rPr>
            </w:pPr>
          </w:p>
        </w:tc>
        <w:tc>
          <w:tcPr>
            <w:tcW w:w="2841" w:type="dxa"/>
            <w:vAlign w:val="center"/>
          </w:tcPr>
          <w:p w:rsidR="00F50C2C" w:rsidRPr="00AA0FCA" w:rsidRDefault="00F50C2C" w:rsidP="00ED4F78">
            <w:pPr>
              <w:jc w:val="center"/>
              <w:rPr>
                <w:sz w:val="20"/>
              </w:rPr>
            </w:pPr>
            <w:r w:rsidRPr="00AA0FCA">
              <w:rPr>
                <w:sz w:val="20"/>
              </w:rPr>
              <w:t>Other DFID</w:t>
            </w:r>
          </w:p>
        </w:tc>
        <w:tc>
          <w:tcPr>
            <w:tcW w:w="4208" w:type="dxa"/>
            <w:vAlign w:val="center"/>
          </w:tcPr>
          <w:p w:rsidR="00F50C2C" w:rsidRPr="00AA0FCA" w:rsidRDefault="00F50C2C" w:rsidP="00ED4F78">
            <w:pPr>
              <w:jc w:val="center"/>
              <w:rPr>
                <w:sz w:val="20"/>
              </w:rPr>
            </w:pPr>
            <w:r w:rsidRPr="00AA0FCA">
              <w:rPr>
                <w:sz w:val="20"/>
              </w:rPr>
              <w:t>1</w:t>
            </w:r>
          </w:p>
        </w:tc>
      </w:tr>
      <w:tr w:rsidR="00F50C2C" w:rsidRPr="00AA0FCA" w:rsidTr="00ED4F78">
        <w:tc>
          <w:tcPr>
            <w:tcW w:w="2840" w:type="dxa"/>
            <w:vMerge w:val="restart"/>
            <w:vAlign w:val="center"/>
          </w:tcPr>
          <w:p w:rsidR="00F50C2C" w:rsidRPr="00AA0FCA" w:rsidRDefault="00F50C2C" w:rsidP="00ED4F78">
            <w:pPr>
              <w:jc w:val="center"/>
              <w:rPr>
                <w:sz w:val="20"/>
              </w:rPr>
            </w:pPr>
            <w:r w:rsidRPr="00AA0FCA">
              <w:rPr>
                <w:sz w:val="20"/>
              </w:rPr>
              <w:t>Other Government Departments</w:t>
            </w:r>
          </w:p>
        </w:tc>
        <w:tc>
          <w:tcPr>
            <w:tcW w:w="2841" w:type="dxa"/>
            <w:vAlign w:val="center"/>
          </w:tcPr>
          <w:p w:rsidR="00F50C2C" w:rsidRPr="00AA0FCA" w:rsidRDefault="00F50C2C" w:rsidP="00ED4F78">
            <w:pPr>
              <w:jc w:val="center"/>
              <w:rPr>
                <w:sz w:val="20"/>
              </w:rPr>
            </w:pPr>
            <w:r w:rsidRPr="00AA0FCA">
              <w:rPr>
                <w:sz w:val="20"/>
              </w:rPr>
              <w:t>FCO</w:t>
            </w:r>
          </w:p>
        </w:tc>
        <w:tc>
          <w:tcPr>
            <w:tcW w:w="4208" w:type="dxa"/>
            <w:vAlign w:val="center"/>
          </w:tcPr>
          <w:p w:rsidR="00F50C2C" w:rsidRPr="00AA0FCA" w:rsidRDefault="00F50C2C" w:rsidP="00ED4F78">
            <w:pPr>
              <w:jc w:val="center"/>
              <w:rPr>
                <w:sz w:val="20"/>
              </w:rPr>
            </w:pPr>
            <w:r w:rsidRPr="00AA0FCA">
              <w:rPr>
                <w:sz w:val="20"/>
              </w:rPr>
              <w:t>2</w:t>
            </w:r>
          </w:p>
        </w:tc>
      </w:tr>
      <w:tr w:rsidR="00F50C2C" w:rsidRPr="00AA0FCA" w:rsidTr="00ED4F78">
        <w:tc>
          <w:tcPr>
            <w:tcW w:w="2840" w:type="dxa"/>
            <w:vMerge/>
            <w:vAlign w:val="center"/>
          </w:tcPr>
          <w:p w:rsidR="00F50C2C" w:rsidRPr="00AA0FCA" w:rsidRDefault="00F50C2C" w:rsidP="00ED4F78">
            <w:pPr>
              <w:jc w:val="center"/>
              <w:rPr>
                <w:sz w:val="20"/>
              </w:rPr>
            </w:pPr>
          </w:p>
        </w:tc>
        <w:tc>
          <w:tcPr>
            <w:tcW w:w="2841" w:type="dxa"/>
            <w:vAlign w:val="center"/>
          </w:tcPr>
          <w:p w:rsidR="00F50C2C" w:rsidRPr="00AA0FCA" w:rsidRDefault="00F50C2C" w:rsidP="00ED4F78">
            <w:pPr>
              <w:jc w:val="center"/>
              <w:rPr>
                <w:sz w:val="20"/>
              </w:rPr>
            </w:pPr>
            <w:r w:rsidRPr="00AA0FCA">
              <w:rPr>
                <w:sz w:val="20"/>
              </w:rPr>
              <w:t>BEIS</w:t>
            </w:r>
          </w:p>
        </w:tc>
        <w:tc>
          <w:tcPr>
            <w:tcW w:w="4208" w:type="dxa"/>
            <w:vAlign w:val="center"/>
          </w:tcPr>
          <w:p w:rsidR="00F50C2C" w:rsidRPr="00AA0FCA" w:rsidRDefault="00F50C2C" w:rsidP="00ED4F78">
            <w:pPr>
              <w:jc w:val="center"/>
              <w:rPr>
                <w:sz w:val="20"/>
              </w:rPr>
            </w:pPr>
            <w:r w:rsidRPr="00AA0FCA">
              <w:rPr>
                <w:sz w:val="20"/>
              </w:rPr>
              <w:t>2</w:t>
            </w:r>
          </w:p>
        </w:tc>
      </w:tr>
      <w:tr w:rsidR="00F50C2C" w:rsidRPr="00AA0FCA" w:rsidTr="00ED4F78">
        <w:tc>
          <w:tcPr>
            <w:tcW w:w="2840" w:type="dxa"/>
            <w:vMerge/>
            <w:vAlign w:val="center"/>
          </w:tcPr>
          <w:p w:rsidR="00F50C2C" w:rsidRPr="00AA0FCA" w:rsidRDefault="00F50C2C" w:rsidP="00ED4F78">
            <w:pPr>
              <w:jc w:val="center"/>
              <w:rPr>
                <w:sz w:val="20"/>
              </w:rPr>
            </w:pPr>
          </w:p>
        </w:tc>
        <w:tc>
          <w:tcPr>
            <w:tcW w:w="2841" w:type="dxa"/>
            <w:vAlign w:val="center"/>
          </w:tcPr>
          <w:p w:rsidR="00F50C2C" w:rsidRPr="00AA0FCA" w:rsidRDefault="00F50C2C" w:rsidP="00ED4F78">
            <w:pPr>
              <w:jc w:val="center"/>
              <w:rPr>
                <w:sz w:val="20"/>
              </w:rPr>
            </w:pPr>
            <w:r>
              <w:rPr>
                <w:sz w:val="20"/>
              </w:rPr>
              <w:t>Cabinet</w:t>
            </w:r>
            <w:r w:rsidRPr="00AA0FCA">
              <w:rPr>
                <w:sz w:val="20"/>
              </w:rPr>
              <w:t xml:space="preserve"> Office</w:t>
            </w:r>
          </w:p>
        </w:tc>
        <w:tc>
          <w:tcPr>
            <w:tcW w:w="4208" w:type="dxa"/>
            <w:vAlign w:val="center"/>
          </w:tcPr>
          <w:p w:rsidR="00F50C2C" w:rsidRPr="00AA0FCA" w:rsidRDefault="00F50C2C" w:rsidP="00ED4F78">
            <w:pPr>
              <w:jc w:val="center"/>
              <w:rPr>
                <w:sz w:val="20"/>
              </w:rPr>
            </w:pPr>
            <w:r w:rsidRPr="00AA0FCA">
              <w:rPr>
                <w:sz w:val="20"/>
              </w:rPr>
              <w:t>1</w:t>
            </w:r>
          </w:p>
        </w:tc>
      </w:tr>
      <w:tr w:rsidR="00F50C2C" w:rsidRPr="00AA0FCA" w:rsidTr="00ED4F78">
        <w:tc>
          <w:tcPr>
            <w:tcW w:w="2840" w:type="dxa"/>
            <w:vMerge/>
            <w:vAlign w:val="center"/>
          </w:tcPr>
          <w:p w:rsidR="00F50C2C" w:rsidRPr="00AA0FCA" w:rsidRDefault="00F50C2C" w:rsidP="00ED4F78">
            <w:pPr>
              <w:jc w:val="center"/>
              <w:rPr>
                <w:sz w:val="20"/>
              </w:rPr>
            </w:pPr>
          </w:p>
        </w:tc>
        <w:tc>
          <w:tcPr>
            <w:tcW w:w="2841" w:type="dxa"/>
            <w:vAlign w:val="center"/>
          </w:tcPr>
          <w:p w:rsidR="00F50C2C" w:rsidRPr="00AA0FCA" w:rsidRDefault="00F50C2C" w:rsidP="00ED4F78">
            <w:pPr>
              <w:jc w:val="center"/>
              <w:rPr>
                <w:sz w:val="20"/>
              </w:rPr>
            </w:pPr>
            <w:r w:rsidRPr="00AA0FCA">
              <w:rPr>
                <w:sz w:val="20"/>
              </w:rPr>
              <w:t>MoD</w:t>
            </w:r>
          </w:p>
        </w:tc>
        <w:tc>
          <w:tcPr>
            <w:tcW w:w="4208" w:type="dxa"/>
            <w:vAlign w:val="center"/>
          </w:tcPr>
          <w:p w:rsidR="00F50C2C" w:rsidRPr="00AA0FCA" w:rsidRDefault="00F50C2C" w:rsidP="00ED4F78">
            <w:pPr>
              <w:jc w:val="center"/>
              <w:rPr>
                <w:sz w:val="20"/>
              </w:rPr>
            </w:pPr>
            <w:r w:rsidRPr="00AA0FCA">
              <w:rPr>
                <w:sz w:val="20"/>
              </w:rPr>
              <w:t>1</w:t>
            </w:r>
          </w:p>
        </w:tc>
      </w:tr>
      <w:tr w:rsidR="00F50C2C" w:rsidRPr="00AA0FCA" w:rsidTr="00ED4F78">
        <w:tc>
          <w:tcPr>
            <w:tcW w:w="2840" w:type="dxa"/>
            <w:vMerge/>
            <w:vAlign w:val="center"/>
          </w:tcPr>
          <w:p w:rsidR="00F50C2C" w:rsidRPr="00AA0FCA" w:rsidRDefault="00F50C2C" w:rsidP="00ED4F78">
            <w:pPr>
              <w:jc w:val="center"/>
              <w:rPr>
                <w:sz w:val="20"/>
              </w:rPr>
            </w:pPr>
          </w:p>
        </w:tc>
        <w:tc>
          <w:tcPr>
            <w:tcW w:w="2841" w:type="dxa"/>
            <w:vAlign w:val="center"/>
          </w:tcPr>
          <w:p w:rsidR="00F50C2C" w:rsidRPr="00AA0FCA" w:rsidRDefault="00F50C2C" w:rsidP="00ED4F78">
            <w:pPr>
              <w:jc w:val="center"/>
              <w:rPr>
                <w:sz w:val="20"/>
              </w:rPr>
            </w:pPr>
            <w:r>
              <w:rPr>
                <w:sz w:val="20"/>
              </w:rPr>
              <w:t>Home Office</w:t>
            </w:r>
          </w:p>
        </w:tc>
        <w:tc>
          <w:tcPr>
            <w:tcW w:w="4208" w:type="dxa"/>
            <w:vAlign w:val="center"/>
          </w:tcPr>
          <w:p w:rsidR="00F50C2C" w:rsidRPr="00AA0FCA" w:rsidRDefault="00F50C2C" w:rsidP="00ED4F78">
            <w:pPr>
              <w:jc w:val="center"/>
              <w:rPr>
                <w:sz w:val="20"/>
              </w:rPr>
            </w:pPr>
            <w:r>
              <w:rPr>
                <w:sz w:val="20"/>
              </w:rPr>
              <w:t>2</w:t>
            </w:r>
          </w:p>
        </w:tc>
      </w:tr>
      <w:tr w:rsidR="00F50C2C" w:rsidRPr="00AA0FCA" w:rsidTr="00ED4F78">
        <w:tc>
          <w:tcPr>
            <w:tcW w:w="2840" w:type="dxa"/>
            <w:vMerge/>
            <w:vAlign w:val="center"/>
          </w:tcPr>
          <w:p w:rsidR="00F50C2C" w:rsidRPr="00AA0FCA" w:rsidRDefault="00F50C2C" w:rsidP="00ED4F78">
            <w:pPr>
              <w:jc w:val="center"/>
              <w:rPr>
                <w:sz w:val="20"/>
              </w:rPr>
            </w:pPr>
          </w:p>
        </w:tc>
        <w:tc>
          <w:tcPr>
            <w:tcW w:w="2841" w:type="dxa"/>
            <w:vAlign w:val="center"/>
          </w:tcPr>
          <w:p w:rsidR="00F50C2C" w:rsidRPr="00AA0FCA" w:rsidRDefault="00F50C2C" w:rsidP="00ED4F78">
            <w:pPr>
              <w:jc w:val="center"/>
              <w:rPr>
                <w:sz w:val="20"/>
              </w:rPr>
            </w:pPr>
            <w:r w:rsidRPr="00AA0FCA">
              <w:rPr>
                <w:sz w:val="20"/>
              </w:rPr>
              <w:t>DoH</w:t>
            </w:r>
          </w:p>
        </w:tc>
        <w:tc>
          <w:tcPr>
            <w:tcW w:w="4208" w:type="dxa"/>
            <w:vAlign w:val="center"/>
          </w:tcPr>
          <w:p w:rsidR="00F50C2C" w:rsidRPr="00AA0FCA" w:rsidRDefault="00F50C2C" w:rsidP="00ED4F78">
            <w:pPr>
              <w:jc w:val="center"/>
              <w:rPr>
                <w:sz w:val="20"/>
              </w:rPr>
            </w:pPr>
            <w:r w:rsidRPr="00AA0FCA">
              <w:rPr>
                <w:sz w:val="20"/>
              </w:rPr>
              <w:t>1</w:t>
            </w:r>
          </w:p>
        </w:tc>
      </w:tr>
      <w:tr w:rsidR="00F50C2C" w:rsidRPr="00AA0FCA" w:rsidTr="00ED4F78">
        <w:tc>
          <w:tcPr>
            <w:tcW w:w="2840" w:type="dxa"/>
            <w:vMerge/>
            <w:vAlign w:val="center"/>
          </w:tcPr>
          <w:p w:rsidR="00F50C2C" w:rsidRPr="00AA0FCA" w:rsidRDefault="00F50C2C" w:rsidP="00ED4F78">
            <w:pPr>
              <w:jc w:val="center"/>
              <w:rPr>
                <w:sz w:val="20"/>
              </w:rPr>
            </w:pPr>
          </w:p>
        </w:tc>
        <w:tc>
          <w:tcPr>
            <w:tcW w:w="2841" w:type="dxa"/>
            <w:vAlign w:val="center"/>
          </w:tcPr>
          <w:p w:rsidR="00F50C2C" w:rsidRPr="00AA0FCA" w:rsidRDefault="00F50C2C" w:rsidP="00ED4F78">
            <w:pPr>
              <w:jc w:val="center"/>
              <w:rPr>
                <w:sz w:val="20"/>
              </w:rPr>
            </w:pPr>
            <w:r w:rsidRPr="00AA0FCA">
              <w:rPr>
                <w:sz w:val="20"/>
              </w:rPr>
              <w:t>HMT</w:t>
            </w:r>
          </w:p>
        </w:tc>
        <w:tc>
          <w:tcPr>
            <w:tcW w:w="4208" w:type="dxa"/>
            <w:vAlign w:val="center"/>
          </w:tcPr>
          <w:p w:rsidR="00F50C2C" w:rsidRPr="00AA0FCA" w:rsidRDefault="00F50C2C" w:rsidP="00ED4F78">
            <w:pPr>
              <w:jc w:val="center"/>
              <w:rPr>
                <w:sz w:val="20"/>
              </w:rPr>
            </w:pPr>
            <w:r w:rsidRPr="00AA0FCA">
              <w:rPr>
                <w:sz w:val="20"/>
              </w:rPr>
              <w:t>1</w:t>
            </w:r>
          </w:p>
        </w:tc>
      </w:tr>
      <w:tr w:rsidR="00F50C2C" w:rsidRPr="00AA0FCA" w:rsidTr="00ED4F78">
        <w:tc>
          <w:tcPr>
            <w:tcW w:w="2840" w:type="dxa"/>
            <w:vMerge w:val="restart"/>
            <w:vAlign w:val="center"/>
          </w:tcPr>
          <w:p w:rsidR="00F50C2C" w:rsidRPr="00AA0FCA" w:rsidRDefault="00F50C2C" w:rsidP="00ED4F78">
            <w:pPr>
              <w:jc w:val="center"/>
              <w:rPr>
                <w:sz w:val="20"/>
              </w:rPr>
            </w:pPr>
            <w:r w:rsidRPr="00AA0FCA">
              <w:rPr>
                <w:sz w:val="20"/>
              </w:rPr>
              <w:t>NGO’s</w:t>
            </w:r>
          </w:p>
        </w:tc>
        <w:tc>
          <w:tcPr>
            <w:tcW w:w="2841" w:type="dxa"/>
            <w:vAlign w:val="center"/>
          </w:tcPr>
          <w:p w:rsidR="00F50C2C" w:rsidRPr="00AA0FCA" w:rsidRDefault="00F50C2C" w:rsidP="00ED4F78">
            <w:pPr>
              <w:jc w:val="center"/>
              <w:rPr>
                <w:sz w:val="20"/>
              </w:rPr>
            </w:pPr>
            <w:r w:rsidRPr="00AA0FCA">
              <w:rPr>
                <w:sz w:val="20"/>
              </w:rPr>
              <w:t>Oxfam</w:t>
            </w:r>
          </w:p>
        </w:tc>
        <w:tc>
          <w:tcPr>
            <w:tcW w:w="4208" w:type="dxa"/>
            <w:vAlign w:val="center"/>
          </w:tcPr>
          <w:p w:rsidR="00F50C2C" w:rsidRPr="00AA0FCA" w:rsidRDefault="00F50C2C" w:rsidP="00ED4F78">
            <w:pPr>
              <w:jc w:val="center"/>
              <w:rPr>
                <w:sz w:val="20"/>
              </w:rPr>
            </w:pPr>
            <w:r w:rsidRPr="00AA0FCA">
              <w:rPr>
                <w:sz w:val="20"/>
              </w:rPr>
              <w:t>1</w:t>
            </w:r>
          </w:p>
        </w:tc>
      </w:tr>
      <w:tr w:rsidR="00F50C2C" w:rsidRPr="00AA0FCA" w:rsidTr="00ED4F78">
        <w:tc>
          <w:tcPr>
            <w:tcW w:w="2840" w:type="dxa"/>
            <w:vMerge/>
            <w:vAlign w:val="center"/>
          </w:tcPr>
          <w:p w:rsidR="00F50C2C" w:rsidRPr="00AA0FCA" w:rsidRDefault="00F50C2C" w:rsidP="00ED4F78">
            <w:pPr>
              <w:jc w:val="center"/>
              <w:rPr>
                <w:sz w:val="20"/>
              </w:rPr>
            </w:pPr>
          </w:p>
        </w:tc>
        <w:tc>
          <w:tcPr>
            <w:tcW w:w="2841" w:type="dxa"/>
            <w:vAlign w:val="center"/>
          </w:tcPr>
          <w:p w:rsidR="00F50C2C" w:rsidRPr="00AA0FCA" w:rsidRDefault="00F50C2C" w:rsidP="00ED4F78">
            <w:pPr>
              <w:jc w:val="center"/>
              <w:rPr>
                <w:sz w:val="20"/>
              </w:rPr>
            </w:pPr>
            <w:r w:rsidRPr="00AA0FCA">
              <w:rPr>
                <w:sz w:val="20"/>
              </w:rPr>
              <w:t>UK Aid Network</w:t>
            </w:r>
          </w:p>
        </w:tc>
        <w:tc>
          <w:tcPr>
            <w:tcW w:w="4208" w:type="dxa"/>
            <w:vAlign w:val="center"/>
          </w:tcPr>
          <w:p w:rsidR="00F50C2C" w:rsidRPr="00AA0FCA" w:rsidRDefault="00F50C2C" w:rsidP="00ED4F78">
            <w:pPr>
              <w:jc w:val="center"/>
              <w:rPr>
                <w:sz w:val="20"/>
              </w:rPr>
            </w:pPr>
            <w:r w:rsidRPr="00AA0FCA">
              <w:rPr>
                <w:sz w:val="20"/>
              </w:rPr>
              <w:t>1</w:t>
            </w:r>
          </w:p>
        </w:tc>
      </w:tr>
      <w:tr w:rsidR="00F50C2C" w:rsidRPr="00AA0FCA" w:rsidTr="00ED4F78">
        <w:tc>
          <w:tcPr>
            <w:tcW w:w="2840" w:type="dxa"/>
            <w:vMerge/>
            <w:vAlign w:val="center"/>
          </w:tcPr>
          <w:p w:rsidR="00F50C2C" w:rsidRPr="00AA0FCA" w:rsidRDefault="00F50C2C" w:rsidP="00ED4F78">
            <w:pPr>
              <w:jc w:val="center"/>
              <w:rPr>
                <w:sz w:val="20"/>
              </w:rPr>
            </w:pPr>
          </w:p>
        </w:tc>
        <w:tc>
          <w:tcPr>
            <w:tcW w:w="2841" w:type="dxa"/>
            <w:vAlign w:val="center"/>
          </w:tcPr>
          <w:p w:rsidR="00F50C2C" w:rsidRPr="00AA0FCA" w:rsidRDefault="00F50C2C" w:rsidP="00ED4F78">
            <w:pPr>
              <w:jc w:val="center"/>
              <w:rPr>
                <w:sz w:val="20"/>
              </w:rPr>
            </w:pPr>
            <w:r>
              <w:rPr>
                <w:sz w:val="20"/>
              </w:rPr>
              <w:t>ActionAid</w:t>
            </w:r>
          </w:p>
        </w:tc>
        <w:tc>
          <w:tcPr>
            <w:tcW w:w="4208" w:type="dxa"/>
            <w:vAlign w:val="center"/>
          </w:tcPr>
          <w:p w:rsidR="00F50C2C" w:rsidRPr="00AA0FCA" w:rsidRDefault="00F50C2C" w:rsidP="00ED4F78">
            <w:pPr>
              <w:jc w:val="center"/>
              <w:rPr>
                <w:sz w:val="20"/>
              </w:rPr>
            </w:pPr>
            <w:r>
              <w:rPr>
                <w:sz w:val="20"/>
              </w:rPr>
              <w:t>1</w:t>
            </w:r>
          </w:p>
        </w:tc>
      </w:tr>
      <w:tr w:rsidR="00F50C2C" w:rsidRPr="00AA0FCA" w:rsidTr="00ED4F78">
        <w:tc>
          <w:tcPr>
            <w:tcW w:w="2840" w:type="dxa"/>
            <w:vMerge/>
            <w:vAlign w:val="center"/>
          </w:tcPr>
          <w:p w:rsidR="00F50C2C" w:rsidRPr="00AA0FCA" w:rsidRDefault="00F50C2C" w:rsidP="00ED4F78">
            <w:pPr>
              <w:jc w:val="center"/>
              <w:rPr>
                <w:sz w:val="20"/>
              </w:rPr>
            </w:pPr>
          </w:p>
        </w:tc>
        <w:tc>
          <w:tcPr>
            <w:tcW w:w="2841" w:type="dxa"/>
            <w:vAlign w:val="center"/>
          </w:tcPr>
          <w:p w:rsidR="00F50C2C" w:rsidRPr="00AA0FCA" w:rsidRDefault="00F50C2C" w:rsidP="00ED4F78">
            <w:pPr>
              <w:jc w:val="center"/>
              <w:rPr>
                <w:sz w:val="20"/>
              </w:rPr>
            </w:pPr>
            <w:r w:rsidRPr="00AA0FCA">
              <w:rPr>
                <w:sz w:val="20"/>
              </w:rPr>
              <w:t>WaterAid</w:t>
            </w:r>
          </w:p>
        </w:tc>
        <w:tc>
          <w:tcPr>
            <w:tcW w:w="4208" w:type="dxa"/>
            <w:vAlign w:val="center"/>
          </w:tcPr>
          <w:p w:rsidR="00F50C2C" w:rsidRPr="00AA0FCA" w:rsidRDefault="00F50C2C" w:rsidP="00ED4F78">
            <w:pPr>
              <w:jc w:val="center"/>
              <w:rPr>
                <w:sz w:val="20"/>
              </w:rPr>
            </w:pPr>
            <w:r w:rsidRPr="00AA0FCA">
              <w:rPr>
                <w:sz w:val="20"/>
              </w:rPr>
              <w:t>1</w:t>
            </w:r>
          </w:p>
        </w:tc>
      </w:tr>
      <w:tr w:rsidR="00F50C2C" w:rsidRPr="00AA0FCA" w:rsidTr="00ED4F78">
        <w:tc>
          <w:tcPr>
            <w:tcW w:w="2840" w:type="dxa"/>
            <w:vMerge w:val="restart"/>
            <w:vAlign w:val="center"/>
          </w:tcPr>
          <w:p w:rsidR="00F50C2C" w:rsidRPr="00AA0FCA" w:rsidRDefault="00F50C2C" w:rsidP="00ED4F78">
            <w:pPr>
              <w:jc w:val="center"/>
              <w:rPr>
                <w:sz w:val="20"/>
              </w:rPr>
            </w:pPr>
            <w:r>
              <w:rPr>
                <w:sz w:val="20"/>
              </w:rPr>
              <w:t>Other</w:t>
            </w:r>
          </w:p>
        </w:tc>
        <w:tc>
          <w:tcPr>
            <w:tcW w:w="2841" w:type="dxa"/>
            <w:vAlign w:val="center"/>
          </w:tcPr>
          <w:p w:rsidR="00F50C2C" w:rsidRPr="00AA0FCA" w:rsidRDefault="00F50C2C" w:rsidP="00ED4F78">
            <w:pPr>
              <w:jc w:val="center"/>
              <w:rPr>
                <w:sz w:val="20"/>
              </w:rPr>
            </w:pPr>
            <w:r>
              <w:rPr>
                <w:sz w:val="20"/>
              </w:rPr>
              <w:t>NAO</w:t>
            </w:r>
          </w:p>
        </w:tc>
        <w:tc>
          <w:tcPr>
            <w:tcW w:w="4208" w:type="dxa"/>
            <w:vAlign w:val="center"/>
          </w:tcPr>
          <w:p w:rsidR="00F50C2C" w:rsidRPr="00AA0FCA" w:rsidRDefault="00F50C2C" w:rsidP="00ED4F78">
            <w:pPr>
              <w:jc w:val="center"/>
              <w:rPr>
                <w:sz w:val="20"/>
              </w:rPr>
            </w:pPr>
            <w:r>
              <w:rPr>
                <w:sz w:val="20"/>
              </w:rPr>
              <w:t>1</w:t>
            </w:r>
          </w:p>
        </w:tc>
      </w:tr>
      <w:tr w:rsidR="00F50C2C" w:rsidRPr="00AA0FCA" w:rsidTr="00ED4F78">
        <w:tc>
          <w:tcPr>
            <w:tcW w:w="2840" w:type="dxa"/>
            <w:vMerge/>
            <w:vAlign w:val="center"/>
          </w:tcPr>
          <w:p w:rsidR="00F50C2C" w:rsidRDefault="00F50C2C" w:rsidP="00ED4F78">
            <w:pPr>
              <w:jc w:val="center"/>
              <w:rPr>
                <w:sz w:val="20"/>
              </w:rPr>
            </w:pPr>
          </w:p>
        </w:tc>
        <w:tc>
          <w:tcPr>
            <w:tcW w:w="2841" w:type="dxa"/>
            <w:vAlign w:val="center"/>
          </w:tcPr>
          <w:p w:rsidR="00F50C2C" w:rsidRDefault="00F50C2C" w:rsidP="00ED4F78">
            <w:pPr>
              <w:jc w:val="center"/>
              <w:rPr>
                <w:sz w:val="20"/>
              </w:rPr>
            </w:pPr>
            <w:r>
              <w:rPr>
                <w:sz w:val="20"/>
              </w:rPr>
              <w:t>British Expertise</w:t>
            </w:r>
          </w:p>
        </w:tc>
        <w:tc>
          <w:tcPr>
            <w:tcW w:w="4208" w:type="dxa"/>
            <w:vAlign w:val="center"/>
          </w:tcPr>
          <w:p w:rsidR="00F50C2C" w:rsidRDefault="00F50C2C" w:rsidP="00ED4F78">
            <w:pPr>
              <w:jc w:val="center"/>
              <w:rPr>
                <w:sz w:val="20"/>
              </w:rPr>
            </w:pPr>
            <w:r>
              <w:rPr>
                <w:sz w:val="20"/>
              </w:rPr>
              <w:t>1</w:t>
            </w:r>
          </w:p>
        </w:tc>
      </w:tr>
      <w:tr w:rsidR="00F50C2C" w:rsidRPr="00AA0FCA" w:rsidTr="00ED4F78">
        <w:tc>
          <w:tcPr>
            <w:tcW w:w="5681" w:type="dxa"/>
            <w:gridSpan w:val="2"/>
            <w:vAlign w:val="center"/>
          </w:tcPr>
          <w:p w:rsidR="00F50C2C" w:rsidRPr="00AA0FCA" w:rsidRDefault="00F50C2C" w:rsidP="00ED4F78">
            <w:pPr>
              <w:jc w:val="center"/>
              <w:rPr>
                <w:b/>
                <w:i/>
                <w:sz w:val="20"/>
              </w:rPr>
            </w:pPr>
            <w:r w:rsidRPr="00AA0FCA">
              <w:rPr>
                <w:b/>
                <w:i/>
                <w:sz w:val="20"/>
              </w:rPr>
              <w:t>Total</w:t>
            </w:r>
          </w:p>
        </w:tc>
        <w:tc>
          <w:tcPr>
            <w:tcW w:w="4208" w:type="dxa"/>
            <w:vAlign w:val="center"/>
          </w:tcPr>
          <w:p w:rsidR="00F50C2C" w:rsidRPr="00AA0FCA" w:rsidRDefault="00F50C2C" w:rsidP="00ED4F78">
            <w:pPr>
              <w:jc w:val="center"/>
              <w:rPr>
                <w:b/>
                <w:i/>
                <w:sz w:val="20"/>
              </w:rPr>
            </w:pPr>
            <w:r>
              <w:rPr>
                <w:b/>
                <w:i/>
                <w:sz w:val="20"/>
              </w:rPr>
              <w:t>51</w:t>
            </w:r>
          </w:p>
        </w:tc>
      </w:tr>
    </w:tbl>
    <w:p w:rsidR="00F50C2C" w:rsidRDefault="00F50C2C" w:rsidP="00F50C2C"/>
    <w:p w:rsidR="00F50C2C" w:rsidRPr="00295732" w:rsidRDefault="00F50C2C" w:rsidP="00F50C2C">
      <w:pPr>
        <w:rPr>
          <w:b/>
          <w:u w:val="single"/>
        </w:rPr>
      </w:pPr>
      <w:r w:rsidRPr="00295732">
        <w:rPr>
          <w:b/>
          <w:u w:val="single"/>
        </w:rPr>
        <w:t>Written Evidence</w:t>
      </w:r>
    </w:p>
    <w:p w:rsidR="00F50C2C" w:rsidRDefault="00F50C2C" w:rsidP="00F50C2C"/>
    <w:p w:rsidR="00F50C2C" w:rsidRDefault="00F50C2C" w:rsidP="00F50C2C">
      <w:r>
        <w:t>A further 6 stakeholders, all DFID staff who had worked on ICAI reviews, submitted written evidence to the Tailored Review.</w:t>
      </w:r>
    </w:p>
    <w:p w:rsidR="00F50C2C" w:rsidRDefault="00F50C2C" w:rsidP="00F50C2C"/>
    <w:p w:rsidR="00F50C2C" w:rsidRDefault="00F50C2C" w:rsidP="00F50C2C">
      <w:r>
        <w:t>A small number of the stakeholders who were engaged in interviews also submitted written evidence.</w:t>
      </w:r>
    </w:p>
    <w:p w:rsidR="00F50C2C" w:rsidRDefault="00F50C2C" w:rsidP="00F50C2C"/>
    <w:p w:rsidR="00F50C2C" w:rsidRPr="006F636D" w:rsidRDefault="00F50C2C" w:rsidP="00F50C2C">
      <w:pPr>
        <w:rPr>
          <w:b/>
          <w:u w:val="single"/>
        </w:rPr>
      </w:pPr>
      <w:r w:rsidRPr="006F636D">
        <w:rPr>
          <w:b/>
          <w:u w:val="single"/>
        </w:rPr>
        <w:t>NGO/CSO Workshop</w:t>
      </w:r>
    </w:p>
    <w:p w:rsidR="00F50C2C" w:rsidRDefault="00F50C2C" w:rsidP="00F50C2C"/>
    <w:p w:rsidR="00F50C2C" w:rsidRDefault="00F50C2C" w:rsidP="00F50C2C">
      <w:r>
        <w:t>A workshop for NGO’s and CSO’s was organised by BOND as part of the Tailored Review. This was attended by a further 8 stakeholders, each representing a different NGO/CSO.</w:t>
      </w:r>
    </w:p>
    <w:p w:rsidR="00F50C2C" w:rsidRDefault="00F50C2C" w:rsidP="00F50C2C"/>
    <w:p w:rsidR="00F50C2C" w:rsidRPr="004912CC" w:rsidRDefault="00F50C2C" w:rsidP="00F50C2C">
      <w:pPr>
        <w:rPr>
          <w:b/>
          <w:u w:val="single"/>
        </w:rPr>
      </w:pPr>
      <w:r w:rsidRPr="004912CC">
        <w:rPr>
          <w:b/>
          <w:u w:val="single"/>
        </w:rPr>
        <w:t>Summary</w:t>
      </w:r>
    </w:p>
    <w:p w:rsidR="00F50C2C" w:rsidRDefault="00F50C2C" w:rsidP="00F50C2C"/>
    <w:p w:rsidR="00422FCD" w:rsidRDefault="00F50C2C" w:rsidP="00F50C2C">
      <w:r>
        <w:t>In total the Tailored Review of ICAI considered evidence submitted either verbally and/or in writing from 64 stakeholders.</w:t>
      </w:r>
    </w:p>
    <w:p w:rsidR="00422FCD" w:rsidRDefault="00422FCD">
      <w:r>
        <w:br w:type="page"/>
      </w:r>
    </w:p>
    <w:p w:rsidR="00422FCD" w:rsidRPr="00F83356" w:rsidRDefault="00422FCD" w:rsidP="00422FCD">
      <w:pPr>
        <w:rPr>
          <w:b/>
          <w:color w:val="FF0000"/>
          <w:sz w:val="32"/>
        </w:rPr>
      </w:pPr>
      <w:r w:rsidRPr="00F83356">
        <w:rPr>
          <w:b/>
          <w:color w:val="FF0000"/>
          <w:sz w:val="32"/>
        </w:rPr>
        <w:t xml:space="preserve">Annex </w:t>
      </w:r>
      <w:r w:rsidR="00300E90" w:rsidRPr="00F83356">
        <w:rPr>
          <w:b/>
          <w:color w:val="FF0000"/>
          <w:sz w:val="32"/>
        </w:rPr>
        <w:t>D</w:t>
      </w:r>
      <w:r w:rsidRPr="00F83356">
        <w:rPr>
          <w:b/>
          <w:color w:val="FF0000"/>
          <w:sz w:val="32"/>
        </w:rPr>
        <w:t xml:space="preserve"> – Triennial Review of ICAI Recommendations and Implementation</w:t>
      </w:r>
    </w:p>
    <w:p w:rsidR="00422FCD" w:rsidRPr="00F83356" w:rsidRDefault="00422FCD" w:rsidP="00422FCD">
      <w:pPr>
        <w:rPr>
          <w:color w:val="FF0000"/>
        </w:rPr>
      </w:pPr>
    </w:p>
    <w:p w:rsidR="00422FCD" w:rsidRPr="00F83356" w:rsidRDefault="00422FCD" w:rsidP="00422FCD">
      <w:pPr>
        <w:rPr>
          <w:b/>
          <w:color w:val="FF0000"/>
        </w:rPr>
      </w:pPr>
      <w:r w:rsidRPr="00F83356">
        <w:rPr>
          <w:b/>
          <w:color w:val="FF0000"/>
        </w:rPr>
        <w:t>Triennial Review of ICAI Stage ii recommendations:</w:t>
      </w:r>
    </w:p>
    <w:p w:rsidR="00422FCD" w:rsidRDefault="00422FCD" w:rsidP="00422FCD"/>
    <w:tbl>
      <w:tblPr>
        <w:tblW w:w="0" w:type="auto"/>
        <w:tblInd w:w="108" w:type="dxa"/>
        <w:tblBorders>
          <w:top w:val="single" w:sz="8" w:space="0" w:color="auto"/>
          <w:bottom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539"/>
        <w:gridCol w:w="3467"/>
        <w:gridCol w:w="1874"/>
        <w:gridCol w:w="2534"/>
      </w:tblGrid>
      <w:tr w:rsidR="00422FCD" w:rsidRPr="00247C48" w:rsidTr="00ED4F78">
        <w:tc>
          <w:tcPr>
            <w:tcW w:w="539" w:type="dxa"/>
            <w:shd w:val="clear" w:color="auto" w:fill="F2F2F2" w:themeFill="background1" w:themeFillShade="F2"/>
            <w:tcMar>
              <w:top w:w="0" w:type="dxa"/>
              <w:left w:w="108" w:type="dxa"/>
              <w:bottom w:w="0" w:type="dxa"/>
              <w:right w:w="108" w:type="dxa"/>
            </w:tcMar>
            <w:vAlign w:val="center"/>
            <w:hideMark/>
          </w:tcPr>
          <w:p w:rsidR="00422FCD" w:rsidRPr="00247C48" w:rsidRDefault="00422FCD" w:rsidP="00ED4F78">
            <w:pPr>
              <w:jc w:val="center"/>
              <w:rPr>
                <w:rFonts w:cs="Arial"/>
                <w:b/>
                <w:sz w:val="20"/>
                <w:szCs w:val="20"/>
              </w:rPr>
            </w:pPr>
            <w:r w:rsidRPr="00247C48">
              <w:rPr>
                <w:rFonts w:cs="Arial"/>
                <w:b/>
                <w:sz w:val="20"/>
                <w:szCs w:val="20"/>
              </w:rPr>
              <w:t>No.</w:t>
            </w:r>
          </w:p>
        </w:tc>
        <w:tc>
          <w:tcPr>
            <w:tcW w:w="4139" w:type="dxa"/>
            <w:shd w:val="clear" w:color="auto" w:fill="F2F2F2" w:themeFill="background1" w:themeFillShade="F2"/>
            <w:tcMar>
              <w:top w:w="0" w:type="dxa"/>
              <w:left w:w="108" w:type="dxa"/>
              <w:bottom w:w="0" w:type="dxa"/>
              <w:right w:w="108" w:type="dxa"/>
            </w:tcMar>
            <w:vAlign w:val="center"/>
            <w:hideMark/>
          </w:tcPr>
          <w:p w:rsidR="00422FCD" w:rsidRPr="00247C48" w:rsidRDefault="00422FCD" w:rsidP="00ED4F78">
            <w:pPr>
              <w:jc w:val="center"/>
              <w:rPr>
                <w:rFonts w:cs="Arial"/>
                <w:b/>
                <w:sz w:val="20"/>
                <w:szCs w:val="20"/>
              </w:rPr>
            </w:pPr>
            <w:r w:rsidRPr="00247C48">
              <w:rPr>
                <w:rFonts w:cs="Arial"/>
                <w:b/>
                <w:sz w:val="20"/>
                <w:szCs w:val="20"/>
              </w:rPr>
              <w:t>Recommendation</w:t>
            </w:r>
          </w:p>
        </w:tc>
        <w:tc>
          <w:tcPr>
            <w:tcW w:w="2126" w:type="dxa"/>
            <w:shd w:val="clear" w:color="auto" w:fill="F2F2F2" w:themeFill="background1" w:themeFillShade="F2"/>
            <w:tcMar>
              <w:top w:w="0" w:type="dxa"/>
              <w:left w:w="108" w:type="dxa"/>
              <w:bottom w:w="0" w:type="dxa"/>
              <w:right w:w="108" w:type="dxa"/>
            </w:tcMar>
            <w:vAlign w:val="center"/>
            <w:hideMark/>
          </w:tcPr>
          <w:p w:rsidR="00422FCD" w:rsidRPr="00247C48" w:rsidRDefault="00422FCD" w:rsidP="00ED4F78">
            <w:pPr>
              <w:jc w:val="center"/>
              <w:rPr>
                <w:rFonts w:cs="Arial"/>
                <w:b/>
                <w:sz w:val="20"/>
                <w:szCs w:val="20"/>
              </w:rPr>
            </w:pPr>
            <w:r w:rsidRPr="00247C48">
              <w:rPr>
                <w:rFonts w:cs="Arial"/>
                <w:b/>
                <w:sz w:val="20"/>
                <w:szCs w:val="20"/>
              </w:rPr>
              <w:t>Status</w:t>
            </w:r>
            <w:r>
              <w:rPr>
                <w:rFonts w:cs="Arial"/>
                <w:b/>
                <w:sz w:val="20"/>
                <w:szCs w:val="20"/>
              </w:rPr>
              <w:t xml:space="preserve"> (C = completed, PC = partially completed, NC = not completed)</w:t>
            </w:r>
          </w:p>
        </w:tc>
        <w:tc>
          <w:tcPr>
            <w:tcW w:w="2977" w:type="dxa"/>
            <w:shd w:val="clear" w:color="auto" w:fill="F2F2F2" w:themeFill="background1" w:themeFillShade="F2"/>
            <w:tcMar>
              <w:top w:w="0" w:type="dxa"/>
              <w:left w:w="108" w:type="dxa"/>
              <w:bottom w:w="0" w:type="dxa"/>
              <w:right w:w="108" w:type="dxa"/>
            </w:tcMar>
            <w:vAlign w:val="center"/>
            <w:hideMark/>
          </w:tcPr>
          <w:p w:rsidR="00422FCD" w:rsidRPr="00247C48" w:rsidRDefault="00422FCD" w:rsidP="00ED4F78">
            <w:pPr>
              <w:jc w:val="center"/>
              <w:rPr>
                <w:rFonts w:cs="Arial"/>
                <w:b/>
                <w:sz w:val="20"/>
                <w:szCs w:val="20"/>
              </w:rPr>
            </w:pPr>
            <w:r w:rsidRPr="00247C48">
              <w:rPr>
                <w:rFonts w:cs="Arial"/>
                <w:b/>
                <w:sz w:val="20"/>
                <w:szCs w:val="20"/>
              </w:rPr>
              <w:t>Action taken</w:t>
            </w:r>
          </w:p>
        </w:tc>
      </w:tr>
      <w:tr w:rsidR="00422FCD" w:rsidRPr="00247C48" w:rsidTr="00ED4F78">
        <w:tc>
          <w:tcPr>
            <w:tcW w:w="539" w:type="dxa"/>
            <w:tcMar>
              <w:top w:w="0" w:type="dxa"/>
              <w:left w:w="108" w:type="dxa"/>
              <w:bottom w:w="0" w:type="dxa"/>
              <w:right w:w="108" w:type="dxa"/>
            </w:tcMar>
            <w:vAlign w:val="center"/>
            <w:hideMark/>
          </w:tcPr>
          <w:p w:rsidR="00422FCD" w:rsidRPr="00247C48" w:rsidRDefault="00422FCD" w:rsidP="00ED4F78">
            <w:pPr>
              <w:jc w:val="center"/>
              <w:rPr>
                <w:rFonts w:cs="Arial"/>
                <w:sz w:val="20"/>
                <w:szCs w:val="20"/>
              </w:rPr>
            </w:pPr>
            <w:r w:rsidRPr="00247C48">
              <w:rPr>
                <w:rFonts w:cs="Arial"/>
                <w:sz w:val="20"/>
                <w:szCs w:val="20"/>
              </w:rPr>
              <w:t>1</w:t>
            </w:r>
          </w:p>
        </w:tc>
        <w:tc>
          <w:tcPr>
            <w:tcW w:w="4139" w:type="dxa"/>
            <w:tcMar>
              <w:top w:w="0" w:type="dxa"/>
              <w:left w:w="108" w:type="dxa"/>
              <w:bottom w:w="0" w:type="dxa"/>
              <w:right w:w="108" w:type="dxa"/>
            </w:tcMar>
            <w:vAlign w:val="center"/>
            <w:hideMark/>
          </w:tcPr>
          <w:p w:rsidR="00422FCD" w:rsidRPr="00247C48" w:rsidRDefault="00422FCD" w:rsidP="00ED4F78">
            <w:pPr>
              <w:jc w:val="center"/>
              <w:rPr>
                <w:rFonts w:cs="Arial"/>
                <w:sz w:val="20"/>
                <w:szCs w:val="20"/>
              </w:rPr>
            </w:pPr>
            <w:r w:rsidRPr="00247C48">
              <w:rPr>
                <w:rFonts w:cs="Arial"/>
                <w:sz w:val="20"/>
                <w:szCs w:val="20"/>
              </w:rPr>
              <w:t>The MoU should be amended to say the SoS will meet the Chief Commissioner at least annually.</w:t>
            </w:r>
          </w:p>
        </w:tc>
        <w:tc>
          <w:tcPr>
            <w:tcW w:w="2126" w:type="dxa"/>
            <w:tcMar>
              <w:top w:w="0" w:type="dxa"/>
              <w:left w:w="108" w:type="dxa"/>
              <w:bottom w:w="0" w:type="dxa"/>
              <w:right w:w="108" w:type="dxa"/>
            </w:tcMar>
            <w:vAlign w:val="center"/>
            <w:hideMark/>
          </w:tcPr>
          <w:p w:rsidR="00422FCD" w:rsidRPr="00247C48" w:rsidRDefault="00422FCD" w:rsidP="00ED4F78">
            <w:pPr>
              <w:jc w:val="center"/>
              <w:rPr>
                <w:rFonts w:cs="Arial"/>
                <w:sz w:val="20"/>
                <w:szCs w:val="20"/>
              </w:rPr>
            </w:pPr>
            <w:r w:rsidRPr="00247C48">
              <w:rPr>
                <w:rFonts w:cs="Arial"/>
                <w:sz w:val="20"/>
                <w:szCs w:val="20"/>
              </w:rPr>
              <w:t>C</w:t>
            </w:r>
          </w:p>
        </w:tc>
        <w:tc>
          <w:tcPr>
            <w:tcW w:w="2977" w:type="dxa"/>
            <w:tcMar>
              <w:top w:w="0" w:type="dxa"/>
              <w:left w:w="108" w:type="dxa"/>
              <w:bottom w:w="0" w:type="dxa"/>
              <w:right w:w="108" w:type="dxa"/>
            </w:tcMar>
            <w:vAlign w:val="center"/>
            <w:hideMark/>
          </w:tcPr>
          <w:p w:rsidR="00422FCD" w:rsidRPr="00247C48" w:rsidRDefault="00422FCD" w:rsidP="00ED4F78">
            <w:pPr>
              <w:jc w:val="center"/>
              <w:rPr>
                <w:rFonts w:cs="Arial"/>
                <w:sz w:val="20"/>
                <w:szCs w:val="20"/>
              </w:rPr>
            </w:pPr>
            <w:r w:rsidRPr="00247C48">
              <w:rPr>
                <w:rFonts w:cs="Arial"/>
                <w:sz w:val="20"/>
                <w:szCs w:val="20"/>
              </w:rPr>
              <w:t>Text inserted into</w:t>
            </w:r>
            <w:r>
              <w:rPr>
                <w:rFonts w:cs="Arial"/>
                <w:sz w:val="20"/>
                <w:szCs w:val="20"/>
              </w:rPr>
              <w:t xml:space="preserve"> DFID-ICAI</w:t>
            </w:r>
            <w:r w:rsidRPr="00247C48">
              <w:rPr>
                <w:rFonts w:cs="Arial"/>
                <w:sz w:val="20"/>
                <w:szCs w:val="20"/>
              </w:rPr>
              <w:t xml:space="preserve"> Framework Agreement </w:t>
            </w:r>
            <w:r>
              <w:rPr>
                <w:rFonts w:cs="Arial"/>
                <w:sz w:val="20"/>
                <w:szCs w:val="20"/>
              </w:rPr>
              <w:t xml:space="preserve">(FA) </w:t>
            </w:r>
            <w:r w:rsidRPr="00247C48">
              <w:rPr>
                <w:rFonts w:cs="Arial"/>
                <w:sz w:val="20"/>
                <w:szCs w:val="20"/>
              </w:rPr>
              <w:t>(4.1)</w:t>
            </w:r>
          </w:p>
        </w:tc>
      </w:tr>
      <w:tr w:rsidR="00422FCD" w:rsidRPr="00247C48" w:rsidTr="00ED4F78">
        <w:tc>
          <w:tcPr>
            <w:tcW w:w="539" w:type="dxa"/>
            <w:tcMar>
              <w:top w:w="0" w:type="dxa"/>
              <w:left w:w="108" w:type="dxa"/>
              <w:bottom w:w="0" w:type="dxa"/>
              <w:right w:w="108" w:type="dxa"/>
            </w:tcMar>
            <w:vAlign w:val="center"/>
            <w:hideMark/>
          </w:tcPr>
          <w:p w:rsidR="00422FCD" w:rsidRPr="00247C48" w:rsidRDefault="00422FCD" w:rsidP="00ED4F78">
            <w:pPr>
              <w:jc w:val="center"/>
              <w:rPr>
                <w:rFonts w:cs="Arial"/>
                <w:sz w:val="20"/>
                <w:szCs w:val="20"/>
              </w:rPr>
            </w:pPr>
            <w:r w:rsidRPr="00247C48">
              <w:rPr>
                <w:rFonts w:cs="Arial"/>
                <w:sz w:val="20"/>
                <w:szCs w:val="20"/>
              </w:rPr>
              <w:t>2</w:t>
            </w:r>
          </w:p>
        </w:tc>
        <w:tc>
          <w:tcPr>
            <w:tcW w:w="4139" w:type="dxa"/>
            <w:tcMar>
              <w:top w:w="0" w:type="dxa"/>
              <w:left w:w="108" w:type="dxa"/>
              <w:bottom w:w="0" w:type="dxa"/>
              <w:right w:w="108" w:type="dxa"/>
            </w:tcMar>
            <w:vAlign w:val="center"/>
            <w:hideMark/>
          </w:tcPr>
          <w:p w:rsidR="00422FCD" w:rsidRPr="00247C48" w:rsidRDefault="00422FCD" w:rsidP="00ED4F78">
            <w:pPr>
              <w:jc w:val="center"/>
              <w:rPr>
                <w:rFonts w:cs="Arial"/>
                <w:sz w:val="20"/>
                <w:szCs w:val="20"/>
              </w:rPr>
            </w:pPr>
            <w:r w:rsidRPr="00247C48">
              <w:rPr>
                <w:rFonts w:cs="Arial"/>
                <w:sz w:val="20"/>
                <w:szCs w:val="20"/>
              </w:rPr>
              <w:t>The Framework Agreement between DFID and ICAI should be amended so current practice on publishing the annual report and approval of the terms and conditions of the Chief Commissioner by the SoS are formalised.</w:t>
            </w:r>
          </w:p>
        </w:tc>
        <w:tc>
          <w:tcPr>
            <w:tcW w:w="2126" w:type="dxa"/>
            <w:tcMar>
              <w:top w:w="0" w:type="dxa"/>
              <w:left w:w="108" w:type="dxa"/>
              <w:bottom w:w="0" w:type="dxa"/>
              <w:right w:w="108" w:type="dxa"/>
            </w:tcMar>
            <w:vAlign w:val="center"/>
            <w:hideMark/>
          </w:tcPr>
          <w:p w:rsidR="00422FCD" w:rsidRPr="00247C48" w:rsidRDefault="00422FCD" w:rsidP="00ED4F78">
            <w:pPr>
              <w:jc w:val="center"/>
              <w:rPr>
                <w:rFonts w:cs="Arial"/>
                <w:sz w:val="20"/>
                <w:szCs w:val="20"/>
              </w:rPr>
            </w:pPr>
            <w:r w:rsidRPr="00247C48">
              <w:rPr>
                <w:rFonts w:cs="Arial"/>
                <w:sz w:val="20"/>
                <w:szCs w:val="20"/>
              </w:rPr>
              <w:t>C</w:t>
            </w:r>
          </w:p>
        </w:tc>
        <w:tc>
          <w:tcPr>
            <w:tcW w:w="2977" w:type="dxa"/>
            <w:tcMar>
              <w:top w:w="0" w:type="dxa"/>
              <w:left w:w="108" w:type="dxa"/>
              <w:bottom w:w="0" w:type="dxa"/>
              <w:right w:w="108" w:type="dxa"/>
            </w:tcMar>
            <w:vAlign w:val="center"/>
            <w:hideMark/>
          </w:tcPr>
          <w:p w:rsidR="00422FCD" w:rsidRPr="00247C48" w:rsidRDefault="00422FCD" w:rsidP="00ED4F78">
            <w:pPr>
              <w:jc w:val="center"/>
              <w:rPr>
                <w:rFonts w:cs="Arial"/>
                <w:sz w:val="20"/>
                <w:szCs w:val="20"/>
              </w:rPr>
            </w:pPr>
            <w:r>
              <w:rPr>
                <w:rFonts w:cs="Arial"/>
                <w:sz w:val="20"/>
                <w:szCs w:val="20"/>
              </w:rPr>
              <w:t>FA: 5.1 (Annual Report) &amp; 3.53 (Chief Commissioner T&amp;Cs)</w:t>
            </w:r>
          </w:p>
        </w:tc>
      </w:tr>
      <w:tr w:rsidR="00422FCD" w:rsidRPr="00247C48" w:rsidTr="00ED4F78">
        <w:tc>
          <w:tcPr>
            <w:tcW w:w="539" w:type="dxa"/>
            <w:tcMar>
              <w:top w:w="0" w:type="dxa"/>
              <w:left w:w="108" w:type="dxa"/>
              <w:bottom w:w="0" w:type="dxa"/>
              <w:right w:w="108" w:type="dxa"/>
            </w:tcMar>
            <w:vAlign w:val="center"/>
            <w:hideMark/>
          </w:tcPr>
          <w:p w:rsidR="00422FCD" w:rsidRPr="00247C48" w:rsidRDefault="00422FCD" w:rsidP="00ED4F78">
            <w:pPr>
              <w:jc w:val="center"/>
              <w:rPr>
                <w:rFonts w:cs="Arial"/>
                <w:sz w:val="20"/>
                <w:szCs w:val="20"/>
              </w:rPr>
            </w:pPr>
            <w:r w:rsidRPr="00247C48">
              <w:rPr>
                <w:rFonts w:cs="Arial"/>
                <w:sz w:val="20"/>
                <w:szCs w:val="20"/>
              </w:rPr>
              <w:t>3</w:t>
            </w:r>
          </w:p>
        </w:tc>
        <w:tc>
          <w:tcPr>
            <w:tcW w:w="4139" w:type="dxa"/>
            <w:tcMar>
              <w:top w:w="0" w:type="dxa"/>
              <w:left w:w="108" w:type="dxa"/>
              <w:bottom w:w="0" w:type="dxa"/>
              <w:right w:w="108" w:type="dxa"/>
            </w:tcMar>
            <w:vAlign w:val="center"/>
            <w:hideMark/>
          </w:tcPr>
          <w:p w:rsidR="00422FCD" w:rsidRPr="00247C48" w:rsidRDefault="00422FCD" w:rsidP="00ED4F78">
            <w:pPr>
              <w:jc w:val="center"/>
              <w:rPr>
                <w:rFonts w:cs="Arial"/>
                <w:sz w:val="20"/>
                <w:szCs w:val="20"/>
              </w:rPr>
            </w:pPr>
            <w:r w:rsidRPr="00247C48">
              <w:rPr>
                <w:rFonts w:cs="Arial"/>
                <w:sz w:val="20"/>
                <w:szCs w:val="20"/>
              </w:rPr>
              <w:t>ICAI’s Framework Agreement and Memorandum of Understanding should be updated following this Review – and then reviewed, and if necessary updated, alongside future annual assessments of ICAI’s work.  The FA should make clear the functions of ICAI and clarify the role of the sponsor team and the IDC.</w:t>
            </w:r>
          </w:p>
        </w:tc>
        <w:tc>
          <w:tcPr>
            <w:tcW w:w="2126" w:type="dxa"/>
            <w:tcMar>
              <w:top w:w="0" w:type="dxa"/>
              <w:left w:w="108" w:type="dxa"/>
              <w:bottom w:w="0" w:type="dxa"/>
              <w:right w:w="108" w:type="dxa"/>
            </w:tcMar>
            <w:vAlign w:val="center"/>
            <w:hideMark/>
          </w:tcPr>
          <w:p w:rsidR="00422FCD" w:rsidRPr="00247C48" w:rsidRDefault="00422FCD" w:rsidP="00ED4F78">
            <w:pPr>
              <w:jc w:val="center"/>
              <w:rPr>
                <w:rFonts w:cs="Arial"/>
                <w:sz w:val="20"/>
                <w:szCs w:val="20"/>
              </w:rPr>
            </w:pPr>
            <w:r w:rsidRPr="00247C48">
              <w:rPr>
                <w:rFonts w:cs="Arial"/>
                <w:sz w:val="20"/>
                <w:szCs w:val="20"/>
              </w:rPr>
              <w:t>C</w:t>
            </w:r>
          </w:p>
        </w:tc>
        <w:tc>
          <w:tcPr>
            <w:tcW w:w="2977" w:type="dxa"/>
            <w:tcMar>
              <w:top w:w="0" w:type="dxa"/>
              <w:left w:w="108" w:type="dxa"/>
              <w:bottom w:w="0" w:type="dxa"/>
              <w:right w:w="108" w:type="dxa"/>
            </w:tcMar>
            <w:vAlign w:val="center"/>
            <w:hideMark/>
          </w:tcPr>
          <w:p w:rsidR="00422FCD" w:rsidRPr="00247C48" w:rsidRDefault="00422FCD" w:rsidP="00ED4F78">
            <w:pPr>
              <w:jc w:val="center"/>
              <w:rPr>
                <w:rFonts w:cs="Arial"/>
                <w:sz w:val="20"/>
                <w:szCs w:val="20"/>
              </w:rPr>
            </w:pPr>
            <w:r w:rsidRPr="00247C48">
              <w:rPr>
                <w:rFonts w:cs="Arial"/>
                <w:sz w:val="20"/>
                <w:szCs w:val="20"/>
              </w:rPr>
              <w:t>Most recently updated September 2015.</w:t>
            </w:r>
          </w:p>
          <w:p w:rsidR="00422FCD" w:rsidRPr="00247C48" w:rsidRDefault="00422FCD" w:rsidP="00ED4F78">
            <w:pPr>
              <w:jc w:val="center"/>
              <w:rPr>
                <w:rFonts w:cs="Arial"/>
                <w:sz w:val="20"/>
                <w:szCs w:val="20"/>
              </w:rPr>
            </w:pPr>
            <w:r w:rsidRPr="00247C48">
              <w:rPr>
                <w:rFonts w:cs="Arial"/>
                <w:sz w:val="20"/>
                <w:szCs w:val="20"/>
              </w:rPr>
              <w:t>FA</w:t>
            </w:r>
            <w:r>
              <w:rPr>
                <w:rFonts w:cs="Arial"/>
                <w:sz w:val="20"/>
                <w:szCs w:val="20"/>
              </w:rPr>
              <w:t xml:space="preserve"> </w:t>
            </w:r>
            <w:r w:rsidRPr="00247C48">
              <w:rPr>
                <w:rFonts w:cs="Arial"/>
                <w:sz w:val="20"/>
                <w:szCs w:val="20"/>
              </w:rPr>
              <w:t>2.1 (ICAI role and functions)</w:t>
            </w:r>
            <w:r>
              <w:rPr>
                <w:rFonts w:cs="Arial"/>
                <w:sz w:val="20"/>
                <w:szCs w:val="20"/>
              </w:rPr>
              <w:t xml:space="preserve">, </w:t>
            </w:r>
            <w:r w:rsidRPr="00247C48">
              <w:rPr>
                <w:rFonts w:cs="Arial"/>
                <w:sz w:val="20"/>
                <w:szCs w:val="20"/>
              </w:rPr>
              <w:t>FA</w:t>
            </w:r>
            <w:r>
              <w:rPr>
                <w:rFonts w:cs="Arial"/>
                <w:sz w:val="20"/>
                <w:szCs w:val="20"/>
              </w:rPr>
              <w:t xml:space="preserve"> </w:t>
            </w:r>
            <w:r w:rsidRPr="00247C48">
              <w:rPr>
                <w:rFonts w:cs="Arial"/>
                <w:sz w:val="20"/>
                <w:szCs w:val="20"/>
              </w:rPr>
              <w:t>3.4</w:t>
            </w:r>
            <w:r>
              <w:rPr>
                <w:rFonts w:cs="Arial"/>
                <w:sz w:val="20"/>
                <w:szCs w:val="20"/>
              </w:rPr>
              <w:t xml:space="preserve"> (Sponsor </w:t>
            </w:r>
            <w:r w:rsidRPr="00247C48">
              <w:rPr>
                <w:rFonts w:cs="Arial"/>
                <w:sz w:val="20"/>
                <w:szCs w:val="20"/>
              </w:rPr>
              <w:t>Team)</w:t>
            </w:r>
            <w:r>
              <w:rPr>
                <w:rFonts w:cs="Arial"/>
                <w:sz w:val="20"/>
                <w:szCs w:val="20"/>
              </w:rPr>
              <w:t xml:space="preserve"> &amp; </w:t>
            </w:r>
            <w:r w:rsidRPr="00247C48">
              <w:rPr>
                <w:rFonts w:cs="Arial"/>
                <w:sz w:val="20"/>
                <w:szCs w:val="20"/>
              </w:rPr>
              <w:t>FA</w:t>
            </w:r>
            <w:r>
              <w:rPr>
                <w:rFonts w:cs="Arial"/>
                <w:sz w:val="20"/>
                <w:szCs w:val="20"/>
              </w:rPr>
              <w:t xml:space="preserve"> </w:t>
            </w:r>
            <w:r w:rsidRPr="00247C48">
              <w:rPr>
                <w:rFonts w:cs="Arial"/>
                <w:sz w:val="20"/>
                <w:szCs w:val="20"/>
              </w:rPr>
              <w:t>3.2 (IDC)</w:t>
            </w:r>
          </w:p>
        </w:tc>
      </w:tr>
      <w:tr w:rsidR="00422FCD" w:rsidRPr="00247C48" w:rsidTr="00ED4F78">
        <w:tc>
          <w:tcPr>
            <w:tcW w:w="539" w:type="dxa"/>
            <w:tcMar>
              <w:top w:w="0" w:type="dxa"/>
              <w:left w:w="108" w:type="dxa"/>
              <w:bottom w:w="0" w:type="dxa"/>
              <w:right w:w="108" w:type="dxa"/>
            </w:tcMar>
            <w:vAlign w:val="center"/>
            <w:hideMark/>
          </w:tcPr>
          <w:p w:rsidR="00422FCD" w:rsidRPr="00247C48" w:rsidRDefault="00422FCD" w:rsidP="00ED4F78">
            <w:pPr>
              <w:jc w:val="center"/>
              <w:rPr>
                <w:rFonts w:cs="Arial"/>
                <w:sz w:val="20"/>
                <w:szCs w:val="20"/>
              </w:rPr>
            </w:pPr>
            <w:r w:rsidRPr="00247C48">
              <w:rPr>
                <w:rFonts w:cs="Arial"/>
                <w:sz w:val="20"/>
                <w:szCs w:val="20"/>
              </w:rPr>
              <w:t>4</w:t>
            </w:r>
          </w:p>
        </w:tc>
        <w:tc>
          <w:tcPr>
            <w:tcW w:w="4139" w:type="dxa"/>
            <w:tcMar>
              <w:top w:w="0" w:type="dxa"/>
              <w:left w:w="108" w:type="dxa"/>
              <w:bottom w:w="0" w:type="dxa"/>
              <w:right w:w="108" w:type="dxa"/>
            </w:tcMar>
            <w:vAlign w:val="center"/>
            <w:hideMark/>
          </w:tcPr>
          <w:p w:rsidR="00422FCD" w:rsidRPr="00247C48" w:rsidRDefault="00422FCD" w:rsidP="00ED4F78">
            <w:pPr>
              <w:jc w:val="center"/>
              <w:rPr>
                <w:rFonts w:cs="Arial"/>
                <w:sz w:val="20"/>
                <w:szCs w:val="20"/>
              </w:rPr>
            </w:pPr>
            <w:r w:rsidRPr="00247C48">
              <w:rPr>
                <w:rFonts w:cs="Arial"/>
                <w:sz w:val="20"/>
                <w:szCs w:val="20"/>
              </w:rPr>
              <w:t>The role of the DFID sponsor team on operational issues needs to be more clearly defined in the Framework Agreement.</w:t>
            </w:r>
          </w:p>
        </w:tc>
        <w:tc>
          <w:tcPr>
            <w:tcW w:w="2126" w:type="dxa"/>
            <w:tcMar>
              <w:top w:w="0" w:type="dxa"/>
              <w:left w:w="108" w:type="dxa"/>
              <w:bottom w:w="0" w:type="dxa"/>
              <w:right w:w="108" w:type="dxa"/>
            </w:tcMar>
            <w:vAlign w:val="center"/>
            <w:hideMark/>
          </w:tcPr>
          <w:p w:rsidR="00422FCD" w:rsidRPr="00247C48" w:rsidRDefault="00422FCD" w:rsidP="00ED4F78">
            <w:pPr>
              <w:jc w:val="center"/>
              <w:rPr>
                <w:rFonts w:cs="Arial"/>
                <w:sz w:val="20"/>
                <w:szCs w:val="20"/>
              </w:rPr>
            </w:pPr>
            <w:r w:rsidRPr="00247C48">
              <w:rPr>
                <w:rFonts w:cs="Arial"/>
                <w:sz w:val="20"/>
                <w:szCs w:val="20"/>
              </w:rPr>
              <w:t>C</w:t>
            </w:r>
          </w:p>
        </w:tc>
        <w:tc>
          <w:tcPr>
            <w:tcW w:w="2977" w:type="dxa"/>
            <w:tcMar>
              <w:top w:w="0" w:type="dxa"/>
              <w:left w:w="108" w:type="dxa"/>
              <w:bottom w:w="0" w:type="dxa"/>
              <w:right w:w="108" w:type="dxa"/>
            </w:tcMar>
            <w:vAlign w:val="center"/>
            <w:hideMark/>
          </w:tcPr>
          <w:p w:rsidR="00422FCD" w:rsidRPr="00247C48" w:rsidRDefault="00422FCD" w:rsidP="00ED4F78">
            <w:pPr>
              <w:jc w:val="center"/>
              <w:rPr>
                <w:rFonts w:cs="Arial"/>
                <w:sz w:val="20"/>
                <w:szCs w:val="20"/>
              </w:rPr>
            </w:pPr>
            <w:r w:rsidRPr="00247C48">
              <w:rPr>
                <w:rFonts w:cs="Arial"/>
                <w:sz w:val="20"/>
                <w:szCs w:val="20"/>
              </w:rPr>
              <w:t>FA</w:t>
            </w:r>
            <w:r>
              <w:rPr>
                <w:rFonts w:cs="Arial"/>
                <w:sz w:val="20"/>
                <w:szCs w:val="20"/>
              </w:rPr>
              <w:t xml:space="preserve"> </w:t>
            </w:r>
            <w:r w:rsidRPr="00247C48">
              <w:rPr>
                <w:rFonts w:cs="Arial"/>
                <w:sz w:val="20"/>
                <w:szCs w:val="20"/>
              </w:rPr>
              <w:t>3.4</w:t>
            </w:r>
          </w:p>
        </w:tc>
      </w:tr>
      <w:tr w:rsidR="00422FCD" w:rsidRPr="00247C48" w:rsidTr="00ED4F78">
        <w:tc>
          <w:tcPr>
            <w:tcW w:w="539" w:type="dxa"/>
            <w:tcMar>
              <w:top w:w="0" w:type="dxa"/>
              <w:left w:w="108" w:type="dxa"/>
              <w:bottom w:w="0" w:type="dxa"/>
              <w:right w:w="108" w:type="dxa"/>
            </w:tcMar>
            <w:vAlign w:val="center"/>
            <w:hideMark/>
          </w:tcPr>
          <w:p w:rsidR="00422FCD" w:rsidRPr="00247C48" w:rsidRDefault="00422FCD" w:rsidP="00ED4F78">
            <w:pPr>
              <w:jc w:val="center"/>
              <w:rPr>
                <w:rFonts w:cs="Arial"/>
                <w:sz w:val="20"/>
                <w:szCs w:val="20"/>
              </w:rPr>
            </w:pPr>
            <w:r w:rsidRPr="00247C48">
              <w:rPr>
                <w:rFonts w:cs="Arial"/>
                <w:sz w:val="20"/>
                <w:szCs w:val="20"/>
              </w:rPr>
              <w:t>5</w:t>
            </w:r>
          </w:p>
        </w:tc>
        <w:tc>
          <w:tcPr>
            <w:tcW w:w="4139" w:type="dxa"/>
            <w:tcMar>
              <w:top w:w="0" w:type="dxa"/>
              <w:left w:w="108" w:type="dxa"/>
              <w:bottom w:w="0" w:type="dxa"/>
              <w:right w:w="108" w:type="dxa"/>
            </w:tcMar>
            <w:vAlign w:val="center"/>
            <w:hideMark/>
          </w:tcPr>
          <w:p w:rsidR="00422FCD" w:rsidRPr="00247C48" w:rsidRDefault="00422FCD" w:rsidP="00ED4F78">
            <w:pPr>
              <w:jc w:val="center"/>
              <w:rPr>
                <w:rFonts w:cs="Arial"/>
                <w:sz w:val="20"/>
                <w:szCs w:val="20"/>
              </w:rPr>
            </w:pPr>
            <w:r w:rsidRPr="00247C48">
              <w:rPr>
                <w:rFonts w:cs="Arial"/>
                <w:sz w:val="20"/>
                <w:szCs w:val="20"/>
              </w:rPr>
              <w:t>The Framework Agreement should require annual evaluations of the performance of individual Commissioners.</w:t>
            </w:r>
          </w:p>
        </w:tc>
        <w:tc>
          <w:tcPr>
            <w:tcW w:w="2126" w:type="dxa"/>
            <w:tcMar>
              <w:top w:w="0" w:type="dxa"/>
              <w:left w:w="108" w:type="dxa"/>
              <w:bottom w:w="0" w:type="dxa"/>
              <w:right w:w="108" w:type="dxa"/>
            </w:tcMar>
            <w:vAlign w:val="center"/>
            <w:hideMark/>
          </w:tcPr>
          <w:p w:rsidR="00422FCD" w:rsidRPr="00247C48" w:rsidRDefault="00422FCD" w:rsidP="00ED4F78">
            <w:pPr>
              <w:jc w:val="center"/>
              <w:rPr>
                <w:rFonts w:cs="Arial"/>
                <w:sz w:val="20"/>
                <w:szCs w:val="20"/>
              </w:rPr>
            </w:pPr>
            <w:r w:rsidRPr="00247C48">
              <w:rPr>
                <w:rFonts w:cs="Arial"/>
                <w:sz w:val="20"/>
                <w:szCs w:val="20"/>
              </w:rPr>
              <w:t>C</w:t>
            </w:r>
          </w:p>
        </w:tc>
        <w:tc>
          <w:tcPr>
            <w:tcW w:w="2977" w:type="dxa"/>
            <w:tcMar>
              <w:top w:w="0" w:type="dxa"/>
              <w:left w:w="108" w:type="dxa"/>
              <w:bottom w:w="0" w:type="dxa"/>
              <w:right w:w="108" w:type="dxa"/>
            </w:tcMar>
            <w:vAlign w:val="center"/>
            <w:hideMark/>
          </w:tcPr>
          <w:p w:rsidR="00422FCD" w:rsidRPr="00247C48" w:rsidRDefault="00422FCD" w:rsidP="00ED4F78">
            <w:pPr>
              <w:jc w:val="center"/>
              <w:rPr>
                <w:rFonts w:cs="Arial"/>
                <w:sz w:val="20"/>
                <w:szCs w:val="20"/>
              </w:rPr>
            </w:pPr>
            <w:r>
              <w:rPr>
                <w:rFonts w:cs="Arial"/>
                <w:sz w:val="20"/>
                <w:szCs w:val="20"/>
              </w:rPr>
              <w:t xml:space="preserve">FA </w:t>
            </w:r>
            <w:r w:rsidRPr="00247C48">
              <w:rPr>
                <w:rFonts w:cs="Arial"/>
                <w:sz w:val="20"/>
                <w:szCs w:val="20"/>
              </w:rPr>
              <w:t>3.6.1 (also 3.5.4)</w:t>
            </w:r>
          </w:p>
        </w:tc>
      </w:tr>
      <w:tr w:rsidR="00422FCD" w:rsidRPr="00247C48" w:rsidTr="00ED4F78">
        <w:tc>
          <w:tcPr>
            <w:tcW w:w="539" w:type="dxa"/>
            <w:tcMar>
              <w:top w:w="0" w:type="dxa"/>
              <w:left w:w="108" w:type="dxa"/>
              <w:bottom w:w="0" w:type="dxa"/>
              <w:right w:w="108" w:type="dxa"/>
            </w:tcMar>
            <w:vAlign w:val="center"/>
            <w:hideMark/>
          </w:tcPr>
          <w:p w:rsidR="00422FCD" w:rsidRPr="00247C48" w:rsidRDefault="00422FCD" w:rsidP="00ED4F78">
            <w:pPr>
              <w:jc w:val="center"/>
              <w:rPr>
                <w:rFonts w:cs="Arial"/>
                <w:sz w:val="20"/>
                <w:szCs w:val="20"/>
              </w:rPr>
            </w:pPr>
            <w:r w:rsidRPr="00247C48">
              <w:rPr>
                <w:rFonts w:cs="Arial"/>
                <w:sz w:val="20"/>
                <w:szCs w:val="20"/>
              </w:rPr>
              <w:t>6</w:t>
            </w:r>
          </w:p>
        </w:tc>
        <w:tc>
          <w:tcPr>
            <w:tcW w:w="4139" w:type="dxa"/>
            <w:tcMar>
              <w:top w:w="0" w:type="dxa"/>
              <w:left w:w="108" w:type="dxa"/>
              <w:bottom w:w="0" w:type="dxa"/>
              <w:right w:w="108" w:type="dxa"/>
            </w:tcMar>
            <w:vAlign w:val="center"/>
            <w:hideMark/>
          </w:tcPr>
          <w:p w:rsidR="00422FCD" w:rsidRPr="00247C48" w:rsidRDefault="00422FCD" w:rsidP="00ED4F78">
            <w:pPr>
              <w:jc w:val="center"/>
              <w:rPr>
                <w:rFonts w:cs="Arial"/>
                <w:sz w:val="20"/>
                <w:szCs w:val="20"/>
              </w:rPr>
            </w:pPr>
            <w:r w:rsidRPr="00247C48">
              <w:rPr>
                <w:rFonts w:cs="Arial"/>
                <w:sz w:val="20"/>
                <w:szCs w:val="20"/>
              </w:rPr>
              <w:t>The annual evaluation of the Chief Commissioner should be led by a non-executive member of the DFID Board, and involve substantial input from the Chair of the IDC, alongside other stakeholders.  It should include an assessment of whether ICAI is operating in line with its revised functions.</w:t>
            </w:r>
          </w:p>
        </w:tc>
        <w:tc>
          <w:tcPr>
            <w:tcW w:w="2126" w:type="dxa"/>
            <w:tcMar>
              <w:top w:w="0" w:type="dxa"/>
              <w:left w:w="108" w:type="dxa"/>
              <w:bottom w:w="0" w:type="dxa"/>
              <w:right w:w="108" w:type="dxa"/>
            </w:tcMar>
            <w:vAlign w:val="center"/>
            <w:hideMark/>
          </w:tcPr>
          <w:p w:rsidR="00422FCD" w:rsidRPr="00247C48" w:rsidRDefault="00422FCD" w:rsidP="00ED4F78">
            <w:pPr>
              <w:jc w:val="center"/>
              <w:rPr>
                <w:rFonts w:cs="Arial"/>
                <w:sz w:val="20"/>
                <w:szCs w:val="20"/>
              </w:rPr>
            </w:pPr>
            <w:r w:rsidRPr="00247C48">
              <w:rPr>
                <w:rFonts w:cs="Arial"/>
                <w:sz w:val="20"/>
                <w:szCs w:val="20"/>
              </w:rPr>
              <w:t>C</w:t>
            </w:r>
          </w:p>
        </w:tc>
        <w:tc>
          <w:tcPr>
            <w:tcW w:w="2977" w:type="dxa"/>
            <w:tcMar>
              <w:top w:w="0" w:type="dxa"/>
              <w:left w:w="108" w:type="dxa"/>
              <w:bottom w:w="0" w:type="dxa"/>
              <w:right w:w="108" w:type="dxa"/>
            </w:tcMar>
            <w:vAlign w:val="center"/>
          </w:tcPr>
          <w:p w:rsidR="00422FCD" w:rsidRPr="00247C48" w:rsidRDefault="00422FCD" w:rsidP="00ED4F78">
            <w:pPr>
              <w:jc w:val="center"/>
              <w:rPr>
                <w:rFonts w:cs="Arial"/>
                <w:sz w:val="20"/>
                <w:szCs w:val="20"/>
              </w:rPr>
            </w:pPr>
            <w:r w:rsidRPr="00247C48">
              <w:rPr>
                <w:rFonts w:cs="Arial"/>
                <w:sz w:val="20"/>
                <w:szCs w:val="20"/>
              </w:rPr>
              <w:t>FA 3.3.2</w:t>
            </w:r>
          </w:p>
        </w:tc>
      </w:tr>
      <w:tr w:rsidR="00422FCD" w:rsidRPr="00247C48" w:rsidTr="00ED4F78">
        <w:tc>
          <w:tcPr>
            <w:tcW w:w="539" w:type="dxa"/>
            <w:tcMar>
              <w:top w:w="0" w:type="dxa"/>
              <w:left w:w="108" w:type="dxa"/>
              <w:bottom w:w="0" w:type="dxa"/>
              <w:right w:w="108" w:type="dxa"/>
            </w:tcMar>
            <w:vAlign w:val="center"/>
            <w:hideMark/>
          </w:tcPr>
          <w:p w:rsidR="00422FCD" w:rsidRPr="00247C48" w:rsidRDefault="00422FCD" w:rsidP="00ED4F78">
            <w:pPr>
              <w:jc w:val="center"/>
              <w:rPr>
                <w:rFonts w:cs="Arial"/>
                <w:sz w:val="20"/>
                <w:szCs w:val="20"/>
              </w:rPr>
            </w:pPr>
            <w:r w:rsidRPr="00247C48">
              <w:rPr>
                <w:rFonts w:cs="Arial"/>
                <w:sz w:val="20"/>
                <w:szCs w:val="20"/>
              </w:rPr>
              <w:t>7</w:t>
            </w:r>
          </w:p>
        </w:tc>
        <w:tc>
          <w:tcPr>
            <w:tcW w:w="4139" w:type="dxa"/>
            <w:tcMar>
              <w:top w:w="0" w:type="dxa"/>
              <w:left w:w="108" w:type="dxa"/>
              <w:bottom w:w="0" w:type="dxa"/>
              <w:right w:w="108" w:type="dxa"/>
            </w:tcMar>
            <w:vAlign w:val="center"/>
            <w:hideMark/>
          </w:tcPr>
          <w:p w:rsidR="00422FCD" w:rsidRPr="00247C48" w:rsidRDefault="00422FCD" w:rsidP="00ED4F78">
            <w:pPr>
              <w:jc w:val="center"/>
              <w:rPr>
                <w:rFonts w:cs="Arial"/>
                <w:sz w:val="20"/>
                <w:szCs w:val="20"/>
              </w:rPr>
            </w:pPr>
            <w:r w:rsidRPr="00247C48">
              <w:rPr>
                <w:rFonts w:cs="Arial"/>
                <w:sz w:val="20"/>
                <w:szCs w:val="20"/>
              </w:rPr>
              <w:t>The FA should say that the Chief Commissioner will sit on the appointment panel for other Commissioners (although not future Chief Commissioners).</w:t>
            </w:r>
          </w:p>
        </w:tc>
        <w:tc>
          <w:tcPr>
            <w:tcW w:w="2126" w:type="dxa"/>
            <w:tcMar>
              <w:top w:w="0" w:type="dxa"/>
              <w:left w:w="108" w:type="dxa"/>
              <w:bottom w:w="0" w:type="dxa"/>
              <w:right w:w="108" w:type="dxa"/>
            </w:tcMar>
            <w:vAlign w:val="center"/>
            <w:hideMark/>
          </w:tcPr>
          <w:p w:rsidR="00422FCD" w:rsidRPr="00247C48" w:rsidRDefault="00422FCD" w:rsidP="00ED4F78">
            <w:pPr>
              <w:jc w:val="center"/>
              <w:rPr>
                <w:rFonts w:cs="Arial"/>
                <w:sz w:val="20"/>
                <w:szCs w:val="20"/>
              </w:rPr>
            </w:pPr>
            <w:r w:rsidRPr="00247C48">
              <w:rPr>
                <w:rFonts w:cs="Arial"/>
                <w:sz w:val="20"/>
                <w:szCs w:val="20"/>
              </w:rPr>
              <w:t>C</w:t>
            </w:r>
          </w:p>
        </w:tc>
        <w:tc>
          <w:tcPr>
            <w:tcW w:w="2977" w:type="dxa"/>
            <w:tcMar>
              <w:top w:w="0" w:type="dxa"/>
              <w:left w:w="108" w:type="dxa"/>
              <w:bottom w:w="0" w:type="dxa"/>
              <w:right w:w="108" w:type="dxa"/>
            </w:tcMar>
            <w:vAlign w:val="center"/>
            <w:hideMark/>
          </w:tcPr>
          <w:p w:rsidR="00422FCD" w:rsidRPr="00247C48" w:rsidRDefault="00422FCD" w:rsidP="00ED4F78">
            <w:pPr>
              <w:jc w:val="center"/>
              <w:rPr>
                <w:rFonts w:cs="Arial"/>
                <w:sz w:val="20"/>
                <w:szCs w:val="20"/>
              </w:rPr>
            </w:pPr>
            <w:r w:rsidRPr="00247C48">
              <w:rPr>
                <w:rFonts w:cs="Arial"/>
                <w:sz w:val="20"/>
                <w:szCs w:val="20"/>
              </w:rPr>
              <w:t>FA 3.5.4</w:t>
            </w:r>
          </w:p>
        </w:tc>
      </w:tr>
      <w:tr w:rsidR="00422FCD" w:rsidRPr="00247C48" w:rsidTr="00ED4F78">
        <w:tc>
          <w:tcPr>
            <w:tcW w:w="539" w:type="dxa"/>
            <w:tcMar>
              <w:top w:w="0" w:type="dxa"/>
              <w:left w:w="108" w:type="dxa"/>
              <w:bottom w:w="0" w:type="dxa"/>
              <w:right w:w="108" w:type="dxa"/>
            </w:tcMar>
            <w:vAlign w:val="center"/>
            <w:hideMark/>
          </w:tcPr>
          <w:p w:rsidR="00422FCD" w:rsidRPr="00247C48" w:rsidRDefault="00422FCD" w:rsidP="00ED4F78">
            <w:pPr>
              <w:jc w:val="center"/>
              <w:rPr>
                <w:rFonts w:cs="Arial"/>
                <w:sz w:val="20"/>
                <w:szCs w:val="20"/>
              </w:rPr>
            </w:pPr>
            <w:r w:rsidRPr="00247C48">
              <w:rPr>
                <w:rFonts w:cs="Arial"/>
                <w:sz w:val="20"/>
                <w:szCs w:val="20"/>
              </w:rPr>
              <w:t>8</w:t>
            </w:r>
          </w:p>
        </w:tc>
        <w:tc>
          <w:tcPr>
            <w:tcW w:w="4139" w:type="dxa"/>
            <w:tcMar>
              <w:top w:w="0" w:type="dxa"/>
              <w:left w:w="108" w:type="dxa"/>
              <w:bottom w:w="0" w:type="dxa"/>
              <w:right w:w="108" w:type="dxa"/>
            </w:tcMar>
            <w:vAlign w:val="center"/>
            <w:hideMark/>
          </w:tcPr>
          <w:p w:rsidR="00422FCD" w:rsidRPr="00247C48" w:rsidRDefault="00422FCD" w:rsidP="00ED4F78">
            <w:pPr>
              <w:jc w:val="center"/>
              <w:rPr>
                <w:rFonts w:cs="Arial"/>
                <w:sz w:val="20"/>
                <w:szCs w:val="20"/>
              </w:rPr>
            </w:pPr>
            <w:r w:rsidRPr="00247C48">
              <w:rPr>
                <w:rFonts w:cs="Arial"/>
                <w:sz w:val="20"/>
                <w:szCs w:val="20"/>
              </w:rPr>
              <w:t>The responsibilities set out in the honorarium agreement and FA should be aligned and include those set out in the CO guidance, together with the new number of days. As part of this, the Chief Commissioner’s role on induction and training should be formalised in the honorarium agreement.</w:t>
            </w:r>
          </w:p>
        </w:tc>
        <w:tc>
          <w:tcPr>
            <w:tcW w:w="2126" w:type="dxa"/>
            <w:tcMar>
              <w:top w:w="0" w:type="dxa"/>
              <w:left w:w="108" w:type="dxa"/>
              <w:bottom w:w="0" w:type="dxa"/>
              <w:right w:w="108" w:type="dxa"/>
            </w:tcMar>
            <w:vAlign w:val="center"/>
            <w:hideMark/>
          </w:tcPr>
          <w:p w:rsidR="00422FCD" w:rsidRPr="00247C48" w:rsidRDefault="00422FCD" w:rsidP="00ED4F78">
            <w:pPr>
              <w:jc w:val="center"/>
              <w:rPr>
                <w:rFonts w:cs="Arial"/>
                <w:sz w:val="20"/>
                <w:szCs w:val="20"/>
              </w:rPr>
            </w:pPr>
            <w:r w:rsidRPr="00247C48">
              <w:rPr>
                <w:rFonts w:cs="Arial"/>
                <w:sz w:val="20"/>
                <w:szCs w:val="20"/>
              </w:rPr>
              <w:t>PC</w:t>
            </w:r>
          </w:p>
        </w:tc>
        <w:tc>
          <w:tcPr>
            <w:tcW w:w="2977" w:type="dxa"/>
            <w:tcMar>
              <w:top w:w="0" w:type="dxa"/>
              <w:left w:w="108" w:type="dxa"/>
              <w:bottom w:w="0" w:type="dxa"/>
              <w:right w:w="108" w:type="dxa"/>
            </w:tcMar>
            <w:vAlign w:val="center"/>
          </w:tcPr>
          <w:p w:rsidR="00422FCD" w:rsidRPr="00247C48" w:rsidRDefault="00422FCD" w:rsidP="00ED4F78">
            <w:pPr>
              <w:jc w:val="center"/>
              <w:rPr>
                <w:rFonts w:cs="Arial"/>
                <w:sz w:val="20"/>
                <w:szCs w:val="20"/>
              </w:rPr>
            </w:pPr>
            <w:r w:rsidRPr="00247C48">
              <w:rPr>
                <w:rFonts w:cs="Arial"/>
                <w:sz w:val="20"/>
                <w:szCs w:val="20"/>
              </w:rPr>
              <w:t>Allocation of days set out in Honorarium Agreement</w:t>
            </w:r>
            <w:r>
              <w:rPr>
                <w:rFonts w:cs="Arial"/>
                <w:sz w:val="20"/>
                <w:szCs w:val="20"/>
              </w:rPr>
              <w:t>.</w:t>
            </w:r>
          </w:p>
          <w:p w:rsidR="00422FCD" w:rsidRPr="00247C48" w:rsidRDefault="00422FCD" w:rsidP="00ED4F78">
            <w:pPr>
              <w:jc w:val="center"/>
              <w:rPr>
                <w:rFonts w:cs="Arial"/>
                <w:sz w:val="20"/>
                <w:szCs w:val="20"/>
              </w:rPr>
            </w:pPr>
          </w:p>
          <w:p w:rsidR="00422FCD" w:rsidRPr="00247C48" w:rsidRDefault="00422FCD" w:rsidP="00ED4F78">
            <w:pPr>
              <w:jc w:val="center"/>
              <w:rPr>
                <w:rFonts w:cs="Arial"/>
                <w:sz w:val="20"/>
                <w:szCs w:val="20"/>
              </w:rPr>
            </w:pPr>
            <w:r>
              <w:rPr>
                <w:rFonts w:cs="Arial"/>
                <w:sz w:val="20"/>
                <w:szCs w:val="20"/>
              </w:rPr>
              <w:t xml:space="preserve">FA </w:t>
            </w:r>
            <w:r w:rsidRPr="00247C48">
              <w:rPr>
                <w:rFonts w:cs="Arial"/>
                <w:sz w:val="20"/>
                <w:szCs w:val="20"/>
              </w:rPr>
              <w:t>3.5.4 (Chief Commissioner induction role</w:t>
            </w:r>
            <w:r>
              <w:rPr>
                <w:rFonts w:cs="Arial"/>
                <w:sz w:val="20"/>
                <w:szCs w:val="20"/>
              </w:rPr>
              <w:t>)</w:t>
            </w:r>
            <w:r w:rsidRPr="00247C48">
              <w:rPr>
                <w:rFonts w:cs="Arial"/>
                <w:sz w:val="20"/>
                <w:szCs w:val="20"/>
              </w:rPr>
              <w:t xml:space="preserve">. Induction role not formalised in the </w:t>
            </w:r>
            <w:r>
              <w:rPr>
                <w:rFonts w:cs="Arial"/>
                <w:sz w:val="20"/>
                <w:szCs w:val="20"/>
              </w:rPr>
              <w:t>Honorarium Agreement.</w:t>
            </w:r>
          </w:p>
          <w:p w:rsidR="00422FCD" w:rsidRPr="00247C48" w:rsidRDefault="00422FCD" w:rsidP="00ED4F78">
            <w:pPr>
              <w:jc w:val="center"/>
              <w:rPr>
                <w:rFonts w:cs="Arial"/>
                <w:sz w:val="20"/>
                <w:szCs w:val="20"/>
              </w:rPr>
            </w:pPr>
          </w:p>
        </w:tc>
      </w:tr>
      <w:tr w:rsidR="00422FCD" w:rsidRPr="00247C48" w:rsidTr="00ED4F78">
        <w:tc>
          <w:tcPr>
            <w:tcW w:w="539" w:type="dxa"/>
            <w:tcMar>
              <w:top w:w="0" w:type="dxa"/>
              <w:left w:w="108" w:type="dxa"/>
              <w:bottom w:w="0" w:type="dxa"/>
              <w:right w:w="108" w:type="dxa"/>
            </w:tcMar>
            <w:vAlign w:val="center"/>
            <w:hideMark/>
          </w:tcPr>
          <w:p w:rsidR="00422FCD" w:rsidRPr="00247C48" w:rsidRDefault="00422FCD" w:rsidP="00ED4F78">
            <w:pPr>
              <w:jc w:val="center"/>
              <w:rPr>
                <w:rFonts w:cs="Arial"/>
                <w:sz w:val="20"/>
                <w:szCs w:val="20"/>
              </w:rPr>
            </w:pPr>
            <w:r w:rsidRPr="00247C48">
              <w:rPr>
                <w:rFonts w:cs="Arial"/>
                <w:sz w:val="20"/>
                <w:szCs w:val="20"/>
              </w:rPr>
              <w:t>9</w:t>
            </w:r>
          </w:p>
        </w:tc>
        <w:tc>
          <w:tcPr>
            <w:tcW w:w="4139" w:type="dxa"/>
            <w:tcMar>
              <w:top w:w="0" w:type="dxa"/>
              <w:left w:w="108" w:type="dxa"/>
              <w:bottom w:w="0" w:type="dxa"/>
              <w:right w:w="108" w:type="dxa"/>
            </w:tcMar>
            <w:vAlign w:val="center"/>
            <w:hideMark/>
          </w:tcPr>
          <w:p w:rsidR="00422FCD" w:rsidRPr="00247C48" w:rsidRDefault="00422FCD" w:rsidP="00ED4F78">
            <w:pPr>
              <w:jc w:val="center"/>
              <w:rPr>
                <w:rFonts w:cs="Arial"/>
                <w:sz w:val="20"/>
                <w:szCs w:val="20"/>
              </w:rPr>
            </w:pPr>
            <w:r w:rsidRPr="00247C48">
              <w:rPr>
                <w:rFonts w:cs="Arial"/>
                <w:sz w:val="20"/>
                <w:szCs w:val="20"/>
              </w:rPr>
              <w:t>DFID should ensure the ICAI Board has the right balance of development expertise.</w:t>
            </w:r>
          </w:p>
        </w:tc>
        <w:tc>
          <w:tcPr>
            <w:tcW w:w="2126" w:type="dxa"/>
            <w:tcMar>
              <w:top w:w="0" w:type="dxa"/>
              <w:left w:w="108" w:type="dxa"/>
              <w:bottom w:w="0" w:type="dxa"/>
              <w:right w:w="108" w:type="dxa"/>
            </w:tcMar>
            <w:vAlign w:val="center"/>
            <w:hideMark/>
          </w:tcPr>
          <w:p w:rsidR="00422FCD" w:rsidRPr="00247C48" w:rsidRDefault="00422FCD" w:rsidP="00ED4F78">
            <w:pPr>
              <w:jc w:val="center"/>
              <w:rPr>
                <w:rFonts w:cs="Arial"/>
                <w:sz w:val="20"/>
                <w:szCs w:val="20"/>
              </w:rPr>
            </w:pPr>
            <w:r w:rsidRPr="00247C48">
              <w:rPr>
                <w:rFonts w:cs="Arial"/>
                <w:sz w:val="20"/>
                <w:szCs w:val="20"/>
              </w:rPr>
              <w:t>C</w:t>
            </w:r>
          </w:p>
        </w:tc>
        <w:tc>
          <w:tcPr>
            <w:tcW w:w="2977" w:type="dxa"/>
            <w:tcMar>
              <w:top w:w="0" w:type="dxa"/>
              <w:left w:w="108" w:type="dxa"/>
              <w:bottom w:w="0" w:type="dxa"/>
              <w:right w:w="108" w:type="dxa"/>
            </w:tcMar>
            <w:vAlign w:val="center"/>
          </w:tcPr>
          <w:p w:rsidR="00422FCD" w:rsidRPr="00AB3EA7" w:rsidRDefault="00422FCD" w:rsidP="00ED4F78">
            <w:pPr>
              <w:jc w:val="center"/>
              <w:rPr>
                <w:rFonts w:cs="Arial"/>
                <w:i/>
                <w:sz w:val="20"/>
                <w:szCs w:val="20"/>
              </w:rPr>
            </w:pPr>
            <w:r w:rsidRPr="00AB3EA7">
              <w:rPr>
                <w:rFonts w:cs="Arial"/>
                <w:i/>
                <w:sz w:val="20"/>
                <w:szCs w:val="20"/>
              </w:rPr>
              <w:t>*(see main report)</w:t>
            </w:r>
          </w:p>
        </w:tc>
      </w:tr>
      <w:tr w:rsidR="00422FCD" w:rsidRPr="00247C48" w:rsidTr="00ED4F78">
        <w:tc>
          <w:tcPr>
            <w:tcW w:w="539" w:type="dxa"/>
            <w:tcMar>
              <w:top w:w="0" w:type="dxa"/>
              <w:left w:w="108" w:type="dxa"/>
              <w:bottom w:w="0" w:type="dxa"/>
              <w:right w:w="108" w:type="dxa"/>
            </w:tcMar>
            <w:vAlign w:val="center"/>
            <w:hideMark/>
          </w:tcPr>
          <w:p w:rsidR="00422FCD" w:rsidRPr="00247C48" w:rsidRDefault="00422FCD" w:rsidP="00ED4F78">
            <w:pPr>
              <w:jc w:val="center"/>
              <w:rPr>
                <w:rFonts w:cs="Arial"/>
                <w:sz w:val="20"/>
                <w:szCs w:val="20"/>
              </w:rPr>
            </w:pPr>
            <w:r w:rsidRPr="00247C48">
              <w:rPr>
                <w:rFonts w:cs="Arial"/>
                <w:sz w:val="20"/>
                <w:szCs w:val="20"/>
              </w:rPr>
              <w:t>10</w:t>
            </w:r>
          </w:p>
        </w:tc>
        <w:tc>
          <w:tcPr>
            <w:tcW w:w="4139" w:type="dxa"/>
            <w:tcMar>
              <w:top w:w="0" w:type="dxa"/>
              <w:left w:w="108" w:type="dxa"/>
              <w:bottom w:w="0" w:type="dxa"/>
              <w:right w:w="108" w:type="dxa"/>
            </w:tcMar>
            <w:vAlign w:val="center"/>
            <w:hideMark/>
          </w:tcPr>
          <w:p w:rsidR="00422FCD" w:rsidRPr="00247C48" w:rsidRDefault="00422FCD" w:rsidP="00ED4F78">
            <w:pPr>
              <w:jc w:val="center"/>
              <w:rPr>
                <w:rFonts w:cs="Arial"/>
                <w:sz w:val="20"/>
                <w:szCs w:val="20"/>
              </w:rPr>
            </w:pPr>
            <w:r w:rsidRPr="00247C48">
              <w:rPr>
                <w:rFonts w:cs="Arial"/>
                <w:sz w:val="20"/>
                <w:szCs w:val="20"/>
              </w:rPr>
              <w:t>The Framework Agreement should be updated to reflect the legal position of ICAI in relation to the Freedom of Information Act 2000.</w:t>
            </w:r>
          </w:p>
        </w:tc>
        <w:tc>
          <w:tcPr>
            <w:tcW w:w="2126" w:type="dxa"/>
            <w:tcMar>
              <w:top w:w="0" w:type="dxa"/>
              <w:left w:w="108" w:type="dxa"/>
              <w:bottom w:w="0" w:type="dxa"/>
              <w:right w:w="108" w:type="dxa"/>
            </w:tcMar>
            <w:vAlign w:val="center"/>
            <w:hideMark/>
          </w:tcPr>
          <w:p w:rsidR="00422FCD" w:rsidRPr="00247C48" w:rsidRDefault="00422FCD" w:rsidP="00ED4F78">
            <w:pPr>
              <w:jc w:val="center"/>
              <w:rPr>
                <w:rFonts w:cs="Arial"/>
                <w:sz w:val="20"/>
                <w:szCs w:val="20"/>
              </w:rPr>
            </w:pPr>
            <w:r w:rsidRPr="00247C48">
              <w:rPr>
                <w:rFonts w:cs="Arial"/>
                <w:sz w:val="20"/>
                <w:szCs w:val="20"/>
              </w:rPr>
              <w:t>C</w:t>
            </w:r>
          </w:p>
        </w:tc>
        <w:tc>
          <w:tcPr>
            <w:tcW w:w="2977" w:type="dxa"/>
            <w:tcMar>
              <w:top w:w="0" w:type="dxa"/>
              <w:left w:w="108" w:type="dxa"/>
              <w:bottom w:w="0" w:type="dxa"/>
              <w:right w:w="108" w:type="dxa"/>
            </w:tcMar>
            <w:vAlign w:val="center"/>
            <w:hideMark/>
          </w:tcPr>
          <w:p w:rsidR="00422FCD" w:rsidRPr="00247C48" w:rsidRDefault="00422FCD" w:rsidP="00ED4F78">
            <w:pPr>
              <w:jc w:val="center"/>
              <w:rPr>
                <w:rFonts w:cs="Arial"/>
                <w:sz w:val="20"/>
                <w:szCs w:val="20"/>
              </w:rPr>
            </w:pPr>
            <w:r w:rsidRPr="00247C48">
              <w:rPr>
                <w:rFonts w:cs="Arial"/>
                <w:sz w:val="20"/>
                <w:szCs w:val="20"/>
              </w:rPr>
              <w:t>FA 5.5.6</w:t>
            </w:r>
          </w:p>
        </w:tc>
      </w:tr>
      <w:tr w:rsidR="00422FCD" w:rsidRPr="00247C48" w:rsidTr="00ED4F78">
        <w:tc>
          <w:tcPr>
            <w:tcW w:w="539" w:type="dxa"/>
            <w:tcMar>
              <w:top w:w="0" w:type="dxa"/>
              <w:left w:w="108" w:type="dxa"/>
              <w:bottom w:w="0" w:type="dxa"/>
              <w:right w:w="108" w:type="dxa"/>
            </w:tcMar>
            <w:vAlign w:val="center"/>
            <w:hideMark/>
          </w:tcPr>
          <w:p w:rsidR="00422FCD" w:rsidRPr="00247C48" w:rsidRDefault="00422FCD" w:rsidP="00ED4F78">
            <w:pPr>
              <w:jc w:val="center"/>
              <w:rPr>
                <w:rFonts w:cs="Arial"/>
                <w:sz w:val="20"/>
                <w:szCs w:val="20"/>
              </w:rPr>
            </w:pPr>
            <w:r w:rsidRPr="00247C48">
              <w:rPr>
                <w:rFonts w:cs="Arial"/>
                <w:sz w:val="20"/>
                <w:szCs w:val="20"/>
              </w:rPr>
              <w:t>11</w:t>
            </w:r>
          </w:p>
        </w:tc>
        <w:tc>
          <w:tcPr>
            <w:tcW w:w="4139" w:type="dxa"/>
            <w:tcMar>
              <w:top w:w="0" w:type="dxa"/>
              <w:left w:w="108" w:type="dxa"/>
              <w:bottom w:w="0" w:type="dxa"/>
              <w:right w:w="108" w:type="dxa"/>
            </w:tcMar>
            <w:vAlign w:val="center"/>
            <w:hideMark/>
          </w:tcPr>
          <w:p w:rsidR="00422FCD" w:rsidRPr="00247C48" w:rsidRDefault="00422FCD" w:rsidP="00ED4F78">
            <w:pPr>
              <w:jc w:val="center"/>
              <w:rPr>
                <w:rFonts w:cs="Arial"/>
                <w:sz w:val="20"/>
                <w:szCs w:val="20"/>
              </w:rPr>
            </w:pPr>
            <w:r w:rsidRPr="00247C48">
              <w:rPr>
                <w:rFonts w:cs="Arial"/>
                <w:sz w:val="20"/>
                <w:szCs w:val="20"/>
              </w:rPr>
              <w:t>Agendas for board meetings should be published in advance and this provision should be included in the Framework Agreement.</w:t>
            </w:r>
          </w:p>
        </w:tc>
        <w:tc>
          <w:tcPr>
            <w:tcW w:w="2126" w:type="dxa"/>
            <w:tcMar>
              <w:top w:w="0" w:type="dxa"/>
              <w:left w:w="108" w:type="dxa"/>
              <w:bottom w:w="0" w:type="dxa"/>
              <w:right w:w="108" w:type="dxa"/>
            </w:tcMar>
            <w:vAlign w:val="center"/>
            <w:hideMark/>
          </w:tcPr>
          <w:p w:rsidR="00422FCD" w:rsidRPr="00247C48" w:rsidRDefault="00422FCD" w:rsidP="00ED4F78">
            <w:pPr>
              <w:jc w:val="center"/>
              <w:rPr>
                <w:rFonts w:cs="Arial"/>
                <w:sz w:val="20"/>
                <w:szCs w:val="20"/>
              </w:rPr>
            </w:pPr>
            <w:r w:rsidRPr="00247C48">
              <w:rPr>
                <w:rFonts w:cs="Arial"/>
                <w:sz w:val="20"/>
                <w:szCs w:val="20"/>
              </w:rPr>
              <w:t>C</w:t>
            </w:r>
          </w:p>
        </w:tc>
        <w:tc>
          <w:tcPr>
            <w:tcW w:w="2977" w:type="dxa"/>
            <w:tcMar>
              <w:top w:w="0" w:type="dxa"/>
              <w:left w:w="108" w:type="dxa"/>
              <w:bottom w:w="0" w:type="dxa"/>
              <w:right w:w="108" w:type="dxa"/>
            </w:tcMar>
            <w:vAlign w:val="center"/>
            <w:hideMark/>
          </w:tcPr>
          <w:p w:rsidR="00422FCD" w:rsidRPr="00247C48" w:rsidRDefault="00422FCD" w:rsidP="00ED4F78">
            <w:pPr>
              <w:jc w:val="center"/>
              <w:rPr>
                <w:rFonts w:cs="Arial"/>
                <w:sz w:val="20"/>
                <w:szCs w:val="20"/>
              </w:rPr>
            </w:pPr>
            <w:r>
              <w:rPr>
                <w:rFonts w:cs="Arial"/>
                <w:sz w:val="20"/>
                <w:szCs w:val="20"/>
              </w:rPr>
              <w:t xml:space="preserve">FA </w:t>
            </w:r>
            <w:r w:rsidRPr="00247C48">
              <w:rPr>
                <w:rFonts w:cs="Arial"/>
                <w:sz w:val="20"/>
                <w:szCs w:val="20"/>
              </w:rPr>
              <w:t>5.2 (no recent agendas published</w:t>
            </w:r>
            <w:r>
              <w:rPr>
                <w:rFonts w:cs="Arial"/>
                <w:sz w:val="20"/>
                <w:szCs w:val="20"/>
              </w:rPr>
              <w:t>,</w:t>
            </w:r>
            <w:r w:rsidRPr="00247C48">
              <w:rPr>
                <w:rFonts w:cs="Arial"/>
                <w:sz w:val="20"/>
                <w:szCs w:val="20"/>
              </w:rPr>
              <w:t xml:space="preserve"> </w:t>
            </w:r>
            <w:r>
              <w:rPr>
                <w:rFonts w:cs="Arial"/>
                <w:sz w:val="20"/>
                <w:szCs w:val="20"/>
              </w:rPr>
              <w:t>al</w:t>
            </w:r>
            <w:r w:rsidRPr="00247C48">
              <w:rPr>
                <w:rFonts w:cs="Arial"/>
                <w:sz w:val="20"/>
                <w:szCs w:val="20"/>
              </w:rPr>
              <w:t>though minutes are)</w:t>
            </w:r>
            <w:r>
              <w:rPr>
                <w:rFonts w:cs="Arial"/>
                <w:sz w:val="20"/>
                <w:szCs w:val="20"/>
              </w:rPr>
              <w:t>.</w:t>
            </w:r>
          </w:p>
        </w:tc>
      </w:tr>
      <w:tr w:rsidR="00422FCD" w:rsidRPr="00247C48" w:rsidTr="00ED4F78">
        <w:tc>
          <w:tcPr>
            <w:tcW w:w="539" w:type="dxa"/>
            <w:tcMar>
              <w:top w:w="0" w:type="dxa"/>
              <w:left w:w="108" w:type="dxa"/>
              <w:bottom w:w="0" w:type="dxa"/>
              <w:right w:w="108" w:type="dxa"/>
            </w:tcMar>
            <w:vAlign w:val="center"/>
            <w:hideMark/>
          </w:tcPr>
          <w:p w:rsidR="00422FCD" w:rsidRPr="00247C48" w:rsidRDefault="00422FCD" w:rsidP="00ED4F78">
            <w:pPr>
              <w:jc w:val="center"/>
              <w:rPr>
                <w:rFonts w:cs="Arial"/>
                <w:sz w:val="20"/>
                <w:szCs w:val="20"/>
              </w:rPr>
            </w:pPr>
            <w:r w:rsidRPr="00247C48">
              <w:rPr>
                <w:rFonts w:cs="Arial"/>
                <w:sz w:val="20"/>
                <w:szCs w:val="20"/>
              </w:rPr>
              <w:t>12</w:t>
            </w:r>
          </w:p>
        </w:tc>
        <w:tc>
          <w:tcPr>
            <w:tcW w:w="4139" w:type="dxa"/>
            <w:tcMar>
              <w:top w:w="0" w:type="dxa"/>
              <w:left w:w="108" w:type="dxa"/>
              <w:bottom w:w="0" w:type="dxa"/>
              <w:right w:w="108" w:type="dxa"/>
            </w:tcMar>
            <w:vAlign w:val="center"/>
            <w:hideMark/>
          </w:tcPr>
          <w:p w:rsidR="00422FCD" w:rsidRPr="00247C48" w:rsidRDefault="00422FCD" w:rsidP="00ED4F78">
            <w:pPr>
              <w:jc w:val="center"/>
              <w:rPr>
                <w:rFonts w:cs="Arial"/>
                <w:sz w:val="20"/>
                <w:szCs w:val="20"/>
              </w:rPr>
            </w:pPr>
            <w:r w:rsidRPr="00247C48">
              <w:rPr>
                <w:rFonts w:cs="Arial"/>
                <w:sz w:val="20"/>
                <w:szCs w:val="20"/>
              </w:rPr>
              <w:t>The Code of Conduct for Commissioners should be included in the Commissioners’ honorarium agreements, and should use gender neutral language.</w:t>
            </w:r>
          </w:p>
        </w:tc>
        <w:tc>
          <w:tcPr>
            <w:tcW w:w="2126" w:type="dxa"/>
            <w:tcMar>
              <w:top w:w="0" w:type="dxa"/>
              <w:left w:w="108" w:type="dxa"/>
              <w:bottom w:w="0" w:type="dxa"/>
              <w:right w:w="108" w:type="dxa"/>
            </w:tcMar>
            <w:vAlign w:val="center"/>
            <w:hideMark/>
          </w:tcPr>
          <w:p w:rsidR="00422FCD" w:rsidRPr="00247C48" w:rsidRDefault="00422FCD" w:rsidP="00ED4F78">
            <w:pPr>
              <w:jc w:val="center"/>
              <w:rPr>
                <w:rFonts w:cs="Arial"/>
                <w:sz w:val="20"/>
                <w:szCs w:val="20"/>
              </w:rPr>
            </w:pPr>
            <w:r w:rsidRPr="00247C48">
              <w:rPr>
                <w:rFonts w:cs="Arial"/>
                <w:sz w:val="20"/>
                <w:szCs w:val="20"/>
              </w:rPr>
              <w:t>C</w:t>
            </w:r>
          </w:p>
        </w:tc>
        <w:tc>
          <w:tcPr>
            <w:tcW w:w="2977" w:type="dxa"/>
            <w:tcMar>
              <w:top w:w="0" w:type="dxa"/>
              <w:left w:w="108" w:type="dxa"/>
              <w:bottom w:w="0" w:type="dxa"/>
              <w:right w:w="108" w:type="dxa"/>
            </w:tcMar>
            <w:vAlign w:val="center"/>
            <w:hideMark/>
          </w:tcPr>
          <w:p w:rsidR="00422FCD" w:rsidRPr="00247C48" w:rsidRDefault="00422FCD" w:rsidP="00ED4F78">
            <w:pPr>
              <w:jc w:val="center"/>
              <w:rPr>
                <w:rFonts w:cs="Arial"/>
                <w:sz w:val="20"/>
                <w:szCs w:val="20"/>
              </w:rPr>
            </w:pPr>
            <w:r w:rsidRPr="00247C48">
              <w:rPr>
                <w:rFonts w:cs="Arial"/>
                <w:sz w:val="20"/>
                <w:szCs w:val="20"/>
              </w:rPr>
              <w:t>Conduct and</w:t>
            </w:r>
            <w:r>
              <w:rPr>
                <w:rFonts w:cs="Arial"/>
                <w:sz w:val="20"/>
                <w:szCs w:val="20"/>
              </w:rPr>
              <w:t xml:space="preserve"> Nolan Principles included in Honorarium Agreement</w:t>
            </w:r>
            <w:r w:rsidRPr="00247C48">
              <w:rPr>
                <w:rFonts w:cs="Arial"/>
                <w:sz w:val="20"/>
                <w:szCs w:val="20"/>
              </w:rPr>
              <w:t>.</w:t>
            </w:r>
          </w:p>
        </w:tc>
      </w:tr>
      <w:tr w:rsidR="00422FCD" w:rsidRPr="00247C48" w:rsidTr="00ED4F78">
        <w:tc>
          <w:tcPr>
            <w:tcW w:w="539" w:type="dxa"/>
            <w:tcMar>
              <w:top w:w="0" w:type="dxa"/>
              <w:left w:w="108" w:type="dxa"/>
              <w:bottom w:w="0" w:type="dxa"/>
              <w:right w:w="108" w:type="dxa"/>
            </w:tcMar>
            <w:vAlign w:val="center"/>
            <w:hideMark/>
          </w:tcPr>
          <w:p w:rsidR="00422FCD" w:rsidRPr="00247C48" w:rsidRDefault="00422FCD" w:rsidP="00ED4F78">
            <w:pPr>
              <w:jc w:val="center"/>
              <w:rPr>
                <w:rFonts w:cs="Arial"/>
                <w:sz w:val="20"/>
                <w:szCs w:val="20"/>
              </w:rPr>
            </w:pPr>
            <w:r w:rsidRPr="00247C48">
              <w:rPr>
                <w:rFonts w:cs="Arial"/>
                <w:sz w:val="20"/>
                <w:szCs w:val="20"/>
              </w:rPr>
              <w:t>13</w:t>
            </w:r>
          </w:p>
        </w:tc>
        <w:tc>
          <w:tcPr>
            <w:tcW w:w="4139" w:type="dxa"/>
            <w:tcMar>
              <w:top w:w="0" w:type="dxa"/>
              <w:left w:w="108" w:type="dxa"/>
              <w:bottom w:w="0" w:type="dxa"/>
              <w:right w:w="108" w:type="dxa"/>
            </w:tcMar>
            <w:vAlign w:val="center"/>
            <w:hideMark/>
          </w:tcPr>
          <w:p w:rsidR="00422FCD" w:rsidRPr="00247C48" w:rsidRDefault="00422FCD" w:rsidP="00ED4F78">
            <w:pPr>
              <w:jc w:val="center"/>
              <w:rPr>
                <w:rFonts w:cs="Arial"/>
                <w:sz w:val="20"/>
                <w:szCs w:val="20"/>
              </w:rPr>
            </w:pPr>
            <w:r w:rsidRPr="00247C48">
              <w:rPr>
                <w:rFonts w:cs="Arial"/>
                <w:sz w:val="20"/>
                <w:szCs w:val="20"/>
              </w:rPr>
              <w:t>The Register of Interests for Commissioners and rules on claiming expenses should be made publicly available.</w:t>
            </w:r>
          </w:p>
        </w:tc>
        <w:tc>
          <w:tcPr>
            <w:tcW w:w="2126" w:type="dxa"/>
            <w:tcMar>
              <w:top w:w="0" w:type="dxa"/>
              <w:left w:w="108" w:type="dxa"/>
              <w:bottom w:w="0" w:type="dxa"/>
              <w:right w:w="108" w:type="dxa"/>
            </w:tcMar>
            <w:vAlign w:val="center"/>
            <w:hideMark/>
          </w:tcPr>
          <w:p w:rsidR="00422FCD" w:rsidRPr="00247C48" w:rsidRDefault="00422FCD" w:rsidP="00ED4F78">
            <w:pPr>
              <w:jc w:val="center"/>
              <w:rPr>
                <w:rFonts w:cs="Arial"/>
                <w:sz w:val="20"/>
                <w:szCs w:val="20"/>
              </w:rPr>
            </w:pPr>
            <w:r w:rsidRPr="00247C48">
              <w:rPr>
                <w:rFonts w:cs="Arial"/>
                <w:sz w:val="20"/>
                <w:szCs w:val="20"/>
              </w:rPr>
              <w:t>PC</w:t>
            </w:r>
          </w:p>
        </w:tc>
        <w:tc>
          <w:tcPr>
            <w:tcW w:w="2977" w:type="dxa"/>
            <w:tcMar>
              <w:top w:w="0" w:type="dxa"/>
              <w:left w:w="108" w:type="dxa"/>
              <w:bottom w:w="0" w:type="dxa"/>
              <w:right w:w="108" w:type="dxa"/>
            </w:tcMar>
            <w:vAlign w:val="center"/>
            <w:hideMark/>
          </w:tcPr>
          <w:p w:rsidR="00422FCD" w:rsidRPr="00247C48" w:rsidRDefault="00422FCD" w:rsidP="00ED4F78">
            <w:pPr>
              <w:jc w:val="center"/>
              <w:rPr>
                <w:rFonts w:cs="Arial"/>
                <w:sz w:val="20"/>
                <w:szCs w:val="20"/>
              </w:rPr>
            </w:pPr>
            <w:r w:rsidRPr="00247C48">
              <w:rPr>
                <w:rFonts w:cs="Arial"/>
                <w:sz w:val="20"/>
                <w:szCs w:val="20"/>
              </w:rPr>
              <w:t>The Register is published on the ICAI website. The expenses rules have not been.</w:t>
            </w:r>
          </w:p>
        </w:tc>
      </w:tr>
      <w:tr w:rsidR="00422FCD" w:rsidRPr="00247C48" w:rsidTr="00ED4F78">
        <w:tc>
          <w:tcPr>
            <w:tcW w:w="539" w:type="dxa"/>
            <w:tcMar>
              <w:top w:w="0" w:type="dxa"/>
              <w:left w:w="108" w:type="dxa"/>
              <w:bottom w:w="0" w:type="dxa"/>
              <w:right w:w="108" w:type="dxa"/>
            </w:tcMar>
            <w:vAlign w:val="center"/>
            <w:hideMark/>
          </w:tcPr>
          <w:p w:rsidR="00422FCD" w:rsidRPr="00247C48" w:rsidRDefault="00422FCD" w:rsidP="00ED4F78">
            <w:pPr>
              <w:jc w:val="center"/>
              <w:rPr>
                <w:rFonts w:cs="Arial"/>
                <w:sz w:val="20"/>
                <w:szCs w:val="20"/>
              </w:rPr>
            </w:pPr>
            <w:r w:rsidRPr="00247C48">
              <w:rPr>
                <w:rFonts w:cs="Arial"/>
                <w:sz w:val="20"/>
                <w:szCs w:val="20"/>
              </w:rPr>
              <w:t>14</w:t>
            </w:r>
          </w:p>
        </w:tc>
        <w:tc>
          <w:tcPr>
            <w:tcW w:w="4139" w:type="dxa"/>
            <w:tcMar>
              <w:top w:w="0" w:type="dxa"/>
              <w:left w:w="108" w:type="dxa"/>
              <w:bottom w:w="0" w:type="dxa"/>
              <w:right w:w="108" w:type="dxa"/>
            </w:tcMar>
            <w:vAlign w:val="center"/>
            <w:hideMark/>
          </w:tcPr>
          <w:p w:rsidR="00422FCD" w:rsidRPr="00247C48" w:rsidRDefault="00422FCD" w:rsidP="00ED4F78">
            <w:pPr>
              <w:jc w:val="center"/>
              <w:rPr>
                <w:rFonts w:cs="Arial"/>
                <w:sz w:val="20"/>
                <w:szCs w:val="20"/>
              </w:rPr>
            </w:pPr>
            <w:r w:rsidRPr="00247C48">
              <w:rPr>
                <w:rFonts w:cs="Arial"/>
                <w:sz w:val="20"/>
                <w:szCs w:val="20"/>
              </w:rPr>
              <w:t>DFID should decide what limitations regarding future appointments or employment should be in place for current Commissioners (if any).  Honoraria agreements should then be amended to reflect agreed policy.</w:t>
            </w:r>
          </w:p>
        </w:tc>
        <w:tc>
          <w:tcPr>
            <w:tcW w:w="2126" w:type="dxa"/>
            <w:tcMar>
              <w:top w:w="0" w:type="dxa"/>
              <w:left w:w="108" w:type="dxa"/>
              <w:bottom w:w="0" w:type="dxa"/>
              <w:right w:w="108" w:type="dxa"/>
            </w:tcMar>
            <w:vAlign w:val="center"/>
            <w:hideMark/>
          </w:tcPr>
          <w:p w:rsidR="00422FCD" w:rsidRPr="00247C48" w:rsidRDefault="00422FCD" w:rsidP="00ED4F78">
            <w:pPr>
              <w:jc w:val="center"/>
              <w:rPr>
                <w:rFonts w:cs="Arial"/>
                <w:sz w:val="20"/>
                <w:szCs w:val="20"/>
              </w:rPr>
            </w:pPr>
            <w:r w:rsidRPr="00247C48">
              <w:rPr>
                <w:rFonts w:cs="Arial"/>
                <w:sz w:val="20"/>
                <w:szCs w:val="20"/>
              </w:rPr>
              <w:t>NC</w:t>
            </w:r>
          </w:p>
        </w:tc>
        <w:tc>
          <w:tcPr>
            <w:tcW w:w="2977" w:type="dxa"/>
            <w:tcMar>
              <w:top w:w="0" w:type="dxa"/>
              <w:left w:w="108" w:type="dxa"/>
              <w:bottom w:w="0" w:type="dxa"/>
              <w:right w:w="108" w:type="dxa"/>
            </w:tcMar>
            <w:vAlign w:val="center"/>
          </w:tcPr>
          <w:p w:rsidR="00422FCD" w:rsidRPr="00247C48" w:rsidRDefault="00422FCD" w:rsidP="00ED4F78">
            <w:pPr>
              <w:jc w:val="center"/>
              <w:rPr>
                <w:rFonts w:cs="Arial"/>
                <w:sz w:val="20"/>
                <w:szCs w:val="20"/>
              </w:rPr>
            </w:pPr>
          </w:p>
        </w:tc>
      </w:tr>
      <w:tr w:rsidR="00422FCD" w:rsidRPr="00247C48" w:rsidTr="00ED4F78">
        <w:tc>
          <w:tcPr>
            <w:tcW w:w="539" w:type="dxa"/>
            <w:tcMar>
              <w:top w:w="0" w:type="dxa"/>
              <w:left w:w="108" w:type="dxa"/>
              <w:bottom w:w="0" w:type="dxa"/>
              <w:right w:w="108" w:type="dxa"/>
            </w:tcMar>
            <w:vAlign w:val="center"/>
            <w:hideMark/>
          </w:tcPr>
          <w:p w:rsidR="00422FCD" w:rsidRPr="00247C48" w:rsidRDefault="00422FCD" w:rsidP="00ED4F78">
            <w:pPr>
              <w:jc w:val="center"/>
              <w:rPr>
                <w:rFonts w:cs="Arial"/>
                <w:sz w:val="20"/>
                <w:szCs w:val="20"/>
              </w:rPr>
            </w:pPr>
            <w:r w:rsidRPr="00247C48">
              <w:rPr>
                <w:rFonts w:cs="Arial"/>
                <w:sz w:val="20"/>
                <w:szCs w:val="20"/>
              </w:rPr>
              <w:t>15</w:t>
            </w:r>
          </w:p>
        </w:tc>
        <w:tc>
          <w:tcPr>
            <w:tcW w:w="4139" w:type="dxa"/>
            <w:tcMar>
              <w:top w:w="0" w:type="dxa"/>
              <w:left w:w="108" w:type="dxa"/>
              <w:bottom w:w="0" w:type="dxa"/>
              <w:right w:w="108" w:type="dxa"/>
            </w:tcMar>
            <w:vAlign w:val="center"/>
            <w:hideMark/>
          </w:tcPr>
          <w:p w:rsidR="00422FCD" w:rsidRPr="00247C48" w:rsidRDefault="00422FCD" w:rsidP="00ED4F78">
            <w:pPr>
              <w:jc w:val="center"/>
              <w:rPr>
                <w:rFonts w:cs="Arial"/>
                <w:sz w:val="20"/>
                <w:szCs w:val="20"/>
              </w:rPr>
            </w:pPr>
            <w:r w:rsidRPr="00247C48">
              <w:rPr>
                <w:rFonts w:cs="Arial"/>
                <w:sz w:val="20"/>
                <w:szCs w:val="20"/>
              </w:rPr>
              <w:t>The IDC should be given a formal role in signing off ICAI’s annual work plan and any significant changes to the work plan.  This change should then be reviewed at the time of the next Triennial Review.</w:t>
            </w:r>
          </w:p>
        </w:tc>
        <w:tc>
          <w:tcPr>
            <w:tcW w:w="2126" w:type="dxa"/>
            <w:tcMar>
              <w:top w:w="0" w:type="dxa"/>
              <w:left w:w="108" w:type="dxa"/>
              <w:bottom w:w="0" w:type="dxa"/>
              <w:right w:w="108" w:type="dxa"/>
            </w:tcMar>
            <w:vAlign w:val="center"/>
            <w:hideMark/>
          </w:tcPr>
          <w:p w:rsidR="00422FCD" w:rsidRPr="00247C48" w:rsidRDefault="00422FCD" w:rsidP="00ED4F78">
            <w:pPr>
              <w:jc w:val="center"/>
              <w:rPr>
                <w:rFonts w:cs="Arial"/>
                <w:sz w:val="20"/>
                <w:szCs w:val="20"/>
              </w:rPr>
            </w:pPr>
            <w:r w:rsidRPr="00247C48">
              <w:rPr>
                <w:rFonts w:cs="Arial"/>
                <w:sz w:val="20"/>
                <w:szCs w:val="20"/>
              </w:rPr>
              <w:t>C</w:t>
            </w:r>
          </w:p>
        </w:tc>
        <w:tc>
          <w:tcPr>
            <w:tcW w:w="2977" w:type="dxa"/>
            <w:tcMar>
              <w:top w:w="0" w:type="dxa"/>
              <w:left w:w="108" w:type="dxa"/>
              <w:bottom w:w="0" w:type="dxa"/>
              <w:right w:w="108" w:type="dxa"/>
            </w:tcMar>
            <w:vAlign w:val="center"/>
            <w:hideMark/>
          </w:tcPr>
          <w:p w:rsidR="00422FCD" w:rsidRPr="00247C48" w:rsidRDefault="00422FCD" w:rsidP="00ED4F78">
            <w:pPr>
              <w:jc w:val="center"/>
              <w:rPr>
                <w:rFonts w:cs="Arial"/>
                <w:sz w:val="20"/>
                <w:szCs w:val="20"/>
              </w:rPr>
            </w:pPr>
            <w:r w:rsidRPr="00247C48">
              <w:rPr>
                <w:rFonts w:cs="Arial"/>
                <w:sz w:val="20"/>
                <w:szCs w:val="20"/>
              </w:rPr>
              <w:t>FA 4.1.1</w:t>
            </w:r>
          </w:p>
        </w:tc>
      </w:tr>
      <w:tr w:rsidR="00422FCD" w:rsidRPr="00247C48" w:rsidTr="00ED4F78">
        <w:tc>
          <w:tcPr>
            <w:tcW w:w="539" w:type="dxa"/>
            <w:tcMar>
              <w:top w:w="0" w:type="dxa"/>
              <w:left w:w="108" w:type="dxa"/>
              <w:bottom w:w="0" w:type="dxa"/>
              <w:right w:w="108" w:type="dxa"/>
            </w:tcMar>
            <w:vAlign w:val="center"/>
            <w:hideMark/>
          </w:tcPr>
          <w:p w:rsidR="00422FCD" w:rsidRPr="00247C48" w:rsidRDefault="00422FCD" w:rsidP="00ED4F78">
            <w:pPr>
              <w:jc w:val="center"/>
              <w:rPr>
                <w:rFonts w:cs="Arial"/>
                <w:sz w:val="20"/>
                <w:szCs w:val="20"/>
              </w:rPr>
            </w:pPr>
            <w:r w:rsidRPr="00247C48">
              <w:rPr>
                <w:rFonts w:cs="Arial"/>
                <w:sz w:val="20"/>
                <w:szCs w:val="20"/>
              </w:rPr>
              <w:t>16</w:t>
            </w:r>
          </w:p>
        </w:tc>
        <w:tc>
          <w:tcPr>
            <w:tcW w:w="4139" w:type="dxa"/>
            <w:tcMar>
              <w:top w:w="0" w:type="dxa"/>
              <w:left w:w="108" w:type="dxa"/>
              <w:bottom w:w="0" w:type="dxa"/>
              <w:right w:w="108" w:type="dxa"/>
            </w:tcMar>
            <w:vAlign w:val="center"/>
            <w:hideMark/>
          </w:tcPr>
          <w:p w:rsidR="00422FCD" w:rsidRPr="00247C48" w:rsidRDefault="00422FCD" w:rsidP="00ED4F78">
            <w:pPr>
              <w:jc w:val="center"/>
              <w:rPr>
                <w:rFonts w:cs="Arial"/>
                <w:sz w:val="20"/>
                <w:szCs w:val="20"/>
              </w:rPr>
            </w:pPr>
            <w:r w:rsidRPr="00247C48">
              <w:rPr>
                <w:rFonts w:cs="Arial"/>
                <w:sz w:val="20"/>
                <w:szCs w:val="20"/>
              </w:rPr>
              <w:t>IDC members should be invited to be represented on the selection panel for future Commissioners.</w:t>
            </w:r>
          </w:p>
        </w:tc>
        <w:tc>
          <w:tcPr>
            <w:tcW w:w="2126" w:type="dxa"/>
            <w:tcMar>
              <w:top w:w="0" w:type="dxa"/>
              <w:left w:w="108" w:type="dxa"/>
              <w:bottom w:w="0" w:type="dxa"/>
              <w:right w:w="108" w:type="dxa"/>
            </w:tcMar>
            <w:vAlign w:val="center"/>
            <w:hideMark/>
          </w:tcPr>
          <w:p w:rsidR="00422FCD" w:rsidRPr="00247C48" w:rsidRDefault="00422FCD" w:rsidP="00ED4F78">
            <w:pPr>
              <w:jc w:val="center"/>
              <w:rPr>
                <w:rFonts w:cs="Arial"/>
                <w:sz w:val="20"/>
                <w:szCs w:val="20"/>
              </w:rPr>
            </w:pPr>
            <w:r w:rsidRPr="00247C48">
              <w:rPr>
                <w:rFonts w:cs="Arial"/>
                <w:sz w:val="20"/>
                <w:szCs w:val="20"/>
              </w:rPr>
              <w:t>C</w:t>
            </w:r>
          </w:p>
        </w:tc>
        <w:tc>
          <w:tcPr>
            <w:tcW w:w="2977" w:type="dxa"/>
            <w:tcMar>
              <w:top w:w="0" w:type="dxa"/>
              <w:left w:w="108" w:type="dxa"/>
              <w:bottom w:w="0" w:type="dxa"/>
              <w:right w:w="108" w:type="dxa"/>
            </w:tcMar>
            <w:vAlign w:val="center"/>
            <w:hideMark/>
          </w:tcPr>
          <w:p w:rsidR="00422FCD" w:rsidRPr="00247C48" w:rsidRDefault="00422FCD" w:rsidP="00ED4F78">
            <w:pPr>
              <w:jc w:val="center"/>
              <w:rPr>
                <w:rFonts w:cs="Arial"/>
                <w:sz w:val="20"/>
                <w:szCs w:val="20"/>
              </w:rPr>
            </w:pPr>
            <w:r w:rsidRPr="00247C48">
              <w:rPr>
                <w:rFonts w:cs="Arial"/>
                <w:sz w:val="20"/>
                <w:szCs w:val="20"/>
              </w:rPr>
              <w:t>FA 3.6.1</w:t>
            </w:r>
          </w:p>
        </w:tc>
      </w:tr>
    </w:tbl>
    <w:p w:rsidR="00422FCD" w:rsidRPr="00F83356" w:rsidRDefault="00422FCD" w:rsidP="00422FCD">
      <w:pPr>
        <w:rPr>
          <w:b/>
          <w:color w:val="31849B" w:themeColor="accent5" w:themeShade="BF"/>
          <w:sz w:val="32"/>
        </w:rPr>
      </w:pPr>
      <w:r>
        <w:br w:type="page"/>
      </w:r>
      <w:r w:rsidRPr="00F83356">
        <w:rPr>
          <w:b/>
          <w:color w:val="31849B" w:themeColor="accent5" w:themeShade="BF"/>
          <w:sz w:val="32"/>
        </w:rPr>
        <w:t xml:space="preserve">Annex </w:t>
      </w:r>
      <w:r w:rsidR="00300E90" w:rsidRPr="00F83356">
        <w:rPr>
          <w:b/>
          <w:color w:val="31849B" w:themeColor="accent5" w:themeShade="BF"/>
          <w:sz w:val="32"/>
        </w:rPr>
        <w:t>E</w:t>
      </w:r>
      <w:r w:rsidRPr="00F83356">
        <w:rPr>
          <w:b/>
          <w:color w:val="31849B" w:themeColor="accent5" w:themeShade="BF"/>
          <w:sz w:val="32"/>
        </w:rPr>
        <w:t xml:space="preserve"> – List of Conclusions and Recommendations</w:t>
      </w:r>
    </w:p>
    <w:p w:rsidR="00422FCD" w:rsidRPr="00F83356" w:rsidRDefault="00422FCD" w:rsidP="00422FCD">
      <w:pPr>
        <w:rPr>
          <w:color w:val="31849B" w:themeColor="accent5" w:themeShade="BF"/>
        </w:rPr>
      </w:pPr>
    </w:p>
    <w:p w:rsidR="00422FCD" w:rsidRPr="00F83356" w:rsidRDefault="00422FCD" w:rsidP="00422FCD">
      <w:pPr>
        <w:rPr>
          <w:b/>
          <w:i/>
          <w:color w:val="31849B" w:themeColor="accent5" w:themeShade="BF"/>
        </w:rPr>
      </w:pPr>
      <w:r w:rsidRPr="00F83356">
        <w:rPr>
          <w:b/>
          <w:i/>
          <w:color w:val="31849B" w:themeColor="accent5" w:themeShade="BF"/>
        </w:rPr>
        <w:t>Conclusions</w:t>
      </w:r>
    </w:p>
    <w:p w:rsidR="00422FCD" w:rsidRDefault="00422FCD" w:rsidP="00422FCD"/>
    <w:p w:rsidR="00422FCD" w:rsidRDefault="00422FCD" w:rsidP="00422FCD">
      <w:r>
        <w:t>1.</w:t>
      </w:r>
      <w:r>
        <w:tab/>
      </w:r>
      <w:r w:rsidRPr="00387A6C">
        <w:t>The existence of ICAI as an independent scrutiny body is clearly a valuable component of the UK aid scrutiny landscape and supports the Secretary of State’s statutory obligation under Section 5 of the International Development Act 2015.</w:t>
      </w:r>
    </w:p>
    <w:p w:rsidR="00422FCD" w:rsidRDefault="00422FCD" w:rsidP="00422FCD"/>
    <w:p w:rsidR="00422FCD" w:rsidRPr="00387A6C" w:rsidRDefault="00422FCD" w:rsidP="00422FCD">
      <w:r>
        <w:t>2.</w:t>
      </w:r>
      <w:r>
        <w:tab/>
      </w:r>
      <w:r w:rsidRPr="00387A6C">
        <w:t>ICAI delivers all of its current functions. It has effectively supported Parliament and actively made its work available to the public and the wider aid community. ICAI’s reviews are valued for being independent and thematic, however have varied in terms of their credibility among government stakeholders.</w:t>
      </w:r>
    </w:p>
    <w:p w:rsidR="00422FCD" w:rsidRPr="00387A6C" w:rsidRDefault="00422FCD" w:rsidP="00422FCD"/>
    <w:p w:rsidR="00422FCD" w:rsidRPr="00387A6C" w:rsidRDefault="00422FCD" w:rsidP="00422FCD">
      <w:r>
        <w:t>3.</w:t>
      </w:r>
      <w:r>
        <w:tab/>
      </w:r>
      <w:r w:rsidRPr="00387A6C">
        <w:t>ICAI’s remit is clear and well understood by its stakeholders. ICAI distinguishes itself from other scrutiny bodies by focusing on assessing aid impact.</w:t>
      </w:r>
    </w:p>
    <w:p w:rsidR="00422FCD" w:rsidRPr="00387A6C" w:rsidRDefault="00422FCD" w:rsidP="00422FCD"/>
    <w:p w:rsidR="00422FCD" w:rsidRPr="00387A6C" w:rsidRDefault="00422FCD" w:rsidP="00422FCD">
      <w:r>
        <w:t>4.</w:t>
      </w:r>
      <w:r>
        <w:tab/>
      </w:r>
      <w:r w:rsidRPr="00387A6C">
        <w:t>ICAI’s functions are appropriate and necessary, but could be simplified to ensure clarity.</w:t>
      </w:r>
    </w:p>
    <w:p w:rsidR="00422FCD" w:rsidRPr="00387A6C" w:rsidRDefault="00422FCD" w:rsidP="00422FCD"/>
    <w:p w:rsidR="00422FCD" w:rsidRPr="00387A6C" w:rsidRDefault="00422FCD" w:rsidP="00422FCD">
      <w:r>
        <w:t>5.</w:t>
      </w:r>
      <w:r>
        <w:tab/>
      </w:r>
      <w:r w:rsidRPr="00387A6C">
        <w:t>ICA</w:t>
      </w:r>
      <w:r>
        <w:t>I should continue to exist as a</w:t>
      </w:r>
      <w:r w:rsidRPr="00387A6C">
        <w:t xml:space="preserve"> </w:t>
      </w:r>
      <w:r>
        <w:t>Non Departmental Public Body (</w:t>
      </w:r>
      <w:r w:rsidRPr="00387A6C">
        <w:t>NDPB)</w:t>
      </w:r>
      <w:r>
        <w:t xml:space="preserve"> with advisory functions</w:t>
      </w:r>
      <w:r w:rsidRPr="00387A6C">
        <w:t xml:space="preserve"> as it fully satisfies Cabinet Office requirements for doing so.</w:t>
      </w:r>
    </w:p>
    <w:p w:rsidR="00422FCD" w:rsidRPr="00387A6C" w:rsidRDefault="00422FCD" w:rsidP="00422FCD"/>
    <w:p w:rsidR="00422FCD" w:rsidRPr="00387A6C" w:rsidRDefault="00422FCD" w:rsidP="00422FCD">
      <w:r>
        <w:t>6.</w:t>
      </w:r>
      <w:r>
        <w:tab/>
      </w:r>
      <w:r w:rsidRPr="00387A6C">
        <w:t>ICAI’s work has contributed to improving the impact and value for money of UK ODA. By evaluating how its work has done this, ICAI can increase its contribution further.</w:t>
      </w:r>
    </w:p>
    <w:p w:rsidR="00422FCD" w:rsidRPr="00387A6C" w:rsidRDefault="00422FCD" w:rsidP="00422FCD"/>
    <w:p w:rsidR="00422FCD" w:rsidRPr="00387A6C" w:rsidRDefault="00422FCD" w:rsidP="00422FCD">
      <w:r>
        <w:t>7.</w:t>
      </w:r>
      <w:r>
        <w:tab/>
      </w:r>
      <w:r w:rsidRPr="00387A6C">
        <w:t>ICAI’s strongest reviews are characterised by clear leadership from the Commissioner and a review-team lead with both relevant development expertise and a strong understanding of the government department under scrutiny, which helps focus the review’s design and ensures useful recommendations.</w:t>
      </w:r>
    </w:p>
    <w:p w:rsidR="00422FCD" w:rsidRPr="00387A6C" w:rsidRDefault="00422FCD" w:rsidP="00422FCD"/>
    <w:p w:rsidR="00422FCD" w:rsidRPr="00387A6C" w:rsidRDefault="00422FCD" w:rsidP="00422FCD">
      <w:r>
        <w:t>8.</w:t>
      </w:r>
      <w:r>
        <w:tab/>
      </w:r>
      <w:r w:rsidRPr="00387A6C">
        <w:t>ICAI’s review process is considered time and resource-intensive by government stakeholders in comparison to other scrutiny processes.</w:t>
      </w:r>
    </w:p>
    <w:p w:rsidR="00422FCD" w:rsidRPr="00387A6C" w:rsidRDefault="00422FCD" w:rsidP="00422FCD"/>
    <w:p w:rsidR="00422FCD" w:rsidRPr="00387A6C" w:rsidRDefault="00422FCD" w:rsidP="00422FCD">
      <w:r>
        <w:t>9.</w:t>
      </w:r>
      <w:r>
        <w:tab/>
      </w:r>
      <w:r w:rsidRPr="00387A6C">
        <w:t>Given the complexity and strategic nature of ICAI’s reviews and the recommendations made by them, the current three week deadline for a government response, as stipulated in ICAI’s Framework Agreement, is insufficient for a fully considered response.</w:t>
      </w:r>
    </w:p>
    <w:p w:rsidR="00422FCD" w:rsidRPr="00387A6C" w:rsidRDefault="00422FCD" w:rsidP="00422FCD"/>
    <w:p w:rsidR="00422FCD" w:rsidRPr="00387A6C" w:rsidRDefault="00422FCD" w:rsidP="00422FCD">
      <w:r>
        <w:t>10.</w:t>
      </w:r>
      <w:r>
        <w:tab/>
      </w:r>
      <w:r w:rsidRPr="00387A6C">
        <w:t>ICAI’s own measures of performance are under-reporting the full value of its work.</w:t>
      </w:r>
    </w:p>
    <w:p w:rsidR="00422FCD" w:rsidRPr="00387A6C" w:rsidRDefault="00422FCD" w:rsidP="00422FCD"/>
    <w:p w:rsidR="00422FCD" w:rsidRPr="00387A6C" w:rsidRDefault="00422FCD" w:rsidP="00422FCD">
      <w:r>
        <w:t>11.</w:t>
      </w:r>
      <w:r>
        <w:tab/>
      </w:r>
      <w:r w:rsidRPr="00387A6C">
        <w:t>ICAI’s current operating model lacks appropriate balance in cost and work-sharing between Commissioners, Secretariat and Service Provider(s), resulting in high coordination and transaction costs. Resolving this would also increase ICAI’s efficiency and effectiveness.</w:t>
      </w:r>
    </w:p>
    <w:p w:rsidR="00422FCD" w:rsidRPr="00387A6C" w:rsidRDefault="00422FCD" w:rsidP="00422FCD"/>
    <w:p w:rsidR="00422FCD" w:rsidRPr="00387A6C" w:rsidRDefault="00422FCD" w:rsidP="00422FCD">
      <w:r>
        <w:t>12.</w:t>
      </w:r>
      <w:r>
        <w:tab/>
      </w:r>
      <w:r w:rsidRPr="00387A6C">
        <w:t>The benefits of ICAI being in London outweigh the small cashable savings that could be derived from a move out of London.</w:t>
      </w:r>
    </w:p>
    <w:p w:rsidR="00422FCD" w:rsidRPr="00387A6C" w:rsidRDefault="00422FCD" w:rsidP="00422FCD"/>
    <w:p w:rsidR="00422FCD" w:rsidRPr="00387A6C" w:rsidRDefault="00422FCD" w:rsidP="00422FCD">
      <w:r>
        <w:t>13.</w:t>
      </w:r>
      <w:r>
        <w:tab/>
      </w:r>
      <w:r w:rsidRPr="00387A6C">
        <w:t>ICAI maintains good corporate governance processes. Diverse expectations around the principles of independence, personal conduct and lines of accountability, have posed some challenges to their implementation.</w:t>
      </w:r>
    </w:p>
    <w:p w:rsidR="00422FCD" w:rsidRPr="00387A6C" w:rsidRDefault="00422FCD" w:rsidP="00422FCD"/>
    <w:p w:rsidR="00422FCD" w:rsidRPr="00387A6C" w:rsidRDefault="00422FCD" w:rsidP="00422FCD">
      <w:r>
        <w:t>14.</w:t>
      </w:r>
      <w:r>
        <w:tab/>
      </w:r>
      <w:r w:rsidRPr="00387A6C">
        <w:t>ICAI's transition between funding phases led to a 10-month gap in publishing scrutiny reports in the first year of its current phase.</w:t>
      </w:r>
    </w:p>
    <w:p w:rsidR="00422FCD" w:rsidRPr="00387A6C" w:rsidRDefault="00422FCD" w:rsidP="00422FCD"/>
    <w:p w:rsidR="00422FCD" w:rsidRPr="00387A6C" w:rsidRDefault="00422FCD" w:rsidP="00422FCD">
      <w:r>
        <w:t>15.</w:t>
      </w:r>
      <w:r>
        <w:tab/>
      </w:r>
      <w:r w:rsidRPr="00387A6C">
        <w:t>ICAI’s mandate to scrutinise aid spent across all government departments is generally well-understood, and it has thus far responded appropriately to changes in the UK aid and aid scrutiny landscape and has been proportionate in its scrutiny of other government departments besides DFID.</w:t>
      </w:r>
    </w:p>
    <w:p w:rsidR="00422FCD" w:rsidRDefault="00422FCD" w:rsidP="00422FCD">
      <w:pPr>
        <w:rPr>
          <w:b/>
          <w:u w:val="single"/>
        </w:rPr>
      </w:pPr>
    </w:p>
    <w:p w:rsidR="00422FCD" w:rsidRPr="00F83356" w:rsidRDefault="00422FCD" w:rsidP="00422FCD">
      <w:pPr>
        <w:rPr>
          <w:b/>
          <w:i/>
          <w:color w:val="31849B" w:themeColor="accent5" w:themeShade="BF"/>
        </w:rPr>
      </w:pPr>
      <w:r w:rsidRPr="00F83356">
        <w:rPr>
          <w:b/>
          <w:i/>
          <w:color w:val="31849B" w:themeColor="accent5" w:themeShade="BF"/>
        </w:rPr>
        <w:t>Recommendations</w:t>
      </w:r>
    </w:p>
    <w:p w:rsidR="00422FCD" w:rsidRDefault="00422FCD" w:rsidP="00422FCD">
      <w:pPr>
        <w:rPr>
          <w:b/>
          <w:u w:val="single"/>
        </w:rPr>
      </w:pPr>
    </w:p>
    <w:p w:rsidR="00422FCD" w:rsidRPr="00387A6C" w:rsidRDefault="00422FCD" w:rsidP="00422FCD">
      <w:r w:rsidRPr="00387A6C">
        <w:t>1.</w:t>
      </w:r>
      <w:r w:rsidRPr="00387A6C">
        <w:tab/>
        <w:t>The following clarified function for ICAI is proposed:</w:t>
      </w:r>
    </w:p>
    <w:p w:rsidR="00422FCD" w:rsidRPr="00387A6C" w:rsidRDefault="00422FCD" w:rsidP="00422FCD"/>
    <w:p w:rsidR="00422FCD" w:rsidRPr="00387A6C" w:rsidRDefault="00422FCD" w:rsidP="00422FCD">
      <w:r w:rsidRPr="00387A6C">
        <w:t>‘ICAI’s remit is to provide independent evaluation and scrutiny of the impact and value for money of all UK Government ODA. ICAI will:</w:t>
      </w:r>
    </w:p>
    <w:p w:rsidR="00422FCD" w:rsidRPr="001F2B41" w:rsidRDefault="00422FCD" w:rsidP="001F2B41">
      <w:pPr>
        <w:pStyle w:val="ListParagraph"/>
        <w:numPr>
          <w:ilvl w:val="0"/>
          <w:numId w:val="4"/>
        </w:numPr>
        <w:rPr>
          <w:color w:val="595959" w:themeColor="text1" w:themeTint="A6"/>
        </w:rPr>
      </w:pPr>
      <w:r w:rsidRPr="001F2B41">
        <w:rPr>
          <w:color w:val="595959" w:themeColor="text1" w:themeTint="A6"/>
        </w:rPr>
        <w:t>carry out a small number of well-prioritised, well-evidenced, credible, thematic reviews on strategic issues faced by the UK Government’s aid spending;</w:t>
      </w:r>
    </w:p>
    <w:p w:rsidR="00422FCD" w:rsidRPr="001F2B41" w:rsidRDefault="00422FCD" w:rsidP="001F2B41">
      <w:pPr>
        <w:pStyle w:val="ListParagraph"/>
        <w:numPr>
          <w:ilvl w:val="0"/>
          <w:numId w:val="4"/>
        </w:numPr>
        <w:rPr>
          <w:color w:val="595959" w:themeColor="text1" w:themeTint="A6"/>
        </w:rPr>
      </w:pPr>
      <w:r w:rsidRPr="001F2B41">
        <w:rPr>
          <w:color w:val="595959" w:themeColor="text1" w:themeTint="A6"/>
        </w:rPr>
        <w:t>inform and support Parliament in its role of holding the UK Government to account;</w:t>
      </w:r>
    </w:p>
    <w:p w:rsidR="00422FCD" w:rsidRPr="001F2B41" w:rsidRDefault="00422FCD" w:rsidP="001F2B41">
      <w:pPr>
        <w:pStyle w:val="ListParagraph"/>
        <w:numPr>
          <w:ilvl w:val="0"/>
          <w:numId w:val="4"/>
        </w:numPr>
        <w:rPr>
          <w:color w:val="595959" w:themeColor="text1" w:themeTint="A6"/>
        </w:rPr>
      </w:pPr>
      <w:r w:rsidRPr="001F2B41">
        <w:rPr>
          <w:color w:val="595959" w:themeColor="text1" w:themeTint="A6"/>
        </w:rPr>
        <w:t>ensure its work is made available to the public.’</w:t>
      </w:r>
    </w:p>
    <w:p w:rsidR="00422FCD" w:rsidRDefault="00422FCD" w:rsidP="00422FCD"/>
    <w:p w:rsidR="00422FCD" w:rsidRPr="00387A6C" w:rsidRDefault="00422FCD" w:rsidP="00422FCD">
      <w:r w:rsidRPr="00387A6C">
        <w:t>2.</w:t>
      </w:r>
      <w:r w:rsidRPr="00387A6C">
        <w:tab/>
        <w:t>ICAI should establish a theory of change for its work, defining and analysing how it contributes to improving the impact and value for money of UK aid. This should inform ICAI’s metrics for measuring its own performance.</w:t>
      </w:r>
    </w:p>
    <w:p w:rsidR="00422FCD" w:rsidRDefault="00422FCD" w:rsidP="00422FCD"/>
    <w:p w:rsidR="00422FCD" w:rsidRPr="00387A6C" w:rsidRDefault="00422FCD" w:rsidP="00422FCD">
      <w:r w:rsidRPr="00387A6C">
        <w:t>3.</w:t>
      </w:r>
      <w:r w:rsidRPr="00387A6C">
        <w:tab/>
        <w:t>Based on ICAI’s independent findings, its recommendations process should be more consultative with the department(s) under scrutiny, ensuring that recommendations are smart, useful and visible</w:t>
      </w:r>
      <w:r>
        <w:t>, and facilitating</w:t>
      </w:r>
      <w:r w:rsidRPr="00306958">
        <w:t xml:space="preserve"> potential efficiency gains through reduced transaction costs</w:t>
      </w:r>
      <w:r>
        <w:t>.</w:t>
      </w:r>
      <w:r w:rsidRPr="00387A6C">
        <w:t xml:space="preserve"> ICAI should continue to pilot this approach in phase 2 reviews. ICAI could re-evaluate its process for overall scoring of reviews and consider replacing RAG scores with a Chief Commissioners statement.</w:t>
      </w:r>
    </w:p>
    <w:p w:rsidR="00422FCD" w:rsidRDefault="00422FCD" w:rsidP="00422FCD"/>
    <w:p w:rsidR="00422FCD" w:rsidRPr="00387A6C" w:rsidRDefault="00422FCD" w:rsidP="00422FCD">
      <w:r w:rsidRPr="00387A6C">
        <w:t>4.</w:t>
      </w:r>
      <w:r w:rsidRPr="00387A6C">
        <w:tab/>
        <w:t>Departments should aim to produce a government response to an ICAI review within six weeks of its publication, to enable them to give proper consideration to ICAI's complex reviews.</w:t>
      </w:r>
    </w:p>
    <w:p w:rsidR="00422FCD" w:rsidRDefault="00422FCD" w:rsidP="00422FCD"/>
    <w:p w:rsidR="00422FCD" w:rsidRPr="00387A6C" w:rsidRDefault="00422FCD" w:rsidP="00422FCD">
      <w:r w:rsidRPr="00387A6C">
        <w:t>5.</w:t>
      </w:r>
      <w:r w:rsidRPr="00387A6C">
        <w:tab/>
        <w:t>Following the completion of Recommendation 2, ICAI should develop fewer but more meaningful measures of its own performance which incentivise it to maximise the effectiveness of its remit and functions. ICAI should consider soliciting government stakeholder feedback alongside Parliamentary feedback as part of this process, and report annually on the results.</w:t>
      </w:r>
    </w:p>
    <w:p w:rsidR="00422FCD" w:rsidRDefault="00422FCD" w:rsidP="00422FCD"/>
    <w:p w:rsidR="00422FCD" w:rsidRPr="00387A6C" w:rsidRDefault="00422FCD" w:rsidP="00422FCD">
      <w:r w:rsidRPr="00387A6C">
        <w:t>6.</w:t>
      </w:r>
      <w:r w:rsidRPr="00387A6C">
        <w:tab/>
        <w:t xml:space="preserve">  ICAI's operating model in Phase 3 should be improved by:</w:t>
      </w:r>
    </w:p>
    <w:p w:rsidR="001F2B41" w:rsidRPr="001F2B41" w:rsidRDefault="001F2B41" w:rsidP="001F2B41">
      <w:pPr>
        <w:pStyle w:val="ListParagraph"/>
        <w:numPr>
          <w:ilvl w:val="0"/>
          <w:numId w:val="4"/>
        </w:numPr>
        <w:rPr>
          <w:color w:val="595959" w:themeColor="text1" w:themeTint="A6"/>
        </w:rPr>
      </w:pPr>
      <w:r w:rsidRPr="001F2B41">
        <w:rPr>
          <w:color w:val="595959" w:themeColor="text1" w:themeTint="A6"/>
        </w:rPr>
        <w:t>Making the Chief Commissioner's role full-time and reducing the Board of Commissioners from 4 to 3 members;</w:t>
      </w:r>
    </w:p>
    <w:p w:rsidR="001F2B41" w:rsidRPr="001F2B41" w:rsidRDefault="001F2B41" w:rsidP="001F2B41">
      <w:pPr>
        <w:pStyle w:val="ListParagraph"/>
        <w:numPr>
          <w:ilvl w:val="0"/>
          <w:numId w:val="4"/>
        </w:numPr>
        <w:rPr>
          <w:color w:val="595959" w:themeColor="text1" w:themeTint="A6"/>
        </w:rPr>
      </w:pPr>
      <w:r w:rsidRPr="001F2B41">
        <w:rPr>
          <w:color w:val="595959" w:themeColor="text1" w:themeTint="A6"/>
        </w:rPr>
        <w:t xml:space="preserve">Measuring, tracking and reporting annually on the full and average cost of its reviews, thereby developing benchmarks to facilitate a reduction in costs over time. This reduction should include finding a saving of at least 5% of administrative costs in the current phase and under the current operating model (see paragraph 5.5). </w:t>
      </w:r>
    </w:p>
    <w:p w:rsidR="00422FCD" w:rsidRPr="00387A6C" w:rsidRDefault="00422FCD" w:rsidP="00422FCD"/>
    <w:p w:rsidR="00422FCD" w:rsidRPr="00387A6C" w:rsidRDefault="00422FCD" w:rsidP="00422FCD">
      <w:pPr>
        <w:rPr>
          <w:b/>
          <w:u w:val="single"/>
        </w:rPr>
      </w:pPr>
      <w:r w:rsidRPr="00387A6C">
        <w:t xml:space="preserve">7. </w:t>
      </w:r>
      <w:r w:rsidRPr="00387A6C">
        <w:tab/>
        <w:t>ICAI’s operating model could be further enhanced by bringing more review functions in-house. This would need to be agreed between ICAI and DFID, following the outcome of ICAI’s current drive to reduce process and cost inefficiencies and a function and staff capability review for the whole of ICAI.</w:t>
      </w:r>
    </w:p>
    <w:p w:rsidR="00422FCD" w:rsidRPr="00387A6C" w:rsidRDefault="00422FCD" w:rsidP="00422FCD"/>
    <w:p w:rsidR="00422FCD" w:rsidRPr="008C372F" w:rsidRDefault="00422FCD" w:rsidP="00422FCD">
      <w:r w:rsidRPr="008C372F">
        <w:t>8.</w:t>
      </w:r>
      <w:r w:rsidRPr="008C372F">
        <w:tab/>
        <w:t xml:space="preserve">To </w:t>
      </w:r>
      <w:r>
        <w:t>enhance ICAI’s governance</w:t>
      </w:r>
      <w:r w:rsidRPr="008C372F">
        <w:t xml:space="preserve"> and increase its effectiveness:</w:t>
      </w:r>
    </w:p>
    <w:p w:rsidR="00422FCD" w:rsidRPr="001F2B41" w:rsidRDefault="00422FCD" w:rsidP="00422FCD">
      <w:pPr>
        <w:pStyle w:val="ListParagraph"/>
        <w:numPr>
          <w:ilvl w:val="0"/>
          <w:numId w:val="4"/>
        </w:numPr>
        <w:rPr>
          <w:color w:val="595959" w:themeColor="text1" w:themeTint="A6"/>
        </w:rPr>
      </w:pPr>
      <w:r w:rsidRPr="001F2B41">
        <w:rPr>
          <w:color w:val="595959" w:themeColor="text1" w:themeTint="A6"/>
        </w:rPr>
        <w:t>ICAI Commissioners should serve only a single term, with only the possibility of short term extension to facilitate effective transition. The recruitment process for the next Phase should start by end-2018.</w:t>
      </w:r>
    </w:p>
    <w:p w:rsidR="00422FCD" w:rsidRPr="001F2B41" w:rsidRDefault="00422FCD" w:rsidP="00422FCD">
      <w:pPr>
        <w:pStyle w:val="ListParagraph"/>
        <w:numPr>
          <w:ilvl w:val="0"/>
          <w:numId w:val="4"/>
        </w:numPr>
        <w:rPr>
          <w:color w:val="595959" w:themeColor="text1" w:themeTint="A6"/>
        </w:rPr>
      </w:pPr>
      <w:r w:rsidRPr="001F2B41">
        <w:rPr>
          <w:color w:val="595959" w:themeColor="text1" w:themeTint="A6"/>
        </w:rPr>
        <w:t>ICAI’s Chief Commissioner should have the authority to have the casting vote on board decisions, and future recruitment of key positions within ICAI should clearly establish lines of accountability to the Chief Commissioner.</w:t>
      </w:r>
    </w:p>
    <w:p w:rsidR="00422FCD" w:rsidRPr="001F2B41" w:rsidRDefault="00422FCD" w:rsidP="00422FCD">
      <w:pPr>
        <w:pStyle w:val="ListParagraph"/>
        <w:numPr>
          <w:ilvl w:val="0"/>
          <w:numId w:val="4"/>
        </w:numPr>
        <w:rPr>
          <w:color w:val="595959" w:themeColor="text1" w:themeTint="A6"/>
        </w:rPr>
      </w:pPr>
      <w:r w:rsidRPr="001F2B41">
        <w:rPr>
          <w:color w:val="595959" w:themeColor="text1" w:themeTint="A6"/>
        </w:rPr>
        <w:t>ICAI Commissioners should complete an annual return on personal codes of conduct, as per Cabinet Office best practise guidance.</w:t>
      </w:r>
    </w:p>
    <w:p w:rsidR="00422FCD" w:rsidRDefault="00422FCD" w:rsidP="00422FCD"/>
    <w:p w:rsidR="00422FCD" w:rsidRPr="008C372F" w:rsidRDefault="00422FCD" w:rsidP="00422FCD">
      <w:r w:rsidRPr="008C372F">
        <w:t>9.</w:t>
      </w:r>
      <w:r w:rsidRPr="008C372F">
        <w:tab/>
        <w:t>DFID and ICAI should work collaboratively and should consult with the IDC on the following transition arrangements:</w:t>
      </w:r>
    </w:p>
    <w:p w:rsidR="00422FCD" w:rsidRPr="001F2B41" w:rsidRDefault="00422FCD" w:rsidP="00422FCD">
      <w:pPr>
        <w:pStyle w:val="ListParagraph"/>
        <w:numPr>
          <w:ilvl w:val="0"/>
          <w:numId w:val="4"/>
        </w:numPr>
        <w:rPr>
          <w:color w:val="595959" w:themeColor="text1" w:themeTint="A6"/>
        </w:rPr>
      </w:pPr>
      <w:r w:rsidRPr="001F2B41">
        <w:rPr>
          <w:color w:val="595959" w:themeColor="text1" w:themeTint="A6"/>
        </w:rPr>
        <w:t>Recruiting a new Chief Commissioner and Commissioners with strong, reputed development expertise in sufficient time to ensure a minimum gap in reporting and an effective handover of work-plan between incoming and outgoing Commissioners;</w:t>
      </w:r>
    </w:p>
    <w:p w:rsidR="00422FCD" w:rsidRPr="001F2B41" w:rsidRDefault="00422FCD" w:rsidP="00422FCD">
      <w:pPr>
        <w:pStyle w:val="ListParagraph"/>
        <w:numPr>
          <w:ilvl w:val="0"/>
          <w:numId w:val="4"/>
        </w:numPr>
        <w:rPr>
          <w:color w:val="595959" w:themeColor="text1" w:themeTint="A6"/>
        </w:rPr>
      </w:pPr>
      <w:r w:rsidRPr="001F2B41">
        <w:rPr>
          <w:color w:val="595959" w:themeColor="text1" w:themeTint="A6"/>
        </w:rPr>
        <w:t>Ensuring smooth transition of the service provider contract between this phase and the next, including through extension of the current service provider’s contract for a limited transitional period if required, and ensuring that a new service provider is in place by January 2019;</w:t>
      </w:r>
    </w:p>
    <w:p w:rsidR="00422FCD" w:rsidRPr="001F2B41" w:rsidRDefault="00422FCD" w:rsidP="00422FCD">
      <w:pPr>
        <w:pStyle w:val="ListParagraph"/>
        <w:numPr>
          <w:ilvl w:val="0"/>
          <w:numId w:val="4"/>
        </w:numPr>
        <w:rPr>
          <w:color w:val="595959" w:themeColor="text1" w:themeTint="A6"/>
        </w:rPr>
      </w:pPr>
      <w:r w:rsidRPr="001F2B41">
        <w:rPr>
          <w:color w:val="595959" w:themeColor="text1" w:themeTint="A6"/>
        </w:rPr>
        <w:t>Agreeing a sequenced transition plan once Recommendations 2, 6, and 7 are implemented.</w:t>
      </w:r>
    </w:p>
    <w:p w:rsidR="00422FCD" w:rsidRDefault="00422FCD" w:rsidP="00422FCD"/>
    <w:p w:rsidR="00422FCD" w:rsidRPr="008C3B1A" w:rsidRDefault="00422FCD" w:rsidP="00422FCD">
      <w:pPr>
        <w:rPr>
          <w:iCs/>
        </w:rPr>
      </w:pPr>
      <w:r w:rsidRPr="008C3B1A">
        <w:rPr>
          <w:iCs/>
        </w:rPr>
        <w:t>10.</w:t>
      </w:r>
      <w:r w:rsidRPr="008C3B1A">
        <w:rPr>
          <w:iCs/>
        </w:rPr>
        <w:tab/>
        <w:t>The priority-setting process which informs ICAI’s annual work-plan could be strengthened by establishing greater communication with major ODA spending departments. ICAI could also present its annual work-plan to the 0.7% Senior Officials Groups, following its agreement with the IDC.</w:t>
      </w:r>
    </w:p>
    <w:p w:rsidR="00422FCD" w:rsidRPr="008C3B1A" w:rsidRDefault="00422FCD" w:rsidP="00422FCD">
      <w:pPr>
        <w:rPr>
          <w:iCs/>
        </w:rPr>
      </w:pPr>
    </w:p>
    <w:p w:rsidR="00422FCD" w:rsidRPr="00387A6C" w:rsidRDefault="00422FCD" w:rsidP="00422FCD">
      <w:r w:rsidRPr="008C3B1A">
        <w:t>11.</w:t>
      </w:r>
      <w:r w:rsidRPr="008C3B1A">
        <w:tab/>
        <w:t>ICAI's Framework Agreement should be reviewed annually and agreed between DFID and ICAI and shared with all ODA providing departments.</w:t>
      </w:r>
    </w:p>
    <w:p w:rsidR="00F50C2C" w:rsidRDefault="00F50C2C" w:rsidP="00F50C2C"/>
    <w:sectPr w:rsidR="00F50C2C" w:rsidSect="00643C6F">
      <w:headerReference w:type="default" r:id="rId16"/>
      <w:footerReference w:type="default" r:id="rId17"/>
      <w:pgSz w:w="11906" w:h="16838"/>
      <w:pgMar w:top="1440" w:right="1800" w:bottom="1440" w:left="180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4ECF" w:rsidRDefault="00A24ECF">
      <w:r>
        <w:separator/>
      </w:r>
    </w:p>
  </w:endnote>
  <w:endnote w:type="continuationSeparator" w:id="0">
    <w:p w:rsidR="00A24ECF" w:rsidRDefault="00A24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6719521"/>
      <w:docPartObj>
        <w:docPartGallery w:val="Page Numbers (Bottom of Page)"/>
        <w:docPartUnique/>
      </w:docPartObj>
    </w:sdtPr>
    <w:sdtEndPr>
      <w:rPr>
        <w:noProof/>
      </w:rPr>
    </w:sdtEndPr>
    <w:sdtContent>
      <w:p w:rsidR="00643C6F" w:rsidRDefault="00643C6F">
        <w:pPr>
          <w:pStyle w:val="Footer"/>
          <w:jc w:val="right"/>
        </w:pPr>
        <w:r w:rsidRPr="00643C6F">
          <w:rPr>
            <w:rFonts w:asciiTheme="minorHAnsi" w:hAnsiTheme="minorHAnsi"/>
            <w:sz w:val="18"/>
            <w:szCs w:val="18"/>
          </w:rPr>
          <w:fldChar w:fldCharType="begin"/>
        </w:r>
        <w:r w:rsidRPr="00643C6F">
          <w:rPr>
            <w:rFonts w:asciiTheme="minorHAnsi" w:hAnsiTheme="minorHAnsi"/>
            <w:sz w:val="18"/>
            <w:szCs w:val="18"/>
          </w:rPr>
          <w:instrText xml:space="preserve"> PAGE   \* MERGEFORMAT </w:instrText>
        </w:r>
        <w:r w:rsidRPr="00643C6F">
          <w:rPr>
            <w:rFonts w:asciiTheme="minorHAnsi" w:hAnsiTheme="minorHAnsi"/>
            <w:sz w:val="18"/>
            <w:szCs w:val="18"/>
          </w:rPr>
          <w:fldChar w:fldCharType="separate"/>
        </w:r>
        <w:r w:rsidR="003E2FD0">
          <w:rPr>
            <w:rFonts w:asciiTheme="minorHAnsi" w:hAnsiTheme="minorHAnsi"/>
            <w:noProof/>
            <w:sz w:val="18"/>
            <w:szCs w:val="18"/>
          </w:rPr>
          <w:t>12</w:t>
        </w:r>
        <w:r w:rsidRPr="00643C6F">
          <w:rPr>
            <w:rFonts w:asciiTheme="minorHAnsi" w:hAnsiTheme="minorHAnsi"/>
            <w:noProof/>
            <w:sz w:val="18"/>
            <w:szCs w:val="18"/>
          </w:rPr>
          <w:fldChar w:fldCharType="end"/>
        </w:r>
      </w:p>
    </w:sdtContent>
  </w:sdt>
  <w:p w:rsidR="00643C6F" w:rsidRDefault="00643C6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3495" w:rsidRDefault="00E73495">
    <w:pPr>
      <w:pStyle w:val="Footer"/>
      <w:jc w:val="right"/>
    </w:pPr>
  </w:p>
  <w:p w:rsidR="00E73495" w:rsidRDefault="00E7349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6EFE" w:rsidRPr="00643C6F" w:rsidRDefault="00316EFE">
    <w:pPr>
      <w:pStyle w:val="Footer"/>
      <w:jc w:val="right"/>
      <w:rPr>
        <w:sz w:val="20"/>
        <w:szCs w:val="20"/>
      </w:rPr>
    </w:pPr>
  </w:p>
  <w:p w:rsidR="00316EFE" w:rsidRDefault="00316EF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3C6F" w:rsidRPr="00FB5D2A" w:rsidRDefault="00643C6F" w:rsidP="00643C6F">
    <w:pPr>
      <w:rPr>
        <w:rFonts w:asciiTheme="minorHAnsi" w:hAnsiTheme="minorHAnsi"/>
        <w:sz w:val="18"/>
        <w:szCs w:val="18"/>
      </w:rPr>
    </w:pPr>
    <w:r w:rsidRPr="00FB5D2A">
      <w:rPr>
        <w:rFonts w:asciiTheme="minorHAnsi" w:hAnsiTheme="minorHAnsi"/>
        <w:sz w:val="18"/>
        <w:szCs w:val="18"/>
      </w:rPr>
      <w:fldChar w:fldCharType="begin"/>
    </w:r>
    <w:r w:rsidRPr="00FB5D2A">
      <w:rPr>
        <w:rFonts w:asciiTheme="minorHAnsi" w:hAnsiTheme="minorHAnsi"/>
        <w:sz w:val="18"/>
        <w:szCs w:val="18"/>
      </w:rPr>
      <w:instrText xml:space="preserve">PAGE  </w:instrText>
    </w:r>
    <w:r w:rsidRPr="00FB5D2A">
      <w:rPr>
        <w:rFonts w:asciiTheme="minorHAnsi" w:hAnsiTheme="minorHAnsi"/>
        <w:sz w:val="18"/>
        <w:szCs w:val="18"/>
      </w:rPr>
      <w:fldChar w:fldCharType="separate"/>
    </w:r>
    <w:r w:rsidR="003E2FD0">
      <w:rPr>
        <w:rFonts w:asciiTheme="minorHAnsi" w:hAnsiTheme="minorHAnsi"/>
        <w:noProof/>
        <w:sz w:val="18"/>
        <w:szCs w:val="18"/>
      </w:rPr>
      <w:t>11</w:t>
    </w:r>
    <w:r w:rsidRPr="00FB5D2A">
      <w:rPr>
        <w:rFonts w:asciiTheme="minorHAnsi" w:hAnsiTheme="minorHAnsi"/>
        <w:sz w:val="18"/>
        <w:szCs w:val="18"/>
      </w:rPr>
      <w:fldChar w:fldCharType="end"/>
    </w:r>
    <w:r w:rsidRPr="00FB5D2A">
      <w:rPr>
        <w:rFonts w:asciiTheme="minorHAnsi" w:hAnsiTheme="minorHAnsi"/>
        <w:sz w:val="18"/>
        <w:szCs w:val="18"/>
      </w:rPr>
      <w:t xml:space="preserve"> | </w:t>
    </w:r>
    <w:r>
      <w:rPr>
        <w:rFonts w:asciiTheme="minorHAnsi" w:hAnsiTheme="minorHAnsi"/>
        <w:sz w:val="18"/>
        <w:szCs w:val="18"/>
      </w:rPr>
      <w:t>Annexes to the Tailored Review of the Independent Commission for Aid Impact</w:t>
    </w:r>
  </w:p>
  <w:p w:rsidR="00E73495" w:rsidRDefault="00E73495" w:rsidP="00643C6F">
    <w:pPr>
      <w:pStyle w:val="Footer"/>
    </w:pPr>
  </w:p>
  <w:p w:rsidR="00E73495" w:rsidRDefault="00E734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4ECF" w:rsidRDefault="00A24ECF">
      <w:r>
        <w:separator/>
      </w:r>
    </w:p>
  </w:footnote>
  <w:footnote w:type="continuationSeparator" w:id="0">
    <w:p w:rsidR="00A24ECF" w:rsidRDefault="00A24ECF">
      <w:r>
        <w:continuationSeparator/>
      </w:r>
    </w:p>
  </w:footnote>
  <w:footnote w:id="1">
    <w:p w:rsidR="00F50C2C" w:rsidRPr="00B76EBA" w:rsidRDefault="00F50C2C" w:rsidP="00F50C2C">
      <w:pPr>
        <w:pStyle w:val="FootnoteText"/>
        <w:rPr>
          <w:lang w:val="en-US"/>
        </w:rPr>
      </w:pPr>
      <w:r>
        <w:rPr>
          <w:rStyle w:val="FootnoteReference"/>
        </w:rPr>
        <w:footnoteRef/>
      </w:r>
      <w:r>
        <w:t xml:space="preserve"> </w:t>
      </w:r>
      <w:r>
        <w:rPr>
          <w:lang w:val="en-US"/>
        </w:rPr>
        <w:t>Including the principles set out in Annex C of the Cabinet Office Tailored Review Guidance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6EFE" w:rsidRDefault="00316EF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764EA"/>
    <w:multiLevelType w:val="hybridMultilevel"/>
    <w:tmpl w:val="C69869E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AE3857"/>
    <w:multiLevelType w:val="hybridMultilevel"/>
    <w:tmpl w:val="1EBA2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2712FD"/>
    <w:multiLevelType w:val="hybridMultilevel"/>
    <w:tmpl w:val="59242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8C7C78"/>
    <w:multiLevelType w:val="hybridMultilevel"/>
    <w:tmpl w:val="AAB6783E"/>
    <w:lvl w:ilvl="0" w:tplc="6FF0D796">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23936AC8"/>
    <w:multiLevelType w:val="hybridMultilevel"/>
    <w:tmpl w:val="893AD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F043A7"/>
    <w:multiLevelType w:val="multilevel"/>
    <w:tmpl w:val="C4663778"/>
    <w:lvl w:ilvl="0">
      <w:start w:val="1"/>
      <w:numFmt w:val="decimal"/>
      <w:lvlText w:val="%1."/>
      <w:lvlJc w:val="left"/>
      <w:pPr>
        <w:ind w:left="360" w:hanging="360"/>
      </w:pPr>
      <w:rPr>
        <w:rFonts w:hint="default"/>
      </w:rPr>
    </w:lvl>
    <w:lvl w:ilvl="1">
      <w:start w:val="1"/>
      <w:numFmt w:val="decimal"/>
      <w:isLgl/>
      <w:lvlText w:val="%1.%2"/>
      <w:lvlJc w:val="left"/>
      <w:pPr>
        <w:ind w:left="408" w:hanging="40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2CC00E16"/>
    <w:multiLevelType w:val="hybridMultilevel"/>
    <w:tmpl w:val="5AC22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907C86"/>
    <w:multiLevelType w:val="hybridMultilevel"/>
    <w:tmpl w:val="09623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40A4"/>
    <w:multiLevelType w:val="hybridMultilevel"/>
    <w:tmpl w:val="4F5E62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D1A5734"/>
    <w:multiLevelType w:val="hybridMultilevel"/>
    <w:tmpl w:val="787E0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C3B40FA"/>
    <w:multiLevelType w:val="hybridMultilevel"/>
    <w:tmpl w:val="D868A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2BE2622"/>
    <w:multiLevelType w:val="hybridMultilevel"/>
    <w:tmpl w:val="1DD24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6CE1349"/>
    <w:multiLevelType w:val="hybridMultilevel"/>
    <w:tmpl w:val="11B6BC6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6E913DB"/>
    <w:multiLevelType w:val="hybridMultilevel"/>
    <w:tmpl w:val="CA46573C"/>
    <w:lvl w:ilvl="0" w:tplc="8DA4522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F842DEC"/>
    <w:multiLevelType w:val="hybridMultilevel"/>
    <w:tmpl w:val="EC341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4"/>
  </w:num>
  <w:num w:numId="4">
    <w:abstractNumId w:val="9"/>
  </w:num>
  <w:num w:numId="5">
    <w:abstractNumId w:val="11"/>
  </w:num>
  <w:num w:numId="6">
    <w:abstractNumId w:val="12"/>
  </w:num>
  <w:num w:numId="7">
    <w:abstractNumId w:val="14"/>
  </w:num>
  <w:num w:numId="8">
    <w:abstractNumId w:val="7"/>
  </w:num>
  <w:num w:numId="9">
    <w:abstractNumId w:val="2"/>
  </w:num>
  <w:num w:numId="10">
    <w:abstractNumId w:val="5"/>
  </w:num>
  <w:num w:numId="11">
    <w:abstractNumId w:val="0"/>
  </w:num>
  <w:num w:numId="12">
    <w:abstractNumId w:val="3"/>
  </w:num>
  <w:num w:numId="13">
    <w:abstractNumId w:val="10"/>
  </w:num>
  <w:num w:numId="14">
    <w:abstractNumId w:val="1"/>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4F8"/>
    <w:rsid w:val="00040009"/>
    <w:rsid w:val="000B4547"/>
    <w:rsid w:val="00172C2B"/>
    <w:rsid w:val="00175EE5"/>
    <w:rsid w:val="0018754C"/>
    <w:rsid w:val="001B7659"/>
    <w:rsid w:val="001F2B41"/>
    <w:rsid w:val="002344F8"/>
    <w:rsid w:val="002428B6"/>
    <w:rsid w:val="00250B60"/>
    <w:rsid w:val="002B06A7"/>
    <w:rsid w:val="00300E90"/>
    <w:rsid w:val="00316EFE"/>
    <w:rsid w:val="003C4BEB"/>
    <w:rsid w:val="003D7398"/>
    <w:rsid w:val="003E2FD0"/>
    <w:rsid w:val="00422FCD"/>
    <w:rsid w:val="00455C03"/>
    <w:rsid w:val="00521737"/>
    <w:rsid w:val="00534E41"/>
    <w:rsid w:val="00643C6F"/>
    <w:rsid w:val="0067097D"/>
    <w:rsid w:val="00695CF1"/>
    <w:rsid w:val="007767DB"/>
    <w:rsid w:val="00802CE1"/>
    <w:rsid w:val="008338E9"/>
    <w:rsid w:val="008F1043"/>
    <w:rsid w:val="00966781"/>
    <w:rsid w:val="009B4AFB"/>
    <w:rsid w:val="009C0E2C"/>
    <w:rsid w:val="009C3BAB"/>
    <w:rsid w:val="00A10ACE"/>
    <w:rsid w:val="00A24ECF"/>
    <w:rsid w:val="00B01C5D"/>
    <w:rsid w:val="00B36DE7"/>
    <w:rsid w:val="00B91595"/>
    <w:rsid w:val="00C162CA"/>
    <w:rsid w:val="00DD7018"/>
    <w:rsid w:val="00E73495"/>
    <w:rsid w:val="00EC477A"/>
    <w:rsid w:val="00F50C2C"/>
    <w:rsid w:val="00F83356"/>
    <w:rsid w:val="00FE1B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C88B5869-9E46-4644-825C-C6CA98F10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44F8"/>
    <w:rPr>
      <w:rFonts w:ascii="Arial" w:hAnsi="Arial"/>
      <w:color w:val="595959" w:themeColor="text1" w:themeTint="A6"/>
      <w:sz w:val="24"/>
      <w:szCs w:val="24"/>
      <w:lang w:eastAsia="en-US"/>
    </w:rPr>
  </w:style>
  <w:style w:type="paragraph" w:styleId="Heading1">
    <w:name w:val="heading 1"/>
    <w:basedOn w:val="Normal"/>
    <w:next w:val="Normal"/>
    <w:link w:val="Heading1Char"/>
    <w:qFormat/>
    <w:rsid w:val="00B01C5D"/>
    <w:pPr>
      <w:spacing w:before="240" w:after="60"/>
      <w:outlineLvl w:val="0"/>
    </w:pPr>
    <w:rPr>
      <w:b/>
      <w:kern w:val="32"/>
      <w:sz w:val="32"/>
      <w:szCs w:val="32"/>
    </w:rPr>
  </w:style>
  <w:style w:type="paragraph" w:styleId="Heading2">
    <w:name w:val="heading 2"/>
    <w:basedOn w:val="Normal"/>
    <w:next w:val="Normal"/>
    <w:link w:val="Heading2Char"/>
    <w:qFormat/>
    <w:rsid w:val="00B01C5D"/>
    <w:pPr>
      <w:spacing w:before="240"/>
      <w:outlineLvl w:val="1"/>
    </w:pPr>
    <w:rPr>
      <w:b/>
      <w:i/>
      <w:kern w:val="28"/>
      <w:sz w:val="28"/>
      <w:szCs w:val="28"/>
    </w:rPr>
  </w:style>
  <w:style w:type="paragraph" w:styleId="Heading3">
    <w:name w:val="heading 3"/>
    <w:basedOn w:val="Normal"/>
    <w:next w:val="Normal"/>
    <w:link w:val="Heading3Char"/>
    <w:qFormat/>
    <w:rsid w:val="00B01C5D"/>
    <w:pPr>
      <w:spacing w:before="240" w:after="60"/>
      <w:outlineLvl w:val="2"/>
    </w:pPr>
    <w:rPr>
      <w:b/>
      <w:sz w:val="26"/>
    </w:rPr>
  </w:style>
  <w:style w:type="paragraph" w:styleId="Heading4">
    <w:name w:val="heading 4"/>
    <w:basedOn w:val="Normal"/>
    <w:next w:val="Normal"/>
    <w:link w:val="Heading4Char"/>
    <w:qFormat/>
    <w:rsid w:val="00B01C5D"/>
    <w:pPr>
      <w:spacing w:before="240" w:after="60"/>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cktotop">
    <w:name w:val="Back to top"/>
    <w:basedOn w:val="Normal"/>
    <w:next w:val="Normal"/>
    <w:rsid w:val="00B01C5D"/>
  </w:style>
  <w:style w:type="paragraph" w:styleId="Caption">
    <w:name w:val="caption"/>
    <w:basedOn w:val="Normal"/>
    <w:next w:val="Normal"/>
    <w:qFormat/>
    <w:rsid w:val="00B01C5D"/>
    <w:rPr>
      <w:b/>
      <w:bCs/>
      <w:szCs w:val="20"/>
    </w:rPr>
  </w:style>
  <w:style w:type="character" w:customStyle="1" w:styleId="Heading1Char">
    <w:name w:val="Heading 1 Char"/>
    <w:basedOn w:val="DefaultParagraphFont"/>
    <w:link w:val="Heading1"/>
    <w:rsid w:val="00B01C5D"/>
    <w:rPr>
      <w:rFonts w:ascii="Arial" w:hAnsi="Arial"/>
      <w:b/>
      <w:kern w:val="32"/>
      <w:sz w:val="32"/>
      <w:szCs w:val="32"/>
      <w:lang w:eastAsia="en-US"/>
    </w:rPr>
  </w:style>
  <w:style w:type="character" w:customStyle="1" w:styleId="Heading2Char">
    <w:name w:val="Heading 2 Char"/>
    <w:basedOn w:val="DefaultParagraphFont"/>
    <w:link w:val="Heading2"/>
    <w:rsid w:val="00B01C5D"/>
    <w:rPr>
      <w:rFonts w:ascii="Arial" w:hAnsi="Arial"/>
      <w:b/>
      <w:i/>
      <w:kern w:val="28"/>
      <w:sz w:val="28"/>
      <w:szCs w:val="28"/>
      <w:lang w:eastAsia="en-US"/>
    </w:rPr>
  </w:style>
  <w:style w:type="character" w:customStyle="1" w:styleId="Heading3Char">
    <w:name w:val="Heading 3 Char"/>
    <w:basedOn w:val="DefaultParagraphFont"/>
    <w:link w:val="Heading3"/>
    <w:rsid w:val="00B01C5D"/>
    <w:rPr>
      <w:rFonts w:ascii="Arial" w:hAnsi="Arial"/>
      <w:b/>
      <w:sz w:val="26"/>
      <w:szCs w:val="24"/>
      <w:lang w:eastAsia="en-US"/>
    </w:rPr>
  </w:style>
  <w:style w:type="character" w:customStyle="1" w:styleId="Heading4Char">
    <w:name w:val="Heading 4 Char"/>
    <w:basedOn w:val="DefaultParagraphFont"/>
    <w:link w:val="Heading4"/>
    <w:rsid w:val="00B01C5D"/>
    <w:rPr>
      <w:rFonts w:ascii="Arial" w:hAnsi="Arial"/>
      <w:b/>
      <w:sz w:val="24"/>
      <w:szCs w:val="24"/>
      <w:lang w:eastAsia="en-US"/>
    </w:rPr>
  </w:style>
  <w:style w:type="paragraph" w:customStyle="1" w:styleId="HorizontalLine">
    <w:name w:val="Horizontal Line"/>
    <w:basedOn w:val="Normal"/>
    <w:rsid w:val="00B01C5D"/>
  </w:style>
  <w:style w:type="paragraph" w:customStyle="1" w:styleId="ParagraphImageWrapLeft">
    <w:name w:val="Paragraph Image Wrap Left"/>
    <w:basedOn w:val="Normal"/>
    <w:rsid w:val="00B01C5D"/>
  </w:style>
  <w:style w:type="paragraph" w:customStyle="1" w:styleId="ParagraphImageWrapRight">
    <w:name w:val="Paragraph Image Wrap Right"/>
    <w:basedOn w:val="Normal"/>
    <w:rsid w:val="00B01C5D"/>
  </w:style>
  <w:style w:type="paragraph" w:customStyle="1" w:styleId="Summary">
    <w:name w:val="Summary"/>
    <w:basedOn w:val="Normal"/>
    <w:link w:val="SummaryCharChar"/>
    <w:rsid w:val="00B01C5D"/>
    <w:pPr>
      <w:spacing w:after="77"/>
      <w:ind w:left="129" w:right="129"/>
    </w:pPr>
    <w:rPr>
      <w:rFonts w:ascii="Verdana" w:hAnsi="Verdana"/>
      <w:color w:val="666666"/>
      <w:sz w:val="15"/>
      <w:szCs w:val="15"/>
      <w:lang w:eastAsia="en-GB"/>
    </w:rPr>
  </w:style>
  <w:style w:type="character" w:customStyle="1" w:styleId="SummaryCharChar">
    <w:name w:val="Summary Char Char"/>
    <w:link w:val="Summary"/>
    <w:rsid w:val="00B01C5D"/>
    <w:rPr>
      <w:rFonts w:ascii="Verdana" w:hAnsi="Verdana"/>
      <w:color w:val="666666"/>
      <w:sz w:val="15"/>
      <w:szCs w:val="15"/>
    </w:rPr>
  </w:style>
  <w:style w:type="table" w:customStyle="1" w:styleId="TableDFID">
    <w:name w:val="Table DFID"/>
    <w:basedOn w:val="TableNormal"/>
    <w:rsid w:val="00B01C5D"/>
    <w:rPr>
      <w:rFonts w:ascii="Arial Black" w:hAnsi="Arial Black"/>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rFonts w:ascii="Calibri" w:hAnsi="Calibri"/>
        <w:b w:val="0"/>
        <w:bCs/>
        <w:color w:val="FFFFFF"/>
        <w:sz w:val="20"/>
      </w:rPr>
      <w:tblPr/>
      <w:tcPr>
        <w:shd w:val="clear" w:color="auto" w:fill="006699"/>
      </w:tcPr>
    </w:tblStylePr>
    <w:tblStylePr w:type="lastRow">
      <w:rPr>
        <w:rFonts w:ascii="Calibri" w:hAnsi="Calibri"/>
        <w:b w:val="0"/>
        <w:color w:val="auto"/>
        <w:sz w:val="20"/>
      </w:rPr>
      <w:tblPr/>
      <w:tcPr>
        <w:shd w:val="clear" w:color="auto" w:fill="FFFFFF"/>
      </w:tcPr>
    </w:tblStylePr>
    <w:tblStylePr w:type="firstCol">
      <w:rPr>
        <w:rFonts w:ascii="Calibri" w:hAnsi="Calibri"/>
        <w:b w:val="0"/>
        <w:color w:val="FFFFFF"/>
        <w:sz w:val="20"/>
      </w:rPr>
      <w:tblPr/>
      <w:tcPr>
        <w:shd w:val="clear" w:color="auto" w:fill="006699"/>
      </w:tcPr>
    </w:tblStylePr>
    <w:tblStylePr w:type="lastCol">
      <w:rPr>
        <w:rFonts w:ascii="Calibri" w:hAnsi="Calibri"/>
        <w:b w:val="0"/>
        <w:color w:val="auto"/>
        <w:sz w:val="20"/>
      </w:rPr>
      <w:tblPr/>
      <w:tcPr>
        <w:shd w:val="clear" w:color="auto" w:fill="FFFFFF"/>
      </w:tcPr>
    </w:tblStylePr>
  </w:style>
  <w:style w:type="paragraph" w:customStyle="1" w:styleId="TableDFIDEnd">
    <w:name w:val="Table DFID End"/>
    <w:basedOn w:val="Normal"/>
    <w:rsid w:val="00B01C5D"/>
  </w:style>
  <w:style w:type="paragraph" w:customStyle="1" w:styleId="TableDFIDStart">
    <w:name w:val="Table DFID Start"/>
    <w:basedOn w:val="Normal"/>
    <w:rsid w:val="00B01C5D"/>
  </w:style>
  <w:style w:type="paragraph" w:customStyle="1" w:styleId="TableHeadings">
    <w:name w:val="Table Headings"/>
    <w:basedOn w:val="Normal"/>
    <w:rsid w:val="00B01C5D"/>
    <w:pPr>
      <w:spacing w:after="79"/>
    </w:pPr>
    <w:rPr>
      <w:b/>
      <w:bCs/>
      <w:color w:val="FFFFFF"/>
      <w:szCs w:val="20"/>
      <w:lang w:eastAsia="en-GB"/>
    </w:rPr>
  </w:style>
  <w:style w:type="table" w:customStyle="1" w:styleId="TableLayout">
    <w:name w:val="Table Layout"/>
    <w:basedOn w:val="TableNormal"/>
    <w:rsid w:val="00B01C5D"/>
    <w:tblPr/>
  </w:style>
  <w:style w:type="paragraph" w:styleId="TOC1">
    <w:name w:val="toc 1"/>
    <w:basedOn w:val="Normal"/>
    <w:next w:val="Normal"/>
    <w:uiPriority w:val="39"/>
    <w:rsid w:val="002344F8"/>
    <w:pPr>
      <w:tabs>
        <w:tab w:val="right" w:pos="9628"/>
      </w:tabs>
      <w:spacing w:after="240"/>
      <w:ind w:left="284" w:hanging="284"/>
    </w:pPr>
    <w:rPr>
      <w:noProof/>
      <w:sz w:val="32"/>
      <w:lang w:eastAsia="en-GB"/>
    </w:rPr>
  </w:style>
  <w:style w:type="paragraph" w:styleId="Header">
    <w:name w:val="header"/>
    <w:basedOn w:val="Normal"/>
    <w:link w:val="HeaderChar"/>
    <w:uiPriority w:val="99"/>
    <w:rsid w:val="002344F8"/>
    <w:pPr>
      <w:tabs>
        <w:tab w:val="center" w:pos="4153"/>
        <w:tab w:val="right" w:pos="8306"/>
      </w:tabs>
    </w:pPr>
  </w:style>
  <w:style w:type="character" w:customStyle="1" w:styleId="HeaderChar">
    <w:name w:val="Header Char"/>
    <w:basedOn w:val="DefaultParagraphFont"/>
    <w:link w:val="Header"/>
    <w:uiPriority w:val="99"/>
    <w:rsid w:val="002344F8"/>
    <w:rPr>
      <w:rFonts w:ascii="Arial" w:hAnsi="Arial"/>
      <w:color w:val="595959" w:themeColor="text1" w:themeTint="A6"/>
      <w:sz w:val="24"/>
      <w:szCs w:val="24"/>
      <w:lang w:eastAsia="en-US"/>
    </w:rPr>
  </w:style>
  <w:style w:type="paragraph" w:styleId="Footer">
    <w:name w:val="footer"/>
    <w:basedOn w:val="Normal"/>
    <w:link w:val="FooterChar"/>
    <w:uiPriority w:val="99"/>
    <w:rsid w:val="002344F8"/>
    <w:pPr>
      <w:tabs>
        <w:tab w:val="center" w:pos="4153"/>
        <w:tab w:val="right" w:pos="8306"/>
      </w:tabs>
    </w:pPr>
  </w:style>
  <w:style w:type="character" w:customStyle="1" w:styleId="FooterChar">
    <w:name w:val="Footer Char"/>
    <w:basedOn w:val="DefaultParagraphFont"/>
    <w:link w:val="Footer"/>
    <w:uiPriority w:val="99"/>
    <w:rsid w:val="002344F8"/>
    <w:rPr>
      <w:rFonts w:ascii="Arial" w:hAnsi="Arial"/>
      <w:color w:val="595959" w:themeColor="text1" w:themeTint="A6"/>
      <w:sz w:val="24"/>
      <w:szCs w:val="24"/>
      <w:lang w:eastAsia="en-US"/>
    </w:rPr>
  </w:style>
  <w:style w:type="paragraph" w:styleId="ListParagraph">
    <w:name w:val="List Paragraph"/>
    <w:aliases w:val="Dot pt,F5 List Paragraph,List Paragraph1,No Spacing1,List Paragraph Char Char Char,Indicator Text,Numbered Para 1,Bullet 1,List Paragraph12,Bullet Points,MAIN CONTENT,Colorful List - Accent 11,List Paragraph2,Normal numbered,OBC Bullet,L"/>
    <w:basedOn w:val="Normal"/>
    <w:link w:val="ListParagraphChar"/>
    <w:uiPriority w:val="34"/>
    <w:qFormat/>
    <w:rsid w:val="002344F8"/>
    <w:pPr>
      <w:ind w:left="720"/>
      <w:contextualSpacing/>
    </w:pPr>
    <w:rPr>
      <w:color w:val="auto"/>
    </w:rPr>
  </w:style>
  <w:style w:type="paragraph" w:styleId="FootnoteText">
    <w:name w:val="footnote text"/>
    <w:basedOn w:val="Normal"/>
    <w:link w:val="FootnoteTextChar"/>
    <w:rsid w:val="00F50C2C"/>
    <w:rPr>
      <w:color w:val="auto"/>
      <w:sz w:val="20"/>
      <w:szCs w:val="20"/>
    </w:rPr>
  </w:style>
  <w:style w:type="character" w:customStyle="1" w:styleId="FootnoteTextChar">
    <w:name w:val="Footnote Text Char"/>
    <w:basedOn w:val="DefaultParagraphFont"/>
    <w:link w:val="FootnoteText"/>
    <w:rsid w:val="00F50C2C"/>
    <w:rPr>
      <w:rFonts w:ascii="Arial" w:hAnsi="Arial"/>
      <w:lang w:eastAsia="en-US"/>
    </w:rPr>
  </w:style>
  <w:style w:type="character" w:styleId="FootnoteReference">
    <w:name w:val="footnote reference"/>
    <w:basedOn w:val="DefaultParagraphFont"/>
    <w:rsid w:val="00F50C2C"/>
    <w:rPr>
      <w:vertAlign w:val="superscript"/>
    </w:rPr>
  </w:style>
  <w:style w:type="character" w:styleId="Hyperlink">
    <w:name w:val="Hyperlink"/>
    <w:basedOn w:val="DefaultParagraphFont"/>
    <w:rsid w:val="00F50C2C"/>
    <w:rPr>
      <w:color w:val="0000FF" w:themeColor="hyperlink"/>
      <w:u w:val="single"/>
    </w:rPr>
  </w:style>
  <w:style w:type="table" w:styleId="TableGrid">
    <w:name w:val="Table Grid"/>
    <w:basedOn w:val="TableNormal"/>
    <w:rsid w:val="00F50C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Dot pt Char,F5 List Paragraph Char,List Paragraph1 Char,No Spacing1 Char,List Paragraph Char Char Char Char,Indicator Text Char,Numbered Para 1 Char,Bullet 1 Char,List Paragraph12 Char,Bullet Points Char,MAIN CONTENT Char,L Char"/>
    <w:link w:val="ListParagraph"/>
    <w:uiPriority w:val="34"/>
    <w:qFormat/>
    <w:locked/>
    <w:rsid w:val="001F2B41"/>
    <w:rPr>
      <w:rFonts w:ascii="Arial" w:hAnsi="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icai.independent.gov.uk/wp-content/uploads/ICAI-DFID-Framework-Agreement.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gov.uk/government/publications/triennial-review-of-the-independent-commission-for-aid-impact"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gov.uk/government/uploads/system/uploads/attachment_data/file/505394/Tailored_Reviews_Guidance_on_Reviews_of_Public_Bodies_010316_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EF8497-30BB-4B8A-8C00-C4E0EB124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E3A1B841.dotm</Template>
  <TotalTime>1</TotalTime>
  <Pages>14</Pages>
  <Words>3294</Words>
  <Characters>18780</Characters>
  <Application>Microsoft Office Word</Application>
  <DocSecurity>4</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DFID</Company>
  <LinksUpToDate>false</LinksUpToDate>
  <CharactersWithSpaces>22030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Shailaja Annamraju</dc:creator>
  <cp:lastModifiedBy>ROGERS, Daniel</cp:lastModifiedBy>
  <cp:revision>2</cp:revision>
  <dcterms:created xsi:type="dcterms:W3CDTF">2017-12-07T14:41:00Z</dcterms:created>
  <dcterms:modified xsi:type="dcterms:W3CDTF">2017-12-07T14:41:00Z</dcterms:modified>
</cp:coreProperties>
</file>