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6BB8" w14:textId="18ED15CB" w:rsidR="00614CF7" w:rsidRDefault="00614CF7">
      <w:pPr>
        <w:pStyle w:val="Normal1"/>
        <w:spacing w:line="240" w:lineRule="auto"/>
        <w:rPr>
          <w:sz w:val="24"/>
          <w:szCs w:val="24"/>
        </w:rPr>
      </w:pPr>
      <w:bookmarkStart w:id="0" w:name="_GoBack"/>
      <w:bookmarkEnd w:id="0"/>
    </w:p>
    <w:p w14:paraId="10496BC1" w14:textId="77777777" w:rsidR="00614CF7" w:rsidRDefault="00E55CDE">
      <w:pPr>
        <w:pStyle w:val="Normal1"/>
        <w:spacing w:line="240" w:lineRule="auto"/>
        <w:rPr>
          <w:sz w:val="24"/>
          <w:szCs w:val="24"/>
        </w:rPr>
      </w:pPr>
      <w:r>
        <w:rPr>
          <w:sz w:val="24"/>
          <w:szCs w:val="24"/>
        </w:rPr>
        <w:t>Lord Adonis</w:t>
      </w:r>
    </w:p>
    <w:p w14:paraId="6BB792F8" w14:textId="77777777" w:rsidR="00614CF7" w:rsidRDefault="00E55CDE">
      <w:pPr>
        <w:pStyle w:val="Normal1"/>
        <w:spacing w:line="240" w:lineRule="auto"/>
        <w:rPr>
          <w:sz w:val="24"/>
          <w:szCs w:val="24"/>
        </w:rPr>
      </w:pPr>
      <w:r>
        <w:rPr>
          <w:sz w:val="24"/>
          <w:szCs w:val="24"/>
        </w:rPr>
        <w:t>House of Lords</w:t>
      </w:r>
    </w:p>
    <w:p w14:paraId="7C8E1559" w14:textId="77777777" w:rsidR="00614CF7" w:rsidRDefault="00E55CDE">
      <w:pPr>
        <w:pStyle w:val="Normal1"/>
        <w:spacing w:line="240" w:lineRule="auto"/>
        <w:rPr>
          <w:sz w:val="24"/>
          <w:szCs w:val="24"/>
        </w:rPr>
      </w:pPr>
      <w:r>
        <w:rPr>
          <w:sz w:val="24"/>
          <w:szCs w:val="24"/>
        </w:rPr>
        <w:t>London</w:t>
      </w:r>
    </w:p>
    <w:p w14:paraId="71D5EED7" w14:textId="77777777" w:rsidR="00614CF7" w:rsidRDefault="00E55CDE">
      <w:pPr>
        <w:pStyle w:val="Normal1"/>
        <w:spacing w:line="240" w:lineRule="auto"/>
        <w:rPr>
          <w:sz w:val="24"/>
          <w:szCs w:val="24"/>
        </w:rPr>
      </w:pPr>
      <w:r>
        <w:rPr>
          <w:sz w:val="24"/>
          <w:szCs w:val="24"/>
        </w:rPr>
        <w:t xml:space="preserve">SW1A 0PW </w:t>
      </w:r>
    </w:p>
    <w:p w14:paraId="3738A385" w14:textId="77777777" w:rsidR="00614CF7" w:rsidRDefault="00E55CDE">
      <w:pPr>
        <w:pStyle w:val="Normal1"/>
        <w:spacing w:line="240" w:lineRule="auto"/>
        <w:jc w:val="right"/>
        <w:rPr>
          <w:sz w:val="24"/>
          <w:szCs w:val="24"/>
        </w:rPr>
      </w:pPr>
      <w:r>
        <w:rPr>
          <w:sz w:val="24"/>
          <w:szCs w:val="24"/>
        </w:rPr>
        <w:tab/>
      </w:r>
      <w:r>
        <w:rPr>
          <w:sz w:val="24"/>
          <w:szCs w:val="24"/>
        </w:rPr>
        <w:tab/>
      </w:r>
    </w:p>
    <w:p w14:paraId="12E5F112" w14:textId="77777777" w:rsidR="00614CF7" w:rsidRDefault="00E55CDE">
      <w:pPr>
        <w:pStyle w:val="Normal1"/>
        <w:spacing w:line="240" w:lineRule="auto"/>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A5E0B85" w14:textId="77777777" w:rsidR="00614CF7" w:rsidRDefault="00614CF7">
      <w:pPr>
        <w:pStyle w:val="Normal1"/>
        <w:spacing w:line="240" w:lineRule="auto"/>
        <w:jc w:val="right"/>
        <w:rPr>
          <w:sz w:val="24"/>
          <w:szCs w:val="24"/>
        </w:rPr>
      </w:pPr>
    </w:p>
    <w:p w14:paraId="24ECA7D6" w14:textId="77777777" w:rsidR="00614CF7" w:rsidRDefault="00E55CDE">
      <w:pPr>
        <w:pStyle w:val="Normal1"/>
        <w:spacing w:line="240" w:lineRule="auto"/>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September 2017</w:t>
      </w:r>
    </w:p>
    <w:p w14:paraId="25EF9143" w14:textId="77777777" w:rsidR="00614CF7" w:rsidRDefault="00614CF7">
      <w:pPr>
        <w:pStyle w:val="Normal1"/>
        <w:spacing w:after="120" w:line="240" w:lineRule="auto"/>
        <w:rPr>
          <w:b/>
          <w:sz w:val="24"/>
          <w:szCs w:val="24"/>
        </w:rPr>
      </w:pPr>
    </w:p>
    <w:p w14:paraId="72A48CFB" w14:textId="77777777" w:rsidR="00614CF7" w:rsidRDefault="00614CF7">
      <w:pPr>
        <w:pStyle w:val="Normal1"/>
        <w:spacing w:after="120" w:line="240" w:lineRule="auto"/>
        <w:rPr>
          <w:b/>
          <w:sz w:val="24"/>
          <w:szCs w:val="24"/>
        </w:rPr>
      </w:pPr>
    </w:p>
    <w:p w14:paraId="2DC16AA0" w14:textId="77777777" w:rsidR="00614CF7" w:rsidRDefault="00E55CDE">
      <w:pPr>
        <w:pStyle w:val="Normal1"/>
        <w:spacing w:after="120" w:line="240" w:lineRule="auto"/>
        <w:rPr>
          <w:sz w:val="24"/>
          <w:szCs w:val="24"/>
        </w:rPr>
      </w:pPr>
      <w:r>
        <w:rPr>
          <w:sz w:val="24"/>
          <w:szCs w:val="24"/>
        </w:rPr>
        <w:t>Dear Lord Adonis,</w:t>
      </w:r>
    </w:p>
    <w:p w14:paraId="612B3CB0" w14:textId="77777777" w:rsidR="00FF426F" w:rsidRDefault="00FF426F">
      <w:pPr>
        <w:pStyle w:val="Normal1"/>
        <w:spacing w:after="120" w:line="240" w:lineRule="auto"/>
        <w:rPr>
          <w:sz w:val="24"/>
          <w:szCs w:val="24"/>
        </w:rPr>
      </w:pPr>
    </w:p>
    <w:p w14:paraId="65360E85" w14:textId="77777777" w:rsidR="00614CF7" w:rsidRDefault="00E55CDE">
      <w:pPr>
        <w:pStyle w:val="Normal1"/>
        <w:spacing w:line="240" w:lineRule="auto"/>
        <w:jc w:val="center"/>
        <w:rPr>
          <w:b/>
          <w:sz w:val="24"/>
          <w:szCs w:val="24"/>
        </w:rPr>
      </w:pPr>
      <w:r>
        <w:rPr>
          <w:b/>
          <w:sz w:val="24"/>
          <w:szCs w:val="24"/>
        </w:rPr>
        <w:t>WRITTEN PARLIAMENTARY QUESTION HL747</w:t>
      </w:r>
    </w:p>
    <w:p w14:paraId="65D7E1FA" w14:textId="77777777" w:rsidR="00614CF7" w:rsidRDefault="00614CF7">
      <w:pPr>
        <w:pStyle w:val="Normal1"/>
        <w:spacing w:line="240" w:lineRule="auto"/>
        <w:jc w:val="center"/>
        <w:rPr>
          <w:b/>
          <w:sz w:val="24"/>
          <w:szCs w:val="24"/>
        </w:rPr>
      </w:pPr>
    </w:p>
    <w:p w14:paraId="26050F9C" w14:textId="77777777" w:rsidR="00614CF7" w:rsidRDefault="00614CF7">
      <w:pPr>
        <w:pStyle w:val="Normal1"/>
        <w:spacing w:line="240" w:lineRule="auto"/>
        <w:jc w:val="center"/>
        <w:rPr>
          <w:sz w:val="24"/>
          <w:szCs w:val="24"/>
        </w:rPr>
      </w:pPr>
    </w:p>
    <w:p w14:paraId="2B349AB5" w14:textId="77777777" w:rsidR="00614CF7" w:rsidRDefault="00E55CDE">
      <w:pPr>
        <w:pStyle w:val="Normal1"/>
        <w:jc w:val="both"/>
        <w:rPr>
          <w:sz w:val="24"/>
          <w:szCs w:val="24"/>
        </w:rPr>
      </w:pPr>
      <w:r>
        <w:rPr>
          <w:sz w:val="24"/>
          <w:szCs w:val="24"/>
        </w:rPr>
        <w:t xml:space="preserve">Please find attached a response to parliamentary question HL747 from the Department for Exiting the European Union. This information supplements the earlier answer provided by Lord Price, Minister of State for International Trade. </w:t>
      </w:r>
    </w:p>
    <w:p w14:paraId="1C1FCCBA" w14:textId="77777777" w:rsidR="00614CF7" w:rsidRDefault="00614CF7">
      <w:pPr>
        <w:pStyle w:val="Normal1"/>
        <w:spacing w:line="240" w:lineRule="auto"/>
        <w:jc w:val="both"/>
        <w:rPr>
          <w:sz w:val="24"/>
          <w:szCs w:val="24"/>
        </w:rPr>
      </w:pPr>
    </w:p>
    <w:p w14:paraId="0AFDAD2D" w14:textId="77777777" w:rsidR="00614CF7" w:rsidRDefault="00E55CDE">
      <w:pPr>
        <w:pStyle w:val="Normal1"/>
        <w:spacing w:line="240" w:lineRule="auto"/>
        <w:jc w:val="both"/>
        <w:rPr>
          <w:sz w:val="24"/>
          <w:szCs w:val="24"/>
        </w:rPr>
      </w:pPr>
      <w:r>
        <w:rPr>
          <w:sz w:val="24"/>
          <w:szCs w:val="24"/>
        </w:rPr>
        <w:t>A copy of this answer is also being placed in the Library of the House.</w:t>
      </w:r>
    </w:p>
    <w:p w14:paraId="40E95444" w14:textId="77777777" w:rsidR="00614CF7" w:rsidRDefault="00614CF7">
      <w:pPr>
        <w:pStyle w:val="Normal1"/>
        <w:spacing w:line="240" w:lineRule="auto"/>
        <w:jc w:val="both"/>
        <w:rPr>
          <w:sz w:val="24"/>
          <w:szCs w:val="24"/>
        </w:rPr>
      </w:pPr>
    </w:p>
    <w:p w14:paraId="52528207" w14:textId="77777777" w:rsidR="00614CF7" w:rsidRDefault="00614CF7">
      <w:pPr>
        <w:pStyle w:val="Normal1"/>
        <w:spacing w:line="240" w:lineRule="auto"/>
        <w:jc w:val="both"/>
        <w:rPr>
          <w:b/>
          <w:sz w:val="24"/>
          <w:szCs w:val="24"/>
        </w:rPr>
      </w:pPr>
    </w:p>
    <w:p w14:paraId="425331C4" w14:textId="77777777" w:rsidR="00614CF7" w:rsidRDefault="00614CF7">
      <w:pPr>
        <w:pStyle w:val="Normal1"/>
        <w:spacing w:line="240" w:lineRule="auto"/>
        <w:jc w:val="both"/>
        <w:rPr>
          <w:b/>
          <w:sz w:val="24"/>
          <w:szCs w:val="24"/>
        </w:rPr>
      </w:pPr>
    </w:p>
    <w:p w14:paraId="0CA90346" w14:textId="527D4832" w:rsidR="00614CF7" w:rsidRDefault="00FF426F">
      <w:pPr>
        <w:pStyle w:val="Normal1"/>
        <w:spacing w:line="240" w:lineRule="auto"/>
        <w:jc w:val="center"/>
        <w:rPr>
          <w:sz w:val="24"/>
          <w:szCs w:val="24"/>
        </w:rPr>
      </w:pPr>
      <w:r w:rsidRPr="00FF426F">
        <w:rPr>
          <w:noProof/>
          <w:sz w:val="24"/>
          <w:szCs w:val="24"/>
          <w:lang w:eastAsia="en-GB"/>
        </w:rPr>
        <w:drawing>
          <wp:inline distT="0" distB="0" distL="0" distR="0" wp14:anchorId="2B47815A" wp14:editId="713A35B4">
            <wp:extent cx="2413000" cy="1000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 E-sig.png"/>
                    <pic:cNvPicPr/>
                  </pic:nvPicPr>
                  <pic:blipFill>
                    <a:blip r:embed="rId6">
                      <a:extLst>
                        <a:ext uri="{28A0092B-C50C-407E-A947-70E740481C1C}">
                          <a14:useLocalDpi xmlns:a14="http://schemas.microsoft.com/office/drawing/2010/main" val="0"/>
                        </a:ext>
                      </a:extLst>
                    </a:blip>
                    <a:stretch>
                      <a:fillRect/>
                    </a:stretch>
                  </pic:blipFill>
                  <pic:spPr>
                    <a:xfrm>
                      <a:off x="0" y="0"/>
                      <a:ext cx="2413000" cy="1000171"/>
                    </a:xfrm>
                    <a:prstGeom prst="rect">
                      <a:avLst/>
                    </a:prstGeom>
                  </pic:spPr>
                </pic:pic>
              </a:graphicData>
            </a:graphic>
          </wp:inline>
        </w:drawing>
      </w:r>
    </w:p>
    <w:p w14:paraId="51618A06" w14:textId="77777777" w:rsidR="00614CF7" w:rsidRDefault="00614CF7">
      <w:pPr>
        <w:pStyle w:val="Normal1"/>
        <w:spacing w:line="240" w:lineRule="auto"/>
        <w:jc w:val="center"/>
        <w:rPr>
          <w:b/>
          <w:sz w:val="24"/>
          <w:szCs w:val="24"/>
        </w:rPr>
      </w:pPr>
    </w:p>
    <w:p w14:paraId="25F8F5A7" w14:textId="77777777" w:rsidR="00614CF7" w:rsidRDefault="00614CF7">
      <w:pPr>
        <w:pStyle w:val="Normal1"/>
        <w:spacing w:line="240" w:lineRule="auto"/>
        <w:jc w:val="center"/>
        <w:rPr>
          <w:b/>
          <w:sz w:val="24"/>
          <w:szCs w:val="24"/>
        </w:rPr>
      </w:pPr>
    </w:p>
    <w:p w14:paraId="5AF4C99B" w14:textId="77777777" w:rsidR="00614CF7" w:rsidRDefault="00614CF7">
      <w:pPr>
        <w:pStyle w:val="Normal1"/>
        <w:spacing w:line="240" w:lineRule="auto"/>
        <w:jc w:val="center"/>
        <w:rPr>
          <w:sz w:val="24"/>
          <w:szCs w:val="24"/>
        </w:rPr>
      </w:pPr>
    </w:p>
    <w:p w14:paraId="7BE71326" w14:textId="77777777" w:rsidR="00614CF7" w:rsidRDefault="00E55CDE">
      <w:pPr>
        <w:pStyle w:val="Normal1"/>
        <w:spacing w:line="240" w:lineRule="auto"/>
        <w:jc w:val="center"/>
        <w:rPr>
          <w:sz w:val="24"/>
          <w:szCs w:val="24"/>
        </w:rPr>
      </w:pPr>
      <w:r>
        <w:rPr>
          <w:b/>
          <w:sz w:val="24"/>
          <w:szCs w:val="24"/>
        </w:rPr>
        <w:t>RT HON BARONESS ANELAY OF ST JOHNS DBE</w:t>
      </w:r>
    </w:p>
    <w:p w14:paraId="6AD6A2D2" w14:textId="77777777" w:rsidR="00614CF7" w:rsidRDefault="00E55CDE">
      <w:pPr>
        <w:pStyle w:val="Normal1"/>
        <w:spacing w:line="240" w:lineRule="auto"/>
        <w:jc w:val="center"/>
        <w:rPr>
          <w:b/>
          <w:sz w:val="24"/>
          <w:szCs w:val="24"/>
        </w:rPr>
      </w:pPr>
      <w:r>
        <w:rPr>
          <w:b/>
          <w:sz w:val="24"/>
          <w:szCs w:val="24"/>
        </w:rPr>
        <w:t>MINISTER OF STATE FOR EXITING THE EUROPEAN UNION</w:t>
      </w:r>
    </w:p>
    <w:p w14:paraId="4731429B" w14:textId="77777777" w:rsidR="00614CF7" w:rsidRDefault="00614CF7">
      <w:pPr>
        <w:pStyle w:val="Normal1"/>
        <w:spacing w:line="240" w:lineRule="auto"/>
        <w:jc w:val="center"/>
        <w:rPr>
          <w:b/>
          <w:sz w:val="24"/>
          <w:szCs w:val="24"/>
        </w:rPr>
      </w:pPr>
    </w:p>
    <w:p w14:paraId="47D518F0" w14:textId="77777777" w:rsidR="00614CF7" w:rsidRDefault="00614CF7">
      <w:pPr>
        <w:pStyle w:val="Normal1"/>
        <w:spacing w:line="240" w:lineRule="auto"/>
        <w:jc w:val="center"/>
        <w:rPr>
          <w:b/>
          <w:sz w:val="24"/>
          <w:szCs w:val="24"/>
        </w:rPr>
      </w:pPr>
    </w:p>
    <w:p w14:paraId="552A86DA" w14:textId="77777777" w:rsidR="00614CF7" w:rsidRDefault="00614CF7">
      <w:pPr>
        <w:pStyle w:val="Normal1"/>
        <w:spacing w:line="240" w:lineRule="auto"/>
        <w:jc w:val="center"/>
        <w:rPr>
          <w:b/>
          <w:sz w:val="24"/>
          <w:szCs w:val="24"/>
        </w:rPr>
      </w:pPr>
    </w:p>
    <w:p w14:paraId="5B8446F7" w14:textId="77777777" w:rsidR="00E55CDE" w:rsidRDefault="00E55CDE">
      <w:pPr>
        <w:pStyle w:val="Normal1"/>
        <w:spacing w:line="240" w:lineRule="auto"/>
        <w:jc w:val="center"/>
        <w:rPr>
          <w:b/>
          <w:sz w:val="24"/>
          <w:szCs w:val="24"/>
        </w:rPr>
      </w:pPr>
    </w:p>
    <w:p w14:paraId="515798C9" w14:textId="77777777" w:rsidR="00E55CDE" w:rsidRDefault="00E55CDE">
      <w:pPr>
        <w:pStyle w:val="Normal1"/>
        <w:spacing w:line="240" w:lineRule="auto"/>
        <w:jc w:val="center"/>
        <w:rPr>
          <w:b/>
          <w:sz w:val="24"/>
          <w:szCs w:val="24"/>
        </w:rPr>
      </w:pPr>
    </w:p>
    <w:p w14:paraId="52C42758" w14:textId="77777777" w:rsidR="00FF426F" w:rsidRDefault="00FF426F">
      <w:pPr>
        <w:pStyle w:val="Normal1"/>
        <w:spacing w:line="240" w:lineRule="auto"/>
        <w:jc w:val="center"/>
        <w:rPr>
          <w:b/>
          <w:sz w:val="24"/>
          <w:szCs w:val="24"/>
        </w:rPr>
      </w:pPr>
    </w:p>
    <w:p w14:paraId="288D4012" w14:textId="77777777" w:rsidR="00E55CDE" w:rsidRDefault="00E55CDE">
      <w:pPr>
        <w:pStyle w:val="Normal1"/>
        <w:spacing w:line="240" w:lineRule="auto"/>
        <w:jc w:val="center"/>
        <w:rPr>
          <w:b/>
          <w:sz w:val="24"/>
          <w:szCs w:val="24"/>
        </w:rPr>
      </w:pPr>
    </w:p>
    <w:p w14:paraId="4DDFBF57" w14:textId="77777777" w:rsidR="00614CF7" w:rsidRDefault="00614CF7">
      <w:pPr>
        <w:pStyle w:val="Normal1"/>
        <w:spacing w:line="240" w:lineRule="auto"/>
        <w:jc w:val="center"/>
        <w:rPr>
          <w:b/>
          <w:sz w:val="24"/>
          <w:szCs w:val="24"/>
        </w:rPr>
      </w:pPr>
    </w:p>
    <w:p w14:paraId="1BBC4D6A" w14:textId="77777777" w:rsidR="00614CF7" w:rsidRDefault="00E55CDE">
      <w:pPr>
        <w:pStyle w:val="Normal1"/>
        <w:rPr>
          <w:b/>
          <w:sz w:val="24"/>
          <w:szCs w:val="24"/>
          <w:u w:val="single"/>
        </w:rPr>
      </w:pPr>
      <w:r>
        <w:rPr>
          <w:b/>
          <w:sz w:val="24"/>
          <w:szCs w:val="24"/>
          <w:u w:val="single"/>
        </w:rPr>
        <w:lastRenderedPageBreak/>
        <w:t xml:space="preserve">HL747 </w:t>
      </w:r>
    </w:p>
    <w:p w14:paraId="21F2A910" w14:textId="77777777" w:rsidR="00614CF7" w:rsidRDefault="00614CF7">
      <w:pPr>
        <w:pStyle w:val="Normal1"/>
        <w:rPr>
          <w:sz w:val="24"/>
          <w:szCs w:val="24"/>
        </w:rPr>
      </w:pPr>
    </w:p>
    <w:p w14:paraId="754C7E36" w14:textId="77777777" w:rsidR="00614CF7" w:rsidRDefault="00E55CDE">
      <w:pPr>
        <w:pStyle w:val="Normal1"/>
        <w:rPr>
          <w:b/>
          <w:sz w:val="24"/>
          <w:szCs w:val="24"/>
        </w:rPr>
      </w:pPr>
      <w:r>
        <w:rPr>
          <w:b/>
          <w:sz w:val="24"/>
          <w:szCs w:val="24"/>
        </w:rPr>
        <w:t>Lord Adonis (Labour)</w:t>
      </w:r>
    </w:p>
    <w:p w14:paraId="1292CEB0" w14:textId="77777777" w:rsidR="00614CF7" w:rsidRDefault="00614CF7">
      <w:pPr>
        <w:pStyle w:val="Normal1"/>
        <w:rPr>
          <w:b/>
          <w:sz w:val="24"/>
          <w:szCs w:val="24"/>
        </w:rPr>
      </w:pPr>
    </w:p>
    <w:p w14:paraId="250FED29" w14:textId="77777777" w:rsidR="00614CF7" w:rsidRDefault="00E55CDE">
      <w:pPr>
        <w:pStyle w:val="Normal1"/>
        <w:rPr>
          <w:sz w:val="24"/>
          <w:szCs w:val="24"/>
        </w:rPr>
      </w:pPr>
      <w:r>
        <w:rPr>
          <w:sz w:val="24"/>
          <w:szCs w:val="24"/>
        </w:rPr>
        <w:t>Her Majesty's Government how much (1) has been paid since July 2016, and (2) is budgeted to be paid in 2017–18, to recruitment agents or companies for the recruitment of staff to (a) the Department of International Trade, and (b) the Department for Exiting the European Union.</w:t>
      </w:r>
    </w:p>
    <w:p w14:paraId="6F0A12B6" w14:textId="77777777" w:rsidR="00614CF7" w:rsidRDefault="00614CF7">
      <w:pPr>
        <w:pStyle w:val="Normal1"/>
        <w:rPr>
          <w:sz w:val="24"/>
          <w:szCs w:val="24"/>
        </w:rPr>
      </w:pPr>
    </w:p>
    <w:p w14:paraId="707CC1A2" w14:textId="77777777" w:rsidR="00614CF7" w:rsidRDefault="00E55CDE">
      <w:pPr>
        <w:pStyle w:val="Normal1"/>
        <w:rPr>
          <w:b/>
          <w:sz w:val="24"/>
          <w:szCs w:val="24"/>
        </w:rPr>
      </w:pPr>
      <w:r>
        <w:rPr>
          <w:b/>
          <w:sz w:val="24"/>
          <w:szCs w:val="24"/>
        </w:rPr>
        <w:t>Answered by: Lord Price</w:t>
      </w:r>
    </w:p>
    <w:p w14:paraId="7D1D44E1" w14:textId="77777777" w:rsidR="00614CF7" w:rsidRDefault="00E55CDE">
      <w:pPr>
        <w:pStyle w:val="Normal1"/>
        <w:rPr>
          <w:sz w:val="24"/>
          <w:szCs w:val="24"/>
        </w:rPr>
      </w:pPr>
      <w:r>
        <w:rPr>
          <w:sz w:val="24"/>
          <w:szCs w:val="24"/>
        </w:rPr>
        <w:br/>
        <w:t>The Department for International Trade (DIT) has paid £1.15m to organisations for services relating to the recruitment of staff since July 2016. Recruitment costs are managed locally by the functional areas of DIT; there is no central budget for recruitment.</w:t>
      </w:r>
      <w:r>
        <w:rPr>
          <w:sz w:val="24"/>
          <w:szCs w:val="24"/>
        </w:rPr>
        <w:br/>
        <w:t>My noble friend a copy of the figures relating to the Department for Exiting the European Union will be placed in the library of the House once they are made available.</w:t>
      </w:r>
    </w:p>
    <w:p w14:paraId="66E874A1" w14:textId="77777777" w:rsidR="00614CF7" w:rsidRDefault="00614CF7">
      <w:pPr>
        <w:pStyle w:val="Normal1"/>
        <w:rPr>
          <w:sz w:val="24"/>
          <w:szCs w:val="24"/>
        </w:rPr>
      </w:pPr>
    </w:p>
    <w:p w14:paraId="7ECF3F4B" w14:textId="77777777" w:rsidR="00614CF7" w:rsidRDefault="00614CF7">
      <w:pPr>
        <w:pStyle w:val="Normal1"/>
        <w:rPr>
          <w:sz w:val="24"/>
          <w:szCs w:val="24"/>
        </w:rPr>
      </w:pPr>
    </w:p>
    <w:p w14:paraId="6FBC1548" w14:textId="77777777" w:rsidR="00614CF7" w:rsidRDefault="00614CF7">
      <w:pPr>
        <w:pStyle w:val="Normal1"/>
        <w:rPr>
          <w:sz w:val="24"/>
          <w:szCs w:val="24"/>
        </w:rPr>
      </w:pPr>
    </w:p>
    <w:p w14:paraId="1D8960DF" w14:textId="77777777" w:rsidR="00614CF7" w:rsidRDefault="00614CF7">
      <w:pPr>
        <w:pStyle w:val="Normal1"/>
        <w:rPr>
          <w:sz w:val="24"/>
          <w:szCs w:val="24"/>
        </w:rPr>
      </w:pPr>
    </w:p>
    <w:p w14:paraId="3A560C46" w14:textId="77777777" w:rsidR="00614CF7" w:rsidRDefault="00614CF7">
      <w:pPr>
        <w:pStyle w:val="Normal1"/>
        <w:rPr>
          <w:sz w:val="24"/>
          <w:szCs w:val="24"/>
        </w:rPr>
      </w:pPr>
    </w:p>
    <w:p w14:paraId="1221BB4A" w14:textId="77777777" w:rsidR="00614CF7" w:rsidRDefault="00E55CDE">
      <w:pPr>
        <w:pStyle w:val="Normal1"/>
        <w:rPr>
          <w:b/>
          <w:sz w:val="24"/>
          <w:szCs w:val="24"/>
        </w:rPr>
      </w:pPr>
      <w:r>
        <w:rPr>
          <w:b/>
          <w:sz w:val="24"/>
          <w:szCs w:val="24"/>
        </w:rPr>
        <w:t>The Department for Exiting the European Union response in reference to HL747:</w:t>
      </w:r>
    </w:p>
    <w:p w14:paraId="331AC1E7" w14:textId="77777777" w:rsidR="00614CF7" w:rsidRDefault="00614CF7">
      <w:pPr>
        <w:pStyle w:val="Normal1"/>
        <w:rPr>
          <w:b/>
          <w:sz w:val="24"/>
          <w:szCs w:val="24"/>
        </w:rPr>
      </w:pPr>
    </w:p>
    <w:p w14:paraId="248D815A" w14:textId="77777777" w:rsidR="00614CF7" w:rsidRDefault="00E55CDE">
      <w:pPr>
        <w:pStyle w:val="Normal1"/>
        <w:jc w:val="both"/>
        <w:rPr>
          <w:sz w:val="24"/>
          <w:szCs w:val="24"/>
        </w:rPr>
      </w:pPr>
      <w:r>
        <w:rPr>
          <w:sz w:val="24"/>
          <w:szCs w:val="24"/>
        </w:rPr>
        <w:t xml:space="preserve">The Department for Exiting the European Union was established in July 2016, since that time the Department has grown to over 450 staff.  No expenditure has been incurred via external companies or recruitment agencies in relation to the recruitment of staff. </w:t>
      </w:r>
    </w:p>
    <w:p w14:paraId="63A829A4" w14:textId="77777777" w:rsidR="00614CF7" w:rsidRDefault="00614CF7">
      <w:pPr>
        <w:pStyle w:val="Normal1"/>
        <w:jc w:val="both"/>
        <w:rPr>
          <w:sz w:val="24"/>
          <w:szCs w:val="24"/>
        </w:rPr>
      </w:pPr>
    </w:p>
    <w:p w14:paraId="45527183" w14:textId="77777777" w:rsidR="00614CF7" w:rsidRDefault="00E55CDE">
      <w:pPr>
        <w:pStyle w:val="Normal1"/>
        <w:jc w:val="both"/>
        <w:rPr>
          <w:sz w:val="24"/>
          <w:szCs w:val="24"/>
        </w:rPr>
      </w:pPr>
      <w:r>
        <w:rPr>
          <w:sz w:val="24"/>
          <w:szCs w:val="24"/>
        </w:rPr>
        <w:t>The Department has used the services of Civil Service Resourcing for the recruitment of staff through campaigns and to date, the invoiced expenditure recorded on the departmental financial system totals £58k for these services.</w:t>
      </w:r>
    </w:p>
    <w:p w14:paraId="06D98EE0" w14:textId="77777777" w:rsidR="00614CF7" w:rsidRDefault="00614CF7">
      <w:pPr>
        <w:pStyle w:val="Normal1"/>
        <w:rPr>
          <w:sz w:val="24"/>
          <w:szCs w:val="24"/>
        </w:rPr>
      </w:pPr>
    </w:p>
    <w:p w14:paraId="634AEA82" w14:textId="77777777" w:rsidR="00614CF7" w:rsidRDefault="00614CF7">
      <w:pPr>
        <w:pStyle w:val="Normal1"/>
        <w:rPr>
          <w:sz w:val="24"/>
          <w:szCs w:val="24"/>
        </w:rPr>
      </w:pPr>
    </w:p>
    <w:p w14:paraId="4C1373D6" w14:textId="77777777" w:rsidR="00614CF7" w:rsidRDefault="00E55CDE">
      <w:pPr>
        <w:pStyle w:val="Normal1"/>
        <w:spacing w:line="240" w:lineRule="auto"/>
        <w:rPr>
          <w:b/>
          <w:sz w:val="24"/>
          <w:szCs w:val="24"/>
        </w:rPr>
      </w:pPr>
      <w:r>
        <w:rPr>
          <w:b/>
          <w:i/>
          <w:sz w:val="24"/>
          <w:szCs w:val="24"/>
        </w:rPr>
        <w:br/>
      </w:r>
    </w:p>
    <w:sectPr w:rsidR="00614CF7">
      <w:headerReference w:type="first" r:id="rId7"/>
      <w:pgSz w:w="11909" w:h="16834"/>
      <w:pgMar w:top="1440" w:right="1425"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67E5" w14:textId="77777777" w:rsidR="007327FD" w:rsidRDefault="00E55CDE">
      <w:pPr>
        <w:spacing w:line="240" w:lineRule="auto"/>
      </w:pPr>
      <w:r>
        <w:separator/>
      </w:r>
    </w:p>
  </w:endnote>
  <w:endnote w:type="continuationSeparator" w:id="0">
    <w:p w14:paraId="56B13D08" w14:textId="77777777" w:rsidR="007327FD" w:rsidRDefault="00E55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FC730" w14:textId="77777777" w:rsidR="007327FD" w:rsidRDefault="00E55CDE">
      <w:pPr>
        <w:spacing w:line="240" w:lineRule="auto"/>
      </w:pPr>
      <w:r>
        <w:separator/>
      </w:r>
    </w:p>
  </w:footnote>
  <w:footnote w:type="continuationSeparator" w:id="0">
    <w:p w14:paraId="700E84CB" w14:textId="77777777" w:rsidR="007327FD" w:rsidRDefault="00E55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CE1A" w14:textId="77777777" w:rsidR="00614CF7" w:rsidRDefault="00614CF7">
    <w:pPr>
      <w:pStyle w:val="Normal1"/>
      <w:spacing w:line="240" w:lineRule="auto"/>
      <w:ind w:firstLine="3090"/>
    </w:pPr>
  </w:p>
  <w:p w14:paraId="615BC071" w14:textId="77777777" w:rsidR="00614CF7" w:rsidRDefault="00614CF7">
    <w:pPr>
      <w:pStyle w:val="Normal1"/>
      <w:spacing w:line="240" w:lineRule="auto"/>
      <w:ind w:firstLine="3090"/>
    </w:pPr>
  </w:p>
  <w:p w14:paraId="17F298C7" w14:textId="77777777" w:rsidR="00614CF7" w:rsidRDefault="00E55CDE">
    <w:pPr>
      <w:pStyle w:val="Normal1"/>
      <w:spacing w:line="240" w:lineRule="auto"/>
      <w:ind w:firstLine="3090"/>
    </w:pPr>
    <w:r>
      <w:rPr>
        <w:noProof/>
        <w:lang w:eastAsia="en-GB"/>
      </w:rPr>
      <w:drawing>
        <wp:anchor distT="114300" distB="114300" distL="114300" distR="114300" simplePos="0" relativeHeight="251658240" behindDoc="0" locked="0" layoutInCell="1" hidden="0" allowOverlap="1" wp14:anchorId="7BD912F1" wp14:editId="51B89ADD">
          <wp:simplePos x="0" y="0"/>
          <wp:positionH relativeFrom="margin">
            <wp:posOffset>-114297</wp:posOffset>
          </wp:positionH>
          <wp:positionV relativeFrom="paragraph">
            <wp:posOffset>171450</wp:posOffset>
          </wp:positionV>
          <wp:extent cx="1414463" cy="103668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1036687"/>
                  </a:xfrm>
                  <a:prstGeom prst="rect">
                    <a:avLst/>
                  </a:prstGeom>
                  <a:ln/>
                </pic:spPr>
              </pic:pic>
            </a:graphicData>
          </a:graphic>
        </wp:anchor>
      </w:drawing>
    </w:r>
  </w:p>
  <w:p w14:paraId="50DBC915" w14:textId="77777777" w:rsidR="00614CF7" w:rsidRDefault="00614CF7">
    <w:pPr>
      <w:pStyle w:val="Normal1"/>
      <w:spacing w:line="240" w:lineRule="auto"/>
      <w:ind w:firstLine="3090"/>
    </w:pPr>
  </w:p>
  <w:p w14:paraId="1ABE0CB6" w14:textId="77777777" w:rsidR="00614CF7" w:rsidRDefault="00614CF7">
    <w:pPr>
      <w:pStyle w:val="Normal1"/>
      <w:spacing w:line="240" w:lineRule="auto"/>
      <w:ind w:firstLine="3090"/>
      <w:rPr>
        <w:b/>
        <w:sz w:val="16"/>
        <w:szCs w:val="16"/>
      </w:rPr>
    </w:pPr>
  </w:p>
  <w:tbl>
    <w:tblPr>
      <w:tblStyle w:val="a"/>
      <w:tblW w:w="7095" w:type="dxa"/>
      <w:tblInd w:w="26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0"/>
      <w:gridCol w:w="2775"/>
    </w:tblGrid>
    <w:tr w:rsidR="00614CF7" w14:paraId="014588F5" w14:textId="77777777">
      <w:tc>
        <w:tcPr>
          <w:tcW w:w="4320" w:type="dxa"/>
          <w:shd w:val="clear" w:color="auto" w:fill="auto"/>
          <w:tcMar>
            <w:top w:w="100" w:type="dxa"/>
            <w:left w:w="100" w:type="dxa"/>
            <w:bottom w:w="100" w:type="dxa"/>
            <w:right w:w="100" w:type="dxa"/>
          </w:tcMar>
        </w:tcPr>
        <w:p w14:paraId="07FA730B" w14:textId="77777777" w:rsidR="00614CF7" w:rsidRDefault="00E55CDE">
          <w:pPr>
            <w:pStyle w:val="Normal1"/>
            <w:widowControl w:val="0"/>
            <w:spacing w:line="240" w:lineRule="auto"/>
            <w:rPr>
              <w:b/>
              <w:sz w:val="16"/>
              <w:szCs w:val="16"/>
            </w:rPr>
          </w:pPr>
          <w:proofErr w:type="spellStart"/>
          <w:r>
            <w:rPr>
              <w:b/>
              <w:sz w:val="16"/>
              <w:szCs w:val="16"/>
            </w:rPr>
            <w:t>Rt</w:t>
          </w:r>
          <w:proofErr w:type="spellEnd"/>
          <w:r>
            <w:rPr>
              <w:b/>
              <w:sz w:val="16"/>
              <w:szCs w:val="16"/>
            </w:rPr>
            <w:t xml:space="preserve"> Hon Baroness </w:t>
          </w:r>
          <w:proofErr w:type="spellStart"/>
          <w:r>
            <w:rPr>
              <w:b/>
              <w:sz w:val="16"/>
              <w:szCs w:val="16"/>
            </w:rPr>
            <w:t>Anelay</w:t>
          </w:r>
          <w:proofErr w:type="spellEnd"/>
          <w:r>
            <w:rPr>
              <w:b/>
              <w:sz w:val="16"/>
              <w:szCs w:val="16"/>
            </w:rPr>
            <w:t xml:space="preserve"> of St Johns DBE</w:t>
          </w:r>
        </w:p>
        <w:p w14:paraId="2E1C2711" w14:textId="77777777" w:rsidR="00614CF7" w:rsidRDefault="00E55CDE">
          <w:pPr>
            <w:pStyle w:val="Normal1"/>
            <w:widowControl w:val="0"/>
            <w:spacing w:line="240" w:lineRule="auto"/>
            <w:rPr>
              <w:sz w:val="16"/>
              <w:szCs w:val="16"/>
            </w:rPr>
          </w:pPr>
          <w:r>
            <w:rPr>
              <w:sz w:val="16"/>
              <w:szCs w:val="16"/>
            </w:rPr>
            <w:t>Minister of State for Exiting the European Union</w:t>
          </w:r>
        </w:p>
        <w:p w14:paraId="09138840" w14:textId="77777777" w:rsidR="00614CF7" w:rsidRDefault="00E55CDE">
          <w:pPr>
            <w:pStyle w:val="Normal1"/>
            <w:widowControl w:val="0"/>
            <w:spacing w:line="240" w:lineRule="auto"/>
            <w:rPr>
              <w:sz w:val="16"/>
              <w:szCs w:val="16"/>
            </w:rPr>
          </w:pPr>
          <w:r>
            <w:rPr>
              <w:sz w:val="16"/>
              <w:szCs w:val="16"/>
            </w:rPr>
            <w:t>9 Downing Street</w:t>
          </w:r>
        </w:p>
        <w:p w14:paraId="4D5EC741" w14:textId="77777777" w:rsidR="00614CF7" w:rsidRDefault="00E55CDE">
          <w:pPr>
            <w:pStyle w:val="Normal1"/>
            <w:widowControl w:val="0"/>
            <w:spacing w:line="240" w:lineRule="auto"/>
            <w:rPr>
              <w:sz w:val="16"/>
              <w:szCs w:val="16"/>
            </w:rPr>
          </w:pPr>
          <w:r>
            <w:rPr>
              <w:sz w:val="16"/>
              <w:szCs w:val="16"/>
            </w:rPr>
            <w:t>SW1A 2AG</w:t>
          </w:r>
        </w:p>
      </w:tc>
      <w:tc>
        <w:tcPr>
          <w:tcW w:w="2775" w:type="dxa"/>
          <w:shd w:val="clear" w:color="auto" w:fill="auto"/>
          <w:tcMar>
            <w:top w:w="100" w:type="dxa"/>
            <w:left w:w="100" w:type="dxa"/>
            <w:bottom w:w="100" w:type="dxa"/>
            <w:right w:w="100" w:type="dxa"/>
          </w:tcMar>
        </w:tcPr>
        <w:p w14:paraId="480EF7CF" w14:textId="77777777" w:rsidR="00614CF7" w:rsidRDefault="00614CF7">
          <w:pPr>
            <w:pStyle w:val="Normal1"/>
            <w:widowControl w:val="0"/>
            <w:spacing w:line="240" w:lineRule="auto"/>
            <w:rPr>
              <w:sz w:val="16"/>
              <w:szCs w:val="16"/>
            </w:rPr>
          </w:pPr>
        </w:p>
      </w:tc>
    </w:tr>
  </w:tbl>
  <w:p w14:paraId="63A3E0CA" w14:textId="77777777" w:rsidR="00614CF7" w:rsidRDefault="00614CF7">
    <w:pPr>
      <w:pStyle w:val="Normal1"/>
      <w:spacing w:before="426" w:line="240" w:lineRule="aut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4CF7"/>
    <w:rsid w:val="00614CF7"/>
    <w:rsid w:val="007327FD"/>
    <w:rsid w:val="00B61C91"/>
    <w:rsid w:val="00E55CDE"/>
    <w:rsid w:val="00FF4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C7B16"/>
  <w15:docId w15:val="{B12A81B2-56F8-4D94-B9C1-4CE251E2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42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2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DBB43E4A.dotm</Template>
  <TotalTime>0</TotalTime>
  <Pages>2</Pages>
  <Words>282</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 Aleksandra</dc:creator>
  <cp:lastModifiedBy>GORB, Aleksandra</cp:lastModifiedBy>
  <cp:revision>2</cp:revision>
  <dcterms:created xsi:type="dcterms:W3CDTF">2017-09-04T13:13:00Z</dcterms:created>
  <dcterms:modified xsi:type="dcterms:W3CDTF">2017-09-04T13:13:00Z</dcterms:modified>
</cp:coreProperties>
</file>