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BACE" w14:textId="113E85C6" w:rsidR="0022436B" w:rsidRPr="0025789C" w:rsidRDefault="0022436B" w:rsidP="00C758D8">
      <w:pPr>
        <w:autoSpaceDE w:val="0"/>
        <w:autoSpaceDN w:val="0"/>
        <w:adjustRightInd w:val="0"/>
        <w:spacing w:after="0" w:line="360" w:lineRule="auto"/>
        <w:jc w:val="center"/>
        <w:rPr>
          <w:rFonts w:cs="Arial"/>
          <w:b/>
          <w:bCs/>
          <w:szCs w:val="24"/>
        </w:rPr>
      </w:pPr>
      <w:bookmarkStart w:id="0" w:name="_GoBack"/>
      <w:bookmarkEnd w:id="0"/>
      <w:r w:rsidRPr="0025789C">
        <w:rPr>
          <w:rFonts w:cs="Arial"/>
          <w:b/>
          <w:bCs/>
          <w:szCs w:val="24"/>
        </w:rPr>
        <w:t xml:space="preserve">WRITTEN SUBMISSION TO HOUSE IN RESPECT OF </w:t>
      </w:r>
      <w:r w:rsidR="00325A2B" w:rsidRPr="0025789C">
        <w:rPr>
          <w:rFonts w:cs="Arial"/>
          <w:b/>
          <w:bCs/>
          <w:szCs w:val="24"/>
        </w:rPr>
        <w:t xml:space="preserve">LORDS </w:t>
      </w:r>
      <w:r w:rsidRPr="0025789C">
        <w:rPr>
          <w:rFonts w:cs="Arial"/>
          <w:b/>
          <w:bCs/>
          <w:szCs w:val="24"/>
        </w:rPr>
        <w:t>AMENDMENTS</w:t>
      </w:r>
    </w:p>
    <w:p w14:paraId="5A1D2ECD" w14:textId="77777777" w:rsidR="005F75FC" w:rsidRPr="0025789C" w:rsidRDefault="005F75FC" w:rsidP="00C758D8">
      <w:pPr>
        <w:autoSpaceDE w:val="0"/>
        <w:autoSpaceDN w:val="0"/>
        <w:adjustRightInd w:val="0"/>
        <w:spacing w:after="0" w:line="360" w:lineRule="auto"/>
        <w:jc w:val="both"/>
        <w:rPr>
          <w:rFonts w:cs="Arial"/>
          <w:b/>
          <w:bCs/>
          <w:szCs w:val="24"/>
        </w:rPr>
      </w:pPr>
    </w:p>
    <w:p w14:paraId="2C995EFF" w14:textId="4D0EBE7F" w:rsidR="0022436B" w:rsidRPr="0025789C" w:rsidRDefault="005F75FC" w:rsidP="00C758D8">
      <w:pPr>
        <w:autoSpaceDE w:val="0"/>
        <w:autoSpaceDN w:val="0"/>
        <w:adjustRightInd w:val="0"/>
        <w:spacing w:after="0" w:line="360" w:lineRule="auto"/>
        <w:jc w:val="both"/>
        <w:rPr>
          <w:rFonts w:cs="Arial"/>
          <w:b/>
          <w:bCs/>
          <w:szCs w:val="24"/>
        </w:rPr>
      </w:pPr>
      <w:r w:rsidRPr="0025789C">
        <w:rPr>
          <w:rFonts w:cs="Arial"/>
          <w:b/>
          <w:bCs/>
          <w:szCs w:val="24"/>
        </w:rPr>
        <w:t xml:space="preserve">Memorandum for Public Bill Committee on the application of Standing Order No. 83L of the Standing Orders of the House of Commons relating to Public Business to </w:t>
      </w:r>
      <w:r w:rsidR="008D7689" w:rsidRPr="0025789C">
        <w:rPr>
          <w:rFonts w:cs="Arial"/>
          <w:b/>
          <w:bCs/>
          <w:szCs w:val="24"/>
        </w:rPr>
        <w:t xml:space="preserve">Lords amendments to </w:t>
      </w:r>
      <w:r w:rsidRPr="0025789C">
        <w:rPr>
          <w:rFonts w:cs="Arial"/>
          <w:b/>
          <w:bCs/>
          <w:szCs w:val="24"/>
        </w:rPr>
        <w:t xml:space="preserve">the </w:t>
      </w:r>
      <w:r w:rsidR="00795B86" w:rsidRPr="0025789C">
        <w:rPr>
          <w:rFonts w:cs="Arial"/>
          <w:b/>
          <w:bCs/>
          <w:szCs w:val="24"/>
        </w:rPr>
        <w:t xml:space="preserve">Health Service Medical Supplies (Costs) </w:t>
      </w:r>
      <w:r w:rsidRPr="0025789C">
        <w:rPr>
          <w:rFonts w:cs="Arial"/>
          <w:b/>
          <w:bCs/>
          <w:szCs w:val="24"/>
        </w:rPr>
        <w:t xml:space="preserve">Bill </w:t>
      </w:r>
    </w:p>
    <w:p w14:paraId="12DE379A" w14:textId="77777777" w:rsidR="005F75FC" w:rsidRPr="0025789C" w:rsidRDefault="005F75FC" w:rsidP="00C758D8">
      <w:pPr>
        <w:autoSpaceDE w:val="0"/>
        <w:autoSpaceDN w:val="0"/>
        <w:adjustRightInd w:val="0"/>
        <w:spacing w:after="0" w:line="360" w:lineRule="auto"/>
        <w:jc w:val="both"/>
        <w:rPr>
          <w:rFonts w:cs="Arial"/>
          <w:b/>
          <w:bCs/>
          <w:szCs w:val="24"/>
        </w:rPr>
      </w:pPr>
    </w:p>
    <w:p w14:paraId="7207D60D" w14:textId="090A9CE3" w:rsidR="005F75FC" w:rsidRPr="0025789C" w:rsidRDefault="0022436B" w:rsidP="00C758D8">
      <w:pPr>
        <w:autoSpaceDE w:val="0"/>
        <w:autoSpaceDN w:val="0"/>
        <w:adjustRightInd w:val="0"/>
        <w:spacing w:after="0" w:line="360" w:lineRule="auto"/>
        <w:jc w:val="both"/>
        <w:rPr>
          <w:rFonts w:cs="Arial"/>
          <w:b/>
          <w:bCs/>
          <w:iCs/>
          <w:szCs w:val="24"/>
          <w:u w:val="single"/>
        </w:rPr>
      </w:pPr>
      <w:r w:rsidRPr="0025789C">
        <w:rPr>
          <w:rFonts w:cs="Arial"/>
          <w:b/>
          <w:bCs/>
          <w:iCs/>
          <w:szCs w:val="24"/>
          <w:u w:val="single"/>
        </w:rPr>
        <w:t xml:space="preserve">Commons </w:t>
      </w:r>
      <w:r w:rsidR="00E92F3B" w:rsidRPr="0025789C">
        <w:rPr>
          <w:rFonts w:cs="Arial"/>
          <w:b/>
          <w:bCs/>
          <w:iCs/>
          <w:szCs w:val="24"/>
          <w:u w:val="single"/>
        </w:rPr>
        <w:t>Consideration of Lords Amendments</w:t>
      </w:r>
    </w:p>
    <w:p w14:paraId="31AB9906" w14:textId="77777777" w:rsidR="005F75FC" w:rsidRPr="0025789C" w:rsidRDefault="005F75FC" w:rsidP="00C758D8">
      <w:pPr>
        <w:autoSpaceDE w:val="0"/>
        <w:autoSpaceDN w:val="0"/>
        <w:adjustRightInd w:val="0"/>
        <w:spacing w:after="0" w:line="360" w:lineRule="auto"/>
        <w:jc w:val="both"/>
        <w:rPr>
          <w:rFonts w:cs="Arial"/>
          <w:b/>
          <w:bCs/>
          <w:i/>
          <w:iCs/>
          <w:szCs w:val="24"/>
        </w:rPr>
      </w:pPr>
    </w:p>
    <w:p w14:paraId="1F1A4F07" w14:textId="403691B0" w:rsidR="0022436B" w:rsidRPr="0025789C" w:rsidRDefault="0022436B" w:rsidP="00C758D8">
      <w:pPr>
        <w:pStyle w:val="ListParagraph"/>
        <w:numPr>
          <w:ilvl w:val="0"/>
          <w:numId w:val="3"/>
        </w:numPr>
        <w:autoSpaceDE w:val="0"/>
        <w:autoSpaceDN w:val="0"/>
        <w:adjustRightInd w:val="0"/>
        <w:spacing w:after="0" w:line="360" w:lineRule="auto"/>
        <w:jc w:val="both"/>
        <w:rPr>
          <w:rFonts w:cs="Arial"/>
          <w:szCs w:val="24"/>
        </w:rPr>
      </w:pPr>
      <w:r w:rsidRPr="0025789C">
        <w:rPr>
          <w:rFonts w:cs="Arial"/>
          <w:szCs w:val="24"/>
        </w:rPr>
        <w:t>The following is the Department’</w:t>
      </w:r>
      <w:r w:rsidR="005F75FC" w:rsidRPr="0025789C">
        <w:rPr>
          <w:rFonts w:cs="Arial"/>
          <w:szCs w:val="24"/>
        </w:rPr>
        <w:t xml:space="preserve">s assessment </w:t>
      </w:r>
      <w:r w:rsidR="008D7689" w:rsidRPr="0025789C">
        <w:rPr>
          <w:rFonts w:cs="Arial"/>
          <w:szCs w:val="24"/>
        </w:rPr>
        <w:t>of the Lords</w:t>
      </w:r>
      <w:r w:rsidR="005F75FC" w:rsidRPr="0025789C">
        <w:rPr>
          <w:rFonts w:cs="Arial"/>
          <w:szCs w:val="24"/>
        </w:rPr>
        <w:t xml:space="preserve"> amendments to the </w:t>
      </w:r>
      <w:r w:rsidR="008D7689" w:rsidRPr="0025789C">
        <w:rPr>
          <w:rFonts w:cs="Arial"/>
          <w:szCs w:val="24"/>
        </w:rPr>
        <w:t>Health Service Medical Supplies (Costs) Bill</w:t>
      </w:r>
      <w:r w:rsidR="00CB2DCE" w:rsidRPr="0025789C">
        <w:rPr>
          <w:rFonts w:cs="Arial"/>
          <w:szCs w:val="24"/>
        </w:rPr>
        <w:t xml:space="preserve"> </w:t>
      </w:r>
      <w:r w:rsidR="005136F2" w:rsidRPr="0025789C">
        <w:rPr>
          <w:rFonts w:cs="Arial"/>
          <w:szCs w:val="24"/>
        </w:rPr>
        <w:t xml:space="preserve">(“the Bill”) </w:t>
      </w:r>
      <w:r w:rsidR="00E92F3B" w:rsidRPr="0025789C">
        <w:rPr>
          <w:rFonts w:cs="Arial"/>
          <w:szCs w:val="24"/>
        </w:rPr>
        <w:t>as first printed for the Lords</w:t>
      </w:r>
      <w:r w:rsidR="00CB2DCE" w:rsidRPr="0025789C">
        <w:rPr>
          <w:rFonts w:cs="Arial"/>
          <w:szCs w:val="24"/>
        </w:rPr>
        <w:t xml:space="preserve"> (HL Bill 81)</w:t>
      </w:r>
      <w:r w:rsidRPr="0025789C">
        <w:rPr>
          <w:rFonts w:cs="Arial"/>
          <w:szCs w:val="24"/>
        </w:rPr>
        <w:t>.</w:t>
      </w:r>
    </w:p>
    <w:p w14:paraId="632DD6EC" w14:textId="77777777" w:rsidR="0046656B" w:rsidRPr="0025789C" w:rsidRDefault="0046656B" w:rsidP="00C758D8">
      <w:pPr>
        <w:autoSpaceDE w:val="0"/>
        <w:autoSpaceDN w:val="0"/>
        <w:adjustRightInd w:val="0"/>
        <w:spacing w:after="0" w:line="360" w:lineRule="auto"/>
        <w:jc w:val="both"/>
        <w:rPr>
          <w:rFonts w:cs="Arial"/>
          <w:szCs w:val="24"/>
        </w:rPr>
      </w:pPr>
    </w:p>
    <w:p w14:paraId="709B05FB" w14:textId="67C02E47" w:rsidR="0046656B" w:rsidRPr="0025789C" w:rsidRDefault="0046656B" w:rsidP="00C758D8">
      <w:pPr>
        <w:autoSpaceDE w:val="0"/>
        <w:autoSpaceDN w:val="0"/>
        <w:adjustRightInd w:val="0"/>
        <w:spacing w:after="0" w:line="360" w:lineRule="auto"/>
        <w:jc w:val="both"/>
        <w:rPr>
          <w:rFonts w:cs="Arial"/>
          <w:b/>
          <w:szCs w:val="24"/>
          <w:u w:val="single"/>
        </w:rPr>
      </w:pPr>
      <w:r w:rsidRPr="0025789C">
        <w:rPr>
          <w:rFonts w:cs="Arial"/>
          <w:b/>
          <w:szCs w:val="24"/>
          <w:u w:val="single"/>
        </w:rPr>
        <w:t>Summary</w:t>
      </w:r>
      <w:r w:rsidRPr="0025789C">
        <w:rPr>
          <w:rStyle w:val="FootnoteReference"/>
          <w:rFonts w:cs="Arial"/>
          <w:b/>
          <w:szCs w:val="24"/>
          <w:u w:val="single"/>
        </w:rPr>
        <w:footnoteReference w:id="1"/>
      </w:r>
      <w:r w:rsidRPr="0025789C">
        <w:rPr>
          <w:rFonts w:cs="Arial"/>
          <w:b/>
          <w:szCs w:val="24"/>
          <w:u w:val="single"/>
        </w:rPr>
        <w:t xml:space="preserve"> and Territorial Extent</w:t>
      </w:r>
      <w:r w:rsidR="00C824DE">
        <w:rPr>
          <w:rFonts w:cs="Arial"/>
          <w:b/>
          <w:szCs w:val="24"/>
          <w:u w:val="single"/>
        </w:rPr>
        <w:t xml:space="preserve"> of Bill</w:t>
      </w:r>
    </w:p>
    <w:p w14:paraId="4B62BC7A" w14:textId="77777777" w:rsidR="00113FAA" w:rsidRPr="0025789C" w:rsidRDefault="00113FAA" w:rsidP="00C758D8">
      <w:pPr>
        <w:autoSpaceDE w:val="0"/>
        <w:autoSpaceDN w:val="0"/>
        <w:adjustRightInd w:val="0"/>
        <w:spacing w:after="0" w:line="360" w:lineRule="auto"/>
        <w:jc w:val="both"/>
        <w:rPr>
          <w:rFonts w:cs="Arial"/>
          <w:i/>
          <w:szCs w:val="24"/>
          <w:u w:val="single"/>
        </w:rPr>
      </w:pPr>
    </w:p>
    <w:p w14:paraId="69644348" w14:textId="31333225" w:rsidR="005136F2" w:rsidRPr="0025789C" w:rsidRDefault="0033355B" w:rsidP="00C758D8">
      <w:pPr>
        <w:pStyle w:val="ListParagraph"/>
        <w:numPr>
          <w:ilvl w:val="0"/>
          <w:numId w:val="3"/>
        </w:numPr>
        <w:autoSpaceDE w:val="0"/>
        <w:autoSpaceDN w:val="0"/>
        <w:adjustRightInd w:val="0"/>
        <w:spacing w:after="0" w:line="360" w:lineRule="auto"/>
        <w:jc w:val="both"/>
        <w:rPr>
          <w:rFonts w:cs="Arial"/>
          <w:szCs w:val="24"/>
        </w:rPr>
      </w:pPr>
      <w:r w:rsidRPr="0025789C">
        <w:rPr>
          <w:rFonts w:cs="Arial"/>
          <w:szCs w:val="24"/>
        </w:rPr>
        <w:t>Other than as set out in paragraphs 3 and 4 below,</w:t>
      </w:r>
      <w:r w:rsidR="005136F2" w:rsidRPr="0025789C">
        <w:rPr>
          <w:rFonts w:cs="Arial"/>
          <w:szCs w:val="24"/>
        </w:rPr>
        <w:t xml:space="preserve"> the provisions in t</w:t>
      </w:r>
      <w:r w:rsidR="00CB2DCE" w:rsidRPr="0025789C">
        <w:rPr>
          <w:rFonts w:cs="Arial"/>
          <w:szCs w:val="24"/>
        </w:rPr>
        <w:t xml:space="preserve">he Bill </w:t>
      </w:r>
      <w:r w:rsidR="005136F2" w:rsidRPr="0025789C">
        <w:rPr>
          <w:rFonts w:cs="Arial"/>
          <w:szCs w:val="24"/>
        </w:rPr>
        <w:t xml:space="preserve">would extend to England and Wales, Scotland and Northern Ireland. </w:t>
      </w:r>
    </w:p>
    <w:p w14:paraId="3991FEA2" w14:textId="77777777" w:rsidR="005136F2" w:rsidRPr="0025789C" w:rsidRDefault="005136F2" w:rsidP="00C758D8">
      <w:pPr>
        <w:autoSpaceDE w:val="0"/>
        <w:autoSpaceDN w:val="0"/>
        <w:adjustRightInd w:val="0"/>
        <w:spacing w:after="0" w:line="360" w:lineRule="auto"/>
        <w:jc w:val="both"/>
        <w:rPr>
          <w:rFonts w:cs="Arial"/>
          <w:szCs w:val="24"/>
        </w:rPr>
      </w:pPr>
    </w:p>
    <w:p w14:paraId="5EA17675" w14:textId="64281F7D" w:rsidR="0033355B" w:rsidRPr="0025789C" w:rsidRDefault="005136F2" w:rsidP="00C758D8">
      <w:pPr>
        <w:pStyle w:val="ListParagraph"/>
        <w:numPr>
          <w:ilvl w:val="0"/>
          <w:numId w:val="3"/>
        </w:numPr>
        <w:autoSpaceDE w:val="0"/>
        <w:autoSpaceDN w:val="0"/>
        <w:adjustRightInd w:val="0"/>
        <w:spacing w:after="0" w:line="360" w:lineRule="auto"/>
        <w:jc w:val="both"/>
        <w:rPr>
          <w:rFonts w:cs="Arial"/>
          <w:szCs w:val="24"/>
        </w:rPr>
      </w:pPr>
      <w:r w:rsidRPr="0025789C">
        <w:rPr>
          <w:rFonts w:cs="Arial"/>
          <w:szCs w:val="24"/>
        </w:rPr>
        <w:t>Clause 7 of the Bill, which relates to the provision of information from those providing primary medical services or pharmaceutical services and the disclosure of the information, would amend the National Health Service (Wales) Act 2006 (“NHS (Wales) Act</w:t>
      </w:r>
      <w:r w:rsidR="00CE1ACF">
        <w:rPr>
          <w:rFonts w:cs="Arial"/>
          <w:szCs w:val="24"/>
        </w:rPr>
        <w:t xml:space="preserve"> 2006</w:t>
      </w:r>
      <w:r w:rsidRPr="0025789C">
        <w:rPr>
          <w:rFonts w:cs="Arial"/>
          <w:szCs w:val="24"/>
        </w:rPr>
        <w:t>”). Clause 7 would extend to England and Wales and appl</w:t>
      </w:r>
      <w:r w:rsidR="004A4D50" w:rsidRPr="0025789C">
        <w:rPr>
          <w:rFonts w:cs="Arial"/>
          <w:szCs w:val="24"/>
        </w:rPr>
        <w:t>y</w:t>
      </w:r>
      <w:r w:rsidRPr="0025789C">
        <w:rPr>
          <w:rFonts w:cs="Arial"/>
          <w:szCs w:val="24"/>
        </w:rPr>
        <w:t xml:space="preserve"> to Wales only. </w:t>
      </w:r>
    </w:p>
    <w:p w14:paraId="062566E8" w14:textId="77777777" w:rsidR="0033355B" w:rsidRPr="0025789C" w:rsidRDefault="0033355B" w:rsidP="00C758D8">
      <w:pPr>
        <w:pStyle w:val="ListParagraph"/>
        <w:autoSpaceDE w:val="0"/>
        <w:autoSpaceDN w:val="0"/>
        <w:adjustRightInd w:val="0"/>
        <w:spacing w:after="0" w:line="360" w:lineRule="auto"/>
        <w:ind w:left="360"/>
        <w:jc w:val="both"/>
        <w:rPr>
          <w:rFonts w:cs="Arial"/>
          <w:szCs w:val="24"/>
        </w:rPr>
      </w:pPr>
    </w:p>
    <w:p w14:paraId="27EA317A" w14:textId="724CE2BD" w:rsidR="0033355B" w:rsidRPr="0025789C" w:rsidRDefault="005136F2" w:rsidP="00C758D8">
      <w:pPr>
        <w:pStyle w:val="ListParagraph"/>
        <w:numPr>
          <w:ilvl w:val="0"/>
          <w:numId w:val="3"/>
        </w:numPr>
        <w:autoSpaceDE w:val="0"/>
        <w:autoSpaceDN w:val="0"/>
        <w:adjustRightInd w:val="0"/>
        <w:spacing w:after="0" w:line="360" w:lineRule="auto"/>
        <w:jc w:val="both"/>
        <w:rPr>
          <w:rFonts w:cs="Arial"/>
          <w:szCs w:val="24"/>
        </w:rPr>
      </w:pPr>
      <w:r w:rsidRPr="0025789C">
        <w:rPr>
          <w:rFonts w:cs="Arial"/>
          <w:szCs w:val="24"/>
        </w:rPr>
        <w:t>Subsection (1) of clause 8 of the Bill, which relates to the control of prices of medical supplies, would amend the National Health Service (Scotland) Act 1978 (“NHS (Scotland) Act</w:t>
      </w:r>
      <w:r w:rsidR="00CE1ACF">
        <w:rPr>
          <w:rFonts w:cs="Arial"/>
          <w:szCs w:val="24"/>
        </w:rPr>
        <w:t xml:space="preserve"> 1978</w:t>
      </w:r>
      <w:r w:rsidRPr="0025789C">
        <w:rPr>
          <w:rFonts w:cs="Arial"/>
          <w:szCs w:val="24"/>
        </w:rPr>
        <w:t>”</w:t>
      </w:r>
      <w:r w:rsidR="0033355B" w:rsidRPr="0025789C">
        <w:rPr>
          <w:rFonts w:cs="Arial"/>
          <w:szCs w:val="24"/>
        </w:rPr>
        <w:t>)</w:t>
      </w:r>
      <w:r w:rsidRPr="0025789C">
        <w:rPr>
          <w:rFonts w:cs="Arial"/>
          <w:szCs w:val="24"/>
        </w:rPr>
        <w:t>. Subsection (1) would extend to Scotland only.</w:t>
      </w:r>
    </w:p>
    <w:p w14:paraId="055DFFF5" w14:textId="77777777" w:rsidR="0033355B" w:rsidRPr="0025789C" w:rsidRDefault="0033355B" w:rsidP="00C758D8">
      <w:pPr>
        <w:autoSpaceDE w:val="0"/>
        <w:autoSpaceDN w:val="0"/>
        <w:adjustRightInd w:val="0"/>
        <w:spacing w:after="0" w:line="360" w:lineRule="auto"/>
        <w:ind w:right="170"/>
        <w:jc w:val="both"/>
        <w:rPr>
          <w:rFonts w:cs="Arial"/>
          <w:b/>
          <w:i/>
          <w:szCs w:val="24"/>
        </w:rPr>
      </w:pPr>
    </w:p>
    <w:p w14:paraId="4B7C141A" w14:textId="58541398" w:rsidR="008358A0" w:rsidRPr="0025789C" w:rsidRDefault="0033355B" w:rsidP="00C758D8">
      <w:pPr>
        <w:autoSpaceDE w:val="0"/>
        <w:autoSpaceDN w:val="0"/>
        <w:adjustRightInd w:val="0"/>
        <w:spacing w:after="0" w:line="360" w:lineRule="auto"/>
        <w:jc w:val="both"/>
        <w:rPr>
          <w:rFonts w:cs="Arial"/>
          <w:b/>
          <w:szCs w:val="24"/>
          <w:u w:val="single"/>
        </w:rPr>
      </w:pPr>
      <w:r w:rsidRPr="0025789C">
        <w:rPr>
          <w:rFonts w:cs="Arial"/>
          <w:b/>
          <w:szCs w:val="24"/>
          <w:u w:val="single"/>
        </w:rPr>
        <w:lastRenderedPageBreak/>
        <w:t xml:space="preserve">Lords Amendment 1 </w:t>
      </w:r>
    </w:p>
    <w:p w14:paraId="3652693B" w14:textId="77777777" w:rsidR="008358A0" w:rsidRPr="0025789C" w:rsidRDefault="008358A0" w:rsidP="00C758D8">
      <w:pPr>
        <w:autoSpaceDE w:val="0"/>
        <w:autoSpaceDN w:val="0"/>
        <w:adjustRightInd w:val="0"/>
        <w:spacing w:after="0" w:line="360" w:lineRule="auto"/>
        <w:jc w:val="both"/>
        <w:rPr>
          <w:rFonts w:cs="Arial"/>
          <w:i/>
          <w:szCs w:val="24"/>
          <w:u w:val="single"/>
        </w:rPr>
      </w:pPr>
    </w:p>
    <w:p w14:paraId="10C29898" w14:textId="721BF9FE" w:rsidR="0033355B" w:rsidRPr="0025789C" w:rsidRDefault="00A86C9F" w:rsidP="00C758D8">
      <w:pPr>
        <w:autoSpaceDE w:val="0"/>
        <w:autoSpaceDN w:val="0"/>
        <w:adjustRightInd w:val="0"/>
        <w:spacing w:after="0" w:line="360" w:lineRule="auto"/>
        <w:jc w:val="both"/>
        <w:rPr>
          <w:rFonts w:cs="Arial"/>
          <w:i/>
          <w:szCs w:val="24"/>
          <w:u w:val="single"/>
        </w:rPr>
      </w:pPr>
      <w:r w:rsidRPr="0025789C">
        <w:rPr>
          <w:rFonts w:cs="Arial"/>
          <w:i/>
          <w:szCs w:val="24"/>
          <w:u w:val="single"/>
        </w:rPr>
        <w:t>Context and Purpose</w:t>
      </w:r>
      <w:r w:rsidR="0033355B" w:rsidRPr="0025789C">
        <w:rPr>
          <w:rFonts w:cs="Arial"/>
          <w:i/>
          <w:szCs w:val="24"/>
          <w:u w:val="single"/>
        </w:rPr>
        <w:t xml:space="preserve"> </w:t>
      </w:r>
    </w:p>
    <w:p w14:paraId="0F0848CF" w14:textId="77777777" w:rsidR="0033355B" w:rsidRPr="0025789C" w:rsidRDefault="0033355B" w:rsidP="00C758D8">
      <w:pPr>
        <w:pStyle w:val="ListParagraph"/>
        <w:autoSpaceDE w:val="0"/>
        <w:autoSpaceDN w:val="0"/>
        <w:adjustRightInd w:val="0"/>
        <w:spacing w:after="0" w:line="360" w:lineRule="auto"/>
        <w:ind w:left="360"/>
        <w:jc w:val="both"/>
        <w:rPr>
          <w:rFonts w:cs="Arial"/>
          <w:szCs w:val="24"/>
        </w:rPr>
      </w:pPr>
    </w:p>
    <w:p w14:paraId="7A8E6B2E" w14:textId="42037647" w:rsidR="0033355B" w:rsidRPr="0025789C" w:rsidRDefault="0033355B" w:rsidP="00C758D8">
      <w:pPr>
        <w:pStyle w:val="ListParagraph"/>
        <w:numPr>
          <w:ilvl w:val="0"/>
          <w:numId w:val="3"/>
        </w:numPr>
        <w:spacing w:after="0" w:line="360" w:lineRule="auto"/>
        <w:jc w:val="both"/>
        <w:rPr>
          <w:rFonts w:cs="Arial"/>
          <w:szCs w:val="24"/>
        </w:rPr>
      </w:pPr>
      <w:r w:rsidRPr="0025789C">
        <w:rPr>
          <w:rFonts w:cs="Arial"/>
          <w:szCs w:val="24"/>
        </w:rPr>
        <w:t xml:space="preserve">Lords amendment 1 would add a new clause to the Bill, and relates to the remuneration for persons providing pharmaceutical services in respect of special medicinal products. </w:t>
      </w:r>
    </w:p>
    <w:p w14:paraId="1A586B6B" w14:textId="77777777" w:rsidR="0033355B" w:rsidRPr="0025789C" w:rsidRDefault="0033355B" w:rsidP="00C758D8">
      <w:pPr>
        <w:pStyle w:val="ListParagraph"/>
        <w:spacing w:after="0" w:line="360" w:lineRule="auto"/>
        <w:ind w:left="360"/>
        <w:jc w:val="both"/>
        <w:rPr>
          <w:rFonts w:cs="Arial"/>
          <w:szCs w:val="24"/>
        </w:rPr>
      </w:pPr>
    </w:p>
    <w:p w14:paraId="44B2B6A7" w14:textId="77777777" w:rsidR="0033355B" w:rsidRPr="0025789C" w:rsidRDefault="0033355B" w:rsidP="00C758D8">
      <w:pPr>
        <w:pStyle w:val="ListParagraph"/>
        <w:numPr>
          <w:ilvl w:val="0"/>
          <w:numId w:val="3"/>
        </w:numPr>
        <w:spacing w:after="0" w:line="360" w:lineRule="auto"/>
        <w:jc w:val="both"/>
        <w:rPr>
          <w:rFonts w:cs="Arial"/>
          <w:szCs w:val="24"/>
        </w:rPr>
      </w:pPr>
      <w:r w:rsidRPr="0025789C">
        <w:rPr>
          <w:rFonts w:cs="Arial"/>
          <w:szCs w:val="24"/>
        </w:rPr>
        <w:t>Special medicinal products are medicines made to order for individual patients.</w:t>
      </w:r>
    </w:p>
    <w:p w14:paraId="1715F0B9" w14:textId="77777777" w:rsidR="0033355B" w:rsidRPr="0025789C" w:rsidRDefault="0033355B" w:rsidP="00C758D8">
      <w:pPr>
        <w:pStyle w:val="ListParagraph"/>
        <w:spacing w:after="0" w:line="360" w:lineRule="auto"/>
        <w:ind w:left="360"/>
        <w:jc w:val="both"/>
        <w:rPr>
          <w:rFonts w:cs="Arial"/>
          <w:szCs w:val="24"/>
        </w:rPr>
      </w:pPr>
    </w:p>
    <w:p w14:paraId="5D613F10" w14:textId="47C19ACD" w:rsidR="0033355B" w:rsidRDefault="0033355B" w:rsidP="00C758D8">
      <w:pPr>
        <w:pStyle w:val="ListParagraph"/>
        <w:numPr>
          <w:ilvl w:val="0"/>
          <w:numId w:val="3"/>
        </w:numPr>
        <w:spacing w:after="0" w:line="360" w:lineRule="auto"/>
        <w:jc w:val="both"/>
        <w:rPr>
          <w:rFonts w:cs="Arial"/>
          <w:szCs w:val="24"/>
        </w:rPr>
      </w:pPr>
      <w:r w:rsidRPr="0025789C">
        <w:rPr>
          <w:rFonts w:cs="Arial"/>
          <w:szCs w:val="24"/>
        </w:rPr>
        <w:t>The new clause would amend section 164 of the N</w:t>
      </w:r>
      <w:r w:rsidR="0025789C">
        <w:rPr>
          <w:rFonts w:cs="Arial"/>
          <w:szCs w:val="24"/>
        </w:rPr>
        <w:t xml:space="preserve">ational </w:t>
      </w:r>
      <w:r w:rsidRPr="0025789C">
        <w:rPr>
          <w:rFonts w:cs="Arial"/>
          <w:szCs w:val="24"/>
        </w:rPr>
        <w:t>H</w:t>
      </w:r>
      <w:r w:rsidR="0025789C">
        <w:rPr>
          <w:rFonts w:cs="Arial"/>
          <w:szCs w:val="24"/>
        </w:rPr>
        <w:t xml:space="preserve">ealth </w:t>
      </w:r>
      <w:r w:rsidRPr="0025789C">
        <w:rPr>
          <w:rFonts w:cs="Arial"/>
          <w:szCs w:val="24"/>
        </w:rPr>
        <w:t>S</w:t>
      </w:r>
      <w:r w:rsidR="0025789C">
        <w:rPr>
          <w:rFonts w:cs="Arial"/>
          <w:szCs w:val="24"/>
        </w:rPr>
        <w:t>ervice</w:t>
      </w:r>
      <w:r w:rsidRPr="0025789C">
        <w:rPr>
          <w:rFonts w:cs="Arial"/>
          <w:szCs w:val="24"/>
        </w:rPr>
        <w:t xml:space="preserve"> Act 2006</w:t>
      </w:r>
      <w:r w:rsidR="0025789C">
        <w:rPr>
          <w:rFonts w:cs="Arial"/>
          <w:szCs w:val="24"/>
        </w:rPr>
        <w:t xml:space="preserve"> (“NHS Act 2006”)</w:t>
      </w:r>
      <w:r w:rsidRPr="0025789C">
        <w:rPr>
          <w:rFonts w:cs="Arial"/>
          <w:szCs w:val="24"/>
        </w:rPr>
        <w:t xml:space="preserve">, which relates to the remuneration for persons providing pharmaceutical services in England. </w:t>
      </w:r>
    </w:p>
    <w:p w14:paraId="76FE00F5" w14:textId="77777777" w:rsidR="0025789C" w:rsidRPr="0025789C" w:rsidRDefault="0025789C" w:rsidP="00C758D8">
      <w:pPr>
        <w:pStyle w:val="ListParagraph"/>
        <w:spacing w:after="0" w:line="360" w:lineRule="auto"/>
        <w:ind w:left="360"/>
        <w:jc w:val="both"/>
        <w:rPr>
          <w:rFonts w:cs="Arial"/>
          <w:szCs w:val="24"/>
        </w:rPr>
      </w:pPr>
    </w:p>
    <w:p w14:paraId="76BD1ED4" w14:textId="1B498237" w:rsidR="0033355B" w:rsidRPr="0025789C" w:rsidRDefault="0033355B" w:rsidP="00C758D8">
      <w:pPr>
        <w:pStyle w:val="ListParagraph"/>
        <w:numPr>
          <w:ilvl w:val="0"/>
          <w:numId w:val="3"/>
        </w:numPr>
        <w:spacing w:after="0" w:line="360" w:lineRule="auto"/>
        <w:jc w:val="both"/>
        <w:rPr>
          <w:rFonts w:cs="Arial"/>
          <w:szCs w:val="24"/>
        </w:rPr>
      </w:pPr>
      <w:r w:rsidRPr="0025789C">
        <w:rPr>
          <w:rFonts w:cs="Arial"/>
          <w:szCs w:val="24"/>
        </w:rPr>
        <w:t xml:space="preserve">Subsection (8A) of </w:t>
      </w:r>
      <w:r w:rsidR="0025789C">
        <w:rPr>
          <w:rFonts w:cs="Arial"/>
          <w:szCs w:val="24"/>
        </w:rPr>
        <w:t>section 164</w:t>
      </w:r>
      <w:r w:rsidR="00390C18">
        <w:rPr>
          <w:rFonts w:cs="Arial"/>
          <w:szCs w:val="24"/>
        </w:rPr>
        <w:t xml:space="preserve"> of the NHS Act 200</w:t>
      </w:r>
      <w:r w:rsidR="004912D7">
        <w:rPr>
          <w:rFonts w:cs="Arial"/>
          <w:szCs w:val="24"/>
        </w:rPr>
        <w:t>6</w:t>
      </w:r>
      <w:r w:rsidR="0025789C">
        <w:rPr>
          <w:rFonts w:cs="Arial"/>
          <w:szCs w:val="24"/>
        </w:rPr>
        <w:t xml:space="preserve">, as amended by the new clause, </w:t>
      </w:r>
      <w:r w:rsidRPr="0025789C">
        <w:rPr>
          <w:rFonts w:cs="Arial"/>
          <w:szCs w:val="24"/>
        </w:rPr>
        <w:t xml:space="preserve">would </w:t>
      </w:r>
      <w:r w:rsidR="000E74D6" w:rsidRPr="0025789C">
        <w:rPr>
          <w:rFonts w:cs="Arial"/>
          <w:szCs w:val="24"/>
        </w:rPr>
        <w:t>make clear that</w:t>
      </w:r>
      <w:r w:rsidRPr="0025789C">
        <w:rPr>
          <w:rFonts w:cs="Arial"/>
          <w:szCs w:val="24"/>
        </w:rPr>
        <w:t xml:space="preserve"> the Secretary of State could make regulations regarding remuneration for pharmaceutical services specifically with respect to special medicinal products. </w:t>
      </w:r>
    </w:p>
    <w:p w14:paraId="505498EF" w14:textId="77777777" w:rsidR="0033355B" w:rsidRPr="0025789C" w:rsidRDefault="0033355B" w:rsidP="00C758D8">
      <w:pPr>
        <w:pStyle w:val="ListParagraph"/>
        <w:spacing w:after="0" w:line="360" w:lineRule="auto"/>
        <w:ind w:left="360"/>
        <w:jc w:val="both"/>
        <w:rPr>
          <w:rFonts w:cs="Arial"/>
          <w:szCs w:val="24"/>
        </w:rPr>
      </w:pPr>
    </w:p>
    <w:p w14:paraId="587BF4A5" w14:textId="5EE93558" w:rsidR="0033355B" w:rsidRPr="0025789C" w:rsidRDefault="0033355B" w:rsidP="00C758D8">
      <w:pPr>
        <w:pStyle w:val="ListParagraph"/>
        <w:numPr>
          <w:ilvl w:val="0"/>
          <w:numId w:val="3"/>
        </w:numPr>
        <w:spacing w:after="0" w:line="360" w:lineRule="auto"/>
        <w:jc w:val="both"/>
        <w:rPr>
          <w:rFonts w:cs="Arial"/>
          <w:szCs w:val="24"/>
        </w:rPr>
      </w:pPr>
      <w:r w:rsidRPr="0025789C">
        <w:rPr>
          <w:rFonts w:cs="Arial"/>
          <w:szCs w:val="24"/>
        </w:rPr>
        <w:t xml:space="preserve">Subsection (8B) would explain that the regulations made by the Secretary of State could relate to how the remuneration should be calculated and also that remuneration would not have to be provided in specified circumstances. </w:t>
      </w:r>
    </w:p>
    <w:p w14:paraId="26654665" w14:textId="77777777" w:rsidR="0033355B" w:rsidRPr="0025789C" w:rsidRDefault="0033355B" w:rsidP="00C758D8">
      <w:pPr>
        <w:pStyle w:val="ListParagraph"/>
        <w:spacing w:after="0" w:line="360" w:lineRule="auto"/>
        <w:ind w:left="360"/>
        <w:jc w:val="both"/>
        <w:rPr>
          <w:rFonts w:cs="Arial"/>
          <w:szCs w:val="24"/>
        </w:rPr>
      </w:pPr>
    </w:p>
    <w:p w14:paraId="164A4C1D" w14:textId="670B6E1E" w:rsidR="0033355B" w:rsidRPr="0025789C" w:rsidRDefault="0033355B" w:rsidP="00C758D8">
      <w:pPr>
        <w:pStyle w:val="ListParagraph"/>
        <w:numPr>
          <w:ilvl w:val="0"/>
          <w:numId w:val="3"/>
        </w:numPr>
        <w:spacing w:after="0" w:line="360" w:lineRule="auto"/>
        <w:jc w:val="both"/>
        <w:rPr>
          <w:rFonts w:cs="Arial"/>
          <w:szCs w:val="24"/>
        </w:rPr>
      </w:pPr>
      <w:r w:rsidRPr="0025789C">
        <w:rPr>
          <w:rFonts w:cs="Arial"/>
          <w:szCs w:val="24"/>
        </w:rPr>
        <w:t>In terms of how the remuneration should be calculated, subsection (8C) would explain that this may include</w:t>
      </w:r>
      <w:r w:rsidR="000E74D6" w:rsidRPr="0025789C">
        <w:rPr>
          <w:rFonts w:cs="Arial"/>
          <w:szCs w:val="24"/>
        </w:rPr>
        <w:t>, for example,</w:t>
      </w:r>
      <w:r w:rsidRPr="0025789C">
        <w:rPr>
          <w:rFonts w:cs="Arial"/>
          <w:szCs w:val="24"/>
        </w:rPr>
        <w:t xml:space="preserve"> requiring a</w:t>
      </w:r>
      <w:r w:rsidR="0025789C">
        <w:rPr>
          <w:rFonts w:cs="Arial"/>
          <w:szCs w:val="24"/>
        </w:rPr>
        <w:t xml:space="preserve"> dispenser, health service body</w:t>
      </w:r>
      <w:r w:rsidRPr="0025789C">
        <w:rPr>
          <w:rFonts w:cs="Arial"/>
          <w:szCs w:val="24"/>
        </w:rPr>
        <w:t xml:space="preserve"> or a determining authority (which includes the Secretary of State or where authorised by the Secretary of State, NHS England or any other person) to make inquiries to ensure that remuneration is reasonable or estimating an amount of remuneration that is reasonable. Subsection (8C) would therefore allow for different payment arrangements to be established for special medicinal products compared to other products supplied through pharmaceutical services.</w:t>
      </w:r>
    </w:p>
    <w:p w14:paraId="3B56A996" w14:textId="77777777" w:rsidR="0033355B" w:rsidRPr="0025789C" w:rsidRDefault="0033355B" w:rsidP="00C758D8">
      <w:pPr>
        <w:pStyle w:val="ListParagraph"/>
        <w:spacing w:after="0" w:line="360" w:lineRule="auto"/>
        <w:ind w:left="360"/>
        <w:jc w:val="both"/>
        <w:rPr>
          <w:rFonts w:cs="Arial"/>
          <w:szCs w:val="24"/>
        </w:rPr>
      </w:pPr>
    </w:p>
    <w:p w14:paraId="06B4AA0D" w14:textId="054CF85E" w:rsidR="0033355B" w:rsidRPr="0025789C" w:rsidRDefault="0033355B" w:rsidP="00C758D8">
      <w:pPr>
        <w:pStyle w:val="ListParagraph"/>
        <w:numPr>
          <w:ilvl w:val="0"/>
          <w:numId w:val="3"/>
        </w:numPr>
        <w:spacing w:after="0" w:line="360" w:lineRule="auto"/>
        <w:jc w:val="both"/>
        <w:rPr>
          <w:rFonts w:cs="Arial"/>
          <w:szCs w:val="24"/>
        </w:rPr>
      </w:pPr>
      <w:r w:rsidRPr="0025789C">
        <w:rPr>
          <w:rFonts w:cs="Arial"/>
          <w:szCs w:val="24"/>
        </w:rPr>
        <w:t>In terms of the circumstances in which remuneration would not have to be provided, subsection (8D) would explain that this may include</w:t>
      </w:r>
      <w:r w:rsidR="000E74D6" w:rsidRPr="0025789C">
        <w:rPr>
          <w:rFonts w:cs="Arial"/>
          <w:szCs w:val="24"/>
        </w:rPr>
        <w:t>, for example,</w:t>
      </w:r>
      <w:r w:rsidRPr="0025789C">
        <w:rPr>
          <w:rFonts w:cs="Arial"/>
          <w:szCs w:val="24"/>
        </w:rPr>
        <w:t xml:space="preserve"> </w:t>
      </w:r>
      <w:r w:rsidRPr="0025789C">
        <w:rPr>
          <w:rFonts w:cs="Arial"/>
          <w:szCs w:val="24"/>
        </w:rPr>
        <w:lastRenderedPageBreak/>
        <w:t xml:space="preserve">circumstances where special medicinal products are provided to persons providing pharmaceutical services by a health service body or under an arrangement between a health service body and other person. This could include some form of central procurement for provision of special medicinal products, rather than the pharmaceutical provider purchasing the products. </w:t>
      </w:r>
    </w:p>
    <w:p w14:paraId="5BEC5DEF" w14:textId="77777777" w:rsidR="0033355B" w:rsidRPr="0025789C" w:rsidRDefault="0033355B" w:rsidP="00C758D8">
      <w:pPr>
        <w:pStyle w:val="ListParagraph"/>
        <w:spacing w:after="0" w:line="360" w:lineRule="auto"/>
        <w:ind w:left="360"/>
        <w:jc w:val="both"/>
        <w:rPr>
          <w:rFonts w:cs="Arial"/>
          <w:szCs w:val="24"/>
        </w:rPr>
      </w:pPr>
    </w:p>
    <w:p w14:paraId="15DC6FEB" w14:textId="77777777" w:rsidR="0033355B" w:rsidRPr="0025789C" w:rsidRDefault="0033355B" w:rsidP="00C758D8">
      <w:pPr>
        <w:pStyle w:val="ListParagraph"/>
        <w:numPr>
          <w:ilvl w:val="0"/>
          <w:numId w:val="3"/>
        </w:numPr>
        <w:spacing w:after="0" w:line="360" w:lineRule="auto"/>
        <w:jc w:val="both"/>
        <w:rPr>
          <w:rFonts w:cs="Arial"/>
          <w:szCs w:val="24"/>
        </w:rPr>
      </w:pPr>
      <w:r w:rsidRPr="0025789C">
        <w:rPr>
          <w:rFonts w:cs="Arial"/>
          <w:szCs w:val="24"/>
        </w:rPr>
        <w:t xml:space="preserve">Subsection (8E) would provide definitions for “health service body” and “special medicinal product”.  </w:t>
      </w:r>
    </w:p>
    <w:p w14:paraId="4BAF3627" w14:textId="77777777" w:rsidR="00A86C9F" w:rsidRPr="0025789C" w:rsidRDefault="00A86C9F" w:rsidP="00C758D8">
      <w:pPr>
        <w:spacing w:after="0" w:line="360" w:lineRule="auto"/>
        <w:jc w:val="both"/>
        <w:rPr>
          <w:rFonts w:cs="Arial"/>
          <w:szCs w:val="24"/>
        </w:rPr>
      </w:pPr>
    </w:p>
    <w:p w14:paraId="1ADFA65F" w14:textId="1CA34D51" w:rsidR="00A86C9F" w:rsidRDefault="00A86C9F" w:rsidP="00C758D8">
      <w:pPr>
        <w:spacing w:after="0" w:line="360" w:lineRule="auto"/>
        <w:jc w:val="both"/>
        <w:rPr>
          <w:rFonts w:cs="Arial"/>
          <w:i/>
          <w:szCs w:val="24"/>
          <w:u w:val="single"/>
        </w:rPr>
      </w:pPr>
      <w:r w:rsidRPr="0025789C">
        <w:rPr>
          <w:rFonts w:cs="Arial"/>
          <w:i/>
          <w:szCs w:val="24"/>
          <w:u w:val="single"/>
        </w:rPr>
        <w:t xml:space="preserve">Extent and Application </w:t>
      </w:r>
    </w:p>
    <w:p w14:paraId="3AC8359D" w14:textId="77777777" w:rsidR="00CE1ACF" w:rsidRPr="0025789C" w:rsidRDefault="00CE1ACF" w:rsidP="00C758D8">
      <w:pPr>
        <w:spacing w:after="0" w:line="360" w:lineRule="auto"/>
        <w:jc w:val="both"/>
        <w:rPr>
          <w:rFonts w:cs="Arial"/>
          <w:i/>
          <w:szCs w:val="24"/>
          <w:u w:val="single"/>
        </w:rPr>
      </w:pPr>
    </w:p>
    <w:p w14:paraId="4EB46E5C" w14:textId="57ECD9C0" w:rsidR="005F3E0F" w:rsidRDefault="005F3E0F" w:rsidP="00C758D8">
      <w:pPr>
        <w:pStyle w:val="ListParagraph"/>
        <w:numPr>
          <w:ilvl w:val="0"/>
          <w:numId w:val="3"/>
        </w:numPr>
        <w:autoSpaceDE w:val="0"/>
        <w:autoSpaceDN w:val="0"/>
        <w:adjustRightInd w:val="0"/>
        <w:spacing w:after="0" w:line="360" w:lineRule="auto"/>
        <w:jc w:val="both"/>
        <w:rPr>
          <w:rFonts w:cs="Arial"/>
          <w:szCs w:val="24"/>
        </w:rPr>
      </w:pPr>
      <w:r>
        <w:rPr>
          <w:rFonts w:cs="Arial"/>
          <w:szCs w:val="24"/>
        </w:rPr>
        <w:t>In summary, the</w:t>
      </w:r>
      <w:r w:rsidRPr="0025789C">
        <w:rPr>
          <w:rFonts w:cs="Arial"/>
          <w:szCs w:val="24"/>
        </w:rPr>
        <w:t xml:space="preserve"> </w:t>
      </w:r>
      <w:r>
        <w:rPr>
          <w:rFonts w:cs="Arial"/>
          <w:szCs w:val="24"/>
        </w:rPr>
        <w:t xml:space="preserve">new clause added to the Bill by </w:t>
      </w:r>
      <w:r w:rsidRPr="0025789C">
        <w:rPr>
          <w:rFonts w:cs="Arial"/>
          <w:szCs w:val="24"/>
        </w:rPr>
        <w:t>Lords amendment 1 would extend to England and Wales, and by virtue of section 271</w:t>
      </w:r>
      <w:r>
        <w:rPr>
          <w:rFonts w:cs="Arial"/>
          <w:szCs w:val="24"/>
        </w:rPr>
        <w:t xml:space="preserve"> of the NHS Act 2006</w:t>
      </w:r>
      <w:r w:rsidRPr="0025789C">
        <w:rPr>
          <w:rFonts w:cs="Arial"/>
          <w:szCs w:val="24"/>
        </w:rPr>
        <w:t xml:space="preserve">, apply only to England. </w:t>
      </w:r>
    </w:p>
    <w:p w14:paraId="21312208" w14:textId="77777777" w:rsidR="00A86C9F" w:rsidRPr="0025789C" w:rsidRDefault="00A86C9F" w:rsidP="00C758D8">
      <w:pPr>
        <w:spacing w:after="0" w:line="360" w:lineRule="auto"/>
        <w:jc w:val="both"/>
        <w:rPr>
          <w:rFonts w:cs="Arial"/>
          <w:i/>
          <w:szCs w:val="24"/>
          <w:u w:val="single"/>
        </w:rPr>
      </w:pPr>
    </w:p>
    <w:p w14:paraId="695C843C" w14:textId="18A7EF80" w:rsidR="0025789C" w:rsidRPr="0025789C" w:rsidRDefault="0025789C" w:rsidP="00C758D8">
      <w:pPr>
        <w:pStyle w:val="ListParagraph"/>
        <w:numPr>
          <w:ilvl w:val="0"/>
          <w:numId w:val="3"/>
        </w:numPr>
        <w:spacing w:after="0" w:line="360" w:lineRule="auto"/>
        <w:jc w:val="both"/>
        <w:rPr>
          <w:rFonts w:cs="Arial"/>
          <w:szCs w:val="24"/>
        </w:rPr>
      </w:pPr>
      <w:r w:rsidRPr="0025789C">
        <w:rPr>
          <w:rFonts w:cs="Arial"/>
          <w:szCs w:val="24"/>
        </w:rPr>
        <w:t>Section 164</w:t>
      </w:r>
      <w:r>
        <w:rPr>
          <w:rFonts w:cs="Arial"/>
          <w:szCs w:val="24"/>
        </w:rPr>
        <w:t xml:space="preserve"> of the NHS Act 2006</w:t>
      </w:r>
      <w:r w:rsidR="005F3E0F">
        <w:rPr>
          <w:rFonts w:cs="Arial"/>
          <w:szCs w:val="24"/>
        </w:rPr>
        <w:t>, which is amended by the new clause added by Lords amendment 1,</w:t>
      </w:r>
      <w:r w:rsidRPr="0025789C">
        <w:rPr>
          <w:rFonts w:cs="Arial"/>
          <w:szCs w:val="24"/>
        </w:rPr>
        <w:t xml:space="preserve"> extends to England and Wales</w:t>
      </w:r>
      <w:r w:rsidR="00390C18">
        <w:rPr>
          <w:rFonts w:cs="Arial"/>
          <w:szCs w:val="24"/>
        </w:rPr>
        <w:t xml:space="preserve"> (see section 278 of the NHS Act 2006)</w:t>
      </w:r>
      <w:r w:rsidRPr="0025789C">
        <w:rPr>
          <w:rFonts w:cs="Arial"/>
          <w:szCs w:val="24"/>
        </w:rPr>
        <w:t>.</w:t>
      </w:r>
    </w:p>
    <w:p w14:paraId="1D49E2DE" w14:textId="77777777" w:rsidR="0025789C" w:rsidRPr="0025789C" w:rsidRDefault="0025789C" w:rsidP="00C758D8">
      <w:pPr>
        <w:pStyle w:val="ListParagraph"/>
        <w:spacing w:after="0" w:line="360" w:lineRule="auto"/>
        <w:ind w:left="360"/>
        <w:jc w:val="both"/>
        <w:rPr>
          <w:rFonts w:cs="Arial"/>
          <w:szCs w:val="24"/>
        </w:rPr>
      </w:pPr>
    </w:p>
    <w:p w14:paraId="53D21DE2" w14:textId="6D00BBBD" w:rsidR="0025789C" w:rsidRDefault="0025789C" w:rsidP="00C758D8">
      <w:pPr>
        <w:pStyle w:val="ListParagraph"/>
        <w:numPr>
          <w:ilvl w:val="0"/>
          <w:numId w:val="3"/>
        </w:numPr>
        <w:spacing w:after="0" w:line="360" w:lineRule="auto"/>
        <w:jc w:val="both"/>
        <w:rPr>
          <w:rFonts w:cs="Arial"/>
          <w:szCs w:val="24"/>
        </w:rPr>
      </w:pPr>
      <w:r w:rsidRPr="0025789C">
        <w:rPr>
          <w:rFonts w:cs="Arial"/>
          <w:szCs w:val="24"/>
        </w:rPr>
        <w:t xml:space="preserve">Section 271 </w:t>
      </w:r>
      <w:r w:rsidR="00C824DE">
        <w:rPr>
          <w:rFonts w:cs="Arial"/>
          <w:szCs w:val="24"/>
        </w:rPr>
        <w:t xml:space="preserve">of the NHS Act 2006 </w:t>
      </w:r>
      <w:r w:rsidRPr="0025789C">
        <w:rPr>
          <w:rFonts w:cs="Arial"/>
          <w:szCs w:val="24"/>
        </w:rPr>
        <w:t xml:space="preserve">makes clear that the functions of the Secretary of State under section 164 of the NHS Act 2006 are exercisable only in relation to England. Therefore, </w:t>
      </w:r>
      <w:r>
        <w:rPr>
          <w:rFonts w:cs="Arial"/>
          <w:szCs w:val="24"/>
        </w:rPr>
        <w:t>the new clause</w:t>
      </w:r>
      <w:r w:rsidR="00390BD0">
        <w:rPr>
          <w:rFonts w:cs="Arial"/>
          <w:szCs w:val="24"/>
        </w:rPr>
        <w:t>,</w:t>
      </w:r>
      <w:r>
        <w:rPr>
          <w:rFonts w:cs="Arial"/>
          <w:szCs w:val="24"/>
        </w:rPr>
        <w:t xml:space="preserve"> as an amendment to </w:t>
      </w:r>
      <w:r w:rsidRPr="0025789C">
        <w:rPr>
          <w:rFonts w:cs="Arial"/>
          <w:szCs w:val="24"/>
        </w:rPr>
        <w:t>section 164</w:t>
      </w:r>
      <w:r w:rsidR="00390BD0">
        <w:rPr>
          <w:rFonts w:cs="Arial"/>
          <w:szCs w:val="24"/>
        </w:rPr>
        <w:t>,</w:t>
      </w:r>
      <w:r w:rsidRPr="0025789C">
        <w:rPr>
          <w:rFonts w:cs="Arial"/>
          <w:szCs w:val="24"/>
        </w:rPr>
        <w:t xml:space="preserve"> </w:t>
      </w:r>
      <w:r>
        <w:rPr>
          <w:rFonts w:cs="Arial"/>
          <w:szCs w:val="24"/>
        </w:rPr>
        <w:t>would relate</w:t>
      </w:r>
      <w:r w:rsidRPr="0025789C">
        <w:rPr>
          <w:rFonts w:cs="Arial"/>
          <w:szCs w:val="24"/>
        </w:rPr>
        <w:t xml:space="preserve"> </w:t>
      </w:r>
      <w:r w:rsidR="00C824DE">
        <w:rPr>
          <w:rFonts w:cs="Arial"/>
          <w:szCs w:val="24"/>
        </w:rPr>
        <w:t>exclusively</w:t>
      </w:r>
      <w:r w:rsidR="00C824DE" w:rsidRPr="0025789C">
        <w:rPr>
          <w:rFonts w:cs="Arial"/>
          <w:szCs w:val="24"/>
        </w:rPr>
        <w:t xml:space="preserve"> </w:t>
      </w:r>
      <w:r w:rsidRPr="0025789C">
        <w:rPr>
          <w:rFonts w:cs="Arial"/>
          <w:szCs w:val="24"/>
        </w:rPr>
        <w:t xml:space="preserve">to England. </w:t>
      </w:r>
    </w:p>
    <w:p w14:paraId="67B3287B" w14:textId="298BF088" w:rsidR="0025789C" w:rsidRPr="0025789C" w:rsidRDefault="0025789C" w:rsidP="00C758D8">
      <w:pPr>
        <w:pStyle w:val="ListParagraph"/>
        <w:autoSpaceDE w:val="0"/>
        <w:autoSpaceDN w:val="0"/>
        <w:adjustRightInd w:val="0"/>
        <w:spacing w:after="0" w:line="360" w:lineRule="auto"/>
        <w:ind w:left="360"/>
        <w:jc w:val="both"/>
        <w:rPr>
          <w:rFonts w:cs="Arial"/>
          <w:szCs w:val="24"/>
        </w:rPr>
      </w:pPr>
      <w:r w:rsidRPr="0025789C">
        <w:rPr>
          <w:rFonts w:cs="Arial"/>
          <w:szCs w:val="24"/>
        </w:rPr>
        <w:t xml:space="preserve">  </w:t>
      </w:r>
    </w:p>
    <w:p w14:paraId="7A4AEAFE" w14:textId="78976C71" w:rsidR="00EE223D" w:rsidRDefault="002422E7" w:rsidP="00C758D8">
      <w:pPr>
        <w:pStyle w:val="ListParagraph"/>
        <w:numPr>
          <w:ilvl w:val="0"/>
          <w:numId w:val="3"/>
        </w:numPr>
        <w:autoSpaceDE w:val="0"/>
        <w:autoSpaceDN w:val="0"/>
        <w:adjustRightInd w:val="0"/>
        <w:spacing w:after="0" w:line="360" w:lineRule="auto"/>
        <w:jc w:val="both"/>
        <w:rPr>
          <w:rFonts w:cs="Arial"/>
          <w:szCs w:val="24"/>
        </w:rPr>
      </w:pPr>
      <w:r w:rsidRPr="00AF5CD3">
        <w:rPr>
          <w:rFonts w:cs="Arial"/>
          <w:szCs w:val="24"/>
        </w:rPr>
        <w:t xml:space="preserve">The new clause refers to a “health service body” </w:t>
      </w:r>
      <w:r w:rsidR="00C824DE" w:rsidRPr="00AF5CD3">
        <w:rPr>
          <w:rFonts w:cs="Arial"/>
          <w:szCs w:val="24"/>
        </w:rPr>
        <w:t>as defined</w:t>
      </w:r>
      <w:r w:rsidR="0025789C" w:rsidRPr="00AF5CD3">
        <w:rPr>
          <w:rFonts w:cs="Arial"/>
          <w:szCs w:val="24"/>
        </w:rPr>
        <w:t xml:space="preserve"> in section 9(4) of the NHS Act 2006. Some of </w:t>
      </w:r>
      <w:r w:rsidR="00C824DE" w:rsidRPr="00AF5CD3">
        <w:rPr>
          <w:rFonts w:cs="Arial"/>
          <w:szCs w:val="24"/>
        </w:rPr>
        <w:t xml:space="preserve">the bodies listed in that provision exercise functions in relation to </w:t>
      </w:r>
      <w:r w:rsidR="0025789C" w:rsidRPr="00AF5CD3">
        <w:rPr>
          <w:rFonts w:cs="Arial"/>
          <w:szCs w:val="24"/>
        </w:rPr>
        <w:t>Wales, Scotland</w:t>
      </w:r>
      <w:r w:rsidR="00C824DE" w:rsidRPr="00AF5CD3">
        <w:rPr>
          <w:rFonts w:cs="Arial"/>
          <w:szCs w:val="24"/>
        </w:rPr>
        <w:t xml:space="preserve"> or</w:t>
      </w:r>
      <w:r w:rsidR="0025789C" w:rsidRPr="00AF5CD3">
        <w:rPr>
          <w:rFonts w:cs="Arial"/>
          <w:szCs w:val="24"/>
        </w:rPr>
        <w:t xml:space="preserve"> Northern Ireland. However, section 164, as amended by the new clause, would still apply only </w:t>
      </w:r>
      <w:r w:rsidR="00390C18" w:rsidRPr="00AF5CD3">
        <w:rPr>
          <w:rFonts w:cs="Arial"/>
          <w:szCs w:val="24"/>
        </w:rPr>
        <w:t>to England. This is because the reference</w:t>
      </w:r>
      <w:r w:rsidR="00AF5CD3" w:rsidRPr="00AF5CD3">
        <w:rPr>
          <w:rFonts w:cs="Arial"/>
          <w:szCs w:val="24"/>
        </w:rPr>
        <w:t>s</w:t>
      </w:r>
      <w:r w:rsidR="00390C18" w:rsidRPr="00AF5CD3">
        <w:rPr>
          <w:rFonts w:cs="Arial"/>
          <w:szCs w:val="24"/>
        </w:rPr>
        <w:t xml:space="preserve"> to a “health service body” in</w:t>
      </w:r>
      <w:r w:rsidR="00AF5CD3" w:rsidRPr="00AF5CD3">
        <w:rPr>
          <w:rFonts w:cs="Arial"/>
          <w:szCs w:val="24"/>
        </w:rPr>
        <w:t xml:space="preserve"> the amendments to section 164 </w:t>
      </w:r>
      <w:r w:rsidR="00AF5CD3">
        <w:rPr>
          <w:rFonts w:cs="Arial"/>
          <w:szCs w:val="24"/>
        </w:rPr>
        <w:t>make up</w:t>
      </w:r>
      <w:r w:rsidR="00AF5CD3" w:rsidRPr="00AF5CD3">
        <w:rPr>
          <w:rFonts w:cs="Arial"/>
          <w:szCs w:val="24"/>
        </w:rPr>
        <w:t xml:space="preserve"> part of the description of the type of circumstances in which reimbursement will or will not be made to persons providing phar</w:t>
      </w:r>
      <w:r w:rsidR="00AF5CD3">
        <w:rPr>
          <w:rFonts w:cs="Arial"/>
          <w:szCs w:val="24"/>
        </w:rPr>
        <w:t xml:space="preserve">maceutical services in England. Therefore, the operative part aspect of section 164 would still only relate to England. </w:t>
      </w:r>
      <w:r w:rsidR="00AF5CD3" w:rsidRPr="00AF5CD3">
        <w:rPr>
          <w:rFonts w:cs="Arial"/>
          <w:szCs w:val="24"/>
        </w:rPr>
        <w:t xml:space="preserve"> </w:t>
      </w:r>
      <w:r w:rsidR="00390C18" w:rsidRPr="00AF5CD3">
        <w:rPr>
          <w:rFonts w:cs="Arial"/>
          <w:szCs w:val="24"/>
        </w:rPr>
        <w:t xml:space="preserve"> </w:t>
      </w:r>
    </w:p>
    <w:p w14:paraId="11639B83" w14:textId="77777777" w:rsidR="00AF5CD3" w:rsidRPr="00AF5CD3" w:rsidRDefault="00AF5CD3" w:rsidP="00C758D8">
      <w:pPr>
        <w:pStyle w:val="ListParagraph"/>
        <w:autoSpaceDE w:val="0"/>
        <w:autoSpaceDN w:val="0"/>
        <w:adjustRightInd w:val="0"/>
        <w:spacing w:after="0" w:line="360" w:lineRule="auto"/>
        <w:ind w:left="360"/>
        <w:jc w:val="both"/>
        <w:rPr>
          <w:rFonts w:cs="Arial"/>
          <w:szCs w:val="24"/>
        </w:rPr>
      </w:pPr>
    </w:p>
    <w:p w14:paraId="35244348" w14:textId="3FD9DAEB" w:rsidR="00A86C9F" w:rsidRPr="0025789C" w:rsidRDefault="004A4D50" w:rsidP="00C758D8">
      <w:pPr>
        <w:autoSpaceDE w:val="0"/>
        <w:autoSpaceDN w:val="0"/>
        <w:adjustRightInd w:val="0"/>
        <w:spacing w:after="0" w:line="360" w:lineRule="auto"/>
        <w:jc w:val="both"/>
        <w:rPr>
          <w:rFonts w:cs="Arial"/>
          <w:i/>
          <w:szCs w:val="24"/>
          <w:u w:val="single"/>
        </w:rPr>
      </w:pPr>
      <w:r w:rsidRPr="0025789C">
        <w:rPr>
          <w:rFonts w:cs="Arial"/>
          <w:i/>
          <w:szCs w:val="24"/>
          <w:u w:val="single"/>
        </w:rPr>
        <w:lastRenderedPageBreak/>
        <w:t xml:space="preserve">Legislative Competence </w:t>
      </w:r>
    </w:p>
    <w:p w14:paraId="536B4A2C" w14:textId="77777777" w:rsidR="004A4D50" w:rsidRPr="0025789C" w:rsidRDefault="004A4D50" w:rsidP="00C758D8">
      <w:pPr>
        <w:autoSpaceDE w:val="0"/>
        <w:autoSpaceDN w:val="0"/>
        <w:adjustRightInd w:val="0"/>
        <w:spacing w:after="0" w:line="360" w:lineRule="auto"/>
        <w:jc w:val="both"/>
        <w:rPr>
          <w:rFonts w:cs="Arial"/>
          <w:i/>
          <w:szCs w:val="24"/>
          <w:u w:val="single"/>
        </w:rPr>
      </w:pPr>
    </w:p>
    <w:p w14:paraId="1AFCA040" w14:textId="77777777" w:rsidR="00081C84" w:rsidRDefault="004A4D50" w:rsidP="00C758D8">
      <w:pPr>
        <w:pStyle w:val="ListParagraph"/>
        <w:numPr>
          <w:ilvl w:val="0"/>
          <w:numId w:val="3"/>
        </w:numPr>
        <w:autoSpaceDE w:val="0"/>
        <w:autoSpaceDN w:val="0"/>
        <w:adjustRightInd w:val="0"/>
        <w:spacing w:after="0" w:line="360" w:lineRule="auto"/>
        <w:jc w:val="both"/>
        <w:rPr>
          <w:rFonts w:cs="Arial"/>
          <w:szCs w:val="24"/>
        </w:rPr>
      </w:pPr>
      <w:r w:rsidRPr="00081C84">
        <w:rPr>
          <w:rFonts w:cs="Arial"/>
          <w:szCs w:val="24"/>
        </w:rPr>
        <w:t xml:space="preserve"> The new clause inserted by Lords amendment 1 would be </w:t>
      </w:r>
      <w:r w:rsidR="00C824DE" w:rsidRPr="00081C84">
        <w:rPr>
          <w:rFonts w:cs="Arial"/>
          <w:szCs w:val="24"/>
        </w:rPr>
        <w:t>with</w:t>
      </w:r>
      <w:r w:rsidRPr="00081C84">
        <w:rPr>
          <w:rFonts w:cs="Arial"/>
          <w:szCs w:val="24"/>
        </w:rPr>
        <w:t xml:space="preserve">in the legislative competence of </w:t>
      </w:r>
      <w:r w:rsidR="003305EF" w:rsidRPr="00081C84">
        <w:rPr>
          <w:rFonts w:cs="Arial"/>
          <w:szCs w:val="24"/>
        </w:rPr>
        <w:t xml:space="preserve">the National Assembly for </w:t>
      </w:r>
      <w:r w:rsidRPr="00081C84">
        <w:rPr>
          <w:rFonts w:cs="Arial"/>
          <w:szCs w:val="24"/>
        </w:rPr>
        <w:t>Wales, Scot</w:t>
      </w:r>
      <w:r w:rsidR="003305EF" w:rsidRPr="00081C84">
        <w:rPr>
          <w:rFonts w:cs="Arial"/>
          <w:szCs w:val="24"/>
        </w:rPr>
        <w:t>tish Parliament</w:t>
      </w:r>
      <w:r w:rsidRPr="00081C84">
        <w:rPr>
          <w:rFonts w:cs="Arial"/>
          <w:szCs w:val="24"/>
        </w:rPr>
        <w:t xml:space="preserve"> and </w:t>
      </w:r>
      <w:r w:rsidR="003305EF" w:rsidRPr="00081C84">
        <w:rPr>
          <w:rFonts w:cs="Arial"/>
          <w:szCs w:val="24"/>
        </w:rPr>
        <w:t xml:space="preserve">the </w:t>
      </w:r>
      <w:r w:rsidRPr="00081C84">
        <w:rPr>
          <w:rFonts w:cs="Arial"/>
          <w:szCs w:val="24"/>
        </w:rPr>
        <w:t>Northern Ireland</w:t>
      </w:r>
      <w:r w:rsidR="003305EF" w:rsidRPr="00081C84">
        <w:rPr>
          <w:rFonts w:cs="Arial"/>
          <w:szCs w:val="24"/>
        </w:rPr>
        <w:t xml:space="preserve"> Assembly</w:t>
      </w:r>
      <w:r w:rsidRPr="00081C84">
        <w:rPr>
          <w:rFonts w:cs="Arial"/>
          <w:szCs w:val="24"/>
        </w:rPr>
        <w:t xml:space="preserve">. </w:t>
      </w:r>
    </w:p>
    <w:p w14:paraId="571E2C0E" w14:textId="77777777" w:rsidR="00081C84" w:rsidRDefault="00081C84" w:rsidP="00C758D8">
      <w:pPr>
        <w:pStyle w:val="ListParagraph"/>
        <w:autoSpaceDE w:val="0"/>
        <w:autoSpaceDN w:val="0"/>
        <w:adjustRightInd w:val="0"/>
        <w:spacing w:after="0" w:line="360" w:lineRule="auto"/>
        <w:ind w:left="360"/>
        <w:jc w:val="both"/>
        <w:rPr>
          <w:rFonts w:cs="Arial"/>
          <w:szCs w:val="24"/>
        </w:rPr>
      </w:pPr>
    </w:p>
    <w:p w14:paraId="598AE77B" w14:textId="3B8CFFC9" w:rsidR="004A4D50" w:rsidRDefault="00AF5CD3" w:rsidP="00C758D8">
      <w:pPr>
        <w:pStyle w:val="ListParagraph"/>
        <w:numPr>
          <w:ilvl w:val="0"/>
          <w:numId w:val="3"/>
        </w:numPr>
        <w:autoSpaceDE w:val="0"/>
        <w:autoSpaceDN w:val="0"/>
        <w:adjustRightInd w:val="0"/>
        <w:spacing w:after="0" w:line="360" w:lineRule="auto"/>
        <w:jc w:val="both"/>
        <w:rPr>
          <w:rFonts w:cs="Arial"/>
          <w:szCs w:val="24"/>
        </w:rPr>
      </w:pPr>
      <w:r w:rsidRPr="00081C84">
        <w:rPr>
          <w:rFonts w:cs="Arial"/>
          <w:szCs w:val="24"/>
        </w:rPr>
        <w:t xml:space="preserve">Indeed </w:t>
      </w:r>
      <w:r w:rsidR="00C824DE" w:rsidRPr="00081C84">
        <w:rPr>
          <w:rFonts w:cs="Arial"/>
          <w:szCs w:val="24"/>
        </w:rPr>
        <w:t xml:space="preserve">Lords amendment 2 </w:t>
      </w:r>
      <w:r w:rsidR="00081C84" w:rsidRPr="00081C84">
        <w:rPr>
          <w:rFonts w:cs="Arial"/>
          <w:szCs w:val="24"/>
        </w:rPr>
        <w:t>would confer</w:t>
      </w:r>
      <w:r w:rsidR="00C824DE" w:rsidRPr="00081C84">
        <w:rPr>
          <w:rFonts w:cs="Arial"/>
          <w:szCs w:val="24"/>
        </w:rPr>
        <w:t xml:space="preserve"> corresponding powers on Welsh Ministers</w:t>
      </w:r>
      <w:r w:rsidRPr="00081C84">
        <w:rPr>
          <w:rFonts w:cs="Arial"/>
          <w:szCs w:val="24"/>
        </w:rPr>
        <w:t xml:space="preserve"> by adding a new clause to the Bill which would amend section 88 of the NHS (Wales) Act 2006</w:t>
      </w:r>
      <w:r w:rsidR="00C824DE" w:rsidRPr="00081C84">
        <w:rPr>
          <w:rFonts w:cs="Arial"/>
          <w:szCs w:val="24"/>
        </w:rPr>
        <w:t>.</w:t>
      </w:r>
      <w:r w:rsidR="00081C84">
        <w:rPr>
          <w:rFonts w:cs="Arial"/>
          <w:szCs w:val="24"/>
        </w:rPr>
        <w:t xml:space="preserve"> </w:t>
      </w:r>
      <w:r w:rsidR="00C824DE" w:rsidRPr="00081C84">
        <w:rPr>
          <w:rFonts w:cs="Arial"/>
          <w:szCs w:val="24"/>
        </w:rPr>
        <w:t xml:space="preserve"> </w:t>
      </w:r>
    </w:p>
    <w:p w14:paraId="1CCCCD2F" w14:textId="77777777" w:rsidR="00081C84" w:rsidRPr="00081C84" w:rsidRDefault="00081C84" w:rsidP="00C758D8">
      <w:pPr>
        <w:autoSpaceDE w:val="0"/>
        <w:autoSpaceDN w:val="0"/>
        <w:adjustRightInd w:val="0"/>
        <w:spacing w:after="0" w:line="360" w:lineRule="auto"/>
        <w:jc w:val="both"/>
        <w:rPr>
          <w:rFonts w:cs="Arial"/>
          <w:szCs w:val="24"/>
        </w:rPr>
      </w:pPr>
    </w:p>
    <w:p w14:paraId="7819C472" w14:textId="23B02F95" w:rsidR="004A4D50" w:rsidRPr="0025789C" w:rsidRDefault="004A4D50" w:rsidP="00C758D8">
      <w:pPr>
        <w:autoSpaceDE w:val="0"/>
        <w:autoSpaceDN w:val="0"/>
        <w:adjustRightInd w:val="0"/>
        <w:spacing w:after="0" w:line="360" w:lineRule="auto"/>
        <w:jc w:val="both"/>
        <w:rPr>
          <w:rFonts w:cs="Arial"/>
          <w:i/>
          <w:szCs w:val="24"/>
          <w:u w:val="single"/>
        </w:rPr>
      </w:pPr>
      <w:r w:rsidRPr="0025789C">
        <w:rPr>
          <w:rFonts w:cs="Arial"/>
          <w:i/>
          <w:szCs w:val="24"/>
          <w:u w:val="single"/>
        </w:rPr>
        <w:t xml:space="preserve">Certification </w:t>
      </w:r>
    </w:p>
    <w:p w14:paraId="1F09452F" w14:textId="77777777" w:rsidR="004A4D50" w:rsidRPr="0025789C" w:rsidRDefault="004A4D50" w:rsidP="00C758D8">
      <w:pPr>
        <w:autoSpaceDE w:val="0"/>
        <w:autoSpaceDN w:val="0"/>
        <w:adjustRightInd w:val="0"/>
        <w:spacing w:after="0" w:line="360" w:lineRule="auto"/>
        <w:jc w:val="both"/>
        <w:rPr>
          <w:rFonts w:cs="Arial"/>
          <w:szCs w:val="24"/>
        </w:rPr>
      </w:pPr>
    </w:p>
    <w:p w14:paraId="3E010E84" w14:textId="252110FB" w:rsidR="00A86C9F" w:rsidRPr="0025789C" w:rsidRDefault="00DB4606" w:rsidP="00C758D8">
      <w:pPr>
        <w:pStyle w:val="ListParagraph"/>
        <w:numPr>
          <w:ilvl w:val="0"/>
          <w:numId w:val="3"/>
        </w:numPr>
        <w:autoSpaceDE w:val="0"/>
        <w:autoSpaceDN w:val="0"/>
        <w:adjustRightInd w:val="0"/>
        <w:spacing w:after="0" w:line="360" w:lineRule="auto"/>
        <w:jc w:val="both"/>
        <w:rPr>
          <w:rFonts w:cs="Arial"/>
          <w:szCs w:val="24"/>
        </w:rPr>
      </w:pPr>
      <w:r w:rsidRPr="0025789C">
        <w:rPr>
          <w:rFonts w:cs="Arial"/>
          <w:szCs w:val="24"/>
        </w:rPr>
        <w:t>T</w:t>
      </w:r>
      <w:r w:rsidR="004A4D50" w:rsidRPr="0025789C">
        <w:rPr>
          <w:rFonts w:cs="Arial"/>
          <w:szCs w:val="24"/>
        </w:rPr>
        <w:t xml:space="preserve">he Department considers that </w:t>
      </w:r>
      <w:r w:rsidR="00081C84">
        <w:rPr>
          <w:rFonts w:cs="Arial"/>
          <w:szCs w:val="24"/>
        </w:rPr>
        <w:t xml:space="preserve">Lords amendment 1 </w:t>
      </w:r>
      <w:r w:rsidR="004A4D50" w:rsidRPr="0025789C">
        <w:rPr>
          <w:rFonts w:cs="Arial"/>
          <w:szCs w:val="24"/>
        </w:rPr>
        <w:t xml:space="preserve">should be certified </w:t>
      </w:r>
      <w:r w:rsidR="002422E7">
        <w:rPr>
          <w:rFonts w:cs="Arial"/>
          <w:szCs w:val="24"/>
        </w:rPr>
        <w:t xml:space="preserve">as </w:t>
      </w:r>
      <w:r w:rsidR="005F3E0F">
        <w:rPr>
          <w:rFonts w:cs="Arial"/>
          <w:szCs w:val="24"/>
        </w:rPr>
        <w:t xml:space="preserve">one </w:t>
      </w:r>
      <w:r w:rsidR="004A4D50" w:rsidRPr="0025789C">
        <w:rPr>
          <w:rFonts w:cs="Arial"/>
          <w:szCs w:val="24"/>
        </w:rPr>
        <w:t xml:space="preserve">to which </w:t>
      </w:r>
      <w:r w:rsidR="005F3E0F">
        <w:rPr>
          <w:rFonts w:cs="Arial"/>
          <w:szCs w:val="24"/>
        </w:rPr>
        <w:t xml:space="preserve">the </w:t>
      </w:r>
      <w:r w:rsidR="004A4D50" w:rsidRPr="0025789C">
        <w:rPr>
          <w:rFonts w:cs="Arial"/>
          <w:szCs w:val="24"/>
        </w:rPr>
        <w:t xml:space="preserve">English Votes for English Laws </w:t>
      </w:r>
      <w:r w:rsidR="005F3E0F">
        <w:rPr>
          <w:rFonts w:cs="Arial"/>
          <w:szCs w:val="24"/>
        </w:rPr>
        <w:t xml:space="preserve">procedure </w:t>
      </w:r>
      <w:r w:rsidR="004A4D50" w:rsidRPr="0025789C">
        <w:rPr>
          <w:rFonts w:cs="Arial"/>
          <w:szCs w:val="24"/>
        </w:rPr>
        <w:t xml:space="preserve">applies. </w:t>
      </w:r>
    </w:p>
    <w:p w14:paraId="31D10A48" w14:textId="77777777" w:rsidR="004A4D50" w:rsidRPr="0025789C" w:rsidRDefault="004A4D50" w:rsidP="00C758D8">
      <w:pPr>
        <w:autoSpaceDE w:val="0"/>
        <w:autoSpaceDN w:val="0"/>
        <w:adjustRightInd w:val="0"/>
        <w:spacing w:after="0" w:line="360" w:lineRule="auto"/>
        <w:jc w:val="both"/>
        <w:rPr>
          <w:rFonts w:cs="Arial"/>
          <w:szCs w:val="24"/>
        </w:rPr>
      </w:pPr>
    </w:p>
    <w:p w14:paraId="129BBBE7" w14:textId="075C710A" w:rsidR="008358A0" w:rsidRPr="004912D7" w:rsidRDefault="00081C84" w:rsidP="00C758D8">
      <w:pPr>
        <w:autoSpaceDE w:val="0"/>
        <w:autoSpaceDN w:val="0"/>
        <w:adjustRightInd w:val="0"/>
        <w:spacing w:after="0" w:line="360" w:lineRule="auto"/>
        <w:jc w:val="both"/>
        <w:rPr>
          <w:rFonts w:cs="Arial"/>
          <w:i/>
          <w:szCs w:val="24"/>
          <w:u w:val="single"/>
        </w:rPr>
      </w:pPr>
      <w:r w:rsidRPr="004912D7">
        <w:rPr>
          <w:rFonts w:cs="Arial"/>
          <w:i/>
          <w:szCs w:val="24"/>
          <w:u w:val="single"/>
        </w:rPr>
        <w:t>Related Lords Amendments to Lords Amend</w:t>
      </w:r>
      <w:r w:rsidR="004912D7" w:rsidRPr="004912D7">
        <w:rPr>
          <w:rFonts w:cs="Arial"/>
          <w:i/>
          <w:szCs w:val="24"/>
          <w:u w:val="single"/>
        </w:rPr>
        <w:t>ment 1</w:t>
      </w:r>
    </w:p>
    <w:p w14:paraId="1AC9DE53" w14:textId="77777777" w:rsidR="008358A0" w:rsidRPr="0025789C" w:rsidRDefault="008358A0" w:rsidP="00C758D8">
      <w:pPr>
        <w:autoSpaceDE w:val="0"/>
        <w:autoSpaceDN w:val="0"/>
        <w:adjustRightInd w:val="0"/>
        <w:spacing w:after="0" w:line="360" w:lineRule="auto"/>
        <w:jc w:val="both"/>
        <w:rPr>
          <w:rFonts w:cs="Arial"/>
          <w:szCs w:val="24"/>
        </w:rPr>
      </w:pPr>
    </w:p>
    <w:p w14:paraId="049B327A" w14:textId="2F40A93C" w:rsidR="00B045F4" w:rsidRPr="0025789C" w:rsidRDefault="008358A0" w:rsidP="00C758D8">
      <w:pPr>
        <w:pStyle w:val="ListParagraph"/>
        <w:numPr>
          <w:ilvl w:val="0"/>
          <w:numId w:val="3"/>
        </w:numPr>
        <w:autoSpaceDE w:val="0"/>
        <w:autoSpaceDN w:val="0"/>
        <w:adjustRightInd w:val="0"/>
        <w:spacing w:after="0" w:line="360" w:lineRule="auto"/>
        <w:jc w:val="both"/>
        <w:rPr>
          <w:rFonts w:cs="Arial"/>
          <w:szCs w:val="24"/>
        </w:rPr>
      </w:pPr>
      <w:r w:rsidRPr="0025789C">
        <w:rPr>
          <w:rFonts w:cs="Arial"/>
          <w:szCs w:val="24"/>
        </w:rPr>
        <w:t xml:space="preserve">Lords amendment 18 </w:t>
      </w:r>
      <w:r w:rsidR="00B045F4" w:rsidRPr="0025789C">
        <w:rPr>
          <w:rFonts w:cs="Arial"/>
          <w:szCs w:val="24"/>
        </w:rPr>
        <w:t xml:space="preserve">relates to the extent of the new clause that would be added to the Bill by Lords amendment 1. </w:t>
      </w:r>
    </w:p>
    <w:p w14:paraId="0E367780" w14:textId="77777777" w:rsidR="00B045F4" w:rsidRPr="0025789C" w:rsidRDefault="00B045F4" w:rsidP="00C758D8">
      <w:pPr>
        <w:pStyle w:val="ListParagraph"/>
        <w:autoSpaceDE w:val="0"/>
        <w:autoSpaceDN w:val="0"/>
        <w:adjustRightInd w:val="0"/>
        <w:spacing w:after="0" w:line="360" w:lineRule="auto"/>
        <w:ind w:left="360"/>
        <w:jc w:val="both"/>
        <w:rPr>
          <w:rFonts w:cs="Arial"/>
          <w:szCs w:val="24"/>
        </w:rPr>
      </w:pPr>
    </w:p>
    <w:p w14:paraId="47AA7198" w14:textId="6928DB4C" w:rsidR="00DB4606" w:rsidRPr="0025789C" w:rsidRDefault="00B045F4" w:rsidP="00C758D8">
      <w:pPr>
        <w:pStyle w:val="ListParagraph"/>
        <w:numPr>
          <w:ilvl w:val="0"/>
          <w:numId w:val="3"/>
        </w:numPr>
        <w:autoSpaceDE w:val="0"/>
        <w:autoSpaceDN w:val="0"/>
        <w:adjustRightInd w:val="0"/>
        <w:spacing w:after="0" w:line="360" w:lineRule="auto"/>
        <w:jc w:val="both"/>
        <w:rPr>
          <w:rFonts w:cs="Arial"/>
          <w:szCs w:val="24"/>
        </w:rPr>
      </w:pPr>
      <w:r w:rsidRPr="0025789C">
        <w:rPr>
          <w:rFonts w:cs="Arial"/>
          <w:szCs w:val="24"/>
        </w:rPr>
        <w:t xml:space="preserve">Lords amendment 18 would amend clause 9, which relates to the extent of the provisions in the Bill, </w:t>
      </w:r>
      <w:r w:rsidR="00DB4606" w:rsidRPr="0025789C">
        <w:rPr>
          <w:rFonts w:cs="Arial"/>
          <w:szCs w:val="24"/>
        </w:rPr>
        <w:t>and would specify</w:t>
      </w:r>
      <w:r w:rsidRPr="0025789C">
        <w:rPr>
          <w:rFonts w:cs="Arial"/>
          <w:szCs w:val="24"/>
        </w:rPr>
        <w:t xml:space="preserve"> that the new clause added by Lords amendment 1 would extend to England and Wales.</w:t>
      </w:r>
    </w:p>
    <w:p w14:paraId="24C20ADF" w14:textId="77777777" w:rsidR="00DB4606" w:rsidRPr="0025789C" w:rsidRDefault="00DB4606" w:rsidP="00C758D8">
      <w:pPr>
        <w:autoSpaceDE w:val="0"/>
        <w:autoSpaceDN w:val="0"/>
        <w:adjustRightInd w:val="0"/>
        <w:spacing w:after="0" w:line="360" w:lineRule="auto"/>
        <w:jc w:val="both"/>
        <w:rPr>
          <w:rFonts w:cs="Arial"/>
          <w:szCs w:val="24"/>
        </w:rPr>
      </w:pPr>
    </w:p>
    <w:p w14:paraId="21CE35C0" w14:textId="77777777" w:rsidR="00081C84" w:rsidRPr="00081C84" w:rsidRDefault="00DB4606" w:rsidP="00C758D8">
      <w:pPr>
        <w:pStyle w:val="ListParagraph"/>
        <w:numPr>
          <w:ilvl w:val="0"/>
          <w:numId w:val="3"/>
        </w:numPr>
        <w:autoSpaceDE w:val="0"/>
        <w:autoSpaceDN w:val="0"/>
        <w:adjustRightInd w:val="0"/>
        <w:spacing w:after="0" w:line="360" w:lineRule="auto"/>
        <w:jc w:val="both"/>
        <w:rPr>
          <w:rFonts w:cs="Arial"/>
          <w:i/>
          <w:szCs w:val="24"/>
          <w:u w:val="single"/>
        </w:rPr>
      </w:pPr>
      <w:r w:rsidRPr="0025789C">
        <w:rPr>
          <w:rFonts w:cs="Arial"/>
          <w:szCs w:val="24"/>
        </w:rPr>
        <w:t xml:space="preserve">Clause 9 </w:t>
      </w:r>
      <w:r w:rsidR="00C824DE">
        <w:rPr>
          <w:rFonts w:cs="Arial"/>
          <w:szCs w:val="24"/>
        </w:rPr>
        <w:t>extends to E</w:t>
      </w:r>
      <w:r w:rsidR="00081C84">
        <w:rPr>
          <w:rFonts w:cs="Arial"/>
          <w:szCs w:val="24"/>
        </w:rPr>
        <w:t>ngland,</w:t>
      </w:r>
      <w:r w:rsidR="00C824DE">
        <w:rPr>
          <w:rFonts w:cs="Arial"/>
          <w:szCs w:val="24"/>
        </w:rPr>
        <w:t xml:space="preserve"> </w:t>
      </w:r>
      <w:r w:rsidR="00081C84">
        <w:rPr>
          <w:rFonts w:cs="Arial"/>
          <w:szCs w:val="24"/>
        </w:rPr>
        <w:t>Wales,</w:t>
      </w:r>
      <w:r w:rsidR="00C824DE">
        <w:rPr>
          <w:rFonts w:cs="Arial"/>
          <w:szCs w:val="24"/>
        </w:rPr>
        <w:t xml:space="preserve"> S</w:t>
      </w:r>
      <w:r w:rsidR="00081C84">
        <w:rPr>
          <w:rFonts w:cs="Arial"/>
          <w:szCs w:val="24"/>
        </w:rPr>
        <w:t>cotland</w:t>
      </w:r>
      <w:r w:rsidR="00C824DE">
        <w:rPr>
          <w:rFonts w:cs="Arial"/>
          <w:szCs w:val="24"/>
        </w:rPr>
        <w:t xml:space="preserve"> and N</w:t>
      </w:r>
      <w:r w:rsidR="00081C84">
        <w:rPr>
          <w:rFonts w:cs="Arial"/>
          <w:szCs w:val="24"/>
        </w:rPr>
        <w:t xml:space="preserve">orthern </w:t>
      </w:r>
      <w:r w:rsidR="00C824DE">
        <w:rPr>
          <w:rFonts w:cs="Arial"/>
          <w:szCs w:val="24"/>
        </w:rPr>
        <w:t>I</w:t>
      </w:r>
      <w:r w:rsidR="00081C84">
        <w:rPr>
          <w:rFonts w:cs="Arial"/>
          <w:szCs w:val="24"/>
        </w:rPr>
        <w:t xml:space="preserve">reland. </w:t>
      </w:r>
    </w:p>
    <w:p w14:paraId="774FB045" w14:textId="77777777" w:rsidR="00081C84" w:rsidRPr="00081C84" w:rsidRDefault="00081C84" w:rsidP="00C758D8">
      <w:pPr>
        <w:pStyle w:val="ListParagraph"/>
        <w:autoSpaceDE w:val="0"/>
        <w:autoSpaceDN w:val="0"/>
        <w:adjustRightInd w:val="0"/>
        <w:spacing w:after="0" w:line="360" w:lineRule="auto"/>
        <w:ind w:left="360"/>
        <w:jc w:val="both"/>
        <w:rPr>
          <w:rFonts w:cs="Arial"/>
          <w:i/>
          <w:szCs w:val="24"/>
          <w:u w:val="single"/>
        </w:rPr>
      </w:pPr>
    </w:p>
    <w:p w14:paraId="726CC0B3" w14:textId="3A3C87FD" w:rsidR="0033355B" w:rsidRPr="0025789C" w:rsidRDefault="00081C84" w:rsidP="00C758D8">
      <w:pPr>
        <w:pStyle w:val="ListParagraph"/>
        <w:numPr>
          <w:ilvl w:val="0"/>
          <w:numId w:val="3"/>
        </w:numPr>
        <w:autoSpaceDE w:val="0"/>
        <w:autoSpaceDN w:val="0"/>
        <w:adjustRightInd w:val="0"/>
        <w:spacing w:after="0" w:line="360" w:lineRule="auto"/>
        <w:jc w:val="both"/>
        <w:rPr>
          <w:rFonts w:cs="Arial"/>
          <w:i/>
          <w:szCs w:val="24"/>
          <w:u w:val="single"/>
        </w:rPr>
      </w:pPr>
      <w:r>
        <w:rPr>
          <w:rFonts w:cs="Arial"/>
          <w:szCs w:val="24"/>
        </w:rPr>
        <w:t>Clause 9</w:t>
      </w:r>
      <w:r w:rsidR="00C824DE">
        <w:rPr>
          <w:rFonts w:cs="Arial"/>
          <w:szCs w:val="24"/>
        </w:rPr>
        <w:t xml:space="preserve"> </w:t>
      </w:r>
      <w:r w:rsidR="00DB4606" w:rsidRPr="0025789C">
        <w:rPr>
          <w:rFonts w:cs="Arial"/>
          <w:szCs w:val="24"/>
        </w:rPr>
        <w:t xml:space="preserve">includes other subsections which </w:t>
      </w:r>
      <w:r w:rsidR="00C824DE">
        <w:rPr>
          <w:rFonts w:cs="Arial"/>
          <w:szCs w:val="24"/>
        </w:rPr>
        <w:t>make provision relating to</w:t>
      </w:r>
      <w:r w:rsidR="00DB4606" w:rsidRPr="0025789C">
        <w:rPr>
          <w:rFonts w:cs="Arial"/>
          <w:szCs w:val="24"/>
        </w:rPr>
        <w:t xml:space="preserve"> England, Wales, Scotland and Northern Ireland. Clause 9 would </w:t>
      </w:r>
      <w:r w:rsidR="002422E7">
        <w:rPr>
          <w:rFonts w:cs="Arial"/>
          <w:szCs w:val="24"/>
        </w:rPr>
        <w:t xml:space="preserve">as a whole </w:t>
      </w:r>
      <w:r w:rsidR="00DB4606" w:rsidRPr="0025789C">
        <w:rPr>
          <w:rFonts w:cs="Arial"/>
          <w:szCs w:val="24"/>
        </w:rPr>
        <w:t>therefore continue to extend</w:t>
      </w:r>
      <w:r w:rsidR="002422E7">
        <w:rPr>
          <w:rFonts w:cs="Arial"/>
          <w:szCs w:val="24"/>
        </w:rPr>
        <w:t xml:space="preserve"> and apply</w:t>
      </w:r>
      <w:r w:rsidR="00DB4606" w:rsidRPr="0025789C">
        <w:rPr>
          <w:rFonts w:cs="Arial"/>
          <w:szCs w:val="24"/>
        </w:rPr>
        <w:t xml:space="preserve"> to England and Wales, Scotland and Northern Ireland. </w:t>
      </w:r>
    </w:p>
    <w:p w14:paraId="4CE962DD" w14:textId="77777777" w:rsidR="00DB4606" w:rsidRPr="0025789C" w:rsidRDefault="00DB4606" w:rsidP="00C758D8">
      <w:pPr>
        <w:autoSpaceDE w:val="0"/>
        <w:autoSpaceDN w:val="0"/>
        <w:adjustRightInd w:val="0"/>
        <w:spacing w:after="0" w:line="360" w:lineRule="auto"/>
        <w:jc w:val="both"/>
        <w:rPr>
          <w:rFonts w:cs="Arial"/>
          <w:b/>
          <w:i/>
          <w:szCs w:val="24"/>
          <w:u w:val="single"/>
        </w:rPr>
      </w:pPr>
    </w:p>
    <w:p w14:paraId="5DDA4E48" w14:textId="5EC4FB40" w:rsidR="00DB4606" w:rsidRPr="0025789C" w:rsidRDefault="004912D7" w:rsidP="00C758D8">
      <w:pPr>
        <w:autoSpaceDE w:val="0"/>
        <w:autoSpaceDN w:val="0"/>
        <w:adjustRightInd w:val="0"/>
        <w:spacing w:after="0" w:line="360" w:lineRule="auto"/>
        <w:jc w:val="both"/>
        <w:rPr>
          <w:rFonts w:cs="Arial"/>
          <w:b/>
          <w:szCs w:val="24"/>
          <w:u w:val="single"/>
        </w:rPr>
      </w:pPr>
      <w:r>
        <w:rPr>
          <w:rFonts w:cs="Arial"/>
          <w:b/>
          <w:szCs w:val="24"/>
          <w:u w:val="single"/>
        </w:rPr>
        <w:t>Lords Amendment 2</w:t>
      </w:r>
    </w:p>
    <w:p w14:paraId="067B600F" w14:textId="77777777" w:rsidR="00DB4606" w:rsidRDefault="00DB4606" w:rsidP="00C758D8">
      <w:pPr>
        <w:autoSpaceDE w:val="0"/>
        <w:autoSpaceDN w:val="0"/>
        <w:adjustRightInd w:val="0"/>
        <w:spacing w:after="0" w:line="360" w:lineRule="auto"/>
        <w:jc w:val="both"/>
        <w:rPr>
          <w:rFonts w:cs="Arial"/>
          <w:i/>
          <w:szCs w:val="24"/>
          <w:u w:val="single"/>
        </w:rPr>
      </w:pPr>
    </w:p>
    <w:p w14:paraId="4DE75778" w14:textId="3F136AAA" w:rsidR="004912D7" w:rsidRPr="004912D7" w:rsidRDefault="004912D7" w:rsidP="00C758D8">
      <w:pPr>
        <w:autoSpaceDE w:val="0"/>
        <w:autoSpaceDN w:val="0"/>
        <w:adjustRightInd w:val="0"/>
        <w:spacing w:after="0" w:line="360" w:lineRule="auto"/>
        <w:jc w:val="both"/>
        <w:rPr>
          <w:rFonts w:cs="Arial"/>
          <w:i/>
          <w:szCs w:val="24"/>
          <w:u w:val="single"/>
        </w:rPr>
      </w:pPr>
      <w:r>
        <w:rPr>
          <w:rFonts w:cs="Arial"/>
          <w:i/>
          <w:szCs w:val="24"/>
          <w:u w:val="single"/>
        </w:rPr>
        <w:t>Context and Purpose</w:t>
      </w:r>
    </w:p>
    <w:p w14:paraId="51989CFC" w14:textId="1AE32AFF" w:rsidR="00081C84" w:rsidRPr="0025789C" w:rsidRDefault="00081C84" w:rsidP="00C758D8">
      <w:pPr>
        <w:pStyle w:val="ListParagraph"/>
        <w:numPr>
          <w:ilvl w:val="0"/>
          <w:numId w:val="3"/>
        </w:numPr>
        <w:spacing w:after="0" w:line="360" w:lineRule="auto"/>
        <w:jc w:val="both"/>
        <w:rPr>
          <w:rFonts w:cs="Arial"/>
          <w:szCs w:val="24"/>
        </w:rPr>
      </w:pPr>
      <w:r>
        <w:rPr>
          <w:rFonts w:cs="Arial"/>
          <w:szCs w:val="24"/>
        </w:rPr>
        <w:lastRenderedPageBreak/>
        <w:t>L</w:t>
      </w:r>
      <w:r w:rsidR="00C824DE">
        <w:rPr>
          <w:rFonts w:cs="Arial"/>
          <w:szCs w:val="24"/>
        </w:rPr>
        <w:t xml:space="preserve">ords amendment </w:t>
      </w:r>
      <w:r>
        <w:rPr>
          <w:rFonts w:cs="Arial"/>
          <w:szCs w:val="24"/>
        </w:rPr>
        <w:t xml:space="preserve">2 </w:t>
      </w:r>
      <w:r w:rsidRPr="0025789C">
        <w:rPr>
          <w:rFonts w:cs="Arial"/>
          <w:szCs w:val="24"/>
        </w:rPr>
        <w:t xml:space="preserve">would add a new clause to the Bill, and relates to the remuneration for persons providing pharmaceutical services in respect of special medicinal products. </w:t>
      </w:r>
    </w:p>
    <w:p w14:paraId="66CB3DEB" w14:textId="77777777" w:rsidR="00081C84" w:rsidRPr="0025789C" w:rsidRDefault="00081C84" w:rsidP="00C758D8">
      <w:pPr>
        <w:pStyle w:val="ListParagraph"/>
        <w:spacing w:after="0" w:line="360" w:lineRule="auto"/>
        <w:ind w:left="360"/>
        <w:jc w:val="both"/>
        <w:rPr>
          <w:rFonts w:cs="Arial"/>
          <w:szCs w:val="24"/>
        </w:rPr>
      </w:pPr>
    </w:p>
    <w:p w14:paraId="1E13606D" w14:textId="77777777" w:rsidR="00081C84" w:rsidRPr="0025789C" w:rsidRDefault="00081C84" w:rsidP="00C758D8">
      <w:pPr>
        <w:pStyle w:val="ListParagraph"/>
        <w:numPr>
          <w:ilvl w:val="0"/>
          <w:numId w:val="3"/>
        </w:numPr>
        <w:spacing w:after="0" w:line="360" w:lineRule="auto"/>
        <w:jc w:val="both"/>
        <w:rPr>
          <w:rFonts w:cs="Arial"/>
          <w:szCs w:val="24"/>
        </w:rPr>
      </w:pPr>
      <w:r w:rsidRPr="0025789C">
        <w:rPr>
          <w:rFonts w:cs="Arial"/>
          <w:szCs w:val="24"/>
        </w:rPr>
        <w:t>Special medicinal products are medicines made to order for individual patients.</w:t>
      </w:r>
    </w:p>
    <w:p w14:paraId="6866F955" w14:textId="77777777" w:rsidR="00081C84" w:rsidRPr="0025789C" w:rsidRDefault="00081C84" w:rsidP="00C758D8">
      <w:pPr>
        <w:pStyle w:val="ListParagraph"/>
        <w:spacing w:after="0" w:line="360" w:lineRule="auto"/>
        <w:ind w:left="360"/>
        <w:jc w:val="both"/>
        <w:rPr>
          <w:rFonts w:cs="Arial"/>
          <w:szCs w:val="24"/>
        </w:rPr>
      </w:pPr>
    </w:p>
    <w:p w14:paraId="51781382" w14:textId="7103A46E" w:rsidR="00081C84" w:rsidRDefault="00081C84" w:rsidP="00C758D8">
      <w:pPr>
        <w:pStyle w:val="ListParagraph"/>
        <w:numPr>
          <w:ilvl w:val="0"/>
          <w:numId w:val="3"/>
        </w:numPr>
        <w:spacing w:after="0" w:line="360" w:lineRule="auto"/>
        <w:jc w:val="both"/>
        <w:rPr>
          <w:rFonts w:cs="Arial"/>
          <w:szCs w:val="24"/>
        </w:rPr>
      </w:pPr>
      <w:r w:rsidRPr="0025789C">
        <w:rPr>
          <w:rFonts w:cs="Arial"/>
          <w:szCs w:val="24"/>
        </w:rPr>
        <w:t xml:space="preserve">The new clause would amend section </w:t>
      </w:r>
      <w:r w:rsidR="004912D7">
        <w:rPr>
          <w:rFonts w:cs="Arial"/>
          <w:szCs w:val="24"/>
        </w:rPr>
        <w:t>88</w:t>
      </w:r>
      <w:r w:rsidRPr="0025789C">
        <w:rPr>
          <w:rFonts w:cs="Arial"/>
          <w:szCs w:val="24"/>
        </w:rPr>
        <w:t xml:space="preserve"> of the </w:t>
      </w:r>
      <w:r w:rsidR="004912D7">
        <w:rPr>
          <w:rFonts w:cs="Arial"/>
          <w:szCs w:val="24"/>
        </w:rPr>
        <w:t>NHS (Wales) Act</w:t>
      </w:r>
      <w:r w:rsidRPr="0025789C">
        <w:rPr>
          <w:rFonts w:cs="Arial"/>
          <w:szCs w:val="24"/>
        </w:rPr>
        <w:t xml:space="preserve"> 2006, which relates to the remuneration for persons providing pharmaceutical services in </w:t>
      </w:r>
      <w:r w:rsidR="004912D7">
        <w:rPr>
          <w:rFonts w:cs="Arial"/>
          <w:szCs w:val="24"/>
        </w:rPr>
        <w:t>Wales</w:t>
      </w:r>
      <w:r w:rsidRPr="0025789C">
        <w:rPr>
          <w:rFonts w:cs="Arial"/>
          <w:szCs w:val="24"/>
        </w:rPr>
        <w:t xml:space="preserve">. </w:t>
      </w:r>
    </w:p>
    <w:p w14:paraId="06915612" w14:textId="77777777" w:rsidR="00081C84" w:rsidRPr="0025789C" w:rsidRDefault="00081C84" w:rsidP="00C758D8">
      <w:pPr>
        <w:pStyle w:val="ListParagraph"/>
        <w:spacing w:after="0" w:line="360" w:lineRule="auto"/>
        <w:ind w:left="360"/>
        <w:jc w:val="both"/>
        <w:rPr>
          <w:rFonts w:cs="Arial"/>
          <w:szCs w:val="24"/>
        </w:rPr>
      </w:pPr>
    </w:p>
    <w:p w14:paraId="342965D1" w14:textId="77777777" w:rsidR="004F0A68" w:rsidRDefault="00081C84" w:rsidP="00C758D8">
      <w:pPr>
        <w:pStyle w:val="ListParagraph"/>
        <w:numPr>
          <w:ilvl w:val="0"/>
          <w:numId w:val="3"/>
        </w:numPr>
        <w:spacing w:after="0" w:line="360" w:lineRule="auto"/>
        <w:jc w:val="both"/>
        <w:rPr>
          <w:rFonts w:cs="Arial"/>
          <w:szCs w:val="24"/>
        </w:rPr>
      </w:pPr>
      <w:r w:rsidRPr="0025789C">
        <w:rPr>
          <w:rFonts w:cs="Arial"/>
          <w:szCs w:val="24"/>
        </w:rPr>
        <w:t xml:space="preserve">Subsection (8A) of </w:t>
      </w:r>
      <w:r>
        <w:rPr>
          <w:rFonts w:cs="Arial"/>
          <w:szCs w:val="24"/>
        </w:rPr>
        <w:t xml:space="preserve">section </w:t>
      </w:r>
      <w:r w:rsidR="004912D7">
        <w:rPr>
          <w:rFonts w:cs="Arial"/>
          <w:szCs w:val="24"/>
        </w:rPr>
        <w:t>88</w:t>
      </w:r>
      <w:r>
        <w:rPr>
          <w:rFonts w:cs="Arial"/>
          <w:szCs w:val="24"/>
        </w:rPr>
        <w:t xml:space="preserve"> of the NHS </w:t>
      </w:r>
      <w:r w:rsidR="004912D7">
        <w:rPr>
          <w:rFonts w:cs="Arial"/>
          <w:szCs w:val="24"/>
        </w:rPr>
        <w:t xml:space="preserve">(Wales) </w:t>
      </w:r>
      <w:r>
        <w:rPr>
          <w:rFonts w:cs="Arial"/>
          <w:szCs w:val="24"/>
        </w:rPr>
        <w:t>Act 200</w:t>
      </w:r>
      <w:r w:rsidR="004912D7">
        <w:rPr>
          <w:rFonts w:cs="Arial"/>
          <w:szCs w:val="24"/>
        </w:rPr>
        <w:t>6</w:t>
      </w:r>
      <w:r>
        <w:rPr>
          <w:rFonts w:cs="Arial"/>
          <w:szCs w:val="24"/>
        </w:rPr>
        <w:t xml:space="preserve">, as amended by the new clause, </w:t>
      </w:r>
      <w:r w:rsidRPr="0025789C">
        <w:rPr>
          <w:rFonts w:cs="Arial"/>
          <w:szCs w:val="24"/>
        </w:rPr>
        <w:t xml:space="preserve">would make clear that </w:t>
      </w:r>
      <w:r w:rsidR="004912D7">
        <w:rPr>
          <w:rFonts w:cs="Arial"/>
          <w:szCs w:val="24"/>
        </w:rPr>
        <w:t>Welsh Ministers</w:t>
      </w:r>
      <w:r w:rsidRPr="0025789C">
        <w:rPr>
          <w:rFonts w:cs="Arial"/>
          <w:szCs w:val="24"/>
        </w:rPr>
        <w:t xml:space="preserve"> could make regulations regarding remuneration for pharmaceutical services specifically with respect to special medicinal products. </w:t>
      </w:r>
    </w:p>
    <w:p w14:paraId="6408A6A5" w14:textId="77777777" w:rsidR="004F0A68" w:rsidRDefault="004F0A68" w:rsidP="00C758D8">
      <w:pPr>
        <w:pStyle w:val="ListParagraph"/>
        <w:spacing w:after="0" w:line="360" w:lineRule="auto"/>
        <w:ind w:left="360"/>
        <w:jc w:val="both"/>
        <w:rPr>
          <w:rFonts w:cs="Arial"/>
          <w:szCs w:val="24"/>
        </w:rPr>
      </w:pPr>
    </w:p>
    <w:p w14:paraId="2D2DCB8C" w14:textId="77777777" w:rsidR="004F0A68" w:rsidRDefault="00081C84" w:rsidP="00C758D8">
      <w:pPr>
        <w:pStyle w:val="ListParagraph"/>
        <w:numPr>
          <w:ilvl w:val="0"/>
          <w:numId w:val="3"/>
        </w:numPr>
        <w:spacing w:after="0" w:line="360" w:lineRule="auto"/>
        <w:jc w:val="both"/>
        <w:rPr>
          <w:rFonts w:cs="Arial"/>
          <w:szCs w:val="24"/>
        </w:rPr>
      </w:pPr>
      <w:r w:rsidRPr="004F0A68">
        <w:rPr>
          <w:rFonts w:cs="Arial"/>
          <w:szCs w:val="24"/>
        </w:rPr>
        <w:t xml:space="preserve">Subsection (8B) would explain that the regulations could relate to how the remuneration should be calculated and also that remuneration would not have to be provided in specified circumstances. </w:t>
      </w:r>
    </w:p>
    <w:p w14:paraId="34B7FA00" w14:textId="77777777" w:rsidR="004F0A68" w:rsidRDefault="004F0A68" w:rsidP="00C758D8">
      <w:pPr>
        <w:pStyle w:val="ListParagraph"/>
        <w:spacing w:after="0" w:line="360" w:lineRule="auto"/>
        <w:ind w:left="360"/>
        <w:jc w:val="both"/>
        <w:rPr>
          <w:rFonts w:cs="Arial"/>
          <w:szCs w:val="24"/>
        </w:rPr>
      </w:pPr>
    </w:p>
    <w:p w14:paraId="6117BD47" w14:textId="00953665" w:rsidR="00081C84" w:rsidRPr="004F0A68" w:rsidRDefault="00081C84" w:rsidP="00C758D8">
      <w:pPr>
        <w:pStyle w:val="ListParagraph"/>
        <w:numPr>
          <w:ilvl w:val="0"/>
          <w:numId w:val="3"/>
        </w:numPr>
        <w:spacing w:after="0" w:line="360" w:lineRule="auto"/>
        <w:jc w:val="both"/>
        <w:rPr>
          <w:rFonts w:cs="Arial"/>
          <w:szCs w:val="24"/>
        </w:rPr>
      </w:pPr>
      <w:r w:rsidRPr="004F0A68">
        <w:rPr>
          <w:rFonts w:cs="Arial"/>
          <w:szCs w:val="24"/>
        </w:rPr>
        <w:t>In terms of how the remuneration should be calculated, subsection (8C) would explain that this may include, for example, requiring a dispenser, health service body or a determining authority</w:t>
      </w:r>
      <w:r w:rsidR="004F0A68" w:rsidRPr="004F0A68">
        <w:rPr>
          <w:rFonts w:cs="Arial"/>
          <w:szCs w:val="24"/>
        </w:rPr>
        <w:t xml:space="preserve"> (</w:t>
      </w:r>
      <w:r w:rsidR="004F0A68">
        <w:rPr>
          <w:rFonts w:cs="Arial"/>
          <w:szCs w:val="24"/>
        </w:rPr>
        <w:t xml:space="preserve">which includes </w:t>
      </w:r>
      <w:r w:rsidR="004F0A68" w:rsidRPr="00CE1ACF">
        <w:rPr>
          <w:rFonts w:eastAsia="Times New Roman" w:cs="Arial"/>
          <w:szCs w:val="24"/>
          <w:lang w:eastAsia="en-GB"/>
        </w:rPr>
        <w:t>the Welsh Ministers or so far as authorised by the Welsh Ministers to exercise the functions of determining authorities, any Local Health Board or other person appointed by them in an instrument)</w:t>
      </w:r>
      <w:r w:rsidR="004F0A68" w:rsidRPr="004F0A68">
        <w:rPr>
          <w:rFonts w:ascii="Verdana" w:eastAsia="Times New Roman" w:hAnsi="Verdana" w:cs="Times New Roman"/>
          <w:sz w:val="19"/>
          <w:szCs w:val="19"/>
          <w:lang w:eastAsia="en-GB"/>
        </w:rPr>
        <w:t xml:space="preserve"> </w:t>
      </w:r>
      <w:r w:rsidRPr="004F0A68">
        <w:rPr>
          <w:rFonts w:cs="Arial"/>
          <w:szCs w:val="24"/>
        </w:rPr>
        <w:t>to make inquiries to ensure that remuneration is reasonable or estimating an amount of remuneration that is reasonable. Subsection (8C) would therefore allow for different payment arrangements to be established for special medicinal products compared to other products supplied through pharmaceutical services.</w:t>
      </w:r>
    </w:p>
    <w:p w14:paraId="66C52B80" w14:textId="77777777" w:rsidR="00081C84" w:rsidRPr="0025789C" w:rsidRDefault="00081C84" w:rsidP="00C758D8">
      <w:pPr>
        <w:pStyle w:val="ListParagraph"/>
        <w:spacing w:after="0" w:line="360" w:lineRule="auto"/>
        <w:ind w:left="360"/>
        <w:jc w:val="both"/>
        <w:rPr>
          <w:rFonts w:cs="Arial"/>
          <w:szCs w:val="24"/>
        </w:rPr>
      </w:pPr>
    </w:p>
    <w:p w14:paraId="3522BE1E" w14:textId="77777777" w:rsidR="00081C84" w:rsidRPr="0025789C" w:rsidRDefault="00081C84" w:rsidP="00C758D8">
      <w:pPr>
        <w:pStyle w:val="ListParagraph"/>
        <w:numPr>
          <w:ilvl w:val="0"/>
          <w:numId w:val="3"/>
        </w:numPr>
        <w:spacing w:after="0" w:line="360" w:lineRule="auto"/>
        <w:jc w:val="both"/>
        <w:rPr>
          <w:rFonts w:cs="Arial"/>
          <w:szCs w:val="24"/>
        </w:rPr>
      </w:pPr>
      <w:r w:rsidRPr="0025789C">
        <w:rPr>
          <w:rFonts w:cs="Arial"/>
          <w:szCs w:val="24"/>
        </w:rPr>
        <w:t xml:space="preserve">In terms of the circumstances in which remuneration would not have to be provided, subsection (8D) would explain that this may include, for example, circumstances where special medicinal products are provided to persons providing pharmaceutical services by a health service body or under an </w:t>
      </w:r>
      <w:r w:rsidRPr="0025789C">
        <w:rPr>
          <w:rFonts w:cs="Arial"/>
          <w:szCs w:val="24"/>
        </w:rPr>
        <w:lastRenderedPageBreak/>
        <w:t xml:space="preserve">arrangement between a health service body and other person. This could include some form of central procurement for provision of special medicinal products, rather than the pharmaceutical provider purchasing the products. </w:t>
      </w:r>
    </w:p>
    <w:p w14:paraId="10E45EF7" w14:textId="77777777" w:rsidR="00081C84" w:rsidRPr="0025789C" w:rsidRDefault="00081C84" w:rsidP="00C758D8">
      <w:pPr>
        <w:pStyle w:val="ListParagraph"/>
        <w:spacing w:after="0" w:line="360" w:lineRule="auto"/>
        <w:ind w:left="360"/>
        <w:jc w:val="both"/>
        <w:rPr>
          <w:rFonts w:cs="Arial"/>
          <w:szCs w:val="24"/>
        </w:rPr>
      </w:pPr>
    </w:p>
    <w:p w14:paraId="241BE9F2" w14:textId="77777777" w:rsidR="00081C84" w:rsidRPr="0025789C" w:rsidRDefault="00081C84" w:rsidP="00C758D8">
      <w:pPr>
        <w:pStyle w:val="ListParagraph"/>
        <w:numPr>
          <w:ilvl w:val="0"/>
          <w:numId w:val="3"/>
        </w:numPr>
        <w:spacing w:after="0" w:line="360" w:lineRule="auto"/>
        <w:jc w:val="both"/>
        <w:rPr>
          <w:rFonts w:cs="Arial"/>
          <w:szCs w:val="24"/>
        </w:rPr>
      </w:pPr>
      <w:r w:rsidRPr="0025789C">
        <w:rPr>
          <w:rFonts w:cs="Arial"/>
          <w:szCs w:val="24"/>
        </w:rPr>
        <w:t xml:space="preserve">Subsection (8E) would provide definitions for “health service body” and “special medicinal product”.  </w:t>
      </w:r>
    </w:p>
    <w:p w14:paraId="5DEAB5F0" w14:textId="77777777" w:rsidR="00081C84" w:rsidRPr="0025789C" w:rsidRDefault="00081C84" w:rsidP="00C758D8">
      <w:pPr>
        <w:spacing w:after="0" w:line="360" w:lineRule="auto"/>
        <w:jc w:val="both"/>
        <w:rPr>
          <w:rFonts w:cs="Arial"/>
          <w:szCs w:val="24"/>
        </w:rPr>
      </w:pPr>
    </w:p>
    <w:p w14:paraId="1052ADE7" w14:textId="77777777" w:rsidR="00081C84" w:rsidRPr="0025789C" w:rsidRDefault="00081C84" w:rsidP="00C758D8">
      <w:pPr>
        <w:spacing w:after="0" w:line="360" w:lineRule="auto"/>
        <w:jc w:val="both"/>
        <w:rPr>
          <w:rFonts w:cs="Arial"/>
          <w:i/>
          <w:szCs w:val="24"/>
          <w:u w:val="single"/>
        </w:rPr>
      </w:pPr>
      <w:r w:rsidRPr="0025789C">
        <w:rPr>
          <w:rFonts w:cs="Arial"/>
          <w:i/>
          <w:szCs w:val="24"/>
          <w:u w:val="single"/>
        </w:rPr>
        <w:t xml:space="preserve">Extent and Application </w:t>
      </w:r>
    </w:p>
    <w:p w14:paraId="4EE6381B" w14:textId="77777777" w:rsidR="00081C84" w:rsidRPr="0025789C" w:rsidRDefault="00081C84" w:rsidP="00C758D8">
      <w:pPr>
        <w:spacing w:after="0" w:line="360" w:lineRule="auto"/>
        <w:jc w:val="both"/>
        <w:rPr>
          <w:rFonts w:cs="Arial"/>
          <w:i/>
          <w:szCs w:val="24"/>
          <w:u w:val="single"/>
        </w:rPr>
      </w:pPr>
    </w:p>
    <w:p w14:paraId="5B8BEF32" w14:textId="6E58CD51" w:rsidR="005F3E0F" w:rsidRDefault="005F3E0F" w:rsidP="00C758D8">
      <w:pPr>
        <w:pStyle w:val="ListParagraph"/>
        <w:numPr>
          <w:ilvl w:val="0"/>
          <w:numId w:val="3"/>
        </w:numPr>
        <w:autoSpaceDE w:val="0"/>
        <w:autoSpaceDN w:val="0"/>
        <w:adjustRightInd w:val="0"/>
        <w:spacing w:after="0" w:line="360" w:lineRule="auto"/>
        <w:jc w:val="both"/>
        <w:rPr>
          <w:rFonts w:cs="Arial"/>
          <w:szCs w:val="24"/>
        </w:rPr>
      </w:pPr>
      <w:r>
        <w:rPr>
          <w:rFonts w:cs="Arial"/>
          <w:szCs w:val="24"/>
        </w:rPr>
        <w:t>In summary, the</w:t>
      </w:r>
      <w:r w:rsidRPr="0025789C">
        <w:rPr>
          <w:rFonts w:cs="Arial"/>
          <w:szCs w:val="24"/>
        </w:rPr>
        <w:t xml:space="preserve"> </w:t>
      </w:r>
      <w:r>
        <w:rPr>
          <w:rFonts w:cs="Arial"/>
          <w:szCs w:val="24"/>
        </w:rPr>
        <w:t xml:space="preserve">new clause added to the Bill by </w:t>
      </w:r>
      <w:r w:rsidRPr="0025789C">
        <w:rPr>
          <w:rFonts w:cs="Arial"/>
          <w:szCs w:val="24"/>
        </w:rPr>
        <w:t xml:space="preserve">Lords amendment </w:t>
      </w:r>
      <w:r>
        <w:rPr>
          <w:rFonts w:cs="Arial"/>
          <w:szCs w:val="24"/>
        </w:rPr>
        <w:t>2</w:t>
      </w:r>
      <w:r w:rsidRPr="0025789C">
        <w:rPr>
          <w:rFonts w:cs="Arial"/>
          <w:szCs w:val="24"/>
        </w:rPr>
        <w:t xml:space="preserve"> would extend to England and Wales</w:t>
      </w:r>
      <w:r w:rsidR="004F0A68">
        <w:rPr>
          <w:rFonts w:cs="Arial"/>
          <w:szCs w:val="24"/>
        </w:rPr>
        <w:t xml:space="preserve"> (</w:t>
      </w:r>
      <w:r w:rsidR="00CE1ACF">
        <w:rPr>
          <w:rFonts w:cs="Arial"/>
          <w:szCs w:val="24"/>
        </w:rPr>
        <w:t xml:space="preserve">see </w:t>
      </w:r>
      <w:r w:rsidR="004F0A68">
        <w:rPr>
          <w:rFonts w:cs="Arial"/>
          <w:szCs w:val="24"/>
        </w:rPr>
        <w:t>section 209 of the NHS Wales Act)</w:t>
      </w:r>
      <w:r w:rsidRPr="0025789C">
        <w:rPr>
          <w:rFonts w:cs="Arial"/>
          <w:szCs w:val="24"/>
        </w:rPr>
        <w:t>, and by virtue of section 2</w:t>
      </w:r>
      <w:r>
        <w:rPr>
          <w:rFonts w:cs="Arial"/>
          <w:szCs w:val="24"/>
        </w:rPr>
        <w:t>0</w:t>
      </w:r>
      <w:r w:rsidR="004F0A68">
        <w:rPr>
          <w:rFonts w:cs="Arial"/>
          <w:szCs w:val="24"/>
        </w:rPr>
        <w:t>2</w:t>
      </w:r>
      <w:r>
        <w:rPr>
          <w:rFonts w:cs="Arial"/>
          <w:szCs w:val="24"/>
        </w:rPr>
        <w:t xml:space="preserve"> of the NHS Act (Wales) </w:t>
      </w:r>
      <w:r w:rsidR="004F0A68">
        <w:rPr>
          <w:rFonts w:cs="Arial"/>
          <w:szCs w:val="24"/>
        </w:rPr>
        <w:t xml:space="preserve">Act </w:t>
      </w:r>
      <w:r>
        <w:rPr>
          <w:rFonts w:cs="Arial"/>
          <w:szCs w:val="24"/>
        </w:rPr>
        <w:t>2006</w:t>
      </w:r>
      <w:r w:rsidRPr="0025789C">
        <w:rPr>
          <w:rFonts w:cs="Arial"/>
          <w:szCs w:val="24"/>
        </w:rPr>
        <w:t xml:space="preserve">, apply only to </w:t>
      </w:r>
      <w:r>
        <w:rPr>
          <w:rFonts w:cs="Arial"/>
          <w:szCs w:val="24"/>
        </w:rPr>
        <w:t>Wales</w:t>
      </w:r>
      <w:r w:rsidRPr="0025789C">
        <w:rPr>
          <w:rFonts w:cs="Arial"/>
          <w:szCs w:val="24"/>
        </w:rPr>
        <w:t xml:space="preserve">. </w:t>
      </w:r>
    </w:p>
    <w:p w14:paraId="5353145D" w14:textId="77777777" w:rsidR="005F3E0F" w:rsidRDefault="005F3E0F" w:rsidP="00C758D8">
      <w:pPr>
        <w:pStyle w:val="ListParagraph"/>
        <w:autoSpaceDE w:val="0"/>
        <w:autoSpaceDN w:val="0"/>
        <w:adjustRightInd w:val="0"/>
        <w:spacing w:after="0" w:line="360" w:lineRule="auto"/>
        <w:ind w:left="360"/>
        <w:jc w:val="both"/>
        <w:rPr>
          <w:rFonts w:cs="Arial"/>
          <w:szCs w:val="24"/>
        </w:rPr>
      </w:pPr>
    </w:p>
    <w:p w14:paraId="71033EB2" w14:textId="78C7E89F" w:rsidR="00081C84" w:rsidRPr="0025789C" w:rsidRDefault="00081C84" w:rsidP="00C758D8">
      <w:pPr>
        <w:pStyle w:val="ListParagraph"/>
        <w:numPr>
          <w:ilvl w:val="0"/>
          <w:numId w:val="3"/>
        </w:numPr>
        <w:spacing w:after="0" w:line="360" w:lineRule="auto"/>
        <w:jc w:val="both"/>
        <w:rPr>
          <w:rFonts w:cs="Arial"/>
          <w:szCs w:val="24"/>
        </w:rPr>
      </w:pPr>
      <w:r w:rsidRPr="0025789C">
        <w:rPr>
          <w:rFonts w:cs="Arial"/>
          <w:szCs w:val="24"/>
        </w:rPr>
        <w:t xml:space="preserve">Section </w:t>
      </w:r>
      <w:r w:rsidR="004912D7">
        <w:rPr>
          <w:rFonts w:cs="Arial"/>
          <w:szCs w:val="24"/>
        </w:rPr>
        <w:t>88</w:t>
      </w:r>
      <w:r>
        <w:rPr>
          <w:rFonts w:cs="Arial"/>
          <w:szCs w:val="24"/>
        </w:rPr>
        <w:t xml:space="preserve"> of the NHS Act </w:t>
      </w:r>
      <w:r w:rsidR="004912D7">
        <w:rPr>
          <w:rFonts w:cs="Arial"/>
          <w:szCs w:val="24"/>
        </w:rPr>
        <w:t xml:space="preserve">(Wales) </w:t>
      </w:r>
      <w:r>
        <w:rPr>
          <w:rFonts w:cs="Arial"/>
          <w:szCs w:val="24"/>
        </w:rPr>
        <w:t>2006</w:t>
      </w:r>
      <w:r w:rsidR="005F3E0F">
        <w:rPr>
          <w:rFonts w:cs="Arial"/>
          <w:szCs w:val="24"/>
        </w:rPr>
        <w:t>, which the new clause added by Lords amendment 2 would amend,</w:t>
      </w:r>
      <w:r w:rsidRPr="0025789C">
        <w:rPr>
          <w:rFonts w:cs="Arial"/>
          <w:szCs w:val="24"/>
        </w:rPr>
        <w:t xml:space="preserve"> extends to England and Wales.</w:t>
      </w:r>
    </w:p>
    <w:p w14:paraId="2489192B" w14:textId="77777777" w:rsidR="00081C84" w:rsidRPr="0025789C" w:rsidRDefault="00081C84" w:rsidP="00C758D8">
      <w:pPr>
        <w:pStyle w:val="ListParagraph"/>
        <w:spacing w:after="0" w:line="360" w:lineRule="auto"/>
        <w:ind w:left="360"/>
        <w:jc w:val="both"/>
        <w:rPr>
          <w:rFonts w:cs="Arial"/>
          <w:szCs w:val="24"/>
        </w:rPr>
      </w:pPr>
    </w:p>
    <w:p w14:paraId="3A974CAE" w14:textId="194EB487" w:rsidR="00081C84" w:rsidRDefault="00081C84" w:rsidP="00C758D8">
      <w:pPr>
        <w:pStyle w:val="ListParagraph"/>
        <w:numPr>
          <w:ilvl w:val="0"/>
          <w:numId w:val="3"/>
        </w:numPr>
        <w:spacing w:after="0" w:line="360" w:lineRule="auto"/>
        <w:jc w:val="both"/>
        <w:rPr>
          <w:rFonts w:cs="Arial"/>
          <w:szCs w:val="24"/>
        </w:rPr>
      </w:pPr>
      <w:r w:rsidRPr="0025789C">
        <w:rPr>
          <w:rFonts w:cs="Arial"/>
          <w:szCs w:val="24"/>
        </w:rPr>
        <w:t xml:space="preserve">Section </w:t>
      </w:r>
      <w:r w:rsidR="004F0A68" w:rsidRPr="0025789C">
        <w:rPr>
          <w:rFonts w:cs="Arial"/>
          <w:szCs w:val="24"/>
        </w:rPr>
        <w:t>2</w:t>
      </w:r>
      <w:r w:rsidR="004F0A68">
        <w:rPr>
          <w:rFonts w:cs="Arial"/>
          <w:szCs w:val="24"/>
        </w:rPr>
        <w:t>02</w:t>
      </w:r>
      <w:r w:rsidR="004F0A68" w:rsidRPr="0025789C">
        <w:rPr>
          <w:rFonts w:cs="Arial"/>
          <w:szCs w:val="24"/>
        </w:rPr>
        <w:t xml:space="preserve"> </w:t>
      </w:r>
      <w:r>
        <w:rPr>
          <w:rFonts w:cs="Arial"/>
          <w:szCs w:val="24"/>
        </w:rPr>
        <w:t xml:space="preserve">of the NHS Act </w:t>
      </w:r>
      <w:r w:rsidR="004912D7">
        <w:rPr>
          <w:rFonts w:cs="Arial"/>
          <w:szCs w:val="24"/>
        </w:rPr>
        <w:t xml:space="preserve">(Wales) </w:t>
      </w:r>
      <w:r w:rsidR="004F0A68">
        <w:rPr>
          <w:rFonts w:cs="Arial"/>
          <w:szCs w:val="24"/>
        </w:rPr>
        <w:t xml:space="preserve">Act </w:t>
      </w:r>
      <w:r>
        <w:rPr>
          <w:rFonts w:cs="Arial"/>
          <w:szCs w:val="24"/>
        </w:rPr>
        <w:t xml:space="preserve">2006 </w:t>
      </w:r>
      <w:r w:rsidRPr="0025789C">
        <w:rPr>
          <w:rFonts w:cs="Arial"/>
          <w:szCs w:val="24"/>
        </w:rPr>
        <w:t xml:space="preserve">makes clear that the functions of the </w:t>
      </w:r>
      <w:r w:rsidR="004912D7">
        <w:rPr>
          <w:rFonts w:cs="Arial"/>
          <w:szCs w:val="24"/>
        </w:rPr>
        <w:t>Welsh Minister</w:t>
      </w:r>
      <w:r w:rsidRPr="0025789C">
        <w:rPr>
          <w:rFonts w:cs="Arial"/>
          <w:szCs w:val="24"/>
        </w:rPr>
        <w:t xml:space="preserve"> under section </w:t>
      </w:r>
      <w:r w:rsidR="004912D7">
        <w:rPr>
          <w:rFonts w:cs="Arial"/>
          <w:szCs w:val="24"/>
        </w:rPr>
        <w:t>88</w:t>
      </w:r>
      <w:r w:rsidRPr="0025789C">
        <w:rPr>
          <w:rFonts w:cs="Arial"/>
          <w:szCs w:val="24"/>
        </w:rPr>
        <w:t xml:space="preserve"> of the NHS Act 2006 are exercisable only in relation to </w:t>
      </w:r>
      <w:r w:rsidR="004912D7">
        <w:rPr>
          <w:rFonts w:cs="Arial"/>
          <w:szCs w:val="24"/>
        </w:rPr>
        <w:t>Wales</w:t>
      </w:r>
      <w:r w:rsidRPr="0025789C">
        <w:rPr>
          <w:rFonts w:cs="Arial"/>
          <w:szCs w:val="24"/>
        </w:rPr>
        <w:t xml:space="preserve">. Therefore, </w:t>
      </w:r>
      <w:r>
        <w:rPr>
          <w:rFonts w:cs="Arial"/>
          <w:szCs w:val="24"/>
        </w:rPr>
        <w:t xml:space="preserve">the new clause as an amendment to </w:t>
      </w:r>
      <w:r w:rsidRPr="0025789C">
        <w:rPr>
          <w:rFonts w:cs="Arial"/>
          <w:szCs w:val="24"/>
        </w:rPr>
        <w:t xml:space="preserve">section </w:t>
      </w:r>
      <w:r w:rsidR="004912D7">
        <w:rPr>
          <w:rFonts w:cs="Arial"/>
          <w:szCs w:val="24"/>
        </w:rPr>
        <w:t>88</w:t>
      </w:r>
      <w:r w:rsidRPr="0025789C">
        <w:rPr>
          <w:rFonts w:cs="Arial"/>
          <w:szCs w:val="24"/>
        </w:rPr>
        <w:t xml:space="preserve"> </w:t>
      </w:r>
      <w:r>
        <w:rPr>
          <w:rFonts w:cs="Arial"/>
          <w:szCs w:val="24"/>
        </w:rPr>
        <w:t>would relate</w:t>
      </w:r>
      <w:r w:rsidRPr="0025789C">
        <w:rPr>
          <w:rFonts w:cs="Arial"/>
          <w:szCs w:val="24"/>
        </w:rPr>
        <w:t xml:space="preserve"> </w:t>
      </w:r>
      <w:r>
        <w:rPr>
          <w:rFonts w:cs="Arial"/>
          <w:szCs w:val="24"/>
        </w:rPr>
        <w:t>exclusively</w:t>
      </w:r>
      <w:r w:rsidRPr="0025789C">
        <w:rPr>
          <w:rFonts w:cs="Arial"/>
          <w:szCs w:val="24"/>
        </w:rPr>
        <w:t xml:space="preserve"> to </w:t>
      </w:r>
      <w:r w:rsidR="004912D7">
        <w:rPr>
          <w:rFonts w:cs="Arial"/>
          <w:szCs w:val="24"/>
        </w:rPr>
        <w:t>Wales</w:t>
      </w:r>
      <w:r w:rsidRPr="0025789C">
        <w:rPr>
          <w:rFonts w:cs="Arial"/>
          <w:szCs w:val="24"/>
        </w:rPr>
        <w:t xml:space="preserve">. </w:t>
      </w:r>
    </w:p>
    <w:p w14:paraId="610D985F" w14:textId="61BCC2F8" w:rsidR="00081C84" w:rsidRPr="0025789C" w:rsidRDefault="00081C84" w:rsidP="00C758D8">
      <w:pPr>
        <w:pStyle w:val="ListParagraph"/>
        <w:autoSpaceDE w:val="0"/>
        <w:autoSpaceDN w:val="0"/>
        <w:adjustRightInd w:val="0"/>
        <w:spacing w:after="0" w:line="360" w:lineRule="auto"/>
        <w:ind w:left="360"/>
        <w:jc w:val="both"/>
        <w:rPr>
          <w:rFonts w:cs="Arial"/>
          <w:szCs w:val="24"/>
        </w:rPr>
      </w:pPr>
      <w:r w:rsidRPr="0025789C">
        <w:rPr>
          <w:rFonts w:cs="Arial"/>
          <w:szCs w:val="24"/>
        </w:rPr>
        <w:t xml:space="preserve">  </w:t>
      </w:r>
    </w:p>
    <w:p w14:paraId="49507AEC" w14:textId="219092D7" w:rsidR="004912D7" w:rsidRDefault="00081C84" w:rsidP="00C758D8">
      <w:pPr>
        <w:pStyle w:val="ListParagraph"/>
        <w:numPr>
          <w:ilvl w:val="0"/>
          <w:numId w:val="3"/>
        </w:numPr>
        <w:autoSpaceDE w:val="0"/>
        <w:autoSpaceDN w:val="0"/>
        <w:adjustRightInd w:val="0"/>
        <w:spacing w:after="0" w:line="360" w:lineRule="auto"/>
        <w:jc w:val="both"/>
        <w:rPr>
          <w:rFonts w:cs="Arial"/>
          <w:szCs w:val="24"/>
        </w:rPr>
      </w:pPr>
      <w:r w:rsidRPr="00AF5CD3">
        <w:rPr>
          <w:rFonts w:cs="Arial"/>
          <w:szCs w:val="24"/>
        </w:rPr>
        <w:t xml:space="preserve">The new clause refers to a “health service body” as defined in section </w:t>
      </w:r>
      <w:r w:rsidR="004912D7">
        <w:rPr>
          <w:rFonts w:cs="Arial"/>
          <w:szCs w:val="24"/>
        </w:rPr>
        <w:t>7(</w:t>
      </w:r>
      <w:r w:rsidRPr="00AF5CD3">
        <w:rPr>
          <w:rFonts w:cs="Arial"/>
          <w:szCs w:val="24"/>
        </w:rPr>
        <w:t xml:space="preserve">4) of the NHS Act </w:t>
      </w:r>
      <w:r w:rsidR="004912D7">
        <w:rPr>
          <w:rFonts w:cs="Arial"/>
          <w:szCs w:val="24"/>
        </w:rPr>
        <w:t xml:space="preserve">(Wales) </w:t>
      </w:r>
      <w:r w:rsidRPr="00AF5CD3">
        <w:rPr>
          <w:rFonts w:cs="Arial"/>
          <w:szCs w:val="24"/>
        </w:rPr>
        <w:t xml:space="preserve">2006. Some of the bodies listed in that provision exercise functions in relation to Wales, Scotland or Northern Ireland. However, section </w:t>
      </w:r>
      <w:r w:rsidR="004912D7">
        <w:rPr>
          <w:rFonts w:cs="Arial"/>
          <w:szCs w:val="24"/>
        </w:rPr>
        <w:t>88</w:t>
      </w:r>
      <w:r w:rsidRPr="00AF5CD3">
        <w:rPr>
          <w:rFonts w:cs="Arial"/>
          <w:szCs w:val="24"/>
        </w:rPr>
        <w:t xml:space="preserve">, as amended by the new clause, would still apply only to </w:t>
      </w:r>
      <w:r w:rsidR="004912D7">
        <w:rPr>
          <w:rFonts w:cs="Arial"/>
          <w:szCs w:val="24"/>
        </w:rPr>
        <w:t>Wales</w:t>
      </w:r>
      <w:r w:rsidRPr="00AF5CD3">
        <w:rPr>
          <w:rFonts w:cs="Arial"/>
          <w:szCs w:val="24"/>
        </w:rPr>
        <w:t xml:space="preserve">. This is because the references to a “health service body” in the amendments to section </w:t>
      </w:r>
      <w:r w:rsidR="004912D7">
        <w:rPr>
          <w:rFonts w:cs="Arial"/>
          <w:szCs w:val="24"/>
        </w:rPr>
        <w:t>88</w:t>
      </w:r>
      <w:r w:rsidRPr="00AF5CD3">
        <w:rPr>
          <w:rFonts w:cs="Arial"/>
          <w:szCs w:val="24"/>
        </w:rPr>
        <w:t xml:space="preserve"> </w:t>
      </w:r>
      <w:r>
        <w:rPr>
          <w:rFonts w:cs="Arial"/>
          <w:szCs w:val="24"/>
        </w:rPr>
        <w:t>make up</w:t>
      </w:r>
      <w:r w:rsidRPr="00AF5CD3">
        <w:rPr>
          <w:rFonts w:cs="Arial"/>
          <w:szCs w:val="24"/>
        </w:rPr>
        <w:t xml:space="preserve"> part of the description of the type of circumstances in which reimbursement will or will not be made to persons providing phar</w:t>
      </w:r>
      <w:r>
        <w:rPr>
          <w:rFonts w:cs="Arial"/>
          <w:szCs w:val="24"/>
        </w:rPr>
        <w:t xml:space="preserve">maceutical services in </w:t>
      </w:r>
      <w:r w:rsidR="004912D7">
        <w:rPr>
          <w:rFonts w:cs="Arial"/>
          <w:szCs w:val="24"/>
        </w:rPr>
        <w:t>Wales</w:t>
      </w:r>
      <w:r>
        <w:rPr>
          <w:rFonts w:cs="Arial"/>
          <w:szCs w:val="24"/>
        </w:rPr>
        <w:t xml:space="preserve">. Therefore, the operative part aspect of section </w:t>
      </w:r>
      <w:r w:rsidR="004912D7">
        <w:rPr>
          <w:rFonts w:cs="Arial"/>
          <w:szCs w:val="24"/>
        </w:rPr>
        <w:t>88</w:t>
      </w:r>
      <w:r>
        <w:rPr>
          <w:rFonts w:cs="Arial"/>
          <w:szCs w:val="24"/>
        </w:rPr>
        <w:t xml:space="preserve"> would still only relate to </w:t>
      </w:r>
      <w:r w:rsidR="004912D7">
        <w:rPr>
          <w:rFonts w:cs="Arial"/>
          <w:szCs w:val="24"/>
        </w:rPr>
        <w:t>Wales</w:t>
      </w:r>
      <w:r>
        <w:rPr>
          <w:rFonts w:cs="Arial"/>
          <w:szCs w:val="24"/>
        </w:rPr>
        <w:t>.</w:t>
      </w:r>
    </w:p>
    <w:p w14:paraId="2445A760" w14:textId="77777777" w:rsidR="004912D7" w:rsidRDefault="004912D7" w:rsidP="00C758D8">
      <w:pPr>
        <w:autoSpaceDE w:val="0"/>
        <w:autoSpaceDN w:val="0"/>
        <w:adjustRightInd w:val="0"/>
        <w:spacing w:after="0" w:line="360" w:lineRule="auto"/>
        <w:jc w:val="both"/>
        <w:rPr>
          <w:rFonts w:cs="Arial"/>
          <w:szCs w:val="24"/>
        </w:rPr>
      </w:pPr>
    </w:p>
    <w:p w14:paraId="1F32DCA1" w14:textId="77777777" w:rsidR="004912D7" w:rsidRPr="0025789C" w:rsidRDefault="004912D7" w:rsidP="00C758D8">
      <w:pPr>
        <w:autoSpaceDE w:val="0"/>
        <w:autoSpaceDN w:val="0"/>
        <w:adjustRightInd w:val="0"/>
        <w:spacing w:after="0" w:line="360" w:lineRule="auto"/>
        <w:jc w:val="both"/>
        <w:rPr>
          <w:rFonts w:cs="Arial"/>
          <w:i/>
          <w:szCs w:val="24"/>
          <w:u w:val="single"/>
        </w:rPr>
      </w:pPr>
      <w:r w:rsidRPr="0025789C">
        <w:rPr>
          <w:rFonts w:cs="Arial"/>
          <w:i/>
          <w:szCs w:val="24"/>
          <w:u w:val="single"/>
        </w:rPr>
        <w:t xml:space="preserve">Certification </w:t>
      </w:r>
    </w:p>
    <w:p w14:paraId="7D46BC4A" w14:textId="77777777" w:rsidR="004912D7" w:rsidRPr="0025789C" w:rsidRDefault="004912D7" w:rsidP="00C758D8">
      <w:pPr>
        <w:autoSpaceDE w:val="0"/>
        <w:autoSpaceDN w:val="0"/>
        <w:adjustRightInd w:val="0"/>
        <w:spacing w:after="0" w:line="360" w:lineRule="auto"/>
        <w:jc w:val="both"/>
        <w:rPr>
          <w:rFonts w:cs="Arial"/>
          <w:szCs w:val="24"/>
        </w:rPr>
      </w:pPr>
    </w:p>
    <w:p w14:paraId="1DB25EBE" w14:textId="2C4F4806" w:rsidR="004912D7" w:rsidRDefault="004912D7" w:rsidP="00C758D8">
      <w:pPr>
        <w:pStyle w:val="ListParagraph"/>
        <w:numPr>
          <w:ilvl w:val="0"/>
          <w:numId w:val="3"/>
        </w:numPr>
        <w:autoSpaceDE w:val="0"/>
        <w:autoSpaceDN w:val="0"/>
        <w:adjustRightInd w:val="0"/>
        <w:spacing w:after="0" w:line="360" w:lineRule="auto"/>
        <w:jc w:val="both"/>
        <w:rPr>
          <w:rFonts w:cs="Arial"/>
          <w:szCs w:val="24"/>
        </w:rPr>
      </w:pPr>
      <w:r w:rsidRPr="0025789C">
        <w:rPr>
          <w:rFonts w:cs="Arial"/>
          <w:szCs w:val="24"/>
        </w:rPr>
        <w:lastRenderedPageBreak/>
        <w:t xml:space="preserve">The Department considers that </w:t>
      </w:r>
      <w:r w:rsidR="000955E7">
        <w:rPr>
          <w:rFonts w:cs="Arial"/>
          <w:szCs w:val="24"/>
        </w:rPr>
        <w:t xml:space="preserve">as </w:t>
      </w:r>
      <w:r w:rsidRPr="0025789C">
        <w:rPr>
          <w:rFonts w:cs="Arial"/>
          <w:szCs w:val="24"/>
        </w:rPr>
        <w:t xml:space="preserve">the new clause </w:t>
      </w:r>
      <w:r>
        <w:rPr>
          <w:rFonts w:cs="Arial"/>
          <w:szCs w:val="24"/>
        </w:rPr>
        <w:t xml:space="preserve">inserted by Lords amendment </w:t>
      </w:r>
      <w:r w:rsidR="000955E7">
        <w:rPr>
          <w:rFonts w:cs="Arial"/>
          <w:szCs w:val="24"/>
        </w:rPr>
        <w:t>2</w:t>
      </w:r>
      <w:r>
        <w:rPr>
          <w:rFonts w:cs="Arial"/>
          <w:szCs w:val="24"/>
        </w:rPr>
        <w:t xml:space="preserve"> </w:t>
      </w:r>
      <w:r w:rsidR="000955E7">
        <w:rPr>
          <w:rFonts w:cs="Arial"/>
          <w:szCs w:val="24"/>
        </w:rPr>
        <w:t xml:space="preserve">relates exclusively to Wales, </w:t>
      </w:r>
      <w:r w:rsidR="005F3E0F">
        <w:rPr>
          <w:rFonts w:cs="Arial"/>
          <w:szCs w:val="24"/>
        </w:rPr>
        <w:t xml:space="preserve">the amendment </w:t>
      </w:r>
      <w:r w:rsidRPr="0025789C">
        <w:rPr>
          <w:rFonts w:cs="Arial"/>
          <w:szCs w:val="24"/>
        </w:rPr>
        <w:t xml:space="preserve">should </w:t>
      </w:r>
      <w:r>
        <w:rPr>
          <w:rFonts w:cs="Arial"/>
          <w:szCs w:val="24"/>
        </w:rPr>
        <w:t xml:space="preserve">not </w:t>
      </w:r>
      <w:r w:rsidRPr="0025789C">
        <w:rPr>
          <w:rFonts w:cs="Arial"/>
          <w:szCs w:val="24"/>
        </w:rPr>
        <w:t xml:space="preserve">be certified </w:t>
      </w:r>
      <w:r>
        <w:rPr>
          <w:rFonts w:cs="Arial"/>
          <w:szCs w:val="24"/>
        </w:rPr>
        <w:t xml:space="preserve">as </w:t>
      </w:r>
      <w:r w:rsidR="005F3E0F">
        <w:rPr>
          <w:rFonts w:cs="Arial"/>
          <w:szCs w:val="24"/>
        </w:rPr>
        <w:t xml:space="preserve">one </w:t>
      </w:r>
      <w:r w:rsidRPr="0025789C">
        <w:rPr>
          <w:rFonts w:cs="Arial"/>
          <w:szCs w:val="24"/>
        </w:rPr>
        <w:t xml:space="preserve">to which </w:t>
      </w:r>
      <w:r w:rsidR="005F3E0F">
        <w:rPr>
          <w:rFonts w:cs="Arial"/>
          <w:szCs w:val="24"/>
        </w:rPr>
        <w:t xml:space="preserve">the </w:t>
      </w:r>
      <w:r w:rsidRPr="0025789C">
        <w:rPr>
          <w:rFonts w:cs="Arial"/>
          <w:szCs w:val="24"/>
        </w:rPr>
        <w:t xml:space="preserve">English Votes for English Laws </w:t>
      </w:r>
      <w:r w:rsidR="005F3E0F">
        <w:rPr>
          <w:rFonts w:cs="Arial"/>
          <w:szCs w:val="24"/>
        </w:rPr>
        <w:t xml:space="preserve">procedure </w:t>
      </w:r>
      <w:r w:rsidRPr="0025789C">
        <w:rPr>
          <w:rFonts w:cs="Arial"/>
          <w:szCs w:val="24"/>
        </w:rPr>
        <w:t xml:space="preserve">applies. </w:t>
      </w:r>
    </w:p>
    <w:p w14:paraId="2A309929" w14:textId="77777777" w:rsidR="004912D7" w:rsidRDefault="004912D7" w:rsidP="00C758D8">
      <w:pPr>
        <w:autoSpaceDE w:val="0"/>
        <w:autoSpaceDN w:val="0"/>
        <w:adjustRightInd w:val="0"/>
        <w:spacing w:after="0" w:line="360" w:lineRule="auto"/>
        <w:jc w:val="both"/>
        <w:rPr>
          <w:rFonts w:cs="Arial"/>
          <w:szCs w:val="24"/>
        </w:rPr>
      </w:pPr>
    </w:p>
    <w:p w14:paraId="1E6BDCE0" w14:textId="11E095FA" w:rsidR="004912D7" w:rsidRPr="004912D7" w:rsidRDefault="004912D7" w:rsidP="00C758D8">
      <w:pPr>
        <w:autoSpaceDE w:val="0"/>
        <w:autoSpaceDN w:val="0"/>
        <w:adjustRightInd w:val="0"/>
        <w:spacing w:after="0" w:line="360" w:lineRule="auto"/>
        <w:jc w:val="both"/>
        <w:rPr>
          <w:rFonts w:cs="Arial"/>
          <w:i/>
          <w:szCs w:val="24"/>
          <w:u w:val="single"/>
        </w:rPr>
      </w:pPr>
      <w:r w:rsidRPr="004912D7">
        <w:rPr>
          <w:rFonts w:cs="Arial"/>
          <w:i/>
          <w:szCs w:val="24"/>
          <w:u w:val="single"/>
        </w:rPr>
        <w:t xml:space="preserve">Related Lords Amendments to Lords Amendment </w:t>
      </w:r>
      <w:r w:rsidR="000955E7">
        <w:rPr>
          <w:rFonts w:cs="Arial"/>
          <w:i/>
          <w:szCs w:val="24"/>
          <w:u w:val="single"/>
        </w:rPr>
        <w:t>2</w:t>
      </w:r>
    </w:p>
    <w:p w14:paraId="0A133884" w14:textId="77777777" w:rsidR="004912D7" w:rsidRPr="004912D7" w:rsidRDefault="004912D7" w:rsidP="00C758D8">
      <w:pPr>
        <w:autoSpaceDE w:val="0"/>
        <w:autoSpaceDN w:val="0"/>
        <w:adjustRightInd w:val="0"/>
        <w:spacing w:after="0" w:line="360" w:lineRule="auto"/>
        <w:jc w:val="both"/>
        <w:rPr>
          <w:rFonts w:cs="Arial"/>
          <w:szCs w:val="24"/>
        </w:rPr>
      </w:pPr>
    </w:p>
    <w:p w14:paraId="619B6F9E" w14:textId="2F8898B6" w:rsidR="00081C84" w:rsidRPr="004912D7" w:rsidRDefault="00081C84" w:rsidP="00C758D8">
      <w:pPr>
        <w:autoSpaceDE w:val="0"/>
        <w:autoSpaceDN w:val="0"/>
        <w:adjustRightInd w:val="0"/>
        <w:spacing w:after="0" w:line="360" w:lineRule="auto"/>
        <w:jc w:val="both"/>
        <w:rPr>
          <w:rFonts w:cs="Arial"/>
          <w:szCs w:val="24"/>
        </w:rPr>
      </w:pPr>
      <w:r w:rsidRPr="004912D7">
        <w:rPr>
          <w:rFonts w:cs="Arial"/>
          <w:szCs w:val="24"/>
        </w:rPr>
        <w:t xml:space="preserve">   </w:t>
      </w:r>
    </w:p>
    <w:p w14:paraId="6BD4D5CC" w14:textId="1AC997CE" w:rsidR="00C824DE" w:rsidRDefault="000955E7" w:rsidP="00C758D8">
      <w:pPr>
        <w:pStyle w:val="ListParagraph"/>
        <w:numPr>
          <w:ilvl w:val="0"/>
          <w:numId w:val="3"/>
        </w:numPr>
        <w:autoSpaceDE w:val="0"/>
        <w:autoSpaceDN w:val="0"/>
        <w:adjustRightInd w:val="0"/>
        <w:spacing w:after="0" w:line="360" w:lineRule="auto"/>
        <w:jc w:val="both"/>
        <w:rPr>
          <w:rFonts w:cs="Arial"/>
          <w:szCs w:val="24"/>
        </w:rPr>
      </w:pPr>
      <w:r>
        <w:rPr>
          <w:rFonts w:cs="Arial"/>
          <w:szCs w:val="24"/>
        </w:rPr>
        <w:t>Lords amendments 18 and 21 relate to the new clause added by Lords</w:t>
      </w:r>
      <w:r w:rsidR="00C824DE">
        <w:rPr>
          <w:rFonts w:cs="Arial"/>
          <w:szCs w:val="24"/>
        </w:rPr>
        <w:t xml:space="preserve"> amendment</w:t>
      </w:r>
      <w:r>
        <w:rPr>
          <w:rFonts w:cs="Arial"/>
          <w:szCs w:val="24"/>
        </w:rPr>
        <w:t xml:space="preserve"> 2. As</w:t>
      </w:r>
      <w:r w:rsidR="00C824DE">
        <w:rPr>
          <w:rFonts w:cs="Arial"/>
          <w:szCs w:val="24"/>
        </w:rPr>
        <w:t xml:space="preserve"> </w:t>
      </w:r>
      <w:r>
        <w:rPr>
          <w:rFonts w:cs="Arial"/>
          <w:szCs w:val="24"/>
        </w:rPr>
        <w:t xml:space="preserve">Lords amendment 2 </w:t>
      </w:r>
      <w:r w:rsidR="005F3E0F">
        <w:rPr>
          <w:rFonts w:cs="Arial"/>
          <w:szCs w:val="24"/>
        </w:rPr>
        <w:t>sh</w:t>
      </w:r>
      <w:r>
        <w:rPr>
          <w:rFonts w:cs="Arial"/>
          <w:szCs w:val="24"/>
        </w:rPr>
        <w:t xml:space="preserve">ould </w:t>
      </w:r>
      <w:r w:rsidR="00C824DE">
        <w:rPr>
          <w:rFonts w:cs="Arial"/>
          <w:szCs w:val="24"/>
        </w:rPr>
        <w:t>not</w:t>
      </w:r>
      <w:r w:rsidR="005F3E0F">
        <w:rPr>
          <w:rFonts w:cs="Arial"/>
          <w:szCs w:val="24"/>
        </w:rPr>
        <w:t>, in the Department’s view,</w:t>
      </w:r>
      <w:r w:rsidR="00C824DE">
        <w:rPr>
          <w:rFonts w:cs="Arial"/>
          <w:szCs w:val="24"/>
        </w:rPr>
        <w:t xml:space="preserve"> </w:t>
      </w:r>
      <w:r>
        <w:rPr>
          <w:rFonts w:cs="Arial"/>
          <w:szCs w:val="24"/>
        </w:rPr>
        <w:t>be</w:t>
      </w:r>
      <w:r w:rsidRPr="000955E7">
        <w:rPr>
          <w:rFonts w:cs="Arial"/>
          <w:szCs w:val="24"/>
        </w:rPr>
        <w:t xml:space="preserve"> </w:t>
      </w:r>
      <w:r w:rsidRPr="0025789C">
        <w:rPr>
          <w:rFonts w:cs="Arial"/>
          <w:szCs w:val="24"/>
        </w:rPr>
        <w:t xml:space="preserve">certified </w:t>
      </w:r>
      <w:r>
        <w:rPr>
          <w:rFonts w:cs="Arial"/>
          <w:szCs w:val="24"/>
        </w:rPr>
        <w:t xml:space="preserve">as </w:t>
      </w:r>
      <w:r w:rsidR="005F3E0F">
        <w:rPr>
          <w:rFonts w:cs="Arial"/>
          <w:szCs w:val="24"/>
        </w:rPr>
        <w:t xml:space="preserve">one </w:t>
      </w:r>
      <w:r w:rsidRPr="0025789C">
        <w:rPr>
          <w:rFonts w:cs="Arial"/>
          <w:szCs w:val="24"/>
        </w:rPr>
        <w:t xml:space="preserve">to which </w:t>
      </w:r>
      <w:r w:rsidR="005F3E0F">
        <w:rPr>
          <w:rFonts w:cs="Arial"/>
          <w:szCs w:val="24"/>
        </w:rPr>
        <w:t xml:space="preserve">the </w:t>
      </w:r>
      <w:r w:rsidRPr="0025789C">
        <w:rPr>
          <w:rFonts w:cs="Arial"/>
          <w:szCs w:val="24"/>
        </w:rPr>
        <w:t xml:space="preserve">English Votes for English Laws </w:t>
      </w:r>
      <w:r w:rsidR="005F3E0F">
        <w:rPr>
          <w:rFonts w:cs="Arial"/>
          <w:szCs w:val="24"/>
        </w:rPr>
        <w:t xml:space="preserve">procedure </w:t>
      </w:r>
      <w:r w:rsidRPr="0025789C">
        <w:rPr>
          <w:rFonts w:cs="Arial"/>
          <w:szCs w:val="24"/>
        </w:rPr>
        <w:t>applies</w:t>
      </w:r>
      <w:r>
        <w:rPr>
          <w:rFonts w:cs="Arial"/>
          <w:szCs w:val="24"/>
        </w:rPr>
        <w:t>, Lords amendments 18 and 21 should not</w:t>
      </w:r>
      <w:r w:rsidR="005F3E0F">
        <w:rPr>
          <w:rFonts w:cs="Arial"/>
          <w:szCs w:val="24"/>
        </w:rPr>
        <w:t>, in the Department’s view,</w:t>
      </w:r>
      <w:r>
        <w:rPr>
          <w:rFonts w:cs="Arial"/>
          <w:szCs w:val="24"/>
        </w:rPr>
        <w:t xml:space="preserve"> be certified as such either</w:t>
      </w:r>
      <w:r w:rsidRPr="0025789C">
        <w:rPr>
          <w:rFonts w:cs="Arial"/>
          <w:szCs w:val="24"/>
        </w:rPr>
        <w:t xml:space="preserve">. </w:t>
      </w:r>
    </w:p>
    <w:p w14:paraId="70971477" w14:textId="77777777" w:rsidR="000955E7" w:rsidRDefault="000955E7" w:rsidP="00C758D8">
      <w:pPr>
        <w:autoSpaceDE w:val="0"/>
        <w:autoSpaceDN w:val="0"/>
        <w:adjustRightInd w:val="0"/>
        <w:spacing w:after="0" w:line="360" w:lineRule="auto"/>
        <w:jc w:val="both"/>
        <w:rPr>
          <w:rFonts w:cs="Arial"/>
          <w:szCs w:val="24"/>
        </w:rPr>
      </w:pPr>
    </w:p>
    <w:p w14:paraId="28C70F42" w14:textId="7CD50DC0" w:rsidR="000955E7" w:rsidRPr="0025789C" w:rsidRDefault="000955E7" w:rsidP="00C758D8">
      <w:pPr>
        <w:autoSpaceDE w:val="0"/>
        <w:autoSpaceDN w:val="0"/>
        <w:adjustRightInd w:val="0"/>
        <w:spacing w:after="0" w:line="360" w:lineRule="auto"/>
        <w:jc w:val="both"/>
        <w:rPr>
          <w:rFonts w:cs="Arial"/>
          <w:b/>
          <w:szCs w:val="24"/>
          <w:u w:val="single"/>
        </w:rPr>
      </w:pPr>
      <w:r>
        <w:rPr>
          <w:rFonts w:cs="Arial"/>
          <w:b/>
          <w:szCs w:val="24"/>
          <w:u w:val="single"/>
        </w:rPr>
        <w:t>Lords Amendment 3</w:t>
      </w:r>
    </w:p>
    <w:p w14:paraId="4C8A2271" w14:textId="77777777" w:rsidR="000955E7" w:rsidRPr="000955E7" w:rsidRDefault="000955E7" w:rsidP="00C758D8">
      <w:pPr>
        <w:autoSpaceDE w:val="0"/>
        <w:autoSpaceDN w:val="0"/>
        <w:adjustRightInd w:val="0"/>
        <w:spacing w:after="0" w:line="360" w:lineRule="auto"/>
        <w:jc w:val="both"/>
        <w:rPr>
          <w:rFonts w:cs="Arial"/>
          <w:i/>
          <w:szCs w:val="24"/>
          <w:u w:val="single"/>
        </w:rPr>
      </w:pPr>
    </w:p>
    <w:p w14:paraId="5D839CBB" w14:textId="77777777" w:rsidR="000955E7" w:rsidRPr="000955E7" w:rsidRDefault="000955E7" w:rsidP="00C758D8">
      <w:pPr>
        <w:pStyle w:val="ListParagraph"/>
        <w:numPr>
          <w:ilvl w:val="0"/>
          <w:numId w:val="3"/>
        </w:numPr>
        <w:spacing w:after="0" w:line="360" w:lineRule="auto"/>
        <w:rPr>
          <w:rFonts w:cstheme="minorHAnsi"/>
        </w:rPr>
      </w:pPr>
      <w:r w:rsidRPr="000955E7">
        <w:rPr>
          <w:rFonts w:cstheme="minorHAnsi"/>
        </w:rPr>
        <w:t xml:space="preserve">Lords amendment 3 would add a new clause to the Bill, regarding factors which the Government must have regard to when seeking to secure best value for money in the purchase of medicines and medical supplies. </w:t>
      </w:r>
    </w:p>
    <w:p w14:paraId="1D20A1CE" w14:textId="77777777" w:rsidR="000955E7" w:rsidRDefault="000955E7" w:rsidP="00C758D8">
      <w:pPr>
        <w:pStyle w:val="ListParagraph"/>
        <w:spacing w:after="0" w:line="360" w:lineRule="auto"/>
        <w:ind w:left="360"/>
        <w:rPr>
          <w:rFonts w:cstheme="minorHAnsi"/>
        </w:rPr>
      </w:pPr>
    </w:p>
    <w:p w14:paraId="07EC1695" w14:textId="1E5B09B1" w:rsidR="000955E7" w:rsidRDefault="000955E7" w:rsidP="00C758D8">
      <w:pPr>
        <w:pStyle w:val="ListParagraph"/>
        <w:numPr>
          <w:ilvl w:val="0"/>
          <w:numId w:val="3"/>
        </w:numPr>
        <w:spacing w:after="0" w:line="360" w:lineRule="auto"/>
        <w:rPr>
          <w:rFonts w:cstheme="minorHAnsi"/>
        </w:rPr>
      </w:pPr>
      <w:r w:rsidRPr="000955E7">
        <w:rPr>
          <w:rFonts w:cstheme="minorHAnsi"/>
        </w:rPr>
        <w:t>The factors include promoting and supporting a growing life sciences sector in the UK and ensuring that patients have rapid access to NICE approved medicines.</w:t>
      </w:r>
    </w:p>
    <w:p w14:paraId="258F85BF" w14:textId="77777777" w:rsidR="000955E7" w:rsidRPr="000955E7" w:rsidRDefault="000955E7" w:rsidP="00C758D8">
      <w:pPr>
        <w:pStyle w:val="ListParagraph"/>
        <w:spacing w:after="0" w:line="360" w:lineRule="auto"/>
        <w:ind w:left="360"/>
        <w:rPr>
          <w:rFonts w:cstheme="minorHAnsi"/>
        </w:rPr>
      </w:pPr>
    </w:p>
    <w:p w14:paraId="0FC06EF6" w14:textId="7AA44DED" w:rsidR="00C824DE" w:rsidRDefault="000955E7" w:rsidP="00C758D8">
      <w:pPr>
        <w:pStyle w:val="ListParagraph"/>
        <w:numPr>
          <w:ilvl w:val="0"/>
          <w:numId w:val="3"/>
        </w:numPr>
        <w:autoSpaceDE w:val="0"/>
        <w:autoSpaceDN w:val="0"/>
        <w:adjustRightInd w:val="0"/>
        <w:spacing w:after="0" w:line="360" w:lineRule="auto"/>
        <w:jc w:val="both"/>
        <w:rPr>
          <w:rFonts w:cs="Arial"/>
          <w:szCs w:val="24"/>
        </w:rPr>
      </w:pPr>
      <w:r>
        <w:rPr>
          <w:rFonts w:cs="Arial"/>
          <w:szCs w:val="24"/>
        </w:rPr>
        <w:t xml:space="preserve">The new clause </w:t>
      </w:r>
      <w:r w:rsidR="00C824DE">
        <w:rPr>
          <w:rFonts w:cs="Arial"/>
          <w:szCs w:val="24"/>
        </w:rPr>
        <w:t xml:space="preserve">appears to </w:t>
      </w:r>
      <w:r w:rsidR="00C758D8">
        <w:rPr>
          <w:rFonts w:cs="Arial"/>
          <w:szCs w:val="24"/>
        </w:rPr>
        <w:t>extend</w:t>
      </w:r>
      <w:r w:rsidR="005F3E0F">
        <w:rPr>
          <w:rFonts w:cs="Arial"/>
          <w:szCs w:val="24"/>
        </w:rPr>
        <w:t xml:space="preserve"> to the </w:t>
      </w:r>
      <w:r w:rsidR="00C824DE">
        <w:rPr>
          <w:rFonts w:cs="Arial"/>
          <w:szCs w:val="24"/>
        </w:rPr>
        <w:t>UK</w:t>
      </w:r>
      <w:r w:rsidR="00C758D8">
        <w:rPr>
          <w:rFonts w:cs="Arial"/>
          <w:szCs w:val="24"/>
        </w:rPr>
        <w:t>, though part of it may only apply to England</w:t>
      </w:r>
      <w:r w:rsidR="00C824DE">
        <w:rPr>
          <w:rFonts w:cs="Arial"/>
          <w:szCs w:val="24"/>
        </w:rPr>
        <w:t xml:space="preserve">. </w:t>
      </w:r>
    </w:p>
    <w:p w14:paraId="03B6C58A" w14:textId="77777777" w:rsidR="00C3534A" w:rsidRDefault="00C3534A" w:rsidP="00C758D8">
      <w:pPr>
        <w:autoSpaceDE w:val="0"/>
        <w:autoSpaceDN w:val="0"/>
        <w:adjustRightInd w:val="0"/>
        <w:spacing w:after="0" w:line="360" w:lineRule="auto"/>
        <w:jc w:val="both"/>
        <w:rPr>
          <w:rFonts w:cs="Arial"/>
          <w:szCs w:val="24"/>
        </w:rPr>
      </w:pPr>
    </w:p>
    <w:p w14:paraId="4890459E" w14:textId="61CBA3B3" w:rsidR="00C3534A" w:rsidRPr="00C3534A" w:rsidRDefault="00C3534A" w:rsidP="00C758D8">
      <w:pPr>
        <w:autoSpaceDE w:val="0"/>
        <w:autoSpaceDN w:val="0"/>
        <w:adjustRightInd w:val="0"/>
        <w:spacing w:after="0" w:line="360" w:lineRule="auto"/>
        <w:jc w:val="both"/>
        <w:rPr>
          <w:rFonts w:cs="Arial"/>
          <w:b/>
          <w:szCs w:val="24"/>
          <w:u w:val="single"/>
        </w:rPr>
      </w:pPr>
      <w:r w:rsidRPr="00C3534A">
        <w:rPr>
          <w:rFonts w:cs="Arial"/>
          <w:b/>
          <w:szCs w:val="24"/>
          <w:u w:val="single"/>
        </w:rPr>
        <w:t>Remaining Lords Amendments</w:t>
      </w:r>
    </w:p>
    <w:p w14:paraId="0D6A5EAD" w14:textId="77777777" w:rsidR="000955E7" w:rsidRPr="000955E7" w:rsidRDefault="000955E7" w:rsidP="00C758D8">
      <w:pPr>
        <w:pStyle w:val="ListParagraph"/>
        <w:autoSpaceDE w:val="0"/>
        <w:autoSpaceDN w:val="0"/>
        <w:adjustRightInd w:val="0"/>
        <w:spacing w:after="0" w:line="360" w:lineRule="auto"/>
        <w:ind w:left="360"/>
        <w:jc w:val="both"/>
        <w:rPr>
          <w:rFonts w:cs="Arial"/>
          <w:szCs w:val="24"/>
        </w:rPr>
      </w:pPr>
    </w:p>
    <w:p w14:paraId="4A9663B1" w14:textId="771C323E" w:rsidR="00DB4606" w:rsidRPr="0025789C" w:rsidRDefault="00DB4606" w:rsidP="00C758D8">
      <w:pPr>
        <w:pStyle w:val="ListParagraph"/>
        <w:numPr>
          <w:ilvl w:val="0"/>
          <w:numId w:val="3"/>
        </w:numPr>
        <w:autoSpaceDE w:val="0"/>
        <w:autoSpaceDN w:val="0"/>
        <w:adjustRightInd w:val="0"/>
        <w:spacing w:after="0" w:line="360" w:lineRule="auto"/>
        <w:jc w:val="both"/>
        <w:rPr>
          <w:rFonts w:cs="Arial"/>
          <w:szCs w:val="24"/>
        </w:rPr>
      </w:pPr>
      <w:r w:rsidRPr="0025789C">
        <w:rPr>
          <w:rFonts w:cs="Arial"/>
          <w:szCs w:val="24"/>
        </w:rPr>
        <w:t xml:space="preserve">The remaining Lords amendments would not change the extent or application of the clauses in the Bill as first printed in the Lords. </w:t>
      </w:r>
    </w:p>
    <w:p w14:paraId="50F31EE7" w14:textId="77777777" w:rsidR="00DB4606" w:rsidRDefault="00DB4606" w:rsidP="0025789C">
      <w:pPr>
        <w:autoSpaceDE w:val="0"/>
        <w:autoSpaceDN w:val="0"/>
        <w:adjustRightInd w:val="0"/>
        <w:spacing w:after="0" w:line="360" w:lineRule="auto"/>
        <w:jc w:val="both"/>
        <w:rPr>
          <w:rFonts w:cs="Arial"/>
          <w:b/>
          <w:szCs w:val="24"/>
          <w:u w:val="single"/>
        </w:rPr>
      </w:pPr>
    </w:p>
    <w:p w14:paraId="0C4E70F1" w14:textId="77777777" w:rsidR="00C758D8" w:rsidRDefault="00C758D8" w:rsidP="0025789C">
      <w:pPr>
        <w:autoSpaceDE w:val="0"/>
        <w:autoSpaceDN w:val="0"/>
        <w:adjustRightInd w:val="0"/>
        <w:spacing w:after="0" w:line="360" w:lineRule="auto"/>
        <w:jc w:val="both"/>
        <w:rPr>
          <w:rFonts w:cs="Arial"/>
          <w:b/>
          <w:szCs w:val="24"/>
          <w:u w:val="single"/>
        </w:rPr>
      </w:pPr>
    </w:p>
    <w:p w14:paraId="384F7A22" w14:textId="77777777" w:rsidR="00C758D8" w:rsidRDefault="00C758D8" w:rsidP="0025789C">
      <w:pPr>
        <w:autoSpaceDE w:val="0"/>
        <w:autoSpaceDN w:val="0"/>
        <w:adjustRightInd w:val="0"/>
        <w:spacing w:after="0" w:line="360" w:lineRule="auto"/>
        <w:jc w:val="both"/>
        <w:rPr>
          <w:rFonts w:cs="Arial"/>
          <w:b/>
          <w:szCs w:val="24"/>
          <w:u w:val="single"/>
        </w:rPr>
      </w:pPr>
    </w:p>
    <w:p w14:paraId="5C0D471D" w14:textId="77777777" w:rsidR="00C758D8" w:rsidRDefault="00C758D8" w:rsidP="0025789C">
      <w:pPr>
        <w:autoSpaceDE w:val="0"/>
        <w:autoSpaceDN w:val="0"/>
        <w:adjustRightInd w:val="0"/>
        <w:spacing w:after="0" w:line="360" w:lineRule="auto"/>
        <w:jc w:val="both"/>
        <w:rPr>
          <w:rFonts w:cs="Arial"/>
          <w:b/>
          <w:szCs w:val="24"/>
          <w:u w:val="single"/>
        </w:rPr>
      </w:pPr>
    </w:p>
    <w:p w14:paraId="046DF86F" w14:textId="77777777" w:rsidR="00C758D8" w:rsidRDefault="00C758D8" w:rsidP="0025789C">
      <w:pPr>
        <w:autoSpaceDE w:val="0"/>
        <w:autoSpaceDN w:val="0"/>
        <w:adjustRightInd w:val="0"/>
        <w:spacing w:after="0" w:line="360" w:lineRule="auto"/>
        <w:jc w:val="both"/>
        <w:rPr>
          <w:rFonts w:cs="Arial"/>
          <w:b/>
          <w:szCs w:val="24"/>
          <w:u w:val="single"/>
        </w:rPr>
      </w:pPr>
    </w:p>
    <w:p w14:paraId="259A43B9" w14:textId="77777777" w:rsidR="00C758D8" w:rsidRPr="0025789C" w:rsidRDefault="00C758D8" w:rsidP="0025789C">
      <w:pPr>
        <w:autoSpaceDE w:val="0"/>
        <w:autoSpaceDN w:val="0"/>
        <w:adjustRightInd w:val="0"/>
        <w:spacing w:after="0" w:line="360" w:lineRule="auto"/>
        <w:jc w:val="both"/>
        <w:rPr>
          <w:rFonts w:cs="Arial"/>
          <w:b/>
          <w:szCs w:val="24"/>
          <w:u w:val="single"/>
        </w:rPr>
      </w:pPr>
    </w:p>
    <w:p w14:paraId="5C681833" w14:textId="41A7A2FE" w:rsidR="00795B86" w:rsidRDefault="0025789C" w:rsidP="0025789C">
      <w:pPr>
        <w:spacing w:after="0" w:line="360" w:lineRule="auto"/>
        <w:jc w:val="both"/>
        <w:rPr>
          <w:rFonts w:cs="Arial"/>
          <w:szCs w:val="24"/>
        </w:rPr>
      </w:pPr>
      <w:r w:rsidRPr="0025789C">
        <w:rPr>
          <w:rFonts w:cs="Arial"/>
          <w:b/>
          <w:szCs w:val="24"/>
          <w:u w:val="single"/>
        </w:rPr>
        <w:t>Territorial Extent and Application of the Lords Amendments in the United Kingdom</w:t>
      </w:r>
      <w:r w:rsidRPr="0025789C">
        <w:rPr>
          <w:rFonts w:cs="Arial"/>
          <w:szCs w:val="24"/>
        </w:rPr>
        <w:t xml:space="preserve"> </w:t>
      </w:r>
    </w:p>
    <w:p w14:paraId="7E5916A4" w14:textId="77777777" w:rsidR="001A436A" w:rsidRPr="0025789C" w:rsidRDefault="001A436A" w:rsidP="0025789C">
      <w:pPr>
        <w:spacing w:after="0" w:line="360" w:lineRule="auto"/>
        <w:jc w:val="both"/>
        <w:rPr>
          <w:rFonts w:cs="Arial"/>
          <w:szCs w:val="24"/>
        </w:rPr>
      </w:pPr>
    </w:p>
    <w:tbl>
      <w:tblPr>
        <w:tblStyle w:val="TableGrid"/>
        <w:tblW w:w="0" w:type="auto"/>
        <w:tblLook w:val="04A0" w:firstRow="1" w:lastRow="0" w:firstColumn="1" w:lastColumn="0" w:noHBand="0" w:noVBand="1"/>
      </w:tblPr>
      <w:tblGrid>
        <w:gridCol w:w="955"/>
        <w:gridCol w:w="949"/>
        <w:gridCol w:w="919"/>
        <w:gridCol w:w="966"/>
        <w:gridCol w:w="953"/>
        <w:gridCol w:w="1172"/>
        <w:gridCol w:w="1172"/>
        <w:gridCol w:w="1172"/>
        <w:gridCol w:w="984"/>
      </w:tblGrid>
      <w:tr w:rsidR="00795B86" w14:paraId="528DEDD6" w14:textId="77777777" w:rsidTr="00DB4606">
        <w:tc>
          <w:tcPr>
            <w:tcW w:w="955" w:type="dxa"/>
          </w:tcPr>
          <w:p w14:paraId="2075340C" w14:textId="77777777" w:rsidR="00795B86" w:rsidRDefault="00795B86" w:rsidP="00795B86">
            <w:pPr>
              <w:pStyle w:val="Default"/>
              <w:rPr>
                <w:sz w:val="16"/>
                <w:szCs w:val="16"/>
              </w:rPr>
            </w:pPr>
            <w:r>
              <w:rPr>
                <w:b/>
                <w:bCs/>
                <w:sz w:val="16"/>
                <w:szCs w:val="16"/>
              </w:rPr>
              <w:t xml:space="preserve">Provision </w:t>
            </w:r>
          </w:p>
        </w:tc>
        <w:tc>
          <w:tcPr>
            <w:tcW w:w="949" w:type="dxa"/>
          </w:tcPr>
          <w:p w14:paraId="4B5A69D4" w14:textId="77777777" w:rsidR="00795B86" w:rsidRDefault="00795B86" w:rsidP="00795B86">
            <w:r>
              <w:rPr>
                <w:b/>
                <w:bCs/>
                <w:sz w:val="16"/>
                <w:szCs w:val="16"/>
              </w:rPr>
              <w:t>Extends to E &amp; W and applies to England?</w:t>
            </w:r>
          </w:p>
        </w:tc>
        <w:tc>
          <w:tcPr>
            <w:tcW w:w="919" w:type="dxa"/>
          </w:tcPr>
          <w:p w14:paraId="669AD011" w14:textId="77777777" w:rsidR="00795B86" w:rsidRDefault="00795B86" w:rsidP="00795B86">
            <w:pPr>
              <w:pStyle w:val="Default"/>
              <w:rPr>
                <w:sz w:val="16"/>
                <w:szCs w:val="16"/>
              </w:rPr>
            </w:pPr>
            <w:r>
              <w:rPr>
                <w:b/>
                <w:bCs/>
                <w:sz w:val="16"/>
                <w:szCs w:val="16"/>
              </w:rPr>
              <w:t xml:space="preserve">Extends to E &amp; W and applies to Wales? </w:t>
            </w:r>
          </w:p>
        </w:tc>
        <w:tc>
          <w:tcPr>
            <w:tcW w:w="966" w:type="dxa"/>
          </w:tcPr>
          <w:p w14:paraId="5C2D0526" w14:textId="77777777" w:rsidR="00795B86" w:rsidRDefault="00795B86" w:rsidP="00795B86">
            <w:r>
              <w:rPr>
                <w:b/>
                <w:bCs/>
                <w:sz w:val="16"/>
                <w:szCs w:val="16"/>
              </w:rPr>
              <w:t>Extends and applies to Scotland?</w:t>
            </w:r>
          </w:p>
        </w:tc>
        <w:tc>
          <w:tcPr>
            <w:tcW w:w="953" w:type="dxa"/>
          </w:tcPr>
          <w:p w14:paraId="462B6F00" w14:textId="77777777" w:rsidR="00795B86" w:rsidRDefault="00795B86" w:rsidP="00795B86">
            <w:r>
              <w:rPr>
                <w:b/>
                <w:bCs/>
                <w:sz w:val="16"/>
                <w:szCs w:val="16"/>
              </w:rPr>
              <w:t>Extends and applies to Northern Ireland?</w:t>
            </w:r>
          </w:p>
        </w:tc>
        <w:tc>
          <w:tcPr>
            <w:tcW w:w="1172" w:type="dxa"/>
          </w:tcPr>
          <w:p w14:paraId="0B4E37EF" w14:textId="77777777" w:rsidR="00795B86" w:rsidRDefault="00795B86" w:rsidP="00795B86">
            <w:r>
              <w:rPr>
                <w:b/>
                <w:bCs/>
                <w:sz w:val="16"/>
                <w:szCs w:val="16"/>
              </w:rPr>
              <w:t>Would corresponding provision be within the competence of the National Assembly for Wales?</w:t>
            </w:r>
          </w:p>
        </w:tc>
        <w:tc>
          <w:tcPr>
            <w:tcW w:w="1172" w:type="dxa"/>
          </w:tcPr>
          <w:p w14:paraId="52C472A3" w14:textId="77777777" w:rsidR="00795B86" w:rsidRDefault="00795B86" w:rsidP="00795B86">
            <w:r>
              <w:rPr>
                <w:b/>
                <w:bCs/>
                <w:sz w:val="16"/>
                <w:szCs w:val="16"/>
              </w:rPr>
              <w:t>Would corresponding provision be within the competence of the Scottish Parliament?</w:t>
            </w:r>
          </w:p>
        </w:tc>
        <w:tc>
          <w:tcPr>
            <w:tcW w:w="1172" w:type="dxa"/>
          </w:tcPr>
          <w:p w14:paraId="556EB480" w14:textId="77777777" w:rsidR="00795B86" w:rsidRDefault="00795B86" w:rsidP="00795B86">
            <w:r>
              <w:rPr>
                <w:b/>
                <w:bCs/>
                <w:sz w:val="16"/>
                <w:szCs w:val="16"/>
              </w:rPr>
              <w:t>Would corresponding provision be within the competence of the Northern Ireland Assembly?</w:t>
            </w:r>
          </w:p>
        </w:tc>
        <w:tc>
          <w:tcPr>
            <w:tcW w:w="984" w:type="dxa"/>
          </w:tcPr>
          <w:p w14:paraId="130F71D0" w14:textId="77777777" w:rsidR="00795B86" w:rsidRDefault="00795B86" w:rsidP="00795B86">
            <w:r>
              <w:rPr>
                <w:b/>
                <w:bCs/>
                <w:sz w:val="16"/>
                <w:szCs w:val="16"/>
              </w:rPr>
              <w:t>Legislative Consent Motion needed?</w:t>
            </w:r>
          </w:p>
        </w:tc>
      </w:tr>
      <w:tr w:rsidR="0046656B" w14:paraId="25004EC6" w14:textId="77777777" w:rsidTr="00DB4606">
        <w:tc>
          <w:tcPr>
            <w:tcW w:w="955" w:type="dxa"/>
          </w:tcPr>
          <w:p w14:paraId="0C66FC69" w14:textId="643EDF04" w:rsidR="0046656B" w:rsidRDefault="00DB4606" w:rsidP="001E6B2D">
            <w:r>
              <w:t xml:space="preserve">LA </w:t>
            </w:r>
            <w:r w:rsidR="0046656B">
              <w:t xml:space="preserve">1 </w:t>
            </w:r>
            <w:r>
              <w:t>– new clause</w:t>
            </w:r>
          </w:p>
        </w:tc>
        <w:tc>
          <w:tcPr>
            <w:tcW w:w="949" w:type="dxa"/>
          </w:tcPr>
          <w:p w14:paraId="65EE04AF" w14:textId="68E435E7" w:rsidR="0046656B" w:rsidRDefault="0046656B" w:rsidP="00795B86">
            <w:r>
              <w:t>Yes</w:t>
            </w:r>
          </w:p>
        </w:tc>
        <w:tc>
          <w:tcPr>
            <w:tcW w:w="919" w:type="dxa"/>
          </w:tcPr>
          <w:p w14:paraId="7736A4C8" w14:textId="3B7B3583" w:rsidR="0046656B" w:rsidRDefault="00DB4606" w:rsidP="00795B86">
            <w:r>
              <w:t>No</w:t>
            </w:r>
          </w:p>
        </w:tc>
        <w:tc>
          <w:tcPr>
            <w:tcW w:w="966" w:type="dxa"/>
          </w:tcPr>
          <w:p w14:paraId="065C8C7D" w14:textId="7ECA0574" w:rsidR="0046656B" w:rsidRDefault="00DB4606" w:rsidP="00795B86">
            <w:r>
              <w:t>No</w:t>
            </w:r>
          </w:p>
        </w:tc>
        <w:tc>
          <w:tcPr>
            <w:tcW w:w="953" w:type="dxa"/>
          </w:tcPr>
          <w:p w14:paraId="27864664" w14:textId="6651C4FE" w:rsidR="0046656B" w:rsidRDefault="00DB4606" w:rsidP="00795B86">
            <w:r>
              <w:t>No</w:t>
            </w:r>
          </w:p>
        </w:tc>
        <w:tc>
          <w:tcPr>
            <w:tcW w:w="1172" w:type="dxa"/>
          </w:tcPr>
          <w:p w14:paraId="65473FE5" w14:textId="7DE2114B" w:rsidR="0046656B" w:rsidDel="008E487E" w:rsidRDefault="00DB4606" w:rsidP="00795B86">
            <w:r>
              <w:t>Yes</w:t>
            </w:r>
          </w:p>
        </w:tc>
        <w:tc>
          <w:tcPr>
            <w:tcW w:w="1172" w:type="dxa"/>
          </w:tcPr>
          <w:p w14:paraId="796B1EA9" w14:textId="79D55AA0" w:rsidR="0046656B" w:rsidRDefault="00DB4606" w:rsidP="00795B86">
            <w:r>
              <w:t>Yes</w:t>
            </w:r>
          </w:p>
        </w:tc>
        <w:tc>
          <w:tcPr>
            <w:tcW w:w="1172" w:type="dxa"/>
          </w:tcPr>
          <w:p w14:paraId="1D843DDF" w14:textId="44D698A4" w:rsidR="0046656B" w:rsidRDefault="00DB4606" w:rsidP="00795B86">
            <w:r>
              <w:t>Yes</w:t>
            </w:r>
          </w:p>
        </w:tc>
        <w:tc>
          <w:tcPr>
            <w:tcW w:w="984" w:type="dxa"/>
          </w:tcPr>
          <w:p w14:paraId="75464CE1" w14:textId="69D7DD2F" w:rsidR="0046656B" w:rsidRDefault="00DB4606" w:rsidP="00795B86">
            <w:r>
              <w:t>No</w:t>
            </w:r>
            <w:r w:rsidR="0046656B">
              <w:t xml:space="preserve"> </w:t>
            </w:r>
          </w:p>
        </w:tc>
      </w:tr>
      <w:tr w:rsidR="0046656B" w14:paraId="40D691B6" w14:textId="77777777" w:rsidTr="00DB4606">
        <w:tc>
          <w:tcPr>
            <w:tcW w:w="955" w:type="dxa"/>
          </w:tcPr>
          <w:p w14:paraId="2E6C1736" w14:textId="29D3FDF2" w:rsidR="0046656B" w:rsidRDefault="00DB4606" w:rsidP="001E6B2D">
            <w:r>
              <w:t xml:space="preserve">LA </w:t>
            </w:r>
            <w:r w:rsidR="0046656B">
              <w:t xml:space="preserve">2 </w:t>
            </w:r>
            <w:r>
              <w:t>– new clause</w:t>
            </w:r>
          </w:p>
        </w:tc>
        <w:tc>
          <w:tcPr>
            <w:tcW w:w="949" w:type="dxa"/>
          </w:tcPr>
          <w:p w14:paraId="03C34F4F" w14:textId="4708B511" w:rsidR="0046656B" w:rsidRDefault="00DB4606" w:rsidP="00795B86">
            <w:r>
              <w:t>No</w:t>
            </w:r>
          </w:p>
        </w:tc>
        <w:tc>
          <w:tcPr>
            <w:tcW w:w="919" w:type="dxa"/>
          </w:tcPr>
          <w:p w14:paraId="76C63142" w14:textId="59B0974E" w:rsidR="0046656B" w:rsidRDefault="0046656B" w:rsidP="00795B86">
            <w:r>
              <w:t>Yes</w:t>
            </w:r>
          </w:p>
        </w:tc>
        <w:tc>
          <w:tcPr>
            <w:tcW w:w="966" w:type="dxa"/>
          </w:tcPr>
          <w:p w14:paraId="2C5CAD95" w14:textId="792EFFE1" w:rsidR="0046656B" w:rsidRDefault="00DB4606" w:rsidP="00795B86">
            <w:r>
              <w:t>No</w:t>
            </w:r>
          </w:p>
        </w:tc>
        <w:tc>
          <w:tcPr>
            <w:tcW w:w="953" w:type="dxa"/>
          </w:tcPr>
          <w:p w14:paraId="7A7C09A9" w14:textId="1CF9CBD1" w:rsidR="0046656B" w:rsidRDefault="001A436A" w:rsidP="00795B86">
            <w:r>
              <w:t>No</w:t>
            </w:r>
          </w:p>
        </w:tc>
        <w:tc>
          <w:tcPr>
            <w:tcW w:w="1172" w:type="dxa"/>
          </w:tcPr>
          <w:p w14:paraId="038BA51D" w14:textId="7FC8151E" w:rsidR="0046656B" w:rsidDel="008E487E" w:rsidRDefault="007E626B" w:rsidP="00795B86">
            <w:r>
              <w:t>N/A</w:t>
            </w:r>
          </w:p>
        </w:tc>
        <w:tc>
          <w:tcPr>
            <w:tcW w:w="1172" w:type="dxa"/>
          </w:tcPr>
          <w:p w14:paraId="1F4A01CF" w14:textId="39DF1084" w:rsidR="0046656B" w:rsidRDefault="007E626B" w:rsidP="00795B86">
            <w:r>
              <w:t>N/A</w:t>
            </w:r>
          </w:p>
        </w:tc>
        <w:tc>
          <w:tcPr>
            <w:tcW w:w="1172" w:type="dxa"/>
          </w:tcPr>
          <w:p w14:paraId="7534257B" w14:textId="3D897218" w:rsidR="0046656B" w:rsidRDefault="007E626B" w:rsidP="00795B86">
            <w:r>
              <w:t>N/A</w:t>
            </w:r>
          </w:p>
        </w:tc>
        <w:tc>
          <w:tcPr>
            <w:tcW w:w="984" w:type="dxa"/>
          </w:tcPr>
          <w:p w14:paraId="6C8EE43B" w14:textId="4DE8FD25" w:rsidR="0046656B" w:rsidRDefault="00EE223D" w:rsidP="00F63EE1">
            <w:r>
              <w:t>Yes (</w:t>
            </w:r>
            <w:r w:rsidR="00F63EE1">
              <w:t>W</w:t>
            </w:r>
            <w:r>
              <w:t xml:space="preserve">) </w:t>
            </w:r>
          </w:p>
        </w:tc>
      </w:tr>
      <w:tr w:rsidR="0046656B" w14:paraId="65F1BA7C" w14:textId="77777777" w:rsidTr="00DB4606">
        <w:tc>
          <w:tcPr>
            <w:tcW w:w="955" w:type="dxa"/>
          </w:tcPr>
          <w:p w14:paraId="69BB5975" w14:textId="0E33C1A1" w:rsidR="0046656B" w:rsidRDefault="00DB4606" w:rsidP="001E6B2D">
            <w:r>
              <w:t>LA</w:t>
            </w:r>
            <w:r w:rsidR="007E626B">
              <w:t xml:space="preserve"> 3</w:t>
            </w:r>
            <w:r>
              <w:t xml:space="preserve"> – new clause</w:t>
            </w:r>
          </w:p>
        </w:tc>
        <w:tc>
          <w:tcPr>
            <w:tcW w:w="949" w:type="dxa"/>
          </w:tcPr>
          <w:p w14:paraId="5363DB88" w14:textId="46454D60" w:rsidR="0046656B" w:rsidRDefault="007E626B" w:rsidP="00795B86">
            <w:r>
              <w:t>Yes</w:t>
            </w:r>
          </w:p>
        </w:tc>
        <w:tc>
          <w:tcPr>
            <w:tcW w:w="919" w:type="dxa"/>
          </w:tcPr>
          <w:p w14:paraId="38E9DE2D" w14:textId="6BB63FE7" w:rsidR="0046656B" w:rsidRDefault="007E626B" w:rsidP="00795B86">
            <w:r>
              <w:t>Yes</w:t>
            </w:r>
          </w:p>
        </w:tc>
        <w:tc>
          <w:tcPr>
            <w:tcW w:w="966" w:type="dxa"/>
          </w:tcPr>
          <w:p w14:paraId="7EFD4228" w14:textId="49BE6D90" w:rsidR="0046656B" w:rsidRDefault="007E626B" w:rsidP="00795B86">
            <w:r>
              <w:t>Yes</w:t>
            </w:r>
          </w:p>
        </w:tc>
        <w:tc>
          <w:tcPr>
            <w:tcW w:w="953" w:type="dxa"/>
          </w:tcPr>
          <w:p w14:paraId="54DFE241" w14:textId="297E15D7" w:rsidR="0046656B" w:rsidRDefault="007E626B" w:rsidP="00795B86">
            <w:r>
              <w:t>Yes</w:t>
            </w:r>
          </w:p>
        </w:tc>
        <w:tc>
          <w:tcPr>
            <w:tcW w:w="1172" w:type="dxa"/>
          </w:tcPr>
          <w:p w14:paraId="2BF7BCD8" w14:textId="65189B7D" w:rsidR="0046656B" w:rsidDel="008E487E" w:rsidRDefault="007E626B" w:rsidP="00795B86">
            <w:r>
              <w:t>N/A</w:t>
            </w:r>
          </w:p>
        </w:tc>
        <w:tc>
          <w:tcPr>
            <w:tcW w:w="1172" w:type="dxa"/>
          </w:tcPr>
          <w:p w14:paraId="5A146D27" w14:textId="7C120810" w:rsidR="0046656B" w:rsidRDefault="007E626B" w:rsidP="00795B86">
            <w:r>
              <w:t>N/A</w:t>
            </w:r>
          </w:p>
        </w:tc>
        <w:tc>
          <w:tcPr>
            <w:tcW w:w="1172" w:type="dxa"/>
          </w:tcPr>
          <w:p w14:paraId="5CAC6455" w14:textId="5ACC3F1A" w:rsidR="0046656B" w:rsidRDefault="007E626B" w:rsidP="00795B86">
            <w:r>
              <w:t>N/A</w:t>
            </w:r>
          </w:p>
        </w:tc>
        <w:tc>
          <w:tcPr>
            <w:tcW w:w="984" w:type="dxa"/>
          </w:tcPr>
          <w:p w14:paraId="5C91F1AF" w14:textId="4F781649" w:rsidR="0046656B" w:rsidRDefault="007E626B" w:rsidP="007E626B">
            <w:r>
              <w:t xml:space="preserve">Yes </w:t>
            </w:r>
            <w:r w:rsidR="00EE223D">
              <w:t>(NI)</w:t>
            </w:r>
          </w:p>
        </w:tc>
      </w:tr>
      <w:tr w:rsidR="0046656B" w14:paraId="03FC0F27" w14:textId="77777777" w:rsidTr="00DB4606">
        <w:tc>
          <w:tcPr>
            <w:tcW w:w="955" w:type="dxa"/>
          </w:tcPr>
          <w:p w14:paraId="56C29252" w14:textId="00B91A5B" w:rsidR="0046656B" w:rsidRDefault="00DB4606" w:rsidP="001E6B2D">
            <w:r>
              <w:t xml:space="preserve">LA </w:t>
            </w:r>
            <w:r w:rsidR="007E626B">
              <w:t>4</w:t>
            </w:r>
            <w:r>
              <w:t xml:space="preserve"> – 7 - Clause 5</w:t>
            </w:r>
          </w:p>
        </w:tc>
        <w:tc>
          <w:tcPr>
            <w:tcW w:w="949" w:type="dxa"/>
          </w:tcPr>
          <w:p w14:paraId="01743520" w14:textId="26178954" w:rsidR="0046656B" w:rsidRDefault="007E626B" w:rsidP="00795B86">
            <w:r>
              <w:t>Yes</w:t>
            </w:r>
          </w:p>
        </w:tc>
        <w:tc>
          <w:tcPr>
            <w:tcW w:w="919" w:type="dxa"/>
          </w:tcPr>
          <w:p w14:paraId="6226BE3A" w14:textId="6FFC3188" w:rsidR="0046656B" w:rsidRDefault="007E626B" w:rsidP="00795B86">
            <w:r>
              <w:t>Yes</w:t>
            </w:r>
          </w:p>
        </w:tc>
        <w:tc>
          <w:tcPr>
            <w:tcW w:w="966" w:type="dxa"/>
          </w:tcPr>
          <w:p w14:paraId="035C9A5B" w14:textId="39051C54" w:rsidR="0046656B" w:rsidRDefault="007E626B" w:rsidP="00795B86">
            <w:r>
              <w:t>Yes</w:t>
            </w:r>
          </w:p>
        </w:tc>
        <w:tc>
          <w:tcPr>
            <w:tcW w:w="953" w:type="dxa"/>
          </w:tcPr>
          <w:p w14:paraId="129A477D" w14:textId="141C87FA" w:rsidR="0046656B" w:rsidRDefault="007E626B" w:rsidP="00795B86">
            <w:r>
              <w:t>Yes</w:t>
            </w:r>
          </w:p>
        </w:tc>
        <w:tc>
          <w:tcPr>
            <w:tcW w:w="1172" w:type="dxa"/>
          </w:tcPr>
          <w:p w14:paraId="43B54341" w14:textId="259943E9" w:rsidR="0046656B" w:rsidDel="008E487E" w:rsidRDefault="007E626B" w:rsidP="00795B86">
            <w:r>
              <w:t>N/A</w:t>
            </w:r>
          </w:p>
        </w:tc>
        <w:tc>
          <w:tcPr>
            <w:tcW w:w="1172" w:type="dxa"/>
          </w:tcPr>
          <w:p w14:paraId="1BE1DAF9" w14:textId="03CEFD11" w:rsidR="0046656B" w:rsidRDefault="007E626B" w:rsidP="00795B86">
            <w:r>
              <w:t>N/A</w:t>
            </w:r>
          </w:p>
        </w:tc>
        <w:tc>
          <w:tcPr>
            <w:tcW w:w="1172" w:type="dxa"/>
          </w:tcPr>
          <w:p w14:paraId="429A4B70" w14:textId="36CF2A3A" w:rsidR="0046656B" w:rsidRDefault="007E626B" w:rsidP="00795B86">
            <w:r>
              <w:t>N/A</w:t>
            </w:r>
          </w:p>
        </w:tc>
        <w:tc>
          <w:tcPr>
            <w:tcW w:w="984" w:type="dxa"/>
          </w:tcPr>
          <w:p w14:paraId="344CDE61" w14:textId="4CFBDDCA" w:rsidR="0046656B" w:rsidRDefault="007E626B" w:rsidP="007E626B">
            <w:r>
              <w:t xml:space="preserve">Yes </w:t>
            </w:r>
            <w:r w:rsidR="00EE223D">
              <w:t>(NI)</w:t>
            </w:r>
          </w:p>
        </w:tc>
      </w:tr>
      <w:tr w:rsidR="0046656B" w14:paraId="4798F5CE" w14:textId="77777777" w:rsidTr="00DB4606">
        <w:tc>
          <w:tcPr>
            <w:tcW w:w="955" w:type="dxa"/>
          </w:tcPr>
          <w:p w14:paraId="6F833A9F" w14:textId="3AC5AFB5" w:rsidR="0046656B" w:rsidRDefault="00DB4606" w:rsidP="00DB4606">
            <w:r>
              <w:t xml:space="preserve">LA 8-10 - </w:t>
            </w:r>
            <w:r w:rsidR="007E626B">
              <w:t xml:space="preserve">Clause </w:t>
            </w:r>
            <w:r>
              <w:t>6</w:t>
            </w:r>
          </w:p>
        </w:tc>
        <w:tc>
          <w:tcPr>
            <w:tcW w:w="949" w:type="dxa"/>
          </w:tcPr>
          <w:p w14:paraId="186CD256" w14:textId="25BF15D7" w:rsidR="0046656B" w:rsidRDefault="00EE223D" w:rsidP="00795B86">
            <w:r>
              <w:t>In part</w:t>
            </w:r>
          </w:p>
        </w:tc>
        <w:tc>
          <w:tcPr>
            <w:tcW w:w="919" w:type="dxa"/>
          </w:tcPr>
          <w:p w14:paraId="21CDE85D" w14:textId="08B36137" w:rsidR="0046656B" w:rsidRDefault="00EE223D" w:rsidP="00795B86">
            <w:r>
              <w:t>In part</w:t>
            </w:r>
          </w:p>
        </w:tc>
        <w:tc>
          <w:tcPr>
            <w:tcW w:w="966" w:type="dxa"/>
          </w:tcPr>
          <w:p w14:paraId="7357F752" w14:textId="2F7B559C" w:rsidR="0046656B" w:rsidRDefault="00EE223D" w:rsidP="00795B86">
            <w:r>
              <w:t>In part</w:t>
            </w:r>
          </w:p>
        </w:tc>
        <w:tc>
          <w:tcPr>
            <w:tcW w:w="953" w:type="dxa"/>
          </w:tcPr>
          <w:p w14:paraId="10B80632" w14:textId="159C635F" w:rsidR="0046656B" w:rsidRDefault="00EE223D" w:rsidP="00795B86">
            <w:r>
              <w:t>In part</w:t>
            </w:r>
          </w:p>
        </w:tc>
        <w:tc>
          <w:tcPr>
            <w:tcW w:w="1172" w:type="dxa"/>
          </w:tcPr>
          <w:p w14:paraId="7ED253F3" w14:textId="048F8BB2" w:rsidR="0046656B" w:rsidDel="008E487E" w:rsidRDefault="007E626B" w:rsidP="00795B86">
            <w:r>
              <w:t>N/A</w:t>
            </w:r>
          </w:p>
        </w:tc>
        <w:tc>
          <w:tcPr>
            <w:tcW w:w="1172" w:type="dxa"/>
          </w:tcPr>
          <w:p w14:paraId="65EB7C6C" w14:textId="11EEEE94" w:rsidR="0046656B" w:rsidRDefault="007E626B" w:rsidP="00795B86">
            <w:r>
              <w:t>N/A</w:t>
            </w:r>
          </w:p>
        </w:tc>
        <w:tc>
          <w:tcPr>
            <w:tcW w:w="1172" w:type="dxa"/>
          </w:tcPr>
          <w:p w14:paraId="161131D9" w14:textId="16435F1D" w:rsidR="0046656B" w:rsidRDefault="007E626B" w:rsidP="00795B86">
            <w:r>
              <w:t>N/A</w:t>
            </w:r>
          </w:p>
        </w:tc>
        <w:tc>
          <w:tcPr>
            <w:tcW w:w="984" w:type="dxa"/>
          </w:tcPr>
          <w:p w14:paraId="2CB219EA" w14:textId="4C233252" w:rsidR="0046656B" w:rsidRDefault="007E626B" w:rsidP="007E626B">
            <w:r>
              <w:t>Yes</w:t>
            </w:r>
            <w:r w:rsidR="00432078">
              <w:t>, in part</w:t>
            </w:r>
            <w:r>
              <w:t xml:space="preserve"> </w:t>
            </w:r>
            <w:r w:rsidR="00EE223D">
              <w:t>(W, S, NI)</w:t>
            </w:r>
          </w:p>
        </w:tc>
      </w:tr>
      <w:tr w:rsidR="00795B86" w14:paraId="68A6F115" w14:textId="77777777" w:rsidTr="00DB4606">
        <w:tc>
          <w:tcPr>
            <w:tcW w:w="955" w:type="dxa"/>
          </w:tcPr>
          <w:p w14:paraId="29EA0A34" w14:textId="2B9CAD8E" w:rsidR="00795B86" w:rsidRDefault="00DB4606" w:rsidP="00DB4606">
            <w:r>
              <w:t>LA 11-14 – Clause 7</w:t>
            </w:r>
          </w:p>
        </w:tc>
        <w:tc>
          <w:tcPr>
            <w:tcW w:w="949" w:type="dxa"/>
          </w:tcPr>
          <w:p w14:paraId="1296301B" w14:textId="64C446F2" w:rsidR="00795B86" w:rsidRDefault="00EE223D" w:rsidP="00795B86">
            <w:r>
              <w:t>No</w:t>
            </w:r>
          </w:p>
        </w:tc>
        <w:tc>
          <w:tcPr>
            <w:tcW w:w="919" w:type="dxa"/>
          </w:tcPr>
          <w:p w14:paraId="26C02CAA" w14:textId="77777777" w:rsidR="00795B86" w:rsidRDefault="00836079" w:rsidP="00795B86">
            <w:r>
              <w:t>Yes</w:t>
            </w:r>
          </w:p>
        </w:tc>
        <w:tc>
          <w:tcPr>
            <w:tcW w:w="966" w:type="dxa"/>
          </w:tcPr>
          <w:p w14:paraId="357E39B8" w14:textId="06491A97" w:rsidR="00795B86" w:rsidRDefault="00EE223D" w:rsidP="00795B86">
            <w:r>
              <w:t>No</w:t>
            </w:r>
          </w:p>
        </w:tc>
        <w:tc>
          <w:tcPr>
            <w:tcW w:w="953" w:type="dxa"/>
          </w:tcPr>
          <w:p w14:paraId="46791804" w14:textId="03ED11D2" w:rsidR="00795B86" w:rsidRDefault="00EE223D" w:rsidP="00795B86">
            <w:r>
              <w:t>No</w:t>
            </w:r>
          </w:p>
        </w:tc>
        <w:tc>
          <w:tcPr>
            <w:tcW w:w="1172" w:type="dxa"/>
          </w:tcPr>
          <w:p w14:paraId="2E9B38EE" w14:textId="0E4906D2" w:rsidR="00795B86" w:rsidRDefault="008E487E" w:rsidP="00795B86">
            <w:r>
              <w:t>N/A</w:t>
            </w:r>
          </w:p>
        </w:tc>
        <w:tc>
          <w:tcPr>
            <w:tcW w:w="1172" w:type="dxa"/>
          </w:tcPr>
          <w:p w14:paraId="13E3D662" w14:textId="22976767" w:rsidR="00795B86" w:rsidRDefault="008E487E" w:rsidP="00795B86">
            <w:r>
              <w:t>N/A</w:t>
            </w:r>
          </w:p>
        </w:tc>
        <w:tc>
          <w:tcPr>
            <w:tcW w:w="1172" w:type="dxa"/>
          </w:tcPr>
          <w:p w14:paraId="26A431DD" w14:textId="2566AE57" w:rsidR="00795B86" w:rsidRDefault="008E487E" w:rsidP="00795B86">
            <w:r>
              <w:t>N/A</w:t>
            </w:r>
          </w:p>
        </w:tc>
        <w:tc>
          <w:tcPr>
            <w:tcW w:w="984" w:type="dxa"/>
          </w:tcPr>
          <w:p w14:paraId="0419B0F9" w14:textId="3BC0B93C" w:rsidR="00795B86" w:rsidRDefault="00836079" w:rsidP="00EE223D">
            <w:r>
              <w:t>Yes</w:t>
            </w:r>
            <w:r w:rsidR="007E626B">
              <w:t xml:space="preserve"> </w:t>
            </w:r>
            <w:r w:rsidR="00EE223D">
              <w:t xml:space="preserve">(W) </w:t>
            </w:r>
          </w:p>
        </w:tc>
      </w:tr>
      <w:tr w:rsidR="00836079" w14:paraId="7C7ED269" w14:textId="77777777" w:rsidTr="00DB4606">
        <w:tc>
          <w:tcPr>
            <w:tcW w:w="955" w:type="dxa"/>
          </w:tcPr>
          <w:p w14:paraId="677BAE69" w14:textId="2CAF67F6" w:rsidR="00836079" w:rsidRDefault="00DB4606" w:rsidP="00C3534A">
            <w:r>
              <w:t xml:space="preserve">LA 15 </w:t>
            </w:r>
            <w:r w:rsidR="001A436A">
              <w:t>– 16 –</w:t>
            </w:r>
            <w:r>
              <w:t>Clause 8</w:t>
            </w:r>
            <w:r w:rsidR="00836079">
              <w:t xml:space="preserve"> </w:t>
            </w:r>
          </w:p>
        </w:tc>
        <w:tc>
          <w:tcPr>
            <w:tcW w:w="949" w:type="dxa"/>
          </w:tcPr>
          <w:p w14:paraId="0EDECEAF" w14:textId="52B18417" w:rsidR="00836079" w:rsidRDefault="00EE223D" w:rsidP="00795B86">
            <w:r>
              <w:t>Yes</w:t>
            </w:r>
          </w:p>
        </w:tc>
        <w:tc>
          <w:tcPr>
            <w:tcW w:w="919" w:type="dxa"/>
          </w:tcPr>
          <w:p w14:paraId="14ABCF91" w14:textId="77777777" w:rsidR="00836079" w:rsidRDefault="00836079" w:rsidP="00795B86">
            <w:r>
              <w:t>Yes</w:t>
            </w:r>
          </w:p>
        </w:tc>
        <w:tc>
          <w:tcPr>
            <w:tcW w:w="966" w:type="dxa"/>
          </w:tcPr>
          <w:p w14:paraId="1E46A5CD" w14:textId="5330AEEE" w:rsidR="00836079" w:rsidRDefault="00EE223D" w:rsidP="00795B86">
            <w:r>
              <w:t>Yes</w:t>
            </w:r>
          </w:p>
        </w:tc>
        <w:tc>
          <w:tcPr>
            <w:tcW w:w="953" w:type="dxa"/>
          </w:tcPr>
          <w:p w14:paraId="17535ED3" w14:textId="445D9DDE" w:rsidR="00836079" w:rsidRDefault="00EE223D" w:rsidP="00795B86">
            <w:r>
              <w:t>Yes</w:t>
            </w:r>
          </w:p>
        </w:tc>
        <w:tc>
          <w:tcPr>
            <w:tcW w:w="1172" w:type="dxa"/>
          </w:tcPr>
          <w:p w14:paraId="746984B7" w14:textId="6F3B03DD" w:rsidR="00836079" w:rsidRDefault="008E487E" w:rsidP="00795B86">
            <w:r>
              <w:t>N/A</w:t>
            </w:r>
          </w:p>
        </w:tc>
        <w:tc>
          <w:tcPr>
            <w:tcW w:w="1172" w:type="dxa"/>
          </w:tcPr>
          <w:p w14:paraId="0F1545F0" w14:textId="46102155" w:rsidR="00836079" w:rsidRDefault="008E487E" w:rsidP="00795B86">
            <w:r>
              <w:t>N/A</w:t>
            </w:r>
          </w:p>
        </w:tc>
        <w:tc>
          <w:tcPr>
            <w:tcW w:w="1172" w:type="dxa"/>
          </w:tcPr>
          <w:p w14:paraId="3E28B991" w14:textId="73DB9105" w:rsidR="00836079" w:rsidRDefault="008E487E" w:rsidP="00795B86">
            <w:r>
              <w:t>N/A</w:t>
            </w:r>
          </w:p>
        </w:tc>
        <w:tc>
          <w:tcPr>
            <w:tcW w:w="984" w:type="dxa"/>
          </w:tcPr>
          <w:p w14:paraId="3B63BE0D" w14:textId="44159D81" w:rsidR="00836079" w:rsidRDefault="00836079" w:rsidP="00C3534A">
            <w:r>
              <w:t>Yes</w:t>
            </w:r>
            <w:r w:rsidR="00432078">
              <w:t>, in part</w:t>
            </w:r>
            <w:r w:rsidR="007E626B">
              <w:t xml:space="preserve"> </w:t>
            </w:r>
            <w:r w:rsidR="00EE223D">
              <w:t>(NI</w:t>
            </w:r>
            <w:r w:rsidR="001A436A">
              <w:t xml:space="preserve">, W and </w:t>
            </w:r>
            <w:r w:rsidR="00C3534A">
              <w:t>S</w:t>
            </w:r>
            <w:r w:rsidR="00EE223D">
              <w:t>)</w:t>
            </w:r>
          </w:p>
        </w:tc>
      </w:tr>
      <w:tr w:rsidR="00C3534A" w14:paraId="778FCEE1" w14:textId="77777777" w:rsidTr="00DB4606">
        <w:tc>
          <w:tcPr>
            <w:tcW w:w="955" w:type="dxa"/>
          </w:tcPr>
          <w:p w14:paraId="7D13CE10" w14:textId="555E53D3" w:rsidR="00C3534A" w:rsidRDefault="00C3534A" w:rsidP="001E6B2D">
            <w:r>
              <w:t xml:space="preserve">LA 17 – Clause 8 </w:t>
            </w:r>
          </w:p>
        </w:tc>
        <w:tc>
          <w:tcPr>
            <w:tcW w:w="949" w:type="dxa"/>
          </w:tcPr>
          <w:p w14:paraId="7BD544EE" w14:textId="6034208E" w:rsidR="00C3534A" w:rsidRDefault="00C3534A" w:rsidP="00795B86">
            <w:r>
              <w:t>No</w:t>
            </w:r>
          </w:p>
        </w:tc>
        <w:tc>
          <w:tcPr>
            <w:tcW w:w="919" w:type="dxa"/>
          </w:tcPr>
          <w:p w14:paraId="3FC247E3" w14:textId="4AD1DFC5" w:rsidR="00C3534A" w:rsidRDefault="00C3534A" w:rsidP="00795B86">
            <w:r>
              <w:t>Yes</w:t>
            </w:r>
          </w:p>
        </w:tc>
        <w:tc>
          <w:tcPr>
            <w:tcW w:w="966" w:type="dxa"/>
          </w:tcPr>
          <w:p w14:paraId="1B4C98D2" w14:textId="70826FE4" w:rsidR="00C3534A" w:rsidRDefault="00C3534A" w:rsidP="00795B86">
            <w:r>
              <w:t>No</w:t>
            </w:r>
          </w:p>
        </w:tc>
        <w:tc>
          <w:tcPr>
            <w:tcW w:w="953" w:type="dxa"/>
          </w:tcPr>
          <w:p w14:paraId="648F8375" w14:textId="570B6A2C" w:rsidR="00C3534A" w:rsidRDefault="00C3534A" w:rsidP="00795B86">
            <w:r>
              <w:t>No</w:t>
            </w:r>
          </w:p>
        </w:tc>
        <w:tc>
          <w:tcPr>
            <w:tcW w:w="1172" w:type="dxa"/>
          </w:tcPr>
          <w:p w14:paraId="70B3112B" w14:textId="6BF50CFF" w:rsidR="00C3534A" w:rsidRDefault="00C3534A" w:rsidP="00795B86">
            <w:r>
              <w:t>N/A</w:t>
            </w:r>
          </w:p>
        </w:tc>
        <w:tc>
          <w:tcPr>
            <w:tcW w:w="1172" w:type="dxa"/>
          </w:tcPr>
          <w:p w14:paraId="20A68D84" w14:textId="33008BDF" w:rsidR="00C3534A" w:rsidRDefault="00C3534A" w:rsidP="00795B86">
            <w:r>
              <w:t>N/A</w:t>
            </w:r>
          </w:p>
        </w:tc>
        <w:tc>
          <w:tcPr>
            <w:tcW w:w="1172" w:type="dxa"/>
          </w:tcPr>
          <w:p w14:paraId="308FD433" w14:textId="3702BFF5" w:rsidR="00C3534A" w:rsidRDefault="00C3534A" w:rsidP="00795B86">
            <w:r>
              <w:t>N/A</w:t>
            </w:r>
          </w:p>
        </w:tc>
        <w:tc>
          <w:tcPr>
            <w:tcW w:w="984" w:type="dxa"/>
          </w:tcPr>
          <w:p w14:paraId="18CC7ACD" w14:textId="41B6F7A2" w:rsidR="00C3534A" w:rsidRDefault="00432078" w:rsidP="007E626B">
            <w:r>
              <w:t>Yes (W)</w:t>
            </w:r>
          </w:p>
        </w:tc>
      </w:tr>
      <w:tr w:rsidR="00836079" w14:paraId="75A285C1" w14:textId="77777777" w:rsidTr="00DB4606">
        <w:tc>
          <w:tcPr>
            <w:tcW w:w="955" w:type="dxa"/>
          </w:tcPr>
          <w:p w14:paraId="285AF03F" w14:textId="452CC5BA" w:rsidR="00836079" w:rsidRDefault="00DB4606" w:rsidP="00B34B6A">
            <w:r>
              <w:t>LA 18 -20 – Clause 9</w:t>
            </w:r>
            <w:r w:rsidR="00B34B6A">
              <w:t xml:space="preserve"> </w:t>
            </w:r>
          </w:p>
        </w:tc>
        <w:tc>
          <w:tcPr>
            <w:tcW w:w="949" w:type="dxa"/>
          </w:tcPr>
          <w:p w14:paraId="43BF5C28" w14:textId="6F13B63B" w:rsidR="00836079" w:rsidRDefault="00432078" w:rsidP="00795B86">
            <w:r>
              <w:t>Yes</w:t>
            </w:r>
            <w:r w:rsidR="00EE223D">
              <w:t xml:space="preserve"> </w:t>
            </w:r>
          </w:p>
        </w:tc>
        <w:tc>
          <w:tcPr>
            <w:tcW w:w="919" w:type="dxa"/>
          </w:tcPr>
          <w:p w14:paraId="1F3F3802" w14:textId="3BE7D635" w:rsidR="00836079" w:rsidRDefault="00432078" w:rsidP="00795B86">
            <w:r>
              <w:t>Yes</w:t>
            </w:r>
          </w:p>
        </w:tc>
        <w:tc>
          <w:tcPr>
            <w:tcW w:w="966" w:type="dxa"/>
          </w:tcPr>
          <w:p w14:paraId="57547785" w14:textId="61BCE6CC" w:rsidR="00836079" w:rsidRDefault="00432078" w:rsidP="00B34B6A">
            <w:r>
              <w:t>Yes</w:t>
            </w:r>
          </w:p>
        </w:tc>
        <w:tc>
          <w:tcPr>
            <w:tcW w:w="953" w:type="dxa"/>
          </w:tcPr>
          <w:p w14:paraId="5E7A1E81" w14:textId="3B72F45E" w:rsidR="00836079" w:rsidRDefault="00432078" w:rsidP="00795B86">
            <w:r>
              <w:t>Yes</w:t>
            </w:r>
          </w:p>
        </w:tc>
        <w:tc>
          <w:tcPr>
            <w:tcW w:w="1172" w:type="dxa"/>
          </w:tcPr>
          <w:p w14:paraId="0DF11801" w14:textId="3B695CA3" w:rsidR="00836079" w:rsidRDefault="008E487E" w:rsidP="00795B86">
            <w:r>
              <w:t>N/A</w:t>
            </w:r>
          </w:p>
        </w:tc>
        <w:tc>
          <w:tcPr>
            <w:tcW w:w="1172" w:type="dxa"/>
          </w:tcPr>
          <w:p w14:paraId="7532895F" w14:textId="54139B87" w:rsidR="00836079" w:rsidRDefault="008E487E" w:rsidP="00795B86">
            <w:r>
              <w:t>N/A</w:t>
            </w:r>
          </w:p>
        </w:tc>
        <w:tc>
          <w:tcPr>
            <w:tcW w:w="1172" w:type="dxa"/>
          </w:tcPr>
          <w:p w14:paraId="2ECCE564" w14:textId="0F425A5F" w:rsidR="00836079" w:rsidRDefault="008E487E" w:rsidP="00795B86">
            <w:r>
              <w:t>N/A</w:t>
            </w:r>
          </w:p>
        </w:tc>
        <w:tc>
          <w:tcPr>
            <w:tcW w:w="984" w:type="dxa"/>
          </w:tcPr>
          <w:p w14:paraId="05890C1E" w14:textId="47155E57" w:rsidR="00836079" w:rsidRDefault="00836079" w:rsidP="0098051D">
            <w:r>
              <w:t xml:space="preserve">Yes </w:t>
            </w:r>
            <w:r w:rsidR="00EE223D">
              <w:t>(</w:t>
            </w:r>
            <w:r w:rsidR="001A436A">
              <w:t xml:space="preserve">NI, </w:t>
            </w:r>
            <w:r w:rsidR="00EE223D">
              <w:t xml:space="preserve">W, S) </w:t>
            </w:r>
          </w:p>
        </w:tc>
      </w:tr>
      <w:tr w:rsidR="007E626B" w14:paraId="7FBA42C3" w14:textId="77777777" w:rsidTr="00DB4606">
        <w:tc>
          <w:tcPr>
            <w:tcW w:w="955" w:type="dxa"/>
          </w:tcPr>
          <w:p w14:paraId="6BA4647D" w14:textId="20BA5227" w:rsidR="007E626B" w:rsidRDefault="00DB4606" w:rsidP="00B34B6A">
            <w:r>
              <w:t>LA 21 -24 – Clause 10</w:t>
            </w:r>
            <w:r w:rsidR="007E626B">
              <w:t xml:space="preserve"> </w:t>
            </w:r>
          </w:p>
        </w:tc>
        <w:tc>
          <w:tcPr>
            <w:tcW w:w="949" w:type="dxa"/>
          </w:tcPr>
          <w:p w14:paraId="1CB0093F" w14:textId="7E99914A" w:rsidR="007E626B" w:rsidDel="007E626B" w:rsidRDefault="00432078" w:rsidP="00795B86">
            <w:r>
              <w:t>Yes</w:t>
            </w:r>
          </w:p>
        </w:tc>
        <w:tc>
          <w:tcPr>
            <w:tcW w:w="919" w:type="dxa"/>
          </w:tcPr>
          <w:p w14:paraId="285F76DA" w14:textId="7BB4F37E" w:rsidR="007E626B" w:rsidDel="008E487E" w:rsidRDefault="00432078" w:rsidP="00795B86">
            <w:r>
              <w:t>Yes</w:t>
            </w:r>
          </w:p>
        </w:tc>
        <w:tc>
          <w:tcPr>
            <w:tcW w:w="966" w:type="dxa"/>
          </w:tcPr>
          <w:p w14:paraId="715F4F2D" w14:textId="6099DA8C" w:rsidR="007E626B" w:rsidDel="008E487E" w:rsidRDefault="00432078" w:rsidP="00B34B6A">
            <w:r>
              <w:t>Yes</w:t>
            </w:r>
          </w:p>
        </w:tc>
        <w:tc>
          <w:tcPr>
            <w:tcW w:w="953" w:type="dxa"/>
          </w:tcPr>
          <w:p w14:paraId="706D6436" w14:textId="119F0795" w:rsidR="007E626B" w:rsidDel="008E487E" w:rsidRDefault="00432078" w:rsidP="00795B86">
            <w:r>
              <w:t>Yes</w:t>
            </w:r>
          </w:p>
        </w:tc>
        <w:tc>
          <w:tcPr>
            <w:tcW w:w="1172" w:type="dxa"/>
          </w:tcPr>
          <w:p w14:paraId="2FAA56FE" w14:textId="00E6324D" w:rsidR="007E626B" w:rsidRDefault="007E626B" w:rsidP="00795B86">
            <w:r>
              <w:t>N/A</w:t>
            </w:r>
          </w:p>
        </w:tc>
        <w:tc>
          <w:tcPr>
            <w:tcW w:w="1172" w:type="dxa"/>
          </w:tcPr>
          <w:p w14:paraId="34D80CFD" w14:textId="1A2473E4" w:rsidR="007E626B" w:rsidRDefault="007E626B" w:rsidP="00795B86">
            <w:r>
              <w:t>N/A</w:t>
            </w:r>
          </w:p>
        </w:tc>
        <w:tc>
          <w:tcPr>
            <w:tcW w:w="1172" w:type="dxa"/>
          </w:tcPr>
          <w:p w14:paraId="5F772105" w14:textId="037EA2FC" w:rsidR="007E626B" w:rsidRDefault="007E626B" w:rsidP="00795B86">
            <w:r>
              <w:t>N/A</w:t>
            </w:r>
          </w:p>
        </w:tc>
        <w:tc>
          <w:tcPr>
            <w:tcW w:w="984" w:type="dxa"/>
          </w:tcPr>
          <w:p w14:paraId="783AB838" w14:textId="5D0C16AC" w:rsidR="007E626B" w:rsidRDefault="007E626B" w:rsidP="00432078">
            <w:r>
              <w:t>Yes</w:t>
            </w:r>
            <w:r w:rsidR="00432078">
              <w:t>, in part</w:t>
            </w:r>
            <w:r>
              <w:t xml:space="preserve"> </w:t>
            </w:r>
            <w:r w:rsidR="00EE223D">
              <w:t>(</w:t>
            </w:r>
            <w:r w:rsidR="00432078">
              <w:t>NI,W,S</w:t>
            </w:r>
            <w:r w:rsidR="00EE223D">
              <w:t xml:space="preserve">) </w:t>
            </w:r>
          </w:p>
        </w:tc>
      </w:tr>
    </w:tbl>
    <w:p w14:paraId="76F2396B" w14:textId="77777777" w:rsidR="005F75FC" w:rsidRPr="00113FAA" w:rsidRDefault="005F75FC" w:rsidP="0022436B">
      <w:pPr>
        <w:autoSpaceDE w:val="0"/>
        <w:autoSpaceDN w:val="0"/>
        <w:adjustRightInd w:val="0"/>
        <w:spacing w:after="0" w:line="240" w:lineRule="auto"/>
        <w:rPr>
          <w:rFonts w:cs="Arial"/>
          <w:b/>
          <w:bCs/>
          <w:szCs w:val="24"/>
        </w:rPr>
      </w:pPr>
    </w:p>
    <w:p w14:paraId="4591A4E6" w14:textId="77777777" w:rsidR="00F40634" w:rsidRDefault="00F40634" w:rsidP="00F40634">
      <w:pPr>
        <w:autoSpaceDE w:val="0"/>
        <w:autoSpaceDN w:val="0"/>
        <w:adjustRightInd w:val="0"/>
        <w:spacing w:after="0" w:line="240" w:lineRule="auto"/>
        <w:rPr>
          <w:rFonts w:cs="Arial"/>
          <w:szCs w:val="24"/>
        </w:rPr>
      </w:pPr>
    </w:p>
    <w:p w14:paraId="7F6FDC19" w14:textId="77777777" w:rsidR="00F40634" w:rsidRDefault="00F40634" w:rsidP="00F40634">
      <w:pPr>
        <w:autoSpaceDE w:val="0"/>
        <w:autoSpaceDN w:val="0"/>
        <w:adjustRightInd w:val="0"/>
        <w:spacing w:after="0" w:line="240" w:lineRule="auto"/>
        <w:rPr>
          <w:rFonts w:cs="Arial"/>
          <w:szCs w:val="24"/>
        </w:rPr>
      </w:pPr>
    </w:p>
    <w:p w14:paraId="015BB567" w14:textId="77777777" w:rsidR="005F75FC" w:rsidRPr="00113FAA" w:rsidRDefault="005F75FC" w:rsidP="0022436B">
      <w:pPr>
        <w:autoSpaceDE w:val="0"/>
        <w:autoSpaceDN w:val="0"/>
        <w:adjustRightInd w:val="0"/>
        <w:spacing w:after="0" w:line="240" w:lineRule="auto"/>
        <w:rPr>
          <w:rFonts w:cs="Arial"/>
          <w:i/>
          <w:iCs/>
          <w:szCs w:val="24"/>
        </w:rPr>
      </w:pPr>
    </w:p>
    <w:p w14:paraId="364AEFE2" w14:textId="77777777" w:rsidR="00F40634" w:rsidRDefault="00F40634" w:rsidP="0022436B">
      <w:pPr>
        <w:autoSpaceDE w:val="0"/>
        <w:autoSpaceDN w:val="0"/>
        <w:adjustRightInd w:val="0"/>
        <w:spacing w:after="0" w:line="240" w:lineRule="auto"/>
        <w:rPr>
          <w:rFonts w:cs="Arial"/>
          <w:szCs w:val="24"/>
        </w:rPr>
      </w:pPr>
    </w:p>
    <w:p w14:paraId="73E1852B" w14:textId="77777777" w:rsidR="005F75FC" w:rsidRPr="00113FAA" w:rsidRDefault="005F75FC" w:rsidP="0022436B">
      <w:pPr>
        <w:autoSpaceDE w:val="0"/>
        <w:autoSpaceDN w:val="0"/>
        <w:adjustRightInd w:val="0"/>
        <w:spacing w:after="0" w:line="240" w:lineRule="auto"/>
        <w:rPr>
          <w:rFonts w:cs="Arial"/>
          <w:szCs w:val="24"/>
        </w:rPr>
      </w:pPr>
    </w:p>
    <w:p w14:paraId="2DBEC6A5" w14:textId="77777777" w:rsidR="005F75FC" w:rsidRDefault="005F75FC" w:rsidP="0022436B">
      <w:pPr>
        <w:autoSpaceDE w:val="0"/>
        <w:autoSpaceDN w:val="0"/>
        <w:adjustRightInd w:val="0"/>
        <w:spacing w:after="0" w:line="240" w:lineRule="auto"/>
        <w:rPr>
          <w:rFonts w:cs="Arial"/>
          <w:szCs w:val="24"/>
        </w:rPr>
      </w:pPr>
    </w:p>
    <w:p w14:paraId="0AD783E2" w14:textId="77777777" w:rsidR="005F75FC" w:rsidRPr="00113FAA" w:rsidRDefault="005F75FC" w:rsidP="0022436B">
      <w:pPr>
        <w:autoSpaceDE w:val="0"/>
        <w:autoSpaceDN w:val="0"/>
        <w:adjustRightInd w:val="0"/>
        <w:spacing w:after="0" w:line="240" w:lineRule="auto"/>
        <w:rPr>
          <w:rFonts w:cs="Arial"/>
          <w:szCs w:val="24"/>
        </w:rPr>
      </w:pPr>
    </w:p>
    <w:p w14:paraId="08EB23B6" w14:textId="77777777" w:rsidR="00D70B35" w:rsidRPr="00113FAA" w:rsidRDefault="00D70B35" w:rsidP="0022436B">
      <w:pPr>
        <w:rPr>
          <w:rFonts w:cs="Arial"/>
          <w:szCs w:val="24"/>
        </w:rPr>
      </w:pPr>
    </w:p>
    <w:sectPr w:rsidR="00D70B35" w:rsidRPr="00113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3A2A4" w14:textId="77777777" w:rsidR="00C758D8" w:rsidRDefault="00C758D8" w:rsidP="00F40634">
      <w:pPr>
        <w:spacing w:after="0" w:line="240" w:lineRule="auto"/>
      </w:pPr>
      <w:r>
        <w:separator/>
      </w:r>
    </w:p>
  </w:endnote>
  <w:endnote w:type="continuationSeparator" w:id="0">
    <w:p w14:paraId="283634A9" w14:textId="77777777" w:rsidR="00C758D8" w:rsidRDefault="00C758D8" w:rsidP="00F4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77E9" w14:textId="77777777" w:rsidR="00C758D8" w:rsidRDefault="00C758D8" w:rsidP="00F40634">
      <w:pPr>
        <w:spacing w:after="0" w:line="240" w:lineRule="auto"/>
      </w:pPr>
      <w:r>
        <w:separator/>
      </w:r>
    </w:p>
  </w:footnote>
  <w:footnote w:type="continuationSeparator" w:id="0">
    <w:p w14:paraId="1E1F80D0" w14:textId="77777777" w:rsidR="00C758D8" w:rsidRDefault="00C758D8" w:rsidP="00F40634">
      <w:pPr>
        <w:spacing w:after="0" w:line="240" w:lineRule="auto"/>
      </w:pPr>
      <w:r>
        <w:continuationSeparator/>
      </w:r>
    </w:p>
  </w:footnote>
  <w:footnote w:id="1">
    <w:p w14:paraId="5D9795D6" w14:textId="36D0D4FA" w:rsidR="00C758D8" w:rsidRDefault="00C758D8" w:rsidP="0046656B">
      <w:pPr>
        <w:autoSpaceDE w:val="0"/>
        <w:autoSpaceDN w:val="0"/>
        <w:rPr>
          <w:rFonts w:ascii="Calibri" w:hAnsi="Calibri" w:cs="Calibri"/>
          <w:b/>
          <w:bCs/>
          <w:sz w:val="22"/>
        </w:rPr>
      </w:pPr>
      <w:r>
        <w:rPr>
          <w:rStyle w:val="FootnoteReference"/>
        </w:rPr>
        <w:footnoteRef/>
      </w:r>
      <w:r>
        <w:t xml:space="preserve"> </w:t>
      </w:r>
      <w:r>
        <w:rPr>
          <w:rFonts w:ascii="Calibri" w:hAnsi="Calibri" w:cs="Calibri"/>
          <w:b/>
          <w:bCs/>
          <w:sz w:val="22"/>
        </w:rPr>
        <w:t>References in this statement to a provision being within the legislative competence of the Scottish Parliament, the National Assembly for Wales or the Northern Ireland Assembly are to the provision being within the legislative competence of the relevant devolved legislature for the purposes of Standing Order No. 83J of the Standing Orders of the House of Commons relating to Public Business.</w:t>
      </w:r>
    </w:p>
    <w:p w14:paraId="3BBDE088" w14:textId="1A401E7E" w:rsidR="00C758D8" w:rsidRDefault="00C758D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2D6B"/>
    <w:multiLevelType w:val="hybridMultilevel"/>
    <w:tmpl w:val="3404E19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nsid w:val="2B924910"/>
    <w:multiLevelType w:val="hybridMultilevel"/>
    <w:tmpl w:val="7E527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31E28B0"/>
    <w:multiLevelType w:val="hybridMultilevel"/>
    <w:tmpl w:val="3404E19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by Harmes">
    <w15:presenceInfo w15:providerId="AD" w15:userId="S-1-5-21-1141400437-1419162236-2865881067-7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6B"/>
    <w:rsid w:val="00081C84"/>
    <w:rsid w:val="000955E7"/>
    <w:rsid w:val="000E74D6"/>
    <w:rsid w:val="00113FAA"/>
    <w:rsid w:val="001A436A"/>
    <w:rsid w:val="001D00DD"/>
    <w:rsid w:val="001E6B2D"/>
    <w:rsid w:val="0022436B"/>
    <w:rsid w:val="002422E7"/>
    <w:rsid w:val="0025789C"/>
    <w:rsid w:val="00296597"/>
    <w:rsid w:val="00325A2B"/>
    <w:rsid w:val="003305EF"/>
    <w:rsid w:val="0033355B"/>
    <w:rsid w:val="00390BD0"/>
    <w:rsid w:val="00390C18"/>
    <w:rsid w:val="00432078"/>
    <w:rsid w:val="0046656B"/>
    <w:rsid w:val="004912D7"/>
    <w:rsid w:val="004A4D50"/>
    <w:rsid w:val="004B1AB8"/>
    <w:rsid w:val="004F0A68"/>
    <w:rsid w:val="005136F2"/>
    <w:rsid w:val="0052223C"/>
    <w:rsid w:val="005B5352"/>
    <w:rsid w:val="005F3E0F"/>
    <w:rsid w:val="005F75FC"/>
    <w:rsid w:val="006956B1"/>
    <w:rsid w:val="00743B91"/>
    <w:rsid w:val="00795B86"/>
    <w:rsid w:val="007E626B"/>
    <w:rsid w:val="008358A0"/>
    <w:rsid w:val="00836079"/>
    <w:rsid w:val="008D7689"/>
    <w:rsid w:val="008E487E"/>
    <w:rsid w:val="00900F62"/>
    <w:rsid w:val="00934013"/>
    <w:rsid w:val="0098051D"/>
    <w:rsid w:val="009A314A"/>
    <w:rsid w:val="00A633DB"/>
    <w:rsid w:val="00A86C9F"/>
    <w:rsid w:val="00AF5CD3"/>
    <w:rsid w:val="00B045F4"/>
    <w:rsid w:val="00B31884"/>
    <w:rsid w:val="00B34B6A"/>
    <w:rsid w:val="00B4148C"/>
    <w:rsid w:val="00BE46B8"/>
    <w:rsid w:val="00C051AC"/>
    <w:rsid w:val="00C16280"/>
    <w:rsid w:val="00C3534A"/>
    <w:rsid w:val="00C758D8"/>
    <w:rsid w:val="00C824DE"/>
    <w:rsid w:val="00CB2DCE"/>
    <w:rsid w:val="00CC6605"/>
    <w:rsid w:val="00CE1ACF"/>
    <w:rsid w:val="00D70B35"/>
    <w:rsid w:val="00DB4606"/>
    <w:rsid w:val="00E01FE2"/>
    <w:rsid w:val="00E5375E"/>
    <w:rsid w:val="00E92F3B"/>
    <w:rsid w:val="00EB5EA8"/>
    <w:rsid w:val="00EB7F54"/>
    <w:rsid w:val="00ED1E1D"/>
    <w:rsid w:val="00EE223D"/>
    <w:rsid w:val="00EF3184"/>
    <w:rsid w:val="00F40634"/>
    <w:rsid w:val="00F63EE1"/>
    <w:rsid w:val="00FF6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D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F5 List Paragraph,Colorful List - Accent 11,Normal numbered,Bullet 1,Bullet Style,Dot pt,No Spacing1,List Paragraph Char Char Char,Indicator Text,Numbered Para 1,List Paragraph1,Bullet Points,MAIN CONTENT,List Paragraph12,L"/>
    <w:basedOn w:val="Normal"/>
    <w:link w:val="ListParagraphChar"/>
    <w:uiPriority w:val="34"/>
    <w:qFormat/>
    <w:rsid w:val="00CC6605"/>
    <w:pPr>
      <w:ind w:left="720"/>
      <w:contextualSpacing/>
    </w:pPr>
  </w:style>
  <w:style w:type="paragraph" w:styleId="FootnoteText">
    <w:name w:val="footnote text"/>
    <w:basedOn w:val="Normal"/>
    <w:link w:val="FootnoteTextChar"/>
    <w:uiPriority w:val="99"/>
    <w:semiHidden/>
    <w:unhideWhenUsed/>
    <w:rsid w:val="00F40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634"/>
    <w:rPr>
      <w:sz w:val="20"/>
      <w:szCs w:val="20"/>
    </w:rPr>
  </w:style>
  <w:style w:type="character" w:styleId="FootnoteReference">
    <w:name w:val="footnote reference"/>
    <w:basedOn w:val="DefaultParagraphFont"/>
    <w:uiPriority w:val="99"/>
    <w:semiHidden/>
    <w:unhideWhenUsed/>
    <w:rsid w:val="00F40634"/>
    <w:rPr>
      <w:vertAlign w:val="superscript"/>
    </w:rPr>
  </w:style>
  <w:style w:type="paragraph" w:customStyle="1" w:styleId="Default">
    <w:name w:val="Default"/>
    <w:rsid w:val="00795B86"/>
    <w:pPr>
      <w:autoSpaceDE w:val="0"/>
      <w:autoSpaceDN w:val="0"/>
      <w:adjustRightInd w:val="0"/>
      <w:spacing w:after="0" w:line="240" w:lineRule="auto"/>
    </w:pPr>
    <w:rPr>
      <w:rFonts w:cs="Arial"/>
      <w:color w:val="000000"/>
      <w:szCs w:val="24"/>
    </w:rPr>
  </w:style>
  <w:style w:type="table" w:styleId="TableGrid">
    <w:name w:val="Table Grid"/>
    <w:basedOn w:val="TableNormal"/>
    <w:uiPriority w:val="59"/>
    <w:rsid w:val="00795B8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13"/>
    <w:rPr>
      <w:rFonts w:ascii="Tahoma" w:hAnsi="Tahoma" w:cs="Tahoma"/>
      <w:sz w:val="16"/>
      <w:szCs w:val="16"/>
    </w:rPr>
  </w:style>
  <w:style w:type="character" w:styleId="CommentReference">
    <w:name w:val="annotation reference"/>
    <w:basedOn w:val="DefaultParagraphFont"/>
    <w:uiPriority w:val="99"/>
    <w:semiHidden/>
    <w:unhideWhenUsed/>
    <w:rsid w:val="008E487E"/>
    <w:rPr>
      <w:sz w:val="18"/>
      <w:szCs w:val="18"/>
    </w:rPr>
  </w:style>
  <w:style w:type="paragraph" w:styleId="CommentText">
    <w:name w:val="annotation text"/>
    <w:basedOn w:val="Normal"/>
    <w:link w:val="CommentTextChar"/>
    <w:uiPriority w:val="99"/>
    <w:semiHidden/>
    <w:unhideWhenUsed/>
    <w:rsid w:val="008E487E"/>
    <w:pPr>
      <w:spacing w:line="240" w:lineRule="auto"/>
    </w:pPr>
    <w:rPr>
      <w:szCs w:val="24"/>
    </w:rPr>
  </w:style>
  <w:style w:type="character" w:customStyle="1" w:styleId="CommentTextChar">
    <w:name w:val="Comment Text Char"/>
    <w:basedOn w:val="DefaultParagraphFont"/>
    <w:link w:val="CommentText"/>
    <w:uiPriority w:val="99"/>
    <w:semiHidden/>
    <w:rsid w:val="008E487E"/>
    <w:rPr>
      <w:szCs w:val="24"/>
    </w:rPr>
  </w:style>
  <w:style w:type="paragraph" w:styleId="CommentSubject">
    <w:name w:val="annotation subject"/>
    <w:basedOn w:val="CommentText"/>
    <w:next w:val="CommentText"/>
    <w:link w:val="CommentSubjectChar"/>
    <w:uiPriority w:val="99"/>
    <w:semiHidden/>
    <w:unhideWhenUsed/>
    <w:rsid w:val="008E487E"/>
    <w:rPr>
      <w:b/>
      <w:bCs/>
      <w:sz w:val="20"/>
      <w:szCs w:val="20"/>
    </w:rPr>
  </w:style>
  <w:style w:type="character" w:customStyle="1" w:styleId="CommentSubjectChar">
    <w:name w:val="Comment Subject Char"/>
    <w:basedOn w:val="CommentTextChar"/>
    <w:link w:val="CommentSubject"/>
    <w:uiPriority w:val="99"/>
    <w:semiHidden/>
    <w:rsid w:val="008E487E"/>
    <w:rPr>
      <w:b/>
      <w:bCs/>
      <w:sz w:val="20"/>
      <w:szCs w:val="20"/>
    </w:rPr>
  </w:style>
  <w:style w:type="character" w:customStyle="1" w:styleId="ListParagraphChar">
    <w:name w:val="List Paragraph Char"/>
    <w:aliases w:val="OBC Bullet Char,F5 List Paragraph Char,Colorful List - Accent 11 Char,Normal numbered Char,Bullet 1 Char,Bullet Style Char,Dot pt Char,No Spacing1 Char,List Paragraph Char Char Char Char,Indicator Text Char,Numbered Para 1 Char"/>
    <w:link w:val="ListParagraph"/>
    <w:uiPriority w:val="34"/>
    <w:qFormat/>
    <w:rsid w:val="00333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F5 List Paragraph,Colorful List - Accent 11,Normal numbered,Bullet 1,Bullet Style,Dot pt,No Spacing1,List Paragraph Char Char Char,Indicator Text,Numbered Para 1,List Paragraph1,Bullet Points,MAIN CONTENT,List Paragraph12,L"/>
    <w:basedOn w:val="Normal"/>
    <w:link w:val="ListParagraphChar"/>
    <w:uiPriority w:val="34"/>
    <w:qFormat/>
    <w:rsid w:val="00CC6605"/>
    <w:pPr>
      <w:ind w:left="720"/>
      <w:contextualSpacing/>
    </w:pPr>
  </w:style>
  <w:style w:type="paragraph" w:styleId="FootnoteText">
    <w:name w:val="footnote text"/>
    <w:basedOn w:val="Normal"/>
    <w:link w:val="FootnoteTextChar"/>
    <w:uiPriority w:val="99"/>
    <w:semiHidden/>
    <w:unhideWhenUsed/>
    <w:rsid w:val="00F40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634"/>
    <w:rPr>
      <w:sz w:val="20"/>
      <w:szCs w:val="20"/>
    </w:rPr>
  </w:style>
  <w:style w:type="character" w:styleId="FootnoteReference">
    <w:name w:val="footnote reference"/>
    <w:basedOn w:val="DefaultParagraphFont"/>
    <w:uiPriority w:val="99"/>
    <w:semiHidden/>
    <w:unhideWhenUsed/>
    <w:rsid w:val="00F40634"/>
    <w:rPr>
      <w:vertAlign w:val="superscript"/>
    </w:rPr>
  </w:style>
  <w:style w:type="paragraph" w:customStyle="1" w:styleId="Default">
    <w:name w:val="Default"/>
    <w:rsid w:val="00795B86"/>
    <w:pPr>
      <w:autoSpaceDE w:val="0"/>
      <w:autoSpaceDN w:val="0"/>
      <w:adjustRightInd w:val="0"/>
      <w:spacing w:after="0" w:line="240" w:lineRule="auto"/>
    </w:pPr>
    <w:rPr>
      <w:rFonts w:cs="Arial"/>
      <w:color w:val="000000"/>
      <w:szCs w:val="24"/>
    </w:rPr>
  </w:style>
  <w:style w:type="table" w:styleId="TableGrid">
    <w:name w:val="Table Grid"/>
    <w:basedOn w:val="TableNormal"/>
    <w:uiPriority w:val="59"/>
    <w:rsid w:val="00795B8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13"/>
    <w:rPr>
      <w:rFonts w:ascii="Tahoma" w:hAnsi="Tahoma" w:cs="Tahoma"/>
      <w:sz w:val="16"/>
      <w:szCs w:val="16"/>
    </w:rPr>
  </w:style>
  <w:style w:type="character" w:styleId="CommentReference">
    <w:name w:val="annotation reference"/>
    <w:basedOn w:val="DefaultParagraphFont"/>
    <w:uiPriority w:val="99"/>
    <w:semiHidden/>
    <w:unhideWhenUsed/>
    <w:rsid w:val="008E487E"/>
    <w:rPr>
      <w:sz w:val="18"/>
      <w:szCs w:val="18"/>
    </w:rPr>
  </w:style>
  <w:style w:type="paragraph" w:styleId="CommentText">
    <w:name w:val="annotation text"/>
    <w:basedOn w:val="Normal"/>
    <w:link w:val="CommentTextChar"/>
    <w:uiPriority w:val="99"/>
    <w:semiHidden/>
    <w:unhideWhenUsed/>
    <w:rsid w:val="008E487E"/>
    <w:pPr>
      <w:spacing w:line="240" w:lineRule="auto"/>
    </w:pPr>
    <w:rPr>
      <w:szCs w:val="24"/>
    </w:rPr>
  </w:style>
  <w:style w:type="character" w:customStyle="1" w:styleId="CommentTextChar">
    <w:name w:val="Comment Text Char"/>
    <w:basedOn w:val="DefaultParagraphFont"/>
    <w:link w:val="CommentText"/>
    <w:uiPriority w:val="99"/>
    <w:semiHidden/>
    <w:rsid w:val="008E487E"/>
    <w:rPr>
      <w:szCs w:val="24"/>
    </w:rPr>
  </w:style>
  <w:style w:type="paragraph" w:styleId="CommentSubject">
    <w:name w:val="annotation subject"/>
    <w:basedOn w:val="CommentText"/>
    <w:next w:val="CommentText"/>
    <w:link w:val="CommentSubjectChar"/>
    <w:uiPriority w:val="99"/>
    <w:semiHidden/>
    <w:unhideWhenUsed/>
    <w:rsid w:val="008E487E"/>
    <w:rPr>
      <w:b/>
      <w:bCs/>
      <w:sz w:val="20"/>
      <w:szCs w:val="20"/>
    </w:rPr>
  </w:style>
  <w:style w:type="character" w:customStyle="1" w:styleId="CommentSubjectChar">
    <w:name w:val="Comment Subject Char"/>
    <w:basedOn w:val="CommentTextChar"/>
    <w:link w:val="CommentSubject"/>
    <w:uiPriority w:val="99"/>
    <w:semiHidden/>
    <w:rsid w:val="008E487E"/>
    <w:rPr>
      <w:b/>
      <w:bCs/>
      <w:sz w:val="20"/>
      <w:szCs w:val="20"/>
    </w:rPr>
  </w:style>
  <w:style w:type="character" w:customStyle="1" w:styleId="ListParagraphChar">
    <w:name w:val="List Paragraph Char"/>
    <w:aliases w:val="OBC Bullet Char,F5 List Paragraph Char,Colorful List - Accent 11 Char,Normal numbered Char,Bullet 1 Char,Bullet Style Char,Dot pt Char,No Spacing1 Char,List Paragraph Char Char Char Char,Indicator Text Char,Numbered Para 1 Char"/>
    <w:link w:val="ListParagraph"/>
    <w:uiPriority w:val="34"/>
    <w:qFormat/>
    <w:rsid w:val="0033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70090">
      <w:bodyDiv w:val="1"/>
      <w:marLeft w:val="375"/>
      <w:marRight w:val="375"/>
      <w:marTop w:val="75"/>
      <w:marBottom w:val="75"/>
      <w:divBdr>
        <w:top w:val="none" w:sz="0" w:space="0" w:color="auto"/>
        <w:left w:val="none" w:sz="0" w:space="0" w:color="auto"/>
        <w:bottom w:val="none" w:sz="0" w:space="0" w:color="auto"/>
        <w:right w:val="none" w:sz="0" w:space="0" w:color="auto"/>
      </w:divBdr>
      <w:divsChild>
        <w:div w:id="1218786482">
          <w:marLeft w:val="0"/>
          <w:marRight w:val="0"/>
          <w:marTop w:val="0"/>
          <w:marBottom w:val="0"/>
          <w:divBdr>
            <w:top w:val="none" w:sz="0" w:space="0" w:color="auto"/>
            <w:left w:val="none" w:sz="0" w:space="0" w:color="auto"/>
            <w:bottom w:val="none" w:sz="0" w:space="0" w:color="auto"/>
            <w:right w:val="none" w:sz="0" w:space="0" w:color="auto"/>
          </w:divBdr>
          <w:divsChild>
            <w:div w:id="9296555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682363860">
                      <w:marLeft w:val="0"/>
                      <w:marRight w:val="0"/>
                      <w:marTop w:val="0"/>
                      <w:marBottom w:val="0"/>
                      <w:divBdr>
                        <w:top w:val="none" w:sz="0" w:space="0" w:color="auto"/>
                        <w:left w:val="none" w:sz="0" w:space="0" w:color="auto"/>
                        <w:bottom w:val="none" w:sz="0" w:space="0" w:color="auto"/>
                        <w:right w:val="none" w:sz="0" w:space="0" w:color="auto"/>
                      </w:divBdr>
                      <w:divsChild>
                        <w:div w:id="1966159664">
                          <w:marLeft w:val="0"/>
                          <w:marRight w:val="0"/>
                          <w:marTop w:val="0"/>
                          <w:marBottom w:val="0"/>
                          <w:divBdr>
                            <w:top w:val="none" w:sz="0" w:space="0" w:color="auto"/>
                            <w:left w:val="none" w:sz="0" w:space="0" w:color="auto"/>
                            <w:bottom w:val="none" w:sz="0" w:space="0" w:color="auto"/>
                            <w:right w:val="none" w:sz="0" w:space="0" w:color="auto"/>
                          </w:divBdr>
                        </w:div>
                        <w:div w:id="10044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0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H Document" ma:contentTypeID="0x010100B9957A1BF2FBE8478EF96F1BD89AD4CA00D387C0577ACBC54EBE3B75B7D8BF5A1B" ma:contentTypeVersion="65" ma:contentTypeDescription="DH specific document content type for use in File Plan" ma:contentTypeScope="" ma:versionID="6c7a3c31b70eaa1ba24b43fea6a3ae94">
  <xsd:schema xmlns:xsd="http://www.w3.org/2001/XMLSchema" xmlns:xs="http://www.w3.org/2001/XMLSchema" xmlns:p="http://schemas.microsoft.com/office/2006/metadata/properties" xmlns:ns1="http://schemas.microsoft.com/sharepoint/v3" xmlns:ns2="1eee4ddb-a1f9-40b8-9282-d53ea582adeb" xmlns:ns5="http://schemas.microsoft.com/sharepoint/v4" targetNamespace="http://schemas.microsoft.com/office/2006/metadata/properties" ma:root="true" ma:fieldsID="9313acacc97305f2efde445109a4ecae" ns1:_="" ns2:_="" ns5: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pireDateSaved" minOccurs="0"/>
                <xsd:element ref="ns1:_dlc_ExpireDate"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dlc_Exempt" ma:index="3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 xmlns="http://schemas.microsoft.com/office/infopath/2007/PartnerControls">Policy: Health and Social Care</TermName>
          <TermId xmlns="http://schemas.microsoft.com/office/infopath/2007/PartnerControls">0b72e8bb-e374-4ac3-96d8-f30c2f0d6c19</TermId>
        </TermInfo>
      </Term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Value>26</Value>
    </TaxCatchAll>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2022-09-18T23:00:00+00:00</Retention_x0020_Trigger_x0020_Dat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ExpireDateSaved xmlns="http://schemas.microsoft.com/sharepoint/v3" xsi:nil="true"/>
    <_dlc_ExpireDate xmlns="http://schemas.microsoft.com/sharepoint/v3">2020-03-02T15:39:51+00:00</_dlc_ExpireDate>
    <_dlc_DocId xmlns="1eee4ddb-a1f9-40b8-9282-d53ea582adeb">AAFXSQ5MW4ZD-335-726218</_dlc_DocId>
    <_dlc_DocIdUrl xmlns="1eee4ddb-a1f9-40b8-9282-d53ea582adeb">
      <Url>http://iws.ims.gov.uk/sr/plande/_layouts/DocIdRedir.aspx?ID=AAFXSQ5MW4ZD-335-726218</Url>
      <Description>AAFXSQ5MW4ZD-335-726218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0E5E-D0BA-47E6-BCDF-3A0F10E6CCCF}"/>
</file>

<file path=customXml/itemProps2.xml><?xml version="1.0" encoding="utf-8"?>
<ds:datastoreItem xmlns:ds="http://schemas.openxmlformats.org/officeDocument/2006/customXml" ds:itemID="{BAFAC3AA-269A-4386-A070-DB5CCC2E2E51}"/>
</file>

<file path=customXml/itemProps3.xml><?xml version="1.0" encoding="utf-8"?>
<ds:datastoreItem xmlns:ds="http://schemas.openxmlformats.org/officeDocument/2006/customXml" ds:itemID="{BECE5672-F73D-457A-AF9E-846E7C33F7DD}"/>
</file>

<file path=customXml/itemProps4.xml><?xml version="1.0" encoding="utf-8"?>
<ds:datastoreItem xmlns:ds="http://schemas.openxmlformats.org/officeDocument/2006/customXml" ds:itemID="{E80A46A3-1FEC-41BE-A7CE-7F87D83A6BCA}"/>
</file>

<file path=customXml/itemProps5.xml><?xml version="1.0" encoding="utf-8"?>
<ds:datastoreItem xmlns:ds="http://schemas.openxmlformats.org/officeDocument/2006/customXml" ds:itemID="{CED85924-E1F4-4DBB-92FD-7B606E16222F}"/>
</file>

<file path=customXml/itemProps6.xml><?xml version="1.0" encoding="utf-8"?>
<ds:datastoreItem xmlns:ds="http://schemas.openxmlformats.org/officeDocument/2006/customXml" ds:itemID="{56CE4AF4-9750-44A0-82B4-96DD4E115228}"/>
</file>

<file path=docProps/app.xml><?xml version="1.0" encoding="utf-8"?>
<Properties xmlns="http://schemas.openxmlformats.org/officeDocument/2006/extended-properties" xmlns:vt="http://schemas.openxmlformats.org/officeDocument/2006/docPropsVTypes">
  <Template>Normal</Template>
  <TotalTime>0</TotalTime>
  <Pages>9</Pages>
  <Words>1785</Words>
  <Characters>10175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Thakrar Bindya DWP Legal Services</dc:creator>
  <cp:lastModifiedBy>Morton, Rachel</cp:lastModifiedBy>
  <cp:revision>2</cp:revision>
  <dcterms:created xsi:type="dcterms:W3CDTF">2017-03-02T15:38:00Z</dcterms:created>
  <dcterms:modified xsi:type="dcterms:W3CDTF">2017-03-02T15:38:00Z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0x010100B9957A1BF2FBE8478EF96F1BD89AD4CA00D387C0577ACBC54EBE3B75B7D8BF5A1B</vt:lpwstr>
  </property>
  <property fmtid="{D5CDD505-2E9C-101B-9397-08002B2CF9AE}" pid="4" name="TaxKeyword">
    <vt:lpwstr/>
  </property>
  <property fmtid="{D5CDD505-2E9C-101B-9397-08002B2CF9AE}" pid="5" name="Document_x0020_Type">
    <vt:lpwstr/>
  </property>
  <property fmtid="{D5CDD505-2E9C-101B-9397-08002B2CF9AE}" pid="6" name="Record_x0020_Class">
    <vt:lpwstr>26;#Policy: Health and Social Care|0b72e8bb-e374-4ac3-96d8-f30c2f0d6c19</vt:lpwstr>
  </property>
  <property fmtid="{D5CDD505-2E9C-101B-9397-08002B2CF9AE}" pid="7" name="Trigger_x0020_Date_x0020_Description">
    <vt:lpwstr/>
  </property>
  <property fmtid="{D5CDD505-2E9C-101B-9397-08002B2CF9AE}" pid="8" name="Document_x0020_Subject">
    <vt:lpwstr/>
  </property>
  <property fmtid="{D5CDD505-2E9C-101B-9397-08002B2CF9AE}" pid="9" name="Record Class">
    <vt:lpwstr>26;#Policy: Health and Social Care|0b72e8bb-e374-4ac3-96d8-f30c2f0d6c19</vt:lpwstr>
  </property>
  <property fmtid="{D5CDD505-2E9C-101B-9397-08002B2CF9AE}" pid="10" name="_dlc_policyId">
    <vt:lpwstr>/sr/plande/MPI</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DocIdItemGuid">
    <vt:lpwstr>e447ca8a-08c5-45dc-8446-e71703698e15</vt:lpwstr>
  </property>
  <property fmtid="{D5CDD505-2E9C-101B-9397-08002B2CF9AE}" pid="16" name="_cx_SecurityMarkings">
    <vt:lpwstr/>
  </property>
  <property fmtid="{D5CDD505-2E9C-101B-9397-08002B2CF9AE}" pid="22" name="Trigger Date Description">
    <vt:lpwstr/>
  </property>
  <property fmtid="{D5CDD505-2E9C-101B-9397-08002B2CF9AE}" pid="23" name="Document Subject">
    <vt:lpwstr/>
  </property>
  <property fmtid="{D5CDD505-2E9C-101B-9397-08002B2CF9AE}" pid="24" name="Document Type">
    <vt:lpwstr/>
  </property>
</Properties>
</file>